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F0FAC4" w14:textId="00372E26" w:rsidR="005032B6" w:rsidRPr="00F76804" w:rsidRDefault="005032B6" w:rsidP="00F76804">
      <w:pPr>
        <w:rPr>
          <w:lang w:val="en-GB"/>
        </w:rPr>
        <w:sectPr w:rsidR="005032B6" w:rsidRPr="00F76804" w:rsidSect="00EB39DF">
          <w:headerReference w:type="even" r:id="rId8"/>
          <w:headerReference w:type="default" r:id="rId9"/>
          <w:footerReference w:type="default" r:id="rId10"/>
          <w:headerReference w:type="first" r:id="rId11"/>
          <w:footerReference w:type="first" r:id="rId12"/>
          <w:pgSz w:w="11909" w:h="16834" w:code="9"/>
          <w:pgMar w:top="1440" w:right="1440" w:bottom="851" w:left="1440" w:header="720" w:footer="567" w:gutter="0"/>
          <w:cols w:space="720"/>
          <w:titlePg/>
          <w:docGrid w:linePitch="360"/>
        </w:sectPr>
      </w:pPr>
      <w:r w:rsidRPr="00AA47E4">
        <w:rPr>
          <w:rFonts w:asciiTheme="minorHAnsi" w:hAnsiTheme="minorHAnsi" w:cstheme="minorHAnsi"/>
          <w:noProof/>
          <w:lang w:eastAsia="en-AU"/>
        </w:rPr>
        <mc:AlternateContent>
          <mc:Choice Requires="wps">
            <w:drawing>
              <wp:anchor distT="0" distB="0" distL="114300" distR="114300" simplePos="0" relativeHeight="251659264" behindDoc="0" locked="1" layoutInCell="1" allowOverlap="1" wp14:anchorId="1C47F967" wp14:editId="44879DCD">
                <wp:simplePos x="0" y="0"/>
                <wp:positionH relativeFrom="page">
                  <wp:posOffset>1045845</wp:posOffset>
                </wp:positionH>
                <wp:positionV relativeFrom="page">
                  <wp:posOffset>2359660</wp:posOffset>
                </wp:positionV>
                <wp:extent cx="3867150" cy="3060065"/>
                <wp:effectExtent l="0" t="0" r="0" b="6985"/>
                <wp:wrapNone/>
                <wp:docPr id="5" name="Text Box 2" descr="Document title Review of the Australian organ donation, retrieval and transplantation syst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06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2AE78" w14:textId="77777777" w:rsidR="00D930F7" w:rsidRPr="009A1301" w:rsidRDefault="00D930F7">
                            <w:pPr>
                              <w:pStyle w:val="EYCoverSubTitle"/>
                            </w:pPr>
                            <w:r w:rsidRPr="009A1301">
                              <w:t>Review of the Australian organ donation, retrieval and transplantation system</w:t>
                            </w:r>
                          </w:p>
                          <w:p w14:paraId="4ECDB324" w14:textId="77777777" w:rsidR="00D930F7" w:rsidRPr="009A1301" w:rsidRDefault="00D930F7" w:rsidP="00AE3ED1">
                            <w:pPr>
                              <w:pStyle w:val="EYTitlePageSubtitle"/>
                              <w:spacing w:before="120" w:after="360" w:line="240" w:lineRule="auto"/>
                              <w:ind w:left="0"/>
                              <w:rPr>
                                <w:rFonts w:asciiTheme="minorHAnsi" w:hAnsiTheme="minorHAnsi" w:cstheme="minorHAnsi"/>
                                <w:color w:val="404040"/>
                                <w:sz w:val="44"/>
                                <w:szCs w:val="28"/>
                                <w:lang w:val="en-AU"/>
                              </w:rPr>
                            </w:pPr>
                            <w:r w:rsidRPr="009A1301">
                              <w:rPr>
                                <w:rFonts w:asciiTheme="minorHAnsi" w:hAnsiTheme="minorHAnsi" w:cstheme="minorHAnsi"/>
                                <w:color w:val="404040"/>
                                <w:sz w:val="44"/>
                                <w:szCs w:val="28"/>
                                <w:lang w:val="en-AU"/>
                              </w:rPr>
                              <w:t>Final Report</w:t>
                            </w:r>
                          </w:p>
                          <w:p w14:paraId="3E786D3F" w14:textId="3F9963D0" w:rsidR="00D930F7" w:rsidRPr="0023001B" w:rsidRDefault="00D930F7" w:rsidP="00AE3ED1">
                            <w:pPr>
                              <w:pStyle w:val="EYTitlePageSubtitle"/>
                              <w:spacing w:before="120" w:line="240" w:lineRule="auto"/>
                              <w:ind w:left="0"/>
                            </w:pPr>
                            <w:r w:rsidRPr="00CD78DD">
                              <w:rPr>
                                <w:rFonts w:asciiTheme="minorHAnsi" w:hAnsiTheme="minorHAnsi" w:cstheme="minorHAnsi"/>
                                <w:color w:val="404040"/>
                                <w:lang w:val="en-AU"/>
                              </w:rPr>
                              <w:t xml:space="preserve">12 December 2018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47F967" id="_x0000_t202" coordsize="21600,21600" o:spt="202" path="m,l,21600r21600,l21600,xe">
                <v:stroke joinstyle="miter"/>
                <v:path gradientshapeok="t" o:connecttype="rect"/>
              </v:shapetype>
              <v:shape id="Text Box 2" o:spid="_x0000_s1026" type="#_x0000_t202" alt="Document title Review of the Australian organ donation, retrieval and transplantation system" style="position:absolute;margin-left:82.35pt;margin-top:185.8pt;width:304.5pt;height:240.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" filled="f" stroked="f">
                <v:textbox inset="0,0,0,0">
                  <w:txbxContent>
                    <w:p w14:paraId="05E2AE78" w14:textId="77777777" w:rsidR="00D930F7" w:rsidRPr="009A1301" w:rsidRDefault="00D930F7">
                      <w:pPr>
                        <w:pStyle w:val="EYCoverSubTitle"/>
                      </w:pPr>
                      <w:r w:rsidRPr="009A1301">
                        <w:t>Review of the Australian organ donation, retrieval and transplantation system</w:t>
                      </w:r>
                    </w:p>
                    <w:p w14:paraId="4ECDB324" w14:textId="77777777" w:rsidR="00D930F7" w:rsidRPr="009A1301" w:rsidRDefault="00D930F7" w:rsidP="00AE3ED1">
                      <w:pPr>
                        <w:pStyle w:val="EYTitlePageSubtitle"/>
                        <w:spacing w:before="120" w:after="360" w:line="240" w:lineRule="auto"/>
                        <w:ind w:left="0"/>
                        <w:rPr>
                          <w:rFonts w:asciiTheme="minorHAnsi" w:hAnsiTheme="minorHAnsi" w:cstheme="minorHAnsi"/>
                          <w:color w:val="404040"/>
                          <w:sz w:val="44"/>
                          <w:szCs w:val="28"/>
                          <w:lang w:val="en-AU"/>
                        </w:rPr>
                      </w:pPr>
                      <w:r w:rsidRPr="009A1301">
                        <w:rPr>
                          <w:rFonts w:asciiTheme="minorHAnsi" w:hAnsiTheme="minorHAnsi" w:cstheme="minorHAnsi"/>
                          <w:color w:val="404040"/>
                          <w:sz w:val="44"/>
                          <w:szCs w:val="28"/>
                          <w:lang w:val="en-AU"/>
                        </w:rPr>
                        <w:t>Final Report</w:t>
                      </w:r>
                    </w:p>
                    <w:p w14:paraId="3E786D3F" w14:textId="3F9963D0" w:rsidR="00D930F7" w:rsidRPr="0023001B" w:rsidRDefault="00D930F7" w:rsidP="00AE3ED1">
                      <w:pPr>
                        <w:pStyle w:val="EYTitlePageSubtitle"/>
                        <w:spacing w:before="120" w:line="240" w:lineRule="auto"/>
                        <w:ind w:left="0"/>
                      </w:pPr>
                      <w:r w:rsidRPr="00CD78DD">
                        <w:rPr>
                          <w:rFonts w:asciiTheme="minorHAnsi" w:hAnsiTheme="minorHAnsi" w:cstheme="minorHAnsi"/>
                          <w:color w:val="404040"/>
                          <w:lang w:val="en-AU"/>
                        </w:rPr>
                        <w:t xml:space="preserve">12 December 2018 </w:t>
                      </w:r>
                    </w:p>
                  </w:txbxContent>
                </v:textbox>
                <w10:wrap anchorx="page" anchory="page"/>
                <w10:anchorlock/>
              </v:shape>
            </w:pict>
          </mc:Fallback>
        </mc:AlternateContent>
      </w:r>
    </w:p>
    <w:p w14:paraId="3ED10A71" w14:textId="68634FED" w:rsidR="009634B8" w:rsidRPr="009634B8" w:rsidRDefault="00B32F50" w:rsidP="00AE3ED1">
      <w:pPr>
        <w:pStyle w:val="EYHeading3"/>
        <w:spacing w:after="240"/>
        <w:rPr>
          <w:rFonts w:asciiTheme="minorHAnsi" w:hAnsiTheme="minorHAnsi" w:cstheme="minorHAnsi"/>
          <w:sz w:val="32"/>
          <w:szCs w:val="32"/>
        </w:rPr>
      </w:pPr>
      <w:bookmarkStart w:id="0" w:name="_Toc425497170"/>
      <w:r w:rsidRPr="009634B8">
        <w:rPr>
          <w:rFonts w:asciiTheme="minorHAnsi" w:hAnsiTheme="minorHAnsi" w:cstheme="minorHAnsi"/>
          <w:sz w:val="32"/>
          <w:szCs w:val="32"/>
        </w:rPr>
        <w:lastRenderedPageBreak/>
        <w:t>Acknowledgement</w:t>
      </w:r>
    </w:p>
    <w:p w14:paraId="748A77B3" w14:textId="77777777" w:rsidR="00B32F50" w:rsidRPr="00C07C72" w:rsidRDefault="00B32F50" w:rsidP="00B32F50">
      <w:pPr>
        <w:rPr>
          <w:rFonts w:asciiTheme="minorHAnsi" w:hAnsiTheme="minorHAnsi" w:cstheme="minorHAnsi"/>
          <w:sz w:val="24"/>
        </w:rPr>
      </w:pPr>
      <w:r>
        <w:rPr>
          <w:rFonts w:asciiTheme="minorHAnsi" w:hAnsiTheme="minorHAnsi" w:cstheme="minorHAnsi"/>
          <w:sz w:val="24"/>
          <w:szCs w:val="24"/>
          <w:lang w:val="en-GB"/>
        </w:rPr>
        <w:t>The Review</w:t>
      </w:r>
      <w:r w:rsidRPr="00C07C72">
        <w:rPr>
          <w:rFonts w:asciiTheme="minorHAnsi" w:hAnsiTheme="minorHAnsi" w:cstheme="minorHAnsi"/>
          <w:sz w:val="24"/>
          <w:szCs w:val="24"/>
          <w:lang w:val="en-GB"/>
        </w:rPr>
        <w:t xml:space="preserve"> wishes to acknowledge the organ donors and their families who</w:t>
      </w:r>
      <w:r>
        <w:rPr>
          <w:rFonts w:asciiTheme="minorHAnsi" w:hAnsiTheme="minorHAnsi" w:cstheme="minorHAnsi"/>
          <w:sz w:val="24"/>
          <w:szCs w:val="24"/>
          <w:lang w:val="en-GB"/>
        </w:rPr>
        <w:t xml:space="preserve"> have</w:t>
      </w:r>
      <w:r w:rsidRPr="00C07C72">
        <w:rPr>
          <w:rFonts w:asciiTheme="minorHAnsi" w:hAnsiTheme="minorHAnsi" w:cstheme="minorHAnsi"/>
          <w:sz w:val="24"/>
          <w:szCs w:val="24"/>
          <w:lang w:val="en-GB"/>
        </w:rPr>
        <w:t xml:space="preserve"> </w:t>
      </w:r>
      <w:r>
        <w:rPr>
          <w:rFonts w:asciiTheme="minorHAnsi" w:hAnsiTheme="minorHAnsi" w:cstheme="minorHAnsi"/>
          <w:sz w:val="24"/>
          <w:szCs w:val="24"/>
          <w:lang w:val="en-GB"/>
        </w:rPr>
        <w:t>saved and transformed the lives of Australians needing a transplant through organ donation.</w:t>
      </w:r>
    </w:p>
    <w:p w14:paraId="7F1F0862" w14:textId="77777777" w:rsidR="00B32F50" w:rsidRDefault="00B32F50">
      <w:pPr>
        <w:widowControl/>
        <w:autoSpaceDE/>
        <w:autoSpaceDN/>
        <w:adjustRightInd/>
        <w:spacing w:after="200" w:line="276" w:lineRule="auto"/>
        <w:rPr>
          <w:rFonts w:asciiTheme="minorHAnsi" w:hAnsiTheme="minorHAnsi" w:cstheme="minorHAnsi"/>
          <w:b/>
          <w:color w:val="7F7F7F" w:themeColor="text1" w:themeTint="80"/>
          <w:sz w:val="32"/>
        </w:rPr>
      </w:pPr>
      <w:r>
        <w:rPr>
          <w:rFonts w:asciiTheme="minorHAnsi" w:hAnsiTheme="minorHAnsi" w:cstheme="minorHAnsi"/>
          <w:b/>
          <w:color w:val="7F7F7F" w:themeColor="text1" w:themeTint="80"/>
          <w:sz w:val="32"/>
        </w:rPr>
        <w:br w:type="page"/>
      </w:r>
    </w:p>
    <w:p w14:paraId="64918944" w14:textId="77777777" w:rsidR="005032B6" w:rsidRPr="009634B8" w:rsidRDefault="005032B6" w:rsidP="009634B8">
      <w:pPr>
        <w:pStyle w:val="EYHeading3"/>
        <w:rPr>
          <w:rFonts w:asciiTheme="minorHAnsi" w:hAnsiTheme="minorHAnsi" w:cstheme="minorHAnsi"/>
          <w:sz w:val="32"/>
          <w:szCs w:val="32"/>
        </w:rPr>
      </w:pPr>
      <w:r w:rsidRPr="009634B8">
        <w:rPr>
          <w:rFonts w:asciiTheme="minorHAnsi" w:hAnsiTheme="minorHAnsi" w:cstheme="minorHAnsi"/>
          <w:sz w:val="32"/>
          <w:szCs w:val="32"/>
        </w:rPr>
        <w:lastRenderedPageBreak/>
        <w:t>Table of contents</w:t>
      </w:r>
      <w:bookmarkEnd w:id="0"/>
    </w:p>
    <w:bookmarkStart w:id="1" w:name="_Toc415221724"/>
    <w:bookmarkStart w:id="2" w:name="_Toc415220569"/>
    <w:bookmarkStart w:id="3" w:name="_Toc415221723"/>
    <w:bookmarkStart w:id="4" w:name="_Toc415220568"/>
    <w:bookmarkStart w:id="5" w:name="_Toc415221722"/>
    <w:bookmarkStart w:id="6" w:name="_Toc415220567"/>
    <w:bookmarkStart w:id="7" w:name="_Toc415221721"/>
    <w:bookmarkStart w:id="8" w:name="_Toc415220566"/>
    <w:bookmarkStart w:id="9" w:name="_Toc415221720"/>
    <w:bookmarkStart w:id="10" w:name="_Toc415220565"/>
    <w:bookmarkStart w:id="11" w:name="_Toc415221719"/>
    <w:bookmarkStart w:id="12" w:name="_Toc415220564"/>
    <w:bookmarkStart w:id="13" w:name="_Toc415221718"/>
    <w:bookmarkStart w:id="14" w:name="_Toc415220563"/>
    <w:bookmarkStart w:id="15" w:name="_Toc415221717"/>
    <w:bookmarkStart w:id="16" w:name="_Toc415220562"/>
    <w:bookmarkStart w:id="17" w:name="_Toc415221715"/>
    <w:bookmarkStart w:id="18" w:name="_Toc415220560"/>
    <w:bookmarkStart w:id="19" w:name="_Toc415221714"/>
    <w:bookmarkStart w:id="20" w:name="_Toc415220559"/>
    <w:bookmarkStart w:id="21" w:name="_Toc415221713"/>
    <w:bookmarkStart w:id="22" w:name="_Toc415220558"/>
    <w:bookmarkStart w:id="23" w:name="_Toc506374007"/>
    <w:bookmarkStart w:id="24" w:name="_Toc49954849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14:paraId="1B20A257" w14:textId="6E72B7A2" w:rsidR="0039748A" w:rsidRDefault="00841DDD">
      <w:pPr>
        <w:pStyle w:val="TOC1"/>
        <w:rPr>
          <w:rFonts w:eastAsiaTheme="minorEastAsia" w:cstheme="minorBidi"/>
          <w:b w:val="0"/>
          <w:kern w:val="0"/>
          <w:sz w:val="22"/>
          <w:szCs w:val="22"/>
          <w:lang w:val="en-AU" w:eastAsia="en-AU"/>
        </w:rPr>
      </w:pPr>
      <w:r>
        <w:rPr>
          <w:bCs/>
        </w:rPr>
        <w:fldChar w:fldCharType="begin"/>
      </w:r>
      <w:r>
        <w:rPr>
          <w:bCs/>
        </w:rPr>
        <w:instrText xml:space="preserve"> TOC \o "2-2" \h \z \t "Heading 1,1,EY Appendix,1,EY DIVIDER,1" </w:instrText>
      </w:r>
      <w:r>
        <w:rPr>
          <w:bCs/>
        </w:rPr>
        <w:fldChar w:fldCharType="separate"/>
      </w:r>
      <w:hyperlink w:anchor="_Toc532301666" w:history="1">
        <w:r w:rsidR="0039748A" w:rsidRPr="00287C69">
          <w:rPr>
            <w:rStyle w:val="Hyperlink"/>
            <w:rFonts w:cstheme="minorHAnsi"/>
          </w:rPr>
          <w:t>1.</w:t>
        </w:r>
        <w:r w:rsidR="0039748A">
          <w:rPr>
            <w:rFonts w:eastAsiaTheme="minorEastAsia" w:cstheme="minorBidi"/>
            <w:b w:val="0"/>
            <w:kern w:val="0"/>
            <w:sz w:val="22"/>
            <w:szCs w:val="22"/>
            <w:lang w:val="en-AU" w:eastAsia="en-AU"/>
          </w:rPr>
          <w:tab/>
        </w:r>
        <w:r w:rsidR="0039748A" w:rsidRPr="00287C69">
          <w:rPr>
            <w:rStyle w:val="Hyperlink"/>
            <w:rFonts w:cstheme="minorHAnsi"/>
          </w:rPr>
          <w:t>Executive summary</w:t>
        </w:r>
        <w:r w:rsidR="0039748A">
          <w:rPr>
            <w:webHidden/>
          </w:rPr>
          <w:tab/>
        </w:r>
        <w:r w:rsidR="0039748A">
          <w:rPr>
            <w:webHidden/>
          </w:rPr>
          <w:fldChar w:fldCharType="begin"/>
        </w:r>
        <w:r w:rsidR="0039748A">
          <w:rPr>
            <w:webHidden/>
          </w:rPr>
          <w:instrText xml:space="preserve"> PAGEREF _Toc532301666 \h </w:instrText>
        </w:r>
        <w:r w:rsidR="0039748A">
          <w:rPr>
            <w:webHidden/>
          </w:rPr>
        </w:r>
        <w:r w:rsidR="0039748A">
          <w:rPr>
            <w:webHidden/>
          </w:rPr>
          <w:fldChar w:fldCharType="separate"/>
        </w:r>
        <w:r w:rsidR="003E01A0">
          <w:rPr>
            <w:webHidden/>
          </w:rPr>
          <w:t>6</w:t>
        </w:r>
        <w:r w:rsidR="0039748A">
          <w:rPr>
            <w:webHidden/>
          </w:rPr>
          <w:fldChar w:fldCharType="end"/>
        </w:r>
      </w:hyperlink>
    </w:p>
    <w:p w14:paraId="4E009668" w14:textId="34C88931" w:rsidR="0039748A" w:rsidRDefault="00D930F7">
      <w:pPr>
        <w:pStyle w:val="TOC2"/>
        <w:rPr>
          <w:rFonts w:eastAsiaTheme="minorEastAsia" w:cstheme="minorBidi"/>
          <w:kern w:val="0"/>
          <w:sz w:val="22"/>
          <w:szCs w:val="22"/>
          <w:lang w:val="en-AU" w:eastAsia="en-AU"/>
        </w:rPr>
      </w:pPr>
      <w:hyperlink w:anchor="_Toc532301667" w:history="1">
        <w:r w:rsidR="0039748A" w:rsidRPr="00287C69">
          <w:rPr>
            <w:rStyle w:val="Hyperlink"/>
            <w:rFonts w:cstheme="minorHAnsi"/>
            <w:iCs/>
          </w:rPr>
          <w:t>1.1</w:t>
        </w:r>
        <w:r w:rsidR="0039748A">
          <w:rPr>
            <w:rFonts w:eastAsiaTheme="minorEastAsia" w:cstheme="minorBidi"/>
            <w:kern w:val="0"/>
            <w:sz w:val="22"/>
            <w:szCs w:val="22"/>
            <w:lang w:val="en-AU" w:eastAsia="en-AU"/>
          </w:rPr>
          <w:tab/>
        </w:r>
        <w:r w:rsidR="0039748A" w:rsidRPr="00287C69">
          <w:rPr>
            <w:rStyle w:val="Hyperlink"/>
            <w:rFonts w:cstheme="minorHAnsi"/>
            <w:iCs/>
          </w:rPr>
          <w:t>Introduction</w:t>
        </w:r>
        <w:r w:rsidR="0039748A">
          <w:rPr>
            <w:webHidden/>
          </w:rPr>
          <w:tab/>
        </w:r>
        <w:r w:rsidR="0039748A">
          <w:rPr>
            <w:webHidden/>
          </w:rPr>
          <w:fldChar w:fldCharType="begin"/>
        </w:r>
        <w:r w:rsidR="0039748A">
          <w:rPr>
            <w:webHidden/>
          </w:rPr>
          <w:instrText xml:space="preserve"> PAGEREF _Toc532301667 \h </w:instrText>
        </w:r>
        <w:r w:rsidR="0039748A">
          <w:rPr>
            <w:webHidden/>
          </w:rPr>
        </w:r>
        <w:r w:rsidR="0039748A">
          <w:rPr>
            <w:webHidden/>
          </w:rPr>
          <w:fldChar w:fldCharType="separate"/>
        </w:r>
        <w:r w:rsidR="003E01A0">
          <w:rPr>
            <w:webHidden/>
          </w:rPr>
          <w:t>6</w:t>
        </w:r>
        <w:r w:rsidR="0039748A">
          <w:rPr>
            <w:webHidden/>
          </w:rPr>
          <w:fldChar w:fldCharType="end"/>
        </w:r>
      </w:hyperlink>
    </w:p>
    <w:p w14:paraId="0796F378" w14:textId="333E3504" w:rsidR="0039748A" w:rsidRDefault="00D930F7">
      <w:pPr>
        <w:pStyle w:val="TOC2"/>
        <w:rPr>
          <w:rFonts w:eastAsiaTheme="minorEastAsia" w:cstheme="minorBidi"/>
          <w:kern w:val="0"/>
          <w:sz w:val="22"/>
          <w:szCs w:val="22"/>
          <w:lang w:val="en-AU" w:eastAsia="en-AU"/>
        </w:rPr>
      </w:pPr>
      <w:hyperlink w:anchor="_Toc532301668" w:history="1">
        <w:r w:rsidR="0039748A" w:rsidRPr="00287C69">
          <w:rPr>
            <w:rStyle w:val="Hyperlink"/>
            <w:rFonts w:cstheme="minorHAnsi"/>
            <w:iCs/>
          </w:rPr>
          <w:t>1.2</w:t>
        </w:r>
        <w:r w:rsidR="0039748A">
          <w:rPr>
            <w:rFonts w:eastAsiaTheme="minorEastAsia" w:cstheme="minorBidi"/>
            <w:kern w:val="0"/>
            <w:sz w:val="22"/>
            <w:szCs w:val="22"/>
            <w:lang w:val="en-AU" w:eastAsia="en-AU"/>
          </w:rPr>
          <w:tab/>
        </w:r>
        <w:r w:rsidR="0039748A" w:rsidRPr="00287C69">
          <w:rPr>
            <w:rStyle w:val="Hyperlink"/>
            <w:rFonts w:cstheme="minorHAnsi"/>
            <w:iCs/>
          </w:rPr>
          <w:t>Summary of key findings and recommendations</w:t>
        </w:r>
        <w:r w:rsidR="0039748A">
          <w:rPr>
            <w:webHidden/>
          </w:rPr>
          <w:tab/>
        </w:r>
        <w:r w:rsidR="0039748A">
          <w:rPr>
            <w:webHidden/>
          </w:rPr>
          <w:fldChar w:fldCharType="begin"/>
        </w:r>
        <w:r w:rsidR="0039748A">
          <w:rPr>
            <w:webHidden/>
          </w:rPr>
          <w:instrText xml:space="preserve"> PAGEREF _Toc532301668 \h </w:instrText>
        </w:r>
        <w:r w:rsidR="0039748A">
          <w:rPr>
            <w:webHidden/>
          </w:rPr>
        </w:r>
        <w:r w:rsidR="0039748A">
          <w:rPr>
            <w:webHidden/>
          </w:rPr>
          <w:fldChar w:fldCharType="separate"/>
        </w:r>
        <w:r w:rsidR="003E01A0">
          <w:rPr>
            <w:webHidden/>
          </w:rPr>
          <w:t>8</w:t>
        </w:r>
        <w:r w:rsidR="0039748A">
          <w:rPr>
            <w:webHidden/>
          </w:rPr>
          <w:fldChar w:fldCharType="end"/>
        </w:r>
      </w:hyperlink>
    </w:p>
    <w:p w14:paraId="4506F459" w14:textId="327600AA" w:rsidR="0039748A" w:rsidRDefault="00D930F7">
      <w:pPr>
        <w:pStyle w:val="TOC2"/>
        <w:rPr>
          <w:rFonts w:eastAsiaTheme="minorEastAsia" w:cstheme="minorBidi"/>
          <w:kern w:val="0"/>
          <w:sz w:val="22"/>
          <w:szCs w:val="22"/>
          <w:lang w:val="en-AU" w:eastAsia="en-AU"/>
        </w:rPr>
      </w:pPr>
      <w:hyperlink w:anchor="_Toc532301669" w:history="1">
        <w:r w:rsidR="0039748A" w:rsidRPr="00287C69">
          <w:rPr>
            <w:rStyle w:val="Hyperlink"/>
            <w:rFonts w:cstheme="minorHAnsi"/>
            <w:iCs/>
          </w:rPr>
          <w:t>1.3</w:t>
        </w:r>
        <w:r w:rsidR="0039748A">
          <w:rPr>
            <w:rFonts w:eastAsiaTheme="minorEastAsia" w:cstheme="minorBidi"/>
            <w:kern w:val="0"/>
            <w:sz w:val="22"/>
            <w:szCs w:val="22"/>
            <w:lang w:val="en-AU" w:eastAsia="en-AU"/>
          </w:rPr>
          <w:tab/>
        </w:r>
        <w:r w:rsidR="0039748A" w:rsidRPr="00287C69">
          <w:rPr>
            <w:rStyle w:val="Hyperlink"/>
            <w:rFonts w:cstheme="minorHAnsi"/>
            <w:iCs/>
          </w:rPr>
          <w:t>Priorities for action</w:t>
        </w:r>
        <w:r w:rsidR="0039748A">
          <w:rPr>
            <w:webHidden/>
          </w:rPr>
          <w:tab/>
        </w:r>
        <w:r w:rsidR="0039748A">
          <w:rPr>
            <w:webHidden/>
          </w:rPr>
          <w:fldChar w:fldCharType="begin"/>
        </w:r>
        <w:r w:rsidR="0039748A">
          <w:rPr>
            <w:webHidden/>
          </w:rPr>
          <w:instrText xml:space="preserve"> PAGEREF _Toc532301669 \h </w:instrText>
        </w:r>
        <w:r w:rsidR="0039748A">
          <w:rPr>
            <w:webHidden/>
          </w:rPr>
        </w:r>
        <w:r w:rsidR="0039748A">
          <w:rPr>
            <w:webHidden/>
          </w:rPr>
          <w:fldChar w:fldCharType="separate"/>
        </w:r>
        <w:r w:rsidR="003E01A0">
          <w:rPr>
            <w:webHidden/>
          </w:rPr>
          <w:t>18</w:t>
        </w:r>
        <w:r w:rsidR="0039748A">
          <w:rPr>
            <w:webHidden/>
          </w:rPr>
          <w:fldChar w:fldCharType="end"/>
        </w:r>
      </w:hyperlink>
    </w:p>
    <w:p w14:paraId="36D8C530" w14:textId="63E91CFD" w:rsidR="0039748A" w:rsidRDefault="00D930F7">
      <w:pPr>
        <w:pStyle w:val="TOC1"/>
        <w:rPr>
          <w:rFonts w:eastAsiaTheme="minorEastAsia" w:cstheme="minorBidi"/>
          <w:b w:val="0"/>
          <w:kern w:val="0"/>
          <w:sz w:val="22"/>
          <w:szCs w:val="22"/>
          <w:lang w:val="en-AU" w:eastAsia="en-AU"/>
        </w:rPr>
      </w:pPr>
      <w:hyperlink w:anchor="_Toc532301670" w:history="1">
        <w:r w:rsidR="0039748A" w:rsidRPr="00287C69">
          <w:rPr>
            <w:rStyle w:val="Hyperlink"/>
            <w:rFonts w:cstheme="minorHAnsi"/>
          </w:rPr>
          <w:t>2.</w:t>
        </w:r>
        <w:r w:rsidR="0039748A">
          <w:rPr>
            <w:rFonts w:eastAsiaTheme="minorEastAsia" w:cstheme="minorBidi"/>
            <w:b w:val="0"/>
            <w:kern w:val="0"/>
            <w:sz w:val="22"/>
            <w:szCs w:val="22"/>
            <w:lang w:val="en-AU" w:eastAsia="en-AU"/>
          </w:rPr>
          <w:tab/>
        </w:r>
        <w:r w:rsidR="0039748A" w:rsidRPr="00287C69">
          <w:rPr>
            <w:rStyle w:val="Hyperlink"/>
            <w:rFonts w:cstheme="minorHAnsi"/>
          </w:rPr>
          <w:t>Introduction and Terms of Reference</w:t>
        </w:r>
        <w:r w:rsidR="0039748A">
          <w:rPr>
            <w:webHidden/>
          </w:rPr>
          <w:tab/>
        </w:r>
        <w:r w:rsidR="0039748A">
          <w:rPr>
            <w:webHidden/>
          </w:rPr>
          <w:fldChar w:fldCharType="begin"/>
        </w:r>
        <w:r w:rsidR="0039748A">
          <w:rPr>
            <w:webHidden/>
          </w:rPr>
          <w:instrText xml:space="preserve"> PAGEREF _Toc532301670 \h </w:instrText>
        </w:r>
        <w:r w:rsidR="0039748A">
          <w:rPr>
            <w:webHidden/>
          </w:rPr>
        </w:r>
        <w:r w:rsidR="0039748A">
          <w:rPr>
            <w:webHidden/>
          </w:rPr>
          <w:fldChar w:fldCharType="separate"/>
        </w:r>
        <w:r w:rsidR="003E01A0">
          <w:rPr>
            <w:webHidden/>
          </w:rPr>
          <w:t>22</w:t>
        </w:r>
        <w:r w:rsidR="0039748A">
          <w:rPr>
            <w:webHidden/>
          </w:rPr>
          <w:fldChar w:fldCharType="end"/>
        </w:r>
      </w:hyperlink>
    </w:p>
    <w:p w14:paraId="35118786" w14:textId="1A601507" w:rsidR="0039748A" w:rsidRDefault="00D930F7">
      <w:pPr>
        <w:pStyle w:val="TOC2"/>
        <w:rPr>
          <w:rFonts w:eastAsiaTheme="minorEastAsia" w:cstheme="minorBidi"/>
          <w:kern w:val="0"/>
          <w:sz w:val="22"/>
          <w:szCs w:val="22"/>
          <w:lang w:val="en-AU" w:eastAsia="en-AU"/>
        </w:rPr>
      </w:pPr>
      <w:hyperlink w:anchor="_Toc532301671" w:history="1">
        <w:r w:rsidR="0039748A" w:rsidRPr="00287C69">
          <w:rPr>
            <w:rStyle w:val="Hyperlink"/>
            <w:rFonts w:cstheme="minorHAnsi"/>
            <w:iCs/>
          </w:rPr>
          <w:t>2.1</w:t>
        </w:r>
        <w:r w:rsidR="0039748A">
          <w:rPr>
            <w:rFonts w:eastAsiaTheme="minorEastAsia" w:cstheme="minorBidi"/>
            <w:kern w:val="0"/>
            <w:sz w:val="22"/>
            <w:szCs w:val="22"/>
            <w:lang w:val="en-AU" w:eastAsia="en-AU"/>
          </w:rPr>
          <w:tab/>
        </w:r>
        <w:r w:rsidR="0039748A" w:rsidRPr="00287C69">
          <w:rPr>
            <w:rStyle w:val="Hyperlink"/>
            <w:rFonts w:cstheme="minorHAnsi"/>
            <w:iCs/>
          </w:rPr>
          <w:t>Organ donation, retrieval and transplantation</w:t>
        </w:r>
        <w:r w:rsidR="0039748A">
          <w:rPr>
            <w:webHidden/>
          </w:rPr>
          <w:tab/>
        </w:r>
        <w:r w:rsidR="0039748A">
          <w:rPr>
            <w:webHidden/>
          </w:rPr>
          <w:fldChar w:fldCharType="begin"/>
        </w:r>
        <w:r w:rsidR="0039748A">
          <w:rPr>
            <w:webHidden/>
          </w:rPr>
          <w:instrText xml:space="preserve"> PAGEREF _Toc532301671 \h </w:instrText>
        </w:r>
        <w:r w:rsidR="0039748A">
          <w:rPr>
            <w:webHidden/>
          </w:rPr>
        </w:r>
        <w:r w:rsidR="0039748A">
          <w:rPr>
            <w:webHidden/>
          </w:rPr>
          <w:fldChar w:fldCharType="separate"/>
        </w:r>
        <w:r w:rsidR="003E01A0">
          <w:rPr>
            <w:webHidden/>
          </w:rPr>
          <w:t>22</w:t>
        </w:r>
        <w:r w:rsidR="0039748A">
          <w:rPr>
            <w:webHidden/>
          </w:rPr>
          <w:fldChar w:fldCharType="end"/>
        </w:r>
      </w:hyperlink>
    </w:p>
    <w:p w14:paraId="7C88E549" w14:textId="65ED2507" w:rsidR="0039748A" w:rsidRDefault="00D930F7">
      <w:pPr>
        <w:pStyle w:val="TOC2"/>
        <w:rPr>
          <w:rFonts w:eastAsiaTheme="minorEastAsia" w:cstheme="minorBidi"/>
          <w:kern w:val="0"/>
          <w:sz w:val="22"/>
          <w:szCs w:val="22"/>
          <w:lang w:val="en-AU" w:eastAsia="en-AU"/>
        </w:rPr>
      </w:pPr>
      <w:hyperlink w:anchor="_Toc532301672" w:history="1">
        <w:r w:rsidR="0039748A" w:rsidRPr="00287C69">
          <w:rPr>
            <w:rStyle w:val="Hyperlink"/>
            <w:rFonts w:cstheme="minorHAnsi"/>
            <w:iCs/>
          </w:rPr>
          <w:t>2.2</w:t>
        </w:r>
        <w:r w:rsidR="0039748A">
          <w:rPr>
            <w:rFonts w:eastAsiaTheme="minorEastAsia" w:cstheme="minorBidi"/>
            <w:kern w:val="0"/>
            <w:sz w:val="22"/>
            <w:szCs w:val="22"/>
            <w:lang w:val="en-AU" w:eastAsia="en-AU"/>
          </w:rPr>
          <w:tab/>
        </w:r>
        <w:r w:rsidR="0039748A" w:rsidRPr="00287C69">
          <w:rPr>
            <w:rStyle w:val="Hyperlink"/>
            <w:rFonts w:cstheme="minorHAnsi"/>
            <w:iCs/>
          </w:rPr>
          <w:t>Background and context to the Review</w:t>
        </w:r>
        <w:r w:rsidR="0039748A">
          <w:rPr>
            <w:webHidden/>
          </w:rPr>
          <w:tab/>
        </w:r>
        <w:r w:rsidR="0039748A">
          <w:rPr>
            <w:webHidden/>
          </w:rPr>
          <w:fldChar w:fldCharType="begin"/>
        </w:r>
        <w:r w:rsidR="0039748A">
          <w:rPr>
            <w:webHidden/>
          </w:rPr>
          <w:instrText xml:space="preserve"> PAGEREF _Toc532301672 \h </w:instrText>
        </w:r>
        <w:r w:rsidR="0039748A">
          <w:rPr>
            <w:webHidden/>
          </w:rPr>
        </w:r>
        <w:r w:rsidR="0039748A">
          <w:rPr>
            <w:webHidden/>
          </w:rPr>
          <w:fldChar w:fldCharType="separate"/>
        </w:r>
        <w:r w:rsidR="003E01A0">
          <w:rPr>
            <w:webHidden/>
          </w:rPr>
          <w:t>22</w:t>
        </w:r>
        <w:r w:rsidR="0039748A">
          <w:rPr>
            <w:webHidden/>
          </w:rPr>
          <w:fldChar w:fldCharType="end"/>
        </w:r>
      </w:hyperlink>
    </w:p>
    <w:p w14:paraId="2AD117E8" w14:textId="2650D7BF" w:rsidR="0039748A" w:rsidRDefault="00D930F7">
      <w:pPr>
        <w:pStyle w:val="TOC2"/>
        <w:rPr>
          <w:rFonts w:eastAsiaTheme="minorEastAsia" w:cstheme="minorBidi"/>
          <w:kern w:val="0"/>
          <w:sz w:val="22"/>
          <w:szCs w:val="22"/>
          <w:lang w:val="en-AU" w:eastAsia="en-AU"/>
        </w:rPr>
      </w:pPr>
      <w:hyperlink w:anchor="_Toc532301673" w:history="1">
        <w:r w:rsidR="0039748A" w:rsidRPr="00287C69">
          <w:rPr>
            <w:rStyle w:val="Hyperlink"/>
            <w:rFonts w:cstheme="minorHAnsi"/>
            <w:iCs/>
          </w:rPr>
          <w:t>2.3</w:t>
        </w:r>
        <w:r w:rsidR="0039748A">
          <w:rPr>
            <w:rFonts w:eastAsiaTheme="minorEastAsia" w:cstheme="minorBidi"/>
            <w:kern w:val="0"/>
            <w:sz w:val="22"/>
            <w:szCs w:val="22"/>
            <w:lang w:val="en-AU" w:eastAsia="en-AU"/>
          </w:rPr>
          <w:tab/>
        </w:r>
        <w:r w:rsidR="0039748A" w:rsidRPr="00287C69">
          <w:rPr>
            <w:rStyle w:val="Hyperlink"/>
            <w:rFonts w:cstheme="minorHAnsi"/>
            <w:iCs/>
          </w:rPr>
          <w:t>Review of the Australian organ donation, retrieval and transplantation system</w:t>
        </w:r>
        <w:r w:rsidR="0039748A">
          <w:rPr>
            <w:webHidden/>
          </w:rPr>
          <w:tab/>
        </w:r>
        <w:r w:rsidR="0039748A">
          <w:rPr>
            <w:webHidden/>
          </w:rPr>
          <w:fldChar w:fldCharType="begin"/>
        </w:r>
        <w:r w:rsidR="0039748A">
          <w:rPr>
            <w:webHidden/>
          </w:rPr>
          <w:instrText xml:space="preserve"> PAGEREF _Toc532301673 \h </w:instrText>
        </w:r>
        <w:r w:rsidR="0039748A">
          <w:rPr>
            <w:webHidden/>
          </w:rPr>
        </w:r>
        <w:r w:rsidR="0039748A">
          <w:rPr>
            <w:webHidden/>
          </w:rPr>
          <w:fldChar w:fldCharType="separate"/>
        </w:r>
        <w:r w:rsidR="003E01A0">
          <w:rPr>
            <w:webHidden/>
          </w:rPr>
          <w:t>24</w:t>
        </w:r>
        <w:r w:rsidR="0039748A">
          <w:rPr>
            <w:webHidden/>
          </w:rPr>
          <w:fldChar w:fldCharType="end"/>
        </w:r>
      </w:hyperlink>
    </w:p>
    <w:p w14:paraId="328EF8D2" w14:textId="6B6683F7" w:rsidR="0039748A" w:rsidRDefault="00D930F7">
      <w:pPr>
        <w:pStyle w:val="TOC2"/>
        <w:rPr>
          <w:rFonts w:eastAsiaTheme="minorEastAsia" w:cstheme="minorBidi"/>
          <w:kern w:val="0"/>
          <w:sz w:val="22"/>
          <w:szCs w:val="22"/>
          <w:lang w:val="en-AU" w:eastAsia="en-AU"/>
        </w:rPr>
      </w:pPr>
      <w:hyperlink w:anchor="_Toc532301674" w:history="1">
        <w:r w:rsidR="0039748A" w:rsidRPr="00287C69">
          <w:rPr>
            <w:rStyle w:val="Hyperlink"/>
            <w:rFonts w:cstheme="minorHAnsi"/>
            <w:iCs/>
          </w:rPr>
          <w:t>2.4</w:t>
        </w:r>
        <w:r w:rsidR="0039748A">
          <w:rPr>
            <w:rFonts w:eastAsiaTheme="minorEastAsia" w:cstheme="minorBidi"/>
            <w:kern w:val="0"/>
            <w:sz w:val="22"/>
            <w:szCs w:val="22"/>
            <w:lang w:val="en-AU" w:eastAsia="en-AU"/>
          </w:rPr>
          <w:tab/>
        </w:r>
        <w:r w:rsidR="0039748A" w:rsidRPr="00287C69">
          <w:rPr>
            <w:rStyle w:val="Hyperlink"/>
            <w:rFonts w:cstheme="minorHAnsi"/>
            <w:iCs/>
          </w:rPr>
          <w:t>The approach and consultation process for the Review</w:t>
        </w:r>
        <w:r w:rsidR="0039748A">
          <w:rPr>
            <w:webHidden/>
          </w:rPr>
          <w:tab/>
        </w:r>
        <w:r w:rsidR="0039748A">
          <w:rPr>
            <w:webHidden/>
          </w:rPr>
          <w:fldChar w:fldCharType="begin"/>
        </w:r>
        <w:r w:rsidR="0039748A">
          <w:rPr>
            <w:webHidden/>
          </w:rPr>
          <w:instrText xml:space="preserve"> PAGEREF _Toc532301674 \h </w:instrText>
        </w:r>
        <w:r w:rsidR="0039748A">
          <w:rPr>
            <w:webHidden/>
          </w:rPr>
        </w:r>
        <w:r w:rsidR="0039748A">
          <w:rPr>
            <w:webHidden/>
          </w:rPr>
          <w:fldChar w:fldCharType="separate"/>
        </w:r>
        <w:r w:rsidR="003E01A0">
          <w:rPr>
            <w:webHidden/>
          </w:rPr>
          <w:t>25</w:t>
        </w:r>
        <w:r w:rsidR="0039748A">
          <w:rPr>
            <w:webHidden/>
          </w:rPr>
          <w:fldChar w:fldCharType="end"/>
        </w:r>
      </w:hyperlink>
    </w:p>
    <w:p w14:paraId="31EC6C74" w14:textId="721EEA46" w:rsidR="0039748A" w:rsidRDefault="00D930F7">
      <w:pPr>
        <w:pStyle w:val="TOC2"/>
        <w:rPr>
          <w:rFonts w:eastAsiaTheme="minorEastAsia" w:cstheme="minorBidi"/>
          <w:kern w:val="0"/>
          <w:sz w:val="22"/>
          <w:szCs w:val="22"/>
          <w:lang w:val="en-AU" w:eastAsia="en-AU"/>
        </w:rPr>
      </w:pPr>
      <w:hyperlink w:anchor="_Toc532301675" w:history="1">
        <w:r w:rsidR="0039748A" w:rsidRPr="00287C69">
          <w:rPr>
            <w:rStyle w:val="Hyperlink"/>
            <w:rFonts w:cstheme="minorHAnsi"/>
            <w:iCs/>
          </w:rPr>
          <w:t>2.5</w:t>
        </w:r>
        <w:r w:rsidR="0039748A">
          <w:rPr>
            <w:rFonts w:eastAsiaTheme="minorEastAsia" w:cstheme="minorBidi"/>
            <w:kern w:val="0"/>
            <w:sz w:val="22"/>
            <w:szCs w:val="22"/>
            <w:lang w:val="en-AU" w:eastAsia="en-AU"/>
          </w:rPr>
          <w:tab/>
        </w:r>
        <w:r w:rsidR="0039748A" w:rsidRPr="00287C69">
          <w:rPr>
            <w:rStyle w:val="Hyperlink"/>
            <w:rFonts w:cstheme="minorHAnsi"/>
            <w:iCs/>
          </w:rPr>
          <w:t>Guide to this report</w:t>
        </w:r>
        <w:r w:rsidR="0039748A">
          <w:rPr>
            <w:webHidden/>
          </w:rPr>
          <w:tab/>
        </w:r>
        <w:r w:rsidR="0039748A">
          <w:rPr>
            <w:webHidden/>
          </w:rPr>
          <w:fldChar w:fldCharType="begin"/>
        </w:r>
        <w:r w:rsidR="0039748A">
          <w:rPr>
            <w:webHidden/>
          </w:rPr>
          <w:instrText xml:space="preserve"> PAGEREF _Toc532301675 \h </w:instrText>
        </w:r>
        <w:r w:rsidR="0039748A">
          <w:rPr>
            <w:webHidden/>
          </w:rPr>
        </w:r>
        <w:r w:rsidR="0039748A">
          <w:rPr>
            <w:webHidden/>
          </w:rPr>
          <w:fldChar w:fldCharType="separate"/>
        </w:r>
        <w:r w:rsidR="003E01A0">
          <w:rPr>
            <w:webHidden/>
          </w:rPr>
          <w:t>26</w:t>
        </w:r>
        <w:r w:rsidR="0039748A">
          <w:rPr>
            <w:webHidden/>
          </w:rPr>
          <w:fldChar w:fldCharType="end"/>
        </w:r>
      </w:hyperlink>
    </w:p>
    <w:p w14:paraId="560961A6" w14:textId="634497B8" w:rsidR="0039748A" w:rsidRDefault="00D930F7">
      <w:pPr>
        <w:pStyle w:val="TOC1"/>
        <w:rPr>
          <w:rFonts w:eastAsiaTheme="minorEastAsia" w:cstheme="minorBidi"/>
          <w:b w:val="0"/>
          <w:kern w:val="0"/>
          <w:sz w:val="22"/>
          <w:szCs w:val="22"/>
          <w:lang w:val="en-AU" w:eastAsia="en-AU"/>
        </w:rPr>
      </w:pPr>
      <w:hyperlink w:anchor="_Toc532301676" w:history="1">
        <w:r w:rsidR="0039748A" w:rsidRPr="00287C69">
          <w:rPr>
            <w:rStyle w:val="Hyperlink"/>
            <w:rFonts w:cstheme="minorHAnsi"/>
          </w:rPr>
          <w:t>3.</w:t>
        </w:r>
        <w:r w:rsidR="0039748A">
          <w:rPr>
            <w:rFonts w:eastAsiaTheme="minorEastAsia" w:cstheme="minorBidi"/>
            <w:b w:val="0"/>
            <w:kern w:val="0"/>
            <w:sz w:val="22"/>
            <w:szCs w:val="22"/>
            <w:lang w:val="en-AU" w:eastAsia="en-AU"/>
          </w:rPr>
          <w:tab/>
        </w:r>
        <w:r w:rsidR="0039748A" w:rsidRPr="00287C69">
          <w:rPr>
            <w:rStyle w:val="Hyperlink"/>
            <w:rFonts w:cstheme="minorHAnsi"/>
          </w:rPr>
          <w:t>The 2015 review of the implementation of the national reform agenda on organ and tissue donation</w:t>
        </w:r>
        <w:r w:rsidR="0039748A">
          <w:rPr>
            <w:webHidden/>
          </w:rPr>
          <w:tab/>
        </w:r>
        <w:r w:rsidR="0039748A">
          <w:rPr>
            <w:webHidden/>
          </w:rPr>
          <w:fldChar w:fldCharType="begin"/>
        </w:r>
        <w:r w:rsidR="0039748A">
          <w:rPr>
            <w:webHidden/>
          </w:rPr>
          <w:instrText xml:space="preserve"> PAGEREF _Toc532301676 \h </w:instrText>
        </w:r>
        <w:r w:rsidR="0039748A">
          <w:rPr>
            <w:webHidden/>
          </w:rPr>
        </w:r>
        <w:r w:rsidR="0039748A">
          <w:rPr>
            <w:webHidden/>
          </w:rPr>
          <w:fldChar w:fldCharType="separate"/>
        </w:r>
        <w:r w:rsidR="003E01A0">
          <w:rPr>
            <w:webHidden/>
          </w:rPr>
          <w:t>27</w:t>
        </w:r>
        <w:r w:rsidR="0039748A">
          <w:rPr>
            <w:webHidden/>
          </w:rPr>
          <w:fldChar w:fldCharType="end"/>
        </w:r>
      </w:hyperlink>
    </w:p>
    <w:p w14:paraId="40F41065" w14:textId="0B7BB928" w:rsidR="0039748A" w:rsidRDefault="00D930F7">
      <w:pPr>
        <w:pStyle w:val="TOC2"/>
        <w:rPr>
          <w:rFonts w:eastAsiaTheme="minorEastAsia" w:cstheme="minorBidi"/>
          <w:kern w:val="0"/>
          <w:sz w:val="22"/>
          <w:szCs w:val="22"/>
          <w:lang w:val="en-AU" w:eastAsia="en-AU"/>
        </w:rPr>
      </w:pPr>
      <w:hyperlink w:anchor="_Toc532301677" w:history="1">
        <w:r w:rsidR="0039748A" w:rsidRPr="00287C69">
          <w:rPr>
            <w:rStyle w:val="Hyperlink"/>
            <w:rFonts w:cstheme="minorHAnsi"/>
          </w:rPr>
          <w:t>3.1</w:t>
        </w:r>
        <w:r w:rsidR="0039748A">
          <w:rPr>
            <w:rFonts w:eastAsiaTheme="minorEastAsia" w:cstheme="minorBidi"/>
            <w:kern w:val="0"/>
            <w:sz w:val="22"/>
            <w:szCs w:val="22"/>
            <w:lang w:val="en-AU" w:eastAsia="en-AU"/>
          </w:rPr>
          <w:tab/>
        </w:r>
        <w:r w:rsidR="0039748A" w:rsidRPr="00287C69">
          <w:rPr>
            <w:rStyle w:val="Hyperlink"/>
            <w:rFonts w:cstheme="minorHAnsi"/>
            <w:iCs/>
          </w:rPr>
          <w:t>Background and purpose of the 2015 Review</w:t>
        </w:r>
        <w:r w:rsidR="0039748A">
          <w:rPr>
            <w:webHidden/>
          </w:rPr>
          <w:tab/>
        </w:r>
        <w:r w:rsidR="0039748A">
          <w:rPr>
            <w:webHidden/>
          </w:rPr>
          <w:fldChar w:fldCharType="begin"/>
        </w:r>
        <w:r w:rsidR="0039748A">
          <w:rPr>
            <w:webHidden/>
          </w:rPr>
          <w:instrText xml:space="preserve"> PAGEREF _Toc532301677 \h </w:instrText>
        </w:r>
        <w:r w:rsidR="0039748A">
          <w:rPr>
            <w:webHidden/>
          </w:rPr>
        </w:r>
        <w:r w:rsidR="0039748A">
          <w:rPr>
            <w:webHidden/>
          </w:rPr>
          <w:fldChar w:fldCharType="separate"/>
        </w:r>
        <w:r w:rsidR="003E01A0">
          <w:rPr>
            <w:webHidden/>
          </w:rPr>
          <w:t>27</w:t>
        </w:r>
        <w:r w:rsidR="0039748A">
          <w:rPr>
            <w:webHidden/>
          </w:rPr>
          <w:fldChar w:fldCharType="end"/>
        </w:r>
      </w:hyperlink>
    </w:p>
    <w:p w14:paraId="6E25CC87" w14:textId="1BBBBEC4" w:rsidR="0039748A" w:rsidRDefault="00D930F7">
      <w:pPr>
        <w:pStyle w:val="TOC2"/>
        <w:rPr>
          <w:rFonts w:eastAsiaTheme="minorEastAsia" w:cstheme="minorBidi"/>
          <w:kern w:val="0"/>
          <w:sz w:val="22"/>
          <w:szCs w:val="22"/>
          <w:lang w:val="en-AU" w:eastAsia="en-AU"/>
        </w:rPr>
      </w:pPr>
      <w:hyperlink w:anchor="_Toc532301678" w:history="1">
        <w:r w:rsidR="0039748A" w:rsidRPr="00287C69">
          <w:rPr>
            <w:rStyle w:val="Hyperlink"/>
            <w:rFonts w:cstheme="minorHAnsi"/>
            <w:iCs/>
          </w:rPr>
          <w:t>3.2</w:t>
        </w:r>
        <w:r w:rsidR="0039748A">
          <w:rPr>
            <w:rFonts w:eastAsiaTheme="minorEastAsia" w:cstheme="minorBidi"/>
            <w:kern w:val="0"/>
            <w:sz w:val="22"/>
            <w:szCs w:val="22"/>
            <w:lang w:val="en-AU" w:eastAsia="en-AU"/>
          </w:rPr>
          <w:tab/>
        </w:r>
        <w:r w:rsidR="0039748A" w:rsidRPr="00287C69">
          <w:rPr>
            <w:rStyle w:val="Hyperlink"/>
            <w:rFonts w:cstheme="minorHAnsi"/>
            <w:iCs/>
          </w:rPr>
          <w:t>Progress against the recommendations from the 2015 Review</w:t>
        </w:r>
        <w:r w:rsidR="0039748A">
          <w:rPr>
            <w:webHidden/>
          </w:rPr>
          <w:tab/>
        </w:r>
        <w:r w:rsidR="0039748A">
          <w:rPr>
            <w:webHidden/>
          </w:rPr>
          <w:fldChar w:fldCharType="begin"/>
        </w:r>
        <w:r w:rsidR="0039748A">
          <w:rPr>
            <w:webHidden/>
          </w:rPr>
          <w:instrText xml:space="preserve"> PAGEREF _Toc532301678 \h </w:instrText>
        </w:r>
        <w:r w:rsidR="0039748A">
          <w:rPr>
            <w:webHidden/>
          </w:rPr>
        </w:r>
        <w:r w:rsidR="0039748A">
          <w:rPr>
            <w:webHidden/>
          </w:rPr>
          <w:fldChar w:fldCharType="separate"/>
        </w:r>
        <w:r w:rsidR="003E01A0">
          <w:rPr>
            <w:webHidden/>
          </w:rPr>
          <w:t>28</w:t>
        </w:r>
        <w:r w:rsidR="0039748A">
          <w:rPr>
            <w:webHidden/>
          </w:rPr>
          <w:fldChar w:fldCharType="end"/>
        </w:r>
      </w:hyperlink>
    </w:p>
    <w:p w14:paraId="3B244F14" w14:textId="4440531A" w:rsidR="0039748A" w:rsidRDefault="00D930F7">
      <w:pPr>
        <w:pStyle w:val="TOC1"/>
        <w:rPr>
          <w:rFonts w:eastAsiaTheme="minorEastAsia" w:cstheme="minorBidi"/>
          <w:b w:val="0"/>
          <w:kern w:val="0"/>
          <w:sz w:val="22"/>
          <w:szCs w:val="22"/>
          <w:lang w:val="en-AU" w:eastAsia="en-AU"/>
        </w:rPr>
      </w:pPr>
      <w:hyperlink w:anchor="_Toc532301679" w:history="1">
        <w:r w:rsidR="0039748A" w:rsidRPr="00287C69">
          <w:rPr>
            <w:rStyle w:val="Hyperlink"/>
            <w:rFonts w:cstheme="minorHAnsi"/>
          </w:rPr>
          <w:t>4.</w:t>
        </w:r>
        <w:r w:rsidR="0039748A">
          <w:rPr>
            <w:rFonts w:eastAsiaTheme="minorEastAsia" w:cstheme="minorBidi"/>
            <w:b w:val="0"/>
            <w:kern w:val="0"/>
            <w:sz w:val="22"/>
            <w:szCs w:val="22"/>
            <w:lang w:val="en-AU" w:eastAsia="en-AU"/>
          </w:rPr>
          <w:tab/>
        </w:r>
        <w:r w:rsidR="0039748A" w:rsidRPr="00287C69">
          <w:rPr>
            <w:rStyle w:val="Hyperlink"/>
            <w:rFonts w:cstheme="minorHAnsi"/>
          </w:rPr>
          <w:t>The organ donation, retrieval and transplantation system in Australia</w:t>
        </w:r>
        <w:r w:rsidR="0039748A">
          <w:rPr>
            <w:webHidden/>
          </w:rPr>
          <w:tab/>
        </w:r>
        <w:r w:rsidR="0039748A">
          <w:rPr>
            <w:webHidden/>
          </w:rPr>
          <w:fldChar w:fldCharType="begin"/>
        </w:r>
        <w:r w:rsidR="0039748A">
          <w:rPr>
            <w:webHidden/>
          </w:rPr>
          <w:instrText xml:space="preserve"> PAGEREF _Toc532301679 \h </w:instrText>
        </w:r>
        <w:r w:rsidR="0039748A">
          <w:rPr>
            <w:webHidden/>
          </w:rPr>
        </w:r>
        <w:r w:rsidR="0039748A">
          <w:rPr>
            <w:webHidden/>
          </w:rPr>
          <w:fldChar w:fldCharType="separate"/>
        </w:r>
        <w:r w:rsidR="003E01A0">
          <w:rPr>
            <w:webHidden/>
          </w:rPr>
          <w:t>33</w:t>
        </w:r>
        <w:r w:rsidR="0039748A">
          <w:rPr>
            <w:webHidden/>
          </w:rPr>
          <w:fldChar w:fldCharType="end"/>
        </w:r>
      </w:hyperlink>
    </w:p>
    <w:p w14:paraId="7AFA8BCD" w14:textId="112EB22F" w:rsidR="0039748A" w:rsidRDefault="00D930F7">
      <w:pPr>
        <w:pStyle w:val="TOC2"/>
        <w:rPr>
          <w:rFonts w:eastAsiaTheme="minorEastAsia" w:cstheme="minorBidi"/>
          <w:kern w:val="0"/>
          <w:sz w:val="22"/>
          <w:szCs w:val="22"/>
          <w:lang w:val="en-AU" w:eastAsia="en-AU"/>
        </w:rPr>
      </w:pPr>
      <w:hyperlink w:anchor="_Toc532301680" w:history="1">
        <w:r w:rsidR="0039748A" w:rsidRPr="00287C69">
          <w:rPr>
            <w:rStyle w:val="Hyperlink"/>
            <w:rFonts w:cstheme="minorHAnsi"/>
            <w:iCs/>
          </w:rPr>
          <w:t>4.1</w:t>
        </w:r>
        <w:r w:rsidR="0039748A">
          <w:rPr>
            <w:rFonts w:eastAsiaTheme="minorEastAsia" w:cstheme="minorBidi"/>
            <w:kern w:val="0"/>
            <w:sz w:val="22"/>
            <w:szCs w:val="22"/>
            <w:lang w:val="en-AU" w:eastAsia="en-AU"/>
          </w:rPr>
          <w:tab/>
        </w:r>
        <w:r w:rsidR="0039748A" w:rsidRPr="00287C69">
          <w:rPr>
            <w:rStyle w:val="Hyperlink"/>
            <w:rFonts w:cstheme="minorHAnsi"/>
            <w:iCs/>
          </w:rPr>
          <w:t>The organ donation, retrieval and transplantation functional model</w:t>
        </w:r>
        <w:r w:rsidR="0039748A">
          <w:rPr>
            <w:webHidden/>
          </w:rPr>
          <w:tab/>
        </w:r>
        <w:r w:rsidR="0039748A">
          <w:rPr>
            <w:webHidden/>
          </w:rPr>
          <w:fldChar w:fldCharType="begin"/>
        </w:r>
        <w:r w:rsidR="0039748A">
          <w:rPr>
            <w:webHidden/>
          </w:rPr>
          <w:instrText xml:space="preserve"> PAGEREF _Toc532301680 \h </w:instrText>
        </w:r>
        <w:r w:rsidR="0039748A">
          <w:rPr>
            <w:webHidden/>
          </w:rPr>
        </w:r>
        <w:r w:rsidR="0039748A">
          <w:rPr>
            <w:webHidden/>
          </w:rPr>
          <w:fldChar w:fldCharType="separate"/>
        </w:r>
        <w:r w:rsidR="003E01A0">
          <w:rPr>
            <w:webHidden/>
          </w:rPr>
          <w:t>33</w:t>
        </w:r>
        <w:r w:rsidR="0039748A">
          <w:rPr>
            <w:webHidden/>
          </w:rPr>
          <w:fldChar w:fldCharType="end"/>
        </w:r>
      </w:hyperlink>
    </w:p>
    <w:p w14:paraId="78D239FF" w14:textId="562445DD" w:rsidR="0039748A" w:rsidRDefault="00D930F7">
      <w:pPr>
        <w:pStyle w:val="TOC2"/>
        <w:rPr>
          <w:rFonts w:eastAsiaTheme="minorEastAsia" w:cstheme="minorBidi"/>
          <w:kern w:val="0"/>
          <w:sz w:val="22"/>
          <w:szCs w:val="22"/>
          <w:lang w:val="en-AU" w:eastAsia="en-AU"/>
        </w:rPr>
      </w:pPr>
      <w:hyperlink w:anchor="_Toc532301681" w:history="1">
        <w:r w:rsidR="0039748A" w:rsidRPr="00287C69">
          <w:rPr>
            <w:rStyle w:val="Hyperlink"/>
            <w:rFonts w:cstheme="minorHAnsi"/>
            <w:iCs/>
          </w:rPr>
          <w:t>4.2</w:t>
        </w:r>
        <w:r w:rsidR="0039748A">
          <w:rPr>
            <w:rFonts w:eastAsiaTheme="minorEastAsia" w:cstheme="minorBidi"/>
            <w:kern w:val="0"/>
            <w:sz w:val="22"/>
            <w:szCs w:val="22"/>
            <w:lang w:val="en-AU" w:eastAsia="en-AU"/>
          </w:rPr>
          <w:tab/>
        </w:r>
        <w:r w:rsidR="0039748A" w:rsidRPr="00287C69">
          <w:rPr>
            <w:rStyle w:val="Hyperlink"/>
            <w:rFonts w:cstheme="minorHAnsi"/>
            <w:iCs/>
          </w:rPr>
          <w:t>System governance</w:t>
        </w:r>
        <w:r w:rsidR="0039748A">
          <w:rPr>
            <w:webHidden/>
          </w:rPr>
          <w:tab/>
        </w:r>
        <w:r w:rsidR="0039748A">
          <w:rPr>
            <w:webHidden/>
          </w:rPr>
          <w:fldChar w:fldCharType="begin"/>
        </w:r>
        <w:r w:rsidR="0039748A">
          <w:rPr>
            <w:webHidden/>
          </w:rPr>
          <w:instrText xml:space="preserve"> PAGEREF _Toc532301681 \h </w:instrText>
        </w:r>
        <w:r w:rsidR="0039748A">
          <w:rPr>
            <w:webHidden/>
          </w:rPr>
        </w:r>
        <w:r w:rsidR="0039748A">
          <w:rPr>
            <w:webHidden/>
          </w:rPr>
          <w:fldChar w:fldCharType="separate"/>
        </w:r>
        <w:r w:rsidR="003E01A0">
          <w:rPr>
            <w:webHidden/>
          </w:rPr>
          <w:t>35</w:t>
        </w:r>
        <w:r w:rsidR="0039748A">
          <w:rPr>
            <w:webHidden/>
          </w:rPr>
          <w:fldChar w:fldCharType="end"/>
        </w:r>
      </w:hyperlink>
    </w:p>
    <w:p w14:paraId="3407D5A9" w14:textId="0EBDE860" w:rsidR="0039748A" w:rsidRDefault="00D930F7">
      <w:pPr>
        <w:pStyle w:val="TOC2"/>
        <w:rPr>
          <w:rFonts w:eastAsiaTheme="minorEastAsia" w:cstheme="minorBidi"/>
          <w:kern w:val="0"/>
          <w:sz w:val="22"/>
          <w:szCs w:val="22"/>
          <w:lang w:val="en-AU" w:eastAsia="en-AU"/>
        </w:rPr>
      </w:pPr>
      <w:hyperlink w:anchor="_Toc532301682" w:history="1">
        <w:r w:rsidR="0039748A" w:rsidRPr="00287C69">
          <w:rPr>
            <w:rStyle w:val="Hyperlink"/>
            <w:rFonts w:cstheme="minorHAnsi"/>
            <w:iCs/>
          </w:rPr>
          <w:t>4.3</w:t>
        </w:r>
        <w:r w:rsidR="0039748A">
          <w:rPr>
            <w:rFonts w:eastAsiaTheme="minorEastAsia" w:cstheme="minorBidi"/>
            <w:kern w:val="0"/>
            <w:sz w:val="22"/>
            <w:szCs w:val="22"/>
            <w:lang w:val="en-AU" w:eastAsia="en-AU"/>
          </w:rPr>
          <w:tab/>
        </w:r>
        <w:r w:rsidR="0039748A" w:rsidRPr="00287C69">
          <w:rPr>
            <w:rStyle w:val="Hyperlink"/>
            <w:rFonts w:cstheme="minorHAnsi"/>
            <w:iCs/>
          </w:rPr>
          <w:t>Element 1: Initial assessment and waiting list management of potential transplant recipients</w:t>
        </w:r>
        <w:r w:rsidR="0039748A">
          <w:rPr>
            <w:webHidden/>
          </w:rPr>
          <w:tab/>
        </w:r>
        <w:r w:rsidR="0039748A">
          <w:rPr>
            <w:webHidden/>
          </w:rPr>
          <w:fldChar w:fldCharType="begin"/>
        </w:r>
        <w:r w:rsidR="0039748A">
          <w:rPr>
            <w:webHidden/>
          </w:rPr>
          <w:instrText xml:space="preserve"> PAGEREF _Toc532301682 \h </w:instrText>
        </w:r>
        <w:r w:rsidR="0039748A">
          <w:rPr>
            <w:webHidden/>
          </w:rPr>
        </w:r>
        <w:r w:rsidR="0039748A">
          <w:rPr>
            <w:webHidden/>
          </w:rPr>
          <w:fldChar w:fldCharType="separate"/>
        </w:r>
        <w:r w:rsidR="003E01A0">
          <w:rPr>
            <w:webHidden/>
          </w:rPr>
          <w:t>38</w:t>
        </w:r>
        <w:r w:rsidR="0039748A">
          <w:rPr>
            <w:webHidden/>
          </w:rPr>
          <w:fldChar w:fldCharType="end"/>
        </w:r>
      </w:hyperlink>
    </w:p>
    <w:p w14:paraId="2B9C8F22" w14:textId="074E754B" w:rsidR="0039748A" w:rsidRDefault="00D930F7">
      <w:pPr>
        <w:pStyle w:val="TOC2"/>
        <w:rPr>
          <w:rFonts w:eastAsiaTheme="minorEastAsia" w:cstheme="minorBidi"/>
          <w:kern w:val="0"/>
          <w:sz w:val="22"/>
          <w:szCs w:val="22"/>
          <w:lang w:val="en-AU" w:eastAsia="en-AU"/>
        </w:rPr>
      </w:pPr>
      <w:hyperlink w:anchor="_Toc532301683" w:history="1">
        <w:r w:rsidR="0039748A" w:rsidRPr="00287C69">
          <w:rPr>
            <w:rStyle w:val="Hyperlink"/>
            <w:rFonts w:cstheme="minorHAnsi"/>
            <w:iCs/>
          </w:rPr>
          <w:t>4.4</w:t>
        </w:r>
        <w:r w:rsidR="0039748A">
          <w:rPr>
            <w:rFonts w:eastAsiaTheme="minorEastAsia" w:cstheme="minorBidi"/>
            <w:kern w:val="0"/>
            <w:sz w:val="22"/>
            <w:szCs w:val="22"/>
            <w:lang w:val="en-AU" w:eastAsia="en-AU"/>
          </w:rPr>
          <w:tab/>
        </w:r>
        <w:r w:rsidR="0039748A" w:rsidRPr="00287C69">
          <w:rPr>
            <w:rStyle w:val="Hyperlink"/>
            <w:rFonts w:cstheme="minorHAnsi"/>
            <w:iCs/>
          </w:rPr>
          <w:t>Element 2: Deceased donor organ donation</w:t>
        </w:r>
        <w:r w:rsidR="0039748A">
          <w:rPr>
            <w:webHidden/>
          </w:rPr>
          <w:tab/>
        </w:r>
        <w:r w:rsidR="0039748A">
          <w:rPr>
            <w:webHidden/>
          </w:rPr>
          <w:fldChar w:fldCharType="begin"/>
        </w:r>
        <w:r w:rsidR="0039748A">
          <w:rPr>
            <w:webHidden/>
          </w:rPr>
          <w:instrText xml:space="preserve"> PAGEREF _Toc532301683 \h </w:instrText>
        </w:r>
        <w:r w:rsidR="0039748A">
          <w:rPr>
            <w:webHidden/>
          </w:rPr>
        </w:r>
        <w:r w:rsidR="0039748A">
          <w:rPr>
            <w:webHidden/>
          </w:rPr>
          <w:fldChar w:fldCharType="separate"/>
        </w:r>
        <w:r w:rsidR="003E01A0">
          <w:rPr>
            <w:webHidden/>
          </w:rPr>
          <w:t>42</w:t>
        </w:r>
        <w:r w:rsidR="0039748A">
          <w:rPr>
            <w:webHidden/>
          </w:rPr>
          <w:fldChar w:fldCharType="end"/>
        </w:r>
      </w:hyperlink>
    </w:p>
    <w:p w14:paraId="302BE3EB" w14:textId="23AD37D3" w:rsidR="0039748A" w:rsidRDefault="00D930F7">
      <w:pPr>
        <w:pStyle w:val="TOC2"/>
        <w:rPr>
          <w:rFonts w:eastAsiaTheme="minorEastAsia" w:cstheme="minorBidi"/>
          <w:kern w:val="0"/>
          <w:sz w:val="22"/>
          <w:szCs w:val="22"/>
          <w:lang w:val="en-AU" w:eastAsia="en-AU"/>
        </w:rPr>
      </w:pPr>
      <w:hyperlink w:anchor="_Toc532301684" w:history="1">
        <w:r w:rsidR="0039748A" w:rsidRPr="00287C69">
          <w:rPr>
            <w:rStyle w:val="Hyperlink"/>
            <w:rFonts w:cstheme="minorHAnsi"/>
            <w:iCs/>
          </w:rPr>
          <w:t>4.5</w:t>
        </w:r>
        <w:r w:rsidR="0039748A">
          <w:rPr>
            <w:rFonts w:eastAsiaTheme="minorEastAsia" w:cstheme="minorBidi"/>
            <w:kern w:val="0"/>
            <w:sz w:val="22"/>
            <w:szCs w:val="22"/>
            <w:lang w:val="en-AU" w:eastAsia="en-AU"/>
          </w:rPr>
          <w:tab/>
        </w:r>
        <w:r w:rsidR="0039748A" w:rsidRPr="00287C69">
          <w:rPr>
            <w:rStyle w:val="Hyperlink"/>
            <w:rFonts w:cstheme="minorHAnsi"/>
            <w:iCs/>
          </w:rPr>
          <w:t>Element 3: Organ allocation</w:t>
        </w:r>
        <w:r w:rsidR="0039748A">
          <w:rPr>
            <w:webHidden/>
          </w:rPr>
          <w:tab/>
        </w:r>
        <w:r w:rsidR="0039748A">
          <w:rPr>
            <w:webHidden/>
          </w:rPr>
          <w:fldChar w:fldCharType="begin"/>
        </w:r>
        <w:r w:rsidR="0039748A">
          <w:rPr>
            <w:webHidden/>
          </w:rPr>
          <w:instrText xml:space="preserve"> PAGEREF _Toc532301684 \h </w:instrText>
        </w:r>
        <w:r w:rsidR="0039748A">
          <w:rPr>
            <w:webHidden/>
          </w:rPr>
        </w:r>
        <w:r w:rsidR="0039748A">
          <w:rPr>
            <w:webHidden/>
          </w:rPr>
          <w:fldChar w:fldCharType="separate"/>
        </w:r>
        <w:r w:rsidR="003E01A0">
          <w:rPr>
            <w:webHidden/>
          </w:rPr>
          <w:t>47</w:t>
        </w:r>
        <w:r w:rsidR="0039748A">
          <w:rPr>
            <w:webHidden/>
          </w:rPr>
          <w:fldChar w:fldCharType="end"/>
        </w:r>
      </w:hyperlink>
    </w:p>
    <w:p w14:paraId="1ED37CAC" w14:textId="4372820B" w:rsidR="0039748A" w:rsidRDefault="00D930F7">
      <w:pPr>
        <w:pStyle w:val="TOC2"/>
        <w:rPr>
          <w:rFonts w:eastAsiaTheme="minorEastAsia" w:cstheme="minorBidi"/>
          <w:kern w:val="0"/>
          <w:sz w:val="22"/>
          <w:szCs w:val="22"/>
          <w:lang w:val="en-AU" w:eastAsia="en-AU"/>
        </w:rPr>
      </w:pPr>
      <w:hyperlink w:anchor="_Toc532301685" w:history="1">
        <w:r w:rsidR="0039748A" w:rsidRPr="00287C69">
          <w:rPr>
            <w:rStyle w:val="Hyperlink"/>
            <w:rFonts w:cstheme="minorHAnsi"/>
            <w:iCs/>
          </w:rPr>
          <w:t>4.6</w:t>
        </w:r>
        <w:r w:rsidR="0039748A">
          <w:rPr>
            <w:rFonts w:eastAsiaTheme="minorEastAsia" w:cstheme="minorBidi"/>
            <w:kern w:val="0"/>
            <w:sz w:val="22"/>
            <w:szCs w:val="22"/>
            <w:lang w:val="en-AU" w:eastAsia="en-AU"/>
          </w:rPr>
          <w:tab/>
        </w:r>
        <w:r w:rsidR="0039748A" w:rsidRPr="00287C69">
          <w:rPr>
            <w:rStyle w:val="Hyperlink"/>
            <w:rFonts w:cstheme="minorHAnsi"/>
            <w:iCs/>
          </w:rPr>
          <w:t>Element 4: Organ offer</w:t>
        </w:r>
        <w:r w:rsidR="0039748A">
          <w:rPr>
            <w:webHidden/>
          </w:rPr>
          <w:tab/>
        </w:r>
        <w:r w:rsidR="0039748A">
          <w:rPr>
            <w:webHidden/>
          </w:rPr>
          <w:fldChar w:fldCharType="begin"/>
        </w:r>
        <w:r w:rsidR="0039748A">
          <w:rPr>
            <w:webHidden/>
          </w:rPr>
          <w:instrText xml:space="preserve"> PAGEREF _Toc532301685 \h </w:instrText>
        </w:r>
        <w:r w:rsidR="0039748A">
          <w:rPr>
            <w:webHidden/>
          </w:rPr>
        </w:r>
        <w:r w:rsidR="0039748A">
          <w:rPr>
            <w:webHidden/>
          </w:rPr>
          <w:fldChar w:fldCharType="separate"/>
        </w:r>
        <w:r w:rsidR="003E01A0">
          <w:rPr>
            <w:webHidden/>
          </w:rPr>
          <w:t>50</w:t>
        </w:r>
        <w:r w:rsidR="0039748A">
          <w:rPr>
            <w:webHidden/>
          </w:rPr>
          <w:fldChar w:fldCharType="end"/>
        </w:r>
      </w:hyperlink>
    </w:p>
    <w:p w14:paraId="3262A535" w14:textId="52195EFC" w:rsidR="0039748A" w:rsidRDefault="00D930F7">
      <w:pPr>
        <w:pStyle w:val="TOC2"/>
        <w:rPr>
          <w:rFonts w:eastAsiaTheme="minorEastAsia" w:cstheme="minorBidi"/>
          <w:kern w:val="0"/>
          <w:sz w:val="22"/>
          <w:szCs w:val="22"/>
          <w:lang w:val="en-AU" w:eastAsia="en-AU"/>
        </w:rPr>
      </w:pPr>
      <w:hyperlink w:anchor="_Toc532301686" w:history="1">
        <w:r w:rsidR="0039748A" w:rsidRPr="00287C69">
          <w:rPr>
            <w:rStyle w:val="Hyperlink"/>
            <w:rFonts w:cstheme="minorHAnsi"/>
            <w:iCs/>
          </w:rPr>
          <w:t>4.7</w:t>
        </w:r>
        <w:r w:rsidR="0039748A">
          <w:rPr>
            <w:rFonts w:eastAsiaTheme="minorEastAsia" w:cstheme="minorBidi"/>
            <w:kern w:val="0"/>
            <w:sz w:val="22"/>
            <w:szCs w:val="22"/>
            <w:lang w:val="en-AU" w:eastAsia="en-AU"/>
          </w:rPr>
          <w:tab/>
        </w:r>
        <w:r w:rsidR="0039748A" w:rsidRPr="00287C69">
          <w:rPr>
            <w:rStyle w:val="Hyperlink"/>
            <w:rFonts w:cstheme="minorHAnsi"/>
            <w:iCs/>
          </w:rPr>
          <w:t>Element 5: Organ acceptance</w:t>
        </w:r>
        <w:r w:rsidR="0039748A">
          <w:rPr>
            <w:webHidden/>
          </w:rPr>
          <w:tab/>
        </w:r>
        <w:r w:rsidR="0039748A">
          <w:rPr>
            <w:webHidden/>
          </w:rPr>
          <w:fldChar w:fldCharType="begin"/>
        </w:r>
        <w:r w:rsidR="0039748A">
          <w:rPr>
            <w:webHidden/>
          </w:rPr>
          <w:instrText xml:space="preserve"> PAGEREF _Toc532301686 \h </w:instrText>
        </w:r>
        <w:r w:rsidR="0039748A">
          <w:rPr>
            <w:webHidden/>
          </w:rPr>
        </w:r>
        <w:r w:rsidR="0039748A">
          <w:rPr>
            <w:webHidden/>
          </w:rPr>
          <w:fldChar w:fldCharType="separate"/>
        </w:r>
        <w:r w:rsidR="003E01A0">
          <w:rPr>
            <w:webHidden/>
          </w:rPr>
          <w:t>53</w:t>
        </w:r>
        <w:r w:rsidR="0039748A">
          <w:rPr>
            <w:webHidden/>
          </w:rPr>
          <w:fldChar w:fldCharType="end"/>
        </w:r>
      </w:hyperlink>
    </w:p>
    <w:p w14:paraId="0D68AA1D" w14:textId="6BCC1708" w:rsidR="0039748A" w:rsidRDefault="00D930F7">
      <w:pPr>
        <w:pStyle w:val="TOC2"/>
        <w:rPr>
          <w:rFonts w:eastAsiaTheme="minorEastAsia" w:cstheme="minorBidi"/>
          <w:kern w:val="0"/>
          <w:sz w:val="22"/>
          <w:szCs w:val="22"/>
          <w:lang w:val="en-AU" w:eastAsia="en-AU"/>
        </w:rPr>
      </w:pPr>
      <w:hyperlink w:anchor="_Toc532301687" w:history="1">
        <w:r w:rsidR="0039748A" w:rsidRPr="00287C69">
          <w:rPr>
            <w:rStyle w:val="Hyperlink"/>
            <w:rFonts w:cstheme="minorHAnsi"/>
            <w:iCs/>
          </w:rPr>
          <w:t>4.8</w:t>
        </w:r>
        <w:r w:rsidR="0039748A">
          <w:rPr>
            <w:rFonts w:eastAsiaTheme="minorEastAsia" w:cstheme="minorBidi"/>
            <w:kern w:val="0"/>
            <w:sz w:val="22"/>
            <w:szCs w:val="22"/>
            <w:lang w:val="en-AU" w:eastAsia="en-AU"/>
          </w:rPr>
          <w:tab/>
        </w:r>
        <w:r w:rsidR="0039748A" w:rsidRPr="00287C69">
          <w:rPr>
            <w:rStyle w:val="Hyperlink"/>
            <w:rFonts w:cstheme="minorHAnsi"/>
            <w:iCs/>
          </w:rPr>
          <w:t>Element 6: Retrieval</w:t>
        </w:r>
        <w:r w:rsidR="0039748A">
          <w:rPr>
            <w:webHidden/>
          </w:rPr>
          <w:tab/>
        </w:r>
        <w:r w:rsidR="0039748A">
          <w:rPr>
            <w:webHidden/>
          </w:rPr>
          <w:fldChar w:fldCharType="begin"/>
        </w:r>
        <w:r w:rsidR="0039748A">
          <w:rPr>
            <w:webHidden/>
          </w:rPr>
          <w:instrText xml:space="preserve"> PAGEREF _Toc532301687 \h </w:instrText>
        </w:r>
        <w:r w:rsidR="0039748A">
          <w:rPr>
            <w:webHidden/>
          </w:rPr>
        </w:r>
        <w:r w:rsidR="0039748A">
          <w:rPr>
            <w:webHidden/>
          </w:rPr>
          <w:fldChar w:fldCharType="separate"/>
        </w:r>
        <w:r w:rsidR="003E01A0">
          <w:rPr>
            <w:webHidden/>
          </w:rPr>
          <w:t>53</w:t>
        </w:r>
        <w:r w:rsidR="0039748A">
          <w:rPr>
            <w:webHidden/>
          </w:rPr>
          <w:fldChar w:fldCharType="end"/>
        </w:r>
      </w:hyperlink>
    </w:p>
    <w:p w14:paraId="0352D56F" w14:textId="697433C7" w:rsidR="0039748A" w:rsidRDefault="00D930F7">
      <w:pPr>
        <w:pStyle w:val="TOC2"/>
        <w:rPr>
          <w:rFonts w:eastAsiaTheme="minorEastAsia" w:cstheme="minorBidi"/>
          <w:kern w:val="0"/>
          <w:sz w:val="22"/>
          <w:szCs w:val="22"/>
          <w:lang w:val="en-AU" w:eastAsia="en-AU"/>
        </w:rPr>
      </w:pPr>
      <w:hyperlink w:anchor="_Toc532301688" w:history="1">
        <w:r w:rsidR="0039748A" w:rsidRPr="00287C69">
          <w:rPr>
            <w:rStyle w:val="Hyperlink"/>
            <w:rFonts w:cstheme="minorHAnsi"/>
            <w:iCs/>
          </w:rPr>
          <w:t>4.9</w:t>
        </w:r>
        <w:r w:rsidR="0039748A">
          <w:rPr>
            <w:rFonts w:eastAsiaTheme="minorEastAsia" w:cstheme="minorBidi"/>
            <w:kern w:val="0"/>
            <w:sz w:val="22"/>
            <w:szCs w:val="22"/>
            <w:lang w:val="en-AU" w:eastAsia="en-AU"/>
          </w:rPr>
          <w:tab/>
        </w:r>
        <w:r w:rsidR="0039748A" w:rsidRPr="00287C69">
          <w:rPr>
            <w:rStyle w:val="Hyperlink"/>
            <w:rFonts w:cstheme="minorHAnsi"/>
            <w:iCs/>
          </w:rPr>
          <w:t>Element 7: Transplantation</w:t>
        </w:r>
        <w:r w:rsidR="0039748A">
          <w:rPr>
            <w:webHidden/>
          </w:rPr>
          <w:tab/>
        </w:r>
        <w:r w:rsidR="0039748A">
          <w:rPr>
            <w:webHidden/>
          </w:rPr>
          <w:fldChar w:fldCharType="begin"/>
        </w:r>
        <w:r w:rsidR="0039748A">
          <w:rPr>
            <w:webHidden/>
          </w:rPr>
          <w:instrText xml:space="preserve"> PAGEREF _Toc532301688 \h </w:instrText>
        </w:r>
        <w:r w:rsidR="0039748A">
          <w:rPr>
            <w:webHidden/>
          </w:rPr>
        </w:r>
        <w:r w:rsidR="0039748A">
          <w:rPr>
            <w:webHidden/>
          </w:rPr>
          <w:fldChar w:fldCharType="separate"/>
        </w:r>
        <w:r w:rsidR="003E01A0">
          <w:rPr>
            <w:webHidden/>
          </w:rPr>
          <w:t>57</w:t>
        </w:r>
        <w:r w:rsidR="0039748A">
          <w:rPr>
            <w:webHidden/>
          </w:rPr>
          <w:fldChar w:fldCharType="end"/>
        </w:r>
      </w:hyperlink>
    </w:p>
    <w:p w14:paraId="1BD2ADF6" w14:textId="33967F15" w:rsidR="0039748A" w:rsidRDefault="00D930F7">
      <w:pPr>
        <w:pStyle w:val="TOC2"/>
        <w:rPr>
          <w:rFonts w:eastAsiaTheme="minorEastAsia" w:cstheme="minorBidi"/>
          <w:kern w:val="0"/>
          <w:sz w:val="22"/>
          <w:szCs w:val="22"/>
          <w:lang w:val="en-AU" w:eastAsia="en-AU"/>
        </w:rPr>
      </w:pPr>
      <w:hyperlink w:anchor="_Toc532301689" w:history="1">
        <w:r w:rsidR="0039748A" w:rsidRPr="00287C69">
          <w:rPr>
            <w:rStyle w:val="Hyperlink"/>
            <w:rFonts w:cstheme="minorHAnsi"/>
            <w:iCs/>
          </w:rPr>
          <w:t>4.10</w:t>
        </w:r>
        <w:r w:rsidR="0039748A">
          <w:rPr>
            <w:rFonts w:eastAsiaTheme="minorEastAsia" w:cstheme="minorBidi"/>
            <w:kern w:val="0"/>
            <w:sz w:val="22"/>
            <w:szCs w:val="22"/>
            <w:lang w:val="en-AU" w:eastAsia="en-AU"/>
          </w:rPr>
          <w:tab/>
        </w:r>
        <w:r w:rsidR="0039748A" w:rsidRPr="00287C69">
          <w:rPr>
            <w:rStyle w:val="Hyperlink"/>
            <w:rFonts w:cstheme="minorHAnsi"/>
            <w:iCs/>
          </w:rPr>
          <w:t>Element 8: Post transplantation care</w:t>
        </w:r>
        <w:r w:rsidR="0039748A">
          <w:rPr>
            <w:webHidden/>
          </w:rPr>
          <w:tab/>
        </w:r>
        <w:r w:rsidR="0039748A">
          <w:rPr>
            <w:webHidden/>
          </w:rPr>
          <w:fldChar w:fldCharType="begin"/>
        </w:r>
        <w:r w:rsidR="0039748A">
          <w:rPr>
            <w:webHidden/>
          </w:rPr>
          <w:instrText xml:space="preserve"> PAGEREF _Toc532301689 \h </w:instrText>
        </w:r>
        <w:r w:rsidR="0039748A">
          <w:rPr>
            <w:webHidden/>
          </w:rPr>
        </w:r>
        <w:r w:rsidR="0039748A">
          <w:rPr>
            <w:webHidden/>
          </w:rPr>
          <w:fldChar w:fldCharType="separate"/>
        </w:r>
        <w:r w:rsidR="003E01A0">
          <w:rPr>
            <w:webHidden/>
          </w:rPr>
          <w:t>62</w:t>
        </w:r>
        <w:r w:rsidR="0039748A">
          <w:rPr>
            <w:webHidden/>
          </w:rPr>
          <w:fldChar w:fldCharType="end"/>
        </w:r>
      </w:hyperlink>
    </w:p>
    <w:p w14:paraId="7C687767" w14:textId="5D4539D4" w:rsidR="0039748A" w:rsidRDefault="00D930F7">
      <w:pPr>
        <w:pStyle w:val="TOC1"/>
        <w:rPr>
          <w:rFonts w:eastAsiaTheme="minorEastAsia" w:cstheme="minorBidi"/>
          <w:b w:val="0"/>
          <w:kern w:val="0"/>
          <w:sz w:val="22"/>
          <w:szCs w:val="22"/>
          <w:lang w:val="en-AU" w:eastAsia="en-AU"/>
        </w:rPr>
      </w:pPr>
      <w:hyperlink w:anchor="_Toc532301690" w:history="1">
        <w:r w:rsidR="0039748A" w:rsidRPr="00287C69">
          <w:rPr>
            <w:rStyle w:val="Hyperlink"/>
            <w:rFonts w:cstheme="minorHAnsi"/>
          </w:rPr>
          <w:t>5.</w:t>
        </w:r>
        <w:r w:rsidR="0039748A">
          <w:rPr>
            <w:rFonts w:eastAsiaTheme="minorEastAsia" w:cstheme="minorBidi"/>
            <w:b w:val="0"/>
            <w:kern w:val="0"/>
            <w:sz w:val="22"/>
            <w:szCs w:val="22"/>
            <w:lang w:val="en-AU" w:eastAsia="en-AU"/>
          </w:rPr>
          <w:tab/>
        </w:r>
        <w:r w:rsidR="0039748A" w:rsidRPr="00287C69">
          <w:rPr>
            <w:rStyle w:val="Hyperlink"/>
            <w:rFonts w:cstheme="minorHAnsi"/>
          </w:rPr>
          <w:t>Key findings and recommendations: System governance</w:t>
        </w:r>
        <w:r w:rsidR="0039748A">
          <w:rPr>
            <w:webHidden/>
          </w:rPr>
          <w:tab/>
        </w:r>
        <w:r w:rsidR="0039748A">
          <w:rPr>
            <w:webHidden/>
          </w:rPr>
          <w:fldChar w:fldCharType="begin"/>
        </w:r>
        <w:r w:rsidR="0039748A">
          <w:rPr>
            <w:webHidden/>
          </w:rPr>
          <w:instrText xml:space="preserve"> PAGEREF _Toc532301690 \h </w:instrText>
        </w:r>
        <w:r w:rsidR="0039748A">
          <w:rPr>
            <w:webHidden/>
          </w:rPr>
        </w:r>
        <w:r w:rsidR="0039748A">
          <w:rPr>
            <w:webHidden/>
          </w:rPr>
          <w:fldChar w:fldCharType="separate"/>
        </w:r>
        <w:r w:rsidR="003E01A0">
          <w:rPr>
            <w:webHidden/>
          </w:rPr>
          <w:t>67</w:t>
        </w:r>
        <w:r w:rsidR="0039748A">
          <w:rPr>
            <w:webHidden/>
          </w:rPr>
          <w:fldChar w:fldCharType="end"/>
        </w:r>
      </w:hyperlink>
    </w:p>
    <w:p w14:paraId="4EB9B4BC" w14:textId="0C022D8A" w:rsidR="0039748A" w:rsidRDefault="00D930F7">
      <w:pPr>
        <w:pStyle w:val="TOC2"/>
        <w:rPr>
          <w:rFonts w:eastAsiaTheme="minorEastAsia" w:cstheme="minorBidi"/>
          <w:kern w:val="0"/>
          <w:sz w:val="22"/>
          <w:szCs w:val="22"/>
          <w:lang w:val="en-AU" w:eastAsia="en-AU"/>
        </w:rPr>
      </w:pPr>
      <w:hyperlink w:anchor="_Toc532301691" w:history="1">
        <w:r w:rsidR="0039748A" w:rsidRPr="00287C69">
          <w:rPr>
            <w:rStyle w:val="Hyperlink"/>
            <w:rFonts w:cstheme="minorHAnsi"/>
            <w:iCs/>
          </w:rPr>
          <w:t>5.1</w:t>
        </w:r>
        <w:r w:rsidR="0039748A">
          <w:rPr>
            <w:rFonts w:eastAsiaTheme="minorEastAsia" w:cstheme="minorBidi"/>
            <w:kern w:val="0"/>
            <w:sz w:val="22"/>
            <w:szCs w:val="22"/>
            <w:lang w:val="en-AU" w:eastAsia="en-AU"/>
          </w:rPr>
          <w:tab/>
        </w:r>
        <w:r w:rsidR="0039748A" w:rsidRPr="00287C69">
          <w:rPr>
            <w:rStyle w:val="Hyperlink"/>
            <w:rFonts w:cstheme="minorHAnsi"/>
            <w:iCs/>
          </w:rPr>
          <w:t>Governance of the Australian organ donation, retrieval and transplantation system</w:t>
        </w:r>
        <w:r w:rsidR="0039748A">
          <w:rPr>
            <w:webHidden/>
          </w:rPr>
          <w:tab/>
        </w:r>
        <w:r w:rsidR="0039748A">
          <w:rPr>
            <w:webHidden/>
          </w:rPr>
          <w:fldChar w:fldCharType="begin"/>
        </w:r>
        <w:r w:rsidR="0039748A">
          <w:rPr>
            <w:webHidden/>
          </w:rPr>
          <w:instrText xml:space="preserve"> PAGEREF _Toc532301691 \h </w:instrText>
        </w:r>
        <w:r w:rsidR="0039748A">
          <w:rPr>
            <w:webHidden/>
          </w:rPr>
        </w:r>
        <w:r w:rsidR="0039748A">
          <w:rPr>
            <w:webHidden/>
          </w:rPr>
          <w:fldChar w:fldCharType="separate"/>
        </w:r>
        <w:r w:rsidR="003E01A0">
          <w:rPr>
            <w:webHidden/>
          </w:rPr>
          <w:t>67</w:t>
        </w:r>
        <w:r w:rsidR="0039748A">
          <w:rPr>
            <w:webHidden/>
          </w:rPr>
          <w:fldChar w:fldCharType="end"/>
        </w:r>
      </w:hyperlink>
    </w:p>
    <w:p w14:paraId="45577620" w14:textId="6EE2E99A" w:rsidR="0039748A" w:rsidRDefault="00D930F7">
      <w:pPr>
        <w:pStyle w:val="TOC1"/>
        <w:rPr>
          <w:rFonts w:eastAsiaTheme="minorEastAsia" w:cstheme="minorBidi"/>
          <w:b w:val="0"/>
          <w:kern w:val="0"/>
          <w:sz w:val="22"/>
          <w:szCs w:val="22"/>
          <w:lang w:val="en-AU" w:eastAsia="en-AU"/>
        </w:rPr>
      </w:pPr>
      <w:hyperlink w:anchor="_Toc532301692" w:history="1">
        <w:r w:rsidR="0039748A" w:rsidRPr="00287C69">
          <w:rPr>
            <w:rStyle w:val="Hyperlink"/>
            <w:rFonts w:cstheme="minorHAnsi"/>
          </w:rPr>
          <w:t>6.</w:t>
        </w:r>
        <w:r w:rsidR="0039748A">
          <w:rPr>
            <w:rFonts w:eastAsiaTheme="minorEastAsia" w:cstheme="minorBidi"/>
            <w:b w:val="0"/>
            <w:kern w:val="0"/>
            <w:sz w:val="22"/>
            <w:szCs w:val="22"/>
            <w:lang w:val="en-AU" w:eastAsia="en-AU"/>
          </w:rPr>
          <w:tab/>
        </w:r>
        <w:r w:rsidR="0039748A" w:rsidRPr="00287C69">
          <w:rPr>
            <w:rStyle w:val="Hyperlink"/>
            <w:rFonts w:cstheme="minorHAnsi"/>
          </w:rPr>
          <w:t>Key findings and recommendations: The eight elements of the donation, retrieval and transplantation functional model</w:t>
        </w:r>
        <w:r w:rsidR="0039748A">
          <w:rPr>
            <w:webHidden/>
          </w:rPr>
          <w:tab/>
        </w:r>
        <w:r w:rsidR="0039748A">
          <w:rPr>
            <w:webHidden/>
          </w:rPr>
          <w:fldChar w:fldCharType="begin"/>
        </w:r>
        <w:r w:rsidR="0039748A">
          <w:rPr>
            <w:webHidden/>
          </w:rPr>
          <w:instrText xml:space="preserve"> PAGEREF _Toc532301692 \h </w:instrText>
        </w:r>
        <w:r w:rsidR="0039748A">
          <w:rPr>
            <w:webHidden/>
          </w:rPr>
        </w:r>
        <w:r w:rsidR="0039748A">
          <w:rPr>
            <w:webHidden/>
          </w:rPr>
          <w:fldChar w:fldCharType="separate"/>
        </w:r>
        <w:r w:rsidR="003E01A0">
          <w:rPr>
            <w:webHidden/>
          </w:rPr>
          <w:t>73</w:t>
        </w:r>
        <w:r w:rsidR="0039748A">
          <w:rPr>
            <w:webHidden/>
          </w:rPr>
          <w:fldChar w:fldCharType="end"/>
        </w:r>
      </w:hyperlink>
    </w:p>
    <w:p w14:paraId="475B7DB2" w14:textId="180301E8" w:rsidR="0039748A" w:rsidRDefault="00D930F7">
      <w:pPr>
        <w:pStyle w:val="TOC2"/>
        <w:rPr>
          <w:rFonts w:eastAsiaTheme="minorEastAsia" w:cstheme="minorBidi"/>
          <w:kern w:val="0"/>
          <w:sz w:val="22"/>
          <w:szCs w:val="22"/>
          <w:lang w:val="en-AU" w:eastAsia="en-AU"/>
        </w:rPr>
      </w:pPr>
      <w:hyperlink w:anchor="_Toc532301693" w:history="1">
        <w:r w:rsidR="0039748A" w:rsidRPr="00287C69">
          <w:rPr>
            <w:rStyle w:val="Hyperlink"/>
            <w:rFonts w:cstheme="minorHAnsi"/>
            <w:iCs/>
          </w:rPr>
          <w:t>6.1</w:t>
        </w:r>
        <w:r w:rsidR="0039748A">
          <w:rPr>
            <w:rFonts w:eastAsiaTheme="minorEastAsia" w:cstheme="minorBidi"/>
            <w:kern w:val="0"/>
            <w:sz w:val="22"/>
            <w:szCs w:val="22"/>
            <w:lang w:val="en-AU" w:eastAsia="en-AU"/>
          </w:rPr>
          <w:tab/>
        </w:r>
        <w:r w:rsidR="0039748A" w:rsidRPr="00287C69">
          <w:rPr>
            <w:rStyle w:val="Hyperlink"/>
            <w:rFonts w:cstheme="minorHAnsi"/>
            <w:iCs/>
          </w:rPr>
          <w:t>Element 1: Initial assessment and waiting list management of potential transplant recipients</w:t>
        </w:r>
        <w:r w:rsidR="0039748A">
          <w:rPr>
            <w:webHidden/>
          </w:rPr>
          <w:tab/>
        </w:r>
        <w:r w:rsidR="0039748A">
          <w:rPr>
            <w:webHidden/>
          </w:rPr>
          <w:fldChar w:fldCharType="begin"/>
        </w:r>
        <w:r w:rsidR="0039748A">
          <w:rPr>
            <w:webHidden/>
          </w:rPr>
          <w:instrText xml:space="preserve"> PAGEREF _Toc532301693 \h </w:instrText>
        </w:r>
        <w:r w:rsidR="0039748A">
          <w:rPr>
            <w:webHidden/>
          </w:rPr>
        </w:r>
        <w:r w:rsidR="0039748A">
          <w:rPr>
            <w:webHidden/>
          </w:rPr>
          <w:fldChar w:fldCharType="separate"/>
        </w:r>
        <w:r w:rsidR="003E01A0">
          <w:rPr>
            <w:webHidden/>
          </w:rPr>
          <w:t>73</w:t>
        </w:r>
        <w:r w:rsidR="0039748A">
          <w:rPr>
            <w:webHidden/>
          </w:rPr>
          <w:fldChar w:fldCharType="end"/>
        </w:r>
      </w:hyperlink>
    </w:p>
    <w:p w14:paraId="1BF1E7DD" w14:textId="29C4372E" w:rsidR="0039748A" w:rsidRDefault="00D930F7">
      <w:pPr>
        <w:pStyle w:val="TOC2"/>
        <w:rPr>
          <w:rFonts w:eastAsiaTheme="minorEastAsia" w:cstheme="minorBidi"/>
          <w:kern w:val="0"/>
          <w:sz w:val="22"/>
          <w:szCs w:val="22"/>
          <w:lang w:val="en-AU" w:eastAsia="en-AU"/>
        </w:rPr>
      </w:pPr>
      <w:hyperlink w:anchor="_Toc532301694" w:history="1">
        <w:r w:rsidR="0039748A" w:rsidRPr="00287C69">
          <w:rPr>
            <w:rStyle w:val="Hyperlink"/>
            <w:rFonts w:cstheme="minorHAnsi"/>
            <w:iCs/>
          </w:rPr>
          <w:t>6.2</w:t>
        </w:r>
        <w:r w:rsidR="0039748A">
          <w:rPr>
            <w:rFonts w:eastAsiaTheme="minorEastAsia" w:cstheme="minorBidi"/>
            <w:kern w:val="0"/>
            <w:sz w:val="22"/>
            <w:szCs w:val="22"/>
            <w:lang w:val="en-AU" w:eastAsia="en-AU"/>
          </w:rPr>
          <w:tab/>
        </w:r>
        <w:r w:rsidR="0039748A" w:rsidRPr="00287C69">
          <w:rPr>
            <w:rStyle w:val="Hyperlink"/>
            <w:rFonts w:cstheme="minorHAnsi"/>
            <w:iCs/>
          </w:rPr>
          <w:t>Element 2: Deceased donor organ donation</w:t>
        </w:r>
        <w:r w:rsidR="0039748A">
          <w:rPr>
            <w:webHidden/>
          </w:rPr>
          <w:tab/>
        </w:r>
        <w:r w:rsidR="0039748A">
          <w:rPr>
            <w:webHidden/>
          </w:rPr>
          <w:fldChar w:fldCharType="begin"/>
        </w:r>
        <w:r w:rsidR="0039748A">
          <w:rPr>
            <w:webHidden/>
          </w:rPr>
          <w:instrText xml:space="preserve"> PAGEREF _Toc532301694 \h </w:instrText>
        </w:r>
        <w:r w:rsidR="0039748A">
          <w:rPr>
            <w:webHidden/>
          </w:rPr>
        </w:r>
        <w:r w:rsidR="0039748A">
          <w:rPr>
            <w:webHidden/>
          </w:rPr>
          <w:fldChar w:fldCharType="separate"/>
        </w:r>
        <w:r w:rsidR="003E01A0">
          <w:rPr>
            <w:webHidden/>
          </w:rPr>
          <w:t>88</w:t>
        </w:r>
        <w:r w:rsidR="0039748A">
          <w:rPr>
            <w:webHidden/>
          </w:rPr>
          <w:fldChar w:fldCharType="end"/>
        </w:r>
      </w:hyperlink>
    </w:p>
    <w:p w14:paraId="2A58C6BA" w14:textId="5C6B0C5D" w:rsidR="0039748A" w:rsidRDefault="00D930F7">
      <w:pPr>
        <w:pStyle w:val="TOC2"/>
        <w:rPr>
          <w:rFonts w:eastAsiaTheme="minorEastAsia" w:cstheme="minorBidi"/>
          <w:kern w:val="0"/>
          <w:sz w:val="22"/>
          <w:szCs w:val="22"/>
          <w:lang w:val="en-AU" w:eastAsia="en-AU"/>
        </w:rPr>
      </w:pPr>
      <w:hyperlink w:anchor="_Toc532301695" w:history="1">
        <w:r w:rsidR="0039748A" w:rsidRPr="00287C69">
          <w:rPr>
            <w:rStyle w:val="Hyperlink"/>
            <w:rFonts w:cstheme="minorHAnsi"/>
            <w:iCs/>
          </w:rPr>
          <w:t>6.3</w:t>
        </w:r>
        <w:r w:rsidR="0039748A">
          <w:rPr>
            <w:rFonts w:eastAsiaTheme="minorEastAsia" w:cstheme="minorBidi"/>
            <w:kern w:val="0"/>
            <w:sz w:val="22"/>
            <w:szCs w:val="22"/>
            <w:lang w:val="en-AU" w:eastAsia="en-AU"/>
          </w:rPr>
          <w:tab/>
        </w:r>
        <w:r w:rsidR="0039748A" w:rsidRPr="00287C69">
          <w:rPr>
            <w:rStyle w:val="Hyperlink"/>
            <w:rFonts w:cstheme="minorHAnsi"/>
            <w:iCs/>
          </w:rPr>
          <w:t>Element 3: Organ allocation</w:t>
        </w:r>
        <w:r w:rsidR="0039748A">
          <w:rPr>
            <w:webHidden/>
          </w:rPr>
          <w:tab/>
        </w:r>
        <w:r w:rsidR="0039748A">
          <w:rPr>
            <w:webHidden/>
          </w:rPr>
          <w:fldChar w:fldCharType="begin"/>
        </w:r>
        <w:r w:rsidR="0039748A">
          <w:rPr>
            <w:webHidden/>
          </w:rPr>
          <w:instrText xml:space="preserve"> PAGEREF _Toc532301695 \h </w:instrText>
        </w:r>
        <w:r w:rsidR="0039748A">
          <w:rPr>
            <w:webHidden/>
          </w:rPr>
        </w:r>
        <w:r w:rsidR="0039748A">
          <w:rPr>
            <w:webHidden/>
          </w:rPr>
          <w:fldChar w:fldCharType="separate"/>
        </w:r>
        <w:r w:rsidR="003E01A0">
          <w:rPr>
            <w:webHidden/>
          </w:rPr>
          <w:t>106</w:t>
        </w:r>
        <w:r w:rsidR="0039748A">
          <w:rPr>
            <w:webHidden/>
          </w:rPr>
          <w:fldChar w:fldCharType="end"/>
        </w:r>
      </w:hyperlink>
    </w:p>
    <w:p w14:paraId="2ACCA550" w14:textId="5642CC70" w:rsidR="0039748A" w:rsidRDefault="00D930F7">
      <w:pPr>
        <w:pStyle w:val="TOC2"/>
        <w:rPr>
          <w:rFonts w:eastAsiaTheme="minorEastAsia" w:cstheme="minorBidi"/>
          <w:kern w:val="0"/>
          <w:sz w:val="22"/>
          <w:szCs w:val="22"/>
          <w:lang w:val="en-AU" w:eastAsia="en-AU"/>
        </w:rPr>
      </w:pPr>
      <w:hyperlink w:anchor="_Toc532301696" w:history="1">
        <w:r w:rsidR="0039748A" w:rsidRPr="00287C69">
          <w:rPr>
            <w:rStyle w:val="Hyperlink"/>
            <w:rFonts w:cstheme="minorHAnsi"/>
            <w:iCs/>
          </w:rPr>
          <w:t>6.4</w:t>
        </w:r>
        <w:r w:rsidR="0039748A">
          <w:rPr>
            <w:rFonts w:eastAsiaTheme="minorEastAsia" w:cstheme="minorBidi"/>
            <w:kern w:val="0"/>
            <w:sz w:val="22"/>
            <w:szCs w:val="22"/>
            <w:lang w:val="en-AU" w:eastAsia="en-AU"/>
          </w:rPr>
          <w:tab/>
        </w:r>
        <w:r w:rsidR="0039748A" w:rsidRPr="00287C69">
          <w:rPr>
            <w:rStyle w:val="Hyperlink"/>
            <w:rFonts w:cstheme="minorHAnsi"/>
            <w:iCs/>
          </w:rPr>
          <w:t>Element 4: Organ offer</w:t>
        </w:r>
        <w:r w:rsidR="0039748A">
          <w:rPr>
            <w:webHidden/>
          </w:rPr>
          <w:tab/>
        </w:r>
        <w:r w:rsidR="0039748A">
          <w:rPr>
            <w:webHidden/>
          </w:rPr>
          <w:fldChar w:fldCharType="begin"/>
        </w:r>
        <w:r w:rsidR="0039748A">
          <w:rPr>
            <w:webHidden/>
          </w:rPr>
          <w:instrText xml:space="preserve"> PAGEREF _Toc532301696 \h </w:instrText>
        </w:r>
        <w:r w:rsidR="0039748A">
          <w:rPr>
            <w:webHidden/>
          </w:rPr>
        </w:r>
        <w:r w:rsidR="0039748A">
          <w:rPr>
            <w:webHidden/>
          </w:rPr>
          <w:fldChar w:fldCharType="separate"/>
        </w:r>
        <w:r w:rsidR="003E01A0">
          <w:rPr>
            <w:webHidden/>
          </w:rPr>
          <w:t>113</w:t>
        </w:r>
        <w:r w:rsidR="0039748A">
          <w:rPr>
            <w:webHidden/>
          </w:rPr>
          <w:fldChar w:fldCharType="end"/>
        </w:r>
      </w:hyperlink>
    </w:p>
    <w:p w14:paraId="07EEBC71" w14:textId="61A40566" w:rsidR="0039748A" w:rsidRDefault="00D930F7">
      <w:pPr>
        <w:pStyle w:val="TOC2"/>
        <w:rPr>
          <w:rFonts w:eastAsiaTheme="minorEastAsia" w:cstheme="minorBidi"/>
          <w:kern w:val="0"/>
          <w:sz w:val="22"/>
          <w:szCs w:val="22"/>
          <w:lang w:val="en-AU" w:eastAsia="en-AU"/>
        </w:rPr>
      </w:pPr>
      <w:hyperlink w:anchor="_Toc532301697" w:history="1">
        <w:r w:rsidR="0039748A" w:rsidRPr="00287C69">
          <w:rPr>
            <w:rStyle w:val="Hyperlink"/>
            <w:rFonts w:cstheme="minorHAnsi"/>
            <w:bCs/>
          </w:rPr>
          <w:t>6.5</w:t>
        </w:r>
        <w:r w:rsidR="0039748A">
          <w:rPr>
            <w:rFonts w:eastAsiaTheme="minorEastAsia" w:cstheme="minorBidi"/>
            <w:kern w:val="0"/>
            <w:sz w:val="22"/>
            <w:szCs w:val="22"/>
            <w:lang w:val="en-AU" w:eastAsia="en-AU"/>
          </w:rPr>
          <w:tab/>
        </w:r>
        <w:r w:rsidR="0039748A" w:rsidRPr="00287C69">
          <w:rPr>
            <w:rStyle w:val="Hyperlink"/>
            <w:rFonts w:cstheme="minorHAnsi"/>
            <w:iCs/>
          </w:rPr>
          <w:t>Element 5: Organ acceptance</w:t>
        </w:r>
        <w:r w:rsidR="0039748A">
          <w:rPr>
            <w:webHidden/>
          </w:rPr>
          <w:tab/>
        </w:r>
        <w:r w:rsidR="0039748A">
          <w:rPr>
            <w:webHidden/>
          </w:rPr>
          <w:fldChar w:fldCharType="begin"/>
        </w:r>
        <w:r w:rsidR="0039748A">
          <w:rPr>
            <w:webHidden/>
          </w:rPr>
          <w:instrText xml:space="preserve"> PAGEREF _Toc532301697 \h </w:instrText>
        </w:r>
        <w:r w:rsidR="0039748A">
          <w:rPr>
            <w:webHidden/>
          </w:rPr>
        </w:r>
        <w:r w:rsidR="0039748A">
          <w:rPr>
            <w:webHidden/>
          </w:rPr>
          <w:fldChar w:fldCharType="separate"/>
        </w:r>
        <w:r w:rsidR="003E01A0">
          <w:rPr>
            <w:webHidden/>
          </w:rPr>
          <w:t>117</w:t>
        </w:r>
        <w:r w:rsidR="0039748A">
          <w:rPr>
            <w:webHidden/>
          </w:rPr>
          <w:fldChar w:fldCharType="end"/>
        </w:r>
      </w:hyperlink>
    </w:p>
    <w:p w14:paraId="6CBFEE60" w14:textId="3296D35F" w:rsidR="0039748A" w:rsidRDefault="00D930F7">
      <w:pPr>
        <w:pStyle w:val="TOC2"/>
        <w:rPr>
          <w:rFonts w:eastAsiaTheme="minorEastAsia" w:cstheme="minorBidi"/>
          <w:kern w:val="0"/>
          <w:sz w:val="22"/>
          <w:szCs w:val="22"/>
          <w:lang w:val="en-AU" w:eastAsia="en-AU"/>
        </w:rPr>
      </w:pPr>
      <w:hyperlink w:anchor="_Toc532301698" w:history="1">
        <w:r w:rsidR="0039748A" w:rsidRPr="00287C69">
          <w:rPr>
            <w:rStyle w:val="Hyperlink"/>
            <w:rFonts w:cstheme="minorHAnsi"/>
            <w:iCs/>
          </w:rPr>
          <w:t>6.6</w:t>
        </w:r>
        <w:r w:rsidR="0039748A">
          <w:rPr>
            <w:rFonts w:eastAsiaTheme="minorEastAsia" w:cstheme="minorBidi"/>
            <w:kern w:val="0"/>
            <w:sz w:val="22"/>
            <w:szCs w:val="22"/>
            <w:lang w:val="en-AU" w:eastAsia="en-AU"/>
          </w:rPr>
          <w:tab/>
        </w:r>
        <w:r w:rsidR="0039748A" w:rsidRPr="00287C69">
          <w:rPr>
            <w:rStyle w:val="Hyperlink"/>
            <w:rFonts w:cstheme="minorHAnsi"/>
            <w:iCs/>
          </w:rPr>
          <w:t>Element 6: Retrieval</w:t>
        </w:r>
        <w:r w:rsidR="0039748A">
          <w:rPr>
            <w:webHidden/>
          </w:rPr>
          <w:tab/>
        </w:r>
        <w:r w:rsidR="0039748A">
          <w:rPr>
            <w:webHidden/>
          </w:rPr>
          <w:fldChar w:fldCharType="begin"/>
        </w:r>
        <w:r w:rsidR="0039748A">
          <w:rPr>
            <w:webHidden/>
          </w:rPr>
          <w:instrText xml:space="preserve"> PAGEREF _Toc532301698 \h </w:instrText>
        </w:r>
        <w:r w:rsidR="0039748A">
          <w:rPr>
            <w:webHidden/>
          </w:rPr>
        </w:r>
        <w:r w:rsidR="0039748A">
          <w:rPr>
            <w:webHidden/>
          </w:rPr>
          <w:fldChar w:fldCharType="separate"/>
        </w:r>
        <w:r w:rsidR="003E01A0">
          <w:rPr>
            <w:webHidden/>
          </w:rPr>
          <w:t>124</w:t>
        </w:r>
        <w:r w:rsidR="0039748A">
          <w:rPr>
            <w:webHidden/>
          </w:rPr>
          <w:fldChar w:fldCharType="end"/>
        </w:r>
      </w:hyperlink>
    </w:p>
    <w:p w14:paraId="1A28C2FA" w14:textId="10B43E5D" w:rsidR="0039748A" w:rsidRDefault="00D930F7">
      <w:pPr>
        <w:pStyle w:val="TOC2"/>
        <w:rPr>
          <w:rFonts w:eastAsiaTheme="minorEastAsia" w:cstheme="minorBidi"/>
          <w:kern w:val="0"/>
          <w:sz w:val="22"/>
          <w:szCs w:val="22"/>
          <w:lang w:val="en-AU" w:eastAsia="en-AU"/>
        </w:rPr>
      </w:pPr>
      <w:hyperlink w:anchor="_Toc532301699" w:history="1">
        <w:r w:rsidR="0039748A" w:rsidRPr="00287C69">
          <w:rPr>
            <w:rStyle w:val="Hyperlink"/>
            <w:rFonts w:cstheme="minorHAnsi"/>
            <w:iCs/>
          </w:rPr>
          <w:t>6.7</w:t>
        </w:r>
        <w:r w:rsidR="0039748A">
          <w:rPr>
            <w:rFonts w:eastAsiaTheme="minorEastAsia" w:cstheme="minorBidi"/>
            <w:kern w:val="0"/>
            <w:sz w:val="22"/>
            <w:szCs w:val="22"/>
            <w:lang w:val="en-AU" w:eastAsia="en-AU"/>
          </w:rPr>
          <w:tab/>
        </w:r>
        <w:r w:rsidR="0039748A" w:rsidRPr="00287C69">
          <w:rPr>
            <w:rStyle w:val="Hyperlink"/>
            <w:rFonts w:cstheme="minorHAnsi"/>
            <w:iCs/>
          </w:rPr>
          <w:t>Element 7: Transplantation</w:t>
        </w:r>
        <w:r w:rsidR="0039748A">
          <w:rPr>
            <w:webHidden/>
          </w:rPr>
          <w:tab/>
        </w:r>
        <w:r w:rsidR="0039748A">
          <w:rPr>
            <w:webHidden/>
          </w:rPr>
          <w:fldChar w:fldCharType="begin"/>
        </w:r>
        <w:r w:rsidR="0039748A">
          <w:rPr>
            <w:webHidden/>
          </w:rPr>
          <w:instrText xml:space="preserve"> PAGEREF _Toc532301699 \h </w:instrText>
        </w:r>
        <w:r w:rsidR="0039748A">
          <w:rPr>
            <w:webHidden/>
          </w:rPr>
        </w:r>
        <w:r w:rsidR="0039748A">
          <w:rPr>
            <w:webHidden/>
          </w:rPr>
          <w:fldChar w:fldCharType="separate"/>
        </w:r>
        <w:r w:rsidR="003E01A0">
          <w:rPr>
            <w:webHidden/>
          </w:rPr>
          <w:t>130</w:t>
        </w:r>
        <w:r w:rsidR="0039748A">
          <w:rPr>
            <w:webHidden/>
          </w:rPr>
          <w:fldChar w:fldCharType="end"/>
        </w:r>
      </w:hyperlink>
    </w:p>
    <w:p w14:paraId="28CCAC17" w14:textId="43A09382" w:rsidR="0039748A" w:rsidRDefault="00D930F7">
      <w:pPr>
        <w:pStyle w:val="TOC2"/>
        <w:rPr>
          <w:rFonts w:eastAsiaTheme="minorEastAsia" w:cstheme="minorBidi"/>
          <w:kern w:val="0"/>
          <w:sz w:val="22"/>
          <w:szCs w:val="22"/>
          <w:lang w:val="en-AU" w:eastAsia="en-AU"/>
        </w:rPr>
      </w:pPr>
      <w:hyperlink w:anchor="_Toc532301700" w:history="1">
        <w:r w:rsidR="0039748A" w:rsidRPr="00287C69">
          <w:rPr>
            <w:rStyle w:val="Hyperlink"/>
            <w:rFonts w:cstheme="minorHAnsi"/>
            <w:iCs/>
          </w:rPr>
          <w:t>6.8</w:t>
        </w:r>
        <w:r w:rsidR="0039748A">
          <w:rPr>
            <w:rFonts w:eastAsiaTheme="minorEastAsia" w:cstheme="minorBidi"/>
            <w:kern w:val="0"/>
            <w:sz w:val="22"/>
            <w:szCs w:val="22"/>
            <w:lang w:val="en-AU" w:eastAsia="en-AU"/>
          </w:rPr>
          <w:tab/>
        </w:r>
        <w:r w:rsidR="0039748A" w:rsidRPr="00287C69">
          <w:rPr>
            <w:rStyle w:val="Hyperlink"/>
            <w:rFonts w:cstheme="minorHAnsi"/>
            <w:iCs/>
          </w:rPr>
          <w:t>Element 8: Post transplantation care</w:t>
        </w:r>
        <w:r w:rsidR="0039748A">
          <w:rPr>
            <w:webHidden/>
          </w:rPr>
          <w:tab/>
        </w:r>
        <w:r w:rsidR="0039748A">
          <w:rPr>
            <w:webHidden/>
          </w:rPr>
          <w:fldChar w:fldCharType="begin"/>
        </w:r>
        <w:r w:rsidR="0039748A">
          <w:rPr>
            <w:webHidden/>
          </w:rPr>
          <w:instrText xml:space="preserve"> PAGEREF _Toc532301700 \h </w:instrText>
        </w:r>
        <w:r w:rsidR="0039748A">
          <w:rPr>
            <w:webHidden/>
          </w:rPr>
        </w:r>
        <w:r w:rsidR="0039748A">
          <w:rPr>
            <w:webHidden/>
          </w:rPr>
          <w:fldChar w:fldCharType="separate"/>
        </w:r>
        <w:r w:rsidR="003E01A0">
          <w:rPr>
            <w:webHidden/>
          </w:rPr>
          <w:t>131</w:t>
        </w:r>
        <w:r w:rsidR="0039748A">
          <w:rPr>
            <w:webHidden/>
          </w:rPr>
          <w:fldChar w:fldCharType="end"/>
        </w:r>
      </w:hyperlink>
    </w:p>
    <w:p w14:paraId="4EF2BBD5" w14:textId="26659F34" w:rsidR="0039748A" w:rsidRDefault="00D930F7">
      <w:pPr>
        <w:pStyle w:val="TOC1"/>
        <w:rPr>
          <w:rFonts w:eastAsiaTheme="minorEastAsia" w:cstheme="minorBidi"/>
          <w:b w:val="0"/>
          <w:kern w:val="0"/>
          <w:sz w:val="22"/>
          <w:szCs w:val="22"/>
          <w:lang w:val="en-AU" w:eastAsia="en-AU"/>
        </w:rPr>
      </w:pPr>
      <w:hyperlink w:anchor="_Toc532301701" w:history="1">
        <w:r w:rsidR="0039748A" w:rsidRPr="00287C69">
          <w:rPr>
            <w:rStyle w:val="Hyperlink"/>
            <w:rFonts w:cstheme="minorHAnsi"/>
          </w:rPr>
          <w:t>7.</w:t>
        </w:r>
        <w:r w:rsidR="0039748A">
          <w:rPr>
            <w:rFonts w:eastAsiaTheme="minorEastAsia" w:cstheme="minorBidi"/>
            <w:b w:val="0"/>
            <w:kern w:val="0"/>
            <w:sz w:val="22"/>
            <w:szCs w:val="22"/>
            <w:lang w:val="en-AU" w:eastAsia="en-AU"/>
          </w:rPr>
          <w:tab/>
        </w:r>
        <w:r w:rsidR="0039748A" w:rsidRPr="00287C69">
          <w:rPr>
            <w:rStyle w:val="Hyperlink"/>
            <w:rFonts w:cstheme="minorHAnsi"/>
          </w:rPr>
          <w:t>Key findings and recommendations: Supporting elements of the system</w:t>
        </w:r>
        <w:r w:rsidR="0039748A">
          <w:rPr>
            <w:webHidden/>
          </w:rPr>
          <w:tab/>
        </w:r>
        <w:r w:rsidR="0039748A">
          <w:rPr>
            <w:webHidden/>
          </w:rPr>
          <w:fldChar w:fldCharType="begin"/>
        </w:r>
        <w:r w:rsidR="0039748A">
          <w:rPr>
            <w:webHidden/>
          </w:rPr>
          <w:instrText xml:space="preserve"> PAGEREF _Toc532301701 \h </w:instrText>
        </w:r>
        <w:r w:rsidR="0039748A">
          <w:rPr>
            <w:webHidden/>
          </w:rPr>
        </w:r>
        <w:r w:rsidR="0039748A">
          <w:rPr>
            <w:webHidden/>
          </w:rPr>
          <w:fldChar w:fldCharType="separate"/>
        </w:r>
        <w:r w:rsidR="003E01A0">
          <w:rPr>
            <w:webHidden/>
          </w:rPr>
          <w:t>136</w:t>
        </w:r>
        <w:r w:rsidR="0039748A">
          <w:rPr>
            <w:webHidden/>
          </w:rPr>
          <w:fldChar w:fldCharType="end"/>
        </w:r>
      </w:hyperlink>
    </w:p>
    <w:p w14:paraId="511CAD2D" w14:textId="329600FC" w:rsidR="0039748A" w:rsidRDefault="00D930F7">
      <w:pPr>
        <w:pStyle w:val="TOC2"/>
        <w:rPr>
          <w:rFonts w:eastAsiaTheme="minorEastAsia" w:cstheme="minorBidi"/>
          <w:kern w:val="0"/>
          <w:sz w:val="22"/>
          <w:szCs w:val="22"/>
          <w:lang w:val="en-AU" w:eastAsia="en-AU"/>
        </w:rPr>
      </w:pPr>
      <w:hyperlink w:anchor="_Toc532301702" w:history="1">
        <w:r w:rsidR="0039748A" w:rsidRPr="00287C69">
          <w:rPr>
            <w:rStyle w:val="Hyperlink"/>
            <w:rFonts w:cstheme="minorHAnsi"/>
            <w:iCs/>
          </w:rPr>
          <w:t>7.1</w:t>
        </w:r>
        <w:r w:rsidR="0039748A">
          <w:rPr>
            <w:rFonts w:eastAsiaTheme="minorEastAsia" w:cstheme="minorBidi"/>
            <w:kern w:val="0"/>
            <w:sz w:val="22"/>
            <w:szCs w:val="22"/>
            <w:lang w:val="en-AU" w:eastAsia="en-AU"/>
          </w:rPr>
          <w:tab/>
        </w:r>
        <w:r w:rsidR="0039748A" w:rsidRPr="00287C69">
          <w:rPr>
            <w:rStyle w:val="Hyperlink"/>
            <w:rFonts w:cstheme="minorHAnsi"/>
            <w:iCs/>
          </w:rPr>
          <w:t>Supporting element 1: Data and information management</w:t>
        </w:r>
        <w:r w:rsidR="0039748A">
          <w:rPr>
            <w:webHidden/>
          </w:rPr>
          <w:tab/>
        </w:r>
        <w:r w:rsidR="0039748A">
          <w:rPr>
            <w:webHidden/>
          </w:rPr>
          <w:fldChar w:fldCharType="begin"/>
        </w:r>
        <w:r w:rsidR="0039748A">
          <w:rPr>
            <w:webHidden/>
          </w:rPr>
          <w:instrText xml:space="preserve"> PAGEREF _Toc532301702 \h </w:instrText>
        </w:r>
        <w:r w:rsidR="0039748A">
          <w:rPr>
            <w:webHidden/>
          </w:rPr>
        </w:r>
        <w:r w:rsidR="0039748A">
          <w:rPr>
            <w:webHidden/>
          </w:rPr>
          <w:fldChar w:fldCharType="separate"/>
        </w:r>
        <w:r w:rsidR="003E01A0">
          <w:rPr>
            <w:webHidden/>
          </w:rPr>
          <w:t>136</w:t>
        </w:r>
        <w:r w:rsidR="0039748A">
          <w:rPr>
            <w:webHidden/>
          </w:rPr>
          <w:fldChar w:fldCharType="end"/>
        </w:r>
      </w:hyperlink>
    </w:p>
    <w:p w14:paraId="542C662C" w14:textId="06713209" w:rsidR="0039748A" w:rsidRDefault="00D930F7">
      <w:pPr>
        <w:pStyle w:val="TOC2"/>
        <w:rPr>
          <w:rFonts w:eastAsiaTheme="minorEastAsia" w:cstheme="minorBidi"/>
          <w:kern w:val="0"/>
          <w:sz w:val="22"/>
          <w:szCs w:val="22"/>
          <w:lang w:val="en-AU" w:eastAsia="en-AU"/>
        </w:rPr>
      </w:pPr>
      <w:hyperlink w:anchor="_Toc532301703" w:history="1">
        <w:r w:rsidR="0039748A" w:rsidRPr="00287C69">
          <w:rPr>
            <w:rStyle w:val="Hyperlink"/>
            <w:rFonts w:cstheme="minorHAnsi"/>
            <w:iCs/>
          </w:rPr>
          <w:t>7.2</w:t>
        </w:r>
        <w:r w:rsidR="0039748A">
          <w:rPr>
            <w:rFonts w:eastAsiaTheme="minorEastAsia" w:cstheme="minorBidi"/>
            <w:kern w:val="0"/>
            <w:sz w:val="22"/>
            <w:szCs w:val="22"/>
            <w:lang w:val="en-AU" w:eastAsia="en-AU"/>
          </w:rPr>
          <w:tab/>
        </w:r>
        <w:r w:rsidR="0039748A" w:rsidRPr="00287C69">
          <w:rPr>
            <w:rStyle w:val="Hyperlink"/>
            <w:rFonts w:cstheme="minorHAnsi"/>
            <w:iCs/>
          </w:rPr>
          <w:t>Supporting element 2: Financing arrangements for the system</w:t>
        </w:r>
        <w:r w:rsidR="0039748A">
          <w:rPr>
            <w:webHidden/>
          </w:rPr>
          <w:tab/>
        </w:r>
        <w:r w:rsidR="0039748A">
          <w:rPr>
            <w:webHidden/>
          </w:rPr>
          <w:fldChar w:fldCharType="begin"/>
        </w:r>
        <w:r w:rsidR="0039748A">
          <w:rPr>
            <w:webHidden/>
          </w:rPr>
          <w:instrText xml:space="preserve"> PAGEREF _Toc532301703 \h </w:instrText>
        </w:r>
        <w:r w:rsidR="0039748A">
          <w:rPr>
            <w:webHidden/>
          </w:rPr>
        </w:r>
        <w:r w:rsidR="0039748A">
          <w:rPr>
            <w:webHidden/>
          </w:rPr>
          <w:fldChar w:fldCharType="separate"/>
        </w:r>
        <w:r w:rsidR="003E01A0">
          <w:rPr>
            <w:webHidden/>
          </w:rPr>
          <w:t>138</w:t>
        </w:r>
        <w:r w:rsidR="0039748A">
          <w:rPr>
            <w:webHidden/>
          </w:rPr>
          <w:fldChar w:fldCharType="end"/>
        </w:r>
      </w:hyperlink>
    </w:p>
    <w:p w14:paraId="4658831F" w14:textId="709619DC" w:rsidR="0039748A" w:rsidRDefault="00D930F7">
      <w:pPr>
        <w:pStyle w:val="TOC2"/>
        <w:rPr>
          <w:rFonts w:eastAsiaTheme="minorEastAsia" w:cstheme="minorBidi"/>
          <w:kern w:val="0"/>
          <w:sz w:val="22"/>
          <w:szCs w:val="22"/>
          <w:lang w:val="en-AU" w:eastAsia="en-AU"/>
        </w:rPr>
      </w:pPr>
      <w:hyperlink w:anchor="_Toc532301704" w:history="1">
        <w:r w:rsidR="0039748A" w:rsidRPr="00287C69">
          <w:rPr>
            <w:rStyle w:val="Hyperlink"/>
            <w:rFonts w:cstheme="minorHAnsi"/>
            <w:iCs/>
          </w:rPr>
          <w:t>7.3</w:t>
        </w:r>
        <w:r w:rsidR="0039748A">
          <w:rPr>
            <w:rFonts w:eastAsiaTheme="minorEastAsia" w:cstheme="minorBidi"/>
            <w:kern w:val="0"/>
            <w:sz w:val="22"/>
            <w:szCs w:val="22"/>
            <w:lang w:val="en-AU" w:eastAsia="en-AU"/>
          </w:rPr>
          <w:tab/>
        </w:r>
        <w:r w:rsidR="0039748A" w:rsidRPr="00287C69">
          <w:rPr>
            <w:rStyle w:val="Hyperlink"/>
            <w:rFonts w:cstheme="minorHAnsi"/>
            <w:iCs/>
          </w:rPr>
          <w:t>Supporting element 3: Research for the organ donation, retrieval and transplantation system</w:t>
        </w:r>
        <w:r w:rsidR="0039748A">
          <w:rPr>
            <w:webHidden/>
          </w:rPr>
          <w:tab/>
        </w:r>
        <w:r w:rsidR="0039748A">
          <w:rPr>
            <w:webHidden/>
          </w:rPr>
          <w:fldChar w:fldCharType="begin"/>
        </w:r>
        <w:r w:rsidR="0039748A">
          <w:rPr>
            <w:webHidden/>
          </w:rPr>
          <w:instrText xml:space="preserve"> PAGEREF _Toc532301704 \h </w:instrText>
        </w:r>
        <w:r w:rsidR="0039748A">
          <w:rPr>
            <w:webHidden/>
          </w:rPr>
        </w:r>
        <w:r w:rsidR="0039748A">
          <w:rPr>
            <w:webHidden/>
          </w:rPr>
          <w:fldChar w:fldCharType="separate"/>
        </w:r>
        <w:r w:rsidR="003E01A0">
          <w:rPr>
            <w:webHidden/>
          </w:rPr>
          <w:t>143</w:t>
        </w:r>
        <w:r w:rsidR="0039748A">
          <w:rPr>
            <w:webHidden/>
          </w:rPr>
          <w:fldChar w:fldCharType="end"/>
        </w:r>
      </w:hyperlink>
    </w:p>
    <w:p w14:paraId="4CAB0DA2" w14:textId="1670FDDC" w:rsidR="0039748A" w:rsidRDefault="00D930F7">
      <w:pPr>
        <w:pStyle w:val="TOC1"/>
        <w:rPr>
          <w:rFonts w:eastAsiaTheme="minorEastAsia" w:cstheme="minorBidi"/>
          <w:b w:val="0"/>
          <w:kern w:val="0"/>
          <w:sz w:val="22"/>
          <w:szCs w:val="22"/>
          <w:lang w:val="en-AU" w:eastAsia="en-AU"/>
        </w:rPr>
      </w:pPr>
      <w:hyperlink w:anchor="_Toc532301705" w:history="1">
        <w:r w:rsidR="0039748A" w:rsidRPr="00287C69">
          <w:rPr>
            <w:rStyle w:val="Hyperlink"/>
            <w:rFonts w:cstheme="minorHAnsi"/>
          </w:rPr>
          <w:t>8.</w:t>
        </w:r>
        <w:r w:rsidR="0039748A">
          <w:rPr>
            <w:rFonts w:eastAsiaTheme="minorEastAsia" w:cstheme="minorBidi"/>
            <w:b w:val="0"/>
            <w:kern w:val="0"/>
            <w:sz w:val="22"/>
            <w:szCs w:val="22"/>
            <w:lang w:val="en-AU" w:eastAsia="en-AU"/>
          </w:rPr>
          <w:tab/>
        </w:r>
        <w:r w:rsidR="0039748A" w:rsidRPr="00287C69">
          <w:rPr>
            <w:rStyle w:val="Hyperlink"/>
            <w:rFonts w:cstheme="minorHAnsi"/>
          </w:rPr>
          <w:t>Conclusion</w:t>
        </w:r>
        <w:r w:rsidR="0039748A">
          <w:rPr>
            <w:webHidden/>
          </w:rPr>
          <w:tab/>
        </w:r>
        <w:r w:rsidR="0039748A">
          <w:rPr>
            <w:webHidden/>
          </w:rPr>
          <w:fldChar w:fldCharType="begin"/>
        </w:r>
        <w:r w:rsidR="0039748A">
          <w:rPr>
            <w:webHidden/>
          </w:rPr>
          <w:instrText xml:space="preserve"> PAGEREF _Toc532301705 \h </w:instrText>
        </w:r>
        <w:r w:rsidR="0039748A">
          <w:rPr>
            <w:webHidden/>
          </w:rPr>
        </w:r>
        <w:r w:rsidR="0039748A">
          <w:rPr>
            <w:webHidden/>
          </w:rPr>
          <w:fldChar w:fldCharType="separate"/>
        </w:r>
        <w:r w:rsidR="003E01A0">
          <w:rPr>
            <w:webHidden/>
          </w:rPr>
          <w:t>145</w:t>
        </w:r>
        <w:r w:rsidR="0039748A">
          <w:rPr>
            <w:webHidden/>
          </w:rPr>
          <w:fldChar w:fldCharType="end"/>
        </w:r>
      </w:hyperlink>
    </w:p>
    <w:p w14:paraId="5936E3BB" w14:textId="05A7D0F1" w:rsidR="0039748A" w:rsidRDefault="00D930F7">
      <w:pPr>
        <w:pStyle w:val="TOC1"/>
        <w:rPr>
          <w:rFonts w:eastAsiaTheme="minorEastAsia" w:cstheme="minorBidi"/>
          <w:b w:val="0"/>
          <w:kern w:val="0"/>
          <w:sz w:val="22"/>
          <w:szCs w:val="22"/>
          <w:lang w:val="en-AU" w:eastAsia="en-AU"/>
        </w:rPr>
      </w:pPr>
      <w:hyperlink w:anchor="_Toc532301706" w:history="1">
        <w:r w:rsidR="0039748A" w:rsidRPr="00287C69">
          <w:rPr>
            <w:rStyle w:val="Hyperlink"/>
          </w:rPr>
          <w:t xml:space="preserve">  </w:t>
        </w:r>
        <w:r w:rsidR="0039748A" w:rsidRPr="00287C69">
          <w:rPr>
            <w:rStyle w:val="Hyperlink"/>
            <w:rFonts w:cstheme="minorHAnsi"/>
          </w:rPr>
          <w:t>Appendices</w:t>
        </w:r>
        <w:r w:rsidR="0039748A">
          <w:rPr>
            <w:webHidden/>
          </w:rPr>
          <w:tab/>
        </w:r>
        <w:r w:rsidR="0039748A">
          <w:rPr>
            <w:webHidden/>
          </w:rPr>
          <w:fldChar w:fldCharType="begin"/>
        </w:r>
        <w:r w:rsidR="0039748A">
          <w:rPr>
            <w:webHidden/>
          </w:rPr>
          <w:instrText xml:space="preserve"> PAGEREF _Toc532301706 \h </w:instrText>
        </w:r>
        <w:r w:rsidR="0039748A">
          <w:rPr>
            <w:webHidden/>
          </w:rPr>
        </w:r>
        <w:r w:rsidR="0039748A">
          <w:rPr>
            <w:webHidden/>
          </w:rPr>
          <w:fldChar w:fldCharType="separate"/>
        </w:r>
        <w:r w:rsidR="003E01A0">
          <w:rPr>
            <w:webHidden/>
          </w:rPr>
          <w:t>146</w:t>
        </w:r>
        <w:r w:rsidR="0039748A">
          <w:rPr>
            <w:webHidden/>
          </w:rPr>
          <w:fldChar w:fldCharType="end"/>
        </w:r>
      </w:hyperlink>
    </w:p>
    <w:p w14:paraId="29CB5BA5" w14:textId="3481732B" w:rsidR="0039748A" w:rsidRDefault="00D930F7">
      <w:pPr>
        <w:pStyle w:val="TOC2"/>
        <w:rPr>
          <w:rFonts w:eastAsiaTheme="minorEastAsia" w:cstheme="minorBidi"/>
          <w:kern w:val="0"/>
          <w:sz w:val="22"/>
          <w:szCs w:val="22"/>
          <w:lang w:val="en-AU" w:eastAsia="en-AU"/>
        </w:rPr>
      </w:pPr>
      <w:hyperlink w:anchor="_Toc532301707" w:history="1">
        <w:r w:rsidR="0039748A" w:rsidRPr="00287C69">
          <w:rPr>
            <w:rStyle w:val="Hyperlink"/>
            <w:rFonts w:cstheme="minorHAnsi"/>
          </w:rPr>
          <w:t>Appendix A: Glossary of Terms</w:t>
        </w:r>
        <w:r w:rsidR="0039748A">
          <w:rPr>
            <w:webHidden/>
          </w:rPr>
          <w:tab/>
        </w:r>
        <w:r w:rsidR="0039748A">
          <w:rPr>
            <w:webHidden/>
          </w:rPr>
          <w:fldChar w:fldCharType="begin"/>
        </w:r>
        <w:r w:rsidR="0039748A">
          <w:rPr>
            <w:webHidden/>
          </w:rPr>
          <w:instrText xml:space="preserve"> PAGEREF _Toc532301707 \h </w:instrText>
        </w:r>
        <w:r w:rsidR="0039748A">
          <w:rPr>
            <w:webHidden/>
          </w:rPr>
        </w:r>
        <w:r w:rsidR="0039748A">
          <w:rPr>
            <w:webHidden/>
          </w:rPr>
          <w:fldChar w:fldCharType="separate"/>
        </w:r>
        <w:r w:rsidR="003E01A0">
          <w:rPr>
            <w:webHidden/>
          </w:rPr>
          <w:t>147</w:t>
        </w:r>
        <w:r w:rsidR="0039748A">
          <w:rPr>
            <w:webHidden/>
          </w:rPr>
          <w:fldChar w:fldCharType="end"/>
        </w:r>
      </w:hyperlink>
    </w:p>
    <w:p w14:paraId="79879331" w14:textId="4F98CC75" w:rsidR="0039748A" w:rsidRDefault="00D930F7">
      <w:pPr>
        <w:pStyle w:val="TOC2"/>
        <w:rPr>
          <w:rFonts w:eastAsiaTheme="minorEastAsia" w:cstheme="minorBidi"/>
          <w:kern w:val="0"/>
          <w:sz w:val="22"/>
          <w:szCs w:val="22"/>
          <w:lang w:val="en-AU" w:eastAsia="en-AU"/>
        </w:rPr>
      </w:pPr>
      <w:hyperlink w:anchor="_Toc532301708" w:history="1">
        <w:r w:rsidR="0039748A" w:rsidRPr="00287C69">
          <w:rPr>
            <w:rStyle w:val="Hyperlink"/>
            <w:rFonts w:cstheme="minorHAnsi"/>
          </w:rPr>
          <w:t>Appendix B: List of stakeholders consulted</w:t>
        </w:r>
        <w:r w:rsidR="0039748A">
          <w:rPr>
            <w:webHidden/>
          </w:rPr>
          <w:tab/>
        </w:r>
        <w:r w:rsidR="0039748A">
          <w:rPr>
            <w:webHidden/>
          </w:rPr>
          <w:fldChar w:fldCharType="begin"/>
        </w:r>
        <w:r w:rsidR="0039748A">
          <w:rPr>
            <w:webHidden/>
          </w:rPr>
          <w:instrText xml:space="preserve"> PAGEREF _Toc532301708 \h </w:instrText>
        </w:r>
        <w:r w:rsidR="0039748A">
          <w:rPr>
            <w:webHidden/>
          </w:rPr>
        </w:r>
        <w:r w:rsidR="0039748A">
          <w:rPr>
            <w:webHidden/>
          </w:rPr>
          <w:fldChar w:fldCharType="separate"/>
        </w:r>
        <w:r w:rsidR="003E01A0">
          <w:rPr>
            <w:webHidden/>
          </w:rPr>
          <w:t>149</w:t>
        </w:r>
        <w:r w:rsidR="0039748A">
          <w:rPr>
            <w:webHidden/>
          </w:rPr>
          <w:fldChar w:fldCharType="end"/>
        </w:r>
      </w:hyperlink>
    </w:p>
    <w:p w14:paraId="6126BF3A" w14:textId="1EF9919B" w:rsidR="0039748A" w:rsidRDefault="00D930F7">
      <w:pPr>
        <w:pStyle w:val="TOC2"/>
        <w:rPr>
          <w:rFonts w:eastAsiaTheme="minorEastAsia" w:cstheme="minorBidi"/>
          <w:kern w:val="0"/>
          <w:sz w:val="22"/>
          <w:szCs w:val="22"/>
          <w:lang w:val="en-AU" w:eastAsia="en-AU"/>
        </w:rPr>
      </w:pPr>
      <w:hyperlink w:anchor="_Toc532301709" w:history="1">
        <w:r w:rsidR="0039748A" w:rsidRPr="00287C69">
          <w:rPr>
            <w:rStyle w:val="Hyperlink"/>
            <w:rFonts w:cstheme="minorHAnsi"/>
          </w:rPr>
          <w:t>Appendix C: List of documents, data and literature reviewed</w:t>
        </w:r>
        <w:r w:rsidR="0039748A">
          <w:rPr>
            <w:webHidden/>
          </w:rPr>
          <w:tab/>
        </w:r>
        <w:r w:rsidR="0039748A">
          <w:rPr>
            <w:webHidden/>
          </w:rPr>
          <w:fldChar w:fldCharType="begin"/>
        </w:r>
        <w:r w:rsidR="0039748A">
          <w:rPr>
            <w:webHidden/>
          </w:rPr>
          <w:instrText xml:space="preserve"> PAGEREF _Toc532301709 \h </w:instrText>
        </w:r>
        <w:r w:rsidR="0039748A">
          <w:rPr>
            <w:webHidden/>
          </w:rPr>
        </w:r>
        <w:r w:rsidR="0039748A">
          <w:rPr>
            <w:webHidden/>
          </w:rPr>
          <w:fldChar w:fldCharType="separate"/>
        </w:r>
        <w:r w:rsidR="003E01A0">
          <w:rPr>
            <w:webHidden/>
          </w:rPr>
          <w:t>158</w:t>
        </w:r>
        <w:r w:rsidR="0039748A">
          <w:rPr>
            <w:webHidden/>
          </w:rPr>
          <w:fldChar w:fldCharType="end"/>
        </w:r>
      </w:hyperlink>
    </w:p>
    <w:p w14:paraId="2682FACD" w14:textId="4B9F00A2" w:rsidR="0039748A" w:rsidRDefault="00D930F7">
      <w:pPr>
        <w:pStyle w:val="TOC2"/>
        <w:rPr>
          <w:rFonts w:eastAsiaTheme="minorEastAsia" w:cstheme="minorBidi"/>
          <w:kern w:val="0"/>
          <w:sz w:val="22"/>
          <w:szCs w:val="22"/>
          <w:lang w:val="en-AU" w:eastAsia="en-AU"/>
        </w:rPr>
      </w:pPr>
      <w:hyperlink w:anchor="_Toc532301710" w:history="1">
        <w:r w:rsidR="0039748A" w:rsidRPr="00287C69">
          <w:rPr>
            <w:rStyle w:val="Hyperlink"/>
            <w:rFonts w:cstheme="minorHAnsi"/>
          </w:rPr>
          <w:t>Appendix D: Guidelines, standard operating procedures and governance structure for each element of donation retrieval and transplantation</w:t>
        </w:r>
        <w:r w:rsidR="0039748A">
          <w:rPr>
            <w:webHidden/>
          </w:rPr>
          <w:tab/>
        </w:r>
        <w:r w:rsidR="0039748A">
          <w:rPr>
            <w:webHidden/>
          </w:rPr>
          <w:fldChar w:fldCharType="begin"/>
        </w:r>
        <w:r w:rsidR="0039748A">
          <w:rPr>
            <w:webHidden/>
          </w:rPr>
          <w:instrText xml:space="preserve"> PAGEREF _Toc532301710 \h </w:instrText>
        </w:r>
        <w:r w:rsidR="0039748A">
          <w:rPr>
            <w:webHidden/>
          </w:rPr>
        </w:r>
        <w:r w:rsidR="0039748A">
          <w:rPr>
            <w:webHidden/>
          </w:rPr>
          <w:fldChar w:fldCharType="separate"/>
        </w:r>
        <w:r w:rsidR="003E01A0">
          <w:rPr>
            <w:webHidden/>
          </w:rPr>
          <w:t>165</w:t>
        </w:r>
        <w:r w:rsidR="0039748A">
          <w:rPr>
            <w:webHidden/>
          </w:rPr>
          <w:fldChar w:fldCharType="end"/>
        </w:r>
      </w:hyperlink>
    </w:p>
    <w:p w14:paraId="09DC3F13" w14:textId="475CA27E" w:rsidR="0039748A" w:rsidRDefault="00D930F7">
      <w:pPr>
        <w:pStyle w:val="TOC2"/>
        <w:rPr>
          <w:rFonts w:eastAsiaTheme="minorEastAsia" w:cstheme="minorBidi"/>
          <w:kern w:val="0"/>
          <w:sz w:val="22"/>
          <w:szCs w:val="22"/>
          <w:lang w:val="en-AU" w:eastAsia="en-AU"/>
        </w:rPr>
      </w:pPr>
      <w:hyperlink w:anchor="_Toc532301711" w:history="1">
        <w:r w:rsidR="0039748A" w:rsidRPr="00287C69">
          <w:rPr>
            <w:rStyle w:val="Hyperlink"/>
            <w:rFonts w:cstheme="minorHAnsi"/>
          </w:rPr>
          <w:t>Appendix E: Terms of Reference</w:t>
        </w:r>
        <w:r w:rsidR="0039748A">
          <w:rPr>
            <w:webHidden/>
          </w:rPr>
          <w:tab/>
        </w:r>
        <w:r w:rsidR="0039748A">
          <w:rPr>
            <w:webHidden/>
          </w:rPr>
          <w:fldChar w:fldCharType="begin"/>
        </w:r>
        <w:r w:rsidR="0039748A">
          <w:rPr>
            <w:webHidden/>
          </w:rPr>
          <w:instrText xml:space="preserve"> PAGEREF _Toc532301711 \h </w:instrText>
        </w:r>
        <w:r w:rsidR="0039748A">
          <w:rPr>
            <w:webHidden/>
          </w:rPr>
        </w:r>
        <w:r w:rsidR="0039748A">
          <w:rPr>
            <w:webHidden/>
          </w:rPr>
          <w:fldChar w:fldCharType="separate"/>
        </w:r>
        <w:r w:rsidR="003E01A0">
          <w:rPr>
            <w:webHidden/>
          </w:rPr>
          <w:t>167</w:t>
        </w:r>
        <w:r w:rsidR="0039748A">
          <w:rPr>
            <w:webHidden/>
          </w:rPr>
          <w:fldChar w:fldCharType="end"/>
        </w:r>
      </w:hyperlink>
    </w:p>
    <w:p w14:paraId="6AD8E95F" w14:textId="1183DF41" w:rsidR="00C571F5" w:rsidRDefault="00841DDD" w:rsidP="009C1C66">
      <w:pPr>
        <w:pStyle w:val="TOC1"/>
        <w:rPr>
          <w:rFonts w:cstheme="minorHAnsi"/>
          <w:color w:val="7F7F7F" w:themeColor="text1" w:themeTint="80"/>
          <w:sz w:val="32"/>
          <w:szCs w:val="20"/>
        </w:rPr>
      </w:pPr>
      <w:r>
        <w:rPr>
          <w:bCs/>
        </w:rPr>
        <w:lastRenderedPageBreak/>
        <w:fldChar w:fldCharType="end"/>
      </w:r>
      <w:bookmarkStart w:id="25" w:name="_Toc507329809"/>
      <w:r w:rsidR="00C571F5" w:rsidRPr="00F437A8">
        <w:rPr>
          <w:rFonts w:cstheme="minorHAnsi"/>
          <w:color w:val="7F7F7F" w:themeColor="text1" w:themeTint="80"/>
          <w:sz w:val="32"/>
          <w:szCs w:val="20"/>
        </w:rPr>
        <w:t xml:space="preserve">Acronyms and abbreviations </w:t>
      </w:r>
    </w:p>
    <w:p w14:paraId="1E7DD92D" w14:textId="77777777" w:rsidR="00F437A8" w:rsidRPr="00F437A8" w:rsidRDefault="00F437A8" w:rsidP="00F437A8"/>
    <w:tbl>
      <w:tblPr>
        <w:tblW w:w="9900" w:type="dxa"/>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Description w:val="Acronyms and abbreviations"/>
      </w:tblPr>
      <w:tblGrid>
        <w:gridCol w:w="2552"/>
        <w:gridCol w:w="7348"/>
      </w:tblGrid>
      <w:tr w:rsidR="00880E84" w:rsidRPr="006E508C" w14:paraId="5B194EF3" w14:textId="77777777" w:rsidTr="004F5B2C">
        <w:trPr>
          <w:trHeight w:val="262"/>
        </w:trPr>
        <w:tc>
          <w:tcPr>
            <w:tcW w:w="2552" w:type="dxa"/>
            <w:shd w:val="clear" w:color="auto" w:fill="auto"/>
            <w:vAlign w:val="center"/>
            <w:hideMark/>
          </w:tcPr>
          <w:p w14:paraId="5D0149F8"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ACTA</w:t>
            </w:r>
          </w:p>
        </w:tc>
        <w:tc>
          <w:tcPr>
            <w:tcW w:w="7348" w:type="dxa"/>
            <w:shd w:val="clear" w:color="auto" w:fill="auto"/>
            <w:vAlign w:val="center"/>
            <w:hideMark/>
          </w:tcPr>
          <w:p w14:paraId="157F98E5"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Australasian Transplantation Coordinators Association</w:t>
            </w:r>
          </w:p>
        </w:tc>
      </w:tr>
      <w:tr w:rsidR="00880E84" w:rsidRPr="006E508C" w14:paraId="7EBE747D" w14:textId="77777777" w:rsidTr="00F526D8">
        <w:trPr>
          <w:trHeight w:val="300"/>
        </w:trPr>
        <w:tc>
          <w:tcPr>
            <w:tcW w:w="2552" w:type="dxa"/>
            <w:shd w:val="clear" w:color="auto" w:fill="auto"/>
            <w:vAlign w:val="center"/>
            <w:hideMark/>
          </w:tcPr>
          <w:p w14:paraId="74F69E3C"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AHMAC</w:t>
            </w:r>
          </w:p>
        </w:tc>
        <w:tc>
          <w:tcPr>
            <w:tcW w:w="7348" w:type="dxa"/>
            <w:shd w:val="clear" w:color="auto" w:fill="auto"/>
            <w:vAlign w:val="center"/>
            <w:hideMark/>
          </w:tcPr>
          <w:p w14:paraId="34215B75"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Australian Health Ministers’ Advisory Council</w:t>
            </w:r>
          </w:p>
        </w:tc>
      </w:tr>
      <w:tr w:rsidR="00880E84" w:rsidRPr="006E508C" w14:paraId="2E7F5AE9" w14:textId="77777777" w:rsidTr="00F526D8">
        <w:trPr>
          <w:trHeight w:val="300"/>
        </w:trPr>
        <w:tc>
          <w:tcPr>
            <w:tcW w:w="2552" w:type="dxa"/>
            <w:shd w:val="clear" w:color="auto" w:fill="auto"/>
            <w:vAlign w:val="center"/>
            <w:hideMark/>
          </w:tcPr>
          <w:p w14:paraId="6B87C935"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AIHW</w:t>
            </w:r>
          </w:p>
        </w:tc>
        <w:tc>
          <w:tcPr>
            <w:tcW w:w="7348" w:type="dxa"/>
            <w:shd w:val="clear" w:color="auto" w:fill="auto"/>
            <w:vAlign w:val="center"/>
            <w:hideMark/>
          </w:tcPr>
          <w:p w14:paraId="533EE260"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Australian Institute of Health and Welfare</w:t>
            </w:r>
          </w:p>
        </w:tc>
      </w:tr>
      <w:tr w:rsidR="00880E84" w:rsidRPr="006E508C" w14:paraId="5E9DC5F8" w14:textId="77777777" w:rsidTr="00F526D8">
        <w:trPr>
          <w:trHeight w:val="287"/>
        </w:trPr>
        <w:tc>
          <w:tcPr>
            <w:tcW w:w="2552" w:type="dxa"/>
            <w:shd w:val="clear" w:color="auto" w:fill="auto"/>
            <w:vAlign w:val="center"/>
            <w:hideMark/>
          </w:tcPr>
          <w:p w14:paraId="7A590100"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ANZCOTR</w:t>
            </w:r>
          </w:p>
        </w:tc>
        <w:tc>
          <w:tcPr>
            <w:tcW w:w="7348" w:type="dxa"/>
            <w:shd w:val="clear" w:color="auto" w:fill="auto"/>
            <w:vAlign w:val="center"/>
            <w:hideMark/>
          </w:tcPr>
          <w:p w14:paraId="43884A78"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Australia and New Zealand Cardiothoracic Organ Transplant Registry</w:t>
            </w:r>
          </w:p>
        </w:tc>
      </w:tr>
      <w:tr w:rsidR="00880E84" w:rsidRPr="006E508C" w14:paraId="4AE2501B" w14:textId="77777777" w:rsidTr="00F526D8">
        <w:trPr>
          <w:trHeight w:val="277"/>
        </w:trPr>
        <w:tc>
          <w:tcPr>
            <w:tcW w:w="2552" w:type="dxa"/>
            <w:shd w:val="clear" w:color="auto" w:fill="auto"/>
            <w:vAlign w:val="center"/>
            <w:hideMark/>
          </w:tcPr>
          <w:p w14:paraId="65C095E8"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ANZDATA</w:t>
            </w:r>
          </w:p>
        </w:tc>
        <w:tc>
          <w:tcPr>
            <w:tcW w:w="7348" w:type="dxa"/>
            <w:shd w:val="clear" w:color="auto" w:fill="auto"/>
            <w:vAlign w:val="center"/>
            <w:hideMark/>
          </w:tcPr>
          <w:p w14:paraId="2843C4D1"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Australia and New Zealand Dialysis and Transplant Registry</w:t>
            </w:r>
          </w:p>
        </w:tc>
      </w:tr>
      <w:tr w:rsidR="00880E84" w:rsidRPr="006E508C" w14:paraId="14A8C00E" w14:textId="77777777" w:rsidTr="00F526D8">
        <w:trPr>
          <w:trHeight w:val="196"/>
        </w:trPr>
        <w:tc>
          <w:tcPr>
            <w:tcW w:w="2552" w:type="dxa"/>
            <w:shd w:val="clear" w:color="auto" w:fill="auto"/>
            <w:vAlign w:val="center"/>
            <w:hideMark/>
          </w:tcPr>
          <w:p w14:paraId="6727EEE7"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ANZIPTR</w:t>
            </w:r>
          </w:p>
        </w:tc>
        <w:tc>
          <w:tcPr>
            <w:tcW w:w="7348" w:type="dxa"/>
            <w:shd w:val="clear" w:color="auto" w:fill="auto"/>
            <w:vAlign w:val="center"/>
            <w:hideMark/>
          </w:tcPr>
          <w:p w14:paraId="0204FE9F"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Australia and New Zealand Islet and Pancreas Transplant Registry</w:t>
            </w:r>
          </w:p>
        </w:tc>
      </w:tr>
      <w:tr w:rsidR="00880E84" w:rsidRPr="006E508C" w14:paraId="62133A66" w14:textId="77777777" w:rsidTr="00F526D8">
        <w:trPr>
          <w:trHeight w:val="50"/>
        </w:trPr>
        <w:tc>
          <w:tcPr>
            <w:tcW w:w="2552" w:type="dxa"/>
            <w:shd w:val="clear" w:color="auto" w:fill="auto"/>
            <w:vAlign w:val="center"/>
            <w:hideMark/>
          </w:tcPr>
          <w:p w14:paraId="28DC8599"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ANZLTR</w:t>
            </w:r>
          </w:p>
        </w:tc>
        <w:tc>
          <w:tcPr>
            <w:tcW w:w="7348" w:type="dxa"/>
            <w:shd w:val="clear" w:color="auto" w:fill="auto"/>
            <w:vAlign w:val="center"/>
            <w:hideMark/>
          </w:tcPr>
          <w:p w14:paraId="2EFE0504"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Australia and New Zealand Liver Transplant Registry</w:t>
            </w:r>
          </w:p>
        </w:tc>
      </w:tr>
      <w:tr w:rsidR="00880E84" w:rsidRPr="006E508C" w14:paraId="685FCE4C" w14:textId="77777777" w:rsidTr="00F526D8">
        <w:trPr>
          <w:trHeight w:val="119"/>
        </w:trPr>
        <w:tc>
          <w:tcPr>
            <w:tcW w:w="2552" w:type="dxa"/>
            <w:shd w:val="clear" w:color="auto" w:fill="auto"/>
            <w:vAlign w:val="center"/>
            <w:hideMark/>
          </w:tcPr>
          <w:p w14:paraId="16B453FE"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ANZOD</w:t>
            </w:r>
          </w:p>
        </w:tc>
        <w:tc>
          <w:tcPr>
            <w:tcW w:w="7348" w:type="dxa"/>
            <w:shd w:val="clear" w:color="auto" w:fill="auto"/>
            <w:vAlign w:val="center"/>
            <w:hideMark/>
          </w:tcPr>
          <w:p w14:paraId="1F06F132"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Australia and New Zealand Organ Donation Registry</w:t>
            </w:r>
          </w:p>
        </w:tc>
      </w:tr>
      <w:tr w:rsidR="00880E84" w:rsidRPr="006E508C" w14:paraId="2F758F2F" w14:textId="77777777" w:rsidTr="00F526D8">
        <w:trPr>
          <w:trHeight w:val="300"/>
        </w:trPr>
        <w:tc>
          <w:tcPr>
            <w:tcW w:w="2552" w:type="dxa"/>
            <w:shd w:val="clear" w:color="auto" w:fill="auto"/>
            <w:vAlign w:val="center"/>
            <w:hideMark/>
          </w:tcPr>
          <w:p w14:paraId="3E7A3039"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AODR</w:t>
            </w:r>
          </w:p>
        </w:tc>
        <w:tc>
          <w:tcPr>
            <w:tcW w:w="7348" w:type="dxa"/>
            <w:shd w:val="clear" w:color="auto" w:fill="auto"/>
            <w:vAlign w:val="center"/>
            <w:hideMark/>
          </w:tcPr>
          <w:p w14:paraId="7098C2C9"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Australian Organ Donor Register</w:t>
            </w:r>
          </w:p>
        </w:tc>
      </w:tr>
      <w:tr w:rsidR="00880E84" w:rsidRPr="006E508C" w14:paraId="4D7D306F" w14:textId="77777777" w:rsidTr="00F526D8">
        <w:trPr>
          <w:trHeight w:val="300"/>
        </w:trPr>
        <w:tc>
          <w:tcPr>
            <w:tcW w:w="2552" w:type="dxa"/>
            <w:shd w:val="clear" w:color="auto" w:fill="auto"/>
            <w:vAlign w:val="center"/>
            <w:hideMark/>
          </w:tcPr>
          <w:p w14:paraId="4C02C2C8"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AOMS</w:t>
            </w:r>
          </w:p>
        </w:tc>
        <w:tc>
          <w:tcPr>
            <w:tcW w:w="7348" w:type="dxa"/>
            <w:shd w:val="clear" w:color="auto" w:fill="auto"/>
            <w:vAlign w:val="center"/>
            <w:hideMark/>
          </w:tcPr>
          <w:p w14:paraId="20F76227"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Australian Organ Matching System</w:t>
            </w:r>
          </w:p>
        </w:tc>
      </w:tr>
      <w:tr w:rsidR="00CC6E46" w:rsidRPr="006E508C" w14:paraId="3CF3FD06" w14:textId="77777777" w:rsidTr="00F526D8">
        <w:trPr>
          <w:trHeight w:val="300"/>
        </w:trPr>
        <w:tc>
          <w:tcPr>
            <w:tcW w:w="2552" w:type="dxa"/>
            <w:shd w:val="clear" w:color="auto" w:fill="auto"/>
            <w:vAlign w:val="center"/>
          </w:tcPr>
          <w:p w14:paraId="56B7E9FD" w14:textId="77777777" w:rsidR="00CC6E46" w:rsidRPr="006E508C" w:rsidRDefault="00CC6E46" w:rsidP="00F526D8">
            <w:pPr>
              <w:spacing w:before="40" w:after="40"/>
              <w:rPr>
                <w:rFonts w:ascii="Calibri" w:hAnsi="Calibri" w:cs="Calibri"/>
                <w:b/>
                <w:bCs/>
                <w:color w:val="000000"/>
                <w:sz w:val="18"/>
                <w:szCs w:val="18"/>
                <w:lang w:eastAsia="en-AU"/>
              </w:rPr>
            </w:pPr>
            <w:r>
              <w:rPr>
                <w:rFonts w:ascii="Calibri" w:hAnsi="Calibri" w:cs="Calibri"/>
                <w:b/>
                <w:bCs/>
                <w:color w:val="000000"/>
                <w:sz w:val="18"/>
                <w:szCs w:val="18"/>
                <w:lang w:eastAsia="en-AU"/>
              </w:rPr>
              <w:t>APRN</w:t>
            </w:r>
          </w:p>
        </w:tc>
        <w:tc>
          <w:tcPr>
            <w:tcW w:w="7348" w:type="dxa"/>
            <w:shd w:val="clear" w:color="auto" w:fill="auto"/>
            <w:vAlign w:val="center"/>
          </w:tcPr>
          <w:p w14:paraId="68987CAE" w14:textId="77777777" w:rsidR="00CC6E46" w:rsidRPr="006E508C" w:rsidRDefault="00CC6E46" w:rsidP="00F526D8">
            <w:pPr>
              <w:spacing w:before="40" w:after="40"/>
              <w:rPr>
                <w:rFonts w:ascii="Calibri" w:hAnsi="Calibri" w:cs="Calibri"/>
                <w:color w:val="000000"/>
                <w:sz w:val="18"/>
                <w:szCs w:val="18"/>
                <w:lang w:eastAsia="en-AU"/>
              </w:rPr>
            </w:pPr>
            <w:r>
              <w:rPr>
                <w:rFonts w:ascii="Calibri" w:hAnsi="Calibri" w:cs="Calibri"/>
                <w:color w:val="000000"/>
                <w:sz w:val="18"/>
                <w:szCs w:val="18"/>
                <w:lang w:eastAsia="en-AU"/>
              </w:rPr>
              <w:t xml:space="preserve">Advanced Practice Registered Nurse </w:t>
            </w:r>
          </w:p>
        </w:tc>
      </w:tr>
      <w:tr w:rsidR="00880E84" w:rsidRPr="006E508C" w14:paraId="3206DBC0" w14:textId="77777777" w:rsidTr="00F526D8">
        <w:trPr>
          <w:trHeight w:val="300"/>
        </w:trPr>
        <w:tc>
          <w:tcPr>
            <w:tcW w:w="2552" w:type="dxa"/>
            <w:shd w:val="clear" w:color="auto" w:fill="auto"/>
            <w:vAlign w:val="center"/>
            <w:hideMark/>
          </w:tcPr>
          <w:p w14:paraId="773E928A"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ARIA+</w:t>
            </w:r>
          </w:p>
        </w:tc>
        <w:tc>
          <w:tcPr>
            <w:tcW w:w="7348" w:type="dxa"/>
            <w:shd w:val="clear" w:color="auto" w:fill="auto"/>
            <w:vAlign w:val="center"/>
            <w:hideMark/>
          </w:tcPr>
          <w:p w14:paraId="36889D49"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Accessibility and Remoteness Index of Australia</w:t>
            </w:r>
          </w:p>
        </w:tc>
      </w:tr>
      <w:tr w:rsidR="00880E84" w:rsidRPr="006E508C" w14:paraId="4B3123A2" w14:textId="77777777" w:rsidTr="00F526D8">
        <w:trPr>
          <w:trHeight w:val="300"/>
        </w:trPr>
        <w:tc>
          <w:tcPr>
            <w:tcW w:w="2552" w:type="dxa"/>
            <w:shd w:val="clear" w:color="auto" w:fill="auto"/>
            <w:vAlign w:val="center"/>
            <w:hideMark/>
          </w:tcPr>
          <w:p w14:paraId="29C6E19A"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COAG</w:t>
            </w:r>
          </w:p>
        </w:tc>
        <w:tc>
          <w:tcPr>
            <w:tcW w:w="7348" w:type="dxa"/>
            <w:shd w:val="clear" w:color="auto" w:fill="auto"/>
            <w:vAlign w:val="center"/>
            <w:hideMark/>
          </w:tcPr>
          <w:p w14:paraId="4DC9A0F8"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Council of Australian Governments</w:t>
            </w:r>
          </w:p>
        </w:tc>
      </w:tr>
      <w:tr w:rsidR="00880E84" w:rsidRPr="006E508C" w14:paraId="77016674" w14:textId="77777777" w:rsidTr="00F526D8">
        <w:trPr>
          <w:trHeight w:val="300"/>
        </w:trPr>
        <w:tc>
          <w:tcPr>
            <w:tcW w:w="2552" w:type="dxa"/>
            <w:shd w:val="clear" w:color="auto" w:fill="auto"/>
            <w:vAlign w:val="center"/>
            <w:hideMark/>
          </w:tcPr>
          <w:p w14:paraId="3730DA04"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CPIP</w:t>
            </w:r>
          </w:p>
        </w:tc>
        <w:tc>
          <w:tcPr>
            <w:tcW w:w="7348" w:type="dxa"/>
            <w:shd w:val="clear" w:color="auto" w:fill="auto"/>
            <w:vAlign w:val="center"/>
            <w:hideMark/>
          </w:tcPr>
          <w:p w14:paraId="68288EF6"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Clinical Practice Improvement Program</w:t>
            </w:r>
          </w:p>
        </w:tc>
      </w:tr>
      <w:tr w:rsidR="00880E84" w:rsidRPr="006E508C" w14:paraId="23AC99D7" w14:textId="77777777" w:rsidTr="00F526D8">
        <w:trPr>
          <w:trHeight w:val="300"/>
        </w:trPr>
        <w:tc>
          <w:tcPr>
            <w:tcW w:w="2552" w:type="dxa"/>
            <w:shd w:val="clear" w:color="auto" w:fill="auto"/>
            <w:vAlign w:val="center"/>
            <w:hideMark/>
          </w:tcPr>
          <w:p w14:paraId="0BC47059"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DBD</w:t>
            </w:r>
          </w:p>
        </w:tc>
        <w:tc>
          <w:tcPr>
            <w:tcW w:w="7348" w:type="dxa"/>
            <w:shd w:val="clear" w:color="auto" w:fill="auto"/>
            <w:vAlign w:val="center"/>
            <w:hideMark/>
          </w:tcPr>
          <w:p w14:paraId="0A16B1B8"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Donation after Brain Death</w:t>
            </w:r>
          </w:p>
        </w:tc>
      </w:tr>
      <w:tr w:rsidR="00880E84" w:rsidRPr="006E508C" w14:paraId="3F296DD8" w14:textId="77777777" w:rsidTr="00F526D8">
        <w:trPr>
          <w:trHeight w:val="300"/>
        </w:trPr>
        <w:tc>
          <w:tcPr>
            <w:tcW w:w="2552" w:type="dxa"/>
            <w:shd w:val="clear" w:color="auto" w:fill="auto"/>
            <w:vAlign w:val="center"/>
            <w:hideMark/>
          </w:tcPr>
          <w:p w14:paraId="2F969736"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DCD</w:t>
            </w:r>
          </w:p>
        </w:tc>
        <w:tc>
          <w:tcPr>
            <w:tcW w:w="7348" w:type="dxa"/>
            <w:shd w:val="clear" w:color="auto" w:fill="auto"/>
            <w:vAlign w:val="center"/>
            <w:hideMark/>
          </w:tcPr>
          <w:p w14:paraId="3F33BEBF"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Donation after Circulatory Death</w:t>
            </w:r>
          </w:p>
        </w:tc>
      </w:tr>
      <w:tr w:rsidR="00880E84" w:rsidRPr="006E508C" w14:paraId="150758B2" w14:textId="77777777" w:rsidTr="00F526D8">
        <w:trPr>
          <w:trHeight w:val="300"/>
        </w:trPr>
        <w:tc>
          <w:tcPr>
            <w:tcW w:w="2552" w:type="dxa"/>
            <w:shd w:val="clear" w:color="auto" w:fill="auto"/>
            <w:vAlign w:val="center"/>
            <w:hideMark/>
          </w:tcPr>
          <w:p w14:paraId="3367C3BF"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DNL</w:t>
            </w:r>
          </w:p>
        </w:tc>
        <w:tc>
          <w:tcPr>
            <w:tcW w:w="7348" w:type="dxa"/>
            <w:shd w:val="clear" w:color="auto" w:fill="auto"/>
            <w:vAlign w:val="center"/>
            <w:hideMark/>
          </w:tcPr>
          <w:p w14:paraId="2ECD4CC8"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DonateLife Network</w:t>
            </w:r>
          </w:p>
        </w:tc>
      </w:tr>
      <w:tr w:rsidR="00880E84" w:rsidRPr="006E508C" w14:paraId="54937113" w14:textId="77777777" w:rsidTr="00F526D8">
        <w:trPr>
          <w:trHeight w:val="300"/>
        </w:trPr>
        <w:tc>
          <w:tcPr>
            <w:tcW w:w="2552" w:type="dxa"/>
            <w:shd w:val="clear" w:color="auto" w:fill="auto"/>
            <w:vAlign w:val="center"/>
            <w:hideMark/>
          </w:tcPr>
          <w:p w14:paraId="55E25571"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dpmp</w:t>
            </w:r>
          </w:p>
        </w:tc>
        <w:tc>
          <w:tcPr>
            <w:tcW w:w="7348" w:type="dxa"/>
            <w:shd w:val="clear" w:color="auto" w:fill="auto"/>
            <w:vAlign w:val="center"/>
            <w:hideMark/>
          </w:tcPr>
          <w:p w14:paraId="66F4B367"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Deceased donors per million population</w:t>
            </w:r>
          </w:p>
        </w:tc>
      </w:tr>
      <w:tr w:rsidR="00880E84" w:rsidRPr="006E508C" w14:paraId="76B895B3" w14:textId="77777777" w:rsidTr="00F526D8">
        <w:trPr>
          <w:trHeight w:val="300"/>
        </w:trPr>
        <w:tc>
          <w:tcPr>
            <w:tcW w:w="2552" w:type="dxa"/>
            <w:shd w:val="clear" w:color="auto" w:fill="auto"/>
            <w:vAlign w:val="center"/>
            <w:hideMark/>
          </w:tcPr>
          <w:p w14:paraId="3765CD01"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EDR</w:t>
            </w:r>
          </w:p>
        </w:tc>
        <w:tc>
          <w:tcPr>
            <w:tcW w:w="7348" w:type="dxa"/>
            <w:shd w:val="clear" w:color="auto" w:fill="auto"/>
            <w:vAlign w:val="center"/>
            <w:hideMark/>
          </w:tcPr>
          <w:p w14:paraId="577676CE"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Electronic Donor Record</w:t>
            </w:r>
          </w:p>
        </w:tc>
      </w:tr>
      <w:tr w:rsidR="00880E84" w:rsidRPr="006E508C" w14:paraId="4125FD72" w14:textId="77777777" w:rsidTr="00F526D8">
        <w:trPr>
          <w:trHeight w:val="300"/>
        </w:trPr>
        <w:tc>
          <w:tcPr>
            <w:tcW w:w="2552" w:type="dxa"/>
            <w:shd w:val="clear" w:color="auto" w:fill="auto"/>
            <w:vAlign w:val="center"/>
            <w:hideMark/>
          </w:tcPr>
          <w:p w14:paraId="7FF4D164"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 xml:space="preserve">HLA </w:t>
            </w:r>
          </w:p>
        </w:tc>
        <w:tc>
          <w:tcPr>
            <w:tcW w:w="7348" w:type="dxa"/>
            <w:shd w:val="clear" w:color="auto" w:fill="auto"/>
            <w:vAlign w:val="center"/>
            <w:hideMark/>
          </w:tcPr>
          <w:p w14:paraId="6E11EFB6"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Human leukocyte antigen</w:t>
            </w:r>
          </w:p>
        </w:tc>
      </w:tr>
      <w:tr w:rsidR="00880E84" w:rsidRPr="006E508C" w14:paraId="39ABA8AA" w14:textId="77777777" w:rsidTr="00F526D8">
        <w:trPr>
          <w:trHeight w:val="300"/>
        </w:trPr>
        <w:tc>
          <w:tcPr>
            <w:tcW w:w="2552" w:type="dxa"/>
            <w:shd w:val="clear" w:color="auto" w:fill="auto"/>
            <w:vAlign w:val="center"/>
            <w:hideMark/>
          </w:tcPr>
          <w:p w14:paraId="6978E0A5"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ICU</w:t>
            </w:r>
          </w:p>
        </w:tc>
        <w:tc>
          <w:tcPr>
            <w:tcW w:w="7348" w:type="dxa"/>
            <w:shd w:val="clear" w:color="auto" w:fill="auto"/>
            <w:vAlign w:val="center"/>
            <w:hideMark/>
          </w:tcPr>
          <w:p w14:paraId="5D4EF8CD"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Intensive Care Unit</w:t>
            </w:r>
          </w:p>
        </w:tc>
      </w:tr>
      <w:tr w:rsidR="00880E84" w:rsidRPr="006E508C" w14:paraId="6AF72AB3" w14:textId="77777777" w:rsidTr="00F526D8">
        <w:trPr>
          <w:trHeight w:val="300"/>
        </w:trPr>
        <w:tc>
          <w:tcPr>
            <w:tcW w:w="2552" w:type="dxa"/>
            <w:shd w:val="clear" w:color="auto" w:fill="auto"/>
            <w:vAlign w:val="center"/>
            <w:hideMark/>
          </w:tcPr>
          <w:p w14:paraId="09725395"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IDAT</w:t>
            </w:r>
          </w:p>
        </w:tc>
        <w:tc>
          <w:tcPr>
            <w:tcW w:w="7348" w:type="dxa"/>
            <w:shd w:val="clear" w:color="auto" w:fill="auto"/>
            <w:vAlign w:val="center"/>
            <w:hideMark/>
          </w:tcPr>
          <w:p w14:paraId="01FD3C19"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Introductory Donation Awareness Training</w:t>
            </w:r>
          </w:p>
        </w:tc>
      </w:tr>
      <w:tr w:rsidR="00880E84" w:rsidRPr="006E508C" w14:paraId="73319EF4" w14:textId="77777777" w:rsidTr="00F526D8">
        <w:trPr>
          <w:trHeight w:val="300"/>
        </w:trPr>
        <w:tc>
          <w:tcPr>
            <w:tcW w:w="2552" w:type="dxa"/>
            <w:shd w:val="clear" w:color="auto" w:fill="auto"/>
            <w:vAlign w:val="center"/>
            <w:hideMark/>
          </w:tcPr>
          <w:p w14:paraId="272E07E6"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IHPA</w:t>
            </w:r>
          </w:p>
        </w:tc>
        <w:tc>
          <w:tcPr>
            <w:tcW w:w="7348" w:type="dxa"/>
            <w:shd w:val="clear" w:color="auto" w:fill="auto"/>
            <w:vAlign w:val="center"/>
            <w:hideMark/>
          </w:tcPr>
          <w:p w14:paraId="2BF1B821"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Independent Hospital Pricing Authority</w:t>
            </w:r>
          </w:p>
        </w:tc>
      </w:tr>
      <w:tr w:rsidR="00880E84" w:rsidRPr="006E508C" w14:paraId="7F81916E" w14:textId="77777777" w:rsidTr="00F526D8">
        <w:trPr>
          <w:trHeight w:val="163"/>
        </w:trPr>
        <w:tc>
          <w:tcPr>
            <w:tcW w:w="2552" w:type="dxa"/>
            <w:shd w:val="clear" w:color="auto" w:fill="auto"/>
            <w:vAlign w:val="center"/>
            <w:hideMark/>
          </w:tcPr>
          <w:p w14:paraId="51ABF618"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IRODT</w:t>
            </w:r>
          </w:p>
        </w:tc>
        <w:tc>
          <w:tcPr>
            <w:tcW w:w="7348" w:type="dxa"/>
            <w:shd w:val="clear" w:color="auto" w:fill="auto"/>
            <w:vAlign w:val="center"/>
            <w:hideMark/>
          </w:tcPr>
          <w:p w14:paraId="4D0CCF82"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International Registry in Organ Donation and Transplantation</w:t>
            </w:r>
          </w:p>
        </w:tc>
      </w:tr>
      <w:tr w:rsidR="00880E84" w:rsidRPr="006E508C" w14:paraId="144B3527" w14:textId="77777777" w:rsidTr="00F526D8">
        <w:trPr>
          <w:trHeight w:val="300"/>
        </w:trPr>
        <w:tc>
          <w:tcPr>
            <w:tcW w:w="2552" w:type="dxa"/>
            <w:shd w:val="clear" w:color="auto" w:fill="auto"/>
            <w:vAlign w:val="center"/>
            <w:hideMark/>
          </w:tcPr>
          <w:p w14:paraId="28B515AF"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JAG</w:t>
            </w:r>
          </w:p>
        </w:tc>
        <w:tc>
          <w:tcPr>
            <w:tcW w:w="7348" w:type="dxa"/>
            <w:shd w:val="clear" w:color="auto" w:fill="auto"/>
            <w:vAlign w:val="center"/>
            <w:hideMark/>
          </w:tcPr>
          <w:p w14:paraId="460DA3A1"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Jurisdictional Advisory Group</w:t>
            </w:r>
          </w:p>
        </w:tc>
      </w:tr>
      <w:tr w:rsidR="00F437A8" w:rsidRPr="006E508C" w14:paraId="3A9ECC95" w14:textId="77777777" w:rsidTr="00F526D8">
        <w:trPr>
          <w:trHeight w:val="300"/>
        </w:trPr>
        <w:tc>
          <w:tcPr>
            <w:tcW w:w="2552" w:type="dxa"/>
            <w:shd w:val="clear" w:color="auto" w:fill="auto"/>
            <w:vAlign w:val="center"/>
          </w:tcPr>
          <w:p w14:paraId="2442CE98" w14:textId="77777777" w:rsidR="00F437A8" w:rsidRPr="006E508C" w:rsidRDefault="00F437A8" w:rsidP="00F526D8">
            <w:pPr>
              <w:spacing w:before="40" w:after="40"/>
              <w:rPr>
                <w:rFonts w:ascii="Calibri" w:hAnsi="Calibri" w:cs="Calibri"/>
                <w:b/>
                <w:bCs/>
                <w:color w:val="000000"/>
                <w:sz w:val="18"/>
                <w:szCs w:val="18"/>
                <w:lang w:eastAsia="en-AU"/>
              </w:rPr>
            </w:pPr>
            <w:r>
              <w:rPr>
                <w:rFonts w:ascii="Calibri" w:hAnsi="Calibri" w:cs="Calibri"/>
                <w:b/>
                <w:bCs/>
                <w:color w:val="000000"/>
                <w:sz w:val="18"/>
                <w:szCs w:val="18"/>
                <w:lang w:eastAsia="en-AU"/>
              </w:rPr>
              <w:t>KDPI</w:t>
            </w:r>
          </w:p>
        </w:tc>
        <w:tc>
          <w:tcPr>
            <w:tcW w:w="7348" w:type="dxa"/>
            <w:shd w:val="clear" w:color="auto" w:fill="auto"/>
            <w:vAlign w:val="center"/>
          </w:tcPr>
          <w:p w14:paraId="31FC6441" w14:textId="77777777" w:rsidR="00F437A8" w:rsidRPr="006E508C" w:rsidRDefault="00F437A8" w:rsidP="00F526D8">
            <w:pPr>
              <w:spacing w:before="40" w:after="40"/>
              <w:rPr>
                <w:rFonts w:ascii="Calibri" w:hAnsi="Calibri" w:cs="Calibri"/>
                <w:color w:val="000000"/>
                <w:sz w:val="18"/>
                <w:szCs w:val="18"/>
                <w:lang w:eastAsia="en-AU"/>
              </w:rPr>
            </w:pPr>
            <w:r>
              <w:rPr>
                <w:rFonts w:ascii="Calibri" w:hAnsi="Calibri" w:cs="Calibri"/>
                <w:color w:val="000000"/>
                <w:sz w:val="18"/>
                <w:szCs w:val="18"/>
                <w:lang w:eastAsia="en-AU"/>
              </w:rPr>
              <w:t>The Kidney Donor Profile Index</w:t>
            </w:r>
          </w:p>
        </w:tc>
      </w:tr>
      <w:tr w:rsidR="00880E84" w:rsidRPr="006E508C" w14:paraId="55056166" w14:textId="77777777" w:rsidTr="00F526D8">
        <w:trPr>
          <w:trHeight w:val="300"/>
        </w:trPr>
        <w:tc>
          <w:tcPr>
            <w:tcW w:w="2552" w:type="dxa"/>
            <w:shd w:val="clear" w:color="auto" w:fill="auto"/>
            <w:vAlign w:val="center"/>
            <w:hideMark/>
          </w:tcPr>
          <w:p w14:paraId="791B4817"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KDRI</w:t>
            </w:r>
          </w:p>
        </w:tc>
        <w:tc>
          <w:tcPr>
            <w:tcW w:w="7348" w:type="dxa"/>
            <w:shd w:val="clear" w:color="auto" w:fill="auto"/>
            <w:vAlign w:val="center"/>
            <w:hideMark/>
          </w:tcPr>
          <w:p w14:paraId="26A9A400"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 xml:space="preserve">The Kidney Donor Risk Index </w:t>
            </w:r>
          </w:p>
        </w:tc>
      </w:tr>
      <w:tr w:rsidR="00880E84" w:rsidRPr="006E508C" w14:paraId="35D15724" w14:textId="77777777" w:rsidTr="00F526D8">
        <w:trPr>
          <w:trHeight w:val="300"/>
        </w:trPr>
        <w:tc>
          <w:tcPr>
            <w:tcW w:w="2552" w:type="dxa"/>
            <w:shd w:val="clear" w:color="auto" w:fill="auto"/>
            <w:vAlign w:val="center"/>
            <w:hideMark/>
          </w:tcPr>
          <w:p w14:paraId="4A76783F"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KPI</w:t>
            </w:r>
          </w:p>
        </w:tc>
        <w:tc>
          <w:tcPr>
            <w:tcW w:w="7348" w:type="dxa"/>
            <w:shd w:val="clear" w:color="auto" w:fill="auto"/>
            <w:vAlign w:val="center"/>
            <w:hideMark/>
          </w:tcPr>
          <w:p w14:paraId="3DEFDBD5"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Key Performance Indicators</w:t>
            </w:r>
          </w:p>
        </w:tc>
      </w:tr>
      <w:tr w:rsidR="00880E84" w:rsidRPr="006E508C" w14:paraId="22F8C77B" w14:textId="77777777" w:rsidTr="00F526D8">
        <w:trPr>
          <w:trHeight w:val="300"/>
        </w:trPr>
        <w:tc>
          <w:tcPr>
            <w:tcW w:w="2552" w:type="dxa"/>
            <w:shd w:val="clear" w:color="auto" w:fill="auto"/>
            <w:vAlign w:val="center"/>
            <w:hideMark/>
          </w:tcPr>
          <w:p w14:paraId="2E9D67CF"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MBS</w:t>
            </w:r>
          </w:p>
        </w:tc>
        <w:tc>
          <w:tcPr>
            <w:tcW w:w="7348" w:type="dxa"/>
            <w:shd w:val="clear" w:color="auto" w:fill="auto"/>
            <w:vAlign w:val="center"/>
            <w:hideMark/>
          </w:tcPr>
          <w:p w14:paraId="67A43E59" w14:textId="186925E5"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Medicare Benefits Sche</w:t>
            </w:r>
            <w:r w:rsidR="001A14B7">
              <w:rPr>
                <w:rFonts w:ascii="Calibri" w:hAnsi="Calibri" w:cs="Calibri"/>
                <w:color w:val="000000"/>
                <w:sz w:val="18"/>
                <w:szCs w:val="18"/>
                <w:lang w:eastAsia="en-AU"/>
              </w:rPr>
              <w:t>dule</w:t>
            </w:r>
          </w:p>
        </w:tc>
      </w:tr>
      <w:tr w:rsidR="00880E84" w:rsidRPr="006E508C" w14:paraId="037B894D" w14:textId="77777777" w:rsidTr="00F526D8">
        <w:trPr>
          <w:trHeight w:val="300"/>
        </w:trPr>
        <w:tc>
          <w:tcPr>
            <w:tcW w:w="2552" w:type="dxa"/>
            <w:shd w:val="clear" w:color="auto" w:fill="auto"/>
            <w:vAlign w:val="center"/>
            <w:hideMark/>
          </w:tcPr>
          <w:p w14:paraId="3D0989C8"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MP</w:t>
            </w:r>
          </w:p>
        </w:tc>
        <w:tc>
          <w:tcPr>
            <w:tcW w:w="7348" w:type="dxa"/>
            <w:shd w:val="clear" w:color="auto" w:fill="auto"/>
            <w:vAlign w:val="center"/>
            <w:hideMark/>
          </w:tcPr>
          <w:p w14:paraId="31F79E2A"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Minister of Parliament</w:t>
            </w:r>
          </w:p>
        </w:tc>
      </w:tr>
      <w:tr w:rsidR="00880E84" w:rsidRPr="006E508C" w14:paraId="6EB5F638" w14:textId="77777777" w:rsidTr="00F526D8">
        <w:trPr>
          <w:trHeight w:val="300"/>
        </w:trPr>
        <w:tc>
          <w:tcPr>
            <w:tcW w:w="2552" w:type="dxa"/>
            <w:shd w:val="clear" w:color="auto" w:fill="auto"/>
            <w:vAlign w:val="center"/>
            <w:hideMark/>
          </w:tcPr>
          <w:p w14:paraId="354F12DC"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NEP</w:t>
            </w:r>
          </w:p>
        </w:tc>
        <w:tc>
          <w:tcPr>
            <w:tcW w:w="7348" w:type="dxa"/>
            <w:shd w:val="clear" w:color="auto" w:fill="auto"/>
            <w:vAlign w:val="center"/>
            <w:hideMark/>
          </w:tcPr>
          <w:p w14:paraId="35934B21"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National Efficient Price</w:t>
            </w:r>
          </w:p>
        </w:tc>
      </w:tr>
      <w:tr w:rsidR="00880E84" w:rsidRPr="006E508C" w14:paraId="09F5C9DB" w14:textId="77777777" w:rsidTr="00F526D8">
        <w:trPr>
          <w:trHeight w:val="300"/>
        </w:trPr>
        <w:tc>
          <w:tcPr>
            <w:tcW w:w="2552" w:type="dxa"/>
            <w:shd w:val="clear" w:color="auto" w:fill="auto"/>
            <w:vAlign w:val="center"/>
            <w:hideMark/>
          </w:tcPr>
          <w:p w14:paraId="55B3BC40"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NHMRC</w:t>
            </w:r>
          </w:p>
        </w:tc>
        <w:tc>
          <w:tcPr>
            <w:tcW w:w="7348" w:type="dxa"/>
            <w:shd w:val="clear" w:color="auto" w:fill="auto"/>
            <w:vAlign w:val="center"/>
            <w:hideMark/>
          </w:tcPr>
          <w:p w14:paraId="6B49D178"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National Health and Medical Research Council</w:t>
            </w:r>
          </w:p>
        </w:tc>
      </w:tr>
      <w:tr w:rsidR="00880E84" w:rsidRPr="006E508C" w14:paraId="206D97A0" w14:textId="77777777" w:rsidTr="00F526D8">
        <w:trPr>
          <w:trHeight w:val="300"/>
        </w:trPr>
        <w:tc>
          <w:tcPr>
            <w:tcW w:w="2552" w:type="dxa"/>
            <w:shd w:val="clear" w:color="auto" w:fill="auto"/>
            <w:vAlign w:val="center"/>
            <w:hideMark/>
          </w:tcPr>
          <w:p w14:paraId="354D8158"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NOMS</w:t>
            </w:r>
          </w:p>
        </w:tc>
        <w:tc>
          <w:tcPr>
            <w:tcW w:w="7348" w:type="dxa"/>
            <w:shd w:val="clear" w:color="auto" w:fill="auto"/>
            <w:vAlign w:val="center"/>
            <w:hideMark/>
          </w:tcPr>
          <w:p w14:paraId="7967DBF1"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National Organ Matching System</w:t>
            </w:r>
          </w:p>
        </w:tc>
      </w:tr>
      <w:tr w:rsidR="00880E84" w:rsidRPr="006E508C" w14:paraId="62917414" w14:textId="77777777" w:rsidTr="00F526D8">
        <w:trPr>
          <w:trHeight w:val="300"/>
        </w:trPr>
        <w:tc>
          <w:tcPr>
            <w:tcW w:w="2552" w:type="dxa"/>
            <w:shd w:val="clear" w:color="auto" w:fill="auto"/>
            <w:vAlign w:val="center"/>
            <w:hideMark/>
          </w:tcPr>
          <w:p w14:paraId="275E9E55"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NWAU</w:t>
            </w:r>
          </w:p>
        </w:tc>
        <w:tc>
          <w:tcPr>
            <w:tcW w:w="7348" w:type="dxa"/>
            <w:shd w:val="clear" w:color="auto" w:fill="auto"/>
            <w:vAlign w:val="center"/>
            <w:hideMark/>
          </w:tcPr>
          <w:p w14:paraId="73ECE81C"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National Weighted Activity Unit</w:t>
            </w:r>
          </w:p>
        </w:tc>
      </w:tr>
      <w:tr w:rsidR="00880E84" w:rsidRPr="006E508C" w14:paraId="20FBB856" w14:textId="77777777" w:rsidTr="00F526D8">
        <w:trPr>
          <w:trHeight w:val="300"/>
        </w:trPr>
        <w:tc>
          <w:tcPr>
            <w:tcW w:w="2552" w:type="dxa"/>
            <w:shd w:val="clear" w:color="auto" w:fill="auto"/>
            <w:vAlign w:val="center"/>
            <w:hideMark/>
          </w:tcPr>
          <w:p w14:paraId="011F117D"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ODHSF</w:t>
            </w:r>
          </w:p>
        </w:tc>
        <w:tc>
          <w:tcPr>
            <w:tcW w:w="7348" w:type="dxa"/>
            <w:shd w:val="clear" w:color="auto" w:fill="auto"/>
            <w:vAlign w:val="center"/>
            <w:hideMark/>
          </w:tcPr>
          <w:p w14:paraId="1FEEA34E"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Organ Donation Hospital Support Funding</w:t>
            </w:r>
          </w:p>
        </w:tc>
      </w:tr>
      <w:tr w:rsidR="00880E84" w:rsidRPr="006E508C" w14:paraId="1825AFE2" w14:textId="77777777" w:rsidTr="00F526D8">
        <w:trPr>
          <w:trHeight w:val="300"/>
        </w:trPr>
        <w:tc>
          <w:tcPr>
            <w:tcW w:w="2552" w:type="dxa"/>
            <w:shd w:val="clear" w:color="auto" w:fill="auto"/>
            <w:vAlign w:val="center"/>
            <w:hideMark/>
          </w:tcPr>
          <w:p w14:paraId="73DB87C7"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PBS</w:t>
            </w:r>
          </w:p>
        </w:tc>
        <w:tc>
          <w:tcPr>
            <w:tcW w:w="7348" w:type="dxa"/>
            <w:shd w:val="clear" w:color="auto" w:fill="auto"/>
            <w:vAlign w:val="center"/>
            <w:hideMark/>
          </w:tcPr>
          <w:p w14:paraId="47F4DF42"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Pharmaceutical Benefits Scheme</w:t>
            </w:r>
          </w:p>
        </w:tc>
      </w:tr>
      <w:tr w:rsidR="00880E84" w:rsidRPr="006E508C" w14:paraId="1C7179EF" w14:textId="77777777" w:rsidTr="00F526D8">
        <w:trPr>
          <w:trHeight w:val="300"/>
        </w:trPr>
        <w:tc>
          <w:tcPr>
            <w:tcW w:w="2552" w:type="dxa"/>
            <w:shd w:val="clear" w:color="auto" w:fill="auto"/>
            <w:vAlign w:val="center"/>
            <w:hideMark/>
          </w:tcPr>
          <w:p w14:paraId="78D940D2"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RTAC</w:t>
            </w:r>
          </w:p>
        </w:tc>
        <w:tc>
          <w:tcPr>
            <w:tcW w:w="7348" w:type="dxa"/>
            <w:shd w:val="clear" w:color="auto" w:fill="auto"/>
            <w:vAlign w:val="center"/>
            <w:hideMark/>
          </w:tcPr>
          <w:p w14:paraId="4198C2AF"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Renal Transplantation Advisory Committee</w:t>
            </w:r>
          </w:p>
        </w:tc>
      </w:tr>
      <w:tr w:rsidR="00880E84" w:rsidRPr="006E508C" w14:paraId="47BC59F3" w14:textId="77777777" w:rsidTr="00F526D8">
        <w:trPr>
          <w:trHeight w:val="490"/>
        </w:trPr>
        <w:tc>
          <w:tcPr>
            <w:tcW w:w="2552" w:type="dxa"/>
            <w:shd w:val="clear" w:color="auto" w:fill="auto"/>
            <w:vAlign w:val="center"/>
            <w:hideMark/>
          </w:tcPr>
          <w:p w14:paraId="485F8ECE"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The 2015 Review</w:t>
            </w:r>
          </w:p>
        </w:tc>
        <w:tc>
          <w:tcPr>
            <w:tcW w:w="7348" w:type="dxa"/>
            <w:shd w:val="clear" w:color="auto" w:fill="auto"/>
            <w:vAlign w:val="center"/>
            <w:hideMark/>
          </w:tcPr>
          <w:p w14:paraId="14F64B88"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i/>
                <w:iCs/>
                <w:color w:val="000000"/>
                <w:sz w:val="18"/>
                <w:szCs w:val="18"/>
                <w:lang w:eastAsia="en-AU"/>
              </w:rPr>
              <w:t xml:space="preserve">Review of the implementation of the national reform agenda on organ and tissue donation and transplantation, </w:t>
            </w:r>
            <w:r w:rsidRPr="006E508C">
              <w:rPr>
                <w:rFonts w:ascii="Calibri" w:hAnsi="Calibri" w:cs="Calibri"/>
                <w:color w:val="000000"/>
                <w:sz w:val="18"/>
                <w:szCs w:val="18"/>
                <w:lang w:eastAsia="en-AU"/>
              </w:rPr>
              <w:t>Ernst and Young 2015</w:t>
            </w:r>
          </w:p>
        </w:tc>
      </w:tr>
      <w:tr w:rsidR="00880E84" w:rsidRPr="006E508C" w14:paraId="24CECF71" w14:textId="77777777" w:rsidTr="00F526D8">
        <w:trPr>
          <w:trHeight w:val="300"/>
        </w:trPr>
        <w:tc>
          <w:tcPr>
            <w:tcW w:w="2552" w:type="dxa"/>
            <w:shd w:val="clear" w:color="auto" w:fill="auto"/>
            <w:vAlign w:val="center"/>
            <w:hideMark/>
          </w:tcPr>
          <w:p w14:paraId="1FD3AC4D"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The Act</w:t>
            </w:r>
          </w:p>
        </w:tc>
        <w:tc>
          <w:tcPr>
            <w:tcW w:w="7348" w:type="dxa"/>
            <w:shd w:val="clear" w:color="auto" w:fill="auto"/>
            <w:vAlign w:val="center"/>
            <w:hideMark/>
          </w:tcPr>
          <w:p w14:paraId="1685C477"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i/>
                <w:iCs/>
                <w:color w:val="000000"/>
                <w:sz w:val="18"/>
                <w:szCs w:val="18"/>
                <w:lang w:eastAsia="en-AU"/>
              </w:rPr>
              <w:t xml:space="preserve">Australian Organ and Tissue Donation and Transplantation Authority Act 2008 </w:t>
            </w:r>
            <w:r w:rsidRPr="006E508C">
              <w:rPr>
                <w:rFonts w:ascii="Calibri" w:hAnsi="Calibri" w:cs="Calibri"/>
                <w:color w:val="000000"/>
                <w:sz w:val="18"/>
                <w:szCs w:val="18"/>
                <w:lang w:eastAsia="en-AU"/>
              </w:rPr>
              <w:t>(Cth)</w:t>
            </w:r>
          </w:p>
        </w:tc>
      </w:tr>
      <w:tr w:rsidR="00880E84" w:rsidRPr="006E508C" w14:paraId="4F59A5D4" w14:textId="77777777" w:rsidTr="00F526D8">
        <w:trPr>
          <w:trHeight w:val="300"/>
        </w:trPr>
        <w:tc>
          <w:tcPr>
            <w:tcW w:w="2552" w:type="dxa"/>
            <w:shd w:val="clear" w:color="auto" w:fill="auto"/>
            <w:vAlign w:val="center"/>
            <w:hideMark/>
          </w:tcPr>
          <w:p w14:paraId="2CF8DD19"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The Best Practice Guidelines</w:t>
            </w:r>
          </w:p>
        </w:tc>
        <w:tc>
          <w:tcPr>
            <w:tcW w:w="7348" w:type="dxa"/>
            <w:shd w:val="clear" w:color="auto" w:fill="auto"/>
            <w:vAlign w:val="center"/>
            <w:hideMark/>
          </w:tcPr>
          <w:p w14:paraId="6246C0A7"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The Best Practice Guidelines for Offering Organ and Tissue Donation in Australia</w:t>
            </w:r>
          </w:p>
        </w:tc>
      </w:tr>
      <w:tr w:rsidR="00880E84" w:rsidRPr="006E508C" w14:paraId="35A32C89" w14:textId="77777777" w:rsidTr="00F526D8">
        <w:trPr>
          <w:trHeight w:val="300"/>
        </w:trPr>
        <w:tc>
          <w:tcPr>
            <w:tcW w:w="2552" w:type="dxa"/>
            <w:shd w:val="clear" w:color="auto" w:fill="auto"/>
            <w:vAlign w:val="center"/>
            <w:hideMark/>
          </w:tcPr>
          <w:p w14:paraId="3D3B83B7"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lastRenderedPageBreak/>
              <w:t>The Bill</w:t>
            </w:r>
          </w:p>
        </w:tc>
        <w:tc>
          <w:tcPr>
            <w:tcW w:w="7348" w:type="dxa"/>
            <w:shd w:val="clear" w:color="auto" w:fill="auto"/>
            <w:vAlign w:val="center"/>
            <w:hideMark/>
          </w:tcPr>
          <w:p w14:paraId="2F38EB2F"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i/>
                <w:iCs/>
                <w:color w:val="000000"/>
                <w:sz w:val="18"/>
                <w:szCs w:val="18"/>
                <w:lang w:eastAsia="en-AU"/>
              </w:rPr>
              <w:t>The Australian Organ and Tissue Donation and Transplantation Authority Bill</w:t>
            </w:r>
            <w:r w:rsidRPr="006E508C">
              <w:rPr>
                <w:rFonts w:ascii="Calibri" w:hAnsi="Calibri" w:cs="Calibri"/>
                <w:color w:val="000000"/>
                <w:sz w:val="18"/>
                <w:szCs w:val="18"/>
                <w:lang w:eastAsia="en-AU"/>
              </w:rPr>
              <w:t xml:space="preserve"> 2008</w:t>
            </w:r>
            <w:r w:rsidRPr="006E508C">
              <w:rPr>
                <w:rFonts w:ascii="Calibri" w:hAnsi="Calibri" w:cs="Calibri"/>
                <w:color w:val="000000"/>
                <w:sz w:val="24"/>
                <w:szCs w:val="24"/>
                <w:lang w:eastAsia="en-AU"/>
              </w:rPr>
              <w:t xml:space="preserve"> </w:t>
            </w:r>
          </w:p>
        </w:tc>
      </w:tr>
      <w:tr w:rsidR="00880E84" w:rsidRPr="006E508C" w14:paraId="5C489FE8" w14:textId="77777777" w:rsidTr="00F526D8">
        <w:trPr>
          <w:trHeight w:val="300"/>
        </w:trPr>
        <w:tc>
          <w:tcPr>
            <w:tcW w:w="2552" w:type="dxa"/>
            <w:shd w:val="clear" w:color="auto" w:fill="auto"/>
            <w:vAlign w:val="center"/>
            <w:hideMark/>
          </w:tcPr>
          <w:p w14:paraId="4FF06207"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The Clinical Guidelines</w:t>
            </w:r>
          </w:p>
        </w:tc>
        <w:tc>
          <w:tcPr>
            <w:tcW w:w="7348" w:type="dxa"/>
            <w:shd w:val="clear" w:color="auto" w:fill="auto"/>
            <w:vAlign w:val="center"/>
            <w:hideMark/>
          </w:tcPr>
          <w:p w14:paraId="53ED93B6"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i/>
                <w:iCs/>
                <w:color w:val="000000"/>
                <w:sz w:val="18"/>
                <w:szCs w:val="18"/>
                <w:lang w:eastAsia="en-AU"/>
              </w:rPr>
              <w:t xml:space="preserve">Clinical Guidelines for Organ Transplantation from Deceased Donor, </w:t>
            </w:r>
            <w:r w:rsidRPr="006E508C">
              <w:rPr>
                <w:rFonts w:ascii="Calibri" w:hAnsi="Calibri" w:cs="Calibri"/>
                <w:color w:val="000000"/>
                <w:sz w:val="18"/>
                <w:szCs w:val="18"/>
                <w:lang w:eastAsia="en-AU"/>
              </w:rPr>
              <w:t>The TSANZ 2017</w:t>
            </w:r>
          </w:p>
        </w:tc>
      </w:tr>
      <w:tr w:rsidR="00880E84" w:rsidRPr="006E508C" w14:paraId="4F3A99E8" w14:textId="77777777" w:rsidTr="00F526D8">
        <w:trPr>
          <w:trHeight w:val="300"/>
        </w:trPr>
        <w:tc>
          <w:tcPr>
            <w:tcW w:w="2552" w:type="dxa"/>
            <w:shd w:val="clear" w:color="auto" w:fill="auto"/>
            <w:vAlign w:val="center"/>
            <w:hideMark/>
          </w:tcPr>
          <w:p w14:paraId="692B6B9C"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The Ethical Guidelines</w:t>
            </w:r>
          </w:p>
        </w:tc>
        <w:tc>
          <w:tcPr>
            <w:tcW w:w="7348" w:type="dxa"/>
            <w:shd w:val="clear" w:color="auto" w:fill="auto"/>
            <w:vAlign w:val="center"/>
            <w:hideMark/>
          </w:tcPr>
          <w:p w14:paraId="41CC21D4" w14:textId="2E5C4F7E"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i/>
                <w:iCs/>
                <w:color w:val="000000"/>
                <w:sz w:val="18"/>
                <w:szCs w:val="18"/>
                <w:lang w:eastAsia="en-AU"/>
              </w:rPr>
              <w:t xml:space="preserve">Ethical Guidelines for Organ Transplantation from Deceased Donor, </w:t>
            </w:r>
            <w:r w:rsidRPr="006E508C">
              <w:rPr>
                <w:rFonts w:ascii="Calibri" w:hAnsi="Calibri" w:cs="Calibri"/>
                <w:color w:val="000000"/>
                <w:sz w:val="18"/>
                <w:szCs w:val="18"/>
                <w:lang w:eastAsia="en-AU"/>
              </w:rPr>
              <w:t>NHMRC 2016</w:t>
            </w:r>
          </w:p>
        </w:tc>
      </w:tr>
      <w:tr w:rsidR="00880E84" w:rsidRPr="006E508C" w14:paraId="0FD6399C" w14:textId="77777777" w:rsidTr="00F526D8">
        <w:trPr>
          <w:trHeight w:val="300"/>
        </w:trPr>
        <w:tc>
          <w:tcPr>
            <w:tcW w:w="2552" w:type="dxa"/>
            <w:shd w:val="clear" w:color="auto" w:fill="auto"/>
            <w:vAlign w:val="center"/>
            <w:hideMark/>
          </w:tcPr>
          <w:p w14:paraId="162F3599"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The Framework</w:t>
            </w:r>
          </w:p>
        </w:tc>
        <w:tc>
          <w:tcPr>
            <w:tcW w:w="7348" w:type="dxa"/>
            <w:shd w:val="clear" w:color="auto" w:fill="auto"/>
            <w:vAlign w:val="center"/>
            <w:hideMark/>
          </w:tcPr>
          <w:p w14:paraId="2C27D9AB"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i/>
                <w:iCs/>
                <w:color w:val="000000"/>
                <w:sz w:val="18"/>
                <w:szCs w:val="18"/>
                <w:lang w:eastAsia="en-AU"/>
              </w:rPr>
              <w:t>The Data Governance Framewor</w:t>
            </w:r>
            <w:r>
              <w:rPr>
                <w:rFonts w:ascii="Calibri" w:hAnsi="Calibri" w:cs="Calibri"/>
                <w:i/>
                <w:iCs/>
                <w:color w:val="000000"/>
                <w:sz w:val="18"/>
                <w:szCs w:val="18"/>
                <w:lang w:eastAsia="en-AU"/>
              </w:rPr>
              <w:t>k</w:t>
            </w:r>
            <w:r w:rsidRPr="006E508C">
              <w:rPr>
                <w:rFonts w:ascii="Calibri" w:hAnsi="Calibri" w:cs="Calibri"/>
                <w:i/>
                <w:iCs/>
                <w:color w:val="000000"/>
                <w:sz w:val="18"/>
                <w:szCs w:val="18"/>
                <w:lang w:eastAsia="en-AU"/>
              </w:rPr>
              <w:t xml:space="preserve">, </w:t>
            </w:r>
            <w:r w:rsidRPr="006E508C">
              <w:rPr>
                <w:rFonts w:ascii="Calibri" w:hAnsi="Calibri" w:cs="Calibri"/>
                <w:color w:val="000000"/>
                <w:sz w:val="18"/>
                <w:szCs w:val="18"/>
                <w:lang w:eastAsia="en-AU"/>
              </w:rPr>
              <w:t>The OTA</w:t>
            </w:r>
          </w:p>
        </w:tc>
      </w:tr>
      <w:tr w:rsidR="00880E84" w:rsidRPr="006E508C" w14:paraId="03D9AC9F" w14:textId="77777777" w:rsidTr="00F526D8">
        <w:trPr>
          <w:trHeight w:val="970"/>
        </w:trPr>
        <w:tc>
          <w:tcPr>
            <w:tcW w:w="2552" w:type="dxa"/>
            <w:shd w:val="clear" w:color="auto" w:fill="auto"/>
            <w:vAlign w:val="center"/>
            <w:hideMark/>
          </w:tcPr>
          <w:p w14:paraId="286CC9E6"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The Human Tissue Acts</w:t>
            </w:r>
          </w:p>
        </w:tc>
        <w:tc>
          <w:tcPr>
            <w:tcW w:w="7348" w:type="dxa"/>
            <w:shd w:val="clear" w:color="auto" w:fill="auto"/>
            <w:vAlign w:val="center"/>
            <w:hideMark/>
          </w:tcPr>
          <w:p w14:paraId="708A472E"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i/>
                <w:iCs/>
                <w:color w:val="000000"/>
                <w:sz w:val="18"/>
                <w:szCs w:val="18"/>
                <w:lang w:eastAsia="en-AU"/>
              </w:rPr>
              <w:t xml:space="preserve">Human Tissue Act 1983 </w:t>
            </w:r>
            <w:r w:rsidRPr="006E508C">
              <w:rPr>
                <w:rFonts w:ascii="Calibri" w:hAnsi="Calibri" w:cs="Calibri"/>
                <w:color w:val="000000"/>
                <w:sz w:val="18"/>
                <w:szCs w:val="18"/>
                <w:lang w:eastAsia="en-AU"/>
              </w:rPr>
              <w:t>(NSW)</w:t>
            </w:r>
            <w:r w:rsidRPr="006E508C">
              <w:rPr>
                <w:rFonts w:ascii="Calibri" w:hAnsi="Calibri" w:cs="Calibri"/>
                <w:i/>
                <w:iCs/>
                <w:color w:val="000000"/>
                <w:sz w:val="18"/>
                <w:szCs w:val="18"/>
                <w:lang w:eastAsia="en-AU"/>
              </w:rPr>
              <w:t xml:space="preserve">; Transplantation and Anatomy Act 1979 </w:t>
            </w:r>
            <w:r w:rsidRPr="006E508C">
              <w:rPr>
                <w:rFonts w:ascii="Calibri" w:hAnsi="Calibri" w:cs="Calibri"/>
                <w:color w:val="000000"/>
                <w:sz w:val="18"/>
                <w:szCs w:val="18"/>
                <w:lang w:eastAsia="en-AU"/>
              </w:rPr>
              <w:t>(Qld)</w:t>
            </w:r>
            <w:r w:rsidRPr="006E508C">
              <w:rPr>
                <w:rFonts w:ascii="Calibri" w:hAnsi="Calibri" w:cs="Calibri"/>
                <w:i/>
                <w:iCs/>
                <w:color w:val="000000"/>
                <w:sz w:val="18"/>
                <w:szCs w:val="18"/>
                <w:lang w:eastAsia="en-AU"/>
              </w:rPr>
              <w:t xml:space="preserve">; Transplantation and Anatomy Act 1983 </w:t>
            </w:r>
            <w:r w:rsidRPr="006E508C">
              <w:rPr>
                <w:rFonts w:ascii="Calibri" w:hAnsi="Calibri" w:cs="Calibri"/>
                <w:color w:val="000000"/>
                <w:sz w:val="18"/>
                <w:szCs w:val="18"/>
                <w:lang w:eastAsia="en-AU"/>
              </w:rPr>
              <w:t>(SA);</w:t>
            </w:r>
            <w:r w:rsidRPr="006E508C">
              <w:rPr>
                <w:rFonts w:ascii="Calibri" w:hAnsi="Calibri" w:cs="Calibri"/>
                <w:i/>
                <w:iCs/>
                <w:color w:val="000000"/>
                <w:sz w:val="18"/>
                <w:szCs w:val="18"/>
                <w:lang w:eastAsia="en-AU"/>
              </w:rPr>
              <w:t xml:space="preserve"> Human Tissue Act 1985 </w:t>
            </w:r>
            <w:r w:rsidRPr="006E508C">
              <w:rPr>
                <w:rFonts w:ascii="Calibri" w:hAnsi="Calibri" w:cs="Calibri"/>
                <w:color w:val="000000"/>
                <w:sz w:val="18"/>
                <w:szCs w:val="18"/>
                <w:lang w:eastAsia="en-AU"/>
              </w:rPr>
              <w:t>(Tas)</w:t>
            </w:r>
            <w:r w:rsidRPr="006E508C">
              <w:rPr>
                <w:rFonts w:ascii="Calibri" w:hAnsi="Calibri" w:cs="Calibri"/>
                <w:i/>
                <w:iCs/>
                <w:color w:val="000000"/>
                <w:sz w:val="18"/>
                <w:szCs w:val="18"/>
                <w:lang w:eastAsia="en-AU"/>
              </w:rPr>
              <w:t xml:space="preserve">; Human Tissue Act 1982 </w:t>
            </w:r>
            <w:r w:rsidRPr="006E508C">
              <w:rPr>
                <w:rFonts w:ascii="Calibri" w:hAnsi="Calibri" w:cs="Calibri"/>
                <w:color w:val="000000"/>
                <w:sz w:val="18"/>
                <w:szCs w:val="18"/>
                <w:lang w:eastAsia="en-AU"/>
              </w:rPr>
              <w:t>(Vic);</w:t>
            </w:r>
            <w:r w:rsidRPr="006E508C">
              <w:rPr>
                <w:rFonts w:ascii="Calibri" w:hAnsi="Calibri" w:cs="Calibri"/>
                <w:i/>
                <w:iCs/>
                <w:color w:val="000000"/>
                <w:sz w:val="18"/>
                <w:szCs w:val="18"/>
                <w:lang w:eastAsia="en-AU"/>
              </w:rPr>
              <w:t xml:space="preserve"> Human Tissue and Transplant Act 1982 </w:t>
            </w:r>
            <w:r w:rsidRPr="006E508C">
              <w:rPr>
                <w:rFonts w:ascii="Calibri" w:hAnsi="Calibri" w:cs="Calibri"/>
                <w:color w:val="000000"/>
                <w:sz w:val="18"/>
                <w:szCs w:val="18"/>
                <w:lang w:eastAsia="en-AU"/>
              </w:rPr>
              <w:t xml:space="preserve">(WA); </w:t>
            </w:r>
            <w:r w:rsidRPr="006E508C">
              <w:rPr>
                <w:rFonts w:ascii="Calibri" w:hAnsi="Calibri" w:cs="Calibri"/>
                <w:i/>
                <w:iCs/>
                <w:color w:val="000000"/>
                <w:sz w:val="18"/>
                <w:szCs w:val="18"/>
                <w:lang w:eastAsia="en-AU"/>
              </w:rPr>
              <w:t xml:space="preserve">Transplantation and Anatomy Act 1978 </w:t>
            </w:r>
            <w:r w:rsidRPr="006E508C">
              <w:rPr>
                <w:rFonts w:ascii="Calibri" w:hAnsi="Calibri" w:cs="Calibri"/>
                <w:color w:val="000000"/>
                <w:sz w:val="18"/>
                <w:szCs w:val="18"/>
                <w:lang w:eastAsia="en-AU"/>
              </w:rPr>
              <w:t>(ACT)</w:t>
            </w:r>
            <w:r w:rsidRPr="006E508C">
              <w:rPr>
                <w:rFonts w:ascii="Calibri" w:hAnsi="Calibri" w:cs="Calibri"/>
                <w:i/>
                <w:iCs/>
                <w:color w:val="000000"/>
                <w:sz w:val="18"/>
                <w:szCs w:val="18"/>
                <w:lang w:eastAsia="en-AU"/>
              </w:rPr>
              <w:t xml:space="preserve">; Human Tissue Transplant Act 1979 </w:t>
            </w:r>
            <w:r w:rsidRPr="006E508C">
              <w:rPr>
                <w:rFonts w:ascii="Calibri" w:hAnsi="Calibri" w:cs="Calibri"/>
                <w:color w:val="000000"/>
                <w:sz w:val="18"/>
                <w:szCs w:val="18"/>
                <w:lang w:eastAsia="en-AU"/>
              </w:rPr>
              <w:t>(NT)</w:t>
            </w:r>
          </w:p>
        </w:tc>
      </w:tr>
      <w:tr w:rsidR="00880E84" w:rsidRPr="006E508C" w14:paraId="4DE31C24" w14:textId="77777777" w:rsidTr="00F526D8">
        <w:trPr>
          <w:trHeight w:val="300"/>
        </w:trPr>
        <w:tc>
          <w:tcPr>
            <w:tcW w:w="2552" w:type="dxa"/>
            <w:shd w:val="clear" w:color="auto" w:fill="auto"/>
            <w:vAlign w:val="center"/>
            <w:hideMark/>
          </w:tcPr>
          <w:p w14:paraId="50BFFB72"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The OTA</w:t>
            </w:r>
          </w:p>
        </w:tc>
        <w:tc>
          <w:tcPr>
            <w:tcW w:w="7348" w:type="dxa"/>
            <w:shd w:val="clear" w:color="auto" w:fill="auto"/>
            <w:vAlign w:val="center"/>
            <w:hideMark/>
          </w:tcPr>
          <w:p w14:paraId="701E1A47"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The Australian Organ and Tissue Donation and Transplantation Authority</w:t>
            </w:r>
          </w:p>
        </w:tc>
      </w:tr>
      <w:tr w:rsidR="00880E84" w:rsidRPr="006E508C" w14:paraId="56B0FC19" w14:textId="77777777" w:rsidTr="00F526D8">
        <w:trPr>
          <w:trHeight w:val="300"/>
        </w:trPr>
        <w:tc>
          <w:tcPr>
            <w:tcW w:w="2552" w:type="dxa"/>
            <w:shd w:val="clear" w:color="auto" w:fill="auto"/>
            <w:vAlign w:val="center"/>
            <w:hideMark/>
          </w:tcPr>
          <w:p w14:paraId="1CBB5EC8"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The Privacy Act</w:t>
            </w:r>
          </w:p>
        </w:tc>
        <w:tc>
          <w:tcPr>
            <w:tcW w:w="7348" w:type="dxa"/>
            <w:shd w:val="clear" w:color="auto" w:fill="auto"/>
            <w:vAlign w:val="center"/>
            <w:hideMark/>
          </w:tcPr>
          <w:p w14:paraId="5B2FDFFE"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i/>
                <w:iCs/>
                <w:color w:val="000000"/>
                <w:sz w:val="18"/>
                <w:szCs w:val="18"/>
                <w:lang w:eastAsia="en-AU"/>
              </w:rPr>
              <w:t>The Privacy Act 1988</w:t>
            </w:r>
            <w:r w:rsidRPr="006E508C">
              <w:rPr>
                <w:rFonts w:ascii="Calibri" w:hAnsi="Calibri" w:cs="Calibri"/>
                <w:color w:val="000000"/>
                <w:sz w:val="18"/>
                <w:szCs w:val="18"/>
                <w:lang w:eastAsia="en-AU"/>
              </w:rPr>
              <w:t xml:space="preserve"> (Cth)</w:t>
            </w:r>
          </w:p>
        </w:tc>
      </w:tr>
      <w:tr w:rsidR="00880E84" w:rsidRPr="006E508C" w14:paraId="1F662DB9" w14:textId="77777777" w:rsidTr="00F526D8">
        <w:trPr>
          <w:trHeight w:val="153"/>
        </w:trPr>
        <w:tc>
          <w:tcPr>
            <w:tcW w:w="2552" w:type="dxa"/>
            <w:shd w:val="clear" w:color="auto" w:fill="auto"/>
            <w:vAlign w:val="center"/>
            <w:hideMark/>
          </w:tcPr>
          <w:p w14:paraId="5EC42957"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The Review</w:t>
            </w:r>
          </w:p>
        </w:tc>
        <w:tc>
          <w:tcPr>
            <w:tcW w:w="7348" w:type="dxa"/>
            <w:shd w:val="clear" w:color="auto" w:fill="auto"/>
            <w:vAlign w:val="center"/>
            <w:hideMark/>
          </w:tcPr>
          <w:p w14:paraId="2672DBC7"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i/>
                <w:iCs/>
                <w:color w:val="000000"/>
                <w:sz w:val="18"/>
                <w:szCs w:val="18"/>
                <w:lang w:eastAsia="en-AU"/>
              </w:rPr>
              <w:t>Review of the Australian organ donation, retrieval and transplantation system</w:t>
            </w:r>
            <w:r w:rsidRPr="006E508C">
              <w:rPr>
                <w:rFonts w:ascii="Calibri" w:hAnsi="Calibri" w:cs="Calibri"/>
                <w:color w:val="000000"/>
                <w:sz w:val="18"/>
                <w:szCs w:val="18"/>
                <w:lang w:eastAsia="en-AU"/>
              </w:rPr>
              <w:t>, Ernst and Young 2018</w:t>
            </w:r>
          </w:p>
        </w:tc>
      </w:tr>
      <w:tr w:rsidR="00880E84" w:rsidRPr="006E508C" w14:paraId="5808DEF8" w14:textId="77777777" w:rsidTr="00F526D8">
        <w:trPr>
          <w:trHeight w:val="300"/>
        </w:trPr>
        <w:tc>
          <w:tcPr>
            <w:tcW w:w="2552" w:type="dxa"/>
            <w:shd w:val="clear" w:color="auto" w:fill="auto"/>
            <w:vAlign w:val="center"/>
            <w:hideMark/>
          </w:tcPr>
          <w:p w14:paraId="2DF4D02D"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The Steering Committee</w:t>
            </w:r>
          </w:p>
        </w:tc>
        <w:tc>
          <w:tcPr>
            <w:tcW w:w="7348" w:type="dxa"/>
            <w:shd w:val="clear" w:color="auto" w:fill="auto"/>
            <w:vAlign w:val="center"/>
            <w:hideMark/>
          </w:tcPr>
          <w:p w14:paraId="23E30A24"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The Organ Review Steering Committee</w:t>
            </w:r>
          </w:p>
        </w:tc>
      </w:tr>
      <w:tr w:rsidR="00880E84" w:rsidRPr="006E508C" w14:paraId="0E0212EC" w14:textId="77777777" w:rsidTr="00F526D8">
        <w:trPr>
          <w:trHeight w:val="300"/>
        </w:trPr>
        <w:tc>
          <w:tcPr>
            <w:tcW w:w="2552" w:type="dxa"/>
            <w:shd w:val="clear" w:color="auto" w:fill="auto"/>
            <w:vAlign w:val="center"/>
            <w:hideMark/>
          </w:tcPr>
          <w:p w14:paraId="675EAC67"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The TSANZ</w:t>
            </w:r>
          </w:p>
        </w:tc>
        <w:tc>
          <w:tcPr>
            <w:tcW w:w="7348" w:type="dxa"/>
            <w:shd w:val="clear" w:color="auto" w:fill="auto"/>
            <w:vAlign w:val="center"/>
            <w:hideMark/>
          </w:tcPr>
          <w:p w14:paraId="3608E33B"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Transplantation Society of Australia and New Zealand</w:t>
            </w:r>
          </w:p>
        </w:tc>
      </w:tr>
      <w:tr w:rsidR="00880E84" w:rsidRPr="006E508C" w14:paraId="196B6B2F" w14:textId="77777777" w:rsidTr="00F526D8">
        <w:trPr>
          <w:trHeight w:val="300"/>
        </w:trPr>
        <w:tc>
          <w:tcPr>
            <w:tcW w:w="2552" w:type="dxa"/>
            <w:shd w:val="clear" w:color="auto" w:fill="auto"/>
            <w:vAlign w:val="center"/>
            <w:hideMark/>
          </w:tcPr>
          <w:p w14:paraId="009C9BF7"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TLRG</w:t>
            </w:r>
          </w:p>
        </w:tc>
        <w:tc>
          <w:tcPr>
            <w:tcW w:w="7348" w:type="dxa"/>
            <w:shd w:val="clear" w:color="auto" w:fill="auto"/>
            <w:vAlign w:val="center"/>
            <w:hideMark/>
          </w:tcPr>
          <w:p w14:paraId="1317F700"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Transplant Liaison Reference Group</w:t>
            </w:r>
          </w:p>
        </w:tc>
      </w:tr>
      <w:tr w:rsidR="00880E84" w:rsidRPr="006E508C" w14:paraId="183E6951" w14:textId="77777777" w:rsidTr="00F526D8">
        <w:trPr>
          <w:trHeight w:val="300"/>
        </w:trPr>
        <w:tc>
          <w:tcPr>
            <w:tcW w:w="2552" w:type="dxa"/>
            <w:shd w:val="clear" w:color="auto" w:fill="auto"/>
            <w:vAlign w:val="center"/>
            <w:hideMark/>
          </w:tcPr>
          <w:p w14:paraId="48FBA12F" w14:textId="77777777" w:rsidR="00880E84" w:rsidRPr="006E508C" w:rsidRDefault="00880E84" w:rsidP="00F526D8">
            <w:pPr>
              <w:spacing w:before="40" w:after="40"/>
              <w:rPr>
                <w:rFonts w:ascii="Calibri" w:hAnsi="Calibri" w:cs="Calibri"/>
                <w:b/>
                <w:bCs/>
                <w:color w:val="000000"/>
                <w:sz w:val="18"/>
                <w:szCs w:val="18"/>
                <w:lang w:eastAsia="en-AU"/>
              </w:rPr>
            </w:pPr>
            <w:r w:rsidRPr="006E508C">
              <w:rPr>
                <w:rFonts w:ascii="Calibri" w:hAnsi="Calibri" w:cs="Calibri"/>
                <w:b/>
                <w:bCs/>
                <w:color w:val="000000"/>
                <w:sz w:val="18"/>
                <w:szCs w:val="18"/>
                <w:lang w:eastAsia="en-AU"/>
              </w:rPr>
              <w:t>VTRTAC</w:t>
            </w:r>
          </w:p>
        </w:tc>
        <w:tc>
          <w:tcPr>
            <w:tcW w:w="7348" w:type="dxa"/>
            <w:shd w:val="clear" w:color="auto" w:fill="auto"/>
            <w:vAlign w:val="center"/>
            <w:hideMark/>
          </w:tcPr>
          <w:p w14:paraId="7863659E" w14:textId="77777777" w:rsidR="00880E84" w:rsidRPr="006E508C" w:rsidRDefault="00880E84" w:rsidP="00F526D8">
            <w:pPr>
              <w:spacing w:before="40" w:after="40"/>
              <w:rPr>
                <w:rFonts w:ascii="Calibri" w:hAnsi="Calibri" w:cs="Calibri"/>
                <w:color w:val="000000"/>
                <w:sz w:val="18"/>
                <w:szCs w:val="18"/>
                <w:lang w:eastAsia="en-AU"/>
              </w:rPr>
            </w:pPr>
            <w:r w:rsidRPr="006E508C">
              <w:rPr>
                <w:rFonts w:ascii="Calibri" w:hAnsi="Calibri" w:cs="Calibri"/>
                <w:color w:val="000000"/>
                <w:sz w:val="18"/>
                <w:szCs w:val="18"/>
                <w:lang w:eastAsia="en-AU"/>
              </w:rPr>
              <w:t>Victorian and Tasmanian Renal Transplantation Advisory Committee</w:t>
            </w:r>
          </w:p>
        </w:tc>
      </w:tr>
    </w:tbl>
    <w:p w14:paraId="2D5B1946" w14:textId="77777777" w:rsidR="00C84DD9" w:rsidRDefault="00F427B6">
      <w:pPr>
        <w:widowControl/>
        <w:autoSpaceDE/>
        <w:autoSpaceDN/>
        <w:adjustRightInd/>
        <w:spacing w:after="200" w:line="276" w:lineRule="auto"/>
        <w:rPr>
          <w:rFonts w:asciiTheme="minorHAnsi" w:hAnsiTheme="minorHAnsi" w:cstheme="minorHAnsi"/>
          <w:color w:val="808080"/>
          <w:kern w:val="12"/>
          <w:sz w:val="48"/>
          <w:szCs w:val="24"/>
          <w:lang w:val="en-GB"/>
        </w:rPr>
      </w:pPr>
      <w:r>
        <w:rPr>
          <w:rFonts w:asciiTheme="minorHAnsi" w:hAnsiTheme="minorHAnsi" w:cstheme="minorHAnsi"/>
          <w:sz w:val="48"/>
        </w:rPr>
        <w:t xml:space="preserve"> </w:t>
      </w:r>
      <w:r w:rsidR="00C84DD9">
        <w:rPr>
          <w:rFonts w:asciiTheme="minorHAnsi" w:hAnsiTheme="minorHAnsi" w:cstheme="minorHAnsi"/>
          <w:sz w:val="48"/>
        </w:rPr>
        <w:br w:type="page"/>
      </w:r>
    </w:p>
    <w:p w14:paraId="1AE56BE6" w14:textId="7E6F7D21" w:rsidR="007E2BF2" w:rsidRDefault="00F248FB" w:rsidP="002D2B3D">
      <w:pPr>
        <w:pStyle w:val="Heading1"/>
        <w:tabs>
          <w:tab w:val="clear" w:pos="1559"/>
          <w:tab w:val="num" w:pos="993"/>
        </w:tabs>
        <w:ind w:left="992" w:hanging="992"/>
        <w:rPr>
          <w:rFonts w:asciiTheme="minorHAnsi" w:hAnsiTheme="minorHAnsi" w:cstheme="minorHAnsi"/>
          <w:sz w:val="48"/>
        </w:rPr>
      </w:pPr>
      <w:r>
        <w:rPr>
          <w:rFonts w:asciiTheme="minorHAnsi" w:hAnsiTheme="minorHAnsi" w:cstheme="minorHAnsi"/>
          <w:sz w:val="48"/>
        </w:rPr>
        <w:lastRenderedPageBreak/>
        <w:tab/>
      </w:r>
      <w:bookmarkStart w:id="26" w:name="_Toc532301666"/>
      <w:r w:rsidR="00540D74" w:rsidRPr="00AA47E4">
        <w:rPr>
          <w:rFonts w:asciiTheme="minorHAnsi" w:hAnsiTheme="minorHAnsi" w:cstheme="minorHAnsi"/>
          <w:sz w:val="48"/>
        </w:rPr>
        <w:t xml:space="preserve">Executive </w:t>
      </w:r>
      <w:r w:rsidR="0046700D" w:rsidRPr="00AA47E4">
        <w:rPr>
          <w:rFonts w:asciiTheme="minorHAnsi" w:hAnsiTheme="minorHAnsi" w:cstheme="minorHAnsi"/>
          <w:sz w:val="48"/>
        </w:rPr>
        <w:t>s</w:t>
      </w:r>
      <w:r w:rsidR="00540D74" w:rsidRPr="00AA47E4">
        <w:rPr>
          <w:rFonts w:asciiTheme="minorHAnsi" w:hAnsiTheme="minorHAnsi" w:cstheme="minorHAnsi"/>
          <w:sz w:val="48"/>
        </w:rPr>
        <w:t>ummary</w:t>
      </w:r>
      <w:bookmarkEnd w:id="23"/>
      <w:bookmarkEnd w:id="24"/>
      <w:bookmarkEnd w:id="25"/>
      <w:bookmarkEnd w:id="26"/>
    </w:p>
    <w:p w14:paraId="6E690562" w14:textId="77777777" w:rsidR="00806F34" w:rsidRDefault="00806F34" w:rsidP="00806F34">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27" w:name="_Toc532301667"/>
      <w:r>
        <w:rPr>
          <w:rFonts w:asciiTheme="minorHAnsi" w:hAnsiTheme="minorHAnsi" w:cstheme="minorHAnsi"/>
          <w:iCs/>
          <w:color w:val="7F7F7F" w:themeColor="text1" w:themeTint="80"/>
          <w:sz w:val="36"/>
          <w:szCs w:val="30"/>
        </w:rPr>
        <w:t>Introduction</w:t>
      </w:r>
      <w:bookmarkEnd w:id="27"/>
    </w:p>
    <w:p w14:paraId="4E006E99" w14:textId="77777777" w:rsidR="00806F34" w:rsidRPr="001D081D" w:rsidRDefault="00806F34" w:rsidP="00806F34">
      <w:pPr>
        <w:pStyle w:val="Heading3"/>
        <w:tabs>
          <w:tab w:val="clear" w:pos="1843"/>
          <w:tab w:val="num" w:pos="1559"/>
        </w:tabs>
        <w:ind w:left="992" w:hanging="992"/>
        <w:rPr>
          <w:rFonts w:asciiTheme="minorHAnsi" w:hAnsiTheme="minorHAnsi" w:cstheme="minorHAnsi"/>
          <w:color w:val="7F7F7F" w:themeColor="text1" w:themeTint="80"/>
          <w:sz w:val="30"/>
          <w:szCs w:val="30"/>
        </w:rPr>
      </w:pPr>
      <w:r w:rsidRPr="001D081D">
        <w:rPr>
          <w:rFonts w:asciiTheme="minorHAnsi" w:hAnsiTheme="minorHAnsi" w:cstheme="minorHAnsi"/>
          <w:b w:val="0"/>
          <w:color w:val="7F7F7F" w:themeColor="text1" w:themeTint="80"/>
          <w:sz w:val="30"/>
          <w:szCs w:val="30"/>
        </w:rPr>
        <w:t xml:space="preserve">Organ donation, </w:t>
      </w:r>
      <w:r w:rsidRPr="00944105">
        <w:rPr>
          <w:rFonts w:asciiTheme="minorHAnsi" w:hAnsiTheme="minorHAnsi" w:cstheme="minorHAnsi"/>
          <w:b w:val="0"/>
          <w:color w:val="7F7F7F" w:themeColor="text1" w:themeTint="80"/>
          <w:sz w:val="30"/>
          <w:szCs w:val="30"/>
        </w:rPr>
        <w:t>retrieval</w:t>
      </w:r>
      <w:r w:rsidRPr="001D081D">
        <w:rPr>
          <w:rFonts w:asciiTheme="minorHAnsi" w:hAnsiTheme="minorHAnsi" w:cstheme="minorHAnsi"/>
          <w:b w:val="0"/>
          <w:color w:val="7F7F7F" w:themeColor="text1" w:themeTint="80"/>
          <w:sz w:val="30"/>
          <w:szCs w:val="30"/>
        </w:rPr>
        <w:t xml:space="preserve"> and transplantation in </w:t>
      </w:r>
      <w:r w:rsidRPr="00944105">
        <w:rPr>
          <w:rFonts w:asciiTheme="minorHAnsi" w:hAnsiTheme="minorHAnsi" w:cstheme="minorHAnsi"/>
          <w:b w:val="0"/>
          <w:color w:val="7F7F7F" w:themeColor="text1" w:themeTint="80"/>
          <w:sz w:val="30"/>
          <w:szCs w:val="30"/>
        </w:rPr>
        <w:t>Australia</w:t>
      </w:r>
    </w:p>
    <w:p w14:paraId="019FAFF0" w14:textId="77777777" w:rsidR="00806F34" w:rsidRPr="00173F87" w:rsidRDefault="00806F34" w:rsidP="00806F34">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Organ </w:t>
      </w:r>
      <w:r w:rsidRPr="00173F87">
        <w:rPr>
          <w:rFonts w:asciiTheme="minorHAnsi" w:hAnsiTheme="minorHAnsi" w:cstheme="minorHAnsi"/>
          <w:sz w:val="24"/>
          <w:szCs w:val="22"/>
          <w:lang w:val="en-GB"/>
        </w:rPr>
        <w:t>transplantation is a highly effective treatment for advanced organ failure that relies on donation from living or deceased persons.</w:t>
      </w:r>
      <w:r w:rsidRPr="001D081D">
        <w:rPr>
          <w:rStyle w:val="FootnoteReference"/>
          <w:rFonts w:asciiTheme="minorHAnsi" w:hAnsiTheme="minorHAnsi" w:cstheme="minorHAnsi"/>
          <w:lang w:val="en-GB"/>
        </w:rPr>
        <w:footnoteReference w:id="2"/>
      </w:r>
      <w:r w:rsidRPr="00173F87">
        <w:rPr>
          <w:rFonts w:asciiTheme="minorHAnsi" w:hAnsiTheme="minorHAnsi" w:cstheme="minorHAnsi"/>
          <w:sz w:val="24"/>
          <w:szCs w:val="22"/>
          <w:lang w:val="en-GB"/>
        </w:rPr>
        <w:t xml:space="preserve"> Organ donation is when a person allows an organ of theirs to be legally removed, either by consent while the donor is alive or after death with the assent of the next of kin.</w:t>
      </w:r>
      <w:r w:rsidRPr="001D081D">
        <w:rPr>
          <w:rStyle w:val="FootnoteReference"/>
          <w:rFonts w:asciiTheme="minorHAnsi" w:hAnsiTheme="minorHAnsi" w:cstheme="minorHAnsi"/>
          <w:lang w:val="en-GB"/>
        </w:rPr>
        <w:footnoteReference w:id="3"/>
      </w:r>
      <w:r w:rsidRPr="00173F87">
        <w:rPr>
          <w:rFonts w:asciiTheme="minorHAnsi" w:hAnsiTheme="minorHAnsi" w:cstheme="minorHAnsi"/>
          <w:sz w:val="24"/>
          <w:szCs w:val="22"/>
          <w:lang w:val="en-GB"/>
        </w:rPr>
        <w:t xml:space="preserve"> </w:t>
      </w:r>
    </w:p>
    <w:p w14:paraId="662D412F" w14:textId="77777777" w:rsidR="00806F34" w:rsidRPr="00173F87" w:rsidRDefault="00806F34" w:rsidP="00806F34">
      <w:pPr>
        <w:spacing w:after="120"/>
        <w:rPr>
          <w:rFonts w:asciiTheme="minorHAnsi" w:hAnsiTheme="minorHAnsi" w:cstheme="minorHAnsi"/>
          <w:sz w:val="24"/>
          <w:szCs w:val="22"/>
          <w:lang w:val="en-GB"/>
        </w:rPr>
      </w:pPr>
      <w:r w:rsidRPr="00173F87">
        <w:rPr>
          <w:rFonts w:asciiTheme="minorHAnsi" w:hAnsiTheme="minorHAnsi" w:cstheme="minorHAnsi"/>
          <w:sz w:val="24"/>
          <w:szCs w:val="22"/>
          <w:lang w:val="en-GB"/>
        </w:rPr>
        <w:t>A summary overview</w:t>
      </w:r>
      <w:r w:rsidR="00F83CED">
        <w:rPr>
          <w:rFonts w:asciiTheme="minorHAnsi" w:hAnsiTheme="minorHAnsi" w:cstheme="minorHAnsi"/>
          <w:sz w:val="24"/>
          <w:szCs w:val="22"/>
          <w:lang w:val="en-GB"/>
        </w:rPr>
        <w:t xml:space="preserve"> of</w:t>
      </w:r>
      <w:r w:rsidRPr="00173F87">
        <w:rPr>
          <w:rFonts w:asciiTheme="minorHAnsi" w:hAnsiTheme="minorHAnsi" w:cstheme="minorHAnsi"/>
          <w:sz w:val="24"/>
          <w:szCs w:val="22"/>
          <w:lang w:val="en-GB"/>
        </w:rPr>
        <w:t xml:space="preserve"> eight key elements or steps of the Australian organ donation, retrieval and transplantation functional model are outlined in</w:t>
      </w:r>
      <w:r w:rsidR="00953C05">
        <w:rPr>
          <w:rFonts w:asciiTheme="minorHAnsi" w:hAnsiTheme="minorHAnsi" w:cstheme="minorHAnsi"/>
          <w:sz w:val="24"/>
          <w:szCs w:val="22"/>
          <w:lang w:val="en-GB"/>
        </w:rPr>
        <w:t xml:space="preserve"> Figure 1</w:t>
      </w:r>
      <w:r w:rsidRPr="00173F87">
        <w:rPr>
          <w:rFonts w:asciiTheme="minorHAnsi" w:hAnsiTheme="minorHAnsi" w:cstheme="minorHAnsi"/>
          <w:sz w:val="24"/>
          <w:szCs w:val="22"/>
          <w:lang w:val="en-GB"/>
        </w:rPr>
        <w:t xml:space="preserve">. This diagram outlines the key steps or processes regarding how the current system operates. A more detailed version of the functional model can be found </w:t>
      </w:r>
      <w:r w:rsidRPr="003A517E">
        <w:rPr>
          <w:rFonts w:asciiTheme="minorHAnsi" w:hAnsiTheme="minorHAnsi" w:cstheme="minorHAnsi"/>
          <w:sz w:val="24"/>
          <w:szCs w:val="22"/>
          <w:lang w:val="en-GB"/>
        </w:rPr>
        <w:t xml:space="preserve">in </w:t>
      </w:r>
      <w:r w:rsidR="00953C05">
        <w:rPr>
          <w:rFonts w:asciiTheme="minorHAnsi" w:hAnsiTheme="minorHAnsi" w:cstheme="minorHAnsi"/>
          <w:sz w:val="24"/>
          <w:szCs w:val="22"/>
          <w:lang w:val="en-GB"/>
        </w:rPr>
        <w:t>Figure 2</w:t>
      </w:r>
      <w:r w:rsidRPr="003A517E">
        <w:rPr>
          <w:rFonts w:asciiTheme="minorHAnsi" w:hAnsiTheme="minorHAnsi" w:cstheme="minorHAnsi"/>
          <w:sz w:val="24"/>
          <w:szCs w:val="22"/>
          <w:lang w:val="en-GB"/>
        </w:rPr>
        <w:t>.</w:t>
      </w:r>
    </w:p>
    <w:p w14:paraId="712A8E5A" w14:textId="51FF7632" w:rsidR="00806F34" w:rsidRPr="001D081D" w:rsidRDefault="00806F34" w:rsidP="00806F34">
      <w:pPr>
        <w:pStyle w:val="Caption"/>
        <w:keepNext/>
        <w:keepLines/>
        <w:widowControl/>
        <w:spacing w:after="60"/>
        <w:rPr>
          <w:rFonts w:asciiTheme="minorHAnsi" w:hAnsiTheme="minorHAnsi" w:cstheme="minorHAnsi"/>
          <w:b w:val="0"/>
          <w:color w:val="808080"/>
          <w:sz w:val="20"/>
        </w:rPr>
      </w:pPr>
      <w:bookmarkStart w:id="28" w:name="_Ref530059596"/>
      <w:r w:rsidRPr="001D081D">
        <w:rPr>
          <w:rFonts w:asciiTheme="minorHAnsi" w:hAnsiTheme="minorHAnsi" w:cstheme="minorHAnsi"/>
          <w:b w:val="0"/>
          <w:color w:val="808080"/>
          <w:sz w:val="20"/>
        </w:rPr>
        <w:t xml:space="preserve">Figure </w:t>
      </w:r>
      <w:r w:rsidRPr="001D081D">
        <w:rPr>
          <w:rFonts w:asciiTheme="minorHAnsi" w:hAnsiTheme="minorHAnsi" w:cstheme="minorHAnsi"/>
          <w:b w:val="0"/>
          <w:color w:val="808080"/>
          <w:sz w:val="20"/>
        </w:rPr>
        <w:fldChar w:fldCharType="begin"/>
      </w:r>
      <w:r w:rsidRPr="001D081D">
        <w:rPr>
          <w:rFonts w:asciiTheme="minorHAnsi" w:hAnsiTheme="minorHAnsi" w:cstheme="minorHAnsi"/>
          <w:b w:val="0"/>
          <w:color w:val="808080"/>
          <w:sz w:val="20"/>
        </w:rPr>
        <w:instrText xml:space="preserve"> SEQ Figure \* ARABIC </w:instrText>
      </w:r>
      <w:r w:rsidRPr="001D081D">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1</w:t>
      </w:r>
      <w:r w:rsidRPr="001D081D">
        <w:rPr>
          <w:rFonts w:asciiTheme="minorHAnsi" w:hAnsiTheme="minorHAnsi" w:cstheme="minorHAnsi"/>
          <w:b w:val="0"/>
          <w:color w:val="808080"/>
          <w:sz w:val="20"/>
        </w:rPr>
        <w:fldChar w:fldCharType="end"/>
      </w:r>
      <w:bookmarkEnd w:id="28"/>
      <w:r w:rsidRPr="001D081D">
        <w:rPr>
          <w:rFonts w:asciiTheme="minorHAnsi" w:hAnsiTheme="minorHAnsi" w:cstheme="minorHAnsi"/>
          <w:b w:val="0"/>
          <w:color w:val="808080"/>
          <w:sz w:val="20"/>
        </w:rPr>
        <w:t>:</w:t>
      </w:r>
      <w:r>
        <w:rPr>
          <w:rFonts w:asciiTheme="minorHAnsi" w:hAnsiTheme="minorHAnsi" w:cstheme="minorHAnsi"/>
          <w:b w:val="0"/>
          <w:color w:val="808080"/>
          <w:sz w:val="20"/>
        </w:rPr>
        <w:t xml:space="preserve"> Summary overview of the Australian </w:t>
      </w:r>
      <w:r w:rsidRPr="008868AA">
        <w:rPr>
          <w:rFonts w:asciiTheme="minorHAnsi" w:hAnsiTheme="minorHAnsi" w:cstheme="minorHAnsi"/>
          <w:b w:val="0"/>
          <w:color w:val="808080"/>
          <w:sz w:val="20"/>
        </w:rPr>
        <w:t>organ donation, retrieval and transplantation functional model</w:t>
      </w:r>
    </w:p>
    <w:p w14:paraId="08A3F5AE" w14:textId="3EB5FC22" w:rsidR="00806F34" w:rsidRPr="0000013E" w:rsidRDefault="005D130F" w:rsidP="0000013E">
      <w:pPr>
        <w:spacing w:after="120"/>
      </w:pPr>
      <w:r w:rsidRPr="005D130F">
        <w:rPr>
          <w:noProof/>
          <w:lang w:eastAsia="en-AU"/>
        </w:rPr>
        <w:drawing>
          <wp:inline distT="0" distB="0" distL="0" distR="0" wp14:anchorId="23334F02" wp14:editId="2314E1B1">
            <wp:extent cx="6105525" cy="3567417"/>
            <wp:effectExtent l="0" t="0" r="0" b="0"/>
            <wp:docPr id="31" name="Picture 31" descr="Figure 1 is a flowchart showing an overview of the Australian organ donation, retrieval and transplantation functional model. It is structured by 8 Elements which are outlined in this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3567417"/>
                    </a:xfrm>
                    <a:prstGeom prst="rect">
                      <a:avLst/>
                    </a:prstGeom>
                    <a:noFill/>
                    <a:ln>
                      <a:noFill/>
                    </a:ln>
                  </pic:spPr>
                </pic:pic>
              </a:graphicData>
            </a:graphic>
          </wp:inline>
        </w:drawing>
      </w:r>
    </w:p>
    <w:p w14:paraId="73BB84E7" w14:textId="65FC9CE2" w:rsidR="00806F34" w:rsidRDefault="00806F34" w:rsidP="00806F34">
      <w:pPr>
        <w:spacing w:after="120"/>
        <w:rPr>
          <w:rFonts w:asciiTheme="minorHAnsi" w:hAnsiTheme="minorHAnsi" w:cstheme="minorHAnsi"/>
          <w:sz w:val="24"/>
          <w:szCs w:val="22"/>
        </w:rPr>
      </w:pPr>
      <w:r>
        <w:rPr>
          <w:rFonts w:asciiTheme="minorHAnsi" w:hAnsiTheme="minorHAnsi" w:cstheme="minorHAnsi"/>
          <w:sz w:val="24"/>
          <w:szCs w:val="22"/>
          <w:lang w:val="en-GB"/>
        </w:rPr>
        <w:t>O</w:t>
      </w:r>
      <w:r w:rsidRPr="0024317A">
        <w:rPr>
          <w:rFonts w:asciiTheme="minorHAnsi" w:hAnsiTheme="minorHAnsi" w:cstheme="minorHAnsi"/>
          <w:sz w:val="24"/>
          <w:szCs w:val="22"/>
          <w:lang w:val="en-GB"/>
        </w:rPr>
        <w:t>n 2 July 2008</w:t>
      </w:r>
      <w:r>
        <w:rPr>
          <w:rFonts w:asciiTheme="minorHAnsi" w:hAnsiTheme="minorHAnsi" w:cstheme="minorHAnsi"/>
          <w:sz w:val="24"/>
          <w:szCs w:val="22"/>
          <w:lang w:val="en-GB"/>
        </w:rPr>
        <w:t>,</w:t>
      </w:r>
      <w:r w:rsidRPr="0024317A">
        <w:rPr>
          <w:rFonts w:asciiTheme="minorHAnsi" w:hAnsiTheme="minorHAnsi" w:cstheme="minorHAnsi"/>
          <w:sz w:val="24"/>
          <w:szCs w:val="22"/>
          <w:lang w:val="en-GB"/>
        </w:rPr>
        <w:t xml:space="preserve"> the Australian Government announced a national reform package to establish Australia as a world leader in best practice organ donation for transplantation and achieve a significant and lasting increase in the number of tra</w:t>
      </w:r>
      <w:r>
        <w:rPr>
          <w:rFonts w:asciiTheme="minorHAnsi" w:hAnsiTheme="minorHAnsi" w:cstheme="minorHAnsi"/>
          <w:sz w:val="24"/>
          <w:szCs w:val="22"/>
          <w:lang w:val="en-GB"/>
        </w:rPr>
        <w:t xml:space="preserve">nsplants for Australians. A key feature of the reform was the establishment of the </w:t>
      </w:r>
      <w:r w:rsidR="00364D3E">
        <w:rPr>
          <w:rFonts w:asciiTheme="minorHAnsi" w:hAnsiTheme="minorHAnsi" w:cstheme="minorHAnsi"/>
          <w:sz w:val="24"/>
          <w:szCs w:val="22"/>
          <w:lang w:val="en-GB"/>
        </w:rPr>
        <w:t xml:space="preserve">Australian </w:t>
      </w:r>
      <w:r>
        <w:rPr>
          <w:rFonts w:asciiTheme="minorHAnsi" w:hAnsiTheme="minorHAnsi" w:cstheme="minorHAnsi"/>
          <w:sz w:val="24"/>
          <w:szCs w:val="22"/>
          <w:lang w:val="en-GB"/>
        </w:rPr>
        <w:t>Organ and Tissue</w:t>
      </w:r>
      <w:r w:rsidR="00364D3E">
        <w:rPr>
          <w:rFonts w:asciiTheme="minorHAnsi" w:hAnsiTheme="minorHAnsi" w:cstheme="minorHAnsi"/>
          <w:sz w:val="24"/>
          <w:szCs w:val="22"/>
          <w:lang w:val="en-GB"/>
        </w:rPr>
        <w:t xml:space="preserve"> Donation and Transplantation</w:t>
      </w:r>
      <w:r>
        <w:rPr>
          <w:rFonts w:asciiTheme="minorHAnsi" w:hAnsiTheme="minorHAnsi" w:cstheme="minorHAnsi"/>
          <w:sz w:val="24"/>
          <w:szCs w:val="22"/>
          <w:lang w:val="en-GB"/>
        </w:rPr>
        <w:t xml:space="preserve"> Authority (OTA) which was designed to spearhead the reform agenda. </w:t>
      </w:r>
    </w:p>
    <w:p w14:paraId="7BE67CC3" w14:textId="77777777" w:rsidR="00806F34" w:rsidRDefault="00806F34" w:rsidP="00806F34">
      <w:pPr>
        <w:spacing w:after="120"/>
        <w:rPr>
          <w:rFonts w:asciiTheme="minorHAnsi" w:hAnsiTheme="minorHAnsi" w:cstheme="minorHAnsi"/>
          <w:sz w:val="24"/>
          <w:szCs w:val="22"/>
          <w:lang w:val="en-GB"/>
        </w:rPr>
      </w:pPr>
      <w:r w:rsidRPr="00F17564">
        <w:rPr>
          <w:rFonts w:asciiTheme="minorHAnsi" w:hAnsiTheme="minorHAnsi" w:cstheme="minorHAnsi"/>
          <w:sz w:val="24"/>
          <w:szCs w:val="22"/>
          <w:lang w:val="en-GB"/>
        </w:rPr>
        <w:t>Since 2009, the number of deceased organ donors has increased by 106</w:t>
      </w:r>
      <w:r>
        <w:rPr>
          <w:rFonts w:asciiTheme="minorHAnsi" w:hAnsiTheme="minorHAnsi" w:cstheme="minorHAnsi"/>
          <w:sz w:val="24"/>
          <w:szCs w:val="22"/>
          <w:lang w:val="en-GB"/>
        </w:rPr>
        <w:t xml:space="preserve"> per cent</w:t>
      </w:r>
      <w:r w:rsidRPr="00F17564">
        <w:rPr>
          <w:rFonts w:asciiTheme="minorHAnsi" w:hAnsiTheme="minorHAnsi" w:cstheme="minorHAnsi"/>
          <w:sz w:val="24"/>
          <w:szCs w:val="22"/>
          <w:lang w:val="en-GB"/>
        </w:rPr>
        <w:t xml:space="preserve"> and the number of transplant recipients by 75</w:t>
      </w:r>
      <w:r>
        <w:rPr>
          <w:rFonts w:asciiTheme="minorHAnsi" w:hAnsiTheme="minorHAnsi" w:cstheme="minorHAnsi"/>
          <w:sz w:val="24"/>
          <w:szCs w:val="22"/>
          <w:lang w:val="en-GB"/>
        </w:rPr>
        <w:t xml:space="preserve"> per cent</w:t>
      </w:r>
      <w:r w:rsidRPr="00F17564">
        <w:rPr>
          <w:rFonts w:asciiTheme="minorHAnsi" w:hAnsiTheme="minorHAnsi" w:cstheme="minorHAnsi"/>
          <w:sz w:val="24"/>
          <w:szCs w:val="22"/>
          <w:lang w:val="en-GB"/>
        </w:rPr>
        <w:t>.</w:t>
      </w:r>
      <w:r>
        <w:rPr>
          <w:rStyle w:val="FootnoteReference"/>
          <w:rFonts w:cstheme="minorHAnsi"/>
          <w:lang w:val="en-GB"/>
        </w:rPr>
        <w:footnoteReference w:id="4"/>
      </w:r>
      <w:r>
        <w:rPr>
          <w:rFonts w:asciiTheme="minorHAnsi" w:hAnsiTheme="minorHAnsi" w:cstheme="minorHAnsi"/>
          <w:sz w:val="24"/>
          <w:szCs w:val="22"/>
          <w:lang w:val="en-GB"/>
        </w:rPr>
        <w:t xml:space="preserve"> </w:t>
      </w:r>
      <w:r w:rsidRPr="00F17564">
        <w:rPr>
          <w:rFonts w:asciiTheme="minorHAnsi" w:hAnsiTheme="minorHAnsi" w:cstheme="minorHAnsi"/>
          <w:sz w:val="24"/>
          <w:szCs w:val="22"/>
          <w:lang w:val="en-GB"/>
        </w:rPr>
        <w:t xml:space="preserve">This increased activity is placing significant pressure on downstream resources and workforce planning for organ retrieval and </w:t>
      </w:r>
      <w:r w:rsidR="00E634FA">
        <w:rPr>
          <w:rFonts w:asciiTheme="minorHAnsi" w:hAnsiTheme="minorHAnsi" w:cstheme="minorHAnsi"/>
          <w:sz w:val="24"/>
          <w:szCs w:val="22"/>
          <w:lang w:val="en-GB"/>
        </w:rPr>
        <w:t>transplantation services</w:t>
      </w:r>
      <w:r w:rsidRPr="00F17564">
        <w:rPr>
          <w:rFonts w:asciiTheme="minorHAnsi" w:hAnsiTheme="minorHAnsi" w:cstheme="minorHAnsi"/>
          <w:sz w:val="24"/>
          <w:szCs w:val="22"/>
          <w:lang w:val="en-GB"/>
        </w:rPr>
        <w:t xml:space="preserve">. </w:t>
      </w:r>
      <w:r w:rsidR="008D1601">
        <w:rPr>
          <w:rFonts w:asciiTheme="minorHAnsi" w:hAnsiTheme="minorHAnsi" w:cstheme="minorHAnsi"/>
          <w:sz w:val="24"/>
          <w:szCs w:val="22"/>
          <w:lang w:val="en-GB"/>
        </w:rPr>
        <w:t>R</w:t>
      </w:r>
      <w:r>
        <w:rPr>
          <w:rFonts w:asciiTheme="minorHAnsi" w:hAnsiTheme="minorHAnsi" w:cstheme="minorHAnsi"/>
          <w:sz w:val="24"/>
          <w:szCs w:val="22"/>
          <w:lang w:val="en-GB"/>
        </w:rPr>
        <w:t>esearchers reported to the media that there was widespread</w:t>
      </w:r>
      <w:r w:rsidRPr="00F17564">
        <w:rPr>
          <w:rFonts w:asciiTheme="minorHAnsi" w:hAnsiTheme="minorHAnsi" w:cstheme="minorHAnsi"/>
          <w:sz w:val="24"/>
          <w:szCs w:val="22"/>
          <w:lang w:val="en-GB"/>
        </w:rPr>
        <w:t xml:space="preserve"> variation in jurisdictional practice</w:t>
      </w:r>
      <w:r w:rsidR="00FA47A7">
        <w:rPr>
          <w:rFonts w:asciiTheme="minorHAnsi" w:hAnsiTheme="minorHAnsi" w:cstheme="minorHAnsi"/>
          <w:sz w:val="24"/>
          <w:szCs w:val="22"/>
          <w:lang w:val="en-GB"/>
        </w:rPr>
        <w:t>. This included</w:t>
      </w:r>
      <w:r w:rsidRPr="00F17564">
        <w:rPr>
          <w:rFonts w:asciiTheme="minorHAnsi" w:hAnsiTheme="minorHAnsi" w:cstheme="minorHAnsi"/>
          <w:sz w:val="24"/>
          <w:szCs w:val="22"/>
          <w:lang w:val="en-GB"/>
        </w:rPr>
        <w:t xml:space="preserve"> wait listing</w:t>
      </w:r>
      <w:r w:rsidR="00FA47A7">
        <w:rPr>
          <w:rFonts w:asciiTheme="minorHAnsi" w:hAnsiTheme="minorHAnsi" w:cstheme="minorHAnsi"/>
          <w:sz w:val="24"/>
          <w:szCs w:val="22"/>
          <w:lang w:val="en-GB"/>
        </w:rPr>
        <w:t xml:space="preserve"> and</w:t>
      </w:r>
      <w:r>
        <w:rPr>
          <w:rFonts w:asciiTheme="minorHAnsi" w:hAnsiTheme="minorHAnsi" w:cstheme="minorHAnsi"/>
          <w:sz w:val="24"/>
          <w:szCs w:val="22"/>
          <w:lang w:val="en-GB"/>
        </w:rPr>
        <w:t xml:space="preserve"> </w:t>
      </w:r>
      <w:r w:rsidRPr="00F17564">
        <w:rPr>
          <w:rFonts w:asciiTheme="minorHAnsi" w:hAnsiTheme="minorHAnsi" w:cstheme="minorHAnsi"/>
          <w:sz w:val="24"/>
          <w:szCs w:val="22"/>
          <w:lang w:val="en-GB"/>
        </w:rPr>
        <w:t>organ offer, allocation and acceptance processes</w:t>
      </w:r>
      <w:r w:rsidR="00FA47A7">
        <w:rPr>
          <w:rFonts w:asciiTheme="minorHAnsi" w:hAnsiTheme="minorHAnsi" w:cstheme="minorHAnsi"/>
          <w:sz w:val="24"/>
          <w:szCs w:val="22"/>
          <w:lang w:val="en-GB"/>
        </w:rPr>
        <w:t>. As well as r</w:t>
      </w:r>
      <w:r>
        <w:rPr>
          <w:rFonts w:asciiTheme="minorHAnsi" w:hAnsiTheme="minorHAnsi" w:cstheme="minorHAnsi"/>
          <w:sz w:val="24"/>
          <w:szCs w:val="22"/>
          <w:lang w:val="en-GB"/>
        </w:rPr>
        <w:t>etrieval</w:t>
      </w:r>
      <w:r w:rsidR="00FA47A7">
        <w:rPr>
          <w:rFonts w:asciiTheme="minorHAnsi" w:hAnsiTheme="minorHAnsi" w:cstheme="minorHAnsi"/>
          <w:sz w:val="24"/>
          <w:szCs w:val="22"/>
          <w:lang w:val="en-GB"/>
        </w:rPr>
        <w:t>,</w:t>
      </w:r>
      <w:r>
        <w:rPr>
          <w:rFonts w:asciiTheme="minorHAnsi" w:hAnsiTheme="minorHAnsi" w:cstheme="minorHAnsi"/>
          <w:sz w:val="24"/>
          <w:szCs w:val="22"/>
          <w:lang w:val="en-GB"/>
        </w:rPr>
        <w:t xml:space="preserve"> transplantation and post transplantation resources</w:t>
      </w:r>
      <w:r w:rsidRPr="00F17564">
        <w:rPr>
          <w:rFonts w:asciiTheme="minorHAnsi" w:hAnsiTheme="minorHAnsi" w:cstheme="minorHAnsi"/>
          <w:sz w:val="24"/>
          <w:szCs w:val="22"/>
          <w:lang w:val="en-GB"/>
        </w:rPr>
        <w:t xml:space="preserve">. </w:t>
      </w:r>
      <w:r>
        <w:rPr>
          <w:rFonts w:asciiTheme="minorHAnsi" w:hAnsiTheme="minorHAnsi" w:cstheme="minorHAnsi"/>
          <w:sz w:val="24"/>
          <w:szCs w:val="22"/>
          <w:lang w:val="en-GB"/>
        </w:rPr>
        <w:t xml:space="preserve">In particular, the </w:t>
      </w:r>
      <w:r>
        <w:rPr>
          <w:rFonts w:asciiTheme="minorHAnsi" w:hAnsiTheme="minorHAnsi" w:cstheme="minorHAnsi"/>
          <w:sz w:val="24"/>
          <w:szCs w:val="22"/>
        </w:rPr>
        <w:t>inequities experienced by Aboriginal and Torres Strait Islander people w</w:t>
      </w:r>
      <w:r w:rsidR="00FA47A7">
        <w:rPr>
          <w:rFonts w:asciiTheme="minorHAnsi" w:hAnsiTheme="minorHAnsi" w:cstheme="minorHAnsi"/>
          <w:sz w:val="24"/>
          <w:szCs w:val="22"/>
        </w:rPr>
        <w:t>ere</w:t>
      </w:r>
      <w:r>
        <w:rPr>
          <w:rFonts w:asciiTheme="minorHAnsi" w:hAnsiTheme="minorHAnsi" w:cstheme="minorHAnsi"/>
          <w:sz w:val="24"/>
          <w:szCs w:val="22"/>
        </w:rPr>
        <w:t xml:space="preserve"> highlighted on </w:t>
      </w:r>
      <w:r w:rsidRPr="0046268E">
        <w:rPr>
          <w:rFonts w:asciiTheme="minorHAnsi" w:hAnsiTheme="minorHAnsi" w:cstheme="minorHAnsi"/>
          <w:i/>
          <w:sz w:val="24"/>
          <w:szCs w:val="22"/>
        </w:rPr>
        <w:t>T</w:t>
      </w:r>
      <w:r w:rsidRPr="001D081D">
        <w:rPr>
          <w:rFonts w:asciiTheme="minorHAnsi" w:hAnsiTheme="minorHAnsi" w:cstheme="minorHAnsi"/>
          <w:i/>
          <w:sz w:val="24"/>
          <w:szCs w:val="22"/>
        </w:rPr>
        <w:t>he 7.30 Report</w:t>
      </w:r>
      <w:r>
        <w:rPr>
          <w:rFonts w:asciiTheme="minorHAnsi" w:hAnsiTheme="minorHAnsi" w:cstheme="minorHAnsi"/>
          <w:sz w:val="24"/>
          <w:szCs w:val="22"/>
        </w:rPr>
        <w:t xml:space="preserve"> in December 2017.</w:t>
      </w:r>
      <w:r w:rsidR="002C1D37">
        <w:rPr>
          <w:rStyle w:val="FootnoteReference"/>
          <w:rFonts w:cstheme="minorHAnsi"/>
        </w:rPr>
        <w:footnoteReference w:id="5"/>
      </w:r>
    </w:p>
    <w:p w14:paraId="544D45F1" w14:textId="77777777" w:rsidR="00806F34" w:rsidRDefault="00806F34" w:rsidP="00806F34">
      <w:pPr>
        <w:spacing w:after="120"/>
        <w:rPr>
          <w:rFonts w:asciiTheme="minorHAnsi" w:hAnsiTheme="minorHAnsi" w:cstheme="minorHAnsi"/>
          <w:sz w:val="24"/>
          <w:szCs w:val="22"/>
        </w:rPr>
      </w:pPr>
      <w:r>
        <w:rPr>
          <w:rFonts w:asciiTheme="minorHAnsi" w:hAnsiTheme="minorHAnsi" w:cstheme="minorHAnsi"/>
          <w:sz w:val="24"/>
          <w:szCs w:val="22"/>
        </w:rPr>
        <w:t>In recognition of this, T</w:t>
      </w:r>
      <w:r w:rsidRPr="001E2E67">
        <w:rPr>
          <w:rFonts w:asciiTheme="minorHAnsi" w:hAnsiTheme="minorHAnsi" w:cstheme="minorHAnsi"/>
          <w:sz w:val="24"/>
          <w:szCs w:val="22"/>
        </w:rPr>
        <w:t>he Minister for Health, the Hon Greg Hunt MP, and the Minister for Aged Care and Minister for Indigenous Health, the Hon Ken Wyatt AM, MP, jointly wrote to all Australian Health Ministers</w:t>
      </w:r>
      <w:r w:rsidR="00FA47A7">
        <w:rPr>
          <w:rFonts w:asciiTheme="minorHAnsi" w:hAnsiTheme="minorHAnsi" w:cstheme="minorHAnsi"/>
          <w:sz w:val="24"/>
          <w:szCs w:val="22"/>
        </w:rPr>
        <w:t xml:space="preserve"> </w:t>
      </w:r>
      <w:r w:rsidR="00FA47A7" w:rsidRPr="001E2E67">
        <w:rPr>
          <w:rFonts w:asciiTheme="minorHAnsi" w:hAnsiTheme="minorHAnsi" w:cstheme="minorHAnsi"/>
          <w:sz w:val="24"/>
          <w:szCs w:val="22"/>
        </w:rPr>
        <w:t>on 21 December 2017</w:t>
      </w:r>
      <w:r w:rsidR="00FA47A7">
        <w:rPr>
          <w:rFonts w:asciiTheme="minorHAnsi" w:hAnsiTheme="minorHAnsi" w:cstheme="minorHAnsi"/>
          <w:sz w:val="24"/>
          <w:szCs w:val="22"/>
        </w:rPr>
        <w:t xml:space="preserve">. They </w:t>
      </w:r>
      <w:r w:rsidRPr="001E2E67">
        <w:rPr>
          <w:rFonts w:asciiTheme="minorHAnsi" w:hAnsiTheme="minorHAnsi" w:cstheme="minorHAnsi"/>
          <w:sz w:val="24"/>
          <w:szCs w:val="22"/>
        </w:rPr>
        <w:t>express</w:t>
      </w:r>
      <w:r w:rsidR="00FA47A7">
        <w:rPr>
          <w:rFonts w:asciiTheme="minorHAnsi" w:hAnsiTheme="minorHAnsi" w:cstheme="minorHAnsi"/>
          <w:sz w:val="24"/>
          <w:szCs w:val="22"/>
        </w:rPr>
        <w:t>ed</w:t>
      </w:r>
      <w:r w:rsidRPr="001E2E67">
        <w:rPr>
          <w:rFonts w:asciiTheme="minorHAnsi" w:hAnsiTheme="minorHAnsi" w:cstheme="minorHAnsi"/>
          <w:sz w:val="24"/>
          <w:szCs w:val="22"/>
        </w:rPr>
        <w:t xml:space="preserve"> their concerns relating to </w:t>
      </w:r>
      <w:r w:rsidR="00FA47A7">
        <w:rPr>
          <w:rFonts w:asciiTheme="minorHAnsi" w:hAnsiTheme="minorHAnsi" w:cstheme="minorHAnsi"/>
          <w:sz w:val="24"/>
          <w:szCs w:val="22"/>
        </w:rPr>
        <w:t xml:space="preserve">the </w:t>
      </w:r>
      <w:r w:rsidRPr="001E2E67">
        <w:rPr>
          <w:rFonts w:asciiTheme="minorHAnsi" w:hAnsiTheme="minorHAnsi" w:cstheme="minorHAnsi"/>
          <w:sz w:val="24"/>
          <w:szCs w:val="22"/>
        </w:rPr>
        <w:t xml:space="preserve">disparity of access to the kidney </w:t>
      </w:r>
      <w:r w:rsidR="00E634FA">
        <w:rPr>
          <w:rFonts w:asciiTheme="minorHAnsi" w:hAnsiTheme="minorHAnsi" w:cstheme="minorHAnsi"/>
          <w:sz w:val="24"/>
          <w:szCs w:val="22"/>
        </w:rPr>
        <w:t>transplantation waiting list</w:t>
      </w:r>
      <w:r w:rsidRPr="001E2E67">
        <w:rPr>
          <w:rFonts w:asciiTheme="minorHAnsi" w:hAnsiTheme="minorHAnsi" w:cstheme="minorHAnsi"/>
          <w:sz w:val="24"/>
          <w:szCs w:val="22"/>
        </w:rPr>
        <w:t xml:space="preserve"> for </w:t>
      </w:r>
      <w:r w:rsidRPr="00F17564">
        <w:rPr>
          <w:rFonts w:asciiTheme="minorHAnsi" w:hAnsiTheme="minorHAnsi" w:cstheme="minorHAnsi"/>
          <w:sz w:val="24"/>
          <w:szCs w:val="22"/>
        </w:rPr>
        <w:t>Aboriginal and Torres Strait Island</w:t>
      </w:r>
      <w:r>
        <w:rPr>
          <w:rFonts w:asciiTheme="minorHAnsi" w:hAnsiTheme="minorHAnsi" w:cstheme="minorHAnsi"/>
          <w:sz w:val="24"/>
          <w:szCs w:val="22"/>
        </w:rPr>
        <w:t>er</w:t>
      </w:r>
      <w:r w:rsidRPr="00F17564">
        <w:rPr>
          <w:rFonts w:asciiTheme="minorHAnsi" w:hAnsiTheme="minorHAnsi" w:cstheme="minorHAnsi"/>
          <w:sz w:val="24"/>
          <w:szCs w:val="22"/>
        </w:rPr>
        <w:t xml:space="preserve"> </w:t>
      </w:r>
      <w:r w:rsidRPr="001E2E67">
        <w:rPr>
          <w:rFonts w:asciiTheme="minorHAnsi" w:hAnsiTheme="minorHAnsi" w:cstheme="minorHAnsi"/>
          <w:sz w:val="24"/>
          <w:szCs w:val="22"/>
        </w:rPr>
        <w:t>people. The letter advised</w:t>
      </w:r>
      <w:r>
        <w:rPr>
          <w:rFonts w:asciiTheme="minorHAnsi" w:hAnsiTheme="minorHAnsi" w:cstheme="minorHAnsi"/>
          <w:sz w:val="24"/>
          <w:szCs w:val="22"/>
        </w:rPr>
        <w:t xml:space="preserve"> it was the goal of the Australian</w:t>
      </w:r>
      <w:r w:rsidR="00DF2C7C">
        <w:rPr>
          <w:rFonts w:asciiTheme="minorHAnsi" w:hAnsiTheme="minorHAnsi" w:cstheme="minorHAnsi"/>
          <w:sz w:val="24"/>
          <w:szCs w:val="22"/>
        </w:rPr>
        <w:t xml:space="preserve"> Government</w:t>
      </w:r>
      <w:r>
        <w:rPr>
          <w:rFonts w:asciiTheme="minorHAnsi" w:hAnsiTheme="minorHAnsi" w:cstheme="minorHAnsi"/>
          <w:sz w:val="24"/>
          <w:szCs w:val="22"/>
        </w:rPr>
        <w:t xml:space="preserve"> to maximise the benefit to as many Australians as possible through transplantation and, as such, there was a need to ensure that the health system has the capability and capacity to optimise every donation and transplantation activity. </w:t>
      </w:r>
      <w:r w:rsidRPr="001E2E67">
        <w:rPr>
          <w:rFonts w:asciiTheme="minorHAnsi" w:hAnsiTheme="minorHAnsi" w:cstheme="minorHAnsi"/>
          <w:sz w:val="24"/>
          <w:szCs w:val="22"/>
        </w:rPr>
        <w:t xml:space="preserve"> </w:t>
      </w:r>
    </w:p>
    <w:p w14:paraId="33810731" w14:textId="77777777" w:rsidR="00806F34" w:rsidRDefault="00806F34" w:rsidP="00806F34">
      <w:r>
        <w:rPr>
          <w:rFonts w:asciiTheme="minorHAnsi" w:hAnsiTheme="minorHAnsi" w:cstheme="minorHAnsi"/>
          <w:sz w:val="24"/>
          <w:szCs w:val="22"/>
        </w:rPr>
        <w:t>In April 2018, the Council of Australian Governments (COAG) Health Ministers considered the issue</w:t>
      </w:r>
      <w:r w:rsidRPr="000A08C0">
        <w:rPr>
          <w:rFonts w:asciiTheme="minorHAnsi" w:hAnsiTheme="minorHAnsi" w:cstheme="minorHAnsi"/>
          <w:sz w:val="24"/>
          <w:szCs w:val="22"/>
        </w:rPr>
        <w:t xml:space="preserve"> of pressure on downstream services from an increased donation rate</w:t>
      </w:r>
      <w:r>
        <w:rPr>
          <w:rFonts w:asciiTheme="minorHAnsi" w:hAnsiTheme="minorHAnsi" w:cstheme="minorHAnsi"/>
          <w:sz w:val="24"/>
          <w:szCs w:val="22"/>
        </w:rPr>
        <w:t xml:space="preserve">. </w:t>
      </w:r>
      <w:r w:rsidR="00FC6D43">
        <w:rPr>
          <w:rFonts w:asciiTheme="minorHAnsi" w:hAnsiTheme="minorHAnsi" w:cstheme="minorHAnsi"/>
          <w:sz w:val="24"/>
          <w:szCs w:val="22"/>
        </w:rPr>
        <w:t>Acknowledging</w:t>
      </w:r>
      <w:r>
        <w:rPr>
          <w:rFonts w:asciiTheme="minorHAnsi" w:hAnsiTheme="minorHAnsi" w:cstheme="minorHAnsi"/>
          <w:sz w:val="24"/>
          <w:szCs w:val="22"/>
        </w:rPr>
        <w:t xml:space="preserve"> the issues facing Aboriginal and Torres Strait Islander people</w:t>
      </w:r>
      <w:r w:rsidR="00FC6D43">
        <w:rPr>
          <w:rFonts w:asciiTheme="minorHAnsi" w:hAnsiTheme="minorHAnsi" w:cstheme="minorHAnsi"/>
          <w:sz w:val="24"/>
          <w:szCs w:val="22"/>
        </w:rPr>
        <w:t xml:space="preserve">, the COAG Health Council </w:t>
      </w:r>
      <w:r w:rsidR="00F83CED">
        <w:rPr>
          <w:rFonts w:asciiTheme="minorHAnsi" w:hAnsiTheme="minorHAnsi" w:cstheme="minorHAnsi"/>
          <w:sz w:val="24"/>
          <w:szCs w:val="22"/>
        </w:rPr>
        <w:t xml:space="preserve">agreed </w:t>
      </w:r>
      <w:r w:rsidR="00FC6D43">
        <w:rPr>
          <w:rFonts w:asciiTheme="minorHAnsi" w:hAnsiTheme="minorHAnsi" w:cstheme="minorHAnsi"/>
          <w:sz w:val="24"/>
          <w:szCs w:val="22"/>
        </w:rPr>
        <w:t xml:space="preserve">that the Australian Government </w:t>
      </w:r>
      <w:r>
        <w:rPr>
          <w:rFonts w:asciiTheme="minorHAnsi" w:hAnsiTheme="minorHAnsi" w:cstheme="minorHAnsi"/>
          <w:sz w:val="24"/>
          <w:szCs w:val="22"/>
        </w:rPr>
        <w:t xml:space="preserve">would undertake a review of the </w:t>
      </w:r>
      <w:r w:rsidR="00FA47A7">
        <w:rPr>
          <w:rFonts w:asciiTheme="minorHAnsi" w:hAnsiTheme="minorHAnsi" w:cstheme="minorHAnsi"/>
          <w:sz w:val="24"/>
          <w:szCs w:val="22"/>
        </w:rPr>
        <w:t xml:space="preserve">Australian </w:t>
      </w:r>
      <w:r>
        <w:rPr>
          <w:rFonts w:asciiTheme="minorHAnsi" w:hAnsiTheme="minorHAnsi" w:cstheme="minorHAnsi"/>
          <w:sz w:val="24"/>
          <w:szCs w:val="22"/>
        </w:rPr>
        <w:t>organ donation retrieval and transplantation system.</w:t>
      </w:r>
    </w:p>
    <w:p w14:paraId="77FDB811" w14:textId="77777777" w:rsidR="00806F34" w:rsidRDefault="00806F34" w:rsidP="00806F34">
      <w:pPr>
        <w:pStyle w:val="Heading3"/>
        <w:tabs>
          <w:tab w:val="clear" w:pos="1843"/>
          <w:tab w:val="num" w:pos="1559"/>
        </w:tabs>
        <w:ind w:left="992" w:hanging="992"/>
        <w:rPr>
          <w:rFonts w:asciiTheme="minorHAnsi" w:hAnsiTheme="minorHAnsi" w:cstheme="minorHAnsi"/>
          <w:color w:val="7F7F7F" w:themeColor="text1" w:themeTint="80"/>
          <w:sz w:val="30"/>
          <w:szCs w:val="30"/>
        </w:rPr>
      </w:pPr>
      <w:r w:rsidRPr="001D081D">
        <w:rPr>
          <w:rFonts w:asciiTheme="minorHAnsi" w:hAnsiTheme="minorHAnsi" w:cstheme="minorHAnsi"/>
          <w:b w:val="0"/>
          <w:color w:val="7F7F7F" w:themeColor="text1" w:themeTint="80"/>
          <w:sz w:val="30"/>
          <w:szCs w:val="30"/>
        </w:rPr>
        <w:t xml:space="preserve">The </w:t>
      </w:r>
      <w:r w:rsidR="00FA47A7">
        <w:rPr>
          <w:rFonts w:asciiTheme="minorHAnsi" w:hAnsiTheme="minorHAnsi" w:cstheme="minorHAnsi"/>
          <w:b w:val="0"/>
          <w:color w:val="7F7F7F" w:themeColor="text1" w:themeTint="80"/>
          <w:sz w:val="30"/>
          <w:szCs w:val="30"/>
        </w:rPr>
        <w:t>R</w:t>
      </w:r>
      <w:r w:rsidRPr="001D081D">
        <w:rPr>
          <w:rFonts w:asciiTheme="minorHAnsi" w:hAnsiTheme="minorHAnsi" w:cstheme="minorHAnsi"/>
          <w:b w:val="0"/>
          <w:color w:val="7F7F7F" w:themeColor="text1" w:themeTint="80"/>
          <w:sz w:val="30"/>
          <w:szCs w:val="30"/>
        </w:rPr>
        <w:t xml:space="preserve">eview of the Australian </w:t>
      </w:r>
      <w:r w:rsidR="00FA47A7">
        <w:rPr>
          <w:rFonts w:asciiTheme="minorHAnsi" w:hAnsiTheme="minorHAnsi" w:cstheme="minorHAnsi"/>
          <w:b w:val="0"/>
          <w:color w:val="7F7F7F" w:themeColor="text1" w:themeTint="80"/>
          <w:sz w:val="30"/>
          <w:szCs w:val="30"/>
        </w:rPr>
        <w:t>O</w:t>
      </w:r>
      <w:r w:rsidRPr="001D081D">
        <w:rPr>
          <w:rFonts w:asciiTheme="minorHAnsi" w:hAnsiTheme="minorHAnsi" w:cstheme="minorHAnsi"/>
          <w:b w:val="0"/>
          <w:color w:val="7F7F7F" w:themeColor="text1" w:themeTint="80"/>
          <w:sz w:val="30"/>
          <w:szCs w:val="30"/>
        </w:rPr>
        <w:t xml:space="preserve">rgan </w:t>
      </w:r>
      <w:r w:rsidR="00FA47A7">
        <w:rPr>
          <w:rFonts w:asciiTheme="minorHAnsi" w:hAnsiTheme="minorHAnsi" w:cstheme="minorHAnsi"/>
          <w:b w:val="0"/>
          <w:color w:val="7F7F7F" w:themeColor="text1" w:themeTint="80"/>
          <w:sz w:val="30"/>
          <w:szCs w:val="30"/>
        </w:rPr>
        <w:t>D</w:t>
      </w:r>
      <w:r w:rsidRPr="001D081D">
        <w:rPr>
          <w:rFonts w:asciiTheme="minorHAnsi" w:hAnsiTheme="minorHAnsi" w:cstheme="minorHAnsi"/>
          <w:b w:val="0"/>
          <w:color w:val="7F7F7F" w:themeColor="text1" w:themeTint="80"/>
          <w:sz w:val="30"/>
          <w:szCs w:val="30"/>
        </w:rPr>
        <w:t xml:space="preserve">onation, </w:t>
      </w:r>
      <w:r w:rsidR="00FA47A7">
        <w:rPr>
          <w:rFonts w:asciiTheme="minorHAnsi" w:hAnsiTheme="minorHAnsi" w:cstheme="minorHAnsi"/>
          <w:b w:val="0"/>
          <w:color w:val="7F7F7F" w:themeColor="text1" w:themeTint="80"/>
          <w:sz w:val="30"/>
          <w:szCs w:val="30"/>
        </w:rPr>
        <w:t>R</w:t>
      </w:r>
      <w:r w:rsidRPr="001D081D">
        <w:rPr>
          <w:rFonts w:asciiTheme="minorHAnsi" w:hAnsiTheme="minorHAnsi" w:cstheme="minorHAnsi"/>
          <w:b w:val="0"/>
          <w:color w:val="7F7F7F" w:themeColor="text1" w:themeTint="80"/>
          <w:sz w:val="30"/>
          <w:szCs w:val="30"/>
        </w:rPr>
        <w:t xml:space="preserve">etrieval and </w:t>
      </w:r>
      <w:r w:rsidR="00FA47A7">
        <w:rPr>
          <w:rFonts w:asciiTheme="minorHAnsi" w:hAnsiTheme="minorHAnsi" w:cstheme="minorHAnsi"/>
          <w:b w:val="0"/>
          <w:color w:val="7F7F7F" w:themeColor="text1" w:themeTint="80"/>
          <w:sz w:val="30"/>
          <w:szCs w:val="30"/>
        </w:rPr>
        <w:t>T</w:t>
      </w:r>
      <w:r w:rsidRPr="001D081D">
        <w:rPr>
          <w:rFonts w:asciiTheme="minorHAnsi" w:hAnsiTheme="minorHAnsi" w:cstheme="minorHAnsi"/>
          <w:b w:val="0"/>
          <w:color w:val="7F7F7F" w:themeColor="text1" w:themeTint="80"/>
          <w:sz w:val="30"/>
          <w:szCs w:val="30"/>
        </w:rPr>
        <w:t xml:space="preserve">ransplantation </w:t>
      </w:r>
      <w:r w:rsidR="00FA47A7">
        <w:rPr>
          <w:rFonts w:asciiTheme="minorHAnsi" w:hAnsiTheme="minorHAnsi" w:cstheme="minorHAnsi"/>
          <w:b w:val="0"/>
          <w:color w:val="7F7F7F" w:themeColor="text1" w:themeTint="80"/>
          <w:sz w:val="30"/>
          <w:szCs w:val="30"/>
        </w:rPr>
        <w:t>S</w:t>
      </w:r>
      <w:r w:rsidRPr="001D081D">
        <w:rPr>
          <w:rFonts w:asciiTheme="minorHAnsi" w:hAnsiTheme="minorHAnsi" w:cstheme="minorHAnsi"/>
          <w:b w:val="0"/>
          <w:color w:val="7F7F7F" w:themeColor="text1" w:themeTint="80"/>
          <w:sz w:val="30"/>
          <w:szCs w:val="30"/>
        </w:rPr>
        <w:t>ystem</w:t>
      </w:r>
    </w:p>
    <w:p w14:paraId="5B8B5923" w14:textId="77777777" w:rsidR="00806F34" w:rsidRPr="001D081D" w:rsidRDefault="00806F34" w:rsidP="00806F34">
      <w:pPr>
        <w:tabs>
          <w:tab w:val="num" w:pos="720"/>
        </w:tabs>
        <w:spacing w:after="120"/>
        <w:rPr>
          <w:rFonts w:asciiTheme="minorHAnsi" w:hAnsiTheme="minorHAnsi" w:cstheme="minorHAnsi"/>
          <w:i/>
          <w:color w:val="808080" w:themeColor="background1" w:themeShade="80"/>
          <w:sz w:val="26"/>
          <w:szCs w:val="26"/>
        </w:rPr>
      </w:pPr>
      <w:r w:rsidRPr="001D081D">
        <w:rPr>
          <w:rFonts w:asciiTheme="minorHAnsi" w:hAnsiTheme="minorHAnsi" w:cstheme="minorHAnsi"/>
          <w:i/>
          <w:color w:val="808080" w:themeColor="background1" w:themeShade="80"/>
          <w:sz w:val="26"/>
          <w:szCs w:val="26"/>
        </w:rPr>
        <w:t>Purpose of the Review</w:t>
      </w:r>
    </w:p>
    <w:p w14:paraId="0BE78263" w14:textId="77777777" w:rsidR="00806F34" w:rsidRDefault="00806F34" w:rsidP="00806F34">
      <w:pPr>
        <w:spacing w:after="120"/>
        <w:rPr>
          <w:rFonts w:asciiTheme="minorHAnsi" w:hAnsiTheme="minorHAnsi" w:cstheme="minorHAnsi"/>
          <w:sz w:val="24"/>
          <w:szCs w:val="22"/>
        </w:rPr>
      </w:pPr>
      <w:r>
        <w:rPr>
          <w:rFonts w:asciiTheme="minorHAnsi" w:hAnsiTheme="minorHAnsi" w:cstheme="minorHAnsi"/>
          <w:sz w:val="24"/>
          <w:szCs w:val="22"/>
        </w:rPr>
        <w:t>T</w:t>
      </w:r>
      <w:r w:rsidRPr="00F37D51">
        <w:rPr>
          <w:rFonts w:asciiTheme="minorHAnsi" w:hAnsiTheme="minorHAnsi" w:cstheme="minorHAnsi"/>
          <w:sz w:val="24"/>
          <w:szCs w:val="22"/>
        </w:rPr>
        <w:t xml:space="preserve">he </w:t>
      </w:r>
      <w:r>
        <w:rPr>
          <w:rFonts w:asciiTheme="minorHAnsi" w:hAnsiTheme="minorHAnsi" w:cstheme="minorHAnsi"/>
          <w:sz w:val="24"/>
          <w:szCs w:val="22"/>
        </w:rPr>
        <w:t xml:space="preserve">Australian Government </w:t>
      </w:r>
      <w:r w:rsidRPr="00F37D51">
        <w:rPr>
          <w:rFonts w:asciiTheme="minorHAnsi" w:hAnsiTheme="minorHAnsi" w:cstheme="minorHAnsi"/>
          <w:sz w:val="24"/>
          <w:szCs w:val="22"/>
        </w:rPr>
        <w:t xml:space="preserve">Department </w:t>
      </w:r>
      <w:r>
        <w:rPr>
          <w:rFonts w:asciiTheme="minorHAnsi" w:hAnsiTheme="minorHAnsi" w:cstheme="minorHAnsi"/>
          <w:sz w:val="24"/>
          <w:szCs w:val="22"/>
        </w:rPr>
        <w:t xml:space="preserve">of Health </w:t>
      </w:r>
      <w:r w:rsidRPr="00F37D51">
        <w:rPr>
          <w:rFonts w:asciiTheme="minorHAnsi" w:hAnsiTheme="minorHAnsi" w:cstheme="minorHAnsi"/>
          <w:sz w:val="24"/>
          <w:szCs w:val="22"/>
        </w:rPr>
        <w:t xml:space="preserve">engaged EY to undertake the </w:t>
      </w:r>
      <w:r w:rsidR="00C20E52">
        <w:rPr>
          <w:rFonts w:asciiTheme="minorHAnsi" w:hAnsiTheme="minorHAnsi" w:cstheme="minorHAnsi"/>
          <w:sz w:val="24"/>
          <w:szCs w:val="22"/>
        </w:rPr>
        <w:t>R</w:t>
      </w:r>
      <w:r w:rsidRPr="00F37D51">
        <w:rPr>
          <w:rFonts w:asciiTheme="minorHAnsi" w:hAnsiTheme="minorHAnsi" w:cstheme="minorHAnsi"/>
          <w:sz w:val="24"/>
          <w:szCs w:val="22"/>
        </w:rPr>
        <w:t>eview of the</w:t>
      </w:r>
      <w:r>
        <w:rPr>
          <w:rFonts w:asciiTheme="minorHAnsi" w:hAnsiTheme="minorHAnsi" w:cstheme="minorHAnsi"/>
          <w:sz w:val="24"/>
          <w:szCs w:val="22"/>
        </w:rPr>
        <w:t xml:space="preserve"> </w:t>
      </w:r>
      <w:r w:rsidR="00FA47A7">
        <w:rPr>
          <w:rFonts w:asciiTheme="minorHAnsi" w:hAnsiTheme="minorHAnsi" w:cstheme="minorHAnsi"/>
          <w:sz w:val="24"/>
          <w:szCs w:val="22"/>
        </w:rPr>
        <w:t>Australian O</w:t>
      </w:r>
      <w:r w:rsidRPr="00F37D51">
        <w:rPr>
          <w:rFonts w:asciiTheme="minorHAnsi" w:hAnsiTheme="minorHAnsi" w:cstheme="minorHAnsi"/>
          <w:sz w:val="24"/>
          <w:szCs w:val="22"/>
        </w:rPr>
        <w:t xml:space="preserve">rgan </w:t>
      </w:r>
      <w:r w:rsidR="00FA47A7">
        <w:rPr>
          <w:rFonts w:asciiTheme="minorHAnsi" w:hAnsiTheme="minorHAnsi" w:cstheme="minorHAnsi"/>
          <w:sz w:val="24"/>
          <w:szCs w:val="22"/>
        </w:rPr>
        <w:t>D</w:t>
      </w:r>
      <w:r w:rsidRPr="00F37D51">
        <w:rPr>
          <w:rFonts w:asciiTheme="minorHAnsi" w:hAnsiTheme="minorHAnsi" w:cstheme="minorHAnsi"/>
          <w:sz w:val="24"/>
          <w:szCs w:val="22"/>
        </w:rPr>
        <w:t xml:space="preserve">onation, </w:t>
      </w:r>
      <w:r w:rsidR="00FA47A7">
        <w:rPr>
          <w:rFonts w:asciiTheme="minorHAnsi" w:hAnsiTheme="minorHAnsi" w:cstheme="minorHAnsi"/>
          <w:sz w:val="24"/>
          <w:szCs w:val="22"/>
        </w:rPr>
        <w:t>R</w:t>
      </w:r>
      <w:r w:rsidRPr="00F37D51">
        <w:rPr>
          <w:rFonts w:asciiTheme="minorHAnsi" w:hAnsiTheme="minorHAnsi" w:cstheme="minorHAnsi"/>
          <w:sz w:val="24"/>
          <w:szCs w:val="22"/>
        </w:rPr>
        <w:t xml:space="preserve">etrieval and </w:t>
      </w:r>
      <w:r w:rsidR="00FA47A7">
        <w:rPr>
          <w:rFonts w:asciiTheme="minorHAnsi" w:hAnsiTheme="minorHAnsi" w:cstheme="minorHAnsi"/>
          <w:sz w:val="24"/>
          <w:szCs w:val="22"/>
        </w:rPr>
        <w:t>T</w:t>
      </w:r>
      <w:r w:rsidRPr="00F37D51">
        <w:rPr>
          <w:rFonts w:asciiTheme="minorHAnsi" w:hAnsiTheme="minorHAnsi" w:cstheme="minorHAnsi"/>
          <w:sz w:val="24"/>
          <w:szCs w:val="22"/>
        </w:rPr>
        <w:t xml:space="preserve">ransplantation </w:t>
      </w:r>
      <w:r w:rsidR="00FA47A7">
        <w:rPr>
          <w:rFonts w:asciiTheme="minorHAnsi" w:hAnsiTheme="minorHAnsi" w:cstheme="minorHAnsi"/>
          <w:sz w:val="24"/>
          <w:szCs w:val="22"/>
        </w:rPr>
        <w:t>S</w:t>
      </w:r>
      <w:r w:rsidRPr="00F37D51">
        <w:rPr>
          <w:rFonts w:asciiTheme="minorHAnsi" w:hAnsiTheme="minorHAnsi" w:cstheme="minorHAnsi"/>
          <w:sz w:val="24"/>
          <w:szCs w:val="22"/>
        </w:rPr>
        <w:t>ystem (</w:t>
      </w:r>
      <w:r w:rsidR="008E64B3">
        <w:rPr>
          <w:rFonts w:asciiTheme="minorHAnsi" w:hAnsiTheme="minorHAnsi" w:cstheme="minorHAnsi"/>
          <w:sz w:val="24"/>
          <w:szCs w:val="22"/>
        </w:rPr>
        <w:t>‘</w:t>
      </w:r>
      <w:r w:rsidRPr="00F37D51">
        <w:rPr>
          <w:rFonts w:asciiTheme="minorHAnsi" w:hAnsiTheme="minorHAnsi" w:cstheme="minorHAnsi"/>
          <w:sz w:val="24"/>
          <w:szCs w:val="22"/>
        </w:rPr>
        <w:t>the Review</w:t>
      </w:r>
      <w:r w:rsidR="008E64B3">
        <w:rPr>
          <w:rFonts w:asciiTheme="minorHAnsi" w:hAnsiTheme="minorHAnsi" w:cstheme="minorHAnsi"/>
          <w:sz w:val="24"/>
          <w:szCs w:val="22"/>
        </w:rPr>
        <w:t>’</w:t>
      </w:r>
      <w:r w:rsidRPr="00F37D51">
        <w:rPr>
          <w:rFonts w:asciiTheme="minorHAnsi" w:hAnsiTheme="minorHAnsi" w:cstheme="minorHAnsi"/>
          <w:sz w:val="24"/>
          <w:szCs w:val="22"/>
        </w:rPr>
        <w:t>)</w:t>
      </w:r>
      <w:r w:rsidR="00FA47A7">
        <w:rPr>
          <w:rFonts w:asciiTheme="minorHAnsi" w:hAnsiTheme="minorHAnsi" w:cstheme="minorHAnsi"/>
          <w:sz w:val="24"/>
          <w:szCs w:val="22"/>
        </w:rPr>
        <w:t xml:space="preserve"> which</w:t>
      </w:r>
      <w:r>
        <w:rPr>
          <w:rFonts w:asciiTheme="minorHAnsi" w:hAnsiTheme="minorHAnsi" w:cstheme="minorHAnsi"/>
          <w:sz w:val="24"/>
          <w:szCs w:val="22"/>
        </w:rPr>
        <w:t xml:space="preserve"> commenced in</w:t>
      </w:r>
      <w:r w:rsidRPr="00F37D51">
        <w:rPr>
          <w:rFonts w:asciiTheme="minorHAnsi" w:hAnsiTheme="minorHAnsi" w:cstheme="minorHAnsi"/>
          <w:sz w:val="24"/>
          <w:szCs w:val="22"/>
        </w:rPr>
        <w:t xml:space="preserve"> May </w:t>
      </w:r>
      <w:r>
        <w:rPr>
          <w:rFonts w:asciiTheme="minorHAnsi" w:hAnsiTheme="minorHAnsi" w:cstheme="minorHAnsi"/>
          <w:sz w:val="24"/>
          <w:szCs w:val="22"/>
        </w:rPr>
        <w:t>2018. The R</w:t>
      </w:r>
      <w:r w:rsidRPr="000A08C0">
        <w:rPr>
          <w:rFonts w:asciiTheme="minorHAnsi" w:hAnsiTheme="minorHAnsi" w:cstheme="minorHAnsi"/>
          <w:sz w:val="24"/>
          <w:szCs w:val="22"/>
        </w:rPr>
        <w:t xml:space="preserve">eview </w:t>
      </w:r>
      <w:r>
        <w:rPr>
          <w:rFonts w:asciiTheme="minorHAnsi" w:hAnsiTheme="minorHAnsi" w:cstheme="minorHAnsi"/>
          <w:sz w:val="24"/>
          <w:szCs w:val="22"/>
        </w:rPr>
        <w:t xml:space="preserve">was to consider </w:t>
      </w:r>
      <w:r w:rsidRPr="000A08C0">
        <w:rPr>
          <w:rFonts w:asciiTheme="minorHAnsi" w:hAnsiTheme="minorHAnsi" w:cstheme="minorHAnsi"/>
          <w:sz w:val="24"/>
          <w:szCs w:val="22"/>
        </w:rPr>
        <w:t>current systems, practices and processes in the retrieval and transplant</w:t>
      </w:r>
      <w:r>
        <w:rPr>
          <w:rFonts w:asciiTheme="minorHAnsi" w:hAnsiTheme="minorHAnsi" w:cstheme="minorHAnsi"/>
          <w:sz w:val="24"/>
          <w:szCs w:val="22"/>
        </w:rPr>
        <w:t>ation</w:t>
      </w:r>
      <w:r w:rsidRPr="000A08C0">
        <w:rPr>
          <w:rFonts w:asciiTheme="minorHAnsi" w:hAnsiTheme="minorHAnsi" w:cstheme="minorHAnsi"/>
          <w:sz w:val="24"/>
          <w:szCs w:val="22"/>
        </w:rPr>
        <w:t xml:space="preserve"> sector</w:t>
      </w:r>
      <w:r w:rsidR="00FA47A7">
        <w:rPr>
          <w:rFonts w:asciiTheme="minorHAnsi" w:hAnsiTheme="minorHAnsi" w:cstheme="minorHAnsi"/>
          <w:sz w:val="24"/>
          <w:szCs w:val="22"/>
        </w:rPr>
        <w:t xml:space="preserve">. This included </w:t>
      </w:r>
      <w:r w:rsidRPr="000A08C0">
        <w:rPr>
          <w:rFonts w:asciiTheme="minorHAnsi" w:hAnsiTheme="minorHAnsi" w:cstheme="minorHAnsi"/>
          <w:sz w:val="24"/>
          <w:szCs w:val="22"/>
        </w:rPr>
        <w:t xml:space="preserve">equity of access for all Australians, </w:t>
      </w:r>
      <w:r>
        <w:rPr>
          <w:rFonts w:asciiTheme="minorHAnsi" w:hAnsiTheme="minorHAnsi" w:cstheme="minorHAnsi"/>
          <w:sz w:val="24"/>
          <w:szCs w:val="22"/>
        </w:rPr>
        <w:t>wait list</w:t>
      </w:r>
      <w:r w:rsidRPr="000A08C0">
        <w:rPr>
          <w:rFonts w:asciiTheme="minorHAnsi" w:hAnsiTheme="minorHAnsi" w:cstheme="minorHAnsi"/>
          <w:sz w:val="24"/>
          <w:szCs w:val="22"/>
        </w:rPr>
        <w:t xml:space="preserve">ing criteria, </w:t>
      </w:r>
      <w:r w:rsidR="00FA47A7">
        <w:rPr>
          <w:rFonts w:asciiTheme="minorHAnsi" w:hAnsiTheme="minorHAnsi" w:cstheme="minorHAnsi"/>
          <w:sz w:val="24"/>
          <w:szCs w:val="22"/>
        </w:rPr>
        <w:t xml:space="preserve">as well as </w:t>
      </w:r>
      <w:r w:rsidRPr="000A08C0">
        <w:rPr>
          <w:rFonts w:asciiTheme="minorHAnsi" w:hAnsiTheme="minorHAnsi" w:cstheme="minorHAnsi"/>
          <w:sz w:val="24"/>
          <w:szCs w:val="22"/>
        </w:rPr>
        <w:t>organ offer, allocation and acceptance processes</w:t>
      </w:r>
      <w:r>
        <w:rPr>
          <w:rFonts w:asciiTheme="minorHAnsi" w:hAnsiTheme="minorHAnsi" w:cstheme="minorHAnsi"/>
          <w:sz w:val="24"/>
          <w:szCs w:val="22"/>
        </w:rPr>
        <w:t>.</w:t>
      </w:r>
    </w:p>
    <w:p w14:paraId="4B81CE4E" w14:textId="77777777" w:rsidR="00806F34" w:rsidRDefault="00806F34" w:rsidP="00806F34">
      <w:pPr>
        <w:spacing w:after="120"/>
        <w:rPr>
          <w:rFonts w:asciiTheme="minorHAnsi" w:hAnsiTheme="minorHAnsi" w:cstheme="minorHAnsi"/>
          <w:sz w:val="24"/>
          <w:szCs w:val="22"/>
        </w:rPr>
      </w:pPr>
      <w:r>
        <w:rPr>
          <w:rFonts w:asciiTheme="minorHAnsi" w:hAnsiTheme="minorHAnsi" w:cstheme="minorHAnsi"/>
          <w:sz w:val="24"/>
          <w:szCs w:val="22"/>
        </w:rPr>
        <w:t xml:space="preserve">The Review was overseen by </w:t>
      </w:r>
      <w:r w:rsidR="00FA47A7">
        <w:rPr>
          <w:rFonts w:asciiTheme="minorHAnsi" w:hAnsiTheme="minorHAnsi" w:cstheme="minorHAnsi"/>
          <w:sz w:val="24"/>
          <w:szCs w:val="22"/>
        </w:rPr>
        <w:t xml:space="preserve">the </w:t>
      </w:r>
      <w:r w:rsidRPr="000A08C0">
        <w:rPr>
          <w:rFonts w:asciiTheme="minorHAnsi" w:hAnsiTheme="minorHAnsi" w:cstheme="minorHAnsi"/>
          <w:sz w:val="24"/>
          <w:szCs w:val="22"/>
        </w:rPr>
        <w:t>Organ Review Steering Committee</w:t>
      </w:r>
      <w:r w:rsidR="00364D3E">
        <w:rPr>
          <w:rFonts w:asciiTheme="minorHAnsi" w:hAnsiTheme="minorHAnsi" w:cstheme="minorHAnsi"/>
          <w:sz w:val="24"/>
          <w:szCs w:val="22"/>
        </w:rPr>
        <w:t xml:space="preserve"> (</w:t>
      </w:r>
      <w:r w:rsidR="008E64B3">
        <w:rPr>
          <w:rFonts w:asciiTheme="minorHAnsi" w:hAnsiTheme="minorHAnsi" w:cstheme="minorHAnsi"/>
          <w:sz w:val="24"/>
          <w:szCs w:val="22"/>
        </w:rPr>
        <w:t>‘</w:t>
      </w:r>
      <w:r w:rsidR="00364D3E">
        <w:rPr>
          <w:rFonts w:asciiTheme="minorHAnsi" w:hAnsiTheme="minorHAnsi" w:cstheme="minorHAnsi"/>
          <w:sz w:val="24"/>
          <w:szCs w:val="22"/>
        </w:rPr>
        <w:t>the Steering Committee</w:t>
      </w:r>
      <w:r w:rsidR="008E64B3">
        <w:rPr>
          <w:rFonts w:asciiTheme="minorHAnsi" w:hAnsiTheme="minorHAnsi" w:cstheme="minorHAnsi"/>
          <w:sz w:val="24"/>
          <w:szCs w:val="22"/>
        </w:rPr>
        <w:t>’</w:t>
      </w:r>
      <w:r w:rsidR="00364D3E">
        <w:rPr>
          <w:rFonts w:asciiTheme="minorHAnsi" w:hAnsiTheme="minorHAnsi" w:cstheme="minorHAnsi"/>
          <w:sz w:val="24"/>
          <w:szCs w:val="22"/>
        </w:rPr>
        <w:t>)</w:t>
      </w:r>
      <w:r w:rsidRPr="000A08C0">
        <w:rPr>
          <w:rFonts w:asciiTheme="minorHAnsi" w:hAnsiTheme="minorHAnsi" w:cstheme="minorHAnsi"/>
          <w:sz w:val="24"/>
          <w:szCs w:val="22"/>
        </w:rPr>
        <w:t xml:space="preserve">, </w:t>
      </w:r>
      <w:r>
        <w:rPr>
          <w:rFonts w:asciiTheme="minorHAnsi" w:hAnsiTheme="minorHAnsi" w:cstheme="minorHAnsi"/>
          <w:sz w:val="24"/>
          <w:szCs w:val="22"/>
        </w:rPr>
        <w:t>which was led by the Australian Government Department of Health and comprised</w:t>
      </w:r>
      <w:r w:rsidRPr="000A08C0">
        <w:rPr>
          <w:rFonts w:asciiTheme="minorHAnsi" w:hAnsiTheme="minorHAnsi" w:cstheme="minorHAnsi"/>
          <w:sz w:val="24"/>
          <w:szCs w:val="22"/>
        </w:rPr>
        <w:t xml:space="preserve"> representatives from the O</w:t>
      </w:r>
      <w:r>
        <w:rPr>
          <w:rFonts w:asciiTheme="minorHAnsi" w:hAnsiTheme="minorHAnsi" w:cstheme="minorHAnsi"/>
          <w:sz w:val="24"/>
          <w:szCs w:val="22"/>
        </w:rPr>
        <w:t>TA</w:t>
      </w:r>
      <w:r w:rsidRPr="000A08C0">
        <w:rPr>
          <w:rFonts w:asciiTheme="minorHAnsi" w:hAnsiTheme="minorHAnsi" w:cstheme="minorHAnsi"/>
          <w:sz w:val="24"/>
          <w:szCs w:val="22"/>
        </w:rPr>
        <w:t>, nominated jurisdictions</w:t>
      </w:r>
      <w:r>
        <w:rPr>
          <w:rFonts w:asciiTheme="minorHAnsi" w:hAnsiTheme="minorHAnsi" w:cstheme="minorHAnsi"/>
          <w:sz w:val="24"/>
          <w:szCs w:val="22"/>
        </w:rPr>
        <w:t xml:space="preserve"> and a senior clinical specialist.</w:t>
      </w:r>
    </w:p>
    <w:p w14:paraId="4DD464F8" w14:textId="77777777" w:rsidR="00806F34" w:rsidRDefault="00806F34" w:rsidP="00806F34">
      <w:pPr>
        <w:pStyle w:val="EYBodytextwithparaspace"/>
        <w:spacing w:after="120"/>
        <w:rPr>
          <w:rFonts w:asciiTheme="minorHAnsi" w:hAnsiTheme="minorHAnsi" w:cstheme="minorHAnsi"/>
          <w:sz w:val="24"/>
          <w:szCs w:val="22"/>
        </w:rPr>
      </w:pPr>
      <w:r>
        <w:rPr>
          <w:rFonts w:asciiTheme="minorHAnsi" w:hAnsiTheme="minorHAnsi" w:cstheme="minorHAnsi"/>
          <w:sz w:val="24"/>
          <w:szCs w:val="22"/>
        </w:rPr>
        <w:t>The</w:t>
      </w:r>
      <w:r w:rsidRPr="00F37D51">
        <w:rPr>
          <w:rFonts w:asciiTheme="minorHAnsi" w:hAnsiTheme="minorHAnsi" w:cstheme="minorHAnsi"/>
          <w:sz w:val="24"/>
          <w:szCs w:val="22"/>
        </w:rPr>
        <w:t xml:space="preserve"> </w:t>
      </w:r>
      <w:r>
        <w:rPr>
          <w:rFonts w:asciiTheme="minorHAnsi" w:hAnsiTheme="minorHAnsi" w:cstheme="minorHAnsi"/>
          <w:sz w:val="24"/>
          <w:szCs w:val="22"/>
        </w:rPr>
        <w:t>R</w:t>
      </w:r>
      <w:r w:rsidRPr="00F37D51">
        <w:rPr>
          <w:rFonts w:asciiTheme="minorHAnsi" w:hAnsiTheme="minorHAnsi" w:cstheme="minorHAnsi"/>
          <w:sz w:val="24"/>
          <w:szCs w:val="22"/>
        </w:rPr>
        <w:t>eview</w:t>
      </w:r>
      <w:r>
        <w:rPr>
          <w:rFonts w:asciiTheme="minorHAnsi" w:hAnsiTheme="minorHAnsi" w:cstheme="minorHAnsi"/>
          <w:sz w:val="24"/>
          <w:szCs w:val="22"/>
        </w:rPr>
        <w:t xml:space="preserve"> was to</w:t>
      </w:r>
      <w:r w:rsidRPr="00F37D51">
        <w:rPr>
          <w:rFonts w:asciiTheme="minorHAnsi" w:hAnsiTheme="minorHAnsi" w:cstheme="minorHAnsi"/>
          <w:sz w:val="24"/>
          <w:szCs w:val="22"/>
        </w:rPr>
        <w:t xml:space="preserve"> provide recommendations and evidence-based advice to inform the development of a future national strategy for the retrieval and transplantation sector</w:t>
      </w:r>
      <w:r w:rsidR="00602EDC">
        <w:rPr>
          <w:rFonts w:asciiTheme="minorHAnsi" w:hAnsiTheme="minorHAnsi" w:cstheme="minorHAnsi"/>
          <w:sz w:val="24"/>
          <w:szCs w:val="22"/>
        </w:rPr>
        <w:t xml:space="preserve"> in order</w:t>
      </w:r>
      <w:r w:rsidRPr="00F37D51">
        <w:rPr>
          <w:rFonts w:asciiTheme="minorHAnsi" w:hAnsiTheme="minorHAnsi" w:cstheme="minorHAnsi"/>
          <w:sz w:val="24"/>
          <w:szCs w:val="22"/>
        </w:rPr>
        <w:t xml:space="preserve"> to optimise deceased donation opportunit</w:t>
      </w:r>
      <w:r w:rsidR="00F83CED">
        <w:rPr>
          <w:rFonts w:asciiTheme="minorHAnsi" w:hAnsiTheme="minorHAnsi" w:cstheme="minorHAnsi"/>
          <w:sz w:val="24"/>
          <w:szCs w:val="22"/>
        </w:rPr>
        <w:t>ies</w:t>
      </w:r>
      <w:r w:rsidRPr="00F37D51">
        <w:rPr>
          <w:rFonts w:asciiTheme="minorHAnsi" w:hAnsiTheme="minorHAnsi" w:cstheme="minorHAnsi"/>
          <w:sz w:val="24"/>
          <w:szCs w:val="22"/>
        </w:rPr>
        <w:t xml:space="preserve"> for maximum </w:t>
      </w:r>
      <w:r w:rsidR="00092158">
        <w:rPr>
          <w:rFonts w:asciiTheme="minorHAnsi" w:hAnsiTheme="minorHAnsi" w:cstheme="minorHAnsi"/>
          <w:sz w:val="24"/>
          <w:szCs w:val="22"/>
        </w:rPr>
        <w:t>transplantation outcomes</w:t>
      </w:r>
      <w:r w:rsidRPr="00F37D51">
        <w:rPr>
          <w:rFonts w:asciiTheme="minorHAnsi" w:hAnsiTheme="minorHAnsi" w:cstheme="minorHAnsi"/>
          <w:sz w:val="24"/>
          <w:szCs w:val="22"/>
        </w:rPr>
        <w:t xml:space="preserve">.  </w:t>
      </w:r>
    </w:p>
    <w:p w14:paraId="683267BE" w14:textId="77777777" w:rsidR="00806F34" w:rsidRPr="001D081D" w:rsidRDefault="00806F34" w:rsidP="00806F34">
      <w:pPr>
        <w:tabs>
          <w:tab w:val="num" w:pos="720"/>
        </w:tabs>
        <w:spacing w:after="120"/>
        <w:rPr>
          <w:rFonts w:asciiTheme="minorHAnsi" w:hAnsiTheme="minorHAnsi" w:cstheme="minorHAnsi"/>
          <w:i/>
          <w:color w:val="808080" w:themeColor="background1" w:themeShade="80"/>
          <w:sz w:val="26"/>
          <w:szCs w:val="26"/>
        </w:rPr>
      </w:pPr>
      <w:r w:rsidRPr="001D081D">
        <w:rPr>
          <w:rFonts w:asciiTheme="minorHAnsi" w:hAnsiTheme="minorHAnsi" w:cstheme="minorHAnsi"/>
          <w:i/>
          <w:color w:val="808080" w:themeColor="background1" w:themeShade="80"/>
          <w:sz w:val="26"/>
          <w:szCs w:val="26"/>
        </w:rPr>
        <w:t>Review approach</w:t>
      </w:r>
    </w:p>
    <w:p w14:paraId="70C2C235" w14:textId="77777777" w:rsidR="00806F34" w:rsidRDefault="00806F34" w:rsidP="00806F34">
      <w:pPr>
        <w:pStyle w:val="EYBodytextwithparaspace"/>
        <w:spacing w:after="120"/>
        <w:rPr>
          <w:rFonts w:asciiTheme="minorHAnsi" w:hAnsiTheme="minorHAnsi" w:cstheme="minorHAnsi"/>
          <w:sz w:val="24"/>
        </w:rPr>
      </w:pPr>
      <w:r>
        <w:rPr>
          <w:rFonts w:asciiTheme="minorHAnsi" w:hAnsiTheme="minorHAnsi" w:cstheme="minorHAnsi"/>
          <w:sz w:val="24"/>
        </w:rPr>
        <w:t xml:space="preserve">The Review comprised an extensive consultation process and was supplemented by the collection of submissions from stakeholders, as well as a document, literature and data review. </w:t>
      </w:r>
    </w:p>
    <w:p w14:paraId="00BB6833" w14:textId="7777E6F1" w:rsidR="00806F34" w:rsidRPr="0016359A" w:rsidRDefault="00806F34" w:rsidP="00806F34">
      <w:pPr>
        <w:pStyle w:val="EYBodytextwithparaspace"/>
        <w:spacing w:after="120"/>
        <w:rPr>
          <w:rFonts w:asciiTheme="minorHAnsi" w:hAnsiTheme="minorHAnsi" w:cstheme="minorHAnsi"/>
          <w:sz w:val="24"/>
        </w:rPr>
      </w:pPr>
      <w:r>
        <w:rPr>
          <w:rFonts w:asciiTheme="minorHAnsi" w:hAnsiTheme="minorHAnsi" w:cstheme="minorHAnsi"/>
          <w:sz w:val="24"/>
        </w:rPr>
        <w:t xml:space="preserve">Over 230 key stakeholders were consulted </w:t>
      </w:r>
      <w:r w:rsidR="00602EDC">
        <w:rPr>
          <w:rFonts w:asciiTheme="minorHAnsi" w:hAnsiTheme="minorHAnsi" w:cstheme="minorHAnsi"/>
          <w:sz w:val="24"/>
        </w:rPr>
        <w:t xml:space="preserve">through the </w:t>
      </w:r>
      <w:r>
        <w:rPr>
          <w:rFonts w:asciiTheme="minorHAnsi" w:hAnsiTheme="minorHAnsi" w:cstheme="minorHAnsi"/>
          <w:sz w:val="24"/>
        </w:rPr>
        <w:t xml:space="preserve">Review. This included Australian Government </w:t>
      </w:r>
      <w:r w:rsidRPr="00F37D51">
        <w:rPr>
          <w:rFonts w:asciiTheme="minorHAnsi" w:hAnsiTheme="minorHAnsi" w:cstheme="minorHAnsi"/>
          <w:sz w:val="24"/>
        </w:rPr>
        <w:t xml:space="preserve">and jurisdictional government officials, training colleges and peak bodies, clinicians, </w:t>
      </w:r>
      <w:r>
        <w:rPr>
          <w:rFonts w:asciiTheme="minorHAnsi" w:hAnsiTheme="minorHAnsi" w:cstheme="minorHAnsi"/>
          <w:sz w:val="24"/>
        </w:rPr>
        <w:t xml:space="preserve">transplant </w:t>
      </w:r>
      <w:r w:rsidRPr="00F37D51">
        <w:rPr>
          <w:rFonts w:asciiTheme="minorHAnsi" w:hAnsiTheme="minorHAnsi" w:cstheme="minorHAnsi"/>
          <w:sz w:val="24"/>
        </w:rPr>
        <w:t>recipients and donor</w:t>
      </w:r>
      <w:r>
        <w:rPr>
          <w:rFonts w:asciiTheme="minorHAnsi" w:hAnsiTheme="minorHAnsi" w:cstheme="minorHAnsi"/>
          <w:sz w:val="24"/>
        </w:rPr>
        <w:t xml:space="preserve"> families</w:t>
      </w:r>
      <w:r w:rsidRPr="00F37D51">
        <w:rPr>
          <w:rFonts w:asciiTheme="minorHAnsi" w:hAnsiTheme="minorHAnsi" w:cstheme="minorHAnsi"/>
          <w:sz w:val="24"/>
        </w:rPr>
        <w:t>.</w:t>
      </w:r>
    </w:p>
    <w:p w14:paraId="19BEC60E" w14:textId="77777777" w:rsidR="00806F34" w:rsidRDefault="00806F34" w:rsidP="00806F34">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29" w:name="_Toc532301668"/>
      <w:r>
        <w:rPr>
          <w:rFonts w:asciiTheme="minorHAnsi" w:hAnsiTheme="minorHAnsi" w:cstheme="minorHAnsi"/>
          <w:iCs/>
          <w:color w:val="7F7F7F" w:themeColor="text1" w:themeTint="80"/>
          <w:sz w:val="36"/>
          <w:szCs w:val="30"/>
        </w:rPr>
        <w:t>Summary of key findings and r</w:t>
      </w:r>
      <w:r w:rsidRPr="002B6873">
        <w:rPr>
          <w:rFonts w:asciiTheme="minorHAnsi" w:hAnsiTheme="minorHAnsi" w:cstheme="minorHAnsi"/>
          <w:iCs/>
          <w:color w:val="7F7F7F" w:themeColor="text1" w:themeTint="80"/>
          <w:sz w:val="36"/>
          <w:szCs w:val="30"/>
        </w:rPr>
        <w:t>ecommendations</w:t>
      </w:r>
      <w:bookmarkEnd w:id="29"/>
    </w:p>
    <w:p w14:paraId="46C0C4C0" w14:textId="4DE39BA5" w:rsidR="00806F34" w:rsidRDefault="00806F34" w:rsidP="00CE3ECE">
      <w:pPr>
        <w:spacing w:after="120"/>
        <w:rPr>
          <w:rFonts w:asciiTheme="minorHAnsi" w:hAnsiTheme="minorHAnsi" w:cstheme="minorHAnsi"/>
          <w:sz w:val="24"/>
          <w:szCs w:val="22"/>
        </w:rPr>
      </w:pPr>
      <w:r>
        <w:rPr>
          <w:rFonts w:asciiTheme="minorHAnsi" w:hAnsiTheme="minorHAnsi" w:cstheme="minorHAnsi"/>
          <w:sz w:val="24"/>
          <w:szCs w:val="22"/>
          <w:lang w:val="en-GB"/>
        </w:rPr>
        <w:t>The summary key findings and recommendations for the Review</w:t>
      </w:r>
      <w:r w:rsidR="00CE3ECE">
        <w:rPr>
          <w:rFonts w:asciiTheme="minorHAnsi" w:hAnsiTheme="minorHAnsi" w:cstheme="minorHAnsi"/>
          <w:sz w:val="24"/>
          <w:szCs w:val="22"/>
          <w:lang w:val="en-GB"/>
        </w:rPr>
        <w:t xml:space="preserve"> (for a full explanation of the key</w:t>
      </w:r>
      <w:r w:rsidR="0059659F">
        <w:rPr>
          <w:rFonts w:asciiTheme="minorHAnsi" w:hAnsiTheme="minorHAnsi" w:cstheme="minorHAnsi"/>
          <w:sz w:val="24"/>
          <w:szCs w:val="22"/>
          <w:lang w:val="en-GB"/>
        </w:rPr>
        <w:t xml:space="preserve"> findings and recommendations, s</w:t>
      </w:r>
      <w:r w:rsidR="00CE3ECE">
        <w:rPr>
          <w:rFonts w:asciiTheme="minorHAnsi" w:hAnsiTheme="minorHAnsi" w:cstheme="minorHAnsi"/>
          <w:sz w:val="24"/>
          <w:szCs w:val="22"/>
          <w:lang w:val="en-GB"/>
        </w:rPr>
        <w:t>ee Sections 5, 6 and 7)</w:t>
      </w:r>
      <w:r>
        <w:rPr>
          <w:rFonts w:asciiTheme="minorHAnsi" w:hAnsiTheme="minorHAnsi" w:cstheme="minorHAnsi"/>
          <w:sz w:val="24"/>
          <w:szCs w:val="22"/>
          <w:lang w:val="en-GB"/>
        </w:rPr>
        <w:t xml:space="preserve">, against each of the elements of </w:t>
      </w:r>
      <w:r w:rsidRPr="00F37D51">
        <w:rPr>
          <w:rFonts w:asciiTheme="minorHAnsi" w:hAnsiTheme="minorHAnsi" w:cstheme="minorHAnsi"/>
          <w:sz w:val="24"/>
          <w:szCs w:val="22"/>
          <w:lang w:val="en-GB"/>
        </w:rPr>
        <w:t>the</w:t>
      </w:r>
      <w:r>
        <w:rPr>
          <w:rFonts w:asciiTheme="minorHAnsi" w:hAnsiTheme="minorHAnsi" w:cstheme="minorHAnsi"/>
          <w:sz w:val="24"/>
          <w:szCs w:val="22"/>
          <w:lang w:val="en-GB"/>
        </w:rPr>
        <w:t xml:space="preserve"> Australian</w:t>
      </w:r>
      <w:r w:rsidRPr="00F37D51">
        <w:rPr>
          <w:rFonts w:asciiTheme="minorHAnsi" w:hAnsiTheme="minorHAnsi" w:cstheme="minorHAnsi"/>
          <w:sz w:val="24"/>
          <w:szCs w:val="22"/>
          <w:lang w:val="en-GB"/>
        </w:rPr>
        <w:t xml:space="preserve"> organ donation</w:t>
      </w:r>
      <w:r>
        <w:rPr>
          <w:rFonts w:asciiTheme="minorHAnsi" w:hAnsiTheme="minorHAnsi" w:cstheme="minorHAnsi"/>
          <w:sz w:val="24"/>
          <w:szCs w:val="22"/>
          <w:lang w:val="en-GB"/>
        </w:rPr>
        <w:t xml:space="preserve">, </w:t>
      </w:r>
      <w:r w:rsidRPr="001D081D">
        <w:rPr>
          <w:rFonts w:asciiTheme="minorHAnsi" w:hAnsiTheme="minorHAnsi" w:cstheme="minorHAnsi"/>
          <w:kern w:val="12"/>
          <w:sz w:val="24"/>
          <w:szCs w:val="24"/>
          <w:lang w:val="en-US"/>
        </w:rPr>
        <w:t xml:space="preserve">retrieval and transplantation functional model (illustrated in </w:t>
      </w:r>
      <w:r w:rsidR="00953C05">
        <w:rPr>
          <w:rFonts w:asciiTheme="minorHAnsi" w:hAnsiTheme="minorHAnsi" w:cstheme="minorHAnsi"/>
          <w:kern w:val="12"/>
          <w:sz w:val="24"/>
          <w:szCs w:val="24"/>
          <w:lang w:val="en-US"/>
        </w:rPr>
        <w:t xml:space="preserve">Figure 1 </w:t>
      </w:r>
      <w:r w:rsidRPr="001D081D">
        <w:rPr>
          <w:rFonts w:asciiTheme="minorHAnsi" w:hAnsiTheme="minorHAnsi" w:cstheme="minorHAnsi"/>
          <w:kern w:val="12"/>
          <w:sz w:val="24"/>
          <w:szCs w:val="24"/>
          <w:lang w:val="en-US"/>
        </w:rPr>
        <w:t xml:space="preserve">and </w:t>
      </w:r>
      <w:r w:rsidR="00953C05">
        <w:rPr>
          <w:rFonts w:asciiTheme="minorHAnsi" w:hAnsiTheme="minorHAnsi" w:cstheme="minorHAnsi"/>
          <w:kern w:val="12"/>
          <w:sz w:val="24"/>
          <w:szCs w:val="24"/>
          <w:lang w:val="en-US"/>
        </w:rPr>
        <w:t>Figure 2</w:t>
      </w:r>
      <w:r w:rsidRPr="003A517E">
        <w:rPr>
          <w:rFonts w:asciiTheme="minorHAnsi" w:hAnsiTheme="minorHAnsi" w:cstheme="minorHAnsi"/>
          <w:kern w:val="12"/>
          <w:sz w:val="24"/>
          <w:szCs w:val="24"/>
          <w:lang w:val="en-US"/>
        </w:rPr>
        <w:t>),</w:t>
      </w:r>
      <w:r w:rsidRPr="001D081D">
        <w:rPr>
          <w:rFonts w:asciiTheme="minorHAnsi" w:hAnsiTheme="minorHAnsi" w:cstheme="minorHAnsi"/>
          <w:kern w:val="12"/>
          <w:sz w:val="24"/>
          <w:szCs w:val="24"/>
          <w:lang w:val="en-US"/>
        </w:rPr>
        <w:t xml:space="preserve"> are described in </w:t>
      </w:r>
      <w:r w:rsidRPr="001D081D">
        <w:rPr>
          <w:rFonts w:asciiTheme="minorHAnsi" w:hAnsiTheme="minorHAnsi" w:cstheme="minorHAnsi"/>
          <w:kern w:val="12"/>
          <w:sz w:val="24"/>
          <w:szCs w:val="24"/>
          <w:lang w:val="en-US"/>
        </w:rPr>
        <w:fldChar w:fldCharType="begin"/>
      </w:r>
      <w:r w:rsidRPr="001D081D">
        <w:rPr>
          <w:rFonts w:asciiTheme="minorHAnsi" w:hAnsiTheme="minorHAnsi" w:cstheme="minorHAnsi"/>
          <w:kern w:val="12"/>
          <w:sz w:val="24"/>
          <w:szCs w:val="24"/>
          <w:lang w:val="en-US"/>
        </w:rPr>
        <w:instrText xml:space="preserve"> REF _Ref530059749 \h </w:instrText>
      </w:r>
      <w:r>
        <w:rPr>
          <w:rFonts w:asciiTheme="minorHAnsi" w:hAnsiTheme="minorHAnsi" w:cstheme="minorHAnsi"/>
          <w:kern w:val="12"/>
          <w:sz w:val="24"/>
          <w:szCs w:val="24"/>
          <w:lang w:val="en-US"/>
        </w:rPr>
        <w:instrText xml:space="preserve"> \* MERGEFORMAT </w:instrText>
      </w:r>
      <w:r w:rsidRPr="001D081D">
        <w:rPr>
          <w:rFonts w:asciiTheme="minorHAnsi" w:hAnsiTheme="minorHAnsi" w:cstheme="minorHAnsi"/>
          <w:kern w:val="12"/>
          <w:sz w:val="24"/>
          <w:szCs w:val="24"/>
          <w:lang w:val="en-US"/>
        </w:rPr>
      </w:r>
      <w:r w:rsidRPr="001D081D">
        <w:rPr>
          <w:rFonts w:asciiTheme="minorHAnsi" w:hAnsiTheme="minorHAnsi" w:cstheme="minorHAnsi"/>
          <w:kern w:val="12"/>
          <w:sz w:val="24"/>
          <w:szCs w:val="24"/>
          <w:lang w:val="en-US"/>
        </w:rPr>
        <w:fldChar w:fldCharType="separate"/>
      </w:r>
      <w:r w:rsidR="00A04048" w:rsidRPr="00C75FAB">
        <w:rPr>
          <w:rFonts w:asciiTheme="minorHAnsi" w:hAnsiTheme="minorHAnsi" w:cstheme="minorHAnsi"/>
          <w:kern w:val="12"/>
          <w:sz w:val="24"/>
          <w:szCs w:val="24"/>
          <w:lang w:val="en-US"/>
        </w:rPr>
        <w:t>Table 1</w:t>
      </w:r>
      <w:r w:rsidRPr="001D081D">
        <w:rPr>
          <w:rFonts w:asciiTheme="minorHAnsi" w:hAnsiTheme="minorHAnsi" w:cstheme="minorHAnsi"/>
          <w:kern w:val="12"/>
          <w:sz w:val="24"/>
          <w:szCs w:val="24"/>
          <w:lang w:val="en-US"/>
        </w:rPr>
        <w:fldChar w:fldCharType="end"/>
      </w:r>
      <w:r w:rsidRPr="001D081D">
        <w:rPr>
          <w:rFonts w:asciiTheme="minorHAnsi" w:hAnsiTheme="minorHAnsi" w:cstheme="minorHAnsi"/>
          <w:kern w:val="12"/>
          <w:sz w:val="24"/>
          <w:szCs w:val="24"/>
          <w:lang w:val="en-US"/>
        </w:rPr>
        <w:t>.</w:t>
      </w:r>
      <w:r>
        <w:rPr>
          <w:rFonts w:asciiTheme="minorHAnsi" w:hAnsiTheme="minorHAnsi" w:cstheme="minorHAnsi"/>
          <w:sz w:val="24"/>
          <w:szCs w:val="22"/>
          <w:lang w:val="en-GB"/>
        </w:rPr>
        <w:t xml:space="preserve"> </w:t>
      </w:r>
    </w:p>
    <w:p w14:paraId="4D466CE0" w14:textId="77777777" w:rsidR="00CD0E0E" w:rsidRDefault="00CD0E0E">
      <w:pPr>
        <w:widowControl/>
        <w:autoSpaceDE/>
        <w:autoSpaceDN/>
        <w:adjustRightInd/>
        <w:spacing w:after="200" w:line="276" w:lineRule="auto"/>
        <w:rPr>
          <w:rFonts w:asciiTheme="minorHAnsi" w:hAnsiTheme="minorHAnsi" w:cstheme="minorHAnsi"/>
          <w:bCs/>
          <w:color w:val="808080"/>
          <w:szCs w:val="18"/>
        </w:rPr>
      </w:pPr>
      <w:bookmarkStart w:id="30" w:name="_Ref530059749"/>
      <w:r>
        <w:rPr>
          <w:rFonts w:asciiTheme="minorHAnsi" w:hAnsiTheme="minorHAnsi" w:cstheme="minorHAnsi"/>
          <w:b/>
          <w:color w:val="808080"/>
        </w:rPr>
        <w:br w:type="page"/>
      </w:r>
    </w:p>
    <w:p w14:paraId="6C48E665" w14:textId="2A09992F" w:rsidR="00806F34" w:rsidRDefault="00806F34" w:rsidP="00806F34">
      <w:pPr>
        <w:pStyle w:val="Caption"/>
        <w:keepNext/>
        <w:keepLines/>
        <w:widowControl/>
        <w:spacing w:after="60"/>
        <w:rPr>
          <w:rFonts w:asciiTheme="minorHAnsi" w:hAnsiTheme="minorHAnsi" w:cstheme="minorHAnsi"/>
          <w:b w:val="0"/>
          <w:color w:val="808080"/>
          <w:sz w:val="20"/>
        </w:rPr>
      </w:pPr>
      <w:r w:rsidRPr="0090611C">
        <w:rPr>
          <w:rFonts w:asciiTheme="minorHAnsi" w:hAnsiTheme="minorHAnsi" w:cstheme="minorHAnsi"/>
          <w:b w:val="0"/>
          <w:color w:val="808080"/>
          <w:sz w:val="20"/>
        </w:rPr>
        <w:lastRenderedPageBreak/>
        <w:t xml:space="preserve">Table </w:t>
      </w:r>
      <w:r w:rsidRPr="0090611C">
        <w:rPr>
          <w:rFonts w:asciiTheme="minorHAnsi" w:hAnsiTheme="minorHAnsi" w:cstheme="minorHAnsi"/>
          <w:b w:val="0"/>
          <w:color w:val="808080"/>
          <w:sz w:val="20"/>
        </w:rPr>
        <w:fldChar w:fldCharType="begin"/>
      </w:r>
      <w:r w:rsidRPr="0090611C">
        <w:rPr>
          <w:rFonts w:asciiTheme="minorHAnsi" w:hAnsiTheme="minorHAnsi" w:cstheme="minorHAnsi"/>
          <w:b w:val="0"/>
          <w:color w:val="808080"/>
          <w:sz w:val="20"/>
        </w:rPr>
        <w:instrText xml:space="preserve"> SEQ Table \* ARABIC </w:instrText>
      </w:r>
      <w:r w:rsidRPr="0090611C">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1</w:t>
      </w:r>
      <w:r w:rsidRPr="0090611C">
        <w:rPr>
          <w:rFonts w:asciiTheme="minorHAnsi" w:hAnsiTheme="minorHAnsi" w:cstheme="minorHAnsi"/>
          <w:b w:val="0"/>
          <w:color w:val="808080"/>
          <w:sz w:val="20"/>
        </w:rPr>
        <w:fldChar w:fldCharType="end"/>
      </w:r>
      <w:bookmarkEnd w:id="30"/>
      <w:r w:rsidRPr="0090611C">
        <w:rPr>
          <w:rFonts w:asciiTheme="minorHAnsi" w:hAnsiTheme="minorHAnsi" w:cstheme="minorHAnsi"/>
          <w:b w:val="0"/>
          <w:color w:val="808080"/>
          <w:sz w:val="20"/>
        </w:rPr>
        <w:t xml:space="preserve">: </w:t>
      </w:r>
      <w:r>
        <w:rPr>
          <w:rFonts w:asciiTheme="minorHAnsi" w:hAnsiTheme="minorHAnsi" w:cstheme="minorHAnsi"/>
          <w:b w:val="0"/>
          <w:color w:val="808080"/>
          <w:sz w:val="20"/>
        </w:rPr>
        <w:t xml:space="preserve">Summary of the key findings and recommendations </w:t>
      </w:r>
      <w:r w:rsidR="008F3E39">
        <w:rPr>
          <w:rFonts w:asciiTheme="minorHAnsi" w:hAnsiTheme="minorHAnsi" w:cstheme="minorHAnsi"/>
          <w:b w:val="0"/>
          <w:color w:val="808080"/>
          <w:sz w:val="20"/>
        </w:rPr>
        <w:t>of</w:t>
      </w:r>
      <w:r>
        <w:rPr>
          <w:rFonts w:asciiTheme="minorHAnsi" w:hAnsiTheme="minorHAnsi" w:cstheme="minorHAnsi"/>
          <w:b w:val="0"/>
          <w:color w:val="808080"/>
          <w:sz w:val="20"/>
        </w:rPr>
        <w:t xml:space="preserve"> the Review </w:t>
      </w:r>
    </w:p>
    <w:tbl>
      <w:tblPr>
        <w:tblStyle w:val="ICBTable2"/>
        <w:tblW w:w="935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Description w:val="Table 1 is a list of key findings and recommendations of the review. This table contains 3 column headings: column 1. Elements, 2. Key findings and 3 recommendations."/>
      </w:tblPr>
      <w:tblGrid>
        <w:gridCol w:w="1413"/>
        <w:gridCol w:w="3969"/>
        <w:gridCol w:w="3969"/>
      </w:tblGrid>
      <w:tr w:rsidR="00102A7F" w:rsidRPr="0059659F" w14:paraId="2944617C" w14:textId="77777777" w:rsidTr="00C75FAB">
        <w:trPr>
          <w:tblHeader/>
        </w:trPr>
        <w:tc>
          <w:tcPr>
            <w:tcW w:w="1413" w:type="dxa"/>
            <w:tcBorders>
              <w:top w:val="single" w:sz="4" w:space="0" w:color="A6A6A6"/>
              <w:left w:val="single" w:sz="4" w:space="0" w:color="A6A6A6"/>
              <w:bottom w:val="single" w:sz="4" w:space="0" w:color="A6A6A6"/>
              <w:right w:val="single" w:sz="4" w:space="0" w:color="A6A6A6"/>
            </w:tcBorders>
            <w:shd w:val="clear" w:color="auto" w:fill="595959"/>
          </w:tcPr>
          <w:p w14:paraId="43BB9911" w14:textId="77777777" w:rsidR="00102A7F" w:rsidRPr="0059659F" w:rsidRDefault="00102A7F">
            <w:pPr>
              <w:spacing w:before="60" w:after="60"/>
              <w:ind w:left="137" w:hanging="137"/>
              <w:rPr>
                <w:rFonts w:ascii="Calibri" w:hAnsi="Calibri" w:cs="Calibri"/>
                <w:b/>
                <w:color w:val="FFFFFF"/>
                <w:spacing w:val="-2"/>
                <w:sz w:val="19"/>
                <w:szCs w:val="19"/>
              </w:rPr>
            </w:pPr>
            <w:r w:rsidRPr="0059659F">
              <w:rPr>
                <w:rFonts w:ascii="Calibri" w:hAnsi="Calibri" w:cs="Calibri"/>
                <w:b/>
                <w:color w:val="FFFFFF"/>
                <w:spacing w:val="-2"/>
                <w:sz w:val="19"/>
                <w:szCs w:val="19"/>
              </w:rPr>
              <w:t>Element</w:t>
            </w:r>
          </w:p>
        </w:tc>
        <w:tc>
          <w:tcPr>
            <w:tcW w:w="3969" w:type="dxa"/>
            <w:tcBorders>
              <w:top w:val="single" w:sz="4" w:space="0" w:color="A6A6A6"/>
              <w:left w:val="single" w:sz="4" w:space="0" w:color="A6A6A6"/>
              <w:bottom w:val="single" w:sz="4" w:space="0" w:color="A6A6A6"/>
              <w:right w:val="single" w:sz="4" w:space="0" w:color="A6A6A6"/>
            </w:tcBorders>
            <w:shd w:val="clear" w:color="auto" w:fill="595959"/>
            <w:hideMark/>
          </w:tcPr>
          <w:p w14:paraId="0EEBFC11" w14:textId="77777777" w:rsidR="00102A7F" w:rsidRPr="0059659F" w:rsidRDefault="00102A7F">
            <w:pPr>
              <w:spacing w:before="60" w:after="60"/>
              <w:ind w:left="137" w:hanging="137"/>
              <w:rPr>
                <w:rFonts w:ascii="Calibri" w:hAnsi="Calibri" w:cs="Calibri"/>
                <w:b/>
                <w:color w:val="FFFFFF"/>
                <w:spacing w:val="-2"/>
                <w:sz w:val="19"/>
                <w:szCs w:val="19"/>
              </w:rPr>
            </w:pPr>
            <w:r w:rsidRPr="0059659F">
              <w:rPr>
                <w:rFonts w:ascii="Calibri" w:hAnsi="Calibri" w:cs="Calibri"/>
                <w:b/>
                <w:color w:val="FFFFFF"/>
                <w:spacing w:val="-2"/>
                <w:sz w:val="19"/>
                <w:szCs w:val="19"/>
              </w:rPr>
              <w:t>Key findings</w:t>
            </w:r>
          </w:p>
        </w:tc>
        <w:tc>
          <w:tcPr>
            <w:tcW w:w="3969" w:type="dxa"/>
            <w:tcBorders>
              <w:top w:val="single" w:sz="4" w:space="0" w:color="A6A6A6"/>
              <w:left w:val="single" w:sz="4" w:space="0" w:color="A6A6A6"/>
              <w:bottom w:val="single" w:sz="4" w:space="0" w:color="A6A6A6"/>
              <w:right w:val="single" w:sz="4" w:space="0" w:color="A6A6A6"/>
            </w:tcBorders>
            <w:shd w:val="clear" w:color="auto" w:fill="595959"/>
            <w:hideMark/>
          </w:tcPr>
          <w:p w14:paraId="0E31D851" w14:textId="77777777" w:rsidR="00102A7F" w:rsidRPr="0059659F" w:rsidRDefault="00102A7F">
            <w:pPr>
              <w:spacing w:before="60" w:after="60"/>
              <w:rPr>
                <w:rFonts w:ascii="Calibri" w:hAnsi="Calibri" w:cs="Calibri"/>
                <w:b/>
                <w:color w:val="FFFFFF"/>
                <w:spacing w:val="-2"/>
                <w:sz w:val="19"/>
                <w:szCs w:val="19"/>
              </w:rPr>
            </w:pPr>
            <w:r w:rsidRPr="0059659F">
              <w:rPr>
                <w:rFonts w:ascii="Calibri" w:hAnsi="Calibri" w:cs="Calibri"/>
                <w:b/>
                <w:color w:val="FFFFFF"/>
                <w:spacing w:val="-2"/>
                <w:sz w:val="19"/>
                <w:szCs w:val="19"/>
              </w:rPr>
              <w:t xml:space="preserve">Recommendations </w:t>
            </w:r>
          </w:p>
        </w:tc>
      </w:tr>
      <w:tr w:rsidR="00102A7F" w:rsidRPr="0059659F" w14:paraId="59E1CD41" w14:textId="77777777" w:rsidTr="00C75FAB">
        <w:tc>
          <w:tcPr>
            <w:tcW w:w="1413" w:type="dxa"/>
            <w:tcBorders>
              <w:top w:val="single" w:sz="4" w:space="0" w:color="A6A6A6"/>
              <w:left w:val="single" w:sz="4" w:space="0" w:color="A6A6A6"/>
              <w:bottom w:val="single" w:sz="4" w:space="0" w:color="A6A6A6"/>
              <w:right w:val="single" w:sz="4" w:space="0" w:color="A6A6A6"/>
            </w:tcBorders>
          </w:tcPr>
          <w:p w14:paraId="3F5CA584" w14:textId="77777777" w:rsidR="00102A7F" w:rsidRPr="0059659F" w:rsidRDefault="00102A7F" w:rsidP="00C75FAB">
            <w:pPr>
              <w:widowControl/>
              <w:autoSpaceDE/>
              <w:adjustRightInd/>
              <w:spacing w:before="40" w:after="60"/>
              <w:rPr>
                <w:rFonts w:ascii="Calibri" w:hAnsi="Calibri" w:cs="Calibri"/>
                <w:spacing w:val="-2"/>
                <w:sz w:val="19"/>
                <w:szCs w:val="19"/>
              </w:rPr>
            </w:pPr>
            <w:r w:rsidRPr="0059659F">
              <w:rPr>
                <w:rFonts w:ascii="Calibri" w:hAnsi="Calibri" w:cs="Calibri"/>
                <w:spacing w:val="-2"/>
                <w:sz w:val="19"/>
                <w:szCs w:val="19"/>
              </w:rPr>
              <w:t>Overarching Element: System Governance</w:t>
            </w:r>
          </w:p>
        </w:tc>
        <w:tc>
          <w:tcPr>
            <w:tcW w:w="3969" w:type="dxa"/>
            <w:tcBorders>
              <w:top w:val="single" w:sz="4" w:space="0" w:color="A6A6A6"/>
              <w:left w:val="single" w:sz="4" w:space="0" w:color="A6A6A6"/>
              <w:bottom w:val="single" w:sz="4" w:space="0" w:color="A6A6A6"/>
              <w:right w:val="single" w:sz="4" w:space="0" w:color="A6A6A6"/>
            </w:tcBorders>
          </w:tcPr>
          <w:p w14:paraId="6046A021"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Australia had the highest percentage of growth in donation in the 9th year of reform compared to other countries that have undertaken national reform programs to increase organ donation (Spain, United Kingdom and Portugal).</w:t>
            </w:r>
          </w:p>
          <w:p w14:paraId="1079F067"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A new national strategy is required in order to continue to drive performance of the system and meet key capacity issues, with a particular emphasis on innovative approaches to national workforce planning and coordination of retrieval and transplantation.</w:t>
            </w:r>
          </w:p>
          <w:p w14:paraId="31084DCD" w14:textId="25DAEB1E"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states and territories, and their constituent Local Hospital Networks, should remain the primary vehicle for the delivery of organ donation, retrieval and transplantation services.</w:t>
            </w:r>
          </w:p>
          <w:p w14:paraId="269D75A9" w14:textId="76890F92"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The OTA is best placed to lead strategic priorities and these </w:t>
            </w:r>
            <w:r w:rsidR="00B91BDD" w:rsidRPr="0059659F">
              <w:rPr>
                <w:rFonts w:ascii="Calibri" w:hAnsi="Calibri" w:cs="Calibri"/>
                <w:iCs/>
                <w:color w:val="000000"/>
                <w:spacing w:val="-2"/>
                <w:sz w:val="19"/>
                <w:szCs w:val="19"/>
              </w:rPr>
              <w:t>initiatives;</w:t>
            </w:r>
            <w:r w:rsidRPr="0059659F">
              <w:rPr>
                <w:rFonts w:ascii="Calibri" w:hAnsi="Calibri" w:cs="Calibri"/>
                <w:iCs/>
                <w:color w:val="000000"/>
                <w:spacing w:val="-2"/>
                <w:sz w:val="19"/>
                <w:szCs w:val="19"/>
              </w:rPr>
              <w:t xml:space="preserve"> </w:t>
            </w:r>
            <w:r w:rsidR="00B91BDD" w:rsidRPr="0059659F">
              <w:rPr>
                <w:rFonts w:ascii="Calibri" w:hAnsi="Calibri" w:cs="Calibri"/>
                <w:iCs/>
                <w:color w:val="000000"/>
                <w:spacing w:val="-2"/>
                <w:sz w:val="19"/>
                <w:szCs w:val="19"/>
              </w:rPr>
              <w:t>however,</w:t>
            </w:r>
            <w:r w:rsidRPr="0059659F">
              <w:rPr>
                <w:rFonts w:ascii="Calibri" w:hAnsi="Calibri" w:cs="Calibri"/>
                <w:iCs/>
                <w:color w:val="000000"/>
                <w:spacing w:val="-2"/>
                <w:sz w:val="19"/>
                <w:szCs w:val="19"/>
              </w:rPr>
              <w:t xml:space="preserve"> change will be required to the current agreement between the Australian Government and the state and territory governments. Further, additional resources will be required to enable the OTA to effectively undertake this role.</w:t>
            </w:r>
          </w:p>
          <w:p w14:paraId="01B7931D" w14:textId="77777777" w:rsidR="00102A7F" w:rsidRPr="0059659F" w:rsidRDefault="00102A7F" w:rsidP="00C75FAB">
            <w:pPr>
              <w:numPr>
                <w:ilvl w:val="0"/>
                <w:numId w:val="26"/>
              </w:numPr>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Current approaches for research and development and the adoption of new evidence-based practices in the Australian organ donation, retrieval and transplantation system are not undertaken in a planned and coordinated manner.</w:t>
            </w:r>
          </w:p>
        </w:tc>
        <w:tc>
          <w:tcPr>
            <w:tcW w:w="3969" w:type="dxa"/>
            <w:tcBorders>
              <w:top w:val="single" w:sz="4" w:space="0" w:color="A6A6A6"/>
              <w:left w:val="single" w:sz="4" w:space="0" w:color="A6A6A6"/>
              <w:bottom w:val="single" w:sz="4" w:space="0" w:color="A6A6A6"/>
              <w:right w:val="single" w:sz="4" w:space="0" w:color="A6A6A6"/>
            </w:tcBorders>
          </w:tcPr>
          <w:p w14:paraId="7A937448"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1:</w:t>
            </w:r>
            <w:r w:rsidRPr="0059659F">
              <w:rPr>
                <w:rFonts w:ascii="Calibri" w:hAnsi="Calibri" w:cs="Calibri"/>
                <w:iCs/>
                <w:color w:val="000000"/>
                <w:spacing w:val="-2"/>
                <w:sz w:val="19"/>
                <w:szCs w:val="19"/>
              </w:rPr>
              <w:t xml:space="preserve"> The Australian Government working in collaboration with states and territories use this report to guide the development of a future national strategy for the retrieval and transplantation sector to optimise every deceased donation opportunity for maximum transplantation outcomes.</w:t>
            </w:r>
          </w:p>
          <w:p w14:paraId="05E0E992"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2:</w:t>
            </w:r>
            <w:r w:rsidRPr="0059659F">
              <w:rPr>
                <w:rFonts w:ascii="Calibri" w:hAnsi="Calibri" w:cs="Calibri"/>
                <w:iCs/>
                <w:color w:val="000000"/>
                <w:spacing w:val="-2"/>
                <w:sz w:val="19"/>
                <w:szCs w:val="19"/>
              </w:rPr>
              <w:t xml:space="preserve"> The Australian Government working in partnership with states and territories, develop a long-term national workforce strategy for the organ donation, retrieval and transplantation sectors.</w:t>
            </w:r>
          </w:p>
          <w:p w14:paraId="206D3060" w14:textId="68FD3CA3"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3:</w:t>
            </w:r>
            <w:r w:rsidRPr="0059659F">
              <w:rPr>
                <w:rFonts w:ascii="Calibri" w:hAnsi="Calibri" w:cs="Calibri"/>
                <w:iCs/>
                <w:color w:val="000000"/>
                <w:spacing w:val="-2"/>
                <w:sz w:val="19"/>
                <w:szCs w:val="19"/>
              </w:rPr>
              <w:t xml:space="preserve"> All Australian </w:t>
            </w:r>
            <w:r w:rsidR="00146E29">
              <w:rPr>
                <w:rFonts w:ascii="Calibri" w:hAnsi="Calibri" w:cs="Calibri"/>
                <w:iCs/>
                <w:color w:val="000000"/>
                <w:spacing w:val="-2"/>
                <w:sz w:val="19"/>
                <w:szCs w:val="19"/>
              </w:rPr>
              <w:t>Government</w:t>
            </w:r>
            <w:r w:rsidR="008F3E39" w:rsidRPr="0059659F">
              <w:rPr>
                <w:rFonts w:ascii="Calibri" w:hAnsi="Calibri" w:cs="Calibri"/>
                <w:iCs/>
                <w:color w:val="000000"/>
                <w:spacing w:val="-2"/>
                <w:sz w:val="19"/>
                <w:szCs w:val="19"/>
              </w:rPr>
              <w:t>s</w:t>
            </w:r>
            <w:r w:rsidRPr="0059659F">
              <w:rPr>
                <w:rFonts w:ascii="Calibri" w:hAnsi="Calibri" w:cs="Calibri"/>
                <w:iCs/>
                <w:color w:val="000000"/>
                <w:spacing w:val="-2"/>
                <w:sz w:val="19"/>
                <w:szCs w:val="19"/>
              </w:rPr>
              <w:t xml:space="preserve"> resolve that the OTA should take a national strategic or coordination role under its existing legislation in regards to the following organ donation retrieval and transplantation issues: </w:t>
            </w:r>
          </w:p>
          <w:p w14:paraId="17E59E68" w14:textId="77777777" w:rsidR="00102A7F" w:rsidRPr="0059659F" w:rsidRDefault="00102A7F" w:rsidP="00C75FAB">
            <w:pPr>
              <w:widowControl/>
              <w:numPr>
                <w:ilvl w:val="0"/>
                <w:numId w:val="26"/>
              </w:numPr>
              <w:autoSpaceDE/>
              <w:adjustRightInd/>
              <w:spacing w:before="40" w:after="60"/>
              <w:ind w:left="170" w:hanging="170"/>
              <w:contextualSpacing/>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National planning and service development </w:t>
            </w:r>
          </w:p>
          <w:p w14:paraId="5EFAB2DA" w14:textId="77777777" w:rsidR="00102A7F" w:rsidRPr="0059659F" w:rsidRDefault="00102A7F" w:rsidP="00C75FAB">
            <w:pPr>
              <w:widowControl/>
              <w:numPr>
                <w:ilvl w:val="0"/>
                <w:numId w:val="26"/>
              </w:numPr>
              <w:autoSpaceDE/>
              <w:adjustRightInd/>
              <w:spacing w:before="40" w:after="60"/>
              <w:ind w:left="170" w:hanging="170"/>
              <w:contextualSpacing/>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National standards and guidelines development </w:t>
            </w:r>
          </w:p>
          <w:p w14:paraId="52AC4271" w14:textId="77777777" w:rsidR="00102A7F" w:rsidRPr="0059659F" w:rsidRDefault="00102A7F" w:rsidP="00C75FAB">
            <w:pPr>
              <w:widowControl/>
              <w:numPr>
                <w:ilvl w:val="0"/>
                <w:numId w:val="26"/>
              </w:numPr>
              <w:autoSpaceDE/>
              <w:adjustRightInd/>
              <w:spacing w:before="40" w:after="60"/>
              <w:ind w:left="170" w:hanging="170"/>
              <w:contextualSpacing/>
              <w:rPr>
                <w:rFonts w:ascii="Calibri" w:hAnsi="Calibri" w:cs="Calibri"/>
                <w:iCs/>
                <w:color w:val="000000"/>
                <w:spacing w:val="-2"/>
                <w:sz w:val="19"/>
                <w:szCs w:val="19"/>
              </w:rPr>
            </w:pPr>
            <w:r w:rsidRPr="0059659F">
              <w:rPr>
                <w:rFonts w:ascii="Calibri" w:hAnsi="Calibri" w:cs="Calibri"/>
                <w:iCs/>
                <w:color w:val="000000"/>
                <w:spacing w:val="-2"/>
                <w:sz w:val="19"/>
                <w:szCs w:val="19"/>
              </w:rPr>
              <w:t>Advocacy for the donation, retrieval and transplantation system</w:t>
            </w:r>
          </w:p>
          <w:p w14:paraId="357DBC72" w14:textId="05C2608D" w:rsidR="00102A7F" w:rsidRPr="0059659F" w:rsidRDefault="00102A7F" w:rsidP="00C75FAB">
            <w:pPr>
              <w:widowControl/>
              <w:numPr>
                <w:ilvl w:val="0"/>
                <w:numId w:val="26"/>
              </w:numPr>
              <w:autoSpaceDE/>
              <w:adjustRightInd/>
              <w:spacing w:before="40" w:after="60"/>
              <w:ind w:left="170" w:hanging="170"/>
              <w:contextualSpacing/>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Provision of advice to national research funding bodies based on advice obtained from the </w:t>
            </w:r>
            <w:r w:rsidR="009E49EC" w:rsidRPr="0059659F">
              <w:rPr>
                <w:rFonts w:ascii="Calibri" w:hAnsi="Calibri" w:cs="Calibri"/>
                <w:iCs/>
                <w:color w:val="000000"/>
                <w:spacing w:val="-2"/>
                <w:sz w:val="19"/>
                <w:szCs w:val="19"/>
              </w:rPr>
              <w:t>Transplantation Society of Australia and New Zealand (</w:t>
            </w:r>
            <w:r w:rsidRPr="0059659F">
              <w:rPr>
                <w:rFonts w:ascii="Calibri" w:hAnsi="Calibri" w:cs="Calibri"/>
                <w:iCs/>
                <w:color w:val="000000"/>
                <w:spacing w:val="-2"/>
                <w:sz w:val="19"/>
                <w:szCs w:val="19"/>
              </w:rPr>
              <w:t>TSANZ</w:t>
            </w:r>
            <w:r w:rsidR="009E49EC" w:rsidRPr="0059659F">
              <w:rPr>
                <w:rFonts w:ascii="Calibri" w:hAnsi="Calibri" w:cs="Calibri"/>
                <w:iCs/>
                <w:color w:val="000000"/>
                <w:spacing w:val="-2"/>
                <w:sz w:val="19"/>
                <w:szCs w:val="19"/>
              </w:rPr>
              <w:t>)</w:t>
            </w:r>
            <w:r w:rsidRPr="0059659F">
              <w:rPr>
                <w:rFonts w:ascii="Calibri" w:hAnsi="Calibri" w:cs="Calibri"/>
                <w:iCs/>
                <w:color w:val="000000"/>
                <w:spacing w:val="-2"/>
                <w:sz w:val="19"/>
                <w:szCs w:val="19"/>
              </w:rPr>
              <w:t xml:space="preserve"> and other clinical advisers </w:t>
            </w:r>
          </w:p>
          <w:p w14:paraId="33B341A0" w14:textId="77777777" w:rsidR="00102A7F" w:rsidRPr="0059659F" w:rsidRDefault="00102A7F" w:rsidP="00C75FAB">
            <w:pPr>
              <w:widowControl/>
              <w:numPr>
                <w:ilvl w:val="0"/>
                <w:numId w:val="26"/>
              </w:numPr>
              <w:autoSpaceDE/>
              <w:adjustRightInd/>
              <w:spacing w:before="40" w:after="60"/>
              <w:ind w:left="170" w:hanging="170"/>
              <w:contextualSpacing/>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Data collection, analysis and reporting to drive change and clinical best practice </w:t>
            </w:r>
          </w:p>
          <w:p w14:paraId="7EE9534A"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National planning for the adoption of new evidence-based practice including new tissue typing and ex vivo organ perfusion technologies.</w:t>
            </w:r>
          </w:p>
          <w:p w14:paraId="582D389D" w14:textId="560C31C6" w:rsidR="0059659F" w:rsidRPr="0039553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4:</w:t>
            </w:r>
            <w:r w:rsidRPr="0059659F">
              <w:rPr>
                <w:rFonts w:ascii="Calibri" w:hAnsi="Calibri" w:cs="Calibri"/>
                <w:iCs/>
                <w:color w:val="000000"/>
                <w:spacing w:val="-2"/>
                <w:sz w:val="19"/>
                <w:szCs w:val="19"/>
              </w:rPr>
              <w:t xml:space="preserve"> The OTA should provide advice, based on guidance obtained from the TSANZ and other clinical advisers, to research funding organisations on the priorities for research in organ donation and transplantation.</w:t>
            </w:r>
          </w:p>
        </w:tc>
      </w:tr>
      <w:tr w:rsidR="00102A7F" w:rsidRPr="0059659F" w14:paraId="1D582C51" w14:textId="77777777" w:rsidTr="00C75FAB">
        <w:tc>
          <w:tcPr>
            <w:tcW w:w="1413" w:type="dxa"/>
            <w:tcBorders>
              <w:top w:val="single" w:sz="4" w:space="0" w:color="A6A6A6"/>
              <w:left w:val="single" w:sz="4" w:space="0" w:color="A6A6A6"/>
              <w:bottom w:val="single" w:sz="4" w:space="0" w:color="A6A6A6"/>
              <w:right w:val="single" w:sz="4" w:space="0" w:color="A6A6A6"/>
            </w:tcBorders>
          </w:tcPr>
          <w:p w14:paraId="468C17DF" w14:textId="77777777" w:rsidR="00102A7F" w:rsidRPr="0059659F" w:rsidRDefault="00102A7F" w:rsidP="00C75FAB">
            <w:pPr>
              <w:widowControl/>
              <w:autoSpaceDE/>
              <w:adjustRightInd/>
              <w:spacing w:before="40" w:after="60"/>
              <w:rPr>
                <w:rFonts w:ascii="Calibri" w:hAnsi="Calibri" w:cs="Calibri"/>
                <w:spacing w:val="-2"/>
                <w:sz w:val="19"/>
                <w:szCs w:val="19"/>
              </w:rPr>
            </w:pPr>
            <w:r w:rsidRPr="0059659F">
              <w:rPr>
                <w:rFonts w:ascii="Calibri" w:hAnsi="Calibri" w:cs="Calibri"/>
                <w:spacing w:val="-2"/>
                <w:sz w:val="19"/>
                <w:szCs w:val="19"/>
              </w:rPr>
              <w:t>Element 1: Initial assessment and wait listing management of potential transplant recipients</w:t>
            </w:r>
          </w:p>
        </w:tc>
        <w:tc>
          <w:tcPr>
            <w:tcW w:w="3969" w:type="dxa"/>
            <w:tcBorders>
              <w:top w:val="single" w:sz="4" w:space="0" w:color="A6A6A6"/>
              <w:left w:val="single" w:sz="4" w:space="0" w:color="A6A6A6"/>
              <w:bottom w:val="single" w:sz="4" w:space="0" w:color="A6A6A6"/>
              <w:right w:val="single" w:sz="4" w:space="0" w:color="A6A6A6"/>
            </w:tcBorders>
          </w:tcPr>
          <w:p w14:paraId="077C9703"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Extensive evidence was reported in all the organ transplantation programs of the occurrence and challenge of late referrals of potential recipients to the transplantation program for assessment.</w:t>
            </w:r>
          </w:p>
          <w:p w14:paraId="51BA0F20"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The assessment processes and waiting list management utilised by non-renal (liver, heart and lung) transplantation programs throughout Australia are reported to be generally consistent across transplantation programs by clinicians. </w:t>
            </w:r>
          </w:p>
          <w:p w14:paraId="69E331F0"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However, data show that there is large variation in waiting list numbers which may reflect non-uniform practices in wait listing potential recipients and the management of waiting lists for non-renal organs.</w:t>
            </w:r>
          </w:p>
          <w:p w14:paraId="4BFFB2EE"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The assessment processes and waiting list management utilised by renal transplantation </w:t>
            </w:r>
            <w:r w:rsidRPr="0059659F">
              <w:rPr>
                <w:rFonts w:ascii="Calibri" w:hAnsi="Calibri" w:cs="Calibri"/>
                <w:iCs/>
                <w:color w:val="000000"/>
                <w:spacing w:val="-2"/>
                <w:sz w:val="19"/>
                <w:szCs w:val="19"/>
              </w:rPr>
              <w:lastRenderedPageBreak/>
              <w:t xml:space="preserve">programs throughout Australia vary greatly, resulting in variable performance and inequity. </w:t>
            </w:r>
          </w:p>
          <w:p w14:paraId="2B804022"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This is primarily due to widespread variability in: (1) the use of the assessment criteria used to assess potential kidney transplant recipients; and (2) the process used to manage patients on the kidney transplantation waiting list.  </w:t>
            </w:r>
          </w:p>
          <w:p w14:paraId="722932DD"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There is widespread variability in waiting list practices for people receiving dialysis across Australia and the gap is widening. This is particularly apparent for Australians living in rural and remote locations and was reported by clinical stakeholders to be an issue in culturally and linguistically diverse populations.</w:t>
            </w:r>
          </w:p>
          <w:p w14:paraId="3191324F"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Inequity is particularly experienced by Aboriginal and Torres Strait Islander people due to a number of inherent barriers that require further review and attention. These barriers to transplantation have been noted by Lawton, et al to be challenging, however are not insurmountable. An inability to overcome these impediments will continue to limit kidney transplantation in Aboriginal and Torres Strait Islander Australians. </w:t>
            </w:r>
          </w:p>
          <w:p w14:paraId="2A43DB70"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There is no nationally agreed formal process for patients to obtain a second opinion if they are declined for kidney transplantation. </w:t>
            </w:r>
          </w:p>
          <w:p w14:paraId="08463042" w14:textId="03274569"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A potential recipient’s visibility and oversight of their position or rank on the waiting list is currently limited. However, this is likely to be improved as planned strategies and systems are implemented.</w:t>
            </w:r>
          </w:p>
          <w:p w14:paraId="07B5FBEB"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There is currently no consistent approach to the education and consent of patients across Australia.</w:t>
            </w:r>
          </w:p>
          <w:p w14:paraId="6B8E12BA" w14:textId="77777777" w:rsidR="00102A7F" w:rsidRPr="0059659F" w:rsidRDefault="00102A7F" w:rsidP="00C75FAB">
            <w:pPr>
              <w:widowControl/>
              <w:autoSpaceDE/>
              <w:adjustRightInd/>
              <w:spacing w:before="40" w:after="60"/>
              <w:ind w:left="171"/>
              <w:rPr>
                <w:rFonts w:ascii="Calibri" w:hAnsi="Calibri" w:cs="Calibri"/>
                <w:iCs/>
                <w:color w:val="000000"/>
                <w:spacing w:val="-2"/>
                <w:sz w:val="19"/>
                <w:szCs w:val="19"/>
              </w:rPr>
            </w:pPr>
          </w:p>
        </w:tc>
        <w:tc>
          <w:tcPr>
            <w:tcW w:w="3969" w:type="dxa"/>
            <w:tcBorders>
              <w:top w:val="single" w:sz="4" w:space="0" w:color="A6A6A6"/>
              <w:left w:val="single" w:sz="4" w:space="0" w:color="A6A6A6"/>
              <w:bottom w:val="single" w:sz="4" w:space="0" w:color="A6A6A6"/>
              <w:right w:val="single" w:sz="4" w:space="0" w:color="A6A6A6"/>
            </w:tcBorders>
          </w:tcPr>
          <w:p w14:paraId="447157CA"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lastRenderedPageBreak/>
              <w:t xml:space="preserve">Recommendation 5: </w:t>
            </w:r>
            <w:r w:rsidRPr="0059659F">
              <w:rPr>
                <w:rFonts w:ascii="Calibri" w:hAnsi="Calibri" w:cs="Calibri"/>
                <w:iCs/>
                <w:color w:val="000000"/>
                <w:spacing w:val="-2"/>
                <w:sz w:val="19"/>
                <w:szCs w:val="19"/>
              </w:rPr>
              <w:t>All transplantation programs work with the continuing medical education pathways to improve the understanding of eligibility of patients for transplantation and the referral pathways among clinicians.</w:t>
            </w:r>
          </w:p>
          <w:p w14:paraId="4B41C1B7" w14:textId="3397D34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 xml:space="preserve">Recommendation 6: </w:t>
            </w:r>
            <w:r w:rsidRPr="0059659F">
              <w:rPr>
                <w:rFonts w:ascii="Calibri" w:hAnsi="Calibri" w:cs="Calibri"/>
                <w:iCs/>
                <w:color w:val="000000"/>
                <w:spacing w:val="-2"/>
                <w:sz w:val="19"/>
                <w:szCs w:val="19"/>
              </w:rPr>
              <w:t>The OTA, through the TSANZ, oversee a clinical review of waiting list practices and management across all non-renal transplantation units in Australia, including the application of the</w:t>
            </w:r>
            <w:r w:rsidR="009E49EC" w:rsidRPr="0059659F">
              <w:rPr>
                <w:rFonts w:asciiTheme="minorHAnsi" w:hAnsiTheme="minorHAnsi" w:cstheme="minorHAnsi"/>
                <w:sz w:val="19"/>
                <w:szCs w:val="19"/>
                <w:lang w:val="en-GB"/>
              </w:rPr>
              <w:t xml:space="preserve"> </w:t>
            </w:r>
            <w:r w:rsidR="009E49EC" w:rsidRPr="0059659F">
              <w:rPr>
                <w:rFonts w:asciiTheme="minorHAnsi" w:hAnsiTheme="minorHAnsi" w:cstheme="minorHAnsi"/>
                <w:i/>
                <w:sz w:val="19"/>
                <w:szCs w:val="19"/>
                <w:lang w:val="en-GB"/>
              </w:rPr>
              <w:t>Clinical Guidelines for Organ Transplantation from Deceased Donors</w:t>
            </w:r>
            <w:r w:rsidRPr="0059659F">
              <w:rPr>
                <w:rFonts w:ascii="Calibri" w:hAnsi="Calibri" w:cs="Calibri"/>
                <w:iCs/>
                <w:color w:val="000000"/>
                <w:spacing w:val="-2"/>
                <w:sz w:val="19"/>
                <w:szCs w:val="19"/>
              </w:rPr>
              <w:t xml:space="preserve"> </w:t>
            </w:r>
            <w:r w:rsidR="009E49EC" w:rsidRPr="0059659F">
              <w:rPr>
                <w:rFonts w:ascii="Calibri" w:hAnsi="Calibri" w:cs="Calibri"/>
                <w:iCs/>
                <w:color w:val="000000"/>
                <w:spacing w:val="-2"/>
                <w:sz w:val="19"/>
                <w:szCs w:val="19"/>
              </w:rPr>
              <w:t xml:space="preserve">(‘the </w:t>
            </w:r>
            <w:r w:rsidRPr="0059659F">
              <w:rPr>
                <w:rFonts w:ascii="Calibri" w:hAnsi="Calibri" w:cs="Calibri"/>
                <w:iCs/>
                <w:color w:val="000000"/>
                <w:spacing w:val="-2"/>
                <w:sz w:val="19"/>
                <w:szCs w:val="19"/>
              </w:rPr>
              <w:t>Clinical Guidelines</w:t>
            </w:r>
            <w:r w:rsidR="009E49EC" w:rsidRPr="0059659F">
              <w:rPr>
                <w:rFonts w:ascii="Calibri" w:hAnsi="Calibri" w:cs="Calibri"/>
                <w:iCs/>
                <w:color w:val="000000"/>
                <w:spacing w:val="-2"/>
                <w:sz w:val="19"/>
                <w:szCs w:val="19"/>
              </w:rPr>
              <w:t>’)</w:t>
            </w:r>
            <w:r w:rsidRPr="0059659F">
              <w:rPr>
                <w:rFonts w:ascii="Calibri" w:hAnsi="Calibri" w:cs="Calibri"/>
                <w:iCs/>
                <w:color w:val="000000"/>
                <w:spacing w:val="-2"/>
                <w:sz w:val="19"/>
                <w:szCs w:val="19"/>
              </w:rPr>
              <w:t xml:space="preserve"> for non-renal transplantation and data management. The findings from the clinical review should be used to identify best practice in waiting list practices and management, as well as better enabling benchmarking to drive performance improvement across transplantation units.</w:t>
            </w:r>
          </w:p>
          <w:p w14:paraId="34B16173"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lastRenderedPageBreak/>
              <w:t>Recommendation 7:</w:t>
            </w:r>
            <w:r w:rsidRPr="0059659F">
              <w:rPr>
                <w:rFonts w:ascii="Calibri" w:hAnsi="Calibri" w:cs="Calibri"/>
                <w:iCs/>
                <w:color w:val="000000"/>
                <w:spacing w:val="-2"/>
                <w:sz w:val="19"/>
                <w:szCs w:val="19"/>
              </w:rPr>
              <w:t xml:space="preserve"> All Australian governments consider strategies to improve access to non-renal outreach clinics for assessment for transplantation, including an emphasis on work up for transplantation as close as possible to the potential recipient’s place of residence.</w:t>
            </w:r>
          </w:p>
          <w:p w14:paraId="13F435B2"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8:</w:t>
            </w:r>
            <w:r w:rsidRPr="0059659F">
              <w:rPr>
                <w:rFonts w:ascii="Calibri" w:hAnsi="Calibri" w:cs="Calibri"/>
                <w:iCs/>
                <w:color w:val="000000"/>
                <w:spacing w:val="-2"/>
                <w:sz w:val="19"/>
                <w:szCs w:val="19"/>
              </w:rPr>
              <w:t xml:space="preserve"> The OTA, through the TSANZ, commission a clinical review of the application of the Clinical Guidelines for kidney transplantation across all kidney transplantation units in Australia to assess the extent of variability in the use of these guidelines.</w:t>
            </w:r>
          </w:p>
          <w:p w14:paraId="1ABCBAFE"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9:</w:t>
            </w:r>
            <w:r w:rsidRPr="0059659F">
              <w:rPr>
                <w:rFonts w:ascii="Calibri" w:hAnsi="Calibri" w:cs="Calibri"/>
                <w:iCs/>
                <w:color w:val="000000"/>
                <w:spacing w:val="-2"/>
                <w:sz w:val="19"/>
                <w:szCs w:val="19"/>
              </w:rPr>
              <w:t xml:space="preserve"> Based on findings from the above mentioned clinical review, a national policy for the management of kidney transplantation waiting lists is to be agreed. It should seek to improve inequities in access to waiting lists and implement best practice waiting list management.</w:t>
            </w:r>
          </w:p>
          <w:p w14:paraId="555E6722"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 xml:space="preserve">Recommendation 10: </w:t>
            </w:r>
            <w:r w:rsidRPr="0059659F">
              <w:rPr>
                <w:rFonts w:ascii="Calibri" w:hAnsi="Calibri" w:cs="Calibri"/>
                <w:iCs/>
                <w:color w:val="000000"/>
                <w:spacing w:val="-2"/>
                <w:sz w:val="19"/>
                <w:szCs w:val="19"/>
              </w:rPr>
              <w:t xml:space="preserve">The OTA, through collaboration with transplantation units, should publish the performance parameters for the management of kidney transplantation waiting lists annually in a clearly accessible form for the public. This includes the number of people and the proportion of Aboriginal and Torres Strait Islander and culturally and linguistically diverse people on dialysis on waiting lists to enable assessment of access to kidney transplantation for these groups. </w:t>
            </w:r>
          </w:p>
          <w:p w14:paraId="21A75A6C"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11:</w:t>
            </w:r>
            <w:r w:rsidRPr="0059659F">
              <w:rPr>
                <w:rFonts w:ascii="Calibri" w:hAnsi="Calibri" w:cs="Calibri"/>
                <w:iCs/>
                <w:color w:val="000000"/>
                <w:spacing w:val="-2"/>
                <w:sz w:val="19"/>
                <w:szCs w:val="19"/>
              </w:rPr>
              <w:t xml:space="preserve"> All patients on long-term dialysis programs should be informed by their treating medical specialist of the possibility of transplantation and their compliance with the waiting list acceptance criteria.</w:t>
            </w:r>
          </w:p>
          <w:p w14:paraId="2C449742"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12:</w:t>
            </w:r>
            <w:r w:rsidRPr="0059659F">
              <w:rPr>
                <w:rFonts w:ascii="Calibri" w:hAnsi="Calibri" w:cs="Calibri"/>
                <w:iCs/>
                <w:color w:val="000000"/>
                <w:spacing w:val="-2"/>
                <w:sz w:val="19"/>
                <w:szCs w:val="19"/>
              </w:rPr>
              <w:t xml:space="preserve"> All kidney transplantation programs should implement formal outreach arrangements with rural dialysis units as a condition of funding within the state or territory. These rural outreach arrangements must include a clearly defined pathway to kidney transplantation for rural residents, including specifically designed pathways for Aboriginal and Torres Strait Islander people, as well as a commitment to ‘work up’ a potential kidney transplantation recipient as close to their place of residence as possible.</w:t>
            </w:r>
          </w:p>
          <w:p w14:paraId="5E6B9764"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13:</w:t>
            </w:r>
            <w:r w:rsidRPr="0059659F">
              <w:rPr>
                <w:rFonts w:ascii="Calibri" w:hAnsi="Calibri" w:cs="Calibri"/>
                <w:iCs/>
                <w:color w:val="000000"/>
                <w:spacing w:val="-2"/>
                <w:sz w:val="19"/>
                <w:szCs w:val="19"/>
              </w:rPr>
              <w:t xml:space="preserve"> All kidney transplantation programs should implement formal arrangements with Aboriginal Community Controlled Health Organisations to increase the understanding of transplantation as a possibility for Aboriginal and Torres Strait Islander patients on dialysis.</w:t>
            </w:r>
          </w:p>
          <w:p w14:paraId="609BBE0E"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14:</w:t>
            </w:r>
            <w:r w:rsidRPr="0059659F">
              <w:rPr>
                <w:rFonts w:ascii="Calibri" w:hAnsi="Calibri" w:cs="Calibri"/>
                <w:iCs/>
                <w:color w:val="000000"/>
                <w:spacing w:val="-2"/>
                <w:sz w:val="19"/>
                <w:szCs w:val="19"/>
              </w:rPr>
              <w:t xml:space="preserve"> All dialysis units should have formal arrangements in place with a kidney transplantation program for the assessment of </w:t>
            </w:r>
            <w:r w:rsidRPr="0059659F">
              <w:rPr>
                <w:rFonts w:ascii="Calibri" w:hAnsi="Calibri" w:cs="Calibri"/>
                <w:iCs/>
                <w:color w:val="000000"/>
                <w:spacing w:val="-2"/>
                <w:sz w:val="19"/>
                <w:szCs w:val="19"/>
              </w:rPr>
              <w:lastRenderedPageBreak/>
              <w:t>dialysis patients for possible kidney transplantation.</w:t>
            </w:r>
          </w:p>
          <w:p w14:paraId="51D6FA0C"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15:</w:t>
            </w:r>
            <w:r w:rsidRPr="0059659F">
              <w:rPr>
                <w:rFonts w:ascii="Calibri" w:hAnsi="Calibri" w:cs="Calibri"/>
                <w:iCs/>
                <w:color w:val="000000"/>
                <w:spacing w:val="-2"/>
                <w:sz w:val="19"/>
                <w:szCs w:val="19"/>
              </w:rPr>
              <w:t xml:space="preserve"> All kidney transplantation programs should implement a formal process for the provision of a second opinion to potential transplant recipients who are determined to be ineligible for transplantation.</w:t>
            </w:r>
          </w:p>
          <w:p w14:paraId="3F438BD4"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16:</w:t>
            </w:r>
            <w:r w:rsidRPr="0059659F">
              <w:rPr>
                <w:rFonts w:ascii="Calibri" w:hAnsi="Calibri" w:cs="Calibri"/>
                <w:iCs/>
                <w:color w:val="000000"/>
                <w:spacing w:val="-2"/>
                <w:sz w:val="19"/>
                <w:szCs w:val="19"/>
              </w:rPr>
              <w:t xml:space="preserve"> The OTA through the TSANZ review the information provided to all potential recipients of organ transplantation to improve the understanding of the range of options that may arise if suitable donated organs are identified.</w:t>
            </w:r>
          </w:p>
        </w:tc>
      </w:tr>
      <w:tr w:rsidR="00102A7F" w:rsidRPr="0059659F" w14:paraId="639DD8BF" w14:textId="77777777" w:rsidTr="00C75FAB">
        <w:tc>
          <w:tcPr>
            <w:tcW w:w="1413" w:type="dxa"/>
            <w:tcBorders>
              <w:top w:val="single" w:sz="4" w:space="0" w:color="A6A6A6"/>
              <w:left w:val="single" w:sz="4" w:space="0" w:color="A6A6A6"/>
              <w:bottom w:val="single" w:sz="4" w:space="0" w:color="A6A6A6"/>
              <w:right w:val="single" w:sz="4" w:space="0" w:color="A6A6A6"/>
            </w:tcBorders>
          </w:tcPr>
          <w:p w14:paraId="5AA8F345" w14:textId="77777777" w:rsidR="00102A7F" w:rsidRPr="0059659F" w:rsidRDefault="00102A7F" w:rsidP="00C75FAB">
            <w:pPr>
              <w:widowControl/>
              <w:autoSpaceDE/>
              <w:adjustRightInd/>
              <w:spacing w:before="40" w:after="60"/>
              <w:rPr>
                <w:rFonts w:ascii="Calibri" w:hAnsi="Calibri" w:cs="Calibri"/>
                <w:spacing w:val="-2"/>
                <w:sz w:val="19"/>
                <w:szCs w:val="19"/>
              </w:rPr>
            </w:pPr>
            <w:r w:rsidRPr="0059659F">
              <w:rPr>
                <w:rFonts w:ascii="Calibri" w:hAnsi="Calibri" w:cs="Calibri"/>
                <w:spacing w:val="-2"/>
                <w:sz w:val="19"/>
                <w:szCs w:val="19"/>
              </w:rPr>
              <w:lastRenderedPageBreak/>
              <w:t xml:space="preserve">Element 2: Deceased donor organ donation </w:t>
            </w:r>
          </w:p>
        </w:tc>
        <w:tc>
          <w:tcPr>
            <w:tcW w:w="3969" w:type="dxa"/>
            <w:tcBorders>
              <w:top w:val="single" w:sz="4" w:space="0" w:color="A6A6A6"/>
              <w:left w:val="single" w:sz="4" w:space="0" w:color="A6A6A6"/>
              <w:bottom w:val="single" w:sz="4" w:space="0" w:color="A6A6A6"/>
              <w:right w:val="single" w:sz="4" w:space="0" w:color="A6A6A6"/>
            </w:tcBorders>
          </w:tcPr>
          <w:p w14:paraId="1E8981B9" w14:textId="15C56583"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Since 2015, organ donation in Australia has increased by 17 per cent and the rate of organ donation was 20.8 </w:t>
            </w:r>
            <w:r w:rsidR="009E49EC" w:rsidRPr="0059659F">
              <w:rPr>
                <w:rFonts w:ascii="Calibri" w:hAnsi="Calibri" w:cs="Calibri"/>
                <w:iCs/>
                <w:color w:val="000000"/>
                <w:spacing w:val="-2"/>
                <w:sz w:val="19"/>
                <w:szCs w:val="19"/>
              </w:rPr>
              <w:t>deceased donors per million population (</w:t>
            </w:r>
            <w:r w:rsidRPr="0059659F">
              <w:rPr>
                <w:rFonts w:ascii="Calibri" w:hAnsi="Calibri" w:cs="Calibri"/>
                <w:iCs/>
                <w:color w:val="000000"/>
                <w:spacing w:val="-2"/>
                <w:sz w:val="19"/>
                <w:szCs w:val="19"/>
              </w:rPr>
              <w:t>dpmp</w:t>
            </w:r>
            <w:r w:rsidR="009E49EC" w:rsidRPr="0059659F">
              <w:rPr>
                <w:rFonts w:ascii="Calibri" w:hAnsi="Calibri" w:cs="Calibri"/>
                <w:iCs/>
                <w:color w:val="000000"/>
                <w:spacing w:val="-2"/>
                <w:sz w:val="19"/>
                <w:szCs w:val="19"/>
              </w:rPr>
              <w:t>)</w:t>
            </w:r>
            <w:r w:rsidRPr="0059659F">
              <w:rPr>
                <w:rFonts w:ascii="Calibri" w:hAnsi="Calibri" w:cs="Calibri"/>
                <w:iCs/>
                <w:color w:val="000000"/>
                <w:spacing w:val="-2"/>
                <w:sz w:val="19"/>
                <w:szCs w:val="19"/>
              </w:rPr>
              <w:t xml:space="preserve"> in 2017 (compared to the target of 25 dpmp in 2018). </w:t>
            </w:r>
          </w:p>
          <w:p w14:paraId="1C426004"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national organ donation target of 25 dpmp has been set based on modelling and currently the demand in every state is reported to be much higher than possible donation rates.</w:t>
            </w:r>
          </w:p>
          <w:p w14:paraId="396A29B5"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total national demand for organ transplantation is not known at this time.</w:t>
            </w:r>
          </w:p>
          <w:p w14:paraId="38CEDDB2"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Donation performance continues to vary considerably by state and territory and by hospital. However, donation performance is not currently accessibly published to provide transparency of donation performance.</w:t>
            </w:r>
          </w:p>
          <w:p w14:paraId="3D460111" w14:textId="77777777" w:rsidR="001747E8" w:rsidRPr="00C75FAB" w:rsidRDefault="001747E8"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C75FAB">
              <w:rPr>
                <w:rFonts w:ascii="Calibri" w:hAnsi="Calibri" w:cs="Calibri"/>
                <w:iCs/>
                <w:color w:val="000000"/>
                <w:spacing w:val="-2"/>
                <w:sz w:val="19"/>
                <w:szCs w:val="19"/>
                <w:lang w:val="en-AU"/>
              </w:rPr>
              <w:t>The positive growth experienced in organ donation performance is predicted to continue with projections of organ donation rates indicating that a dpmp of 27.1 will be achieved in 2025.</w:t>
            </w:r>
          </w:p>
          <w:p w14:paraId="41A3B8C0" w14:textId="77777777" w:rsidR="001747E8" w:rsidRPr="00C75FAB" w:rsidRDefault="001747E8"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C75FAB">
              <w:rPr>
                <w:rFonts w:ascii="Calibri" w:hAnsi="Calibri" w:cs="Calibri"/>
                <w:iCs/>
                <w:color w:val="000000"/>
                <w:spacing w:val="-2"/>
                <w:sz w:val="19"/>
                <w:szCs w:val="19"/>
                <w:lang w:val="en-AU"/>
              </w:rPr>
              <w:t>Consideration of resourcing of the system going forward is required in order to continue to drive organ donation performance as well as manage resourcing pressures downstream.</w:t>
            </w:r>
          </w:p>
          <w:p w14:paraId="731BC071" w14:textId="149E79E1"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In 2016, Aboriginal and Torres Strait Islander organ donations made up 2.4 per cent of total organ donations in Australia. </w:t>
            </w:r>
            <w:r w:rsidR="00B91BDD" w:rsidRPr="0059659F">
              <w:rPr>
                <w:rFonts w:ascii="Calibri" w:hAnsi="Calibri" w:cs="Calibri"/>
                <w:iCs/>
                <w:color w:val="000000"/>
                <w:spacing w:val="-2"/>
                <w:sz w:val="19"/>
                <w:szCs w:val="19"/>
              </w:rPr>
              <w:t>However,</w:t>
            </w:r>
            <w:r w:rsidRPr="0059659F">
              <w:rPr>
                <w:rFonts w:ascii="Calibri" w:hAnsi="Calibri" w:cs="Calibri"/>
                <w:iCs/>
                <w:color w:val="000000"/>
                <w:spacing w:val="-2"/>
                <w:sz w:val="19"/>
                <w:szCs w:val="19"/>
              </w:rPr>
              <w:t xml:space="preserve"> 9 per cent of the Aboriginal and Torres Strait Islander population were on dialysis.</w:t>
            </w:r>
          </w:p>
          <w:p w14:paraId="0AB29389"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Key reasons for low donation rates include poorer overall health precluding donation, health literacy of donation among health services, remote residence and community and cultural beliefs and ways of life.</w:t>
            </w:r>
          </w:p>
          <w:p w14:paraId="7FD29235"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Organ donation is limited in the non-European population.</w:t>
            </w:r>
          </w:p>
          <w:p w14:paraId="4C3FF83C"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Advances in transplantation care have underpinned a broadening of the acceptability of donated organs suitable for transplantation, however this has led to some inconsistency of </w:t>
            </w:r>
            <w:r w:rsidRPr="0059659F">
              <w:rPr>
                <w:rFonts w:ascii="Calibri" w:hAnsi="Calibri" w:cs="Calibri"/>
                <w:iCs/>
                <w:color w:val="000000"/>
                <w:spacing w:val="-2"/>
                <w:sz w:val="19"/>
                <w:szCs w:val="19"/>
              </w:rPr>
              <w:lastRenderedPageBreak/>
              <w:t>clinical practice in the acceptance of some organs.</w:t>
            </w:r>
          </w:p>
          <w:p w14:paraId="4D22EEBC"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There is an increasing number of donors who have been exposed to multi-resistant bacteria prior to donation and require additional testing to ensure that the recipient is not exposed.</w:t>
            </w:r>
          </w:p>
          <w:p w14:paraId="502D9370"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AODR was established initially as a register for intent, however the Australian Health Ministers’ Conference agreed in 2005 that the AODR would be changed to a register of consent.</w:t>
            </w:r>
          </w:p>
          <w:p w14:paraId="7F7E142A"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concept of registering a person’s decision about becoming an organ donor for transplantation after death is considered useful by most key stakeholders.</w:t>
            </w:r>
          </w:p>
          <w:p w14:paraId="22D87F5A"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AODR remains a useful system for recording the consent of potential donors, however the accessibility for potential donors is currently limited.</w:t>
            </w:r>
          </w:p>
          <w:p w14:paraId="669A6F58"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aggregated data and reporting from the AODR is limited and does not include detail such as the use of the AODR by minority groups.</w:t>
            </w:r>
          </w:p>
          <w:p w14:paraId="4DAE6007"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The difficulty of the process of registration through the current channels limits the potential to lift the prevalence of registration. </w:t>
            </w:r>
          </w:p>
          <w:p w14:paraId="35A6DD50"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South Australia continues to be the jurisdiction with the highest proportion of their population registered, however the current links between the South Australian driver’s license based scheme and the AODR remain problematic.</w:t>
            </w:r>
          </w:p>
          <w:p w14:paraId="5D8507B3"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While the legislative provisions may vary depending on the jurisdiction regarding the rules which preclude the meeting of donor families and transplant recipients, the purpose remains the same: to protect the identity of those who have donated organs, or received transplantation.</w:t>
            </w:r>
          </w:p>
          <w:p w14:paraId="53853C5C"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There is divided opinion among donor families and recipients as to whether Australian policy should be changed to enable direct contact.</w:t>
            </w:r>
          </w:p>
          <w:p w14:paraId="39698990" w14:textId="61F082D4" w:rsidR="0059659F" w:rsidRPr="00BA5351"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donor family experience has anecdotally improved in recent years, however there remain some areas for improvement in the consistency and availability of support across the donation process.</w:t>
            </w:r>
          </w:p>
        </w:tc>
        <w:tc>
          <w:tcPr>
            <w:tcW w:w="3969" w:type="dxa"/>
            <w:tcBorders>
              <w:top w:val="single" w:sz="4" w:space="0" w:color="A6A6A6"/>
              <w:left w:val="single" w:sz="4" w:space="0" w:color="A6A6A6"/>
              <w:bottom w:val="single" w:sz="4" w:space="0" w:color="A6A6A6"/>
              <w:right w:val="single" w:sz="4" w:space="0" w:color="A6A6A6"/>
            </w:tcBorders>
          </w:tcPr>
          <w:p w14:paraId="20CF219F"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lastRenderedPageBreak/>
              <w:t xml:space="preserve">Recommendation 17: </w:t>
            </w:r>
            <w:r w:rsidRPr="0059659F">
              <w:rPr>
                <w:rFonts w:ascii="Calibri" w:hAnsi="Calibri" w:cs="Calibri"/>
                <w:iCs/>
                <w:color w:val="000000"/>
                <w:spacing w:val="-2"/>
                <w:sz w:val="19"/>
                <w:szCs w:val="19"/>
              </w:rPr>
              <w:t>An epidemiological study into demand for organ transplantation in Australia to better understand the organ donation rates required to meet demand should be commissioned by the Australian Government.</w:t>
            </w:r>
          </w:p>
          <w:p w14:paraId="45498F1A"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18:</w:t>
            </w:r>
            <w:r w:rsidRPr="0059659F">
              <w:rPr>
                <w:rFonts w:ascii="Calibri" w:hAnsi="Calibri" w:cs="Calibri"/>
                <w:iCs/>
                <w:color w:val="000000"/>
                <w:spacing w:val="-2"/>
                <w:sz w:val="19"/>
                <w:szCs w:val="19"/>
              </w:rPr>
              <w:t xml:space="preserve"> Based on the findings from the above study, the COAG Health Council should review the national organ donation target to ensure that donation strategies are designed to meet the expected demand for organ transplantation.</w:t>
            </w:r>
          </w:p>
          <w:p w14:paraId="3203B715"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19:</w:t>
            </w:r>
            <w:r w:rsidRPr="0059659F">
              <w:rPr>
                <w:rFonts w:ascii="Calibri" w:hAnsi="Calibri" w:cs="Calibri"/>
                <w:iCs/>
                <w:color w:val="000000"/>
                <w:spacing w:val="-2"/>
                <w:sz w:val="19"/>
                <w:szCs w:val="19"/>
              </w:rPr>
              <w:t xml:space="preserve"> The donation performance by each hospital with a total inpatient activity of over 20,000 National Weighted Activity Units (NWAU) per annum annually should be published on the DonateLife website in an easily accessible and user-friendly format to assist in identifying variability in performance and enabling benchmarking to more effectively manage hospital performance.</w:t>
            </w:r>
          </w:p>
          <w:p w14:paraId="539363EA"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20:</w:t>
            </w:r>
            <w:r w:rsidRPr="0059659F">
              <w:rPr>
                <w:rFonts w:ascii="Calibri" w:hAnsi="Calibri" w:cs="Calibri"/>
                <w:iCs/>
                <w:color w:val="000000"/>
                <w:spacing w:val="-2"/>
                <w:sz w:val="19"/>
                <w:szCs w:val="19"/>
              </w:rPr>
              <w:t xml:space="preserve"> As part of the development of the future national strategy for the retrieval and transplantation system, the Australian Government working in partnership with states and territories should develop a national Aboriginal and Torres Strait Islander and culturally and linguistically diverse population’s organ donation strategy to improve donation rates in these groups. It should be based on the findings from this Review, and the work of the TSANZ (the Improving access to and outcomes of kidney transplantation for Aboriginal and Torres Strait Islander people project). The strategy should be developed in collaboration with the National Aboriginal Community Controlled Health Organisation, its affiliates and the states and territories.</w:t>
            </w:r>
          </w:p>
          <w:p w14:paraId="586CE631"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21:</w:t>
            </w:r>
            <w:r w:rsidRPr="0059659F">
              <w:rPr>
                <w:rFonts w:ascii="Calibri" w:hAnsi="Calibri" w:cs="Calibri"/>
                <w:iCs/>
                <w:color w:val="000000"/>
                <w:spacing w:val="-2"/>
                <w:sz w:val="19"/>
                <w:szCs w:val="19"/>
              </w:rPr>
              <w:t xml:space="preserve"> An advisory group of key stakeholders should be established as part of the strategy development to provide oversight and input into Aboriginal and Torres Strait Islander issues relating to organ donation.</w:t>
            </w:r>
          </w:p>
          <w:p w14:paraId="64C7CC00"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22:</w:t>
            </w:r>
            <w:r w:rsidRPr="0059659F">
              <w:rPr>
                <w:rFonts w:ascii="Calibri" w:hAnsi="Calibri" w:cs="Calibri"/>
                <w:iCs/>
                <w:color w:val="000000"/>
                <w:spacing w:val="-2"/>
                <w:sz w:val="19"/>
                <w:szCs w:val="19"/>
              </w:rPr>
              <w:t xml:space="preserve"> The OTA through the TSANZ, should undertake a review and revision of </w:t>
            </w:r>
            <w:r w:rsidRPr="0059659F">
              <w:rPr>
                <w:rFonts w:ascii="Calibri" w:hAnsi="Calibri" w:cs="Calibri"/>
                <w:iCs/>
                <w:color w:val="000000"/>
                <w:spacing w:val="-2"/>
                <w:sz w:val="19"/>
                <w:szCs w:val="19"/>
              </w:rPr>
              <w:lastRenderedPageBreak/>
              <w:t>the national standards for donor organ assessment and medical suitability of donors.</w:t>
            </w:r>
          </w:p>
          <w:p w14:paraId="5FEA12E9" w14:textId="50895F3B"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23:</w:t>
            </w:r>
            <w:r w:rsidRPr="0059659F">
              <w:rPr>
                <w:rFonts w:ascii="Calibri" w:hAnsi="Calibri" w:cs="Calibri"/>
                <w:iCs/>
                <w:color w:val="000000"/>
                <w:spacing w:val="-2"/>
                <w:sz w:val="19"/>
                <w:szCs w:val="19"/>
              </w:rPr>
              <w:t xml:space="preserve"> All key stakeholders should consider the </w:t>
            </w:r>
            <w:r w:rsidR="009E49EC" w:rsidRPr="0059659F">
              <w:rPr>
                <w:rFonts w:ascii="Calibri" w:hAnsi="Calibri" w:cs="Calibri"/>
                <w:iCs/>
                <w:color w:val="000000"/>
                <w:spacing w:val="-2"/>
                <w:sz w:val="19"/>
                <w:szCs w:val="19"/>
              </w:rPr>
              <w:t>Australian Organ Donor Register (</w:t>
            </w:r>
            <w:r w:rsidRPr="0059659F">
              <w:rPr>
                <w:rFonts w:ascii="Calibri" w:hAnsi="Calibri" w:cs="Calibri"/>
                <w:iCs/>
                <w:color w:val="000000"/>
                <w:spacing w:val="-2"/>
                <w:sz w:val="19"/>
                <w:szCs w:val="19"/>
              </w:rPr>
              <w:t>AODR</w:t>
            </w:r>
            <w:r w:rsidR="009E49EC" w:rsidRPr="0059659F">
              <w:rPr>
                <w:rFonts w:ascii="Calibri" w:hAnsi="Calibri" w:cs="Calibri"/>
                <w:iCs/>
                <w:color w:val="000000"/>
                <w:spacing w:val="-2"/>
                <w:sz w:val="19"/>
                <w:szCs w:val="19"/>
              </w:rPr>
              <w:t>)</w:t>
            </w:r>
            <w:r w:rsidRPr="0059659F">
              <w:rPr>
                <w:rFonts w:ascii="Calibri" w:hAnsi="Calibri" w:cs="Calibri"/>
                <w:iCs/>
                <w:color w:val="000000"/>
                <w:spacing w:val="-2"/>
                <w:sz w:val="19"/>
                <w:szCs w:val="19"/>
              </w:rPr>
              <w:t xml:space="preserve"> as the primary focus for the registration of an individual’s decision about becoming an organ donor for transplantation after death across Australia. The focus should shift from the AODR being a record of donor consent to a record of donor intent. In doing so, consideration should be given to previous arrangements, including the driver’s license based system, and the decision of the Australian Health Ministers’ Conference regarding its purpose.</w:t>
            </w:r>
          </w:p>
          <w:p w14:paraId="31E4589A"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24:</w:t>
            </w:r>
            <w:r w:rsidRPr="0059659F">
              <w:rPr>
                <w:rFonts w:ascii="Calibri" w:hAnsi="Calibri" w:cs="Calibri"/>
                <w:iCs/>
                <w:color w:val="000000"/>
                <w:spacing w:val="-2"/>
                <w:sz w:val="19"/>
                <w:szCs w:val="19"/>
              </w:rPr>
              <w:t xml:space="preserve"> The Australian Government should design and implement strategies to improve the number of registrations on the AODR, in particular for Aboriginal and Torres Strait Islander people and other groups of non-European heritage and data should be captured on the use of the AODR by different demographics in the Australian population in order to inform strategies to improve registration rates.</w:t>
            </w:r>
          </w:p>
          <w:p w14:paraId="2027CB43"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25:</w:t>
            </w:r>
            <w:r w:rsidRPr="0059659F">
              <w:rPr>
                <w:rFonts w:ascii="Calibri" w:hAnsi="Calibri" w:cs="Calibri"/>
                <w:iCs/>
                <w:color w:val="000000"/>
                <w:spacing w:val="-2"/>
                <w:sz w:val="19"/>
                <w:szCs w:val="19"/>
              </w:rPr>
              <w:t xml:space="preserve"> The strategies to improve the AODR registrations should be broadened to include links to social media and other entry portals. This will enable greater visibility and accessibility of the AODR.</w:t>
            </w:r>
          </w:p>
          <w:p w14:paraId="31AD8F79"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 xml:space="preserve">Recommendation 26: </w:t>
            </w:r>
            <w:r w:rsidRPr="0059659F">
              <w:rPr>
                <w:rFonts w:ascii="Calibri" w:hAnsi="Calibri" w:cs="Calibri"/>
                <w:iCs/>
                <w:color w:val="000000"/>
                <w:spacing w:val="-2"/>
                <w:sz w:val="19"/>
                <w:szCs w:val="19"/>
              </w:rPr>
              <w:t>States and territories establish a nationally uniform process for arrangements for donor families and recipients over the age of 18 to be identified to each other based on the principle of mutual informed consent.</w:t>
            </w:r>
          </w:p>
          <w:p w14:paraId="6A65EF65" w14:textId="77777777" w:rsidR="00102A7F" w:rsidRPr="0059659F" w:rsidRDefault="00102A7F" w:rsidP="00C75FAB">
            <w:pPr>
              <w:widowControl/>
              <w:autoSpaceDE/>
              <w:adjustRightInd/>
              <w:spacing w:before="40" w:after="60"/>
              <w:ind w:left="360"/>
              <w:rPr>
                <w:rFonts w:ascii="Calibri" w:hAnsi="Calibri" w:cs="Calibri"/>
                <w:iCs/>
                <w:color w:val="000000"/>
                <w:spacing w:val="-2"/>
                <w:sz w:val="19"/>
                <w:szCs w:val="19"/>
              </w:rPr>
            </w:pPr>
          </w:p>
        </w:tc>
      </w:tr>
      <w:tr w:rsidR="00102A7F" w:rsidRPr="0059659F" w14:paraId="34F360CD" w14:textId="77777777" w:rsidTr="00C75FAB">
        <w:tc>
          <w:tcPr>
            <w:tcW w:w="1413" w:type="dxa"/>
            <w:tcBorders>
              <w:top w:val="single" w:sz="4" w:space="0" w:color="A6A6A6"/>
              <w:left w:val="single" w:sz="4" w:space="0" w:color="A6A6A6"/>
              <w:bottom w:val="single" w:sz="4" w:space="0" w:color="A6A6A6"/>
              <w:right w:val="single" w:sz="4" w:space="0" w:color="A6A6A6"/>
            </w:tcBorders>
          </w:tcPr>
          <w:p w14:paraId="3990F62C" w14:textId="2296CD70" w:rsidR="00102A7F" w:rsidRPr="0059659F" w:rsidRDefault="00102A7F" w:rsidP="00C75FAB">
            <w:pPr>
              <w:widowControl/>
              <w:autoSpaceDE/>
              <w:adjustRightInd/>
              <w:spacing w:before="40" w:after="60"/>
              <w:rPr>
                <w:rFonts w:ascii="Calibri" w:hAnsi="Calibri" w:cs="Calibri"/>
                <w:spacing w:val="-2"/>
                <w:sz w:val="19"/>
                <w:szCs w:val="19"/>
              </w:rPr>
            </w:pPr>
            <w:r w:rsidRPr="0059659F">
              <w:rPr>
                <w:rFonts w:ascii="Calibri" w:hAnsi="Calibri" w:cs="Calibri"/>
                <w:spacing w:val="-2"/>
                <w:sz w:val="19"/>
                <w:szCs w:val="19"/>
              </w:rPr>
              <w:lastRenderedPageBreak/>
              <w:t xml:space="preserve">Element 3: Organ allocation </w:t>
            </w:r>
          </w:p>
        </w:tc>
        <w:tc>
          <w:tcPr>
            <w:tcW w:w="3969" w:type="dxa"/>
            <w:tcBorders>
              <w:top w:val="single" w:sz="4" w:space="0" w:color="A6A6A6"/>
              <w:left w:val="single" w:sz="4" w:space="0" w:color="A6A6A6"/>
              <w:bottom w:val="single" w:sz="4" w:space="0" w:color="A6A6A6"/>
              <w:right w:val="single" w:sz="4" w:space="0" w:color="A6A6A6"/>
            </w:tcBorders>
          </w:tcPr>
          <w:p w14:paraId="0940C736"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Allocation of non-renal organs closely aligns with offer and acceptance. The allocation process follows the Australasian Transplantation Coordinators Association national rotation list.</w:t>
            </w:r>
          </w:p>
          <w:p w14:paraId="15271233"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allocation process can be time consuming and inefficient due to the ring-around process.</w:t>
            </w:r>
          </w:p>
          <w:p w14:paraId="16F1EF1E"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Generally non-renal allocation processes are consistent across transplantation units and </w:t>
            </w:r>
            <w:r w:rsidRPr="0059659F">
              <w:rPr>
                <w:rFonts w:ascii="Calibri" w:hAnsi="Calibri" w:cs="Calibri"/>
                <w:iCs/>
                <w:color w:val="000000"/>
                <w:spacing w:val="-2"/>
                <w:sz w:val="19"/>
                <w:szCs w:val="19"/>
              </w:rPr>
              <w:lastRenderedPageBreak/>
              <w:t xml:space="preserve">align closely to the Clinical Guidelines with some variability in allocation of liver and lung due to advancements in transplantation techniques. </w:t>
            </w:r>
          </w:p>
          <w:p w14:paraId="18ED187F" w14:textId="77777777" w:rsidR="006F3A27" w:rsidRPr="0059659F" w:rsidRDefault="006F3A27"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impending review of the National Organ Matching System (NOMS) kidney allocation algorithm</w:t>
            </w:r>
            <w:r>
              <w:rPr>
                <w:rFonts w:ascii="Calibri" w:hAnsi="Calibri" w:cs="Calibri"/>
                <w:iCs/>
                <w:color w:val="000000"/>
                <w:spacing w:val="-2"/>
                <w:sz w:val="19"/>
                <w:szCs w:val="19"/>
              </w:rPr>
              <w:t xml:space="preserve"> to be conducted by </w:t>
            </w:r>
            <w:r w:rsidRPr="0059659F">
              <w:rPr>
                <w:rFonts w:ascii="Calibri" w:hAnsi="Calibri" w:cs="Calibri"/>
                <w:iCs/>
                <w:color w:val="000000"/>
                <w:spacing w:val="-2"/>
                <w:sz w:val="19"/>
                <w:szCs w:val="19"/>
              </w:rPr>
              <w:t xml:space="preserve">the TSANZ and </w:t>
            </w:r>
            <w:r>
              <w:rPr>
                <w:rFonts w:ascii="Calibri" w:hAnsi="Calibri" w:cs="Calibri"/>
                <w:iCs/>
                <w:color w:val="000000"/>
                <w:spacing w:val="-2"/>
                <w:sz w:val="19"/>
                <w:szCs w:val="19"/>
              </w:rPr>
              <w:t xml:space="preserve">the </w:t>
            </w:r>
            <w:r w:rsidRPr="0059659F">
              <w:rPr>
                <w:rFonts w:ascii="Calibri" w:hAnsi="Calibri" w:cs="Calibri"/>
                <w:iCs/>
                <w:color w:val="000000"/>
                <w:spacing w:val="-2"/>
                <w:sz w:val="19"/>
                <w:szCs w:val="19"/>
              </w:rPr>
              <w:t>Renal Transplant Advisory Committee is timely.</w:t>
            </w:r>
          </w:p>
          <w:p w14:paraId="737B1F86"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There is no Aboriginal and Torres Strait Islander health expertise or community input into the revision of the cadaveric kidney donation algorithm currently utilised by the NOMS (and soon to be utilised by OrganMatch).</w:t>
            </w:r>
          </w:p>
          <w:p w14:paraId="5575411A"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The current renal organ matching system, the NOMS is due to be replaced by OrganMatch in April 2019 and will have improved capability and functionality compared to the current system. </w:t>
            </w:r>
          </w:p>
          <w:p w14:paraId="0E4F722B"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Review found that current governance and resourcing arrangements will not be adequate to support the expansion of OrganMatch in the future.</w:t>
            </w:r>
          </w:p>
          <w:p w14:paraId="18DB886E"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Tissue typing services in Australia are comprehensive and responsive to the needs of transplantation clinicians and patients, however there is limited benchmarking of their performance. </w:t>
            </w:r>
          </w:p>
          <w:p w14:paraId="390DAF44" w14:textId="1EB67114"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Tissue typing technologies are expanding and becoming increasingly complex, the introduction of these new technologies </w:t>
            </w:r>
            <w:r w:rsidR="00B91BDD" w:rsidRPr="0059659F">
              <w:rPr>
                <w:rFonts w:ascii="Calibri" w:hAnsi="Calibri" w:cs="Calibri"/>
                <w:iCs/>
                <w:color w:val="000000"/>
                <w:spacing w:val="-2"/>
                <w:sz w:val="19"/>
                <w:szCs w:val="19"/>
              </w:rPr>
              <w:t>is</w:t>
            </w:r>
            <w:r w:rsidRPr="0059659F">
              <w:rPr>
                <w:rFonts w:ascii="Calibri" w:hAnsi="Calibri" w:cs="Calibri"/>
                <w:iCs/>
                <w:color w:val="000000"/>
                <w:spacing w:val="-2"/>
                <w:sz w:val="19"/>
                <w:szCs w:val="19"/>
              </w:rPr>
              <w:t xml:space="preserve"> not implemented in a planned and coordinated way at a national level.</w:t>
            </w:r>
          </w:p>
          <w:p w14:paraId="5D098C3B"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The State Balancing System was implemented when donation rates varied considerably between the jurisdictions. Given donation rates have become more aligned nationally, there was agreement that its materiality in the current environment should be assessed. </w:t>
            </w:r>
          </w:p>
          <w:p w14:paraId="5255AD0B"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State Balancing System has the potential to slow progress in improving organ donation and transplantation practices and increase inequity of the allocation of high quality organs.</w:t>
            </w:r>
          </w:p>
        </w:tc>
        <w:tc>
          <w:tcPr>
            <w:tcW w:w="3969" w:type="dxa"/>
            <w:tcBorders>
              <w:top w:val="single" w:sz="4" w:space="0" w:color="A6A6A6"/>
              <w:left w:val="single" w:sz="4" w:space="0" w:color="A6A6A6"/>
              <w:bottom w:val="single" w:sz="4" w:space="0" w:color="A6A6A6"/>
              <w:right w:val="single" w:sz="4" w:space="0" w:color="A6A6A6"/>
            </w:tcBorders>
          </w:tcPr>
          <w:p w14:paraId="3BDC5145"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lastRenderedPageBreak/>
              <w:t>Recommendation 27:</w:t>
            </w:r>
            <w:r w:rsidRPr="0059659F">
              <w:rPr>
                <w:rFonts w:ascii="Calibri" w:hAnsi="Calibri" w:cs="Calibri"/>
                <w:iCs/>
                <w:color w:val="000000"/>
                <w:spacing w:val="-2"/>
                <w:sz w:val="19"/>
                <w:szCs w:val="19"/>
              </w:rPr>
              <w:t xml:space="preserve"> The introduction of concomitant sharing of donor profiles with all transplantation programs once the matching process has progressed beyond the home state offer should be considered and implemented as part of the OrganMatch functionality. This should be considered as part of a review of the heart, lung and liver organ allocation process in order to improve the efficiency of the organ matching process in liver, heart and lung transplantation.</w:t>
            </w:r>
          </w:p>
          <w:p w14:paraId="0E26887B"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lastRenderedPageBreak/>
              <w:t>Recommendation 28:</w:t>
            </w:r>
            <w:r w:rsidRPr="0059659F">
              <w:rPr>
                <w:rFonts w:ascii="Calibri" w:hAnsi="Calibri" w:cs="Calibri"/>
                <w:iCs/>
                <w:color w:val="000000"/>
                <w:spacing w:val="-2"/>
                <w:sz w:val="19"/>
                <w:szCs w:val="19"/>
              </w:rPr>
              <w:t xml:space="preserve"> The planned review of the kidney matching algorithm to be conducted by the TSANZ should include Aboriginal and Torres Strait Islander health expertise and community representation.</w:t>
            </w:r>
          </w:p>
          <w:p w14:paraId="774E83F0"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29:</w:t>
            </w:r>
            <w:r w:rsidRPr="0059659F">
              <w:rPr>
                <w:rFonts w:ascii="Calibri" w:hAnsi="Calibri" w:cs="Calibri"/>
                <w:iCs/>
                <w:color w:val="000000"/>
                <w:spacing w:val="-2"/>
                <w:sz w:val="19"/>
                <w:szCs w:val="19"/>
              </w:rPr>
              <w:t xml:space="preserve"> The planned review to be conducted by the TSANZ of the kidney matching algorithm should take into account the latest science to ensure that the algorithm remains relevant to contemporary kidney transplantation best practice.</w:t>
            </w:r>
          </w:p>
          <w:p w14:paraId="1A28834E"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30:</w:t>
            </w:r>
            <w:r w:rsidRPr="0059659F">
              <w:rPr>
                <w:rFonts w:ascii="Calibri" w:hAnsi="Calibri" w:cs="Calibri"/>
                <w:iCs/>
                <w:color w:val="000000"/>
                <w:spacing w:val="-2"/>
                <w:sz w:val="19"/>
                <w:szCs w:val="19"/>
              </w:rPr>
              <w:t xml:space="preserve"> The replacement of the NOMS to OrganMatch is a key opportunity to improve the organ allocation process and must be adequately resourced and managed at a national level. The Australian Government should consider what is required to effectively implement and optimise OrganMatch in the future.</w:t>
            </w:r>
          </w:p>
          <w:p w14:paraId="1F41F738" w14:textId="7821E59E"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31:</w:t>
            </w:r>
            <w:r w:rsidR="00146E29">
              <w:rPr>
                <w:rFonts w:ascii="Calibri" w:hAnsi="Calibri" w:cs="Calibri"/>
                <w:b/>
                <w:iCs/>
                <w:color w:val="000000"/>
                <w:spacing w:val="-2"/>
                <w:sz w:val="19"/>
                <w:szCs w:val="19"/>
              </w:rPr>
              <w:t xml:space="preserve"> </w:t>
            </w:r>
            <w:r w:rsidR="006F3A27">
              <w:rPr>
                <w:rFonts w:ascii="Calibri" w:hAnsi="Calibri" w:cs="Calibri"/>
                <w:b/>
                <w:iCs/>
                <w:color w:val="000000"/>
                <w:spacing w:val="-2"/>
                <w:sz w:val="19"/>
                <w:szCs w:val="19"/>
              </w:rPr>
              <w:t>A</w:t>
            </w:r>
            <w:r w:rsidRPr="0059659F">
              <w:rPr>
                <w:rFonts w:ascii="Calibri" w:hAnsi="Calibri" w:cs="Calibri"/>
                <w:iCs/>
                <w:color w:val="000000"/>
                <w:spacing w:val="-2"/>
                <w:sz w:val="19"/>
                <w:szCs w:val="19"/>
              </w:rPr>
              <w:t xml:space="preserve"> national plan </w:t>
            </w:r>
            <w:r w:rsidR="00146E29">
              <w:rPr>
                <w:rFonts w:ascii="Calibri" w:hAnsi="Calibri" w:cs="Calibri"/>
                <w:iCs/>
                <w:color w:val="000000"/>
                <w:spacing w:val="-2"/>
                <w:sz w:val="19"/>
                <w:szCs w:val="19"/>
              </w:rPr>
              <w:t xml:space="preserve">should </w:t>
            </w:r>
            <w:r w:rsidRPr="0059659F">
              <w:rPr>
                <w:rFonts w:ascii="Calibri" w:hAnsi="Calibri" w:cs="Calibri"/>
                <w:iCs/>
                <w:color w:val="000000"/>
                <w:spacing w:val="-2"/>
                <w:sz w:val="19"/>
                <w:szCs w:val="19"/>
              </w:rPr>
              <w:t>be developed by all Australian Governments for the adoption of new tissue typing technologies.</w:t>
            </w:r>
          </w:p>
          <w:p w14:paraId="40B5D571"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32:</w:t>
            </w:r>
            <w:r w:rsidRPr="0059659F">
              <w:rPr>
                <w:rFonts w:ascii="Calibri" w:hAnsi="Calibri" w:cs="Calibri"/>
                <w:iCs/>
                <w:color w:val="000000"/>
                <w:spacing w:val="-2"/>
                <w:sz w:val="19"/>
                <w:szCs w:val="19"/>
              </w:rPr>
              <w:t xml:space="preserve"> A system for national benchmarking of tissue typing service performance be implemented nationally by all Australian Governments.</w:t>
            </w:r>
          </w:p>
          <w:p w14:paraId="1ACA2F70"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33:</w:t>
            </w:r>
            <w:r w:rsidRPr="0059659F">
              <w:rPr>
                <w:rFonts w:ascii="Calibri" w:hAnsi="Calibri" w:cs="Calibri"/>
                <w:iCs/>
                <w:color w:val="000000"/>
                <w:spacing w:val="-2"/>
                <w:sz w:val="19"/>
                <w:szCs w:val="19"/>
              </w:rPr>
              <w:t xml:space="preserve"> The OTA, through the TSANZ undertake a review of the State Balancing System to determine the impact on the efficiency, effectiveness and equity of the allocation process. Any proposed changes should then be modelled and reviewed to understand their impact. </w:t>
            </w:r>
          </w:p>
          <w:p w14:paraId="598A97EE" w14:textId="77777777" w:rsidR="00102A7F" w:rsidRPr="0059659F" w:rsidRDefault="00102A7F" w:rsidP="00C75FAB">
            <w:pPr>
              <w:widowControl/>
              <w:autoSpaceDE/>
              <w:adjustRightInd/>
              <w:spacing w:before="40" w:after="60"/>
              <w:ind w:left="360"/>
              <w:rPr>
                <w:rFonts w:ascii="Calibri" w:hAnsi="Calibri" w:cs="Calibri"/>
                <w:iCs/>
                <w:color w:val="000000"/>
                <w:spacing w:val="-2"/>
                <w:sz w:val="19"/>
                <w:szCs w:val="19"/>
              </w:rPr>
            </w:pPr>
          </w:p>
        </w:tc>
      </w:tr>
      <w:tr w:rsidR="00102A7F" w:rsidRPr="0059659F" w14:paraId="08D94EF1" w14:textId="77777777" w:rsidTr="00C75FAB">
        <w:tc>
          <w:tcPr>
            <w:tcW w:w="1413" w:type="dxa"/>
            <w:tcBorders>
              <w:top w:val="single" w:sz="4" w:space="0" w:color="A6A6A6"/>
              <w:left w:val="single" w:sz="4" w:space="0" w:color="A6A6A6"/>
              <w:bottom w:val="single" w:sz="4" w:space="0" w:color="A6A6A6"/>
              <w:right w:val="single" w:sz="4" w:space="0" w:color="A6A6A6"/>
            </w:tcBorders>
          </w:tcPr>
          <w:p w14:paraId="77D55C0E" w14:textId="0E5401FB" w:rsidR="00102A7F" w:rsidRPr="0059659F" w:rsidRDefault="00102A7F" w:rsidP="00C75FAB">
            <w:pPr>
              <w:widowControl/>
              <w:autoSpaceDE/>
              <w:adjustRightInd/>
              <w:spacing w:before="40" w:after="60"/>
              <w:rPr>
                <w:rFonts w:ascii="Calibri" w:hAnsi="Calibri" w:cs="Calibri"/>
                <w:spacing w:val="-2"/>
                <w:sz w:val="19"/>
                <w:szCs w:val="19"/>
              </w:rPr>
            </w:pPr>
            <w:r w:rsidRPr="0059659F">
              <w:rPr>
                <w:rFonts w:ascii="Calibri" w:hAnsi="Calibri" w:cs="Calibri"/>
                <w:spacing w:val="-2"/>
                <w:sz w:val="19"/>
                <w:szCs w:val="19"/>
              </w:rPr>
              <w:lastRenderedPageBreak/>
              <w:t xml:space="preserve">Element 4: Organ </w:t>
            </w:r>
            <w:r w:rsidR="00AA57F1" w:rsidRPr="0059659F">
              <w:rPr>
                <w:rFonts w:ascii="Calibri" w:hAnsi="Calibri" w:cs="Calibri"/>
                <w:spacing w:val="-2"/>
                <w:sz w:val="19"/>
                <w:szCs w:val="19"/>
              </w:rPr>
              <w:t>o</w:t>
            </w:r>
            <w:r w:rsidRPr="0059659F">
              <w:rPr>
                <w:rFonts w:ascii="Calibri" w:hAnsi="Calibri" w:cs="Calibri"/>
                <w:spacing w:val="-2"/>
                <w:sz w:val="19"/>
                <w:szCs w:val="19"/>
              </w:rPr>
              <w:t>ffer</w:t>
            </w:r>
          </w:p>
        </w:tc>
        <w:tc>
          <w:tcPr>
            <w:tcW w:w="3969" w:type="dxa"/>
            <w:tcBorders>
              <w:top w:val="single" w:sz="4" w:space="0" w:color="A6A6A6"/>
              <w:left w:val="single" w:sz="4" w:space="0" w:color="A6A6A6"/>
              <w:bottom w:val="single" w:sz="4" w:space="0" w:color="A6A6A6"/>
              <w:right w:val="single" w:sz="4" w:space="0" w:color="A6A6A6"/>
            </w:tcBorders>
          </w:tcPr>
          <w:p w14:paraId="4F397F25" w14:textId="47DCA7D1"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offer process for renal and non-renal allocation is time-consuming, inefficient and risks losing the consent of the family for donation. For example, the Australasian Transplant Coordinators Association reported that 68 per cent of organs offered were declined at least once by a transplantation unit in 2017 leading to time delays in acceptance. This was reported to be particularly burdensome on donor families.</w:t>
            </w:r>
          </w:p>
          <w:p w14:paraId="6BCF843B"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The EDR is extensively used across Australia as the initial point of donor assessment, however its current functionality – in particular the PDF </w:t>
            </w:r>
            <w:r w:rsidRPr="0059659F">
              <w:rPr>
                <w:rFonts w:ascii="Calibri" w:hAnsi="Calibri" w:cs="Calibri"/>
                <w:iCs/>
                <w:color w:val="000000"/>
                <w:spacing w:val="-2"/>
                <w:sz w:val="19"/>
                <w:szCs w:val="19"/>
              </w:rPr>
              <w:lastRenderedPageBreak/>
              <w:t xml:space="preserve">output – presents challenges regarding its utilisation and the ability to share accurate and timely information. As such, the PDF output of the EDR requires upgrading. </w:t>
            </w:r>
          </w:p>
          <w:p w14:paraId="06415F50" w14:textId="771EC82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implementation of OrganMatch provides an opportunity to improve the sharing of donor profiles and its functionalities could be explored to facilitate improved surveillance and safety.</w:t>
            </w:r>
          </w:p>
        </w:tc>
        <w:tc>
          <w:tcPr>
            <w:tcW w:w="3969" w:type="dxa"/>
            <w:tcBorders>
              <w:top w:val="single" w:sz="4" w:space="0" w:color="A6A6A6"/>
              <w:left w:val="single" w:sz="4" w:space="0" w:color="A6A6A6"/>
              <w:bottom w:val="single" w:sz="4" w:space="0" w:color="A6A6A6"/>
              <w:right w:val="single" w:sz="4" w:space="0" w:color="A6A6A6"/>
            </w:tcBorders>
          </w:tcPr>
          <w:p w14:paraId="14F23A0F"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lastRenderedPageBreak/>
              <w:t xml:space="preserve">Recommendation 34: </w:t>
            </w:r>
            <w:r w:rsidRPr="0059659F">
              <w:rPr>
                <w:rFonts w:ascii="Calibri" w:hAnsi="Calibri" w:cs="Calibri"/>
                <w:iCs/>
                <w:color w:val="000000"/>
                <w:spacing w:val="-2"/>
                <w:sz w:val="19"/>
                <w:szCs w:val="19"/>
              </w:rPr>
              <w:t>As per Recommendation 27, the introduction of concomitant sharing of donor profiles with all kidney transplantation programs in OrganMatch at the commencement of the matching process should be considered to improve the efficiency of the process of organ offer process for transplantation.</w:t>
            </w:r>
          </w:p>
          <w:p w14:paraId="2BAA1B8E" w14:textId="0CA320D5"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35:</w:t>
            </w:r>
            <w:r w:rsidRPr="0059659F">
              <w:rPr>
                <w:rFonts w:ascii="Calibri" w:hAnsi="Calibri" w:cs="Calibri"/>
                <w:iCs/>
                <w:color w:val="000000"/>
                <w:spacing w:val="-2"/>
                <w:sz w:val="19"/>
                <w:szCs w:val="19"/>
              </w:rPr>
              <w:t xml:space="preserve"> The OTA to commence a process to plan arrangements for an extensive upgrade to the output of the </w:t>
            </w:r>
            <w:r w:rsidR="001A14B7" w:rsidRPr="0059659F">
              <w:rPr>
                <w:rFonts w:ascii="Calibri" w:hAnsi="Calibri" w:cs="Calibri"/>
                <w:iCs/>
                <w:color w:val="000000"/>
                <w:spacing w:val="-2"/>
                <w:sz w:val="19"/>
                <w:szCs w:val="19"/>
              </w:rPr>
              <w:t>Electronic Donor Record (</w:t>
            </w:r>
            <w:r w:rsidRPr="0059659F">
              <w:rPr>
                <w:rFonts w:ascii="Calibri" w:hAnsi="Calibri" w:cs="Calibri"/>
                <w:iCs/>
                <w:color w:val="000000"/>
                <w:spacing w:val="-2"/>
                <w:sz w:val="19"/>
                <w:szCs w:val="19"/>
              </w:rPr>
              <w:t>EDR</w:t>
            </w:r>
            <w:r w:rsidR="001A14B7" w:rsidRPr="0059659F">
              <w:rPr>
                <w:rFonts w:ascii="Calibri" w:hAnsi="Calibri" w:cs="Calibri"/>
                <w:iCs/>
                <w:color w:val="000000"/>
                <w:spacing w:val="-2"/>
                <w:sz w:val="19"/>
                <w:szCs w:val="19"/>
              </w:rPr>
              <w:t>)</w:t>
            </w:r>
            <w:r w:rsidRPr="0059659F">
              <w:rPr>
                <w:rFonts w:ascii="Calibri" w:hAnsi="Calibri" w:cs="Calibri"/>
                <w:iCs/>
                <w:color w:val="000000"/>
                <w:spacing w:val="-2"/>
                <w:sz w:val="19"/>
                <w:szCs w:val="19"/>
              </w:rPr>
              <w:t xml:space="preserve"> (or an alternative platform, such as utilising the functionality of OrganMatch), in collaboration with donation and transplantation </w:t>
            </w:r>
            <w:r w:rsidRPr="0059659F">
              <w:rPr>
                <w:rFonts w:ascii="Calibri" w:hAnsi="Calibri" w:cs="Calibri"/>
                <w:iCs/>
                <w:color w:val="000000"/>
                <w:spacing w:val="-2"/>
                <w:sz w:val="19"/>
                <w:szCs w:val="19"/>
              </w:rPr>
              <w:lastRenderedPageBreak/>
              <w:t>specialists, to improve its functionality. The upgrade should facilitate rapid time feedback to improve surveillance and safety. The plan should then be considered by the Australian Government for approval.</w:t>
            </w:r>
          </w:p>
          <w:p w14:paraId="37EFE2B7" w14:textId="77777777" w:rsidR="00102A7F" w:rsidRPr="0059659F" w:rsidRDefault="00102A7F" w:rsidP="00C75FAB">
            <w:pPr>
              <w:widowControl/>
              <w:autoSpaceDE/>
              <w:adjustRightInd/>
              <w:spacing w:before="40" w:after="60"/>
              <w:ind w:left="360"/>
              <w:rPr>
                <w:rFonts w:ascii="Calibri" w:hAnsi="Calibri" w:cs="Calibri"/>
                <w:iCs/>
                <w:color w:val="000000"/>
                <w:spacing w:val="-2"/>
                <w:sz w:val="19"/>
                <w:szCs w:val="19"/>
              </w:rPr>
            </w:pPr>
          </w:p>
        </w:tc>
      </w:tr>
      <w:tr w:rsidR="00102A7F" w:rsidRPr="0059659F" w14:paraId="1C63D8EB" w14:textId="77777777" w:rsidTr="00C75FAB">
        <w:tc>
          <w:tcPr>
            <w:tcW w:w="1413" w:type="dxa"/>
            <w:tcBorders>
              <w:top w:val="single" w:sz="4" w:space="0" w:color="A6A6A6"/>
              <w:left w:val="single" w:sz="4" w:space="0" w:color="A6A6A6"/>
              <w:bottom w:val="single" w:sz="4" w:space="0" w:color="A6A6A6"/>
              <w:right w:val="single" w:sz="4" w:space="0" w:color="A6A6A6"/>
            </w:tcBorders>
          </w:tcPr>
          <w:p w14:paraId="13B61978" w14:textId="77777777" w:rsidR="00102A7F" w:rsidRPr="0059659F" w:rsidRDefault="00102A7F" w:rsidP="00C75FAB">
            <w:pPr>
              <w:widowControl/>
              <w:autoSpaceDE/>
              <w:adjustRightInd/>
              <w:spacing w:before="40" w:after="60"/>
              <w:rPr>
                <w:rFonts w:ascii="Calibri" w:hAnsi="Calibri" w:cs="Calibri"/>
                <w:spacing w:val="-2"/>
                <w:sz w:val="19"/>
                <w:szCs w:val="19"/>
              </w:rPr>
            </w:pPr>
            <w:r w:rsidRPr="0059659F">
              <w:rPr>
                <w:rFonts w:ascii="Calibri" w:hAnsi="Calibri" w:cs="Calibri"/>
                <w:spacing w:val="-2"/>
                <w:sz w:val="19"/>
                <w:szCs w:val="19"/>
              </w:rPr>
              <w:lastRenderedPageBreak/>
              <w:t>Element 5: Organ acceptance</w:t>
            </w:r>
          </w:p>
        </w:tc>
        <w:tc>
          <w:tcPr>
            <w:tcW w:w="3969" w:type="dxa"/>
            <w:tcBorders>
              <w:top w:val="single" w:sz="4" w:space="0" w:color="A6A6A6"/>
              <w:left w:val="single" w:sz="4" w:space="0" w:color="A6A6A6"/>
              <w:bottom w:val="single" w:sz="4" w:space="0" w:color="A6A6A6"/>
              <w:right w:val="single" w:sz="4" w:space="0" w:color="A6A6A6"/>
            </w:tcBorders>
          </w:tcPr>
          <w:p w14:paraId="6565CC12" w14:textId="77777777" w:rsidR="00D069CA" w:rsidRPr="00D069CA" w:rsidRDefault="00D069CA"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D069CA">
              <w:rPr>
                <w:rFonts w:ascii="Calibri" w:hAnsi="Calibri" w:cs="Calibri"/>
                <w:iCs/>
                <w:color w:val="000000"/>
                <w:spacing w:val="-2"/>
                <w:sz w:val="19"/>
                <w:szCs w:val="19"/>
              </w:rPr>
              <w:t>Advances in acceptability of organs by transplantation units has resulted in variability of acceptance practices for organs from extended criteria donors across jurisdictions.</w:t>
            </w:r>
          </w:p>
          <w:p w14:paraId="14197E2A"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More transplantation units are now considering a greater range of organs based on age as well as comorbidities and disease profiles.</w:t>
            </w:r>
          </w:p>
          <w:p w14:paraId="3109C20A"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Current data systems do not enable to capture of reasons for offer declines and the analysis of system bottlenecks affecting offer acceptance.</w:t>
            </w:r>
          </w:p>
          <w:p w14:paraId="5E65B69F"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Advances in acceptability of organs by transplantation units has resulted in variability of acceptance practices for organs from extended criteria donors across jurisdictions.</w:t>
            </w:r>
          </w:p>
          <w:p w14:paraId="6D49ABF8" w14:textId="69987009" w:rsidR="0039553F" w:rsidRPr="00A94A86"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More transplantation units are now considering a greater range of organs based on age, as well as comorbidities and disease profiles.</w:t>
            </w:r>
          </w:p>
        </w:tc>
        <w:tc>
          <w:tcPr>
            <w:tcW w:w="3969" w:type="dxa"/>
            <w:tcBorders>
              <w:top w:val="single" w:sz="4" w:space="0" w:color="A6A6A6"/>
              <w:left w:val="single" w:sz="4" w:space="0" w:color="A6A6A6"/>
              <w:bottom w:val="single" w:sz="4" w:space="0" w:color="A6A6A6"/>
              <w:right w:val="single" w:sz="4" w:space="0" w:color="A6A6A6"/>
            </w:tcBorders>
          </w:tcPr>
          <w:p w14:paraId="3E5746E6"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 xml:space="preserve">Recommendation 36: </w:t>
            </w:r>
            <w:r w:rsidRPr="0059659F">
              <w:rPr>
                <w:rFonts w:ascii="Calibri" w:hAnsi="Calibri" w:cs="Calibri"/>
                <w:iCs/>
                <w:color w:val="000000"/>
                <w:spacing w:val="-2"/>
                <w:sz w:val="19"/>
                <w:szCs w:val="19"/>
              </w:rPr>
              <w:t>The OTA, through the TSANZ, should develop a clinical review process and optimise the use of extended criteria donated organs.</w:t>
            </w:r>
          </w:p>
          <w:p w14:paraId="3547BE7F"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37:</w:t>
            </w:r>
            <w:r w:rsidRPr="0059659F">
              <w:rPr>
                <w:rFonts w:ascii="Calibri" w:hAnsi="Calibri" w:cs="Calibri"/>
                <w:iCs/>
                <w:color w:val="000000"/>
                <w:spacing w:val="-2"/>
                <w:sz w:val="19"/>
                <w:szCs w:val="19"/>
              </w:rPr>
              <w:t xml:space="preserve"> The OTA, through the TSANZ, should develop a process to monitor the incidence of organ offer decline decisions and a process to clinically review those decisions.</w:t>
            </w:r>
          </w:p>
        </w:tc>
      </w:tr>
      <w:tr w:rsidR="00102A7F" w:rsidRPr="0059659F" w14:paraId="0EC2B99B" w14:textId="77777777" w:rsidTr="00C75FAB">
        <w:tc>
          <w:tcPr>
            <w:tcW w:w="1413" w:type="dxa"/>
            <w:tcBorders>
              <w:top w:val="single" w:sz="4" w:space="0" w:color="A6A6A6"/>
              <w:left w:val="single" w:sz="4" w:space="0" w:color="A6A6A6"/>
              <w:bottom w:val="single" w:sz="4" w:space="0" w:color="A6A6A6"/>
              <w:right w:val="single" w:sz="4" w:space="0" w:color="A6A6A6"/>
            </w:tcBorders>
          </w:tcPr>
          <w:p w14:paraId="3D856D7D" w14:textId="77777777" w:rsidR="00102A7F" w:rsidRPr="0059659F" w:rsidRDefault="00102A7F" w:rsidP="00C75FAB">
            <w:pPr>
              <w:widowControl/>
              <w:autoSpaceDE/>
              <w:adjustRightInd/>
              <w:spacing w:before="40" w:after="60"/>
              <w:rPr>
                <w:rFonts w:ascii="Calibri" w:hAnsi="Calibri" w:cs="Calibri"/>
                <w:spacing w:val="-2"/>
                <w:sz w:val="19"/>
                <w:szCs w:val="19"/>
              </w:rPr>
            </w:pPr>
            <w:r w:rsidRPr="0059659F">
              <w:rPr>
                <w:rFonts w:ascii="Calibri" w:hAnsi="Calibri" w:cs="Calibri"/>
                <w:spacing w:val="-2"/>
                <w:sz w:val="19"/>
                <w:szCs w:val="19"/>
              </w:rPr>
              <w:t xml:space="preserve">Element 6: Retrieval </w:t>
            </w:r>
          </w:p>
        </w:tc>
        <w:tc>
          <w:tcPr>
            <w:tcW w:w="3969" w:type="dxa"/>
            <w:tcBorders>
              <w:top w:val="single" w:sz="4" w:space="0" w:color="A6A6A6"/>
              <w:left w:val="single" w:sz="4" w:space="0" w:color="A6A6A6"/>
              <w:bottom w:val="single" w:sz="4" w:space="0" w:color="A6A6A6"/>
              <w:right w:val="single" w:sz="4" w:space="0" w:color="A6A6A6"/>
            </w:tcBorders>
          </w:tcPr>
          <w:p w14:paraId="42C61E24"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retrieval system for solid organ donation is currently under pressure due to increased donation rates and limited national planning for future demand.</w:t>
            </w:r>
          </w:p>
          <w:p w14:paraId="457F1ABA"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There is an impending shortage of resources for retrieval resulting in inefficiencies, risks to quality and safety and the potential to decline retrieval due to logistical reasons.</w:t>
            </w:r>
          </w:p>
          <w:p w14:paraId="38312EA2"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Aviation services contractual arrangements are negotiated locally in each transplantation unit – often without a standing contract. There is currently no national approach to the sourcing or procurement of aviation services for the organ retrieval process.</w:t>
            </w:r>
          </w:p>
          <w:p w14:paraId="51D6C741"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There is international evidence that shows the benefits of ‘de-coupling’ retrieval teams from transplantation. Australia is currently utilising a hybrid system where ‘de-coupling’ retrieval services is more readily used for abdominal organ retrieval procedures. However, a ‘de-coupled’ model for all organ retrieval is not currently supported by all clinicians or the current funding model. </w:t>
            </w:r>
          </w:p>
          <w:p w14:paraId="37A6F09D"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There is no evidence of national oversight or a detailed nationally focused resource plan for the expansion of organ retrieval services to meet the likely increase in demand.</w:t>
            </w:r>
          </w:p>
          <w:p w14:paraId="1A69955F"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lastRenderedPageBreak/>
              <w:t>The provision of cardiothoracic retrieval services in South Australia and the Northern Territory would be enhanced by the development of retrieval surgery skills within the cardiothoracic teams based in Adelaide.</w:t>
            </w:r>
          </w:p>
          <w:p w14:paraId="5F942B49" w14:textId="61B491CC" w:rsidR="00102A7F" w:rsidRPr="0059659F" w:rsidRDefault="00102A7F" w:rsidP="00C75FAB">
            <w:pPr>
              <w:widowControl/>
              <w:numPr>
                <w:ilvl w:val="0"/>
                <w:numId w:val="26"/>
              </w:numPr>
              <w:autoSpaceDE/>
              <w:adjustRightInd/>
              <w:spacing w:before="40" w:after="60"/>
              <w:rPr>
                <w:rFonts w:ascii="Calibri" w:hAnsi="Calibri" w:cs="Calibri"/>
                <w:iCs/>
                <w:color w:val="000000"/>
                <w:spacing w:val="-2"/>
                <w:sz w:val="19"/>
                <w:szCs w:val="19"/>
              </w:rPr>
            </w:pPr>
            <w:r w:rsidRPr="0059659F">
              <w:rPr>
                <w:rFonts w:ascii="Calibri" w:hAnsi="Calibri" w:cs="Calibri"/>
                <w:iCs/>
                <w:color w:val="000000"/>
                <w:spacing w:val="-2"/>
                <w:sz w:val="19"/>
                <w:szCs w:val="19"/>
              </w:rPr>
              <w:t>The provision of abdominal retrieval services in the Australian Capital Territory and Tasmania would be enhanced by the development of abdominal retrieval surgery skills in the surgical teams based in Canberra and Hobart respectively</w:t>
            </w:r>
            <w:r w:rsidR="00514C9B" w:rsidRPr="0059659F">
              <w:rPr>
                <w:rFonts w:ascii="Calibri" w:hAnsi="Calibri" w:cs="Calibri"/>
                <w:iCs/>
                <w:color w:val="000000"/>
                <w:spacing w:val="-2"/>
                <w:sz w:val="19"/>
                <w:szCs w:val="19"/>
              </w:rPr>
              <w:t>,</w:t>
            </w:r>
            <w:r w:rsidRPr="0059659F">
              <w:rPr>
                <w:rFonts w:ascii="Calibri" w:hAnsi="Calibri" w:cs="Calibri"/>
                <w:iCs/>
                <w:color w:val="000000"/>
                <w:spacing w:val="-2"/>
                <w:sz w:val="19"/>
                <w:szCs w:val="19"/>
              </w:rPr>
              <w:t xml:space="preserve"> along the lines of the abdominal organ retrieval services currently operating in Darwin.</w:t>
            </w:r>
          </w:p>
          <w:p w14:paraId="524D7E30" w14:textId="77777777" w:rsidR="00102A7F" w:rsidRPr="0059659F" w:rsidRDefault="00102A7F" w:rsidP="00C75FAB">
            <w:pPr>
              <w:numPr>
                <w:ilvl w:val="0"/>
                <w:numId w:val="26"/>
              </w:numPr>
              <w:spacing w:before="40" w:after="60"/>
              <w:rPr>
                <w:rFonts w:ascii="Calibri" w:hAnsi="Calibri" w:cs="Calibri"/>
                <w:iCs/>
                <w:color w:val="000000"/>
                <w:spacing w:val="-2"/>
                <w:sz w:val="19"/>
                <w:szCs w:val="19"/>
              </w:rPr>
            </w:pPr>
            <w:r w:rsidRPr="0059659F">
              <w:rPr>
                <w:rFonts w:ascii="Calibri" w:hAnsi="Calibri" w:cs="Calibri"/>
                <w:iCs/>
                <w:color w:val="000000"/>
                <w:spacing w:val="-2"/>
                <w:sz w:val="19"/>
                <w:szCs w:val="19"/>
              </w:rPr>
              <w:t>Ex vivo perfusion technology use is already well established in heart and lung transplantation and evidence is emerging in its role in liver and kidney transplantation.</w:t>
            </w:r>
          </w:p>
        </w:tc>
        <w:tc>
          <w:tcPr>
            <w:tcW w:w="3969" w:type="dxa"/>
            <w:tcBorders>
              <w:top w:val="single" w:sz="4" w:space="0" w:color="A6A6A6"/>
              <w:left w:val="single" w:sz="4" w:space="0" w:color="A6A6A6"/>
              <w:bottom w:val="single" w:sz="4" w:space="0" w:color="A6A6A6"/>
              <w:right w:val="single" w:sz="4" w:space="0" w:color="A6A6A6"/>
            </w:tcBorders>
          </w:tcPr>
          <w:p w14:paraId="01EEDC25"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lastRenderedPageBreak/>
              <w:t xml:space="preserve">Recommendation 38: </w:t>
            </w:r>
            <w:r w:rsidRPr="0059659F">
              <w:rPr>
                <w:rFonts w:ascii="Calibri" w:hAnsi="Calibri" w:cs="Calibri"/>
                <w:iCs/>
                <w:color w:val="000000"/>
                <w:spacing w:val="-2"/>
                <w:sz w:val="19"/>
                <w:szCs w:val="19"/>
              </w:rPr>
              <w:t>The OTA should develop a national organ retrieval resource plan to more effectively manage and coordinate processes and training programs across Australia to meet the expected increase in organ retrieval demand.</w:t>
            </w:r>
          </w:p>
          <w:p w14:paraId="43802FB6" w14:textId="636D3CC0"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39:</w:t>
            </w:r>
            <w:r w:rsidRPr="0059659F">
              <w:rPr>
                <w:rFonts w:ascii="Calibri" w:hAnsi="Calibri" w:cs="Calibri"/>
                <w:iCs/>
                <w:color w:val="000000"/>
                <w:spacing w:val="-2"/>
                <w:sz w:val="19"/>
                <w:szCs w:val="19"/>
              </w:rPr>
              <w:t xml:space="preserve"> The current organ retrieval tasking system should be </w:t>
            </w:r>
            <w:r w:rsidR="00B91BDD" w:rsidRPr="0059659F">
              <w:rPr>
                <w:rFonts w:ascii="Calibri" w:hAnsi="Calibri" w:cs="Calibri"/>
                <w:iCs/>
                <w:color w:val="000000"/>
                <w:spacing w:val="-2"/>
                <w:sz w:val="19"/>
                <w:szCs w:val="19"/>
              </w:rPr>
              <w:t>retained;</w:t>
            </w:r>
            <w:r w:rsidRPr="0059659F">
              <w:rPr>
                <w:rFonts w:ascii="Calibri" w:hAnsi="Calibri" w:cs="Calibri"/>
                <w:iCs/>
                <w:color w:val="000000"/>
                <w:spacing w:val="-2"/>
                <w:sz w:val="19"/>
                <w:szCs w:val="19"/>
              </w:rPr>
              <w:t xml:space="preserve"> </w:t>
            </w:r>
            <w:r w:rsidR="00B91BDD" w:rsidRPr="0059659F">
              <w:rPr>
                <w:rFonts w:ascii="Calibri" w:hAnsi="Calibri" w:cs="Calibri"/>
                <w:iCs/>
                <w:color w:val="000000"/>
                <w:spacing w:val="-2"/>
                <w:sz w:val="19"/>
                <w:szCs w:val="19"/>
              </w:rPr>
              <w:t>however,</w:t>
            </w:r>
            <w:r w:rsidRPr="0059659F">
              <w:rPr>
                <w:rFonts w:ascii="Calibri" w:hAnsi="Calibri" w:cs="Calibri"/>
                <w:iCs/>
                <w:color w:val="000000"/>
                <w:spacing w:val="-2"/>
                <w:sz w:val="19"/>
                <w:szCs w:val="19"/>
              </w:rPr>
              <w:t xml:space="preserve"> its adequacy should be reviewed in two years’ time by the OTA to ascertain whether a national tasking system is required as demand increases.</w:t>
            </w:r>
          </w:p>
          <w:p w14:paraId="27B342C5"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40:</w:t>
            </w:r>
            <w:r w:rsidRPr="0059659F">
              <w:rPr>
                <w:rFonts w:ascii="Calibri" w:hAnsi="Calibri" w:cs="Calibri"/>
                <w:iCs/>
                <w:color w:val="000000"/>
                <w:spacing w:val="-2"/>
                <w:sz w:val="19"/>
                <w:szCs w:val="19"/>
              </w:rPr>
              <w:t xml:space="preserve"> Consideration should be given to the development of national sourcing of aviation services by the states and territories to support organ retrieval services in a more coordinated manner.</w:t>
            </w:r>
          </w:p>
          <w:p w14:paraId="23154E65"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41:</w:t>
            </w:r>
            <w:r w:rsidRPr="0059659F">
              <w:rPr>
                <w:rFonts w:ascii="Calibri" w:hAnsi="Calibri" w:cs="Calibri"/>
                <w:iCs/>
                <w:color w:val="000000"/>
                <w:spacing w:val="-2"/>
                <w:sz w:val="19"/>
                <w:szCs w:val="19"/>
              </w:rPr>
              <w:t xml:space="preserve"> All Australian governments consider developing a national plan to optimise the use of perfusion technologies and ensure that best practice technology is available to transplantation units.</w:t>
            </w:r>
          </w:p>
          <w:p w14:paraId="036D2F78" w14:textId="77777777" w:rsidR="00102A7F" w:rsidRPr="0059659F" w:rsidRDefault="00102A7F" w:rsidP="00C75FAB">
            <w:pPr>
              <w:widowControl/>
              <w:autoSpaceDE/>
              <w:adjustRightInd/>
              <w:spacing w:before="40" w:after="60"/>
              <w:ind w:left="360"/>
              <w:rPr>
                <w:rFonts w:ascii="Calibri" w:hAnsi="Calibri" w:cs="Calibri"/>
                <w:iCs/>
                <w:color w:val="000000"/>
                <w:spacing w:val="-2"/>
                <w:sz w:val="19"/>
                <w:szCs w:val="19"/>
              </w:rPr>
            </w:pPr>
          </w:p>
        </w:tc>
      </w:tr>
      <w:tr w:rsidR="00102A7F" w:rsidRPr="0059659F" w14:paraId="31B7CA8D" w14:textId="77777777" w:rsidTr="00C75FAB">
        <w:tc>
          <w:tcPr>
            <w:tcW w:w="1413" w:type="dxa"/>
            <w:tcBorders>
              <w:top w:val="single" w:sz="4" w:space="0" w:color="A6A6A6"/>
              <w:left w:val="single" w:sz="4" w:space="0" w:color="A6A6A6"/>
              <w:bottom w:val="single" w:sz="4" w:space="0" w:color="A6A6A6"/>
              <w:right w:val="single" w:sz="4" w:space="0" w:color="A6A6A6"/>
            </w:tcBorders>
          </w:tcPr>
          <w:p w14:paraId="5F572CD3" w14:textId="77777777" w:rsidR="00102A7F" w:rsidRPr="0059659F" w:rsidRDefault="00102A7F" w:rsidP="00C75FAB">
            <w:pPr>
              <w:widowControl/>
              <w:autoSpaceDE/>
              <w:adjustRightInd/>
              <w:spacing w:before="40" w:after="60"/>
              <w:rPr>
                <w:rFonts w:ascii="Calibri" w:hAnsi="Calibri" w:cs="Calibri"/>
                <w:spacing w:val="-2"/>
                <w:sz w:val="19"/>
                <w:szCs w:val="19"/>
              </w:rPr>
            </w:pPr>
            <w:r w:rsidRPr="0059659F">
              <w:rPr>
                <w:rFonts w:ascii="Calibri" w:hAnsi="Calibri" w:cs="Calibri"/>
                <w:spacing w:val="-2"/>
                <w:sz w:val="19"/>
                <w:szCs w:val="19"/>
              </w:rPr>
              <w:t>Element 7: Transplantation</w:t>
            </w:r>
          </w:p>
        </w:tc>
        <w:tc>
          <w:tcPr>
            <w:tcW w:w="3969" w:type="dxa"/>
            <w:tcBorders>
              <w:top w:val="single" w:sz="4" w:space="0" w:color="A6A6A6"/>
              <w:left w:val="single" w:sz="4" w:space="0" w:color="A6A6A6"/>
              <w:bottom w:val="single" w:sz="4" w:space="0" w:color="A6A6A6"/>
              <w:right w:val="single" w:sz="4" w:space="0" w:color="A6A6A6"/>
            </w:tcBorders>
          </w:tcPr>
          <w:p w14:paraId="2E5F795D"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resource coordination and management of transplant surgery remains a challenge at every centre, however solutions to this challenging problem inherently lie in local resolution.</w:t>
            </w:r>
          </w:p>
          <w:p w14:paraId="17AAECB3" w14:textId="180EFE03" w:rsidR="0039553F" w:rsidRPr="00A94A86"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National oversight is required to identify underperformance and resource inefficiencies to design strategies to improve overall performance in transplantation rates.</w:t>
            </w:r>
          </w:p>
        </w:tc>
        <w:tc>
          <w:tcPr>
            <w:tcW w:w="3969" w:type="dxa"/>
            <w:tcBorders>
              <w:top w:val="single" w:sz="4" w:space="0" w:color="A6A6A6"/>
              <w:left w:val="single" w:sz="4" w:space="0" w:color="A6A6A6"/>
              <w:bottom w:val="single" w:sz="4" w:space="0" w:color="A6A6A6"/>
              <w:right w:val="single" w:sz="4" w:space="0" w:color="A6A6A6"/>
            </w:tcBorders>
          </w:tcPr>
          <w:p w14:paraId="13474F3E" w14:textId="12336C6B" w:rsidR="00102A7F" w:rsidRPr="0059659F" w:rsidRDefault="00102A7F" w:rsidP="00C75FAB">
            <w:pPr>
              <w:widowControl/>
              <w:autoSpaceDE/>
              <w:adjustRightInd/>
              <w:spacing w:before="40" w:after="60"/>
              <w:rPr>
                <w:rFonts w:ascii="Calibri" w:hAnsi="Calibri" w:cs="Calibri"/>
                <w:b/>
                <w:iCs/>
                <w:color w:val="000000"/>
                <w:spacing w:val="-2"/>
                <w:sz w:val="19"/>
                <w:szCs w:val="19"/>
              </w:rPr>
            </w:pPr>
            <w:r w:rsidRPr="0059659F">
              <w:rPr>
                <w:rFonts w:ascii="Calibri" w:hAnsi="Calibri" w:cs="Calibri"/>
                <w:b/>
                <w:iCs/>
                <w:color w:val="000000"/>
                <w:spacing w:val="-2"/>
                <w:sz w:val="19"/>
                <w:szCs w:val="19"/>
              </w:rPr>
              <w:t xml:space="preserve">Recommendation 42: </w:t>
            </w:r>
            <w:r w:rsidR="00D069CA" w:rsidRPr="00D069CA">
              <w:rPr>
                <w:rFonts w:ascii="Calibri" w:hAnsi="Calibri" w:cs="Calibri"/>
                <w:iCs/>
                <w:color w:val="000000"/>
                <w:spacing w:val="-2"/>
                <w:sz w:val="19"/>
                <w:szCs w:val="19"/>
              </w:rPr>
              <w:t>The OTA should provide a national oversight role to identify opportunities for practice improvement in relation to the operational management of transplantation procedures.</w:t>
            </w:r>
          </w:p>
        </w:tc>
      </w:tr>
      <w:tr w:rsidR="00102A7F" w:rsidRPr="0059659F" w14:paraId="6D527CFE" w14:textId="77777777" w:rsidTr="00C75FAB">
        <w:tc>
          <w:tcPr>
            <w:tcW w:w="1413" w:type="dxa"/>
            <w:tcBorders>
              <w:top w:val="single" w:sz="4" w:space="0" w:color="A6A6A6"/>
              <w:left w:val="single" w:sz="4" w:space="0" w:color="A6A6A6"/>
              <w:bottom w:val="single" w:sz="4" w:space="0" w:color="A6A6A6"/>
              <w:right w:val="single" w:sz="4" w:space="0" w:color="A6A6A6"/>
            </w:tcBorders>
          </w:tcPr>
          <w:p w14:paraId="72E25292" w14:textId="77777777" w:rsidR="00102A7F" w:rsidRPr="0059659F" w:rsidRDefault="00102A7F" w:rsidP="00C75FAB">
            <w:pPr>
              <w:widowControl/>
              <w:autoSpaceDE/>
              <w:adjustRightInd/>
              <w:spacing w:before="40" w:after="60"/>
              <w:rPr>
                <w:rFonts w:ascii="Calibri" w:hAnsi="Calibri" w:cs="Calibri"/>
                <w:spacing w:val="-2"/>
                <w:sz w:val="19"/>
                <w:szCs w:val="19"/>
              </w:rPr>
            </w:pPr>
            <w:r w:rsidRPr="0059659F">
              <w:rPr>
                <w:rFonts w:ascii="Calibri" w:hAnsi="Calibri" w:cs="Calibri"/>
                <w:spacing w:val="-2"/>
                <w:sz w:val="19"/>
                <w:szCs w:val="19"/>
              </w:rPr>
              <w:t>Element 8: Post transplantation care</w:t>
            </w:r>
          </w:p>
        </w:tc>
        <w:tc>
          <w:tcPr>
            <w:tcW w:w="3969" w:type="dxa"/>
            <w:tcBorders>
              <w:top w:val="single" w:sz="4" w:space="0" w:color="A6A6A6"/>
              <w:left w:val="single" w:sz="4" w:space="0" w:color="A6A6A6"/>
              <w:bottom w:val="single" w:sz="4" w:space="0" w:color="A6A6A6"/>
              <w:right w:val="single" w:sz="4" w:space="0" w:color="A6A6A6"/>
            </w:tcBorders>
          </w:tcPr>
          <w:p w14:paraId="6F869296" w14:textId="263074E0"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Kidney transplantation programs generally have well established networks for returning transplantation patients to their home community including handover of ongoing care (with support) provided by </w:t>
            </w:r>
            <w:r w:rsidR="00B91BDD" w:rsidRPr="0059659F">
              <w:rPr>
                <w:rFonts w:ascii="Calibri" w:hAnsi="Calibri" w:cs="Calibri"/>
                <w:iCs/>
                <w:color w:val="000000"/>
                <w:spacing w:val="-2"/>
                <w:sz w:val="19"/>
                <w:szCs w:val="19"/>
              </w:rPr>
              <w:t>a local specialist</w:t>
            </w:r>
            <w:r w:rsidRPr="0059659F">
              <w:rPr>
                <w:rFonts w:ascii="Calibri" w:hAnsi="Calibri" w:cs="Calibri"/>
                <w:iCs/>
                <w:color w:val="000000"/>
                <w:spacing w:val="-2"/>
                <w:sz w:val="19"/>
                <w:szCs w:val="19"/>
              </w:rPr>
              <w:t xml:space="preserve"> in most cases.</w:t>
            </w:r>
          </w:p>
          <w:p w14:paraId="18B285E5"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heart, liver and lung transplantation programs do not generally have post transplantation care networks developed with the relevant specialists close to where the patient resides. Whilst this model has served these programs well in the past it is unsustainable in the future given the projected increase in the population of post transplantation patients.</w:t>
            </w:r>
          </w:p>
          <w:p w14:paraId="13C77058"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transition from paediatric care to early adult care is problematic for many transplant recipients and must be specifically managed and resourced in all paediatric transplantation programs.</w:t>
            </w:r>
          </w:p>
          <w:p w14:paraId="652DA4C0"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Post transplantation outcomes experienced among Aboriginal and Torres Strait Islander people are currently much worse than those experienced by non-Indigenous Australians. Further work is required to identify issues affecting graft and patient survival and design strategies as part of the TSANZ project.</w:t>
            </w:r>
          </w:p>
          <w:p w14:paraId="2A100820" w14:textId="5E1D2F5E" w:rsidR="0059659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Patient experience data post transplantation is not currently collected consistently within the system. The introduction of mechanism to measure experience may greatly benefit the </w:t>
            </w:r>
            <w:r w:rsidRPr="0059659F">
              <w:rPr>
                <w:rFonts w:ascii="Calibri" w:hAnsi="Calibri" w:cs="Calibri"/>
                <w:iCs/>
                <w:color w:val="000000"/>
                <w:spacing w:val="-2"/>
                <w:sz w:val="19"/>
                <w:szCs w:val="19"/>
              </w:rPr>
              <w:lastRenderedPageBreak/>
              <w:t>effectiveness of policy and outcomes in transplantation.</w:t>
            </w:r>
          </w:p>
        </w:tc>
        <w:tc>
          <w:tcPr>
            <w:tcW w:w="3969" w:type="dxa"/>
            <w:tcBorders>
              <w:top w:val="single" w:sz="4" w:space="0" w:color="A6A6A6"/>
              <w:left w:val="single" w:sz="4" w:space="0" w:color="A6A6A6"/>
              <w:bottom w:val="single" w:sz="4" w:space="0" w:color="A6A6A6"/>
              <w:right w:val="single" w:sz="4" w:space="0" w:color="A6A6A6"/>
            </w:tcBorders>
          </w:tcPr>
          <w:p w14:paraId="44148BAA"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lastRenderedPageBreak/>
              <w:t>Recommendation 43:</w:t>
            </w:r>
            <w:r w:rsidRPr="0059659F">
              <w:rPr>
                <w:rFonts w:ascii="Calibri" w:hAnsi="Calibri" w:cs="Calibri"/>
                <w:iCs/>
                <w:color w:val="000000"/>
                <w:spacing w:val="-2"/>
                <w:sz w:val="19"/>
                <w:szCs w:val="19"/>
              </w:rPr>
              <w:t xml:space="preserve"> The heart, lung and liver transplantation programs develop post transplantation models of care that includes shared care with an appropriate locally based clinical team after the initial period of post transplantation stabilisation, particularly in the case of rural and regional patients.</w:t>
            </w:r>
          </w:p>
          <w:p w14:paraId="633EE301"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44:</w:t>
            </w:r>
            <w:r w:rsidRPr="0059659F">
              <w:rPr>
                <w:rFonts w:ascii="Calibri" w:hAnsi="Calibri" w:cs="Calibri"/>
                <w:iCs/>
                <w:color w:val="000000"/>
                <w:spacing w:val="-2"/>
                <w:sz w:val="19"/>
                <w:szCs w:val="19"/>
              </w:rPr>
              <w:t xml:space="preserve"> Each paediatric organ transplantation program, and its affiliated adult transplantation program, develop explicit pathways for transition to adult care if these pathways are not already in place.</w:t>
            </w:r>
          </w:p>
          <w:p w14:paraId="7E978CEE"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45:</w:t>
            </w:r>
            <w:r w:rsidRPr="0059659F">
              <w:rPr>
                <w:rFonts w:ascii="Calibri" w:hAnsi="Calibri" w:cs="Calibri"/>
                <w:iCs/>
                <w:color w:val="000000"/>
                <w:spacing w:val="-2"/>
                <w:sz w:val="19"/>
                <w:szCs w:val="19"/>
              </w:rPr>
              <w:t xml:space="preserve"> Each transplantation unit should provide comprehensive rehabilitation for patients post transplantation with a focus on employment and social participation.</w:t>
            </w:r>
          </w:p>
          <w:p w14:paraId="17067210"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46:</w:t>
            </w:r>
            <w:r w:rsidRPr="0059659F">
              <w:rPr>
                <w:rFonts w:ascii="Calibri" w:hAnsi="Calibri" w:cs="Calibri"/>
                <w:iCs/>
                <w:color w:val="000000"/>
                <w:spacing w:val="-2"/>
                <w:sz w:val="19"/>
                <w:szCs w:val="19"/>
              </w:rPr>
              <w:t xml:space="preserve"> Patient reported outcome measures be added to all organ transplant outcome registries.</w:t>
            </w:r>
          </w:p>
        </w:tc>
      </w:tr>
      <w:tr w:rsidR="00102A7F" w:rsidRPr="0059659F" w14:paraId="2DF98671" w14:textId="77777777" w:rsidTr="00C75FAB">
        <w:tc>
          <w:tcPr>
            <w:tcW w:w="1413" w:type="dxa"/>
            <w:tcBorders>
              <w:top w:val="single" w:sz="4" w:space="0" w:color="A6A6A6"/>
              <w:left w:val="single" w:sz="4" w:space="0" w:color="A6A6A6"/>
              <w:bottom w:val="single" w:sz="4" w:space="0" w:color="A6A6A6"/>
              <w:right w:val="single" w:sz="4" w:space="0" w:color="A6A6A6"/>
            </w:tcBorders>
          </w:tcPr>
          <w:p w14:paraId="10920A6C" w14:textId="77777777" w:rsidR="00102A7F" w:rsidRPr="0059659F" w:rsidRDefault="00102A7F" w:rsidP="00C75FAB">
            <w:pPr>
              <w:widowControl/>
              <w:autoSpaceDE/>
              <w:adjustRightInd/>
              <w:spacing w:before="40" w:after="60"/>
              <w:rPr>
                <w:rFonts w:ascii="Calibri" w:hAnsi="Calibri" w:cs="Calibri"/>
                <w:spacing w:val="-2"/>
                <w:sz w:val="19"/>
                <w:szCs w:val="19"/>
              </w:rPr>
            </w:pPr>
            <w:r w:rsidRPr="0059659F">
              <w:rPr>
                <w:rFonts w:ascii="Calibri" w:hAnsi="Calibri" w:cs="Calibri"/>
                <w:spacing w:val="-2"/>
                <w:sz w:val="19"/>
                <w:szCs w:val="19"/>
              </w:rPr>
              <w:t>Supporting element 1: Data and information management</w:t>
            </w:r>
          </w:p>
        </w:tc>
        <w:tc>
          <w:tcPr>
            <w:tcW w:w="3969" w:type="dxa"/>
            <w:tcBorders>
              <w:top w:val="single" w:sz="4" w:space="0" w:color="A6A6A6"/>
              <w:left w:val="single" w:sz="4" w:space="0" w:color="A6A6A6"/>
              <w:bottom w:val="single" w:sz="4" w:space="0" w:color="A6A6A6"/>
              <w:right w:val="single" w:sz="4" w:space="0" w:color="A6A6A6"/>
            </w:tcBorders>
          </w:tcPr>
          <w:p w14:paraId="4DA6854F"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Access to data held by the OTA which is not currently distributed to all government representatives is only granted with the consent of all nine government representatives. This impairs the management of the organ transplantation programs.</w:t>
            </w:r>
          </w:p>
          <w:p w14:paraId="08550AC2" w14:textId="2C00803B"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Comprehensive and robust national patient outcome registries exist for kidney, heart, lung and liver transplantation. </w:t>
            </w:r>
            <w:r w:rsidR="00B91BDD" w:rsidRPr="0059659F">
              <w:rPr>
                <w:rFonts w:ascii="Calibri" w:hAnsi="Calibri" w:cs="Calibri"/>
                <w:iCs/>
                <w:color w:val="000000"/>
                <w:spacing w:val="-2"/>
                <w:sz w:val="19"/>
                <w:szCs w:val="19"/>
              </w:rPr>
              <w:t>However,</w:t>
            </w:r>
            <w:r w:rsidRPr="0059659F">
              <w:rPr>
                <w:rFonts w:ascii="Calibri" w:hAnsi="Calibri" w:cs="Calibri"/>
                <w:iCs/>
                <w:color w:val="000000"/>
                <w:spacing w:val="-2"/>
                <w:sz w:val="19"/>
                <w:szCs w:val="19"/>
              </w:rPr>
              <w:t xml:space="preserve"> all registries could be enhanced by the addition of more information on reasons organs have been declined by the transplantation unit, the number and characteristics of patients waiting for kidney transplantation, patient reported outcomes, and the use and outcomes of organs donated from extended criteria donors.</w:t>
            </w:r>
          </w:p>
          <w:p w14:paraId="418A6CE6"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entry of patient data into the outcome registries is laborious and consumes a lot of time and resources from clinical staff and is often completed on a voluntary basis.</w:t>
            </w:r>
          </w:p>
          <w:p w14:paraId="768084C6"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OTA is currently working with states and territories to develop a Data Governance Framework with the aim to improve data management and access.</w:t>
            </w:r>
          </w:p>
          <w:p w14:paraId="3B729C3D" w14:textId="77777777" w:rsidR="00102A7F" w:rsidRPr="0059659F" w:rsidRDefault="00102A7F" w:rsidP="00C75FAB">
            <w:pPr>
              <w:widowControl/>
              <w:autoSpaceDE/>
              <w:adjustRightInd/>
              <w:spacing w:before="40" w:after="60"/>
              <w:ind w:left="170" w:hanging="170"/>
              <w:rPr>
                <w:rFonts w:ascii="Calibri" w:hAnsi="Calibri" w:cs="Calibri"/>
                <w:iCs/>
                <w:color w:val="000000"/>
                <w:spacing w:val="-2"/>
                <w:sz w:val="19"/>
                <w:szCs w:val="19"/>
              </w:rPr>
            </w:pPr>
          </w:p>
        </w:tc>
        <w:tc>
          <w:tcPr>
            <w:tcW w:w="3969" w:type="dxa"/>
            <w:tcBorders>
              <w:top w:val="single" w:sz="4" w:space="0" w:color="A6A6A6"/>
              <w:left w:val="single" w:sz="4" w:space="0" w:color="A6A6A6"/>
              <w:bottom w:val="single" w:sz="4" w:space="0" w:color="A6A6A6"/>
              <w:right w:val="single" w:sz="4" w:space="0" w:color="A6A6A6"/>
            </w:tcBorders>
          </w:tcPr>
          <w:p w14:paraId="36E090D3"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47:</w:t>
            </w:r>
            <w:r w:rsidRPr="0059659F">
              <w:rPr>
                <w:rFonts w:ascii="Calibri" w:hAnsi="Calibri" w:cs="Calibri"/>
                <w:iCs/>
                <w:color w:val="000000"/>
                <w:spacing w:val="-2"/>
                <w:sz w:val="19"/>
                <w:szCs w:val="19"/>
              </w:rPr>
              <w:t xml:space="preserve"> The states and territories should facilitate access to and sharing of nationally agreed de-identified datasets among jurisdictions through continued support to the OTA to develop and implement its data governance framework.</w:t>
            </w:r>
          </w:p>
          <w:p w14:paraId="6020BF20" w14:textId="77777777" w:rsidR="00102A7F" w:rsidRPr="0059659F" w:rsidRDefault="00102A7F" w:rsidP="00C75FAB">
            <w:pPr>
              <w:widowControl/>
              <w:autoSpaceDE/>
              <w:adjustRightInd/>
              <w:spacing w:before="40" w:after="60"/>
              <w:rPr>
                <w:rFonts w:ascii="Calibri" w:hAnsi="Calibri" w:cs="Calibri"/>
                <w:b/>
                <w:iCs/>
                <w:color w:val="000000"/>
                <w:spacing w:val="-2"/>
                <w:sz w:val="19"/>
                <w:szCs w:val="19"/>
              </w:rPr>
            </w:pPr>
            <w:r w:rsidRPr="0059659F">
              <w:rPr>
                <w:rFonts w:ascii="Calibri" w:hAnsi="Calibri" w:cs="Calibri"/>
                <w:b/>
                <w:iCs/>
                <w:color w:val="000000"/>
                <w:spacing w:val="-2"/>
                <w:sz w:val="19"/>
                <w:szCs w:val="19"/>
              </w:rPr>
              <w:t xml:space="preserve">Recommendation 48: </w:t>
            </w:r>
            <w:r w:rsidRPr="0059659F">
              <w:rPr>
                <w:rFonts w:ascii="Calibri" w:hAnsi="Calibri" w:cs="Calibri"/>
                <w:iCs/>
                <w:color w:val="000000"/>
                <w:spacing w:val="-2"/>
                <w:sz w:val="19"/>
                <w:szCs w:val="19"/>
              </w:rPr>
              <w:t>National patient outcome registries for heart and lung transplantation should be formally and comprehensively supported by the OTA and funded to reflect their purpose.</w:t>
            </w:r>
          </w:p>
          <w:p w14:paraId="63510B9C" w14:textId="77777777" w:rsidR="00102A7F" w:rsidRPr="0059659F" w:rsidRDefault="00102A7F" w:rsidP="00C75FAB">
            <w:pPr>
              <w:widowControl/>
              <w:autoSpaceDE/>
              <w:adjustRightInd/>
              <w:spacing w:before="40" w:after="60"/>
              <w:rPr>
                <w:rFonts w:ascii="Calibri" w:hAnsi="Calibri" w:cs="Calibri"/>
                <w:b/>
                <w:iCs/>
                <w:color w:val="000000"/>
                <w:spacing w:val="-2"/>
                <w:sz w:val="19"/>
                <w:szCs w:val="19"/>
              </w:rPr>
            </w:pPr>
            <w:r w:rsidRPr="0059659F">
              <w:rPr>
                <w:rFonts w:ascii="Calibri" w:hAnsi="Calibri" w:cs="Calibri"/>
                <w:b/>
                <w:iCs/>
                <w:color w:val="000000"/>
                <w:spacing w:val="-2"/>
                <w:sz w:val="19"/>
                <w:szCs w:val="19"/>
              </w:rPr>
              <w:t xml:space="preserve">Recommendation 49: </w:t>
            </w:r>
            <w:r w:rsidRPr="0059659F">
              <w:rPr>
                <w:rFonts w:ascii="Calibri" w:hAnsi="Calibri" w:cs="Calibri"/>
                <w:iCs/>
                <w:color w:val="000000"/>
                <w:spacing w:val="-2"/>
                <w:sz w:val="19"/>
                <w:szCs w:val="19"/>
              </w:rPr>
              <w:t>Consideration should be given by the OTA to the consolidation of all registries into one central system.</w:t>
            </w:r>
          </w:p>
          <w:p w14:paraId="37374979"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50:</w:t>
            </w:r>
            <w:r w:rsidRPr="0059659F">
              <w:rPr>
                <w:rFonts w:ascii="Calibri" w:hAnsi="Calibri" w:cs="Calibri"/>
                <w:iCs/>
                <w:color w:val="000000"/>
                <w:spacing w:val="-2"/>
                <w:sz w:val="19"/>
                <w:szCs w:val="19"/>
              </w:rPr>
              <w:t xml:space="preserve"> Consideration be given by the states and territories to the automation of data submission to the organ transplant outcome registries via the electronic medical records operating in most transplantation units.</w:t>
            </w:r>
          </w:p>
          <w:p w14:paraId="5F0A6CB7" w14:textId="452FBD85"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51:</w:t>
            </w:r>
            <w:r w:rsidRPr="0059659F">
              <w:rPr>
                <w:rFonts w:ascii="Calibri" w:hAnsi="Calibri" w:cs="Calibri"/>
                <w:iCs/>
                <w:color w:val="000000"/>
                <w:spacing w:val="-2"/>
                <w:sz w:val="19"/>
                <w:szCs w:val="19"/>
              </w:rPr>
              <w:t xml:space="preserve"> Measures of access to the kidney transplantation programs and data relating to the profile and numbers of patients on the kidney transplantation waiting list as well as outcomes from the use of organs from extended criteria organ donors should be considered by </w:t>
            </w:r>
            <w:r w:rsidR="001A14B7" w:rsidRPr="0059659F">
              <w:rPr>
                <w:rFonts w:ascii="Calibri" w:hAnsi="Calibri" w:cs="Calibri"/>
                <w:iCs/>
                <w:color w:val="000000"/>
                <w:spacing w:val="-2"/>
                <w:sz w:val="19"/>
                <w:szCs w:val="19"/>
              </w:rPr>
              <w:t xml:space="preserve">the Australia and New Zealand Dialysis and Transplant Registry (ANZDATA) </w:t>
            </w:r>
            <w:r w:rsidRPr="0059659F">
              <w:rPr>
                <w:rFonts w:ascii="Calibri" w:hAnsi="Calibri" w:cs="Calibri"/>
                <w:iCs/>
                <w:color w:val="000000"/>
                <w:spacing w:val="-2"/>
                <w:sz w:val="19"/>
                <w:szCs w:val="19"/>
              </w:rPr>
              <w:t>for inclusion in the data set that is collected and reported.</w:t>
            </w:r>
          </w:p>
        </w:tc>
      </w:tr>
      <w:tr w:rsidR="00102A7F" w:rsidRPr="0059659F" w14:paraId="55C159F7" w14:textId="77777777" w:rsidTr="00C75FAB">
        <w:tc>
          <w:tcPr>
            <w:tcW w:w="1413" w:type="dxa"/>
            <w:tcBorders>
              <w:top w:val="single" w:sz="4" w:space="0" w:color="A6A6A6"/>
              <w:left w:val="single" w:sz="4" w:space="0" w:color="A6A6A6"/>
              <w:bottom w:val="single" w:sz="4" w:space="0" w:color="A6A6A6"/>
              <w:right w:val="single" w:sz="4" w:space="0" w:color="A6A6A6"/>
            </w:tcBorders>
          </w:tcPr>
          <w:p w14:paraId="58A76E59" w14:textId="77777777" w:rsidR="00102A7F" w:rsidRPr="0059659F" w:rsidRDefault="00102A7F" w:rsidP="00C75FAB">
            <w:pPr>
              <w:widowControl/>
              <w:autoSpaceDE/>
              <w:adjustRightInd/>
              <w:spacing w:before="40" w:after="60"/>
              <w:rPr>
                <w:rFonts w:ascii="Calibri" w:hAnsi="Calibri" w:cs="Calibri"/>
                <w:spacing w:val="-2"/>
                <w:sz w:val="19"/>
                <w:szCs w:val="19"/>
              </w:rPr>
            </w:pPr>
            <w:r w:rsidRPr="0059659F">
              <w:rPr>
                <w:rFonts w:ascii="Calibri" w:hAnsi="Calibri" w:cs="Calibri"/>
                <w:spacing w:val="-2"/>
                <w:sz w:val="19"/>
                <w:szCs w:val="19"/>
              </w:rPr>
              <w:t>Supporting Element 2: Financing arrangements for the system</w:t>
            </w:r>
          </w:p>
        </w:tc>
        <w:tc>
          <w:tcPr>
            <w:tcW w:w="3969" w:type="dxa"/>
            <w:tcBorders>
              <w:top w:val="single" w:sz="4" w:space="0" w:color="A6A6A6"/>
              <w:left w:val="single" w:sz="4" w:space="0" w:color="A6A6A6"/>
              <w:bottom w:val="single" w:sz="4" w:space="0" w:color="A6A6A6"/>
              <w:right w:val="single" w:sz="4" w:space="0" w:color="A6A6A6"/>
            </w:tcBorders>
          </w:tcPr>
          <w:p w14:paraId="2A41293F"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The current national Activity Based Funding model does not adequately cover costs in the circumstance where retrieval is undertaken (and a cost is incurred) and transplantation does not eventuate. The current model allocates retrieval costs to the recipient; however, if the transplant does not occur, the transplantation unit is not reimbursed for the cost of the retrieval. </w:t>
            </w:r>
          </w:p>
          <w:p w14:paraId="20D8125B" w14:textId="53867BF2"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There is anecdotal evidence that the costs of the retrieval and inpatient phase of care have increased substantially in recent years. This is due to factors such as the introduction of ex vivo perfusion technologies, new immunosuppressant medication as well as the extended length of stay incurred with rising rates of</w:t>
            </w:r>
            <w:r w:rsidR="009E4275" w:rsidRPr="0059659F">
              <w:rPr>
                <w:rFonts w:ascii="Calibri" w:hAnsi="Calibri" w:cs="Calibri"/>
                <w:iCs/>
                <w:color w:val="000000"/>
                <w:spacing w:val="-2"/>
                <w:sz w:val="19"/>
                <w:szCs w:val="19"/>
              </w:rPr>
              <w:t xml:space="preserve"> Donation after Circulatory Death (</w:t>
            </w:r>
            <w:r w:rsidRPr="0059659F">
              <w:rPr>
                <w:rFonts w:ascii="Calibri" w:hAnsi="Calibri" w:cs="Calibri"/>
                <w:iCs/>
                <w:color w:val="000000"/>
                <w:spacing w:val="-2"/>
                <w:sz w:val="19"/>
                <w:szCs w:val="19"/>
              </w:rPr>
              <w:t>DCD</w:t>
            </w:r>
            <w:r w:rsidR="009E4275" w:rsidRPr="0059659F">
              <w:rPr>
                <w:rFonts w:ascii="Calibri" w:hAnsi="Calibri" w:cs="Calibri"/>
                <w:iCs/>
                <w:color w:val="000000"/>
                <w:spacing w:val="-2"/>
                <w:sz w:val="19"/>
                <w:szCs w:val="19"/>
              </w:rPr>
              <w:t>)</w:t>
            </w:r>
            <w:r w:rsidRPr="0059659F">
              <w:rPr>
                <w:rFonts w:ascii="Calibri" w:hAnsi="Calibri" w:cs="Calibri"/>
                <w:iCs/>
                <w:color w:val="000000"/>
                <w:spacing w:val="-2"/>
                <w:sz w:val="19"/>
                <w:szCs w:val="19"/>
              </w:rPr>
              <w:t xml:space="preserve"> donated organ transplantation. This appears to be reflected in the national Activity Based Funding model through increasing price weights.</w:t>
            </w:r>
          </w:p>
          <w:p w14:paraId="1C44F6F1" w14:textId="73454046"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The current Australian Revised Diagnosis Related Groups classification arrangements for organ transplantation are not sufficiently refined to accurately price the difference in </w:t>
            </w:r>
            <w:r w:rsidRPr="0059659F">
              <w:rPr>
                <w:rFonts w:ascii="Calibri" w:hAnsi="Calibri" w:cs="Calibri"/>
                <w:iCs/>
                <w:color w:val="000000"/>
                <w:spacing w:val="-2"/>
                <w:sz w:val="19"/>
                <w:szCs w:val="19"/>
              </w:rPr>
              <w:lastRenderedPageBreak/>
              <w:t xml:space="preserve">costs between DCD and </w:t>
            </w:r>
            <w:r w:rsidR="009E4275" w:rsidRPr="0059659F">
              <w:rPr>
                <w:rFonts w:ascii="Calibri" w:hAnsi="Calibri" w:cs="Calibri"/>
                <w:iCs/>
                <w:color w:val="000000"/>
                <w:spacing w:val="-2"/>
                <w:sz w:val="19"/>
                <w:szCs w:val="19"/>
              </w:rPr>
              <w:t>Donation after Brain Death (</w:t>
            </w:r>
            <w:r w:rsidRPr="0059659F">
              <w:rPr>
                <w:rFonts w:ascii="Calibri" w:hAnsi="Calibri" w:cs="Calibri"/>
                <w:iCs/>
                <w:color w:val="000000"/>
                <w:spacing w:val="-2"/>
                <w:sz w:val="19"/>
                <w:szCs w:val="19"/>
              </w:rPr>
              <w:t>DBD</w:t>
            </w:r>
            <w:r w:rsidR="009E4275" w:rsidRPr="0059659F">
              <w:rPr>
                <w:rFonts w:ascii="Calibri" w:hAnsi="Calibri" w:cs="Calibri"/>
                <w:iCs/>
                <w:color w:val="000000"/>
                <w:spacing w:val="-2"/>
                <w:sz w:val="19"/>
                <w:szCs w:val="19"/>
              </w:rPr>
              <w:t>)</w:t>
            </w:r>
            <w:r w:rsidRPr="0059659F">
              <w:rPr>
                <w:rFonts w:ascii="Calibri" w:hAnsi="Calibri" w:cs="Calibri"/>
                <w:iCs/>
                <w:color w:val="000000"/>
                <w:spacing w:val="-2"/>
                <w:sz w:val="19"/>
                <w:szCs w:val="19"/>
              </w:rPr>
              <w:t xml:space="preserve"> donated organ transplantation.</w:t>
            </w:r>
          </w:p>
          <w:p w14:paraId="1CC232C7"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Australian Government funding contribution to hospitals to support organ donation has not been indexed since its inception.</w:t>
            </w:r>
          </w:p>
          <w:p w14:paraId="6122AABF"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current Tier 2 classification is not sufficiently refined to allow differential pricing of the wide spectrum of pre-transplantation assessment.</w:t>
            </w:r>
          </w:p>
          <w:p w14:paraId="09FD52E8" w14:textId="0FFE03F2"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 xml:space="preserve">The current </w:t>
            </w:r>
            <w:r w:rsidRPr="00A94A86">
              <w:rPr>
                <w:rFonts w:ascii="Calibri" w:hAnsi="Calibri" w:cs="Calibri"/>
                <w:iCs/>
                <w:color w:val="000000"/>
                <w:spacing w:val="-2"/>
                <w:sz w:val="19"/>
                <w:szCs w:val="19"/>
              </w:rPr>
              <w:t>General Explanatory Note.13.33 of the M</w:t>
            </w:r>
            <w:r w:rsidR="001747E8" w:rsidRPr="00A94A86">
              <w:rPr>
                <w:rFonts w:ascii="Calibri" w:hAnsi="Calibri" w:cs="Calibri"/>
                <w:iCs/>
                <w:color w:val="000000"/>
                <w:spacing w:val="-2"/>
                <w:sz w:val="19"/>
                <w:szCs w:val="19"/>
              </w:rPr>
              <w:t>edicare Benefits Schedule</w:t>
            </w:r>
            <w:r w:rsidR="001747E8">
              <w:rPr>
                <w:rFonts w:ascii="Calibri" w:hAnsi="Calibri" w:cs="Calibri"/>
                <w:iCs/>
                <w:color w:val="000000"/>
                <w:spacing w:val="-2"/>
                <w:sz w:val="19"/>
                <w:szCs w:val="19"/>
              </w:rPr>
              <w:t xml:space="preserve"> </w:t>
            </w:r>
            <w:r w:rsidRPr="0059659F">
              <w:rPr>
                <w:rFonts w:ascii="Calibri" w:hAnsi="Calibri" w:cs="Calibri"/>
                <w:iCs/>
                <w:color w:val="000000"/>
                <w:spacing w:val="-2"/>
                <w:sz w:val="19"/>
                <w:szCs w:val="19"/>
              </w:rPr>
              <w:t>proscribes claiming for post transplantation care, with the exception of kidney transplantation.</w:t>
            </w:r>
          </w:p>
          <w:p w14:paraId="566248E0" w14:textId="77777777"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Current funding arrangements for the review of the kidney algorithm is not comprehensively funded.</w:t>
            </w:r>
          </w:p>
          <w:p w14:paraId="506F0197" w14:textId="60AB9805" w:rsidR="00102A7F" w:rsidRPr="0059659F" w:rsidRDefault="00102A7F"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The OrganMatch project is currently funded up until it goes live on 2 April 2019 and includes an additional year of funding to April 2020 for managed support, infrastructure and licensing</w:t>
            </w:r>
            <w:r w:rsidR="009E4275" w:rsidRPr="0059659F">
              <w:rPr>
                <w:rFonts w:ascii="Calibri" w:hAnsi="Calibri" w:cs="Calibri"/>
                <w:iCs/>
                <w:color w:val="000000"/>
                <w:spacing w:val="-2"/>
                <w:sz w:val="19"/>
                <w:szCs w:val="19"/>
              </w:rPr>
              <w:t xml:space="preserve">. It </w:t>
            </w:r>
            <w:r w:rsidRPr="0059659F">
              <w:rPr>
                <w:rFonts w:ascii="Calibri" w:hAnsi="Calibri" w:cs="Calibri"/>
                <w:iCs/>
                <w:color w:val="000000"/>
                <w:spacing w:val="-2"/>
                <w:sz w:val="19"/>
                <w:szCs w:val="19"/>
              </w:rPr>
              <w:t xml:space="preserve">does not include budget for any application system enhancements. </w:t>
            </w:r>
          </w:p>
        </w:tc>
        <w:tc>
          <w:tcPr>
            <w:tcW w:w="3969" w:type="dxa"/>
            <w:tcBorders>
              <w:top w:val="single" w:sz="4" w:space="0" w:color="A6A6A6"/>
              <w:left w:val="single" w:sz="4" w:space="0" w:color="A6A6A6"/>
              <w:bottom w:val="single" w:sz="4" w:space="0" w:color="A6A6A6"/>
              <w:right w:val="single" w:sz="4" w:space="0" w:color="A6A6A6"/>
            </w:tcBorders>
          </w:tcPr>
          <w:p w14:paraId="4D9CCCE8" w14:textId="36A1B9A4"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lastRenderedPageBreak/>
              <w:t xml:space="preserve">Recommendation 52: </w:t>
            </w:r>
            <w:r w:rsidRPr="0059659F">
              <w:rPr>
                <w:rFonts w:ascii="Calibri" w:hAnsi="Calibri" w:cs="Calibri"/>
                <w:iCs/>
                <w:color w:val="000000"/>
                <w:spacing w:val="-2"/>
                <w:sz w:val="19"/>
                <w:szCs w:val="19"/>
              </w:rPr>
              <w:t>The</w:t>
            </w:r>
            <w:r w:rsidR="001A14B7" w:rsidRPr="0059659F">
              <w:rPr>
                <w:rFonts w:ascii="Calibri" w:hAnsi="Calibri" w:cs="Calibri"/>
                <w:iCs/>
                <w:color w:val="000000"/>
                <w:spacing w:val="-2"/>
                <w:sz w:val="19"/>
                <w:szCs w:val="19"/>
              </w:rPr>
              <w:t xml:space="preserve"> Independent Hospital Pricing Authority (</w:t>
            </w:r>
            <w:r w:rsidRPr="0059659F">
              <w:rPr>
                <w:rFonts w:ascii="Calibri" w:hAnsi="Calibri" w:cs="Calibri"/>
                <w:iCs/>
                <w:color w:val="000000"/>
                <w:spacing w:val="-2"/>
                <w:sz w:val="19"/>
                <w:szCs w:val="19"/>
              </w:rPr>
              <w:t>IHPA</w:t>
            </w:r>
            <w:r w:rsidR="001A14B7" w:rsidRPr="0059659F">
              <w:rPr>
                <w:rFonts w:ascii="Calibri" w:hAnsi="Calibri" w:cs="Calibri"/>
                <w:iCs/>
                <w:color w:val="000000"/>
                <w:spacing w:val="-2"/>
                <w:sz w:val="19"/>
                <w:szCs w:val="19"/>
              </w:rPr>
              <w:t>)</w:t>
            </w:r>
            <w:r w:rsidRPr="0059659F">
              <w:rPr>
                <w:rFonts w:ascii="Calibri" w:hAnsi="Calibri" w:cs="Calibri"/>
                <w:iCs/>
                <w:color w:val="000000"/>
                <w:spacing w:val="-2"/>
                <w:sz w:val="19"/>
                <w:szCs w:val="19"/>
              </w:rPr>
              <w:t xml:space="preserve"> conduct a costing study and classification review for the classification of organ donation, retrieval and transplantation to take into account the cost impact of the use of DCD donated organs and organs from extended criteria donors and to appropriately attribute retrieval costs. </w:t>
            </w:r>
          </w:p>
          <w:p w14:paraId="136DABF6"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53:</w:t>
            </w:r>
            <w:r w:rsidRPr="0059659F">
              <w:rPr>
                <w:rFonts w:ascii="Calibri" w:hAnsi="Calibri" w:cs="Calibri"/>
                <w:iCs/>
                <w:color w:val="000000"/>
                <w:spacing w:val="-2"/>
                <w:sz w:val="19"/>
                <w:szCs w:val="19"/>
              </w:rPr>
              <w:t xml:space="preserve"> Consideration be given by the Australian Government to applying indexation to the Organ Donation Hospital Support Funding (ODHSF) at the same rate as the indexation of the National Efficient Price as determined by the IHPA annually.</w:t>
            </w:r>
          </w:p>
          <w:p w14:paraId="716AC160" w14:textId="77777777"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 xml:space="preserve">Recommendation 54: </w:t>
            </w:r>
            <w:r w:rsidRPr="0059659F">
              <w:rPr>
                <w:rFonts w:ascii="Calibri" w:hAnsi="Calibri" w:cs="Calibri"/>
                <w:iCs/>
                <w:color w:val="000000"/>
                <w:spacing w:val="-2"/>
                <w:sz w:val="19"/>
                <w:szCs w:val="19"/>
              </w:rPr>
              <w:t>The IHPA conduct a costing study and classification review for the classification of non-admitted pre and post organ transplantation care.</w:t>
            </w:r>
          </w:p>
          <w:p w14:paraId="278964E1" w14:textId="755B8B43"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55:</w:t>
            </w:r>
            <w:r w:rsidRPr="0059659F">
              <w:rPr>
                <w:rFonts w:ascii="Calibri" w:hAnsi="Calibri" w:cs="Calibri"/>
                <w:iCs/>
                <w:color w:val="000000"/>
                <w:spacing w:val="-2"/>
                <w:sz w:val="19"/>
                <w:szCs w:val="19"/>
              </w:rPr>
              <w:t xml:space="preserve"> Consideration should be given by the Australian Government for the proscription of access to the </w:t>
            </w:r>
            <w:r w:rsidR="001A14B7" w:rsidRPr="0059659F">
              <w:rPr>
                <w:rFonts w:ascii="Calibri" w:hAnsi="Calibri" w:cs="Calibri"/>
                <w:iCs/>
                <w:color w:val="000000"/>
                <w:spacing w:val="-2"/>
                <w:sz w:val="19"/>
                <w:szCs w:val="19"/>
              </w:rPr>
              <w:t>Medicare Benefits Schedule (</w:t>
            </w:r>
            <w:r w:rsidRPr="0059659F">
              <w:rPr>
                <w:rFonts w:ascii="Calibri" w:hAnsi="Calibri" w:cs="Calibri"/>
                <w:iCs/>
                <w:color w:val="000000"/>
                <w:spacing w:val="-2"/>
                <w:sz w:val="19"/>
                <w:szCs w:val="19"/>
              </w:rPr>
              <w:t>MBS</w:t>
            </w:r>
            <w:r w:rsidR="001A14B7" w:rsidRPr="0059659F">
              <w:rPr>
                <w:rFonts w:ascii="Calibri" w:hAnsi="Calibri" w:cs="Calibri"/>
                <w:iCs/>
                <w:color w:val="000000"/>
                <w:spacing w:val="-2"/>
                <w:sz w:val="19"/>
                <w:szCs w:val="19"/>
              </w:rPr>
              <w:t>)</w:t>
            </w:r>
            <w:r w:rsidRPr="0059659F">
              <w:rPr>
                <w:rFonts w:ascii="Calibri" w:hAnsi="Calibri" w:cs="Calibri"/>
                <w:iCs/>
                <w:color w:val="000000"/>
                <w:spacing w:val="-2"/>
                <w:sz w:val="19"/>
                <w:szCs w:val="19"/>
              </w:rPr>
              <w:t xml:space="preserve"> for the recipients of organ transplantation other than kidney transplantation be removed from the next version of the General Explanatory Notes 13.33 of the M</w:t>
            </w:r>
            <w:r w:rsidR="009E4275" w:rsidRPr="0059659F">
              <w:rPr>
                <w:rFonts w:ascii="Calibri" w:hAnsi="Calibri" w:cs="Calibri"/>
                <w:iCs/>
                <w:color w:val="000000"/>
                <w:spacing w:val="-2"/>
                <w:sz w:val="19"/>
                <w:szCs w:val="19"/>
              </w:rPr>
              <w:t>BS.</w:t>
            </w:r>
          </w:p>
          <w:p w14:paraId="13E510C7" w14:textId="0F52E734" w:rsidR="00102A7F" w:rsidRPr="0059659F" w:rsidRDefault="00102A7F"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lastRenderedPageBreak/>
              <w:t>Recommendation 56:</w:t>
            </w:r>
            <w:r w:rsidRPr="0059659F">
              <w:rPr>
                <w:rFonts w:ascii="Calibri" w:hAnsi="Calibri" w:cs="Calibri"/>
                <w:iCs/>
                <w:color w:val="000000"/>
                <w:spacing w:val="-2"/>
                <w:sz w:val="19"/>
                <w:szCs w:val="19"/>
              </w:rPr>
              <w:t xml:space="preserve"> The funding allocated to the implementation of OrganMatch should be reviewed by the Australian Government to take into account the need to model the potential outcomes of any altered algorithms that will be utilised within the new system.</w:t>
            </w:r>
          </w:p>
        </w:tc>
      </w:tr>
      <w:tr w:rsidR="007748C5" w:rsidRPr="0059659F" w14:paraId="252664A3" w14:textId="77777777" w:rsidTr="0039553F">
        <w:tc>
          <w:tcPr>
            <w:tcW w:w="1413" w:type="dxa"/>
            <w:tcBorders>
              <w:top w:val="single" w:sz="4" w:space="0" w:color="A6A6A6"/>
              <w:left w:val="single" w:sz="4" w:space="0" w:color="A6A6A6"/>
              <w:bottom w:val="single" w:sz="4" w:space="0" w:color="A6A6A6"/>
              <w:right w:val="single" w:sz="4" w:space="0" w:color="A6A6A6"/>
            </w:tcBorders>
          </w:tcPr>
          <w:p w14:paraId="1338368A" w14:textId="5F162EA0" w:rsidR="007748C5" w:rsidRPr="0059659F" w:rsidRDefault="007748C5" w:rsidP="00C75FAB">
            <w:pPr>
              <w:widowControl/>
              <w:autoSpaceDE/>
              <w:adjustRightInd/>
              <w:spacing w:before="40" w:after="60"/>
              <w:rPr>
                <w:rFonts w:ascii="Calibri" w:hAnsi="Calibri" w:cs="Calibri"/>
                <w:spacing w:val="-2"/>
                <w:sz w:val="19"/>
                <w:szCs w:val="19"/>
              </w:rPr>
            </w:pPr>
            <w:r>
              <w:rPr>
                <w:rFonts w:ascii="Calibri" w:hAnsi="Calibri" w:cs="Calibri"/>
                <w:spacing w:val="-2"/>
                <w:sz w:val="19"/>
                <w:szCs w:val="19"/>
              </w:rPr>
              <w:lastRenderedPageBreak/>
              <w:t xml:space="preserve">Supporting Element 3: </w:t>
            </w:r>
            <w:r w:rsidRPr="007748C5">
              <w:rPr>
                <w:rFonts w:ascii="Calibri" w:hAnsi="Calibri" w:cs="Calibri"/>
                <w:spacing w:val="-2"/>
                <w:sz w:val="19"/>
                <w:szCs w:val="19"/>
              </w:rPr>
              <w:t>Research for the organ donation, retrieval and transplantation system</w:t>
            </w:r>
          </w:p>
        </w:tc>
        <w:tc>
          <w:tcPr>
            <w:tcW w:w="3969" w:type="dxa"/>
            <w:tcBorders>
              <w:top w:val="single" w:sz="4" w:space="0" w:color="A6A6A6"/>
              <w:left w:val="single" w:sz="4" w:space="0" w:color="A6A6A6"/>
              <w:bottom w:val="single" w:sz="4" w:space="0" w:color="A6A6A6"/>
              <w:right w:val="single" w:sz="4" w:space="0" w:color="A6A6A6"/>
            </w:tcBorders>
          </w:tcPr>
          <w:p w14:paraId="1FE84D29" w14:textId="77777777" w:rsidR="007748C5" w:rsidRDefault="007748C5"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59659F">
              <w:rPr>
                <w:rFonts w:ascii="Calibri" w:hAnsi="Calibri" w:cs="Calibri"/>
                <w:iCs/>
                <w:color w:val="000000"/>
                <w:spacing w:val="-2"/>
                <w:sz w:val="19"/>
                <w:szCs w:val="19"/>
              </w:rPr>
              <w:t>A range of research activities have been identified during the Review which are not currently coordinated through a national system aligned to the national strategy.</w:t>
            </w:r>
          </w:p>
          <w:p w14:paraId="6E90F9FD" w14:textId="2DE4E8D3" w:rsidR="007748C5" w:rsidRPr="00C75FAB" w:rsidRDefault="007748C5"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C75FAB">
              <w:rPr>
                <w:rFonts w:ascii="Calibri" w:hAnsi="Calibri" w:cs="Calibri"/>
                <w:iCs/>
                <w:color w:val="000000"/>
                <w:spacing w:val="-2"/>
                <w:sz w:val="19"/>
                <w:szCs w:val="19"/>
              </w:rPr>
              <w:t>There are a number of research activities taking place that should be considered in future research strategies.</w:t>
            </w:r>
          </w:p>
        </w:tc>
        <w:tc>
          <w:tcPr>
            <w:tcW w:w="3969" w:type="dxa"/>
            <w:tcBorders>
              <w:top w:val="single" w:sz="4" w:space="0" w:color="A6A6A6"/>
              <w:left w:val="single" w:sz="4" w:space="0" w:color="A6A6A6"/>
              <w:bottom w:val="single" w:sz="4" w:space="0" w:color="A6A6A6"/>
              <w:right w:val="single" w:sz="4" w:space="0" w:color="A6A6A6"/>
            </w:tcBorders>
          </w:tcPr>
          <w:p w14:paraId="43881190" w14:textId="77777777" w:rsidR="007748C5" w:rsidRPr="0059659F" w:rsidRDefault="007748C5" w:rsidP="00C75FAB">
            <w:pPr>
              <w:widowControl/>
              <w:autoSpaceDE/>
              <w:adjustRightInd/>
              <w:spacing w:before="40" w:after="60"/>
              <w:rPr>
                <w:rFonts w:ascii="Calibri" w:hAnsi="Calibri" w:cs="Calibri"/>
                <w:iCs/>
                <w:color w:val="000000"/>
                <w:spacing w:val="-2"/>
                <w:sz w:val="19"/>
                <w:szCs w:val="19"/>
              </w:rPr>
            </w:pPr>
            <w:r w:rsidRPr="0059659F">
              <w:rPr>
                <w:rFonts w:ascii="Calibri" w:hAnsi="Calibri" w:cs="Calibri"/>
                <w:b/>
                <w:iCs/>
                <w:color w:val="000000"/>
                <w:spacing w:val="-2"/>
                <w:sz w:val="19"/>
                <w:szCs w:val="19"/>
              </w:rPr>
              <w:t>Recommendation 57:</w:t>
            </w:r>
            <w:r w:rsidRPr="0059659F">
              <w:rPr>
                <w:rFonts w:ascii="Calibri" w:hAnsi="Calibri" w:cs="Calibri"/>
                <w:iCs/>
                <w:color w:val="000000"/>
                <w:spacing w:val="-2"/>
                <w:sz w:val="19"/>
                <w:szCs w:val="19"/>
              </w:rPr>
              <w:t xml:space="preserve"> The OTA should provide national oversight and coordination of research activities after consultation with the TSANZ and other clinical advisers and consider the following research opportunities and priorities: </w:t>
            </w:r>
          </w:p>
          <w:p w14:paraId="56169FDF" w14:textId="77777777" w:rsidR="007748C5" w:rsidRPr="0059659F" w:rsidRDefault="007748C5" w:rsidP="00C75FAB">
            <w:pPr>
              <w:widowControl/>
              <w:numPr>
                <w:ilvl w:val="0"/>
                <w:numId w:val="26"/>
              </w:numPr>
              <w:autoSpaceDE/>
              <w:adjustRightInd/>
              <w:spacing w:before="40" w:after="60"/>
              <w:ind w:left="170" w:hanging="170"/>
              <w:contextualSpacing/>
              <w:rPr>
                <w:rFonts w:ascii="Calibri" w:hAnsi="Calibri" w:cs="Calibri"/>
                <w:iCs/>
                <w:color w:val="000000"/>
                <w:spacing w:val="-2"/>
                <w:sz w:val="19"/>
                <w:szCs w:val="19"/>
              </w:rPr>
            </w:pPr>
            <w:r w:rsidRPr="0059659F">
              <w:rPr>
                <w:rFonts w:ascii="Calibri" w:hAnsi="Calibri" w:cs="Calibri"/>
                <w:iCs/>
                <w:color w:val="000000"/>
                <w:spacing w:val="-2"/>
                <w:sz w:val="19"/>
                <w:szCs w:val="19"/>
              </w:rPr>
              <w:t>The place of ex vivo perfusion technologies in kidney and liver transplantation.</w:t>
            </w:r>
          </w:p>
          <w:p w14:paraId="3D0010B1" w14:textId="77777777" w:rsidR="007748C5" w:rsidRPr="0059659F" w:rsidRDefault="007748C5" w:rsidP="00C75FAB">
            <w:pPr>
              <w:widowControl/>
              <w:numPr>
                <w:ilvl w:val="0"/>
                <w:numId w:val="26"/>
              </w:numPr>
              <w:autoSpaceDE/>
              <w:adjustRightInd/>
              <w:spacing w:before="40" w:after="60"/>
              <w:ind w:left="170" w:hanging="170"/>
              <w:contextualSpacing/>
              <w:rPr>
                <w:rFonts w:ascii="Calibri" w:hAnsi="Calibri" w:cs="Calibri"/>
                <w:iCs/>
                <w:color w:val="000000"/>
                <w:spacing w:val="-2"/>
                <w:sz w:val="19"/>
                <w:szCs w:val="19"/>
              </w:rPr>
            </w:pPr>
            <w:r w:rsidRPr="0059659F">
              <w:rPr>
                <w:rFonts w:ascii="Calibri" w:hAnsi="Calibri" w:cs="Calibri"/>
                <w:iCs/>
                <w:color w:val="000000"/>
                <w:spacing w:val="-2"/>
                <w:sz w:val="19"/>
                <w:szCs w:val="19"/>
              </w:rPr>
              <w:t>Point of care testing for kidney transplant recipients in remote Australian communities.</w:t>
            </w:r>
          </w:p>
          <w:p w14:paraId="468D389B" w14:textId="77777777" w:rsidR="007748C5" w:rsidRPr="0059659F" w:rsidRDefault="007748C5" w:rsidP="00C75FAB">
            <w:pPr>
              <w:widowControl/>
              <w:numPr>
                <w:ilvl w:val="0"/>
                <w:numId w:val="26"/>
              </w:numPr>
              <w:autoSpaceDE/>
              <w:adjustRightInd/>
              <w:spacing w:before="40" w:after="60"/>
              <w:ind w:left="170" w:hanging="170"/>
              <w:contextualSpacing/>
              <w:rPr>
                <w:rFonts w:ascii="Calibri" w:hAnsi="Calibri" w:cs="Calibri"/>
                <w:iCs/>
                <w:color w:val="000000"/>
                <w:spacing w:val="-2"/>
                <w:sz w:val="19"/>
                <w:szCs w:val="19"/>
              </w:rPr>
            </w:pPr>
            <w:r w:rsidRPr="0059659F">
              <w:rPr>
                <w:rFonts w:ascii="Calibri" w:hAnsi="Calibri" w:cs="Calibri"/>
                <w:iCs/>
                <w:color w:val="000000"/>
                <w:spacing w:val="-2"/>
                <w:sz w:val="19"/>
                <w:szCs w:val="19"/>
              </w:rPr>
              <w:t>The possible use of monthly administration of immunosuppressant medications in remote communities following organ transplantation.</w:t>
            </w:r>
          </w:p>
          <w:p w14:paraId="32C17823" w14:textId="77777777" w:rsidR="007748C5" w:rsidRPr="0059659F" w:rsidRDefault="007748C5" w:rsidP="00C75FAB">
            <w:pPr>
              <w:widowControl/>
              <w:numPr>
                <w:ilvl w:val="0"/>
                <w:numId w:val="26"/>
              </w:numPr>
              <w:autoSpaceDE/>
              <w:adjustRightInd/>
              <w:spacing w:before="40" w:after="60"/>
              <w:ind w:left="170" w:hanging="170"/>
              <w:contextualSpacing/>
              <w:rPr>
                <w:rFonts w:ascii="Calibri" w:hAnsi="Calibri" w:cs="Calibri"/>
                <w:iCs/>
                <w:color w:val="000000"/>
                <w:spacing w:val="-2"/>
                <w:sz w:val="19"/>
                <w:szCs w:val="19"/>
              </w:rPr>
            </w:pPr>
            <w:r w:rsidRPr="0059659F">
              <w:rPr>
                <w:rFonts w:ascii="Calibri" w:hAnsi="Calibri" w:cs="Calibri"/>
                <w:iCs/>
                <w:color w:val="000000"/>
                <w:spacing w:val="-2"/>
                <w:sz w:val="19"/>
                <w:szCs w:val="19"/>
              </w:rPr>
              <w:t>Alternative donor matching technologies.</w:t>
            </w:r>
          </w:p>
          <w:p w14:paraId="432AAAC9" w14:textId="77777777" w:rsidR="007748C5" w:rsidRPr="0059659F" w:rsidRDefault="007748C5" w:rsidP="00C75FAB">
            <w:pPr>
              <w:widowControl/>
              <w:numPr>
                <w:ilvl w:val="0"/>
                <w:numId w:val="26"/>
              </w:numPr>
              <w:autoSpaceDE/>
              <w:adjustRightInd/>
              <w:spacing w:before="40" w:after="60"/>
              <w:ind w:left="170" w:hanging="170"/>
              <w:contextualSpacing/>
              <w:rPr>
                <w:rFonts w:ascii="Calibri" w:hAnsi="Calibri" w:cs="Calibri"/>
                <w:iCs/>
                <w:color w:val="000000"/>
                <w:spacing w:val="-2"/>
                <w:sz w:val="19"/>
                <w:szCs w:val="19"/>
              </w:rPr>
            </w:pPr>
            <w:r w:rsidRPr="0059659F">
              <w:rPr>
                <w:rFonts w:ascii="Calibri" w:hAnsi="Calibri" w:cs="Calibri"/>
                <w:iCs/>
                <w:color w:val="000000"/>
                <w:spacing w:val="-2"/>
                <w:sz w:val="19"/>
                <w:szCs w:val="19"/>
              </w:rPr>
              <w:t>Organ donation patterns in minority and marginalised communities within Australia.</w:t>
            </w:r>
          </w:p>
          <w:p w14:paraId="156ED4AB" w14:textId="77777777" w:rsidR="007748C5" w:rsidRDefault="007748C5" w:rsidP="00C75FAB">
            <w:pPr>
              <w:widowControl/>
              <w:numPr>
                <w:ilvl w:val="0"/>
                <w:numId w:val="26"/>
              </w:numPr>
              <w:autoSpaceDE/>
              <w:adjustRightInd/>
              <w:spacing w:before="40" w:after="60"/>
              <w:ind w:left="170" w:hanging="170"/>
              <w:contextualSpacing/>
              <w:rPr>
                <w:rFonts w:ascii="Calibri" w:hAnsi="Calibri" w:cs="Calibri"/>
                <w:iCs/>
                <w:color w:val="000000"/>
                <w:spacing w:val="-2"/>
                <w:sz w:val="19"/>
                <w:szCs w:val="19"/>
              </w:rPr>
            </w:pPr>
            <w:r w:rsidRPr="0059659F">
              <w:rPr>
                <w:rFonts w:ascii="Calibri" w:hAnsi="Calibri" w:cs="Calibri"/>
                <w:iCs/>
                <w:color w:val="000000"/>
                <w:spacing w:val="-2"/>
                <w:sz w:val="19"/>
                <w:szCs w:val="19"/>
              </w:rPr>
              <w:t>The reasons why families change their mind after agreeing to organ donation.</w:t>
            </w:r>
          </w:p>
          <w:p w14:paraId="4AD33F0B" w14:textId="57E154F9" w:rsidR="007748C5" w:rsidRPr="00C75FAB" w:rsidRDefault="007748C5" w:rsidP="00C75FAB">
            <w:pPr>
              <w:widowControl/>
              <w:numPr>
                <w:ilvl w:val="0"/>
                <w:numId w:val="26"/>
              </w:numPr>
              <w:autoSpaceDE/>
              <w:adjustRightInd/>
              <w:spacing w:before="40" w:after="60"/>
              <w:ind w:left="170" w:hanging="170"/>
              <w:rPr>
                <w:rFonts w:ascii="Calibri" w:hAnsi="Calibri" w:cs="Calibri"/>
                <w:iCs/>
                <w:color w:val="000000"/>
                <w:spacing w:val="-2"/>
                <w:sz w:val="19"/>
                <w:szCs w:val="19"/>
              </w:rPr>
            </w:pPr>
            <w:r w:rsidRPr="00A94A86">
              <w:rPr>
                <w:rFonts w:ascii="Calibri" w:hAnsi="Calibri" w:cs="Calibri"/>
                <w:iCs/>
                <w:color w:val="000000"/>
                <w:spacing w:val="-2"/>
                <w:sz w:val="19"/>
                <w:szCs w:val="19"/>
              </w:rPr>
              <w:t>The overall demand for organ transplantation in Australia (see Recommendations 17 and 18).</w:t>
            </w:r>
          </w:p>
        </w:tc>
      </w:tr>
    </w:tbl>
    <w:p w14:paraId="1767EC8A" w14:textId="77777777" w:rsidR="00A94A86" w:rsidRDefault="00A94A86">
      <w:pPr>
        <w:widowControl/>
        <w:autoSpaceDE/>
        <w:autoSpaceDN/>
        <w:adjustRightInd/>
        <w:spacing w:after="200" w:line="276" w:lineRule="auto"/>
        <w:rPr>
          <w:rFonts w:asciiTheme="minorHAnsi" w:hAnsiTheme="minorHAnsi" w:cstheme="minorHAnsi"/>
          <w:iCs/>
          <w:color w:val="7F7F7F" w:themeColor="text1" w:themeTint="80"/>
          <w:kern w:val="12"/>
          <w:sz w:val="36"/>
          <w:szCs w:val="30"/>
          <w:lang w:val="en-GB"/>
        </w:rPr>
      </w:pPr>
      <w:r>
        <w:rPr>
          <w:rFonts w:asciiTheme="minorHAnsi" w:hAnsiTheme="minorHAnsi" w:cstheme="minorHAnsi"/>
          <w:iCs/>
          <w:color w:val="7F7F7F" w:themeColor="text1" w:themeTint="80"/>
          <w:sz w:val="36"/>
          <w:szCs w:val="30"/>
        </w:rPr>
        <w:br w:type="page"/>
      </w:r>
    </w:p>
    <w:p w14:paraId="4986C99F" w14:textId="737CD799" w:rsidR="006F4EEF" w:rsidRPr="002B6873" w:rsidRDefault="00247188" w:rsidP="002B6873">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31" w:name="_Toc532301669"/>
      <w:r w:rsidRPr="002B6873">
        <w:rPr>
          <w:rFonts w:asciiTheme="minorHAnsi" w:hAnsiTheme="minorHAnsi" w:cstheme="minorHAnsi"/>
          <w:iCs/>
          <w:color w:val="7F7F7F" w:themeColor="text1" w:themeTint="80"/>
          <w:sz w:val="36"/>
          <w:szCs w:val="30"/>
        </w:rPr>
        <w:lastRenderedPageBreak/>
        <w:t>Priorities for action</w:t>
      </w:r>
      <w:bookmarkEnd w:id="31"/>
      <w:r w:rsidR="006F4EEF" w:rsidRPr="002B6873" w:rsidDel="006F4EEF">
        <w:rPr>
          <w:rFonts w:asciiTheme="minorHAnsi" w:hAnsiTheme="minorHAnsi" w:cstheme="minorHAnsi"/>
          <w:iCs/>
          <w:color w:val="7F7F7F" w:themeColor="text1" w:themeTint="80"/>
          <w:sz w:val="36"/>
          <w:szCs w:val="30"/>
        </w:rPr>
        <w:t xml:space="preserve"> </w:t>
      </w:r>
    </w:p>
    <w:p w14:paraId="52F1BDD7" w14:textId="77777777" w:rsidR="002B6873" w:rsidRPr="00E1478C" w:rsidRDefault="002B6873" w:rsidP="002B6873">
      <w:pPr>
        <w:pStyle w:val="Heading3"/>
        <w:tabs>
          <w:tab w:val="clear" w:pos="1843"/>
          <w:tab w:val="num" w:pos="1559"/>
        </w:tabs>
        <w:ind w:left="992" w:hanging="992"/>
        <w:rPr>
          <w:rFonts w:asciiTheme="minorHAnsi" w:hAnsiTheme="minorHAnsi" w:cstheme="minorHAnsi"/>
          <w:b w:val="0"/>
          <w:color w:val="7F7F7F" w:themeColor="text1" w:themeTint="80"/>
          <w:sz w:val="30"/>
          <w:szCs w:val="30"/>
        </w:rPr>
      </w:pPr>
      <w:r w:rsidRPr="00E1478C">
        <w:rPr>
          <w:rFonts w:asciiTheme="minorHAnsi" w:hAnsiTheme="minorHAnsi" w:cstheme="minorHAnsi"/>
          <w:b w:val="0"/>
          <w:color w:val="7F7F7F" w:themeColor="text1" w:themeTint="80"/>
          <w:sz w:val="30"/>
          <w:szCs w:val="30"/>
        </w:rPr>
        <w:t>An organised</w:t>
      </w:r>
      <w:r w:rsidR="00E247EF">
        <w:rPr>
          <w:rFonts w:asciiTheme="minorHAnsi" w:hAnsiTheme="minorHAnsi" w:cstheme="minorHAnsi"/>
          <w:b w:val="0"/>
          <w:color w:val="7F7F7F" w:themeColor="text1" w:themeTint="80"/>
          <w:sz w:val="30"/>
          <w:szCs w:val="30"/>
        </w:rPr>
        <w:t xml:space="preserve">, </w:t>
      </w:r>
      <w:r w:rsidRPr="00E1478C">
        <w:rPr>
          <w:rFonts w:asciiTheme="minorHAnsi" w:hAnsiTheme="minorHAnsi" w:cstheme="minorHAnsi"/>
          <w:b w:val="0"/>
          <w:color w:val="7F7F7F" w:themeColor="text1" w:themeTint="80"/>
          <w:sz w:val="30"/>
          <w:szCs w:val="30"/>
        </w:rPr>
        <w:t xml:space="preserve">nationally driven strategy to meet the expected increase in organ transplantation volumes </w:t>
      </w:r>
    </w:p>
    <w:p w14:paraId="1F0CBC38" w14:textId="77777777" w:rsidR="006A265A" w:rsidRDefault="0066747B" w:rsidP="00F17564">
      <w:pPr>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The </w:t>
      </w:r>
      <w:r w:rsidR="00FA7C88">
        <w:rPr>
          <w:rFonts w:asciiTheme="minorHAnsi" w:hAnsiTheme="minorHAnsi" w:cstheme="minorHAnsi"/>
          <w:sz w:val="24"/>
          <w:szCs w:val="24"/>
          <w:lang w:val="en-GB"/>
        </w:rPr>
        <w:t>objective of this Review</w:t>
      </w:r>
      <w:r w:rsidR="00135511">
        <w:rPr>
          <w:rFonts w:asciiTheme="minorHAnsi" w:hAnsiTheme="minorHAnsi" w:cstheme="minorHAnsi"/>
          <w:sz w:val="24"/>
          <w:szCs w:val="24"/>
          <w:lang w:val="en-GB"/>
        </w:rPr>
        <w:t xml:space="preserve"> </w:t>
      </w:r>
      <w:r>
        <w:rPr>
          <w:rFonts w:asciiTheme="minorHAnsi" w:hAnsiTheme="minorHAnsi" w:cstheme="minorHAnsi"/>
          <w:sz w:val="24"/>
          <w:szCs w:val="24"/>
          <w:lang w:val="en-GB"/>
        </w:rPr>
        <w:t>is to</w:t>
      </w:r>
      <w:r w:rsidR="00F83CED">
        <w:rPr>
          <w:rFonts w:asciiTheme="minorHAnsi" w:hAnsiTheme="minorHAnsi" w:cstheme="minorHAnsi"/>
          <w:sz w:val="24"/>
          <w:szCs w:val="24"/>
          <w:lang w:val="en-GB"/>
        </w:rPr>
        <w:t xml:space="preserve"> provide evidence-based advice and recommendations to</w:t>
      </w:r>
      <w:r>
        <w:rPr>
          <w:rFonts w:asciiTheme="minorHAnsi" w:hAnsiTheme="minorHAnsi" w:cstheme="minorHAnsi"/>
          <w:sz w:val="24"/>
          <w:szCs w:val="24"/>
          <w:lang w:val="en-GB"/>
        </w:rPr>
        <w:t xml:space="preserve"> inform the </w:t>
      </w:r>
      <w:r w:rsidR="00135511">
        <w:rPr>
          <w:rFonts w:asciiTheme="minorHAnsi" w:hAnsiTheme="minorHAnsi" w:cstheme="minorHAnsi"/>
          <w:sz w:val="24"/>
          <w:szCs w:val="24"/>
          <w:lang w:val="en-GB"/>
        </w:rPr>
        <w:t xml:space="preserve">development </w:t>
      </w:r>
      <w:r w:rsidR="00135511" w:rsidRPr="00135511">
        <w:rPr>
          <w:rFonts w:asciiTheme="minorHAnsi" w:hAnsiTheme="minorHAnsi" w:cstheme="minorHAnsi"/>
          <w:sz w:val="24"/>
          <w:szCs w:val="24"/>
          <w:lang w:val="en-GB"/>
        </w:rPr>
        <w:t>of a future long</w:t>
      </w:r>
      <w:r>
        <w:rPr>
          <w:rFonts w:asciiTheme="minorHAnsi" w:hAnsiTheme="minorHAnsi" w:cstheme="minorHAnsi"/>
          <w:sz w:val="24"/>
          <w:szCs w:val="24"/>
          <w:lang w:val="en-GB"/>
        </w:rPr>
        <w:t>-</w:t>
      </w:r>
      <w:r w:rsidR="00135511" w:rsidRPr="00135511">
        <w:rPr>
          <w:rFonts w:asciiTheme="minorHAnsi" w:hAnsiTheme="minorHAnsi" w:cstheme="minorHAnsi"/>
          <w:sz w:val="24"/>
          <w:szCs w:val="24"/>
          <w:lang w:val="en-GB"/>
        </w:rPr>
        <w:t>term strategy</w:t>
      </w:r>
      <w:r w:rsidR="00135511">
        <w:rPr>
          <w:rFonts w:asciiTheme="minorHAnsi" w:hAnsiTheme="minorHAnsi" w:cstheme="minorHAnsi"/>
          <w:sz w:val="24"/>
          <w:szCs w:val="24"/>
          <w:lang w:val="en-GB"/>
        </w:rPr>
        <w:t xml:space="preserve"> for Australia’s retrieval and </w:t>
      </w:r>
      <w:r w:rsidR="00135511" w:rsidRPr="00135511">
        <w:rPr>
          <w:rFonts w:asciiTheme="minorHAnsi" w:hAnsiTheme="minorHAnsi" w:cstheme="minorHAnsi"/>
          <w:sz w:val="24"/>
          <w:szCs w:val="24"/>
          <w:lang w:val="en-GB"/>
        </w:rPr>
        <w:t>transplantation sector for deceased donation</w:t>
      </w:r>
      <w:r w:rsidR="007007AF">
        <w:rPr>
          <w:rFonts w:asciiTheme="minorHAnsi" w:hAnsiTheme="minorHAnsi" w:cstheme="minorHAnsi"/>
          <w:sz w:val="24"/>
          <w:szCs w:val="24"/>
          <w:lang w:val="en-GB"/>
        </w:rPr>
        <w:t xml:space="preserve">. </w:t>
      </w:r>
      <w:r w:rsidR="002051C6">
        <w:rPr>
          <w:rFonts w:asciiTheme="minorHAnsi" w:hAnsiTheme="minorHAnsi" w:cstheme="minorHAnsi"/>
          <w:sz w:val="24"/>
          <w:szCs w:val="24"/>
          <w:lang w:val="en-GB"/>
        </w:rPr>
        <w:t>Th</w:t>
      </w:r>
      <w:r w:rsidR="00AC2151">
        <w:rPr>
          <w:rFonts w:asciiTheme="minorHAnsi" w:hAnsiTheme="minorHAnsi" w:cstheme="minorHAnsi"/>
          <w:sz w:val="24"/>
          <w:szCs w:val="24"/>
          <w:lang w:val="en-GB"/>
        </w:rPr>
        <w:t>e</w:t>
      </w:r>
      <w:r w:rsidR="002051C6">
        <w:rPr>
          <w:rFonts w:asciiTheme="minorHAnsi" w:hAnsiTheme="minorHAnsi" w:cstheme="minorHAnsi"/>
          <w:sz w:val="24"/>
          <w:szCs w:val="24"/>
          <w:lang w:val="en-GB"/>
        </w:rPr>
        <w:t xml:space="preserve"> </w:t>
      </w:r>
      <w:r w:rsidR="007007AF">
        <w:rPr>
          <w:rFonts w:asciiTheme="minorHAnsi" w:hAnsiTheme="minorHAnsi" w:cstheme="minorHAnsi"/>
          <w:sz w:val="24"/>
          <w:szCs w:val="24"/>
          <w:lang w:val="en-GB"/>
        </w:rPr>
        <w:t>Review</w:t>
      </w:r>
      <w:r w:rsidR="002051C6">
        <w:rPr>
          <w:rFonts w:asciiTheme="minorHAnsi" w:hAnsiTheme="minorHAnsi" w:cstheme="minorHAnsi"/>
          <w:sz w:val="24"/>
          <w:szCs w:val="24"/>
          <w:lang w:val="en-GB"/>
        </w:rPr>
        <w:t xml:space="preserve"> </w:t>
      </w:r>
      <w:r w:rsidR="00944358">
        <w:rPr>
          <w:rFonts w:asciiTheme="minorHAnsi" w:hAnsiTheme="minorHAnsi" w:cstheme="minorHAnsi"/>
          <w:sz w:val="24"/>
          <w:szCs w:val="24"/>
          <w:lang w:val="en-GB"/>
        </w:rPr>
        <w:t>has highlighted</w:t>
      </w:r>
      <w:r w:rsidR="002051C6">
        <w:rPr>
          <w:rFonts w:asciiTheme="minorHAnsi" w:hAnsiTheme="minorHAnsi" w:cstheme="minorHAnsi"/>
          <w:sz w:val="24"/>
          <w:szCs w:val="24"/>
          <w:lang w:val="en-GB"/>
        </w:rPr>
        <w:t xml:space="preserve"> the</w:t>
      </w:r>
      <w:r w:rsidR="007007AF">
        <w:rPr>
          <w:rFonts w:asciiTheme="minorHAnsi" w:hAnsiTheme="minorHAnsi" w:cstheme="minorHAnsi"/>
          <w:sz w:val="24"/>
          <w:szCs w:val="24"/>
          <w:lang w:val="en-GB"/>
        </w:rPr>
        <w:t xml:space="preserve"> </w:t>
      </w:r>
      <w:r w:rsidR="00AC2151">
        <w:rPr>
          <w:rFonts w:asciiTheme="minorHAnsi" w:hAnsiTheme="minorHAnsi" w:cstheme="minorHAnsi"/>
          <w:sz w:val="24"/>
          <w:szCs w:val="24"/>
          <w:lang w:val="en-GB"/>
        </w:rPr>
        <w:t xml:space="preserve">significant </w:t>
      </w:r>
      <w:r w:rsidR="007007AF">
        <w:rPr>
          <w:rFonts w:asciiTheme="minorHAnsi" w:hAnsiTheme="minorHAnsi" w:cstheme="minorHAnsi"/>
          <w:sz w:val="24"/>
          <w:szCs w:val="24"/>
          <w:lang w:val="en-GB"/>
        </w:rPr>
        <w:t>progress</w:t>
      </w:r>
      <w:r w:rsidR="002051C6">
        <w:rPr>
          <w:rFonts w:asciiTheme="minorHAnsi" w:hAnsiTheme="minorHAnsi" w:cstheme="minorHAnsi"/>
          <w:sz w:val="24"/>
          <w:szCs w:val="24"/>
          <w:lang w:val="en-GB"/>
        </w:rPr>
        <w:t xml:space="preserve"> that</w:t>
      </w:r>
      <w:r w:rsidR="007007AF">
        <w:rPr>
          <w:rFonts w:asciiTheme="minorHAnsi" w:hAnsiTheme="minorHAnsi" w:cstheme="minorHAnsi"/>
          <w:sz w:val="24"/>
          <w:szCs w:val="24"/>
          <w:lang w:val="en-GB"/>
        </w:rPr>
        <w:t xml:space="preserve"> has been made in moving Australia toward</w:t>
      </w:r>
      <w:r w:rsidR="00B32F50">
        <w:rPr>
          <w:rFonts w:asciiTheme="minorHAnsi" w:hAnsiTheme="minorHAnsi" w:cstheme="minorHAnsi"/>
          <w:sz w:val="24"/>
          <w:szCs w:val="24"/>
          <w:lang w:val="en-GB"/>
        </w:rPr>
        <w:t>s</w:t>
      </w:r>
      <w:r w:rsidR="007007AF">
        <w:rPr>
          <w:rFonts w:asciiTheme="minorHAnsi" w:hAnsiTheme="minorHAnsi" w:cstheme="minorHAnsi"/>
          <w:sz w:val="24"/>
          <w:szCs w:val="24"/>
          <w:lang w:val="en-GB"/>
        </w:rPr>
        <w:t xml:space="preserve"> developing</w:t>
      </w:r>
      <w:r w:rsidR="00C6133C">
        <w:rPr>
          <w:rFonts w:asciiTheme="minorHAnsi" w:hAnsiTheme="minorHAnsi" w:cstheme="minorHAnsi"/>
          <w:sz w:val="24"/>
          <w:szCs w:val="24"/>
          <w:lang w:val="en-GB"/>
        </w:rPr>
        <w:t xml:space="preserve"> one of</w:t>
      </w:r>
      <w:r w:rsidR="007007AF">
        <w:rPr>
          <w:rFonts w:asciiTheme="minorHAnsi" w:hAnsiTheme="minorHAnsi" w:cstheme="minorHAnsi"/>
          <w:sz w:val="24"/>
          <w:szCs w:val="24"/>
          <w:lang w:val="en-GB"/>
        </w:rPr>
        <w:t xml:space="preserve"> the world’s best organ donation, retrieval and transplant</w:t>
      </w:r>
      <w:r w:rsidR="00AC2151">
        <w:rPr>
          <w:rFonts w:asciiTheme="minorHAnsi" w:hAnsiTheme="minorHAnsi" w:cstheme="minorHAnsi"/>
          <w:sz w:val="24"/>
          <w:szCs w:val="24"/>
          <w:lang w:val="en-GB"/>
        </w:rPr>
        <w:t>ation</w:t>
      </w:r>
      <w:r w:rsidR="007007AF">
        <w:rPr>
          <w:rFonts w:asciiTheme="minorHAnsi" w:hAnsiTheme="minorHAnsi" w:cstheme="minorHAnsi"/>
          <w:sz w:val="24"/>
          <w:szCs w:val="24"/>
          <w:lang w:val="en-GB"/>
        </w:rPr>
        <w:t xml:space="preserve"> system</w:t>
      </w:r>
      <w:r w:rsidR="00C6133C">
        <w:rPr>
          <w:rFonts w:asciiTheme="minorHAnsi" w:hAnsiTheme="minorHAnsi" w:cstheme="minorHAnsi"/>
          <w:sz w:val="24"/>
          <w:szCs w:val="24"/>
          <w:lang w:val="en-GB"/>
        </w:rPr>
        <w:t>s</w:t>
      </w:r>
      <w:r w:rsidR="002051C6">
        <w:rPr>
          <w:rFonts w:asciiTheme="minorHAnsi" w:hAnsiTheme="minorHAnsi" w:cstheme="minorHAnsi"/>
          <w:sz w:val="24"/>
          <w:szCs w:val="24"/>
          <w:lang w:val="en-GB"/>
        </w:rPr>
        <w:t xml:space="preserve">, </w:t>
      </w:r>
      <w:r w:rsidR="00AE3F5B">
        <w:rPr>
          <w:rFonts w:asciiTheme="minorHAnsi" w:hAnsiTheme="minorHAnsi" w:cstheme="minorHAnsi"/>
          <w:sz w:val="24"/>
          <w:szCs w:val="24"/>
          <w:lang w:val="en-GB"/>
        </w:rPr>
        <w:t>in alignment with the</w:t>
      </w:r>
      <w:r w:rsidR="002051C6">
        <w:rPr>
          <w:rFonts w:asciiTheme="minorHAnsi" w:hAnsiTheme="minorHAnsi" w:cstheme="minorHAnsi"/>
          <w:sz w:val="24"/>
          <w:szCs w:val="24"/>
          <w:lang w:val="en-GB"/>
        </w:rPr>
        <w:t xml:space="preserve"> </w:t>
      </w:r>
      <w:r w:rsidR="005F5BB1">
        <w:rPr>
          <w:rFonts w:asciiTheme="minorHAnsi" w:hAnsiTheme="minorHAnsi" w:cstheme="minorHAnsi"/>
          <w:sz w:val="24"/>
          <w:szCs w:val="24"/>
          <w:lang w:val="en-GB"/>
        </w:rPr>
        <w:t>n</w:t>
      </w:r>
      <w:r w:rsidR="002051C6">
        <w:rPr>
          <w:rFonts w:asciiTheme="minorHAnsi" w:hAnsiTheme="minorHAnsi" w:cstheme="minorHAnsi"/>
          <w:sz w:val="24"/>
          <w:szCs w:val="24"/>
          <w:lang w:val="en-GB"/>
        </w:rPr>
        <w:t>a</w:t>
      </w:r>
      <w:r w:rsidR="005F5BB1">
        <w:rPr>
          <w:rFonts w:asciiTheme="minorHAnsi" w:hAnsiTheme="minorHAnsi" w:cstheme="minorHAnsi"/>
          <w:sz w:val="24"/>
          <w:szCs w:val="24"/>
          <w:lang w:val="en-GB"/>
        </w:rPr>
        <w:t>tional reform a</w:t>
      </w:r>
      <w:r w:rsidR="002051C6">
        <w:rPr>
          <w:rFonts w:asciiTheme="minorHAnsi" w:hAnsiTheme="minorHAnsi" w:cstheme="minorHAnsi"/>
          <w:sz w:val="24"/>
          <w:szCs w:val="24"/>
          <w:lang w:val="en-GB"/>
        </w:rPr>
        <w:t xml:space="preserve">genda </w:t>
      </w:r>
      <w:r w:rsidR="003A05C7">
        <w:rPr>
          <w:rFonts w:asciiTheme="minorHAnsi" w:hAnsiTheme="minorHAnsi" w:cstheme="minorHAnsi"/>
          <w:sz w:val="24"/>
          <w:szCs w:val="24"/>
          <w:lang w:val="en-GB"/>
        </w:rPr>
        <w:t xml:space="preserve">which commenced </w:t>
      </w:r>
      <w:r w:rsidR="002051C6">
        <w:rPr>
          <w:rFonts w:asciiTheme="minorHAnsi" w:hAnsiTheme="minorHAnsi" w:cstheme="minorHAnsi"/>
          <w:sz w:val="24"/>
          <w:szCs w:val="24"/>
          <w:lang w:val="en-GB"/>
        </w:rPr>
        <w:t>in 2009.</w:t>
      </w:r>
      <w:r w:rsidR="002051C6" w:rsidDel="002051C6">
        <w:rPr>
          <w:rFonts w:asciiTheme="minorHAnsi" w:hAnsiTheme="minorHAnsi" w:cstheme="minorHAnsi"/>
          <w:sz w:val="24"/>
          <w:szCs w:val="24"/>
          <w:lang w:val="en-GB"/>
        </w:rPr>
        <w:t xml:space="preserve"> </w:t>
      </w:r>
      <w:r w:rsidR="006A265A">
        <w:rPr>
          <w:rFonts w:asciiTheme="minorHAnsi" w:hAnsiTheme="minorHAnsi" w:cstheme="minorHAnsi"/>
          <w:sz w:val="24"/>
          <w:szCs w:val="24"/>
          <w:lang w:val="en-GB"/>
        </w:rPr>
        <w:t xml:space="preserve">The progress </w:t>
      </w:r>
      <w:r w:rsidR="00D65A5B">
        <w:rPr>
          <w:rFonts w:asciiTheme="minorHAnsi" w:hAnsiTheme="minorHAnsi" w:cstheme="minorHAnsi"/>
          <w:sz w:val="24"/>
          <w:szCs w:val="24"/>
          <w:lang w:val="en-GB"/>
        </w:rPr>
        <w:t>in</w:t>
      </w:r>
      <w:r w:rsidR="006A265A">
        <w:rPr>
          <w:rFonts w:asciiTheme="minorHAnsi" w:hAnsiTheme="minorHAnsi" w:cstheme="minorHAnsi"/>
          <w:sz w:val="24"/>
          <w:szCs w:val="24"/>
          <w:lang w:val="en-GB"/>
        </w:rPr>
        <w:t xml:space="preserve"> the system can be attributed to the sustained effort of the</w:t>
      </w:r>
      <w:r w:rsidR="00D56AC6" w:rsidRPr="00D56AC6">
        <w:rPr>
          <w:rFonts w:asciiTheme="minorHAnsi" w:hAnsiTheme="minorHAnsi" w:cstheme="minorHAnsi"/>
          <w:sz w:val="24"/>
          <w:szCs w:val="24"/>
          <w:lang w:val="en-GB"/>
        </w:rPr>
        <w:t xml:space="preserve"> </w:t>
      </w:r>
      <w:r w:rsidR="00AC2151">
        <w:rPr>
          <w:rFonts w:asciiTheme="minorHAnsi" w:hAnsiTheme="minorHAnsi" w:cstheme="minorHAnsi"/>
          <w:sz w:val="24"/>
          <w:szCs w:val="24"/>
          <w:lang w:val="en-GB"/>
        </w:rPr>
        <w:t>Australian</w:t>
      </w:r>
      <w:r w:rsidR="001336A7">
        <w:rPr>
          <w:rFonts w:asciiTheme="minorHAnsi" w:hAnsiTheme="minorHAnsi" w:cstheme="minorHAnsi"/>
          <w:sz w:val="24"/>
          <w:szCs w:val="24"/>
          <w:lang w:val="en-GB"/>
        </w:rPr>
        <w:t xml:space="preserve"> Government</w:t>
      </w:r>
      <w:r w:rsidR="00AC2151">
        <w:rPr>
          <w:rFonts w:asciiTheme="minorHAnsi" w:hAnsiTheme="minorHAnsi" w:cstheme="minorHAnsi"/>
          <w:sz w:val="24"/>
          <w:szCs w:val="24"/>
          <w:lang w:val="en-GB"/>
        </w:rPr>
        <w:t xml:space="preserve"> </w:t>
      </w:r>
      <w:r w:rsidR="00D56AC6" w:rsidRPr="00D56AC6">
        <w:rPr>
          <w:rFonts w:asciiTheme="minorHAnsi" w:hAnsiTheme="minorHAnsi" w:cstheme="minorHAnsi"/>
          <w:sz w:val="24"/>
          <w:szCs w:val="24"/>
          <w:lang w:val="en-GB"/>
        </w:rPr>
        <w:t xml:space="preserve">and </w:t>
      </w:r>
      <w:r w:rsidR="002D4BB8">
        <w:rPr>
          <w:rFonts w:asciiTheme="minorHAnsi" w:hAnsiTheme="minorHAnsi" w:cstheme="minorHAnsi"/>
          <w:sz w:val="24"/>
          <w:szCs w:val="24"/>
          <w:lang w:val="en-GB"/>
        </w:rPr>
        <w:t xml:space="preserve">state and territory governments </w:t>
      </w:r>
      <w:r w:rsidR="00D56AC6" w:rsidRPr="00D56AC6">
        <w:rPr>
          <w:rFonts w:asciiTheme="minorHAnsi" w:hAnsiTheme="minorHAnsi" w:cstheme="minorHAnsi"/>
          <w:sz w:val="24"/>
          <w:szCs w:val="24"/>
          <w:lang w:val="en-GB"/>
        </w:rPr>
        <w:t>working together in join</w:t>
      </w:r>
      <w:r w:rsidR="006A265A">
        <w:rPr>
          <w:rFonts w:asciiTheme="minorHAnsi" w:hAnsiTheme="minorHAnsi" w:cstheme="minorHAnsi"/>
          <w:sz w:val="24"/>
          <w:szCs w:val="24"/>
          <w:lang w:val="en-GB"/>
        </w:rPr>
        <w:t>t</w:t>
      </w:r>
      <w:r w:rsidR="00D56AC6" w:rsidRPr="00D56AC6">
        <w:rPr>
          <w:rFonts w:asciiTheme="minorHAnsi" w:hAnsiTheme="minorHAnsi" w:cstheme="minorHAnsi"/>
          <w:sz w:val="24"/>
          <w:szCs w:val="24"/>
          <w:lang w:val="en-GB"/>
        </w:rPr>
        <w:t xml:space="preserve"> action. </w:t>
      </w:r>
    </w:p>
    <w:p w14:paraId="469D8563" w14:textId="3B554452" w:rsidR="002B6873" w:rsidRPr="00F17564" w:rsidRDefault="0073657E" w:rsidP="00F17564">
      <w:pPr>
        <w:spacing w:after="120"/>
        <w:rPr>
          <w:color w:val="7F7F7F" w:themeColor="text1" w:themeTint="80"/>
          <w:sz w:val="30"/>
          <w:szCs w:val="30"/>
        </w:rPr>
      </w:pPr>
      <w:r>
        <w:rPr>
          <w:rFonts w:asciiTheme="minorHAnsi" w:hAnsiTheme="minorHAnsi" w:cstheme="minorHAnsi"/>
          <w:sz w:val="24"/>
          <w:szCs w:val="24"/>
          <w:lang w:val="en-GB"/>
        </w:rPr>
        <w:t>Nevertheless, t</w:t>
      </w:r>
      <w:r w:rsidR="004745DE">
        <w:rPr>
          <w:rFonts w:asciiTheme="minorHAnsi" w:hAnsiTheme="minorHAnsi" w:cstheme="minorHAnsi"/>
          <w:sz w:val="24"/>
          <w:szCs w:val="24"/>
          <w:lang w:val="en-GB"/>
        </w:rPr>
        <w:t>h</w:t>
      </w:r>
      <w:r w:rsidR="00AC2151">
        <w:rPr>
          <w:rFonts w:asciiTheme="minorHAnsi" w:hAnsiTheme="minorHAnsi" w:cstheme="minorHAnsi"/>
          <w:sz w:val="24"/>
          <w:szCs w:val="24"/>
          <w:lang w:val="en-GB"/>
        </w:rPr>
        <w:t>e</w:t>
      </w:r>
      <w:r w:rsidR="004745DE">
        <w:rPr>
          <w:rFonts w:asciiTheme="minorHAnsi" w:hAnsiTheme="minorHAnsi" w:cstheme="minorHAnsi"/>
          <w:sz w:val="24"/>
          <w:szCs w:val="24"/>
          <w:lang w:val="en-GB"/>
        </w:rPr>
        <w:t xml:space="preserve"> Review found that the continued growth of the system has begun to put strain on the capability and capacity of the system to maintain continued growth</w:t>
      </w:r>
      <w:r w:rsidR="00944358">
        <w:rPr>
          <w:rFonts w:asciiTheme="minorHAnsi" w:hAnsiTheme="minorHAnsi" w:cstheme="minorHAnsi"/>
          <w:sz w:val="24"/>
          <w:szCs w:val="24"/>
          <w:lang w:val="en-GB"/>
        </w:rPr>
        <w:t xml:space="preserve"> in donation and transplantation. Further</w:t>
      </w:r>
      <w:r w:rsidR="0041288F">
        <w:rPr>
          <w:rFonts w:asciiTheme="minorHAnsi" w:hAnsiTheme="minorHAnsi" w:cstheme="minorHAnsi"/>
          <w:sz w:val="24"/>
          <w:szCs w:val="24"/>
          <w:lang w:val="en-GB"/>
        </w:rPr>
        <w:t>,</w:t>
      </w:r>
      <w:r w:rsidR="00944358">
        <w:rPr>
          <w:rFonts w:asciiTheme="minorHAnsi" w:hAnsiTheme="minorHAnsi" w:cstheme="minorHAnsi"/>
          <w:sz w:val="24"/>
          <w:szCs w:val="24"/>
          <w:lang w:val="en-GB"/>
        </w:rPr>
        <w:t xml:space="preserve"> the Review found</w:t>
      </w:r>
      <w:r w:rsidR="004745DE">
        <w:rPr>
          <w:rFonts w:asciiTheme="minorHAnsi" w:hAnsiTheme="minorHAnsi" w:cstheme="minorHAnsi"/>
          <w:sz w:val="24"/>
          <w:szCs w:val="24"/>
          <w:lang w:val="en-GB"/>
        </w:rPr>
        <w:t xml:space="preserve"> </w:t>
      </w:r>
      <w:r w:rsidR="00944358">
        <w:rPr>
          <w:rFonts w:asciiTheme="minorHAnsi" w:hAnsiTheme="minorHAnsi" w:cstheme="minorHAnsi"/>
          <w:sz w:val="24"/>
          <w:szCs w:val="24"/>
          <w:lang w:val="en-GB"/>
        </w:rPr>
        <w:t>variability</w:t>
      </w:r>
      <w:r w:rsidR="00B32F50">
        <w:rPr>
          <w:rFonts w:asciiTheme="minorHAnsi" w:hAnsiTheme="minorHAnsi" w:cstheme="minorHAnsi"/>
          <w:sz w:val="24"/>
          <w:szCs w:val="24"/>
          <w:lang w:val="en-GB"/>
        </w:rPr>
        <w:t xml:space="preserve"> in</w:t>
      </w:r>
      <w:r w:rsidR="00944358">
        <w:rPr>
          <w:rFonts w:asciiTheme="minorHAnsi" w:hAnsiTheme="minorHAnsi" w:cstheme="minorHAnsi"/>
          <w:sz w:val="24"/>
          <w:szCs w:val="24"/>
          <w:lang w:val="en-GB"/>
        </w:rPr>
        <w:t xml:space="preserve"> </w:t>
      </w:r>
      <w:r w:rsidR="00C43748">
        <w:rPr>
          <w:rFonts w:asciiTheme="minorHAnsi" w:hAnsiTheme="minorHAnsi" w:cstheme="minorHAnsi"/>
          <w:sz w:val="24"/>
          <w:szCs w:val="24"/>
          <w:lang w:val="en-GB"/>
        </w:rPr>
        <w:t>donation, retrieval and transplantation practices and performance</w:t>
      </w:r>
      <w:r w:rsidR="00944358">
        <w:rPr>
          <w:rFonts w:asciiTheme="minorHAnsi" w:hAnsiTheme="minorHAnsi" w:cstheme="minorHAnsi"/>
          <w:sz w:val="24"/>
          <w:szCs w:val="24"/>
          <w:lang w:val="en-GB"/>
        </w:rPr>
        <w:t xml:space="preserve"> across Australia, resulting </w:t>
      </w:r>
      <w:r w:rsidR="00C43748">
        <w:rPr>
          <w:rFonts w:asciiTheme="minorHAnsi" w:hAnsiTheme="minorHAnsi" w:cstheme="minorHAnsi"/>
          <w:sz w:val="24"/>
          <w:szCs w:val="24"/>
          <w:lang w:val="en-GB"/>
        </w:rPr>
        <w:t>in inequity of access and outcomes by Australians.</w:t>
      </w:r>
      <w:r w:rsidR="004745DE">
        <w:rPr>
          <w:rFonts w:asciiTheme="minorHAnsi" w:hAnsiTheme="minorHAnsi" w:cstheme="minorHAnsi"/>
          <w:sz w:val="24"/>
          <w:szCs w:val="24"/>
          <w:lang w:val="en-GB"/>
        </w:rPr>
        <w:t xml:space="preserve"> </w:t>
      </w:r>
      <w:r>
        <w:rPr>
          <w:rFonts w:asciiTheme="minorHAnsi" w:hAnsiTheme="minorHAnsi" w:cstheme="minorHAnsi"/>
          <w:sz w:val="24"/>
          <w:szCs w:val="24"/>
          <w:lang w:val="en-GB"/>
        </w:rPr>
        <w:t>As such, t</w:t>
      </w:r>
      <w:r w:rsidR="0002346E">
        <w:rPr>
          <w:rFonts w:asciiTheme="minorHAnsi" w:hAnsiTheme="minorHAnsi" w:cstheme="minorHAnsi"/>
          <w:sz w:val="24"/>
          <w:szCs w:val="24"/>
          <w:lang w:val="en-GB"/>
        </w:rPr>
        <w:t>h</w:t>
      </w:r>
      <w:r w:rsidR="002D4BB8">
        <w:rPr>
          <w:rFonts w:asciiTheme="minorHAnsi" w:hAnsiTheme="minorHAnsi" w:cstheme="minorHAnsi"/>
          <w:sz w:val="24"/>
          <w:szCs w:val="24"/>
          <w:lang w:val="en-GB"/>
        </w:rPr>
        <w:t>is</w:t>
      </w:r>
      <w:r w:rsidR="0002346E">
        <w:rPr>
          <w:rFonts w:asciiTheme="minorHAnsi" w:hAnsiTheme="minorHAnsi" w:cstheme="minorHAnsi"/>
          <w:sz w:val="24"/>
          <w:szCs w:val="24"/>
          <w:lang w:val="en-GB"/>
        </w:rPr>
        <w:t xml:space="preserve"> Review endorses the commitment of </w:t>
      </w:r>
      <w:r w:rsidR="00933E1E">
        <w:rPr>
          <w:rFonts w:asciiTheme="minorHAnsi" w:hAnsiTheme="minorHAnsi" w:cstheme="minorHAnsi"/>
          <w:sz w:val="24"/>
          <w:szCs w:val="24"/>
          <w:lang w:val="en-GB"/>
        </w:rPr>
        <w:t xml:space="preserve">all Australian governments, agreed through the </w:t>
      </w:r>
      <w:r w:rsidR="00506886">
        <w:rPr>
          <w:rFonts w:asciiTheme="minorHAnsi" w:hAnsiTheme="minorHAnsi" w:cstheme="minorHAnsi"/>
          <w:sz w:val="24"/>
          <w:szCs w:val="24"/>
          <w:lang w:val="en-GB"/>
        </w:rPr>
        <w:t>COAG</w:t>
      </w:r>
      <w:r w:rsidR="00933E1E">
        <w:rPr>
          <w:rFonts w:asciiTheme="minorHAnsi" w:hAnsiTheme="minorHAnsi" w:cstheme="minorHAnsi"/>
          <w:sz w:val="24"/>
          <w:szCs w:val="24"/>
          <w:lang w:val="en-GB"/>
        </w:rPr>
        <w:t xml:space="preserve"> Health Council,</w:t>
      </w:r>
      <w:r w:rsidR="0002346E">
        <w:rPr>
          <w:rFonts w:asciiTheme="minorHAnsi" w:hAnsiTheme="minorHAnsi" w:cstheme="minorHAnsi"/>
          <w:sz w:val="24"/>
          <w:szCs w:val="24"/>
          <w:lang w:val="en-GB"/>
        </w:rPr>
        <w:t xml:space="preserve"> to</w:t>
      </w:r>
      <w:r w:rsidR="00135511" w:rsidRPr="00135511">
        <w:rPr>
          <w:rFonts w:asciiTheme="minorHAnsi" w:hAnsiTheme="minorHAnsi" w:cstheme="minorHAnsi"/>
          <w:sz w:val="24"/>
          <w:szCs w:val="24"/>
          <w:lang w:val="en-GB"/>
        </w:rPr>
        <w:t xml:space="preserve"> establish a</w:t>
      </w:r>
      <w:r>
        <w:rPr>
          <w:rFonts w:asciiTheme="minorHAnsi" w:hAnsiTheme="minorHAnsi" w:cstheme="minorHAnsi"/>
          <w:sz w:val="24"/>
          <w:szCs w:val="24"/>
          <w:lang w:val="en-GB"/>
        </w:rPr>
        <w:t xml:space="preserve"> future long</w:t>
      </w:r>
      <w:r w:rsidR="00AC2151">
        <w:rPr>
          <w:rFonts w:asciiTheme="minorHAnsi" w:hAnsiTheme="minorHAnsi" w:cstheme="minorHAnsi"/>
          <w:sz w:val="24"/>
          <w:szCs w:val="24"/>
          <w:lang w:val="en-GB"/>
        </w:rPr>
        <w:t>-</w:t>
      </w:r>
      <w:r>
        <w:rPr>
          <w:rFonts w:asciiTheme="minorHAnsi" w:hAnsiTheme="minorHAnsi" w:cstheme="minorHAnsi"/>
          <w:sz w:val="24"/>
          <w:szCs w:val="24"/>
          <w:lang w:val="en-GB"/>
        </w:rPr>
        <w:t xml:space="preserve">term strategy for the </w:t>
      </w:r>
      <w:r w:rsidR="00933E1E">
        <w:rPr>
          <w:rFonts w:asciiTheme="minorHAnsi" w:hAnsiTheme="minorHAnsi" w:cstheme="minorHAnsi"/>
          <w:sz w:val="24"/>
          <w:szCs w:val="24"/>
          <w:lang w:val="en-GB"/>
        </w:rPr>
        <w:t>retrieval and transplantation sector</w:t>
      </w:r>
      <w:r w:rsidR="000D46C4">
        <w:rPr>
          <w:rFonts w:asciiTheme="minorHAnsi" w:hAnsiTheme="minorHAnsi" w:cstheme="minorHAnsi"/>
          <w:sz w:val="24"/>
          <w:szCs w:val="24"/>
          <w:lang w:val="en-GB"/>
        </w:rPr>
        <w:t xml:space="preserve">. </w:t>
      </w:r>
      <w:r w:rsidR="00C15C29">
        <w:rPr>
          <w:rFonts w:asciiTheme="minorHAnsi" w:hAnsiTheme="minorHAnsi" w:cstheme="minorHAnsi"/>
          <w:sz w:val="24"/>
          <w:szCs w:val="24"/>
          <w:lang w:val="en-GB"/>
        </w:rPr>
        <w:t>I</w:t>
      </w:r>
      <w:r w:rsidR="004C296C">
        <w:rPr>
          <w:rFonts w:asciiTheme="minorHAnsi" w:hAnsiTheme="minorHAnsi" w:cstheme="minorHAnsi"/>
          <w:sz w:val="24"/>
          <w:szCs w:val="24"/>
          <w:lang w:val="en-GB"/>
        </w:rPr>
        <w:t xml:space="preserve">t </w:t>
      </w:r>
      <w:r>
        <w:rPr>
          <w:rFonts w:asciiTheme="minorHAnsi" w:hAnsiTheme="minorHAnsi" w:cstheme="minorHAnsi"/>
          <w:sz w:val="24"/>
          <w:szCs w:val="24"/>
          <w:lang w:val="en-GB"/>
        </w:rPr>
        <w:t xml:space="preserve">is important that </w:t>
      </w:r>
      <w:r w:rsidR="00C15C29">
        <w:rPr>
          <w:rFonts w:asciiTheme="minorHAnsi" w:hAnsiTheme="minorHAnsi" w:cstheme="minorHAnsi"/>
          <w:sz w:val="24"/>
          <w:szCs w:val="24"/>
          <w:lang w:val="en-GB"/>
        </w:rPr>
        <w:t xml:space="preserve">the strategy is underpinned by an epidemiological study on end-stage organ disease. Further, the strategy </w:t>
      </w:r>
      <w:r w:rsidR="00602EDC">
        <w:rPr>
          <w:rFonts w:asciiTheme="minorHAnsi" w:hAnsiTheme="minorHAnsi" w:cstheme="minorHAnsi"/>
          <w:sz w:val="24"/>
          <w:szCs w:val="24"/>
          <w:lang w:val="en-GB"/>
        </w:rPr>
        <w:t xml:space="preserve">needs to </w:t>
      </w:r>
      <w:r w:rsidR="00C15C29">
        <w:rPr>
          <w:rFonts w:asciiTheme="minorHAnsi" w:hAnsiTheme="minorHAnsi" w:cstheme="minorHAnsi"/>
          <w:sz w:val="24"/>
          <w:szCs w:val="24"/>
          <w:lang w:val="en-GB"/>
        </w:rPr>
        <w:t>include</w:t>
      </w:r>
      <w:r w:rsidR="00602EDC">
        <w:rPr>
          <w:rFonts w:asciiTheme="minorHAnsi" w:hAnsiTheme="minorHAnsi" w:cstheme="minorHAnsi"/>
          <w:sz w:val="24"/>
          <w:szCs w:val="24"/>
          <w:lang w:val="en-GB"/>
        </w:rPr>
        <w:t>: (1)</w:t>
      </w:r>
      <w:r w:rsidR="00C15C29">
        <w:rPr>
          <w:rFonts w:asciiTheme="minorHAnsi" w:hAnsiTheme="minorHAnsi" w:cstheme="minorHAnsi"/>
          <w:sz w:val="24"/>
          <w:szCs w:val="24"/>
          <w:lang w:val="en-GB"/>
        </w:rPr>
        <w:t xml:space="preserve"> input from key stakeholders including donor families, recipients </w:t>
      </w:r>
      <w:r w:rsidR="0023061A">
        <w:rPr>
          <w:rFonts w:asciiTheme="minorHAnsi" w:hAnsiTheme="minorHAnsi" w:cstheme="minorHAnsi"/>
          <w:sz w:val="24"/>
          <w:szCs w:val="24"/>
          <w:lang w:val="en-GB"/>
        </w:rPr>
        <w:t xml:space="preserve">and potential recipients, </w:t>
      </w:r>
      <w:r w:rsidR="00C15C29">
        <w:rPr>
          <w:rFonts w:asciiTheme="minorHAnsi" w:hAnsiTheme="minorHAnsi" w:cstheme="minorHAnsi"/>
          <w:sz w:val="24"/>
          <w:szCs w:val="24"/>
          <w:lang w:val="en-GB"/>
        </w:rPr>
        <w:t xml:space="preserve">and </w:t>
      </w:r>
      <w:r w:rsidR="00602EDC">
        <w:rPr>
          <w:rFonts w:asciiTheme="minorHAnsi" w:hAnsiTheme="minorHAnsi" w:cstheme="minorHAnsi"/>
          <w:sz w:val="24"/>
          <w:szCs w:val="24"/>
          <w:lang w:val="en-GB"/>
        </w:rPr>
        <w:t xml:space="preserve">(2) </w:t>
      </w:r>
      <w:r>
        <w:rPr>
          <w:rFonts w:asciiTheme="minorHAnsi" w:hAnsiTheme="minorHAnsi" w:cstheme="minorHAnsi"/>
          <w:sz w:val="24"/>
          <w:szCs w:val="24"/>
          <w:lang w:val="en-GB"/>
        </w:rPr>
        <w:t xml:space="preserve">performance </w:t>
      </w:r>
      <w:r w:rsidR="000D46C4">
        <w:rPr>
          <w:rFonts w:asciiTheme="minorHAnsi" w:hAnsiTheme="minorHAnsi" w:cstheme="minorHAnsi"/>
          <w:sz w:val="24"/>
          <w:szCs w:val="24"/>
          <w:lang w:val="en-GB"/>
        </w:rPr>
        <w:t>and accountability measures to ensure that progress is maintained.</w:t>
      </w:r>
    </w:p>
    <w:p w14:paraId="24130706" w14:textId="67236865" w:rsidR="0006335B" w:rsidRPr="0002346E" w:rsidRDefault="0006335B" w:rsidP="00F17564">
      <w:pPr>
        <w:pStyle w:val="Heading3"/>
        <w:tabs>
          <w:tab w:val="clear" w:pos="1843"/>
          <w:tab w:val="num" w:pos="1559"/>
        </w:tabs>
        <w:ind w:left="992" w:hanging="992"/>
        <w:rPr>
          <w:rFonts w:asciiTheme="minorHAnsi" w:hAnsiTheme="minorHAnsi" w:cstheme="minorHAnsi"/>
          <w:color w:val="7F7F7F" w:themeColor="text1" w:themeTint="80"/>
          <w:sz w:val="30"/>
          <w:szCs w:val="30"/>
        </w:rPr>
      </w:pPr>
      <w:r w:rsidRPr="0002346E">
        <w:rPr>
          <w:rFonts w:asciiTheme="minorHAnsi" w:hAnsiTheme="minorHAnsi" w:cstheme="minorHAnsi"/>
          <w:b w:val="0"/>
          <w:color w:val="7F7F7F" w:themeColor="text1" w:themeTint="80"/>
          <w:sz w:val="30"/>
          <w:szCs w:val="30"/>
        </w:rPr>
        <w:t>Governance to optimise future growth and sustainability of the donation, retrieval and transplantation system</w:t>
      </w:r>
    </w:p>
    <w:p w14:paraId="090145C7" w14:textId="2A441C85" w:rsidR="002B6873" w:rsidRDefault="0006335B" w:rsidP="00F17564">
      <w:pPr>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The Review found that the current governance arrangements </w:t>
      </w:r>
      <w:r w:rsidR="000D6DFD">
        <w:rPr>
          <w:rFonts w:asciiTheme="minorHAnsi" w:hAnsiTheme="minorHAnsi" w:cstheme="minorHAnsi"/>
          <w:sz w:val="24"/>
          <w:szCs w:val="24"/>
          <w:lang w:val="en-GB"/>
        </w:rPr>
        <w:t xml:space="preserve">for the system </w:t>
      </w:r>
      <w:r>
        <w:rPr>
          <w:rFonts w:asciiTheme="minorHAnsi" w:hAnsiTheme="minorHAnsi" w:cstheme="minorHAnsi"/>
          <w:sz w:val="24"/>
          <w:szCs w:val="24"/>
          <w:lang w:val="en-GB"/>
        </w:rPr>
        <w:t xml:space="preserve">require </w:t>
      </w:r>
      <w:r w:rsidR="000D46C4">
        <w:rPr>
          <w:rFonts w:asciiTheme="minorHAnsi" w:hAnsiTheme="minorHAnsi" w:cstheme="minorHAnsi"/>
          <w:sz w:val="24"/>
          <w:szCs w:val="24"/>
          <w:lang w:val="en-GB"/>
        </w:rPr>
        <w:t>enhancement in</w:t>
      </w:r>
      <w:r>
        <w:rPr>
          <w:rFonts w:asciiTheme="minorHAnsi" w:hAnsiTheme="minorHAnsi" w:cstheme="minorHAnsi"/>
          <w:sz w:val="24"/>
          <w:szCs w:val="24"/>
          <w:lang w:val="en-GB"/>
        </w:rPr>
        <w:t xml:space="preserve"> order to drive</w:t>
      </w:r>
      <w:r w:rsidR="000D6DFD">
        <w:rPr>
          <w:rFonts w:asciiTheme="minorHAnsi" w:hAnsiTheme="minorHAnsi" w:cstheme="minorHAnsi"/>
          <w:sz w:val="24"/>
          <w:szCs w:val="24"/>
          <w:lang w:val="en-GB"/>
        </w:rPr>
        <w:t xml:space="preserve"> continued</w:t>
      </w:r>
      <w:r>
        <w:rPr>
          <w:rFonts w:asciiTheme="minorHAnsi" w:hAnsiTheme="minorHAnsi" w:cstheme="minorHAnsi"/>
          <w:sz w:val="24"/>
          <w:szCs w:val="24"/>
          <w:lang w:val="en-GB"/>
        </w:rPr>
        <w:t xml:space="preserve"> growth </w:t>
      </w:r>
      <w:r w:rsidR="002B6873">
        <w:rPr>
          <w:rFonts w:asciiTheme="minorHAnsi" w:hAnsiTheme="minorHAnsi" w:cstheme="minorHAnsi"/>
          <w:sz w:val="24"/>
          <w:szCs w:val="24"/>
          <w:lang w:val="en-GB"/>
        </w:rPr>
        <w:t xml:space="preserve">and sustainability of donation and </w:t>
      </w:r>
      <w:r w:rsidR="000B07FB" w:rsidRPr="009D508F">
        <w:rPr>
          <w:rFonts w:asciiTheme="minorHAnsi" w:hAnsiTheme="minorHAnsi" w:cstheme="minorHAnsi"/>
          <w:sz w:val="24"/>
          <w:szCs w:val="24"/>
          <w:lang w:val="en-GB"/>
        </w:rPr>
        <w:t>transplant</w:t>
      </w:r>
      <w:r w:rsidR="003A038E" w:rsidRPr="009D508F">
        <w:rPr>
          <w:rFonts w:asciiTheme="minorHAnsi" w:hAnsiTheme="minorHAnsi" w:cstheme="minorHAnsi"/>
          <w:sz w:val="24"/>
          <w:szCs w:val="24"/>
          <w:lang w:val="en-GB"/>
        </w:rPr>
        <w:t>ation</w:t>
      </w:r>
      <w:r w:rsidR="000B07FB" w:rsidRPr="009D508F">
        <w:rPr>
          <w:rFonts w:asciiTheme="minorHAnsi" w:hAnsiTheme="minorHAnsi" w:cstheme="minorHAnsi"/>
          <w:sz w:val="24"/>
          <w:szCs w:val="24"/>
          <w:lang w:val="en-GB"/>
        </w:rPr>
        <w:t xml:space="preserve"> outcome</w:t>
      </w:r>
      <w:r w:rsidR="002B6873" w:rsidRPr="009D508F">
        <w:rPr>
          <w:rFonts w:asciiTheme="minorHAnsi" w:hAnsiTheme="minorHAnsi" w:cstheme="minorHAnsi"/>
          <w:sz w:val="24"/>
          <w:szCs w:val="24"/>
          <w:lang w:val="en-GB"/>
        </w:rPr>
        <w:t>s.</w:t>
      </w:r>
      <w:r w:rsidR="002B6873">
        <w:rPr>
          <w:rFonts w:asciiTheme="minorHAnsi" w:hAnsiTheme="minorHAnsi" w:cstheme="minorHAnsi"/>
          <w:sz w:val="24"/>
          <w:szCs w:val="24"/>
          <w:lang w:val="en-GB"/>
        </w:rPr>
        <w:t xml:space="preserve"> The Review found that governance arrangements are well developed across the donation elements of the system</w:t>
      </w:r>
      <w:r w:rsidR="000D6DFD">
        <w:rPr>
          <w:rFonts w:asciiTheme="minorHAnsi" w:hAnsiTheme="minorHAnsi" w:cstheme="minorHAnsi"/>
          <w:sz w:val="24"/>
          <w:szCs w:val="24"/>
          <w:lang w:val="en-GB"/>
        </w:rPr>
        <w:t>;</w:t>
      </w:r>
      <w:r w:rsidR="002B6873">
        <w:rPr>
          <w:rFonts w:asciiTheme="minorHAnsi" w:hAnsiTheme="minorHAnsi" w:cstheme="minorHAnsi"/>
          <w:sz w:val="24"/>
          <w:szCs w:val="24"/>
          <w:lang w:val="en-GB"/>
        </w:rPr>
        <w:t xml:space="preserve"> </w:t>
      </w:r>
      <w:r w:rsidR="00B91BDD">
        <w:rPr>
          <w:rFonts w:asciiTheme="minorHAnsi" w:hAnsiTheme="minorHAnsi" w:cstheme="minorHAnsi"/>
          <w:sz w:val="24"/>
          <w:szCs w:val="24"/>
          <w:lang w:val="en-GB"/>
        </w:rPr>
        <w:t>however,</w:t>
      </w:r>
      <w:r w:rsidR="0066747B">
        <w:rPr>
          <w:rFonts w:asciiTheme="minorHAnsi" w:hAnsiTheme="minorHAnsi" w:cstheme="minorHAnsi"/>
          <w:sz w:val="24"/>
          <w:szCs w:val="24"/>
          <w:lang w:val="en-GB"/>
        </w:rPr>
        <w:t xml:space="preserve"> they are </w:t>
      </w:r>
      <w:r w:rsidR="002B6873">
        <w:rPr>
          <w:rFonts w:asciiTheme="minorHAnsi" w:hAnsiTheme="minorHAnsi" w:cstheme="minorHAnsi"/>
          <w:sz w:val="24"/>
          <w:szCs w:val="24"/>
          <w:lang w:val="en-GB"/>
        </w:rPr>
        <w:t xml:space="preserve">complex and variable </w:t>
      </w:r>
      <w:r w:rsidR="00AC2151">
        <w:rPr>
          <w:rFonts w:asciiTheme="minorHAnsi" w:hAnsiTheme="minorHAnsi" w:cstheme="minorHAnsi"/>
          <w:sz w:val="24"/>
          <w:szCs w:val="24"/>
          <w:lang w:val="en-GB"/>
        </w:rPr>
        <w:t xml:space="preserve">for </w:t>
      </w:r>
      <w:r w:rsidR="002B6873">
        <w:rPr>
          <w:rFonts w:asciiTheme="minorHAnsi" w:hAnsiTheme="minorHAnsi" w:cstheme="minorHAnsi"/>
          <w:sz w:val="24"/>
          <w:szCs w:val="24"/>
          <w:lang w:val="en-GB"/>
        </w:rPr>
        <w:t>retrieval and transplantation.</w:t>
      </w:r>
      <w:r w:rsidR="00D56AC6">
        <w:rPr>
          <w:rFonts w:asciiTheme="minorHAnsi" w:hAnsiTheme="minorHAnsi" w:cstheme="minorHAnsi"/>
          <w:sz w:val="24"/>
          <w:szCs w:val="24"/>
          <w:lang w:val="en-GB"/>
        </w:rPr>
        <w:t xml:space="preserve"> </w:t>
      </w:r>
    </w:p>
    <w:p w14:paraId="297186CB" w14:textId="20D5CA53" w:rsidR="0039553F" w:rsidRDefault="002B6873" w:rsidP="00C75FAB">
      <w:pPr>
        <w:tabs>
          <w:tab w:val="num" w:pos="720"/>
        </w:tabs>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Currently </w:t>
      </w:r>
      <w:r w:rsidRPr="00F37D51">
        <w:rPr>
          <w:rFonts w:asciiTheme="minorHAnsi" w:hAnsiTheme="minorHAnsi" w:cstheme="minorHAnsi"/>
          <w:sz w:val="24"/>
          <w:szCs w:val="24"/>
          <w:lang w:val="en-GB"/>
        </w:rPr>
        <w:t xml:space="preserve">states and territories, and their constituent </w:t>
      </w:r>
      <w:r>
        <w:rPr>
          <w:rFonts w:asciiTheme="minorHAnsi" w:hAnsiTheme="minorHAnsi" w:cstheme="minorHAnsi"/>
          <w:sz w:val="24"/>
          <w:szCs w:val="24"/>
          <w:lang w:val="en-GB"/>
        </w:rPr>
        <w:t>L</w:t>
      </w:r>
      <w:r w:rsidRPr="00F37D51">
        <w:rPr>
          <w:rFonts w:asciiTheme="minorHAnsi" w:hAnsiTheme="minorHAnsi" w:cstheme="minorHAnsi"/>
          <w:sz w:val="24"/>
          <w:szCs w:val="24"/>
          <w:lang w:val="en-GB"/>
        </w:rPr>
        <w:t xml:space="preserve">ocal </w:t>
      </w:r>
      <w:r>
        <w:rPr>
          <w:rFonts w:asciiTheme="minorHAnsi" w:hAnsiTheme="minorHAnsi" w:cstheme="minorHAnsi"/>
          <w:sz w:val="24"/>
          <w:szCs w:val="24"/>
          <w:lang w:val="en-GB"/>
        </w:rPr>
        <w:t>H</w:t>
      </w:r>
      <w:r w:rsidRPr="00F37D51">
        <w:rPr>
          <w:rFonts w:asciiTheme="minorHAnsi" w:hAnsiTheme="minorHAnsi" w:cstheme="minorHAnsi"/>
          <w:sz w:val="24"/>
          <w:szCs w:val="24"/>
          <w:lang w:val="en-GB"/>
        </w:rPr>
        <w:t xml:space="preserve">ospital </w:t>
      </w:r>
      <w:r>
        <w:rPr>
          <w:rFonts w:asciiTheme="minorHAnsi" w:hAnsiTheme="minorHAnsi" w:cstheme="minorHAnsi"/>
          <w:sz w:val="24"/>
          <w:szCs w:val="24"/>
          <w:lang w:val="en-GB"/>
        </w:rPr>
        <w:t>N</w:t>
      </w:r>
      <w:r w:rsidRPr="00F37D51">
        <w:rPr>
          <w:rFonts w:asciiTheme="minorHAnsi" w:hAnsiTheme="minorHAnsi" w:cstheme="minorHAnsi"/>
          <w:sz w:val="24"/>
          <w:szCs w:val="24"/>
          <w:lang w:val="en-GB"/>
        </w:rPr>
        <w:t xml:space="preserve">etworks, </w:t>
      </w:r>
      <w:r>
        <w:rPr>
          <w:rFonts w:asciiTheme="minorHAnsi" w:hAnsiTheme="minorHAnsi" w:cstheme="minorHAnsi"/>
          <w:sz w:val="24"/>
          <w:szCs w:val="24"/>
          <w:lang w:val="en-GB"/>
        </w:rPr>
        <w:t xml:space="preserve">are </w:t>
      </w:r>
      <w:r w:rsidRPr="00F37D51">
        <w:rPr>
          <w:rFonts w:asciiTheme="minorHAnsi" w:hAnsiTheme="minorHAnsi" w:cstheme="minorHAnsi"/>
          <w:sz w:val="24"/>
          <w:szCs w:val="24"/>
          <w:lang w:val="en-GB"/>
        </w:rPr>
        <w:t xml:space="preserve">the primary vehicle for the delivery of organ </w:t>
      </w:r>
      <w:r>
        <w:rPr>
          <w:rFonts w:asciiTheme="minorHAnsi" w:hAnsiTheme="minorHAnsi" w:cstheme="minorHAnsi"/>
          <w:sz w:val="24"/>
          <w:szCs w:val="24"/>
          <w:lang w:val="en-GB"/>
        </w:rPr>
        <w:t xml:space="preserve">retrieval and </w:t>
      </w:r>
      <w:r w:rsidR="00E634FA">
        <w:rPr>
          <w:rFonts w:asciiTheme="minorHAnsi" w:hAnsiTheme="minorHAnsi" w:cstheme="minorHAnsi"/>
          <w:sz w:val="24"/>
          <w:szCs w:val="24"/>
          <w:lang w:val="en-GB"/>
        </w:rPr>
        <w:t>transplantation services</w:t>
      </w:r>
      <w:r>
        <w:rPr>
          <w:rFonts w:asciiTheme="minorHAnsi" w:hAnsiTheme="minorHAnsi" w:cstheme="minorHAnsi"/>
          <w:sz w:val="24"/>
          <w:szCs w:val="24"/>
          <w:lang w:val="en-GB"/>
        </w:rPr>
        <w:t xml:space="preserve"> and it should remain this way. However, t</w:t>
      </w:r>
      <w:r w:rsidRPr="00F37D51">
        <w:rPr>
          <w:rFonts w:asciiTheme="minorHAnsi" w:hAnsiTheme="minorHAnsi" w:cstheme="minorHAnsi"/>
          <w:sz w:val="24"/>
          <w:szCs w:val="24"/>
          <w:lang w:val="en-GB"/>
        </w:rPr>
        <w:t xml:space="preserve">here are a range of national issues </w:t>
      </w:r>
      <w:r>
        <w:rPr>
          <w:rFonts w:asciiTheme="minorHAnsi" w:hAnsiTheme="minorHAnsi" w:cstheme="minorHAnsi"/>
          <w:sz w:val="24"/>
          <w:szCs w:val="24"/>
          <w:lang w:val="en-GB"/>
        </w:rPr>
        <w:t>impacting</w:t>
      </w:r>
      <w:r w:rsidRPr="00F37D51">
        <w:rPr>
          <w:rFonts w:asciiTheme="minorHAnsi" w:hAnsiTheme="minorHAnsi" w:cstheme="minorHAnsi"/>
          <w:sz w:val="24"/>
          <w:szCs w:val="24"/>
          <w:lang w:val="en-GB"/>
        </w:rPr>
        <w:t xml:space="preserve"> the organ </w:t>
      </w:r>
      <w:r>
        <w:rPr>
          <w:rFonts w:asciiTheme="minorHAnsi" w:hAnsiTheme="minorHAnsi" w:cstheme="minorHAnsi"/>
          <w:sz w:val="24"/>
          <w:szCs w:val="24"/>
          <w:lang w:val="en-GB"/>
        </w:rPr>
        <w:t xml:space="preserve">retrieval and </w:t>
      </w:r>
      <w:r w:rsidRPr="00F37D51">
        <w:rPr>
          <w:rFonts w:asciiTheme="minorHAnsi" w:hAnsiTheme="minorHAnsi" w:cstheme="minorHAnsi"/>
          <w:sz w:val="24"/>
          <w:szCs w:val="24"/>
          <w:lang w:val="en-GB"/>
        </w:rPr>
        <w:t>transplantation system</w:t>
      </w:r>
      <w:r w:rsidR="00C02B55">
        <w:rPr>
          <w:rFonts w:asciiTheme="minorHAnsi" w:hAnsiTheme="minorHAnsi" w:cstheme="minorHAnsi"/>
          <w:sz w:val="24"/>
          <w:szCs w:val="24"/>
          <w:lang w:val="en-GB"/>
        </w:rPr>
        <w:t xml:space="preserve"> </w:t>
      </w:r>
      <w:r>
        <w:rPr>
          <w:rFonts w:asciiTheme="minorHAnsi" w:hAnsiTheme="minorHAnsi" w:cstheme="minorHAnsi"/>
          <w:sz w:val="24"/>
          <w:szCs w:val="24"/>
          <w:lang w:val="en-GB"/>
        </w:rPr>
        <w:t>which</w:t>
      </w:r>
      <w:r w:rsidRPr="00F37D51">
        <w:rPr>
          <w:rFonts w:asciiTheme="minorHAnsi" w:hAnsiTheme="minorHAnsi" w:cstheme="minorHAnsi"/>
          <w:sz w:val="24"/>
          <w:szCs w:val="24"/>
          <w:lang w:val="en-GB"/>
        </w:rPr>
        <w:t xml:space="preserve"> require national </w:t>
      </w:r>
      <w:r w:rsidR="00D776E3">
        <w:rPr>
          <w:rFonts w:asciiTheme="minorHAnsi" w:hAnsiTheme="minorHAnsi" w:cstheme="minorHAnsi"/>
          <w:sz w:val="24"/>
          <w:szCs w:val="24"/>
          <w:lang w:val="en-GB"/>
        </w:rPr>
        <w:t xml:space="preserve">oversight and </w:t>
      </w:r>
      <w:r w:rsidRPr="00F37D51">
        <w:rPr>
          <w:rFonts w:asciiTheme="minorHAnsi" w:hAnsiTheme="minorHAnsi" w:cstheme="minorHAnsi"/>
          <w:sz w:val="24"/>
          <w:szCs w:val="24"/>
          <w:lang w:val="en-GB"/>
        </w:rPr>
        <w:t>coordination to resolve</w:t>
      </w:r>
      <w:r w:rsidR="000D6DFD">
        <w:rPr>
          <w:rFonts w:asciiTheme="minorHAnsi" w:hAnsiTheme="minorHAnsi" w:cstheme="minorHAnsi"/>
          <w:sz w:val="24"/>
          <w:szCs w:val="24"/>
          <w:lang w:val="en-GB"/>
        </w:rPr>
        <w:t>,</w:t>
      </w:r>
      <w:r w:rsidR="00D776E3">
        <w:rPr>
          <w:rFonts w:asciiTheme="minorHAnsi" w:hAnsiTheme="minorHAnsi" w:cstheme="minorHAnsi"/>
          <w:sz w:val="24"/>
          <w:szCs w:val="24"/>
          <w:lang w:val="en-GB"/>
        </w:rPr>
        <w:t xml:space="preserve"> particularly as the new strategy</w:t>
      </w:r>
      <w:r w:rsidR="005D79BD">
        <w:rPr>
          <w:rFonts w:asciiTheme="minorHAnsi" w:hAnsiTheme="minorHAnsi" w:cstheme="minorHAnsi"/>
          <w:sz w:val="24"/>
          <w:szCs w:val="24"/>
          <w:lang w:val="en-GB"/>
        </w:rPr>
        <w:t xml:space="preserve"> and</w:t>
      </w:r>
      <w:r w:rsidR="00272028">
        <w:rPr>
          <w:rFonts w:asciiTheme="minorHAnsi" w:hAnsiTheme="minorHAnsi" w:cstheme="minorHAnsi"/>
          <w:sz w:val="24"/>
          <w:szCs w:val="24"/>
          <w:lang w:val="en-GB"/>
        </w:rPr>
        <w:t xml:space="preserve"> </w:t>
      </w:r>
      <w:r w:rsidR="00780C47">
        <w:rPr>
          <w:rFonts w:asciiTheme="minorHAnsi" w:hAnsiTheme="minorHAnsi" w:cstheme="minorHAnsi"/>
          <w:sz w:val="24"/>
          <w:szCs w:val="24"/>
          <w:lang w:val="en-GB"/>
        </w:rPr>
        <w:t xml:space="preserve">best practice </w:t>
      </w:r>
      <w:r w:rsidR="003A517E">
        <w:rPr>
          <w:rFonts w:asciiTheme="minorHAnsi" w:hAnsiTheme="minorHAnsi" w:cstheme="minorHAnsi"/>
          <w:sz w:val="24"/>
          <w:szCs w:val="24"/>
          <w:lang w:val="en-GB"/>
        </w:rPr>
        <w:t>advances a</w:t>
      </w:r>
      <w:r w:rsidR="00780C47">
        <w:rPr>
          <w:rFonts w:asciiTheme="minorHAnsi" w:hAnsiTheme="minorHAnsi" w:cstheme="minorHAnsi"/>
          <w:sz w:val="24"/>
          <w:szCs w:val="24"/>
          <w:lang w:val="en-GB"/>
        </w:rPr>
        <w:t>re implemented.</w:t>
      </w:r>
      <w:r w:rsidR="00A94A86">
        <w:rPr>
          <w:rFonts w:asciiTheme="minorHAnsi" w:hAnsiTheme="minorHAnsi" w:cstheme="minorHAnsi"/>
          <w:sz w:val="24"/>
          <w:szCs w:val="24"/>
          <w:lang w:val="en-GB"/>
        </w:rPr>
        <w:t xml:space="preserve"> </w:t>
      </w:r>
    </w:p>
    <w:p w14:paraId="46B53074" w14:textId="0A7E46DF" w:rsidR="00FE0ABF" w:rsidRDefault="00D776E3" w:rsidP="00F17564">
      <w:pPr>
        <w:tabs>
          <w:tab w:val="num" w:pos="720"/>
        </w:tabs>
        <w:spacing w:after="120"/>
        <w:rPr>
          <w:rFonts w:asciiTheme="minorHAnsi" w:hAnsiTheme="minorHAnsi" w:cstheme="minorHAnsi"/>
          <w:sz w:val="24"/>
          <w:szCs w:val="24"/>
          <w:lang w:val="en-GB"/>
        </w:rPr>
      </w:pPr>
      <w:r w:rsidRPr="00DA108D">
        <w:rPr>
          <w:rFonts w:asciiTheme="minorHAnsi" w:hAnsiTheme="minorHAnsi" w:cstheme="minorHAnsi"/>
          <w:sz w:val="24"/>
          <w:szCs w:val="24"/>
          <w:lang w:val="en-GB"/>
        </w:rPr>
        <w:t>The OTA</w:t>
      </w:r>
      <w:r w:rsidRPr="00E1478C">
        <w:rPr>
          <w:rFonts w:asciiTheme="minorHAnsi" w:hAnsiTheme="minorHAnsi" w:cstheme="minorHAnsi"/>
          <w:sz w:val="24"/>
          <w:szCs w:val="24"/>
          <w:lang w:val="en-GB"/>
        </w:rPr>
        <w:t xml:space="preserve"> is best placed to</w:t>
      </w:r>
      <w:r>
        <w:rPr>
          <w:rFonts w:asciiTheme="minorHAnsi" w:hAnsiTheme="minorHAnsi" w:cstheme="minorHAnsi"/>
          <w:sz w:val="24"/>
          <w:szCs w:val="24"/>
          <w:lang w:val="en-GB"/>
        </w:rPr>
        <w:t xml:space="preserve"> take on this role and</w:t>
      </w:r>
      <w:r w:rsidRPr="00E1478C">
        <w:rPr>
          <w:rFonts w:asciiTheme="minorHAnsi" w:hAnsiTheme="minorHAnsi" w:cstheme="minorHAnsi"/>
          <w:sz w:val="24"/>
          <w:szCs w:val="24"/>
          <w:lang w:val="en-GB"/>
        </w:rPr>
        <w:t xml:space="preserve"> </w:t>
      </w:r>
      <w:r w:rsidR="00E5058A">
        <w:rPr>
          <w:rFonts w:asciiTheme="minorHAnsi" w:hAnsiTheme="minorHAnsi" w:cstheme="minorHAnsi"/>
          <w:sz w:val="24"/>
          <w:szCs w:val="24"/>
          <w:lang w:val="en-GB"/>
        </w:rPr>
        <w:t>drive</w:t>
      </w:r>
      <w:r>
        <w:rPr>
          <w:rFonts w:asciiTheme="minorHAnsi" w:hAnsiTheme="minorHAnsi" w:cstheme="minorHAnsi"/>
          <w:sz w:val="24"/>
          <w:szCs w:val="24"/>
          <w:lang w:val="en-GB"/>
        </w:rPr>
        <w:t xml:space="preserve"> the implementation of the strategy</w:t>
      </w:r>
      <w:r w:rsidR="00DF4EE7">
        <w:rPr>
          <w:rFonts w:asciiTheme="minorHAnsi" w:hAnsiTheme="minorHAnsi" w:cstheme="minorHAnsi"/>
          <w:sz w:val="24"/>
          <w:szCs w:val="24"/>
          <w:lang w:val="en-GB"/>
        </w:rPr>
        <w:t xml:space="preserve"> and the</w:t>
      </w:r>
      <w:r w:rsidR="0023061A">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recommendations </w:t>
      </w:r>
      <w:r w:rsidR="0023061A">
        <w:rPr>
          <w:rFonts w:asciiTheme="minorHAnsi" w:hAnsiTheme="minorHAnsi" w:cstheme="minorHAnsi"/>
          <w:sz w:val="24"/>
          <w:szCs w:val="24"/>
          <w:lang w:val="en-GB"/>
        </w:rPr>
        <w:t>from</w:t>
      </w:r>
      <w:r>
        <w:rPr>
          <w:rFonts w:asciiTheme="minorHAnsi" w:hAnsiTheme="minorHAnsi" w:cstheme="minorHAnsi"/>
          <w:sz w:val="24"/>
          <w:szCs w:val="24"/>
          <w:lang w:val="en-GB"/>
        </w:rPr>
        <w:t xml:space="preserve"> this Review</w:t>
      </w:r>
      <w:r w:rsidR="00C02B55">
        <w:rPr>
          <w:rFonts w:asciiTheme="minorHAnsi" w:hAnsiTheme="minorHAnsi" w:cstheme="minorHAnsi"/>
          <w:sz w:val="24"/>
          <w:szCs w:val="24"/>
          <w:lang w:val="en-GB"/>
        </w:rPr>
        <w:t xml:space="preserve">. </w:t>
      </w:r>
      <w:r w:rsidR="00E5058A">
        <w:rPr>
          <w:rFonts w:asciiTheme="minorHAnsi" w:hAnsiTheme="minorHAnsi" w:cstheme="minorHAnsi"/>
          <w:sz w:val="24"/>
          <w:szCs w:val="24"/>
          <w:lang w:val="en-GB"/>
        </w:rPr>
        <w:t>To date, the OTA have focused their attention on donation</w:t>
      </w:r>
      <w:r w:rsidR="0023061A">
        <w:rPr>
          <w:rFonts w:asciiTheme="minorHAnsi" w:hAnsiTheme="minorHAnsi" w:cstheme="minorHAnsi"/>
          <w:sz w:val="24"/>
          <w:szCs w:val="24"/>
          <w:lang w:val="en-GB"/>
        </w:rPr>
        <w:t>,</w:t>
      </w:r>
      <w:r w:rsidR="00E5058A">
        <w:rPr>
          <w:rFonts w:asciiTheme="minorHAnsi" w:hAnsiTheme="minorHAnsi" w:cstheme="minorHAnsi"/>
          <w:sz w:val="24"/>
          <w:szCs w:val="24"/>
          <w:lang w:val="en-GB"/>
        </w:rPr>
        <w:t xml:space="preserve"> as directed by policy priorities and government funding. The current legislation provides for the OTA to have oversight and some responsibility over the retrieval and transplantation system</w:t>
      </w:r>
      <w:r w:rsidR="00DF4EE7">
        <w:rPr>
          <w:rFonts w:asciiTheme="minorHAnsi" w:hAnsiTheme="minorHAnsi" w:cstheme="minorHAnsi"/>
          <w:sz w:val="24"/>
          <w:szCs w:val="24"/>
          <w:lang w:val="en-GB"/>
        </w:rPr>
        <w:t xml:space="preserve">; </w:t>
      </w:r>
      <w:r w:rsidR="001336A7">
        <w:rPr>
          <w:rFonts w:asciiTheme="minorHAnsi" w:hAnsiTheme="minorHAnsi" w:cstheme="minorHAnsi"/>
          <w:sz w:val="24"/>
          <w:szCs w:val="24"/>
          <w:lang w:val="en-GB"/>
        </w:rPr>
        <w:t>however</w:t>
      </w:r>
      <w:r w:rsidR="00E5058A">
        <w:rPr>
          <w:rFonts w:asciiTheme="minorHAnsi" w:hAnsiTheme="minorHAnsi" w:cstheme="minorHAnsi"/>
          <w:sz w:val="24"/>
          <w:szCs w:val="24"/>
          <w:lang w:val="en-GB"/>
        </w:rPr>
        <w:t xml:space="preserve"> current resource allocations limit </w:t>
      </w:r>
      <w:r w:rsidR="00DF4EE7">
        <w:rPr>
          <w:rFonts w:asciiTheme="minorHAnsi" w:hAnsiTheme="minorHAnsi" w:cstheme="minorHAnsi"/>
          <w:sz w:val="24"/>
          <w:szCs w:val="24"/>
          <w:lang w:val="en-GB"/>
        </w:rPr>
        <w:t>the OTA’s</w:t>
      </w:r>
      <w:r w:rsidR="00E5058A">
        <w:rPr>
          <w:rFonts w:asciiTheme="minorHAnsi" w:hAnsiTheme="minorHAnsi" w:cstheme="minorHAnsi"/>
          <w:sz w:val="24"/>
          <w:szCs w:val="24"/>
          <w:lang w:val="en-GB"/>
        </w:rPr>
        <w:t xml:space="preserve"> influence. For the OTA to effectively take on this strategic planning and service development role</w:t>
      </w:r>
      <w:r w:rsidR="00DF4EE7">
        <w:rPr>
          <w:rFonts w:asciiTheme="minorHAnsi" w:hAnsiTheme="minorHAnsi" w:cstheme="minorHAnsi"/>
          <w:sz w:val="24"/>
          <w:szCs w:val="24"/>
          <w:lang w:val="en-GB"/>
        </w:rPr>
        <w:t xml:space="preserve"> the following will be required: (1)</w:t>
      </w:r>
      <w:r w:rsidR="00C02B55">
        <w:rPr>
          <w:rFonts w:asciiTheme="minorHAnsi" w:hAnsiTheme="minorHAnsi" w:cstheme="minorHAnsi"/>
          <w:sz w:val="24"/>
          <w:szCs w:val="24"/>
          <w:lang w:val="en-GB"/>
        </w:rPr>
        <w:t xml:space="preserve"> </w:t>
      </w:r>
      <w:r w:rsidRPr="00E1478C">
        <w:rPr>
          <w:rFonts w:asciiTheme="minorHAnsi" w:hAnsiTheme="minorHAnsi" w:cstheme="minorHAnsi"/>
          <w:sz w:val="24"/>
          <w:szCs w:val="24"/>
          <w:lang w:val="en-GB"/>
        </w:rPr>
        <w:t>change</w:t>
      </w:r>
      <w:r w:rsidR="00E5058A">
        <w:rPr>
          <w:rFonts w:asciiTheme="minorHAnsi" w:hAnsiTheme="minorHAnsi" w:cstheme="minorHAnsi"/>
          <w:sz w:val="24"/>
          <w:szCs w:val="24"/>
          <w:lang w:val="en-GB"/>
        </w:rPr>
        <w:t>s</w:t>
      </w:r>
      <w:r w:rsidRPr="00E1478C">
        <w:rPr>
          <w:rFonts w:asciiTheme="minorHAnsi" w:hAnsiTheme="minorHAnsi" w:cstheme="minorHAnsi"/>
          <w:sz w:val="24"/>
          <w:szCs w:val="24"/>
          <w:lang w:val="en-GB"/>
        </w:rPr>
        <w:t xml:space="preserve"> to</w:t>
      </w:r>
      <w:r w:rsidR="00E36514">
        <w:rPr>
          <w:rFonts w:asciiTheme="minorHAnsi" w:hAnsiTheme="minorHAnsi" w:cstheme="minorHAnsi"/>
          <w:sz w:val="24"/>
          <w:szCs w:val="24"/>
          <w:lang w:val="en-GB"/>
        </w:rPr>
        <w:t xml:space="preserve"> </w:t>
      </w:r>
      <w:r w:rsidRPr="00E1478C">
        <w:rPr>
          <w:rFonts w:asciiTheme="minorHAnsi" w:hAnsiTheme="minorHAnsi" w:cstheme="minorHAnsi"/>
          <w:sz w:val="24"/>
          <w:szCs w:val="24"/>
          <w:lang w:val="en-GB"/>
        </w:rPr>
        <w:t>agreement</w:t>
      </w:r>
      <w:r w:rsidR="00E36514">
        <w:rPr>
          <w:rFonts w:asciiTheme="minorHAnsi" w:hAnsiTheme="minorHAnsi" w:cstheme="minorHAnsi"/>
          <w:sz w:val="24"/>
          <w:szCs w:val="24"/>
          <w:lang w:val="en-GB"/>
        </w:rPr>
        <w:t>s</w:t>
      </w:r>
      <w:r w:rsidRPr="00E1478C">
        <w:rPr>
          <w:rFonts w:asciiTheme="minorHAnsi" w:hAnsiTheme="minorHAnsi" w:cstheme="minorHAnsi"/>
          <w:sz w:val="24"/>
          <w:szCs w:val="24"/>
          <w:lang w:val="en-GB"/>
        </w:rPr>
        <w:t xml:space="preserve"> between the </w:t>
      </w:r>
      <w:r w:rsidR="00AC2151">
        <w:rPr>
          <w:rFonts w:asciiTheme="minorHAnsi" w:hAnsiTheme="minorHAnsi" w:cstheme="minorHAnsi"/>
          <w:sz w:val="24"/>
          <w:szCs w:val="24"/>
          <w:lang w:val="en-GB"/>
        </w:rPr>
        <w:t>Australian Government</w:t>
      </w:r>
      <w:r w:rsidRPr="00E1478C">
        <w:rPr>
          <w:rFonts w:asciiTheme="minorHAnsi" w:hAnsiTheme="minorHAnsi" w:cstheme="minorHAnsi"/>
          <w:sz w:val="24"/>
          <w:szCs w:val="24"/>
          <w:lang w:val="en-GB"/>
        </w:rPr>
        <w:t xml:space="preserve"> and the states and territories</w:t>
      </w:r>
      <w:r w:rsidR="00DF4EE7">
        <w:rPr>
          <w:rFonts w:asciiTheme="minorHAnsi" w:hAnsiTheme="minorHAnsi" w:cstheme="minorHAnsi"/>
          <w:sz w:val="24"/>
          <w:szCs w:val="24"/>
          <w:lang w:val="en-GB"/>
        </w:rPr>
        <w:t>; and (2)</w:t>
      </w:r>
      <w:r w:rsidRPr="00E1478C">
        <w:rPr>
          <w:rFonts w:asciiTheme="minorHAnsi" w:hAnsiTheme="minorHAnsi" w:cstheme="minorHAnsi"/>
          <w:sz w:val="24"/>
          <w:szCs w:val="24"/>
          <w:lang w:val="en-GB"/>
        </w:rPr>
        <w:t xml:space="preserve"> additional resources</w:t>
      </w:r>
      <w:r w:rsidR="00F63401" w:rsidRPr="00F63401">
        <w:rPr>
          <w:rStyle w:val="CommentReference"/>
          <w:rFonts w:asciiTheme="minorHAnsi" w:hAnsiTheme="minorHAnsi" w:cstheme="minorHAnsi"/>
          <w:sz w:val="24"/>
          <w:szCs w:val="24"/>
        </w:rPr>
        <w:t xml:space="preserve">. </w:t>
      </w:r>
      <w:r w:rsidR="00DF4EE7">
        <w:rPr>
          <w:rStyle w:val="CommentReference"/>
          <w:rFonts w:asciiTheme="minorHAnsi" w:hAnsiTheme="minorHAnsi" w:cstheme="minorHAnsi"/>
          <w:sz w:val="24"/>
          <w:szCs w:val="24"/>
        </w:rPr>
        <w:t>A</w:t>
      </w:r>
      <w:r w:rsidR="00F63401" w:rsidRPr="00F63401">
        <w:rPr>
          <w:rStyle w:val="CommentReference"/>
          <w:rFonts w:asciiTheme="minorHAnsi" w:hAnsiTheme="minorHAnsi" w:cstheme="minorHAnsi"/>
          <w:sz w:val="24"/>
          <w:szCs w:val="24"/>
        </w:rPr>
        <w:t>dditional resources will be required for</w:t>
      </w:r>
      <w:r w:rsidR="00DF4EE7">
        <w:rPr>
          <w:rStyle w:val="CommentReference"/>
          <w:rFonts w:asciiTheme="minorHAnsi" w:hAnsiTheme="minorHAnsi" w:cstheme="minorHAnsi"/>
          <w:sz w:val="24"/>
          <w:szCs w:val="24"/>
        </w:rPr>
        <w:t xml:space="preserve"> </w:t>
      </w:r>
      <w:r w:rsidR="00F63401" w:rsidRPr="00F63401">
        <w:rPr>
          <w:rStyle w:val="CommentReference"/>
          <w:rFonts w:asciiTheme="minorHAnsi" w:hAnsiTheme="minorHAnsi" w:cstheme="minorHAnsi"/>
          <w:sz w:val="24"/>
          <w:szCs w:val="24"/>
        </w:rPr>
        <w:t>the OTA</w:t>
      </w:r>
      <w:r w:rsidR="00450BEC">
        <w:rPr>
          <w:rStyle w:val="CommentReference"/>
          <w:rFonts w:asciiTheme="minorHAnsi" w:hAnsiTheme="minorHAnsi" w:cstheme="minorHAnsi"/>
          <w:sz w:val="24"/>
          <w:szCs w:val="24"/>
        </w:rPr>
        <w:t>,</w:t>
      </w:r>
      <w:r w:rsidR="00F63401" w:rsidRPr="00F63401">
        <w:rPr>
          <w:rStyle w:val="CommentReference"/>
          <w:rFonts w:asciiTheme="minorHAnsi" w:hAnsiTheme="minorHAnsi" w:cstheme="minorHAnsi"/>
          <w:sz w:val="24"/>
          <w:szCs w:val="24"/>
        </w:rPr>
        <w:t xml:space="preserve"> as well as additional </w:t>
      </w:r>
      <w:r w:rsidR="00AC2151">
        <w:rPr>
          <w:rStyle w:val="CommentReference"/>
          <w:rFonts w:asciiTheme="minorHAnsi" w:hAnsiTheme="minorHAnsi" w:cstheme="minorHAnsi"/>
          <w:sz w:val="24"/>
          <w:szCs w:val="24"/>
        </w:rPr>
        <w:t>Australian Government</w:t>
      </w:r>
      <w:r w:rsidR="00F63401" w:rsidRPr="00F63401">
        <w:rPr>
          <w:rStyle w:val="CommentReference"/>
          <w:rFonts w:asciiTheme="minorHAnsi" w:hAnsiTheme="minorHAnsi" w:cstheme="minorHAnsi"/>
          <w:sz w:val="24"/>
          <w:szCs w:val="24"/>
        </w:rPr>
        <w:t xml:space="preserve"> funding for state and territory health </w:t>
      </w:r>
      <w:r w:rsidR="00AE3F5B">
        <w:rPr>
          <w:rStyle w:val="CommentReference"/>
          <w:rFonts w:asciiTheme="minorHAnsi" w:hAnsiTheme="minorHAnsi" w:cstheme="minorHAnsi"/>
          <w:sz w:val="24"/>
          <w:szCs w:val="24"/>
        </w:rPr>
        <w:t>systems</w:t>
      </w:r>
      <w:r w:rsidR="00F63401" w:rsidRPr="00F63401">
        <w:rPr>
          <w:rStyle w:val="CommentReference"/>
          <w:rFonts w:asciiTheme="minorHAnsi" w:hAnsiTheme="minorHAnsi" w:cstheme="minorHAnsi"/>
          <w:sz w:val="24"/>
          <w:szCs w:val="24"/>
        </w:rPr>
        <w:t>.</w:t>
      </w:r>
      <w:r w:rsidR="00F63401">
        <w:rPr>
          <w:rStyle w:val="CommentReference"/>
        </w:rPr>
        <w:t xml:space="preserve"> </w:t>
      </w:r>
    </w:p>
    <w:p w14:paraId="303CC830" w14:textId="03BDF46C" w:rsidR="009C7D5A" w:rsidRDefault="00780C47" w:rsidP="00C75FAB">
      <w:pPr>
        <w:spacing w:after="120"/>
        <w:rPr>
          <w:rFonts w:asciiTheme="minorHAnsi" w:eastAsiaTheme="majorEastAsia" w:hAnsiTheme="minorHAnsi" w:cstheme="minorHAnsi"/>
          <w:bCs/>
          <w:color w:val="7F7F7F" w:themeColor="text1" w:themeTint="80"/>
          <w:kern w:val="12"/>
          <w:sz w:val="30"/>
          <w:szCs w:val="30"/>
          <w:lang w:val="en-GB"/>
        </w:rPr>
      </w:pPr>
      <w:r>
        <w:rPr>
          <w:rFonts w:asciiTheme="minorHAnsi" w:hAnsiTheme="minorHAnsi" w:cstheme="minorHAnsi"/>
          <w:sz w:val="24"/>
          <w:szCs w:val="24"/>
          <w:lang w:val="en-GB"/>
        </w:rPr>
        <w:t>T</w:t>
      </w:r>
      <w:r w:rsidR="00C43748">
        <w:rPr>
          <w:rFonts w:asciiTheme="minorHAnsi" w:hAnsiTheme="minorHAnsi" w:cstheme="minorHAnsi"/>
          <w:sz w:val="24"/>
          <w:szCs w:val="24"/>
          <w:lang w:val="en-GB"/>
        </w:rPr>
        <w:t xml:space="preserve">he Review found that </w:t>
      </w:r>
      <w:r w:rsidR="00450BEC">
        <w:rPr>
          <w:rFonts w:asciiTheme="minorHAnsi" w:hAnsiTheme="minorHAnsi" w:cstheme="minorHAnsi"/>
          <w:sz w:val="24"/>
          <w:szCs w:val="24"/>
          <w:lang w:val="en-GB"/>
        </w:rPr>
        <w:t xml:space="preserve">there is limited input into </w:t>
      </w:r>
      <w:r>
        <w:rPr>
          <w:rFonts w:asciiTheme="minorHAnsi" w:hAnsiTheme="minorHAnsi" w:cstheme="minorHAnsi"/>
          <w:sz w:val="24"/>
          <w:szCs w:val="24"/>
          <w:lang w:val="en-GB"/>
        </w:rPr>
        <w:t xml:space="preserve">governance structures </w:t>
      </w:r>
      <w:r w:rsidR="00450BEC">
        <w:rPr>
          <w:rFonts w:asciiTheme="minorHAnsi" w:hAnsiTheme="minorHAnsi" w:cstheme="minorHAnsi"/>
          <w:sz w:val="24"/>
          <w:szCs w:val="24"/>
          <w:lang w:val="en-GB"/>
        </w:rPr>
        <w:t xml:space="preserve">and strategic aspects of the system by consumers, </w:t>
      </w:r>
      <w:r w:rsidR="00454AEF">
        <w:rPr>
          <w:rFonts w:asciiTheme="minorHAnsi" w:hAnsiTheme="minorHAnsi" w:cstheme="minorHAnsi"/>
          <w:sz w:val="24"/>
          <w:szCs w:val="24"/>
          <w:lang w:val="en-GB"/>
        </w:rPr>
        <w:t>and both</w:t>
      </w:r>
      <w:r w:rsidR="00450BEC">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Aboriginal and Torres Strait Islander </w:t>
      </w:r>
      <w:r w:rsidR="007A07C2">
        <w:rPr>
          <w:rFonts w:asciiTheme="minorHAnsi" w:hAnsiTheme="minorHAnsi" w:cstheme="minorHAnsi"/>
          <w:sz w:val="24"/>
          <w:szCs w:val="24"/>
          <w:lang w:val="en-GB"/>
        </w:rPr>
        <w:t>and culturally and linguistically</w:t>
      </w:r>
      <w:r w:rsidR="005D79BD">
        <w:rPr>
          <w:rFonts w:asciiTheme="minorHAnsi" w:hAnsiTheme="minorHAnsi" w:cstheme="minorHAnsi"/>
          <w:sz w:val="24"/>
          <w:szCs w:val="24"/>
          <w:lang w:val="en-GB"/>
        </w:rPr>
        <w:t xml:space="preserve"> diverse</w:t>
      </w:r>
      <w:r w:rsidR="007A07C2">
        <w:rPr>
          <w:rFonts w:asciiTheme="minorHAnsi" w:hAnsiTheme="minorHAnsi" w:cstheme="minorHAnsi"/>
          <w:sz w:val="24"/>
          <w:szCs w:val="24"/>
          <w:lang w:val="en-GB"/>
        </w:rPr>
        <w:t xml:space="preserve"> </w:t>
      </w:r>
      <w:r w:rsidR="00450BEC">
        <w:rPr>
          <w:rFonts w:asciiTheme="minorHAnsi" w:hAnsiTheme="minorHAnsi" w:cstheme="minorHAnsi"/>
          <w:sz w:val="24"/>
          <w:szCs w:val="24"/>
          <w:lang w:val="en-GB"/>
        </w:rPr>
        <w:t>communities</w:t>
      </w:r>
      <w:r w:rsidR="007A07C2">
        <w:rPr>
          <w:rFonts w:asciiTheme="minorHAnsi" w:hAnsiTheme="minorHAnsi" w:cstheme="minorHAnsi"/>
          <w:sz w:val="24"/>
          <w:szCs w:val="24"/>
          <w:lang w:val="en-GB"/>
        </w:rPr>
        <w:t xml:space="preserve">. In designing and implementing strategies to overcome barriers </w:t>
      </w:r>
      <w:r w:rsidR="007A07C2">
        <w:rPr>
          <w:rFonts w:asciiTheme="minorHAnsi" w:hAnsiTheme="minorHAnsi" w:cstheme="minorHAnsi"/>
          <w:sz w:val="24"/>
          <w:szCs w:val="24"/>
          <w:lang w:val="en-GB"/>
        </w:rPr>
        <w:lastRenderedPageBreak/>
        <w:t xml:space="preserve">to access and </w:t>
      </w:r>
      <w:r w:rsidR="00450BEC">
        <w:rPr>
          <w:rFonts w:asciiTheme="minorHAnsi" w:hAnsiTheme="minorHAnsi" w:cstheme="minorHAnsi"/>
          <w:sz w:val="24"/>
          <w:szCs w:val="24"/>
          <w:lang w:val="en-GB"/>
        </w:rPr>
        <w:t xml:space="preserve">achieving </w:t>
      </w:r>
      <w:r w:rsidR="007A07C2">
        <w:rPr>
          <w:rFonts w:asciiTheme="minorHAnsi" w:hAnsiTheme="minorHAnsi" w:cstheme="minorHAnsi"/>
          <w:sz w:val="24"/>
          <w:szCs w:val="24"/>
          <w:lang w:val="en-GB"/>
        </w:rPr>
        <w:t xml:space="preserve">optimal outcomes for all Australians, </w:t>
      </w:r>
      <w:r w:rsidR="00450BEC">
        <w:rPr>
          <w:rFonts w:asciiTheme="minorHAnsi" w:hAnsiTheme="minorHAnsi" w:cstheme="minorHAnsi"/>
          <w:sz w:val="24"/>
          <w:szCs w:val="24"/>
          <w:lang w:val="en-GB"/>
        </w:rPr>
        <w:t xml:space="preserve">the consideration of these </w:t>
      </w:r>
      <w:r w:rsidR="007A07C2">
        <w:rPr>
          <w:rFonts w:asciiTheme="minorHAnsi" w:hAnsiTheme="minorHAnsi" w:cstheme="minorHAnsi"/>
          <w:sz w:val="24"/>
          <w:szCs w:val="24"/>
          <w:lang w:val="en-GB"/>
        </w:rPr>
        <w:t xml:space="preserve">perspectives will be critical </w:t>
      </w:r>
      <w:r w:rsidR="00454AEF">
        <w:rPr>
          <w:rFonts w:asciiTheme="minorHAnsi" w:hAnsiTheme="minorHAnsi" w:cstheme="minorHAnsi"/>
          <w:sz w:val="24"/>
          <w:szCs w:val="24"/>
          <w:lang w:val="en-GB"/>
        </w:rPr>
        <w:t>to ensure</w:t>
      </w:r>
      <w:r w:rsidR="00450BEC">
        <w:rPr>
          <w:rFonts w:asciiTheme="minorHAnsi" w:hAnsiTheme="minorHAnsi" w:cstheme="minorHAnsi"/>
          <w:sz w:val="24"/>
          <w:szCs w:val="24"/>
          <w:lang w:val="en-GB"/>
        </w:rPr>
        <w:t xml:space="preserve"> </w:t>
      </w:r>
      <w:r w:rsidR="007A07C2">
        <w:rPr>
          <w:rFonts w:asciiTheme="minorHAnsi" w:hAnsiTheme="minorHAnsi" w:cstheme="minorHAnsi"/>
          <w:sz w:val="24"/>
          <w:szCs w:val="24"/>
          <w:lang w:val="en-GB"/>
        </w:rPr>
        <w:t>that strategies are appropriate and effective.</w:t>
      </w:r>
      <w:r w:rsidR="00A94A86">
        <w:rPr>
          <w:rFonts w:asciiTheme="minorHAnsi" w:hAnsiTheme="minorHAnsi" w:cstheme="minorHAnsi"/>
          <w:sz w:val="24"/>
          <w:szCs w:val="24"/>
          <w:lang w:val="en-GB"/>
        </w:rPr>
        <w:t xml:space="preserve"> </w:t>
      </w:r>
    </w:p>
    <w:p w14:paraId="0AB6ACF4" w14:textId="3F7CC275" w:rsidR="0006335B" w:rsidRPr="00F17564" w:rsidRDefault="002B6873" w:rsidP="00F17564">
      <w:pPr>
        <w:pStyle w:val="Heading3"/>
        <w:tabs>
          <w:tab w:val="clear" w:pos="1843"/>
          <w:tab w:val="num" w:pos="1559"/>
        </w:tabs>
        <w:ind w:left="992" w:hanging="992"/>
        <w:rPr>
          <w:rFonts w:asciiTheme="minorHAnsi" w:hAnsiTheme="minorHAnsi" w:cstheme="minorHAnsi"/>
          <w:color w:val="7F7F7F" w:themeColor="text1" w:themeTint="80"/>
          <w:sz w:val="30"/>
          <w:szCs w:val="30"/>
        </w:rPr>
      </w:pPr>
      <w:r w:rsidRPr="00F17564">
        <w:rPr>
          <w:rFonts w:asciiTheme="minorHAnsi" w:hAnsiTheme="minorHAnsi" w:cstheme="minorHAnsi"/>
          <w:b w:val="0"/>
          <w:color w:val="7F7F7F" w:themeColor="text1" w:themeTint="80"/>
          <w:sz w:val="30"/>
          <w:szCs w:val="30"/>
        </w:rPr>
        <w:t>A national</w:t>
      </w:r>
      <w:r w:rsidR="00C02B55">
        <w:rPr>
          <w:rFonts w:asciiTheme="minorHAnsi" w:hAnsiTheme="minorHAnsi" w:cstheme="minorHAnsi"/>
          <w:b w:val="0"/>
          <w:color w:val="7F7F7F" w:themeColor="text1" w:themeTint="80"/>
          <w:sz w:val="30"/>
          <w:szCs w:val="30"/>
        </w:rPr>
        <w:t>ly</w:t>
      </w:r>
      <w:r w:rsidRPr="00F17564">
        <w:rPr>
          <w:rFonts w:asciiTheme="minorHAnsi" w:hAnsiTheme="minorHAnsi" w:cstheme="minorHAnsi"/>
          <w:b w:val="0"/>
          <w:color w:val="7F7F7F" w:themeColor="text1" w:themeTint="80"/>
          <w:sz w:val="30"/>
          <w:szCs w:val="30"/>
        </w:rPr>
        <w:t xml:space="preserve"> drive</w:t>
      </w:r>
      <w:r w:rsidR="00C02B55">
        <w:rPr>
          <w:rFonts w:asciiTheme="minorHAnsi" w:hAnsiTheme="minorHAnsi" w:cstheme="minorHAnsi"/>
          <w:b w:val="0"/>
          <w:color w:val="7F7F7F" w:themeColor="text1" w:themeTint="80"/>
          <w:sz w:val="30"/>
          <w:szCs w:val="30"/>
        </w:rPr>
        <w:t xml:space="preserve">n approach </w:t>
      </w:r>
      <w:r w:rsidRPr="00F17564">
        <w:rPr>
          <w:rFonts w:asciiTheme="minorHAnsi" w:hAnsiTheme="minorHAnsi" w:cstheme="minorHAnsi"/>
          <w:b w:val="0"/>
          <w:color w:val="7F7F7F" w:themeColor="text1" w:themeTint="80"/>
          <w:sz w:val="30"/>
          <w:szCs w:val="30"/>
        </w:rPr>
        <w:t xml:space="preserve">to improve organ donation and transplantation rates among Aboriginal and Torres Strait Islander Australians and Australians who live in rural </w:t>
      </w:r>
      <w:r w:rsidR="0075449A">
        <w:rPr>
          <w:rFonts w:asciiTheme="minorHAnsi" w:hAnsiTheme="minorHAnsi" w:cstheme="minorHAnsi"/>
          <w:b w:val="0"/>
          <w:color w:val="7F7F7F" w:themeColor="text1" w:themeTint="80"/>
          <w:sz w:val="30"/>
          <w:szCs w:val="30"/>
        </w:rPr>
        <w:t xml:space="preserve">and remote </w:t>
      </w:r>
      <w:r w:rsidRPr="00F17564">
        <w:rPr>
          <w:rFonts w:asciiTheme="minorHAnsi" w:hAnsiTheme="minorHAnsi" w:cstheme="minorHAnsi"/>
          <w:b w:val="0"/>
          <w:color w:val="7F7F7F" w:themeColor="text1" w:themeTint="80"/>
          <w:sz w:val="30"/>
          <w:szCs w:val="30"/>
        </w:rPr>
        <w:t>locations</w:t>
      </w:r>
    </w:p>
    <w:p w14:paraId="1D15C92F" w14:textId="77777777" w:rsidR="000D46C4" w:rsidRPr="00F17564" w:rsidRDefault="000D46C4" w:rsidP="00F17564">
      <w:pPr>
        <w:tabs>
          <w:tab w:val="num" w:pos="720"/>
        </w:tabs>
        <w:spacing w:after="120"/>
        <w:rPr>
          <w:rFonts w:asciiTheme="minorHAnsi" w:hAnsiTheme="minorHAnsi" w:cstheme="minorHAnsi"/>
          <w:i/>
          <w:color w:val="808080" w:themeColor="background1" w:themeShade="80"/>
          <w:sz w:val="26"/>
          <w:szCs w:val="26"/>
        </w:rPr>
      </w:pPr>
      <w:r w:rsidRPr="00F17564">
        <w:rPr>
          <w:rFonts w:asciiTheme="minorHAnsi" w:hAnsiTheme="minorHAnsi" w:cstheme="minorHAnsi"/>
          <w:i/>
          <w:color w:val="808080" w:themeColor="background1" w:themeShade="80"/>
          <w:sz w:val="26"/>
          <w:szCs w:val="26"/>
        </w:rPr>
        <w:t>Aboriginal and Torres Strait Islander Australians</w:t>
      </w:r>
    </w:p>
    <w:p w14:paraId="67D3E0EB" w14:textId="77777777" w:rsidR="00EF0526" w:rsidRPr="00272028" w:rsidRDefault="00833191" w:rsidP="00F17564">
      <w:pPr>
        <w:spacing w:after="120"/>
      </w:pPr>
      <w:r>
        <w:rPr>
          <w:rFonts w:asciiTheme="minorHAnsi" w:hAnsiTheme="minorHAnsi" w:cstheme="minorHAnsi"/>
          <w:kern w:val="12"/>
          <w:sz w:val="24"/>
          <w:szCs w:val="22"/>
          <w:lang w:val="en-US"/>
        </w:rPr>
        <w:t xml:space="preserve">Aboriginal and Torres Strait Islander </w:t>
      </w:r>
      <w:r w:rsidR="00542F8F">
        <w:rPr>
          <w:rFonts w:asciiTheme="minorHAnsi" w:hAnsiTheme="minorHAnsi" w:cstheme="minorHAnsi"/>
          <w:kern w:val="12"/>
          <w:sz w:val="24"/>
          <w:szCs w:val="22"/>
          <w:lang w:val="en-US"/>
        </w:rPr>
        <w:t>Australians</w:t>
      </w:r>
      <w:r>
        <w:rPr>
          <w:rFonts w:asciiTheme="minorHAnsi" w:hAnsiTheme="minorHAnsi" w:cstheme="minorHAnsi"/>
          <w:kern w:val="12"/>
          <w:sz w:val="24"/>
          <w:szCs w:val="22"/>
          <w:lang w:val="en-US"/>
        </w:rPr>
        <w:t xml:space="preserve"> </w:t>
      </w:r>
      <w:r w:rsidR="001051CC" w:rsidRPr="00542F8F">
        <w:rPr>
          <w:rFonts w:asciiTheme="minorHAnsi" w:hAnsiTheme="minorHAnsi" w:cstheme="minorHAnsi"/>
          <w:kern w:val="12"/>
          <w:sz w:val="24"/>
          <w:szCs w:val="22"/>
          <w:lang w:val="en-US"/>
        </w:rPr>
        <w:t>expe</w:t>
      </w:r>
      <w:r w:rsidRPr="00542F8F">
        <w:rPr>
          <w:rFonts w:asciiTheme="minorHAnsi" w:hAnsiTheme="minorHAnsi" w:cstheme="minorHAnsi"/>
          <w:kern w:val="12"/>
          <w:sz w:val="24"/>
          <w:szCs w:val="22"/>
          <w:lang w:val="en-US"/>
        </w:rPr>
        <w:t>rience</w:t>
      </w:r>
      <w:r w:rsidR="001051CC" w:rsidRPr="00542F8F">
        <w:rPr>
          <w:rFonts w:asciiTheme="minorHAnsi" w:hAnsiTheme="minorHAnsi" w:cstheme="minorHAnsi"/>
          <w:kern w:val="12"/>
          <w:sz w:val="24"/>
          <w:szCs w:val="22"/>
          <w:lang w:val="en-US"/>
        </w:rPr>
        <w:t xml:space="preserve"> a higher burden of disease</w:t>
      </w:r>
      <w:r w:rsidRPr="00542F8F">
        <w:rPr>
          <w:rFonts w:asciiTheme="minorHAnsi" w:hAnsiTheme="minorHAnsi" w:cstheme="minorHAnsi"/>
          <w:kern w:val="12"/>
          <w:sz w:val="24"/>
          <w:szCs w:val="22"/>
          <w:lang w:val="en-US"/>
        </w:rPr>
        <w:t xml:space="preserve"> and poorer life expectancy</w:t>
      </w:r>
      <w:r w:rsidR="00CF6D36" w:rsidRPr="00542F8F">
        <w:rPr>
          <w:rFonts w:asciiTheme="minorHAnsi" w:hAnsiTheme="minorHAnsi" w:cstheme="minorHAnsi"/>
          <w:kern w:val="12"/>
          <w:sz w:val="24"/>
          <w:szCs w:val="22"/>
          <w:lang w:val="en-US"/>
        </w:rPr>
        <w:t xml:space="preserve"> than non-Indigenous Australians. This is </w:t>
      </w:r>
      <w:r w:rsidRPr="00542F8F">
        <w:rPr>
          <w:rFonts w:asciiTheme="minorHAnsi" w:hAnsiTheme="minorHAnsi" w:cstheme="minorHAnsi"/>
          <w:kern w:val="12"/>
          <w:sz w:val="24"/>
          <w:szCs w:val="22"/>
          <w:lang w:val="en-US"/>
        </w:rPr>
        <w:t>largely d</w:t>
      </w:r>
      <w:r w:rsidR="00CF6D36" w:rsidRPr="00542F8F">
        <w:rPr>
          <w:rFonts w:asciiTheme="minorHAnsi" w:hAnsiTheme="minorHAnsi" w:cstheme="minorHAnsi"/>
          <w:kern w:val="12"/>
          <w:sz w:val="24"/>
          <w:szCs w:val="22"/>
          <w:lang w:val="en-US"/>
        </w:rPr>
        <w:t>riv</w:t>
      </w:r>
      <w:r w:rsidR="003D5CD3" w:rsidRPr="00542F8F">
        <w:rPr>
          <w:rFonts w:asciiTheme="minorHAnsi" w:hAnsiTheme="minorHAnsi" w:cstheme="minorHAnsi"/>
          <w:kern w:val="12"/>
          <w:sz w:val="24"/>
          <w:szCs w:val="22"/>
          <w:lang w:val="en-US"/>
        </w:rPr>
        <w:t>en by cardiovascular disease,</w:t>
      </w:r>
      <w:r w:rsidR="00CF6D36" w:rsidRPr="00542F8F">
        <w:rPr>
          <w:rFonts w:asciiTheme="minorHAnsi" w:hAnsiTheme="minorHAnsi" w:cstheme="minorHAnsi"/>
          <w:kern w:val="12"/>
          <w:sz w:val="24"/>
          <w:szCs w:val="22"/>
          <w:lang w:val="en-US"/>
        </w:rPr>
        <w:t xml:space="preserve"> </w:t>
      </w:r>
      <w:r w:rsidR="00CF6D36" w:rsidRPr="00272028">
        <w:rPr>
          <w:rFonts w:asciiTheme="minorHAnsi" w:hAnsiTheme="minorHAnsi" w:cstheme="minorHAnsi"/>
          <w:kern w:val="12"/>
          <w:sz w:val="24"/>
          <w:szCs w:val="22"/>
          <w:lang w:val="en-US"/>
        </w:rPr>
        <w:t>kidney disease</w:t>
      </w:r>
      <w:r w:rsidR="003D5CD3" w:rsidRPr="00272028">
        <w:rPr>
          <w:rFonts w:asciiTheme="minorHAnsi" w:hAnsiTheme="minorHAnsi" w:cstheme="minorHAnsi"/>
          <w:kern w:val="12"/>
          <w:sz w:val="24"/>
          <w:szCs w:val="22"/>
          <w:lang w:val="en-US"/>
        </w:rPr>
        <w:t xml:space="preserve"> and</w:t>
      </w:r>
      <w:r w:rsidR="00CF6D36" w:rsidRPr="00272028">
        <w:rPr>
          <w:rFonts w:asciiTheme="minorHAnsi" w:hAnsiTheme="minorHAnsi" w:cstheme="minorHAnsi"/>
          <w:kern w:val="12"/>
          <w:sz w:val="24"/>
          <w:szCs w:val="22"/>
          <w:lang w:val="en-US"/>
        </w:rPr>
        <w:t xml:space="preserve"> liver disease</w:t>
      </w:r>
      <w:r w:rsidR="003D5CD3" w:rsidRPr="00272028">
        <w:rPr>
          <w:rFonts w:asciiTheme="minorHAnsi" w:hAnsiTheme="minorHAnsi" w:cstheme="minorHAnsi"/>
          <w:kern w:val="12"/>
          <w:sz w:val="24"/>
          <w:szCs w:val="22"/>
          <w:lang w:val="en-US"/>
        </w:rPr>
        <w:t xml:space="preserve"> and often results in end-stage organ failure</w:t>
      </w:r>
      <w:r w:rsidR="00CF6D36" w:rsidRPr="00272028">
        <w:rPr>
          <w:rFonts w:asciiTheme="minorHAnsi" w:hAnsiTheme="minorHAnsi" w:cstheme="minorHAnsi"/>
          <w:kern w:val="12"/>
          <w:sz w:val="24"/>
          <w:szCs w:val="22"/>
          <w:lang w:val="en-US"/>
        </w:rPr>
        <w:t>.</w:t>
      </w:r>
      <w:r w:rsidR="00CF6D36" w:rsidRPr="00272028">
        <w:rPr>
          <w:rStyle w:val="FootnoteReference"/>
          <w:rFonts w:asciiTheme="minorHAnsi" w:hAnsiTheme="minorHAnsi" w:cstheme="minorHAnsi"/>
          <w:kern w:val="12"/>
          <w:lang w:val="en-US"/>
        </w:rPr>
        <w:footnoteReference w:id="6"/>
      </w:r>
    </w:p>
    <w:p w14:paraId="46689733" w14:textId="77777777" w:rsidR="00173AE7" w:rsidRPr="00272028" w:rsidRDefault="00A101AA" w:rsidP="00F17564">
      <w:pPr>
        <w:spacing w:after="120"/>
        <w:rPr>
          <w:rFonts w:asciiTheme="minorHAnsi" w:hAnsiTheme="minorHAnsi" w:cstheme="minorHAnsi"/>
          <w:kern w:val="12"/>
          <w:sz w:val="24"/>
          <w:szCs w:val="22"/>
          <w:lang w:val="en-US"/>
        </w:rPr>
      </w:pPr>
      <w:r w:rsidRPr="00272028">
        <w:rPr>
          <w:rFonts w:asciiTheme="minorHAnsi" w:hAnsiTheme="minorHAnsi" w:cstheme="minorHAnsi"/>
          <w:kern w:val="12"/>
          <w:sz w:val="24"/>
          <w:szCs w:val="22"/>
          <w:lang w:val="en-US"/>
        </w:rPr>
        <w:t>Organ transplantation is an established form of treatment that is acknowledged as the best</w:t>
      </w:r>
      <w:r w:rsidR="003D5CD3" w:rsidRPr="00272028">
        <w:rPr>
          <w:rFonts w:asciiTheme="minorHAnsi" w:hAnsiTheme="minorHAnsi" w:cstheme="minorHAnsi"/>
          <w:kern w:val="12"/>
          <w:sz w:val="24"/>
          <w:szCs w:val="22"/>
          <w:lang w:val="en-US"/>
        </w:rPr>
        <w:t>,</w:t>
      </w:r>
      <w:r w:rsidRPr="00272028">
        <w:rPr>
          <w:rFonts w:asciiTheme="minorHAnsi" w:hAnsiTheme="minorHAnsi" w:cstheme="minorHAnsi"/>
          <w:kern w:val="12"/>
          <w:sz w:val="24"/>
          <w:szCs w:val="22"/>
          <w:lang w:val="en-US"/>
        </w:rPr>
        <w:t xml:space="preserve"> and frequently the only life-saving therapy</w:t>
      </w:r>
      <w:r w:rsidR="003D5CD3" w:rsidRPr="00272028">
        <w:rPr>
          <w:rFonts w:asciiTheme="minorHAnsi" w:hAnsiTheme="minorHAnsi" w:cstheme="minorHAnsi"/>
          <w:kern w:val="12"/>
          <w:sz w:val="24"/>
          <w:szCs w:val="22"/>
          <w:lang w:val="en-US"/>
        </w:rPr>
        <w:t>,</w:t>
      </w:r>
      <w:r w:rsidRPr="00272028">
        <w:rPr>
          <w:rFonts w:asciiTheme="minorHAnsi" w:hAnsiTheme="minorHAnsi" w:cstheme="minorHAnsi"/>
          <w:kern w:val="12"/>
          <w:sz w:val="24"/>
          <w:szCs w:val="22"/>
          <w:lang w:val="en-US"/>
        </w:rPr>
        <w:t xml:space="preserve"> for end-stage organ failure.</w:t>
      </w:r>
      <w:r w:rsidR="003D5CD3" w:rsidRPr="00272028">
        <w:rPr>
          <w:rStyle w:val="FootnoteReference"/>
          <w:rFonts w:asciiTheme="minorHAnsi" w:hAnsiTheme="minorHAnsi" w:cstheme="minorHAnsi"/>
          <w:kern w:val="12"/>
          <w:lang w:val="en-US"/>
        </w:rPr>
        <w:footnoteReference w:id="7"/>
      </w:r>
      <w:r w:rsidR="003D5CD3" w:rsidRPr="00272028">
        <w:rPr>
          <w:rFonts w:asciiTheme="minorHAnsi" w:hAnsiTheme="minorHAnsi" w:cstheme="minorHAnsi"/>
          <w:kern w:val="12"/>
          <w:sz w:val="24"/>
          <w:szCs w:val="22"/>
          <w:lang w:val="en-US"/>
        </w:rPr>
        <w:t xml:space="preserve">  </w:t>
      </w:r>
      <w:r w:rsidR="00FB39F4" w:rsidRPr="00272028">
        <w:rPr>
          <w:rFonts w:asciiTheme="minorHAnsi" w:hAnsiTheme="minorHAnsi" w:cstheme="minorHAnsi"/>
          <w:kern w:val="12"/>
          <w:sz w:val="24"/>
          <w:szCs w:val="22"/>
          <w:lang w:val="en-US"/>
        </w:rPr>
        <w:t>There is a five-to ten-fold reduction in mortality for patients who have received a kidney transplant compared to those who remain on dialysis.</w:t>
      </w:r>
      <w:r w:rsidR="00FB39F4" w:rsidRPr="00272028">
        <w:rPr>
          <w:rStyle w:val="FootnoteReference"/>
          <w:rFonts w:asciiTheme="minorHAnsi" w:hAnsiTheme="minorHAnsi" w:cstheme="minorHAnsi"/>
          <w:kern w:val="12"/>
          <w:lang w:val="en-US"/>
        </w:rPr>
        <w:footnoteReference w:id="8"/>
      </w:r>
      <w:r w:rsidR="00FB39F4" w:rsidRPr="00272028">
        <w:rPr>
          <w:rFonts w:asciiTheme="minorHAnsi" w:hAnsiTheme="minorHAnsi" w:cstheme="minorHAnsi"/>
          <w:kern w:val="12"/>
          <w:sz w:val="24"/>
          <w:szCs w:val="22"/>
          <w:lang w:val="en-US"/>
        </w:rPr>
        <w:t xml:space="preserve"> </w:t>
      </w:r>
    </w:p>
    <w:p w14:paraId="357D54B9" w14:textId="77777777" w:rsidR="00AE5461" w:rsidRPr="00272028" w:rsidRDefault="000D46C4" w:rsidP="00F17564">
      <w:pPr>
        <w:spacing w:after="120"/>
        <w:rPr>
          <w:rFonts w:asciiTheme="minorHAnsi" w:hAnsiTheme="minorHAnsi" w:cstheme="minorHAnsi"/>
          <w:sz w:val="24"/>
          <w:szCs w:val="22"/>
        </w:rPr>
      </w:pPr>
      <w:r w:rsidRPr="00272028">
        <w:rPr>
          <w:rFonts w:asciiTheme="minorHAnsi" w:hAnsiTheme="minorHAnsi" w:cstheme="minorHAnsi"/>
          <w:sz w:val="24"/>
          <w:szCs w:val="22"/>
        </w:rPr>
        <w:t>A</w:t>
      </w:r>
      <w:r w:rsidRPr="00272028">
        <w:rPr>
          <w:rFonts w:asciiTheme="minorHAnsi" w:hAnsiTheme="minorHAnsi" w:cstheme="minorHAnsi"/>
          <w:kern w:val="12"/>
          <w:sz w:val="24"/>
          <w:szCs w:val="22"/>
          <w:lang w:val="en-US"/>
        </w:rPr>
        <w:t xml:space="preserve">s described by Khanal, </w:t>
      </w:r>
      <w:r w:rsidR="00E632AF" w:rsidRPr="00272028">
        <w:rPr>
          <w:rFonts w:asciiTheme="minorHAnsi" w:hAnsiTheme="minorHAnsi" w:cstheme="minorHAnsi"/>
          <w:kern w:val="12"/>
          <w:sz w:val="24"/>
          <w:szCs w:val="22"/>
          <w:lang w:val="en-US"/>
        </w:rPr>
        <w:t>Lawton</w:t>
      </w:r>
      <w:r w:rsidRPr="00272028">
        <w:rPr>
          <w:rFonts w:asciiTheme="minorHAnsi" w:hAnsiTheme="minorHAnsi" w:cstheme="minorHAnsi"/>
          <w:kern w:val="12"/>
          <w:sz w:val="24"/>
          <w:szCs w:val="22"/>
          <w:lang w:val="en-US"/>
        </w:rPr>
        <w:t>, Cass and McDonald (2018), the</w:t>
      </w:r>
      <w:r w:rsidR="0059608F" w:rsidRPr="00272028">
        <w:rPr>
          <w:rFonts w:asciiTheme="minorHAnsi" w:hAnsiTheme="minorHAnsi" w:cstheme="minorHAnsi"/>
          <w:kern w:val="12"/>
          <w:sz w:val="24"/>
          <w:szCs w:val="22"/>
          <w:lang w:val="en-US"/>
        </w:rPr>
        <w:t xml:space="preserve"> incidence and </w:t>
      </w:r>
      <w:r w:rsidR="00AE5461" w:rsidRPr="00272028">
        <w:rPr>
          <w:rFonts w:asciiTheme="minorHAnsi" w:hAnsiTheme="minorHAnsi" w:cstheme="minorHAnsi"/>
          <w:kern w:val="12"/>
          <w:sz w:val="24"/>
          <w:szCs w:val="22"/>
          <w:lang w:val="en-US"/>
        </w:rPr>
        <w:t>prevalence</w:t>
      </w:r>
      <w:r w:rsidR="0059608F" w:rsidRPr="00272028">
        <w:rPr>
          <w:rFonts w:asciiTheme="minorHAnsi" w:hAnsiTheme="minorHAnsi" w:cstheme="minorHAnsi"/>
          <w:kern w:val="12"/>
          <w:sz w:val="24"/>
          <w:szCs w:val="22"/>
          <w:lang w:val="en-US"/>
        </w:rPr>
        <w:t xml:space="preserve"> of end-stage kidney disease is higher among </w:t>
      </w:r>
      <w:r w:rsidR="002D4BB8" w:rsidRPr="00272028">
        <w:rPr>
          <w:rFonts w:asciiTheme="minorHAnsi" w:hAnsiTheme="minorHAnsi" w:cstheme="minorHAnsi"/>
          <w:sz w:val="24"/>
          <w:szCs w:val="22"/>
        </w:rPr>
        <w:t xml:space="preserve">Aboriginal and Torres Strait Islander </w:t>
      </w:r>
      <w:r w:rsidR="008B044B" w:rsidRPr="00272028">
        <w:rPr>
          <w:rFonts w:asciiTheme="minorHAnsi" w:hAnsiTheme="minorHAnsi" w:cstheme="minorHAnsi"/>
          <w:sz w:val="24"/>
          <w:szCs w:val="22"/>
        </w:rPr>
        <w:t>Australians</w:t>
      </w:r>
      <w:r w:rsidR="002D4BB8" w:rsidRPr="00272028">
        <w:rPr>
          <w:rFonts w:asciiTheme="minorHAnsi" w:hAnsiTheme="minorHAnsi" w:cstheme="minorHAnsi"/>
          <w:sz w:val="24"/>
          <w:szCs w:val="22"/>
        </w:rPr>
        <w:t xml:space="preserve"> </w:t>
      </w:r>
      <w:r w:rsidR="0059608F" w:rsidRPr="00272028">
        <w:rPr>
          <w:rFonts w:asciiTheme="minorHAnsi" w:hAnsiTheme="minorHAnsi" w:cstheme="minorHAnsi"/>
          <w:kern w:val="12"/>
          <w:sz w:val="24"/>
          <w:szCs w:val="22"/>
          <w:lang w:val="en-US"/>
        </w:rPr>
        <w:t>than non-Indigenous Australians, particularly among those aged 15-64</w:t>
      </w:r>
      <w:r w:rsidR="00F819D9" w:rsidRPr="00272028">
        <w:rPr>
          <w:rFonts w:asciiTheme="minorHAnsi" w:hAnsiTheme="minorHAnsi" w:cstheme="minorHAnsi"/>
          <w:kern w:val="12"/>
          <w:sz w:val="24"/>
          <w:szCs w:val="22"/>
          <w:lang w:val="en-US"/>
        </w:rPr>
        <w:t>.</w:t>
      </w:r>
      <w:r w:rsidR="001D13E9" w:rsidRPr="00272028">
        <w:rPr>
          <w:rStyle w:val="FootnoteReference"/>
          <w:rFonts w:cstheme="minorHAnsi"/>
          <w:kern w:val="12"/>
          <w:lang w:val="en-US"/>
        </w:rPr>
        <w:footnoteReference w:id="9"/>
      </w:r>
      <w:r w:rsidR="0059608F" w:rsidRPr="00272028">
        <w:rPr>
          <w:rFonts w:asciiTheme="minorHAnsi" w:hAnsiTheme="minorHAnsi" w:cstheme="minorHAnsi"/>
          <w:kern w:val="12"/>
          <w:sz w:val="24"/>
          <w:szCs w:val="22"/>
          <w:lang w:val="en-US"/>
        </w:rPr>
        <w:t xml:space="preserve"> </w:t>
      </w:r>
      <w:r w:rsidR="00FB39F4" w:rsidRPr="00272028">
        <w:rPr>
          <w:rFonts w:asciiTheme="minorHAnsi" w:hAnsiTheme="minorHAnsi" w:cstheme="minorHAnsi"/>
          <w:kern w:val="12"/>
          <w:sz w:val="24"/>
          <w:szCs w:val="22"/>
          <w:lang w:val="en-US"/>
        </w:rPr>
        <w:t>This means that Aboriginal and Torres Strait Islander people have a greater demand for organ transplantation tha</w:t>
      </w:r>
      <w:r w:rsidR="005D79BD" w:rsidRPr="00272028">
        <w:rPr>
          <w:rFonts w:asciiTheme="minorHAnsi" w:hAnsiTheme="minorHAnsi" w:cstheme="minorHAnsi"/>
          <w:kern w:val="12"/>
          <w:sz w:val="24"/>
          <w:szCs w:val="22"/>
          <w:lang w:val="en-US"/>
        </w:rPr>
        <w:t>n</w:t>
      </w:r>
      <w:r w:rsidR="00FB39F4" w:rsidRPr="00272028">
        <w:rPr>
          <w:rFonts w:asciiTheme="minorHAnsi" w:hAnsiTheme="minorHAnsi" w:cstheme="minorHAnsi"/>
          <w:kern w:val="12"/>
          <w:sz w:val="24"/>
          <w:szCs w:val="22"/>
          <w:lang w:val="en-US"/>
        </w:rPr>
        <w:t xml:space="preserve"> non-Indigenous Australians. </w:t>
      </w:r>
      <w:r w:rsidR="00AE5461" w:rsidRPr="00272028">
        <w:rPr>
          <w:rFonts w:asciiTheme="minorHAnsi" w:hAnsiTheme="minorHAnsi" w:cstheme="minorHAnsi"/>
          <w:kern w:val="12"/>
          <w:sz w:val="24"/>
          <w:szCs w:val="22"/>
          <w:lang w:val="en-US"/>
        </w:rPr>
        <w:t>However</w:t>
      </w:r>
      <w:r w:rsidR="00D64772" w:rsidRPr="00272028">
        <w:rPr>
          <w:rFonts w:asciiTheme="minorHAnsi" w:hAnsiTheme="minorHAnsi" w:cstheme="minorHAnsi"/>
          <w:kern w:val="12"/>
          <w:sz w:val="24"/>
          <w:szCs w:val="22"/>
          <w:lang w:val="en-US"/>
        </w:rPr>
        <w:t xml:space="preserve">, </w:t>
      </w:r>
      <w:r w:rsidR="002F662D" w:rsidRPr="00272028">
        <w:rPr>
          <w:rFonts w:asciiTheme="minorHAnsi" w:hAnsiTheme="minorHAnsi" w:cstheme="minorHAnsi"/>
          <w:sz w:val="24"/>
          <w:szCs w:val="22"/>
        </w:rPr>
        <w:t>fewer than two</w:t>
      </w:r>
      <w:r w:rsidR="00863353" w:rsidRPr="00272028">
        <w:rPr>
          <w:rFonts w:asciiTheme="minorHAnsi" w:hAnsiTheme="minorHAnsi" w:cstheme="minorHAnsi"/>
          <w:sz w:val="24"/>
          <w:szCs w:val="22"/>
        </w:rPr>
        <w:t xml:space="preserve"> per cent of Aboriginal and Torres Strait Islander </w:t>
      </w:r>
      <w:r w:rsidR="008B044B" w:rsidRPr="00272028">
        <w:rPr>
          <w:rFonts w:asciiTheme="minorHAnsi" w:hAnsiTheme="minorHAnsi" w:cstheme="minorHAnsi"/>
          <w:sz w:val="24"/>
          <w:szCs w:val="22"/>
        </w:rPr>
        <w:t xml:space="preserve">Australians </w:t>
      </w:r>
      <w:r w:rsidR="006339BB" w:rsidRPr="00272028">
        <w:rPr>
          <w:rFonts w:asciiTheme="minorHAnsi" w:hAnsiTheme="minorHAnsi" w:cstheme="minorHAnsi"/>
          <w:sz w:val="24"/>
          <w:szCs w:val="22"/>
        </w:rPr>
        <w:t>are</w:t>
      </w:r>
      <w:r w:rsidR="00863353" w:rsidRPr="00272028">
        <w:rPr>
          <w:rFonts w:asciiTheme="minorHAnsi" w:hAnsiTheme="minorHAnsi" w:cstheme="minorHAnsi"/>
          <w:sz w:val="24"/>
          <w:szCs w:val="22"/>
        </w:rPr>
        <w:t xml:space="preserve"> </w:t>
      </w:r>
      <w:r w:rsidR="007411D9" w:rsidRPr="00272028">
        <w:rPr>
          <w:rFonts w:asciiTheme="minorHAnsi" w:hAnsiTheme="minorHAnsi" w:cstheme="minorHAnsi"/>
          <w:sz w:val="24"/>
          <w:szCs w:val="22"/>
        </w:rPr>
        <w:t>wait list</w:t>
      </w:r>
      <w:r w:rsidR="006339BB" w:rsidRPr="00272028">
        <w:rPr>
          <w:rFonts w:asciiTheme="minorHAnsi" w:hAnsiTheme="minorHAnsi" w:cstheme="minorHAnsi"/>
          <w:sz w:val="24"/>
          <w:szCs w:val="22"/>
        </w:rPr>
        <w:t>ed</w:t>
      </w:r>
      <w:r w:rsidR="00863353" w:rsidRPr="00272028">
        <w:rPr>
          <w:rFonts w:asciiTheme="minorHAnsi" w:hAnsiTheme="minorHAnsi" w:cstheme="minorHAnsi"/>
          <w:sz w:val="24"/>
          <w:szCs w:val="22"/>
        </w:rPr>
        <w:t xml:space="preserve"> for transplant</w:t>
      </w:r>
      <w:r w:rsidR="00506886" w:rsidRPr="00272028">
        <w:rPr>
          <w:rFonts w:asciiTheme="minorHAnsi" w:hAnsiTheme="minorHAnsi" w:cstheme="minorHAnsi"/>
          <w:sz w:val="24"/>
          <w:szCs w:val="22"/>
        </w:rPr>
        <w:t>ation</w:t>
      </w:r>
      <w:r w:rsidR="00863353" w:rsidRPr="00272028">
        <w:rPr>
          <w:rFonts w:asciiTheme="minorHAnsi" w:hAnsiTheme="minorHAnsi" w:cstheme="minorHAnsi"/>
          <w:sz w:val="24"/>
          <w:szCs w:val="22"/>
        </w:rPr>
        <w:t>, compared to 9.5 per cent of non-Indigenous people on dialysis.</w:t>
      </w:r>
      <w:r w:rsidR="00506886" w:rsidRPr="00272028">
        <w:rPr>
          <w:rStyle w:val="FootnoteReference"/>
          <w:rFonts w:asciiTheme="minorHAnsi" w:hAnsiTheme="minorHAnsi" w:cstheme="minorHAnsi"/>
          <w:kern w:val="12"/>
          <w:lang w:val="en-US"/>
        </w:rPr>
        <w:footnoteReference w:id="10"/>
      </w:r>
      <w:r w:rsidR="00D64772" w:rsidRPr="00272028">
        <w:rPr>
          <w:rFonts w:asciiTheme="minorHAnsi" w:hAnsiTheme="minorHAnsi" w:cstheme="minorHAnsi"/>
          <w:sz w:val="24"/>
          <w:szCs w:val="22"/>
        </w:rPr>
        <w:t xml:space="preserve"> Th</w:t>
      </w:r>
      <w:r w:rsidR="008B044B" w:rsidRPr="00272028">
        <w:rPr>
          <w:rFonts w:asciiTheme="minorHAnsi" w:hAnsiTheme="minorHAnsi" w:cstheme="minorHAnsi"/>
          <w:sz w:val="24"/>
          <w:szCs w:val="22"/>
        </w:rPr>
        <w:t>e</w:t>
      </w:r>
      <w:r w:rsidR="00D64772" w:rsidRPr="00272028">
        <w:rPr>
          <w:rFonts w:asciiTheme="minorHAnsi" w:hAnsiTheme="minorHAnsi" w:cstheme="minorHAnsi"/>
          <w:sz w:val="24"/>
          <w:szCs w:val="22"/>
        </w:rPr>
        <w:t xml:space="preserve"> Review found </w:t>
      </w:r>
      <w:r w:rsidR="002D4BB8" w:rsidRPr="00272028">
        <w:rPr>
          <w:rFonts w:asciiTheme="minorHAnsi" w:hAnsiTheme="minorHAnsi" w:cstheme="minorHAnsi"/>
          <w:sz w:val="24"/>
          <w:szCs w:val="22"/>
        </w:rPr>
        <w:t xml:space="preserve">that </w:t>
      </w:r>
      <w:r w:rsidR="00FB39F4" w:rsidRPr="00272028">
        <w:rPr>
          <w:rFonts w:asciiTheme="minorHAnsi" w:hAnsiTheme="minorHAnsi" w:cstheme="minorHAnsi"/>
          <w:sz w:val="24"/>
          <w:szCs w:val="22"/>
        </w:rPr>
        <w:t>access to transplantation wa</w:t>
      </w:r>
      <w:r w:rsidR="00C23E7B" w:rsidRPr="00272028">
        <w:rPr>
          <w:rFonts w:asciiTheme="minorHAnsi" w:hAnsiTheme="minorHAnsi" w:cstheme="minorHAnsi"/>
          <w:sz w:val="24"/>
          <w:szCs w:val="22"/>
        </w:rPr>
        <w:t xml:space="preserve">s influenced by donation rates and </w:t>
      </w:r>
      <w:r w:rsidR="00D64772" w:rsidRPr="00272028">
        <w:rPr>
          <w:rFonts w:asciiTheme="minorHAnsi" w:hAnsiTheme="minorHAnsi" w:cstheme="minorHAnsi"/>
          <w:sz w:val="24"/>
          <w:szCs w:val="22"/>
        </w:rPr>
        <w:t xml:space="preserve">variable </w:t>
      </w:r>
      <w:r w:rsidR="007411D9" w:rsidRPr="00272028">
        <w:rPr>
          <w:rFonts w:asciiTheme="minorHAnsi" w:hAnsiTheme="minorHAnsi" w:cstheme="minorHAnsi"/>
          <w:sz w:val="24"/>
          <w:szCs w:val="22"/>
        </w:rPr>
        <w:t>wait list</w:t>
      </w:r>
      <w:r w:rsidR="00D64772" w:rsidRPr="00272028">
        <w:rPr>
          <w:rFonts w:asciiTheme="minorHAnsi" w:hAnsiTheme="minorHAnsi" w:cstheme="minorHAnsi"/>
          <w:sz w:val="24"/>
          <w:szCs w:val="22"/>
        </w:rPr>
        <w:t>ing practices across transplantation units</w:t>
      </w:r>
      <w:r w:rsidR="00456D80" w:rsidRPr="00272028">
        <w:rPr>
          <w:rFonts w:asciiTheme="minorHAnsi" w:hAnsiTheme="minorHAnsi" w:cstheme="minorHAnsi"/>
          <w:sz w:val="24"/>
          <w:szCs w:val="22"/>
        </w:rPr>
        <w:t>.</w:t>
      </w:r>
    </w:p>
    <w:p w14:paraId="242804D7" w14:textId="77777777" w:rsidR="00C23E7B" w:rsidRPr="00272028" w:rsidRDefault="002A2D74" w:rsidP="00F17564">
      <w:pPr>
        <w:spacing w:after="120"/>
        <w:rPr>
          <w:rFonts w:asciiTheme="minorHAnsi" w:hAnsiTheme="minorHAnsi" w:cstheme="minorHAnsi"/>
          <w:sz w:val="24"/>
          <w:szCs w:val="22"/>
        </w:rPr>
      </w:pPr>
      <w:r w:rsidRPr="00272028">
        <w:rPr>
          <w:rFonts w:asciiTheme="minorHAnsi" w:hAnsiTheme="minorHAnsi" w:cstheme="minorHAnsi"/>
          <w:kern w:val="12"/>
          <w:sz w:val="24"/>
          <w:szCs w:val="22"/>
          <w:lang w:val="en-US"/>
        </w:rPr>
        <w:t>T</w:t>
      </w:r>
      <w:r w:rsidR="00FB39F4" w:rsidRPr="00272028">
        <w:rPr>
          <w:rFonts w:asciiTheme="minorHAnsi" w:hAnsiTheme="minorHAnsi" w:cstheme="minorHAnsi"/>
          <w:sz w:val="24"/>
          <w:szCs w:val="22"/>
        </w:rPr>
        <w:t>he Review found that family consent rates to donation are significantly lower in Aboriginal and Tor</w:t>
      </w:r>
      <w:r w:rsidRPr="00272028">
        <w:rPr>
          <w:rFonts w:asciiTheme="minorHAnsi" w:hAnsiTheme="minorHAnsi" w:cstheme="minorHAnsi"/>
          <w:sz w:val="24"/>
          <w:szCs w:val="22"/>
        </w:rPr>
        <w:t>res Strait Islander families (</w:t>
      </w:r>
      <w:r w:rsidR="009A34EC" w:rsidRPr="00272028">
        <w:rPr>
          <w:rFonts w:asciiTheme="minorHAnsi" w:hAnsiTheme="minorHAnsi" w:cstheme="minorHAnsi"/>
          <w:sz w:val="24"/>
          <w:szCs w:val="22"/>
        </w:rPr>
        <w:t>20 per cent</w:t>
      </w:r>
      <w:r w:rsidR="00FB39F4" w:rsidRPr="00272028">
        <w:rPr>
          <w:rFonts w:asciiTheme="minorHAnsi" w:hAnsiTheme="minorHAnsi" w:cstheme="minorHAnsi"/>
          <w:sz w:val="24"/>
          <w:szCs w:val="22"/>
        </w:rPr>
        <w:t>) than non-Aboriginal and Torres Strait Islander families (</w:t>
      </w:r>
      <w:r w:rsidR="009A34EC" w:rsidRPr="00272028">
        <w:rPr>
          <w:rFonts w:asciiTheme="minorHAnsi" w:hAnsiTheme="minorHAnsi" w:cstheme="minorHAnsi"/>
          <w:sz w:val="24"/>
          <w:szCs w:val="22"/>
        </w:rPr>
        <w:t>67</w:t>
      </w:r>
      <w:r w:rsidR="00FB39F4" w:rsidRPr="00272028">
        <w:rPr>
          <w:rFonts w:asciiTheme="minorHAnsi" w:hAnsiTheme="minorHAnsi" w:cstheme="minorHAnsi"/>
          <w:sz w:val="24"/>
          <w:szCs w:val="22"/>
        </w:rPr>
        <w:t xml:space="preserve"> per cent).</w:t>
      </w:r>
      <w:r w:rsidRPr="00272028">
        <w:rPr>
          <w:rStyle w:val="FootnoteReference"/>
          <w:rFonts w:cstheme="minorHAnsi"/>
        </w:rPr>
        <w:footnoteReference w:id="11"/>
      </w:r>
      <w:r w:rsidRPr="00272028">
        <w:rPr>
          <w:rFonts w:asciiTheme="minorHAnsi" w:hAnsiTheme="minorHAnsi" w:cstheme="minorHAnsi"/>
          <w:sz w:val="24"/>
          <w:szCs w:val="22"/>
        </w:rPr>
        <w:t xml:space="preserve"> </w:t>
      </w:r>
      <w:r w:rsidR="00C23E7B" w:rsidRPr="00272028">
        <w:rPr>
          <w:rFonts w:asciiTheme="minorHAnsi" w:hAnsiTheme="minorHAnsi" w:cstheme="minorHAnsi"/>
          <w:sz w:val="24"/>
          <w:szCs w:val="22"/>
        </w:rPr>
        <w:t>C</w:t>
      </w:r>
      <w:r w:rsidR="00C31DE6" w:rsidRPr="00272028">
        <w:rPr>
          <w:rFonts w:asciiTheme="minorHAnsi" w:hAnsiTheme="minorHAnsi" w:cstheme="minorHAnsi"/>
          <w:sz w:val="24"/>
          <w:szCs w:val="22"/>
        </w:rPr>
        <w:t>linicians</w:t>
      </w:r>
      <w:r w:rsidR="00272028">
        <w:rPr>
          <w:rFonts w:asciiTheme="minorHAnsi" w:hAnsiTheme="minorHAnsi" w:cstheme="minorHAnsi"/>
          <w:sz w:val="24"/>
          <w:szCs w:val="22"/>
        </w:rPr>
        <w:t xml:space="preserve"> also</w:t>
      </w:r>
      <w:r w:rsidR="00C31DE6" w:rsidRPr="00272028">
        <w:rPr>
          <w:rFonts w:asciiTheme="minorHAnsi" w:hAnsiTheme="minorHAnsi" w:cstheme="minorHAnsi"/>
          <w:sz w:val="24"/>
          <w:szCs w:val="22"/>
        </w:rPr>
        <w:t xml:space="preserve"> reported that patients from populations with smaller numbers in the Australian community, such as Aboriginal and Torres Strait Islander Australians, will not have the same probability of finding a match within the allocation algorithms as their </w:t>
      </w:r>
      <w:r w:rsidR="002820F1" w:rsidRPr="00272028">
        <w:rPr>
          <w:rFonts w:asciiTheme="minorHAnsi" w:hAnsiTheme="minorHAnsi" w:cstheme="minorHAnsi"/>
          <w:sz w:val="24"/>
          <w:szCs w:val="22"/>
        </w:rPr>
        <w:t>immunological profiles</w:t>
      </w:r>
      <w:r w:rsidR="00C31DE6" w:rsidRPr="00272028">
        <w:rPr>
          <w:rFonts w:asciiTheme="minorHAnsi" w:hAnsiTheme="minorHAnsi" w:cstheme="minorHAnsi"/>
          <w:sz w:val="24"/>
          <w:szCs w:val="22"/>
        </w:rPr>
        <w:t xml:space="preserve"> will be under represented in the donor pool.</w:t>
      </w:r>
      <w:r w:rsidR="00C23E7B" w:rsidRPr="00272028">
        <w:rPr>
          <w:rFonts w:asciiTheme="minorHAnsi" w:hAnsiTheme="minorHAnsi" w:cstheme="minorHAnsi"/>
          <w:sz w:val="24"/>
          <w:szCs w:val="22"/>
        </w:rPr>
        <w:t xml:space="preserve"> Therefore, the Review found that it was important that Aboriginal and Torres Strait Islander donation rates</w:t>
      </w:r>
      <w:r w:rsidR="009100BB" w:rsidRPr="00272028">
        <w:rPr>
          <w:rFonts w:asciiTheme="minorHAnsi" w:hAnsiTheme="minorHAnsi" w:cstheme="minorHAnsi"/>
          <w:sz w:val="24"/>
          <w:szCs w:val="22"/>
        </w:rPr>
        <w:t xml:space="preserve"> continue to</w:t>
      </w:r>
      <w:r w:rsidR="00C23E7B" w:rsidRPr="00272028">
        <w:rPr>
          <w:rFonts w:asciiTheme="minorHAnsi" w:hAnsiTheme="minorHAnsi" w:cstheme="minorHAnsi"/>
          <w:sz w:val="24"/>
          <w:szCs w:val="22"/>
        </w:rPr>
        <w:t xml:space="preserve"> increase in order</w:t>
      </w:r>
      <w:r w:rsidR="009100BB" w:rsidRPr="00272028">
        <w:rPr>
          <w:rFonts w:asciiTheme="minorHAnsi" w:hAnsiTheme="minorHAnsi" w:cstheme="minorHAnsi"/>
          <w:sz w:val="24"/>
          <w:szCs w:val="22"/>
        </w:rPr>
        <w:t xml:space="preserve"> to</w:t>
      </w:r>
      <w:r w:rsidR="00C23E7B" w:rsidRPr="00272028">
        <w:rPr>
          <w:rFonts w:asciiTheme="minorHAnsi" w:hAnsiTheme="minorHAnsi" w:cstheme="minorHAnsi"/>
          <w:sz w:val="24"/>
          <w:szCs w:val="22"/>
        </w:rPr>
        <w:t xml:space="preserve"> </w:t>
      </w:r>
      <w:r w:rsidR="009100BB" w:rsidRPr="00272028">
        <w:rPr>
          <w:rFonts w:asciiTheme="minorHAnsi" w:hAnsiTheme="minorHAnsi" w:cstheme="minorHAnsi"/>
          <w:sz w:val="24"/>
          <w:szCs w:val="22"/>
        </w:rPr>
        <w:t xml:space="preserve">improve </w:t>
      </w:r>
      <w:r w:rsidR="003538DF" w:rsidRPr="00272028">
        <w:rPr>
          <w:rFonts w:asciiTheme="minorHAnsi" w:hAnsiTheme="minorHAnsi" w:cstheme="minorHAnsi"/>
          <w:sz w:val="24"/>
          <w:szCs w:val="22"/>
        </w:rPr>
        <w:t>the potential for suitable matches</w:t>
      </w:r>
      <w:r w:rsidR="009100BB" w:rsidRPr="00272028">
        <w:rPr>
          <w:rFonts w:asciiTheme="minorHAnsi" w:hAnsiTheme="minorHAnsi" w:cstheme="minorHAnsi"/>
          <w:sz w:val="24"/>
          <w:szCs w:val="22"/>
        </w:rPr>
        <w:t xml:space="preserve">. </w:t>
      </w:r>
      <w:r w:rsidR="00C23E7B" w:rsidRPr="00272028">
        <w:rPr>
          <w:rFonts w:asciiTheme="minorHAnsi" w:hAnsiTheme="minorHAnsi" w:cstheme="minorHAnsi"/>
          <w:sz w:val="24"/>
          <w:szCs w:val="22"/>
        </w:rPr>
        <w:t xml:space="preserve">The significance of immunological matching is discussed in further detail in </w:t>
      </w:r>
      <w:r w:rsidR="00446B01" w:rsidRPr="00272028">
        <w:rPr>
          <w:rFonts w:asciiTheme="minorHAnsi" w:hAnsiTheme="minorHAnsi" w:cstheme="minorHAnsi"/>
          <w:sz w:val="24"/>
          <w:szCs w:val="22"/>
        </w:rPr>
        <w:t xml:space="preserve">Section </w:t>
      </w:r>
      <w:r w:rsidR="00446B01" w:rsidRPr="00272028">
        <w:rPr>
          <w:rFonts w:asciiTheme="minorHAnsi" w:hAnsiTheme="minorHAnsi" w:cstheme="minorHAnsi"/>
          <w:sz w:val="24"/>
          <w:szCs w:val="22"/>
        </w:rPr>
        <w:fldChar w:fldCharType="begin"/>
      </w:r>
      <w:r w:rsidR="00446B01" w:rsidRPr="00272028">
        <w:rPr>
          <w:rFonts w:asciiTheme="minorHAnsi" w:hAnsiTheme="minorHAnsi" w:cstheme="minorHAnsi"/>
          <w:sz w:val="24"/>
          <w:szCs w:val="22"/>
        </w:rPr>
        <w:instrText xml:space="preserve"> REF _Ref527625825 \r \h </w:instrText>
      </w:r>
      <w:r w:rsidR="00272028">
        <w:rPr>
          <w:rFonts w:asciiTheme="minorHAnsi" w:hAnsiTheme="minorHAnsi" w:cstheme="minorHAnsi"/>
          <w:sz w:val="24"/>
          <w:szCs w:val="22"/>
        </w:rPr>
        <w:instrText xml:space="preserve"> \* MERGEFORMAT </w:instrText>
      </w:r>
      <w:r w:rsidR="00446B01" w:rsidRPr="00272028">
        <w:rPr>
          <w:rFonts w:asciiTheme="minorHAnsi" w:hAnsiTheme="minorHAnsi" w:cstheme="minorHAnsi"/>
          <w:sz w:val="24"/>
          <w:szCs w:val="22"/>
        </w:rPr>
      </w:r>
      <w:r w:rsidR="00446B01" w:rsidRPr="00272028">
        <w:rPr>
          <w:rFonts w:asciiTheme="minorHAnsi" w:hAnsiTheme="minorHAnsi" w:cstheme="minorHAnsi"/>
          <w:sz w:val="24"/>
          <w:szCs w:val="22"/>
        </w:rPr>
        <w:fldChar w:fldCharType="separate"/>
      </w:r>
      <w:r w:rsidR="00A04048">
        <w:rPr>
          <w:rFonts w:asciiTheme="minorHAnsi" w:hAnsiTheme="minorHAnsi" w:cstheme="minorHAnsi"/>
          <w:sz w:val="24"/>
          <w:szCs w:val="22"/>
        </w:rPr>
        <w:t>6.2.3</w:t>
      </w:r>
      <w:r w:rsidR="00446B01" w:rsidRPr="00272028">
        <w:rPr>
          <w:rFonts w:asciiTheme="minorHAnsi" w:hAnsiTheme="minorHAnsi" w:cstheme="minorHAnsi"/>
          <w:sz w:val="24"/>
          <w:szCs w:val="22"/>
        </w:rPr>
        <w:fldChar w:fldCharType="end"/>
      </w:r>
      <w:r w:rsidR="00446B01" w:rsidRPr="00272028">
        <w:rPr>
          <w:rFonts w:asciiTheme="minorHAnsi" w:hAnsiTheme="minorHAnsi" w:cstheme="minorHAnsi"/>
          <w:sz w:val="24"/>
          <w:szCs w:val="22"/>
        </w:rPr>
        <w:t>.</w:t>
      </w:r>
    </w:p>
    <w:p w14:paraId="2E4E7875" w14:textId="6854A086" w:rsidR="004C296C" w:rsidRDefault="00456D80" w:rsidP="00AE3ED1">
      <w:pPr>
        <w:widowControl/>
        <w:autoSpaceDE/>
        <w:autoSpaceDN/>
        <w:adjustRightInd/>
        <w:spacing w:after="120"/>
        <w:rPr>
          <w:rFonts w:asciiTheme="minorHAnsi" w:hAnsiTheme="minorHAnsi" w:cstheme="minorHAnsi"/>
          <w:sz w:val="24"/>
          <w:szCs w:val="22"/>
        </w:rPr>
      </w:pPr>
      <w:r w:rsidRPr="00272028">
        <w:rPr>
          <w:rFonts w:asciiTheme="minorHAnsi" w:hAnsiTheme="minorHAnsi" w:cstheme="minorHAnsi"/>
          <w:sz w:val="24"/>
          <w:szCs w:val="22"/>
        </w:rPr>
        <w:lastRenderedPageBreak/>
        <w:t>Th</w:t>
      </w:r>
      <w:r w:rsidR="00A94A86">
        <w:rPr>
          <w:rFonts w:asciiTheme="minorHAnsi" w:hAnsiTheme="minorHAnsi" w:cstheme="minorHAnsi"/>
          <w:sz w:val="24"/>
          <w:szCs w:val="22"/>
        </w:rPr>
        <w:t>e</w:t>
      </w:r>
      <w:r w:rsidRPr="00272028">
        <w:rPr>
          <w:rFonts w:asciiTheme="minorHAnsi" w:hAnsiTheme="minorHAnsi" w:cstheme="minorHAnsi"/>
          <w:sz w:val="24"/>
          <w:szCs w:val="22"/>
        </w:rPr>
        <w:t xml:space="preserve"> Review </w:t>
      </w:r>
      <w:r w:rsidR="00F819D9" w:rsidRPr="00272028">
        <w:rPr>
          <w:rFonts w:asciiTheme="minorHAnsi" w:hAnsiTheme="minorHAnsi" w:cstheme="minorHAnsi"/>
          <w:sz w:val="24"/>
          <w:szCs w:val="22"/>
        </w:rPr>
        <w:t xml:space="preserve">also </w:t>
      </w:r>
      <w:r w:rsidRPr="00272028">
        <w:rPr>
          <w:rFonts w:asciiTheme="minorHAnsi" w:hAnsiTheme="minorHAnsi" w:cstheme="minorHAnsi"/>
          <w:sz w:val="24"/>
          <w:szCs w:val="22"/>
        </w:rPr>
        <w:t xml:space="preserve">found that some </w:t>
      </w:r>
      <w:r w:rsidR="008B044B" w:rsidRPr="00272028">
        <w:rPr>
          <w:rFonts w:asciiTheme="minorHAnsi" w:hAnsiTheme="minorHAnsi" w:cstheme="minorHAnsi"/>
          <w:sz w:val="24"/>
          <w:szCs w:val="22"/>
        </w:rPr>
        <w:t>jurisdictions</w:t>
      </w:r>
      <w:r w:rsidRPr="00272028">
        <w:rPr>
          <w:rFonts w:asciiTheme="minorHAnsi" w:hAnsiTheme="minorHAnsi" w:cstheme="minorHAnsi"/>
          <w:sz w:val="24"/>
          <w:szCs w:val="22"/>
        </w:rPr>
        <w:t xml:space="preserve"> had established strong referral and shared care processes</w:t>
      </w:r>
      <w:r w:rsidR="008B044B" w:rsidRPr="00272028">
        <w:rPr>
          <w:rFonts w:asciiTheme="minorHAnsi" w:hAnsiTheme="minorHAnsi" w:cstheme="minorHAnsi"/>
          <w:sz w:val="24"/>
          <w:szCs w:val="22"/>
        </w:rPr>
        <w:t>; this included</w:t>
      </w:r>
      <w:r w:rsidRPr="00272028">
        <w:rPr>
          <w:rFonts w:asciiTheme="minorHAnsi" w:hAnsiTheme="minorHAnsi" w:cstheme="minorHAnsi"/>
          <w:sz w:val="24"/>
          <w:szCs w:val="22"/>
        </w:rPr>
        <w:t xml:space="preserve"> outreach services</w:t>
      </w:r>
      <w:r w:rsidR="00AE3F5B" w:rsidRPr="00272028">
        <w:rPr>
          <w:rFonts w:asciiTheme="minorHAnsi" w:hAnsiTheme="minorHAnsi" w:cstheme="minorHAnsi"/>
          <w:sz w:val="24"/>
          <w:szCs w:val="22"/>
        </w:rPr>
        <w:t xml:space="preserve"> and strong Aboriginal and To</w:t>
      </w:r>
      <w:r w:rsidR="00AE3F5B">
        <w:rPr>
          <w:rFonts w:asciiTheme="minorHAnsi" w:hAnsiTheme="minorHAnsi" w:cstheme="minorHAnsi"/>
          <w:sz w:val="24"/>
          <w:szCs w:val="22"/>
        </w:rPr>
        <w:t>rres Strait Islander community linkages</w:t>
      </w:r>
      <w:r>
        <w:rPr>
          <w:rFonts w:asciiTheme="minorHAnsi" w:hAnsiTheme="minorHAnsi" w:cstheme="minorHAnsi"/>
          <w:sz w:val="24"/>
          <w:szCs w:val="22"/>
        </w:rPr>
        <w:t xml:space="preserve"> to enable access to wait</w:t>
      </w:r>
      <w:r w:rsidR="00F819D9">
        <w:rPr>
          <w:rFonts w:asciiTheme="minorHAnsi" w:hAnsiTheme="minorHAnsi" w:cstheme="minorHAnsi"/>
          <w:sz w:val="24"/>
          <w:szCs w:val="22"/>
        </w:rPr>
        <w:t xml:space="preserve"> </w:t>
      </w:r>
      <w:r>
        <w:rPr>
          <w:rFonts w:asciiTheme="minorHAnsi" w:hAnsiTheme="minorHAnsi" w:cstheme="minorHAnsi"/>
          <w:sz w:val="24"/>
          <w:szCs w:val="22"/>
        </w:rPr>
        <w:t xml:space="preserve">listing for Aboriginal and Torres Strait Islander </w:t>
      </w:r>
      <w:r w:rsidR="008B044B">
        <w:rPr>
          <w:rFonts w:asciiTheme="minorHAnsi" w:hAnsiTheme="minorHAnsi" w:cstheme="minorHAnsi"/>
          <w:sz w:val="24"/>
          <w:szCs w:val="22"/>
        </w:rPr>
        <w:t>Australians</w:t>
      </w:r>
      <w:r>
        <w:rPr>
          <w:rFonts w:asciiTheme="minorHAnsi" w:hAnsiTheme="minorHAnsi" w:cstheme="minorHAnsi"/>
          <w:sz w:val="24"/>
          <w:szCs w:val="22"/>
        </w:rPr>
        <w:t xml:space="preserve">. On the other hand, Aboriginal and Torres Strait Islander people in other </w:t>
      </w:r>
      <w:r w:rsidR="008B044B">
        <w:rPr>
          <w:rFonts w:asciiTheme="minorHAnsi" w:hAnsiTheme="minorHAnsi" w:cstheme="minorHAnsi"/>
          <w:sz w:val="24"/>
          <w:szCs w:val="22"/>
        </w:rPr>
        <w:t>jurisdictions</w:t>
      </w:r>
      <w:r w:rsidR="00F223C8">
        <w:rPr>
          <w:rFonts w:asciiTheme="minorHAnsi" w:hAnsiTheme="minorHAnsi" w:cstheme="minorHAnsi"/>
          <w:sz w:val="24"/>
          <w:szCs w:val="22"/>
        </w:rPr>
        <w:t xml:space="preserve"> </w:t>
      </w:r>
      <w:r>
        <w:rPr>
          <w:rFonts w:asciiTheme="minorHAnsi" w:hAnsiTheme="minorHAnsi" w:cstheme="minorHAnsi"/>
          <w:sz w:val="24"/>
          <w:szCs w:val="22"/>
        </w:rPr>
        <w:t xml:space="preserve">experienced </w:t>
      </w:r>
      <w:r w:rsidR="00F223C8">
        <w:rPr>
          <w:rFonts w:asciiTheme="minorHAnsi" w:hAnsiTheme="minorHAnsi" w:cstheme="minorHAnsi"/>
          <w:sz w:val="24"/>
          <w:szCs w:val="22"/>
        </w:rPr>
        <w:t>barriers to wait listing due to distance, travel costs and access to appropriate specialists</w:t>
      </w:r>
      <w:r w:rsidR="00173AE7">
        <w:rPr>
          <w:rFonts w:asciiTheme="minorHAnsi" w:hAnsiTheme="minorHAnsi" w:cstheme="minorHAnsi"/>
          <w:sz w:val="24"/>
          <w:szCs w:val="22"/>
        </w:rPr>
        <w:t xml:space="preserve"> for assessment for transplantation</w:t>
      </w:r>
      <w:r w:rsidR="00F223C8">
        <w:rPr>
          <w:rFonts w:asciiTheme="minorHAnsi" w:hAnsiTheme="minorHAnsi" w:cstheme="minorHAnsi"/>
          <w:sz w:val="24"/>
          <w:szCs w:val="22"/>
        </w:rPr>
        <w:t>.</w:t>
      </w:r>
      <w:r>
        <w:rPr>
          <w:rFonts w:asciiTheme="minorHAnsi" w:hAnsiTheme="minorHAnsi" w:cstheme="minorHAnsi"/>
          <w:sz w:val="24"/>
          <w:szCs w:val="22"/>
        </w:rPr>
        <w:t xml:space="preserve"> </w:t>
      </w:r>
    </w:p>
    <w:p w14:paraId="136FFDDE" w14:textId="77777777" w:rsidR="00F223C8" w:rsidRDefault="00AE5461" w:rsidP="00F17564">
      <w:pPr>
        <w:spacing w:after="120"/>
        <w:rPr>
          <w:rFonts w:asciiTheme="minorHAnsi" w:hAnsiTheme="minorHAnsi" w:cstheme="minorHAnsi"/>
          <w:sz w:val="24"/>
          <w:szCs w:val="22"/>
        </w:rPr>
      </w:pPr>
      <w:r>
        <w:rPr>
          <w:rFonts w:asciiTheme="minorHAnsi" w:hAnsiTheme="minorHAnsi" w:cstheme="minorHAnsi"/>
          <w:sz w:val="24"/>
          <w:szCs w:val="22"/>
        </w:rPr>
        <w:t>With adjustment for age and diabetes</w:t>
      </w:r>
      <w:r w:rsidR="00AE3F5B">
        <w:rPr>
          <w:rFonts w:asciiTheme="minorHAnsi" w:hAnsiTheme="minorHAnsi" w:cstheme="minorHAnsi"/>
          <w:sz w:val="24"/>
          <w:szCs w:val="22"/>
        </w:rPr>
        <w:t xml:space="preserve"> </w:t>
      </w:r>
      <w:r w:rsidR="00C6133C">
        <w:rPr>
          <w:rFonts w:asciiTheme="minorHAnsi" w:hAnsiTheme="minorHAnsi" w:cstheme="minorHAnsi"/>
          <w:sz w:val="24"/>
          <w:szCs w:val="22"/>
        </w:rPr>
        <w:t>prevalence</w:t>
      </w:r>
      <w:r>
        <w:rPr>
          <w:rFonts w:asciiTheme="minorHAnsi" w:hAnsiTheme="minorHAnsi" w:cstheme="minorHAnsi"/>
          <w:sz w:val="24"/>
          <w:szCs w:val="22"/>
        </w:rPr>
        <w:t xml:space="preserve">, </w:t>
      </w:r>
      <w:r w:rsidR="00E632AF">
        <w:rPr>
          <w:rFonts w:asciiTheme="minorHAnsi" w:hAnsiTheme="minorHAnsi" w:cstheme="minorHAnsi"/>
          <w:sz w:val="24"/>
          <w:szCs w:val="22"/>
        </w:rPr>
        <w:t>Lawton</w:t>
      </w:r>
      <w:r>
        <w:rPr>
          <w:rFonts w:asciiTheme="minorHAnsi" w:hAnsiTheme="minorHAnsi" w:cstheme="minorHAnsi"/>
          <w:sz w:val="24"/>
          <w:szCs w:val="22"/>
        </w:rPr>
        <w:t xml:space="preserve"> found that survival for both Aboriginal and Torres Strait Islander </w:t>
      </w:r>
      <w:r w:rsidR="008B044B">
        <w:rPr>
          <w:rFonts w:asciiTheme="minorHAnsi" w:hAnsiTheme="minorHAnsi" w:cstheme="minorHAnsi"/>
          <w:sz w:val="24"/>
          <w:szCs w:val="22"/>
        </w:rPr>
        <w:t>Australians</w:t>
      </w:r>
      <w:r>
        <w:rPr>
          <w:rFonts w:asciiTheme="minorHAnsi" w:hAnsiTheme="minorHAnsi" w:cstheme="minorHAnsi"/>
          <w:sz w:val="24"/>
          <w:szCs w:val="22"/>
        </w:rPr>
        <w:t xml:space="preserve"> and non-</w:t>
      </w:r>
      <w:r w:rsidRPr="008B044B">
        <w:rPr>
          <w:rFonts w:asciiTheme="minorHAnsi" w:hAnsiTheme="minorHAnsi" w:cstheme="minorHAnsi"/>
          <w:sz w:val="24"/>
          <w:szCs w:val="22"/>
        </w:rPr>
        <w:t xml:space="preserve">Indigenous </w:t>
      </w:r>
      <w:r w:rsidR="008B044B" w:rsidRPr="00E27B99">
        <w:rPr>
          <w:rFonts w:asciiTheme="minorHAnsi" w:hAnsiTheme="minorHAnsi" w:cstheme="minorHAnsi"/>
          <w:sz w:val="24"/>
          <w:szCs w:val="22"/>
        </w:rPr>
        <w:t xml:space="preserve">Australians </w:t>
      </w:r>
      <w:r w:rsidRPr="00E27B99">
        <w:rPr>
          <w:rFonts w:asciiTheme="minorHAnsi" w:hAnsiTheme="minorHAnsi" w:cstheme="minorHAnsi"/>
          <w:sz w:val="24"/>
          <w:szCs w:val="22"/>
        </w:rPr>
        <w:t>has improved over time despite</w:t>
      </w:r>
      <w:r w:rsidR="008B044B" w:rsidRPr="00E27B99">
        <w:rPr>
          <w:rFonts w:asciiTheme="minorHAnsi" w:hAnsiTheme="minorHAnsi" w:cstheme="minorHAnsi"/>
          <w:sz w:val="24"/>
          <w:szCs w:val="22"/>
        </w:rPr>
        <w:t xml:space="preserve"> an</w:t>
      </w:r>
      <w:r w:rsidRPr="00E27B99">
        <w:rPr>
          <w:rFonts w:asciiTheme="minorHAnsi" w:hAnsiTheme="minorHAnsi" w:cstheme="minorHAnsi"/>
          <w:sz w:val="24"/>
          <w:szCs w:val="22"/>
        </w:rPr>
        <w:t xml:space="preserve"> increasing burden of comorbid conditions.</w:t>
      </w:r>
      <w:r w:rsidR="00F819D9" w:rsidRPr="003A517E">
        <w:rPr>
          <w:rStyle w:val="FootnoteReference"/>
          <w:rFonts w:asciiTheme="minorHAnsi" w:hAnsiTheme="minorHAnsi" w:cstheme="minorHAnsi"/>
        </w:rPr>
        <w:footnoteReference w:id="12"/>
      </w:r>
      <w:r w:rsidRPr="008B044B">
        <w:rPr>
          <w:rFonts w:asciiTheme="minorHAnsi" w:hAnsiTheme="minorHAnsi" w:cstheme="minorHAnsi"/>
          <w:sz w:val="24"/>
          <w:szCs w:val="22"/>
        </w:rPr>
        <w:t xml:space="preserve"> However, there remains a large gap in survival rates between Aboriginal and Torres Strait Islander</w:t>
      </w:r>
      <w:r w:rsidR="00E27B99">
        <w:rPr>
          <w:rFonts w:asciiTheme="minorHAnsi" w:hAnsiTheme="minorHAnsi" w:cstheme="minorHAnsi"/>
          <w:sz w:val="24"/>
          <w:szCs w:val="22"/>
        </w:rPr>
        <w:t xml:space="preserve"> Australians</w:t>
      </w:r>
      <w:r w:rsidRPr="008B044B">
        <w:rPr>
          <w:rFonts w:asciiTheme="minorHAnsi" w:hAnsiTheme="minorHAnsi" w:cstheme="minorHAnsi"/>
          <w:sz w:val="24"/>
          <w:szCs w:val="22"/>
        </w:rPr>
        <w:t xml:space="preserve"> and non-Indigenous </w:t>
      </w:r>
      <w:r w:rsidR="00E27B99">
        <w:rPr>
          <w:rFonts w:asciiTheme="minorHAnsi" w:hAnsiTheme="minorHAnsi" w:cstheme="minorHAnsi"/>
          <w:sz w:val="24"/>
          <w:szCs w:val="22"/>
        </w:rPr>
        <w:t>Australians</w:t>
      </w:r>
      <w:r w:rsidRPr="008B044B">
        <w:rPr>
          <w:rFonts w:asciiTheme="minorHAnsi" w:hAnsiTheme="minorHAnsi" w:cstheme="minorHAnsi"/>
          <w:sz w:val="24"/>
          <w:szCs w:val="22"/>
        </w:rPr>
        <w:t>.</w:t>
      </w:r>
      <w:r w:rsidR="00F223C8" w:rsidRPr="00E27B99">
        <w:rPr>
          <w:rFonts w:asciiTheme="minorHAnsi" w:hAnsiTheme="minorHAnsi" w:cstheme="minorHAnsi"/>
          <w:sz w:val="24"/>
          <w:szCs w:val="22"/>
        </w:rPr>
        <w:t xml:space="preserve"> </w:t>
      </w:r>
      <w:r w:rsidR="00173AE7">
        <w:rPr>
          <w:rFonts w:asciiTheme="minorHAnsi" w:hAnsiTheme="minorHAnsi" w:cstheme="minorHAnsi"/>
          <w:sz w:val="24"/>
          <w:szCs w:val="22"/>
        </w:rPr>
        <w:t xml:space="preserve">The Review found that survival rates of Aboriginal and Torres Strait Islander people are influenced by a number of factors including organ matching and post transplantation care. </w:t>
      </w:r>
      <w:r w:rsidR="00F819D9" w:rsidRPr="00E27B99">
        <w:rPr>
          <w:rFonts w:asciiTheme="minorHAnsi" w:hAnsiTheme="minorHAnsi" w:cstheme="minorHAnsi"/>
          <w:sz w:val="24"/>
          <w:szCs w:val="22"/>
        </w:rPr>
        <w:t>Limited access to medical services means that Aboriginal and Torres Strait Islander</w:t>
      </w:r>
      <w:r w:rsidR="00506886" w:rsidRPr="00E27B99">
        <w:rPr>
          <w:rFonts w:asciiTheme="minorHAnsi" w:hAnsiTheme="minorHAnsi" w:cstheme="minorHAnsi"/>
          <w:sz w:val="24"/>
          <w:szCs w:val="22"/>
        </w:rPr>
        <w:t xml:space="preserve"> </w:t>
      </w:r>
      <w:r w:rsidR="00E27B99">
        <w:rPr>
          <w:rFonts w:asciiTheme="minorHAnsi" w:hAnsiTheme="minorHAnsi" w:cstheme="minorHAnsi"/>
          <w:sz w:val="24"/>
          <w:szCs w:val="22"/>
        </w:rPr>
        <w:t>Australians often</w:t>
      </w:r>
      <w:r w:rsidR="00E27B99" w:rsidRPr="00E27B99">
        <w:rPr>
          <w:rFonts w:asciiTheme="minorHAnsi" w:hAnsiTheme="minorHAnsi" w:cstheme="minorHAnsi"/>
          <w:sz w:val="24"/>
          <w:szCs w:val="22"/>
        </w:rPr>
        <w:t xml:space="preserve"> </w:t>
      </w:r>
      <w:r w:rsidR="00F819D9" w:rsidRPr="00E27B99">
        <w:rPr>
          <w:rFonts w:asciiTheme="minorHAnsi" w:hAnsiTheme="minorHAnsi" w:cstheme="minorHAnsi"/>
          <w:sz w:val="24"/>
          <w:szCs w:val="22"/>
        </w:rPr>
        <w:t xml:space="preserve">experience </w:t>
      </w:r>
      <w:r w:rsidR="00E27B99">
        <w:rPr>
          <w:rFonts w:asciiTheme="minorHAnsi" w:hAnsiTheme="minorHAnsi" w:cstheme="minorHAnsi"/>
          <w:sz w:val="24"/>
          <w:szCs w:val="22"/>
        </w:rPr>
        <w:t>greater</w:t>
      </w:r>
      <w:r w:rsidR="00F819D9" w:rsidRPr="00E27B99">
        <w:rPr>
          <w:rFonts w:asciiTheme="minorHAnsi" w:hAnsiTheme="minorHAnsi" w:cstheme="minorHAnsi"/>
          <w:sz w:val="24"/>
          <w:szCs w:val="22"/>
        </w:rPr>
        <w:t xml:space="preserve"> difficulty</w:t>
      </w:r>
      <w:r w:rsidR="00E27B99">
        <w:rPr>
          <w:rFonts w:asciiTheme="minorHAnsi" w:hAnsiTheme="minorHAnsi" w:cstheme="minorHAnsi"/>
          <w:sz w:val="24"/>
          <w:szCs w:val="22"/>
        </w:rPr>
        <w:t xml:space="preserve"> in accessing post transplantation care. As such, they </w:t>
      </w:r>
      <w:r w:rsidR="00F819D9" w:rsidRPr="00E27B99">
        <w:rPr>
          <w:rFonts w:asciiTheme="minorHAnsi" w:hAnsiTheme="minorHAnsi" w:cstheme="minorHAnsi"/>
          <w:sz w:val="24"/>
          <w:szCs w:val="22"/>
        </w:rPr>
        <w:t>were less likely to adhere to post</w:t>
      </w:r>
      <w:r w:rsidR="00135BF0" w:rsidRPr="00E27B99">
        <w:rPr>
          <w:rFonts w:asciiTheme="minorHAnsi" w:hAnsiTheme="minorHAnsi" w:cstheme="minorHAnsi"/>
          <w:sz w:val="24"/>
          <w:szCs w:val="22"/>
        </w:rPr>
        <w:t xml:space="preserve"> </w:t>
      </w:r>
      <w:r w:rsidR="00F819D9" w:rsidRPr="00E27B99">
        <w:rPr>
          <w:rFonts w:asciiTheme="minorHAnsi" w:hAnsiTheme="minorHAnsi" w:cstheme="minorHAnsi"/>
          <w:sz w:val="24"/>
          <w:szCs w:val="22"/>
        </w:rPr>
        <w:t>transplantation care requirements, increasing their risk of infection and graft survival.</w:t>
      </w:r>
      <w:r w:rsidR="00F819D9">
        <w:rPr>
          <w:rFonts w:asciiTheme="minorHAnsi" w:hAnsiTheme="minorHAnsi" w:cstheme="minorHAnsi"/>
          <w:sz w:val="24"/>
          <w:szCs w:val="22"/>
        </w:rPr>
        <w:t xml:space="preserve"> </w:t>
      </w:r>
    </w:p>
    <w:p w14:paraId="4A6AED90" w14:textId="386448D2" w:rsidR="000D46C4" w:rsidRPr="00D253D3" w:rsidRDefault="00F223C8" w:rsidP="00F17564">
      <w:pPr>
        <w:spacing w:after="120"/>
        <w:rPr>
          <w:rFonts w:asciiTheme="minorHAnsi" w:hAnsiTheme="minorHAnsi" w:cstheme="minorHAnsi"/>
          <w:sz w:val="24"/>
          <w:szCs w:val="22"/>
        </w:rPr>
      </w:pPr>
      <w:r>
        <w:rPr>
          <w:rFonts w:asciiTheme="minorHAnsi" w:hAnsiTheme="minorHAnsi" w:cstheme="minorHAnsi"/>
          <w:sz w:val="24"/>
          <w:szCs w:val="22"/>
        </w:rPr>
        <w:t>In order to maximise the benefits of transplantation to as many Australians as possible</w:t>
      </w:r>
      <w:r w:rsidR="004C296C">
        <w:rPr>
          <w:rFonts w:asciiTheme="minorHAnsi" w:hAnsiTheme="minorHAnsi" w:cstheme="minorHAnsi"/>
          <w:sz w:val="24"/>
          <w:szCs w:val="22"/>
        </w:rPr>
        <w:t>, a national</w:t>
      </w:r>
      <w:r w:rsidR="00F819D9">
        <w:rPr>
          <w:rFonts w:asciiTheme="minorHAnsi" w:hAnsiTheme="minorHAnsi" w:cstheme="minorHAnsi"/>
          <w:sz w:val="24"/>
          <w:szCs w:val="22"/>
        </w:rPr>
        <w:t>ly coordinated approach</w:t>
      </w:r>
      <w:r w:rsidR="00AE3F5B">
        <w:rPr>
          <w:rFonts w:asciiTheme="minorHAnsi" w:hAnsiTheme="minorHAnsi" w:cstheme="minorHAnsi"/>
          <w:sz w:val="24"/>
          <w:szCs w:val="22"/>
        </w:rPr>
        <w:t xml:space="preserve"> to improve organ donation and transplantation rates among Aboriginal and Torres Strait Islander Australians</w:t>
      </w:r>
      <w:r w:rsidR="00F819D9">
        <w:rPr>
          <w:rFonts w:asciiTheme="minorHAnsi" w:hAnsiTheme="minorHAnsi" w:cstheme="minorHAnsi"/>
          <w:sz w:val="24"/>
          <w:szCs w:val="22"/>
        </w:rPr>
        <w:t xml:space="preserve"> </w:t>
      </w:r>
      <w:r w:rsidR="004C296C">
        <w:rPr>
          <w:rFonts w:asciiTheme="minorHAnsi" w:hAnsiTheme="minorHAnsi" w:cstheme="minorHAnsi"/>
          <w:sz w:val="24"/>
          <w:szCs w:val="22"/>
        </w:rPr>
        <w:t xml:space="preserve">should be </w:t>
      </w:r>
      <w:r w:rsidR="00E27B99">
        <w:rPr>
          <w:rFonts w:asciiTheme="minorHAnsi" w:hAnsiTheme="minorHAnsi" w:cstheme="minorHAnsi"/>
          <w:sz w:val="24"/>
          <w:szCs w:val="22"/>
        </w:rPr>
        <w:t>a</w:t>
      </w:r>
      <w:r w:rsidR="004C296C">
        <w:rPr>
          <w:rFonts w:asciiTheme="minorHAnsi" w:hAnsiTheme="minorHAnsi" w:cstheme="minorHAnsi"/>
          <w:sz w:val="24"/>
          <w:szCs w:val="22"/>
        </w:rPr>
        <w:t xml:space="preserve"> key part of the new strategy</w:t>
      </w:r>
      <w:r w:rsidR="002D4BB8">
        <w:rPr>
          <w:rFonts w:asciiTheme="minorHAnsi" w:hAnsiTheme="minorHAnsi" w:cstheme="minorHAnsi"/>
          <w:sz w:val="24"/>
          <w:szCs w:val="22"/>
        </w:rPr>
        <w:t>. This would assist to</w:t>
      </w:r>
      <w:r w:rsidR="004C296C">
        <w:rPr>
          <w:rFonts w:asciiTheme="minorHAnsi" w:hAnsiTheme="minorHAnsi" w:cstheme="minorHAnsi"/>
          <w:sz w:val="24"/>
          <w:szCs w:val="22"/>
        </w:rPr>
        <w:t xml:space="preserve"> overcome barriers to wait listing and </w:t>
      </w:r>
      <w:r w:rsidR="00092158">
        <w:rPr>
          <w:rFonts w:asciiTheme="minorHAnsi" w:hAnsiTheme="minorHAnsi" w:cstheme="minorHAnsi"/>
          <w:sz w:val="24"/>
          <w:szCs w:val="22"/>
        </w:rPr>
        <w:t>transplantation outcomes</w:t>
      </w:r>
      <w:r w:rsidR="004C296C">
        <w:rPr>
          <w:rFonts w:asciiTheme="minorHAnsi" w:hAnsiTheme="minorHAnsi" w:cstheme="minorHAnsi"/>
          <w:sz w:val="24"/>
          <w:szCs w:val="22"/>
        </w:rPr>
        <w:t xml:space="preserve"> and improve overall health outcomes for Aboriginal and Torres Strait Islander </w:t>
      </w:r>
      <w:r w:rsidR="00E27B99">
        <w:rPr>
          <w:rFonts w:asciiTheme="minorHAnsi" w:hAnsiTheme="minorHAnsi" w:cstheme="minorHAnsi"/>
          <w:sz w:val="24"/>
          <w:szCs w:val="22"/>
        </w:rPr>
        <w:t>Australians</w:t>
      </w:r>
      <w:r w:rsidR="004C296C">
        <w:rPr>
          <w:rFonts w:asciiTheme="minorHAnsi" w:hAnsiTheme="minorHAnsi" w:cstheme="minorHAnsi"/>
          <w:sz w:val="24"/>
          <w:szCs w:val="22"/>
        </w:rPr>
        <w:t>.</w:t>
      </w:r>
      <w:r w:rsidR="0075449A">
        <w:rPr>
          <w:rFonts w:asciiTheme="minorHAnsi" w:hAnsiTheme="minorHAnsi" w:cstheme="minorHAnsi"/>
          <w:sz w:val="24"/>
          <w:szCs w:val="22"/>
        </w:rPr>
        <w:t xml:space="preserve"> Th</w:t>
      </w:r>
      <w:r w:rsidR="00F819D9">
        <w:rPr>
          <w:rFonts w:asciiTheme="minorHAnsi" w:hAnsiTheme="minorHAnsi" w:cstheme="minorHAnsi"/>
          <w:sz w:val="24"/>
          <w:szCs w:val="22"/>
        </w:rPr>
        <w:t>is</w:t>
      </w:r>
      <w:r w:rsidR="0075449A">
        <w:rPr>
          <w:rFonts w:asciiTheme="minorHAnsi" w:hAnsiTheme="minorHAnsi" w:cstheme="minorHAnsi"/>
          <w:sz w:val="24"/>
          <w:szCs w:val="22"/>
        </w:rPr>
        <w:t xml:space="preserve"> Review </w:t>
      </w:r>
      <w:r w:rsidR="00933E1E">
        <w:rPr>
          <w:rFonts w:asciiTheme="minorHAnsi" w:hAnsiTheme="minorHAnsi" w:cstheme="minorHAnsi"/>
          <w:sz w:val="24"/>
          <w:szCs w:val="22"/>
        </w:rPr>
        <w:t>notes the importance of the project</w:t>
      </w:r>
      <w:r w:rsidR="00AE3F5B">
        <w:rPr>
          <w:rFonts w:asciiTheme="minorHAnsi" w:hAnsiTheme="minorHAnsi" w:cstheme="minorHAnsi"/>
          <w:sz w:val="24"/>
          <w:szCs w:val="22"/>
        </w:rPr>
        <w:t xml:space="preserve"> being</w:t>
      </w:r>
      <w:r w:rsidR="00933E1E">
        <w:rPr>
          <w:rFonts w:asciiTheme="minorHAnsi" w:hAnsiTheme="minorHAnsi" w:cstheme="minorHAnsi"/>
          <w:sz w:val="24"/>
          <w:szCs w:val="22"/>
        </w:rPr>
        <w:t xml:space="preserve"> undertaken by the</w:t>
      </w:r>
      <w:r w:rsidR="00BF4A6D">
        <w:rPr>
          <w:rFonts w:asciiTheme="minorHAnsi" w:hAnsiTheme="minorHAnsi" w:cstheme="minorHAnsi"/>
          <w:sz w:val="24"/>
          <w:szCs w:val="22"/>
        </w:rPr>
        <w:t xml:space="preserve"> </w:t>
      </w:r>
      <w:r w:rsidR="00BF4A6D" w:rsidRPr="00E1478C">
        <w:rPr>
          <w:rFonts w:asciiTheme="minorHAnsi" w:hAnsiTheme="minorHAnsi" w:cstheme="minorHAnsi"/>
          <w:sz w:val="24"/>
          <w:szCs w:val="22"/>
        </w:rPr>
        <w:t xml:space="preserve">TSANZ </w:t>
      </w:r>
      <w:r w:rsidR="00BF4A6D">
        <w:rPr>
          <w:rFonts w:asciiTheme="minorHAnsi" w:hAnsiTheme="minorHAnsi" w:cstheme="minorHAnsi"/>
          <w:sz w:val="24"/>
          <w:szCs w:val="22"/>
        </w:rPr>
        <w:t>to identify the specific</w:t>
      </w:r>
      <w:r w:rsidR="00BF4A6D" w:rsidRPr="00E1478C">
        <w:rPr>
          <w:rFonts w:asciiTheme="minorHAnsi" w:hAnsiTheme="minorHAnsi" w:cstheme="minorHAnsi"/>
          <w:sz w:val="24"/>
          <w:szCs w:val="22"/>
        </w:rPr>
        <w:t xml:space="preserve"> hurdles, service gaps and practical challenges faced by Aboriginal and Torres Strait Islander </w:t>
      </w:r>
      <w:r w:rsidR="00E27B99">
        <w:rPr>
          <w:rFonts w:asciiTheme="minorHAnsi" w:hAnsiTheme="minorHAnsi" w:cstheme="minorHAnsi"/>
          <w:sz w:val="24"/>
          <w:szCs w:val="22"/>
        </w:rPr>
        <w:t>Australians</w:t>
      </w:r>
      <w:r w:rsidR="00BF4A6D" w:rsidRPr="00E1478C">
        <w:rPr>
          <w:rFonts w:asciiTheme="minorHAnsi" w:hAnsiTheme="minorHAnsi" w:cstheme="minorHAnsi"/>
          <w:sz w:val="24"/>
          <w:szCs w:val="22"/>
        </w:rPr>
        <w:t xml:space="preserve"> receiving treatment of renal disease</w:t>
      </w:r>
      <w:r w:rsidR="001A7934">
        <w:rPr>
          <w:rFonts w:asciiTheme="minorHAnsi" w:hAnsiTheme="minorHAnsi" w:cstheme="minorHAnsi"/>
          <w:sz w:val="24"/>
          <w:szCs w:val="22"/>
        </w:rPr>
        <w:t xml:space="preserve">. This work will also </w:t>
      </w:r>
      <w:r w:rsidR="00BF4A6D">
        <w:rPr>
          <w:rFonts w:asciiTheme="minorHAnsi" w:hAnsiTheme="minorHAnsi" w:cstheme="minorHAnsi"/>
          <w:sz w:val="24"/>
          <w:szCs w:val="22"/>
        </w:rPr>
        <w:t xml:space="preserve">further inform </w:t>
      </w:r>
      <w:r w:rsidR="001A7934">
        <w:rPr>
          <w:rFonts w:asciiTheme="minorHAnsi" w:hAnsiTheme="minorHAnsi" w:cstheme="minorHAnsi"/>
          <w:sz w:val="24"/>
          <w:szCs w:val="22"/>
        </w:rPr>
        <w:t xml:space="preserve">the </w:t>
      </w:r>
      <w:r w:rsidR="00BF4A6D">
        <w:rPr>
          <w:rFonts w:asciiTheme="minorHAnsi" w:hAnsiTheme="minorHAnsi" w:cstheme="minorHAnsi"/>
          <w:sz w:val="24"/>
          <w:szCs w:val="22"/>
        </w:rPr>
        <w:t xml:space="preserve">future strategy. </w:t>
      </w:r>
      <w:r w:rsidR="00957D56">
        <w:rPr>
          <w:rFonts w:asciiTheme="minorHAnsi" w:hAnsiTheme="minorHAnsi" w:cstheme="minorHAnsi"/>
          <w:sz w:val="24"/>
          <w:szCs w:val="22"/>
        </w:rPr>
        <w:t xml:space="preserve">The </w:t>
      </w:r>
      <w:r w:rsidR="00506886">
        <w:rPr>
          <w:rFonts w:asciiTheme="minorHAnsi" w:hAnsiTheme="minorHAnsi" w:cstheme="minorHAnsi"/>
          <w:sz w:val="24"/>
          <w:szCs w:val="22"/>
        </w:rPr>
        <w:t>Australian Government</w:t>
      </w:r>
      <w:r w:rsidR="00957D56">
        <w:rPr>
          <w:rFonts w:asciiTheme="minorHAnsi" w:hAnsiTheme="minorHAnsi" w:cstheme="minorHAnsi"/>
          <w:sz w:val="24"/>
          <w:szCs w:val="22"/>
        </w:rPr>
        <w:t xml:space="preserve"> Department of Health similarly acknowledges its importance, as </w:t>
      </w:r>
      <w:r w:rsidR="001A7934">
        <w:rPr>
          <w:rFonts w:asciiTheme="minorHAnsi" w:hAnsiTheme="minorHAnsi" w:cstheme="minorHAnsi"/>
          <w:sz w:val="24"/>
          <w:szCs w:val="22"/>
        </w:rPr>
        <w:t>recognised by the</w:t>
      </w:r>
      <w:r w:rsidR="00957D56">
        <w:rPr>
          <w:rFonts w:asciiTheme="minorHAnsi" w:hAnsiTheme="minorHAnsi" w:cstheme="minorHAnsi"/>
          <w:sz w:val="24"/>
          <w:szCs w:val="22"/>
        </w:rPr>
        <w:t xml:space="preserve"> funding arrangement</w:t>
      </w:r>
      <w:r w:rsidR="001A7934">
        <w:rPr>
          <w:rFonts w:asciiTheme="minorHAnsi" w:hAnsiTheme="minorHAnsi" w:cstheme="minorHAnsi"/>
          <w:sz w:val="24"/>
          <w:szCs w:val="22"/>
        </w:rPr>
        <w:t>s</w:t>
      </w:r>
      <w:r w:rsidR="00957D56">
        <w:rPr>
          <w:rFonts w:asciiTheme="minorHAnsi" w:hAnsiTheme="minorHAnsi" w:cstheme="minorHAnsi"/>
          <w:sz w:val="24"/>
          <w:szCs w:val="22"/>
        </w:rPr>
        <w:t xml:space="preserve"> currently in place </w:t>
      </w:r>
      <w:r w:rsidR="009B0E53">
        <w:rPr>
          <w:rFonts w:asciiTheme="minorHAnsi" w:hAnsiTheme="minorHAnsi" w:cstheme="minorHAnsi"/>
          <w:sz w:val="24"/>
          <w:szCs w:val="22"/>
        </w:rPr>
        <w:t>with the</w:t>
      </w:r>
      <w:r w:rsidR="00957D56">
        <w:rPr>
          <w:rFonts w:asciiTheme="minorHAnsi" w:hAnsiTheme="minorHAnsi" w:cstheme="minorHAnsi"/>
          <w:sz w:val="24"/>
          <w:szCs w:val="22"/>
        </w:rPr>
        <w:t xml:space="preserve"> TSANZ to address these issues.</w:t>
      </w:r>
    </w:p>
    <w:p w14:paraId="032884D5" w14:textId="77777777" w:rsidR="00243DDF" w:rsidRPr="00F17564" w:rsidRDefault="00243DDF" w:rsidP="00F17564">
      <w:pPr>
        <w:tabs>
          <w:tab w:val="num" w:pos="720"/>
        </w:tabs>
        <w:spacing w:after="120"/>
        <w:rPr>
          <w:rFonts w:asciiTheme="minorHAnsi" w:hAnsiTheme="minorHAnsi" w:cstheme="minorHAnsi"/>
          <w:i/>
          <w:color w:val="808080" w:themeColor="background1" w:themeShade="80"/>
          <w:sz w:val="26"/>
          <w:szCs w:val="26"/>
        </w:rPr>
      </w:pPr>
      <w:r w:rsidRPr="00F17564">
        <w:rPr>
          <w:rFonts w:asciiTheme="minorHAnsi" w:hAnsiTheme="minorHAnsi" w:cstheme="minorHAnsi"/>
          <w:i/>
          <w:color w:val="808080" w:themeColor="background1" w:themeShade="80"/>
          <w:sz w:val="26"/>
          <w:szCs w:val="26"/>
        </w:rPr>
        <w:t xml:space="preserve">Australians living in </w:t>
      </w:r>
      <w:r w:rsidR="004616C9">
        <w:rPr>
          <w:rFonts w:asciiTheme="minorHAnsi" w:hAnsiTheme="minorHAnsi" w:cstheme="minorHAnsi"/>
          <w:i/>
          <w:color w:val="808080" w:themeColor="background1" w:themeShade="80"/>
          <w:sz w:val="26"/>
          <w:szCs w:val="26"/>
        </w:rPr>
        <w:t>rural and remote</w:t>
      </w:r>
      <w:r w:rsidRPr="00F17564">
        <w:rPr>
          <w:rFonts w:asciiTheme="minorHAnsi" w:hAnsiTheme="minorHAnsi" w:cstheme="minorHAnsi"/>
          <w:i/>
          <w:color w:val="808080" w:themeColor="background1" w:themeShade="80"/>
          <w:sz w:val="26"/>
          <w:szCs w:val="26"/>
        </w:rPr>
        <w:t xml:space="preserve"> locations</w:t>
      </w:r>
    </w:p>
    <w:p w14:paraId="447C98D9" w14:textId="77777777" w:rsidR="004332BF" w:rsidRPr="00FC6D43" w:rsidRDefault="00F7298B" w:rsidP="00F17564">
      <w:pPr>
        <w:spacing w:after="120"/>
        <w:rPr>
          <w:rFonts w:asciiTheme="minorHAnsi" w:hAnsiTheme="minorHAnsi" w:cstheme="minorHAnsi"/>
          <w:sz w:val="24"/>
          <w:szCs w:val="22"/>
        </w:rPr>
      </w:pPr>
      <w:r>
        <w:rPr>
          <w:rFonts w:asciiTheme="minorHAnsi" w:hAnsiTheme="minorHAnsi" w:cstheme="minorHAnsi"/>
          <w:sz w:val="24"/>
          <w:szCs w:val="22"/>
        </w:rPr>
        <w:t>Around seven million people – about 29</w:t>
      </w:r>
      <w:r w:rsidR="009B0E53">
        <w:rPr>
          <w:rFonts w:asciiTheme="minorHAnsi" w:hAnsiTheme="minorHAnsi" w:cstheme="minorHAnsi"/>
          <w:sz w:val="24"/>
          <w:szCs w:val="22"/>
        </w:rPr>
        <w:t xml:space="preserve"> per cent</w:t>
      </w:r>
      <w:r>
        <w:rPr>
          <w:rFonts w:asciiTheme="minorHAnsi" w:hAnsiTheme="minorHAnsi" w:cstheme="minorHAnsi"/>
          <w:sz w:val="24"/>
          <w:szCs w:val="22"/>
        </w:rPr>
        <w:t xml:space="preserve"> of the population – live in rural and remote areas </w:t>
      </w:r>
      <w:r w:rsidRPr="00D16A5C">
        <w:rPr>
          <w:rFonts w:asciiTheme="minorHAnsi" w:hAnsiTheme="minorHAnsi" w:cstheme="minorHAnsi"/>
          <w:sz w:val="24"/>
          <w:szCs w:val="22"/>
        </w:rPr>
        <w:t>of Australia.</w:t>
      </w:r>
      <w:r w:rsidRPr="00D16A5C">
        <w:rPr>
          <w:rStyle w:val="FootnoteReference"/>
          <w:rFonts w:asciiTheme="minorHAnsi" w:hAnsiTheme="minorHAnsi" w:cstheme="minorHAnsi"/>
        </w:rPr>
        <w:footnoteReference w:id="13"/>
      </w:r>
      <w:r w:rsidRPr="00D16A5C">
        <w:rPr>
          <w:rFonts w:asciiTheme="minorHAnsi" w:hAnsiTheme="minorHAnsi" w:cstheme="minorHAnsi"/>
          <w:sz w:val="24"/>
          <w:szCs w:val="22"/>
        </w:rPr>
        <w:t xml:space="preserve"> </w:t>
      </w:r>
      <w:r w:rsidR="00450BEC" w:rsidRPr="00D16A5C">
        <w:rPr>
          <w:rFonts w:asciiTheme="minorHAnsi" w:hAnsiTheme="minorHAnsi" w:cstheme="minorHAnsi"/>
          <w:sz w:val="24"/>
          <w:szCs w:val="22"/>
        </w:rPr>
        <w:t xml:space="preserve">They </w:t>
      </w:r>
      <w:r w:rsidR="00DA4165" w:rsidRPr="00D16A5C">
        <w:rPr>
          <w:rFonts w:asciiTheme="minorHAnsi" w:hAnsiTheme="minorHAnsi" w:cstheme="minorHAnsi"/>
          <w:sz w:val="24"/>
          <w:szCs w:val="22"/>
        </w:rPr>
        <w:t xml:space="preserve">experience unique challenges due to their geographic isolation and often have poorer health outcomes than </w:t>
      </w:r>
      <w:r w:rsidR="00D16A5C" w:rsidRPr="00D16A5C">
        <w:rPr>
          <w:rFonts w:asciiTheme="minorHAnsi" w:hAnsiTheme="minorHAnsi" w:cstheme="minorHAnsi"/>
          <w:sz w:val="24"/>
          <w:szCs w:val="22"/>
        </w:rPr>
        <w:t>Australians</w:t>
      </w:r>
      <w:r w:rsidR="00DA4165" w:rsidRPr="00D16A5C">
        <w:rPr>
          <w:rFonts w:asciiTheme="minorHAnsi" w:hAnsiTheme="minorHAnsi" w:cstheme="minorHAnsi"/>
          <w:sz w:val="24"/>
          <w:szCs w:val="22"/>
        </w:rPr>
        <w:t xml:space="preserve"> living in major cities.</w:t>
      </w:r>
      <w:r w:rsidR="00DA4165" w:rsidRPr="00D16A5C">
        <w:rPr>
          <w:rStyle w:val="FootnoteReference"/>
          <w:rFonts w:asciiTheme="minorHAnsi" w:hAnsiTheme="minorHAnsi" w:cstheme="minorHAnsi"/>
        </w:rPr>
        <w:footnoteReference w:id="14"/>
      </w:r>
      <w:r w:rsidR="00DA4165" w:rsidRPr="00D16A5C">
        <w:rPr>
          <w:rFonts w:asciiTheme="minorHAnsi" w:hAnsiTheme="minorHAnsi" w:cstheme="minorHAnsi"/>
          <w:sz w:val="24"/>
          <w:szCs w:val="22"/>
        </w:rPr>
        <w:t xml:space="preserve"> In line with this, t</w:t>
      </w:r>
      <w:r w:rsidR="00243DDF" w:rsidRPr="00D16A5C">
        <w:rPr>
          <w:rFonts w:asciiTheme="minorHAnsi" w:hAnsiTheme="minorHAnsi" w:cstheme="minorHAnsi"/>
          <w:sz w:val="24"/>
          <w:szCs w:val="22"/>
        </w:rPr>
        <w:t xml:space="preserve">he Review found that </w:t>
      </w:r>
      <w:r w:rsidR="0075449A" w:rsidRPr="00D16A5C">
        <w:rPr>
          <w:rFonts w:asciiTheme="minorHAnsi" w:hAnsiTheme="minorHAnsi" w:cstheme="minorHAnsi"/>
          <w:sz w:val="24"/>
          <w:szCs w:val="22"/>
        </w:rPr>
        <w:t>Australians who live in rural and remote locations</w:t>
      </w:r>
      <w:r w:rsidR="00F819D9" w:rsidRPr="0058186E">
        <w:rPr>
          <w:rFonts w:asciiTheme="minorHAnsi" w:hAnsiTheme="minorHAnsi" w:cstheme="minorHAnsi"/>
          <w:sz w:val="24"/>
          <w:szCs w:val="22"/>
        </w:rPr>
        <w:t xml:space="preserve"> </w:t>
      </w:r>
      <w:r w:rsidR="0075449A" w:rsidRPr="0058186E">
        <w:rPr>
          <w:rFonts w:asciiTheme="minorHAnsi" w:hAnsiTheme="minorHAnsi" w:cstheme="minorHAnsi"/>
          <w:sz w:val="24"/>
          <w:szCs w:val="22"/>
        </w:rPr>
        <w:t xml:space="preserve">experience </w:t>
      </w:r>
      <w:r w:rsidR="00DA4165" w:rsidRPr="0058186E">
        <w:rPr>
          <w:rFonts w:asciiTheme="minorHAnsi" w:hAnsiTheme="minorHAnsi" w:cstheme="minorHAnsi"/>
          <w:sz w:val="24"/>
          <w:szCs w:val="22"/>
        </w:rPr>
        <w:t>hig</w:t>
      </w:r>
      <w:r w:rsidR="00DA4165" w:rsidRPr="00FC6D43">
        <w:rPr>
          <w:rFonts w:asciiTheme="minorHAnsi" w:hAnsiTheme="minorHAnsi" w:cstheme="minorHAnsi"/>
          <w:sz w:val="24"/>
          <w:szCs w:val="22"/>
        </w:rPr>
        <w:t>her rates of chronic organ disease</w:t>
      </w:r>
      <w:r w:rsidR="00450BEC" w:rsidRPr="00FC6D43">
        <w:rPr>
          <w:rFonts w:asciiTheme="minorHAnsi" w:hAnsiTheme="minorHAnsi" w:cstheme="minorHAnsi"/>
          <w:sz w:val="24"/>
          <w:szCs w:val="22"/>
        </w:rPr>
        <w:t>,</w:t>
      </w:r>
      <w:r w:rsidR="004332BF" w:rsidRPr="00FC6D43">
        <w:rPr>
          <w:rFonts w:asciiTheme="minorHAnsi" w:hAnsiTheme="minorHAnsi" w:cstheme="minorHAnsi"/>
          <w:sz w:val="24"/>
          <w:szCs w:val="22"/>
        </w:rPr>
        <w:t xml:space="preserve"> yet experience significant barriers to transplantation.</w:t>
      </w:r>
    </w:p>
    <w:p w14:paraId="7B00A2E2" w14:textId="77777777" w:rsidR="00D253D3" w:rsidRDefault="004332BF" w:rsidP="00F17564">
      <w:pPr>
        <w:spacing w:after="120"/>
        <w:rPr>
          <w:rFonts w:asciiTheme="minorHAnsi" w:hAnsiTheme="minorHAnsi" w:cstheme="minorHAnsi"/>
          <w:sz w:val="24"/>
          <w:szCs w:val="22"/>
        </w:rPr>
      </w:pPr>
      <w:r w:rsidRPr="0085695A">
        <w:rPr>
          <w:rFonts w:asciiTheme="minorHAnsi" w:hAnsiTheme="minorHAnsi" w:cstheme="minorHAnsi"/>
          <w:sz w:val="24"/>
          <w:szCs w:val="22"/>
        </w:rPr>
        <w:t xml:space="preserve">The Review found that Australians living in very remote areas have more than six times the rate of kidney and urinary diseases </w:t>
      </w:r>
      <w:r w:rsidR="009C6449" w:rsidRPr="0085695A">
        <w:rPr>
          <w:rFonts w:asciiTheme="minorHAnsi" w:hAnsiTheme="minorHAnsi" w:cstheme="minorHAnsi"/>
          <w:sz w:val="24"/>
          <w:szCs w:val="22"/>
        </w:rPr>
        <w:t>and just under double the rate of</w:t>
      </w:r>
      <w:r w:rsidR="009C6449" w:rsidRPr="00FA7E3A">
        <w:rPr>
          <w:rFonts w:asciiTheme="minorHAnsi" w:hAnsiTheme="minorHAnsi" w:cstheme="minorHAnsi"/>
          <w:sz w:val="24"/>
          <w:szCs w:val="22"/>
        </w:rPr>
        <w:t xml:space="preserve"> dialysis </w:t>
      </w:r>
      <w:r w:rsidR="00A324FB" w:rsidRPr="00FA7E3A">
        <w:rPr>
          <w:rFonts w:asciiTheme="minorHAnsi" w:hAnsiTheme="minorHAnsi" w:cstheme="minorHAnsi"/>
          <w:sz w:val="24"/>
          <w:szCs w:val="22"/>
        </w:rPr>
        <w:t>compared to</w:t>
      </w:r>
      <w:r w:rsidRPr="00F805BF">
        <w:rPr>
          <w:rFonts w:asciiTheme="minorHAnsi" w:hAnsiTheme="minorHAnsi" w:cstheme="minorHAnsi"/>
          <w:sz w:val="24"/>
          <w:szCs w:val="22"/>
        </w:rPr>
        <w:t xml:space="preserve"> Australians </w:t>
      </w:r>
      <w:r w:rsidRPr="00F805BF">
        <w:rPr>
          <w:rFonts w:asciiTheme="minorHAnsi" w:hAnsiTheme="minorHAnsi" w:cstheme="minorHAnsi"/>
          <w:sz w:val="24"/>
          <w:szCs w:val="22"/>
        </w:rPr>
        <w:lastRenderedPageBreak/>
        <w:t>living in major cities.</w:t>
      </w:r>
      <w:r w:rsidRPr="003A517E">
        <w:rPr>
          <w:rStyle w:val="FootnoteReference"/>
          <w:rFonts w:asciiTheme="minorHAnsi" w:hAnsiTheme="minorHAnsi" w:cstheme="minorHAnsi"/>
        </w:rPr>
        <w:footnoteReference w:id="15"/>
      </w:r>
      <w:r w:rsidR="009C6449" w:rsidRPr="00D16A5C">
        <w:rPr>
          <w:rFonts w:asciiTheme="minorHAnsi" w:hAnsiTheme="minorHAnsi" w:cstheme="minorHAnsi"/>
          <w:sz w:val="24"/>
          <w:szCs w:val="22"/>
        </w:rPr>
        <w:t xml:space="preserve"> </w:t>
      </w:r>
      <w:r w:rsidRPr="00D16A5C">
        <w:rPr>
          <w:rFonts w:asciiTheme="minorHAnsi" w:hAnsiTheme="minorHAnsi" w:cstheme="minorHAnsi"/>
          <w:sz w:val="24"/>
          <w:szCs w:val="22"/>
        </w:rPr>
        <w:t xml:space="preserve">However, Australians living in rural and remote locations are </w:t>
      </w:r>
      <w:r w:rsidR="00B81713" w:rsidRPr="00D16A5C">
        <w:rPr>
          <w:rFonts w:asciiTheme="minorHAnsi" w:hAnsiTheme="minorHAnsi" w:cstheme="minorHAnsi"/>
          <w:sz w:val="24"/>
          <w:szCs w:val="22"/>
        </w:rPr>
        <w:t>about half as likely to receive a kidney transplantation.</w:t>
      </w:r>
      <w:r w:rsidR="009C6449" w:rsidRPr="003A517E">
        <w:rPr>
          <w:rStyle w:val="FootnoteReference"/>
          <w:rFonts w:asciiTheme="minorHAnsi" w:hAnsiTheme="minorHAnsi" w:cstheme="minorHAnsi"/>
        </w:rPr>
        <w:footnoteReference w:id="16"/>
      </w:r>
      <w:r w:rsidR="009C6449" w:rsidRPr="00D16A5C">
        <w:rPr>
          <w:rFonts w:asciiTheme="minorHAnsi" w:hAnsiTheme="minorHAnsi" w:cstheme="minorHAnsi"/>
          <w:sz w:val="24"/>
          <w:szCs w:val="22"/>
        </w:rPr>
        <w:t xml:space="preserve"> This is due to factors such as distance, travel costs, access to appropriate specialists</w:t>
      </w:r>
      <w:r w:rsidR="00A324FB" w:rsidRPr="00D16A5C">
        <w:rPr>
          <w:rFonts w:asciiTheme="minorHAnsi" w:hAnsiTheme="minorHAnsi" w:cstheme="minorHAnsi"/>
          <w:sz w:val="24"/>
          <w:szCs w:val="22"/>
        </w:rPr>
        <w:t>,</w:t>
      </w:r>
      <w:r w:rsidR="009C6449" w:rsidRPr="00D16A5C">
        <w:rPr>
          <w:rFonts w:asciiTheme="minorHAnsi" w:hAnsiTheme="minorHAnsi" w:cstheme="minorHAnsi"/>
          <w:sz w:val="24"/>
          <w:szCs w:val="22"/>
        </w:rPr>
        <w:t xml:space="preserve"> access to appropriate</w:t>
      </w:r>
      <w:r w:rsidR="009C6449">
        <w:rPr>
          <w:rFonts w:asciiTheme="minorHAnsi" w:hAnsiTheme="minorHAnsi" w:cstheme="minorHAnsi"/>
          <w:sz w:val="24"/>
          <w:szCs w:val="22"/>
        </w:rPr>
        <w:t xml:space="preserve"> assessment and </w:t>
      </w:r>
      <w:r w:rsidR="00D16A5C">
        <w:rPr>
          <w:rFonts w:asciiTheme="minorHAnsi" w:hAnsiTheme="minorHAnsi" w:cstheme="minorHAnsi"/>
          <w:sz w:val="24"/>
          <w:szCs w:val="22"/>
        </w:rPr>
        <w:t xml:space="preserve">access to </w:t>
      </w:r>
      <w:r w:rsidR="009C6449">
        <w:rPr>
          <w:rFonts w:asciiTheme="minorHAnsi" w:hAnsiTheme="minorHAnsi" w:cstheme="minorHAnsi"/>
          <w:sz w:val="24"/>
          <w:szCs w:val="22"/>
        </w:rPr>
        <w:t xml:space="preserve">post </w:t>
      </w:r>
      <w:r w:rsidR="00E634FA">
        <w:rPr>
          <w:rFonts w:asciiTheme="minorHAnsi" w:hAnsiTheme="minorHAnsi" w:cstheme="minorHAnsi"/>
          <w:sz w:val="24"/>
          <w:szCs w:val="22"/>
        </w:rPr>
        <w:t>transplantation services</w:t>
      </w:r>
      <w:r w:rsidR="009C6449">
        <w:rPr>
          <w:rFonts w:asciiTheme="minorHAnsi" w:hAnsiTheme="minorHAnsi" w:cstheme="minorHAnsi"/>
          <w:sz w:val="24"/>
          <w:szCs w:val="22"/>
        </w:rPr>
        <w:t xml:space="preserve">. </w:t>
      </w:r>
      <w:r w:rsidR="009C6449" w:rsidRPr="00043531">
        <w:rPr>
          <w:rFonts w:asciiTheme="minorHAnsi" w:hAnsiTheme="minorHAnsi" w:cstheme="minorHAnsi"/>
          <w:sz w:val="24"/>
          <w:szCs w:val="22"/>
        </w:rPr>
        <w:t xml:space="preserve">The Review found that people living in rural and remote locations were </w:t>
      </w:r>
      <w:r w:rsidR="00043531" w:rsidRPr="00043531">
        <w:rPr>
          <w:rFonts w:asciiTheme="minorHAnsi" w:hAnsiTheme="minorHAnsi" w:cstheme="minorHAnsi"/>
          <w:sz w:val="24"/>
          <w:szCs w:val="22"/>
        </w:rPr>
        <w:t>significantly</w:t>
      </w:r>
      <w:r w:rsidR="008F304B" w:rsidRPr="00043531">
        <w:rPr>
          <w:rFonts w:asciiTheme="minorHAnsi" w:hAnsiTheme="minorHAnsi" w:cstheme="minorHAnsi"/>
          <w:sz w:val="24"/>
          <w:szCs w:val="22"/>
        </w:rPr>
        <w:t xml:space="preserve"> less</w:t>
      </w:r>
      <w:r w:rsidR="009C6449" w:rsidRPr="00043531">
        <w:rPr>
          <w:rFonts w:asciiTheme="minorHAnsi" w:hAnsiTheme="minorHAnsi" w:cstheme="minorHAnsi"/>
          <w:sz w:val="24"/>
          <w:szCs w:val="22"/>
        </w:rPr>
        <w:t xml:space="preserve"> likely to be </w:t>
      </w:r>
      <w:r w:rsidR="003A2CAC" w:rsidRPr="00043531">
        <w:rPr>
          <w:rFonts w:asciiTheme="minorHAnsi" w:hAnsiTheme="minorHAnsi" w:cstheme="minorHAnsi"/>
          <w:sz w:val="24"/>
          <w:szCs w:val="22"/>
        </w:rPr>
        <w:t>wait</w:t>
      </w:r>
      <w:r w:rsidR="00446B01">
        <w:rPr>
          <w:rFonts w:asciiTheme="minorHAnsi" w:hAnsiTheme="minorHAnsi" w:cstheme="minorHAnsi"/>
          <w:sz w:val="24"/>
          <w:szCs w:val="22"/>
        </w:rPr>
        <w:t xml:space="preserve"> </w:t>
      </w:r>
      <w:r w:rsidR="003A2CAC" w:rsidRPr="00043531">
        <w:rPr>
          <w:rFonts w:asciiTheme="minorHAnsi" w:hAnsiTheme="minorHAnsi" w:cstheme="minorHAnsi"/>
          <w:sz w:val="24"/>
          <w:szCs w:val="22"/>
        </w:rPr>
        <w:t>listed for kidney transplantation compared to Australians living in major cities.</w:t>
      </w:r>
      <w:r w:rsidR="00043531" w:rsidRPr="00043531">
        <w:rPr>
          <w:rStyle w:val="FootnoteReference"/>
          <w:rFonts w:asciiTheme="minorHAnsi" w:hAnsiTheme="minorHAnsi" w:cstheme="minorHAnsi"/>
        </w:rPr>
        <w:footnoteReference w:id="17"/>
      </w:r>
      <w:r w:rsidR="003A2CAC" w:rsidRPr="00043531">
        <w:rPr>
          <w:rFonts w:asciiTheme="minorHAnsi" w:hAnsiTheme="minorHAnsi" w:cstheme="minorHAnsi"/>
          <w:sz w:val="24"/>
          <w:szCs w:val="22"/>
        </w:rPr>
        <w:t xml:space="preserve"> </w:t>
      </w:r>
      <w:r w:rsidR="00D253D3">
        <w:rPr>
          <w:rFonts w:asciiTheme="minorHAnsi" w:hAnsiTheme="minorHAnsi" w:cstheme="minorHAnsi"/>
          <w:sz w:val="24"/>
          <w:szCs w:val="22"/>
        </w:rPr>
        <w:t>This means that Australians living in rural and remote locations are not receiving</w:t>
      </w:r>
      <w:r w:rsidR="00ED3A8D">
        <w:rPr>
          <w:rFonts w:asciiTheme="minorHAnsi" w:hAnsiTheme="minorHAnsi" w:cstheme="minorHAnsi"/>
          <w:sz w:val="24"/>
          <w:szCs w:val="22"/>
        </w:rPr>
        <w:t xml:space="preserve"> the same level of </w:t>
      </w:r>
      <w:r w:rsidR="00D253D3">
        <w:rPr>
          <w:rFonts w:asciiTheme="minorHAnsi" w:hAnsiTheme="minorHAnsi" w:cstheme="minorHAnsi"/>
          <w:sz w:val="24"/>
          <w:szCs w:val="22"/>
        </w:rPr>
        <w:t>access to assessment</w:t>
      </w:r>
      <w:r w:rsidR="002D4BB8">
        <w:rPr>
          <w:rFonts w:asciiTheme="minorHAnsi" w:hAnsiTheme="minorHAnsi" w:cstheme="minorHAnsi"/>
          <w:sz w:val="24"/>
          <w:szCs w:val="22"/>
        </w:rPr>
        <w:t>,</w:t>
      </w:r>
      <w:r w:rsidR="00D253D3">
        <w:rPr>
          <w:rFonts w:asciiTheme="minorHAnsi" w:hAnsiTheme="minorHAnsi" w:cstheme="minorHAnsi"/>
          <w:sz w:val="24"/>
          <w:szCs w:val="22"/>
        </w:rPr>
        <w:t xml:space="preserve"> or </w:t>
      </w:r>
      <w:r w:rsidR="00F819D9">
        <w:rPr>
          <w:rFonts w:asciiTheme="minorHAnsi" w:hAnsiTheme="minorHAnsi" w:cstheme="minorHAnsi"/>
          <w:sz w:val="24"/>
          <w:szCs w:val="22"/>
        </w:rPr>
        <w:t xml:space="preserve">are </w:t>
      </w:r>
      <w:r w:rsidR="00D253D3">
        <w:rPr>
          <w:rFonts w:asciiTheme="minorHAnsi" w:hAnsiTheme="minorHAnsi" w:cstheme="minorHAnsi"/>
          <w:sz w:val="24"/>
          <w:szCs w:val="22"/>
        </w:rPr>
        <w:t>being assessed late</w:t>
      </w:r>
      <w:r w:rsidR="002D4BB8">
        <w:rPr>
          <w:rFonts w:asciiTheme="minorHAnsi" w:hAnsiTheme="minorHAnsi" w:cstheme="minorHAnsi"/>
          <w:sz w:val="24"/>
          <w:szCs w:val="22"/>
        </w:rPr>
        <w:t>,</w:t>
      </w:r>
      <w:r w:rsidR="00D253D3">
        <w:rPr>
          <w:rFonts w:asciiTheme="minorHAnsi" w:hAnsiTheme="minorHAnsi" w:cstheme="minorHAnsi"/>
          <w:sz w:val="24"/>
          <w:szCs w:val="22"/>
        </w:rPr>
        <w:t xml:space="preserve"> which dramatically decreases the potential health outcomes from transplantation.</w:t>
      </w:r>
    </w:p>
    <w:p w14:paraId="6275B814" w14:textId="77777777" w:rsidR="00752070" w:rsidRPr="00EF2596" w:rsidRDefault="00D253D3" w:rsidP="00F17564">
      <w:pPr>
        <w:spacing w:after="120"/>
        <w:rPr>
          <w:rFonts w:asciiTheme="minorHAnsi" w:hAnsiTheme="minorHAnsi" w:cstheme="minorHAnsi"/>
          <w:sz w:val="24"/>
          <w:szCs w:val="22"/>
        </w:rPr>
      </w:pPr>
      <w:r w:rsidRPr="00EF2596">
        <w:rPr>
          <w:rFonts w:asciiTheme="minorHAnsi" w:hAnsiTheme="minorHAnsi" w:cstheme="minorHAnsi"/>
          <w:sz w:val="24"/>
          <w:szCs w:val="22"/>
        </w:rPr>
        <w:t xml:space="preserve">The Review recommends a </w:t>
      </w:r>
      <w:r w:rsidR="001A2D96" w:rsidRPr="00EF2596">
        <w:rPr>
          <w:rFonts w:asciiTheme="minorHAnsi" w:hAnsiTheme="minorHAnsi" w:cstheme="minorHAnsi"/>
          <w:sz w:val="24"/>
          <w:szCs w:val="22"/>
        </w:rPr>
        <w:t xml:space="preserve">nationally coordinated effort </w:t>
      </w:r>
      <w:r w:rsidRPr="00EF2596">
        <w:rPr>
          <w:rFonts w:asciiTheme="minorHAnsi" w:hAnsiTheme="minorHAnsi" w:cstheme="minorHAnsi"/>
          <w:sz w:val="24"/>
          <w:szCs w:val="22"/>
        </w:rPr>
        <w:t xml:space="preserve">to improve access to transplantation and reduce inequities for Australians living in rural and remote locations as part of the </w:t>
      </w:r>
      <w:r w:rsidR="001C6B16" w:rsidRPr="00EF2596">
        <w:rPr>
          <w:rFonts w:asciiTheme="minorHAnsi" w:hAnsiTheme="minorHAnsi" w:cstheme="minorHAnsi"/>
          <w:sz w:val="24"/>
          <w:szCs w:val="22"/>
        </w:rPr>
        <w:t>future</w:t>
      </w:r>
      <w:r w:rsidRPr="00EF2596">
        <w:rPr>
          <w:rFonts w:asciiTheme="minorHAnsi" w:hAnsiTheme="minorHAnsi" w:cstheme="minorHAnsi"/>
          <w:sz w:val="24"/>
          <w:szCs w:val="22"/>
        </w:rPr>
        <w:t xml:space="preserve"> strategy. </w:t>
      </w:r>
      <w:r w:rsidR="00161E9A" w:rsidRPr="00EF2596">
        <w:rPr>
          <w:rFonts w:asciiTheme="minorHAnsi" w:hAnsiTheme="minorHAnsi" w:cstheme="minorHAnsi"/>
          <w:sz w:val="24"/>
          <w:szCs w:val="22"/>
        </w:rPr>
        <w:t xml:space="preserve">Detailed strategies that aim to </w:t>
      </w:r>
      <w:r w:rsidR="001C6B16" w:rsidRPr="00EF2596">
        <w:rPr>
          <w:rFonts w:asciiTheme="minorHAnsi" w:hAnsiTheme="minorHAnsi" w:cstheme="minorHAnsi"/>
          <w:sz w:val="24"/>
          <w:szCs w:val="22"/>
        </w:rPr>
        <w:t>improve</w:t>
      </w:r>
      <w:r w:rsidR="00161E9A" w:rsidRPr="00EF2596">
        <w:rPr>
          <w:rFonts w:asciiTheme="minorHAnsi" w:hAnsiTheme="minorHAnsi" w:cstheme="minorHAnsi"/>
          <w:sz w:val="24"/>
          <w:szCs w:val="22"/>
        </w:rPr>
        <w:t xml:space="preserve"> access to transplantation for Aboriginal and Torres Strait Islander people and Australians living in rural and remote locations are </w:t>
      </w:r>
      <w:r w:rsidR="001C6B16" w:rsidRPr="00EF2596">
        <w:rPr>
          <w:rFonts w:asciiTheme="minorHAnsi" w:hAnsiTheme="minorHAnsi" w:cstheme="minorHAnsi"/>
          <w:sz w:val="24"/>
          <w:szCs w:val="22"/>
        </w:rPr>
        <w:t>detailed</w:t>
      </w:r>
      <w:r w:rsidR="00161E9A" w:rsidRPr="00EF2596">
        <w:rPr>
          <w:rFonts w:asciiTheme="minorHAnsi" w:hAnsiTheme="minorHAnsi" w:cstheme="minorHAnsi"/>
          <w:sz w:val="24"/>
          <w:szCs w:val="22"/>
        </w:rPr>
        <w:t xml:space="preserve"> further </w:t>
      </w:r>
      <w:r w:rsidR="00ED3A8D" w:rsidRPr="00EF2596">
        <w:rPr>
          <w:rFonts w:asciiTheme="minorHAnsi" w:hAnsiTheme="minorHAnsi" w:cstheme="minorHAnsi"/>
          <w:sz w:val="24"/>
          <w:szCs w:val="22"/>
        </w:rPr>
        <w:t>in Section</w:t>
      </w:r>
      <w:r w:rsidR="003A517E">
        <w:rPr>
          <w:rFonts w:asciiTheme="minorHAnsi" w:hAnsiTheme="minorHAnsi" w:cstheme="minorHAnsi"/>
          <w:sz w:val="24"/>
          <w:szCs w:val="22"/>
        </w:rPr>
        <w:t>s</w:t>
      </w:r>
      <w:r w:rsidR="00ED3A8D" w:rsidRPr="00EF2596">
        <w:rPr>
          <w:rFonts w:asciiTheme="minorHAnsi" w:hAnsiTheme="minorHAnsi" w:cstheme="minorHAnsi"/>
          <w:sz w:val="24"/>
          <w:szCs w:val="22"/>
        </w:rPr>
        <w:t xml:space="preserve"> 5</w:t>
      </w:r>
      <w:r w:rsidR="003A517E">
        <w:rPr>
          <w:rFonts w:asciiTheme="minorHAnsi" w:hAnsiTheme="minorHAnsi" w:cstheme="minorHAnsi"/>
          <w:sz w:val="24"/>
          <w:szCs w:val="22"/>
        </w:rPr>
        <w:t>, 6 and 7</w:t>
      </w:r>
      <w:r w:rsidR="00ED3A8D" w:rsidRPr="00EF2596">
        <w:rPr>
          <w:rFonts w:asciiTheme="minorHAnsi" w:hAnsiTheme="minorHAnsi" w:cstheme="minorHAnsi"/>
          <w:sz w:val="24"/>
          <w:szCs w:val="22"/>
        </w:rPr>
        <w:t xml:space="preserve"> of </w:t>
      </w:r>
      <w:r w:rsidR="00161E9A" w:rsidRPr="00EF2596">
        <w:rPr>
          <w:rFonts w:asciiTheme="minorHAnsi" w:hAnsiTheme="minorHAnsi" w:cstheme="minorHAnsi"/>
          <w:sz w:val="24"/>
          <w:szCs w:val="22"/>
        </w:rPr>
        <w:t>th</w:t>
      </w:r>
      <w:r w:rsidR="001C6B16" w:rsidRPr="00EF2596">
        <w:rPr>
          <w:rFonts w:asciiTheme="minorHAnsi" w:hAnsiTheme="minorHAnsi" w:cstheme="minorHAnsi"/>
          <w:sz w:val="24"/>
          <w:szCs w:val="22"/>
        </w:rPr>
        <w:t>is</w:t>
      </w:r>
      <w:r w:rsidR="00161E9A" w:rsidRPr="00EF2596">
        <w:rPr>
          <w:rFonts w:asciiTheme="minorHAnsi" w:hAnsiTheme="minorHAnsi" w:cstheme="minorHAnsi"/>
          <w:sz w:val="24"/>
          <w:szCs w:val="22"/>
        </w:rPr>
        <w:t xml:space="preserve"> report.</w:t>
      </w:r>
    </w:p>
    <w:p w14:paraId="5923BA65" w14:textId="77777777" w:rsidR="00FB2AE5" w:rsidRDefault="00710514" w:rsidP="002E7D48">
      <w:pPr>
        <w:pStyle w:val="Heading1"/>
        <w:tabs>
          <w:tab w:val="clear" w:pos="1559"/>
          <w:tab w:val="num" w:pos="993"/>
        </w:tabs>
        <w:ind w:left="992" w:hanging="992"/>
        <w:rPr>
          <w:rFonts w:asciiTheme="minorHAnsi" w:hAnsiTheme="minorHAnsi" w:cstheme="minorHAnsi"/>
          <w:sz w:val="48"/>
        </w:rPr>
      </w:pPr>
      <w:bookmarkStart w:id="32" w:name="_Toc523496639"/>
      <w:bookmarkStart w:id="33" w:name="_Toc523496867"/>
      <w:bookmarkStart w:id="34" w:name="_Toc523508744"/>
      <w:bookmarkStart w:id="35" w:name="_Toc523508977"/>
      <w:bookmarkStart w:id="36" w:name="_Toc523509208"/>
      <w:bookmarkStart w:id="37" w:name="_Toc523496640"/>
      <w:bookmarkStart w:id="38" w:name="_Toc523496868"/>
      <w:bookmarkStart w:id="39" w:name="_Toc523508745"/>
      <w:bookmarkStart w:id="40" w:name="_Toc523508978"/>
      <w:bookmarkStart w:id="41" w:name="_Toc523509209"/>
      <w:bookmarkStart w:id="42" w:name="_Toc523496641"/>
      <w:bookmarkStart w:id="43" w:name="_Toc523496869"/>
      <w:bookmarkStart w:id="44" w:name="_Toc523508746"/>
      <w:bookmarkStart w:id="45" w:name="_Toc523508979"/>
      <w:bookmarkStart w:id="46" w:name="_Toc523509210"/>
      <w:bookmarkStart w:id="47" w:name="_Toc523496642"/>
      <w:bookmarkStart w:id="48" w:name="_Toc523496870"/>
      <w:bookmarkStart w:id="49" w:name="_Toc523508747"/>
      <w:bookmarkStart w:id="50" w:name="_Toc523508980"/>
      <w:bookmarkStart w:id="51" w:name="_Toc523509211"/>
      <w:bookmarkStart w:id="52" w:name="_Toc523496643"/>
      <w:bookmarkStart w:id="53" w:name="_Toc523496871"/>
      <w:bookmarkStart w:id="54" w:name="_Toc523508748"/>
      <w:bookmarkStart w:id="55" w:name="_Toc523508981"/>
      <w:bookmarkStart w:id="56" w:name="_Toc523509212"/>
      <w:bookmarkStart w:id="57" w:name="_Toc523496644"/>
      <w:bookmarkStart w:id="58" w:name="_Toc523496872"/>
      <w:bookmarkStart w:id="59" w:name="_Toc523508749"/>
      <w:bookmarkStart w:id="60" w:name="_Toc523508982"/>
      <w:bookmarkStart w:id="61" w:name="_Toc523509213"/>
      <w:bookmarkStart w:id="62" w:name="_Toc503523100"/>
      <w:bookmarkStart w:id="63" w:name="_Toc503523379"/>
      <w:bookmarkStart w:id="64" w:name="_Toc503523103"/>
      <w:bookmarkStart w:id="65" w:name="_Toc503523382"/>
      <w:bookmarkStart w:id="66" w:name="_Toc503523105"/>
      <w:bookmarkStart w:id="67" w:name="_Toc503523384"/>
      <w:bookmarkStart w:id="68" w:name="_Toc503523106"/>
      <w:bookmarkStart w:id="69" w:name="_Toc503523385"/>
      <w:bookmarkStart w:id="70" w:name="_Toc523496645"/>
      <w:bookmarkStart w:id="71" w:name="_Toc523496873"/>
      <w:bookmarkStart w:id="72" w:name="_Toc523508750"/>
      <w:bookmarkStart w:id="73" w:name="_Toc523508983"/>
      <w:bookmarkStart w:id="74" w:name="_Toc523509214"/>
      <w:bookmarkStart w:id="75" w:name="_Toc532301670"/>
      <w:bookmarkStart w:id="76" w:name="_Toc499548503"/>
      <w:bookmarkStart w:id="77" w:name="_Toc506374009"/>
      <w:bookmarkStart w:id="78" w:name="_Toc50732981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Pr>
          <w:rFonts w:asciiTheme="minorHAnsi" w:hAnsiTheme="minorHAnsi" w:cstheme="minorHAnsi"/>
          <w:sz w:val="48"/>
        </w:rPr>
        <w:lastRenderedPageBreak/>
        <w:t>Introduction and Terms of Reference</w:t>
      </w:r>
      <w:bookmarkEnd w:id="75"/>
    </w:p>
    <w:p w14:paraId="4AB29A72" w14:textId="77777777" w:rsidR="00D358EC" w:rsidRPr="00EF2596" w:rsidRDefault="00D358EC" w:rsidP="00EF2596">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79" w:name="_Toc523496656"/>
      <w:bookmarkStart w:id="80" w:name="_Toc523496884"/>
      <w:bookmarkStart w:id="81" w:name="_Toc523508761"/>
      <w:bookmarkStart w:id="82" w:name="_Toc523508994"/>
      <w:bookmarkStart w:id="83" w:name="_Toc523509225"/>
      <w:bookmarkStart w:id="84" w:name="_Ref531269991"/>
      <w:bookmarkStart w:id="85" w:name="_Toc532301671"/>
      <w:bookmarkStart w:id="86" w:name="_Ref523736455"/>
      <w:bookmarkEnd w:id="79"/>
      <w:bookmarkEnd w:id="80"/>
      <w:bookmarkEnd w:id="81"/>
      <w:bookmarkEnd w:id="82"/>
      <w:bookmarkEnd w:id="83"/>
      <w:r>
        <w:rPr>
          <w:rFonts w:asciiTheme="minorHAnsi" w:hAnsiTheme="minorHAnsi" w:cstheme="minorHAnsi"/>
          <w:iCs/>
          <w:color w:val="7F7F7F" w:themeColor="text1" w:themeTint="80"/>
          <w:sz w:val="36"/>
          <w:szCs w:val="30"/>
        </w:rPr>
        <w:t>Organ donation, retrieval and transplantation</w:t>
      </w:r>
      <w:bookmarkEnd w:id="84"/>
      <w:bookmarkEnd w:id="85"/>
    </w:p>
    <w:p w14:paraId="40DBD484" w14:textId="77777777" w:rsidR="00B60175" w:rsidRDefault="00D358EC" w:rsidP="00D358EC">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Organ transplantation is </w:t>
      </w:r>
      <w:r w:rsidR="007913A4">
        <w:rPr>
          <w:rFonts w:asciiTheme="minorHAnsi" w:hAnsiTheme="minorHAnsi" w:cstheme="minorHAnsi"/>
          <w:sz w:val="24"/>
          <w:szCs w:val="22"/>
          <w:lang w:val="en-GB"/>
        </w:rPr>
        <w:t>a highly effective treatment for advanced organ failure that relies on donation from living or deceased persons.</w:t>
      </w:r>
      <w:r w:rsidR="007913A4">
        <w:rPr>
          <w:rStyle w:val="FootnoteReference"/>
          <w:rFonts w:cstheme="minorHAnsi"/>
          <w:lang w:val="en-GB"/>
        </w:rPr>
        <w:footnoteReference w:id="18"/>
      </w:r>
      <w:r w:rsidR="007913A4">
        <w:rPr>
          <w:rFonts w:asciiTheme="minorHAnsi" w:hAnsiTheme="minorHAnsi" w:cstheme="minorHAnsi"/>
          <w:sz w:val="24"/>
          <w:szCs w:val="22"/>
          <w:lang w:val="en-GB"/>
        </w:rPr>
        <w:t xml:space="preserve"> </w:t>
      </w:r>
      <w:r w:rsidR="00B60175" w:rsidRPr="0068318F">
        <w:rPr>
          <w:rFonts w:asciiTheme="minorHAnsi" w:hAnsiTheme="minorHAnsi" w:cstheme="minorHAnsi"/>
          <w:sz w:val="24"/>
          <w:szCs w:val="22"/>
          <w:lang w:val="en-GB"/>
        </w:rPr>
        <w:t>Organ donation is</w:t>
      </w:r>
      <w:r w:rsidR="003A038E">
        <w:rPr>
          <w:rFonts w:asciiTheme="minorHAnsi" w:hAnsiTheme="minorHAnsi" w:cstheme="minorHAnsi"/>
          <w:sz w:val="24"/>
          <w:szCs w:val="22"/>
          <w:lang w:val="en-GB"/>
        </w:rPr>
        <w:t xml:space="preserve"> </w:t>
      </w:r>
      <w:r w:rsidR="003A038E" w:rsidRPr="00545923">
        <w:rPr>
          <w:rFonts w:asciiTheme="minorHAnsi" w:hAnsiTheme="minorHAnsi" w:cstheme="minorHAnsi"/>
          <w:sz w:val="24"/>
          <w:szCs w:val="22"/>
          <w:lang w:val="en-GB"/>
        </w:rPr>
        <w:t>the process in which</w:t>
      </w:r>
      <w:r w:rsidR="00B60175" w:rsidRPr="00545923">
        <w:rPr>
          <w:rFonts w:asciiTheme="minorHAnsi" w:hAnsiTheme="minorHAnsi" w:cstheme="minorHAnsi"/>
          <w:sz w:val="24"/>
          <w:szCs w:val="22"/>
          <w:lang w:val="en-GB"/>
        </w:rPr>
        <w:t xml:space="preserve"> a person allows an organ of theirs to be</w:t>
      </w:r>
      <w:r w:rsidR="00A324FB" w:rsidRPr="00545923">
        <w:rPr>
          <w:rFonts w:asciiTheme="minorHAnsi" w:hAnsiTheme="minorHAnsi" w:cstheme="minorHAnsi"/>
          <w:sz w:val="24"/>
          <w:szCs w:val="22"/>
          <w:lang w:val="en-GB"/>
        </w:rPr>
        <w:t xml:space="preserve"> legally</w:t>
      </w:r>
      <w:r w:rsidR="00B60175" w:rsidRPr="00545923">
        <w:rPr>
          <w:rFonts w:asciiTheme="minorHAnsi" w:hAnsiTheme="minorHAnsi" w:cstheme="minorHAnsi"/>
          <w:sz w:val="24"/>
          <w:szCs w:val="22"/>
          <w:lang w:val="en-GB"/>
        </w:rPr>
        <w:t xml:space="preserve"> removed, either by consent while the donor is alive or after death with the assent of the </w:t>
      </w:r>
      <w:r w:rsidR="003A038E" w:rsidRPr="00545923">
        <w:rPr>
          <w:rFonts w:asciiTheme="minorHAnsi" w:hAnsiTheme="minorHAnsi" w:cstheme="minorHAnsi"/>
          <w:sz w:val="24"/>
          <w:szCs w:val="22"/>
          <w:lang w:val="en-GB"/>
        </w:rPr>
        <w:t>responsible relative or guardian</w:t>
      </w:r>
      <w:r w:rsidR="00B60175" w:rsidRPr="00545923">
        <w:rPr>
          <w:rFonts w:asciiTheme="minorHAnsi" w:hAnsiTheme="minorHAnsi" w:cstheme="minorHAnsi"/>
          <w:sz w:val="24"/>
          <w:szCs w:val="22"/>
          <w:lang w:val="en-GB"/>
        </w:rPr>
        <w:t>.</w:t>
      </w:r>
      <w:r w:rsidR="00742363" w:rsidRPr="00545923">
        <w:rPr>
          <w:rStyle w:val="FootnoteReference"/>
          <w:rFonts w:cstheme="minorHAnsi"/>
          <w:lang w:val="en-GB"/>
        </w:rPr>
        <w:footnoteReference w:id="19"/>
      </w:r>
      <w:r w:rsidR="00B60175" w:rsidRPr="00545923">
        <w:rPr>
          <w:rFonts w:asciiTheme="minorHAnsi" w:hAnsiTheme="minorHAnsi" w:cstheme="minorHAnsi"/>
          <w:sz w:val="24"/>
          <w:szCs w:val="22"/>
          <w:lang w:val="en-GB"/>
        </w:rPr>
        <w:t xml:space="preserve"> The procedure</w:t>
      </w:r>
      <w:r w:rsidR="00B60175">
        <w:rPr>
          <w:rFonts w:asciiTheme="minorHAnsi" w:hAnsiTheme="minorHAnsi" w:cstheme="minorHAnsi"/>
          <w:sz w:val="24"/>
          <w:szCs w:val="22"/>
          <w:lang w:val="en-GB"/>
        </w:rPr>
        <w:t xml:space="preserve"> for removing the organ from the organ donor is called organ retrieval. The most commonly donated</w:t>
      </w:r>
      <w:r w:rsidR="00742363">
        <w:rPr>
          <w:rFonts w:asciiTheme="minorHAnsi" w:hAnsiTheme="minorHAnsi" w:cstheme="minorHAnsi"/>
          <w:sz w:val="24"/>
          <w:szCs w:val="22"/>
          <w:lang w:val="en-GB"/>
        </w:rPr>
        <w:t>, retrieved</w:t>
      </w:r>
      <w:r w:rsidR="00B60175">
        <w:rPr>
          <w:rFonts w:asciiTheme="minorHAnsi" w:hAnsiTheme="minorHAnsi" w:cstheme="minorHAnsi"/>
          <w:sz w:val="24"/>
          <w:szCs w:val="22"/>
          <w:lang w:val="en-GB"/>
        </w:rPr>
        <w:t xml:space="preserve"> and transplanted organs in Australia include</w:t>
      </w:r>
      <w:r w:rsidR="00A324FB">
        <w:rPr>
          <w:rFonts w:asciiTheme="minorHAnsi" w:hAnsiTheme="minorHAnsi" w:cstheme="minorHAnsi"/>
          <w:sz w:val="24"/>
          <w:szCs w:val="22"/>
          <w:lang w:val="en-GB"/>
        </w:rPr>
        <w:t xml:space="preserve"> the</w:t>
      </w:r>
      <w:r w:rsidR="00B60175">
        <w:rPr>
          <w:rFonts w:asciiTheme="minorHAnsi" w:hAnsiTheme="minorHAnsi" w:cstheme="minorHAnsi"/>
          <w:sz w:val="24"/>
          <w:szCs w:val="22"/>
          <w:lang w:val="en-GB"/>
        </w:rPr>
        <w:t xml:space="preserve"> heart, liver, lungs</w:t>
      </w:r>
      <w:r w:rsidR="00DF160E">
        <w:rPr>
          <w:rFonts w:asciiTheme="minorHAnsi" w:hAnsiTheme="minorHAnsi" w:cstheme="minorHAnsi"/>
          <w:sz w:val="24"/>
          <w:szCs w:val="22"/>
          <w:lang w:val="en-GB"/>
        </w:rPr>
        <w:t xml:space="preserve"> and </w:t>
      </w:r>
      <w:r w:rsidR="00B60175">
        <w:rPr>
          <w:rFonts w:asciiTheme="minorHAnsi" w:hAnsiTheme="minorHAnsi" w:cstheme="minorHAnsi"/>
          <w:sz w:val="24"/>
          <w:szCs w:val="22"/>
          <w:lang w:val="en-GB"/>
        </w:rPr>
        <w:t>kidneys</w:t>
      </w:r>
      <w:r w:rsidR="00DF160E">
        <w:rPr>
          <w:rFonts w:asciiTheme="minorHAnsi" w:hAnsiTheme="minorHAnsi" w:cstheme="minorHAnsi"/>
          <w:sz w:val="24"/>
          <w:szCs w:val="22"/>
          <w:lang w:val="en-GB"/>
        </w:rPr>
        <w:t>. P</w:t>
      </w:r>
      <w:r w:rsidR="00B60175">
        <w:rPr>
          <w:rFonts w:asciiTheme="minorHAnsi" w:hAnsiTheme="minorHAnsi" w:cstheme="minorHAnsi"/>
          <w:sz w:val="24"/>
          <w:szCs w:val="22"/>
          <w:lang w:val="en-GB"/>
        </w:rPr>
        <w:t>ancreas</w:t>
      </w:r>
      <w:r w:rsidR="00DF160E">
        <w:rPr>
          <w:rFonts w:asciiTheme="minorHAnsi" w:hAnsiTheme="minorHAnsi" w:cstheme="minorHAnsi"/>
          <w:sz w:val="24"/>
          <w:szCs w:val="22"/>
          <w:lang w:val="en-GB"/>
        </w:rPr>
        <w:t xml:space="preserve"> and intestine donations retrievals and transplantations</w:t>
      </w:r>
      <w:r w:rsidR="00631A99">
        <w:rPr>
          <w:rFonts w:asciiTheme="minorHAnsi" w:hAnsiTheme="minorHAnsi" w:cstheme="minorHAnsi"/>
          <w:sz w:val="24"/>
          <w:szCs w:val="22"/>
          <w:lang w:val="en-GB"/>
        </w:rPr>
        <w:t xml:space="preserve"> are also performed </w:t>
      </w:r>
      <w:r w:rsidR="00DF160E">
        <w:rPr>
          <w:rFonts w:asciiTheme="minorHAnsi" w:hAnsiTheme="minorHAnsi" w:cstheme="minorHAnsi"/>
          <w:sz w:val="24"/>
          <w:szCs w:val="22"/>
          <w:lang w:val="en-GB"/>
        </w:rPr>
        <w:t xml:space="preserve">in Australia, but are less common. </w:t>
      </w:r>
      <w:r w:rsidR="00B60175">
        <w:rPr>
          <w:rFonts w:asciiTheme="minorHAnsi" w:hAnsiTheme="minorHAnsi" w:cstheme="minorHAnsi"/>
          <w:sz w:val="24"/>
          <w:szCs w:val="22"/>
          <w:lang w:val="en-GB"/>
        </w:rPr>
        <w:t xml:space="preserve"> </w:t>
      </w:r>
    </w:p>
    <w:p w14:paraId="4C74A245" w14:textId="77777777" w:rsidR="00D358EC" w:rsidRPr="00EF2596" w:rsidRDefault="00D358EC" w:rsidP="00EF2596">
      <w:pPr>
        <w:spacing w:after="120"/>
        <w:rPr>
          <w:rFonts w:asciiTheme="minorHAnsi" w:hAnsiTheme="minorHAnsi" w:cstheme="minorHAnsi"/>
          <w:sz w:val="24"/>
          <w:szCs w:val="22"/>
        </w:rPr>
      </w:pPr>
      <w:r>
        <w:rPr>
          <w:rFonts w:asciiTheme="minorHAnsi" w:hAnsiTheme="minorHAnsi" w:cstheme="minorHAnsi"/>
          <w:sz w:val="24"/>
          <w:szCs w:val="22"/>
          <w:lang w:val="en-GB"/>
        </w:rPr>
        <w:t>As a treatment, transplantation meets a very specific need in the management of end-stage organ failure as a form of organ replacement therapy. Transplantation should be considered as a final treatment option for end-stage organ disease in the context of wider population based interventions that aim to prevent or manage chronic organ disease</w:t>
      </w:r>
      <w:r w:rsidR="00A324FB">
        <w:rPr>
          <w:rFonts w:asciiTheme="minorHAnsi" w:hAnsiTheme="minorHAnsi" w:cstheme="minorHAnsi"/>
          <w:sz w:val="24"/>
          <w:szCs w:val="22"/>
          <w:lang w:val="en-GB"/>
        </w:rPr>
        <w:t>, thereby</w:t>
      </w:r>
      <w:r>
        <w:rPr>
          <w:rFonts w:asciiTheme="minorHAnsi" w:hAnsiTheme="minorHAnsi" w:cstheme="minorHAnsi"/>
          <w:sz w:val="24"/>
          <w:szCs w:val="22"/>
          <w:lang w:val="en-GB"/>
        </w:rPr>
        <w:t xml:space="preserve"> reducing the overall health burden of end-stage organ failure.</w:t>
      </w:r>
    </w:p>
    <w:p w14:paraId="3182147F" w14:textId="77777777" w:rsidR="00FB2AE5" w:rsidRPr="00FB2AE5" w:rsidRDefault="00FB2AE5" w:rsidP="00FB2AE5">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87" w:name="_Toc532301672"/>
      <w:r w:rsidRPr="00FB2AE5">
        <w:rPr>
          <w:rFonts w:asciiTheme="minorHAnsi" w:hAnsiTheme="minorHAnsi" w:cstheme="minorHAnsi"/>
          <w:iCs/>
          <w:color w:val="7F7F7F" w:themeColor="text1" w:themeTint="80"/>
          <w:sz w:val="36"/>
          <w:szCs w:val="30"/>
        </w:rPr>
        <w:t xml:space="preserve">Background </w:t>
      </w:r>
      <w:r w:rsidR="0023579E">
        <w:rPr>
          <w:rFonts w:asciiTheme="minorHAnsi" w:hAnsiTheme="minorHAnsi" w:cstheme="minorHAnsi"/>
          <w:iCs/>
          <w:color w:val="7F7F7F" w:themeColor="text1" w:themeTint="80"/>
          <w:sz w:val="36"/>
          <w:szCs w:val="30"/>
        </w:rPr>
        <w:t>and context</w:t>
      </w:r>
      <w:bookmarkEnd w:id="86"/>
      <w:r w:rsidR="00B60175">
        <w:rPr>
          <w:rFonts w:asciiTheme="minorHAnsi" w:hAnsiTheme="minorHAnsi" w:cstheme="minorHAnsi"/>
          <w:iCs/>
          <w:color w:val="7F7F7F" w:themeColor="text1" w:themeTint="80"/>
          <w:sz w:val="36"/>
          <w:szCs w:val="30"/>
        </w:rPr>
        <w:t xml:space="preserve"> to the Review</w:t>
      </w:r>
      <w:bookmarkEnd w:id="87"/>
    </w:p>
    <w:p w14:paraId="66592766" w14:textId="1206DFEE" w:rsidR="006F1F3B" w:rsidRDefault="0024317A" w:rsidP="0024317A">
      <w:pPr>
        <w:spacing w:after="120"/>
        <w:rPr>
          <w:rFonts w:asciiTheme="minorHAnsi" w:hAnsiTheme="minorHAnsi" w:cstheme="minorHAnsi"/>
          <w:sz w:val="24"/>
          <w:szCs w:val="22"/>
          <w:lang w:val="en-GB"/>
        </w:rPr>
      </w:pPr>
      <w:r>
        <w:rPr>
          <w:rFonts w:asciiTheme="minorHAnsi" w:hAnsiTheme="minorHAnsi" w:cstheme="minorHAnsi"/>
          <w:sz w:val="24"/>
          <w:szCs w:val="22"/>
          <w:lang w:val="en-GB"/>
        </w:rPr>
        <w:t>O</w:t>
      </w:r>
      <w:r w:rsidRPr="0024317A">
        <w:rPr>
          <w:rFonts w:asciiTheme="minorHAnsi" w:hAnsiTheme="minorHAnsi" w:cstheme="minorHAnsi"/>
          <w:sz w:val="24"/>
          <w:szCs w:val="22"/>
          <w:lang w:val="en-GB"/>
        </w:rPr>
        <w:t>n 2 July 2008</w:t>
      </w:r>
      <w:r w:rsidR="001133B9">
        <w:rPr>
          <w:rFonts w:asciiTheme="minorHAnsi" w:hAnsiTheme="minorHAnsi" w:cstheme="minorHAnsi"/>
          <w:sz w:val="24"/>
          <w:szCs w:val="22"/>
          <w:lang w:val="en-GB"/>
        </w:rPr>
        <w:t>,</w:t>
      </w:r>
      <w:r w:rsidRPr="0024317A">
        <w:rPr>
          <w:rFonts w:asciiTheme="minorHAnsi" w:hAnsiTheme="minorHAnsi" w:cstheme="minorHAnsi"/>
          <w:sz w:val="24"/>
          <w:szCs w:val="22"/>
          <w:lang w:val="en-GB"/>
        </w:rPr>
        <w:t xml:space="preserve"> the Australian Government announced a national reform package to establish Australia as a world leader in best practice organ donation for transplantation and achieve a significant and lasting increase in the number of tra</w:t>
      </w:r>
      <w:r>
        <w:rPr>
          <w:rFonts w:asciiTheme="minorHAnsi" w:hAnsiTheme="minorHAnsi" w:cstheme="minorHAnsi"/>
          <w:sz w:val="24"/>
          <w:szCs w:val="22"/>
          <w:lang w:val="en-GB"/>
        </w:rPr>
        <w:t xml:space="preserve">nsplants for Australians. </w:t>
      </w:r>
      <w:r w:rsidR="006F1F3B">
        <w:rPr>
          <w:rFonts w:asciiTheme="minorHAnsi" w:hAnsiTheme="minorHAnsi" w:cstheme="minorHAnsi"/>
          <w:sz w:val="24"/>
          <w:szCs w:val="22"/>
          <w:lang w:val="en-GB"/>
        </w:rPr>
        <w:t xml:space="preserve">The objectives of the reform </w:t>
      </w:r>
      <w:r w:rsidR="00DB2089">
        <w:rPr>
          <w:rFonts w:asciiTheme="minorHAnsi" w:hAnsiTheme="minorHAnsi" w:cstheme="minorHAnsi"/>
          <w:sz w:val="24"/>
          <w:szCs w:val="22"/>
          <w:lang w:val="en-GB"/>
        </w:rPr>
        <w:t>were</w:t>
      </w:r>
      <w:r w:rsidR="006F1F3B">
        <w:rPr>
          <w:rFonts w:asciiTheme="minorHAnsi" w:hAnsiTheme="minorHAnsi" w:cstheme="minorHAnsi"/>
          <w:sz w:val="24"/>
          <w:szCs w:val="22"/>
          <w:lang w:val="en-GB"/>
        </w:rPr>
        <w:t xml:space="preserve"> to:</w:t>
      </w:r>
    </w:p>
    <w:p w14:paraId="0549570A" w14:textId="77777777" w:rsidR="006F1F3B" w:rsidRPr="00F37D51" w:rsidRDefault="006F1F3B" w:rsidP="00481A6A">
      <w:pPr>
        <w:numPr>
          <w:ilvl w:val="0"/>
          <w:numId w:val="18"/>
        </w:numPr>
        <w:spacing w:after="120"/>
        <w:ind w:left="357" w:hanging="357"/>
        <w:contextualSpacing/>
        <w:rPr>
          <w:rFonts w:asciiTheme="minorHAnsi" w:hAnsiTheme="minorHAnsi" w:cstheme="minorHAnsi"/>
          <w:sz w:val="24"/>
          <w:szCs w:val="22"/>
          <w:lang w:val="en-GB"/>
        </w:rPr>
      </w:pPr>
      <w:r w:rsidRPr="00F37D51">
        <w:rPr>
          <w:rFonts w:asciiTheme="minorHAnsi" w:hAnsiTheme="minorHAnsi" w:cstheme="minorHAnsi"/>
          <w:sz w:val="24"/>
          <w:szCs w:val="22"/>
          <w:lang w:val="en-GB"/>
        </w:rPr>
        <w:t>Increas</w:t>
      </w:r>
      <w:r>
        <w:rPr>
          <w:rFonts w:asciiTheme="minorHAnsi" w:hAnsiTheme="minorHAnsi" w:cstheme="minorHAnsi"/>
          <w:sz w:val="24"/>
          <w:szCs w:val="22"/>
          <w:lang w:val="en-GB"/>
        </w:rPr>
        <w:t>e</w:t>
      </w:r>
      <w:r w:rsidRPr="00F37D51">
        <w:rPr>
          <w:rFonts w:asciiTheme="minorHAnsi" w:hAnsiTheme="minorHAnsi" w:cstheme="minorHAnsi"/>
          <w:sz w:val="24"/>
          <w:szCs w:val="22"/>
          <w:lang w:val="en-GB"/>
        </w:rPr>
        <w:t xml:space="preserve"> the capability and capacity within the health system to maximise donation rates</w:t>
      </w:r>
    </w:p>
    <w:p w14:paraId="699CCC15" w14:textId="77777777" w:rsidR="006F1F3B" w:rsidRPr="008F41E0" w:rsidRDefault="006F1F3B" w:rsidP="00481A6A">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Rais</w:t>
      </w:r>
      <w:r>
        <w:rPr>
          <w:rFonts w:asciiTheme="minorHAnsi" w:hAnsiTheme="minorHAnsi" w:cstheme="minorHAnsi"/>
          <w:sz w:val="24"/>
          <w:szCs w:val="22"/>
          <w:lang w:val="en-GB"/>
        </w:rPr>
        <w:t>e</w:t>
      </w:r>
      <w:r w:rsidRPr="00F37D51">
        <w:rPr>
          <w:rFonts w:asciiTheme="minorHAnsi" w:hAnsiTheme="minorHAnsi" w:cstheme="minorHAnsi"/>
          <w:sz w:val="24"/>
          <w:szCs w:val="22"/>
          <w:lang w:val="en-GB"/>
        </w:rPr>
        <w:t xml:space="preserve"> community awareness and stakeholder engagement across Australia to promote organ and tissue donation.</w:t>
      </w:r>
    </w:p>
    <w:p w14:paraId="3F4E3D56" w14:textId="77777777" w:rsidR="0024317A" w:rsidRDefault="006F1F3B" w:rsidP="0024317A">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As part of the reform, </w:t>
      </w:r>
      <w:r w:rsidR="001133B9">
        <w:rPr>
          <w:rFonts w:asciiTheme="minorHAnsi" w:hAnsiTheme="minorHAnsi" w:cstheme="minorHAnsi"/>
          <w:sz w:val="24"/>
          <w:szCs w:val="22"/>
          <w:lang w:val="en-GB"/>
        </w:rPr>
        <w:t>t</w:t>
      </w:r>
      <w:r w:rsidRPr="00F37D51">
        <w:rPr>
          <w:rFonts w:asciiTheme="minorHAnsi" w:hAnsiTheme="minorHAnsi" w:cstheme="minorHAnsi"/>
          <w:sz w:val="24"/>
          <w:szCs w:val="22"/>
          <w:lang w:val="en-GB"/>
        </w:rPr>
        <w:t xml:space="preserve">he </w:t>
      </w:r>
      <w:r>
        <w:rPr>
          <w:rFonts w:asciiTheme="minorHAnsi" w:hAnsiTheme="minorHAnsi" w:cstheme="minorHAnsi"/>
          <w:sz w:val="24"/>
          <w:szCs w:val="22"/>
          <w:lang w:val="en-GB"/>
        </w:rPr>
        <w:t xml:space="preserve">Australian Government </w:t>
      </w:r>
      <w:r w:rsidRPr="00F37D51">
        <w:rPr>
          <w:rFonts w:asciiTheme="minorHAnsi" w:hAnsiTheme="minorHAnsi" w:cstheme="minorHAnsi"/>
          <w:sz w:val="24"/>
          <w:szCs w:val="22"/>
          <w:lang w:val="en-GB"/>
        </w:rPr>
        <w:t xml:space="preserve">committed $151.1 million over four years (2008–2012) to </w:t>
      </w:r>
      <w:r>
        <w:rPr>
          <w:rFonts w:asciiTheme="minorHAnsi" w:hAnsiTheme="minorHAnsi" w:cstheme="minorHAnsi"/>
          <w:sz w:val="24"/>
          <w:szCs w:val="22"/>
          <w:lang w:val="en-GB"/>
        </w:rPr>
        <w:t xml:space="preserve">implement </w:t>
      </w:r>
      <w:r w:rsidR="0024317A" w:rsidRPr="0024317A">
        <w:rPr>
          <w:rFonts w:asciiTheme="minorHAnsi" w:hAnsiTheme="minorHAnsi" w:cstheme="minorHAnsi"/>
          <w:sz w:val="24"/>
          <w:szCs w:val="22"/>
          <w:lang w:val="en-GB"/>
        </w:rPr>
        <w:t>evidence</w:t>
      </w:r>
      <w:r w:rsidR="00F06CB2">
        <w:rPr>
          <w:rFonts w:asciiTheme="minorHAnsi" w:hAnsiTheme="minorHAnsi" w:cstheme="minorHAnsi"/>
          <w:sz w:val="24"/>
          <w:szCs w:val="22"/>
          <w:lang w:val="en-GB"/>
        </w:rPr>
        <w:t>-</w:t>
      </w:r>
      <w:r w:rsidR="0024317A" w:rsidRPr="0024317A">
        <w:rPr>
          <w:rFonts w:asciiTheme="minorHAnsi" w:hAnsiTheme="minorHAnsi" w:cstheme="minorHAnsi"/>
          <w:sz w:val="24"/>
          <w:szCs w:val="22"/>
          <w:lang w:val="en-GB"/>
        </w:rPr>
        <w:t xml:space="preserve">based reforms </w:t>
      </w:r>
      <w:r>
        <w:rPr>
          <w:rFonts w:asciiTheme="minorHAnsi" w:hAnsiTheme="minorHAnsi" w:cstheme="minorHAnsi"/>
          <w:sz w:val="24"/>
          <w:szCs w:val="22"/>
          <w:lang w:val="en-GB"/>
        </w:rPr>
        <w:t xml:space="preserve">that </w:t>
      </w:r>
      <w:r w:rsidR="0024317A">
        <w:rPr>
          <w:rFonts w:asciiTheme="minorHAnsi" w:hAnsiTheme="minorHAnsi" w:cstheme="minorHAnsi"/>
          <w:sz w:val="24"/>
          <w:szCs w:val="22"/>
          <w:lang w:val="en-GB"/>
        </w:rPr>
        <w:t>were</w:t>
      </w:r>
      <w:r w:rsidR="0024317A" w:rsidRPr="0024317A">
        <w:rPr>
          <w:rFonts w:asciiTheme="minorHAnsi" w:hAnsiTheme="minorHAnsi" w:cstheme="minorHAnsi"/>
          <w:sz w:val="24"/>
          <w:szCs w:val="22"/>
          <w:lang w:val="en-GB"/>
        </w:rPr>
        <w:t xml:space="preserve"> designed using international and national best practice models with a proven track record of maximising donation rates.</w:t>
      </w:r>
      <w:r w:rsidR="00716C1F" w:rsidRPr="00F17564">
        <w:rPr>
          <w:rStyle w:val="FootnoteReference"/>
          <w:rFonts w:asciiTheme="minorHAnsi" w:hAnsiTheme="minorHAnsi" w:cstheme="minorHAnsi"/>
          <w:lang w:val="en-GB"/>
        </w:rPr>
        <w:footnoteReference w:id="20"/>
      </w:r>
      <w:r w:rsidR="0024317A" w:rsidRPr="0024317A">
        <w:rPr>
          <w:rFonts w:asciiTheme="minorHAnsi" w:hAnsiTheme="minorHAnsi" w:cstheme="minorHAnsi"/>
          <w:sz w:val="24"/>
          <w:szCs w:val="22"/>
          <w:lang w:val="en-GB"/>
        </w:rPr>
        <w:t xml:space="preserve">  The reform package was endorsed by </w:t>
      </w:r>
      <w:r w:rsidR="00B666BC">
        <w:rPr>
          <w:rFonts w:asciiTheme="minorHAnsi" w:hAnsiTheme="minorHAnsi" w:cstheme="minorHAnsi"/>
          <w:sz w:val="24"/>
          <w:szCs w:val="22"/>
          <w:lang w:val="en-GB"/>
        </w:rPr>
        <w:t>COAG</w:t>
      </w:r>
      <w:r w:rsidR="0024317A">
        <w:rPr>
          <w:rFonts w:asciiTheme="minorHAnsi" w:hAnsiTheme="minorHAnsi" w:cstheme="minorHAnsi"/>
          <w:sz w:val="24"/>
          <w:szCs w:val="22"/>
          <w:lang w:val="en-GB"/>
        </w:rPr>
        <w:t xml:space="preserve"> on </w:t>
      </w:r>
      <w:r w:rsidR="0024317A" w:rsidRPr="0024317A">
        <w:rPr>
          <w:rFonts w:asciiTheme="minorHAnsi" w:hAnsiTheme="minorHAnsi" w:cstheme="minorHAnsi"/>
          <w:sz w:val="24"/>
          <w:szCs w:val="22"/>
          <w:lang w:val="en-GB"/>
        </w:rPr>
        <w:t>3 July 2008.</w:t>
      </w:r>
    </w:p>
    <w:p w14:paraId="3793E1D0" w14:textId="77777777" w:rsidR="006F1F3B" w:rsidRDefault="006F1F3B" w:rsidP="00745D58">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A key feature of the reform was the establishment of </w:t>
      </w:r>
      <w:r w:rsidR="00364D3E">
        <w:rPr>
          <w:rFonts w:asciiTheme="minorHAnsi" w:hAnsiTheme="minorHAnsi" w:cstheme="minorHAnsi"/>
          <w:sz w:val="24"/>
          <w:szCs w:val="22"/>
          <w:lang w:val="en-GB"/>
        </w:rPr>
        <w:t xml:space="preserve">the </w:t>
      </w:r>
      <w:r>
        <w:rPr>
          <w:rFonts w:asciiTheme="minorHAnsi" w:hAnsiTheme="minorHAnsi" w:cstheme="minorHAnsi"/>
          <w:sz w:val="24"/>
          <w:szCs w:val="22"/>
          <w:lang w:val="en-GB"/>
        </w:rPr>
        <w:t xml:space="preserve">OTA which was </w:t>
      </w:r>
      <w:r w:rsidR="002B3892">
        <w:rPr>
          <w:rFonts w:asciiTheme="minorHAnsi" w:hAnsiTheme="minorHAnsi" w:cstheme="minorHAnsi"/>
          <w:sz w:val="24"/>
          <w:szCs w:val="22"/>
          <w:lang w:val="en-GB"/>
        </w:rPr>
        <w:t>designed</w:t>
      </w:r>
      <w:r>
        <w:rPr>
          <w:rFonts w:asciiTheme="minorHAnsi" w:hAnsiTheme="minorHAnsi" w:cstheme="minorHAnsi"/>
          <w:sz w:val="24"/>
          <w:szCs w:val="22"/>
          <w:lang w:val="en-GB"/>
        </w:rPr>
        <w:t xml:space="preserve"> to spearhead the reform agenda</w:t>
      </w:r>
      <w:r w:rsidR="00884051">
        <w:rPr>
          <w:rFonts w:asciiTheme="minorHAnsi" w:hAnsiTheme="minorHAnsi" w:cstheme="minorHAnsi"/>
          <w:sz w:val="24"/>
          <w:szCs w:val="22"/>
          <w:lang w:val="en-GB"/>
        </w:rPr>
        <w:t>. T</w:t>
      </w:r>
      <w:r w:rsidR="000E2C3A">
        <w:rPr>
          <w:rFonts w:asciiTheme="minorHAnsi" w:hAnsiTheme="minorHAnsi" w:cstheme="minorHAnsi"/>
          <w:sz w:val="24"/>
          <w:szCs w:val="22"/>
          <w:lang w:val="en-GB"/>
        </w:rPr>
        <w:t>he OTA was funded to establish a coordinated</w:t>
      </w:r>
      <w:r w:rsidR="0058186E">
        <w:rPr>
          <w:rFonts w:asciiTheme="minorHAnsi" w:hAnsiTheme="minorHAnsi" w:cstheme="minorHAnsi"/>
          <w:sz w:val="24"/>
          <w:szCs w:val="22"/>
          <w:lang w:val="en-GB"/>
        </w:rPr>
        <w:t xml:space="preserve"> and</w:t>
      </w:r>
      <w:r w:rsidR="000E2C3A">
        <w:rPr>
          <w:rFonts w:asciiTheme="minorHAnsi" w:hAnsiTheme="minorHAnsi" w:cstheme="minorHAnsi"/>
          <w:sz w:val="24"/>
          <w:szCs w:val="22"/>
          <w:lang w:val="en-GB"/>
        </w:rPr>
        <w:t xml:space="preserve"> consistent national approach to the reform</w:t>
      </w:r>
      <w:r w:rsidR="0058186E">
        <w:rPr>
          <w:rFonts w:asciiTheme="minorHAnsi" w:hAnsiTheme="minorHAnsi" w:cstheme="minorHAnsi"/>
          <w:sz w:val="24"/>
          <w:szCs w:val="22"/>
          <w:lang w:val="en-GB"/>
        </w:rPr>
        <w:t>,</w:t>
      </w:r>
      <w:r w:rsidR="000E2C3A">
        <w:rPr>
          <w:rFonts w:asciiTheme="minorHAnsi" w:hAnsiTheme="minorHAnsi" w:cstheme="minorHAnsi"/>
          <w:sz w:val="24"/>
          <w:szCs w:val="22"/>
          <w:lang w:val="en-GB"/>
        </w:rPr>
        <w:t xml:space="preserve"> and to provide governance to a network of organ and tissue donation agencies.</w:t>
      </w:r>
    </w:p>
    <w:p w14:paraId="3F4AACAC" w14:textId="77777777" w:rsidR="00745D58" w:rsidRPr="00F37D51" w:rsidRDefault="00ED3A8D" w:rsidP="00745D58">
      <w:pPr>
        <w:spacing w:after="120"/>
        <w:rPr>
          <w:rFonts w:asciiTheme="minorHAnsi" w:hAnsiTheme="minorHAnsi" w:cstheme="minorHAnsi"/>
          <w:sz w:val="24"/>
          <w:szCs w:val="22"/>
          <w:lang w:val="en-GB"/>
        </w:rPr>
      </w:pPr>
      <w:r>
        <w:rPr>
          <w:rFonts w:asciiTheme="minorHAnsi" w:hAnsiTheme="minorHAnsi" w:cstheme="minorHAnsi"/>
          <w:sz w:val="24"/>
          <w:szCs w:val="22"/>
          <w:lang w:val="en-GB"/>
        </w:rPr>
        <w:t>In 2015</w:t>
      </w:r>
      <w:r w:rsidR="0058186E">
        <w:rPr>
          <w:rFonts w:asciiTheme="minorHAnsi" w:hAnsiTheme="minorHAnsi" w:cstheme="minorHAnsi"/>
          <w:sz w:val="24"/>
          <w:szCs w:val="22"/>
          <w:lang w:val="en-GB"/>
        </w:rPr>
        <w:t>,</w:t>
      </w:r>
      <w:r>
        <w:rPr>
          <w:rFonts w:asciiTheme="minorHAnsi" w:hAnsiTheme="minorHAnsi" w:cstheme="minorHAnsi"/>
          <w:sz w:val="24"/>
          <w:szCs w:val="22"/>
          <w:lang w:val="en-GB"/>
        </w:rPr>
        <w:t xml:space="preserve"> t</w:t>
      </w:r>
      <w:r w:rsidR="000E2C3A">
        <w:rPr>
          <w:rFonts w:asciiTheme="minorHAnsi" w:hAnsiTheme="minorHAnsi" w:cstheme="minorHAnsi"/>
          <w:sz w:val="24"/>
          <w:szCs w:val="22"/>
          <w:lang w:val="en-GB"/>
        </w:rPr>
        <w:t xml:space="preserve">he Australian Government commissioned EY to </w:t>
      </w:r>
      <w:r w:rsidR="00745D58" w:rsidRPr="00F37D51">
        <w:rPr>
          <w:rFonts w:asciiTheme="minorHAnsi" w:hAnsiTheme="minorHAnsi" w:cstheme="minorHAnsi"/>
          <w:sz w:val="24"/>
          <w:szCs w:val="22"/>
          <w:lang w:val="en-GB"/>
        </w:rPr>
        <w:t>undertake</w:t>
      </w:r>
      <w:r w:rsidR="000E2C3A">
        <w:rPr>
          <w:rFonts w:asciiTheme="minorHAnsi" w:hAnsiTheme="minorHAnsi" w:cstheme="minorHAnsi"/>
          <w:sz w:val="24"/>
          <w:szCs w:val="22"/>
          <w:lang w:val="en-GB"/>
        </w:rPr>
        <w:t xml:space="preserve"> a review of the </w:t>
      </w:r>
      <w:r w:rsidR="00884051">
        <w:rPr>
          <w:rFonts w:asciiTheme="minorHAnsi" w:hAnsiTheme="minorHAnsi" w:cstheme="minorHAnsi"/>
          <w:sz w:val="24"/>
          <w:szCs w:val="22"/>
          <w:lang w:val="en-GB"/>
        </w:rPr>
        <w:t>implementation of the national reform agenda on organ and tissue donation</w:t>
      </w:r>
      <w:r w:rsidR="0058186E">
        <w:rPr>
          <w:rFonts w:asciiTheme="minorHAnsi" w:hAnsiTheme="minorHAnsi" w:cstheme="minorHAnsi"/>
          <w:sz w:val="24"/>
          <w:szCs w:val="22"/>
          <w:lang w:val="en-GB"/>
        </w:rPr>
        <w:t xml:space="preserve"> (</w:t>
      </w:r>
      <w:r w:rsidR="008E64B3">
        <w:rPr>
          <w:rFonts w:asciiTheme="minorHAnsi" w:hAnsiTheme="minorHAnsi" w:cstheme="minorHAnsi"/>
          <w:sz w:val="24"/>
          <w:szCs w:val="22"/>
          <w:lang w:val="en-GB"/>
        </w:rPr>
        <w:t>‘</w:t>
      </w:r>
      <w:r w:rsidR="0058186E">
        <w:rPr>
          <w:rFonts w:asciiTheme="minorHAnsi" w:hAnsiTheme="minorHAnsi" w:cstheme="minorHAnsi"/>
          <w:sz w:val="24"/>
          <w:szCs w:val="22"/>
          <w:lang w:val="en-GB"/>
        </w:rPr>
        <w:t>the 2015 Review</w:t>
      </w:r>
      <w:r w:rsidR="008E64B3">
        <w:rPr>
          <w:rFonts w:asciiTheme="minorHAnsi" w:hAnsiTheme="minorHAnsi" w:cstheme="minorHAnsi"/>
          <w:sz w:val="24"/>
          <w:szCs w:val="22"/>
          <w:lang w:val="en-GB"/>
        </w:rPr>
        <w:t>’</w:t>
      </w:r>
      <w:r w:rsidR="0058186E">
        <w:rPr>
          <w:rFonts w:asciiTheme="minorHAnsi" w:hAnsiTheme="minorHAnsi" w:cstheme="minorHAnsi"/>
          <w:sz w:val="24"/>
          <w:szCs w:val="22"/>
          <w:lang w:val="en-GB"/>
        </w:rPr>
        <w:t>)</w:t>
      </w:r>
      <w:r w:rsidR="00884051">
        <w:rPr>
          <w:rFonts w:asciiTheme="minorHAnsi" w:hAnsiTheme="minorHAnsi" w:cstheme="minorHAnsi"/>
          <w:sz w:val="24"/>
          <w:szCs w:val="22"/>
          <w:lang w:val="en-GB"/>
        </w:rPr>
        <w:t>.</w:t>
      </w:r>
      <w:r w:rsidR="00745D58" w:rsidRPr="00F37D51">
        <w:rPr>
          <w:rFonts w:asciiTheme="minorHAnsi" w:hAnsiTheme="minorHAnsi" w:cstheme="minorHAnsi"/>
          <w:sz w:val="24"/>
          <w:szCs w:val="22"/>
          <w:lang w:val="en-GB"/>
        </w:rPr>
        <w:t xml:space="preserve"> </w:t>
      </w:r>
      <w:r w:rsidR="00884051">
        <w:rPr>
          <w:rFonts w:asciiTheme="minorHAnsi" w:hAnsiTheme="minorHAnsi" w:cstheme="minorHAnsi"/>
          <w:sz w:val="24"/>
          <w:szCs w:val="22"/>
          <w:lang w:val="en-GB"/>
        </w:rPr>
        <w:t xml:space="preserve">The </w:t>
      </w:r>
      <w:r w:rsidR="001133B9">
        <w:rPr>
          <w:rFonts w:asciiTheme="minorHAnsi" w:hAnsiTheme="minorHAnsi" w:cstheme="minorHAnsi"/>
          <w:sz w:val="24"/>
          <w:szCs w:val="22"/>
          <w:lang w:val="en-GB"/>
        </w:rPr>
        <w:t xml:space="preserve">2015 </w:t>
      </w:r>
      <w:r w:rsidR="00884051">
        <w:rPr>
          <w:rFonts w:asciiTheme="minorHAnsi" w:hAnsiTheme="minorHAnsi" w:cstheme="minorHAnsi"/>
          <w:sz w:val="24"/>
          <w:szCs w:val="22"/>
          <w:lang w:val="en-GB"/>
        </w:rPr>
        <w:t>Review found</w:t>
      </w:r>
      <w:r w:rsidR="001133B9">
        <w:rPr>
          <w:rFonts w:asciiTheme="minorHAnsi" w:hAnsiTheme="minorHAnsi" w:cstheme="minorHAnsi"/>
          <w:sz w:val="24"/>
          <w:szCs w:val="22"/>
          <w:lang w:val="en-GB"/>
        </w:rPr>
        <w:t xml:space="preserve"> that</w:t>
      </w:r>
      <w:r w:rsidR="00745D58" w:rsidRPr="00F37D51">
        <w:rPr>
          <w:rFonts w:asciiTheme="minorHAnsi" w:hAnsiTheme="minorHAnsi" w:cstheme="minorHAnsi"/>
          <w:sz w:val="24"/>
          <w:szCs w:val="22"/>
          <w:lang w:val="en-GB"/>
        </w:rPr>
        <w:t xml:space="preserve"> although </w:t>
      </w:r>
      <w:r w:rsidR="00247188">
        <w:rPr>
          <w:rFonts w:asciiTheme="minorHAnsi" w:hAnsiTheme="minorHAnsi" w:cstheme="minorHAnsi"/>
          <w:sz w:val="24"/>
          <w:szCs w:val="22"/>
          <w:lang w:val="en-GB"/>
        </w:rPr>
        <w:t>progress</w:t>
      </w:r>
      <w:r w:rsidR="00745D58" w:rsidRPr="00F37D51">
        <w:rPr>
          <w:rFonts w:asciiTheme="minorHAnsi" w:hAnsiTheme="minorHAnsi" w:cstheme="minorHAnsi"/>
          <w:sz w:val="24"/>
          <w:szCs w:val="22"/>
          <w:lang w:val="en-GB"/>
        </w:rPr>
        <w:t xml:space="preserve"> had been made</w:t>
      </w:r>
      <w:r w:rsidR="006B1A0C">
        <w:rPr>
          <w:rFonts w:asciiTheme="minorHAnsi" w:hAnsiTheme="minorHAnsi" w:cstheme="minorHAnsi"/>
          <w:sz w:val="24"/>
          <w:szCs w:val="22"/>
          <w:lang w:val="en-GB"/>
        </w:rPr>
        <w:t xml:space="preserve"> in implementing the reform agenda</w:t>
      </w:r>
      <w:r w:rsidR="00745D58" w:rsidRPr="00F37D51">
        <w:rPr>
          <w:rFonts w:asciiTheme="minorHAnsi" w:hAnsiTheme="minorHAnsi" w:cstheme="minorHAnsi"/>
          <w:sz w:val="24"/>
          <w:szCs w:val="22"/>
          <w:lang w:val="en-GB"/>
        </w:rPr>
        <w:t>, a number of areas required</w:t>
      </w:r>
      <w:r w:rsidR="00247188">
        <w:rPr>
          <w:rFonts w:asciiTheme="minorHAnsi" w:hAnsiTheme="minorHAnsi" w:cstheme="minorHAnsi"/>
          <w:sz w:val="24"/>
          <w:szCs w:val="22"/>
          <w:lang w:val="en-GB"/>
        </w:rPr>
        <w:t xml:space="preserve"> further</w:t>
      </w:r>
      <w:r w:rsidR="00745D58" w:rsidRPr="00F37D51">
        <w:rPr>
          <w:rFonts w:asciiTheme="minorHAnsi" w:hAnsiTheme="minorHAnsi" w:cstheme="minorHAnsi"/>
          <w:sz w:val="24"/>
          <w:szCs w:val="22"/>
          <w:lang w:val="en-GB"/>
        </w:rPr>
        <w:t xml:space="preserve"> improvement in order to meet </w:t>
      </w:r>
      <w:r w:rsidR="006B1A0C">
        <w:rPr>
          <w:rFonts w:asciiTheme="minorHAnsi" w:hAnsiTheme="minorHAnsi" w:cstheme="minorHAnsi"/>
          <w:sz w:val="24"/>
          <w:szCs w:val="22"/>
          <w:lang w:val="en-GB"/>
        </w:rPr>
        <w:t>its</w:t>
      </w:r>
      <w:r w:rsidR="00745D58" w:rsidRPr="00F37D51">
        <w:rPr>
          <w:rFonts w:asciiTheme="minorHAnsi" w:hAnsiTheme="minorHAnsi" w:cstheme="minorHAnsi"/>
          <w:sz w:val="24"/>
          <w:szCs w:val="22"/>
          <w:lang w:val="en-GB"/>
        </w:rPr>
        <w:t xml:space="preserve"> objectives</w:t>
      </w:r>
      <w:r w:rsidR="006B1A0C">
        <w:rPr>
          <w:rFonts w:asciiTheme="minorHAnsi" w:hAnsiTheme="minorHAnsi" w:cstheme="minorHAnsi"/>
          <w:sz w:val="24"/>
          <w:szCs w:val="22"/>
          <w:lang w:val="en-GB"/>
        </w:rPr>
        <w:t>.</w:t>
      </w:r>
      <w:r w:rsidR="00745D58" w:rsidRPr="00F37D51">
        <w:rPr>
          <w:rFonts w:asciiTheme="minorHAnsi" w:hAnsiTheme="minorHAnsi" w:cstheme="minorHAnsi"/>
          <w:sz w:val="24"/>
          <w:szCs w:val="22"/>
          <w:lang w:val="en-GB"/>
        </w:rPr>
        <w:t xml:space="preserve"> </w:t>
      </w:r>
      <w:r>
        <w:rPr>
          <w:rFonts w:asciiTheme="minorHAnsi" w:hAnsiTheme="minorHAnsi" w:cstheme="minorHAnsi"/>
          <w:sz w:val="24"/>
          <w:szCs w:val="22"/>
          <w:lang w:val="en-GB"/>
        </w:rPr>
        <w:t>As such</w:t>
      </w:r>
      <w:r w:rsidR="00EA4EE4">
        <w:rPr>
          <w:rFonts w:asciiTheme="minorHAnsi" w:hAnsiTheme="minorHAnsi" w:cstheme="minorHAnsi"/>
          <w:sz w:val="24"/>
          <w:szCs w:val="22"/>
          <w:lang w:val="en-GB"/>
        </w:rPr>
        <w:t xml:space="preserve">, </w:t>
      </w:r>
      <w:r w:rsidR="00745D58" w:rsidRPr="00F37D51">
        <w:rPr>
          <w:rFonts w:asciiTheme="minorHAnsi" w:hAnsiTheme="minorHAnsi" w:cstheme="minorHAnsi"/>
          <w:sz w:val="24"/>
          <w:szCs w:val="22"/>
          <w:lang w:val="en-GB"/>
        </w:rPr>
        <w:t>24 recommendations were made</w:t>
      </w:r>
      <w:r w:rsidR="0058186E">
        <w:rPr>
          <w:rFonts w:asciiTheme="minorHAnsi" w:hAnsiTheme="minorHAnsi" w:cstheme="minorHAnsi"/>
          <w:sz w:val="24"/>
          <w:szCs w:val="22"/>
          <w:lang w:val="en-GB"/>
        </w:rPr>
        <w:t xml:space="preserve">; many of which have </w:t>
      </w:r>
      <w:r w:rsidR="00EA4EE4">
        <w:rPr>
          <w:rFonts w:asciiTheme="minorHAnsi" w:hAnsiTheme="minorHAnsi" w:cstheme="minorHAnsi"/>
          <w:sz w:val="24"/>
          <w:szCs w:val="22"/>
          <w:lang w:val="en-GB"/>
        </w:rPr>
        <w:t>been</w:t>
      </w:r>
      <w:r w:rsidR="00745D58" w:rsidRPr="00F37D51">
        <w:rPr>
          <w:rFonts w:asciiTheme="minorHAnsi" w:hAnsiTheme="minorHAnsi" w:cstheme="minorHAnsi"/>
          <w:sz w:val="24"/>
          <w:szCs w:val="22"/>
          <w:lang w:val="en-GB"/>
        </w:rPr>
        <w:t xml:space="preserve"> actioned</w:t>
      </w:r>
      <w:r w:rsidR="0058186E">
        <w:rPr>
          <w:rFonts w:asciiTheme="minorHAnsi" w:hAnsiTheme="minorHAnsi" w:cstheme="minorHAnsi"/>
          <w:sz w:val="24"/>
          <w:szCs w:val="22"/>
          <w:lang w:val="en-GB"/>
        </w:rPr>
        <w:t xml:space="preserve"> and </w:t>
      </w:r>
      <w:r w:rsidR="00745D58" w:rsidRPr="00F37D51">
        <w:rPr>
          <w:rFonts w:asciiTheme="minorHAnsi" w:hAnsiTheme="minorHAnsi" w:cstheme="minorHAnsi"/>
          <w:sz w:val="24"/>
          <w:szCs w:val="22"/>
          <w:lang w:val="en-GB"/>
        </w:rPr>
        <w:t>some</w:t>
      </w:r>
      <w:r w:rsidR="0058186E">
        <w:rPr>
          <w:rFonts w:asciiTheme="minorHAnsi" w:hAnsiTheme="minorHAnsi" w:cstheme="minorHAnsi"/>
          <w:sz w:val="24"/>
          <w:szCs w:val="22"/>
          <w:lang w:val="en-GB"/>
        </w:rPr>
        <w:t xml:space="preserve"> are</w:t>
      </w:r>
      <w:r w:rsidR="00745D58" w:rsidRPr="00F37D51">
        <w:rPr>
          <w:rFonts w:asciiTheme="minorHAnsi" w:hAnsiTheme="minorHAnsi" w:cstheme="minorHAnsi"/>
          <w:sz w:val="24"/>
          <w:szCs w:val="22"/>
          <w:lang w:val="en-GB"/>
        </w:rPr>
        <w:t xml:space="preserve"> still in </w:t>
      </w:r>
      <w:r w:rsidR="00745D58" w:rsidRPr="00F37D51">
        <w:rPr>
          <w:rFonts w:asciiTheme="minorHAnsi" w:hAnsiTheme="minorHAnsi" w:cstheme="minorHAnsi"/>
          <w:sz w:val="24"/>
          <w:szCs w:val="22"/>
          <w:lang w:val="en-GB"/>
        </w:rPr>
        <w:lastRenderedPageBreak/>
        <w:t>progress (see</w:t>
      </w:r>
      <w:r w:rsidR="00C231ED">
        <w:rPr>
          <w:rFonts w:asciiTheme="minorHAnsi" w:hAnsiTheme="minorHAnsi" w:cstheme="minorHAnsi"/>
          <w:sz w:val="24"/>
          <w:szCs w:val="22"/>
          <w:lang w:val="en-GB"/>
        </w:rPr>
        <w:t xml:space="preserve"> Section</w:t>
      </w:r>
      <w:r w:rsidR="00745D58" w:rsidRPr="00F37D51">
        <w:rPr>
          <w:rFonts w:asciiTheme="minorHAnsi" w:hAnsiTheme="minorHAnsi" w:cstheme="minorHAnsi"/>
          <w:sz w:val="24"/>
          <w:szCs w:val="22"/>
          <w:lang w:val="en-GB"/>
        </w:rPr>
        <w:t xml:space="preserve"> </w:t>
      </w:r>
      <w:r w:rsidR="007F2741">
        <w:rPr>
          <w:rFonts w:asciiTheme="minorHAnsi" w:hAnsiTheme="minorHAnsi" w:cstheme="minorHAnsi"/>
          <w:sz w:val="24"/>
          <w:szCs w:val="22"/>
          <w:lang w:val="en-GB"/>
        </w:rPr>
        <w:fldChar w:fldCharType="begin"/>
      </w:r>
      <w:r w:rsidR="007F2741">
        <w:rPr>
          <w:rFonts w:asciiTheme="minorHAnsi" w:hAnsiTheme="minorHAnsi" w:cstheme="minorHAnsi"/>
          <w:sz w:val="24"/>
          <w:szCs w:val="22"/>
          <w:lang w:val="en-GB"/>
        </w:rPr>
        <w:instrText xml:space="preserve"> REF _Ref531771505 \r \h </w:instrText>
      </w:r>
      <w:r w:rsidR="007F2741">
        <w:rPr>
          <w:rFonts w:asciiTheme="minorHAnsi" w:hAnsiTheme="minorHAnsi" w:cstheme="minorHAnsi"/>
          <w:sz w:val="24"/>
          <w:szCs w:val="22"/>
          <w:lang w:val="en-GB"/>
        </w:rPr>
      </w:r>
      <w:r w:rsidR="007F2741">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3.2</w:t>
      </w:r>
      <w:r w:rsidR="007F2741">
        <w:rPr>
          <w:rFonts w:asciiTheme="minorHAnsi" w:hAnsiTheme="minorHAnsi" w:cstheme="minorHAnsi"/>
          <w:sz w:val="24"/>
          <w:szCs w:val="22"/>
          <w:lang w:val="en-GB"/>
        </w:rPr>
        <w:fldChar w:fldCharType="end"/>
      </w:r>
      <w:r w:rsidR="00C231ED">
        <w:rPr>
          <w:rFonts w:asciiTheme="minorHAnsi" w:hAnsiTheme="minorHAnsi" w:cstheme="minorHAnsi"/>
          <w:sz w:val="24"/>
          <w:szCs w:val="22"/>
          <w:lang w:val="en-GB"/>
        </w:rPr>
        <w:t xml:space="preserve"> </w:t>
      </w:r>
      <w:r w:rsidR="00745D58" w:rsidRPr="00F37D51">
        <w:rPr>
          <w:rFonts w:asciiTheme="minorHAnsi" w:hAnsiTheme="minorHAnsi" w:cstheme="minorHAnsi"/>
          <w:sz w:val="24"/>
          <w:szCs w:val="22"/>
          <w:lang w:val="en-GB"/>
        </w:rPr>
        <w:t xml:space="preserve">for </w:t>
      </w:r>
      <w:r w:rsidR="00247188">
        <w:rPr>
          <w:rFonts w:asciiTheme="minorHAnsi" w:hAnsiTheme="minorHAnsi" w:cstheme="minorHAnsi"/>
          <w:sz w:val="24"/>
          <w:szCs w:val="22"/>
          <w:lang w:val="en-GB"/>
        </w:rPr>
        <w:t>further</w:t>
      </w:r>
      <w:r w:rsidR="00247188" w:rsidRPr="00F37D51">
        <w:rPr>
          <w:rFonts w:asciiTheme="minorHAnsi" w:hAnsiTheme="minorHAnsi" w:cstheme="minorHAnsi"/>
          <w:sz w:val="24"/>
          <w:szCs w:val="22"/>
          <w:lang w:val="en-GB"/>
        </w:rPr>
        <w:t xml:space="preserve"> </w:t>
      </w:r>
      <w:r w:rsidR="00745D58" w:rsidRPr="00F37D51">
        <w:rPr>
          <w:rFonts w:asciiTheme="minorHAnsi" w:hAnsiTheme="minorHAnsi" w:cstheme="minorHAnsi"/>
          <w:sz w:val="24"/>
          <w:szCs w:val="22"/>
          <w:lang w:val="en-GB"/>
        </w:rPr>
        <w:t xml:space="preserve">detail on the 2015 Review).  </w:t>
      </w:r>
    </w:p>
    <w:p w14:paraId="2ECF2098" w14:textId="77777777" w:rsidR="00381326" w:rsidRDefault="00ED3A8D" w:rsidP="009A1783">
      <w:pPr>
        <w:spacing w:after="120"/>
        <w:rPr>
          <w:rFonts w:asciiTheme="minorHAnsi" w:hAnsiTheme="minorHAnsi" w:cstheme="minorHAnsi"/>
          <w:sz w:val="24"/>
          <w:szCs w:val="22"/>
          <w:lang w:val="en-GB"/>
        </w:rPr>
      </w:pPr>
      <w:r>
        <w:rPr>
          <w:rFonts w:asciiTheme="minorHAnsi" w:hAnsiTheme="minorHAnsi" w:cstheme="minorHAnsi"/>
          <w:sz w:val="24"/>
          <w:szCs w:val="22"/>
          <w:lang w:val="en-GB"/>
        </w:rPr>
        <w:t>A</w:t>
      </w:r>
      <w:r w:rsidR="00524A41">
        <w:rPr>
          <w:rFonts w:asciiTheme="minorHAnsi" w:hAnsiTheme="minorHAnsi" w:cstheme="minorHAnsi"/>
          <w:sz w:val="24"/>
          <w:szCs w:val="22"/>
          <w:lang w:val="en-GB"/>
        </w:rPr>
        <w:t xml:space="preserve">ction against the recommendations </w:t>
      </w:r>
      <w:r w:rsidR="00884051">
        <w:rPr>
          <w:rFonts w:asciiTheme="minorHAnsi" w:hAnsiTheme="minorHAnsi" w:cstheme="minorHAnsi"/>
          <w:sz w:val="24"/>
          <w:szCs w:val="22"/>
          <w:lang w:val="en-GB"/>
        </w:rPr>
        <w:t xml:space="preserve">from the 2015 </w:t>
      </w:r>
      <w:r w:rsidR="001133B9">
        <w:rPr>
          <w:rFonts w:asciiTheme="minorHAnsi" w:hAnsiTheme="minorHAnsi" w:cstheme="minorHAnsi"/>
          <w:sz w:val="24"/>
          <w:szCs w:val="22"/>
          <w:lang w:val="en-GB"/>
        </w:rPr>
        <w:t>R</w:t>
      </w:r>
      <w:r w:rsidR="00884051">
        <w:rPr>
          <w:rFonts w:asciiTheme="minorHAnsi" w:hAnsiTheme="minorHAnsi" w:cstheme="minorHAnsi"/>
          <w:sz w:val="24"/>
          <w:szCs w:val="22"/>
          <w:lang w:val="en-GB"/>
        </w:rPr>
        <w:t>eview has continued to drive progress in the national reform agenda and has meant that</w:t>
      </w:r>
      <w:r w:rsidR="00745D58" w:rsidRPr="00F37D51">
        <w:rPr>
          <w:rFonts w:asciiTheme="minorHAnsi" w:hAnsiTheme="minorHAnsi" w:cstheme="minorHAnsi"/>
          <w:sz w:val="24"/>
          <w:szCs w:val="22"/>
          <w:lang w:val="en-GB"/>
        </w:rPr>
        <w:t xml:space="preserve"> Australia continues to be one of the highest performing countries in quality, safety and health outcomes from organ and tissue donation</w:t>
      </w:r>
      <w:r w:rsidR="00884051">
        <w:rPr>
          <w:rFonts w:asciiTheme="minorHAnsi" w:hAnsiTheme="minorHAnsi" w:cstheme="minorHAnsi"/>
          <w:sz w:val="24"/>
          <w:szCs w:val="22"/>
          <w:lang w:val="en-GB"/>
        </w:rPr>
        <w:t>. However, recent studies have revealed that</w:t>
      </w:r>
      <w:r w:rsidR="0058186E">
        <w:rPr>
          <w:rFonts w:asciiTheme="minorHAnsi" w:hAnsiTheme="minorHAnsi" w:cstheme="minorHAnsi"/>
          <w:sz w:val="24"/>
          <w:szCs w:val="22"/>
          <w:lang w:val="en-GB"/>
        </w:rPr>
        <w:t>: (1)</w:t>
      </w:r>
      <w:r w:rsidR="00884051">
        <w:rPr>
          <w:rFonts w:asciiTheme="minorHAnsi" w:hAnsiTheme="minorHAnsi" w:cstheme="minorHAnsi"/>
          <w:sz w:val="24"/>
          <w:szCs w:val="22"/>
          <w:lang w:val="en-GB"/>
        </w:rPr>
        <w:t xml:space="preserve"> </w:t>
      </w:r>
      <w:r w:rsidR="00EA4EE4">
        <w:rPr>
          <w:rFonts w:asciiTheme="minorHAnsi" w:hAnsiTheme="minorHAnsi" w:cstheme="minorHAnsi"/>
          <w:sz w:val="24"/>
          <w:szCs w:val="22"/>
          <w:lang w:val="en-GB"/>
        </w:rPr>
        <w:t>an</w:t>
      </w:r>
      <w:r w:rsidR="00745D58" w:rsidRPr="00F37D51">
        <w:rPr>
          <w:rFonts w:asciiTheme="minorHAnsi" w:hAnsiTheme="minorHAnsi" w:cstheme="minorHAnsi"/>
          <w:sz w:val="24"/>
          <w:szCs w:val="22"/>
          <w:lang w:val="en-GB"/>
        </w:rPr>
        <w:t xml:space="preserve"> increase</w:t>
      </w:r>
      <w:r w:rsidR="00EA4EE4">
        <w:rPr>
          <w:rFonts w:asciiTheme="minorHAnsi" w:hAnsiTheme="minorHAnsi" w:cstheme="minorHAnsi"/>
          <w:sz w:val="24"/>
          <w:szCs w:val="22"/>
          <w:lang w:val="en-GB"/>
        </w:rPr>
        <w:t xml:space="preserve"> in</w:t>
      </w:r>
      <w:r w:rsidR="00745D58" w:rsidRPr="00F37D51">
        <w:rPr>
          <w:rFonts w:asciiTheme="minorHAnsi" w:hAnsiTheme="minorHAnsi" w:cstheme="minorHAnsi"/>
          <w:sz w:val="24"/>
          <w:szCs w:val="22"/>
          <w:lang w:val="en-GB"/>
        </w:rPr>
        <w:t xml:space="preserve"> </w:t>
      </w:r>
      <w:r w:rsidR="00884051">
        <w:rPr>
          <w:rFonts w:asciiTheme="minorHAnsi" w:hAnsiTheme="minorHAnsi" w:cstheme="minorHAnsi"/>
          <w:sz w:val="24"/>
          <w:szCs w:val="22"/>
          <w:lang w:val="en-GB"/>
        </w:rPr>
        <w:t xml:space="preserve">organ donation activity </w:t>
      </w:r>
      <w:r w:rsidR="00745D58" w:rsidRPr="00F37D51">
        <w:rPr>
          <w:rFonts w:asciiTheme="minorHAnsi" w:hAnsiTheme="minorHAnsi" w:cstheme="minorHAnsi"/>
          <w:sz w:val="24"/>
          <w:szCs w:val="22"/>
          <w:lang w:val="en-GB"/>
        </w:rPr>
        <w:t xml:space="preserve">has placed pressure </w:t>
      </w:r>
      <w:r w:rsidR="00745D58">
        <w:rPr>
          <w:rFonts w:asciiTheme="minorHAnsi" w:hAnsiTheme="minorHAnsi" w:cstheme="minorHAnsi"/>
          <w:sz w:val="24"/>
          <w:szCs w:val="22"/>
          <w:lang w:val="en-GB"/>
        </w:rPr>
        <w:t xml:space="preserve">on </w:t>
      </w:r>
      <w:r w:rsidR="00884051">
        <w:rPr>
          <w:rFonts w:asciiTheme="minorHAnsi" w:hAnsiTheme="minorHAnsi" w:cstheme="minorHAnsi"/>
          <w:sz w:val="24"/>
          <w:szCs w:val="22"/>
          <w:lang w:val="en-GB"/>
        </w:rPr>
        <w:t xml:space="preserve">retrieval and transplantation </w:t>
      </w:r>
      <w:r w:rsidR="00745D58" w:rsidRPr="00F37D51">
        <w:rPr>
          <w:rFonts w:asciiTheme="minorHAnsi" w:hAnsiTheme="minorHAnsi" w:cstheme="minorHAnsi"/>
          <w:sz w:val="24"/>
          <w:szCs w:val="22"/>
          <w:lang w:val="en-GB"/>
        </w:rPr>
        <w:t>resources and services across Australia</w:t>
      </w:r>
      <w:r w:rsidR="0058186E">
        <w:rPr>
          <w:rFonts w:asciiTheme="minorHAnsi" w:hAnsiTheme="minorHAnsi" w:cstheme="minorHAnsi"/>
          <w:sz w:val="24"/>
          <w:szCs w:val="22"/>
          <w:lang w:val="en-GB"/>
        </w:rPr>
        <w:t>;</w:t>
      </w:r>
      <w:r w:rsidR="003A2CAC">
        <w:rPr>
          <w:rFonts w:asciiTheme="minorHAnsi" w:hAnsiTheme="minorHAnsi" w:cstheme="minorHAnsi"/>
          <w:sz w:val="24"/>
          <w:szCs w:val="22"/>
          <w:lang w:val="en-GB"/>
        </w:rPr>
        <w:t xml:space="preserve"> and</w:t>
      </w:r>
      <w:r w:rsidR="0058186E">
        <w:rPr>
          <w:rFonts w:asciiTheme="minorHAnsi" w:hAnsiTheme="minorHAnsi" w:cstheme="minorHAnsi"/>
          <w:sz w:val="24"/>
          <w:szCs w:val="22"/>
          <w:lang w:val="en-GB"/>
        </w:rPr>
        <w:t xml:space="preserve"> (2)</w:t>
      </w:r>
      <w:r w:rsidR="003A2CAC">
        <w:rPr>
          <w:rFonts w:asciiTheme="minorHAnsi" w:hAnsiTheme="minorHAnsi" w:cstheme="minorHAnsi"/>
          <w:sz w:val="24"/>
          <w:szCs w:val="22"/>
          <w:lang w:val="en-GB"/>
        </w:rPr>
        <w:t xml:space="preserve"> inconsistent practices across the country has resulted in </w:t>
      </w:r>
      <w:r w:rsidR="00133AF1">
        <w:rPr>
          <w:rFonts w:asciiTheme="minorHAnsi" w:hAnsiTheme="minorHAnsi" w:cstheme="minorHAnsi"/>
          <w:sz w:val="24"/>
          <w:szCs w:val="22"/>
          <w:lang w:val="en-GB"/>
        </w:rPr>
        <w:t>inequities within the system</w:t>
      </w:r>
      <w:r w:rsidR="00745D58" w:rsidRPr="00F37D51">
        <w:rPr>
          <w:rFonts w:asciiTheme="minorHAnsi" w:hAnsiTheme="minorHAnsi" w:cstheme="minorHAnsi"/>
          <w:sz w:val="24"/>
          <w:szCs w:val="22"/>
          <w:lang w:val="en-GB"/>
        </w:rPr>
        <w:t>.</w:t>
      </w:r>
      <w:r w:rsidR="00745D58">
        <w:rPr>
          <w:rFonts w:asciiTheme="minorHAnsi" w:hAnsiTheme="minorHAnsi" w:cstheme="minorHAnsi"/>
          <w:sz w:val="24"/>
          <w:szCs w:val="22"/>
          <w:lang w:val="en-GB"/>
        </w:rPr>
        <w:t xml:space="preserve"> </w:t>
      </w:r>
    </w:p>
    <w:p w14:paraId="5B224674" w14:textId="77777777" w:rsidR="00B71FFA" w:rsidRDefault="00B71FFA" w:rsidP="00F17564">
      <w:pPr>
        <w:spacing w:after="120"/>
        <w:rPr>
          <w:rFonts w:asciiTheme="minorHAnsi" w:hAnsiTheme="minorHAnsi" w:cstheme="minorHAnsi"/>
          <w:sz w:val="24"/>
          <w:szCs w:val="22"/>
          <w:lang w:val="en-GB"/>
        </w:rPr>
      </w:pPr>
      <w:r w:rsidRPr="00F17564">
        <w:rPr>
          <w:rFonts w:asciiTheme="minorHAnsi" w:hAnsiTheme="minorHAnsi" w:cstheme="minorHAnsi"/>
          <w:sz w:val="24"/>
          <w:szCs w:val="22"/>
          <w:lang w:val="en-GB"/>
        </w:rPr>
        <w:t>Since 2009, the number of deceased organ donors has increased by 106</w:t>
      </w:r>
      <w:r w:rsidR="001133B9">
        <w:rPr>
          <w:rFonts w:asciiTheme="minorHAnsi" w:hAnsiTheme="minorHAnsi" w:cstheme="minorHAnsi"/>
          <w:sz w:val="24"/>
          <w:szCs w:val="22"/>
          <w:lang w:val="en-GB"/>
        </w:rPr>
        <w:t xml:space="preserve"> per cent</w:t>
      </w:r>
      <w:r w:rsidRPr="00F17564">
        <w:rPr>
          <w:rFonts w:asciiTheme="minorHAnsi" w:hAnsiTheme="minorHAnsi" w:cstheme="minorHAnsi"/>
          <w:sz w:val="24"/>
          <w:szCs w:val="22"/>
          <w:lang w:val="en-GB"/>
        </w:rPr>
        <w:t xml:space="preserve"> and the number of </w:t>
      </w:r>
      <w:r w:rsidRPr="0058186E">
        <w:rPr>
          <w:rFonts w:asciiTheme="minorHAnsi" w:hAnsiTheme="minorHAnsi" w:cstheme="minorHAnsi"/>
          <w:sz w:val="24"/>
          <w:szCs w:val="22"/>
          <w:lang w:val="en-GB"/>
        </w:rPr>
        <w:t>transplant recipients by 75</w:t>
      </w:r>
      <w:r w:rsidR="001133B9" w:rsidRPr="0058186E">
        <w:rPr>
          <w:rFonts w:asciiTheme="minorHAnsi" w:hAnsiTheme="minorHAnsi" w:cstheme="minorHAnsi"/>
          <w:sz w:val="24"/>
          <w:szCs w:val="22"/>
          <w:lang w:val="en-GB"/>
        </w:rPr>
        <w:t xml:space="preserve"> per cent</w:t>
      </w:r>
      <w:r w:rsidRPr="0058186E">
        <w:rPr>
          <w:rFonts w:asciiTheme="minorHAnsi" w:hAnsiTheme="minorHAnsi" w:cstheme="minorHAnsi"/>
          <w:sz w:val="24"/>
          <w:szCs w:val="22"/>
          <w:lang w:val="en-GB"/>
        </w:rPr>
        <w:t>.</w:t>
      </w:r>
      <w:r w:rsidR="00E603EE" w:rsidRPr="003A517E">
        <w:rPr>
          <w:rStyle w:val="FootnoteReference"/>
          <w:rFonts w:asciiTheme="minorHAnsi" w:hAnsiTheme="minorHAnsi" w:cstheme="minorHAnsi"/>
          <w:lang w:val="en-GB"/>
        </w:rPr>
        <w:footnoteReference w:id="21"/>
      </w:r>
      <w:r w:rsidR="00B775C7" w:rsidRPr="0058186E">
        <w:rPr>
          <w:rFonts w:asciiTheme="minorHAnsi" w:hAnsiTheme="minorHAnsi" w:cstheme="minorHAnsi"/>
          <w:sz w:val="24"/>
          <w:szCs w:val="22"/>
          <w:lang w:val="en-GB"/>
        </w:rPr>
        <w:t xml:space="preserve"> </w:t>
      </w:r>
      <w:r w:rsidRPr="0058186E">
        <w:rPr>
          <w:rFonts w:asciiTheme="minorHAnsi" w:hAnsiTheme="minorHAnsi" w:cstheme="minorHAnsi"/>
          <w:sz w:val="24"/>
          <w:szCs w:val="22"/>
          <w:lang w:val="en-GB"/>
        </w:rPr>
        <w:t xml:space="preserve">This increased activity is placing significant pressure on downstream resources and workforce planning for organ retrieval and </w:t>
      </w:r>
      <w:r w:rsidR="00E634FA" w:rsidRPr="00FC6D43">
        <w:rPr>
          <w:rFonts w:asciiTheme="minorHAnsi" w:hAnsiTheme="minorHAnsi" w:cstheme="minorHAnsi"/>
          <w:sz w:val="24"/>
          <w:szCs w:val="22"/>
          <w:lang w:val="en-GB"/>
        </w:rPr>
        <w:t>transplantation services</w:t>
      </w:r>
      <w:r w:rsidRPr="00FC6D43">
        <w:rPr>
          <w:rFonts w:asciiTheme="minorHAnsi" w:hAnsiTheme="minorHAnsi" w:cstheme="minorHAnsi"/>
          <w:sz w:val="24"/>
          <w:szCs w:val="22"/>
          <w:lang w:val="en-GB"/>
        </w:rPr>
        <w:t xml:space="preserve">. </w:t>
      </w:r>
      <w:r w:rsidR="00562792" w:rsidRPr="00FC6D43">
        <w:rPr>
          <w:rFonts w:asciiTheme="minorHAnsi" w:hAnsiTheme="minorHAnsi" w:cstheme="minorHAnsi"/>
          <w:sz w:val="24"/>
          <w:szCs w:val="22"/>
          <w:lang w:val="en-GB"/>
        </w:rPr>
        <w:t xml:space="preserve">As a result, researchers reported to the media that there </w:t>
      </w:r>
      <w:r w:rsidR="0058186E" w:rsidRPr="003A517E">
        <w:rPr>
          <w:rFonts w:asciiTheme="minorHAnsi" w:hAnsiTheme="minorHAnsi" w:cstheme="minorHAnsi"/>
          <w:sz w:val="24"/>
          <w:szCs w:val="22"/>
          <w:lang w:val="en-GB"/>
        </w:rPr>
        <w:t>is</w:t>
      </w:r>
      <w:r w:rsidR="00562792" w:rsidRPr="0058186E">
        <w:rPr>
          <w:rFonts w:asciiTheme="minorHAnsi" w:hAnsiTheme="minorHAnsi" w:cstheme="minorHAnsi"/>
          <w:sz w:val="24"/>
          <w:szCs w:val="22"/>
          <w:lang w:val="en-GB"/>
        </w:rPr>
        <w:t xml:space="preserve"> widespread</w:t>
      </w:r>
      <w:r w:rsidRPr="0058186E">
        <w:rPr>
          <w:rFonts w:asciiTheme="minorHAnsi" w:hAnsiTheme="minorHAnsi" w:cstheme="minorHAnsi"/>
          <w:sz w:val="24"/>
          <w:szCs w:val="22"/>
          <w:lang w:val="en-GB"/>
        </w:rPr>
        <w:t xml:space="preserve"> variation in jurisdictional practice</w:t>
      </w:r>
      <w:r w:rsidR="0058186E" w:rsidRPr="003A517E">
        <w:rPr>
          <w:rFonts w:asciiTheme="minorHAnsi" w:hAnsiTheme="minorHAnsi" w:cstheme="minorHAnsi"/>
          <w:sz w:val="24"/>
          <w:szCs w:val="22"/>
          <w:lang w:val="en-GB"/>
        </w:rPr>
        <w:t xml:space="preserve">. This includes </w:t>
      </w:r>
      <w:r w:rsidRPr="0058186E">
        <w:rPr>
          <w:rFonts w:asciiTheme="minorHAnsi" w:hAnsiTheme="minorHAnsi" w:cstheme="minorHAnsi"/>
          <w:sz w:val="24"/>
          <w:szCs w:val="22"/>
          <w:lang w:val="en-GB"/>
        </w:rPr>
        <w:t>wait listing</w:t>
      </w:r>
      <w:r w:rsidR="00F819D9" w:rsidRPr="0058186E">
        <w:rPr>
          <w:rFonts w:asciiTheme="minorHAnsi" w:hAnsiTheme="minorHAnsi" w:cstheme="minorHAnsi"/>
          <w:sz w:val="24"/>
          <w:szCs w:val="22"/>
          <w:lang w:val="en-GB"/>
        </w:rPr>
        <w:t xml:space="preserve">, </w:t>
      </w:r>
      <w:r w:rsidRPr="0058186E">
        <w:rPr>
          <w:rFonts w:asciiTheme="minorHAnsi" w:hAnsiTheme="minorHAnsi" w:cstheme="minorHAnsi"/>
          <w:sz w:val="24"/>
          <w:szCs w:val="22"/>
          <w:lang w:val="en-GB"/>
        </w:rPr>
        <w:t>organ offer, allocation and acceptance processes</w:t>
      </w:r>
      <w:r w:rsidR="0058186E" w:rsidRPr="003A517E">
        <w:rPr>
          <w:rFonts w:asciiTheme="minorHAnsi" w:hAnsiTheme="minorHAnsi" w:cstheme="minorHAnsi"/>
          <w:sz w:val="24"/>
          <w:szCs w:val="22"/>
          <w:lang w:val="en-GB"/>
        </w:rPr>
        <w:t>,</w:t>
      </w:r>
      <w:r w:rsidR="00E603EE" w:rsidRPr="0058186E">
        <w:rPr>
          <w:rFonts w:asciiTheme="minorHAnsi" w:hAnsiTheme="minorHAnsi" w:cstheme="minorHAnsi"/>
          <w:sz w:val="24"/>
          <w:szCs w:val="22"/>
          <w:lang w:val="en-GB"/>
        </w:rPr>
        <w:t xml:space="preserve"> as well as retrieval, transplantation and post transplantation resources</w:t>
      </w:r>
      <w:r w:rsidRPr="00FC6D43">
        <w:rPr>
          <w:rFonts w:asciiTheme="minorHAnsi" w:hAnsiTheme="minorHAnsi" w:cstheme="minorHAnsi"/>
          <w:sz w:val="24"/>
          <w:szCs w:val="22"/>
          <w:lang w:val="en-GB"/>
        </w:rPr>
        <w:t>.</w:t>
      </w:r>
      <w:r w:rsidRPr="00F17564">
        <w:rPr>
          <w:rFonts w:asciiTheme="minorHAnsi" w:hAnsiTheme="minorHAnsi" w:cstheme="minorHAnsi"/>
          <w:sz w:val="24"/>
          <w:szCs w:val="22"/>
          <w:lang w:val="en-GB"/>
        </w:rPr>
        <w:t xml:space="preserve"> </w:t>
      </w:r>
    </w:p>
    <w:p w14:paraId="4CF5A4CF" w14:textId="77777777" w:rsidR="00044277" w:rsidRPr="00F17564" w:rsidRDefault="00D33D62" w:rsidP="00F17564">
      <w:pPr>
        <w:pStyle w:val="NormalWeb"/>
        <w:spacing w:before="0" w:beforeAutospacing="0" w:after="120" w:afterAutospacing="0"/>
        <w:rPr>
          <w:rFonts w:asciiTheme="minorHAnsi" w:hAnsiTheme="minorHAnsi" w:cstheme="minorHAnsi"/>
          <w:sz w:val="24"/>
          <w:szCs w:val="22"/>
        </w:rPr>
      </w:pPr>
      <w:r>
        <w:rPr>
          <w:rFonts w:asciiTheme="minorHAnsi" w:hAnsiTheme="minorHAnsi" w:cstheme="minorHAnsi"/>
          <w:sz w:val="24"/>
          <w:szCs w:val="22"/>
        </w:rPr>
        <w:t xml:space="preserve">Dr Paul </w:t>
      </w:r>
      <w:r w:rsidR="00E632AF" w:rsidRPr="0058186E">
        <w:rPr>
          <w:rFonts w:asciiTheme="minorHAnsi" w:hAnsiTheme="minorHAnsi" w:cstheme="minorHAnsi"/>
          <w:sz w:val="24"/>
          <w:szCs w:val="22"/>
        </w:rPr>
        <w:t>Lawton</w:t>
      </w:r>
      <w:r w:rsidRPr="0058186E">
        <w:rPr>
          <w:rFonts w:asciiTheme="minorHAnsi" w:hAnsiTheme="minorHAnsi" w:cstheme="minorHAnsi"/>
          <w:sz w:val="24"/>
          <w:szCs w:val="22"/>
        </w:rPr>
        <w:t xml:space="preserve"> </w:t>
      </w:r>
      <w:r w:rsidR="00E71FFC" w:rsidRPr="0058186E">
        <w:rPr>
          <w:rFonts w:asciiTheme="minorHAnsi" w:hAnsiTheme="minorHAnsi" w:cstheme="minorHAnsi"/>
          <w:sz w:val="24"/>
          <w:szCs w:val="22"/>
        </w:rPr>
        <w:t xml:space="preserve">highlighted the inequities experienced by Aboriginal and Torres Strait Islander </w:t>
      </w:r>
      <w:r w:rsidR="0058186E" w:rsidRPr="0058186E">
        <w:rPr>
          <w:rFonts w:asciiTheme="minorHAnsi" w:hAnsiTheme="minorHAnsi" w:cstheme="minorHAnsi"/>
          <w:sz w:val="24"/>
          <w:szCs w:val="22"/>
        </w:rPr>
        <w:t xml:space="preserve">Australians </w:t>
      </w:r>
      <w:r w:rsidR="00E71FFC" w:rsidRPr="0058186E">
        <w:rPr>
          <w:rFonts w:asciiTheme="minorHAnsi" w:hAnsiTheme="minorHAnsi" w:cstheme="minorHAnsi"/>
          <w:sz w:val="24"/>
          <w:szCs w:val="22"/>
        </w:rPr>
        <w:t xml:space="preserve">in an interview with the </w:t>
      </w:r>
      <w:r w:rsidR="00E71FFC" w:rsidRPr="0058186E">
        <w:rPr>
          <w:rFonts w:asciiTheme="minorHAnsi" w:hAnsiTheme="minorHAnsi" w:cstheme="minorHAnsi"/>
          <w:i/>
          <w:sz w:val="24"/>
          <w:szCs w:val="22"/>
        </w:rPr>
        <w:t>7.30 Report</w:t>
      </w:r>
      <w:r w:rsidR="00E71FFC" w:rsidRPr="0058186E">
        <w:rPr>
          <w:rFonts w:asciiTheme="minorHAnsi" w:hAnsiTheme="minorHAnsi" w:cstheme="minorHAnsi"/>
          <w:sz w:val="24"/>
          <w:szCs w:val="22"/>
        </w:rPr>
        <w:t xml:space="preserve"> in D</w:t>
      </w:r>
      <w:r w:rsidR="00044277" w:rsidRPr="0058186E">
        <w:rPr>
          <w:rFonts w:asciiTheme="minorHAnsi" w:hAnsiTheme="minorHAnsi" w:cstheme="minorHAnsi"/>
          <w:sz w:val="24"/>
          <w:szCs w:val="22"/>
        </w:rPr>
        <w:t>ecember 2017. The interview emphasi</w:t>
      </w:r>
      <w:r w:rsidR="007F2741">
        <w:rPr>
          <w:rFonts w:asciiTheme="minorHAnsi" w:hAnsiTheme="minorHAnsi" w:cstheme="minorHAnsi"/>
          <w:sz w:val="24"/>
          <w:szCs w:val="22"/>
        </w:rPr>
        <w:t>s</w:t>
      </w:r>
      <w:r w:rsidR="00044277" w:rsidRPr="0058186E">
        <w:rPr>
          <w:rFonts w:asciiTheme="minorHAnsi" w:hAnsiTheme="minorHAnsi" w:cstheme="minorHAnsi"/>
          <w:sz w:val="24"/>
          <w:szCs w:val="22"/>
        </w:rPr>
        <w:t>ed the</w:t>
      </w:r>
      <w:r w:rsidR="00884051" w:rsidRPr="0058186E">
        <w:rPr>
          <w:rFonts w:asciiTheme="minorHAnsi" w:hAnsiTheme="minorHAnsi" w:cstheme="minorHAnsi"/>
          <w:sz w:val="24"/>
          <w:szCs w:val="22"/>
        </w:rPr>
        <w:t xml:space="preserve"> large</w:t>
      </w:r>
      <w:r w:rsidR="00F95B7E" w:rsidRPr="0058186E">
        <w:rPr>
          <w:rFonts w:asciiTheme="minorHAnsi" w:hAnsiTheme="minorHAnsi" w:cstheme="minorHAnsi"/>
          <w:sz w:val="24"/>
          <w:szCs w:val="22"/>
        </w:rPr>
        <w:t xml:space="preserve"> disparity</w:t>
      </w:r>
      <w:r w:rsidR="0058186E">
        <w:rPr>
          <w:rFonts w:asciiTheme="minorHAnsi" w:hAnsiTheme="minorHAnsi" w:cstheme="minorHAnsi"/>
          <w:sz w:val="24"/>
          <w:szCs w:val="22"/>
        </w:rPr>
        <w:t xml:space="preserve"> in access </w:t>
      </w:r>
      <w:r w:rsidR="00F95B7E" w:rsidRPr="0058186E">
        <w:rPr>
          <w:rFonts w:asciiTheme="minorHAnsi" w:hAnsiTheme="minorHAnsi" w:cstheme="minorHAnsi"/>
          <w:sz w:val="24"/>
          <w:szCs w:val="22"/>
        </w:rPr>
        <w:t xml:space="preserve">between </w:t>
      </w:r>
      <w:r w:rsidR="00884051" w:rsidRPr="0058186E">
        <w:rPr>
          <w:rFonts w:asciiTheme="minorHAnsi" w:hAnsiTheme="minorHAnsi" w:cstheme="minorHAnsi"/>
          <w:sz w:val="24"/>
          <w:szCs w:val="22"/>
        </w:rPr>
        <w:t>Aboriginal and Torres Strait Islander</w:t>
      </w:r>
      <w:r w:rsidR="00F95B7E" w:rsidRPr="0058186E">
        <w:rPr>
          <w:rFonts w:asciiTheme="minorHAnsi" w:hAnsiTheme="minorHAnsi" w:cstheme="minorHAnsi"/>
          <w:sz w:val="24"/>
          <w:szCs w:val="22"/>
        </w:rPr>
        <w:t xml:space="preserve"> and non-Indigenous </w:t>
      </w:r>
      <w:r w:rsidR="0058186E">
        <w:rPr>
          <w:rFonts w:asciiTheme="minorHAnsi" w:hAnsiTheme="minorHAnsi" w:cstheme="minorHAnsi"/>
          <w:sz w:val="24"/>
          <w:szCs w:val="22"/>
        </w:rPr>
        <w:t>Australians to</w:t>
      </w:r>
      <w:r w:rsidR="00884051" w:rsidRPr="0058186E">
        <w:rPr>
          <w:rFonts w:asciiTheme="minorHAnsi" w:hAnsiTheme="minorHAnsi" w:cstheme="minorHAnsi"/>
          <w:sz w:val="24"/>
          <w:szCs w:val="22"/>
        </w:rPr>
        <w:t xml:space="preserve"> </w:t>
      </w:r>
      <w:r w:rsidR="009054F9" w:rsidRPr="0058186E">
        <w:rPr>
          <w:rFonts w:asciiTheme="minorHAnsi" w:hAnsiTheme="minorHAnsi" w:cstheme="minorHAnsi"/>
          <w:sz w:val="24"/>
          <w:szCs w:val="22"/>
        </w:rPr>
        <w:t>wait</w:t>
      </w:r>
      <w:r w:rsidR="00C26E86" w:rsidRPr="0058186E">
        <w:rPr>
          <w:rFonts w:asciiTheme="minorHAnsi" w:hAnsiTheme="minorHAnsi" w:cstheme="minorHAnsi"/>
          <w:sz w:val="24"/>
          <w:szCs w:val="22"/>
        </w:rPr>
        <w:t xml:space="preserve"> </w:t>
      </w:r>
      <w:r w:rsidR="009054F9" w:rsidRPr="0058186E">
        <w:rPr>
          <w:rFonts w:asciiTheme="minorHAnsi" w:hAnsiTheme="minorHAnsi" w:cstheme="minorHAnsi"/>
          <w:sz w:val="24"/>
          <w:szCs w:val="22"/>
        </w:rPr>
        <w:t>listing and kidney transplantation</w:t>
      </w:r>
      <w:r w:rsidR="00044277" w:rsidRPr="0058186E">
        <w:rPr>
          <w:rFonts w:asciiTheme="minorHAnsi" w:hAnsiTheme="minorHAnsi" w:cstheme="minorHAnsi"/>
          <w:sz w:val="24"/>
          <w:szCs w:val="22"/>
        </w:rPr>
        <w:t>.</w:t>
      </w:r>
      <w:r w:rsidR="00227137" w:rsidRPr="003A517E">
        <w:rPr>
          <w:rStyle w:val="FootnoteReference"/>
          <w:rFonts w:asciiTheme="minorHAnsi" w:hAnsiTheme="minorHAnsi" w:cstheme="minorHAnsi"/>
        </w:rPr>
        <w:footnoteReference w:id="22"/>
      </w:r>
      <w:r w:rsidR="00044277" w:rsidRPr="0058186E">
        <w:rPr>
          <w:rFonts w:asciiTheme="minorHAnsi" w:hAnsiTheme="minorHAnsi" w:cstheme="minorHAnsi"/>
          <w:sz w:val="24"/>
          <w:szCs w:val="22"/>
        </w:rPr>
        <w:t xml:space="preserve"> Of note, fewer than </w:t>
      </w:r>
      <w:r w:rsidR="0058186E">
        <w:rPr>
          <w:rFonts w:asciiTheme="minorHAnsi" w:hAnsiTheme="minorHAnsi" w:cstheme="minorHAnsi"/>
          <w:sz w:val="24"/>
          <w:szCs w:val="22"/>
        </w:rPr>
        <w:t>two</w:t>
      </w:r>
      <w:r w:rsidR="00044277" w:rsidRPr="0058186E">
        <w:rPr>
          <w:rFonts w:asciiTheme="minorHAnsi" w:hAnsiTheme="minorHAnsi" w:cstheme="minorHAnsi"/>
          <w:sz w:val="24"/>
          <w:szCs w:val="22"/>
        </w:rPr>
        <w:t xml:space="preserve"> per cent of A</w:t>
      </w:r>
      <w:r w:rsidR="00716C1F" w:rsidRPr="0058186E">
        <w:rPr>
          <w:rFonts w:asciiTheme="minorHAnsi" w:hAnsiTheme="minorHAnsi" w:cstheme="minorHAnsi"/>
          <w:sz w:val="24"/>
          <w:szCs w:val="22"/>
        </w:rPr>
        <w:t xml:space="preserve">boriginal and Torres Strait Islander </w:t>
      </w:r>
      <w:r w:rsidR="0058186E">
        <w:rPr>
          <w:rFonts w:asciiTheme="minorHAnsi" w:hAnsiTheme="minorHAnsi" w:cstheme="minorHAnsi"/>
          <w:sz w:val="24"/>
          <w:szCs w:val="22"/>
        </w:rPr>
        <w:t>Australians</w:t>
      </w:r>
      <w:r w:rsidR="00716C1F" w:rsidRPr="0058186E">
        <w:rPr>
          <w:rFonts w:asciiTheme="minorHAnsi" w:hAnsiTheme="minorHAnsi" w:cstheme="minorHAnsi"/>
          <w:sz w:val="24"/>
          <w:szCs w:val="22"/>
        </w:rPr>
        <w:t xml:space="preserve"> </w:t>
      </w:r>
      <w:r w:rsidR="006E36E2" w:rsidRPr="0058186E">
        <w:rPr>
          <w:rFonts w:asciiTheme="minorHAnsi" w:hAnsiTheme="minorHAnsi" w:cstheme="minorHAnsi"/>
          <w:sz w:val="24"/>
          <w:szCs w:val="22"/>
        </w:rPr>
        <w:t xml:space="preserve">were </w:t>
      </w:r>
      <w:r w:rsidR="00044277" w:rsidRPr="0058186E">
        <w:rPr>
          <w:rFonts w:asciiTheme="minorHAnsi" w:hAnsiTheme="minorHAnsi" w:cstheme="minorHAnsi"/>
          <w:sz w:val="24"/>
          <w:szCs w:val="22"/>
        </w:rPr>
        <w:t xml:space="preserve">put on a </w:t>
      </w:r>
      <w:r w:rsidR="007411D9" w:rsidRPr="0058186E">
        <w:rPr>
          <w:rFonts w:asciiTheme="minorHAnsi" w:hAnsiTheme="minorHAnsi" w:cstheme="minorHAnsi"/>
          <w:sz w:val="24"/>
          <w:szCs w:val="22"/>
        </w:rPr>
        <w:t>wait</w:t>
      </w:r>
      <w:r w:rsidR="00BA737B" w:rsidRPr="0058186E">
        <w:rPr>
          <w:rFonts w:asciiTheme="minorHAnsi" w:hAnsiTheme="minorHAnsi" w:cstheme="minorHAnsi"/>
          <w:sz w:val="24"/>
          <w:szCs w:val="22"/>
        </w:rPr>
        <w:t xml:space="preserve">ing </w:t>
      </w:r>
      <w:r w:rsidR="007411D9" w:rsidRPr="0058186E">
        <w:rPr>
          <w:rFonts w:asciiTheme="minorHAnsi" w:hAnsiTheme="minorHAnsi" w:cstheme="minorHAnsi"/>
          <w:sz w:val="24"/>
          <w:szCs w:val="22"/>
        </w:rPr>
        <w:t>list</w:t>
      </w:r>
      <w:r w:rsidR="00044277" w:rsidRPr="0058186E">
        <w:rPr>
          <w:rFonts w:asciiTheme="minorHAnsi" w:hAnsiTheme="minorHAnsi" w:cstheme="minorHAnsi"/>
          <w:sz w:val="24"/>
          <w:szCs w:val="22"/>
        </w:rPr>
        <w:t xml:space="preserve"> for transplant</w:t>
      </w:r>
      <w:r w:rsidR="00ED3A8D" w:rsidRPr="0058186E">
        <w:rPr>
          <w:rFonts w:asciiTheme="minorHAnsi" w:hAnsiTheme="minorHAnsi" w:cstheme="minorHAnsi"/>
          <w:sz w:val="24"/>
          <w:szCs w:val="22"/>
        </w:rPr>
        <w:t>ation</w:t>
      </w:r>
      <w:r w:rsidR="00044277" w:rsidRPr="0058186E">
        <w:rPr>
          <w:rFonts w:asciiTheme="minorHAnsi" w:hAnsiTheme="minorHAnsi" w:cstheme="minorHAnsi"/>
          <w:sz w:val="24"/>
          <w:szCs w:val="22"/>
        </w:rPr>
        <w:t xml:space="preserve">, compared to 9.5 per cent of non-Indigenous </w:t>
      </w:r>
      <w:r w:rsidR="0058186E">
        <w:rPr>
          <w:rFonts w:asciiTheme="minorHAnsi" w:hAnsiTheme="minorHAnsi" w:cstheme="minorHAnsi"/>
          <w:sz w:val="24"/>
          <w:szCs w:val="22"/>
        </w:rPr>
        <w:t>Australian</w:t>
      </w:r>
      <w:r w:rsidR="00044277" w:rsidRPr="0058186E">
        <w:rPr>
          <w:rFonts w:asciiTheme="minorHAnsi" w:hAnsiTheme="minorHAnsi" w:cstheme="minorHAnsi"/>
          <w:sz w:val="24"/>
          <w:szCs w:val="22"/>
        </w:rPr>
        <w:t xml:space="preserve"> on dialysis.</w:t>
      </w:r>
      <w:r w:rsidR="007F2741">
        <w:rPr>
          <w:rStyle w:val="FootnoteReference"/>
          <w:rFonts w:cstheme="minorHAnsi"/>
        </w:rPr>
        <w:footnoteReference w:id="23"/>
      </w:r>
      <w:r w:rsidR="00044277" w:rsidRPr="0058186E">
        <w:rPr>
          <w:rFonts w:asciiTheme="minorHAnsi" w:hAnsiTheme="minorHAnsi" w:cstheme="minorHAnsi"/>
          <w:sz w:val="24"/>
          <w:szCs w:val="22"/>
        </w:rPr>
        <w:t xml:space="preserve"> </w:t>
      </w:r>
      <w:r w:rsidR="006E36E2" w:rsidRPr="0058186E">
        <w:rPr>
          <w:rFonts w:asciiTheme="minorHAnsi" w:hAnsiTheme="minorHAnsi" w:cstheme="minorHAnsi"/>
          <w:sz w:val="24"/>
          <w:szCs w:val="22"/>
        </w:rPr>
        <w:t xml:space="preserve">Dr </w:t>
      </w:r>
      <w:r w:rsidR="00E632AF" w:rsidRPr="0058186E">
        <w:rPr>
          <w:rFonts w:asciiTheme="minorHAnsi" w:hAnsiTheme="minorHAnsi" w:cstheme="minorHAnsi"/>
          <w:sz w:val="24"/>
          <w:szCs w:val="22"/>
        </w:rPr>
        <w:t>Lawton</w:t>
      </w:r>
      <w:r w:rsidR="006E36E2" w:rsidRPr="0058186E">
        <w:rPr>
          <w:rFonts w:asciiTheme="minorHAnsi" w:hAnsiTheme="minorHAnsi" w:cstheme="minorHAnsi"/>
          <w:sz w:val="24"/>
          <w:szCs w:val="22"/>
        </w:rPr>
        <w:t>'s research revealed</w:t>
      </w:r>
      <w:r w:rsidR="00044277" w:rsidRPr="0058186E">
        <w:rPr>
          <w:rFonts w:asciiTheme="minorHAnsi" w:hAnsiTheme="minorHAnsi" w:cstheme="minorHAnsi"/>
          <w:sz w:val="24"/>
          <w:szCs w:val="22"/>
        </w:rPr>
        <w:t xml:space="preserve"> that an </w:t>
      </w:r>
      <w:r w:rsidR="00ED3A8D" w:rsidRPr="0058186E">
        <w:rPr>
          <w:rFonts w:asciiTheme="minorHAnsi" w:hAnsiTheme="minorHAnsi" w:cstheme="minorHAnsi"/>
          <w:sz w:val="24"/>
          <w:szCs w:val="22"/>
        </w:rPr>
        <w:t>Aboriginal and Torres Strait Islander</w:t>
      </w:r>
      <w:r w:rsidR="00044277" w:rsidRPr="0058186E">
        <w:rPr>
          <w:rFonts w:asciiTheme="minorHAnsi" w:hAnsiTheme="minorHAnsi" w:cstheme="minorHAnsi"/>
          <w:sz w:val="24"/>
          <w:szCs w:val="22"/>
        </w:rPr>
        <w:t xml:space="preserve"> </w:t>
      </w:r>
      <w:r w:rsidR="0058186E">
        <w:rPr>
          <w:rFonts w:asciiTheme="minorHAnsi" w:hAnsiTheme="minorHAnsi" w:cstheme="minorHAnsi"/>
          <w:sz w:val="24"/>
          <w:szCs w:val="22"/>
        </w:rPr>
        <w:t>Australian</w:t>
      </w:r>
      <w:r w:rsidR="00044277" w:rsidRPr="0058186E">
        <w:rPr>
          <w:rFonts w:asciiTheme="minorHAnsi" w:hAnsiTheme="minorHAnsi" w:cstheme="minorHAnsi"/>
          <w:sz w:val="24"/>
          <w:szCs w:val="22"/>
        </w:rPr>
        <w:t xml:space="preserve"> from remote Australia h</w:t>
      </w:r>
      <w:r w:rsidR="003A517E">
        <w:rPr>
          <w:rFonts w:asciiTheme="minorHAnsi" w:hAnsiTheme="minorHAnsi" w:cstheme="minorHAnsi"/>
          <w:sz w:val="24"/>
          <w:szCs w:val="22"/>
        </w:rPr>
        <w:t>as one</w:t>
      </w:r>
      <w:r w:rsidR="00044277" w:rsidRPr="0058186E">
        <w:rPr>
          <w:rFonts w:asciiTheme="minorHAnsi" w:hAnsiTheme="minorHAnsi" w:cstheme="minorHAnsi"/>
          <w:sz w:val="24"/>
          <w:szCs w:val="22"/>
        </w:rPr>
        <w:t xml:space="preserve"> tenth of the chance of receiving a transplant as a non-Indigenous </w:t>
      </w:r>
      <w:r w:rsidR="0058186E">
        <w:rPr>
          <w:rFonts w:asciiTheme="minorHAnsi" w:hAnsiTheme="minorHAnsi" w:cstheme="minorHAnsi"/>
          <w:sz w:val="24"/>
          <w:szCs w:val="22"/>
        </w:rPr>
        <w:t>Australian</w:t>
      </w:r>
      <w:r w:rsidR="00044277" w:rsidRPr="0058186E">
        <w:rPr>
          <w:rFonts w:asciiTheme="minorHAnsi" w:hAnsiTheme="minorHAnsi" w:cstheme="minorHAnsi"/>
          <w:sz w:val="24"/>
          <w:szCs w:val="22"/>
        </w:rPr>
        <w:t xml:space="preserve"> in the same position.</w:t>
      </w:r>
      <w:r w:rsidR="006E36E2" w:rsidRPr="0058186E">
        <w:rPr>
          <w:rFonts w:asciiTheme="minorHAnsi" w:hAnsiTheme="minorHAnsi" w:cstheme="minorHAnsi"/>
          <w:sz w:val="24"/>
          <w:szCs w:val="22"/>
        </w:rPr>
        <w:t xml:space="preserve"> On the other hand,</w:t>
      </w:r>
      <w:r w:rsidR="00044277" w:rsidRPr="0058186E">
        <w:rPr>
          <w:rFonts w:asciiTheme="minorHAnsi" w:hAnsiTheme="minorHAnsi" w:cstheme="minorHAnsi"/>
          <w:sz w:val="24"/>
          <w:szCs w:val="22"/>
        </w:rPr>
        <w:t xml:space="preserve"> </w:t>
      </w:r>
      <w:r w:rsidR="006E36E2" w:rsidRPr="0058186E">
        <w:rPr>
          <w:rFonts w:asciiTheme="minorHAnsi" w:hAnsiTheme="minorHAnsi" w:cstheme="minorHAnsi"/>
          <w:sz w:val="24"/>
          <w:szCs w:val="22"/>
        </w:rPr>
        <w:t>Aboriginal and Torres Strait Islander</w:t>
      </w:r>
      <w:r w:rsidR="00044277" w:rsidRPr="0058186E">
        <w:rPr>
          <w:rFonts w:asciiTheme="minorHAnsi" w:hAnsiTheme="minorHAnsi" w:cstheme="minorHAnsi"/>
          <w:sz w:val="24"/>
          <w:szCs w:val="22"/>
        </w:rPr>
        <w:t xml:space="preserve"> </w:t>
      </w:r>
      <w:r w:rsidR="0058186E">
        <w:rPr>
          <w:rFonts w:asciiTheme="minorHAnsi" w:hAnsiTheme="minorHAnsi" w:cstheme="minorHAnsi"/>
          <w:sz w:val="24"/>
          <w:szCs w:val="22"/>
        </w:rPr>
        <w:t xml:space="preserve">Australians </w:t>
      </w:r>
      <w:r w:rsidR="00044277" w:rsidRPr="0058186E">
        <w:rPr>
          <w:rFonts w:asciiTheme="minorHAnsi" w:hAnsiTheme="minorHAnsi" w:cstheme="minorHAnsi"/>
          <w:sz w:val="24"/>
          <w:szCs w:val="22"/>
        </w:rPr>
        <w:t xml:space="preserve">on dialysis in urban areas have </w:t>
      </w:r>
      <w:r w:rsidR="003A517E">
        <w:rPr>
          <w:rFonts w:asciiTheme="minorHAnsi" w:hAnsiTheme="minorHAnsi" w:cstheme="minorHAnsi"/>
          <w:sz w:val="24"/>
          <w:szCs w:val="22"/>
        </w:rPr>
        <w:t>one</w:t>
      </w:r>
      <w:r w:rsidR="00044277" w:rsidRPr="0058186E">
        <w:rPr>
          <w:rFonts w:asciiTheme="minorHAnsi" w:hAnsiTheme="minorHAnsi" w:cstheme="minorHAnsi"/>
          <w:sz w:val="24"/>
          <w:szCs w:val="22"/>
        </w:rPr>
        <w:t xml:space="preserve"> third of the chance of being transplanted</w:t>
      </w:r>
      <w:r w:rsidR="006E36E2" w:rsidRPr="0058186E">
        <w:rPr>
          <w:rFonts w:asciiTheme="minorHAnsi" w:hAnsiTheme="minorHAnsi" w:cstheme="minorHAnsi"/>
          <w:sz w:val="24"/>
          <w:szCs w:val="22"/>
        </w:rPr>
        <w:t>.</w:t>
      </w:r>
      <w:r w:rsidR="00227137" w:rsidRPr="003A517E">
        <w:rPr>
          <w:rStyle w:val="FootnoteReference"/>
          <w:rFonts w:asciiTheme="minorHAnsi" w:hAnsiTheme="minorHAnsi" w:cstheme="minorHAnsi"/>
        </w:rPr>
        <w:footnoteReference w:id="24"/>
      </w:r>
    </w:p>
    <w:p w14:paraId="06C07CC8" w14:textId="77777777" w:rsidR="000A08C0" w:rsidRDefault="006E36E2">
      <w:pPr>
        <w:spacing w:after="120"/>
        <w:rPr>
          <w:rFonts w:asciiTheme="minorHAnsi" w:hAnsiTheme="minorHAnsi" w:cstheme="minorHAnsi"/>
          <w:sz w:val="24"/>
          <w:szCs w:val="22"/>
        </w:rPr>
      </w:pPr>
      <w:r>
        <w:rPr>
          <w:rFonts w:asciiTheme="minorHAnsi" w:hAnsiTheme="minorHAnsi" w:cstheme="minorHAnsi"/>
          <w:sz w:val="24"/>
          <w:szCs w:val="22"/>
        </w:rPr>
        <w:t>In recognition of the need to act on the</w:t>
      </w:r>
      <w:r w:rsidR="00FC6D43">
        <w:rPr>
          <w:rFonts w:asciiTheme="minorHAnsi" w:hAnsiTheme="minorHAnsi" w:cstheme="minorHAnsi"/>
          <w:sz w:val="24"/>
          <w:szCs w:val="22"/>
        </w:rPr>
        <w:t>se</w:t>
      </w:r>
      <w:r>
        <w:rPr>
          <w:rFonts w:asciiTheme="minorHAnsi" w:hAnsiTheme="minorHAnsi" w:cstheme="minorHAnsi"/>
          <w:sz w:val="24"/>
          <w:szCs w:val="22"/>
        </w:rPr>
        <w:t xml:space="preserve"> inequities, T</w:t>
      </w:r>
      <w:r w:rsidR="000A08C0" w:rsidRPr="001E2E67">
        <w:rPr>
          <w:rFonts w:asciiTheme="minorHAnsi" w:hAnsiTheme="minorHAnsi" w:cstheme="minorHAnsi"/>
          <w:sz w:val="24"/>
          <w:szCs w:val="22"/>
        </w:rPr>
        <w:t xml:space="preserve">he Minister for Health, the Hon Greg Hunt MP, and the Minister for Aged Care and Minister for Indigenous Health, the Hon Ken Wyatt AM, MP, jointly wrote to all Australian Health Ministers </w:t>
      </w:r>
      <w:r w:rsidR="00FC6D43" w:rsidRPr="001E2E67">
        <w:rPr>
          <w:rFonts w:asciiTheme="minorHAnsi" w:hAnsiTheme="minorHAnsi" w:cstheme="minorHAnsi"/>
          <w:sz w:val="24"/>
          <w:szCs w:val="22"/>
        </w:rPr>
        <w:t>on 21 December 2017</w:t>
      </w:r>
      <w:r w:rsidR="00FC6D43">
        <w:rPr>
          <w:rFonts w:asciiTheme="minorHAnsi" w:hAnsiTheme="minorHAnsi" w:cstheme="minorHAnsi"/>
          <w:sz w:val="24"/>
          <w:szCs w:val="22"/>
        </w:rPr>
        <w:t xml:space="preserve">. They </w:t>
      </w:r>
      <w:r w:rsidR="000A08C0" w:rsidRPr="001E2E67">
        <w:rPr>
          <w:rFonts w:asciiTheme="minorHAnsi" w:hAnsiTheme="minorHAnsi" w:cstheme="minorHAnsi"/>
          <w:sz w:val="24"/>
          <w:szCs w:val="22"/>
        </w:rPr>
        <w:t>express</w:t>
      </w:r>
      <w:r w:rsidR="00FC6D43">
        <w:rPr>
          <w:rFonts w:asciiTheme="minorHAnsi" w:hAnsiTheme="minorHAnsi" w:cstheme="minorHAnsi"/>
          <w:sz w:val="24"/>
          <w:szCs w:val="22"/>
        </w:rPr>
        <w:t>ed</w:t>
      </w:r>
      <w:r w:rsidR="000A08C0" w:rsidRPr="001E2E67">
        <w:rPr>
          <w:rFonts w:asciiTheme="minorHAnsi" w:hAnsiTheme="minorHAnsi" w:cstheme="minorHAnsi"/>
          <w:sz w:val="24"/>
          <w:szCs w:val="22"/>
        </w:rPr>
        <w:t xml:space="preserve"> their concerns relating to disparity of access to the kidney </w:t>
      </w:r>
      <w:r w:rsidR="00E634FA">
        <w:rPr>
          <w:rFonts w:asciiTheme="minorHAnsi" w:hAnsiTheme="minorHAnsi" w:cstheme="minorHAnsi"/>
          <w:sz w:val="24"/>
          <w:szCs w:val="22"/>
        </w:rPr>
        <w:t>transplantation waiting list</w:t>
      </w:r>
      <w:r w:rsidR="000A08C0" w:rsidRPr="001E2E67">
        <w:rPr>
          <w:rFonts w:asciiTheme="minorHAnsi" w:hAnsiTheme="minorHAnsi" w:cstheme="minorHAnsi"/>
          <w:sz w:val="24"/>
          <w:szCs w:val="22"/>
        </w:rPr>
        <w:t xml:space="preserve"> for </w:t>
      </w:r>
      <w:r w:rsidR="00267989" w:rsidRPr="00F17564">
        <w:rPr>
          <w:rFonts w:asciiTheme="minorHAnsi" w:hAnsiTheme="minorHAnsi" w:cstheme="minorHAnsi"/>
          <w:sz w:val="24"/>
          <w:szCs w:val="22"/>
        </w:rPr>
        <w:t>Aboriginal and Torres Strait Island</w:t>
      </w:r>
      <w:r w:rsidR="00267989">
        <w:rPr>
          <w:rFonts w:asciiTheme="minorHAnsi" w:hAnsiTheme="minorHAnsi" w:cstheme="minorHAnsi"/>
          <w:sz w:val="24"/>
          <w:szCs w:val="22"/>
        </w:rPr>
        <w:t>er</w:t>
      </w:r>
      <w:r w:rsidR="00267989" w:rsidRPr="00F17564">
        <w:rPr>
          <w:rFonts w:asciiTheme="minorHAnsi" w:hAnsiTheme="minorHAnsi" w:cstheme="minorHAnsi"/>
          <w:sz w:val="24"/>
          <w:szCs w:val="22"/>
        </w:rPr>
        <w:t xml:space="preserve"> </w:t>
      </w:r>
      <w:r w:rsidR="00FC6D43">
        <w:rPr>
          <w:rFonts w:asciiTheme="minorHAnsi" w:hAnsiTheme="minorHAnsi" w:cstheme="minorHAnsi"/>
          <w:sz w:val="24"/>
          <w:szCs w:val="22"/>
        </w:rPr>
        <w:t>Australians</w:t>
      </w:r>
      <w:r w:rsidR="000A08C0" w:rsidRPr="001E2E67">
        <w:rPr>
          <w:rFonts w:asciiTheme="minorHAnsi" w:hAnsiTheme="minorHAnsi" w:cstheme="minorHAnsi"/>
          <w:sz w:val="24"/>
          <w:szCs w:val="22"/>
        </w:rPr>
        <w:t>. The letter advised</w:t>
      </w:r>
      <w:r>
        <w:rPr>
          <w:rFonts w:asciiTheme="minorHAnsi" w:hAnsiTheme="minorHAnsi" w:cstheme="minorHAnsi"/>
          <w:sz w:val="24"/>
          <w:szCs w:val="22"/>
        </w:rPr>
        <w:t xml:space="preserve"> </w:t>
      </w:r>
      <w:r w:rsidR="00FC6D43">
        <w:rPr>
          <w:rFonts w:asciiTheme="minorHAnsi" w:hAnsiTheme="minorHAnsi" w:cstheme="minorHAnsi"/>
          <w:sz w:val="24"/>
          <w:szCs w:val="22"/>
        </w:rPr>
        <w:t xml:space="preserve">that </w:t>
      </w:r>
      <w:r>
        <w:rPr>
          <w:rFonts w:asciiTheme="minorHAnsi" w:hAnsiTheme="minorHAnsi" w:cstheme="minorHAnsi"/>
          <w:sz w:val="24"/>
          <w:szCs w:val="22"/>
        </w:rPr>
        <w:t xml:space="preserve">it was the goal of the </w:t>
      </w:r>
      <w:r w:rsidR="00267989">
        <w:rPr>
          <w:rFonts w:asciiTheme="minorHAnsi" w:hAnsiTheme="minorHAnsi" w:cstheme="minorHAnsi"/>
          <w:sz w:val="24"/>
          <w:szCs w:val="22"/>
        </w:rPr>
        <w:t xml:space="preserve">Australian Government </w:t>
      </w:r>
      <w:r>
        <w:rPr>
          <w:rFonts w:asciiTheme="minorHAnsi" w:hAnsiTheme="minorHAnsi" w:cstheme="minorHAnsi"/>
          <w:sz w:val="24"/>
          <w:szCs w:val="22"/>
        </w:rPr>
        <w:t>Department</w:t>
      </w:r>
      <w:r w:rsidR="00267989">
        <w:rPr>
          <w:rFonts w:asciiTheme="minorHAnsi" w:hAnsiTheme="minorHAnsi" w:cstheme="minorHAnsi"/>
          <w:sz w:val="24"/>
          <w:szCs w:val="22"/>
        </w:rPr>
        <w:t xml:space="preserve"> of Health</w:t>
      </w:r>
      <w:r>
        <w:rPr>
          <w:rFonts w:asciiTheme="minorHAnsi" w:hAnsiTheme="minorHAnsi" w:cstheme="minorHAnsi"/>
          <w:sz w:val="24"/>
          <w:szCs w:val="22"/>
        </w:rPr>
        <w:t xml:space="preserve"> to maximise the benefit</w:t>
      </w:r>
      <w:r w:rsidR="00FC6D43">
        <w:rPr>
          <w:rFonts w:asciiTheme="minorHAnsi" w:hAnsiTheme="minorHAnsi" w:cstheme="minorHAnsi"/>
          <w:sz w:val="24"/>
          <w:szCs w:val="22"/>
        </w:rPr>
        <w:t xml:space="preserve"> of transplantation</w:t>
      </w:r>
      <w:r>
        <w:rPr>
          <w:rFonts w:asciiTheme="minorHAnsi" w:hAnsiTheme="minorHAnsi" w:cstheme="minorHAnsi"/>
          <w:sz w:val="24"/>
          <w:szCs w:val="22"/>
        </w:rPr>
        <w:t xml:space="preserve"> to as many Australians as p</w:t>
      </w:r>
      <w:r w:rsidR="000371FC">
        <w:rPr>
          <w:rFonts w:asciiTheme="minorHAnsi" w:hAnsiTheme="minorHAnsi" w:cstheme="minorHAnsi"/>
          <w:sz w:val="24"/>
          <w:szCs w:val="22"/>
        </w:rPr>
        <w:t>ossible</w:t>
      </w:r>
      <w:r w:rsidR="00FC6D43">
        <w:rPr>
          <w:rFonts w:asciiTheme="minorHAnsi" w:hAnsiTheme="minorHAnsi" w:cstheme="minorHAnsi"/>
          <w:sz w:val="24"/>
          <w:szCs w:val="22"/>
        </w:rPr>
        <w:t xml:space="preserve">. As </w:t>
      </w:r>
      <w:r w:rsidR="000371FC">
        <w:rPr>
          <w:rFonts w:asciiTheme="minorHAnsi" w:hAnsiTheme="minorHAnsi" w:cstheme="minorHAnsi"/>
          <w:sz w:val="24"/>
          <w:szCs w:val="22"/>
        </w:rPr>
        <w:t xml:space="preserve">such, there </w:t>
      </w:r>
      <w:r w:rsidR="00FC6D43">
        <w:rPr>
          <w:rFonts w:asciiTheme="minorHAnsi" w:hAnsiTheme="minorHAnsi" w:cstheme="minorHAnsi"/>
          <w:sz w:val="24"/>
          <w:szCs w:val="22"/>
        </w:rPr>
        <w:t xml:space="preserve">is </w:t>
      </w:r>
      <w:r w:rsidR="000371FC">
        <w:rPr>
          <w:rFonts w:asciiTheme="minorHAnsi" w:hAnsiTheme="minorHAnsi" w:cstheme="minorHAnsi"/>
          <w:sz w:val="24"/>
          <w:szCs w:val="22"/>
        </w:rPr>
        <w:t xml:space="preserve">a need to ensure that the health system has the capability and capacity to optimise every donation and transplantation activity. </w:t>
      </w:r>
      <w:r w:rsidR="000A08C0" w:rsidRPr="001E2E67">
        <w:rPr>
          <w:rFonts w:asciiTheme="minorHAnsi" w:hAnsiTheme="minorHAnsi" w:cstheme="minorHAnsi"/>
          <w:sz w:val="24"/>
          <w:szCs w:val="22"/>
        </w:rPr>
        <w:t xml:space="preserve"> </w:t>
      </w:r>
    </w:p>
    <w:p w14:paraId="217FC77F" w14:textId="77777777" w:rsidR="00233AD0" w:rsidRDefault="00233AD0" w:rsidP="00D40C14">
      <w:pPr>
        <w:spacing w:after="120"/>
        <w:rPr>
          <w:rFonts w:asciiTheme="minorHAnsi" w:hAnsiTheme="minorHAnsi" w:cstheme="minorHAnsi"/>
          <w:sz w:val="24"/>
          <w:szCs w:val="22"/>
        </w:rPr>
      </w:pPr>
      <w:r>
        <w:rPr>
          <w:rFonts w:asciiTheme="minorHAnsi" w:hAnsiTheme="minorHAnsi" w:cstheme="minorHAnsi"/>
          <w:sz w:val="24"/>
          <w:szCs w:val="22"/>
        </w:rPr>
        <w:t>In April 2018, the COAG</w:t>
      </w:r>
      <w:r w:rsidR="000371FC">
        <w:rPr>
          <w:rFonts w:asciiTheme="minorHAnsi" w:hAnsiTheme="minorHAnsi" w:cstheme="minorHAnsi"/>
          <w:sz w:val="24"/>
          <w:szCs w:val="22"/>
        </w:rPr>
        <w:t xml:space="preserve"> </w:t>
      </w:r>
      <w:r w:rsidR="00B666BC">
        <w:rPr>
          <w:rFonts w:asciiTheme="minorHAnsi" w:hAnsiTheme="minorHAnsi" w:cstheme="minorHAnsi"/>
          <w:sz w:val="24"/>
          <w:szCs w:val="22"/>
        </w:rPr>
        <w:t>Health</w:t>
      </w:r>
      <w:r w:rsidR="000371FC">
        <w:rPr>
          <w:rFonts w:asciiTheme="minorHAnsi" w:hAnsiTheme="minorHAnsi" w:cstheme="minorHAnsi"/>
          <w:sz w:val="24"/>
          <w:szCs w:val="22"/>
        </w:rPr>
        <w:t xml:space="preserve"> Ministers </w:t>
      </w:r>
      <w:r>
        <w:rPr>
          <w:rFonts w:asciiTheme="minorHAnsi" w:hAnsiTheme="minorHAnsi" w:cstheme="minorHAnsi"/>
          <w:sz w:val="24"/>
          <w:szCs w:val="22"/>
        </w:rPr>
        <w:t xml:space="preserve">considered </w:t>
      </w:r>
      <w:r w:rsidR="000371FC">
        <w:rPr>
          <w:rFonts w:asciiTheme="minorHAnsi" w:hAnsiTheme="minorHAnsi" w:cstheme="minorHAnsi"/>
          <w:sz w:val="24"/>
          <w:szCs w:val="22"/>
        </w:rPr>
        <w:t>the issue</w:t>
      </w:r>
      <w:r w:rsidR="000371FC" w:rsidRPr="000A08C0">
        <w:rPr>
          <w:rFonts w:asciiTheme="minorHAnsi" w:hAnsiTheme="minorHAnsi" w:cstheme="minorHAnsi"/>
          <w:sz w:val="24"/>
          <w:szCs w:val="22"/>
        </w:rPr>
        <w:t xml:space="preserve"> of pressures on downstream services from an increased donation rate</w:t>
      </w:r>
      <w:r>
        <w:rPr>
          <w:rFonts w:asciiTheme="minorHAnsi" w:hAnsiTheme="minorHAnsi" w:cstheme="minorHAnsi"/>
          <w:sz w:val="24"/>
          <w:szCs w:val="22"/>
        </w:rPr>
        <w:t xml:space="preserve">. </w:t>
      </w:r>
      <w:r w:rsidR="000371FC">
        <w:rPr>
          <w:rFonts w:asciiTheme="minorHAnsi" w:hAnsiTheme="minorHAnsi" w:cstheme="minorHAnsi"/>
          <w:sz w:val="24"/>
          <w:szCs w:val="22"/>
        </w:rPr>
        <w:t xml:space="preserve">Out of that meeting, </w:t>
      </w:r>
      <w:r w:rsidR="00FC6D43">
        <w:rPr>
          <w:rFonts w:asciiTheme="minorHAnsi" w:hAnsiTheme="minorHAnsi" w:cstheme="minorHAnsi"/>
          <w:sz w:val="24"/>
          <w:szCs w:val="22"/>
        </w:rPr>
        <w:t>acknowledging</w:t>
      </w:r>
      <w:r w:rsidR="00227137">
        <w:rPr>
          <w:rFonts w:asciiTheme="minorHAnsi" w:hAnsiTheme="minorHAnsi" w:cstheme="minorHAnsi"/>
          <w:sz w:val="24"/>
          <w:szCs w:val="22"/>
        </w:rPr>
        <w:t xml:space="preserve"> the issues fac</w:t>
      </w:r>
      <w:r w:rsidR="00FC6D43">
        <w:rPr>
          <w:rFonts w:asciiTheme="minorHAnsi" w:hAnsiTheme="minorHAnsi" w:cstheme="minorHAnsi"/>
          <w:sz w:val="24"/>
          <w:szCs w:val="22"/>
        </w:rPr>
        <w:t>ed by</w:t>
      </w:r>
      <w:r w:rsidR="00227137">
        <w:rPr>
          <w:rFonts w:asciiTheme="minorHAnsi" w:hAnsiTheme="minorHAnsi" w:cstheme="minorHAnsi"/>
          <w:sz w:val="24"/>
          <w:szCs w:val="22"/>
        </w:rPr>
        <w:t xml:space="preserve"> Aboriginal and Torres Strait Islander </w:t>
      </w:r>
      <w:r w:rsidR="00FC6D43">
        <w:rPr>
          <w:rFonts w:asciiTheme="minorHAnsi" w:hAnsiTheme="minorHAnsi" w:cstheme="minorHAnsi"/>
          <w:sz w:val="24"/>
          <w:szCs w:val="22"/>
        </w:rPr>
        <w:t>Australians, t</w:t>
      </w:r>
      <w:r w:rsidR="00267989">
        <w:rPr>
          <w:rFonts w:asciiTheme="minorHAnsi" w:hAnsiTheme="minorHAnsi" w:cstheme="minorHAnsi"/>
          <w:sz w:val="24"/>
          <w:szCs w:val="22"/>
        </w:rPr>
        <w:t xml:space="preserve">he </w:t>
      </w:r>
      <w:r>
        <w:rPr>
          <w:rFonts w:asciiTheme="minorHAnsi" w:hAnsiTheme="minorHAnsi" w:cstheme="minorHAnsi"/>
          <w:sz w:val="24"/>
          <w:szCs w:val="22"/>
        </w:rPr>
        <w:t xml:space="preserve">COAG Health Council </w:t>
      </w:r>
      <w:r w:rsidR="008573C1">
        <w:rPr>
          <w:rFonts w:asciiTheme="minorHAnsi" w:hAnsiTheme="minorHAnsi" w:cstheme="minorHAnsi"/>
          <w:sz w:val="24"/>
          <w:szCs w:val="22"/>
        </w:rPr>
        <w:t xml:space="preserve">agreed </w:t>
      </w:r>
      <w:r w:rsidR="008941C2">
        <w:rPr>
          <w:rFonts w:asciiTheme="minorHAnsi" w:hAnsiTheme="minorHAnsi" w:cstheme="minorHAnsi"/>
          <w:sz w:val="24"/>
          <w:szCs w:val="22"/>
        </w:rPr>
        <w:t>that</w:t>
      </w:r>
      <w:r>
        <w:rPr>
          <w:rFonts w:asciiTheme="minorHAnsi" w:hAnsiTheme="minorHAnsi" w:cstheme="minorHAnsi"/>
          <w:sz w:val="24"/>
          <w:szCs w:val="22"/>
        </w:rPr>
        <w:t xml:space="preserve"> the </w:t>
      </w:r>
      <w:r w:rsidR="00267989">
        <w:rPr>
          <w:rFonts w:asciiTheme="minorHAnsi" w:hAnsiTheme="minorHAnsi" w:cstheme="minorHAnsi"/>
          <w:sz w:val="24"/>
          <w:szCs w:val="22"/>
        </w:rPr>
        <w:t xml:space="preserve">Australian Government </w:t>
      </w:r>
      <w:r>
        <w:rPr>
          <w:rFonts w:asciiTheme="minorHAnsi" w:hAnsiTheme="minorHAnsi" w:cstheme="minorHAnsi"/>
          <w:sz w:val="24"/>
          <w:szCs w:val="22"/>
        </w:rPr>
        <w:t xml:space="preserve">would undertake a review of the </w:t>
      </w:r>
      <w:r w:rsidR="003B696D">
        <w:rPr>
          <w:rFonts w:asciiTheme="minorHAnsi" w:hAnsiTheme="minorHAnsi" w:cstheme="minorHAnsi"/>
          <w:sz w:val="24"/>
          <w:szCs w:val="22"/>
        </w:rPr>
        <w:t xml:space="preserve">Australian </w:t>
      </w:r>
      <w:r>
        <w:rPr>
          <w:rFonts w:asciiTheme="minorHAnsi" w:hAnsiTheme="minorHAnsi" w:cstheme="minorHAnsi"/>
          <w:sz w:val="24"/>
          <w:szCs w:val="22"/>
        </w:rPr>
        <w:t>organ donation</w:t>
      </w:r>
      <w:r w:rsidR="003B696D">
        <w:rPr>
          <w:rFonts w:asciiTheme="minorHAnsi" w:hAnsiTheme="minorHAnsi" w:cstheme="minorHAnsi"/>
          <w:sz w:val="24"/>
          <w:szCs w:val="22"/>
        </w:rPr>
        <w:t>,</w:t>
      </w:r>
      <w:r>
        <w:rPr>
          <w:rFonts w:asciiTheme="minorHAnsi" w:hAnsiTheme="minorHAnsi" w:cstheme="minorHAnsi"/>
          <w:sz w:val="24"/>
          <w:szCs w:val="22"/>
        </w:rPr>
        <w:t xml:space="preserve"> retrieval and transplantation system. </w:t>
      </w:r>
    </w:p>
    <w:p w14:paraId="3E150783" w14:textId="77777777" w:rsidR="00745D58" w:rsidRPr="00266A77" w:rsidRDefault="00745D58" w:rsidP="00447661">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88" w:name="_Toc532301673"/>
      <w:r w:rsidRPr="00266A77">
        <w:rPr>
          <w:rFonts w:asciiTheme="minorHAnsi" w:hAnsiTheme="minorHAnsi" w:cstheme="minorHAnsi"/>
          <w:iCs/>
          <w:color w:val="7F7F7F" w:themeColor="text1" w:themeTint="80"/>
          <w:sz w:val="36"/>
          <w:szCs w:val="30"/>
        </w:rPr>
        <w:lastRenderedPageBreak/>
        <w:t xml:space="preserve">Review of the </w:t>
      </w:r>
      <w:r w:rsidR="00247188">
        <w:rPr>
          <w:rFonts w:asciiTheme="minorHAnsi" w:hAnsiTheme="minorHAnsi" w:cstheme="minorHAnsi"/>
          <w:iCs/>
          <w:color w:val="7F7F7F" w:themeColor="text1" w:themeTint="80"/>
          <w:sz w:val="36"/>
          <w:szCs w:val="30"/>
        </w:rPr>
        <w:t xml:space="preserve">Australian </w:t>
      </w:r>
      <w:r w:rsidRPr="00266A77">
        <w:rPr>
          <w:rFonts w:asciiTheme="minorHAnsi" w:hAnsiTheme="minorHAnsi" w:cstheme="minorHAnsi"/>
          <w:iCs/>
          <w:color w:val="7F7F7F" w:themeColor="text1" w:themeTint="80"/>
          <w:sz w:val="36"/>
          <w:szCs w:val="30"/>
        </w:rPr>
        <w:t>organ donation, retrieval and transplantation</w:t>
      </w:r>
      <w:r w:rsidR="00EA4EE4" w:rsidRPr="00266A77">
        <w:rPr>
          <w:rFonts w:asciiTheme="minorHAnsi" w:hAnsiTheme="minorHAnsi" w:cstheme="minorHAnsi"/>
          <w:iCs/>
          <w:color w:val="7F7F7F" w:themeColor="text1" w:themeTint="80"/>
          <w:sz w:val="36"/>
          <w:szCs w:val="30"/>
        </w:rPr>
        <w:t xml:space="preserve"> system</w:t>
      </w:r>
      <w:bookmarkEnd w:id="88"/>
    </w:p>
    <w:p w14:paraId="47CE0528" w14:textId="7A4A67D8" w:rsidR="000A08C0" w:rsidRDefault="000A08C0" w:rsidP="005F5BB1">
      <w:pPr>
        <w:spacing w:after="120"/>
        <w:rPr>
          <w:rFonts w:asciiTheme="minorHAnsi" w:hAnsiTheme="minorHAnsi" w:cstheme="minorHAnsi"/>
          <w:sz w:val="24"/>
          <w:szCs w:val="22"/>
        </w:rPr>
      </w:pPr>
      <w:r w:rsidRPr="000A08C0">
        <w:rPr>
          <w:rFonts w:asciiTheme="minorHAnsi" w:hAnsiTheme="minorHAnsi" w:cstheme="minorHAnsi"/>
          <w:sz w:val="24"/>
          <w:szCs w:val="22"/>
        </w:rPr>
        <w:t xml:space="preserve">On 9 July 2018, Minister Wyatt wrote to </w:t>
      </w:r>
      <w:r w:rsidR="003B696D">
        <w:rPr>
          <w:rFonts w:asciiTheme="minorHAnsi" w:hAnsiTheme="minorHAnsi" w:cstheme="minorHAnsi"/>
          <w:sz w:val="24"/>
          <w:szCs w:val="22"/>
        </w:rPr>
        <w:t xml:space="preserve">the </w:t>
      </w:r>
      <w:r w:rsidRPr="000A08C0">
        <w:rPr>
          <w:rFonts w:asciiTheme="minorHAnsi" w:hAnsiTheme="minorHAnsi" w:cstheme="minorHAnsi"/>
          <w:sz w:val="24"/>
          <w:szCs w:val="22"/>
        </w:rPr>
        <w:t>Australian Health Ministers to advise</w:t>
      </w:r>
      <w:r w:rsidR="003B696D">
        <w:rPr>
          <w:rFonts w:asciiTheme="minorHAnsi" w:hAnsiTheme="minorHAnsi" w:cstheme="minorHAnsi"/>
          <w:sz w:val="24"/>
          <w:szCs w:val="22"/>
        </w:rPr>
        <w:t xml:space="preserve"> them</w:t>
      </w:r>
      <w:r w:rsidRPr="000A08C0">
        <w:rPr>
          <w:rFonts w:asciiTheme="minorHAnsi" w:hAnsiTheme="minorHAnsi" w:cstheme="minorHAnsi"/>
          <w:sz w:val="24"/>
          <w:szCs w:val="22"/>
        </w:rPr>
        <w:t xml:space="preserve"> of the COAG Health Council’s agreement to undertake a review of the Australian organ donation, retrieval and transplantation system. The letter identified that the </w:t>
      </w:r>
      <w:r w:rsidR="00E632AF">
        <w:rPr>
          <w:rFonts w:asciiTheme="minorHAnsi" w:hAnsiTheme="minorHAnsi" w:cstheme="minorHAnsi"/>
          <w:sz w:val="24"/>
          <w:szCs w:val="22"/>
        </w:rPr>
        <w:t>R</w:t>
      </w:r>
      <w:r w:rsidRPr="000A08C0">
        <w:rPr>
          <w:rFonts w:asciiTheme="minorHAnsi" w:hAnsiTheme="minorHAnsi" w:cstheme="minorHAnsi"/>
          <w:sz w:val="24"/>
          <w:szCs w:val="22"/>
        </w:rPr>
        <w:t>eview would take into consideration current systems, practices and processes in the retrieval and transplant</w:t>
      </w:r>
      <w:r w:rsidR="00267989">
        <w:rPr>
          <w:rFonts w:asciiTheme="minorHAnsi" w:hAnsiTheme="minorHAnsi" w:cstheme="minorHAnsi"/>
          <w:sz w:val="24"/>
          <w:szCs w:val="22"/>
        </w:rPr>
        <w:t>ation</w:t>
      </w:r>
      <w:r w:rsidRPr="000A08C0">
        <w:rPr>
          <w:rFonts w:asciiTheme="minorHAnsi" w:hAnsiTheme="minorHAnsi" w:cstheme="minorHAnsi"/>
          <w:sz w:val="24"/>
          <w:szCs w:val="22"/>
        </w:rPr>
        <w:t xml:space="preserve"> sector</w:t>
      </w:r>
      <w:r w:rsidR="00267989">
        <w:rPr>
          <w:rFonts w:asciiTheme="minorHAnsi" w:hAnsiTheme="minorHAnsi" w:cstheme="minorHAnsi"/>
          <w:sz w:val="24"/>
          <w:szCs w:val="22"/>
        </w:rPr>
        <w:t>. This included</w:t>
      </w:r>
      <w:r w:rsidRPr="000A08C0">
        <w:rPr>
          <w:rFonts w:asciiTheme="minorHAnsi" w:hAnsiTheme="minorHAnsi" w:cstheme="minorHAnsi"/>
          <w:sz w:val="24"/>
          <w:szCs w:val="22"/>
        </w:rPr>
        <w:t xml:space="preserve"> equity of access for all Australians, </w:t>
      </w:r>
      <w:r w:rsidR="007411D9">
        <w:rPr>
          <w:rFonts w:asciiTheme="minorHAnsi" w:hAnsiTheme="minorHAnsi" w:cstheme="minorHAnsi"/>
          <w:sz w:val="24"/>
          <w:szCs w:val="22"/>
        </w:rPr>
        <w:t>wait list</w:t>
      </w:r>
      <w:r w:rsidRPr="000A08C0">
        <w:rPr>
          <w:rFonts w:asciiTheme="minorHAnsi" w:hAnsiTheme="minorHAnsi" w:cstheme="minorHAnsi"/>
          <w:sz w:val="24"/>
          <w:szCs w:val="22"/>
        </w:rPr>
        <w:t>ing criteria, and organ offer, allocation and acceptance processes. The letter also advised of the establishment of the Steering Committee</w:t>
      </w:r>
      <w:r w:rsidR="003B696D">
        <w:rPr>
          <w:rFonts w:asciiTheme="minorHAnsi" w:hAnsiTheme="minorHAnsi" w:cstheme="minorHAnsi"/>
          <w:sz w:val="24"/>
          <w:szCs w:val="22"/>
        </w:rPr>
        <w:t xml:space="preserve"> </w:t>
      </w:r>
      <w:r w:rsidR="003B696D" w:rsidRPr="000A08C0">
        <w:rPr>
          <w:rFonts w:asciiTheme="minorHAnsi" w:hAnsiTheme="minorHAnsi" w:cstheme="minorHAnsi"/>
          <w:sz w:val="24"/>
          <w:szCs w:val="22"/>
        </w:rPr>
        <w:t xml:space="preserve">to oversee the </w:t>
      </w:r>
      <w:r w:rsidR="003B696D">
        <w:rPr>
          <w:rFonts w:asciiTheme="minorHAnsi" w:hAnsiTheme="minorHAnsi" w:cstheme="minorHAnsi"/>
          <w:sz w:val="24"/>
          <w:szCs w:val="22"/>
        </w:rPr>
        <w:t>R</w:t>
      </w:r>
      <w:r w:rsidR="003B696D" w:rsidRPr="000A08C0">
        <w:rPr>
          <w:rFonts w:asciiTheme="minorHAnsi" w:hAnsiTheme="minorHAnsi" w:cstheme="minorHAnsi"/>
          <w:sz w:val="24"/>
          <w:szCs w:val="22"/>
        </w:rPr>
        <w:t xml:space="preserve">eview and provide guidance to ensure the </w:t>
      </w:r>
      <w:r w:rsidR="003B696D">
        <w:rPr>
          <w:rFonts w:asciiTheme="minorHAnsi" w:hAnsiTheme="minorHAnsi" w:cstheme="minorHAnsi"/>
          <w:sz w:val="24"/>
          <w:szCs w:val="22"/>
        </w:rPr>
        <w:t>R</w:t>
      </w:r>
      <w:r w:rsidR="003B696D" w:rsidRPr="000A08C0">
        <w:rPr>
          <w:rFonts w:asciiTheme="minorHAnsi" w:hAnsiTheme="minorHAnsi" w:cstheme="minorHAnsi"/>
          <w:sz w:val="24"/>
          <w:szCs w:val="22"/>
        </w:rPr>
        <w:t>eview was robust, accurate and effective</w:t>
      </w:r>
      <w:r w:rsidR="003B696D">
        <w:rPr>
          <w:rFonts w:asciiTheme="minorHAnsi" w:hAnsiTheme="minorHAnsi" w:cstheme="minorHAnsi"/>
          <w:sz w:val="24"/>
          <w:szCs w:val="22"/>
        </w:rPr>
        <w:t>. The Steering Committee was</w:t>
      </w:r>
      <w:r w:rsidRPr="000A08C0">
        <w:rPr>
          <w:rFonts w:asciiTheme="minorHAnsi" w:hAnsiTheme="minorHAnsi" w:cstheme="minorHAnsi"/>
          <w:sz w:val="24"/>
          <w:szCs w:val="22"/>
        </w:rPr>
        <w:t xml:space="preserve"> </w:t>
      </w:r>
      <w:r w:rsidR="00233AD0">
        <w:rPr>
          <w:rFonts w:asciiTheme="minorHAnsi" w:hAnsiTheme="minorHAnsi" w:cstheme="minorHAnsi"/>
          <w:sz w:val="24"/>
          <w:szCs w:val="22"/>
        </w:rPr>
        <w:t xml:space="preserve">to be led by the </w:t>
      </w:r>
      <w:r w:rsidR="00267989">
        <w:rPr>
          <w:rFonts w:asciiTheme="minorHAnsi" w:hAnsiTheme="minorHAnsi" w:cstheme="minorHAnsi"/>
          <w:sz w:val="24"/>
          <w:szCs w:val="22"/>
        </w:rPr>
        <w:t xml:space="preserve">Australian Government </w:t>
      </w:r>
      <w:r w:rsidR="00233AD0">
        <w:rPr>
          <w:rFonts w:asciiTheme="minorHAnsi" w:hAnsiTheme="minorHAnsi" w:cstheme="minorHAnsi"/>
          <w:sz w:val="24"/>
          <w:szCs w:val="22"/>
        </w:rPr>
        <w:t>Department of Health</w:t>
      </w:r>
      <w:r w:rsidR="005F73D7">
        <w:rPr>
          <w:rFonts w:asciiTheme="minorHAnsi" w:hAnsiTheme="minorHAnsi" w:cstheme="minorHAnsi"/>
          <w:sz w:val="24"/>
          <w:szCs w:val="22"/>
        </w:rPr>
        <w:t xml:space="preserve"> </w:t>
      </w:r>
      <w:r w:rsidR="00233AD0">
        <w:rPr>
          <w:rFonts w:asciiTheme="minorHAnsi" w:hAnsiTheme="minorHAnsi" w:cstheme="minorHAnsi"/>
          <w:sz w:val="24"/>
          <w:szCs w:val="22"/>
        </w:rPr>
        <w:t xml:space="preserve">and </w:t>
      </w:r>
      <w:r w:rsidRPr="000A08C0">
        <w:rPr>
          <w:rFonts w:asciiTheme="minorHAnsi" w:hAnsiTheme="minorHAnsi" w:cstheme="minorHAnsi"/>
          <w:sz w:val="24"/>
          <w:szCs w:val="22"/>
        </w:rPr>
        <w:t>comprising representatives from the O</w:t>
      </w:r>
      <w:r w:rsidR="00B666BC">
        <w:rPr>
          <w:rFonts w:asciiTheme="minorHAnsi" w:hAnsiTheme="minorHAnsi" w:cstheme="minorHAnsi"/>
          <w:sz w:val="24"/>
          <w:szCs w:val="22"/>
        </w:rPr>
        <w:t>TA</w:t>
      </w:r>
      <w:r w:rsidRPr="000A08C0">
        <w:rPr>
          <w:rFonts w:asciiTheme="minorHAnsi" w:hAnsiTheme="minorHAnsi" w:cstheme="minorHAnsi"/>
          <w:sz w:val="24"/>
          <w:szCs w:val="22"/>
        </w:rPr>
        <w:t>, nominated jurisdictions</w:t>
      </w:r>
      <w:r w:rsidR="00233AD0">
        <w:rPr>
          <w:rFonts w:asciiTheme="minorHAnsi" w:hAnsiTheme="minorHAnsi" w:cstheme="minorHAnsi"/>
          <w:sz w:val="24"/>
          <w:szCs w:val="22"/>
        </w:rPr>
        <w:t xml:space="preserve"> and a senior clinical specialist</w:t>
      </w:r>
      <w:r w:rsidRPr="000A08C0">
        <w:rPr>
          <w:rFonts w:asciiTheme="minorHAnsi" w:hAnsiTheme="minorHAnsi" w:cstheme="minorHAnsi"/>
          <w:sz w:val="24"/>
          <w:szCs w:val="22"/>
        </w:rPr>
        <w:t>.</w:t>
      </w:r>
    </w:p>
    <w:p w14:paraId="45A89DD5" w14:textId="2CC9571F" w:rsidR="00676C9E" w:rsidRPr="005F5BB1" w:rsidRDefault="000A08C0" w:rsidP="005F5BB1">
      <w:pPr>
        <w:spacing w:after="120"/>
        <w:rPr>
          <w:rFonts w:asciiTheme="minorHAnsi" w:hAnsiTheme="minorHAnsi" w:cstheme="minorHAnsi"/>
          <w:sz w:val="24"/>
          <w:szCs w:val="22"/>
        </w:rPr>
      </w:pPr>
      <w:r>
        <w:rPr>
          <w:rFonts w:asciiTheme="minorHAnsi" w:hAnsiTheme="minorHAnsi" w:cstheme="minorHAnsi"/>
          <w:sz w:val="24"/>
          <w:szCs w:val="22"/>
        </w:rPr>
        <w:t>T</w:t>
      </w:r>
      <w:r w:rsidR="00745D58" w:rsidRPr="00F37D51">
        <w:rPr>
          <w:rFonts w:asciiTheme="minorHAnsi" w:hAnsiTheme="minorHAnsi" w:cstheme="minorHAnsi"/>
          <w:sz w:val="24"/>
          <w:szCs w:val="22"/>
        </w:rPr>
        <w:t xml:space="preserve">he </w:t>
      </w:r>
      <w:r w:rsidR="008C7E73">
        <w:rPr>
          <w:rFonts w:asciiTheme="minorHAnsi" w:hAnsiTheme="minorHAnsi" w:cstheme="minorHAnsi"/>
          <w:sz w:val="24"/>
          <w:szCs w:val="22"/>
        </w:rPr>
        <w:t xml:space="preserve">Australian Government </w:t>
      </w:r>
      <w:r w:rsidR="00745D58" w:rsidRPr="00F37D51">
        <w:rPr>
          <w:rFonts w:asciiTheme="minorHAnsi" w:hAnsiTheme="minorHAnsi" w:cstheme="minorHAnsi"/>
          <w:sz w:val="24"/>
          <w:szCs w:val="22"/>
        </w:rPr>
        <w:t xml:space="preserve">Department </w:t>
      </w:r>
      <w:r w:rsidR="008C7E73">
        <w:rPr>
          <w:rFonts w:asciiTheme="minorHAnsi" w:hAnsiTheme="minorHAnsi" w:cstheme="minorHAnsi"/>
          <w:sz w:val="24"/>
          <w:szCs w:val="22"/>
        </w:rPr>
        <w:t xml:space="preserve">of Health </w:t>
      </w:r>
      <w:r w:rsidR="00745D58" w:rsidRPr="00F37D51">
        <w:rPr>
          <w:rFonts w:asciiTheme="minorHAnsi" w:hAnsiTheme="minorHAnsi" w:cstheme="minorHAnsi"/>
          <w:sz w:val="24"/>
          <w:szCs w:val="22"/>
        </w:rPr>
        <w:t xml:space="preserve">engaged EY to undertake the </w:t>
      </w:r>
      <w:r w:rsidR="00C20E52">
        <w:rPr>
          <w:rFonts w:asciiTheme="minorHAnsi" w:hAnsiTheme="minorHAnsi" w:cstheme="minorHAnsi"/>
          <w:sz w:val="24"/>
          <w:szCs w:val="22"/>
        </w:rPr>
        <w:t>R</w:t>
      </w:r>
      <w:r w:rsidR="00745D58" w:rsidRPr="00F37D51">
        <w:rPr>
          <w:rFonts w:asciiTheme="minorHAnsi" w:hAnsiTheme="minorHAnsi" w:cstheme="minorHAnsi"/>
          <w:sz w:val="24"/>
          <w:szCs w:val="22"/>
        </w:rPr>
        <w:t>eview</w:t>
      </w:r>
      <w:r w:rsidR="003B696D">
        <w:rPr>
          <w:rFonts w:asciiTheme="minorHAnsi" w:hAnsiTheme="minorHAnsi" w:cstheme="minorHAnsi"/>
          <w:sz w:val="24"/>
          <w:szCs w:val="22"/>
        </w:rPr>
        <w:t>, which c</w:t>
      </w:r>
      <w:r w:rsidR="008F41E0">
        <w:rPr>
          <w:rFonts w:asciiTheme="minorHAnsi" w:hAnsiTheme="minorHAnsi" w:cstheme="minorHAnsi"/>
          <w:sz w:val="24"/>
          <w:szCs w:val="22"/>
        </w:rPr>
        <w:t>ommenced</w:t>
      </w:r>
      <w:r w:rsidR="00D81593">
        <w:rPr>
          <w:rFonts w:asciiTheme="minorHAnsi" w:hAnsiTheme="minorHAnsi" w:cstheme="minorHAnsi"/>
          <w:sz w:val="24"/>
          <w:szCs w:val="22"/>
        </w:rPr>
        <w:t xml:space="preserve"> in</w:t>
      </w:r>
      <w:r w:rsidR="00745D58" w:rsidRPr="00F37D51">
        <w:rPr>
          <w:rFonts w:asciiTheme="minorHAnsi" w:hAnsiTheme="minorHAnsi" w:cstheme="minorHAnsi"/>
          <w:sz w:val="24"/>
          <w:szCs w:val="22"/>
        </w:rPr>
        <w:t xml:space="preserve"> May </w:t>
      </w:r>
      <w:r w:rsidR="008F41E0">
        <w:rPr>
          <w:rFonts w:asciiTheme="minorHAnsi" w:hAnsiTheme="minorHAnsi" w:cstheme="minorHAnsi"/>
          <w:sz w:val="24"/>
          <w:szCs w:val="22"/>
        </w:rPr>
        <w:t xml:space="preserve">2018 and </w:t>
      </w:r>
      <w:r w:rsidR="003B696D">
        <w:rPr>
          <w:rFonts w:asciiTheme="minorHAnsi" w:hAnsiTheme="minorHAnsi" w:cstheme="minorHAnsi"/>
          <w:sz w:val="24"/>
          <w:szCs w:val="22"/>
        </w:rPr>
        <w:t xml:space="preserve">was </w:t>
      </w:r>
      <w:r w:rsidR="008F41E0">
        <w:rPr>
          <w:rFonts w:asciiTheme="minorHAnsi" w:hAnsiTheme="minorHAnsi" w:cstheme="minorHAnsi"/>
          <w:sz w:val="24"/>
          <w:szCs w:val="22"/>
        </w:rPr>
        <w:t xml:space="preserve">completed </w:t>
      </w:r>
      <w:r w:rsidR="002E4CC4">
        <w:rPr>
          <w:rFonts w:asciiTheme="minorHAnsi" w:hAnsiTheme="minorHAnsi" w:cstheme="minorHAnsi"/>
          <w:sz w:val="24"/>
          <w:szCs w:val="22"/>
        </w:rPr>
        <w:t>on 7</w:t>
      </w:r>
      <w:r w:rsidR="00745D58" w:rsidRPr="00F37D51">
        <w:rPr>
          <w:rFonts w:asciiTheme="minorHAnsi" w:hAnsiTheme="minorHAnsi" w:cstheme="minorHAnsi"/>
          <w:sz w:val="24"/>
          <w:szCs w:val="22"/>
        </w:rPr>
        <w:t xml:space="preserve"> </w:t>
      </w:r>
      <w:r w:rsidR="002E4CC4">
        <w:rPr>
          <w:rFonts w:asciiTheme="minorHAnsi" w:hAnsiTheme="minorHAnsi" w:cstheme="minorHAnsi"/>
          <w:sz w:val="24"/>
          <w:szCs w:val="22"/>
        </w:rPr>
        <w:t>December</w:t>
      </w:r>
      <w:r w:rsidR="002E4CC4" w:rsidRPr="00F37D51">
        <w:rPr>
          <w:rFonts w:asciiTheme="minorHAnsi" w:hAnsiTheme="minorHAnsi" w:cstheme="minorHAnsi"/>
          <w:sz w:val="24"/>
          <w:szCs w:val="22"/>
        </w:rPr>
        <w:t xml:space="preserve"> </w:t>
      </w:r>
      <w:r w:rsidR="00745D58" w:rsidRPr="00F37D51">
        <w:rPr>
          <w:rFonts w:asciiTheme="minorHAnsi" w:hAnsiTheme="minorHAnsi" w:cstheme="minorHAnsi"/>
          <w:sz w:val="24"/>
          <w:szCs w:val="22"/>
        </w:rPr>
        <w:t>2018</w:t>
      </w:r>
      <w:r w:rsidR="00FC7CF8">
        <w:rPr>
          <w:rFonts w:asciiTheme="minorHAnsi" w:hAnsiTheme="minorHAnsi" w:cstheme="minorHAnsi"/>
          <w:sz w:val="24"/>
          <w:szCs w:val="22"/>
        </w:rPr>
        <w:t>.</w:t>
      </w:r>
    </w:p>
    <w:p w14:paraId="70BBC719" w14:textId="3A0FB454" w:rsidR="00745D58" w:rsidRPr="005F5BB1" w:rsidRDefault="00745D58" w:rsidP="005F5BB1">
      <w:pPr>
        <w:spacing w:after="120"/>
        <w:rPr>
          <w:rFonts w:asciiTheme="minorHAnsi" w:hAnsiTheme="minorHAnsi" w:cstheme="minorHAnsi"/>
          <w:sz w:val="24"/>
          <w:szCs w:val="22"/>
        </w:rPr>
      </w:pPr>
      <w:r w:rsidRPr="005F5BB1">
        <w:rPr>
          <w:rFonts w:asciiTheme="minorHAnsi" w:hAnsiTheme="minorHAnsi" w:cstheme="minorHAnsi"/>
          <w:sz w:val="24"/>
          <w:szCs w:val="22"/>
        </w:rPr>
        <w:t xml:space="preserve">The Terms of Reference for the Review </w:t>
      </w:r>
      <w:r w:rsidR="009071A8" w:rsidRPr="005F5BB1">
        <w:rPr>
          <w:rFonts w:asciiTheme="minorHAnsi" w:hAnsiTheme="minorHAnsi" w:cstheme="minorHAnsi"/>
          <w:sz w:val="24"/>
          <w:szCs w:val="22"/>
        </w:rPr>
        <w:t>included two phases of work</w:t>
      </w:r>
      <w:r w:rsidR="003B696D">
        <w:rPr>
          <w:rFonts w:asciiTheme="minorHAnsi" w:hAnsiTheme="minorHAnsi" w:cstheme="minorHAnsi"/>
          <w:sz w:val="24"/>
          <w:szCs w:val="22"/>
        </w:rPr>
        <w:t xml:space="preserve">. </w:t>
      </w:r>
      <w:r w:rsidRPr="005F5BB1">
        <w:rPr>
          <w:rFonts w:asciiTheme="minorHAnsi" w:hAnsiTheme="minorHAnsi" w:cstheme="minorHAnsi"/>
          <w:sz w:val="24"/>
          <w:szCs w:val="22"/>
        </w:rPr>
        <w:t>EY were engaged to undertake Phase</w:t>
      </w:r>
      <w:r w:rsidR="00752070" w:rsidRPr="005F5BB1">
        <w:rPr>
          <w:rFonts w:asciiTheme="minorHAnsi" w:hAnsiTheme="minorHAnsi" w:cstheme="minorHAnsi"/>
          <w:sz w:val="24"/>
          <w:szCs w:val="22"/>
        </w:rPr>
        <w:t xml:space="preserve"> 1</w:t>
      </w:r>
      <w:r w:rsidR="003B696D">
        <w:rPr>
          <w:rFonts w:asciiTheme="minorHAnsi" w:hAnsiTheme="minorHAnsi" w:cstheme="minorHAnsi"/>
          <w:sz w:val="24"/>
          <w:szCs w:val="22"/>
        </w:rPr>
        <w:t xml:space="preserve"> only</w:t>
      </w:r>
      <w:r w:rsidR="005C6F3A" w:rsidRPr="005F5BB1">
        <w:rPr>
          <w:rFonts w:asciiTheme="minorHAnsi" w:hAnsiTheme="minorHAnsi" w:cstheme="minorHAnsi"/>
          <w:sz w:val="24"/>
          <w:szCs w:val="22"/>
        </w:rPr>
        <w:t>.</w:t>
      </w:r>
      <w:r w:rsidR="0039553F">
        <w:rPr>
          <w:rFonts w:asciiTheme="minorHAnsi" w:hAnsiTheme="minorHAnsi" w:cstheme="minorHAnsi"/>
          <w:sz w:val="24"/>
          <w:szCs w:val="22"/>
        </w:rPr>
        <w:t xml:space="preserve"> </w:t>
      </w:r>
    </w:p>
    <w:p w14:paraId="6ED1F84D" w14:textId="77777777" w:rsidR="009071A8" w:rsidRDefault="009071A8" w:rsidP="00745D58">
      <w:pPr>
        <w:pStyle w:val="EYBodytextwithparaspace"/>
        <w:spacing w:after="120"/>
        <w:rPr>
          <w:rFonts w:asciiTheme="minorHAnsi" w:hAnsiTheme="minorHAnsi" w:cstheme="minorHAnsi"/>
          <w:sz w:val="24"/>
          <w:szCs w:val="22"/>
        </w:rPr>
      </w:pPr>
      <w:r>
        <w:rPr>
          <w:rFonts w:asciiTheme="minorHAnsi" w:hAnsiTheme="minorHAnsi" w:cstheme="minorHAnsi"/>
          <w:sz w:val="24"/>
          <w:szCs w:val="22"/>
        </w:rPr>
        <w:t>The Terms of Reference for Phase 1</w:t>
      </w:r>
      <w:r w:rsidR="00D81593">
        <w:rPr>
          <w:rFonts w:asciiTheme="minorHAnsi" w:hAnsiTheme="minorHAnsi" w:cstheme="minorHAnsi"/>
          <w:sz w:val="24"/>
          <w:szCs w:val="22"/>
        </w:rPr>
        <w:t xml:space="preserve"> of the Review </w:t>
      </w:r>
      <w:r w:rsidR="0085695A">
        <w:rPr>
          <w:rFonts w:asciiTheme="minorHAnsi" w:hAnsiTheme="minorHAnsi" w:cstheme="minorHAnsi"/>
          <w:sz w:val="24"/>
          <w:szCs w:val="22"/>
        </w:rPr>
        <w:t>were</w:t>
      </w:r>
      <w:r>
        <w:rPr>
          <w:rFonts w:asciiTheme="minorHAnsi" w:hAnsiTheme="minorHAnsi" w:cstheme="minorHAnsi"/>
          <w:sz w:val="24"/>
          <w:szCs w:val="22"/>
        </w:rPr>
        <w:t>:</w:t>
      </w:r>
    </w:p>
    <w:p w14:paraId="082F834F" w14:textId="77777777" w:rsidR="00745D58" w:rsidRPr="00F37D51" w:rsidRDefault="00745D58" w:rsidP="00481A6A">
      <w:pPr>
        <w:pStyle w:val="EYBodytextwithparaspace"/>
        <w:numPr>
          <w:ilvl w:val="0"/>
          <w:numId w:val="25"/>
        </w:numPr>
        <w:spacing w:after="120"/>
        <w:ind w:left="357" w:hanging="357"/>
        <w:rPr>
          <w:rFonts w:asciiTheme="minorHAnsi" w:hAnsiTheme="minorHAnsi" w:cstheme="minorHAnsi"/>
          <w:sz w:val="24"/>
          <w:szCs w:val="22"/>
        </w:rPr>
      </w:pPr>
      <w:r w:rsidRPr="00F37D51">
        <w:rPr>
          <w:rFonts w:asciiTheme="minorHAnsi" w:hAnsiTheme="minorHAnsi" w:cstheme="minorHAnsi"/>
          <w:sz w:val="24"/>
          <w:szCs w:val="22"/>
        </w:rPr>
        <w:t>Review current systems, practices and processes in the donation, retrieval and transplant</w:t>
      </w:r>
      <w:r w:rsidR="00E634FA">
        <w:rPr>
          <w:rFonts w:asciiTheme="minorHAnsi" w:hAnsiTheme="minorHAnsi" w:cstheme="minorHAnsi"/>
          <w:sz w:val="24"/>
          <w:szCs w:val="22"/>
        </w:rPr>
        <w:t>ation</w:t>
      </w:r>
      <w:r w:rsidRPr="00F37D51">
        <w:rPr>
          <w:rFonts w:asciiTheme="minorHAnsi" w:hAnsiTheme="minorHAnsi" w:cstheme="minorHAnsi"/>
          <w:sz w:val="24"/>
          <w:szCs w:val="22"/>
        </w:rPr>
        <w:t xml:space="preserve"> sector including: </w:t>
      </w:r>
    </w:p>
    <w:p w14:paraId="21CD1F61" w14:textId="77777777" w:rsidR="00745D58" w:rsidRPr="00921012" w:rsidRDefault="001E4F80" w:rsidP="00481A6A">
      <w:pPr>
        <w:pStyle w:val="ListParagraph"/>
        <w:numPr>
          <w:ilvl w:val="0"/>
          <w:numId w:val="24"/>
        </w:numPr>
        <w:spacing w:after="120"/>
        <w:ind w:left="714" w:hanging="357"/>
        <w:rPr>
          <w:rFonts w:asciiTheme="minorHAnsi" w:hAnsiTheme="minorHAnsi" w:cstheme="minorHAnsi"/>
          <w:sz w:val="24"/>
          <w:szCs w:val="24"/>
          <w:lang w:val="en-GB"/>
        </w:rPr>
      </w:pPr>
      <w:r>
        <w:rPr>
          <w:rFonts w:asciiTheme="minorHAnsi" w:hAnsiTheme="minorHAnsi" w:cstheme="minorHAnsi"/>
          <w:sz w:val="24"/>
          <w:szCs w:val="24"/>
          <w:lang w:val="en-GB"/>
        </w:rPr>
        <w:t>W</w:t>
      </w:r>
      <w:r w:rsidR="00745D58" w:rsidRPr="00921012">
        <w:rPr>
          <w:rFonts w:asciiTheme="minorHAnsi" w:hAnsiTheme="minorHAnsi" w:cstheme="minorHAnsi"/>
          <w:sz w:val="24"/>
          <w:szCs w:val="24"/>
          <w:lang w:val="en-GB"/>
        </w:rPr>
        <w:t>ait</w:t>
      </w:r>
      <w:r w:rsidR="00BA737B">
        <w:rPr>
          <w:rFonts w:asciiTheme="minorHAnsi" w:hAnsiTheme="minorHAnsi" w:cstheme="minorHAnsi"/>
          <w:sz w:val="24"/>
          <w:szCs w:val="24"/>
          <w:lang w:val="en-GB"/>
        </w:rPr>
        <w:t>ing</w:t>
      </w:r>
      <w:r w:rsidR="00745D58" w:rsidRPr="00921012">
        <w:rPr>
          <w:rFonts w:asciiTheme="minorHAnsi" w:hAnsiTheme="minorHAnsi" w:cstheme="minorHAnsi"/>
          <w:sz w:val="24"/>
          <w:szCs w:val="24"/>
          <w:lang w:val="en-GB"/>
        </w:rPr>
        <w:t xml:space="preserve"> list criteria and management including equity of access for all Australians  </w:t>
      </w:r>
    </w:p>
    <w:p w14:paraId="5539901F" w14:textId="77777777" w:rsidR="00745D58" w:rsidRPr="00921012" w:rsidRDefault="001E4F80" w:rsidP="00481A6A">
      <w:pPr>
        <w:pStyle w:val="ListParagraph"/>
        <w:numPr>
          <w:ilvl w:val="0"/>
          <w:numId w:val="24"/>
        </w:numPr>
        <w:spacing w:after="120"/>
        <w:ind w:left="714" w:hanging="357"/>
        <w:rPr>
          <w:rFonts w:asciiTheme="minorHAnsi" w:hAnsiTheme="minorHAnsi" w:cstheme="minorHAnsi"/>
          <w:sz w:val="24"/>
          <w:szCs w:val="24"/>
          <w:lang w:val="en-GB"/>
        </w:rPr>
      </w:pPr>
      <w:r>
        <w:rPr>
          <w:rFonts w:asciiTheme="minorHAnsi" w:hAnsiTheme="minorHAnsi" w:cstheme="minorHAnsi"/>
          <w:sz w:val="24"/>
          <w:szCs w:val="24"/>
          <w:lang w:val="en-GB"/>
        </w:rPr>
        <w:t>O</w:t>
      </w:r>
      <w:r w:rsidR="00745D58" w:rsidRPr="00921012">
        <w:rPr>
          <w:rFonts w:asciiTheme="minorHAnsi" w:hAnsiTheme="minorHAnsi" w:cstheme="minorHAnsi"/>
          <w:sz w:val="24"/>
          <w:szCs w:val="24"/>
          <w:lang w:val="en-GB"/>
        </w:rPr>
        <w:t xml:space="preserve">rgan offer, allocation and acceptance processes </w:t>
      </w:r>
    </w:p>
    <w:p w14:paraId="1C5AE4D5" w14:textId="77777777" w:rsidR="00745D58" w:rsidRPr="00921012" w:rsidRDefault="001E4F80" w:rsidP="00481A6A">
      <w:pPr>
        <w:pStyle w:val="ListParagraph"/>
        <w:numPr>
          <w:ilvl w:val="0"/>
          <w:numId w:val="24"/>
        </w:numPr>
        <w:spacing w:after="120"/>
        <w:ind w:left="714" w:hanging="357"/>
        <w:rPr>
          <w:rFonts w:asciiTheme="minorHAnsi" w:hAnsiTheme="minorHAnsi" w:cstheme="minorHAnsi"/>
          <w:sz w:val="24"/>
          <w:szCs w:val="24"/>
          <w:lang w:val="en-GB"/>
        </w:rPr>
      </w:pPr>
      <w:r>
        <w:rPr>
          <w:rFonts w:asciiTheme="minorHAnsi" w:hAnsiTheme="minorHAnsi" w:cstheme="minorHAnsi"/>
          <w:sz w:val="24"/>
          <w:szCs w:val="24"/>
          <w:lang w:val="en-GB"/>
        </w:rPr>
        <w:t>T</w:t>
      </w:r>
      <w:r w:rsidR="00745D58" w:rsidRPr="001E4F80">
        <w:rPr>
          <w:rFonts w:asciiTheme="minorHAnsi" w:hAnsiTheme="minorHAnsi" w:cstheme="minorHAnsi"/>
          <w:sz w:val="24"/>
          <w:szCs w:val="24"/>
          <w:lang w:val="en-GB"/>
        </w:rPr>
        <w:t xml:space="preserve">ransplant patient consent procedures for sub-optimal organs (e.g. </w:t>
      </w:r>
      <w:r w:rsidR="0032542A">
        <w:rPr>
          <w:rFonts w:asciiTheme="minorHAnsi" w:hAnsiTheme="minorHAnsi" w:cstheme="minorHAnsi"/>
          <w:sz w:val="24"/>
          <w:szCs w:val="24"/>
          <w:lang w:val="en-GB"/>
        </w:rPr>
        <w:t>H</w:t>
      </w:r>
      <w:r w:rsidR="00745D58" w:rsidRPr="001E4F80">
        <w:rPr>
          <w:rFonts w:asciiTheme="minorHAnsi" w:hAnsiTheme="minorHAnsi" w:cstheme="minorHAnsi"/>
          <w:sz w:val="24"/>
          <w:szCs w:val="24"/>
          <w:lang w:val="en-GB"/>
        </w:rPr>
        <w:t>ep</w:t>
      </w:r>
      <w:r w:rsidR="0032542A">
        <w:rPr>
          <w:rFonts w:asciiTheme="minorHAnsi" w:hAnsiTheme="minorHAnsi" w:cstheme="minorHAnsi"/>
          <w:sz w:val="24"/>
          <w:szCs w:val="24"/>
          <w:lang w:val="en-GB"/>
        </w:rPr>
        <w:t>atitis</w:t>
      </w:r>
      <w:r w:rsidR="00745D58" w:rsidRPr="001E4F80">
        <w:rPr>
          <w:rFonts w:asciiTheme="minorHAnsi" w:hAnsiTheme="minorHAnsi" w:cstheme="minorHAnsi"/>
          <w:sz w:val="24"/>
          <w:szCs w:val="24"/>
          <w:lang w:val="en-GB"/>
        </w:rPr>
        <w:t xml:space="preserve"> C positive donor to </w:t>
      </w:r>
      <w:r w:rsidR="0032542A">
        <w:rPr>
          <w:rFonts w:asciiTheme="minorHAnsi" w:hAnsiTheme="minorHAnsi" w:cstheme="minorHAnsi"/>
          <w:sz w:val="24"/>
          <w:szCs w:val="24"/>
          <w:lang w:val="en-GB"/>
        </w:rPr>
        <w:t>H</w:t>
      </w:r>
      <w:r w:rsidR="00745D58" w:rsidRPr="001E4F80">
        <w:rPr>
          <w:rFonts w:asciiTheme="minorHAnsi" w:hAnsiTheme="minorHAnsi" w:cstheme="minorHAnsi"/>
          <w:sz w:val="24"/>
          <w:szCs w:val="24"/>
          <w:lang w:val="en-GB"/>
        </w:rPr>
        <w:t>ep</w:t>
      </w:r>
      <w:r w:rsidR="0032542A">
        <w:rPr>
          <w:rFonts w:asciiTheme="minorHAnsi" w:hAnsiTheme="minorHAnsi" w:cstheme="minorHAnsi"/>
          <w:sz w:val="24"/>
          <w:szCs w:val="24"/>
          <w:lang w:val="en-GB"/>
        </w:rPr>
        <w:t>atitis</w:t>
      </w:r>
      <w:r w:rsidR="00745D58" w:rsidRPr="001E4F80">
        <w:rPr>
          <w:rFonts w:asciiTheme="minorHAnsi" w:hAnsiTheme="minorHAnsi" w:cstheme="minorHAnsi"/>
          <w:sz w:val="24"/>
          <w:szCs w:val="24"/>
          <w:lang w:val="en-GB"/>
        </w:rPr>
        <w:t xml:space="preserve"> C negative reci</w:t>
      </w:r>
      <w:r w:rsidR="00745D58" w:rsidRPr="00921012">
        <w:rPr>
          <w:rFonts w:asciiTheme="minorHAnsi" w:hAnsiTheme="minorHAnsi" w:cstheme="minorHAnsi"/>
          <w:sz w:val="24"/>
          <w:szCs w:val="24"/>
          <w:lang w:val="en-GB"/>
        </w:rPr>
        <w:t xml:space="preserve">pient)  </w:t>
      </w:r>
    </w:p>
    <w:p w14:paraId="6609849C" w14:textId="432019CD" w:rsidR="00745D58" w:rsidRPr="00F37D51" w:rsidRDefault="00745D58" w:rsidP="00481A6A">
      <w:pPr>
        <w:pStyle w:val="EYBodytextwithparaspace"/>
        <w:numPr>
          <w:ilvl w:val="0"/>
          <w:numId w:val="25"/>
        </w:numPr>
        <w:spacing w:after="120"/>
        <w:ind w:left="357" w:hanging="357"/>
        <w:rPr>
          <w:rFonts w:asciiTheme="minorHAnsi" w:hAnsiTheme="minorHAnsi" w:cstheme="minorHAnsi"/>
          <w:sz w:val="24"/>
          <w:szCs w:val="22"/>
        </w:rPr>
      </w:pPr>
      <w:r w:rsidRPr="00F37D51">
        <w:rPr>
          <w:rFonts w:asciiTheme="minorHAnsi" w:hAnsiTheme="minorHAnsi" w:cstheme="minorHAnsi"/>
          <w:sz w:val="24"/>
          <w:szCs w:val="22"/>
        </w:rPr>
        <w:t>Consider where there may be jurisdictional variations in above systems, practices and processes to identify opportunities for best practice through national collaboration</w:t>
      </w:r>
    </w:p>
    <w:p w14:paraId="16314E95" w14:textId="77777777" w:rsidR="00745D58" w:rsidRPr="00F37D51" w:rsidRDefault="00745D58" w:rsidP="00481A6A">
      <w:pPr>
        <w:pStyle w:val="EYBodytextwithparaspace"/>
        <w:numPr>
          <w:ilvl w:val="0"/>
          <w:numId w:val="25"/>
        </w:numPr>
        <w:spacing w:after="120"/>
        <w:ind w:left="357" w:hanging="357"/>
        <w:rPr>
          <w:rFonts w:asciiTheme="minorHAnsi" w:hAnsiTheme="minorHAnsi" w:cstheme="minorHAnsi"/>
          <w:sz w:val="24"/>
          <w:szCs w:val="22"/>
        </w:rPr>
      </w:pPr>
      <w:r w:rsidRPr="00F37D51">
        <w:rPr>
          <w:rFonts w:asciiTheme="minorHAnsi" w:hAnsiTheme="minorHAnsi" w:cstheme="minorHAnsi"/>
          <w:sz w:val="24"/>
          <w:szCs w:val="22"/>
        </w:rPr>
        <w:t xml:space="preserve">Analyse cross jurisdictional retrieval and transplantation processes </w:t>
      </w:r>
    </w:p>
    <w:p w14:paraId="7CA071E8" w14:textId="77777777" w:rsidR="00745D58" w:rsidRPr="00F37D51" w:rsidRDefault="00745D58" w:rsidP="00481A6A">
      <w:pPr>
        <w:pStyle w:val="EYBodytextwithparaspace"/>
        <w:numPr>
          <w:ilvl w:val="0"/>
          <w:numId w:val="25"/>
        </w:numPr>
        <w:spacing w:after="120"/>
        <w:ind w:left="357" w:hanging="357"/>
        <w:rPr>
          <w:rFonts w:asciiTheme="minorHAnsi" w:hAnsiTheme="minorHAnsi" w:cstheme="minorHAnsi"/>
          <w:sz w:val="24"/>
          <w:szCs w:val="22"/>
        </w:rPr>
      </w:pPr>
      <w:r w:rsidRPr="00F37D51">
        <w:rPr>
          <w:rFonts w:asciiTheme="minorHAnsi" w:hAnsiTheme="minorHAnsi" w:cstheme="minorHAnsi"/>
          <w:sz w:val="24"/>
          <w:szCs w:val="22"/>
        </w:rPr>
        <w:t xml:space="preserve">Consider current Commonwealth and jurisdictional resourcing for retrieval and </w:t>
      </w:r>
      <w:r w:rsidR="00E634FA">
        <w:rPr>
          <w:rFonts w:asciiTheme="minorHAnsi" w:hAnsiTheme="minorHAnsi" w:cstheme="minorHAnsi"/>
          <w:sz w:val="24"/>
          <w:szCs w:val="22"/>
        </w:rPr>
        <w:t>transplantation services</w:t>
      </w:r>
      <w:r w:rsidRPr="00F37D51">
        <w:rPr>
          <w:rFonts w:asciiTheme="minorHAnsi" w:hAnsiTheme="minorHAnsi" w:cstheme="minorHAnsi"/>
          <w:sz w:val="24"/>
          <w:szCs w:val="22"/>
        </w:rPr>
        <w:t xml:space="preserve"> which includes: </w:t>
      </w:r>
    </w:p>
    <w:p w14:paraId="323ED1EF" w14:textId="77777777" w:rsidR="00745D58" w:rsidRPr="00921012" w:rsidRDefault="001E4F80" w:rsidP="00481A6A">
      <w:pPr>
        <w:pStyle w:val="ListParagraph"/>
        <w:numPr>
          <w:ilvl w:val="0"/>
          <w:numId w:val="24"/>
        </w:numPr>
        <w:spacing w:after="120"/>
        <w:ind w:left="714" w:hanging="357"/>
        <w:rPr>
          <w:rFonts w:asciiTheme="minorHAnsi" w:hAnsiTheme="minorHAnsi" w:cstheme="minorHAnsi"/>
          <w:sz w:val="24"/>
          <w:szCs w:val="24"/>
          <w:lang w:val="en-GB"/>
        </w:rPr>
      </w:pPr>
      <w:r>
        <w:rPr>
          <w:rFonts w:asciiTheme="minorHAnsi" w:hAnsiTheme="minorHAnsi" w:cstheme="minorHAnsi"/>
          <w:sz w:val="24"/>
          <w:szCs w:val="24"/>
          <w:lang w:val="en-GB"/>
        </w:rPr>
        <w:t>T</w:t>
      </w:r>
      <w:r w:rsidR="00745D58" w:rsidRPr="00921012">
        <w:rPr>
          <w:rFonts w:asciiTheme="minorHAnsi" w:hAnsiTheme="minorHAnsi" w:cstheme="minorHAnsi"/>
          <w:sz w:val="24"/>
          <w:szCs w:val="24"/>
          <w:lang w:val="en-GB"/>
        </w:rPr>
        <w:t xml:space="preserve">issue typing </w:t>
      </w:r>
    </w:p>
    <w:p w14:paraId="2F089305" w14:textId="77777777" w:rsidR="00745D58" w:rsidRPr="00921012" w:rsidRDefault="001E4F80" w:rsidP="00481A6A">
      <w:pPr>
        <w:pStyle w:val="ListParagraph"/>
        <w:numPr>
          <w:ilvl w:val="0"/>
          <w:numId w:val="24"/>
        </w:numPr>
        <w:spacing w:after="120"/>
        <w:ind w:left="714" w:hanging="357"/>
        <w:rPr>
          <w:rFonts w:asciiTheme="minorHAnsi" w:hAnsiTheme="minorHAnsi" w:cstheme="minorHAnsi"/>
          <w:sz w:val="24"/>
          <w:szCs w:val="24"/>
          <w:lang w:val="en-GB"/>
        </w:rPr>
      </w:pPr>
      <w:r>
        <w:rPr>
          <w:rFonts w:asciiTheme="minorHAnsi" w:hAnsiTheme="minorHAnsi" w:cstheme="minorHAnsi"/>
          <w:sz w:val="24"/>
          <w:szCs w:val="24"/>
          <w:lang w:val="en-GB"/>
        </w:rPr>
        <w:t>R</w:t>
      </w:r>
      <w:r w:rsidR="00745D58" w:rsidRPr="00921012">
        <w:rPr>
          <w:rFonts w:asciiTheme="minorHAnsi" w:hAnsiTheme="minorHAnsi" w:cstheme="minorHAnsi"/>
          <w:sz w:val="24"/>
          <w:szCs w:val="24"/>
          <w:lang w:val="en-GB"/>
        </w:rPr>
        <w:t xml:space="preserve">etrieval teams </w:t>
      </w:r>
    </w:p>
    <w:p w14:paraId="76FCEE72" w14:textId="77777777" w:rsidR="00745D58" w:rsidRPr="00921012" w:rsidRDefault="001E4F80" w:rsidP="00481A6A">
      <w:pPr>
        <w:pStyle w:val="ListParagraph"/>
        <w:numPr>
          <w:ilvl w:val="0"/>
          <w:numId w:val="24"/>
        </w:numPr>
        <w:spacing w:after="120"/>
        <w:ind w:left="714" w:hanging="357"/>
        <w:rPr>
          <w:rFonts w:asciiTheme="minorHAnsi" w:hAnsiTheme="minorHAnsi" w:cstheme="minorHAnsi"/>
          <w:sz w:val="24"/>
          <w:szCs w:val="24"/>
          <w:lang w:val="en-GB"/>
        </w:rPr>
      </w:pPr>
      <w:r>
        <w:rPr>
          <w:rFonts w:asciiTheme="minorHAnsi" w:hAnsiTheme="minorHAnsi" w:cstheme="minorHAnsi"/>
          <w:sz w:val="24"/>
          <w:szCs w:val="24"/>
          <w:lang w:val="en-GB"/>
        </w:rPr>
        <w:t>T</w:t>
      </w:r>
      <w:r w:rsidR="00745D58" w:rsidRPr="00921012">
        <w:rPr>
          <w:rFonts w:asciiTheme="minorHAnsi" w:hAnsiTheme="minorHAnsi" w:cstheme="minorHAnsi"/>
          <w:sz w:val="24"/>
          <w:szCs w:val="24"/>
          <w:lang w:val="en-GB"/>
        </w:rPr>
        <w:t xml:space="preserve">ransport and travel </w:t>
      </w:r>
    </w:p>
    <w:p w14:paraId="60547E21" w14:textId="77777777" w:rsidR="00745D58" w:rsidRPr="00921012" w:rsidRDefault="001E4F80" w:rsidP="00481A6A">
      <w:pPr>
        <w:pStyle w:val="ListParagraph"/>
        <w:numPr>
          <w:ilvl w:val="0"/>
          <w:numId w:val="24"/>
        </w:numPr>
        <w:spacing w:after="120"/>
        <w:ind w:left="714" w:hanging="357"/>
        <w:rPr>
          <w:rFonts w:asciiTheme="minorHAnsi" w:hAnsiTheme="minorHAnsi" w:cstheme="minorHAnsi"/>
          <w:sz w:val="24"/>
          <w:szCs w:val="24"/>
          <w:lang w:val="en-GB"/>
        </w:rPr>
      </w:pPr>
      <w:r>
        <w:rPr>
          <w:rFonts w:asciiTheme="minorHAnsi" w:hAnsiTheme="minorHAnsi" w:cstheme="minorHAnsi"/>
          <w:sz w:val="24"/>
          <w:szCs w:val="24"/>
          <w:lang w:val="en-GB"/>
        </w:rPr>
        <w:t>T</w:t>
      </w:r>
      <w:r w:rsidR="00745D58" w:rsidRPr="00921012">
        <w:rPr>
          <w:rFonts w:asciiTheme="minorHAnsi" w:hAnsiTheme="minorHAnsi" w:cstheme="minorHAnsi"/>
          <w:sz w:val="24"/>
          <w:szCs w:val="24"/>
          <w:lang w:val="en-GB"/>
        </w:rPr>
        <w:t xml:space="preserve">ransplant surgery </w:t>
      </w:r>
    </w:p>
    <w:p w14:paraId="2477956D" w14:textId="77777777" w:rsidR="00745D58" w:rsidRPr="001E4F80" w:rsidRDefault="001E4F80" w:rsidP="00481A6A">
      <w:pPr>
        <w:pStyle w:val="ListParagraph"/>
        <w:numPr>
          <w:ilvl w:val="0"/>
          <w:numId w:val="24"/>
        </w:numPr>
        <w:spacing w:after="120"/>
        <w:ind w:left="714" w:hanging="357"/>
        <w:rPr>
          <w:rFonts w:asciiTheme="minorHAnsi" w:hAnsiTheme="minorHAnsi" w:cstheme="minorHAnsi"/>
          <w:sz w:val="24"/>
          <w:szCs w:val="24"/>
          <w:lang w:val="en-GB"/>
        </w:rPr>
      </w:pPr>
      <w:r>
        <w:rPr>
          <w:rFonts w:asciiTheme="minorHAnsi" w:hAnsiTheme="minorHAnsi" w:cstheme="minorHAnsi"/>
          <w:sz w:val="24"/>
          <w:szCs w:val="24"/>
          <w:lang w:val="en-GB"/>
        </w:rPr>
        <w:t>O</w:t>
      </w:r>
      <w:r w:rsidR="00745D58" w:rsidRPr="001E4F80">
        <w:rPr>
          <w:rFonts w:asciiTheme="minorHAnsi" w:hAnsiTheme="minorHAnsi" w:cstheme="minorHAnsi"/>
          <w:sz w:val="24"/>
          <w:szCs w:val="24"/>
          <w:lang w:val="en-GB"/>
        </w:rPr>
        <w:t xml:space="preserve">utpatient care (pre and </w:t>
      </w:r>
      <w:r w:rsidR="00267989">
        <w:rPr>
          <w:rFonts w:asciiTheme="minorHAnsi" w:hAnsiTheme="minorHAnsi" w:cstheme="minorHAnsi"/>
          <w:sz w:val="24"/>
          <w:szCs w:val="24"/>
          <w:lang w:val="en-GB"/>
        </w:rPr>
        <w:t>post</w:t>
      </w:r>
      <w:r w:rsidR="00E632AF">
        <w:rPr>
          <w:rFonts w:asciiTheme="minorHAnsi" w:hAnsiTheme="minorHAnsi" w:cstheme="minorHAnsi"/>
          <w:sz w:val="24"/>
          <w:szCs w:val="24"/>
          <w:lang w:val="en-GB"/>
        </w:rPr>
        <w:t xml:space="preserve"> </w:t>
      </w:r>
      <w:r w:rsidR="00267989">
        <w:rPr>
          <w:rFonts w:asciiTheme="minorHAnsi" w:hAnsiTheme="minorHAnsi" w:cstheme="minorHAnsi"/>
          <w:sz w:val="24"/>
          <w:szCs w:val="24"/>
          <w:lang w:val="en-GB"/>
        </w:rPr>
        <w:t>t</w:t>
      </w:r>
      <w:r w:rsidR="00267989" w:rsidRPr="001E4F80">
        <w:rPr>
          <w:rFonts w:asciiTheme="minorHAnsi" w:hAnsiTheme="minorHAnsi" w:cstheme="minorHAnsi"/>
          <w:sz w:val="24"/>
          <w:szCs w:val="24"/>
          <w:lang w:val="en-GB"/>
        </w:rPr>
        <w:t>ransplant</w:t>
      </w:r>
      <w:r w:rsidR="00267989">
        <w:rPr>
          <w:rFonts w:asciiTheme="minorHAnsi" w:hAnsiTheme="minorHAnsi" w:cstheme="minorHAnsi"/>
          <w:sz w:val="24"/>
          <w:szCs w:val="24"/>
          <w:lang w:val="en-GB"/>
        </w:rPr>
        <w:t>ation</w:t>
      </w:r>
      <w:r w:rsidR="00745D58" w:rsidRPr="001E4F80">
        <w:rPr>
          <w:rFonts w:asciiTheme="minorHAnsi" w:hAnsiTheme="minorHAnsi" w:cstheme="minorHAnsi"/>
          <w:sz w:val="24"/>
          <w:szCs w:val="24"/>
          <w:lang w:val="en-GB"/>
        </w:rPr>
        <w:t xml:space="preserve">) </w:t>
      </w:r>
    </w:p>
    <w:p w14:paraId="1AAC3D7C" w14:textId="77777777" w:rsidR="00745D58" w:rsidRPr="00921012" w:rsidRDefault="001E4F80" w:rsidP="00481A6A">
      <w:pPr>
        <w:pStyle w:val="ListParagraph"/>
        <w:numPr>
          <w:ilvl w:val="0"/>
          <w:numId w:val="24"/>
        </w:numPr>
        <w:spacing w:after="120"/>
        <w:ind w:left="714" w:hanging="357"/>
        <w:rPr>
          <w:rFonts w:asciiTheme="minorHAnsi" w:hAnsiTheme="minorHAnsi" w:cstheme="minorHAnsi"/>
          <w:sz w:val="24"/>
          <w:szCs w:val="24"/>
          <w:lang w:val="en-GB"/>
        </w:rPr>
      </w:pPr>
      <w:r>
        <w:rPr>
          <w:rFonts w:asciiTheme="minorHAnsi" w:hAnsiTheme="minorHAnsi" w:cstheme="minorHAnsi"/>
          <w:sz w:val="24"/>
          <w:szCs w:val="24"/>
          <w:lang w:val="en-GB"/>
        </w:rPr>
        <w:t>I</w:t>
      </w:r>
      <w:r w:rsidR="00745D58" w:rsidRPr="001E4F80">
        <w:rPr>
          <w:rFonts w:asciiTheme="minorHAnsi" w:hAnsiTheme="minorHAnsi" w:cstheme="minorHAnsi"/>
          <w:sz w:val="24"/>
          <w:szCs w:val="24"/>
          <w:lang w:val="en-GB"/>
        </w:rPr>
        <w:t>nterstate retr</w:t>
      </w:r>
      <w:r w:rsidR="00745D58" w:rsidRPr="00921012">
        <w:rPr>
          <w:rFonts w:asciiTheme="minorHAnsi" w:hAnsiTheme="minorHAnsi" w:cstheme="minorHAnsi"/>
          <w:sz w:val="24"/>
          <w:szCs w:val="24"/>
          <w:lang w:val="en-GB"/>
        </w:rPr>
        <w:t xml:space="preserve">ieval </w:t>
      </w:r>
    </w:p>
    <w:p w14:paraId="5CBF6B14" w14:textId="77777777" w:rsidR="00745D58" w:rsidRPr="00F37D51" w:rsidRDefault="00745D58" w:rsidP="00481A6A">
      <w:pPr>
        <w:pStyle w:val="EYBodytextwithparaspace"/>
        <w:numPr>
          <w:ilvl w:val="0"/>
          <w:numId w:val="25"/>
        </w:numPr>
        <w:spacing w:after="120"/>
        <w:ind w:left="357" w:hanging="357"/>
        <w:rPr>
          <w:rFonts w:asciiTheme="minorHAnsi" w:hAnsiTheme="minorHAnsi" w:cstheme="minorHAnsi"/>
          <w:sz w:val="24"/>
          <w:szCs w:val="22"/>
        </w:rPr>
      </w:pPr>
      <w:r w:rsidRPr="00F37D51">
        <w:rPr>
          <w:rFonts w:asciiTheme="minorHAnsi" w:hAnsiTheme="minorHAnsi" w:cstheme="minorHAnsi"/>
          <w:sz w:val="24"/>
          <w:szCs w:val="22"/>
        </w:rPr>
        <w:t xml:space="preserve">Consider existing modules and arrangements to identify the optimal systems, resourcing and workforce requirements to support future donation activity.  </w:t>
      </w:r>
    </w:p>
    <w:p w14:paraId="367BBE79" w14:textId="77777777" w:rsidR="00745D58" w:rsidRDefault="00745D58" w:rsidP="00745D58">
      <w:pPr>
        <w:pStyle w:val="EYBodytextwithparaspace"/>
        <w:spacing w:after="120"/>
        <w:rPr>
          <w:rFonts w:asciiTheme="minorHAnsi" w:hAnsiTheme="minorHAnsi" w:cstheme="minorHAnsi"/>
          <w:sz w:val="24"/>
          <w:szCs w:val="22"/>
        </w:rPr>
      </w:pPr>
      <w:r w:rsidRPr="00F37D51">
        <w:rPr>
          <w:rFonts w:asciiTheme="minorHAnsi" w:hAnsiTheme="minorHAnsi" w:cstheme="minorHAnsi"/>
          <w:sz w:val="24"/>
          <w:szCs w:val="22"/>
        </w:rPr>
        <w:t xml:space="preserve">Completion of Phase 1 of the </w:t>
      </w:r>
      <w:r w:rsidR="00E632AF">
        <w:rPr>
          <w:rFonts w:asciiTheme="minorHAnsi" w:hAnsiTheme="minorHAnsi" w:cstheme="minorHAnsi"/>
          <w:sz w:val="24"/>
          <w:szCs w:val="22"/>
        </w:rPr>
        <w:t>R</w:t>
      </w:r>
      <w:r w:rsidRPr="00F37D51">
        <w:rPr>
          <w:rFonts w:asciiTheme="minorHAnsi" w:hAnsiTheme="minorHAnsi" w:cstheme="minorHAnsi"/>
          <w:sz w:val="24"/>
          <w:szCs w:val="22"/>
        </w:rPr>
        <w:t>eview w</w:t>
      </w:r>
      <w:r w:rsidR="0085695A">
        <w:rPr>
          <w:rFonts w:asciiTheme="minorHAnsi" w:hAnsiTheme="minorHAnsi" w:cstheme="minorHAnsi"/>
          <w:sz w:val="24"/>
          <w:szCs w:val="22"/>
        </w:rPr>
        <w:t>as to</w:t>
      </w:r>
      <w:r w:rsidRPr="00F37D51">
        <w:rPr>
          <w:rFonts w:asciiTheme="minorHAnsi" w:hAnsiTheme="minorHAnsi" w:cstheme="minorHAnsi"/>
          <w:sz w:val="24"/>
          <w:szCs w:val="22"/>
        </w:rPr>
        <w:t xml:space="preserve"> provide recommendations and evidence-based advice to inform the development of a future national strategy for the retrieval and transplantation sector to optimise every deceased donation opportunity for maximum </w:t>
      </w:r>
      <w:r w:rsidR="00092158">
        <w:rPr>
          <w:rFonts w:asciiTheme="minorHAnsi" w:hAnsiTheme="minorHAnsi" w:cstheme="minorHAnsi"/>
          <w:sz w:val="24"/>
          <w:szCs w:val="22"/>
        </w:rPr>
        <w:t>transplantation outcomes</w:t>
      </w:r>
      <w:r w:rsidRPr="00F37D51">
        <w:rPr>
          <w:rFonts w:asciiTheme="minorHAnsi" w:hAnsiTheme="minorHAnsi" w:cstheme="minorHAnsi"/>
          <w:sz w:val="24"/>
          <w:szCs w:val="22"/>
        </w:rPr>
        <w:t xml:space="preserve">.  </w:t>
      </w:r>
    </w:p>
    <w:p w14:paraId="44470A7D" w14:textId="77777777" w:rsidR="005C6F3A" w:rsidRPr="00F37D51" w:rsidRDefault="005C6F3A" w:rsidP="00745D58">
      <w:pPr>
        <w:pStyle w:val="EYBodytextwithparaspace"/>
        <w:spacing w:after="120"/>
        <w:rPr>
          <w:rFonts w:asciiTheme="minorHAnsi" w:hAnsiTheme="minorHAnsi" w:cstheme="minorHAnsi"/>
          <w:sz w:val="24"/>
          <w:szCs w:val="22"/>
        </w:rPr>
      </w:pPr>
      <w:r>
        <w:rPr>
          <w:rFonts w:asciiTheme="minorHAnsi" w:hAnsiTheme="minorHAnsi" w:cstheme="minorHAnsi"/>
          <w:sz w:val="24"/>
          <w:szCs w:val="22"/>
        </w:rPr>
        <w:t xml:space="preserve">Eye and tissue donation and transplantation </w:t>
      </w:r>
      <w:r w:rsidR="0085695A">
        <w:rPr>
          <w:rFonts w:asciiTheme="minorHAnsi" w:hAnsiTheme="minorHAnsi" w:cstheme="minorHAnsi"/>
          <w:sz w:val="24"/>
          <w:szCs w:val="22"/>
        </w:rPr>
        <w:t>was</w:t>
      </w:r>
      <w:r>
        <w:rPr>
          <w:rFonts w:asciiTheme="minorHAnsi" w:hAnsiTheme="minorHAnsi" w:cstheme="minorHAnsi"/>
          <w:sz w:val="24"/>
          <w:szCs w:val="22"/>
        </w:rPr>
        <w:t xml:space="preserve"> out of scope </w:t>
      </w:r>
      <w:r w:rsidR="0085695A">
        <w:rPr>
          <w:rFonts w:asciiTheme="minorHAnsi" w:hAnsiTheme="minorHAnsi" w:cstheme="minorHAnsi"/>
          <w:sz w:val="24"/>
          <w:szCs w:val="22"/>
        </w:rPr>
        <w:t>for</w:t>
      </w:r>
      <w:r>
        <w:rPr>
          <w:rFonts w:asciiTheme="minorHAnsi" w:hAnsiTheme="minorHAnsi" w:cstheme="minorHAnsi"/>
          <w:sz w:val="24"/>
          <w:szCs w:val="22"/>
        </w:rPr>
        <w:t xml:space="preserve"> the Review.</w:t>
      </w:r>
    </w:p>
    <w:p w14:paraId="746A31C7" w14:textId="418AA9A2" w:rsidR="00745D58" w:rsidRPr="00F37D51" w:rsidRDefault="005C6F3A" w:rsidP="009A1783">
      <w:pPr>
        <w:pStyle w:val="EYBodytextwithparaspace"/>
        <w:spacing w:after="120"/>
        <w:rPr>
          <w:rFonts w:asciiTheme="minorHAnsi" w:hAnsiTheme="minorHAnsi" w:cstheme="minorHAnsi"/>
          <w:sz w:val="24"/>
          <w:szCs w:val="22"/>
        </w:rPr>
      </w:pPr>
      <w:r>
        <w:rPr>
          <w:rFonts w:asciiTheme="minorHAnsi" w:hAnsiTheme="minorHAnsi" w:cstheme="minorHAnsi"/>
          <w:sz w:val="24"/>
          <w:szCs w:val="22"/>
        </w:rPr>
        <w:lastRenderedPageBreak/>
        <w:t>To oversee Phase 1 of the Review t</w:t>
      </w:r>
      <w:r w:rsidR="00745D58" w:rsidRPr="00F37D51">
        <w:rPr>
          <w:rFonts w:asciiTheme="minorHAnsi" w:hAnsiTheme="minorHAnsi" w:cstheme="minorHAnsi"/>
          <w:sz w:val="24"/>
          <w:szCs w:val="22"/>
        </w:rPr>
        <w:t>he</w:t>
      </w:r>
      <w:r w:rsidR="00267989">
        <w:rPr>
          <w:rFonts w:asciiTheme="minorHAnsi" w:hAnsiTheme="minorHAnsi" w:cstheme="minorHAnsi"/>
          <w:sz w:val="24"/>
          <w:szCs w:val="22"/>
        </w:rPr>
        <w:t xml:space="preserve"> Australian Government</w:t>
      </w:r>
      <w:r w:rsidR="001E4F80">
        <w:rPr>
          <w:rFonts w:asciiTheme="minorHAnsi" w:hAnsiTheme="minorHAnsi" w:cstheme="minorHAnsi"/>
          <w:sz w:val="24"/>
          <w:szCs w:val="22"/>
        </w:rPr>
        <w:t xml:space="preserve"> </w:t>
      </w:r>
      <w:r w:rsidR="00745D58" w:rsidRPr="00F37D51">
        <w:rPr>
          <w:rFonts w:asciiTheme="minorHAnsi" w:hAnsiTheme="minorHAnsi" w:cstheme="minorHAnsi"/>
          <w:sz w:val="24"/>
          <w:szCs w:val="22"/>
        </w:rPr>
        <w:t>w</w:t>
      </w:r>
      <w:r w:rsidR="0085695A">
        <w:rPr>
          <w:rFonts w:asciiTheme="minorHAnsi" w:hAnsiTheme="minorHAnsi" w:cstheme="minorHAnsi"/>
          <w:sz w:val="24"/>
          <w:szCs w:val="22"/>
        </w:rPr>
        <w:t>as to</w:t>
      </w:r>
      <w:r w:rsidR="00745D58" w:rsidRPr="00F37D51">
        <w:rPr>
          <w:rFonts w:asciiTheme="minorHAnsi" w:hAnsiTheme="minorHAnsi" w:cstheme="minorHAnsi"/>
          <w:sz w:val="24"/>
          <w:szCs w:val="22"/>
        </w:rPr>
        <w:t xml:space="preserve"> establish a </w:t>
      </w:r>
      <w:r w:rsidR="00DB2089" w:rsidRPr="00F37D51">
        <w:rPr>
          <w:rFonts w:asciiTheme="minorHAnsi" w:hAnsiTheme="minorHAnsi" w:cstheme="minorHAnsi"/>
          <w:sz w:val="24"/>
          <w:szCs w:val="22"/>
        </w:rPr>
        <w:t>high-level</w:t>
      </w:r>
      <w:r w:rsidR="00745D58" w:rsidRPr="00F37D51">
        <w:rPr>
          <w:rFonts w:asciiTheme="minorHAnsi" w:hAnsiTheme="minorHAnsi" w:cstheme="minorHAnsi"/>
          <w:sz w:val="24"/>
          <w:szCs w:val="22"/>
        </w:rPr>
        <w:t xml:space="preserve"> committee comprising senior government officials and key sector stakeholders to:  </w:t>
      </w:r>
    </w:p>
    <w:p w14:paraId="29048D5D" w14:textId="77777777" w:rsidR="00745D58" w:rsidRPr="00921012" w:rsidRDefault="001E4F80" w:rsidP="00481A6A">
      <w:pPr>
        <w:pStyle w:val="ListParagraph"/>
        <w:numPr>
          <w:ilvl w:val="0"/>
          <w:numId w:val="24"/>
        </w:numPr>
        <w:spacing w:after="120"/>
        <w:ind w:left="714" w:hanging="357"/>
        <w:rPr>
          <w:rFonts w:asciiTheme="minorHAnsi" w:hAnsiTheme="minorHAnsi" w:cstheme="minorHAnsi"/>
          <w:sz w:val="24"/>
          <w:szCs w:val="24"/>
          <w:lang w:val="en-GB"/>
        </w:rPr>
      </w:pPr>
      <w:r>
        <w:rPr>
          <w:rFonts w:asciiTheme="minorHAnsi" w:hAnsiTheme="minorHAnsi" w:cstheme="minorHAnsi"/>
          <w:sz w:val="24"/>
          <w:szCs w:val="24"/>
          <w:lang w:val="en-GB"/>
        </w:rPr>
        <w:t>C</w:t>
      </w:r>
      <w:r w:rsidR="00745D58" w:rsidRPr="00921012">
        <w:rPr>
          <w:rFonts w:asciiTheme="minorHAnsi" w:hAnsiTheme="minorHAnsi" w:cstheme="minorHAnsi"/>
          <w:sz w:val="24"/>
          <w:szCs w:val="24"/>
          <w:lang w:val="en-GB"/>
        </w:rPr>
        <w:t xml:space="preserve">onsider the findings and recommendations of Phase 1 of the </w:t>
      </w:r>
      <w:r w:rsidR="00E632AF">
        <w:rPr>
          <w:rFonts w:asciiTheme="minorHAnsi" w:hAnsiTheme="minorHAnsi" w:cstheme="minorHAnsi"/>
          <w:sz w:val="24"/>
          <w:szCs w:val="24"/>
          <w:lang w:val="en-GB"/>
        </w:rPr>
        <w:t>R</w:t>
      </w:r>
      <w:r w:rsidR="00745D58" w:rsidRPr="00921012">
        <w:rPr>
          <w:rFonts w:asciiTheme="minorHAnsi" w:hAnsiTheme="minorHAnsi" w:cstheme="minorHAnsi"/>
          <w:sz w:val="24"/>
          <w:szCs w:val="24"/>
          <w:lang w:val="en-GB"/>
        </w:rPr>
        <w:t xml:space="preserve">eview </w:t>
      </w:r>
    </w:p>
    <w:p w14:paraId="2EAFFC2F" w14:textId="77777777" w:rsidR="00745D58" w:rsidRPr="00921012" w:rsidRDefault="001E4F80" w:rsidP="00481A6A">
      <w:pPr>
        <w:pStyle w:val="ListParagraph"/>
        <w:numPr>
          <w:ilvl w:val="0"/>
          <w:numId w:val="24"/>
        </w:numPr>
        <w:spacing w:after="120"/>
        <w:ind w:left="714" w:hanging="357"/>
        <w:rPr>
          <w:rFonts w:asciiTheme="minorHAnsi" w:hAnsiTheme="minorHAnsi" w:cstheme="minorHAnsi"/>
          <w:sz w:val="24"/>
          <w:szCs w:val="24"/>
          <w:lang w:val="en-GB"/>
        </w:rPr>
      </w:pPr>
      <w:r>
        <w:rPr>
          <w:rFonts w:asciiTheme="minorHAnsi" w:hAnsiTheme="minorHAnsi" w:cstheme="minorHAnsi"/>
          <w:sz w:val="24"/>
          <w:szCs w:val="24"/>
          <w:lang w:val="en-GB"/>
        </w:rPr>
        <w:t>D</w:t>
      </w:r>
      <w:r w:rsidR="00745D58" w:rsidRPr="00921012">
        <w:rPr>
          <w:rFonts w:asciiTheme="minorHAnsi" w:hAnsiTheme="minorHAnsi" w:cstheme="minorHAnsi"/>
          <w:sz w:val="24"/>
          <w:szCs w:val="24"/>
          <w:lang w:val="en-GB"/>
        </w:rPr>
        <w:t xml:space="preserve">raft a future strategy for the retrieval and transplantation sector to ensure it has the capacity and capability to support every donation and transplantation opportunity  </w:t>
      </w:r>
    </w:p>
    <w:p w14:paraId="306A50EC" w14:textId="77777777" w:rsidR="00745D58" w:rsidRPr="003558F5" w:rsidRDefault="001E4F80" w:rsidP="00481A6A">
      <w:pPr>
        <w:pStyle w:val="ListParagraph"/>
        <w:numPr>
          <w:ilvl w:val="0"/>
          <w:numId w:val="24"/>
        </w:numPr>
        <w:spacing w:after="120"/>
        <w:ind w:left="714" w:hanging="357"/>
        <w:rPr>
          <w:rFonts w:asciiTheme="minorHAnsi" w:hAnsiTheme="minorHAnsi" w:cstheme="minorHAnsi"/>
          <w:sz w:val="24"/>
          <w:szCs w:val="24"/>
          <w:lang w:val="en-GB"/>
        </w:rPr>
      </w:pPr>
      <w:r>
        <w:rPr>
          <w:rFonts w:asciiTheme="minorHAnsi" w:hAnsiTheme="minorHAnsi" w:cstheme="minorHAnsi"/>
          <w:sz w:val="24"/>
          <w:szCs w:val="24"/>
          <w:lang w:val="en-GB"/>
        </w:rPr>
        <w:t>M</w:t>
      </w:r>
      <w:r w:rsidR="00745D58" w:rsidRPr="00921012">
        <w:rPr>
          <w:rFonts w:asciiTheme="minorHAnsi" w:hAnsiTheme="minorHAnsi" w:cstheme="minorHAnsi"/>
          <w:sz w:val="24"/>
          <w:szCs w:val="24"/>
          <w:lang w:val="en-GB"/>
        </w:rPr>
        <w:t xml:space="preserve">ake recommendations on the draft strategy to a future </w:t>
      </w:r>
      <w:r w:rsidR="00267989">
        <w:rPr>
          <w:rFonts w:asciiTheme="minorHAnsi" w:hAnsiTheme="minorHAnsi" w:cstheme="minorHAnsi"/>
          <w:sz w:val="24"/>
          <w:szCs w:val="24"/>
          <w:lang w:val="en-GB"/>
        </w:rPr>
        <w:t>COAG</w:t>
      </w:r>
      <w:r w:rsidR="001F6B57">
        <w:rPr>
          <w:rFonts w:asciiTheme="minorHAnsi" w:hAnsiTheme="minorHAnsi" w:cstheme="minorHAnsi"/>
          <w:sz w:val="24"/>
          <w:szCs w:val="24"/>
          <w:lang w:val="en-GB"/>
        </w:rPr>
        <w:t xml:space="preserve"> Health Council </w:t>
      </w:r>
      <w:r w:rsidR="00745D58" w:rsidRPr="003558F5">
        <w:rPr>
          <w:rFonts w:asciiTheme="minorHAnsi" w:hAnsiTheme="minorHAnsi" w:cstheme="minorHAnsi"/>
          <w:sz w:val="24"/>
          <w:szCs w:val="24"/>
          <w:lang w:val="en-GB"/>
        </w:rPr>
        <w:t>meeting</w:t>
      </w:r>
      <w:r w:rsidR="00F538AC">
        <w:rPr>
          <w:rFonts w:asciiTheme="minorHAnsi" w:hAnsiTheme="minorHAnsi" w:cstheme="minorHAnsi"/>
          <w:sz w:val="24"/>
          <w:szCs w:val="24"/>
          <w:lang w:val="en-GB"/>
        </w:rPr>
        <w:t>.</w:t>
      </w:r>
      <w:r w:rsidR="00745D58" w:rsidRPr="003558F5">
        <w:rPr>
          <w:rFonts w:asciiTheme="minorHAnsi" w:hAnsiTheme="minorHAnsi" w:cstheme="minorHAnsi"/>
          <w:sz w:val="24"/>
          <w:szCs w:val="24"/>
          <w:lang w:val="en-GB"/>
        </w:rPr>
        <w:t xml:space="preserve"> </w:t>
      </w:r>
    </w:p>
    <w:p w14:paraId="79AF29E6" w14:textId="77777777" w:rsidR="006D1D31" w:rsidRDefault="006D1D31" w:rsidP="00F17564">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89" w:name="_Toc530492113"/>
      <w:bookmarkStart w:id="90" w:name="_Toc532301674"/>
      <w:bookmarkEnd w:id="89"/>
      <w:r>
        <w:rPr>
          <w:rFonts w:asciiTheme="minorHAnsi" w:hAnsiTheme="minorHAnsi" w:cstheme="minorHAnsi"/>
          <w:iCs/>
          <w:color w:val="7F7F7F" w:themeColor="text1" w:themeTint="80"/>
          <w:sz w:val="36"/>
          <w:szCs w:val="30"/>
        </w:rPr>
        <w:t xml:space="preserve">The </w:t>
      </w:r>
      <w:r w:rsidR="00247188">
        <w:rPr>
          <w:rFonts w:asciiTheme="minorHAnsi" w:hAnsiTheme="minorHAnsi" w:cstheme="minorHAnsi"/>
          <w:iCs/>
          <w:color w:val="7F7F7F" w:themeColor="text1" w:themeTint="80"/>
          <w:sz w:val="36"/>
          <w:szCs w:val="30"/>
        </w:rPr>
        <w:t xml:space="preserve">approach and </w:t>
      </w:r>
      <w:r>
        <w:rPr>
          <w:rFonts w:asciiTheme="minorHAnsi" w:hAnsiTheme="minorHAnsi" w:cstheme="minorHAnsi"/>
          <w:iCs/>
          <w:color w:val="7F7F7F" w:themeColor="text1" w:themeTint="80"/>
          <w:sz w:val="36"/>
          <w:szCs w:val="30"/>
        </w:rPr>
        <w:t>consultation process</w:t>
      </w:r>
      <w:r w:rsidR="00247188">
        <w:rPr>
          <w:rFonts w:asciiTheme="minorHAnsi" w:hAnsiTheme="minorHAnsi" w:cstheme="minorHAnsi"/>
          <w:iCs/>
          <w:color w:val="7F7F7F" w:themeColor="text1" w:themeTint="80"/>
          <w:sz w:val="36"/>
          <w:szCs w:val="30"/>
        </w:rPr>
        <w:t xml:space="preserve"> for the Review</w:t>
      </w:r>
      <w:bookmarkEnd w:id="90"/>
    </w:p>
    <w:p w14:paraId="4FE75749" w14:textId="77777777" w:rsidR="006D1D31" w:rsidRDefault="006D1D31" w:rsidP="00323A35">
      <w:pPr>
        <w:pStyle w:val="EYBodytextwithparaspace"/>
        <w:spacing w:after="120"/>
        <w:rPr>
          <w:rFonts w:asciiTheme="minorHAnsi" w:hAnsiTheme="minorHAnsi" w:cstheme="minorHAnsi"/>
          <w:sz w:val="24"/>
        </w:rPr>
      </w:pPr>
      <w:r>
        <w:rPr>
          <w:rFonts w:asciiTheme="minorHAnsi" w:hAnsiTheme="minorHAnsi" w:cstheme="minorHAnsi"/>
          <w:sz w:val="24"/>
        </w:rPr>
        <w:t>The Review comprised an extensive consultation process</w:t>
      </w:r>
      <w:r w:rsidR="0085695A">
        <w:rPr>
          <w:rFonts w:asciiTheme="minorHAnsi" w:hAnsiTheme="minorHAnsi" w:cstheme="minorHAnsi"/>
          <w:sz w:val="24"/>
        </w:rPr>
        <w:t xml:space="preserve">. It </w:t>
      </w:r>
      <w:r>
        <w:rPr>
          <w:rFonts w:asciiTheme="minorHAnsi" w:hAnsiTheme="minorHAnsi" w:cstheme="minorHAnsi"/>
          <w:sz w:val="24"/>
        </w:rPr>
        <w:t xml:space="preserve">was supplemented by </w:t>
      </w:r>
      <w:r w:rsidR="00247188">
        <w:rPr>
          <w:rFonts w:asciiTheme="minorHAnsi" w:hAnsiTheme="minorHAnsi" w:cstheme="minorHAnsi"/>
          <w:sz w:val="24"/>
        </w:rPr>
        <w:t xml:space="preserve">the </w:t>
      </w:r>
      <w:r>
        <w:rPr>
          <w:rFonts w:asciiTheme="minorHAnsi" w:hAnsiTheme="minorHAnsi" w:cstheme="minorHAnsi"/>
          <w:sz w:val="24"/>
        </w:rPr>
        <w:t>collection of submissions from stakeholders</w:t>
      </w:r>
      <w:r w:rsidR="00247188">
        <w:rPr>
          <w:rFonts w:asciiTheme="minorHAnsi" w:hAnsiTheme="minorHAnsi" w:cstheme="minorHAnsi"/>
          <w:sz w:val="24"/>
        </w:rPr>
        <w:t>, as well as a</w:t>
      </w:r>
      <w:r>
        <w:rPr>
          <w:rFonts w:asciiTheme="minorHAnsi" w:hAnsiTheme="minorHAnsi" w:cstheme="minorHAnsi"/>
          <w:sz w:val="24"/>
        </w:rPr>
        <w:t xml:space="preserve"> document, literature and data review. </w:t>
      </w:r>
    </w:p>
    <w:p w14:paraId="790C79BC" w14:textId="77777777" w:rsidR="006D1D31" w:rsidRPr="00F37D51" w:rsidRDefault="006D1D31" w:rsidP="00247188">
      <w:pPr>
        <w:spacing w:after="120"/>
        <w:rPr>
          <w:rFonts w:asciiTheme="minorHAnsi" w:hAnsiTheme="minorHAnsi" w:cstheme="minorHAnsi"/>
          <w:sz w:val="24"/>
          <w:szCs w:val="24"/>
        </w:rPr>
      </w:pPr>
      <w:r>
        <w:rPr>
          <w:rFonts w:asciiTheme="minorHAnsi" w:hAnsiTheme="minorHAnsi" w:cstheme="minorHAnsi"/>
          <w:sz w:val="24"/>
          <w:szCs w:val="24"/>
        </w:rPr>
        <w:t>Consultations were undertaken through a combination of face-to-face and telephone interviews</w:t>
      </w:r>
      <w:r w:rsidR="0085695A">
        <w:rPr>
          <w:rFonts w:asciiTheme="minorHAnsi" w:hAnsiTheme="minorHAnsi" w:cstheme="minorHAnsi"/>
          <w:sz w:val="24"/>
          <w:szCs w:val="24"/>
        </w:rPr>
        <w:t>,</w:t>
      </w:r>
      <w:r>
        <w:rPr>
          <w:rFonts w:asciiTheme="minorHAnsi" w:hAnsiTheme="minorHAnsi" w:cstheme="minorHAnsi"/>
          <w:sz w:val="24"/>
          <w:szCs w:val="24"/>
        </w:rPr>
        <w:t xml:space="preserve"> and included both group and individual consultations. Stakeholders were initially identified by the </w:t>
      </w:r>
      <w:r w:rsidR="00267989">
        <w:rPr>
          <w:rFonts w:asciiTheme="minorHAnsi" w:hAnsiTheme="minorHAnsi" w:cstheme="minorHAnsi"/>
          <w:sz w:val="24"/>
          <w:szCs w:val="24"/>
        </w:rPr>
        <w:t xml:space="preserve">Australian Government </w:t>
      </w:r>
      <w:r w:rsidRPr="00C231ED">
        <w:rPr>
          <w:rFonts w:asciiTheme="minorHAnsi" w:hAnsiTheme="minorHAnsi" w:cstheme="minorHAnsi"/>
          <w:sz w:val="24"/>
          <w:szCs w:val="24"/>
        </w:rPr>
        <w:t>Department</w:t>
      </w:r>
      <w:r>
        <w:rPr>
          <w:rFonts w:asciiTheme="minorHAnsi" w:hAnsiTheme="minorHAnsi" w:cstheme="minorHAnsi"/>
          <w:sz w:val="24"/>
          <w:szCs w:val="24"/>
        </w:rPr>
        <w:t xml:space="preserve"> </w:t>
      </w:r>
      <w:r w:rsidR="00267989">
        <w:rPr>
          <w:rFonts w:asciiTheme="minorHAnsi" w:hAnsiTheme="minorHAnsi" w:cstheme="minorHAnsi"/>
          <w:sz w:val="24"/>
          <w:szCs w:val="24"/>
        </w:rPr>
        <w:t xml:space="preserve">of Health </w:t>
      </w:r>
      <w:r>
        <w:rPr>
          <w:rFonts w:asciiTheme="minorHAnsi" w:hAnsiTheme="minorHAnsi" w:cstheme="minorHAnsi"/>
          <w:sz w:val="24"/>
          <w:szCs w:val="24"/>
        </w:rPr>
        <w:t>and the</w:t>
      </w:r>
      <w:r w:rsidR="00C50262">
        <w:rPr>
          <w:rFonts w:asciiTheme="minorHAnsi" w:hAnsiTheme="minorHAnsi" w:cstheme="minorHAnsi"/>
          <w:sz w:val="24"/>
          <w:szCs w:val="24"/>
        </w:rPr>
        <w:t xml:space="preserve"> </w:t>
      </w:r>
      <w:r>
        <w:rPr>
          <w:rFonts w:asciiTheme="minorHAnsi" w:hAnsiTheme="minorHAnsi" w:cstheme="minorHAnsi"/>
          <w:sz w:val="24"/>
          <w:szCs w:val="24"/>
        </w:rPr>
        <w:t xml:space="preserve">OTA, with additional stakeholders </w:t>
      </w:r>
      <w:r w:rsidR="001E4BF9">
        <w:rPr>
          <w:rFonts w:asciiTheme="minorHAnsi" w:hAnsiTheme="minorHAnsi" w:cstheme="minorHAnsi"/>
          <w:sz w:val="24"/>
          <w:szCs w:val="24"/>
        </w:rPr>
        <w:t xml:space="preserve">in each state and territory </w:t>
      </w:r>
      <w:r>
        <w:rPr>
          <w:rFonts w:asciiTheme="minorHAnsi" w:hAnsiTheme="minorHAnsi" w:cstheme="minorHAnsi"/>
          <w:sz w:val="24"/>
          <w:szCs w:val="24"/>
        </w:rPr>
        <w:t xml:space="preserve">identified </w:t>
      </w:r>
      <w:r w:rsidR="0085695A">
        <w:rPr>
          <w:rFonts w:asciiTheme="minorHAnsi" w:hAnsiTheme="minorHAnsi" w:cstheme="minorHAnsi"/>
          <w:sz w:val="24"/>
          <w:szCs w:val="24"/>
        </w:rPr>
        <w:t>by</w:t>
      </w:r>
      <w:r w:rsidR="00247188">
        <w:rPr>
          <w:rFonts w:asciiTheme="minorHAnsi" w:hAnsiTheme="minorHAnsi" w:cstheme="minorHAnsi"/>
          <w:sz w:val="24"/>
          <w:szCs w:val="24"/>
        </w:rPr>
        <w:t xml:space="preserve"> representatives of</w:t>
      </w:r>
      <w:r>
        <w:rPr>
          <w:rFonts w:asciiTheme="minorHAnsi" w:hAnsiTheme="minorHAnsi" w:cstheme="minorHAnsi"/>
          <w:sz w:val="24"/>
          <w:szCs w:val="24"/>
        </w:rPr>
        <w:t xml:space="preserve"> the OTA’s Jurisdictional Advisory Group</w:t>
      </w:r>
      <w:r w:rsidR="007E197E">
        <w:rPr>
          <w:rFonts w:asciiTheme="minorHAnsi" w:hAnsiTheme="minorHAnsi" w:cstheme="minorHAnsi"/>
          <w:sz w:val="24"/>
          <w:szCs w:val="24"/>
        </w:rPr>
        <w:t xml:space="preserve"> (JAG)</w:t>
      </w:r>
      <w:r w:rsidR="00D81593">
        <w:rPr>
          <w:rFonts w:asciiTheme="minorHAnsi" w:hAnsiTheme="minorHAnsi" w:cstheme="minorHAnsi"/>
          <w:sz w:val="24"/>
          <w:szCs w:val="24"/>
        </w:rPr>
        <w:t>.</w:t>
      </w:r>
      <w:r>
        <w:rPr>
          <w:rFonts w:asciiTheme="minorHAnsi" w:hAnsiTheme="minorHAnsi" w:cstheme="minorHAnsi"/>
          <w:sz w:val="24"/>
          <w:szCs w:val="24"/>
        </w:rPr>
        <w:t xml:space="preserve"> Additional stakeholders for consultation were</w:t>
      </w:r>
      <w:r w:rsidR="0085695A">
        <w:rPr>
          <w:rFonts w:asciiTheme="minorHAnsi" w:hAnsiTheme="minorHAnsi" w:cstheme="minorHAnsi"/>
          <w:sz w:val="24"/>
          <w:szCs w:val="24"/>
        </w:rPr>
        <w:t xml:space="preserve"> also</w:t>
      </w:r>
      <w:r>
        <w:rPr>
          <w:rFonts w:asciiTheme="minorHAnsi" w:hAnsiTheme="minorHAnsi" w:cstheme="minorHAnsi"/>
          <w:sz w:val="24"/>
          <w:szCs w:val="24"/>
        </w:rPr>
        <w:t xml:space="preserve"> identified </w:t>
      </w:r>
      <w:r w:rsidR="0085695A">
        <w:rPr>
          <w:rFonts w:asciiTheme="minorHAnsi" w:hAnsiTheme="minorHAnsi" w:cstheme="minorHAnsi"/>
          <w:sz w:val="24"/>
          <w:szCs w:val="24"/>
        </w:rPr>
        <w:t xml:space="preserve">during </w:t>
      </w:r>
      <w:r>
        <w:rPr>
          <w:rFonts w:asciiTheme="minorHAnsi" w:hAnsiTheme="minorHAnsi" w:cstheme="minorHAnsi"/>
          <w:sz w:val="24"/>
          <w:szCs w:val="24"/>
        </w:rPr>
        <w:t>the consultation process</w:t>
      </w:r>
      <w:r w:rsidR="00247188">
        <w:rPr>
          <w:rFonts w:asciiTheme="minorHAnsi" w:hAnsiTheme="minorHAnsi" w:cstheme="minorHAnsi"/>
          <w:sz w:val="24"/>
          <w:szCs w:val="24"/>
        </w:rPr>
        <w:t xml:space="preserve">. </w:t>
      </w:r>
      <w:r>
        <w:rPr>
          <w:rFonts w:asciiTheme="minorHAnsi" w:hAnsiTheme="minorHAnsi" w:cstheme="minorHAnsi"/>
          <w:sz w:val="24"/>
          <w:szCs w:val="24"/>
        </w:rPr>
        <w:t xml:space="preserve"> </w:t>
      </w:r>
    </w:p>
    <w:p w14:paraId="6EA728EA" w14:textId="75FF56DB" w:rsidR="006D1D31" w:rsidRPr="00F37D51" w:rsidRDefault="00247188" w:rsidP="00247188">
      <w:pPr>
        <w:pStyle w:val="EYBodytextwithparaspace"/>
        <w:spacing w:after="120"/>
        <w:rPr>
          <w:rFonts w:asciiTheme="minorHAnsi" w:hAnsiTheme="minorHAnsi" w:cstheme="minorHAnsi"/>
          <w:sz w:val="24"/>
        </w:rPr>
      </w:pPr>
      <w:r>
        <w:rPr>
          <w:rFonts w:asciiTheme="minorHAnsi" w:hAnsiTheme="minorHAnsi" w:cstheme="minorHAnsi"/>
          <w:sz w:val="24"/>
        </w:rPr>
        <w:t xml:space="preserve">Over 230 stakeholders were consulted </w:t>
      </w:r>
      <w:r w:rsidR="00D81593">
        <w:rPr>
          <w:rFonts w:asciiTheme="minorHAnsi" w:hAnsiTheme="minorHAnsi" w:cstheme="minorHAnsi"/>
          <w:sz w:val="24"/>
        </w:rPr>
        <w:t>as part of the Review</w:t>
      </w:r>
      <w:r>
        <w:rPr>
          <w:rFonts w:asciiTheme="minorHAnsi" w:hAnsiTheme="minorHAnsi" w:cstheme="minorHAnsi"/>
          <w:sz w:val="24"/>
        </w:rPr>
        <w:t xml:space="preserve">. This included </w:t>
      </w:r>
      <w:r w:rsidR="00267989">
        <w:rPr>
          <w:rFonts w:asciiTheme="minorHAnsi" w:hAnsiTheme="minorHAnsi" w:cstheme="minorHAnsi"/>
          <w:sz w:val="24"/>
        </w:rPr>
        <w:t xml:space="preserve">Australian Government </w:t>
      </w:r>
      <w:r w:rsidR="006D1D31" w:rsidRPr="00F37D51">
        <w:rPr>
          <w:rFonts w:asciiTheme="minorHAnsi" w:hAnsiTheme="minorHAnsi" w:cstheme="minorHAnsi"/>
          <w:sz w:val="24"/>
        </w:rPr>
        <w:t xml:space="preserve">and jurisdictional government officials, training colleges and peak bodies, clinicians, </w:t>
      </w:r>
      <w:r>
        <w:rPr>
          <w:rFonts w:asciiTheme="minorHAnsi" w:hAnsiTheme="minorHAnsi" w:cstheme="minorHAnsi"/>
          <w:sz w:val="24"/>
        </w:rPr>
        <w:t xml:space="preserve">transplant </w:t>
      </w:r>
      <w:r w:rsidR="006D1D31" w:rsidRPr="00F37D51">
        <w:rPr>
          <w:rFonts w:asciiTheme="minorHAnsi" w:hAnsiTheme="minorHAnsi" w:cstheme="minorHAnsi"/>
          <w:sz w:val="24"/>
        </w:rPr>
        <w:t>recipients and donor</w:t>
      </w:r>
      <w:r>
        <w:rPr>
          <w:rFonts w:asciiTheme="minorHAnsi" w:hAnsiTheme="minorHAnsi" w:cstheme="minorHAnsi"/>
          <w:sz w:val="24"/>
        </w:rPr>
        <w:t xml:space="preserve"> families</w:t>
      </w:r>
      <w:r w:rsidR="006D1D31" w:rsidRPr="00F37D51">
        <w:rPr>
          <w:rFonts w:asciiTheme="minorHAnsi" w:hAnsiTheme="minorHAnsi" w:cstheme="minorHAnsi"/>
          <w:sz w:val="24"/>
        </w:rPr>
        <w:t>. The consultation method</w:t>
      </w:r>
      <w:r w:rsidR="00D81593">
        <w:rPr>
          <w:rFonts w:asciiTheme="minorHAnsi" w:hAnsiTheme="minorHAnsi" w:cstheme="minorHAnsi"/>
          <w:sz w:val="24"/>
        </w:rPr>
        <w:t>s</w:t>
      </w:r>
      <w:r w:rsidR="006D1D31" w:rsidRPr="00F37D51">
        <w:rPr>
          <w:rFonts w:asciiTheme="minorHAnsi" w:hAnsiTheme="minorHAnsi" w:cstheme="minorHAnsi"/>
          <w:sz w:val="24"/>
        </w:rPr>
        <w:t xml:space="preserve"> are described in </w:t>
      </w:r>
      <w:r w:rsidR="00873EED">
        <w:rPr>
          <w:rFonts w:asciiTheme="minorHAnsi" w:hAnsiTheme="minorHAnsi" w:cstheme="minorHAnsi"/>
          <w:sz w:val="24"/>
        </w:rPr>
        <w:fldChar w:fldCharType="begin"/>
      </w:r>
      <w:r w:rsidR="00873EED">
        <w:rPr>
          <w:rFonts w:asciiTheme="minorHAnsi" w:hAnsiTheme="minorHAnsi" w:cstheme="minorHAnsi"/>
          <w:sz w:val="24"/>
        </w:rPr>
        <w:instrText xml:space="preserve"> REF _Ref523748499 \h  \* MERGEFORMAT </w:instrText>
      </w:r>
      <w:r w:rsidR="00873EED">
        <w:rPr>
          <w:rFonts w:asciiTheme="minorHAnsi" w:hAnsiTheme="minorHAnsi" w:cstheme="minorHAnsi"/>
          <w:sz w:val="24"/>
        </w:rPr>
      </w:r>
      <w:r w:rsidR="00873EED">
        <w:rPr>
          <w:rFonts w:asciiTheme="minorHAnsi" w:hAnsiTheme="minorHAnsi" w:cstheme="minorHAnsi"/>
          <w:sz w:val="24"/>
        </w:rPr>
        <w:fldChar w:fldCharType="separate"/>
      </w:r>
      <w:r w:rsidR="00A04048" w:rsidRPr="00C75FAB">
        <w:rPr>
          <w:rFonts w:asciiTheme="minorHAnsi" w:hAnsiTheme="minorHAnsi" w:cstheme="minorHAnsi"/>
          <w:sz w:val="24"/>
        </w:rPr>
        <w:t>Table 2</w:t>
      </w:r>
      <w:r w:rsidR="00873EED">
        <w:rPr>
          <w:rFonts w:asciiTheme="minorHAnsi" w:hAnsiTheme="minorHAnsi" w:cstheme="minorHAnsi"/>
          <w:sz w:val="24"/>
        </w:rPr>
        <w:fldChar w:fldCharType="end"/>
      </w:r>
      <w:r w:rsidR="006D1D31" w:rsidRPr="006D1D31">
        <w:rPr>
          <w:rFonts w:asciiTheme="minorHAnsi" w:hAnsiTheme="minorHAnsi" w:cstheme="minorHAnsi"/>
          <w:sz w:val="24"/>
        </w:rPr>
        <w:t>.</w:t>
      </w:r>
    </w:p>
    <w:p w14:paraId="1DD99085" w14:textId="77777777" w:rsidR="006D1D31" w:rsidRDefault="006D1D31" w:rsidP="00323A35">
      <w:pPr>
        <w:pStyle w:val="Caption"/>
        <w:keepNext/>
        <w:keepLines/>
        <w:widowControl/>
        <w:spacing w:after="60"/>
        <w:rPr>
          <w:rFonts w:asciiTheme="minorHAnsi" w:hAnsiTheme="minorHAnsi" w:cstheme="minorHAnsi"/>
          <w:b w:val="0"/>
          <w:color w:val="808080"/>
          <w:sz w:val="20"/>
        </w:rPr>
      </w:pPr>
      <w:bookmarkStart w:id="91" w:name="_Ref523748499"/>
      <w:r w:rsidRPr="0090611C">
        <w:rPr>
          <w:rFonts w:asciiTheme="minorHAnsi" w:hAnsiTheme="minorHAnsi" w:cstheme="minorHAnsi"/>
          <w:b w:val="0"/>
          <w:color w:val="808080"/>
          <w:sz w:val="20"/>
        </w:rPr>
        <w:t xml:space="preserve">Table </w:t>
      </w:r>
      <w:r w:rsidRPr="0090611C">
        <w:rPr>
          <w:rFonts w:asciiTheme="minorHAnsi" w:hAnsiTheme="minorHAnsi" w:cstheme="minorHAnsi"/>
          <w:b w:val="0"/>
          <w:color w:val="808080"/>
          <w:sz w:val="20"/>
        </w:rPr>
        <w:fldChar w:fldCharType="begin"/>
      </w:r>
      <w:r w:rsidRPr="0090611C">
        <w:rPr>
          <w:rFonts w:asciiTheme="minorHAnsi" w:hAnsiTheme="minorHAnsi" w:cstheme="minorHAnsi"/>
          <w:b w:val="0"/>
          <w:color w:val="808080"/>
          <w:sz w:val="20"/>
        </w:rPr>
        <w:instrText xml:space="preserve"> SEQ Table \* ARABIC </w:instrText>
      </w:r>
      <w:r w:rsidRPr="0090611C">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2</w:t>
      </w:r>
      <w:r w:rsidRPr="0090611C">
        <w:rPr>
          <w:rFonts w:asciiTheme="minorHAnsi" w:hAnsiTheme="minorHAnsi" w:cstheme="minorHAnsi"/>
          <w:b w:val="0"/>
          <w:color w:val="808080"/>
          <w:sz w:val="20"/>
        </w:rPr>
        <w:fldChar w:fldCharType="end"/>
      </w:r>
      <w:bookmarkEnd w:id="91"/>
      <w:r w:rsidRPr="0090611C">
        <w:rPr>
          <w:rFonts w:asciiTheme="minorHAnsi" w:hAnsiTheme="minorHAnsi" w:cstheme="minorHAnsi"/>
          <w:b w:val="0"/>
          <w:color w:val="808080"/>
          <w:sz w:val="20"/>
        </w:rPr>
        <w:t>: Consultation methods</w:t>
      </w:r>
    </w:p>
    <w:tbl>
      <w:tblPr>
        <w:tblStyle w:val="TableGrid"/>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Table 2 is a list of consultation methods. This table contains 2 column headings: column 1. consultation method and  2. description of approach."/>
      </w:tblPr>
      <w:tblGrid>
        <w:gridCol w:w="2122"/>
        <w:gridCol w:w="7654"/>
      </w:tblGrid>
      <w:tr w:rsidR="00247188" w:rsidRPr="00ED31DA" w14:paraId="2A537C07" w14:textId="77777777" w:rsidTr="00323A35">
        <w:trPr>
          <w:tblHeader/>
        </w:trPr>
        <w:tc>
          <w:tcPr>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95959" w:themeFill="text1" w:themeFillTint="A6"/>
            <w:hideMark/>
          </w:tcPr>
          <w:p w14:paraId="3E8A0D5E" w14:textId="77777777" w:rsidR="00247188" w:rsidRPr="00323A35" w:rsidRDefault="00247188" w:rsidP="00323A35">
            <w:pPr>
              <w:spacing w:before="60" w:after="60"/>
              <w:ind w:left="137" w:hanging="137"/>
              <w:rPr>
                <w:rFonts w:asciiTheme="minorHAnsi" w:hAnsiTheme="minorHAnsi" w:cstheme="minorHAnsi"/>
                <w:b/>
                <w:color w:val="FFFFFF" w:themeColor="background1"/>
                <w:spacing w:val="-2"/>
              </w:rPr>
            </w:pPr>
            <w:r w:rsidRPr="00323A35">
              <w:rPr>
                <w:rFonts w:asciiTheme="minorHAnsi" w:hAnsiTheme="minorHAnsi" w:cstheme="minorHAnsi"/>
                <w:b/>
                <w:color w:val="FFFFFF" w:themeColor="background1"/>
                <w:spacing w:val="-2"/>
              </w:rPr>
              <w:t>Consultation method</w:t>
            </w:r>
          </w:p>
        </w:tc>
        <w:tc>
          <w:tcPr>
            <w:tcW w:w="76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95959" w:themeFill="text1" w:themeFillTint="A6"/>
            <w:hideMark/>
          </w:tcPr>
          <w:p w14:paraId="512F9AD3" w14:textId="77777777" w:rsidR="00247188" w:rsidRPr="00323A35" w:rsidRDefault="003F5AF5" w:rsidP="00323A35">
            <w:pPr>
              <w:spacing w:before="60" w:after="60"/>
              <w:rPr>
                <w:rFonts w:asciiTheme="minorHAnsi" w:hAnsiTheme="minorHAnsi" w:cstheme="minorHAnsi"/>
                <w:b/>
                <w:color w:val="FFFFFF" w:themeColor="background1"/>
                <w:spacing w:val="-2"/>
              </w:rPr>
            </w:pPr>
            <w:r w:rsidRPr="00323A35">
              <w:rPr>
                <w:rFonts w:asciiTheme="minorHAnsi" w:hAnsiTheme="minorHAnsi" w:cstheme="minorHAnsi"/>
                <w:b/>
                <w:color w:val="FFFFFF" w:themeColor="background1"/>
                <w:spacing w:val="-2"/>
              </w:rPr>
              <w:t xml:space="preserve">Description of approach </w:t>
            </w:r>
          </w:p>
        </w:tc>
      </w:tr>
      <w:tr w:rsidR="003F5AF5" w:rsidRPr="00ED31DA" w14:paraId="069C0F83" w14:textId="77777777" w:rsidTr="00323A35">
        <w:tc>
          <w:tcPr>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FC9D72E" w14:textId="77777777" w:rsidR="003F5AF5" w:rsidRPr="00323A35" w:rsidRDefault="00676C9E" w:rsidP="00323A35">
            <w:pPr>
              <w:widowControl/>
              <w:autoSpaceDE/>
              <w:adjustRightInd/>
              <w:spacing w:before="60" w:after="60"/>
              <w:rPr>
                <w:rFonts w:asciiTheme="minorHAnsi" w:hAnsiTheme="minorHAnsi" w:cstheme="minorHAnsi"/>
                <w:spacing w:val="-2"/>
              </w:rPr>
            </w:pPr>
            <w:r w:rsidRPr="00F17564">
              <w:rPr>
                <w:rFonts w:asciiTheme="minorHAnsi" w:hAnsiTheme="minorHAnsi" w:cstheme="minorHAnsi"/>
              </w:rPr>
              <w:t xml:space="preserve">National </w:t>
            </w:r>
            <w:r w:rsidR="003F5AF5" w:rsidRPr="00F17564">
              <w:rPr>
                <w:rFonts w:asciiTheme="minorHAnsi" w:hAnsiTheme="minorHAnsi" w:cstheme="minorHAnsi"/>
              </w:rPr>
              <w:t>stakeholder consultations</w:t>
            </w:r>
          </w:p>
        </w:tc>
        <w:tc>
          <w:tcPr>
            <w:tcW w:w="76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D50FA38" w14:textId="77777777" w:rsidR="003F5AF5" w:rsidRPr="00323A35" w:rsidRDefault="003F5AF5" w:rsidP="00481A6A">
            <w:pPr>
              <w:widowControl/>
              <w:numPr>
                <w:ilvl w:val="0"/>
                <w:numId w:val="26"/>
              </w:numPr>
              <w:autoSpaceDE/>
              <w:adjustRightInd/>
              <w:spacing w:before="60" w:after="60"/>
              <w:ind w:left="171" w:hanging="171"/>
              <w:rPr>
                <w:rFonts w:asciiTheme="minorHAnsi" w:hAnsiTheme="minorHAnsi" w:cstheme="minorHAnsi"/>
                <w:iCs/>
                <w:color w:val="000000" w:themeColor="text1"/>
                <w:spacing w:val="-2"/>
              </w:rPr>
            </w:pPr>
            <w:r w:rsidRPr="00323A35">
              <w:rPr>
                <w:rFonts w:asciiTheme="minorHAnsi" w:hAnsiTheme="minorHAnsi" w:cstheme="minorHAnsi"/>
                <w:lang w:val="en-GB"/>
              </w:rPr>
              <w:t xml:space="preserve">These consultations were conducted with national stakeholders who could provide an overarching view of the systems, practices and processes </w:t>
            </w:r>
            <w:r w:rsidR="007B1861">
              <w:rPr>
                <w:rFonts w:asciiTheme="minorHAnsi" w:hAnsiTheme="minorHAnsi" w:cstheme="minorHAnsi"/>
                <w:lang w:val="en-GB"/>
              </w:rPr>
              <w:t>across</w:t>
            </w:r>
            <w:r w:rsidRPr="00323A35">
              <w:rPr>
                <w:rFonts w:asciiTheme="minorHAnsi" w:hAnsiTheme="minorHAnsi" w:cstheme="minorHAnsi"/>
                <w:lang w:val="en-GB"/>
              </w:rPr>
              <w:t xml:space="preserve"> the organ donation</w:t>
            </w:r>
            <w:r w:rsidR="007B1861">
              <w:rPr>
                <w:rFonts w:asciiTheme="minorHAnsi" w:hAnsiTheme="minorHAnsi" w:cstheme="minorHAnsi"/>
                <w:lang w:val="en-GB"/>
              </w:rPr>
              <w:t>,</w:t>
            </w:r>
            <w:r w:rsidRPr="00323A35">
              <w:rPr>
                <w:rFonts w:asciiTheme="minorHAnsi" w:hAnsiTheme="minorHAnsi" w:cstheme="minorHAnsi"/>
                <w:lang w:val="en-GB"/>
              </w:rPr>
              <w:t xml:space="preserve"> retrieval </w:t>
            </w:r>
            <w:r w:rsidR="007B1861">
              <w:rPr>
                <w:rFonts w:asciiTheme="minorHAnsi" w:hAnsiTheme="minorHAnsi" w:cstheme="minorHAnsi"/>
                <w:lang w:val="en-GB"/>
              </w:rPr>
              <w:t xml:space="preserve">and transplantation </w:t>
            </w:r>
            <w:r w:rsidRPr="00323A35">
              <w:rPr>
                <w:rFonts w:asciiTheme="minorHAnsi" w:hAnsiTheme="minorHAnsi" w:cstheme="minorHAnsi"/>
                <w:lang w:val="en-GB"/>
              </w:rPr>
              <w:t>sector. This included outcomes, optimal systems, resourcing and workforce requirements across Australia, as well as policy planning and strategy.</w:t>
            </w:r>
          </w:p>
        </w:tc>
      </w:tr>
      <w:tr w:rsidR="003F5AF5" w:rsidRPr="00ED31DA" w14:paraId="08AEEDF5" w14:textId="77777777" w:rsidTr="00323A35">
        <w:tc>
          <w:tcPr>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0BCDE9" w14:textId="77777777" w:rsidR="003F5AF5" w:rsidRPr="00323A35" w:rsidRDefault="003F5AF5" w:rsidP="00323A35">
            <w:pPr>
              <w:widowControl/>
              <w:autoSpaceDE/>
              <w:adjustRightInd/>
              <w:spacing w:before="60" w:after="60"/>
              <w:rPr>
                <w:rFonts w:asciiTheme="minorHAnsi" w:hAnsiTheme="minorHAnsi" w:cstheme="minorHAnsi"/>
                <w:spacing w:val="-2"/>
              </w:rPr>
            </w:pPr>
            <w:r w:rsidRPr="00323A35">
              <w:rPr>
                <w:rFonts w:asciiTheme="minorHAnsi" w:hAnsiTheme="minorHAnsi" w:cstheme="minorHAnsi"/>
              </w:rPr>
              <w:t xml:space="preserve">State-based consultations </w:t>
            </w:r>
          </w:p>
        </w:tc>
        <w:tc>
          <w:tcPr>
            <w:tcW w:w="76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E73BC2" w14:textId="77777777" w:rsidR="003F5AF5" w:rsidRPr="00323A35" w:rsidRDefault="003F5AF5" w:rsidP="00481A6A">
            <w:pPr>
              <w:widowControl/>
              <w:numPr>
                <w:ilvl w:val="0"/>
                <w:numId w:val="26"/>
              </w:numPr>
              <w:autoSpaceDE/>
              <w:adjustRightInd/>
              <w:spacing w:before="60" w:after="60"/>
              <w:ind w:left="171" w:hanging="171"/>
              <w:rPr>
                <w:rFonts w:asciiTheme="minorHAnsi" w:hAnsiTheme="minorHAnsi" w:cstheme="minorHAnsi"/>
                <w:lang w:val="en-GB"/>
              </w:rPr>
            </w:pPr>
            <w:r w:rsidRPr="00323A35">
              <w:rPr>
                <w:rFonts w:asciiTheme="minorHAnsi" w:hAnsiTheme="minorHAnsi" w:cstheme="minorHAnsi"/>
                <w:lang w:val="en-GB"/>
              </w:rPr>
              <w:t>These consultations were used to engage stakeholders at the local level and to understand jurisdictional processes, variation and challenges. Consultations were undertaken with the following groups in each state and territory:</w:t>
            </w:r>
          </w:p>
          <w:p w14:paraId="50EC72B1" w14:textId="77777777" w:rsidR="003F5AF5" w:rsidRPr="00323A35" w:rsidRDefault="003F5AF5" w:rsidP="00481A6A">
            <w:pPr>
              <w:pStyle w:val="PFNumLevel4"/>
              <w:keepNext/>
              <w:keepLines/>
              <w:numPr>
                <w:ilvl w:val="1"/>
                <w:numId w:val="21"/>
              </w:numPr>
              <w:tabs>
                <w:tab w:val="left" w:pos="0"/>
                <w:tab w:val="left" w:pos="3697"/>
              </w:tabs>
              <w:spacing w:before="60" w:after="60" w:line="240" w:lineRule="auto"/>
              <w:contextualSpacing/>
              <w:rPr>
                <w:rFonts w:asciiTheme="minorHAnsi" w:hAnsiTheme="minorHAnsi" w:cstheme="minorHAnsi"/>
                <w:color w:val="auto"/>
                <w:sz w:val="20"/>
                <w:lang w:eastAsia="en-AU"/>
              </w:rPr>
            </w:pPr>
            <w:r w:rsidRPr="00323A35">
              <w:rPr>
                <w:rFonts w:asciiTheme="minorHAnsi" w:hAnsiTheme="minorHAnsi" w:cstheme="minorHAnsi"/>
                <w:color w:val="auto"/>
                <w:sz w:val="20"/>
                <w:lang w:eastAsia="en-AU"/>
              </w:rPr>
              <w:t>Lead clinicians</w:t>
            </w:r>
          </w:p>
          <w:p w14:paraId="19F8DBC0" w14:textId="77777777" w:rsidR="003F5AF5" w:rsidRPr="00323A35" w:rsidRDefault="003F5AF5" w:rsidP="00481A6A">
            <w:pPr>
              <w:pStyle w:val="PFNumLevel4"/>
              <w:keepNext/>
              <w:keepLines/>
              <w:numPr>
                <w:ilvl w:val="1"/>
                <w:numId w:val="21"/>
              </w:numPr>
              <w:tabs>
                <w:tab w:val="left" w:pos="0"/>
                <w:tab w:val="left" w:pos="3697"/>
              </w:tabs>
              <w:spacing w:before="60" w:after="60" w:line="240" w:lineRule="auto"/>
              <w:contextualSpacing/>
              <w:rPr>
                <w:rFonts w:asciiTheme="minorHAnsi" w:hAnsiTheme="minorHAnsi" w:cstheme="minorHAnsi"/>
                <w:color w:val="auto"/>
                <w:sz w:val="20"/>
                <w:lang w:eastAsia="en-AU"/>
              </w:rPr>
            </w:pPr>
            <w:r w:rsidRPr="00323A35">
              <w:rPr>
                <w:rFonts w:asciiTheme="minorHAnsi" w:hAnsiTheme="minorHAnsi" w:cstheme="minorHAnsi"/>
                <w:color w:val="auto"/>
                <w:sz w:val="20"/>
                <w:lang w:eastAsia="en-AU"/>
              </w:rPr>
              <w:t>Jurisdiction</w:t>
            </w:r>
            <w:r w:rsidR="00873EED">
              <w:rPr>
                <w:rFonts w:asciiTheme="minorHAnsi" w:hAnsiTheme="minorHAnsi" w:cstheme="minorHAnsi"/>
                <w:color w:val="auto"/>
                <w:sz w:val="20"/>
                <w:lang w:eastAsia="en-AU"/>
              </w:rPr>
              <w:t>al representatives from each state or territory</w:t>
            </w:r>
          </w:p>
          <w:p w14:paraId="7B131A5B" w14:textId="77777777" w:rsidR="003F5AF5" w:rsidRPr="00323A35" w:rsidRDefault="003F5AF5" w:rsidP="00481A6A">
            <w:pPr>
              <w:pStyle w:val="PFNumLevel4"/>
              <w:keepNext/>
              <w:keepLines/>
              <w:numPr>
                <w:ilvl w:val="1"/>
                <w:numId w:val="21"/>
              </w:numPr>
              <w:tabs>
                <w:tab w:val="left" w:pos="0"/>
                <w:tab w:val="left" w:pos="3697"/>
              </w:tabs>
              <w:spacing w:before="60" w:after="60" w:line="240" w:lineRule="auto"/>
              <w:contextualSpacing/>
              <w:rPr>
                <w:rFonts w:asciiTheme="minorHAnsi" w:hAnsiTheme="minorHAnsi" w:cstheme="minorHAnsi"/>
                <w:color w:val="auto"/>
                <w:sz w:val="20"/>
                <w:lang w:eastAsia="en-AU"/>
              </w:rPr>
            </w:pPr>
            <w:r w:rsidRPr="00323A35">
              <w:rPr>
                <w:rFonts w:asciiTheme="minorHAnsi" w:hAnsiTheme="minorHAnsi" w:cstheme="minorHAnsi"/>
                <w:color w:val="auto"/>
                <w:sz w:val="20"/>
                <w:lang w:eastAsia="en-AU"/>
              </w:rPr>
              <w:t>Relevant executives in Local Hospital Networks and public hospitals</w:t>
            </w:r>
          </w:p>
          <w:p w14:paraId="26E70B72" w14:textId="77777777" w:rsidR="003F5AF5" w:rsidRPr="00323A35" w:rsidRDefault="003F5AF5" w:rsidP="00481A6A">
            <w:pPr>
              <w:widowControl/>
              <w:numPr>
                <w:ilvl w:val="0"/>
                <w:numId w:val="26"/>
              </w:numPr>
              <w:autoSpaceDE/>
              <w:adjustRightInd/>
              <w:spacing w:before="60" w:after="60"/>
              <w:ind w:left="171" w:hanging="171"/>
              <w:rPr>
                <w:rFonts w:asciiTheme="minorHAnsi" w:hAnsiTheme="minorHAnsi" w:cstheme="minorHAnsi"/>
                <w:iCs/>
                <w:color w:val="000000" w:themeColor="text1"/>
                <w:spacing w:val="-2"/>
              </w:rPr>
            </w:pPr>
            <w:r w:rsidRPr="00323A35">
              <w:rPr>
                <w:rFonts w:asciiTheme="minorHAnsi" w:hAnsiTheme="minorHAnsi" w:cstheme="minorHAnsi"/>
                <w:lang w:val="en-GB"/>
              </w:rPr>
              <w:t>Donor families, transplant recipients, patients awaiting transplant and community organisations.</w:t>
            </w:r>
          </w:p>
        </w:tc>
      </w:tr>
      <w:tr w:rsidR="003F5AF5" w:rsidRPr="00ED31DA" w14:paraId="0A1C6A10" w14:textId="77777777" w:rsidTr="00323A35">
        <w:tc>
          <w:tcPr>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EB85CE" w14:textId="77777777" w:rsidR="003F5AF5" w:rsidRPr="00323A35" w:rsidRDefault="003F5AF5" w:rsidP="00323A35">
            <w:pPr>
              <w:widowControl/>
              <w:autoSpaceDE/>
              <w:adjustRightInd/>
              <w:spacing w:before="60" w:after="60"/>
              <w:rPr>
                <w:rFonts w:asciiTheme="minorHAnsi" w:hAnsiTheme="minorHAnsi" w:cstheme="minorHAnsi"/>
                <w:spacing w:val="-2"/>
              </w:rPr>
            </w:pPr>
            <w:r w:rsidRPr="00323A35">
              <w:rPr>
                <w:rFonts w:asciiTheme="minorHAnsi" w:hAnsiTheme="minorHAnsi" w:cstheme="minorHAnsi"/>
              </w:rPr>
              <w:t xml:space="preserve">Other stakeholder consultations </w:t>
            </w:r>
          </w:p>
        </w:tc>
        <w:tc>
          <w:tcPr>
            <w:tcW w:w="76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78F359" w14:textId="77777777" w:rsidR="003F5AF5" w:rsidRPr="00323A35" w:rsidRDefault="003F5AF5" w:rsidP="0085695A">
            <w:pPr>
              <w:widowControl/>
              <w:numPr>
                <w:ilvl w:val="0"/>
                <w:numId w:val="26"/>
              </w:numPr>
              <w:autoSpaceDE/>
              <w:adjustRightInd/>
              <w:spacing w:before="60" w:after="60"/>
              <w:ind w:left="171" w:hanging="171"/>
              <w:rPr>
                <w:rFonts w:asciiTheme="minorHAnsi" w:hAnsiTheme="minorHAnsi" w:cstheme="minorHAnsi"/>
                <w:iCs/>
                <w:color w:val="000000" w:themeColor="text1"/>
                <w:spacing w:val="-2"/>
              </w:rPr>
            </w:pPr>
            <w:r w:rsidRPr="00323A35">
              <w:rPr>
                <w:rFonts w:asciiTheme="minorHAnsi" w:hAnsiTheme="minorHAnsi" w:cstheme="minorHAnsi"/>
                <w:lang w:val="en-GB"/>
              </w:rPr>
              <w:t xml:space="preserve">These consultations were conducted with other relevant stakeholders who had a view on the system and future opportunities. These were identified and confirmed with the </w:t>
            </w:r>
            <w:r w:rsidR="00267989">
              <w:rPr>
                <w:rFonts w:asciiTheme="minorHAnsi" w:hAnsiTheme="minorHAnsi" w:cstheme="minorHAnsi"/>
                <w:lang w:val="en-GB"/>
              </w:rPr>
              <w:t xml:space="preserve">Australian Government </w:t>
            </w:r>
            <w:r w:rsidRPr="00323A35">
              <w:rPr>
                <w:rFonts w:asciiTheme="minorHAnsi" w:hAnsiTheme="minorHAnsi" w:cstheme="minorHAnsi"/>
                <w:lang w:val="en-GB"/>
              </w:rPr>
              <w:t>Department</w:t>
            </w:r>
            <w:r w:rsidR="00267989">
              <w:rPr>
                <w:rFonts w:asciiTheme="minorHAnsi" w:hAnsiTheme="minorHAnsi" w:cstheme="minorHAnsi"/>
                <w:lang w:val="en-GB"/>
              </w:rPr>
              <w:t xml:space="preserve"> of Health</w:t>
            </w:r>
            <w:r w:rsidRPr="00323A35">
              <w:rPr>
                <w:rFonts w:asciiTheme="minorHAnsi" w:hAnsiTheme="minorHAnsi" w:cstheme="minorHAnsi"/>
                <w:lang w:val="en-GB"/>
              </w:rPr>
              <w:t xml:space="preserve"> and the OTA, with consultation undertaken by submission, face-to-face or via telephone. </w:t>
            </w:r>
          </w:p>
        </w:tc>
      </w:tr>
    </w:tbl>
    <w:p w14:paraId="7F1D9B49" w14:textId="7987B482" w:rsidR="006D1D31" w:rsidRPr="00575239" w:rsidRDefault="006D1D31" w:rsidP="00323A35">
      <w:pPr>
        <w:spacing w:before="240" w:after="120"/>
        <w:rPr>
          <w:rFonts w:asciiTheme="minorHAnsi" w:hAnsiTheme="minorHAnsi" w:cstheme="minorHAnsi"/>
          <w:kern w:val="12"/>
          <w:sz w:val="24"/>
          <w:szCs w:val="24"/>
          <w:lang w:val="en-US"/>
        </w:rPr>
      </w:pPr>
      <w:r w:rsidRPr="00F37D51">
        <w:rPr>
          <w:rFonts w:asciiTheme="minorHAnsi" w:hAnsiTheme="minorHAnsi" w:cstheme="minorHAnsi"/>
          <w:kern w:val="12"/>
          <w:sz w:val="24"/>
          <w:szCs w:val="24"/>
          <w:lang w:val="en-US"/>
        </w:rPr>
        <w:t>The</w:t>
      </w:r>
      <w:r w:rsidR="00D81593">
        <w:rPr>
          <w:rFonts w:asciiTheme="minorHAnsi" w:hAnsiTheme="minorHAnsi" w:cstheme="minorHAnsi"/>
          <w:kern w:val="12"/>
          <w:sz w:val="24"/>
          <w:szCs w:val="24"/>
          <w:lang w:val="en-US"/>
        </w:rPr>
        <w:t xml:space="preserve"> </w:t>
      </w:r>
      <w:r w:rsidRPr="00F37D51">
        <w:rPr>
          <w:rFonts w:asciiTheme="minorHAnsi" w:hAnsiTheme="minorHAnsi" w:cstheme="minorHAnsi"/>
          <w:kern w:val="12"/>
          <w:sz w:val="24"/>
          <w:szCs w:val="24"/>
          <w:lang w:val="en-US"/>
        </w:rPr>
        <w:t xml:space="preserve">stakeholders consulted </w:t>
      </w:r>
      <w:r w:rsidR="0085695A">
        <w:rPr>
          <w:rFonts w:asciiTheme="minorHAnsi" w:hAnsiTheme="minorHAnsi" w:cstheme="minorHAnsi"/>
          <w:kern w:val="12"/>
          <w:sz w:val="24"/>
          <w:szCs w:val="24"/>
          <w:lang w:val="en-US"/>
        </w:rPr>
        <w:t xml:space="preserve">as part of the Review are </w:t>
      </w:r>
      <w:r w:rsidRPr="00575239">
        <w:rPr>
          <w:rFonts w:asciiTheme="minorHAnsi" w:hAnsiTheme="minorHAnsi" w:cstheme="minorHAnsi"/>
          <w:kern w:val="12"/>
          <w:sz w:val="24"/>
          <w:szCs w:val="24"/>
          <w:lang w:val="en-US"/>
        </w:rPr>
        <w:t>in</w:t>
      </w:r>
      <w:r w:rsidR="00C0563C">
        <w:rPr>
          <w:rFonts w:asciiTheme="minorHAnsi" w:hAnsiTheme="minorHAnsi" w:cstheme="minorHAnsi"/>
          <w:kern w:val="12"/>
          <w:sz w:val="24"/>
          <w:szCs w:val="24"/>
          <w:lang w:val="en-US"/>
        </w:rPr>
        <w:t xml:space="preserve"> Appendix B</w:t>
      </w:r>
      <w:r w:rsidRPr="00EB39DF">
        <w:rPr>
          <w:rFonts w:asciiTheme="minorHAnsi" w:hAnsiTheme="minorHAnsi" w:cstheme="minorHAnsi"/>
          <w:kern w:val="12"/>
          <w:sz w:val="24"/>
          <w:szCs w:val="24"/>
          <w:lang w:val="en-US"/>
        </w:rPr>
        <w:t>.</w:t>
      </w:r>
      <w:r w:rsidRPr="00575239">
        <w:rPr>
          <w:rFonts w:asciiTheme="minorHAnsi" w:hAnsiTheme="minorHAnsi" w:cstheme="minorHAnsi"/>
          <w:kern w:val="12"/>
          <w:sz w:val="24"/>
          <w:szCs w:val="24"/>
          <w:lang w:val="en-US"/>
        </w:rPr>
        <w:t xml:space="preserve"> </w:t>
      </w:r>
      <w:r w:rsidR="007B1861" w:rsidRPr="00575239">
        <w:rPr>
          <w:rFonts w:asciiTheme="minorHAnsi" w:hAnsiTheme="minorHAnsi" w:cstheme="minorHAnsi"/>
          <w:kern w:val="12"/>
          <w:sz w:val="24"/>
          <w:szCs w:val="24"/>
          <w:lang w:val="en-US"/>
        </w:rPr>
        <w:t xml:space="preserve">Written </w:t>
      </w:r>
      <w:r w:rsidRPr="00575239">
        <w:rPr>
          <w:rFonts w:asciiTheme="minorHAnsi" w:hAnsiTheme="minorHAnsi" w:cstheme="minorHAnsi"/>
          <w:kern w:val="12"/>
          <w:sz w:val="24"/>
          <w:szCs w:val="24"/>
          <w:lang w:val="en-US"/>
        </w:rPr>
        <w:t>submissions were collected from stakeholders who could not attend a consultation</w:t>
      </w:r>
      <w:r w:rsidR="00D81593" w:rsidRPr="00575239">
        <w:rPr>
          <w:rFonts w:asciiTheme="minorHAnsi" w:hAnsiTheme="minorHAnsi" w:cstheme="minorHAnsi"/>
          <w:kern w:val="12"/>
          <w:sz w:val="24"/>
          <w:szCs w:val="24"/>
          <w:lang w:val="en-US"/>
        </w:rPr>
        <w:t xml:space="preserve"> and </w:t>
      </w:r>
      <w:r w:rsidRPr="00575239">
        <w:rPr>
          <w:rFonts w:asciiTheme="minorHAnsi" w:hAnsiTheme="minorHAnsi" w:cstheme="minorHAnsi"/>
          <w:kern w:val="12"/>
          <w:sz w:val="24"/>
          <w:szCs w:val="24"/>
          <w:lang w:val="en-US"/>
        </w:rPr>
        <w:t>wanted to participate</w:t>
      </w:r>
      <w:r w:rsidR="003F5AF5" w:rsidRPr="00575239">
        <w:rPr>
          <w:rFonts w:asciiTheme="minorHAnsi" w:hAnsiTheme="minorHAnsi" w:cstheme="minorHAnsi"/>
          <w:kern w:val="12"/>
          <w:sz w:val="24"/>
          <w:szCs w:val="24"/>
          <w:lang w:val="en-US"/>
        </w:rPr>
        <w:t xml:space="preserve"> in the Review</w:t>
      </w:r>
      <w:r w:rsidRPr="00575239">
        <w:rPr>
          <w:rFonts w:asciiTheme="minorHAnsi" w:hAnsiTheme="minorHAnsi" w:cstheme="minorHAnsi"/>
          <w:kern w:val="12"/>
          <w:sz w:val="24"/>
          <w:szCs w:val="24"/>
          <w:lang w:val="en-US"/>
        </w:rPr>
        <w:t xml:space="preserve">. </w:t>
      </w:r>
    </w:p>
    <w:p w14:paraId="2DDB378E" w14:textId="7983022B" w:rsidR="006D1D31" w:rsidRDefault="006D1D31" w:rsidP="006D1D31">
      <w:pPr>
        <w:spacing w:after="120"/>
        <w:rPr>
          <w:rFonts w:asciiTheme="minorHAnsi" w:hAnsiTheme="minorHAnsi" w:cstheme="minorHAnsi"/>
          <w:kern w:val="12"/>
          <w:sz w:val="24"/>
          <w:szCs w:val="24"/>
          <w:lang w:val="en-US"/>
        </w:rPr>
      </w:pPr>
      <w:r w:rsidRPr="00575239">
        <w:rPr>
          <w:rFonts w:asciiTheme="minorHAnsi" w:hAnsiTheme="minorHAnsi" w:cstheme="minorHAnsi"/>
          <w:kern w:val="12"/>
          <w:sz w:val="24"/>
          <w:szCs w:val="24"/>
          <w:lang w:val="en-US"/>
        </w:rPr>
        <w:t>A range of data, literature and documents were reviewed to</w:t>
      </w:r>
      <w:r w:rsidR="0085695A">
        <w:rPr>
          <w:rFonts w:asciiTheme="minorHAnsi" w:hAnsiTheme="minorHAnsi" w:cstheme="minorHAnsi"/>
          <w:kern w:val="12"/>
          <w:sz w:val="24"/>
          <w:szCs w:val="24"/>
          <w:lang w:val="en-US"/>
        </w:rPr>
        <w:t xml:space="preserve"> identify and </w:t>
      </w:r>
      <w:r w:rsidRPr="00575239">
        <w:rPr>
          <w:rFonts w:asciiTheme="minorHAnsi" w:hAnsiTheme="minorHAnsi" w:cstheme="minorHAnsi"/>
          <w:kern w:val="12"/>
          <w:sz w:val="24"/>
          <w:szCs w:val="24"/>
          <w:lang w:val="en-US"/>
        </w:rPr>
        <w:t xml:space="preserve">validate findings. A list of </w:t>
      </w:r>
      <w:r w:rsidR="002E4CC4">
        <w:rPr>
          <w:rFonts w:asciiTheme="minorHAnsi" w:hAnsiTheme="minorHAnsi" w:cstheme="minorHAnsi"/>
          <w:kern w:val="12"/>
          <w:sz w:val="24"/>
          <w:szCs w:val="24"/>
          <w:lang w:val="en-US"/>
        </w:rPr>
        <w:t xml:space="preserve">data, literature and </w:t>
      </w:r>
      <w:r w:rsidRPr="00575239">
        <w:rPr>
          <w:rFonts w:asciiTheme="minorHAnsi" w:hAnsiTheme="minorHAnsi" w:cstheme="minorHAnsi"/>
          <w:kern w:val="12"/>
          <w:sz w:val="24"/>
          <w:szCs w:val="24"/>
          <w:lang w:val="en-US"/>
        </w:rPr>
        <w:t xml:space="preserve">documents </w:t>
      </w:r>
      <w:r w:rsidR="002E4CC4">
        <w:rPr>
          <w:rFonts w:asciiTheme="minorHAnsi" w:hAnsiTheme="minorHAnsi" w:cstheme="minorHAnsi"/>
          <w:kern w:val="12"/>
          <w:sz w:val="24"/>
          <w:szCs w:val="24"/>
          <w:lang w:val="en-US"/>
        </w:rPr>
        <w:t xml:space="preserve">reviewed </w:t>
      </w:r>
      <w:r w:rsidRPr="00575239">
        <w:rPr>
          <w:rFonts w:asciiTheme="minorHAnsi" w:hAnsiTheme="minorHAnsi" w:cstheme="minorHAnsi"/>
          <w:kern w:val="12"/>
          <w:sz w:val="24"/>
          <w:szCs w:val="24"/>
          <w:lang w:val="en-US"/>
        </w:rPr>
        <w:t>can be found in</w:t>
      </w:r>
      <w:r w:rsidR="00C0563C">
        <w:rPr>
          <w:rFonts w:asciiTheme="minorHAnsi" w:hAnsiTheme="minorHAnsi" w:cstheme="minorHAnsi"/>
          <w:kern w:val="12"/>
          <w:sz w:val="24"/>
          <w:szCs w:val="24"/>
          <w:lang w:val="en-US"/>
        </w:rPr>
        <w:t xml:space="preserve"> Appendix C. </w:t>
      </w:r>
      <w:r w:rsidRPr="00575239">
        <w:rPr>
          <w:rFonts w:asciiTheme="minorHAnsi" w:hAnsiTheme="minorHAnsi" w:cstheme="minorHAnsi"/>
          <w:kern w:val="12"/>
          <w:sz w:val="24"/>
          <w:szCs w:val="24"/>
          <w:lang w:val="en-US"/>
        </w:rPr>
        <w:t>Findings</w:t>
      </w:r>
      <w:r>
        <w:rPr>
          <w:rFonts w:asciiTheme="minorHAnsi" w:hAnsiTheme="minorHAnsi" w:cstheme="minorHAnsi"/>
          <w:kern w:val="12"/>
          <w:sz w:val="24"/>
          <w:szCs w:val="24"/>
          <w:lang w:val="en-US"/>
        </w:rPr>
        <w:t xml:space="preserve"> from all </w:t>
      </w:r>
      <w:r w:rsidR="0085695A">
        <w:rPr>
          <w:rFonts w:asciiTheme="minorHAnsi" w:hAnsiTheme="minorHAnsi" w:cstheme="minorHAnsi"/>
          <w:kern w:val="12"/>
          <w:sz w:val="24"/>
          <w:szCs w:val="24"/>
          <w:lang w:val="en-US"/>
        </w:rPr>
        <w:t xml:space="preserve">data collection </w:t>
      </w:r>
      <w:r>
        <w:rPr>
          <w:rFonts w:asciiTheme="minorHAnsi" w:hAnsiTheme="minorHAnsi" w:cstheme="minorHAnsi"/>
          <w:kern w:val="12"/>
          <w:sz w:val="24"/>
          <w:szCs w:val="24"/>
          <w:lang w:val="en-US"/>
        </w:rPr>
        <w:t xml:space="preserve">methods were then triangulated to develop </w:t>
      </w:r>
      <w:r w:rsidR="00267989">
        <w:rPr>
          <w:rFonts w:asciiTheme="minorHAnsi" w:hAnsiTheme="minorHAnsi" w:cstheme="minorHAnsi"/>
          <w:kern w:val="12"/>
          <w:sz w:val="24"/>
          <w:szCs w:val="24"/>
          <w:lang w:val="en-US"/>
        </w:rPr>
        <w:t xml:space="preserve">the </w:t>
      </w:r>
      <w:r>
        <w:rPr>
          <w:rFonts w:asciiTheme="minorHAnsi" w:hAnsiTheme="minorHAnsi" w:cstheme="minorHAnsi"/>
          <w:kern w:val="12"/>
          <w:sz w:val="24"/>
          <w:szCs w:val="24"/>
          <w:lang w:val="en-US"/>
        </w:rPr>
        <w:t>findings and recommendations</w:t>
      </w:r>
      <w:r w:rsidR="00267989">
        <w:rPr>
          <w:rFonts w:asciiTheme="minorHAnsi" w:hAnsiTheme="minorHAnsi" w:cstheme="minorHAnsi"/>
          <w:kern w:val="12"/>
          <w:sz w:val="24"/>
          <w:szCs w:val="24"/>
          <w:lang w:val="en-US"/>
        </w:rPr>
        <w:t xml:space="preserve"> set out in this report</w:t>
      </w:r>
      <w:r>
        <w:rPr>
          <w:rFonts w:asciiTheme="minorHAnsi" w:hAnsiTheme="minorHAnsi" w:cstheme="minorHAnsi"/>
          <w:kern w:val="12"/>
          <w:sz w:val="24"/>
          <w:szCs w:val="24"/>
          <w:lang w:val="en-US"/>
        </w:rPr>
        <w:t>.</w:t>
      </w:r>
    </w:p>
    <w:p w14:paraId="0DCB463A" w14:textId="77777777" w:rsidR="00C0563C" w:rsidRDefault="00C0563C">
      <w:pPr>
        <w:widowControl/>
        <w:autoSpaceDE/>
        <w:autoSpaceDN/>
        <w:adjustRightInd/>
        <w:spacing w:after="200" w:line="276" w:lineRule="auto"/>
        <w:rPr>
          <w:rFonts w:asciiTheme="minorHAnsi" w:hAnsiTheme="minorHAnsi" w:cstheme="minorHAnsi"/>
          <w:kern w:val="12"/>
          <w:sz w:val="24"/>
          <w:szCs w:val="24"/>
          <w:lang w:val="en-US"/>
        </w:rPr>
      </w:pPr>
      <w:r>
        <w:rPr>
          <w:rFonts w:asciiTheme="minorHAnsi" w:hAnsiTheme="minorHAnsi" w:cstheme="minorHAnsi"/>
          <w:kern w:val="12"/>
          <w:sz w:val="24"/>
          <w:szCs w:val="24"/>
          <w:lang w:val="en-US"/>
        </w:rPr>
        <w:br w:type="page"/>
      </w:r>
    </w:p>
    <w:p w14:paraId="4DEF1C20" w14:textId="5F02E9AC" w:rsidR="006D1D31" w:rsidRDefault="006D1D31" w:rsidP="00323A35">
      <w:pPr>
        <w:spacing w:after="120"/>
        <w:rPr>
          <w:rFonts w:asciiTheme="minorHAnsi" w:hAnsiTheme="minorHAnsi" w:cstheme="minorHAnsi"/>
          <w:kern w:val="12"/>
          <w:sz w:val="24"/>
          <w:szCs w:val="24"/>
          <w:lang w:val="en-US"/>
        </w:rPr>
      </w:pPr>
      <w:r>
        <w:rPr>
          <w:rFonts w:asciiTheme="minorHAnsi" w:hAnsiTheme="minorHAnsi" w:cstheme="minorHAnsi"/>
          <w:kern w:val="12"/>
          <w:sz w:val="24"/>
          <w:szCs w:val="24"/>
          <w:lang w:val="en-US"/>
        </w:rPr>
        <w:lastRenderedPageBreak/>
        <w:t xml:space="preserve">The </w:t>
      </w:r>
      <w:r w:rsidR="003F5AF5">
        <w:rPr>
          <w:rFonts w:asciiTheme="minorHAnsi" w:hAnsiTheme="minorHAnsi" w:cstheme="minorHAnsi"/>
          <w:kern w:val="12"/>
          <w:sz w:val="24"/>
          <w:szCs w:val="24"/>
          <w:lang w:val="en-US"/>
        </w:rPr>
        <w:t xml:space="preserve">Review was guided and informed by </w:t>
      </w:r>
      <w:r>
        <w:rPr>
          <w:rFonts w:asciiTheme="minorHAnsi" w:hAnsiTheme="minorHAnsi" w:cstheme="minorHAnsi"/>
          <w:kern w:val="12"/>
          <w:sz w:val="24"/>
          <w:szCs w:val="24"/>
          <w:lang w:val="en-US"/>
        </w:rPr>
        <w:t xml:space="preserve">the </w:t>
      </w:r>
      <w:r w:rsidR="00267989">
        <w:rPr>
          <w:rFonts w:asciiTheme="minorHAnsi" w:hAnsiTheme="minorHAnsi" w:cstheme="minorHAnsi"/>
          <w:kern w:val="12"/>
          <w:sz w:val="24"/>
          <w:szCs w:val="24"/>
          <w:lang w:val="en-US"/>
        </w:rPr>
        <w:t xml:space="preserve">Australian Government </w:t>
      </w:r>
      <w:r>
        <w:rPr>
          <w:rFonts w:asciiTheme="minorHAnsi" w:hAnsiTheme="minorHAnsi" w:cstheme="minorHAnsi"/>
          <w:kern w:val="12"/>
          <w:sz w:val="24"/>
          <w:szCs w:val="24"/>
          <w:lang w:val="en-US"/>
        </w:rPr>
        <w:t>Department</w:t>
      </w:r>
      <w:r w:rsidR="00267989">
        <w:rPr>
          <w:rFonts w:asciiTheme="minorHAnsi" w:hAnsiTheme="minorHAnsi" w:cstheme="minorHAnsi"/>
          <w:kern w:val="12"/>
          <w:sz w:val="24"/>
          <w:szCs w:val="24"/>
          <w:lang w:val="en-US"/>
        </w:rPr>
        <w:t xml:space="preserve"> of Health</w:t>
      </w:r>
      <w:r>
        <w:rPr>
          <w:rFonts w:asciiTheme="minorHAnsi" w:hAnsiTheme="minorHAnsi" w:cstheme="minorHAnsi"/>
          <w:kern w:val="12"/>
          <w:sz w:val="24"/>
          <w:szCs w:val="24"/>
          <w:lang w:val="en-US"/>
        </w:rPr>
        <w:t>, the OTA</w:t>
      </w:r>
      <w:r w:rsidR="008573C1">
        <w:rPr>
          <w:rFonts w:asciiTheme="minorHAnsi" w:hAnsiTheme="minorHAnsi" w:cstheme="minorHAnsi"/>
          <w:kern w:val="12"/>
          <w:sz w:val="24"/>
          <w:szCs w:val="24"/>
          <w:lang w:val="en-US"/>
        </w:rPr>
        <w:t xml:space="preserve">, </w:t>
      </w:r>
      <w:r>
        <w:rPr>
          <w:rFonts w:asciiTheme="minorHAnsi" w:hAnsiTheme="minorHAnsi" w:cstheme="minorHAnsi"/>
          <w:kern w:val="12"/>
          <w:sz w:val="24"/>
          <w:szCs w:val="24"/>
          <w:lang w:val="en-US"/>
        </w:rPr>
        <w:t xml:space="preserve">the </w:t>
      </w:r>
      <w:r w:rsidR="00ED31DA">
        <w:rPr>
          <w:rFonts w:asciiTheme="minorHAnsi" w:hAnsiTheme="minorHAnsi" w:cstheme="minorHAnsi"/>
          <w:kern w:val="12"/>
          <w:sz w:val="24"/>
          <w:szCs w:val="24"/>
          <w:lang w:val="en-US"/>
        </w:rPr>
        <w:t>Steering Committee</w:t>
      </w:r>
      <w:r w:rsidR="008573C1">
        <w:rPr>
          <w:rFonts w:asciiTheme="minorHAnsi" w:hAnsiTheme="minorHAnsi" w:cstheme="minorHAnsi"/>
          <w:kern w:val="12"/>
          <w:sz w:val="24"/>
          <w:szCs w:val="24"/>
          <w:lang w:val="en-US"/>
        </w:rPr>
        <w:t xml:space="preserve"> and other sector stakeholders</w:t>
      </w:r>
      <w:r w:rsidR="003F5AF5">
        <w:rPr>
          <w:rFonts w:asciiTheme="minorHAnsi" w:hAnsiTheme="minorHAnsi" w:cstheme="minorHAnsi"/>
          <w:kern w:val="12"/>
          <w:sz w:val="24"/>
          <w:szCs w:val="24"/>
          <w:lang w:val="en-US"/>
        </w:rPr>
        <w:t xml:space="preserve">. </w:t>
      </w:r>
      <w:r>
        <w:rPr>
          <w:rFonts w:asciiTheme="minorHAnsi" w:hAnsiTheme="minorHAnsi" w:cstheme="minorHAnsi"/>
          <w:kern w:val="12"/>
          <w:sz w:val="24"/>
          <w:szCs w:val="24"/>
          <w:lang w:val="en-US"/>
        </w:rPr>
        <w:t xml:space="preserve">The Steering Committee </w:t>
      </w:r>
      <w:r w:rsidR="00ED31DA">
        <w:rPr>
          <w:rFonts w:asciiTheme="minorHAnsi" w:hAnsiTheme="minorHAnsi" w:cstheme="minorHAnsi"/>
          <w:kern w:val="12"/>
          <w:sz w:val="24"/>
          <w:szCs w:val="24"/>
          <w:lang w:val="en-US"/>
        </w:rPr>
        <w:t>included representatives of the</w:t>
      </w:r>
      <w:r>
        <w:rPr>
          <w:rFonts w:asciiTheme="minorHAnsi" w:hAnsiTheme="minorHAnsi" w:cstheme="minorHAnsi"/>
          <w:kern w:val="12"/>
          <w:sz w:val="24"/>
          <w:szCs w:val="24"/>
          <w:lang w:val="en-US"/>
        </w:rPr>
        <w:t xml:space="preserve"> </w:t>
      </w:r>
      <w:r w:rsidR="00267989">
        <w:rPr>
          <w:rFonts w:asciiTheme="minorHAnsi" w:hAnsiTheme="minorHAnsi" w:cstheme="minorHAnsi"/>
          <w:kern w:val="12"/>
          <w:sz w:val="24"/>
          <w:szCs w:val="24"/>
          <w:lang w:val="en-US"/>
        </w:rPr>
        <w:t>Australian Government Department of Health</w:t>
      </w:r>
      <w:r w:rsidR="007B1861">
        <w:rPr>
          <w:rFonts w:asciiTheme="minorHAnsi" w:hAnsiTheme="minorHAnsi" w:cstheme="minorHAnsi"/>
          <w:kern w:val="12"/>
          <w:sz w:val="24"/>
          <w:szCs w:val="24"/>
          <w:lang w:val="en-US"/>
        </w:rPr>
        <w:t xml:space="preserve"> and the </w:t>
      </w:r>
      <w:r>
        <w:rPr>
          <w:rFonts w:asciiTheme="minorHAnsi" w:hAnsiTheme="minorHAnsi" w:cstheme="minorHAnsi"/>
          <w:kern w:val="12"/>
          <w:sz w:val="24"/>
          <w:szCs w:val="24"/>
          <w:lang w:val="en-US"/>
        </w:rPr>
        <w:t>OTA</w:t>
      </w:r>
      <w:r w:rsidR="0085695A">
        <w:rPr>
          <w:rFonts w:asciiTheme="minorHAnsi" w:hAnsiTheme="minorHAnsi" w:cstheme="minorHAnsi"/>
          <w:kern w:val="12"/>
          <w:sz w:val="24"/>
          <w:szCs w:val="24"/>
          <w:lang w:val="en-US"/>
        </w:rPr>
        <w:t>,</w:t>
      </w:r>
      <w:r w:rsidR="00ED31DA">
        <w:rPr>
          <w:rFonts w:asciiTheme="minorHAnsi" w:hAnsiTheme="minorHAnsi" w:cstheme="minorHAnsi"/>
          <w:kern w:val="12"/>
          <w:sz w:val="24"/>
          <w:szCs w:val="24"/>
          <w:lang w:val="en-US"/>
        </w:rPr>
        <w:t xml:space="preserve"> as well as specialists in the area of </w:t>
      </w:r>
      <w:r w:rsidR="00ED31DA" w:rsidRPr="005F5BB1">
        <w:rPr>
          <w:rFonts w:asciiTheme="minorHAnsi" w:hAnsiTheme="minorHAnsi" w:cstheme="minorHAnsi"/>
          <w:kern w:val="12"/>
          <w:sz w:val="24"/>
          <w:szCs w:val="24"/>
          <w:lang w:val="en-US"/>
        </w:rPr>
        <w:t>donation</w:t>
      </w:r>
      <w:r w:rsidR="00ED31DA">
        <w:rPr>
          <w:rFonts w:asciiTheme="minorHAnsi" w:hAnsiTheme="minorHAnsi" w:cstheme="minorHAnsi"/>
          <w:kern w:val="12"/>
          <w:sz w:val="24"/>
          <w:szCs w:val="24"/>
          <w:lang w:val="en-US"/>
        </w:rPr>
        <w:t xml:space="preserve"> </w:t>
      </w:r>
      <w:r w:rsidR="00FE2823">
        <w:rPr>
          <w:rFonts w:asciiTheme="minorHAnsi" w:hAnsiTheme="minorHAnsi" w:cstheme="minorHAnsi"/>
          <w:kern w:val="12"/>
          <w:sz w:val="24"/>
          <w:szCs w:val="24"/>
          <w:lang w:val="en-US"/>
        </w:rPr>
        <w:t xml:space="preserve">and transplantation </w:t>
      </w:r>
      <w:r w:rsidR="00ED31DA">
        <w:rPr>
          <w:rFonts w:asciiTheme="minorHAnsi" w:hAnsiTheme="minorHAnsi" w:cstheme="minorHAnsi"/>
          <w:kern w:val="12"/>
          <w:sz w:val="24"/>
          <w:szCs w:val="24"/>
          <w:lang w:val="en-US"/>
        </w:rPr>
        <w:t>and</w:t>
      </w:r>
      <w:r>
        <w:rPr>
          <w:rFonts w:asciiTheme="minorHAnsi" w:hAnsiTheme="minorHAnsi" w:cstheme="minorHAnsi"/>
          <w:kern w:val="12"/>
          <w:sz w:val="24"/>
          <w:szCs w:val="24"/>
          <w:lang w:val="en-US"/>
        </w:rPr>
        <w:t xml:space="preserve"> state and territory representatives</w:t>
      </w:r>
      <w:r w:rsidR="00ED31DA">
        <w:rPr>
          <w:rFonts w:asciiTheme="minorHAnsi" w:hAnsiTheme="minorHAnsi" w:cstheme="minorHAnsi"/>
          <w:kern w:val="12"/>
          <w:sz w:val="24"/>
          <w:szCs w:val="24"/>
          <w:lang w:val="en-US"/>
        </w:rPr>
        <w:t xml:space="preserve">. The Steering Committee </w:t>
      </w:r>
      <w:r>
        <w:rPr>
          <w:rFonts w:asciiTheme="minorHAnsi" w:hAnsiTheme="minorHAnsi" w:cstheme="minorHAnsi"/>
          <w:kern w:val="12"/>
          <w:sz w:val="24"/>
          <w:szCs w:val="24"/>
          <w:lang w:val="en-US"/>
        </w:rPr>
        <w:t>was used to provide input into the methodology</w:t>
      </w:r>
      <w:r w:rsidR="00ED31DA">
        <w:rPr>
          <w:rFonts w:asciiTheme="minorHAnsi" w:hAnsiTheme="minorHAnsi" w:cstheme="minorHAnsi"/>
          <w:kern w:val="12"/>
          <w:sz w:val="24"/>
          <w:szCs w:val="24"/>
          <w:lang w:val="en-US"/>
        </w:rPr>
        <w:t xml:space="preserve"> and </w:t>
      </w:r>
      <w:r>
        <w:rPr>
          <w:rFonts w:asciiTheme="minorHAnsi" w:hAnsiTheme="minorHAnsi" w:cstheme="minorHAnsi"/>
          <w:kern w:val="12"/>
          <w:sz w:val="24"/>
          <w:szCs w:val="24"/>
          <w:lang w:val="en-US"/>
        </w:rPr>
        <w:t>approach</w:t>
      </w:r>
      <w:r w:rsidR="00ED31DA">
        <w:rPr>
          <w:rFonts w:asciiTheme="minorHAnsi" w:hAnsiTheme="minorHAnsi" w:cstheme="minorHAnsi"/>
          <w:kern w:val="12"/>
          <w:sz w:val="24"/>
          <w:szCs w:val="24"/>
          <w:lang w:val="en-US"/>
        </w:rPr>
        <w:t>, feedback on reports</w:t>
      </w:r>
      <w:r w:rsidR="00D81593">
        <w:rPr>
          <w:rFonts w:asciiTheme="minorHAnsi" w:hAnsiTheme="minorHAnsi" w:cstheme="minorHAnsi"/>
          <w:kern w:val="12"/>
          <w:sz w:val="24"/>
          <w:szCs w:val="24"/>
          <w:lang w:val="en-US"/>
        </w:rPr>
        <w:t>, as well as</w:t>
      </w:r>
      <w:r w:rsidR="00ED31DA">
        <w:rPr>
          <w:rFonts w:asciiTheme="minorHAnsi" w:hAnsiTheme="minorHAnsi" w:cstheme="minorHAnsi"/>
          <w:kern w:val="12"/>
          <w:sz w:val="24"/>
          <w:szCs w:val="24"/>
          <w:lang w:val="en-US"/>
        </w:rPr>
        <w:t xml:space="preserve"> testing and validating</w:t>
      </w:r>
      <w:r w:rsidR="0085695A">
        <w:rPr>
          <w:rFonts w:asciiTheme="minorHAnsi" w:hAnsiTheme="minorHAnsi" w:cstheme="minorHAnsi"/>
          <w:kern w:val="12"/>
          <w:sz w:val="24"/>
          <w:szCs w:val="24"/>
          <w:lang w:val="en-US"/>
        </w:rPr>
        <w:t xml:space="preserve"> the</w:t>
      </w:r>
      <w:r w:rsidR="00D81593">
        <w:rPr>
          <w:rFonts w:asciiTheme="minorHAnsi" w:hAnsiTheme="minorHAnsi" w:cstheme="minorHAnsi"/>
          <w:kern w:val="12"/>
          <w:sz w:val="24"/>
          <w:szCs w:val="24"/>
          <w:lang w:val="en-US"/>
        </w:rPr>
        <w:t xml:space="preserve"> </w:t>
      </w:r>
      <w:r w:rsidR="00ED31DA">
        <w:rPr>
          <w:rFonts w:asciiTheme="minorHAnsi" w:hAnsiTheme="minorHAnsi" w:cstheme="minorHAnsi"/>
          <w:kern w:val="12"/>
          <w:sz w:val="24"/>
          <w:szCs w:val="24"/>
          <w:lang w:val="en-US"/>
        </w:rPr>
        <w:t>finding</w:t>
      </w:r>
      <w:r w:rsidR="00267989">
        <w:rPr>
          <w:rFonts w:asciiTheme="minorHAnsi" w:hAnsiTheme="minorHAnsi" w:cstheme="minorHAnsi"/>
          <w:kern w:val="12"/>
          <w:sz w:val="24"/>
          <w:szCs w:val="24"/>
          <w:lang w:val="en-US"/>
        </w:rPr>
        <w:t>s</w:t>
      </w:r>
      <w:r w:rsidR="00ED31DA">
        <w:rPr>
          <w:rFonts w:asciiTheme="minorHAnsi" w:hAnsiTheme="minorHAnsi" w:cstheme="minorHAnsi"/>
          <w:kern w:val="12"/>
          <w:sz w:val="24"/>
          <w:szCs w:val="24"/>
          <w:lang w:val="en-US"/>
        </w:rPr>
        <w:t xml:space="preserve"> and recommendation</w:t>
      </w:r>
      <w:r w:rsidR="00267989">
        <w:rPr>
          <w:rFonts w:asciiTheme="minorHAnsi" w:hAnsiTheme="minorHAnsi" w:cstheme="minorHAnsi"/>
          <w:kern w:val="12"/>
          <w:sz w:val="24"/>
          <w:szCs w:val="24"/>
          <w:lang w:val="en-US"/>
        </w:rPr>
        <w:t>s</w:t>
      </w:r>
      <w:r w:rsidR="00ED31DA">
        <w:rPr>
          <w:rFonts w:asciiTheme="minorHAnsi" w:hAnsiTheme="minorHAnsi" w:cstheme="minorHAnsi"/>
          <w:kern w:val="12"/>
          <w:sz w:val="24"/>
          <w:szCs w:val="24"/>
          <w:lang w:val="en-US"/>
        </w:rPr>
        <w:t xml:space="preserve">. </w:t>
      </w:r>
    </w:p>
    <w:p w14:paraId="7ED46110" w14:textId="77777777" w:rsidR="00EA4EE4" w:rsidRPr="00266A77" w:rsidRDefault="00EA4EE4" w:rsidP="00266A77">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92" w:name="_Toc523496660"/>
      <w:bookmarkStart w:id="93" w:name="_Toc523496888"/>
      <w:bookmarkStart w:id="94" w:name="_Toc523508765"/>
      <w:bookmarkStart w:id="95" w:name="_Toc523508998"/>
      <w:bookmarkStart w:id="96" w:name="_Toc523509229"/>
      <w:bookmarkStart w:id="97" w:name="_Toc532301675"/>
      <w:bookmarkEnd w:id="92"/>
      <w:bookmarkEnd w:id="93"/>
      <w:bookmarkEnd w:id="94"/>
      <w:bookmarkEnd w:id="95"/>
      <w:bookmarkEnd w:id="96"/>
      <w:r w:rsidRPr="00266A77">
        <w:rPr>
          <w:rFonts w:asciiTheme="minorHAnsi" w:hAnsiTheme="minorHAnsi" w:cstheme="minorHAnsi"/>
          <w:iCs/>
          <w:color w:val="7F7F7F" w:themeColor="text1" w:themeTint="80"/>
          <w:sz w:val="36"/>
          <w:szCs w:val="30"/>
        </w:rPr>
        <w:t>Guide to this report</w:t>
      </w:r>
      <w:bookmarkEnd w:id="97"/>
    </w:p>
    <w:p w14:paraId="349C9B39" w14:textId="77777777" w:rsidR="00EA4EE4" w:rsidRPr="00DF5CBE" w:rsidRDefault="00EA4EE4" w:rsidP="00323A35">
      <w:pPr>
        <w:spacing w:after="120"/>
        <w:rPr>
          <w:rFonts w:asciiTheme="minorHAnsi" w:hAnsiTheme="minorHAnsi" w:cstheme="minorHAnsi"/>
          <w:sz w:val="24"/>
          <w:szCs w:val="24"/>
          <w:lang w:val="en-GB"/>
        </w:rPr>
      </w:pPr>
      <w:r w:rsidRPr="00DF5CBE">
        <w:rPr>
          <w:rFonts w:asciiTheme="minorHAnsi" w:hAnsiTheme="minorHAnsi" w:cstheme="minorHAnsi"/>
          <w:sz w:val="24"/>
          <w:szCs w:val="24"/>
          <w:lang w:val="en-GB"/>
        </w:rPr>
        <w:t>The following provides a guide to the remainder of the report:</w:t>
      </w:r>
    </w:p>
    <w:p w14:paraId="76FBAFA6" w14:textId="77777777" w:rsidR="00EA4EE4" w:rsidRPr="00DF5CBE" w:rsidRDefault="002E4CC4" w:rsidP="00481A6A">
      <w:pPr>
        <w:numPr>
          <w:ilvl w:val="0"/>
          <w:numId w:val="18"/>
        </w:numPr>
        <w:spacing w:after="120"/>
        <w:ind w:left="357" w:hanging="357"/>
        <w:contextualSpacing/>
        <w:rPr>
          <w:rFonts w:asciiTheme="minorHAnsi" w:hAnsiTheme="minorHAnsi" w:cstheme="minorHAnsi"/>
          <w:sz w:val="24"/>
          <w:szCs w:val="24"/>
          <w:lang w:val="en-GB"/>
        </w:rPr>
      </w:pPr>
      <w:r>
        <w:rPr>
          <w:rFonts w:asciiTheme="minorHAnsi" w:hAnsiTheme="minorHAnsi" w:cstheme="minorHAnsi"/>
          <w:sz w:val="24"/>
          <w:szCs w:val="24"/>
          <w:lang w:val="en-GB"/>
        </w:rPr>
        <w:t xml:space="preserve">Section </w:t>
      </w:r>
      <w:r>
        <w:rPr>
          <w:rFonts w:asciiTheme="minorHAnsi" w:hAnsiTheme="minorHAnsi" w:cstheme="minorHAnsi"/>
          <w:sz w:val="24"/>
          <w:szCs w:val="24"/>
          <w:lang w:val="en-GB"/>
        </w:rPr>
        <w:fldChar w:fldCharType="begin"/>
      </w:r>
      <w:r>
        <w:rPr>
          <w:rFonts w:asciiTheme="minorHAnsi" w:hAnsiTheme="minorHAnsi" w:cstheme="minorHAnsi"/>
          <w:sz w:val="24"/>
          <w:szCs w:val="24"/>
          <w:lang w:val="en-GB"/>
        </w:rPr>
        <w:instrText xml:space="preserve"> REF _Ref531772564 \r \h </w:instrText>
      </w:r>
      <w:r>
        <w:rPr>
          <w:rFonts w:asciiTheme="minorHAnsi" w:hAnsiTheme="minorHAnsi" w:cstheme="minorHAnsi"/>
          <w:sz w:val="24"/>
          <w:szCs w:val="24"/>
          <w:lang w:val="en-GB"/>
        </w:rPr>
      </w:r>
      <w:r>
        <w:rPr>
          <w:rFonts w:asciiTheme="minorHAnsi" w:hAnsiTheme="minorHAnsi" w:cstheme="minorHAnsi"/>
          <w:sz w:val="24"/>
          <w:szCs w:val="24"/>
          <w:lang w:val="en-GB"/>
        </w:rPr>
        <w:fldChar w:fldCharType="separate"/>
      </w:r>
      <w:r w:rsidR="00A04048">
        <w:rPr>
          <w:rFonts w:asciiTheme="minorHAnsi" w:hAnsiTheme="minorHAnsi" w:cstheme="minorHAnsi"/>
          <w:sz w:val="24"/>
          <w:szCs w:val="24"/>
          <w:lang w:val="en-GB"/>
        </w:rPr>
        <w:t>3</w:t>
      </w:r>
      <w:r>
        <w:rPr>
          <w:rFonts w:asciiTheme="minorHAnsi" w:hAnsiTheme="minorHAnsi" w:cstheme="minorHAnsi"/>
          <w:sz w:val="24"/>
          <w:szCs w:val="24"/>
          <w:lang w:val="en-GB"/>
        </w:rPr>
        <w:fldChar w:fldCharType="end"/>
      </w:r>
      <w:r w:rsidR="00EA4EE4" w:rsidRPr="00DF5CBE">
        <w:rPr>
          <w:rFonts w:asciiTheme="minorHAnsi" w:hAnsiTheme="minorHAnsi" w:cstheme="minorHAnsi"/>
          <w:sz w:val="24"/>
          <w:szCs w:val="24"/>
          <w:lang w:val="en-GB"/>
        </w:rPr>
        <w:t xml:space="preserve">– </w:t>
      </w:r>
      <w:r w:rsidR="00073542" w:rsidRPr="00DF5CBE">
        <w:rPr>
          <w:rFonts w:asciiTheme="minorHAnsi" w:hAnsiTheme="minorHAnsi" w:cstheme="minorHAnsi"/>
          <w:sz w:val="24"/>
          <w:szCs w:val="24"/>
          <w:lang w:val="en-GB"/>
        </w:rPr>
        <w:t xml:space="preserve">describes the progress of the </w:t>
      </w:r>
      <w:r w:rsidR="00073542">
        <w:rPr>
          <w:rFonts w:asciiTheme="minorHAnsi" w:hAnsiTheme="minorHAnsi" w:cstheme="minorHAnsi"/>
          <w:sz w:val="24"/>
          <w:szCs w:val="24"/>
          <w:lang w:val="en-GB"/>
        </w:rPr>
        <w:t>national r</w:t>
      </w:r>
      <w:r w:rsidR="00073542" w:rsidRPr="00DF5CBE">
        <w:rPr>
          <w:rFonts w:asciiTheme="minorHAnsi" w:hAnsiTheme="minorHAnsi" w:cstheme="minorHAnsi"/>
          <w:sz w:val="24"/>
          <w:szCs w:val="24"/>
          <w:lang w:val="en-GB"/>
        </w:rPr>
        <w:t xml:space="preserve">eform </w:t>
      </w:r>
      <w:r w:rsidR="00073542">
        <w:rPr>
          <w:rFonts w:asciiTheme="minorHAnsi" w:hAnsiTheme="minorHAnsi" w:cstheme="minorHAnsi"/>
          <w:sz w:val="24"/>
          <w:szCs w:val="24"/>
          <w:lang w:val="en-GB"/>
        </w:rPr>
        <w:t xml:space="preserve">program </w:t>
      </w:r>
      <w:r w:rsidR="00073542" w:rsidRPr="00DF5CBE">
        <w:rPr>
          <w:rFonts w:asciiTheme="minorHAnsi" w:hAnsiTheme="minorHAnsi" w:cstheme="minorHAnsi"/>
          <w:sz w:val="24"/>
          <w:szCs w:val="24"/>
          <w:lang w:val="en-GB"/>
        </w:rPr>
        <w:t>since the</w:t>
      </w:r>
      <w:r w:rsidR="00073542">
        <w:rPr>
          <w:rFonts w:asciiTheme="minorHAnsi" w:hAnsiTheme="minorHAnsi" w:cstheme="minorHAnsi"/>
          <w:sz w:val="24"/>
          <w:szCs w:val="24"/>
          <w:lang w:val="en-GB"/>
        </w:rPr>
        <w:t xml:space="preserve"> 2015</w:t>
      </w:r>
      <w:r w:rsidR="00073542" w:rsidRPr="00DF5CBE">
        <w:rPr>
          <w:rFonts w:asciiTheme="minorHAnsi" w:hAnsiTheme="minorHAnsi" w:cstheme="minorHAnsi"/>
          <w:sz w:val="24"/>
          <w:szCs w:val="24"/>
          <w:lang w:val="en-GB"/>
        </w:rPr>
        <w:t xml:space="preserve"> Review</w:t>
      </w:r>
    </w:p>
    <w:p w14:paraId="308E5A42" w14:textId="77777777" w:rsidR="00EA4EE4" w:rsidRPr="00073542" w:rsidRDefault="00EA4EE4" w:rsidP="00073542">
      <w:pPr>
        <w:numPr>
          <w:ilvl w:val="0"/>
          <w:numId w:val="18"/>
        </w:numPr>
        <w:spacing w:after="120"/>
        <w:ind w:left="357" w:hanging="357"/>
        <w:contextualSpacing/>
        <w:rPr>
          <w:rFonts w:asciiTheme="minorHAnsi" w:hAnsiTheme="minorHAnsi" w:cstheme="minorHAnsi"/>
          <w:sz w:val="24"/>
          <w:szCs w:val="24"/>
          <w:lang w:val="en-GB"/>
        </w:rPr>
      </w:pPr>
      <w:r w:rsidRPr="00DF5CBE">
        <w:rPr>
          <w:rFonts w:asciiTheme="minorHAnsi" w:hAnsiTheme="minorHAnsi" w:cstheme="minorHAnsi"/>
          <w:sz w:val="24"/>
          <w:szCs w:val="24"/>
          <w:lang w:val="en-GB"/>
        </w:rPr>
        <w:t xml:space="preserve">Section </w:t>
      </w:r>
      <w:r w:rsidR="002E4CC4">
        <w:rPr>
          <w:rFonts w:asciiTheme="minorHAnsi" w:hAnsiTheme="minorHAnsi" w:cstheme="minorHAnsi"/>
          <w:sz w:val="24"/>
          <w:szCs w:val="24"/>
          <w:lang w:val="en-GB"/>
        </w:rPr>
        <w:fldChar w:fldCharType="begin"/>
      </w:r>
      <w:r w:rsidR="002E4CC4">
        <w:rPr>
          <w:rFonts w:asciiTheme="minorHAnsi" w:hAnsiTheme="minorHAnsi" w:cstheme="minorHAnsi"/>
          <w:sz w:val="24"/>
          <w:szCs w:val="24"/>
          <w:lang w:val="en-GB"/>
        </w:rPr>
        <w:instrText xml:space="preserve"> REF _Ref531772575 \r \h </w:instrText>
      </w:r>
      <w:r w:rsidR="002E4CC4">
        <w:rPr>
          <w:rFonts w:asciiTheme="minorHAnsi" w:hAnsiTheme="minorHAnsi" w:cstheme="minorHAnsi"/>
          <w:sz w:val="24"/>
          <w:szCs w:val="24"/>
          <w:lang w:val="en-GB"/>
        </w:rPr>
      </w:r>
      <w:r w:rsidR="002E4CC4">
        <w:rPr>
          <w:rFonts w:asciiTheme="minorHAnsi" w:hAnsiTheme="minorHAnsi" w:cstheme="minorHAnsi"/>
          <w:sz w:val="24"/>
          <w:szCs w:val="24"/>
          <w:lang w:val="en-GB"/>
        </w:rPr>
        <w:fldChar w:fldCharType="separate"/>
      </w:r>
      <w:r w:rsidR="00A04048">
        <w:rPr>
          <w:rFonts w:asciiTheme="minorHAnsi" w:hAnsiTheme="minorHAnsi" w:cstheme="minorHAnsi"/>
          <w:sz w:val="24"/>
          <w:szCs w:val="24"/>
          <w:lang w:val="en-GB"/>
        </w:rPr>
        <w:t>4</w:t>
      </w:r>
      <w:r w:rsidR="002E4CC4">
        <w:rPr>
          <w:rFonts w:asciiTheme="minorHAnsi" w:hAnsiTheme="minorHAnsi" w:cstheme="minorHAnsi"/>
          <w:sz w:val="24"/>
          <w:szCs w:val="24"/>
          <w:lang w:val="en-GB"/>
        </w:rPr>
        <w:fldChar w:fldCharType="end"/>
      </w:r>
      <w:r w:rsidRPr="00DF5CBE">
        <w:rPr>
          <w:rFonts w:asciiTheme="minorHAnsi" w:hAnsiTheme="minorHAnsi" w:cstheme="minorHAnsi"/>
          <w:sz w:val="24"/>
          <w:szCs w:val="24"/>
          <w:lang w:val="en-GB"/>
        </w:rPr>
        <w:t xml:space="preserve"> – </w:t>
      </w:r>
      <w:r w:rsidR="00073542" w:rsidRPr="00073542">
        <w:rPr>
          <w:rFonts w:asciiTheme="minorHAnsi" w:hAnsiTheme="minorHAnsi" w:cstheme="minorHAnsi"/>
          <w:sz w:val="24"/>
          <w:szCs w:val="24"/>
          <w:lang w:val="en-GB"/>
        </w:rPr>
        <w:t>describes the current context of organ donation, retrieval and transplantation in Australia</w:t>
      </w:r>
    </w:p>
    <w:p w14:paraId="60295FA1" w14:textId="77777777" w:rsidR="00EA4EE4" w:rsidRPr="0086702B" w:rsidRDefault="00EA4EE4" w:rsidP="00481A6A">
      <w:pPr>
        <w:numPr>
          <w:ilvl w:val="0"/>
          <w:numId w:val="18"/>
        </w:numPr>
        <w:spacing w:after="120"/>
        <w:ind w:left="357" w:hanging="357"/>
        <w:contextualSpacing/>
        <w:rPr>
          <w:rFonts w:asciiTheme="minorHAnsi" w:hAnsiTheme="minorHAnsi" w:cstheme="minorHAnsi"/>
          <w:sz w:val="24"/>
          <w:szCs w:val="24"/>
          <w:lang w:val="en-GB"/>
        </w:rPr>
      </w:pPr>
      <w:r w:rsidRPr="0086702B">
        <w:rPr>
          <w:rFonts w:asciiTheme="minorHAnsi" w:hAnsiTheme="minorHAnsi" w:cstheme="minorHAnsi"/>
          <w:sz w:val="24"/>
          <w:szCs w:val="24"/>
          <w:lang w:val="en-GB"/>
        </w:rPr>
        <w:t xml:space="preserve">Section </w:t>
      </w:r>
      <w:r w:rsidR="002E4CC4">
        <w:rPr>
          <w:rFonts w:asciiTheme="minorHAnsi" w:hAnsiTheme="minorHAnsi" w:cstheme="minorHAnsi"/>
          <w:sz w:val="24"/>
          <w:szCs w:val="24"/>
          <w:lang w:val="en-GB"/>
        </w:rPr>
        <w:fldChar w:fldCharType="begin"/>
      </w:r>
      <w:r w:rsidR="002E4CC4">
        <w:rPr>
          <w:rFonts w:asciiTheme="minorHAnsi" w:hAnsiTheme="minorHAnsi" w:cstheme="minorHAnsi"/>
          <w:sz w:val="24"/>
          <w:szCs w:val="24"/>
          <w:lang w:val="en-GB"/>
        </w:rPr>
        <w:instrText xml:space="preserve"> REF _Ref531772589 \r \h </w:instrText>
      </w:r>
      <w:r w:rsidR="002E4CC4">
        <w:rPr>
          <w:rFonts w:asciiTheme="minorHAnsi" w:hAnsiTheme="minorHAnsi" w:cstheme="minorHAnsi"/>
          <w:sz w:val="24"/>
          <w:szCs w:val="24"/>
          <w:lang w:val="en-GB"/>
        </w:rPr>
      </w:r>
      <w:r w:rsidR="002E4CC4">
        <w:rPr>
          <w:rFonts w:asciiTheme="minorHAnsi" w:hAnsiTheme="minorHAnsi" w:cstheme="minorHAnsi"/>
          <w:sz w:val="24"/>
          <w:szCs w:val="24"/>
          <w:lang w:val="en-GB"/>
        </w:rPr>
        <w:fldChar w:fldCharType="separate"/>
      </w:r>
      <w:r w:rsidR="00A04048">
        <w:rPr>
          <w:rFonts w:asciiTheme="minorHAnsi" w:hAnsiTheme="minorHAnsi" w:cstheme="minorHAnsi"/>
          <w:sz w:val="24"/>
          <w:szCs w:val="24"/>
          <w:lang w:val="en-GB"/>
        </w:rPr>
        <w:t>5</w:t>
      </w:r>
      <w:r w:rsidR="002E4CC4">
        <w:rPr>
          <w:rFonts w:asciiTheme="minorHAnsi" w:hAnsiTheme="minorHAnsi" w:cstheme="minorHAnsi"/>
          <w:sz w:val="24"/>
          <w:szCs w:val="24"/>
          <w:lang w:val="en-GB"/>
        </w:rPr>
        <w:fldChar w:fldCharType="end"/>
      </w:r>
      <w:r w:rsidRPr="0086702B">
        <w:rPr>
          <w:rFonts w:asciiTheme="minorHAnsi" w:hAnsiTheme="minorHAnsi" w:cstheme="minorHAnsi"/>
          <w:sz w:val="24"/>
          <w:szCs w:val="24"/>
          <w:lang w:val="en-GB"/>
        </w:rPr>
        <w:t xml:space="preserve"> – describes the findings from the Review</w:t>
      </w:r>
      <w:r w:rsidR="003A517E" w:rsidRPr="0086702B">
        <w:rPr>
          <w:rFonts w:asciiTheme="minorHAnsi" w:hAnsiTheme="minorHAnsi" w:cstheme="minorHAnsi"/>
          <w:sz w:val="24"/>
          <w:szCs w:val="24"/>
          <w:lang w:val="en-GB"/>
        </w:rPr>
        <w:t xml:space="preserve"> relating to the overarching element of the system</w:t>
      </w:r>
      <w:r w:rsidR="001E4F80" w:rsidRPr="0086702B">
        <w:rPr>
          <w:rFonts w:asciiTheme="minorHAnsi" w:hAnsiTheme="minorHAnsi" w:cstheme="minorHAnsi"/>
          <w:sz w:val="24"/>
          <w:szCs w:val="24"/>
          <w:lang w:val="en-GB"/>
        </w:rPr>
        <w:t>,</w:t>
      </w:r>
      <w:r w:rsidRPr="0086702B">
        <w:rPr>
          <w:rFonts w:asciiTheme="minorHAnsi" w:hAnsiTheme="minorHAnsi" w:cstheme="minorHAnsi"/>
          <w:sz w:val="24"/>
          <w:szCs w:val="24"/>
          <w:lang w:val="en-GB"/>
        </w:rPr>
        <w:t xml:space="preserve"> including issues and recommendations</w:t>
      </w:r>
    </w:p>
    <w:p w14:paraId="2E469289" w14:textId="77777777" w:rsidR="00EA4EE4" w:rsidRPr="0086702B" w:rsidRDefault="00EA4EE4" w:rsidP="00481A6A">
      <w:pPr>
        <w:numPr>
          <w:ilvl w:val="0"/>
          <w:numId w:val="18"/>
        </w:numPr>
        <w:spacing w:after="120"/>
        <w:ind w:left="357" w:hanging="357"/>
        <w:contextualSpacing/>
        <w:rPr>
          <w:rFonts w:asciiTheme="minorHAnsi" w:hAnsiTheme="minorHAnsi" w:cstheme="minorHAnsi"/>
          <w:sz w:val="24"/>
          <w:szCs w:val="24"/>
          <w:lang w:val="en-GB"/>
        </w:rPr>
      </w:pPr>
      <w:r w:rsidRPr="0086702B">
        <w:rPr>
          <w:rFonts w:asciiTheme="minorHAnsi" w:hAnsiTheme="minorHAnsi" w:cstheme="minorHAnsi"/>
          <w:sz w:val="24"/>
          <w:szCs w:val="24"/>
          <w:lang w:val="en-GB"/>
        </w:rPr>
        <w:t xml:space="preserve">Section </w:t>
      </w:r>
      <w:r w:rsidR="002E4CC4">
        <w:rPr>
          <w:rFonts w:asciiTheme="minorHAnsi" w:hAnsiTheme="minorHAnsi" w:cstheme="minorHAnsi"/>
          <w:sz w:val="24"/>
          <w:szCs w:val="24"/>
          <w:lang w:val="en-GB"/>
        </w:rPr>
        <w:fldChar w:fldCharType="begin"/>
      </w:r>
      <w:r w:rsidR="002E4CC4">
        <w:rPr>
          <w:rFonts w:asciiTheme="minorHAnsi" w:hAnsiTheme="minorHAnsi" w:cstheme="minorHAnsi"/>
          <w:sz w:val="24"/>
          <w:szCs w:val="24"/>
          <w:lang w:val="en-GB"/>
        </w:rPr>
        <w:instrText xml:space="preserve"> REF _Ref531772595 \r \h </w:instrText>
      </w:r>
      <w:r w:rsidR="002E4CC4">
        <w:rPr>
          <w:rFonts w:asciiTheme="minorHAnsi" w:hAnsiTheme="minorHAnsi" w:cstheme="minorHAnsi"/>
          <w:sz w:val="24"/>
          <w:szCs w:val="24"/>
          <w:lang w:val="en-GB"/>
        </w:rPr>
      </w:r>
      <w:r w:rsidR="002E4CC4">
        <w:rPr>
          <w:rFonts w:asciiTheme="minorHAnsi" w:hAnsiTheme="minorHAnsi" w:cstheme="minorHAnsi"/>
          <w:sz w:val="24"/>
          <w:szCs w:val="24"/>
          <w:lang w:val="en-GB"/>
        </w:rPr>
        <w:fldChar w:fldCharType="separate"/>
      </w:r>
      <w:r w:rsidR="00A04048">
        <w:rPr>
          <w:rFonts w:asciiTheme="minorHAnsi" w:hAnsiTheme="minorHAnsi" w:cstheme="minorHAnsi"/>
          <w:sz w:val="24"/>
          <w:szCs w:val="24"/>
          <w:lang w:val="en-GB"/>
        </w:rPr>
        <w:t>6</w:t>
      </w:r>
      <w:r w:rsidR="002E4CC4">
        <w:rPr>
          <w:rFonts w:asciiTheme="minorHAnsi" w:hAnsiTheme="minorHAnsi" w:cstheme="minorHAnsi"/>
          <w:sz w:val="24"/>
          <w:szCs w:val="24"/>
          <w:lang w:val="en-GB"/>
        </w:rPr>
        <w:fldChar w:fldCharType="end"/>
      </w:r>
      <w:r w:rsidRPr="0086702B">
        <w:rPr>
          <w:rFonts w:asciiTheme="minorHAnsi" w:hAnsiTheme="minorHAnsi" w:cstheme="minorHAnsi"/>
          <w:sz w:val="24"/>
          <w:szCs w:val="24"/>
          <w:lang w:val="en-GB"/>
        </w:rPr>
        <w:t xml:space="preserve"> – </w:t>
      </w:r>
      <w:r w:rsidR="003A517E" w:rsidRPr="0086702B">
        <w:rPr>
          <w:rFonts w:asciiTheme="minorHAnsi" w:hAnsiTheme="minorHAnsi" w:cstheme="minorHAnsi"/>
          <w:sz w:val="24"/>
          <w:szCs w:val="24"/>
          <w:lang w:val="en-GB"/>
        </w:rPr>
        <w:t>describes the findings from the Review relating to the functional elements of the system, including issues and recommendations</w:t>
      </w:r>
    </w:p>
    <w:p w14:paraId="64704C96" w14:textId="77777777" w:rsidR="003A517E" w:rsidRPr="0086702B" w:rsidRDefault="00EA4EE4" w:rsidP="003A517E">
      <w:pPr>
        <w:numPr>
          <w:ilvl w:val="0"/>
          <w:numId w:val="18"/>
        </w:numPr>
        <w:spacing w:after="120"/>
        <w:ind w:left="357" w:hanging="357"/>
        <w:contextualSpacing/>
        <w:rPr>
          <w:rFonts w:asciiTheme="minorHAnsi" w:hAnsiTheme="minorHAnsi" w:cstheme="minorHAnsi"/>
          <w:sz w:val="24"/>
          <w:szCs w:val="24"/>
          <w:lang w:val="en-GB"/>
        </w:rPr>
      </w:pPr>
      <w:r w:rsidRPr="0086702B">
        <w:rPr>
          <w:rFonts w:asciiTheme="minorHAnsi" w:hAnsiTheme="minorHAnsi" w:cstheme="minorHAnsi"/>
          <w:sz w:val="24"/>
          <w:szCs w:val="24"/>
          <w:lang w:val="en-GB"/>
        </w:rPr>
        <w:t xml:space="preserve">Section </w:t>
      </w:r>
      <w:r w:rsidR="002E4CC4">
        <w:rPr>
          <w:rFonts w:asciiTheme="minorHAnsi" w:hAnsiTheme="minorHAnsi" w:cstheme="minorHAnsi"/>
          <w:sz w:val="24"/>
          <w:szCs w:val="24"/>
          <w:lang w:val="en-GB"/>
        </w:rPr>
        <w:fldChar w:fldCharType="begin"/>
      </w:r>
      <w:r w:rsidR="002E4CC4">
        <w:rPr>
          <w:rFonts w:asciiTheme="minorHAnsi" w:hAnsiTheme="minorHAnsi" w:cstheme="minorHAnsi"/>
          <w:sz w:val="24"/>
          <w:szCs w:val="24"/>
          <w:lang w:val="en-GB"/>
        </w:rPr>
        <w:instrText xml:space="preserve"> REF _Ref531772609 \r \h </w:instrText>
      </w:r>
      <w:r w:rsidR="002E4CC4">
        <w:rPr>
          <w:rFonts w:asciiTheme="minorHAnsi" w:hAnsiTheme="minorHAnsi" w:cstheme="minorHAnsi"/>
          <w:sz w:val="24"/>
          <w:szCs w:val="24"/>
          <w:lang w:val="en-GB"/>
        </w:rPr>
      </w:r>
      <w:r w:rsidR="002E4CC4">
        <w:rPr>
          <w:rFonts w:asciiTheme="minorHAnsi" w:hAnsiTheme="minorHAnsi" w:cstheme="minorHAnsi"/>
          <w:sz w:val="24"/>
          <w:szCs w:val="24"/>
          <w:lang w:val="en-GB"/>
        </w:rPr>
        <w:fldChar w:fldCharType="separate"/>
      </w:r>
      <w:r w:rsidR="00A04048">
        <w:rPr>
          <w:rFonts w:asciiTheme="minorHAnsi" w:hAnsiTheme="minorHAnsi" w:cstheme="minorHAnsi"/>
          <w:sz w:val="24"/>
          <w:szCs w:val="24"/>
          <w:lang w:val="en-GB"/>
        </w:rPr>
        <w:t>7</w:t>
      </w:r>
      <w:r w:rsidR="002E4CC4">
        <w:rPr>
          <w:rFonts w:asciiTheme="minorHAnsi" w:hAnsiTheme="minorHAnsi" w:cstheme="minorHAnsi"/>
          <w:sz w:val="24"/>
          <w:szCs w:val="24"/>
          <w:lang w:val="en-GB"/>
        </w:rPr>
        <w:fldChar w:fldCharType="end"/>
      </w:r>
      <w:r w:rsidRPr="0086702B">
        <w:rPr>
          <w:rFonts w:asciiTheme="minorHAnsi" w:hAnsiTheme="minorHAnsi" w:cstheme="minorHAnsi"/>
          <w:sz w:val="24"/>
          <w:szCs w:val="24"/>
          <w:lang w:val="en-GB"/>
        </w:rPr>
        <w:t xml:space="preserve"> – </w:t>
      </w:r>
      <w:r w:rsidR="003A517E" w:rsidRPr="0086702B">
        <w:rPr>
          <w:rFonts w:asciiTheme="minorHAnsi" w:hAnsiTheme="minorHAnsi" w:cstheme="minorHAnsi"/>
          <w:sz w:val="24"/>
          <w:szCs w:val="24"/>
          <w:lang w:val="en-GB"/>
        </w:rPr>
        <w:t>describes the findings from the Review relating to the supporting elements of the system, including issues and recommendations</w:t>
      </w:r>
    </w:p>
    <w:p w14:paraId="433706E2" w14:textId="77777777" w:rsidR="00710514" w:rsidRPr="0086702B" w:rsidRDefault="003A517E" w:rsidP="00F526D8">
      <w:pPr>
        <w:numPr>
          <w:ilvl w:val="0"/>
          <w:numId w:val="18"/>
        </w:numPr>
        <w:spacing w:after="120"/>
        <w:ind w:left="357" w:hanging="357"/>
        <w:rPr>
          <w:rFonts w:asciiTheme="minorHAnsi" w:hAnsiTheme="minorHAnsi" w:cstheme="minorHAnsi"/>
          <w:sz w:val="24"/>
          <w:szCs w:val="24"/>
          <w:lang w:val="en-GB"/>
        </w:rPr>
      </w:pPr>
      <w:r w:rsidRPr="0086702B">
        <w:rPr>
          <w:rFonts w:asciiTheme="minorHAnsi" w:hAnsiTheme="minorHAnsi" w:cstheme="minorHAnsi"/>
          <w:sz w:val="24"/>
          <w:szCs w:val="24"/>
          <w:lang w:val="en-GB"/>
        </w:rPr>
        <w:t xml:space="preserve">Section </w:t>
      </w:r>
      <w:r w:rsidR="002E4CC4">
        <w:rPr>
          <w:rFonts w:asciiTheme="minorHAnsi" w:hAnsiTheme="minorHAnsi" w:cstheme="minorHAnsi"/>
          <w:sz w:val="24"/>
          <w:szCs w:val="24"/>
          <w:lang w:val="en-GB"/>
        </w:rPr>
        <w:fldChar w:fldCharType="begin"/>
      </w:r>
      <w:r w:rsidR="002E4CC4">
        <w:rPr>
          <w:rFonts w:asciiTheme="minorHAnsi" w:hAnsiTheme="minorHAnsi" w:cstheme="minorHAnsi"/>
          <w:sz w:val="24"/>
          <w:szCs w:val="24"/>
          <w:lang w:val="en-GB"/>
        </w:rPr>
        <w:instrText xml:space="preserve"> REF _Ref531772618 \r \h </w:instrText>
      </w:r>
      <w:r w:rsidR="002E4CC4">
        <w:rPr>
          <w:rFonts w:asciiTheme="minorHAnsi" w:hAnsiTheme="minorHAnsi" w:cstheme="minorHAnsi"/>
          <w:sz w:val="24"/>
          <w:szCs w:val="24"/>
          <w:lang w:val="en-GB"/>
        </w:rPr>
      </w:r>
      <w:r w:rsidR="002E4CC4">
        <w:rPr>
          <w:rFonts w:asciiTheme="minorHAnsi" w:hAnsiTheme="minorHAnsi" w:cstheme="minorHAnsi"/>
          <w:sz w:val="24"/>
          <w:szCs w:val="24"/>
          <w:lang w:val="en-GB"/>
        </w:rPr>
        <w:fldChar w:fldCharType="separate"/>
      </w:r>
      <w:r w:rsidR="00A04048">
        <w:rPr>
          <w:rFonts w:asciiTheme="minorHAnsi" w:hAnsiTheme="minorHAnsi" w:cstheme="minorHAnsi"/>
          <w:sz w:val="24"/>
          <w:szCs w:val="24"/>
          <w:lang w:val="en-GB"/>
        </w:rPr>
        <w:t>8</w:t>
      </w:r>
      <w:r w:rsidR="002E4CC4">
        <w:rPr>
          <w:rFonts w:asciiTheme="minorHAnsi" w:hAnsiTheme="minorHAnsi" w:cstheme="minorHAnsi"/>
          <w:sz w:val="24"/>
          <w:szCs w:val="24"/>
          <w:lang w:val="en-GB"/>
        </w:rPr>
        <w:fldChar w:fldCharType="end"/>
      </w:r>
      <w:r w:rsidRPr="0086702B">
        <w:rPr>
          <w:rFonts w:asciiTheme="minorHAnsi" w:hAnsiTheme="minorHAnsi" w:cstheme="minorHAnsi"/>
          <w:sz w:val="24"/>
          <w:szCs w:val="24"/>
          <w:lang w:val="en-GB"/>
        </w:rPr>
        <w:t xml:space="preserve"> - </w:t>
      </w:r>
      <w:r w:rsidR="00EA4EE4" w:rsidRPr="0086702B">
        <w:rPr>
          <w:rFonts w:asciiTheme="minorHAnsi" w:hAnsiTheme="minorHAnsi" w:cstheme="minorHAnsi"/>
          <w:sz w:val="24"/>
          <w:szCs w:val="24"/>
          <w:lang w:val="en-GB"/>
        </w:rPr>
        <w:t>describes the conclusion to the Review.</w:t>
      </w:r>
    </w:p>
    <w:p w14:paraId="310FF7A0" w14:textId="31F71FFC" w:rsidR="00373347" w:rsidRPr="003D0DA2" w:rsidRDefault="00373347" w:rsidP="00F526D8">
      <w:pPr>
        <w:spacing w:before="120" w:after="120"/>
        <w:rPr>
          <w:lang w:val="en-GB"/>
        </w:rPr>
      </w:pPr>
      <w:r>
        <w:rPr>
          <w:rFonts w:asciiTheme="minorHAnsi" w:hAnsiTheme="minorHAnsi" w:cstheme="minorHAnsi"/>
          <w:sz w:val="24"/>
          <w:szCs w:val="24"/>
          <w:lang w:val="en-GB"/>
        </w:rPr>
        <w:t xml:space="preserve">Although pancreas and intestine donation </w:t>
      </w:r>
      <w:r w:rsidRPr="00545923">
        <w:rPr>
          <w:rFonts w:asciiTheme="minorHAnsi" w:hAnsiTheme="minorHAnsi" w:cstheme="minorHAnsi"/>
          <w:sz w:val="24"/>
          <w:szCs w:val="24"/>
          <w:lang w:val="en-GB"/>
        </w:rPr>
        <w:t xml:space="preserve">and transplantation </w:t>
      </w:r>
      <w:r w:rsidR="00142622" w:rsidRPr="00545923">
        <w:rPr>
          <w:rFonts w:asciiTheme="minorHAnsi" w:hAnsiTheme="minorHAnsi" w:cstheme="minorHAnsi"/>
          <w:sz w:val="24"/>
          <w:szCs w:val="24"/>
          <w:lang w:val="en-GB"/>
        </w:rPr>
        <w:t>procedures are</w:t>
      </w:r>
      <w:r w:rsidRPr="00545923">
        <w:rPr>
          <w:rFonts w:asciiTheme="minorHAnsi" w:hAnsiTheme="minorHAnsi" w:cstheme="minorHAnsi"/>
          <w:sz w:val="24"/>
          <w:szCs w:val="24"/>
          <w:lang w:val="en-GB"/>
        </w:rPr>
        <w:t xml:space="preserve"> performed in Australia, </w:t>
      </w:r>
      <w:r w:rsidR="00142622" w:rsidRPr="00545923">
        <w:rPr>
          <w:rFonts w:asciiTheme="minorHAnsi" w:hAnsiTheme="minorHAnsi" w:cstheme="minorHAnsi"/>
          <w:sz w:val="24"/>
          <w:szCs w:val="24"/>
          <w:lang w:val="en-GB"/>
        </w:rPr>
        <w:t>they are</w:t>
      </w:r>
      <w:r w:rsidRPr="00545923">
        <w:rPr>
          <w:rFonts w:asciiTheme="minorHAnsi" w:hAnsiTheme="minorHAnsi" w:cstheme="minorHAnsi"/>
          <w:sz w:val="24"/>
          <w:szCs w:val="24"/>
          <w:lang w:val="en-GB"/>
        </w:rPr>
        <w:t xml:space="preserve"> performed in small numbers.</w:t>
      </w:r>
      <w:r>
        <w:rPr>
          <w:rFonts w:asciiTheme="minorHAnsi" w:hAnsiTheme="minorHAnsi" w:cstheme="minorHAnsi"/>
          <w:sz w:val="24"/>
          <w:szCs w:val="24"/>
          <w:lang w:val="en-GB"/>
        </w:rPr>
        <w:t xml:space="preserve"> </w:t>
      </w:r>
      <w:r w:rsidR="00142622">
        <w:rPr>
          <w:rFonts w:asciiTheme="minorHAnsi" w:hAnsiTheme="minorHAnsi" w:cstheme="minorHAnsi"/>
          <w:sz w:val="24"/>
          <w:szCs w:val="24"/>
          <w:lang w:val="en-GB"/>
        </w:rPr>
        <w:t>T</w:t>
      </w:r>
      <w:r>
        <w:rPr>
          <w:rFonts w:asciiTheme="minorHAnsi" w:hAnsiTheme="minorHAnsi" w:cstheme="minorHAnsi"/>
          <w:sz w:val="24"/>
          <w:szCs w:val="24"/>
          <w:lang w:val="en-GB"/>
        </w:rPr>
        <w:t xml:space="preserve">his </w:t>
      </w:r>
      <w:r w:rsidR="004B5907">
        <w:rPr>
          <w:rFonts w:asciiTheme="minorHAnsi" w:hAnsiTheme="minorHAnsi" w:cstheme="minorHAnsi"/>
          <w:sz w:val="24"/>
          <w:szCs w:val="24"/>
          <w:lang w:val="en-GB"/>
        </w:rPr>
        <w:t>r</w:t>
      </w:r>
      <w:r>
        <w:rPr>
          <w:rFonts w:asciiTheme="minorHAnsi" w:hAnsiTheme="minorHAnsi" w:cstheme="minorHAnsi"/>
          <w:sz w:val="24"/>
          <w:szCs w:val="24"/>
          <w:lang w:val="en-GB"/>
        </w:rPr>
        <w:t xml:space="preserve">eport provides some insight into pancreas and intestine transplantation in Australia, </w:t>
      </w:r>
      <w:r w:rsidR="00142622">
        <w:rPr>
          <w:rFonts w:asciiTheme="minorHAnsi" w:hAnsiTheme="minorHAnsi" w:cstheme="minorHAnsi"/>
          <w:sz w:val="24"/>
          <w:szCs w:val="24"/>
          <w:lang w:val="en-GB"/>
        </w:rPr>
        <w:t xml:space="preserve">however </w:t>
      </w:r>
      <w:r>
        <w:rPr>
          <w:rFonts w:asciiTheme="minorHAnsi" w:hAnsiTheme="minorHAnsi" w:cstheme="minorHAnsi"/>
          <w:sz w:val="24"/>
          <w:szCs w:val="24"/>
          <w:lang w:val="en-GB"/>
        </w:rPr>
        <w:t xml:space="preserve">the </w:t>
      </w:r>
      <w:r w:rsidR="004B5907">
        <w:rPr>
          <w:rFonts w:asciiTheme="minorHAnsi" w:hAnsiTheme="minorHAnsi" w:cstheme="minorHAnsi"/>
          <w:sz w:val="24"/>
          <w:szCs w:val="24"/>
          <w:lang w:val="en-GB"/>
        </w:rPr>
        <w:t>Review</w:t>
      </w:r>
      <w:r>
        <w:rPr>
          <w:rFonts w:asciiTheme="minorHAnsi" w:hAnsiTheme="minorHAnsi" w:cstheme="minorHAnsi"/>
          <w:sz w:val="24"/>
          <w:szCs w:val="24"/>
          <w:lang w:val="en-GB"/>
        </w:rPr>
        <w:t xml:space="preserve"> mostly focuse</w:t>
      </w:r>
      <w:r w:rsidR="004B5907">
        <w:rPr>
          <w:rFonts w:asciiTheme="minorHAnsi" w:hAnsiTheme="minorHAnsi" w:cstheme="minorHAnsi"/>
          <w:sz w:val="24"/>
          <w:szCs w:val="24"/>
          <w:lang w:val="en-GB"/>
        </w:rPr>
        <w:t>d</w:t>
      </w:r>
      <w:r>
        <w:rPr>
          <w:rFonts w:asciiTheme="minorHAnsi" w:hAnsiTheme="minorHAnsi" w:cstheme="minorHAnsi"/>
          <w:sz w:val="24"/>
          <w:szCs w:val="24"/>
          <w:lang w:val="en-GB"/>
        </w:rPr>
        <w:t xml:space="preserve"> on kidney, liver, heart and lung donation, retrieval and transplantation.</w:t>
      </w:r>
    </w:p>
    <w:p w14:paraId="4C9B81B4" w14:textId="77777777" w:rsidR="00B46DA0" w:rsidRDefault="00B46DA0" w:rsidP="00B46DA0">
      <w:pPr>
        <w:pStyle w:val="Heading1"/>
        <w:ind w:left="992" w:hanging="992"/>
        <w:rPr>
          <w:rFonts w:asciiTheme="minorHAnsi" w:hAnsiTheme="minorHAnsi" w:cstheme="minorHAnsi"/>
          <w:sz w:val="48"/>
        </w:rPr>
      </w:pPr>
      <w:bookmarkStart w:id="98" w:name="_Ref531772548"/>
      <w:bookmarkStart w:id="99" w:name="_Ref531772564"/>
      <w:bookmarkStart w:id="100" w:name="_Toc532301676"/>
      <w:r>
        <w:rPr>
          <w:rFonts w:asciiTheme="minorHAnsi" w:hAnsiTheme="minorHAnsi" w:cstheme="minorHAnsi"/>
          <w:sz w:val="48"/>
        </w:rPr>
        <w:lastRenderedPageBreak/>
        <w:t xml:space="preserve">The 2015 </w:t>
      </w:r>
      <w:r w:rsidRPr="003C0038">
        <w:rPr>
          <w:rFonts w:asciiTheme="minorHAnsi" w:hAnsiTheme="minorHAnsi" w:cstheme="minorHAnsi"/>
          <w:sz w:val="48"/>
        </w:rPr>
        <w:t>review of the implementation of the national reform agenda on organ and tissue donation</w:t>
      </w:r>
      <w:bookmarkEnd w:id="98"/>
      <w:bookmarkEnd w:id="99"/>
      <w:bookmarkEnd w:id="100"/>
    </w:p>
    <w:p w14:paraId="04CBA24C" w14:textId="77777777" w:rsidR="00B46DA0" w:rsidRPr="009F2726" w:rsidRDefault="00B46DA0" w:rsidP="00B46DA0">
      <w:pPr>
        <w:pStyle w:val="Heading2"/>
        <w:tabs>
          <w:tab w:val="clear" w:pos="1559"/>
          <w:tab w:val="num" w:pos="993"/>
        </w:tabs>
        <w:spacing w:before="240"/>
        <w:ind w:left="992" w:hanging="992"/>
      </w:pPr>
      <w:bookmarkStart w:id="101" w:name="_Toc532301677"/>
      <w:r>
        <w:rPr>
          <w:rFonts w:asciiTheme="minorHAnsi" w:hAnsiTheme="minorHAnsi" w:cstheme="minorHAnsi"/>
          <w:iCs/>
          <w:color w:val="7F7F7F" w:themeColor="text1" w:themeTint="80"/>
          <w:sz w:val="36"/>
          <w:szCs w:val="30"/>
        </w:rPr>
        <w:t>Background and purpose</w:t>
      </w:r>
      <w:r w:rsidRPr="00266A77">
        <w:rPr>
          <w:rFonts w:asciiTheme="minorHAnsi" w:hAnsiTheme="minorHAnsi" w:cstheme="minorHAnsi"/>
          <w:iCs/>
          <w:color w:val="7F7F7F" w:themeColor="text1" w:themeTint="80"/>
          <w:sz w:val="36"/>
          <w:szCs w:val="30"/>
        </w:rPr>
        <w:t xml:space="preserve"> of the 2015 </w:t>
      </w:r>
      <w:r>
        <w:rPr>
          <w:rFonts w:asciiTheme="minorHAnsi" w:hAnsiTheme="minorHAnsi" w:cstheme="minorHAnsi"/>
          <w:iCs/>
          <w:color w:val="7F7F7F" w:themeColor="text1" w:themeTint="80"/>
          <w:sz w:val="36"/>
          <w:szCs w:val="30"/>
        </w:rPr>
        <w:t>R</w:t>
      </w:r>
      <w:r w:rsidRPr="00266A77">
        <w:rPr>
          <w:rFonts w:asciiTheme="minorHAnsi" w:hAnsiTheme="minorHAnsi" w:cstheme="minorHAnsi"/>
          <w:iCs/>
          <w:color w:val="7F7F7F" w:themeColor="text1" w:themeTint="80"/>
          <w:sz w:val="36"/>
          <w:szCs w:val="30"/>
        </w:rPr>
        <w:t>eview</w:t>
      </w:r>
      <w:bookmarkEnd w:id="101"/>
      <w:r w:rsidRPr="00266A77">
        <w:rPr>
          <w:rFonts w:asciiTheme="minorHAnsi" w:hAnsiTheme="minorHAnsi" w:cstheme="minorHAnsi"/>
          <w:iCs/>
          <w:color w:val="7F7F7F" w:themeColor="text1" w:themeTint="80"/>
          <w:sz w:val="36"/>
          <w:szCs w:val="30"/>
        </w:rPr>
        <w:t xml:space="preserve"> </w:t>
      </w:r>
    </w:p>
    <w:p w14:paraId="131DF12A" w14:textId="77777777" w:rsidR="00B46DA0" w:rsidRPr="00F37D51" w:rsidRDefault="00B46DA0" w:rsidP="00B46DA0">
      <w:pPr>
        <w:spacing w:after="120"/>
        <w:rPr>
          <w:rFonts w:asciiTheme="minorHAnsi" w:hAnsiTheme="minorHAnsi" w:cstheme="minorHAnsi"/>
          <w:color w:val="000000" w:themeColor="text1"/>
          <w:sz w:val="24"/>
          <w:szCs w:val="26"/>
        </w:rPr>
      </w:pPr>
      <w:r w:rsidRPr="00F37D51">
        <w:rPr>
          <w:rFonts w:asciiTheme="minorHAnsi" w:hAnsiTheme="minorHAnsi" w:cstheme="minorHAnsi"/>
          <w:color w:val="000000" w:themeColor="text1"/>
          <w:sz w:val="24"/>
          <w:szCs w:val="26"/>
        </w:rPr>
        <w:t>While progress had been made</w:t>
      </w:r>
      <w:r>
        <w:rPr>
          <w:rFonts w:asciiTheme="minorHAnsi" w:hAnsiTheme="minorHAnsi" w:cstheme="minorHAnsi"/>
          <w:color w:val="000000" w:themeColor="text1"/>
          <w:sz w:val="24"/>
          <w:szCs w:val="26"/>
        </w:rPr>
        <w:t xml:space="preserve"> since the start of the </w:t>
      </w:r>
      <w:r w:rsidRPr="00F37D51">
        <w:rPr>
          <w:rFonts w:asciiTheme="minorHAnsi" w:hAnsiTheme="minorHAnsi" w:cstheme="minorHAnsi"/>
          <w:color w:val="000000" w:themeColor="text1"/>
          <w:sz w:val="24"/>
          <w:szCs w:val="26"/>
        </w:rPr>
        <w:t xml:space="preserve">national reform program in 2009, the </w:t>
      </w:r>
      <w:r>
        <w:rPr>
          <w:rFonts w:asciiTheme="minorHAnsi" w:hAnsiTheme="minorHAnsi" w:cstheme="minorHAnsi"/>
          <w:color w:val="000000" w:themeColor="text1"/>
          <w:sz w:val="24"/>
          <w:szCs w:val="26"/>
        </w:rPr>
        <w:t>OTA</w:t>
      </w:r>
      <w:r w:rsidRPr="00F37D51">
        <w:rPr>
          <w:rFonts w:asciiTheme="minorHAnsi" w:hAnsiTheme="minorHAnsi" w:cstheme="minorHAnsi"/>
          <w:color w:val="000000" w:themeColor="text1"/>
          <w:sz w:val="24"/>
          <w:szCs w:val="26"/>
        </w:rPr>
        <w:t xml:space="preserve"> as well as other key stakeholders acknowledged that </w:t>
      </w:r>
      <w:r w:rsidR="00EF3660">
        <w:rPr>
          <w:rFonts w:asciiTheme="minorHAnsi" w:hAnsiTheme="minorHAnsi" w:cstheme="minorHAnsi"/>
          <w:color w:val="000000" w:themeColor="text1"/>
          <w:sz w:val="24"/>
          <w:szCs w:val="26"/>
        </w:rPr>
        <w:t>donation rates needed to increase substantially in order to move from</w:t>
      </w:r>
      <w:r w:rsidRPr="00F37D51">
        <w:rPr>
          <w:rFonts w:asciiTheme="minorHAnsi" w:hAnsiTheme="minorHAnsi" w:cstheme="minorHAnsi"/>
          <w:color w:val="000000" w:themeColor="text1"/>
          <w:sz w:val="24"/>
          <w:szCs w:val="26"/>
        </w:rPr>
        <w:t xml:space="preserve"> 16.9 d</w:t>
      </w:r>
      <w:r>
        <w:rPr>
          <w:rFonts w:asciiTheme="minorHAnsi" w:hAnsiTheme="minorHAnsi" w:cstheme="minorHAnsi"/>
          <w:color w:val="000000" w:themeColor="text1"/>
          <w:sz w:val="24"/>
          <w:szCs w:val="26"/>
        </w:rPr>
        <w:t>pmp</w:t>
      </w:r>
      <w:r w:rsidRPr="00F37D51">
        <w:rPr>
          <w:rFonts w:asciiTheme="minorHAnsi" w:hAnsiTheme="minorHAnsi" w:cstheme="minorHAnsi"/>
          <w:color w:val="000000" w:themeColor="text1"/>
          <w:sz w:val="24"/>
          <w:szCs w:val="26"/>
        </w:rPr>
        <w:t xml:space="preserve"> in 2014 to meet the target of 25 dpmp by </w:t>
      </w:r>
      <w:r>
        <w:rPr>
          <w:rFonts w:asciiTheme="minorHAnsi" w:hAnsiTheme="minorHAnsi" w:cstheme="minorHAnsi"/>
          <w:color w:val="000000" w:themeColor="text1"/>
          <w:sz w:val="24"/>
          <w:szCs w:val="26"/>
        </w:rPr>
        <w:t xml:space="preserve">the end of </w:t>
      </w:r>
      <w:r w:rsidRPr="00F37D51">
        <w:rPr>
          <w:rFonts w:asciiTheme="minorHAnsi" w:hAnsiTheme="minorHAnsi" w:cstheme="minorHAnsi"/>
          <w:color w:val="000000" w:themeColor="text1"/>
          <w:sz w:val="24"/>
          <w:szCs w:val="26"/>
        </w:rPr>
        <w:t>2018. In response, the Assistant Minister for Health at the time,</w:t>
      </w:r>
      <w:r>
        <w:rPr>
          <w:rFonts w:asciiTheme="minorHAnsi" w:hAnsiTheme="minorHAnsi" w:cstheme="minorHAnsi"/>
          <w:color w:val="000000" w:themeColor="text1"/>
          <w:sz w:val="24"/>
          <w:szCs w:val="26"/>
        </w:rPr>
        <w:t xml:space="preserve"> Senator the</w:t>
      </w:r>
      <w:r w:rsidRPr="00F37D51">
        <w:rPr>
          <w:rFonts w:asciiTheme="minorHAnsi" w:hAnsiTheme="minorHAnsi" w:cstheme="minorHAnsi"/>
          <w:color w:val="000000" w:themeColor="text1"/>
          <w:sz w:val="24"/>
          <w:szCs w:val="26"/>
        </w:rPr>
        <w:t xml:space="preserve"> Hon Fiona Nash, announced the </w:t>
      </w:r>
      <w:r>
        <w:rPr>
          <w:rFonts w:asciiTheme="minorHAnsi" w:hAnsiTheme="minorHAnsi" w:cstheme="minorHAnsi"/>
          <w:color w:val="000000" w:themeColor="text1"/>
          <w:sz w:val="24"/>
          <w:szCs w:val="26"/>
        </w:rPr>
        <w:t xml:space="preserve">2015 </w:t>
      </w:r>
      <w:r w:rsidRPr="00F37D51">
        <w:rPr>
          <w:rFonts w:asciiTheme="minorHAnsi" w:hAnsiTheme="minorHAnsi" w:cstheme="minorHAnsi"/>
          <w:color w:val="000000" w:themeColor="text1"/>
          <w:sz w:val="24"/>
          <w:szCs w:val="26"/>
        </w:rPr>
        <w:t xml:space="preserve">Review of the </w:t>
      </w:r>
      <w:r>
        <w:rPr>
          <w:rFonts w:asciiTheme="minorHAnsi" w:hAnsiTheme="minorHAnsi" w:cstheme="minorHAnsi"/>
          <w:color w:val="000000" w:themeColor="text1"/>
          <w:sz w:val="24"/>
          <w:szCs w:val="26"/>
        </w:rPr>
        <w:t xml:space="preserve">implementation of the national reform agenda on organ and tissue donation and transplantation </w:t>
      </w:r>
      <w:r w:rsidRPr="00F37D51">
        <w:rPr>
          <w:rFonts w:asciiTheme="minorHAnsi" w:hAnsiTheme="minorHAnsi" w:cstheme="minorHAnsi"/>
          <w:color w:val="000000" w:themeColor="text1"/>
          <w:sz w:val="24"/>
          <w:szCs w:val="26"/>
        </w:rPr>
        <w:t xml:space="preserve">on 26 May 2015. </w:t>
      </w:r>
    </w:p>
    <w:p w14:paraId="7EB98A88" w14:textId="4E3B41B0" w:rsidR="00B46DA0" w:rsidRPr="00F37D51" w:rsidRDefault="00B46DA0" w:rsidP="00B46DA0">
      <w:pPr>
        <w:spacing w:after="120"/>
        <w:rPr>
          <w:rFonts w:asciiTheme="minorHAnsi" w:hAnsiTheme="minorHAnsi" w:cstheme="minorHAnsi"/>
          <w:color w:val="000000" w:themeColor="text1"/>
          <w:sz w:val="24"/>
          <w:szCs w:val="26"/>
        </w:rPr>
      </w:pPr>
      <w:r w:rsidRPr="00F37D51">
        <w:rPr>
          <w:rFonts w:asciiTheme="minorHAnsi" w:hAnsiTheme="minorHAnsi" w:cstheme="minorHAnsi"/>
          <w:color w:val="000000" w:themeColor="text1"/>
          <w:sz w:val="24"/>
          <w:szCs w:val="26"/>
        </w:rPr>
        <w:t xml:space="preserve">The 2015 Review examined the effectiveness of the implementation of the national reform agenda, with </w:t>
      </w:r>
      <w:r>
        <w:rPr>
          <w:rFonts w:asciiTheme="minorHAnsi" w:hAnsiTheme="minorHAnsi" w:cstheme="minorHAnsi"/>
          <w:color w:val="000000" w:themeColor="text1"/>
          <w:sz w:val="24"/>
          <w:szCs w:val="26"/>
        </w:rPr>
        <w:t xml:space="preserve">particular </w:t>
      </w:r>
      <w:r w:rsidRPr="00F37D51">
        <w:rPr>
          <w:rFonts w:asciiTheme="minorHAnsi" w:hAnsiTheme="minorHAnsi" w:cstheme="minorHAnsi"/>
          <w:color w:val="000000" w:themeColor="text1"/>
          <w:sz w:val="24"/>
          <w:szCs w:val="26"/>
        </w:rPr>
        <w:t xml:space="preserve">reference to the role of the </w:t>
      </w:r>
      <w:r>
        <w:rPr>
          <w:rFonts w:asciiTheme="minorHAnsi" w:hAnsiTheme="minorHAnsi" w:cstheme="minorHAnsi"/>
          <w:color w:val="000000" w:themeColor="text1"/>
          <w:sz w:val="24"/>
          <w:szCs w:val="26"/>
        </w:rPr>
        <w:t>OTA</w:t>
      </w:r>
      <w:r w:rsidRPr="00F37D51">
        <w:rPr>
          <w:rFonts w:asciiTheme="minorHAnsi" w:hAnsiTheme="minorHAnsi" w:cstheme="minorHAnsi"/>
          <w:color w:val="000000" w:themeColor="text1"/>
          <w:sz w:val="24"/>
          <w:szCs w:val="26"/>
        </w:rPr>
        <w:t xml:space="preserve"> and the wider health system’s response </w:t>
      </w:r>
      <w:r w:rsidRPr="00323A35">
        <w:rPr>
          <w:rFonts w:asciiTheme="minorHAnsi" w:hAnsiTheme="minorHAnsi" w:cstheme="minorHAnsi"/>
          <w:color w:val="000000" w:themeColor="text1"/>
          <w:sz w:val="24"/>
          <w:szCs w:val="26"/>
        </w:rPr>
        <w:t xml:space="preserve">(See </w:t>
      </w:r>
      <w:r w:rsidR="00AA57F1">
        <w:rPr>
          <w:rFonts w:asciiTheme="minorHAnsi" w:hAnsiTheme="minorHAnsi" w:cstheme="minorHAnsi"/>
          <w:color w:val="000000" w:themeColor="text1"/>
          <w:sz w:val="24"/>
          <w:szCs w:val="26"/>
        </w:rPr>
        <w:t xml:space="preserve">Appendix E </w:t>
      </w:r>
      <w:r w:rsidRPr="00323A35">
        <w:rPr>
          <w:rFonts w:asciiTheme="minorHAnsi" w:hAnsiTheme="minorHAnsi" w:cstheme="minorHAnsi"/>
          <w:color w:val="000000" w:themeColor="text1"/>
          <w:sz w:val="24"/>
          <w:szCs w:val="26"/>
        </w:rPr>
        <w:t>for Terms of Reference)</w:t>
      </w:r>
      <w:r w:rsidRPr="00AB36E2">
        <w:rPr>
          <w:rFonts w:asciiTheme="minorHAnsi" w:hAnsiTheme="minorHAnsi" w:cstheme="minorHAnsi"/>
          <w:color w:val="000000" w:themeColor="text1"/>
          <w:sz w:val="24"/>
          <w:szCs w:val="26"/>
        </w:rPr>
        <w:t>.</w:t>
      </w:r>
      <w:r>
        <w:rPr>
          <w:rFonts w:asciiTheme="minorHAnsi" w:hAnsiTheme="minorHAnsi" w:cstheme="minorHAnsi"/>
          <w:color w:val="000000" w:themeColor="text1"/>
          <w:sz w:val="24"/>
          <w:szCs w:val="26"/>
        </w:rPr>
        <w:t xml:space="preserve"> The final report, </w:t>
      </w:r>
      <w:r w:rsidRPr="00F37D51">
        <w:rPr>
          <w:rFonts w:asciiTheme="minorHAnsi" w:hAnsiTheme="minorHAnsi" w:cstheme="minorHAnsi"/>
          <w:i/>
          <w:color w:val="000000" w:themeColor="text1"/>
          <w:sz w:val="24"/>
          <w:szCs w:val="26"/>
        </w:rPr>
        <w:t>Review of the implementation of the national reform agenda on organ and tissue donation and transplantation</w:t>
      </w:r>
      <w:r>
        <w:rPr>
          <w:rFonts w:asciiTheme="minorHAnsi" w:hAnsiTheme="minorHAnsi" w:cstheme="minorHAnsi"/>
          <w:color w:val="000000" w:themeColor="text1"/>
          <w:sz w:val="24"/>
          <w:szCs w:val="26"/>
        </w:rPr>
        <w:t>,</w:t>
      </w:r>
      <w:r>
        <w:rPr>
          <w:rStyle w:val="FootnoteReference"/>
          <w:rFonts w:cstheme="minorHAnsi"/>
          <w:color w:val="000000" w:themeColor="text1"/>
        </w:rPr>
        <w:footnoteReference w:id="25"/>
      </w:r>
      <w:r>
        <w:rPr>
          <w:rFonts w:asciiTheme="minorHAnsi" w:hAnsiTheme="minorHAnsi" w:cstheme="minorHAnsi"/>
          <w:color w:val="000000" w:themeColor="text1"/>
          <w:sz w:val="24"/>
          <w:szCs w:val="26"/>
        </w:rPr>
        <w:t xml:space="preserve"> was</w:t>
      </w:r>
      <w:r w:rsidRPr="00F37D51">
        <w:rPr>
          <w:rFonts w:asciiTheme="minorHAnsi" w:hAnsiTheme="minorHAnsi" w:cstheme="minorHAnsi"/>
          <w:color w:val="000000" w:themeColor="text1"/>
          <w:sz w:val="24"/>
          <w:szCs w:val="26"/>
        </w:rPr>
        <w:t xml:space="preserve"> released on 2 February 2016. </w:t>
      </w:r>
    </w:p>
    <w:p w14:paraId="2F047F0A" w14:textId="77777777" w:rsidR="00B46DA0" w:rsidRPr="00F37D51" w:rsidRDefault="00B46DA0" w:rsidP="00B46DA0">
      <w:pPr>
        <w:spacing w:after="120"/>
        <w:rPr>
          <w:rFonts w:asciiTheme="minorHAnsi" w:hAnsiTheme="minorHAnsi" w:cstheme="minorHAnsi"/>
          <w:color w:val="000000" w:themeColor="text1"/>
          <w:sz w:val="24"/>
          <w:szCs w:val="26"/>
        </w:rPr>
      </w:pPr>
      <w:r w:rsidRPr="00F37D51">
        <w:rPr>
          <w:rFonts w:asciiTheme="minorHAnsi" w:hAnsiTheme="minorHAnsi" w:cstheme="minorHAnsi"/>
          <w:color w:val="000000" w:themeColor="text1"/>
          <w:sz w:val="24"/>
          <w:szCs w:val="26"/>
        </w:rPr>
        <w:t>The Review examin</w:t>
      </w:r>
      <w:r>
        <w:rPr>
          <w:rFonts w:asciiTheme="minorHAnsi" w:hAnsiTheme="minorHAnsi" w:cstheme="minorHAnsi"/>
          <w:color w:val="000000" w:themeColor="text1"/>
          <w:sz w:val="24"/>
          <w:szCs w:val="26"/>
        </w:rPr>
        <w:t>ed</w:t>
      </w:r>
      <w:r w:rsidRPr="00F37D51">
        <w:rPr>
          <w:rFonts w:asciiTheme="minorHAnsi" w:hAnsiTheme="minorHAnsi" w:cstheme="minorHAnsi"/>
          <w:color w:val="000000" w:themeColor="text1"/>
          <w:sz w:val="24"/>
          <w:szCs w:val="26"/>
        </w:rPr>
        <w:t xml:space="preserve"> and outlin</w:t>
      </w:r>
      <w:r>
        <w:rPr>
          <w:rFonts w:asciiTheme="minorHAnsi" w:hAnsiTheme="minorHAnsi" w:cstheme="minorHAnsi"/>
          <w:color w:val="000000" w:themeColor="text1"/>
          <w:sz w:val="24"/>
          <w:szCs w:val="26"/>
        </w:rPr>
        <w:t>ed</w:t>
      </w:r>
      <w:r w:rsidRPr="00F37D51">
        <w:rPr>
          <w:rFonts w:asciiTheme="minorHAnsi" w:hAnsiTheme="minorHAnsi" w:cstheme="minorHAnsi"/>
          <w:color w:val="000000" w:themeColor="text1"/>
          <w:sz w:val="24"/>
          <w:szCs w:val="26"/>
        </w:rPr>
        <w:t xml:space="preserve"> 24 recommendations across the following key areas (for details of recommendations see </w:t>
      </w:r>
      <w:r>
        <w:rPr>
          <w:rFonts w:asciiTheme="minorHAnsi" w:hAnsiTheme="minorHAnsi" w:cstheme="minorHAnsi"/>
          <w:color w:val="000000" w:themeColor="text1"/>
          <w:sz w:val="24"/>
          <w:szCs w:val="26"/>
        </w:rPr>
        <w:t xml:space="preserve">Section </w:t>
      </w:r>
      <w:r w:rsidR="00EF3660">
        <w:rPr>
          <w:rFonts w:asciiTheme="minorHAnsi" w:hAnsiTheme="minorHAnsi" w:cstheme="minorHAnsi"/>
          <w:color w:val="000000" w:themeColor="text1"/>
          <w:sz w:val="24"/>
          <w:szCs w:val="26"/>
        </w:rPr>
        <w:fldChar w:fldCharType="begin"/>
      </w:r>
      <w:r w:rsidR="00EF3660">
        <w:rPr>
          <w:rFonts w:asciiTheme="minorHAnsi" w:hAnsiTheme="minorHAnsi" w:cstheme="minorHAnsi"/>
          <w:color w:val="000000" w:themeColor="text1"/>
          <w:sz w:val="24"/>
          <w:szCs w:val="26"/>
        </w:rPr>
        <w:instrText xml:space="preserve"> REF _Ref531773126 \r \h </w:instrText>
      </w:r>
      <w:r w:rsidR="00EF3660">
        <w:rPr>
          <w:rFonts w:asciiTheme="minorHAnsi" w:hAnsiTheme="minorHAnsi" w:cstheme="minorHAnsi"/>
          <w:color w:val="000000" w:themeColor="text1"/>
          <w:sz w:val="24"/>
          <w:szCs w:val="26"/>
        </w:rPr>
      </w:r>
      <w:r w:rsidR="00EF3660">
        <w:rPr>
          <w:rFonts w:asciiTheme="minorHAnsi" w:hAnsiTheme="minorHAnsi" w:cstheme="minorHAnsi"/>
          <w:color w:val="000000" w:themeColor="text1"/>
          <w:sz w:val="24"/>
          <w:szCs w:val="26"/>
        </w:rPr>
        <w:fldChar w:fldCharType="separate"/>
      </w:r>
      <w:r w:rsidR="00A04048">
        <w:rPr>
          <w:rFonts w:asciiTheme="minorHAnsi" w:hAnsiTheme="minorHAnsi" w:cstheme="minorHAnsi"/>
          <w:color w:val="000000" w:themeColor="text1"/>
          <w:sz w:val="24"/>
          <w:szCs w:val="26"/>
        </w:rPr>
        <w:t>3.2</w:t>
      </w:r>
      <w:r w:rsidR="00EF3660">
        <w:rPr>
          <w:rFonts w:asciiTheme="minorHAnsi" w:hAnsiTheme="minorHAnsi" w:cstheme="minorHAnsi"/>
          <w:color w:val="000000" w:themeColor="text1"/>
          <w:sz w:val="24"/>
          <w:szCs w:val="26"/>
        </w:rPr>
        <w:fldChar w:fldCharType="end"/>
      </w:r>
      <w:r w:rsidRPr="00F37D51">
        <w:rPr>
          <w:rFonts w:asciiTheme="minorHAnsi" w:hAnsiTheme="minorHAnsi" w:cstheme="minorHAnsi"/>
          <w:color w:val="000000" w:themeColor="text1"/>
          <w:sz w:val="24"/>
          <w:szCs w:val="26"/>
        </w:rPr>
        <w:t xml:space="preserve">): </w:t>
      </w:r>
    </w:p>
    <w:p w14:paraId="5A8A7162" w14:textId="77777777" w:rsidR="00B46DA0" w:rsidRPr="00F37D51" w:rsidRDefault="00B46DA0" w:rsidP="00B46DA0">
      <w:pPr>
        <w:numPr>
          <w:ilvl w:val="0"/>
          <w:numId w:val="18"/>
        </w:numPr>
        <w:spacing w:after="120"/>
        <w:ind w:left="357" w:hanging="357"/>
        <w:contextualSpacing/>
        <w:rPr>
          <w:rFonts w:asciiTheme="minorHAnsi" w:hAnsiTheme="minorHAnsi" w:cstheme="minorHAnsi"/>
          <w:sz w:val="24"/>
          <w:szCs w:val="22"/>
          <w:lang w:val="en-GB"/>
        </w:rPr>
      </w:pPr>
      <w:r w:rsidRPr="00F37D51">
        <w:rPr>
          <w:rFonts w:asciiTheme="minorHAnsi" w:hAnsiTheme="minorHAnsi" w:cstheme="minorHAnsi"/>
          <w:sz w:val="24"/>
          <w:szCs w:val="22"/>
          <w:lang w:val="en-GB"/>
        </w:rPr>
        <w:t>Strategy</w:t>
      </w:r>
    </w:p>
    <w:p w14:paraId="0C2C92C6" w14:textId="77777777" w:rsidR="00B46DA0" w:rsidRPr="00F37D51" w:rsidRDefault="00B46DA0" w:rsidP="00B46DA0">
      <w:pPr>
        <w:numPr>
          <w:ilvl w:val="0"/>
          <w:numId w:val="18"/>
        </w:numPr>
        <w:spacing w:after="120"/>
        <w:ind w:left="357" w:hanging="357"/>
        <w:contextualSpacing/>
        <w:rPr>
          <w:rFonts w:asciiTheme="minorHAnsi" w:hAnsiTheme="minorHAnsi" w:cstheme="minorHAnsi"/>
          <w:sz w:val="24"/>
          <w:szCs w:val="22"/>
          <w:lang w:val="en-GB"/>
        </w:rPr>
      </w:pPr>
      <w:r w:rsidRPr="00F37D51">
        <w:rPr>
          <w:rFonts w:asciiTheme="minorHAnsi" w:hAnsiTheme="minorHAnsi" w:cstheme="minorHAnsi"/>
          <w:sz w:val="24"/>
          <w:szCs w:val="22"/>
          <w:lang w:val="en-GB"/>
        </w:rPr>
        <w:t>Governance of the OTA</w:t>
      </w:r>
    </w:p>
    <w:p w14:paraId="25076510" w14:textId="77777777" w:rsidR="00B46DA0" w:rsidRPr="00F37D51" w:rsidRDefault="00B46DA0" w:rsidP="00B46DA0">
      <w:pPr>
        <w:numPr>
          <w:ilvl w:val="0"/>
          <w:numId w:val="18"/>
        </w:numPr>
        <w:spacing w:after="120"/>
        <w:ind w:left="357" w:hanging="357"/>
        <w:contextualSpacing/>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Performance </w:t>
      </w:r>
    </w:p>
    <w:p w14:paraId="27BCD3F5" w14:textId="77777777" w:rsidR="00B46DA0" w:rsidRPr="00F37D51" w:rsidRDefault="00B46DA0" w:rsidP="00B46DA0">
      <w:pPr>
        <w:numPr>
          <w:ilvl w:val="0"/>
          <w:numId w:val="18"/>
        </w:numPr>
        <w:spacing w:after="120"/>
        <w:ind w:left="357" w:hanging="357"/>
        <w:contextualSpacing/>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Audit of donation practices </w:t>
      </w:r>
    </w:p>
    <w:p w14:paraId="121C19E0" w14:textId="77777777" w:rsidR="00B46DA0" w:rsidRPr="00F37D51" w:rsidRDefault="00B46DA0" w:rsidP="00B46DA0">
      <w:pPr>
        <w:numPr>
          <w:ilvl w:val="0"/>
          <w:numId w:val="18"/>
        </w:numPr>
        <w:spacing w:after="120"/>
        <w:ind w:left="357" w:hanging="357"/>
        <w:contextualSpacing/>
        <w:rPr>
          <w:rFonts w:asciiTheme="minorHAnsi" w:hAnsiTheme="minorHAnsi" w:cstheme="minorHAnsi"/>
          <w:sz w:val="24"/>
          <w:szCs w:val="22"/>
          <w:lang w:val="en-GB"/>
        </w:rPr>
      </w:pPr>
      <w:r w:rsidRPr="00F37D51">
        <w:rPr>
          <w:rFonts w:asciiTheme="minorHAnsi" w:hAnsiTheme="minorHAnsi" w:cstheme="minorHAnsi"/>
          <w:sz w:val="24"/>
          <w:szCs w:val="22"/>
          <w:lang w:val="en-GB"/>
        </w:rPr>
        <w:t>Funding policy</w:t>
      </w:r>
    </w:p>
    <w:p w14:paraId="5B195EDF" w14:textId="77777777" w:rsidR="00B46DA0" w:rsidRPr="00F37D51" w:rsidRDefault="00B46DA0" w:rsidP="00B46DA0">
      <w:pPr>
        <w:numPr>
          <w:ilvl w:val="0"/>
          <w:numId w:val="18"/>
        </w:numPr>
        <w:spacing w:after="120"/>
        <w:ind w:left="357" w:hanging="357"/>
        <w:contextualSpacing/>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Awareness strategies, communication and donor family support </w:t>
      </w:r>
    </w:p>
    <w:p w14:paraId="77596933" w14:textId="77777777" w:rsidR="00B46DA0" w:rsidRPr="00F37D51" w:rsidRDefault="00B46DA0" w:rsidP="00B46DA0">
      <w:pPr>
        <w:numPr>
          <w:ilvl w:val="0"/>
          <w:numId w:val="18"/>
        </w:numPr>
        <w:spacing w:after="120"/>
        <w:ind w:left="357" w:hanging="357"/>
        <w:contextualSpacing/>
        <w:rPr>
          <w:rFonts w:asciiTheme="minorHAnsi" w:hAnsiTheme="minorHAnsi" w:cstheme="minorHAnsi"/>
          <w:sz w:val="24"/>
          <w:szCs w:val="22"/>
          <w:lang w:val="en-GB"/>
        </w:rPr>
      </w:pPr>
      <w:r w:rsidRPr="00F37D51">
        <w:rPr>
          <w:rFonts w:asciiTheme="minorHAnsi" w:hAnsiTheme="minorHAnsi" w:cstheme="minorHAnsi"/>
          <w:sz w:val="24"/>
          <w:szCs w:val="22"/>
          <w:lang w:val="en-GB"/>
        </w:rPr>
        <w:t>Community Awareness Grant Program</w:t>
      </w:r>
    </w:p>
    <w:p w14:paraId="3C25C1B6" w14:textId="77777777" w:rsidR="00B46DA0" w:rsidRPr="00F37D51" w:rsidRDefault="00B46DA0" w:rsidP="00B46DA0">
      <w:pPr>
        <w:numPr>
          <w:ilvl w:val="0"/>
          <w:numId w:val="18"/>
        </w:numPr>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AODR</w:t>
      </w:r>
    </w:p>
    <w:p w14:paraId="0F854A72" w14:textId="77777777" w:rsidR="00B46DA0" w:rsidRPr="00F37D51" w:rsidRDefault="00B46DA0" w:rsidP="00B46DA0">
      <w:pPr>
        <w:numPr>
          <w:ilvl w:val="0"/>
          <w:numId w:val="18"/>
        </w:numPr>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EDR</w:t>
      </w:r>
    </w:p>
    <w:p w14:paraId="0785BD67" w14:textId="77777777" w:rsidR="00B46DA0" w:rsidRPr="00F37D51" w:rsidRDefault="00B46DA0" w:rsidP="00B46DA0">
      <w:pPr>
        <w:numPr>
          <w:ilvl w:val="0"/>
          <w:numId w:val="18"/>
        </w:numPr>
        <w:spacing w:after="120"/>
        <w:ind w:left="357" w:hanging="357"/>
        <w:contextualSpacing/>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New organ perfusion technologies </w:t>
      </w:r>
    </w:p>
    <w:p w14:paraId="30BFBE8F" w14:textId="77777777" w:rsidR="00B46DA0" w:rsidRPr="00F37D51" w:rsidRDefault="00B46DA0" w:rsidP="00B46DA0">
      <w:pPr>
        <w:numPr>
          <w:ilvl w:val="0"/>
          <w:numId w:val="18"/>
        </w:numPr>
        <w:spacing w:after="120"/>
        <w:ind w:left="357" w:hanging="357"/>
        <w:contextualSpacing/>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Eye and tissue donation and transplantation </w:t>
      </w:r>
    </w:p>
    <w:p w14:paraId="46FE38E2" w14:textId="77777777" w:rsidR="00B46DA0" w:rsidRPr="00F37D51" w:rsidRDefault="00B46DA0" w:rsidP="00B46DA0">
      <w:pPr>
        <w:numPr>
          <w:ilvl w:val="0"/>
          <w:numId w:val="18"/>
        </w:numPr>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Issues outside the scope of the Review</w:t>
      </w:r>
      <w:r>
        <w:rPr>
          <w:rFonts w:asciiTheme="minorHAnsi" w:hAnsiTheme="minorHAnsi" w:cstheme="minorHAnsi"/>
          <w:sz w:val="24"/>
          <w:szCs w:val="22"/>
          <w:lang w:val="en-GB"/>
        </w:rPr>
        <w:t>.</w:t>
      </w:r>
    </w:p>
    <w:p w14:paraId="21D91424" w14:textId="77777777" w:rsidR="00B46DA0" w:rsidRPr="00F37D51" w:rsidRDefault="00B46DA0" w:rsidP="00B46DA0">
      <w:pPr>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The Australian Government’s response to the </w:t>
      </w:r>
      <w:r>
        <w:rPr>
          <w:rFonts w:asciiTheme="minorHAnsi" w:hAnsiTheme="minorHAnsi" w:cstheme="minorHAnsi"/>
          <w:sz w:val="24"/>
          <w:szCs w:val="22"/>
          <w:lang w:val="en-GB"/>
        </w:rPr>
        <w:t>EY</w:t>
      </w:r>
      <w:r w:rsidRPr="00F37D51">
        <w:rPr>
          <w:rFonts w:asciiTheme="minorHAnsi" w:hAnsiTheme="minorHAnsi" w:cstheme="minorHAnsi"/>
          <w:sz w:val="24"/>
          <w:szCs w:val="22"/>
          <w:lang w:val="en-GB"/>
        </w:rPr>
        <w:t xml:space="preserve"> report was published in March 2017, </w:t>
      </w:r>
      <w:r>
        <w:rPr>
          <w:rFonts w:asciiTheme="minorHAnsi" w:hAnsiTheme="minorHAnsi" w:cstheme="minorHAnsi"/>
          <w:sz w:val="24"/>
          <w:szCs w:val="22"/>
          <w:lang w:val="en-GB"/>
        </w:rPr>
        <w:t xml:space="preserve">recognising </w:t>
      </w:r>
      <w:r w:rsidRPr="00F37D51">
        <w:rPr>
          <w:rFonts w:asciiTheme="minorHAnsi" w:hAnsiTheme="minorHAnsi" w:cstheme="minorHAnsi"/>
          <w:sz w:val="24"/>
          <w:szCs w:val="22"/>
          <w:lang w:val="en-GB"/>
        </w:rPr>
        <w:t>the importance of the Review in capturing the key achievements and challenges in increasing Australia’s organ and tissue donation rates.</w:t>
      </w:r>
      <w:r w:rsidRPr="00323A35">
        <w:rPr>
          <w:rStyle w:val="FootnoteReference"/>
          <w:rFonts w:asciiTheme="minorHAnsi" w:hAnsiTheme="minorHAnsi" w:cstheme="minorHAnsi"/>
          <w:sz w:val="20"/>
          <w:lang w:val="en-GB"/>
        </w:rPr>
        <w:footnoteReference w:id="26"/>
      </w:r>
    </w:p>
    <w:p w14:paraId="1FE65AFC" w14:textId="77777777" w:rsidR="00B46DA0" w:rsidRDefault="00B46DA0" w:rsidP="00B46DA0">
      <w:pPr>
        <w:pStyle w:val="Heading2"/>
        <w:tabs>
          <w:tab w:val="clear" w:pos="1559"/>
          <w:tab w:val="num" w:pos="993"/>
        </w:tabs>
        <w:spacing w:before="240"/>
        <w:ind w:left="992" w:hanging="992"/>
        <w:rPr>
          <w:rFonts w:asciiTheme="minorHAnsi" w:hAnsiTheme="minorHAnsi" w:cstheme="minorHAnsi"/>
          <w:iCs/>
          <w:color w:val="7F7F7F" w:themeColor="text1" w:themeTint="80"/>
          <w:sz w:val="40"/>
          <w:szCs w:val="30"/>
        </w:rPr>
      </w:pPr>
      <w:bookmarkStart w:id="102" w:name="_Ref531771505"/>
      <w:bookmarkStart w:id="103" w:name="_Ref531773126"/>
      <w:bookmarkStart w:id="104" w:name="_Toc532301678"/>
      <w:r w:rsidRPr="00F37D51">
        <w:rPr>
          <w:rFonts w:asciiTheme="minorHAnsi" w:hAnsiTheme="minorHAnsi" w:cstheme="minorHAnsi"/>
          <w:iCs/>
          <w:color w:val="7F7F7F" w:themeColor="text1" w:themeTint="80"/>
          <w:sz w:val="40"/>
          <w:szCs w:val="30"/>
        </w:rPr>
        <w:lastRenderedPageBreak/>
        <w:t xml:space="preserve">Progress against the recommendations from the </w:t>
      </w:r>
      <w:r>
        <w:rPr>
          <w:rFonts w:asciiTheme="minorHAnsi" w:hAnsiTheme="minorHAnsi" w:cstheme="minorHAnsi"/>
          <w:iCs/>
          <w:color w:val="7F7F7F" w:themeColor="text1" w:themeTint="80"/>
          <w:sz w:val="40"/>
          <w:szCs w:val="30"/>
        </w:rPr>
        <w:t xml:space="preserve">2015 </w:t>
      </w:r>
      <w:r w:rsidRPr="00F37D51">
        <w:rPr>
          <w:rFonts w:asciiTheme="minorHAnsi" w:hAnsiTheme="minorHAnsi" w:cstheme="minorHAnsi"/>
          <w:iCs/>
          <w:color w:val="7F7F7F" w:themeColor="text1" w:themeTint="80"/>
          <w:sz w:val="40"/>
          <w:szCs w:val="30"/>
        </w:rPr>
        <w:t>Review</w:t>
      </w:r>
      <w:bookmarkEnd w:id="102"/>
      <w:bookmarkEnd w:id="103"/>
      <w:bookmarkEnd w:id="104"/>
    </w:p>
    <w:p w14:paraId="633D27F9" w14:textId="77777777" w:rsidR="00B46DA0" w:rsidRDefault="00B46DA0" w:rsidP="00B46DA0">
      <w:pPr>
        <w:spacing w:before="120" w:after="120"/>
        <w:rPr>
          <w:rFonts w:asciiTheme="minorHAnsi" w:hAnsiTheme="minorHAnsi" w:cstheme="minorHAnsi"/>
          <w:color w:val="000000" w:themeColor="text1"/>
          <w:sz w:val="24"/>
          <w:szCs w:val="22"/>
        </w:rPr>
      </w:pPr>
      <w:r>
        <w:rPr>
          <w:rFonts w:asciiTheme="minorHAnsi" w:hAnsiTheme="minorHAnsi" w:cstheme="minorHAnsi"/>
          <w:color w:val="000000" w:themeColor="text1"/>
          <w:sz w:val="24"/>
          <w:szCs w:val="22"/>
        </w:rPr>
        <w:t xml:space="preserve">In March 2017, the Australian Government announced that it accepted all 24 recommendations put forward in the 2015 Review. The Australian Government’s response reiterated their commitment to increasing Australia’s organ and tissue donation rates, addressing each recommendation and identifying areas for further activity. The responsibility to implement the recommendations was predominately for the OTA, with assistance from other stakeholders. The Australian Government Department of Health had responsibility to establish the changed governance arrangements and the supporting legislation. </w:t>
      </w:r>
    </w:p>
    <w:p w14:paraId="3C335EAA" w14:textId="7F9A95B9" w:rsidR="00B46DA0" w:rsidRDefault="00B46DA0" w:rsidP="00B46DA0">
      <w:pPr>
        <w:spacing w:before="120" w:after="120"/>
        <w:rPr>
          <w:rFonts w:asciiTheme="minorHAnsi" w:hAnsiTheme="minorHAnsi" w:cstheme="minorHAnsi"/>
          <w:color w:val="000000" w:themeColor="text1"/>
          <w:sz w:val="24"/>
          <w:szCs w:val="22"/>
        </w:rPr>
      </w:pPr>
      <w:r>
        <w:rPr>
          <w:rFonts w:asciiTheme="minorHAnsi" w:hAnsiTheme="minorHAnsi" w:cstheme="minorHAnsi"/>
          <w:color w:val="000000" w:themeColor="text1"/>
          <w:sz w:val="24"/>
          <w:szCs w:val="22"/>
        </w:rPr>
        <w:t xml:space="preserve">Of the 24 recommendations, seven are yet to be fully implemented. Six require further actioning and have been included in the OTA’s </w:t>
      </w:r>
      <w:r w:rsidR="00FC1F0C">
        <w:rPr>
          <w:rFonts w:asciiTheme="minorHAnsi" w:hAnsiTheme="minorHAnsi" w:cstheme="minorHAnsi"/>
          <w:color w:val="000000" w:themeColor="text1"/>
          <w:sz w:val="24"/>
          <w:szCs w:val="22"/>
        </w:rPr>
        <w:t>2018-2019 to 2021-22</w:t>
      </w:r>
      <w:r w:rsidRPr="00EF2596">
        <w:rPr>
          <w:rFonts w:asciiTheme="minorHAnsi" w:hAnsiTheme="minorHAnsi" w:cstheme="minorHAnsi"/>
          <w:color w:val="000000" w:themeColor="text1"/>
          <w:sz w:val="24"/>
          <w:szCs w:val="22"/>
        </w:rPr>
        <w:t xml:space="preserve"> Strategic Plan</w:t>
      </w:r>
      <w:r>
        <w:rPr>
          <w:rFonts w:asciiTheme="minorHAnsi" w:hAnsiTheme="minorHAnsi" w:cstheme="minorHAnsi"/>
          <w:i/>
          <w:color w:val="000000" w:themeColor="text1"/>
          <w:sz w:val="24"/>
          <w:szCs w:val="22"/>
        </w:rPr>
        <w:t>,</w:t>
      </w:r>
      <w:r>
        <w:rPr>
          <w:rStyle w:val="FootnoteReference"/>
          <w:rFonts w:cstheme="minorHAnsi"/>
          <w:i/>
          <w:color w:val="000000" w:themeColor="text1"/>
        </w:rPr>
        <w:footnoteReference w:id="27"/>
      </w:r>
      <w:r>
        <w:rPr>
          <w:rFonts w:asciiTheme="minorHAnsi" w:hAnsiTheme="minorHAnsi" w:cstheme="minorHAnsi"/>
          <w:color w:val="000000" w:themeColor="text1"/>
          <w:sz w:val="24"/>
          <w:szCs w:val="22"/>
        </w:rPr>
        <w:t xml:space="preserve"> and another relates to the </w:t>
      </w:r>
      <w:r w:rsidRPr="00BA2A84">
        <w:rPr>
          <w:rFonts w:asciiTheme="minorHAnsi" w:hAnsiTheme="minorHAnsi" w:cstheme="minorHAnsi"/>
          <w:color w:val="000000" w:themeColor="text1"/>
          <w:sz w:val="24"/>
          <w:szCs w:val="22"/>
        </w:rPr>
        <w:t>agreed implementation outcomes from the Analysis of the Eye and Tissue Sector</w:t>
      </w:r>
      <w:r>
        <w:rPr>
          <w:rFonts w:asciiTheme="minorHAnsi" w:hAnsiTheme="minorHAnsi" w:cstheme="minorHAnsi"/>
          <w:color w:val="000000" w:themeColor="text1"/>
          <w:sz w:val="24"/>
          <w:szCs w:val="22"/>
        </w:rPr>
        <w:t xml:space="preserve">. </w:t>
      </w:r>
      <w:r w:rsidRPr="00F37D51">
        <w:rPr>
          <w:rFonts w:asciiTheme="minorHAnsi" w:hAnsiTheme="minorHAnsi" w:cstheme="minorHAnsi"/>
          <w:color w:val="000000" w:themeColor="text1"/>
          <w:sz w:val="24"/>
          <w:szCs w:val="22"/>
        </w:rPr>
        <w:t>The status of each recommendation</w:t>
      </w:r>
      <w:r>
        <w:rPr>
          <w:rFonts w:asciiTheme="minorHAnsi" w:hAnsiTheme="minorHAnsi" w:cstheme="minorHAnsi"/>
          <w:color w:val="000000" w:themeColor="text1"/>
          <w:sz w:val="24"/>
          <w:szCs w:val="22"/>
        </w:rPr>
        <w:t>,</w:t>
      </w:r>
      <w:r w:rsidRPr="00F37D51">
        <w:rPr>
          <w:rFonts w:asciiTheme="minorHAnsi" w:hAnsiTheme="minorHAnsi" w:cstheme="minorHAnsi"/>
          <w:color w:val="000000" w:themeColor="text1"/>
          <w:sz w:val="24"/>
          <w:szCs w:val="22"/>
        </w:rPr>
        <w:t xml:space="preserve"> as well as a </w:t>
      </w:r>
      <w:r w:rsidR="00DB2089" w:rsidRPr="00F37D51">
        <w:rPr>
          <w:rFonts w:asciiTheme="minorHAnsi" w:hAnsiTheme="minorHAnsi" w:cstheme="minorHAnsi"/>
          <w:color w:val="000000" w:themeColor="text1"/>
          <w:sz w:val="24"/>
          <w:szCs w:val="22"/>
        </w:rPr>
        <w:t>high-level</w:t>
      </w:r>
      <w:r w:rsidRPr="00F37D51">
        <w:rPr>
          <w:rFonts w:asciiTheme="minorHAnsi" w:hAnsiTheme="minorHAnsi" w:cstheme="minorHAnsi"/>
          <w:color w:val="000000" w:themeColor="text1"/>
          <w:sz w:val="24"/>
          <w:szCs w:val="22"/>
        </w:rPr>
        <w:t xml:space="preserve"> assessment of the progress against each recommendation as of </w:t>
      </w:r>
      <w:r>
        <w:rPr>
          <w:rFonts w:asciiTheme="minorHAnsi" w:hAnsiTheme="minorHAnsi" w:cstheme="minorHAnsi"/>
          <w:color w:val="000000" w:themeColor="text1"/>
          <w:sz w:val="24"/>
          <w:szCs w:val="22"/>
        </w:rPr>
        <w:t>October 2018,</w:t>
      </w:r>
      <w:r w:rsidRPr="00F37D51">
        <w:rPr>
          <w:rFonts w:asciiTheme="minorHAnsi" w:hAnsiTheme="minorHAnsi" w:cstheme="minorHAnsi"/>
          <w:color w:val="000000" w:themeColor="text1"/>
          <w:sz w:val="24"/>
          <w:szCs w:val="22"/>
        </w:rPr>
        <w:t xml:space="preserve"> are listed </w:t>
      </w:r>
      <w:r>
        <w:rPr>
          <w:rFonts w:asciiTheme="minorHAnsi" w:hAnsiTheme="minorHAnsi" w:cstheme="minorHAnsi"/>
          <w:color w:val="000000" w:themeColor="text1"/>
          <w:sz w:val="24"/>
          <w:szCs w:val="22"/>
        </w:rPr>
        <w:t>in</w:t>
      </w:r>
      <w:r w:rsidR="00AA57F1">
        <w:rPr>
          <w:rFonts w:asciiTheme="minorHAnsi" w:hAnsiTheme="minorHAnsi" w:cstheme="minorHAnsi"/>
          <w:color w:val="000000" w:themeColor="text1"/>
          <w:sz w:val="24"/>
          <w:szCs w:val="22"/>
        </w:rPr>
        <w:t xml:space="preserve"> </w:t>
      </w:r>
      <w:r w:rsidR="00AA57F1">
        <w:rPr>
          <w:rFonts w:asciiTheme="minorHAnsi" w:hAnsiTheme="minorHAnsi" w:cstheme="minorHAnsi"/>
          <w:color w:val="000000" w:themeColor="text1"/>
          <w:sz w:val="24"/>
          <w:szCs w:val="22"/>
        </w:rPr>
        <w:fldChar w:fldCharType="begin"/>
      </w:r>
      <w:r w:rsidR="00AA57F1">
        <w:rPr>
          <w:rFonts w:asciiTheme="minorHAnsi" w:hAnsiTheme="minorHAnsi" w:cstheme="minorHAnsi"/>
          <w:color w:val="000000" w:themeColor="text1"/>
          <w:sz w:val="24"/>
          <w:szCs w:val="22"/>
        </w:rPr>
        <w:instrText xml:space="preserve"> REF _Ref531942924 \h  \* MERGEFORMAT </w:instrText>
      </w:r>
      <w:r w:rsidR="00AA57F1">
        <w:rPr>
          <w:rFonts w:asciiTheme="minorHAnsi" w:hAnsiTheme="minorHAnsi" w:cstheme="minorHAnsi"/>
          <w:color w:val="000000" w:themeColor="text1"/>
          <w:sz w:val="24"/>
          <w:szCs w:val="22"/>
        </w:rPr>
      </w:r>
      <w:r w:rsidR="00AA57F1">
        <w:rPr>
          <w:rFonts w:asciiTheme="minorHAnsi" w:hAnsiTheme="minorHAnsi" w:cstheme="minorHAnsi"/>
          <w:color w:val="000000" w:themeColor="text1"/>
          <w:sz w:val="24"/>
          <w:szCs w:val="22"/>
        </w:rPr>
        <w:fldChar w:fldCharType="separate"/>
      </w:r>
      <w:r w:rsidR="00A04048" w:rsidRPr="00C75FAB">
        <w:rPr>
          <w:rFonts w:asciiTheme="minorHAnsi" w:hAnsiTheme="minorHAnsi" w:cstheme="minorHAnsi"/>
          <w:color w:val="000000" w:themeColor="text1"/>
          <w:sz w:val="24"/>
          <w:szCs w:val="22"/>
        </w:rPr>
        <w:t>Table 3</w:t>
      </w:r>
      <w:r w:rsidR="00AA57F1">
        <w:rPr>
          <w:rFonts w:asciiTheme="minorHAnsi" w:hAnsiTheme="minorHAnsi" w:cstheme="minorHAnsi"/>
          <w:color w:val="000000" w:themeColor="text1"/>
          <w:sz w:val="24"/>
          <w:szCs w:val="22"/>
        </w:rPr>
        <w:fldChar w:fldCharType="end"/>
      </w:r>
      <w:r w:rsidR="00AA57F1">
        <w:rPr>
          <w:rFonts w:asciiTheme="minorHAnsi" w:hAnsiTheme="minorHAnsi" w:cstheme="minorHAnsi"/>
          <w:color w:val="000000" w:themeColor="text1"/>
          <w:sz w:val="24"/>
          <w:szCs w:val="22"/>
        </w:rPr>
        <w:t xml:space="preserve">. </w:t>
      </w:r>
    </w:p>
    <w:p w14:paraId="19C3661E" w14:textId="1AC86A6E" w:rsidR="00B46DA0" w:rsidRPr="00447661" w:rsidRDefault="00B46DA0" w:rsidP="00B46DA0">
      <w:pPr>
        <w:pStyle w:val="Caption"/>
        <w:spacing w:after="120"/>
        <w:rPr>
          <w:rFonts w:asciiTheme="minorHAnsi" w:hAnsiTheme="minorHAnsi" w:cstheme="minorHAnsi"/>
          <w:b w:val="0"/>
          <w:color w:val="808080"/>
          <w:sz w:val="20"/>
        </w:rPr>
      </w:pPr>
      <w:bookmarkStart w:id="105" w:name="_Ref531942924"/>
      <w:r w:rsidRPr="00447661">
        <w:rPr>
          <w:rFonts w:asciiTheme="minorHAnsi" w:hAnsiTheme="minorHAnsi" w:cstheme="minorHAnsi"/>
          <w:b w:val="0"/>
          <w:color w:val="808080"/>
          <w:sz w:val="20"/>
        </w:rPr>
        <w:t xml:space="preserve">Table </w:t>
      </w:r>
      <w:r w:rsidRPr="00447661">
        <w:rPr>
          <w:rFonts w:asciiTheme="minorHAnsi" w:hAnsiTheme="minorHAnsi" w:cstheme="minorHAnsi"/>
          <w:b w:val="0"/>
          <w:color w:val="808080"/>
          <w:sz w:val="20"/>
        </w:rPr>
        <w:fldChar w:fldCharType="begin"/>
      </w:r>
      <w:r w:rsidRPr="00447661">
        <w:rPr>
          <w:rFonts w:asciiTheme="minorHAnsi" w:hAnsiTheme="minorHAnsi" w:cstheme="minorHAnsi"/>
          <w:b w:val="0"/>
          <w:color w:val="808080"/>
          <w:sz w:val="20"/>
        </w:rPr>
        <w:instrText xml:space="preserve"> SEQ Table \* ARABIC </w:instrText>
      </w:r>
      <w:r w:rsidRPr="00447661">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3</w:t>
      </w:r>
      <w:r w:rsidRPr="00447661">
        <w:rPr>
          <w:rFonts w:asciiTheme="minorHAnsi" w:hAnsiTheme="minorHAnsi" w:cstheme="minorHAnsi"/>
          <w:b w:val="0"/>
          <w:color w:val="808080"/>
          <w:sz w:val="20"/>
        </w:rPr>
        <w:fldChar w:fldCharType="end"/>
      </w:r>
      <w:bookmarkEnd w:id="105"/>
      <w:r w:rsidRPr="00447661">
        <w:rPr>
          <w:rFonts w:asciiTheme="minorHAnsi" w:hAnsiTheme="minorHAnsi" w:cstheme="minorHAnsi"/>
          <w:b w:val="0"/>
          <w:color w:val="808080"/>
          <w:sz w:val="20"/>
        </w:rPr>
        <w:t>: Progress and status against 2015 Review of the implementation of the national reform agenda on organ and tissue donation</w:t>
      </w:r>
      <w:r>
        <w:rPr>
          <w:rFonts w:asciiTheme="minorHAnsi" w:hAnsiTheme="minorHAnsi" w:cstheme="minorHAnsi"/>
          <w:b w:val="0"/>
          <w:color w:val="808080"/>
          <w:sz w:val="20"/>
        </w:rPr>
        <w:t>, SOURCE: The OTA</w:t>
      </w:r>
      <w:r>
        <w:rPr>
          <w:rStyle w:val="FootnoteReference"/>
          <w:rFonts w:cstheme="minorHAnsi"/>
          <w:b w:val="0"/>
          <w:color w:val="808080"/>
        </w:rPr>
        <w:footnoteReference w:id="28"/>
      </w:r>
      <w:r>
        <w:rPr>
          <w:rFonts w:asciiTheme="minorHAnsi" w:hAnsiTheme="minorHAnsi" w:cstheme="minorHAnsi"/>
          <w:b w:val="0"/>
          <w:color w:val="808080"/>
          <w:sz w:val="20"/>
        </w:rPr>
        <w:t xml:space="preserve"> </w:t>
      </w:r>
    </w:p>
    <w:tbl>
      <w:tblPr>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06"/>
        <w:gridCol w:w="3133"/>
        <w:gridCol w:w="3827"/>
        <w:gridCol w:w="2268"/>
      </w:tblGrid>
      <w:tr w:rsidR="00B46DA0" w:rsidRPr="00DE02F8" w14:paraId="6B1F478A" w14:textId="77777777" w:rsidTr="00AE3ED1">
        <w:trPr>
          <w:tblHeader/>
        </w:trPr>
        <w:tc>
          <w:tcPr>
            <w:tcW w:w="3539" w:type="dxa"/>
            <w:gridSpan w:val="2"/>
            <w:shd w:val="clear" w:color="auto" w:fill="595959" w:themeFill="text1" w:themeFillTint="A6"/>
            <w:hideMark/>
          </w:tcPr>
          <w:p w14:paraId="783155E0" w14:textId="77777777" w:rsidR="00B46DA0" w:rsidRPr="00F17564" w:rsidRDefault="00B46DA0" w:rsidP="005E179C">
            <w:pPr>
              <w:spacing w:before="40" w:after="40"/>
              <w:ind w:left="137" w:hanging="137"/>
              <w:rPr>
                <w:rFonts w:asciiTheme="minorHAnsi" w:hAnsiTheme="minorHAnsi" w:cstheme="minorHAnsi"/>
                <w:b/>
                <w:color w:val="FFFFFF" w:themeColor="background1"/>
                <w:spacing w:val="-2"/>
                <w:sz w:val="19"/>
                <w:szCs w:val="19"/>
              </w:rPr>
            </w:pPr>
            <w:r w:rsidRPr="00F17564">
              <w:rPr>
                <w:rFonts w:asciiTheme="minorHAnsi" w:hAnsiTheme="minorHAnsi" w:cstheme="minorHAnsi"/>
                <w:b/>
                <w:color w:val="FFFFFF" w:themeColor="background1"/>
                <w:spacing w:val="-2"/>
                <w:sz w:val="19"/>
                <w:szCs w:val="19"/>
              </w:rPr>
              <w:t xml:space="preserve">Recommendation </w:t>
            </w:r>
          </w:p>
        </w:tc>
        <w:tc>
          <w:tcPr>
            <w:tcW w:w="3827" w:type="dxa"/>
            <w:shd w:val="clear" w:color="auto" w:fill="595959" w:themeFill="text1" w:themeFillTint="A6"/>
          </w:tcPr>
          <w:p w14:paraId="17B86F6F" w14:textId="77777777" w:rsidR="00B46DA0" w:rsidRPr="00F17564" w:rsidRDefault="00B46DA0" w:rsidP="005E179C">
            <w:pPr>
              <w:spacing w:before="40" w:after="40"/>
              <w:rPr>
                <w:rFonts w:asciiTheme="minorHAnsi" w:hAnsiTheme="minorHAnsi" w:cstheme="minorHAnsi"/>
                <w:b/>
                <w:color w:val="FFFFFF" w:themeColor="background1"/>
                <w:spacing w:val="-2"/>
                <w:sz w:val="19"/>
                <w:szCs w:val="19"/>
              </w:rPr>
            </w:pPr>
            <w:r w:rsidRPr="00F17564">
              <w:rPr>
                <w:rFonts w:asciiTheme="minorHAnsi" w:hAnsiTheme="minorHAnsi" w:cstheme="minorHAnsi"/>
                <w:b/>
                <w:color w:val="FFFFFF" w:themeColor="background1"/>
                <w:spacing w:val="-2"/>
                <w:sz w:val="19"/>
                <w:szCs w:val="19"/>
              </w:rPr>
              <w:t>Action/progress against recommendation</w:t>
            </w:r>
          </w:p>
        </w:tc>
        <w:tc>
          <w:tcPr>
            <w:tcW w:w="2268" w:type="dxa"/>
            <w:shd w:val="clear" w:color="auto" w:fill="595959" w:themeFill="text1" w:themeFillTint="A6"/>
            <w:hideMark/>
          </w:tcPr>
          <w:p w14:paraId="1997AEF2" w14:textId="77777777" w:rsidR="00B46DA0" w:rsidRPr="00F17564" w:rsidRDefault="00B46DA0" w:rsidP="005E179C">
            <w:pPr>
              <w:spacing w:before="40" w:after="40"/>
              <w:rPr>
                <w:rFonts w:asciiTheme="minorHAnsi" w:hAnsiTheme="minorHAnsi" w:cstheme="minorHAnsi"/>
                <w:b/>
                <w:color w:val="FFFFFF" w:themeColor="background1"/>
                <w:spacing w:val="-2"/>
                <w:sz w:val="19"/>
                <w:szCs w:val="19"/>
              </w:rPr>
            </w:pPr>
            <w:r w:rsidRPr="00F17564">
              <w:rPr>
                <w:rFonts w:asciiTheme="minorHAnsi" w:hAnsiTheme="minorHAnsi" w:cstheme="minorHAnsi"/>
                <w:b/>
                <w:color w:val="FFFFFF" w:themeColor="background1"/>
                <w:spacing w:val="-2"/>
                <w:sz w:val="19"/>
                <w:szCs w:val="19"/>
              </w:rPr>
              <w:t xml:space="preserve">Status </w:t>
            </w:r>
          </w:p>
        </w:tc>
      </w:tr>
      <w:tr w:rsidR="00B46DA0" w:rsidRPr="00DE02F8" w14:paraId="6F4C4D58" w14:textId="77777777" w:rsidTr="00AE3ED1">
        <w:tc>
          <w:tcPr>
            <w:tcW w:w="0" w:type="auto"/>
            <w:hideMark/>
          </w:tcPr>
          <w:p w14:paraId="2A0859DE" w14:textId="77777777" w:rsidR="00B46DA0" w:rsidRPr="00F17564" w:rsidRDefault="00B46DA0" w:rsidP="005E179C">
            <w:pPr>
              <w:spacing w:before="40" w:after="40"/>
              <w:rPr>
                <w:rFonts w:asciiTheme="minorHAnsi" w:hAnsiTheme="minorHAnsi" w:cstheme="minorHAnsi"/>
                <w:b/>
                <w:spacing w:val="-2"/>
                <w:sz w:val="19"/>
                <w:szCs w:val="19"/>
              </w:rPr>
            </w:pPr>
            <w:r w:rsidRPr="00F17564">
              <w:rPr>
                <w:rFonts w:asciiTheme="minorHAnsi" w:hAnsiTheme="minorHAnsi" w:cstheme="minorHAnsi"/>
                <w:b/>
                <w:spacing w:val="-2"/>
                <w:sz w:val="19"/>
                <w:szCs w:val="19"/>
              </w:rPr>
              <w:t>1</w:t>
            </w:r>
          </w:p>
        </w:tc>
        <w:tc>
          <w:tcPr>
            <w:tcW w:w="3133" w:type="dxa"/>
          </w:tcPr>
          <w:p w14:paraId="1D6C604F" w14:textId="15A7C8E4" w:rsidR="00B46DA0" w:rsidRPr="00F17564" w:rsidRDefault="00B46DA0" w:rsidP="00AA57F1">
            <w:pPr>
              <w:widowControl/>
              <w:autoSpaceDE/>
              <w:adjustRightInd/>
              <w:spacing w:before="40" w:after="40"/>
              <w:rPr>
                <w:rFonts w:asciiTheme="minorHAnsi" w:hAnsiTheme="minorHAnsi" w:cstheme="minorHAnsi"/>
                <w:spacing w:val="-2"/>
                <w:sz w:val="19"/>
                <w:szCs w:val="19"/>
              </w:rPr>
            </w:pPr>
            <w:r w:rsidRPr="00F17564">
              <w:rPr>
                <w:rFonts w:asciiTheme="minorHAnsi" w:hAnsiTheme="minorHAnsi" w:cstheme="minorHAnsi"/>
                <w:spacing w:val="-2"/>
                <w:sz w:val="19"/>
                <w:szCs w:val="19"/>
              </w:rPr>
              <w:t xml:space="preserve">The DonateLife Network, led by the </w:t>
            </w:r>
            <w:r w:rsidR="00AA57F1">
              <w:rPr>
                <w:rFonts w:asciiTheme="minorHAnsi" w:hAnsiTheme="minorHAnsi" w:cstheme="minorHAnsi"/>
                <w:spacing w:val="-2"/>
                <w:sz w:val="19"/>
                <w:szCs w:val="19"/>
              </w:rPr>
              <w:t>OTA</w:t>
            </w:r>
            <w:r w:rsidRPr="00F17564">
              <w:rPr>
                <w:rFonts w:asciiTheme="minorHAnsi" w:hAnsiTheme="minorHAnsi" w:cstheme="minorHAnsi"/>
                <w:spacing w:val="-2"/>
                <w:sz w:val="19"/>
                <w:szCs w:val="19"/>
              </w:rPr>
              <w:t>, should implement the 2015 budget measures assigned to the Network expeditiously as planned with a national focus emphasised on the Targeted Hospital Improvement Program. In addition, the DonateLife Network should continue to implement the other 2015-</w:t>
            </w:r>
            <w:r>
              <w:rPr>
                <w:rFonts w:asciiTheme="minorHAnsi" w:hAnsiTheme="minorHAnsi" w:cstheme="minorHAnsi"/>
                <w:spacing w:val="-2"/>
                <w:sz w:val="19"/>
                <w:szCs w:val="19"/>
              </w:rPr>
              <w:t xml:space="preserve"> </w:t>
            </w:r>
            <w:r w:rsidRPr="00F17564">
              <w:rPr>
                <w:rFonts w:asciiTheme="minorHAnsi" w:hAnsiTheme="minorHAnsi" w:cstheme="minorHAnsi"/>
                <w:spacing w:val="-2"/>
                <w:sz w:val="19"/>
                <w:szCs w:val="19"/>
              </w:rPr>
              <w:t>2016 strategic priorities.</w:t>
            </w:r>
          </w:p>
        </w:tc>
        <w:tc>
          <w:tcPr>
            <w:tcW w:w="3827" w:type="dxa"/>
          </w:tcPr>
          <w:p w14:paraId="61B77530" w14:textId="686ECD4B" w:rsidR="00B46DA0" w:rsidRPr="00F17564" w:rsidRDefault="00B46DA0" w:rsidP="005E179C">
            <w:pPr>
              <w:widowControl/>
              <w:autoSpaceDE/>
              <w:adjustRightInd/>
              <w:spacing w:before="40" w:after="40"/>
              <w:rPr>
                <w:rFonts w:asciiTheme="minorHAnsi" w:hAnsiTheme="minorHAnsi" w:cstheme="minorHAnsi"/>
                <w:iCs/>
                <w:color w:val="000000" w:themeColor="text1"/>
                <w:spacing w:val="-2"/>
                <w:sz w:val="19"/>
                <w:szCs w:val="19"/>
              </w:rPr>
            </w:pPr>
            <w:r w:rsidRPr="00F17564">
              <w:rPr>
                <w:rFonts w:asciiTheme="minorHAnsi" w:hAnsiTheme="minorHAnsi" w:cstheme="minorHAnsi"/>
                <w:iCs/>
                <w:color w:val="000000" w:themeColor="text1"/>
                <w:spacing w:val="-2"/>
                <w:sz w:val="19"/>
                <w:szCs w:val="19"/>
              </w:rPr>
              <w:t xml:space="preserve">$10.2 million of funding was allocated towards a </w:t>
            </w:r>
            <w:r w:rsidR="00DB2089" w:rsidRPr="00F17564">
              <w:rPr>
                <w:rFonts w:asciiTheme="minorHAnsi" w:hAnsiTheme="minorHAnsi" w:cstheme="minorHAnsi"/>
                <w:iCs/>
                <w:color w:val="000000" w:themeColor="text1"/>
                <w:spacing w:val="-2"/>
                <w:sz w:val="19"/>
                <w:szCs w:val="19"/>
              </w:rPr>
              <w:t>two-year</w:t>
            </w:r>
            <w:r w:rsidRPr="00F17564">
              <w:rPr>
                <w:rFonts w:asciiTheme="minorHAnsi" w:hAnsiTheme="minorHAnsi" w:cstheme="minorHAnsi"/>
                <w:iCs/>
                <w:color w:val="000000" w:themeColor="text1"/>
                <w:spacing w:val="-2"/>
                <w:sz w:val="19"/>
                <w:szCs w:val="19"/>
              </w:rPr>
              <w:t xml:space="preserve"> measure titled </w:t>
            </w:r>
            <w:r w:rsidRPr="00F17564">
              <w:rPr>
                <w:rFonts w:asciiTheme="minorHAnsi" w:hAnsiTheme="minorHAnsi" w:cstheme="minorHAnsi"/>
                <w:i/>
                <w:iCs/>
                <w:color w:val="000000" w:themeColor="text1"/>
                <w:spacing w:val="-2"/>
                <w:sz w:val="19"/>
                <w:szCs w:val="19"/>
              </w:rPr>
              <w:t xml:space="preserve">Accelerating Growth for Transplantation. </w:t>
            </w:r>
            <w:r w:rsidRPr="00F17564">
              <w:rPr>
                <w:rFonts w:asciiTheme="minorHAnsi" w:hAnsiTheme="minorHAnsi" w:cstheme="minorHAnsi"/>
                <w:iCs/>
                <w:color w:val="000000" w:themeColor="text1"/>
                <w:spacing w:val="-2"/>
                <w:sz w:val="19"/>
                <w:szCs w:val="19"/>
              </w:rPr>
              <w:t xml:space="preserve">This involved. This funded: </w:t>
            </w:r>
          </w:p>
          <w:p w14:paraId="56179F02" w14:textId="77777777" w:rsidR="00B46DA0" w:rsidRPr="00F17564" w:rsidRDefault="00B46DA0" w:rsidP="005E179C">
            <w:pPr>
              <w:pStyle w:val="ListParagraph"/>
              <w:widowControl/>
              <w:numPr>
                <w:ilvl w:val="1"/>
                <w:numId w:val="21"/>
              </w:numPr>
              <w:tabs>
                <w:tab w:val="clear" w:pos="567"/>
                <w:tab w:val="num" w:pos="283"/>
              </w:tabs>
              <w:autoSpaceDE/>
              <w:adjustRightInd/>
              <w:spacing w:before="40" w:after="40"/>
              <w:ind w:left="283"/>
              <w:rPr>
                <w:rFonts w:asciiTheme="minorHAnsi" w:hAnsiTheme="minorHAnsi" w:cstheme="minorHAnsi"/>
                <w:iCs/>
                <w:color w:val="000000" w:themeColor="text1"/>
                <w:spacing w:val="-2"/>
                <w:sz w:val="19"/>
                <w:szCs w:val="19"/>
              </w:rPr>
            </w:pPr>
            <w:r w:rsidRPr="00F17564">
              <w:rPr>
                <w:rFonts w:asciiTheme="minorHAnsi" w:hAnsiTheme="minorHAnsi" w:cstheme="minorHAnsi"/>
                <w:iCs/>
                <w:color w:val="000000" w:themeColor="text1"/>
                <w:spacing w:val="-2"/>
                <w:sz w:val="19"/>
                <w:szCs w:val="19"/>
              </w:rPr>
              <w:t>DonateLife collaborative run over two years in 26 DonateLife Network hospitals with the most potential for donation</w:t>
            </w:r>
          </w:p>
          <w:p w14:paraId="633BF122" w14:textId="77777777" w:rsidR="00B46DA0" w:rsidRPr="00F17564" w:rsidRDefault="00B46DA0" w:rsidP="005E179C">
            <w:pPr>
              <w:pStyle w:val="ListParagraph"/>
              <w:widowControl/>
              <w:numPr>
                <w:ilvl w:val="1"/>
                <w:numId w:val="21"/>
              </w:numPr>
              <w:tabs>
                <w:tab w:val="clear" w:pos="567"/>
                <w:tab w:val="num" w:pos="283"/>
              </w:tabs>
              <w:autoSpaceDE/>
              <w:adjustRightInd/>
              <w:spacing w:before="40" w:after="40"/>
              <w:ind w:left="283"/>
              <w:rPr>
                <w:rFonts w:asciiTheme="minorHAnsi" w:hAnsiTheme="minorHAnsi" w:cstheme="minorHAnsi"/>
                <w:iCs/>
                <w:color w:val="000000" w:themeColor="text1"/>
                <w:spacing w:val="-2"/>
                <w:sz w:val="19"/>
                <w:szCs w:val="19"/>
              </w:rPr>
            </w:pPr>
            <w:r w:rsidRPr="00F17564">
              <w:rPr>
                <w:rFonts w:asciiTheme="minorHAnsi" w:hAnsiTheme="minorHAnsi" w:cstheme="minorHAnsi"/>
                <w:iCs/>
                <w:color w:val="000000" w:themeColor="text1"/>
                <w:spacing w:val="-2"/>
                <w:sz w:val="19"/>
                <w:szCs w:val="19"/>
              </w:rPr>
              <w:t>The Clinical Practice Improvement Program (CPIP) which established reportable key performance indicators that are key to achieving best-practice organ and tissue donation</w:t>
            </w:r>
          </w:p>
          <w:p w14:paraId="1545C3AE" w14:textId="60D29EE1" w:rsidR="00FC1F0C" w:rsidRPr="00F526D8" w:rsidRDefault="00B46DA0" w:rsidP="00AA57F1">
            <w:pPr>
              <w:pStyle w:val="ListParagraph"/>
              <w:widowControl/>
              <w:numPr>
                <w:ilvl w:val="1"/>
                <w:numId w:val="21"/>
              </w:numPr>
              <w:tabs>
                <w:tab w:val="clear" w:pos="567"/>
                <w:tab w:val="num" w:pos="283"/>
              </w:tabs>
              <w:autoSpaceDE/>
              <w:adjustRightInd/>
              <w:spacing w:before="40" w:after="40"/>
              <w:ind w:left="283"/>
              <w:rPr>
                <w:rFonts w:asciiTheme="minorHAnsi" w:hAnsiTheme="minorHAnsi" w:cstheme="minorHAnsi"/>
                <w:iCs/>
                <w:color w:val="000000" w:themeColor="text1"/>
                <w:spacing w:val="-2"/>
                <w:sz w:val="19"/>
                <w:szCs w:val="19"/>
              </w:rPr>
            </w:pPr>
            <w:r w:rsidRPr="00F17564">
              <w:rPr>
                <w:rFonts w:asciiTheme="minorHAnsi" w:hAnsiTheme="minorHAnsi" w:cstheme="minorHAnsi"/>
                <w:iCs/>
                <w:color w:val="000000" w:themeColor="text1"/>
                <w:spacing w:val="-2"/>
                <w:sz w:val="19"/>
                <w:szCs w:val="19"/>
              </w:rPr>
              <w:t>The OTA to continue to monitor CPIP KIPs with jurisdictions through data analysis and bi-annual progress reports.</w:t>
            </w:r>
          </w:p>
        </w:tc>
        <w:tc>
          <w:tcPr>
            <w:tcW w:w="2268" w:type="dxa"/>
          </w:tcPr>
          <w:p w14:paraId="3070B7EA" w14:textId="77777777" w:rsidR="00B46DA0" w:rsidRPr="00F17564" w:rsidRDefault="00B46DA0" w:rsidP="005E179C">
            <w:pPr>
              <w:widowControl/>
              <w:autoSpaceDE/>
              <w:adjustRightInd/>
              <w:spacing w:before="40" w:after="40"/>
              <w:rPr>
                <w:rFonts w:asciiTheme="minorHAnsi" w:hAnsiTheme="minorHAnsi" w:cstheme="minorHAnsi"/>
                <w:iCs/>
                <w:color w:val="000000" w:themeColor="text1"/>
                <w:spacing w:val="-2"/>
                <w:sz w:val="19"/>
                <w:szCs w:val="19"/>
              </w:rPr>
            </w:pPr>
            <w:r w:rsidRPr="00F17564">
              <w:rPr>
                <w:rFonts w:asciiTheme="minorHAnsi" w:hAnsiTheme="minorHAnsi" w:cstheme="minorHAnsi"/>
                <w:iCs/>
                <w:color w:val="000000" w:themeColor="text1"/>
                <w:spacing w:val="-2"/>
                <w:sz w:val="19"/>
                <w:szCs w:val="19"/>
              </w:rPr>
              <w:t>Completed</w:t>
            </w:r>
          </w:p>
        </w:tc>
      </w:tr>
      <w:tr w:rsidR="00B46DA0" w:rsidRPr="00DE02F8" w14:paraId="2A1B80AA" w14:textId="77777777" w:rsidTr="00AE3ED1">
        <w:tc>
          <w:tcPr>
            <w:tcW w:w="0" w:type="auto"/>
            <w:hideMark/>
          </w:tcPr>
          <w:p w14:paraId="5D4011CB"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 xml:space="preserve">2 </w:t>
            </w:r>
          </w:p>
        </w:tc>
        <w:tc>
          <w:tcPr>
            <w:tcW w:w="3133" w:type="dxa"/>
          </w:tcPr>
          <w:p w14:paraId="7DF77714" w14:textId="7DC6B672" w:rsidR="00AA57F1" w:rsidRPr="00F17564" w:rsidRDefault="00B46DA0" w:rsidP="005E179C">
            <w:pPr>
              <w:widowControl/>
              <w:autoSpaceDE/>
              <w:adjustRightInd/>
              <w:spacing w:before="40" w:after="40"/>
              <w:rPr>
                <w:rFonts w:asciiTheme="minorHAnsi" w:hAnsiTheme="minorHAnsi" w:cstheme="minorHAnsi"/>
                <w:color w:val="000000" w:themeColor="text1"/>
                <w:sz w:val="19"/>
                <w:szCs w:val="19"/>
              </w:rPr>
            </w:pPr>
            <w:r w:rsidRPr="00F17564">
              <w:rPr>
                <w:rFonts w:asciiTheme="minorHAnsi" w:hAnsiTheme="minorHAnsi" w:cstheme="minorHAnsi"/>
                <w:spacing w:val="-2"/>
                <w:sz w:val="19"/>
                <w:szCs w:val="19"/>
              </w:rPr>
              <w:t>The OTA, DonateLife Network and transplantation sector should continue to progress the allocation of donated organs on a national basis, following the implementation of the Australian Organ Matching System (AOMS).</w:t>
            </w:r>
          </w:p>
        </w:tc>
        <w:tc>
          <w:tcPr>
            <w:tcW w:w="3827" w:type="dxa"/>
          </w:tcPr>
          <w:p w14:paraId="3121143D" w14:textId="4B522B73" w:rsidR="00FC1F0C" w:rsidRPr="00F17564" w:rsidRDefault="00B46DA0" w:rsidP="005E179C">
            <w:pPr>
              <w:widowControl/>
              <w:autoSpaceDE/>
              <w:adjustRightInd/>
              <w:spacing w:before="40" w:after="40"/>
              <w:rPr>
                <w:rFonts w:asciiTheme="minorHAnsi" w:hAnsiTheme="minorHAnsi" w:cstheme="minorHAnsi"/>
                <w:spacing w:val="-2"/>
                <w:sz w:val="19"/>
                <w:szCs w:val="19"/>
              </w:rPr>
            </w:pPr>
            <w:r w:rsidRPr="00F17564">
              <w:rPr>
                <w:rFonts w:asciiTheme="minorHAnsi" w:hAnsiTheme="minorHAnsi" w:cstheme="minorHAnsi"/>
                <w:spacing w:val="-2"/>
                <w:sz w:val="19"/>
                <w:szCs w:val="19"/>
              </w:rPr>
              <w:t xml:space="preserve">In 2015, the OTA partnered with the Australian Red Cross Blood Service to develop the Australian Organ Matching System, which has since been rebranded as OrganMatch. OrganMatch will facilitate optimal matching of donor organs to transplant recipients. </w:t>
            </w:r>
          </w:p>
        </w:tc>
        <w:tc>
          <w:tcPr>
            <w:tcW w:w="2268" w:type="dxa"/>
          </w:tcPr>
          <w:p w14:paraId="5D123470" w14:textId="77777777" w:rsidR="00B46DA0" w:rsidRPr="00F17564" w:rsidRDefault="00B46DA0" w:rsidP="005E179C">
            <w:pPr>
              <w:widowControl/>
              <w:autoSpaceDE/>
              <w:adjustRightInd/>
              <w:spacing w:before="40" w:after="40"/>
              <w:rPr>
                <w:rFonts w:asciiTheme="minorHAnsi" w:hAnsiTheme="minorHAnsi" w:cstheme="minorHAnsi"/>
                <w:spacing w:val="-2"/>
                <w:sz w:val="19"/>
                <w:szCs w:val="19"/>
              </w:rPr>
            </w:pPr>
            <w:r w:rsidRPr="00F17564">
              <w:rPr>
                <w:rFonts w:asciiTheme="minorHAnsi" w:hAnsiTheme="minorHAnsi" w:cstheme="minorHAnsi"/>
                <w:spacing w:val="-2"/>
                <w:sz w:val="19"/>
                <w:szCs w:val="19"/>
              </w:rPr>
              <w:t>OrganMatch is scheduled for implementation in April 2019.</w:t>
            </w:r>
            <w:r w:rsidRPr="00F17564">
              <w:rPr>
                <w:rStyle w:val="FootnoteReference"/>
                <w:rFonts w:asciiTheme="minorHAnsi" w:hAnsiTheme="minorHAnsi" w:cstheme="minorHAnsi"/>
                <w:spacing w:val="-2"/>
                <w:sz w:val="19"/>
                <w:szCs w:val="19"/>
              </w:rPr>
              <w:footnoteReference w:id="29"/>
            </w:r>
            <w:r w:rsidRPr="00F17564">
              <w:rPr>
                <w:rFonts w:asciiTheme="minorHAnsi" w:hAnsiTheme="minorHAnsi" w:cstheme="minorHAnsi"/>
                <w:spacing w:val="-2"/>
                <w:sz w:val="19"/>
                <w:szCs w:val="19"/>
              </w:rPr>
              <w:t xml:space="preserve"> </w:t>
            </w:r>
          </w:p>
          <w:p w14:paraId="1E728315" w14:textId="77777777" w:rsidR="00B46DA0" w:rsidRPr="00F17564" w:rsidRDefault="00B46DA0" w:rsidP="005E179C">
            <w:pPr>
              <w:widowControl/>
              <w:autoSpaceDE/>
              <w:adjustRightInd/>
              <w:spacing w:before="40" w:after="40"/>
              <w:rPr>
                <w:rFonts w:asciiTheme="minorHAnsi" w:hAnsiTheme="minorHAnsi" w:cstheme="minorHAnsi"/>
                <w:spacing w:val="-2"/>
                <w:sz w:val="19"/>
                <w:szCs w:val="19"/>
              </w:rPr>
            </w:pPr>
          </w:p>
        </w:tc>
      </w:tr>
      <w:tr w:rsidR="00B46DA0" w:rsidRPr="00DE02F8" w14:paraId="1D206D6D" w14:textId="77777777" w:rsidTr="00AE3ED1">
        <w:tc>
          <w:tcPr>
            <w:tcW w:w="0" w:type="auto"/>
          </w:tcPr>
          <w:p w14:paraId="7C23D0E5"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3</w:t>
            </w:r>
          </w:p>
        </w:tc>
        <w:tc>
          <w:tcPr>
            <w:tcW w:w="3133" w:type="dxa"/>
          </w:tcPr>
          <w:p w14:paraId="0511EAEA" w14:textId="0B260598" w:rsidR="00B46DA0"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bCs/>
                <w:iCs/>
                <w:sz w:val="19"/>
                <w:szCs w:val="19"/>
              </w:rPr>
              <w:t xml:space="preserve">The proportion of Intensive Care Unit specialists, staff and trainees who </w:t>
            </w:r>
            <w:r w:rsidRPr="00F17564">
              <w:rPr>
                <w:rFonts w:asciiTheme="minorHAnsi" w:hAnsiTheme="minorHAnsi" w:cstheme="minorHAnsi"/>
                <w:bCs/>
                <w:iCs/>
                <w:sz w:val="19"/>
                <w:szCs w:val="19"/>
              </w:rPr>
              <w:lastRenderedPageBreak/>
              <w:t>participate in the Family Donation Conversation Workshops should be monitored by the DonateLife Network by hospital.</w:t>
            </w:r>
          </w:p>
        </w:tc>
        <w:tc>
          <w:tcPr>
            <w:tcW w:w="3827" w:type="dxa"/>
          </w:tcPr>
          <w:p w14:paraId="5C955E07" w14:textId="47478DA1" w:rsidR="00FC1F0C"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lastRenderedPageBreak/>
              <w:t>The OTA has implement</w:t>
            </w:r>
            <w:r>
              <w:rPr>
                <w:rFonts w:asciiTheme="minorHAnsi" w:hAnsiTheme="minorHAnsi" w:cstheme="minorHAnsi"/>
                <w:sz w:val="19"/>
                <w:szCs w:val="19"/>
              </w:rPr>
              <w:t>ed</w:t>
            </w:r>
            <w:r w:rsidRPr="00F17564">
              <w:rPr>
                <w:rFonts w:asciiTheme="minorHAnsi" w:hAnsiTheme="minorHAnsi" w:cstheme="minorHAnsi"/>
                <w:sz w:val="19"/>
                <w:szCs w:val="19"/>
              </w:rPr>
              <w:t xml:space="preserve"> this recommendation via its </w:t>
            </w:r>
            <w:r w:rsidRPr="00F17564">
              <w:rPr>
                <w:rFonts w:asciiTheme="minorHAnsi" w:hAnsiTheme="minorHAnsi" w:cstheme="minorHAnsi"/>
                <w:i/>
                <w:sz w:val="19"/>
                <w:szCs w:val="19"/>
              </w:rPr>
              <w:t xml:space="preserve">Learning </w:t>
            </w:r>
            <w:r w:rsidRPr="00F17564">
              <w:rPr>
                <w:rFonts w:asciiTheme="minorHAnsi" w:hAnsiTheme="minorHAnsi" w:cstheme="minorHAnsi"/>
                <w:i/>
                <w:sz w:val="19"/>
                <w:szCs w:val="19"/>
              </w:rPr>
              <w:lastRenderedPageBreak/>
              <w:t>Management System</w:t>
            </w:r>
            <w:r w:rsidRPr="00F17564">
              <w:rPr>
                <w:rFonts w:asciiTheme="minorHAnsi" w:hAnsiTheme="minorHAnsi" w:cstheme="minorHAnsi"/>
                <w:sz w:val="19"/>
                <w:szCs w:val="19"/>
              </w:rPr>
              <w:t xml:space="preserve"> which has the functionality to monitor and report on participation rates in </w:t>
            </w:r>
            <w:r w:rsidR="0081744B" w:rsidRPr="00F17564">
              <w:rPr>
                <w:rFonts w:asciiTheme="minorHAnsi" w:hAnsiTheme="minorHAnsi" w:cstheme="minorHAnsi"/>
                <w:bCs/>
                <w:iCs/>
                <w:sz w:val="19"/>
                <w:szCs w:val="19"/>
              </w:rPr>
              <w:t xml:space="preserve">Family Donation Conversation </w:t>
            </w:r>
            <w:r w:rsidRPr="00F17564">
              <w:rPr>
                <w:rFonts w:asciiTheme="minorHAnsi" w:hAnsiTheme="minorHAnsi" w:cstheme="minorHAnsi"/>
                <w:sz w:val="19"/>
                <w:szCs w:val="19"/>
              </w:rPr>
              <w:t xml:space="preserve">Workshops, including the upload of retrospective participation data. This information can be downloaded by jurisdictions in a summary report bi-annually. </w:t>
            </w:r>
          </w:p>
        </w:tc>
        <w:tc>
          <w:tcPr>
            <w:tcW w:w="2268" w:type="dxa"/>
          </w:tcPr>
          <w:p w14:paraId="6945281A" w14:textId="77777777" w:rsidR="00B46DA0" w:rsidRPr="00F17564" w:rsidRDefault="00B46DA0" w:rsidP="005E179C">
            <w:pPr>
              <w:widowControl/>
              <w:autoSpaceDE/>
              <w:adjustRightInd/>
              <w:spacing w:before="40" w:after="40"/>
              <w:rPr>
                <w:rFonts w:asciiTheme="minorHAnsi" w:hAnsiTheme="minorHAnsi" w:cstheme="minorHAnsi"/>
                <w:spacing w:val="-2"/>
                <w:sz w:val="19"/>
                <w:szCs w:val="19"/>
              </w:rPr>
            </w:pPr>
            <w:r w:rsidRPr="00F17564">
              <w:rPr>
                <w:rFonts w:asciiTheme="minorHAnsi" w:hAnsiTheme="minorHAnsi" w:cstheme="minorHAnsi"/>
                <w:sz w:val="19"/>
                <w:szCs w:val="19"/>
              </w:rPr>
              <w:lastRenderedPageBreak/>
              <w:t>Completed</w:t>
            </w:r>
          </w:p>
        </w:tc>
      </w:tr>
      <w:tr w:rsidR="00B46DA0" w:rsidRPr="00DE02F8" w14:paraId="1123A52C" w14:textId="77777777" w:rsidTr="00AE3ED1">
        <w:tc>
          <w:tcPr>
            <w:tcW w:w="0" w:type="auto"/>
          </w:tcPr>
          <w:p w14:paraId="0012AB5E"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4</w:t>
            </w:r>
          </w:p>
        </w:tc>
        <w:tc>
          <w:tcPr>
            <w:tcW w:w="3133" w:type="dxa"/>
          </w:tcPr>
          <w:p w14:paraId="6744F489" w14:textId="77777777" w:rsidR="00B46DA0"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bCs/>
                <w:iCs/>
                <w:sz w:val="19"/>
                <w:szCs w:val="19"/>
              </w:rPr>
              <w:t>The number of living kidney donations should be reported and reviewed by the DonateLife Network and reported on the OTA website.</w:t>
            </w:r>
          </w:p>
        </w:tc>
        <w:tc>
          <w:tcPr>
            <w:tcW w:w="3827" w:type="dxa"/>
          </w:tcPr>
          <w:p w14:paraId="77C924C0" w14:textId="1F114769" w:rsidR="00FC1F0C"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 xml:space="preserve">The OTA’s level of reporting has been expanded to include all live donors, including those who are eligible for the Supporting Living Organ Donors Program. Living Kidney Donations are reported in the OTA’s Annual Report and the annual </w:t>
            </w:r>
            <w:r w:rsidRPr="00F17564">
              <w:rPr>
                <w:rFonts w:asciiTheme="minorHAnsi" w:hAnsiTheme="minorHAnsi" w:cstheme="minorHAnsi"/>
                <w:i/>
                <w:sz w:val="19"/>
                <w:szCs w:val="19"/>
              </w:rPr>
              <w:t xml:space="preserve">Australian Donation and Transplantation Activity Report </w:t>
            </w:r>
            <w:r w:rsidRPr="00F17564">
              <w:rPr>
                <w:rFonts w:asciiTheme="minorHAnsi" w:hAnsiTheme="minorHAnsi" w:cstheme="minorHAnsi"/>
                <w:sz w:val="19"/>
                <w:szCs w:val="19"/>
              </w:rPr>
              <w:t xml:space="preserve">and Fact Sheets published on the OTA website.  </w:t>
            </w:r>
          </w:p>
        </w:tc>
        <w:tc>
          <w:tcPr>
            <w:tcW w:w="2268" w:type="dxa"/>
          </w:tcPr>
          <w:p w14:paraId="7A93BF6D" w14:textId="77777777" w:rsidR="00B46DA0" w:rsidRPr="00F17564" w:rsidRDefault="00B46DA0" w:rsidP="005E179C">
            <w:pPr>
              <w:widowControl/>
              <w:autoSpaceDE/>
              <w:adjustRightInd/>
              <w:spacing w:before="40" w:after="40"/>
              <w:rPr>
                <w:rFonts w:asciiTheme="minorHAnsi" w:hAnsiTheme="minorHAnsi" w:cstheme="minorHAnsi"/>
                <w:spacing w:val="-2"/>
                <w:sz w:val="19"/>
                <w:szCs w:val="19"/>
              </w:rPr>
            </w:pPr>
            <w:r w:rsidRPr="00F17564">
              <w:rPr>
                <w:rFonts w:asciiTheme="minorHAnsi" w:hAnsiTheme="minorHAnsi" w:cstheme="minorHAnsi"/>
                <w:sz w:val="19"/>
                <w:szCs w:val="19"/>
              </w:rPr>
              <w:t>Completed</w:t>
            </w:r>
          </w:p>
        </w:tc>
      </w:tr>
      <w:tr w:rsidR="00B46DA0" w:rsidRPr="00DE02F8" w14:paraId="0E213EC8" w14:textId="77777777" w:rsidTr="00AE3ED1">
        <w:tc>
          <w:tcPr>
            <w:tcW w:w="0" w:type="auto"/>
          </w:tcPr>
          <w:p w14:paraId="1F84441B"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5</w:t>
            </w:r>
          </w:p>
        </w:tc>
        <w:tc>
          <w:tcPr>
            <w:tcW w:w="3133" w:type="dxa"/>
          </w:tcPr>
          <w:p w14:paraId="30357F59" w14:textId="77777777" w:rsidR="00B46DA0"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bCs/>
                <w:iCs/>
                <w:color w:val="000000"/>
                <w:sz w:val="19"/>
                <w:szCs w:val="19"/>
              </w:rPr>
              <w:t xml:space="preserve">The Australian Government should consider amendments to the Australian </w:t>
            </w:r>
            <w:r w:rsidRPr="003E6F1F">
              <w:rPr>
                <w:rFonts w:asciiTheme="minorHAnsi" w:hAnsiTheme="minorHAnsi" w:cstheme="minorHAnsi"/>
                <w:bCs/>
                <w:i/>
                <w:iCs/>
                <w:color w:val="000000"/>
                <w:sz w:val="19"/>
                <w:szCs w:val="19"/>
              </w:rPr>
              <w:t>Organ and Tissue Donation and Transplantation Authority Act 2008</w:t>
            </w:r>
            <w:r w:rsidRPr="00F17564">
              <w:rPr>
                <w:rFonts w:asciiTheme="minorHAnsi" w:hAnsiTheme="minorHAnsi" w:cstheme="minorHAnsi"/>
                <w:bCs/>
                <w:iCs/>
                <w:color w:val="000000"/>
                <w:sz w:val="19"/>
                <w:szCs w:val="19"/>
              </w:rPr>
              <w:t xml:space="preserve"> to establish a Board of governance of seven to nine people to govern the OTA. </w:t>
            </w:r>
          </w:p>
        </w:tc>
        <w:tc>
          <w:tcPr>
            <w:tcW w:w="3827" w:type="dxa"/>
          </w:tcPr>
          <w:p w14:paraId="70A88E96" w14:textId="74ED4C86" w:rsidR="00FC1F0C"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 xml:space="preserve">The </w:t>
            </w:r>
            <w:r w:rsidRPr="00F17564">
              <w:rPr>
                <w:rFonts w:asciiTheme="minorHAnsi" w:hAnsiTheme="minorHAnsi" w:cstheme="minorHAnsi"/>
                <w:i/>
                <w:sz w:val="19"/>
                <w:szCs w:val="19"/>
              </w:rPr>
              <w:t xml:space="preserve">Australian Organ and Tissue Donation and Transplantation Authority Amendment (New Governance Arrangements) Act </w:t>
            </w:r>
            <w:r w:rsidRPr="00F17564">
              <w:rPr>
                <w:rFonts w:asciiTheme="minorHAnsi" w:hAnsiTheme="minorHAnsi" w:cstheme="minorHAnsi"/>
                <w:sz w:val="19"/>
                <w:szCs w:val="19"/>
              </w:rPr>
              <w:t xml:space="preserve">received Royal Assent on 30 November 2016. From 1 July 2017 the Amendment Act amended the OTA Act establishing a Board to govern the OTA and transferring the role of ‘Accountable Authority’ under the </w:t>
            </w:r>
            <w:r w:rsidRPr="00F17564">
              <w:rPr>
                <w:rFonts w:asciiTheme="minorHAnsi" w:hAnsiTheme="minorHAnsi" w:cstheme="minorHAnsi"/>
                <w:i/>
                <w:sz w:val="19"/>
                <w:szCs w:val="19"/>
              </w:rPr>
              <w:t xml:space="preserve">Public Governance, Performance and Accountability Act 2013 </w:t>
            </w:r>
            <w:r w:rsidRPr="00F17564">
              <w:rPr>
                <w:rFonts w:asciiTheme="minorHAnsi" w:hAnsiTheme="minorHAnsi" w:cstheme="minorHAnsi"/>
                <w:sz w:val="19"/>
                <w:szCs w:val="19"/>
              </w:rPr>
              <w:t>from the CEO to the Board.</w:t>
            </w:r>
          </w:p>
        </w:tc>
        <w:tc>
          <w:tcPr>
            <w:tcW w:w="2268" w:type="dxa"/>
          </w:tcPr>
          <w:p w14:paraId="0D72F4AD" w14:textId="77777777" w:rsidR="00B46DA0" w:rsidRPr="00F17564" w:rsidRDefault="00B46DA0" w:rsidP="005E179C">
            <w:pPr>
              <w:widowControl/>
              <w:autoSpaceDE/>
              <w:adjustRightInd/>
              <w:spacing w:before="40" w:after="40"/>
              <w:rPr>
                <w:rFonts w:asciiTheme="minorHAnsi" w:hAnsiTheme="minorHAnsi" w:cstheme="minorHAnsi"/>
                <w:spacing w:val="-2"/>
                <w:sz w:val="19"/>
                <w:szCs w:val="19"/>
              </w:rPr>
            </w:pPr>
            <w:r w:rsidRPr="00F17564">
              <w:rPr>
                <w:rFonts w:asciiTheme="minorHAnsi" w:hAnsiTheme="minorHAnsi" w:cstheme="minorHAnsi"/>
                <w:sz w:val="19"/>
                <w:szCs w:val="19"/>
              </w:rPr>
              <w:t>Completed</w:t>
            </w:r>
          </w:p>
        </w:tc>
      </w:tr>
      <w:tr w:rsidR="00B46DA0" w:rsidRPr="00DE02F8" w14:paraId="23B598EC" w14:textId="77777777" w:rsidTr="00AE3ED1">
        <w:tc>
          <w:tcPr>
            <w:tcW w:w="0" w:type="auto"/>
          </w:tcPr>
          <w:p w14:paraId="2C723F65"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6</w:t>
            </w:r>
          </w:p>
        </w:tc>
        <w:tc>
          <w:tcPr>
            <w:tcW w:w="3133" w:type="dxa"/>
          </w:tcPr>
          <w:p w14:paraId="35F6DD22" w14:textId="77777777" w:rsidR="00B46DA0"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bCs/>
                <w:iCs/>
                <w:color w:val="000000"/>
                <w:sz w:val="19"/>
                <w:szCs w:val="19"/>
              </w:rPr>
              <w:t xml:space="preserve">The Chair of the Board of governance should be an experienced leader of public hospital organisations, but need not be a clinician. </w:t>
            </w:r>
          </w:p>
        </w:tc>
        <w:tc>
          <w:tcPr>
            <w:tcW w:w="3827" w:type="dxa"/>
          </w:tcPr>
          <w:p w14:paraId="1D5C3A28" w14:textId="4E9DB886" w:rsidR="00FC1F0C"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 xml:space="preserve">Dr Mal Washer was appointed Chair of the OTA board from 1 July 2017. This appointment satisfies the requirements of the </w:t>
            </w:r>
            <w:r w:rsidRPr="00F17564">
              <w:rPr>
                <w:rFonts w:asciiTheme="minorHAnsi" w:hAnsiTheme="minorHAnsi" w:cstheme="minorHAnsi"/>
                <w:i/>
                <w:sz w:val="19"/>
                <w:szCs w:val="19"/>
              </w:rPr>
              <w:t xml:space="preserve">Australian Organ and Tissue Donation and Transplantation Authority Amendment (New Governance Arrangements) Act </w:t>
            </w:r>
            <w:r w:rsidRPr="00F17564">
              <w:rPr>
                <w:rFonts w:asciiTheme="minorHAnsi" w:hAnsiTheme="minorHAnsi" w:cstheme="minorHAnsi"/>
                <w:sz w:val="19"/>
                <w:szCs w:val="19"/>
              </w:rPr>
              <w:t xml:space="preserve">that the </w:t>
            </w:r>
            <w:r w:rsidRPr="00F17564">
              <w:rPr>
                <w:rFonts w:asciiTheme="minorHAnsi" w:hAnsiTheme="minorHAnsi" w:cstheme="minorHAnsi"/>
                <w:sz w:val="19"/>
                <w:szCs w:val="19"/>
                <w:lang w:val="en-US"/>
              </w:rPr>
              <w:t>Chair of the Board must have substantial experience in, or substantial knowledge of at least one of the following fields: (a) public administration; (b) business; (c) management.</w:t>
            </w:r>
          </w:p>
        </w:tc>
        <w:tc>
          <w:tcPr>
            <w:tcW w:w="2268" w:type="dxa"/>
          </w:tcPr>
          <w:p w14:paraId="762FD2C4" w14:textId="77777777" w:rsidR="00B46DA0" w:rsidRPr="00F17564" w:rsidRDefault="00B46DA0" w:rsidP="005E179C">
            <w:pPr>
              <w:widowControl/>
              <w:autoSpaceDE/>
              <w:adjustRightInd/>
              <w:spacing w:before="40" w:after="40"/>
              <w:rPr>
                <w:rFonts w:asciiTheme="minorHAnsi" w:hAnsiTheme="minorHAnsi" w:cstheme="minorHAnsi"/>
                <w:spacing w:val="-2"/>
                <w:sz w:val="19"/>
                <w:szCs w:val="19"/>
              </w:rPr>
            </w:pPr>
            <w:r w:rsidRPr="00F17564">
              <w:rPr>
                <w:rFonts w:asciiTheme="minorHAnsi" w:hAnsiTheme="minorHAnsi" w:cstheme="minorHAnsi"/>
                <w:sz w:val="19"/>
                <w:szCs w:val="19"/>
              </w:rPr>
              <w:t>Completed</w:t>
            </w:r>
          </w:p>
        </w:tc>
      </w:tr>
      <w:tr w:rsidR="00B46DA0" w:rsidRPr="00DE02F8" w14:paraId="27CE3454" w14:textId="77777777" w:rsidTr="00AE3ED1">
        <w:tc>
          <w:tcPr>
            <w:tcW w:w="0" w:type="auto"/>
          </w:tcPr>
          <w:p w14:paraId="08B868FC"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7</w:t>
            </w:r>
          </w:p>
        </w:tc>
        <w:tc>
          <w:tcPr>
            <w:tcW w:w="3133" w:type="dxa"/>
          </w:tcPr>
          <w:p w14:paraId="25A03775" w14:textId="77777777" w:rsidR="00B46DA0"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bCs/>
                <w:iCs/>
                <w:color w:val="000000"/>
                <w:sz w:val="19"/>
                <w:szCs w:val="19"/>
              </w:rPr>
              <w:t xml:space="preserve">The skill base of the Board should include community leadership, health promotion expertise, DonateLife Network clinical expertise, transplantation clinical expertise, consumer experience and communication skills. </w:t>
            </w:r>
          </w:p>
        </w:tc>
        <w:tc>
          <w:tcPr>
            <w:tcW w:w="3827" w:type="dxa"/>
          </w:tcPr>
          <w:p w14:paraId="50DFAFA1" w14:textId="13BCD2A9" w:rsidR="00FC1F0C"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i/>
                <w:sz w:val="19"/>
                <w:szCs w:val="19"/>
              </w:rPr>
              <w:t xml:space="preserve">The Australian Organ and Tissue Donation and Transplantation Authority Amendment (New Governance Arrangements) Act </w:t>
            </w:r>
            <w:r w:rsidRPr="00F17564">
              <w:rPr>
                <w:rFonts w:asciiTheme="minorHAnsi" w:hAnsiTheme="minorHAnsi" w:cstheme="minorHAnsi"/>
                <w:sz w:val="19"/>
                <w:szCs w:val="19"/>
              </w:rPr>
              <w:t>2016 requires that a person is not eligible to be appointed to the Board (other than the Chair) unless the person meets the requirements of 13F subsection (4). 13F subsection (4) outlines the required fields a person is to have substantial experience in, or substantial knowledge of, to be eligible for appointment as a Board member (other than the Chair).</w:t>
            </w:r>
          </w:p>
        </w:tc>
        <w:tc>
          <w:tcPr>
            <w:tcW w:w="2268" w:type="dxa"/>
          </w:tcPr>
          <w:p w14:paraId="3061823D" w14:textId="77777777" w:rsidR="00B46DA0" w:rsidRPr="00F17564" w:rsidRDefault="00B46DA0" w:rsidP="005E179C">
            <w:pPr>
              <w:widowControl/>
              <w:autoSpaceDE/>
              <w:adjustRightInd/>
              <w:spacing w:before="40" w:after="40"/>
              <w:rPr>
                <w:rFonts w:asciiTheme="minorHAnsi" w:hAnsiTheme="minorHAnsi" w:cstheme="minorHAnsi"/>
                <w:spacing w:val="-2"/>
                <w:sz w:val="19"/>
                <w:szCs w:val="19"/>
              </w:rPr>
            </w:pPr>
            <w:r w:rsidRPr="00F17564">
              <w:rPr>
                <w:rFonts w:asciiTheme="minorHAnsi" w:hAnsiTheme="minorHAnsi" w:cstheme="minorHAnsi"/>
                <w:sz w:val="19"/>
                <w:szCs w:val="19"/>
              </w:rPr>
              <w:t>Completed</w:t>
            </w:r>
          </w:p>
        </w:tc>
      </w:tr>
      <w:tr w:rsidR="00B46DA0" w:rsidRPr="00DE02F8" w14:paraId="5CD31597" w14:textId="77777777" w:rsidTr="00AE3ED1">
        <w:tc>
          <w:tcPr>
            <w:tcW w:w="0" w:type="auto"/>
          </w:tcPr>
          <w:p w14:paraId="2CBA5003"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8</w:t>
            </w:r>
          </w:p>
        </w:tc>
        <w:tc>
          <w:tcPr>
            <w:tcW w:w="3133" w:type="dxa"/>
          </w:tcPr>
          <w:p w14:paraId="029C403C" w14:textId="4E676396" w:rsidR="009C7D5A" w:rsidRPr="00F526D8" w:rsidRDefault="00B46DA0" w:rsidP="005E179C">
            <w:pPr>
              <w:spacing w:before="40" w:after="40"/>
              <w:outlineLvl w:val="6"/>
              <w:rPr>
                <w:rFonts w:asciiTheme="minorHAnsi" w:hAnsiTheme="minorHAnsi" w:cstheme="minorHAnsi"/>
                <w:bCs/>
                <w:iCs/>
                <w:color w:val="000000"/>
                <w:sz w:val="19"/>
                <w:szCs w:val="19"/>
              </w:rPr>
            </w:pPr>
            <w:r w:rsidRPr="00F17564">
              <w:rPr>
                <w:rFonts w:asciiTheme="minorHAnsi" w:hAnsiTheme="minorHAnsi" w:cstheme="minorHAnsi"/>
                <w:bCs/>
                <w:iCs/>
                <w:color w:val="000000"/>
                <w:sz w:val="19"/>
                <w:szCs w:val="19"/>
              </w:rPr>
              <w:t>The Chair should be nominated by the Australian Government, the deputy chair nominated by the states and territories, with the balance of members nominated collectively by the COAG</w:t>
            </w:r>
            <w:r>
              <w:rPr>
                <w:rFonts w:asciiTheme="minorHAnsi" w:hAnsiTheme="minorHAnsi" w:cstheme="minorHAnsi"/>
                <w:bCs/>
                <w:iCs/>
                <w:color w:val="000000"/>
                <w:sz w:val="19"/>
                <w:szCs w:val="19"/>
              </w:rPr>
              <w:t xml:space="preserve"> </w:t>
            </w:r>
            <w:r w:rsidRPr="00F17564">
              <w:rPr>
                <w:rFonts w:asciiTheme="minorHAnsi" w:hAnsiTheme="minorHAnsi" w:cstheme="minorHAnsi"/>
                <w:bCs/>
                <w:iCs/>
                <w:color w:val="000000"/>
                <w:sz w:val="19"/>
                <w:szCs w:val="19"/>
              </w:rPr>
              <w:t>H</w:t>
            </w:r>
            <w:r>
              <w:rPr>
                <w:rFonts w:asciiTheme="minorHAnsi" w:hAnsiTheme="minorHAnsi" w:cstheme="minorHAnsi"/>
                <w:bCs/>
                <w:iCs/>
                <w:color w:val="000000"/>
                <w:sz w:val="19"/>
                <w:szCs w:val="19"/>
              </w:rPr>
              <w:t xml:space="preserve">ealth </w:t>
            </w:r>
            <w:r w:rsidRPr="00F17564">
              <w:rPr>
                <w:rFonts w:asciiTheme="minorHAnsi" w:hAnsiTheme="minorHAnsi" w:cstheme="minorHAnsi"/>
                <w:bCs/>
                <w:iCs/>
                <w:color w:val="000000"/>
                <w:sz w:val="19"/>
                <w:szCs w:val="19"/>
              </w:rPr>
              <w:t>C</w:t>
            </w:r>
            <w:r>
              <w:rPr>
                <w:rFonts w:asciiTheme="minorHAnsi" w:hAnsiTheme="minorHAnsi" w:cstheme="minorHAnsi"/>
                <w:bCs/>
                <w:iCs/>
                <w:color w:val="000000"/>
                <w:sz w:val="19"/>
                <w:szCs w:val="19"/>
              </w:rPr>
              <w:t>ouncil</w:t>
            </w:r>
            <w:r w:rsidRPr="00F17564">
              <w:rPr>
                <w:rFonts w:asciiTheme="minorHAnsi" w:hAnsiTheme="minorHAnsi" w:cstheme="minorHAnsi"/>
                <w:bCs/>
                <w:iCs/>
                <w:color w:val="000000"/>
                <w:sz w:val="19"/>
                <w:szCs w:val="19"/>
              </w:rPr>
              <w:t xml:space="preserve"> members. </w:t>
            </w:r>
          </w:p>
        </w:tc>
        <w:tc>
          <w:tcPr>
            <w:tcW w:w="3827" w:type="dxa"/>
          </w:tcPr>
          <w:p w14:paraId="3F58F9AA" w14:textId="77777777" w:rsidR="00B46DA0"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 xml:space="preserve">This process of nomination and appointment is set out in the </w:t>
            </w:r>
            <w:r w:rsidRPr="00F17564">
              <w:rPr>
                <w:rFonts w:asciiTheme="minorHAnsi" w:hAnsiTheme="minorHAnsi" w:cstheme="minorHAnsi"/>
                <w:i/>
                <w:sz w:val="19"/>
                <w:szCs w:val="19"/>
              </w:rPr>
              <w:t xml:space="preserve">Australian Organ and Tissue Donation and Transplantation Authority Amendment (New Governance Arrangements) Act 2016. </w:t>
            </w:r>
          </w:p>
        </w:tc>
        <w:tc>
          <w:tcPr>
            <w:tcW w:w="2268" w:type="dxa"/>
          </w:tcPr>
          <w:p w14:paraId="536ECD9E" w14:textId="77777777" w:rsidR="00B46DA0" w:rsidRPr="00F17564" w:rsidRDefault="00B46DA0" w:rsidP="005E179C">
            <w:pPr>
              <w:widowControl/>
              <w:autoSpaceDE/>
              <w:adjustRightInd/>
              <w:spacing w:before="40" w:after="40"/>
              <w:rPr>
                <w:rFonts w:asciiTheme="minorHAnsi" w:hAnsiTheme="minorHAnsi" w:cstheme="minorHAnsi"/>
                <w:spacing w:val="-2"/>
                <w:sz w:val="19"/>
                <w:szCs w:val="19"/>
              </w:rPr>
            </w:pPr>
            <w:r w:rsidRPr="00F17564">
              <w:rPr>
                <w:rFonts w:asciiTheme="minorHAnsi" w:hAnsiTheme="minorHAnsi" w:cstheme="minorHAnsi"/>
                <w:sz w:val="19"/>
                <w:szCs w:val="19"/>
              </w:rPr>
              <w:t>Completed</w:t>
            </w:r>
          </w:p>
        </w:tc>
      </w:tr>
      <w:tr w:rsidR="00B46DA0" w:rsidRPr="00DE02F8" w14:paraId="012E75D1" w14:textId="77777777" w:rsidTr="00AE3ED1">
        <w:tc>
          <w:tcPr>
            <w:tcW w:w="0" w:type="auto"/>
          </w:tcPr>
          <w:p w14:paraId="28F030FA"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9</w:t>
            </w:r>
          </w:p>
        </w:tc>
        <w:tc>
          <w:tcPr>
            <w:tcW w:w="3133" w:type="dxa"/>
          </w:tcPr>
          <w:p w14:paraId="2193A89C" w14:textId="77777777" w:rsidR="00B46DA0"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bCs/>
                <w:iCs/>
                <w:color w:val="000000"/>
                <w:sz w:val="19"/>
                <w:szCs w:val="19"/>
              </w:rPr>
              <w:t xml:space="preserve">The members should be appointed for a term of four years by the Australian Government Minister, with staggered appointments at the commencement of Board of </w:t>
            </w:r>
            <w:r w:rsidRPr="00F17564">
              <w:rPr>
                <w:rFonts w:asciiTheme="minorHAnsi" w:hAnsiTheme="minorHAnsi" w:cstheme="minorHAnsi"/>
                <w:bCs/>
                <w:iCs/>
                <w:color w:val="000000"/>
                <w:sz w:val="19"/>
                <w:szCs w:val="19"/>
              </w:rPr>
              <w:lastRenderedPageBreak/>
              <w:t>governance operations.</w:t>
            </w:r>
          </w:p>
        </w:tc>
        <w:tc>
          <w:tcPr>
            <w:tcW w:w="3827" w:type="dxa"/>
          </w:tcPr>
          <w:p w14:paraId="38B82E95" w14:textId="7811F1DF" w:rsidR="00B46DA0"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lastRenderedPageBreak/>
              <w:t xml:space="preserve">All OTA Board members have been appointed for a </w:t>
            </w:r>
            <w:r w:rsidR="00DB2089" w:rsidRPr="00F17564">
              <w:rPr>
                <w:rFonts w:asciiTheme="minorHAnsi" w:hAnsiTheme="minorHAnsi" w:cstheme="minorHAnsi"/>
                <w:sz w:val="19"/>
                <w:szCs w:val="19"/>
              </w:rPr>
              <w:t>four-year</w:t>
            </w:r>
            <w:r w:rsidRPr="00F17564">
              <w:rPr>
                <w:rFonts w:asciiTheme="minorHAnsi" w:hAnsiTheme="minorHAnsi" w:cstheme="minorHAnsi"/>
                <w:sz w:val="19"/>
                <w:szCs w:val="19"/>
              </w:rPr>
              <w:t xml:space="preserve"> period.</w:t>
            </w:r>
          </w:p>
        </w:tc>
        <w:tc>
          <w:tcPr>
            <w:tcW w:w="2268" w:type="dxa"/>
          </w:tcPr>
          <w:p w14:paraId="0CDFCFAA" w14:textId="77777777" w:rsidR="00B46DA0" w:rsidRPr="00F17564" w:rsidRDefault="00B46DA0" w:rsidP="005E179C">
            <w:pPr>
              <w:widowControl/>
              <w:autoSpaceDE/>
              <w:adjustRightInd/>
              <w:spacing w:before="40" w:after="40"/>
              <w:rPr>
                <w:rFonts w:asciiTheme="minorHAnsi" w:hAnsiTheme="minorHAnsi" w:cstheme="minorHAnsi"/>
                <w:spacing w:val="-2"/>
                <w:sz w:val="19"/>
                <w:szCs w:val="19"/>
              </w:rPr>
            </w:pPr>
            <w:r w:rsidRPr="00F17564">
              <w:rPr>
                <w:rFonts w:asciiTheme="minorHAnsi" w:hAnsiTheme="minorHAnsi" w:cstheme="minorHAnsi"/>
                <w:sz w:val="19"/>
                <w:szCs w:val="19"/>
              </w:rPr>
              <w:t>Completed</w:t>
            </w:r>
          </w:p>
        </w:tc>
      </w:tr>
      <w:tr w:rsidR="00B46DA0" w:rsidRPr="00DE02F8" w14:paraId="0950E97B" w14:textId="77777777" w:rsidTr="00AE3ED1">
        <w:tc>
          <w:tcPr>
            <w:tcW w:w="0" w:type="auto"/>
          </w:tcPr>
          <w:p w14:paraId="6E6A8A38"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10</w:t>
            </w:r>
          </w:p>
        </w:tc>
        <w:tc>
          <w:tcPr>
            <w:tcW w:w="3133" w:type="dxa"/>
          </w:tcPr>
          <w:p w14:paraId="08458880" w14:textId="77777777" w:rsidR="00B46DA0" w:rsidRPr="00F17564" w:rsidRDefault="00B46DA0" w:rsidP="005E179C">
            <w:pPr>
              <w:spacing w:after="60"/>
              <w:rPr>
                <w:rFonts w:asciiTheme="minorHAnsi" w:hAnsiTheme="minorHAnsi" w:cstheme="minorHAnsi"/>
                <w:color w:val="000000"/>
                <w:sz w:val="19"/>
                <w:szCs w:val="19"/>
              </w:rPr>
            </w:pPr>
            <w:r w:rsidRPr="00F17564">
              <w:rPr>
                <w:rFonts w:asciiTheme="minorHAnsi" w:hAnsiTheme="minorHAnsi" w:cstheme="minorHAnsi"/>
                <w:bCs/>
                <w:iCs/>
                <w:color w:val="000000"/>
                <w:sz w:val="19"/>
                <w:szCs w:val="19"/>
              </w:rPr>
              <w:t xml:space="preserve">The OTA should prominently publish the following data on the performance of the DonateLife Network: </w:t>
            </w:r>
          </w:p>
          <w:p w14:paraId="6E9242C8" w14:textId="77777777" w:rsidR="00B46DA0" w:rsidRPr="00F17564" w:rsidRDefault="00B46DA0" w:rsidP="005E179C">
            <w:pPr>
              <w:pStyle w:val="Bulletlistlvl1"/>
              <w:numPr>
                <w:ilvl w:val="0"/>
                <w:numId w:val="27"/>
              </w:numPr>
              <w:tabs>
                <w:tab w:val="clear" w:pos="284"/>
                <w:tab w:val="clear" w:pos="567"/>
                <w:tab w:val="left" w:pos="0"/>
                <w:tab w:val="left" w:pos="33"/>
              </w:tabs>
              <w:spacing w:after="0" w:line="240" w:lineRule="auto"/>
              <w:ind w:left="343" w:hanging="284"/>
              <w:rPr>
                <w:rFonts w:asciiTheme="minorHAnsi" w:hAnsiTheme="minorHAnsi" w:cstheme="minorHAnsi"/>
                <w:szCs w:val="19"/>
              </w:rPr>
            </w:pPr>
            <w:r w:rsidRPr="00F17564">
              <w:rPr>
                <w:rFonts w:asciiTheme="minorHAnsi" w:hAnsiTheme="minorHAnsi" w:cstheme="minorHAnsi"/>
                <w:szCs w:val="19"/>
              </w:rPr>
              <w:t xml:space="preserve">Donation rates by jurisdiction </w:t>
            </w:r>
            <w:r w:rsidRPr="00F17564">
              <w:rPr>
                <w:rFonts w:asciiTheme="minorHAnsi" w:hAnsiTheme="minorHAnsi" w:cstheme="minorHAnsi" w:hint="eastAsia"/>
                <w:szCs w:val="19"/>
              </w:rPr>
              <w:t>–</w:t>
            </w:r>
            <w:r w:rsidRPr="00F17564">
              <w:rPr>
                <w:rFonts w:asciiTheme="minorHAnsi" w:hAnsiTheme="minorHAnsi" w:cstheme="minorHAnsi"/>
                <w:szCs w:val="19"/>
              </w:rPr>
              <w:t xml:space="preserve"> quarterly for New South Wales, Queensland, Victoria, South Australia and Western Australia and annually for Tasmania, Australian Capital Territory and Northern Territory. </w:t>
            </w:r>
          </w:p>
          <w:p w14:paraId="7C18D9E7" w14:textId="77777777" w:rsidR="00B46DA0" w:rsidRPr="00F17564" w:rsidRDefault="00B46DA0" w:rsidP="005E179C">
            <w:pPr>
              <w:pStyle w:val="Bulletlistlvl1"/>
              <w:numPr>
                <w:ilvl w:val="0"/>
                <w:numId w:val="27"/>
              </w:numPr>
              <w:tabs>
                <w:tab w:val="clear" w:pos="284"/>
                <w:tab w:val="clear" w:pos="567"/>
                <w:tab w:val="left" w:pos="0"/>
                <w:tab w:val="left" w:pos="33"/>
              </w:tabs>
              <w:spacing w:after="0" w:line="240" w:lineRule="auto"/>
              <w:ind w:left="343" w:hanging="284"/>
              <w:rPr>
                <w:rFonts w:asciiTheme="minorHAnsi" w:hAnsiTheme="minorHAnsi" w:cstheme="minorHAnsi"/>
                <w:szCs w:val="19"/>
              </w:rPr>
            </w:pPr>
            <w:r w:rsidRPr="00F17564">
              <w:rPr>
                <w:rFonts w:asciiTheme="minorHAnsi" w:hAnsiTheme="minorHAnsi" w:cstheme="minorHAnsi"/>
                <w:szCs w:val="19"/>
              </w:rPr>
              <w:t xml:space="preserve">Numbers of people on the </w:t>
            </w:r>
            <w:r>
              <w:rPr>
                <w:rFonts w:asciiTheme="minorHAnsi" w:hAnsiTheme="minorHAnsi" w:cstheme="minorHAnsi"/>
                <w:szCs w:val="19"/>
              </w:rPr>
              <w:t>transplantation waiting list</w:t>
            </w:r>
            <w:r w:rsidRPr="00F17564">
              <w:rPr>
                <w:rFonts w:asciiTheme="minorHAnsi" w:hAnsiTheme="minorHAnsi" w:cstheme="minorHAnsi"/>
                <w:szCs w:val="19"/>
              </w:rPr>
              <w:t xml:space="preserve"> for each organ type annually. </w:t>
            </w:r>
          </w:p>
          <w:p w14:paraId="606C7ECF" w14:textId="77777777" w:rsidR="00B46DA0" w:rsidRPr="00F17564" w:rsidRDefault="00B46DA0" w:rsidP="005E179C">
            <w:pPr>
              <w:pStyle w:val="Bulletlistlvl1"/>
              <w:numPr>
                <w:ilvl w:val="0"/>
                <w:numId w:val="27"/>
              </w:numPr>
              <w:tabs>
                <w:tab w:val="clear" w:pos="284"/>
                <w:tab w:val="clear" w:pos="567"/>
                <w:tab w:val="left" w:pos="0"/>
                <w:tab w:val="left" w:pos="33"/>
              </w:tabs>
              <w:spacing w:after="0" w:line="240" w:lineRule="auto"/>
              <w:ind w:left="343" w:hanging="284"/>
              <w:rPr>
                <w:rFonts w:asciiTheme="minorHAnsi" w:hAnsiTheme="minorHAnsi" w:cstheme="minorHAnsi"/>
                <w:szCs w:val="19"/>
              </w:rPr>
            </w:pPr>
            <w:r w:rsidRPr="00F17564">
              <w:rPr>
                <w:rFonts w:asciiTheme="minorHAnsi" w:hAnsiTheme="minorHAnsi" w:cstheme="minorHAnsi"/>
                <w:szCs w:val="19"/>
              </w:rPr>
              <w:t xml:space="preserve">Deaths on the waiting list for each organ type annually. </w:t>
            </w:r>
          </w:p>
          <w:p w14:paraId="4E053A07" w14:textId="4DEA5909" w:rsidR="00FC1F0C"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bCs/>
                <w:iCs/>
                <w:color w:val="000000"/>
                <w:sz w:val="19"/>
                <w:szCs w:val="19"/>
              </w:rPr>
              <w:t xml:space="preserve">In addition, the OTA should further consider the publication of donation performance (appropriately risk adjusted) by hospital. </w:t>
            </w:r>
          </w:p>
        </w:tc>
        <w:tc>
          <w:tcPr>
            <w:tcW w:w="3827" w:type="dxa"/>
          </w:tcPr>
          <w:p w14:paraId="398FFCBB" w14:textId="77777777" w:rsidR="00B46DA0"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 xml:space="preserve">The data on performance set out in Recommendation 10 has all been included and published on either the OTA website or in the OTA Annual Report.   </w:t>
            </w:r>
          </w:p>
        </w:tc>
        <w:tc>
          <w:tcPr>
            <w:tcW w:w="2268" w:type="dxa"/>
          </w:tcPr>
          <w:p w14:paraId="63DF51C5" w14:textId="77777777" w:rsidR="00B46DA0" w:rsidRPr="00F17564" w:rsidRDefault="00B46DA0" w:rsidP="005E179C">
            <w:pPr>
              <w:widowControl/>
              <w:autoSpaceDE/>
              <w:adjustRightInd/>
              <w:spacing w:before="40" w:after="40"/>
              <w:rPr>
                <w:rFonts w:asciiTheme="minorHAnsi" w:hAnsiTheme="minorHAnsi" w:cstheme="minorHAnsi"/>
                <w:spacing w:val="-2"/>
                <w:sz w:val="19"/>
                <w:szCs w:val="19"/>
              </w:rPr>
            </w:pPr>
            <w:r>
              <w:rPr>
                <w:rFonts w:asciiTheme="minorHAnsi" w:hAnsiTheme="minorHAnsi" w:cstheme="minorHAnsi"/>
                <w:sz w:val="19"/>
                <w:szCs w:val="19"/>
              </w:rPr>
              <w:t>Completed. Hospital d</w:t>
            </w:r>
            <w:r w:rsidRPr="00F17564">
              <w:rPr>
                <w:rFonts w:asciiTheme="minorHAnsi" w:hAnsiTheme="minorHAnsi" w:cstheme="minorHAnsi"/>
                <w:sz w:val="19"/>
                <w:szCs w:val="19"/>
              </w:rPr>
              <w:t xml:space="preserve">onation performance </w:t>
            </w:r>
            <w:r>
              <w:rPr>
                <w:rFonts w:asciiTheme="minorHAnsi" w:hAnsiTheme="minorHAnsi" w:cstheme="minorHAnsi"/>
                <w:sz w:val="19"/>
                <w:szCs w:val="19"/>
              </w:rPr>
              <w:t xml:space="preserve">is currently available via a link to the Australia and New Zealand Organ Registry on the OTA website. </w:t>
            </w:r>
          </w:p>
        </w:tc>
      </w:tr>
      <w:tr w:rsidR="00B46DA0" w:rsidRPr="00DE02F8" w14:paraId="1AE5B616" w14:textId="77777777" w:rsidTr="00AE3ED1">
        <w:tc>
          <w:tcPr>
            <w:tcW w:w="0" w:type="auto"/>
          </w:tcPr>
          <w:p w14:paraId="0019D147"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11</w:t>
            </w:r>
          </w:p>
        </w:tc>
        <w:tc>
          <w:tcPr>
            <w:tcW w:w="3133" w:type="dxa"/>
          </w:tcPr>
          <w:p w14:paraId="797E501B" w14:textId="77777777" w:rsidR="00B46DA0"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bCs/>
                <w:iCs/>
                <w:sz w:val="19"/>
                <w:szCs w:val="19"/>
              </w:rPr>
              <w:t>States and territories should clearly define who is responsible for organ donation rates within their jurisdiction and monitor the implementation of the DonateLife Network positions within their constituent Local Hospital Networks.</w:t>
            </w:r>
          </w:p>
        </w:tc>
        <w:tc>
          <w:tcPr>
            <w:tcW w:w="3827" w:type="dxa"/>
          </w:tcPr>
          <w:p w14:paraId="4A4F8090" w14:textId="32669E97" w:rsidR="00B46DA0" w:rsidRPr="00F17564" w:rsidRDefault="00B46DA0" w:rsidP="00FC1F0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 xml:space="preserve">The Australian Government has confirmed that organ donation and transplantation is a state and territory responsibility. State and Territory Funding Agreements between all Jurisdictions and the </w:t>
            </w:r>
            <w:r w:rsidRPr="00447661">
              <w:rPr>
                <w:rFonts w:asciiTheme="minorHAnsi" w:hAnsiTheme="minorHAnsi" w:cstheme="minorHAnsi"/>
                <w:sz w:val="19"/>
                <w:szCs w:val="19"/>
              </w:rPr>
              <w:t>Australian Government</w:t>
            </w:r>
            <w:r w:rsidRPr="00F17564">
              <w:rPr>
                <w:rFonts w:asciiTheme="minorHAnsi" w:hAnsiTheme="minorHAnsi" w:cstheme="minorHAnsi"/>
                <w:sz w:val="19"/>
                <w:szCs w:val="19"/>
              </w:rPr>
              <w:t xml:space="preserve"> have been entered in for the period of 1 July 2018 – 30 June 2020. </w:t>
            </w:r>
          </w:p>
        </w:tc>
        <w:tc>
          <w:tcPr>
            <w:tcW w:w="2268" w:type="dxa"/>
          </w:tcPr>
          <w:p w14:paraId="6703E143" w14:textId="77777777" w:rsidR="00B46DA0" w:rsidRPr="00F17564" w:rsidRDefault="00B46DA0" w:rsidP="005E179C">
            <w:pPr>
              <w:widowControl/>
              <w:autoSpaceDE/>
              <w:adjustRightInd/>
              <w:spacing w:before="40" w:after="40"/>
              <w:rPr>
                <w:rFonts w:asciiTheme="minorHAnsi" w:hAnsiTheme="minorHAnsi" w:cstheme="minorHAnsi"/>
                <w:spacing w:val="-2"/>
                <w:sz w:val="19"/>
                <w:szCs w:val="19"/>
              </w:rPr>
            </w:pPr>
            <w:r w:rsidRPr="00F17564">
              <w:rPr>
                <w:rFonts w:asciiTheme="minorHAnsi" w:hAnsiTheme="minorHAnsi" w:cstheme="minorHAnsi"/>
                <w:sz w:val="19"/>
                <w:szCs w:val="19"/>
              </w:rPr>
              <w:t>Completed</w:t>
            </w:r>
          </w:p>
        </w:tc>
      </w:tr>
      <w:tr w:rsidR="00B46DA0" w:rsidRPr="00DE02F8" w14:paraId="49F730C7" w14:textId="77777777" w:rsidTr="00AE3ED1">
        <w:tc>
          <w:tcPr>
            <w:tcW w:w="0" w:type="auto"/>
          </w:tcPr>
          <w:p w14:paraId="79872F4C"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12</w:t>
            </w:r>
          </w:p>
        </w:tc>
        <w:tc>
          <w:tcPr>
            <w:tcW w:w="3133" w:type="dxa"/>
          </w:tcPr>
          <w:p w14:paraId="522E777C" w14:textId="77777777" w:rsidR="00B46DA0"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bCs/>
                <w:iCs/>
                <w:sz w:val="19"/>
                <w:szCs w:val="19"/>
              </w:rPr>
              <w:t>The DonateLife Network, led by the OTA, should define minimum standards for auditing of organ donation practices and seek the endorsement of the COAG</w:t>
            </w:r>
            <w:r>
              <w:rPr>
                <w:rFonts w:asciiTheme="minorHAnsi" w:hAnsiTheme="minorHAnsi" w:cstheme="minorHAnsi"/>
                <w:bCs/>
                <w:iCs/>
                <w:sz w:val="19"/>
                <w:szCs w:val="19"/>
              </w:rPr>
              <w:t xml:space="preserve"> </w:t>
            </w:r>
            <w:r w:rsidRPr="00F17564">
              <w:rPr>
                <w:rFonts w:asciiTheme="minorHAnsi" w:hAnsiTheme="minorHAnsi" w:cstheme="minorHAnsi"/>
                <w:bCs/>
                <w:iCs/>
                <w:sz w:val="19"/>
                <w:szCs w:val="19"/>
              </w:rPr>
              <w:t>H</w:t>
            </w:r>
            <w:r>
              <w:rPr>
                <w:rFonts w:asciiTheme="minorHAnsi" w:hAnsiTheme="minorHAnsi" w:cstheme="minorHAnsi"/>
                <w:bCs/>
                <w:iCs/>
                <w:sz w:val="19"/>
                <w:szCs w:val="19"/>
              </w:rPr>
              <w:t xml:space="preserve">ealth </w:t>
            </w:r>
            <w:r w:rsidRPr="00F17564">
              <w:rPr>
                <w:rFonts w:asciiTheme="minorHAnsi" w:hAnsiTheme="minorHAnsi" w:cstheme="minorHAnsi"/>
                <w:bCs/>
                <w:iCs/>
                <w:sz w:val="19"/>
                <w:szCs w:val="19"/>
              </w:rPr>
              <w:t>C</w:t>
            </w:r>
            <w:r>
              <w:rPr>
                <w:rFonts w:asciiTheme="minorHAnsi" w:hAnsiTheme="minorHAnsi" w:cstheme="minorHAnsi"/>
                <w:bCs/>
                <w:iCs/>
                <w:sz w:val="19"/>
                <w:szCs w:val="19"/>
              </w:rPr>
              <w:t>ouncil</w:t>
            </w:r>
            <w:r w:rsidRPr="00F17564">
              <w:rPr>
                <w:rFonts w:asciiTheme="minorHAnsi" w:hAnsiTheme="minorHAnsi" w:cstheme="minorHAnsi"/>
                <w:bCs/>
                <w:iCs/>
                <w:sz w:val="19"/>
                <w:szCs w:val="19"/>
              </w:rPr>
              <w:t xml:space="preserve"> for these standards.</w:t>
            </w:r>
          </w:p>
        </w:tc>
        <w:tc>
          <w:tcPr>
            <w:tcW w:w="3827" w:type="dxa"/>
          </w:tcPr>
          <w:p w14:paraId="5BAABA12" w14:textId="77777777" w:rsidR="00B46DA0"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The Clinical Practice Improvement Program (CPIP) Phase 3 was endorsed by all jurisdictions (through JAG) and is being implemented in all DonateLife Network hospitals. CPIP 3 identifies seven standards/elements of clinical strategic focus with associated reportable key performance indicators (KPIs). These KPIs are key to achieving best-practice organ and tissue donation in the intensive care and emergency department environment.</w:t>
            </w:r>
          </w:p>
          <w:p w14:paraId="2E990DBA" w14:textId="4905C0FA" w:rsidR="00A200D7"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 xml:space="preserve">From 1 July 2018 the DLN quarterly National/jurisdiction and hospital dashboards will include reporting on CPIP3 KPI’s.  </w:t>
            </w:r>
          </w:p>
        </w:tc>
        <w:tc>
          <w:tcPr>
            <w:tcW w:w="2268" w:type="dxa"/>
          </w:tcPr>
          <w:p w14:paraId="40B063F3" w14:textId="77777777" w:rsidR="00B46DA0" w:rsidRPr="00F17564" w:rsidRDefault="00B46DA0" w:rsidP="005E179C">
            <w:pPr>
              <w:widowControl/>
              <w:autoSpaceDE/>
              <w:adjustRightInd/>
              <w:spacing w:before="40" w:after="40"/>
              <w:rPr>
                <w:rFonts w:asciiTheme="minorHAnsi" w:hAnsiTheme="minorHAnsi" w:cstheme="minorHAnsi"/>
                <w:spacing w:val="-2"/>
                <w:sz w:val="19"/>
                <w:szCs w:val="19"/>
              </w:rPr>
            </w:pPr>
            <w:r w:rsidRPr="00F17564">
              <w:rPr>
                <w:rFonts w:asciiTheme="minorHAnsi" w:hAnsiTheme="minorHAnsi" w:cstheme="minorHAnsi"/>
                <w:sz w:val="19"/>
                <w:szCs w:val="19"/>
              </w:rPr>
              <w:t>Recommendation 12 is included in the 2017-2021 OTA Strategic Plan.</w:t>
            </w:r>
          </w:p>
        </w:tc>
      </w:tr>
      <w:tr w:rsidR="00B46DA0" w:rsidRPr="00DE02F8" w14:paraId="2BEBA6B1" w14:textId="77777777" w:rsidTr="00AE3ED1">
        <w:tc>
          <w:tcPr>
            <w:tcW w:w="0" w:type="auto"/>
          </w:tcPr>
          <w:p w14:paraId="2B17116B"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13</w:t>
            </w:r>
          </w:p>
        </w:tc>
        <w:tc>
          <w:tcPr>
            <w:tcW w:w="3133" w:type="dxa"/>
          </w:tcPr>
          <w:p w14:paraId="2F040885" w14:textId="031BEAEF" w:rsidR="00AA57F1"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bCs/>
                <w:iCs/>
                <w:sz w:val="19"/>
                <w:szCs w:val="19"/>
              </w:rPr>
              <w:t>The audit of potential donors should be expanded as planned to include DCD donors, so that both donation pathways are reflected in the DonateLife Audit.</w:t>
            </w:r>
          </w:p>
        </w:tc>
        <w:tc>
          <w:tcPr>
            <w:tcW w:w="3827" w:type="dxa"/>
          </w:tcPr>
          <w:p w14:paraId="48C79734" w14:textId="77777777" w:rsidR="00B46DA0"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 xml:space="preserve">Since 2016, DCD donors have been reflected in the DonateLife Audit. </w:t>
            </w:r>
          </w:p>
        </w:tc>
        <w:tc>
          <w:tcPr>
            <w:tcW w:w="2268" w:type="dxa"/>
          </w:tcPr>
          <w:p w14:paraId="2C008B45" w14:textId="77777777" w:rsidR="00B46DA0" w:rsidRPr="00F17564" w:rsidRDefault="00B46DA0" w:rsidP="005E179C">
            <w:pPr>
              <w:widowControl/>
              <w:autoSpaceDE/>
              <w:adjustRightInd/>
              <w:spacing w:before="40" w:after="40"/>
              <w:rPr>
                <w:rFonts w:asciiTheme="minorHAnsi" w:hAnsiTheme="minorHAnsi" w:cstheme="minorHAnsi"/>
                <w:spacing w:val="-2"/>
                <w:sz w:val="19"/>
                <w:szCs w:val="19"/>
              </w:rPr>
            </w:pPr>
            <w:r w:rsidRPr="00F17564">
              <w:rPr>
                <w:rFonts w:asciiTheme="minorHAnsi" w:hAnsiTheme="minorHAnsi" w:cstheme="minorHAnsi"/>
                <w:sz w:val="19"/>
                <w:szCs w:val="19"/>
              </w:rPr>
              <w:t>Completed</w:t>
            </w:r>
          </w:p>
        </w:tc>
      </w:tr>
      <w:tr w:rsidR="00B46DA0" w:rsidRPr="00DE02F8" w14:paraId="4A4A094B" w14:textId="77777777" w:rsidTr="00AE3ED1">
        <w:tc>
          <w:tcPr>
            <w:tcW w:w="0" w:type="auto"/>
          </w:tcPr>
          <w:p w14:paraId="0A6698DD"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14</w:t>
            </w:r>
          </w:p>
        </w:tc>
        <w:tc>
          <w:tcPr>
            <w:tcW w:w="3133" w:type="dxa"/>
          </w:tcPr>
          <w:p w14:paraId="1D03117B" w14:textId="77777777" w:rsidR="00B46DA0"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bCs/>
                <w:iCs/>
                <w:sz w:val="19"/>
                <w:szCs w:val="19"/>
              </w:rPr>
              <w:t>The OTA should publish the breakdown of state and territory DonateLife Network funding clearly on the OTA website. This should include a table demonstrating the share of the state and territory funding allocated to each jurisdiction for each year including 2015-16.</w:t>
            </w:r>
          </w:p>
        </w:tc>
        <w:tc>
          <w:tcPr>
            <w:tcW w:w="3827" w:type="dxa"/>
          </w:tcPr>
          <w:p w14:paraId="19C26232" w14:textId="77777777" w:rsidR="00B46DA0"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 xml:space="preserve">The OTA has been reporting this data since the OTA Annual Report from 2015 -16. </w:t>
            </w:r>
          </w:p>
        </w:tc>
        <w:tc>
          <w:tcPr>
            <w:tcW w:w="2268" w:type="dxa"/>
          </w:tcPr>
          <w:p w14:paraId="513DC8B8" w14:textId="77777777" w:rsidR="00B46DA0" w:rsidRPr="00F17564" w:rsidRDefault="00B46DA0" w:rsidP="005E179C">
            <w:pPr>
              <w:widowControl/>
              <w:autoSpaceDE/>
              <w:adjustRightInd/>
              <w:spacing w:before="40" w:after="40"/>
              <w:rPr>
                <w:rFonts w:asciiTheme="minorHAnsi" w:hAnsiTheme="minorHAnsi" w:cstheme="minorHAnsi"/>
                <w:spacing w:val="-2"/>
                <w:sz w:val="19"/>
                <w:szCs w:val="19"/>
              </w:rPr>
            </w:pPr>
            <w:r w:rsidRPr="00F17564">
              <w:rPr>
                <w:rFonts w:asciiTheme="minorHAnsi" w:hAnsiTheme="minorHAnsi" w:cstheme="minorHAnsi"/>
                <w:sz w:val="19"/>
                <w:szCs w:val="19"/>
              </w:rPr>
              <w:t>Completed</w:t>
            </w:r>
          </w:p>
        </w:tc>
      </w:tr>
      <w:tr w:rsidR="00B46DA0" w:rsidRPr="00DE02F8" w14:paraId="0C5BE551" w14:textId="77777777" w:rsidTr="00AE3ED1">
        <w:tc>
          <w:tcPr>
            <w:tcW w:w="0" w:type="auto"/>
          </w:tcPr>
          <w:p w14:paraId="155362E8"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lastRenderedPageBreak/>
              <w:t>15</w:t>
            </w:r>
          </w:p>
        </w:tc>
        <w:tc>
          <w:tcPr>
            <w:tcW w:w="3133" w:type="dxa"/>
          </w:tcPr>
          <w:p w14:paraId="3B061DE5" w14:textId="77777777" w:rsidR="00B46DA0"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bCs/>
                <w:iCs/>
                <w:sz w:val="19"/>
                <w:szCs w:val="19"/>
              </w:rPr>
              <w:t>All Australian governments should advocate the inclusion of tissue typing and the surgical procedures for organ retrieval, transportation and transplantation activity in the 2015/16 IHPA Pricing Framework as an in-scope public hospital service, noting that this is a proposal which is already being considered.</w:t>
            </w:r>
          </w:p>
        </w:tc>
        <w:tc>
          <w:tcPr>
            <w:tcW w:w="3827" w:type="dxa"/>
          </w:tcPr>
          <w:p w14:paraId="74B5BC32" w14:textId="77777777" w:rsidR="00B46DA0" w:rsidRPr="00F17564" w:rsidRDefault="00B46DA0" w:rsidP="005E179C">
            <w:pPr>
              <w:widowControl/>
              <w:autoSpaceDE/>
              <w:adjustRightInd/>
              <w:spacing w:before="40" w:after="40"/>
              <w:rPr>
                <w:rFonts w:asciiTheme="minorHAnsi" w:hAnsiTheme="minorHAnsi" w:cstheme="minorHAnsi"/>
                <w:sz w:val="19"/>
                <w:szCs w:val="19"/>
              </w:rPr>
            </w:pPr>
            <w:r>
              <w:rPr>
                <w:rFonts w:asciiTheme="minorHAnsi" w:hAnsiTheme="minorHAnsi" w:cstheme="minorHAnsi"/>
                <w:sz w:val="19"/>
                <w:szCs w:val="19"/>
              </w:rPr>
              <w:t xml:space="preserve">The </w:t>
            </w:r>
            <w:r w:rsidRPr="00F17564">
              <w:rPr>
                <w:rFonts w:asciiTheme="minorHAnsi" w:hAnsiTheme="minorHAnsi" w:cstheme="minorHAnsi"/>
                <w:sz w:val="19"/>
                <w:szCs w:val="19"/>
              </w:rPr>
              <w:t>Surgical procedure for organ retrieval and transplantation activity has been included in the IHPA Pricing Framework. The inclusion of tissue typing and transportation for donation and transplantation is still under consideration.</w:t>
            </w:r>
            <w:r w:rsidRPr="00447661">
              <w:rPr>
                <w:rStyle w:val="FootnoteReference"/>
                <w:rFonts w:asciiTheme="minorHAnsi" w:hAnsiTheme="minorHAnsi" w:cstheme="minorHAnsi"/>
              </w:rPr>
              <w:footnoteReference w:id="30"/>
            </w:r>
          </w:p>
        </w:tc>
        <w:tc>
          <w:tcPr>
            <w:tcW w:w="2268" w:type="dxa"/>
          </w:tcPr>
          <w:p w14:paraId="7B01BA7A" w14:textId="77777777" w:rsidR="00B46DA0" w:rsidRPr="00F17564" w:rsidRDefault="00B46DA0" w:rsidP="005E179C">
            <w:pPr>
              <w:widowControl/>
              <w:autoSpaceDE/>
              <w:adjustRightInd/>
              <w:spacing w:before="40" w:after="40"/>
              <w:rPr>
                <w:rFonts w:asciiTheme="minorHAnsi" w:hAnsiTheme="minorHAnsi" w:cstheme="minorHAnsi"/>
                <w:spacing w:val="-2"/>
                <w:sz w:val="19"/>
                <w:szCs w:val="19"/>
              </w:rPr>
            </w:pPr>
            <w:r w:rsidRPr="00F17564">
              <w:rPr>
                <w:rFonts w:asciiTheme="minorHAnsi" w:hAnsiTheme="minorHAnsi" w:cstheme="minorHAnsi"/>
                <w:sz w:val="19"/>
                <w:szCs w:val="19"/>
              </w:rPr>
              <w:t xml:space="preserve">Recommendation 15 is included in the 2017-2021 OTA Strategic Plan, subject to consultation and agreement with the Jurisdictions. </w:t>
            </w:r>
            <w:r w:rsidRPr="00447661">
              <w:rPr>
                <w:rStyle w:val="FootnoteReference"/>
                <w:rFonts w:asciiTheme="minorHAnsi" w:hAnsiTheme="minorHAnsi" w:cstheme="minorHAnsi"/>
                <w:szCs w:val="19"/>
              </w:rPr>
              <w:footnoteReference w:id="31"/>
            </w:r>
          </w:p>
        </w:tc>
      </w:tr>
      <w:tr w:rsidR="00B46DA0" w:rsidRPr="00DE02F8" w14:paraId="101A24F6" w14:textId="77777777" w:rsidTr="00AE3ED1">
        <w:tc>
          <w:tcPr>
            <w:tcW w:w="0" w:type="auto"/>
          </w:tcPr>
          <w:p w14:paraId="3C7905CE"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16</w:t>
            </w:r>
          </w:p>
        </w:tc>
        <w:tc>
          <w:tcPr>
            <w:tcW w:w="3133" w:type="dxa"/>
          </w:tcPr>
          <w:p w14:paraId="09E07E37" w14:textId="77777777" w:rsidR="00B46DA0"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bCs/>
                <w:iCs/>
                <w:sz w:val="19"/>
                <w:szCs w:val="19"/>
              </w:rPr>
              <w:t>The Australian Government should consider the implementation of a further national awareness campaign that is timed to coincide with the implementation of enhancements to the AODR and has the objective of improving the prevalence of AODR registration among the community, noting that this forms part of the current budget measure.</w:t>
            </w:r>
          </w:p>
        </w:tc>
        <w:tc>
          <w:tcPr>
            <w:tcW w:w="3827" w:type="dxa"/>
          </w:tcPr>
          <w:p w14:paraId="0456B74F" w14:textId="77777777" w:rsidR="00B46DA0"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 xml:space="preserve">Funding for an online advertising campaign to coincide with the implementation of online donor registration consent on the AODR has been allocated. </w:t>
            </w:r>
          </w:p>
        </w:tc>
        <w:tc>
          <w:tcPr>
            <w:tcW w:w="2268" w:type="dxa"/>
          </w:tcPr>
          <w:p w14:paraId="0DC31570" w14:textId="77777777" w:rsidR="00B46DA0" w:rsidRPr="00F17564" w:rsidRDefault="00B46DA0" w:rsidP="005E179C">
            <w:pPr>
              <w:widowControl/>
              <w:autoSpaceDE/>
              <w:adjustRightInd/>
              <w:spacing w:before="40" w:after="40"/>
              <w:rPr>
                <w:rFonts w:asciiTheme="minorHAnsi" w:hAnsiTheme="minorHAnsi" w:cstheme="minorHAnsi"/>
                <w:spacing w:val="-2"/>
                <w:sz w:val="19"/>
                <w:szCs w:val="19"/>
              </w:rPr>
            </w:pPr>
            <w:r w:rsidRPr="00F17564">
              <w:rPr>
                <w:rFonts w:asciiTheme="minorHAnsi" w:hAnsiTheme="minorHAnsi" w:cstheme="minorHAnsi"/>
                <w:sz w:val="19"/>
                <w:szCs w:val="19"/>
              </w:rPr>
              <w:t>Completed</w:t>
            </w:r>
          </w:p>
        </w:tc>
      </w:tr>
      <w:tr w:rsidR="00B46DA0" w:rsidRPr="00DE02F8" w14:paraId="5E80D814" w14:textId="77777777" w:rsidTr="00AE3ED1">
        <w:tc>
          <w:tcPr>
            <w:tcW w:w="0" w:type="auto"/>
          </w:tcPr>
          <w:p w14:paraId="5608987B"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17</w:t>
            </w:r>
          </w:p>
        </w:tc>
        <w:tc>
          <w:tcPr>
            <w:tcW w:w="3133" w:type="dxa"/>
          </w:tcPr>
          <w:p w14:paraId="22CE797B" w14:textId="61F54161" w:rsidR="00AA57F1" w:rsidRPr="00F17564" w:rsidRDefault="00B46DA0" w:rsidP="009C7D5A">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sz w:val="19"/>
                <w:szCs w:val="19"/>
              </w:rPr>
              <w:t>The proposed Board of governance should consider the DonateLife Community Awareness and Education Program annually, including the Stakeholder Engagement Framework, to ensure a nationally consistent, evidence-based approach to communications about organ and tissue donation for transplantation.</w:t>
            </w:r>
          </w:p>
        </w:tc>
        <w:tc>
          <w:tcPr>
            <w:tcW w:w="3827" w:type="dxa"/>
          </w:tcPr>
          <w:p w14:paraId="5C0A8538" w14:textId="284FA75A" w:rsidR="00B46DA0" w:rsidRPr="00F17564" w:rsidRDefault="00B46DA0" w:rsidP="00A200D7">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Items for consideration were covered as Board Agenda Items in 2017 and 2018.</w:t>
            </w:r>
          </w:p>
        </w:tc>
        <w:tc>
          <w:tcPr>
            <w:tcW w:w="2268" w:type="dxa"/>
          </w:tcPr>
          <w:p w14:paraId="1AA59CE6" w14:textId="77777777" w:rsidR="00B46DA0" w:rsidRPr="00F17564" w:rsidRDefault="00B46DA0" w:rsidP="005E179C">
            <w:pPr>
              <w:widowControl/>
              <w:autoSpaceDE/>
              <w:adjustRightInd/>
              <w:spacing w:before="40" w:after="40"/>
              <w:rPr>
                <w:rFonts w:asciiTheme="minorHAnsi" w:hAnsiTheme="minorHAnsi" w:cstheme="minorHAnsi"/>
                <w:spacing w:val="-2"/>
                <w:sz w:val="19"/>
                <w:szCs w:val="19"/>
              </w:rPr>
            </w:pPr>
            <w:r w:rsidRPr="00F17564">
              <w:rPr>
                <w:rFonts w:asciiTheme="minorHAnsi" w:hAnsiTheme="minorHAnsi" w:cstheme="minorHAnsi"/>
                <w:sz w:val="19"/>
                <w:szCs w:val="19"/>
              </w:rPr>
              <w:t>Completed</w:t>
            </w:r>
          </w:p>
        </w:tc>
      </w:tr>
      <w:tr w:rsidR="00B46DA0" w:rsidRPr="00DE02F8" w14:paraId="67690A30" w14:textId="77777777" w:rsidTr="00AE3ED1">
        <w:tc>
          <w:tcPr>
            <w:tcW w:w="0" w:type="auto"/>
          </w:tcPr>
          <w:p w14:paraId="0FEE5DC5"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18</w:t>
            </w:r>
          </w:p>
        </w:tc>
        <w:tc>
          <w:tcPr>
            <w:tcW w:w="3133" w:type="dxa"/>
          </w:tcPr>
          <w:p w14:paraId="469014A0" w14:textId="77777777" w:rsidR="00B46DA0"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sz w:val="19"/>
                <w:szCs w:val="19"/>
              </w:rPr>
              <w:t>The OTA should consider the DonateLife logo in light of the concerns expressed by donor families and the OTA should consult donor families on appropriate donor memorials throughout Australia.</w:t>
            </w:r>
          </w:p>
        </w:tc>
        <w:tc>
          <w:tcPr>
            <w:tcW w:w="3827" w:type="dxa"/>
          </w:tcPr>
          <w:p w14:paraId="1FD3DB66" w14:textId="12D3F819" w:rsidR="00FC1F0C"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 xml:space="preserve"> The OTA has contributed funding for a national donor memorial to be constructed at the National Arboretum, as well as contributions for state based memorials including in Western Australia (City Beach foreshore) and Tasmania. In respect to the DonateLife Logo, the Board found that a potential re-brand would carry considerable financial implications as well as social repercussions within the donor families and </w:t>
            </w:r>
            <w:r w:rsidR="00DB2089" w:rsidRPr="00F17564">
              <w:rPr>
                <w:rFonts w:asciiTheme="minorHAnsi" w:hAnsiTheme="minorHAnsi" w:cstheme="minorHAnsi"/>
                <w:sz w:val="19"/>
                <w:szCs w:val="19"/>
              </w:rPr>
              <w:t>recipient’s</w:t>
            </w:r>
            <w:r w:rsidRPr="00F17564">
              <w:rPr>
                <w:rFonts w:asciiTheme="minorHAnsi" w:hAnsiTheme="minorHAnsi" w:cstheme="minorHAnsi"/>
                <w:sz w:val="19"/>
                <w:szCs w:val="19"/>
              </w:rPr>
              <w:t xml:space="preserve"> communities. The Board agreed no further consideration of Logo at this stage.</w:t>
            </w:r>
          </w:p>
        </w:tc>
        <w:tc>
          <w:tcPr>
            <w:tcW w:w="2268" w:type="dxa"/>
          </w:tcPr>
          <w:p w14:paraId="1D94901A" w14:textId="77777777" w:rsidR="00B46DA0"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Completed</w:t>
            </w:r>
          </w:p>
        </w:tc>
      </w:tr>
      <w:tr w:rsidR="00B46DA0" w:rsidRPr="00DE02F8" w14:paraId="724CF1F2" w14:textId="77777777" w:rsidTr="00AE3ED1">
        <w:tc>
          <w:tcPr>
            <w:tcW w:w="0" w:type="auto"/>
          </w:tcPr>
          <w:p w14:paraId="43B8BDFC"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19</w:t>
            </w:r>
          </w:p>
        </w:tc>
        <w:tc>
          <w:tcPr>
            <w:tcW w:w="3133" w:type="dxa"/>
          </w:tcPr>
          <w:p w14:paraId="215D51A1" w14:textId="77777777" w:rsidR="00B46DA0"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sz w:val="19"/>
                <w:szCs w:val="19"/>
              </w:rPr>
              <w:t xml:space="preserve">The proposed Board should consider the key criteria for selection of grant recipients prior to the commencement of the grant </w:t>
            </w:r>
            <w:r w:rsidRPr="00F17564">
              <w:rPr>
                <w:rFonts w:asciiTheme="minorHAnsi" w:hAnsiTheme="minorHAnsi" w:cstheme="minorHAnsi"/>
                <w:sz w:val="19"/>
                <w:szCs w:val="19"/>
              </w:rPr>
              <w:lastRenderedPageBreak/>
              <w:t>recipient selection process.</w:t>
            </w:r>
          </w:p>
        </w:tc>
        <w:tc>
          <w:tcPr>
            <w:tcW w:w="3827" w:type="dxa"/>
          </w:tcPr>
          <w:p w14:paraId="1411423E" w14:textId="77777777" w:rsidR="00B46DA0"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lastRenderedPageBreak/>
              <w:t>Items for consideration were covered as Board Agenda item during 2017.</w:t>
            </w:r>
          </w:p>
        </w:tc>
        <w:tc>
          <w:tcPr>
            <w:tcW w:w="2268" w:type="dxa"/>
          </w:tcPr>
          <w:p w14:paraId="7526F333" w14:textId="77777777" w:rsidR="00B46DA0"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Completed</w:t>
            </w:r>
          </w:p>
        </w:tc>
      </w:tr>
      <w:tr w:rsidR="00B46DA0" w:rsidRPr="00DE02F8" w14:paraId="55FA3AF6" w14:textId="77777777" w:rsidTr="00AE3ED1">
        <w:tc>
          <w:tcPr>
            <w:tcW w:w="0" w:type="auto"/>
          </w:tcPr>
          <w:p w14:paraId="0CEACC06"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20</w:t>
            </w:r>
          </w:p>
        </w:tc>
        <w:tc>
          <w:tcPr>
            <w:tcW w:w="3133" w:type="dxa"/>
          </w:tcPr>
          <w:p w14:paraId="5BDDDD4A" w14:textId="2EFAC838" w:rsidR="00B46DA0" w:rsidRPr="00F17564" w:rsidRDefault="00B46DA0" w:rsidP="00AE3ED1">
            <w:pPr>
              <w:pStyle w:val="Bulletlistlvl1"/>
              <w:spacing w:after="0" w:line="240" w:lineRule="auto"/>
            </w:pPr>
            <w:r w:rsidRPr="00F17564">
              <w:rPr>
                <w:rFonts w:asciiTheme="minorHAnsi" w:hAnsiTheme="minorHAnsi" w:cstheme="minorHAnsi"/>
                <w:szCs w:val="19"/>
              </w:rPr>
              <w:t xml:space="preserve">Once the enhancement to the AODR is fully operational, a further campaign to increase enrolment should be undertaken as planned. </w:t>
            </w:r>
          </w:p>
        </w:tc>
        <w:tc>
          <w:tcPr>
            <w:tcW w:w="3827" w:type="dxa"/>
          </w:tcPr>
          <w:p w14:paraId="697F354D" w14:textId="77777777" w:rsidR="00B46DA0"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The OTA received funding as part of the 2015 Budget to support delivery of the national online donor registration campaign. This funding concluded on 30 June 2017.</w:t>
            </w:r>
          </w:p>
          <w:p w14:paraId="5C230C94" w14:textId="65DFD1BA" w:rsidR="00FC1F0C"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 xml:space="preserve">The Australian Government agrees with this recommendation in principle.  Beyond 2017, advice on the direction of the campaign will be sought through the Board, to be established in line with recommendations 5-9. </w:t>
            </w:r>
          </w:p>
        </w:tc>
        <w:tc>
          <w:tcPr>
            <w:tcW w:w="2268" w:type="dxa"/>
          </w:tcPr>
          <w:p w14:paraId="47A66840" w14:textId="77777777" w:rsidR="00B46DA0"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Beyond 2017, advice on the direction of the campaign will be sought through the Board, to be established in line with recommendations 5-9.</w:t>
            </w:r>
          </w:p>
        </w:tc>
      </w:tr>
      <w:tr w:rsidR="00B46DA0" w:rsidRPr="002579FD" w14:paraId="4B1B0FE4" w14:textId="77777777" w:rsidTr="00AE3ED1">
        <w:tc>
          <w:tcPr>
            <w:tcW w:w="0" w:type="auto"/>
          </w:tcPr>
          <w:p w14:paraId="7BB4D5CA"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21</w:t>
            </w:r>
          </w:p>
        </w:tc>
        <w:tc>
          <w:tcPr>
            <w:tcW w:w="3133" w:type="dxa"/>
          </w:tcPr>
          <w:p w14:paraId="637AB232" w14:textId="77777777" w:rsidR="00B46DA0"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bCs/>
                <w:iCs/>
                <w:sz w:val="19"/>
                <w:szCs w:val="19"/>
              </w:rPr>
              <w:t>The EDR should be enhanced as planned to record all referrals to the DonateLife Network (not only those that proceed to donation) and the reasons for any decision not to proceed to donation.</w:t>
            </w:r>
          </w:p>
        </w:tc>
        <w:tc>
          <w:tcPr>
            <w:tcW w:w="3827" w:type="dxa"/>
          </w:tcPr>
          <w:p w14:paraId="75132644" w14:textId="491AEEDC" w:rsidR="00FC1F0C"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 xml:space="preserve">The Australian Government has engaged with states and territories to implement </w:t>
            </w:r>
            <w:r w:rsidR="003538DF">
              <w:rPr>
                <w:rFonts w:asciiTheme="minorHAnsi" w:hAnsiTheme="minorHAnsi" w:cstheme="minorHAnsi"/>
                <w:sz w:val="19"/>
                <w:szCs w:val="19"/>
              </w:rPr>
              <w:t>R</w:t>
            </w:r>
            <w:r w:rsidRPr="00F17564">
              <w:rPr>
                <w:rFonts w:asciiTheme="minorHAnsi" w:hAnsiTheme="minorHAnsi" w:cstheme="minorHAnsi"/>
                <w:sz w:val="19"/>
                <w:szCs w:val="19"/>
              </w:rPr>
              <w:t>ecommendation 21. Through CPIP 3 jurisdictions have agreed to implement routine referral according to local jurisdictional criteria and the proposed data collection tool is the DonateLife Audit. Scoping work is required in regards to enhancement of the EDR to access establishment and maintenance costs.</w:t>
            </w:r>
          </w:p>
        </w:tc>
        <w:tc>
          <w:tcPr>
            <w:tcW w:w="2268" w:type="dxa"/>
          </w:tcPr>
          <w:p w14:paraId="7AAFF370" w14:textId="77777777" w:rsidR="00B46DA0" w:rsidRPr="00C42404" w:rsidRDefault="00B46DA0" w:rsidP="00C20C83">
            <w:pPr>
              <w:widowControl/>
              <w:autoSpaceDE/>
              <w:adjustRightInd/>
              <w:spacing w:before="40" w:after="40"/>
              <w:rPr>
                <w:rFonts w:asciiTheme="minorHAnsi" w:hAnsiTheme="minorHAnsi" w:cstheme="minorHAnsi"/>
                <w:sz w:val="19"/>
                <w:szCs w:val="19"/>
              </w:rPr>
            </w:pPr>
            <w:r w:rsidRPr="00C42404">
              <w:rPr>
                <w:rFonts w:asciiTheme="minorHAnsi" w:hAnsiTheme="minorHAnsi" w:cstheme="minorHAnsi"/>
                <w:sz w:val="19"/>
                <w:szCs w:val="19"/>
              </w:rPr>
              <w:t xml:space="preserve">Completed, but further scoping work is required in regards to enhancement of the EDR to access establishment and maintenance costs. </w:t>
            </w:r>
          </w:p>
        </w:tc>
      </w:tr>
      <w:tr w:rsidR="00B46DA0" w:rsidRPr="00DE02F8" w14:paraId="7CADF273" w14:textId="77777777" w:rsidTr="00AE3ED1">
        <w:tc>
          <w:tcPr>
            <w:tcW w:w="0" w:type="auto"/>
          </w:tcPr>
          <w:p w14:paraId="683D6F93"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22</w:t>
            </w:r>
          </w:p>
        </w:tc>
        <w:tc>
          <w:tcPr>
            <w:tcW w:w="3133" w:type="dxa"/>
          </w:tcPr>
          <w:p w14:paraId="17EE3AC3" w14:textId="77777777" w:rsidR="00B46DA0"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bCs/>
                <w:iCs/>
                <w:sz w:val="19"/>
                <w:szCs w:val="19"/>
              </w:rPr>
              <w:t>States and territories through the COAG</w:t>
            </w:r>
            <w:r>
              <w:rPr>
                <w:rFonts w:asciiTheme="minorHAnsi" w:hAnsiTheme="minorHAnsi" w:cstheme="minorHAnsi"/>
                <w:bCs/>
                <w:iCs/>
                <w:sz w:val="19"/>
                <w:szCs w:val="19"/>
              </w:rPr>
              <w:t xml:space="preserve"> </w:t>
            </w:r>
            <w:r w:rsidRPr="00F17564">
              <w:rPr>
                <w:rFonts w:asciiTheme="minorHAnsi" w:hAnsiTheme="minorHAnsi" w:cstheme="minorHAnsi"/>
                <w:bCs/>
                <w:iCs/>
                <w:sz w:val="19"/>
                <w:szCs w:val="19"/>
              </w:rPr>
              <w:t>H</w:t>
            </w:r>
            <w:r>
              <w:rPr>
                <w:rFonts w:asciiTheme="minorHAnsi" w:hAnsiTheme="minorHAnsi" w:cstheme="minorHAnsi"/>
                <w:bCs/>
                <w:iCs/>
                <w:sz w:val="19"/>
                <w:szCs w:val="19"/>
              </w:rPr>
              <w:t xml:space="preserve">ealth </w:t>
            </w:r>
            <w:r w:rsidRPr="00F17564">
              <w:rPr>
                <w:rFonts w:asciiTheme="minorHAnsi" w:hAnsiTheme="minorHAnsi" w:cstheme="minorHAnsi"/>
                <w:bCs/>
                <w:iCs/>
                <w:sz w:val="19"/>
                <w:szCs w:val="19"/>
              </w:rPr>
              <w:t>C</w:t>
            </w:r>
            <w:r>
              <w:rPr>
                <w:rFonts w:asciiTheme="minorHAnsi" w:hAnsiTheme="minorHAnsi" w:cstheme="minorHAnsi"/>
                <w:bCs/>
                <w:iCs/>
                <w:sz w:val="19"/>
                <w:szCs w:val="19"/>
              </w:rPr>
              <w:t>ouncil</w:t>
            </w:r>
            <w:r w:rsidRPr="00F17564">
              <w:rPr>
                <w:rFonts w:asciiTheme="minorHAnsi" w:hAnsiTheme="minorHAnsi" w:cstheme="minorHAnsi"/>
                <w:bCs/>
                <w:iCs/>
                <w:sz w:val="19"/>
                <w:szCs w:val="19"/>
              </w:rPr>
              <w:t xml:space="preserve"> should align their privacy and health records legislation to facilitate the full electronic implementation of the EDR and allow access to the EDR for research purposes.</w:t>
            </w:r>
          </w:p>
        </w:tc>
        <w:tc>
          <w:tcPr>
            <w:tcW w:w="3827" w:type="dxa"/>
          </w:tcPr>
          <w:p w14:paraId="295114F2" w14:textId="77777777" w:rsidR="00B46DA0"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 xml:space="preserve">The Australian Government has announced its support for this recommendation but leaves the responsibility over legislation to the states and territories. </w:t>
            </w:r>
          </w:p>
        </w:tc>
        <w:tc>
          <w:tcPr>
            <w:tcW w:w="2268" w:type="dxa"/>
          </w:tcPr>
          <w:p w14:paraId="269D540B" w14:textId="77777777" w:rsidR="00B46DA0"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Recommendation 22 is included in the</w:t>
            </w:r>
            <w:r>
              <w:rPr>
                <w:rFonts w:asciiTheme="minorHAnsi" w:hAnsiTheme="minorHAnsi" w:cstheme="minorHAnsi"/>
                <w:sz w:val="19"/>
                <w:szCs w:val="19"/>
              </w:rPr>
              <w:t xml:space="preserve"> OTA’s current strategic plan, </w:t>
            </w:r>
            <w:r w:rsidRPr="00F17564">
              <w:rPr>
                <w:rFonts w:asciiTheme="minorHAnsi" w:hAnsiTheme="minorHAnsi" w:cstheme="minorHAnsi"/>
                <w:sz w:val="19"/>
                <w:szCs w:val="19"/>
              </w:rPr>
              <w:t>subject to consultation and agreement with Jurisdictions.</w:t>
            </w:r>
          </w:p>
        </w:tc>
      </w:tr>
      <w:tr w:rsidR="00B46DA0" w:rsidRPr="00DE02F8" w14:paraId="70A6A84E" w14:textId="77777777" w:rsidTr="00AE3ED1">
        <w:tc>
          <w:tcPr>
            <w:tcW w:w="0" w:type="auto"/>
          </w:tcPr>
          <w:p w14:paraId="383B186B"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23</w:t>
            </w:r>
          </w:p>
        </w:tc>
        <w:tc>
          <w:tcPr>
            <w:tcW w:w="3133" w:type="dxa"/>
          </w:tcPr>
          <w:p w14:paraId="4E24976A" w14:textId="294A4178" w:rsidR="00B46DA0"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bCs/>
                <w:iCs/>
                <w:color w:val="000000"/>
                <w:sz w:val="19"/>
                <w:szCs w:val="19"/>
              </w:rPr>
              <w:t>The effectiveness of organ and perfusion technologies should be evaluated by</w:t>
            </w:r>
            <w:r w:rsidR="00E81CE6">
              <w:rPr>
                <w:rFonts w:asciiTheme="minorHAnsi" w:hAnsiTheme="minorHAnsi" w:cstheme="minorHAnsi"/>
                <w:bCs/>
                <w:iCs/>
                <w:color w:val="000000"/>
                <w:sz w:val="19"/>
                <w:szCs w:val="19"/>
              </w:rPr>
              <w:t xml:space="preserve"> the</w:t>
            </w:r>
            <w:r w:rsidRPr="00F17564">
              <w:rPr>
                <w:rFonts w:asciiTheme="minorHAnsi" w:hAnsiTheme="minorHAnsi" w:cstheme="minorHAnsi"/>
                <w:bCs/>
                <w:iCs/>
                <w:color w:val="000000"/>
                <w:sz w:val="19"/>
                <w:szCs w:val="19"/>
              </w:rPr>
              <w:t xml:space="preserve"> </w:t>
            </w:r>
            <w:r w:rsidR="00AA57F1">
              <w:rPr>
                <w:rFonts w:asciiTheme="minorHAnsi" w:hAnsiTheme="minorHAnsi" w:cstheme="minorHAnsi"/>
                <w:bCs/>
                <w:iCs/>
                <w:color w:val="000000"/>
                <w:sz w:val="19"/>
                <w:szCs w:val="19"/>
              </w:rPr>
              <w:t>Australian Health Minister Advisory Council (</w:t>
            </w:r>
            <w:r w:rsidRPr="00F17564">
              <w:rPr>
                <w:rFonts w:asciiTheme="minorHAnsi" w:hAnsiTheme="minorHAnsi" w:cstheme="minorHAnsi"/>
                <w:bCs/>
                <w:iCs/>
                <w:color w:val="000000"/>
                <w:sz w:val="19"/>
                <w:szCs w:val="19"/>
              </w:rPr>
              <w:t>AHMAC</w:t>
            </w:r>
            <w:r w:rsidR="00AA57F1">
              <w:rPr>
                <w:rFonts w:asciiTheme="minorHAnsi" w:hAnsiTheme="minorHAnsi" w:cstheme="minorHAnsi"/>
                <w:bCs/>
                <w:iCs/>
                <w:color w:val="000000"/>
                <w:sz w:val="19"/>
                <w:szCs w:val="19"/>
              </w:rPr>
              <w:t>)</w:t>
            </w:r>
            <w:r w:rsidRPr="00F17564">
              <w:rPr>
                <w:rFonts w:asciiTheme="minorHAnsi" w:hAnsiTheme="minorHAnsi" w:cstheme="minorHAnsi"/>
                <w:bCs/>
                <w:iCs/>
                <w:color w:val="000000"/>
                <w:sz w:val="19"/>
                <w:szCs w:val="19"/>
              </w:rPr>
              <w:t xml:space="preserve"> and the </w:t>
            </w:r>
            <w:r w:rsidR="009E49EC">
              <w:rPr>
                <w:rFonts w:asciiTheme="minorHAnsi" w:hAnsiTheme="minorHAnsi" w:cstheme="minorHAnsi"/>
                <w:bCs/>
                <w:iCs/>
                <w:color w:val="000000"/>
                <w:sz w:val="19"/>
                <w:szCs w:val="19"/>
              </w:rPr>
              <w:t>COAG Health Council</w:t>
            </w:r>
            <w:r w:rsidRPr="00F17564">
              <w:rPr>
                <w:rFonts w:asciiTheme="minorHAnsi" w:hAnsiTheme="minorHAnsi" w:cstheme="minorHAnsi"/>
                <w:bCs/>
                <w:iCs/>
                <w:color w:val="000000"/>
                <w:sz w:val="19"/>
                <w:szCs w:val="19"/>
              </w:rPr>
              <w:t xml:space="preserve"> and consideration given to their ongoing utilisation in the future, with costs reflected in the retrieval services IHPA price recommended at Recommendation 15. </w:t>
            </w:r>
          </w:p>
        </w:tc>
        <w:tc>
          <w:tcPr>
            <w:tcW w:w="3827" w:type="dxa"/>
          </w:tcPr>
          <w:p w14:paraId="6CD18F7A" w14:textId="77777777" w:rsidR="00B46DA0"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 xml:space="preserve">The Australian Government has worked closely with states and territories on the implementation of this recommendation. </w:t>
            </w:r>
          </w:p>
        </w:tc>
        <w:tc>
          <w:tcPr>
            <w:tcW w:w="2268" w:type="dxa"/>
          </w:tcPr>
          <w:p w14:paraId="3E7A3095" w14:textId="77777777" w:rsidR="00B46DA0"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Recommendation 23 is included in the 2017-2021 OTA Strategic Plan, subject to consultation and agreement with Jurisdictions. This recommendation will be led by the</w:t>
            </w:r>
            <w:r>
              <w:rPr>
                <w:rFonts w:asciiTheme="minorHAnsi" w:hAnsiTheme="minorHAnsi" w:cstheme="minorHAnsi"/>
                <w:sz w:val="19"/>
                <w:szCs w:val="19"/>
              </w:rPr>
              <w:t xml:space="preserve"> Australian Government </w:t>
            </w:r>
            <w:r w:rsidRPr="00F17564">
              <w:rPr>
                <w:rFonts w:asciiTheme="minorHAnsi" w:hAnsiTheme="minorHAnsi" w:cstheme="minorHAnsi"/>
                <w:sz w:val="19"/>
                <w:szCs w:val="19"/>
              </w:rPr>
              <w:t>Department</w:t>
            </w:r>
            <w:r>
              <w:rPr>
                <w:rFonts w:asciiTheme="minorHAnsi" w:hAnsiTheme="minorHAnsi" w:cstheme="minorHAnsi"/>
                <w:sz w:val="19"/>
                <w:szCs w:val="19"/>
              </w:rPr>
              <w:t xml:space="preserve"> of Health</w:t>
            </w:r>
            <w:r w:rsidRPr="00F17564">
              <w:rPr>
                <w:rFonts w:asciiTheme="minorHAnsi" w:hAnsiTheme="minorHAnsi" w:cstheme="minorHAnsi"/>
                <w:sz w:val="19"/>
                <w:szCs w:val="19"/>
              </w:rPr>
              <w:t>.</w:t>
            </w:r>
          </w:p>
        </w:tc>
      </w:tr>
      <w:tr w:rsidR="00B46DA0" w:rsidRPr="00DE02F8" w14:paraId="6154246D" w14:textId="77777777" w:rsidTr="00AE3ED1">
        <w:tc>
          <w:tcPr>
            <w:tcW w:w="0" w:type="auto"/>
          </w:tcPr>
          <w:p w14:paraId="4493B2EB" w14:textId="77777777" w:rsidR="00B46DA0" w:rsidRPr="00F17564" w:rsidRDefault="00B46DA0" w:rsidP="005E179C">
            <w:pPr>
              <w:spacing w:before="40" w:after="40"/>
              <w:outlineLvl w:val="6"/>
              <w:rPr>
                <w:rFonts w:asciiTheme="minorHAnsi" w:hAnsiTheme="minorHAnsi" w:cstheme="minorHAnsi"/>
                <w:b/>
                <w:spacing w:val="-2"/>
                <w:sz w:val="19"/>
                <w:szCs w:val="19"/>
              </w:rPr>
            </w:pPr>
            <w:r w:rsidRPr="00F17564">
              <w:rPr>
                <w:rFonts w:asciiTheme="minorHAnsi" w:hAnsiTheme="minorHAnsi" w:cstheme="minorHAnsi"/>
                <w:b/>
                <w:spacing w:val="-2"/>
                <w:sz w:val="19"/>
                <w:szCs w:val="19"/>
              </w:rPr>
              <w:t>24</w:t>
            </w:r>
          </w:p>
        </w:tc>
        <w:tc>
          <w:tcPr>
            <w:tcW w:w="3133" w:type="dxa"/>
          </w:tcPr>
          <w:p w14:paraId="7143C180" w14:textId="77777777" w:rsidR="00B46DA0" w:rsidRPr="00F17564" w:rsidRDefault="00B46DA0" w:rsidP="005E179C">
            <w:pPr>
              <w:spacing w:before="40" w:after="40"/>
              <w:outlineLvl w:val="6"/>
              <w:rPr>
                <w:rFonts w:asciiTheme="minorHAnsi" w:hAnsiTheme="minorHAnsi" w:cstheme="minorHAnsi"/>
                <w:color w:val="000000" w:themeColor="text1"/>
                <w:sz w:val="19"/>
                <w:szCs w:val="19"/>
              </w:rPr>
            </w:pPr>
            <w:r w:rsidRPr="00F17564">
              <w:rPr>
                <w:rFonts w:asciiTheme="minorHAnsi" w:hAnsiTheme="minorHAnsi" w:cstheme="minorHAnsi"/>
                <w:bCs/>
                <w:iCs/>
                <w:sz w:val="19"/>
                <w:szCs w:val="19"/>
              </w:rPr>
              <w:t>Following the completion of the Economic Analysis of the Eye and Tissue Sector, through the COAG</w:t>
            </w:r>
            <w:r>
              <w:rPr>
                <w:rFonts w:asciiTheme="minorHAnsi" w:hAnsiTheme="minorHAnsi" w:cstheme="minorHAnsi"/>
                <w:bCs/>
                <w:iCs/>
                <w:sz w:val="19"/>
                <w:szCs w:val="19"/>
              </w:rPr>
              <w:t xml:space="preserve"> </w:t>
            </w:r>
            <w:r w:rsidRPr="00F17564">
              <w:rPr>
                <w:rFonts w:asciiTheme="minorHAnsi" w:hAnsiTheme="minorHAnsi" w:cstheme="minorHAnsi"/>
                <w:bCs/>
                <w:iCs/>
                <w:sz w:val="19"/>
                <w:szCs w:val="19"/>
              </w:rPr>
              <w:t>H</w:t>
            </w:r>
            <w:r>
              <w:rPr>
                <w:rFonts w:asciiTheme="minorHAnsi" w:hAnsiTheme="minorHAnsi" w:cstheme="minorHAnsi"/>
                <w:bCs/>
                <w:iCs/>
                <w:sz w:val="19"/>
                <w:szCs w:val="19"/>
              </w:rPr>
              <w:t xml:space="preserve">ealth </w:t>
            </w:r>
            <w:r w:rsidRPr="00F17564">
              <w:rPr>
                <w:rFonts w:asciiTheme="minorHAnsi" w:hAnsiTheme="minorHAnsi" w:cstheme="minorHAnsi"/>
                <w:bCs/>
                <w:iCs/>
                <w:sz w:val="19"/>
                <w:szCs w:val="19"/>
              </w:rPr>
              <w:t>C</w:t>
            </w:r>
            <w:r>
              <w:rPr>
                <w:rFonts w:asciiTheme="minorHAnsi" w:hAnsiTheme="minorHAnsi" w:cstheme="minorHAnsi"/>
                <w:bCs/>
                <w:iCs/>
                <w:sz w:val="19"/>
                <w:szCs w:val="19"/>
              </w:rPr>
              <w:t>ouncil</w:t>
            </w:r>
            <w:r w:rsidRPr="00F17564">
              <w:rPr>
                <w:rFonts w:asciiTheme="minorHAnsi" w:hAnsiTheme="minorHAnsi" w:cstheme="minorHAnsi"/>
                <w:bCs/>
                <w:iCs/>
                <w:sz w:val="19"/>
                <w:szCs w:val="19"/>
              </w:rPr>
              <w:t>, states and territories should agree the implementation of any recommendations that allow for a national and standardised approach to the supply of eyes and tissues for transplantation, including amending jurisdictional human tissue legislation.</w:t>
            </w:r>
          </w:p>
        </w:tc>
        <w:tc>
          <w:tcPr>
            <w:tcW w:w="3827" w:type="dxa"/>
          </w:tcPr>
          <w:p w14:paraId="4F634D6D" w14:textId="77777777" w:rsidR="00B46DA0" w:rsidRPr="00F17564" w:rsidRDefault="00B46DA0" w:rsidP="005E179C">
            <w:pPr>
              <w:widowControl/>
              <w:autoSpaceDE/>
              <w:adjustRightInd/>
              <w:spacing w:before="40" w:after="40"/>
              <w:rPr>
                <w:rFonts w:asciiTheme="minorHAnsi" w:hAnsiTheme="minorHAnsi" w:cstheme="minorHAnsi"/>
                <w:sz w:val="19"/>
                <w:szCs w:val="19"/>
              </w:rPr>
            </w:pPr>
            <w:r w:rsidRPr="00F17564">
              <w:rPr>
                <w:rFonts w:asciiTheme="minorHAnsi" w:hAnsiTheme="minorHAnsi" w:cstheme="minorHAnsi"/>
                <w:sz w:val="19"/>
                <w:szCs w:val="19"/>
              </w:rPr>
              <w:t>Through the COAG Health Council, states and territories have agreed to implement</w:t>
            </w:r>
            <w:r>
              <w:rPr>
                <w:rFonts w:asciiTheme="minorHAnsi" w:hAnsiTheme="minorHAnsi" w:cstheme="minorHAnsi"/>
                <w:sz w:val="19"/>
                <w:szCs w:val="19"/>
              </w:rPr>
              <w:t>ing Recommendation Two of the Analysis of the Eye and Tissue Sector, the development of a national policy framework to guide reform of the Australian tissue banking sector</w:t>
            </w:r>
            <w:r w:rsidR="00FC1F0C">
              <w:rPr>
                <w:rFonts w:asciiTheme="minorHAnsi" w:hAnsiTheme="minorHAnsi" w:cstheme="minorHAnsi"/>
                <w:sz w:val="19"/>
                <w:szCs w:val="19"/>
              </w:rPr>
              <w:t>.</w:t>
            </w:r>
          </w:p>
        </w:tc>
        <w:tc>
          <w:tcPr>
            <w:tcW w:w="2268" w:type="dxa"/>
          </w:tcPr>
          <w:p w14:paraId="2F9E273D" w14:textId="77777777" w:rsidR="00B46DA0" w:rsidRPr="00F17564" w:rsidRDefault="00B46DA0" w:rsidP="005E179C">
            <w:pPr>
              <w:widowControl/>
              <w:autoSpaceDE/>
              <w:adjustRightInd/>
              <w:spacing w:before="40" w:after="40"/>
              <w:rPr>
                <w:rFonts w:asciiTheme="minorHAnsi" w:hAnsiTheme="minorHAnsi" w:cstheme="minorHAnsi"/>
                <w:sz w:val="19"/>
                <w:szCs w:val="19"/>
              </w:rPr>
            </w:pPr>
            <w:r>
              <w:rPr>
                <w:rFonts w:asciiTheme="minorHAnsi" w:hAnsiTheme="minorHAnsi" w:cstheme="minorHAnsi"/>
                <w:sz w:val="19"/>
                <w:szCs w:val="19"/>
              </w:rPr>
              <w:t xml:space="preserve"> Underway. The Commonwealth Department of Health, in collaboration with states and territories, is leading the work needed to develop a national policy framework for the eye and tissue banking sector</w:t>
            </w:r>
          </w:p>
        </w:tc>
      </w:tr>
    </w:tbl>
    <w:p w14:paraId="3366828B" w14:textId="133893D9" w:rsidR="007E2BF2" w:rsidRDefault="004A5BB4" w:rsidP="002E7D48">
      <w:pPr>
        <w:pStyle w:val="Heading1"/>
        <w:tabs>
          <w:tab w:val="clear" w:pos="1559"/>
          <w:tab w:val="num" w:pos="993"/>
        </w:tabs>
        <w:ind w:left="992" w:hanging="992"/>
        <w:rPr>
          <w:rFonts w:asciiTheme="minorHAnsi" w:hAnsiTheme="minorHAnsi" w:cstheme="minorHAnsi"/>
          <w:sz w:val="48"/>
        </w:rPr>
      </w:pPr>
      <w:bookmarkStart w:id="106" w:name="_Ref531772575"/>
      <w:bookmarkStart w:id="107" w:name="_Toc532301679"/>
      <w:r w:rsidRPr="00AA47E4">
        <w:rPr>
          <w:rFonts w:asciiTheme="minorHAnsi" w:hAnsiTheme="minorHAnsi" w:cstheme="minorHAnsi"/>
          <w:sz w:val="48"/>
        </w:rPr>
        <w:lastRenderedPageBreak/>
        <w:t xml:space="preserve">The </w:t>
      </w:r>
      <w:r w:rsidR="009F2726">
        <w:rPr>
          <w:rFonts w:asciiTheme="minorHAnsi" w:hAnsiTheme="minorHAnsi" w:cstheme="minorHAnsi"/>
          <w:sz w:val="48"/>
        </w:rPr>
        <w:t>organ donation</w:t>
      </w:r>
      <w:r w:rsidR="00AF24B8">
        <w:rPr>
          <w:rFonts w:asciiTheme="minorHAnsi" w:hAnsiTheme="minorHAnsi" w:cstheme="minorHAnsi"/>
          <w:sz w:val="48"/>
        </w:rPr>
        <w:t xml:space="preserve">, </w:t>
      </w:r>
      <w:r w:rsidR="00C31D73">
        <w:rPr>
          <w:rFonts w:asciiTheme="minorHAnsi" w:hAnsiTheme="minorHAnsi" w:cstheme="minorHAnsi"/>
          <w:sz w:val="48"/>
        </w:rPr>
        <w:t>retrieval</w:t>
      </w:r>
      <w:r w:rsidR="009F2726">
        <w:rPr>
          <w:rFonts w:asciiTheme="minorHAnsi" w:hAnsiTheme="minorHAnsi" w:cstheme="minorHAnsi"/>
          <w:sz w:val="48"/>
        </w:rPr>
        <w:t xml:space="preserve"> and transplantation</w:t>
      </w:r>
      <w:r w:rsidR="00233AD0">
        <w:rPr>
          <w:rFonts w:asciiTheme="minorHAnsi" w:hAnsiTheme="minorHAnsi" w:cstheme="minorHAnsi"/>
          <w:sz w:val="48"/>
        </w:rPr>
        <w:t xml:space="preserve"> system</w:t>
      </w:r>
      <w:r w:rsidR="009F2726">
        <w:rPr>
          <w:rFonts w:asciiTheme="minorHAnsi" w:hAnsiTheme="minorHAnsi" w:cstheme="minorHAnsi"/>
          <w:sz w:val="48"/>
        </w:rPr>
        <w:t xml:space="preserve"> in Australia</w:t>
      </w:r>
      <w:bookmarkEnd w:id="76"/>
      <w:bookmarkEnd w:id="77"/>
      <w:bookmarkEnd w:id="78"/>
      <w:bookmarkEnd w:id="106"/>
      <w:bookmarkEnd w:id="107"/>
    </w:p>
    <w:p w14:paraId="7EAAEC3A" w14:textId="77777777" w:rsidR="00676758" w:rsidRDefault="00921012" w:rsidP="00347266">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108" w:name="_Toc532301680"/>
      <w:r w:rsidRPr="00266A77">
        <w:rPr>
          <w:rFonts w:asciiTheme="minorHAnsi" w:hAnsiTheme="minorHAnsi" w:cstheme="minorHAnsi"/>
          <w:iCs/>
          <w:color w:val="7F7F7F" w:themeColor="text1" w:themeTint="80"/>
          <w:sz w:val="36"/>
          <w:szCs w:val="30"/>
        </w:rPr>
        <w:t xml:space="preserve">The </w:t>
      </w:r>
      <w:r w:rsidR="00676758">
        <w:rPr>
          <w:rFonts w:asciiTheme="minorHAnsi" w:hAnsiTheme="minorHAnsi" w:cstheme="minorHAnsi"/>
          <w:iCs/>
          <w:color w:val="7F7F7F" w:themeColor="text1" w:themeTint="80"/>
          <w:sz w:val="36"/>
          <w:szCs w:val="30"/>
        </w:rPr>
        <w:t>organ donation, retrieval and transplantation functional model</w:t>
      </w:r>
      <w:bookmarkEnd w:id="108"/>
    </w:p>
    <w:p w14:paraId="7E357630" w14:textId="18903E3A" w:rsidR="00C50262" w:rsidRDefault="00C43CA7" w:rsidP="00187525">
      <w:pPr>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The </w:t>
      </w:r>
      <w:r w:rsidR="003B66BA">
        <w:rPr>
          <w:rFonts w:asciiTheme="minorHAnsi" w:hAnsiTheme="minorHAnsi" w:cstheme="minorHAnsi"/>
          <w:sz w:val="24"/>
          <w:szCs w:val="22"/>
          <w:lang w:val="en-GB"/>
        </w:rPr>
        <w:t xml:space="preserve">eight </w:t>
      </w:r>
      <w:r w:rsidRPr="00F37D51">
        <w:rPr>
          <w:rFonts w:asciiTheme="minorHAnsi" w:hAnsiTheme="minorHAnsi" w:cstheme="minorHAnsi"/>
          <w:sz w:val="24"/>
          <w:szCs w:val="22"/>
          <w:lang w:val="en-GB"/>
        </w:rPr>
        <w:t>key elements or steps of the</w:t>
      </w:r>
      <w:r w:rsidR="003B66BA">
        <w:rPr>
          <w:rFonts w:asciiTheme="minorHAnsi" w:hAnsiTheme="minorHAnsi" w:cstheme="minorHAnsi"/>
          <w:sz w:val="24"/>
          <w:szCs w:val="22"/>
          <w:lang w:val="en-GB"/>
        </w:rPr>
        <w:t xml:space="preserve"> Australian</w:t>
      </w:r>
      <w:r w:rsidRPr="00F37D51">
        <w:rPr>
          <w:rFonts w:asciiTheme="minorHAnsi" w:hAnsiTheme="minorHAnsi" w:cstheme="minorHAnsi"/>
          <w:sz w:val="24"/>
          <w:szCs w:val="22"/>
          <w:lang w:val="en-GB"/>
        </w:rPr>
        <w:t xml:space="preserve"> organ donation</w:t>
      </w:r>
      <w:r w:rsidR="003B66BA">
        <w:rPr>
          <w:rFonts w:asciiTheme="minorHAnsi" w:hAnsiTheme="minorHAnsi" w:cstheme="minorHAnsi"/>
          <w:sz w:val="24"/>
          <w:szCs w:val="22"/>
          <w:lang w:val="en-GB"/>
        </w:rPr>
        <w:t xml:space="preserve">, retrieval </w:t>
      </w:r>
      <w:r w:rsidRPr="00F37D51">
        <w:rPr>
          <w:rFonts w:asciiTheme="minorHAnsi" w:hAnsiTheme="minorHAnsi" w:cstheme="minorHAnsi"/>
          <w:sz w:val="24"/>
          <w:szCs w:val="22"/>
          <w:lang w:val="en-GB"/>
        </w:rPr>
        <w:t>and transplantation functional model are outlined in</w:t>
      </w:r>
      <w:r w:rsidR="0081744B">
        <w:rPr>
          <w:rFonts w:asciiTheme="minorHAnsi" w:hAnsiTheme="minorHAnsi" w:cstheme="minorHAnsi"/>
          <w:sz w:val="24"/>
          <w:szCs w:val="22"/>
          <w:lang w:val="en-GB"/>
        </w:rPr>
        <w:t xml:space="preserve"> </w:t>
      </w:r>
      <w:r w:rsidR="0081744B">
        <w:rPr>
          <w:rFonts w:asciiTheme="minorHAnsi" w:hAnsiTheme="minorHAnsi" w:cstheme="minorHAnsi"/>
          <w:sz w:val="24"/>
          <w:szCs w:val="22"/>
          <w:lang w:val="en-GB"/>
        </w:rPr>
        <w:fldChar w:fldCharType="begin"/>
      </w:r>
      <w:r w:rsidR="0081744B">
        <w:rPr>
          <w:rFonts w:asciiTheme="minorHAnsi" w:hAnsiTheme="minorHAnsi" w:cstheme="minorHAnsi"/>
          <w:sz w:val="24"/>
          <w:szCs w:val="22"/>
          <w:lang w:val="en-GB"/>
        </w:rPr>
        <w:instrText xml:space="preserve"> REF _Ref523489672 \h  \* MERGEFORMAT </w:instrText>
      </w:r>
      <w:r w:rsidR="0081744B">
        <w:rPr>
          <w:rFonts w:asciiTheme="minorHAnsi" w:hAnsiTheme="minorHAnsi" w:cstheme="minorHAnsi"/>
          <w:sz w:val="24"/>
          <w:szCs w:val="22"/>
          <w:lang w:val="en-GB"/>
        </w:rPr>
      </w:r>
      <w:r w:rsidR="0081744B">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Figure 2</w:t>
      </w:r>
      <w:r w:rsidR="0081744B">
        <w:rPr>
          <w:rFonts w:asciiTheme="minorHAnsi" w:hAnsiTheme="minorHAnsi" w:cstheme="minorHAnsi"/>
          <w:sz w:val="24"/>
          <w:szCs w:val="22"/>
          <w:lang w:val="en-GB"/>
        </w:rPr>
        <w:fldChar w:fldCharType="end"/>
      </w:r>
      <w:r w:rsidRPr="0002153B">
        <w:rPr>
          <w:rFonts w:asciiTheme="minorHAnsi" w:hAnsiTheme="minorHAnsi" w:cstheme="minorHAnsi"/>
          <w:sz w:val="24"/>
          <w:szCs w:val="22"/>
          <w:lang w:val="en-GB"/>
        </w:rPr>
        <w:t>.</w:t>
      </w:r>
      <w:r w:rsidR="00A80D72" w:rsidRPr="00A200D7">
        <w:rPr>
          <w:rStyle w:val="FootnoteReference"/>
          <w:rFonts w:asciiTheme="minorHAnsi" w:hAnsiTheme="minorHAnsi"/>
        </w:rPr>
        <w:footnoteReference w:id="32"/>
      </w:r>
      <w:r w:rsidR="00B6664D" w:rsidRPr="00A200D7">
        <w:rPr>
          <w:rStyle w:val="FootnoteReference"/>
          <w:rFonts w:asciiTheme="minorHAnsi" w:hAnsiTheme="minorHAnsi"/>
        </w:rPr>
        <w:t xml:space="preserve"> </w:t>
      </w:r>
      <w:r w:rsidR="003B66BA">
        <w:rPr>
          <w:rFonts w:asciiTheme="minorHAnsi" w:hAnsiTheme="minorHAnsi" w:cstheme="minorHAnsi"/>
          <w:sz w:val="24"/>
          <w:szCs w:val="22"/>
          <w:lang w:val="en-GB"/>
        </w:rPr>
        <w:t>In add</w:t>
      </w:r>
      <w:r w:rsidR="004B474A">
        <w:rPr>
          <w:rFonts w:asciiTheme="minorHAnsi" w:hAnsiTheme="minorHAnsi" w:cstheme="minorHAnsi"/>
          <w:sz w:val="24"/>
          <w:szCs w:val="22"/>
          <w:lang w:val="en-GB"/>
        </w:rPr>
        <w:t>ition, the diagram also highlights</w:t>
      </w:r>
      <w:r w:rsidR="003B66BA">
        <w:rPr>
          <w:rFonts w:asciiTheme="minorHAnsi" w:hAnsiTheme="minorHAnsi" w:cstheme="minorHAnsi"/>
          <w:sz w:val="24"/>
          <w:szCs w:val="22"/>
          <w:lang w:val="en-GB"/>
        </w:rPr>
        <w:t xml:space="preserve"> th</w:t>
      </w:r>
      <w:r w:rsidR="0085695A">
        <w:rPr>
          <w:rFonts w:asciiTheme="minorHAnsi" w:hAnsiTheme="minorHAnsi" w:cstheme="minorHAnsi"/>
          <w:sz w:val="24"/>
          <w:szCs w:val="22"/>
          <w:lang w:val="en-GB"/>
        </w:rPr>
        <w:t>e</w:t>
      </w:r>
      <w:r w:rsidR="003B66BA">
        <w:rPr>
          <w:rFonts w:asciiTheme="minorHAnsi" w:hAnsiTheme="minorHAnsi" w:cstheme="minorHAnsi"/>
          <w:sz w:val="24"/>
          <w:szCs w:val="22"/>
          <w:lang w:val="en-GB"/>
        </w:rPr>
        <w:t xml:space="preserve"> overarching</w:t>
      </w:r>
      <w:r w:rsidR="0085695A">
        <w:rPr>
          <w:rFonts w:asciiTheme="minorHAnsi" w:hAnsiTheme="minorHAnsi" w:cstheme="minorHAnsi"/>
          <w:sz w:val="24"/>
          <w:szCs w:val="22"/>
          <w:lang w:val="en-GB"/>
        </w:rPr>
        <w:t xml:space="preserve"> </w:t>
      </w:r>
      <w:r w:rsidR="003B66BA">
        <w:rPr>
          <w:rFonts w:asciiTheme="minorHAnsi" w:hAnsiTheme="minorHAnsi" w:cstheme="minorHAnsi"/>
          <w:sz w:val="24"/>
          <w:szCs w:val="22"/>
          <w:lang w:val="en-GB"/>
        </w:rPr>
        <w:t xml:space="preserve">elements which support the </w:t>
      </w:r>
      <w:r w:rsidR="00C50262" w:rsidRPr="00F37D51">
        <w:rPr>
          <w:rFonts w:asciiTheme="minorHAnsi" w:hAnsiTheme="minorHAnsi" w:cstheme="minorHAnsi"/>
          <w:sz w:val="24"/>
          <w:szCs w:val="22"/>
          <w:lang w:val="en-GB"/>
        </w:rPr>
        <w:t>organ donation</w:t>
      </w:r>
      <w:r w:rsidR="00C50262">
        <w:rPr>
          <w:rFonts w:asciiTheme="minorHAnsi" w:hAnsiTheme="minorHAnsi" w:cstheme="minorHAnsi"/>
          <w:sz w:val="24"/>
          <w:szCs w:val="22"/>
          <w:lang w:val="en-GB"/>
        </w:rPr>
        <w:t xml:space="preserve">, retrieval </w:t>
      </w:r>
      <w:r w:rsidR="00C50262" w:rsidRPr="00F37D51">
        <w:rPr>
          <w:rFonts w:asciiTheme="minorHAnsi" w:hAnsiTheme="minorHAnsi" w:cstheme="minorHAnsi"/>
          <w:sz w:val="24"/>
          <w:szCs w:val="22"/>
          <w:lang w:val="en-GB"/>
        </w:rPr>
        <w:t xml:space="preserve">and transplantation </w:t>
      </w:r>
      <w:r w:rsidR="00C50262">
        <w:rPr>
          <w:rFonts w:asciiTheme="minorHAnsi" w:hAnsiTheme="minorHAnsi" w:cstheme="minorHAnsi"/>
          <w:sz w:val="24"/>
          <w:szCs w:val="22"/>
          <w:lang w:val="en-GB"/>
        </w:rPr>
        <w:t xml:space="preserve">process. </w:t>
      </w:r>
    </w:p>
    <w:p w14:paraId="076EFFA5" w14:textId="3968AC90" w:rsidR="00A22745" w:rsidRPr="00F37D51" w:rsidRDefault="00B6664D" w:rsidP="00AE3ED1">
      <w:pPr>
        <w:spacing w:after="120"/>
        <w:rPr>
          <w:rFonts w:asciiTheme="minorHAnsi" w:hAnsiTheme="minorHAnsi" w:cstheme="minorHAnsi"/>
          <w:sz w:val="24"/>
          <w:szCs w:val="22"/>
          <w:lang w:val="en-GB"/>
        </w:rPr>
      </w:pPr>
      <w:r w:rsidRPr="00B6664D">
        <w:rPr>
          <w:rFonts w:asciiTheme="minorHAnsi" w:hAnsiTheme="minorHAnsi" w:cstheme="minorHAnsi"/>
          <w:sz w:val="24"/>
          <w:szCs w:val="22"/>
          <w:lang w:val="en-GB"/>
        </w:rPr>
        <w:t>Each</w:t>
      </w:r>
      <w:r>
        <w:rPr>
          <w:rFonts w:asciiTheme="minorHAnsi" w:hAnsiTheme="minorHAnsi" w:cstheme="minorHAnsi"/>
          <w:sz w:val="24"/>
          <w:szCs w:val="22"/>
          <w:lang w:val="en-GB"/>
        </w:rPr>
        <w:t xml:space="preserve"> of the</w:t>
      </w:r>
      <w:r w:rsidRPr="00B6664D">
        <w:rPr>
          <w:rFonts w:asciiTheme="minorHAnsi" w:hAnsiTheme="minorHAnsi" w:cstheme="minorHAnsi"/>
          <w:sz w:val="24"/>
          <w:szCs w:val="22"/>
          <w:lang w:val="en-GB"/>
        </w:rPr>
        <w:t xml:space="preserve"> element</w:t>
      </w:r>
      <w:r>
        <w:rPr>
          <w:rFonts w:asciiTheme="minorHAnsi" w:hAnsiTheme="minorHAnsi" w:cstheme="minorHAnsi"/>
          <w:sz w:val="24"/>
          <w:szCs w:val="22"/>
          <w:lang w:val="en-GB"/>
        </w:rPr>
        <w:t>s</w:t>
      </w:r>
      <w:r w:rsidR="00D81593">
        <w:rPr>
          <w:rFonts w:asciiTheme="minorHAnsi" w:hAnsiTheme="minorHAnsi" w:cstheme="minorHAnsi"/>
          <w:sz w:val="24"/>
          <w:szCs w:val="22"/>
          <w:lang w:val="en-GB"/>
        </w:rPr>
        <w:t xml:space="preserve"> in the diagram</w:t>
      </w:r>
      <w:r>
        <w:rPr>
          <w:rFonts w:asciiTheme="minorHAnsi" w:hAnsiTheme="minorHAnsi" w:cstheme="minorHAnsi"/>
          <w:sz w:val="24"/>
          <w:szCs w:val="22"/>
          <w:lang w:val="en-GB"/>
        </w:rPr>
        <w:t xml:space="preserve"> are</w:t>
      </w:r>
      <w:r w:rsidRPr="00B6664D">
        <w:rPr>
          <w:rFonts w:asciiTheme="minorHAnsi" w:hAnsiTheme="minorHAnsi" w:cstheme="minorHAnsi"/>
          <w:sz w:val="24"/>
          <w:szCs w:val="22"/>
          <w:lang w:val="en-GB"/>
        </w:rPr>
        <w:t xml:space="preserve"> </w:t>
      </w:r>
      <w:r>
        <w:rPr>
          <w:rFonts w:asciiTheme="minorHAnsi" w:hAnsiTheme="minorHAnsi" w:cstheme="minorHAnsi"/>
          <w:sz w:val="24"/>
          <w:szCs w:val="22"/>
          <w:lang w:val="en-GB"/>
        </w:rPr>
        <w:t xml:space="preserve">described in further detail in </w:t>
      </w:r>
      <w:r w:rsidR="00267989">
        <w:rPr>
          <w:rFonts w:asciiTheme="minorHAnsi" w:hAnsiTheme="minorHAnsi" w:cstheme="minorHAnsi"/>
          <w:sz w:val="24"/>
          <w:szCs w:val="22"/>
          <w:lang w:val="en-GB"/>
        </w:rPr>
        <w:t>this</w:t>
      </w:r>
      <w:r>
        <w:rPr>
          <w:rFonts w:asciiTheme="minorHAnsi" w:hAnsiTheme="minorHAnsi" w:cstheme="minorHAnsi"/>
          <w:sz w:val="24"/>
          <w:szCs w:val="22"/>
          <w:lang w:val="en-GB"/>
        </w:rPr>
        <w:t xml:space="preserve"> section, as </w:t>
      </w:r>
      <w:r w:rsidRPr="00B6664D">
        <w:rPr>
          <w:rFonts w:asciiTheme="minorHAnsi" w:hAnsiTheme="minorHAnsi" w:cstheme="minorHAnsi"/>
          <w:sz w:val="24"/>
          <w:szCs w:val="22"/>
          <w:lang w:val="en-GB"/>
        </w:rPr>
        <w:t xml:space="preserve">well as some of the nuances that differ from the model presented </w:t>
      </w:r>
      <w:r>
        <w:rPr>
          <w:rFonts w:asciiTheme="minorHAnsi" w:hAnsiTheme="minorHAnsi" w:cstheme="minorHAnsi"/>
          <w:sz w:val="24"/>
          <w:szCs w:val="22"/>
          <w:lang w:val="en-GB"/>
        </w:rPr>
        <w:t xml:space="preserve">in </w:t>
      </w:r>
      <w:r w:rsidR="00631A99" w:rsidRPr="0002153B">
        <w:rPr>
          <w:rFonts w:asciiTheme="minorHAnsi" w:hAnsiTheme="minorHAnsi" w:cstheme="minorHAnsi"/>
          <w:sz w:val="24"/>
          <w:szCs w:val="22"/>
          <w:lang w:val="en-GB"/>
        </w:rPr>
        <w:fldChar w:fldCharType="begin"/>
      </w:r>
      <w:r w:rsidR="00631A99" w:rsidRPr="006330C1">
        <w:rPr>
          <w:rFonts w:asciiTheme="minorHAnsi" w:hAnsiTheme="minorHAnsi" w:cstheme="minorHAnsi"/>
          <w:sz w:val="24"/>
          <w:szCs w:val="22"/>
          <w:lang w:val="en-GB"/>
        </w:rPr>
        <w:instrText xml:space="preserve"> REF _Ref523489672 \h </w:instrText>
      </w:r>
      <w:r w:rsidR="00631A99" w:rsidRPr="00C42404">
        <w:rPr>
          <w:rFonts w:asciiTheme="minorHAnsi" w:hAnsiTheme="minorHAnsi" w:cstheme="minorHAnsi"/>
          <w:sz w:val="24"/>
          <w:szCs w:val="22"/>
          <w:lang w:val="en-GB"/>
        </w:rPr>
        <w:instrText xml:space="preserve"> \* MERGEFORMAT </w:instrText>
      </w:r>
      <w:r w:rsidR="00631A99" w:rsidRPr="0002153B">
        <w:rPr>
          <w:rFonts w:asciiTheme="minorHAnsi" w:hAnsiTheme="minorHAnsi" w:cstheme="minorHAnsi"/>
          <w:sz w:val="24"/>
          <w:szCs w:val="22"/>
          <w:lang w:val="en-GB"/>
        </w:rPr>
      </w:r>
      <w:r w:rsidR="00631A99" w:rsidRPr="0002153B">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Figure 2</w:t>
      </w:r>
      <w:r w:rsidR="00631A99" w:rsidRPr="0002153B">
        <w:rPr>
          <w:rFonts w:asciiTheme="minorHAnsi" w:hAnsiTheme="minorHAnsi" w:cstheme="minorHAnsi"/>
          <w:sz w:val="24"/>
          <w:szCs w:val="22"/>
          <w:lang w:val="en-GB"/>
        </w:rPr>
        <w:fldChar w:fldCharType="end"/>
      </w:r>
      <w:r w:rsidRPr="00B6664D">
        <w:rPr>
          <w:rFonts w:asciiTheme="minorHAnsi" w:hAnsiTheme="minorHAnsi" w:cstheme="minorHAnsi"/>
          <w:sz w:val="24"/>
          <w:szCs w:val="22"/>
          <w:lang w:val="en-GB"/>
        </w:rPr>
        <w:t>.</w:t>
      </w:r>
    </w:p>
    <w:p w14:paraId="485209C0" w14:textId="77777777" w:rsidR="00AF24B8" w:rsidRDefault="00AF24B8" w:rsidP="00921012">
      <w:pPr>
        <w:pStyle w:val="Caption"/>
        <w:widowControl/>
        <w:spacing w:after="60"/>
        <w:rPr>
          <w:color w:val="808080"/>
          <w:sz w:val="16"/>
        </w:rPr>
      </w:pPr>
    </w:p>
    <w:p w14:paraId="0E4CD60E" w14:textId="77777777" w:rsidR="0032542A" w:rsidRPr="00266A77" w:rsidRDefault="0032542A" w:rsidP="00266A77">
      <w:pPr>
        <w:sectPr w:rsidR="0032542A" w:rsidRPr="00266A77" w:rsidSect="009C1C66">
          <w:headerReference w:type="even" r:id="rId14"/>
          <w:headerReference w:type="default" r:id="rId15"/>
          <w:footerReference w:type="default" r:id="rId16"/>
          <w:headerReference w:type="first" r:id="rId17"/>
          <w:pgSz w:w="11906" w:h="16838"/>
          <w:pgMar w:top="1134" w:right="851" w:bottom="1440" w:left="1440" w:header="283" w:footer="567" w:gutter="0"/>
          <w:cols w:space="708"/>
          <w:docGrid w:linePitch="360"/>
        </w:sectPr>
      </w:pPr>
    </w:p>
    <w:p w14:paraId="0B398502" w14:textId="77777777" w:rsidR="00A36AC8" w:rsidRDefault="00AF24B8" w:rsidP="00C42404">
      <w:pPr>
        <w:pStyle w:val="Caption"/>
        <w:widowControl/>
        <w:spacing w:after="120"/>
        <w:rPr>
          <w:rFonts w:asciiTheme="minorHAnsi" w:hAnsiTheme="minorHAnsi" w:cstheme="minorHAnsi"/>
          <w:b w:val="0"/>
          <w:color w:val="808080"/>
          <w:sz w:val="20"/>
        </w:rPr>
      </w:pPr>
      <w:bookmarkStart w:id="109" w:name="_Ref523489672"/>
      <w:bookmarkStart w:id="110" w:name="_Ref531251305"/>
      <w:r w:rsidRPr="00266A77">
        <w:rPr>
          <w:rFonts w:asciiTheme="minorHAnsi" w:hAnsiTheme="minorHAnsi" w:cstheme="minorHAnsi"/>
          <w:b w:val="0"/>
          <w:color w:val="808080"/>
          <w:sz w:val="20"/>
        </w:rPr>
        <w:lastRenderedPageBreak/>
        <w:t xml:space="preserve">Figure </w:t>
      </w:r>
      <w:r w:rsidR="006624EC">
        <w:rPr>
          <w:rFonts w:asciiTheme="minorHAnsi" w:hAnsiTheme="minorHAnsi" w:cstheme="minorHAnsi"/>
          <w:bCs w:val="0"/>
          <w:color w:val="808080"/>
        </w:rPr>
        <w:fldChar w:fldCharType="begin"/>
      </w:r>
      <w:r w:rsidR="006624EC">
        <w:rPr>
          <w:rFonts w:asciiTheme="minorHAnsi" w:hAnsiTheme="minorHAnsi" w:cstheme="minorHAnsi"/>
          <w:b w:val="0"/>
          <w:color w:val="808080"/>
          <w:sz w:val="20"/>
        </w:rPr>
        <w:instrText xml:space="preserve"> SEQ Figure \* ARABIC </w:instrText>
      </w:r>
      <w:r w:rsidR="006624EC">
        <w:rPr>
          <w:rFonts w:asciiTheme="minorHAnsi" w:hAnsiTheme="minorHAnsi" w:cstheme="minorHAnsi"/>
          <w:bCs w:val="0"/>
          <w:color w:val="808080"/>
        </w:rPr>
        <w:fldChar w:fldCharType="separate"/>
      </w:r>
      <w:r w:rsidR="00A04048">
        <w:rPr>
          <w:rFonts w:asciiTheme="minorHAnsi" w:hAnsiTheme="minorHAnsi" w:cstheme="minorHAnsi"/>
          <w:b w:val="0"/>
          <w:noProof/>
          <w:color w:val="808080"/>
          <w:sz w:val="20"/>
        </w:rPr>
        <w:t>2</w:t>
      </w:r>
      <w:r w:rsidR="006624EC">
        <w:rPr>
          <w:rFonts w:asciiTheme="minorHAnsi" w:hAnsiTheme="minorHAnsi" w:cstheme="minorHAnsi"/>
          <w:bCs w:val="0"/>
          <w:color w:val="808080"/>
        </w:rPr>
        <w:fldChar w:fldCharType="end"/>
      </w:r>
      <w:bookmarkEnd w:id="109"/>
      <w:r w:rsidRPr="00266A77">
        <w:rPr>
          <w:rFonts w:asciiTheme="minorHAnsi" w:hAnsiTheme="minorHAnsi" w:cstheme="minorHAnsi"/>
          <w:b w:val="0"/>
          <w:color w:val="808080"/>
          <w:sz w:val="20"/>
        </w:rPr>
        <w:t xml:space="preserve">: </w:t>
      </w:r>
      <w:r w:rsidR="004501D4">
        <w:rPr>
          <w:rFonts w:asciiTheme="minorHAnsi" w:hAnsiTheme="minorHAnsi" w:cstheme="minorHAnsi"/>
          <w:b w:val="0"/>
          <w:color w:val="808080"/>
          <w:sz w:val="20"/>
        </w:rPr>
        <w:t>The</w:t>
      </w:r>
      <w:r w:rsidRPr="00266A77">
        <w:rPr>
          <w:rFonts w:asciiTheme="minorHAnsi" w:hAnsiTheme="minorHAnsi" w:cstheme="minorHAnsi"/>
          <w:b w:val="0"/>
          <w:color w:val="808080"/>
          <w:sz w:val="20"/>
        </w:rPr>
        <w:t xml:space="preserve"> elements of the organ donation, retrieval and transplantation process</w:t>
      </w:r>
      <w:r w:rsidR="00FF285C">
        <w:rPr>
          <w:rFonts w:asciiTheme="minorHAnsi" w:hAnsiTheme="minorHAnsi" w:cstheme="minorHAnsi"/>
          <w:b w:val="0"/>
          <w:color w:val="808080"/>
          <w:sz w:val="20"/>
        </w:rPr>
        <w:t>, SOURCE: the OTA</w:t>
      </w:r>
      <w:r w:rsidR="00FF285C">
        <w:rPr>
          <w:rStyle w:val="FootnoteReference"/>
          <w:rFonts w:cstheme="minorHAnsi"/>
          <w:b w:val="0"/>
          <w:color w:val="808080"/>
        </w:rPr>
        <w:footnoteReference w:id="33"/>
      </w:r>
      <w:bookmarkEnd w:id="110"/>
    </w:p>
    <w:p w14:paraId="34BC9F9E" w14:textId="44810A2E" w:rsidR="00AF24B8" w:rsidRPr="000A1DCD" w:rsidRDefault="008110C4" w:rsidP="00C75FAB">
      <w:pPr>
        <w:rPr>
          <w:rFonts w:asciiTheme="minorHAnsi" w:hAnsiTheme="minorHAnsi" w:cstheme="minorHAnsi"/>
          <w:b/>
          <w:color w:val="808080"/>
        </w:rPr>
        <w:sectPr w:rsidR="00AF24B8" w:rsidRPr="000A1DCD" w:rsidSect="00EB39DF">
          <w:pgSz w:w="16838" w:h="11906" w:orient="landscape"/>
          <w:pgMar w:top="1440" w:right="1440" w:bottom="851" w:left="1440" w:header="283" w:footer="567" w:gutter="0"/>
          <w:cols w:space="708"/>
          <w:docGrid w:linePitch="360"/>
        </w:sectPr>
      </w:pPr>
      <w:r w:rsidRPr="008110C4">
        <w:rPr>
          <w:noProof/>
          <w:lang w:eastAsia="en-AU"/>
        </w:rPr>
        <w:drawing>
          <wp:inline distT="0" distB="0" distL="0" distR="0" wp14:anchorId="6C8FD01F" wp14:editId="289C4618">
            <wp:extent cx="7443384" cy="4916032"/>
            <wp:effectExtent l="0" t="0" r="5715" b="0"/>
            <wp:docPr id="29" name="Picture 29" descr="Figure 2 is a list of the elements of the organ donation, retrieval and transplantation process. The elements of the system are from 1 through to 8, with one overarching element and three supporting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48690" cy="4919536"/>
                    </a:xfrm>
                    <a:prstGeom prst="rect">
                      <a:avLst/>
                    </a:prstGeom>
                    <a:noFill/>
                    <a:ln>
                      <a:noFill/>
                    </a:ln>
                  </pic:spPr>
                </pic:pic>
              </a:graphicData>
            </a:graphic>
          </wp:inline>
        </w:drawing>
      </w:r>
    </w:p>
    <w:p w14:paraId="434443A5" w14:textId="31447707" w:rsidR="00594CE0" w:rsidRPr="00266A77" w:rsidRDefault="00594CE0" w:rsidP="00594CE0">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6"/>
        </w:rPr>
      </w:pPr>
      <w:bookmarkStart w:id="111" w:name="_Toc532301681"/>
      <w:r w:rsidRPr="00266A77">
        <w:rPr>
          <w:rFonts w:asciiTheme="minorHAnsi" w:hAnsiTheme="minorHAnsi" w:cstheme="minorHAnsi"/>
          <w:iCs/>
          <w:color w:val="7F7F7F" w:themeColor="text1" w:themeTint="80"/>
          <w:sz w:val="36"/>
          <w:szCs w:val="36"/>
        </w:rPr>
        <w:lastRenderedPageBreak/>
        <w:t>System governance</w:t>
      </w:r>
      <w:bookmarkEnd w:id="111"/>
    </w:p>
    <w:p w14:paraId="2CE3E337" w14:textId="4D5E9DD4" w:rsidR="000A08C0" w:rsidRPr="00F17564" w:rsidRDefault="000A08C0" w:rsidP="00F17564">
      <w:pPr>
        <w:pStyle w:val="Heading3"/>
        <w:tabs>
          <w:tab w:val="clear" w:pos="1843"/>
          <w:tab w:val="num" w:pos="1559"/>
        </w:tabs>
        <w:ind w:left="992" w:hanging="992"/>
        <w:rPr>
          <w:rFonts w:asciiTheme="minorHAnsi" w:hAnsiTheme="minorHAnsi" w:cstheme="minorHAnsi"/>
          <w:color w:val="7F7F7F" w:themeColor="text1" w:themeTint="80"/>
          <w:sz w:val="30"/>
          <w:szCs w:val="30"/>
        </w:rPr>
      </w:pPr>
      <w:r w:rsidRPr="00F17564">
        <w:rPr>
          <w:rFonts w:asciiTheme="minorHAnsi" w:hAnsiTheme="minorHAnsi" w:cstheme="minorHAnsi"/>
          <w:b w:val="0"/>
          <w:color w:val="7F7F7F" w:themeColor="text1" w:themeTint="80"/>
          <w:sz w:val="30"/>
          <w:szCs w:val="30"/>
        </w:rPr>
        <w:t xml:space="preserve">Governance of the </w:t>
      </w:r>
      <w:r w:rsidR="0081744B">
        <w:rPr>
          <w:rFonts w:asciiTheme="minorHAnsi" w:hAnsiTheme="minorHAnsi" w:cstheme="minorHAnsi"/>
          <w:b w:val="0"/>
          <w:color w:val="7F7F7F" w:themeColor="text1" w:themeTint="80"/>
          <w:sz w:val="30"/>
          <w:szCs w:val="30"/>
        </w:rPr>
        <w:t xml:space="preserve">national </w:t>
      </w:r>
      <w:r w:rsidRPr="00F17564">
        <w:rPr>
          <w:rFonts w:asciiTheme="minorHAnsi" w:hAnsiTheme="minorHAnsi" w:cstheme="minorHAnsi"/>
          <w:b w:val="0"/>
          <w:color w:val="7F7F7F" w:themeColor="text1" w:themeTint="80"/>
          <w:sz w:val="30"/>
          <w:szCs w:val="30"/>
        </w:rPr>
        <w:t>reform agenda</w:t>
      </w:r>
    </w:p>
    <w:p w14:paraId="73D1C536" w14:textId="740CD44E" w:rsidR="002836B2" w:rsidRDefault="008573C1" w:rsidP="003913E6">
      <w:pPr>
        <w:spacing w:after="120"/>
        <w:rPr>
          <w:rFonts w:asciiTheme="minorHAnsi" w:hAnsiTheme="minorHAnsi" w:cstheme="minorHAnsi"/>
          <w:sz w:val="24"/>
          <w:szCs w:val="22"/>
        </w:rPr>
      </w:pPr>
      <w:r>
        <w:rPr>
          <w:rFonts w:asciiTheme="minorHAnsi" w:hAnsiTheme="minorHAnsi" w:cstheme="minorHAnsi"/>
          <w:sz w:val="24"/>
          <w:szCs w:val="22"/>
        </w:rPr>
        <w:t xml:space="preserve">The Australian Government’s National Reform Agenda </w:t>
      </w:r>
      <w:r w:rsidR="000A1DCD">
        <w:rPr>
          <w:rFonts w:asciiTheme="minorHAnsi" w:hAnsiTheme="minorHAnsi" w:cstheme="minorHAnsi"/>
          <w:sz w:val="24"/>
          <w:szCs w:val="22"/>
        </w:rPr>
        <w:t>was to be delivered in p</w:t>
      </w:r>
      <w:r>
        <w:rPr>
          <w:rFonts w:asciiTheme="minorHAnsi" w:hAnsiTheme="minorHAnsi" w:cstheme="minorHAnsi"/>
          <w:sz w:val="24"/>
          <w:szCs w:val="22"/>
        </w:rPr>
        <w:t xml:space="preserve">artnership with states and territories, clinicians and the community. </w:t>
      </w:r>
      <w:r w:rsidR="00DF2401" w:rsidRPr="00FA7E3A">
        <w:rPr>
          <w:rFonts w:asciiTheme="minorHAnsi" w:hAnsiTheme="minorHAnsi" w:cstheme="minorHAnsi"/>
          <w:sz w:val="24"/>
          <w:szCs w:val="22"/>
        </w:rPr>
        <w:t>As</w:t>
      </w:r>
      <w:r w:rsidR="00233AD0" w:rsidRPr="00FA7E3A">
        <w:rPr>
          <w:rFonts w:asciiTheme="minorHAnsi" w:hAnsiTheme="minorHAnsi" w:cstheme="minorHAnsi"/>
          <w:sz w:val="24"/>
          <w:szCs w:val="22"/>
        </w:rPr>
        <w:t xml:space="preserve"> part of Measure 1 of </w:t>
      </w:r>
      <w:r w:rsidR="003F2F2B" w:rsidRPr="00FA7E3A">
        <w:rPr>
          <w:rFonts w:asciiTheme="minorHAnsi" w:hAnsiTheme="minorHAnsi" w:cstheme="minorHAnsi"/>
          <w:sz w:val="24"/>
          <w:szCs w:val="22"/>
        </w:rPr>
        <w:t>the National Reform Agenda</w:t>
      </w:r>
      <w:r w:rsidR="00233AD0" w:rsidRPr="00FA7E3A">
        <w:rPr>
          <w:rFonts w:asciiTheme="minorHAnsi" w:hAnsiTheme="minorHAnsi" w:cstheme="minorHAnsi"/>
          <w:sz w:val="24"/>
          <w:szCs w:val="22"/>
        </w:rPr>
        <w:t xml:space="preserve">, </w:t>
      </w:r>
      <w:r w:rsidR="00594CE0" w:rsidRPr="00FA7E3A">
        <w:rPr>
          <w:rFonts w:asciiTheme="minorHAnsi" w:hAnsiTheme="minorHAnsi" w:cstheme="minorHAnsi"/>
          <w:sz w:val="24"/>
          <w:szCs w:val="22"/>
        </w:rPr>
        <w:t xml:space="preserve">the Australian Government </w:t>
      </w:r>
      <w:r w:rsidR="00D45DCC" w:rsidRPr="00FA7E3A">
        <w:rPr>
          <w:rFonts w:asciiTheme="minorHAnsi" w:hAnsiTheme="minorHAnsi" w:cstheme="minorHAnsi"/>
          <w:sz w:val="24"/>
          <w:szCs w:val="22"/>
        </w:rPr>
        <w:t xml:space="preserve">passed the </w:t>
      </w:r>
      <w:r w:rsidR="00D45DCC" w:rsidRPr="00FA7E3A">
        <w:rPr>
          <w:rFonts w:asciiTheme="minorHAnsi" w:hAnsiTheme="minorHAnsi" w:cstheme="minorHAnsi"/>
          <w:i/>
          <w:sz w:val="24"/>
          <w:szCs w:val="22"/>
        </w:rPr>
        <w:t>Australian Organ and Tissue Donation and Transplantation Authority Act 2008</w:t>
      </w:r>
      <w:r w:rsidR="00AE3019" w:rsidRPr="00FA7E3A">
        <w:rPr>
          <w:rFonts w:asciiTheme="minorHAnsi" w:hAnsiTheme="minorHAnsi" w:cstheme="minorHAnsi"/>
          <w:sz w:val="24"/>
          <w:szCs w:val="22"/>
        </w:rPr>
        <w:t xml:space="preserve"> (</w:t>
      </w:r>
      <w:r w:rsidR="008E64B3">
        <w:rPr>
          <w:rFonts w:asciiTheme="minorHAnsi" w:hAnsiTheme="minorHAnsi" w:cstheme="minorHAnsi"/>
          <w:sz w:val="24"/>
          <w:szCs w:val="22"/>
        </w:rPr>
        <w:t>‘</w:t>
      </w:r>
      <w:r w:rsidR="00AE3019" w:rsidRPr="00FA7E3A">
        <w:rPr>
          <w:rFonts w:asciiTheme="minorHAnsi" w:hAnsiTheme="minorHAnsi" w:cstheme="minorHAnsi"/>
          <w:sz w:val="24"/>
          <w:szCs w:val="22"/>
        </w:rPr>
        <w:t>the Act</w:t>
      </w:r>
      <w:r w:rsidR="008E64B3">
        <w:rPr>
          <w:rFonts w:asciiTheme="minorHAnsi" w:hAnsiTheme="minorHAnsi" w:cstheme="minorHAnsi"/>
          <w:sz w:val="24"/>
          <w:szCs w:val="22"/>
        </w:rPr>
        <w:t>’</w:t>
      </w:r>
      <w:r w:rsidR="00AE3019" w:rsidRPr="00FA7E3A">
        <w:rPr>
          <w:rFonts w:asciiTheme="minorHAnsi" w:hAnsiTheme="minorHAnsi" w:cstheme="minorHAnsi"/>
          <w:sz w:val="24"/>
          <w:szCs w:val="22"/>
        </w:rPr>
        <w:t>)</w:t>
      </w:r>
      <w:r w:rsidR="00D45DCC" w:rsidRPr="00FA7E3A">
        <w:rPr>
          <w:rFonts w:asciiTheme="minorHAnsi" w:hAnsiTheme="minorHAnsi" w:cstheme="minorHAnsi"/>
          <w:i/>
          <w:sz w:val="24"/>
          <w:szCs w:val="22"/>
        </w:rPr>
        <w:t xml:space="preserve"> </w:t>
      </w:r>
      <w:r w:rsidR="00D45DCC" w:rsidRPr="00FA7E3A">
        <w:rPr>
          <w:rFonts w:asciiTheme="minorHAnsi" w:hAnsiTheme="minorHAnsi" w:cstheme="minorHAnsi"/>
          <w:sz w:val="24"/>
          <w:szCs w:val="22"/>
        </w:rPr>
        <w:t>to establish the</w:t>
      </w:r>
      <w:r w:rsidR="00056310" w:rsidRPr="00FA7E3A">
        <w:rPr>
          <w:rFonts w:asciiTheme="minorHAnsi" w:hAnsiTheme="minorHAnsi" w:cstheme="minorHAnsi"/>
          <w:sz w:val="24"/>
          <w:szCs w:val="22"/>
        </w:rPr>
        <w:t xml:space="preserve"> OTA</w:t>
      </w:r>
      <w:r w:rsidR="00594CE0" w:rsidRPr="00FA7E3A">
        <w:rPr>
          <w:rFonts w:asciiTheme="minorHAnsi" w:hAnsiTheme="minorHAnsi" w:cstheme="minorHAnsi"/>
          <w:sz w:val="24"/>
          <w:szCs w:val="22"/>
        </w:rPr>
        <w:t>.</w:t>
      </w:r>
      <w:r w:rsidR="00EB0AA5" w:rsidRPr="003A517E">
        <w:rPr>
          <w:rStyle w:val="FootnoteReference"/>
          <w:rFonts w:asciiTheme="minorHAnsi" w:hAnsiTheme="minorHAnsi" w:cstheme="minorHAnsi"/>
        </w:rPr>
        <w:footnoteReference w:id="34"/>
      </w:r>
      <w:r w:rsidR="00594CE0" w:rsidRPr="00FA7E3A">
        <w:rPr>
          <w:rFonts w:asciiTheme="minorHAnsi" w:hAnsiTheme="minorHAnsi" w:cstheme="minorHAnsi"/>
          <w:sz w:val="24"/>
          <w:szCs w:val="22"/>
        </w:rPr>
        <w:t xml:space="preserve"> The</w:t>
      </w:r>
      <w:r w:rsidR="00056310" w:rsidRPr="00FA7E3A">
        <w:rPr>
          <w:rFonts w:asciiTheme="minorHAnsi" w:hAnsiTheme="minorHAnsi" w:cstheme="minorHAnsi"/>
          <w:sz w:val="24"/>
          <w:szCs w:val="22"/>
        </w:rPr>
        <w:t xml:space="preserve"> OTA </w:t>
      </w:r>
      <w:r w:rsidR="00D45DCC" w:rsidRPr="00FA7E3A">
        <w:rPr>
          <w:rFonts w:asciiTheme="minorHAnsi" w:hAnsiTheme="minorHAnsi" w:cstheme="minorHAnsi"/>
          <w:sz w:val="24"/>
          <w:szCs w:val="22"/>
        </w:rPr>
        <w:t xml:space="preserve">commenced operation on 1 January 2009 and </w:t>
      </w:r>
      <w:r w:rsidR="002743A2" w:rsidRPr="00FA7E3A">
        <w:rPr>
          <w:rFonts w:asciiTheme="minorHAnsi" w:hAnsiTheme="minorHAnsi" w:cstheme="minorHAnsi"/>
          <w:sz w:val="24"/>
          <w:szCs w:val="22"/>
        </w:rPr>
        <w:t>is a</w:t>
      </w:r>
      <w:r w:rsidR="00056310" w:rsidRPr="00FA7E3A">
        <w:rPr>
          <w:rFonts w:asciiTheme="minorHAnsi" w:hAnsiTheme="minorHAnsi" w:cstheme="minorHAnsi"/>
          <w:sz w:val="24"/>
          <w:szCs w:val="22"/>
        </w:rPr>
        <w:t>n independent statutory agency within the Australian Government Health portfolio.</w:t>
      </w:r>
      <w:r w:rsidR="00056310" w:rsidRPr="00FA7E3A">
        <w:rPr>
          <w:rStyle w:val="FootnoteReference"/>
          <w:rFonts w:asciiTheme="minorHAnsi" w:hAnsiTheme="minorHAnsi" w:cstheme="minorHAnsi"/>
          <w:sz w:val="20"/>
        </w:rPr>
        <w:footnoteReference w:id="35"/>
      </w:r>
      <w:r w:rsidR="00594CE0" w:rsidRPr="00FA7E3A">
        <w:rPr>
          <w:rFonts w:asciiTheme="minorHAnsi" w:hAnsiTheme="minorHAnsi" w:cstheme="minorHAnsi"/>
          <w:sz w:val="24"/>
          <w:szCs w:val="22"/>
        </w:rPr>
        <w:t xml:space="preserve"> </w:t>
      </w:r>
      <w:r w:rsidR="00F05328" w:rsidRPr="00FA7E3A">
        <w:rPr>
          <w:rFonts w:asciiTheme="minorHAnsi" w:hAnsiTheme="minorHAnsi" w:cstheme="minorHAnsi"/>
          <w:sz w:val="24"/>
          <w:szCs w:val="22"/>
        </w:rPr>
        <w:t xml:space="preserve">As stipulated in the Act </w:t>
      </w:r>
      <w:r w:rsidR="00FA7E3A">
        <w:rPr>
          <w:rFonts w:asciiTheme="minorHAnsi" w:hAnsiTheme="minorHAnsi" w:cstheme="minorHAnsi"/>
          <w:sz w:val="24"/>
          <w:szCs w:val="22"/>
        </w:rPr>
        <w:t xml:space="preserve">(see </w:t>
      </w:r>
      <w:r w:rsidR="00EB39DF" w:rsidRPr="000A1DCD">
        <w:rPr>
          <w:rFonts w:asciiTheme="minorHAnsi" w:hAnsiTheme="minorHAnsi" w:cstheme="minorHAnsi"/>
          <w:i/>
          <w:sz w:val="24"/>
          <w:szCs w:val="22"/>
        </w:rPr>
        <w:t>Governance of the Reform Agenda</w:t>
      </w:r>
      <w:r w:rsidR="00FA7E3A">
        <w:rPr>
          <w:rFonts w:asciiTheme="minorHAnsi" w:hAnsiTheme="minorHAnsi" w:cstheme="minorHAnsi"/>
          <w:sz w:val="24"/>
          <w:szCs w:val="22"/>
        </w:rPr>
        <w:t>)</w:t>
      </w:r>
      <w:r w:rsidR="00F05328" w:rsidRPr="00FA7E3A">
        <w:rPr>
          <w:rFonts w:asciiTheme="minorHAnsi" w:hAnsiTheme="minorHAnsi" w:cstheme="minorHAnsi"/>
          <w:sz w:val="24"/>
          <w:szCs w:val="22"/>
        </w:rPr>
        <w:t>, the OTA’s role is to work with a wide range of stakeholders to establish a coordinated and consistent national approach to the delivery of the reform. The Australian Government has maintained overall oversight of the reform, reviewing progress and</w:t>
      </w:r>
      <w:r w:rsidR="00F05328">
        <w:rPr>
          <w:rFonts w:asciiTheme="minorHAnsi" w:hAnsiTheme="minorHAnsi" w:cstheme="minorHAnsi"/>
          <w:sz w:val="24"/>
          <w:szCs w:val="22"/>
        </w:rPr>
        <w:t xml:space="preserve"> implementing changes in order to drive achievement of the objectives. </w:t>
      </w:r>
    </w:p>
    <w:p w14:paraId="55837B40" w14:textId="77777777" w:rsidR="00D41EA2" w:rsidRPr="00D930F7" w:rsidRDefault="00D41EA2" w:rsidP="00AE3ED1">
      <w:pPr>
        <w:shd w:val="clear" w:color="auto" w:fill="DCEFF4"/>
        <w:spacing w:after="120"/>
        <w:rPr>
          <w:rFonts w:asciiTheme="minorHAnsi" w:hAnsiTheme="minorHAnsi" w:cstheme="minorHAnsi"/>
          <w:b/>
          <w:sz w:val="22"/>
          <w:szCs w:val="22"/>
          <w:u w:val="single"/>
        </w:rPr>
      </w:pPr>
      <w:r w:rsidRPr="00D930F7">
        <w:rPr>
          <w:rFonts w:asciiTheme="minorHAnsi" w:hAnsiTheme="minorHAnsi" w:cstheme="minorHAnsi"/>
          <w:b/>
          <w:sz w:val="22"/>
          <w:szCs w:val="22"/>
          <w:u w:val="single"/>
        </w:rPr>
        <w:t xml:space="preserve">Governance of the Reform Agenda </w:t>
      </w:r>
    </w:p>
    <w:p w14:paraId="301C20FD" w14:textId="77777777" w:rsidR="00D41EA2" w:rsidRPr="00D930F7" w:rsidRDefault="00D41EA2" w:rsidP="00AE3ED1">
      <w:pPr>
        <w:shd w:val="clear" w:color="auto" w:fill="DCEFF4"/>
        <w:spacing w:after="120"/>
        <w:rPr>
          <w:rFonts w:asciiTheme="minorHAnsi" w:hAnsiTheme="minorHAnsi" w:cstheme="minorHAnsi"/>
          <w:b/>
          <w:sz w:val="22"/>
          <w:szCs w:val="22"/>
        </w:rPr>
      </w:pPr>
      <w:r w:rsidRPr="00D930F7">
        <w:rPr>
          <w:rFonts w:asciiTheme="minorHAnsi" w:hAnsiTheme="minorHAnsi" w:cstheme="minorHAnsi"/>
          <w:b/>
          <w:sz w:val="22"/>
          <w:szCs w:val="22"/>
        </w:rPr>
        <w:t>The Australian Organ and Tissue Donation and Transplantation Authority Act 2008 (Cth)</w:t>
      </w:r>
    </w:p>
    <w:p w14:paraId="422A627A" w14:textId="77777777" w:rsidR="00D41EA2" w:rsidRPr="00AE3ED1" w:rsidRDefault="00D41EA2" w:rsidP="00AE3ED1">
      <w:pPr>
        <w:shd w:val="clear" w:color="auto" w:fill="DCEFF4"/>
        <w:spacing w:after="120"/>
        <w:rPr>
          <w:rFonts w:asciiTheme="minorHAnsi" w:hAnsiTheme="minorHAnsi" w:cstheme="minorHAnsi"/>
          <w:sz w:val="22"/>
          <w:szCs w:val="22"/>
        </w:rPr>
      </w:pPr>
      <w:r w:rsidRPr="00AE3ED1">
        <w:rPr>
          <w:rFonts w:asciiTheme="minorHAnsi" w:hAnsiTheme="minorHAnsi" w:cstheme="minorHAnsi"/>
          <w:sz w:val="22"/>
          <w:szCs w:val="22"/>
        </w:rPr>
        <w:t>The Australian Organ and Tissue Donation and Transplantation Authority Bill 2008 (‘the Bill’) was passed to establish the Australian Organ and Tissue Donation and Transplantation Authority (the OTA). The OTA’s main responsibility has been to spearhead the national approach to provide world leading access to transplants and improving transplantation outcomes for Australians. The Act provided legislative framework to implement the measures included in the Australian Government’s $151.1 million world’s best practice reform package for organ and tissue donation and transplantation announced in July 2008.</w:t>
      </w:r>
    </w:p>
    <w:p w14:paraId="6F10B09E" w14:textId="77777777" w:rsidR="00D41EA2" w:rsidRPr="00AE3ED1" w:rsidRDefault="00D41EA2" w:rsidP="00AE3ED1">
      <w:pPr>
        <w:shd w:val="clear" w:color="auto" w:fill="DCEFF4"/>
        <w:spacing w:after="120"/>
        <w:rPr>
          <w:rFonts w:asciiTheme="minorHAnsi" w:hAnsiTheme="minorHAnsi" w:cstheme="minorHAnsi"/>
          <w:sz w:val="22"/>
          <w:szCs w:val="22"/>
        </w:rPr>
      </w:pPr>
      <w:r w:rsidRPr="00AE3ED1">
        <w:rPr>
          <w:rFonts w:asciiTheme="minorHAnsi" w:hAnsiTheme="minorHAnsi" w:cstheme="minorHAnsi"/>
          <w:sz w:val="22"/>
          <w:szCs w:val="22"/>
        </w:rPr>
        <w:t>The OTA is a prescribed agency for the purposes of the Financial Management and Accountability Act 1997 and that Act applied to the operations of the OTA.</w:t>
      </w:r>
    </w:p>
    <w:p w14:paraId="6E54967B" w14:textId="77777777" w:rsidR="00D41EA2" w:rsidRPr="00AE3ED1" w:rsidRDefault="00D41EA2" w:rsidP="00AE3ED1">
      <w:pPr>
        <w:shd w:val="clear" w:color="auto" w:fill="DCEFF4"/>
        <w:spacing w:after="120"/>
        <w:rPr>
          <w:rFonts w:asciiTheme="minorHAnsi" w:hAnsiTheme="minorHAnsi" w:cstheme="minorHAnsi"/>
          <w:sz w:val="22"/>
          <w:szCs w:val="22"/>
        </w:rPr>
      </w:pPr>
      <w:r w:rsidRPr="00AE3ED1">
        <w:rPr>
          <w:rFonts w:asciiTheme="minorHAnsi" w:hAnsiTheme="minorHAnsi" w:cstheme="minorHAnsi"/>
          <w:sz w:val="22"/>
          <w:szCs w:val="22"/>
        </w:rPr>
        <w:t xml:space="preserve">The OTA is a statutory agency and consists of a Chief Executive Officer (CEO) and its staff. The staff are engaged under the Public Service Act 1999.  The CEO managers the OTA and is directly accountable to the Australian Government Minister for Health. </w:t>
      </w:r>
    </w:p>
    <w:p w14:paraId="3E1DDAE7" w14:textId="77777777" w:rsidR="00D41EA2" w:rsidRPr="00D930F7" w:rsidRDefault="00D41EA2" w:rsidP="00AE3ED1">
      <w:pPr>
        <w:shd w:val="clear" w:color="auto" w:fill="DCEFF4"/>
        <w:spacing w:after="120"/>
        <w:rPr>
          <w:rFonts w:asciiTheme="minorHAnsi" w:hAnsiTheme="minorHAnsi" w:cstheme="minorHAnsi"/>
          <w:b/>
          <w:sz w:val="22"/>
          <w:szCs w:val="22"/>
        </w:rPr>
      </w:pPr>
      <w:r w:rsidRPr="00D930F7">
        <w:rPr>
          <w:rFonts w:asciiTheme="minorHAnsi" w:hAnsiTheme="minorHAnsi" w:cstheme="minorHAnsi"/>
          <w:b/>
          <w:sz w:val="22"/>
          <w:szCs w:val="22"/>
        </w:rPr>
        <w:t>Australian Organ and Tissue Donation and Transplantation Authority Amendment (New Governance Arrangements) Bill 2016 (Cth)</w:t>
      </w:r>
    </w:p>
    <w:p w14:paraId="1A63B141" w14:textId="77777777" w:rsidR="00D41EA2" w:rsidRPr="00AE3ED1" w:rsidRDefault="00D41EA2" w:rsidP="00AE3ED1">
      <w:pPr>
        <w:shd w:val="clear" w:color="auto" w:fill="DCEFF4"/>
        <w:spacing w:after="120"/>
        <w:rPr>
          <w:rFonts w:asciiTheme="minorHAnsi" w:hAnsiTheme="minorHAnsi" w:cstheme="minorHAnsi"/>
          <w:sz w:val="22"/>
          <w:szCs w:val="22"/>
        </w:rPr>
      </w:pPr>
      <w:r w:rsidRPr="00AE3ED1">
        <w:rPr>
          <w:rFonts w:asciiTheme="minorHAnsi" w:hAnsiTheme="minorHAnsi" w:cstheme="minorHAnsi"/>
          <w:sz w:val="22"/>
          <w:szCs w:val="22"/>
        </w:rPr>
        <w:t xml:space="preserve">Following the recommendations of the 2015 Review, new governance arrangements for the OTA were established including a Board. The Board assumed all responsibilities that were assigned to the OTA’s CEO, with exception of the day-to-day administration of the OTA. In particular, the Board replaced the CEO as the ‘accountable authority’ for the purposes of the Public Governance, Performance and Accountability Act 2013. In addition, the COAG Health Council acquired a role in the process for nominating Board members. </w:t>
      </w:r>
    </w:p>
    <w:p w14:paraId="4B58F580" w14:textId="7D93BC36" w:rsidR="00D41EA2" w:rsidRPr="00AE3ED1" w:rsidRDefault="00D41EA2" w:rsidP="00AE3ED1">
      <w:pPr>
        <w:shd w:val="clear" w:color="auto" w:fill="DCEFF4"/>
        <w:spacing w:after="120"/>
        <w:rPr>
          <w:rFonts w:asciiTheme="minorHAnsi" w:hAnsiTheme="minorHAnsi" w:cstheme="minorHAnsi"/>
          <w:sz w:val="22"/>
          <w:szCs w:val="22"/>
        </w:rPr>
      </w:pPr>
      <w:r w:rsidRPr="00AE3ED1">
        <w:rPr>
          <w:rFonts w:asciiTheme="minorHAnsi" w:hAnsiTheme="minorHAnsi" w:cstheme="minorHAnsi"/>
          <w:sz w:val="22"/>
          <w:szCs w:val="22"/>
        </w:rPr>
        <w:t>The new governance arrangements did not change the OTA’s functions. The Bill’s commencement date was 1 July 2017.</w:t>
      </w:r>
    </w:p>
    <w:p w14:paraId="518794F6" w14:textId="77777777" w:rsidR="00D65E94" w:rsidRPr="003913E6" w:rsidRDefault="00AF7C07" w:rsidP="003913E6">
      <w:pPr>
        <w:spacing w:after="120"/>
        <w:rPr>
          <w:rFonts w:asciiTheme="minorHAnsi" w:hAnsiTheme="minorHAnsi" w:cstheme="minorHAnsi"/>
          <w:sz w:val="24"/>
          <w:szCs w:val="22"/>
        </w:rPr>
      </w:pPr>
      <w:r>
        <w:rPr>
          <w:rFonts w:asciiTheme="minorHAnsi" w:hAnsiTheme="minorHAnsi" w:cstheme="minorHAnsi"/>
          <w:sz w:val="24"/>
          <w:szCs w:val="22"/>
        </w:rPr>
        <w:t>Following the</w:t>
      </w:r>
      <w:r w:rsidR="00815412">
        <w:rPr>
          <w:rFonts w:asciiTheme="minorHAnsi" w:hAnsiTheme="minorHAnsi" w:cstheme="minorHAnsi"/>
          <w:sz w:val="24"/>
          <w:szCs w:val="22"/>
        </w:rPr>
        <w:t xml:space="preserve"> 2015</w:t>
      </w:r>
      <w:r w:rsidR="003259BB">
        <w:rPr>
          <w:rFonts w:asciiTheme="minorHAnsi" w:hAnsiTheme="minorHAnsi" w:cstheme="minorHAnsi"/>
          <w:sz w:val="24"/>
          <w:szCs w:val="22"/>
        </w:rPr>
        <w:t xml:space="preserve"> Review (see Section </w:t>
      </w:r>
      <w:r w:rsidR="00073542">
        <w:rPr>
          <w:rFonts w:asciiTheme="minorHAnsi" w:hAnsiTheme="minorHAnsi" w:cstheme="minorHAnsi"/>
          <w:sz w:val="24"/>
          <w:szCs w:val="22"/>
        </w:rPr>
        <w:t>3</w:t>
      </w:r>
      <w:r w:rsidR="00FA7E3A">
        <w:rPr>
          <w:rFonts w:asciiTheme="minorHAnsi" w:hAnsiTheme="minorHAnsi" w:cstheme="minorHAnsi"/>
          <w:sz w:val="24"/>
          <w:szCs w:val="22"/>
        </w:rPr>
        <w:t xml:space="preserve"> for further detail</w:t>
      </w:r>
      <w:r>
        <w:rPr>
          <w:rFonts w:asciiTheme="minorHAnsi" w:hAnsiTheme="minorHAnsi" w:cstheme="minorHAnsi"/>
          <w:sz w:val="24"/>
          <w:szCs w:val="22"/>
        </w:rPr>
        <w:t>)</w:t>
      </w:r>
      <w:r w:rsidR="00815412">
        <w:rPr>
          <w:rFonts w:asciiTheme="minorHAnsi" w:hAnsiTheme="minorHAnsi" w:cstheme="minorHAnsi"/>
          <w:sz w:val="24"/>
          <w:szCs w:val="22"/>
        </w:rPr>
        <w:t xml:space="preserve">, the Australian Government recommitted to the </w:t>
      </w:r>
      <w:r w:rsidR="005B3678">
        <w:rPr>
          <w:rFonts w:asciiTheme="minorHAnsi" w:hAnsiTheme="minorHAnsi" w:cstheme="minorHAnsi"/>
          <w:sz w:val="24"/>
          <w:szCs w:val="22"/>
        </w:rPr>
        <w:t>delivery of the reform</w:t>
      </w:r>
      <w:r w:rsidR="00815412">
        <w:rPr>
          <w:rFonts w:asciiTheme="minorHAnsi" w:hAnsiTheme="minorHAnsi" w:cstheme="minorHAnsi"/>
          <w:sz w:val="24"/>
          <w:szCs w:val="22"/>
        </w:rPr>
        <w:t xml:space="preserve"> through the implementation of a</w:t>
      </w:r>
      <w:r w:rsidR="0086702B">
        <w:rPr>
          <w:rFonts w:asciiTheme="minorHAnsi" w:hAnsiTheme="minorHAnsi" w:cstheme="minorHAnsi"/>
          <w:sz w:val="24"/>
          <w:szCs w:val="22"/>
        </w:rPr>
        <w:t>ll</w:t>
      </w:r>
      <w:r w:rsidR="00815412">
        <w:rPr>
          <w:rFonts w:asciiTheme="minorHAnsi" w:hAnsiTheme="minorHAnsi" w:cstheme="minorHAnsi"/>
          <w:sz w:val="24"/>
          <w:szCs w:val="22"/>
        </w:rPr>
        <w:t xml:space="preserve"> recommendations</w:t>
      </w:r>
      <w:r w:rsidR="00FA7E3A">
        <w:rPr>
          <w:rFonts w:asciiTheme="minorHAnsi" w:hAnsiTheme="minorHAnsi" w:cstheme="minorHAnsi"/>
          <w:sz w:val="24"/>
          <w:szCs w:val="22"/>
        </w:rPr>
        <w:t>,</w:t>
      </w:r>
      <w:r w:rsidR="00D65E94">
        <w:rPr>
          <w:rFonts w:asciiTheme="minorHAnsi" w:hAnsiTheme="minorHAnsi" w:cstheme="minorHAnsi"/>
          <w:sz w:val="24"/>
          <w:szCs w:val="22"/>
        </w:rPr>
        <w:t xml:space="preserve"> including the establishment of the OTA Board</w:t>
      </w:r>
      <w:r w:rsidR="00815412">
        <w:rPr>
          <w:rFonts w:asciiTheme="minorHAnsi" w:hAnsiTheme="minorHAnsi" w:cstheme="minorHAnsi"/>
          <w:sz w:val="24"/>
          <w:szCs w:val="22"/>
        </w:rPr>
        <w:t>.</w:t>
      </w:r>
    </w:p>
    <w:p w14:paraId="596A9462" w14:textId="435C2853" w:rsidR="005C1658" w:rsidRDefault="005C1658" w:rsidP="00F813E2">
      <w:pPr>
        <w:spacing w:after="120"/>
        <w:rPr>
          <w:rFonts w:asciiTheme="minorHAnsi" w:hAnsiTheme="minorHAnsi" w:cstheme="minorHAnsi"/>
          <w:sz w:val="24"/>
          <w:szCs w:val="22"/>
        </w:rPr>
      </w:pPr>
      <w:r>
        <w:rPr>
          <w:rFonts w:asciiTheme="minorHAnsi" w:hAnsiTheme="minorHAnsi" w:cstheme="minorHAnsi"/>
          <w:sz w:val="24"/>
          <w:szCs w:val="22"/>
        </w:rPr>
        <w:t xml:space="preserve">The OTA </w:t>
      </w:r>
      <w:r w:rsidR="008573C1">
        <w:rPr>
          <w:rFonts w:asciiTheme="minorHAnsi" w:hAnsiTheme="minorHAnsi" w:cstheme="minorHAnsi"/>
          <w:sz w:val="24"/>
          <w:szCs w:val="22"/>
        </w:rPr>
        <w:t xml:space="preserve">has established, as part of the reform agenda, a number of advisory groups and committees. </w:t>
      </w:r>
      <w:r>
        <w:rPr>
          <w:rFonts w:asciiTheme="minorHAnsi" w:hAnsiTheme="minorHAnsi" w:cstheme="minorHAnsi"/>
          <w:sz w:val="24"/>
          <w:szCs w:val="22"/>
        </w:rPr>
        <w:t xml:space="preserve">These advisory groups provide clinical, operational and community expertise </w:t>
      </w:r>
      <w:r w:rsidR="00FA7E3A">
        <w:rPr>
          <w:rFonts w:asciiTheme="minorHAnsi" w:hAnsiTheme="minorHAnsi" w:cstheme="minorHAnsi"/>
          <w:sz w:val="24"/>
          <w:szCs w:val="22"/>
        </w:rPr>
        <w:t>for</w:t>
      </w:r>
      <w:r>
        <w:rPr>
          <w:rFonts w:asciiTheme="minorHAnsi" w:hAnsiTheme="minorHAnsi" w:cstheme="minorHAnsi"/>
          <w:sz w:val="24"/>
          <w:szCs w:val="22"/>
        </w:rPr>
        <w:t xml:space="preserve"> reviewing system performance and providing input into</w:t>
      </w:r>
      <w:r w:rsidR="00FA7E3A">
        <w:rPr>
          <w:rFonts w:asciiTheme="minorHAnsi" w:hAnsiTheme="minorHAnsi" w:cstheme="minorHAnsi"/>
          <w:sz w:val="24"/>
          <w:szCs w:val="22"/>
        </w:rPr>
        <w:t xml:space="preserve"> system</w:t>
      </w:r>
      <w:r>
        <w:rPr>
          <w:rFonts w:asciiTheme="minorHAnsi" w:hAnsiTheme="minorHAnsi" w:cstheme="minorHAnsi"/>
          <w:sz w:val="24"/>
          <w:szCs w:val="22"/>
        </w:rPr>
        <w:t xml:space="preserve"> improvements. The current</w:t>
      </w:r>
      <w:r w:rsidR="00764E9A">
        <w:rPr>
          <w:rFonts w:asciiTheme="minorHAnsi" w:hAnsiTheme="minorHAnsi" w:cstheme="minorHAnsi"/>
          <w:sz w:val="24"/>
          <w:szCs w:val="22"/>
        </w:rPr>
        <w:t xml:space="preserve"> structure of the</w:t>
      </w:r>
      <w:r>
        <w:rPr>
          <w:rFonts w:asciiTheme="minorHAnsi" w:hAnsiTheme="minorHAnsi" w:cstheme="minorHAnsi"/>
          <w:sz w:val="24"/>
          <w:szCs w:val="22"/>
        </w:rPr>
        <w:t xml:space="preserve"> committee and advisory </w:t>
      </w:r>
      <w:r w:rsidR="00367FD5">
        <w:rPr>
          <w:rFonts w:asciiTheme="minorHAnsi" w:hAnsiTheme="minorHAnsi" w:cstheme="minorHAnsi"/>
          <w:sz w:val="24"/>
          <w:szCs w:val="22"/>
        </w:rPr>
        <w:t xml:space="preserve">groups and reporting </w:t>
      </w:r>
      <w:r>
        <w:rPr>
          <w:rFonts w:asciiTheme="minorHAnsi" w:hAnsiTheme="minorHAnsi" w:cstheme="minorHAnsi"/>
          <w:sz w:val="24"/>
          <w:szCs w:val="22"/>
        </w:rPr>
        <w:t xml:space="preserve">structures of OTA are illustrated in </w:t>
      </w:r>
      <w:r w:rsidR="00AE3019">
        <w:rPr>
          <w:rFonts w:asciiTheme="minorHAnsi" w:hAnsiTheme="minorHAnsi" w:cstheme="minorHAnsi"/>
          <w:sz w:val="24"/>
          <w:szCs w:val="22"/>
        </w:rPr>
        <w:fldChar w:fldCharType="begin"/>
      </w:r>
      <w:r w:rsidR="00AE3019">
        <w:rPr>
          <w:rFonts w:asciiTheme="minorHAnsi" w:hAnsiTheme="minorHAnsi" w:cstheme="minorHAnsi"/>
          <w:sz w:val="24"/>
          <w:szCs w:val="22"/>
        </w:rPr>
        <w:instrText xml:space="preserve"> REF _Ref527614380 \h  \* MERGEFORMAT </w:instrText>
      </w:r>
      <w:r w:rsidR="00AE3019">
        <w:rPr>
          <w:rFonts w:asciiTheme="minorHAnsi" w:hAnsiTheme="minorHAnsi" w:cstheme="minorHAnsi"/>
          <w:sz w:val="24"/>
          <w:szCs w:val="22"/>
        </w:rPr>
      </w:r>
      <w:r w:rsidR="00AE3019">
        <w:rPr>
          <w:rFonts w:asciiTheme="minorHAnsi" w:hAnsiTheme="minorHAnsi" w:cstheme="minorHAnsi"/>
          <w:sz w:val="24"/>
          <w:szCs w:val="22"/>
        </w:rPr>
        <w:fldChar w:fldCharType="separate"/>
      </w:r>
      <w:r w:rsidR="00A04048" w:rsidRPr="00C75FAB">
        <w:rPr>
          <w:rFonts w:asciiTheme="minorHAnsi" w:hAnsiTheme="minorHAnsi" w:cstheme="minorHAnsi"/>
          <w:sz w:val="24"/>
          <w:szCs w:val="22"/>
        </w:rPr>
        <w:t>Figure 3</w:t>
      </w:r>
      <w:r w:rsidR="00AE3019">
        <w:rPr>
          <w:rFonts w:asciiTheme="minorHAnsi" w:hAnsiTheme="minorHAnsi" w:cstheme="minorHAnsi"/>
          <w:sz w:val="24"/>
          <w:szCs w:val="22"/>
        </w:rPr>
        <w:fldChar w:fldCharType="end"/>
      </w:r>
      <w:r>
        <w:rPr>
          <w:rFonts w:asciiTheme="minorHAnsi" w:hAnsiTheme="minorHAnsi" w:cstheme="minorHAnsi"/>
          <w:sz w:val="24"/>
          <w:szCs w:val="22"/>
        </w:rPr>
        <w:t>.</w:t>
      </w:r>
    </w:p>
    <w:p w14:paraId="595B65C0" w14:textId="79FEE4BA" w:rsidR="00815412" w:rsidRDefault="00367FD5">
      <w:pPr>
        <w:pStyle w:val="Caption"/>
        <w:keepNext/>
        <w:spacing w:after="120"/>
        <w:rPr>
          <w:rFonts w:asciiTheme="minorHAnsi" w:hAnsiTheme="minorHAnsi" w:cstheme="minorHAnsi"/>
          <w:sz w:val="24"/>
          <w:szCs w:val="22"/>
        </w:rPr>
      </w:pPr>
      <w:bookmarkStart w:id="112" w:name="_Ref527614380"/>
      <w:r w:rsidRPr="00D40C14">
        <w:rPr>
          <w:rFonts w:asciiTheme="minorHAnsi" w:hAnsiTheme="minorHAnsi" w:cstheme="minorHAnsi"/>
          <w:b w:val="0"/>
          <w:color w:val="808080"/>
          <w:sz w:val="20"/>
        </w:rPr>
        <w:t xml:space="preserve">Figure </w:t>
      </w:r>
      <w:r w:rsidR="006624EC">
        <w:rPr>
          <w:rFonts w:asciiTheme="minorHAnsi" w:hAnsiTheme="minorHAnsi" w:cstheme="minorHAnsi"/>
          <w:b w:val="0"/>
          <w:color w:val="808080"/>
        </w:rPr>
        <w:fldChar w:fldCharType="begin"/>
      </w:r>
      <w:r w:rsidR="006624EC">
        <w:rPr>
          <w:rFonts w:asciiTheme="minorHAnsi" w:hAnsiTheme="minorHAnsi" w:cstheme="minorHAnsi"/>
          <w:b w:val="0"/>
          <w:color w:val="808080"/>
          <w:sz w:val="20"/>
        </w:rPr>
        <w:instrText xml:space="preserve"> SEQ Figure \* ARABIC </w:instrText>
      </w:r>
      <w:r w:rsidR="006624EC">
        <w:rPr>
          <w:rFonts w:asciiTheme="minorHAnsi" w:hAnsiTheme="minorHAnsi" w:cstheme="minorHAnsi"/>
          <w:b w:val="0"/>
          <w:color w:val="808080"/>
        </w:rPr>
        <w:fldChar w:fldCharType="separate"/>
      </w:r>
      <w:r w:rsidR="00A04048">
        <w:rPr>
          <w:rFonts w:asciiTheme="minorHAnsi" w:hAnsiTheme="minorHAnsi" w:cstheme="minorHAnsi"/>
          <w:b w:val="0"/>
          <w:noProof/>
          <w:color w:val="808080"/>
          <w:sz w:val="20"/>
        </w:rPr>
        <w:t>3</w:t>
      </w:r>
      <w:r w:rsidR="006624EC">
        <w:rPr>
          <w:rFonts w:asciiTheme="minorHAnsi" w:hAnsiTheme="minorHAnsi" w:cstheme="minorHAnsi"/>
          <w:b w:val="0"/>
          <w:color w:val="808080"/>
        </w:rPr>
        <w:fldChar w:fldCharType="end"/>
      </w:r>
      <w:bookmarkEnd w:id="112"/>
      <w:r w:rsidRPr="00D40C14">
        <w:rPr>
          <w:rFonts w:asciiTheme="minorHAnsi" w:hAnsiTheme="minorHAnsi" w:cstheme="minorHAnsi"/>
          <w:b w:val="0"/>
          <w:color w:val="808080"/>
          <w:sz w:val="20"/>
        </w:rPr>
        <w:t>: OTA committees and advisory groups and reporting structures (2018)</w:t>
      </w:r>
      <w:r w:rsidR="00171A19">
        <w:rPr>
          <w:rFonts w:asciiTheme="minorHAnsi" w:hAnsiTheme="minorHAnsi" w:cstheme="minorHAnsi"/>
          <w:b w:val="0"/>
          <w:color w:val="808080"/>
          <w:sz w:val="20"/>
        </w:rPr>
        <w:t xml:space="preserve"> SOURCE: The OTA</w:t>
      </w:r>
      <w:r w:rsidR="00171A19">
        <w:rPr>
          <w:rStyle w:val="FootnoteReference"/>
          <w:rFonts w:cstheme="minorHAnsi"/>
          <w:b w:val="0"/>
          <w:color w:val="808080"/>
        </w:rPr>
        <w:footnoteReference w:id="36"/>
      </w:r>
      <w:r w:rsidR="004B5FC0" w:rsidRPr="004B5FC0">
        <w:rPr>
          <w:noProof/>
          <w:lang w:eastAsia="en-AU"/>
        </w:rPr>
        <w:t xml:space="preserve"> </w:t>
      </w:r>
      <w:r w:rsidR="00485E42" w:rsidRPr="00485E42">
        <w:rPr>
          <w:rFonts w:asciiTheme="minorHAnsi" w:hAnsiTheme="minorHAnsi" w:cstheme="minorHAnsi"/>
          <w:sz w:val="24"/>
          <w:szCs w:val="22"/>
        </w:rPr>
        <w:t xml:space="preserve"> </w:t>
      </w:r>
      <w:r w:rsidR="00485E42" w:rsidRPr="00485E42">
        <w:rPr>
          <w:noProof/>
          <w:lang w:eastAsia="en-AU"/>
        </w:rPr>
        <w:drawing>
          <wp:inline distT="0" distB="0" distL="0" distR="0" wp14:anchorId="60328957" wp14:editId="1477F71E">
            <wp:extent cx="6105525" cy="2189017"/>
            <wp:effectExtent l="0" t="0" r="0" b="1905"/>
            <wp:docPr id="27" name="Picture 27" descr="Figure 3 is the reporting structure of the Organ and Tissue Donation and Transplantation Authority (OTA) committees and advisor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25" cy="2189017"/>
                    </a:xfrm>
                    <a:prstGeom prst="rect">
                      <a:avLst/>
                    </a:prstGeom>
                    <a:noFill/>
                    <a:ln>
                      <a:noFill/>
                    </a:ln>
                  </pic:spPr>
                </pic:pic>
              </a:graphicData>
            </a:graphic>
          </wp:inline>
        </w:drawing>
      </w:r>
    </w:p>
    <w:p w14:paraId="240FE3F4" w14:textId="77777777" w:rsidR="001E3C03" w:rsidRPr="00F17564" w:rsidRDefault="001E3C03" w:rsidP="00F17564">
      <w:pPr>
        <w:pStyle w:val="Heading3"/>
        <w:tabs>
          <w:tab w:val="clear" w:pos="1843"/>
          <w:tab w:val="num" w:pos="1559"/>
        </w:tabs>
        <w:ind w:left="992" w:hanging="992"/>
        <w:rPr>
          <w:rFonts w:asciiTheme="minorHAnsi" w:hAnsiTheme="minorHAnsi" w:cstheme="minorHAnsi"/>
          <w:color w:val="7F7F7F" w:themeColor="text1" w:themeTint="80"/>
          <w:sz w:val="30"/>
          <w:szCs w:val="30"/>
        </w:rPr>
      </w:pPr>
      <w:r w:rsidRPr="00F17564">
        <w:rPr>
          <w:rFonts w:asciiTheme="minorHAnsi" w:hAnsiTheme="minorHAnsi" w:cstheme="minorHAnsi"/>
          <w:b w:val="0"/>
          <w:color w:val="7F7F7F" w:themeColor="text1" w:themeTint="80"/>
          <w:sz w:val="30"/>
          <w:szCs w:val="30"/>
        </w:rPr>
        <w:t>Governance of donation, retrieval and transplantation practices</w:t>
      </w:r>
    </w:p>
    <w:p w14:paraId="10A8C1A3" w14:textId="77777777" w:rsidR="001E6160" w:rsidRPr="00F17564" w:rsidRDefault="00171A19">
      <w:pPr>
        <w:spacing w:after="120"/>
        <w:rPr>
          <w:rFonts w:asciiTheme="minorHAnsi" w:hAnsiTheme="minorHAnsi" w:cstheme="minorHAnsi"/>
          <w:sz w:val="24"/>
          <w:szCs w:val="22"/>
        </w:rPr>
      </w:pPr>
      <w:r>
        <w:rPr>
          <w:rFonts w:asciiTheme="minorHAnsi" w:hAnsiTheme="minorHAnsi" w:cstheme="minorHAnsi"/>
          <w:sz w:val="24"/>
          <w:szCs w:val="22"/>
        </w:rPr>
        <w:t xml:space="preserve">The </w:t>
      </w:r>
      <w:r w:rsidR="00EE4CCF">
        <w:rPr>
          <w:rFonts w:asciiTheme="minorHAnsi" w:hAnsiTheme="minorHAnsi" w:cstheme="minorHAnsi"/>
          <w:sz w:val="24"/>
          <w:szCs w:val="22"/>
        </w:rPr>
        <w:t xml:space="preserve">OTA established the </w:t>
      </w:r>
      <w:r w:rsidR="001E6160" w:rsidRPr="00F17564">
        <w:rPr>
          <w:rFonts w:asciiTheme="minorHAnsi" w:hAnsiTheme="minorHAnsi" w:cstheme="minorHAnsi"/>
          <w:sz w:val="24"/>
          <w:szCs w:val="22"/>
        </w:rPr>
        <w:t xml:space="preserve">DonateLife Network </w:t>
      </w:r>
      <w:r w:rsidR="00EE4CCF">
        <w:rPr>
          <w:rFonts w:asciiTheme="minorHAnsi" w:hAnsiTheme="minorHAnsi" w:cstheme="minorHAnsi"/>
          <w:sz w:val="24"/>
          <w:szCs w:val="22"/>
        </w:rPr>
        <w:t>in 2009</w:t>
      </w:r>
      <w:r w:rsidR="001E6160" w:rsidRPr="00F17564">
        <w:rPr>
          <w:rFonts w:asciiTheme="minorHAnsi" w:hAnsiTheme="minorHAnsi" w:cstheme="minorHAnsi"/>
          <w:sz w:val="24"/>
          <w:szCs w:val="22"/>
        </w:rPr>
        <w:t xml:space="preserve"> following commencement of the national reform program</w:t>
      </w:r>
      <w:r w:rsidR="00EE4CCF">
        <w:rPr>
          <w:rFonts w:asciiTheme="minorHAnsi" w:hAnsiTheme="minorHAnsi" w:cstheme="minorHAnsi"/>
          <w:sz w:val="24"/>
          <w:szCs w:val="22"/>
        </w:rPr>
        <w:t xml:space="preserve">. As part of this arrangement, </w:t>
      </w:r>
      <w:r w:rsidR="00764E9A">
        <w:rPr>
          <w:rFonts w:asciiTheme="minorHAnsi" w:hAnsiTheme="minorHAnsi" w:cstheme="minorHAnsi"/>
          <w:sz w:val="24"/>
          <w:szCs w:val="22"/>
        </w:rPr>
        <w:t xml:space="preserve">the </w:t>
      </w:r>
      <w:r w:rsidR="008573C1">
        <w:rPr>
          <w:rFonts w:asciiTheme="minorHAnsi" w:hAnsiTheme="minorHAnsi" w:cstheme="minorHAnsi"/>
          <w:sz w:val="24"/>
          <w:szCs w:val="22"/>
        </w:rPr>
        <w:t xml:space="preserve">Australian Government, through the </w:t>
      </w:r>
      <w:r w:rsidR="002836B2">
        <w:rPr>
          <w:rFonts w:asciiTheme="minorHAnsi" w:hAnsiTheme="minorHAnsi" w:cstheme="minorHAnsi"/>
          <w:sz w:val="24"/>
          <w:szCs w:val="22"/>
        </w:rPr>
        <w:t>OTA provides</w:t>
      </w:r>
      <w:r w:rsidR="001E6160" w:rsidRPr="00F17564">
        <w:rPr>
          <w:rFonts w:asciiTheme="minorHAnsi" w:hAnsiTheme="minorHAnsi" w:cstheme="minorHAnsi"/>
          <w:sz w:val="24"/>
          <w:szCs w:val="22"/>
        </w:rPr>
        <w:t xml:space="preserve"> </w:t>
      </w:r>
      <w:r w:rsidR="00EE4CCF">
        <w:rPr>
          <w:rFonts w:asciiTheme="minorHAnsi" w:hAnsiTheme="minorHAnsi" w:cstheme="minorHAnsi"/>
          <w:sz w:val="24"/>
          <w:szCs w:val="22"/>
        </w:rPr>
        <w:t xml:space="preserve">funding to each state and territory to </w:t>
      </w:r>
      <w:r w:rsidR="00961DD2" w:rsidRPr="00961DD2">
        <w:rPr>
          <w:rFonts w:asciiTheme="minorHAnsi" w:hAnsiTheme="minorHAnsi" w:cstheme="minorHAnsi"/>
          <w:sz w:val="24"/>
          <w:szCs w:val="22"/>
        </w:rPr>
        <w:t>employ hospital-based medical and nursing specialis</w:t>
      </w:r>
      <w:r w:rsidR="00961DD2">
        <w:rPr>
          <w:rFonts w:asciiTheme="minorHAnsi" w:hAnsiTheme="minorHAnsi" w:cstheme="minorHAnsi"/>
          <w:sz w:val="24"/>
          <w:szCs w:val="22"/>
        </w:rPr>
        <w:t>ts in organ donation</w:t>
      </w:r>
      <w:r w:rsidR="00EE4CCF">
        <w:rPr>
          <w:rFonts w:asciiTheme="minorHAnsi" w:hAnsiTheme="minorHAnsi" w:cstheme="minorHAnsi"/>
          <w:sz w:val="24"/>
          <w:szCs w:val="22"/>
        </w:rPr>
        <w:t xml:space="preserve">. </w:t>
      </w:r>
      <w:r w:rsidR="00681B43">
        <w:rPr>
          <w:rFonts w:asciiTheme="minorHAnsi" w:hAnsiTheme="minorHAnsi" w:cstheme="minorHAnsi"/>
          <w:sz w:val="24"/>
          <w:szCs w:val="22"/>
        </w:rPr>
        <w:t>A DonateLife Agency has been established in each state or territory and provide</w:t>
      </w:r>
      <w:r w:rsidR="00764E9A">
        <w:rPr>
          <w:rFonts w:asciiTheme="minorHAnsi" w:hAnsiTheme="minorHAnsi" w:cstheme="minorHAnsi"/>
          <w:sz w:val="24"/>
          <w:szCs w:val="22"/>
        </w:rPr>
        <w:t>s</w:t>
      </w:r>
      <w:r w:rsidR="00681B43">
        <w:rPr>
          <w:rFonts w:asciiTheme="minorHAnsi" w:hAnsiTheme="minorHAnsi" w:cstheme="minorHAnsi"/>
          <w:sz w:val="24"/>
          <w:szCs w:val="22"/>
        </w:rPr>
        <w:t xml:space="preserve"> oversight of donation and </w:t>
      </w:r>
      <w:r w:rsidR="00E634FA">
        <w:rPr>
          <w:rFonts w:asciiTheme="minorHAnsi" w:hAnsiTheme="minorHAnsi" w:cstheme="minorHAnsi"/>
          <w:sz w:val="24"/>
          <w:szCs w:val="22"/>
        </w:rPr>
        <w:t>transplantation services</w:t>
      </w:r>
      <w:r w:rsidR="00681B43">
        <w:rPr>
          <w:rFonts w:asciiTheme="minorHAnsi" w:hAnsiTheme="minorHAnsi" w:cstheme="minorHAnsi"/>
          <w:sz w:val="24"/>
          <w:szCs w:val="22"/>
        </w:rPr>
        <w:t xml:space="preserve"> in over 90 hospitals across </w:t>
      </w:r>
      <w:r w:rsidR="0086702B">
        <w:rPr>
          <w:rFonts w:asciiTheme="minorHAnsi" w:hAnsiTheme="minorHAnsi" w:cstheme="minorHAnsi"/>
          <w:sz w:val="24"/>
          <w:szCs w:val="22"/>
        </w:rPr>
        <w:t>all</w:t>
      </w:r>
      <w:r w:rsidR="00A554AE">
        <w:rPr>
          <w:rFonts w:asciiTheme="minorHAnsi" w:hAnsiTheme="minorHAnsi" w:cstheme="minorHAnsi"/>
          <w:sz w:val="24"/>
          <w:szCs w:val="22"/>
        </w:rPr>
        <w:t xml:space="preserve"> jurisdictions</w:t>
      </w:r>
      <w:r w:rsidR="00681B43">
        <w:rPr>
          <w:rFonts w:asciiTheme="minorHAnsi" w:hAnsiTheme="minorHAnsi" w:cstheme="minorHAnsi"/>
          <w:sz w:val="24"/>
          <w:szCs w:val="22"/>
        </w:rPr>
        <w:t xml:space="preserve">. </w:t>
      </w:r>
      <w:r w:rsidR="00764E9A">
        <w:rPr>
          <w:rFonts w:asciiTheme="minorHAnsi" w:hAnsiTheme="minorHAnsi" w:cstheme="minorHAnsi"/>
          <w:sz w:val="24"/>
          <w:szCs w:val="22"/>
        </w:rPr>
        <w:t>In</w:t>
      </w:r>
      <w:r w:rsidR="00903AFC">
        <w:rPr>
          <w:rFonts w:asciiTheme="minorHAnsi" w:hAnsiTheme="minorHAnsi" w:cstheme="minorHAnsi"/>
          <w:sz w:val="24"/>
          <w:szCs w:val="22"/>
        </w:rPr>
        <w:t xml:space="preserve"> October 2018, the DonateLife Network employed 150 full-time equivalent positions.</w:t>
      </w:r>
      <w:r w:rsidR="003F2F2B">
        <w:rPr>
          <w:rFonts w:asciiTheme="minorHAnsi" w:hAnsiTheme="minorHAnsi" w:cstheme="minorHAnsi"/>
          <w:sz w:val="24"/>
          <w:szCs w:val="22"/>
        </w:rPr>
        <w:t xml:space="preserve"> It is noteworthy that DonateLife agencies do not necessarily deliver all of Australia’s tissue banking arrangements and services, in certain jurisdictions DonateLife agencies do not facilitate the donation and retrieval of tissue. </w:t>
      </w:r>
    </w:p>
    <w:p w14:paraId="35195452" w14:textId="77777777" w:rsidR="00903AFC" w:rsidRDefault="00903AFC">
      <w:pPr>
        <w:spacing w:after="120"/>
        <w:rPr>
          <w:rFonts w:asciiTheme="minorHAnsi" w:hAnsiTheme="minorHAnsi" w:cstheme="minorHAnsi"/>
          <w:sz w:val="24"/>
          <w:szCs w:val="22"/>
        </w:rPr>
      </w:pPr>
      <w:r w:rsidRPr="00903AFC">
        <w:rPr>
          <w:rFonts w:asciiTheme="minorHAnsi" w:hAnsiTheme="minorHAnsi" w:cstheme="minorHAnsi"/>
          <w:sz w:val="24"/>
          <w:szCs w:val="22"/>
        </w:rPr>
        <w:t>Funding to the states</w:t>
      </w:r>
      <w:r w:rsidR="00AE3019">
        <w:rPr>
          <w:rFonts w:asciiTheme="minorHAnsi" w:hAnsiTheme="minorHAnsi" w:cstheme="minorHAnsi"/>
          <w:sz w:val="24"/>
          <w:szCs w:val="22"/>
        </w:rPr>
        <w:t xml:space="preserve"> and territories</w:t>
      </w:r>
      <w:r w:rsidRPr="00903AFC">
        <w:rPr>
          <w:rFonts w:asciiTheme="minorHAnsi" w:hAnsiTheme="minorHAnsi" w:cstheme="minorHAnsi"/>
          <w:sz w:val="24"/>
          <w:szCs w:val="22"/>
        </w:rPr>
        <w:t xml:space="preserve"> is provided through two-year funding agreements which require each jurisdiction to maintain an organ donation service delivery model that is</w:t>
      </w:r>
      <w:r w:rsidR="00764E9A">
        <w:rPr>
          <w:rFonts w:asciiTheme="minorHAnsi" w:hAnsiTheme="minorHAnsi" w:cstheme="minorHAnsi"/>
          <w:sz w:val="24"/>
          <w:szCs w:val="22"/>
        </w:rPr>
        <w:t>: (1)</w:t>
      </w:r>
      <w:r w:rsidRPr="00903AFC">
        <w:rPr>
          <w:rFonts w:asciiTheme="minorHAnsi" w:hAnsiTheme="minorHAnsi" w:cstheme="minorHAnsi"/>
          <w:sz w:val="24"/>
          <w:szCs w:val="22"/>
        </w:rPr>
        <w:t xml:space="preserve"> consistent with the national reform approach</w:t>
      </w:r>
      <w:r w:rsidR="00764E9A">
        <w:rPr>
          <w:rFonts w:asciiTheme="minorHAnsi" w:hAnsiTheme="minorHAnsi" w:cstheme="minorHAnsi"/>
          <w:sz w:val="24"/>
          <w:szCs w:val="22"/>
        </w:rPr>
        <w:t>;</w:t>
      </w:r>
      <w:r w:rsidRPr="00903AFC">
        <w:rPr>
          <w:rFonts w:asciiTheme="minorHAnsi" w:hAnsiTheme="minorHAnsi" w:cstheme="minorHAnsi"/>
          <w:sz w:val="24"/>
          <w:szCs w:val="22"/>
        </w:rPr>
        <w:t xml:space="preserve"> and</w:t>
      </w:r>
      <w:r w:rsidR="00764E9A">
        <w:rPr>
          <w:rFonts w:asciiTheme="minorHAnsi" w:hAnsiTheme="minorHAnsi" w:cstheme="minorHAnsi"/>
          <w:sz w:val="24"/>
          <w:szCs w:val="22"/>
        </w:rPr>
        <w:t xml:space="preserve"> (2)</w:t>
      </w:r>
      <w:r w:rsidRPr="00903AFC">
        <w:rPr>
          <w:rFonts w:asciiTheme="minorHAnsi" w:hAnsiTheme="minorHAnsi" w:cstheme="minorHAnsi"/>
          <w:sz w:val="24"/>
          <w:szCs w:val="22"/>
        </w:rPr>
        <w:t xml:space="preserve"> in accordance with relevant ethical guidelines and clinical protocols. Funding agreements include an agreed performance and reporting framework to enable the OTA to monitor progress in each jurisdiction.</w:t>
      </w:r>
    </w:p>
    <w:p w14:paraId="27C499EB" w14:textId="77777777" w:rsidR="00A52F13" w:rsidRDefault="00A52F13">
      <w:pPr>
        <w:spacing w:after="120"/>
        <w:rPr>
          <w:rFonts w:asciiTheme="minorHAnsi" w:hAnsiTheme="minorHAnsi" w:cstheme="minorHAnsi"/>
          <w:sz w:val="24"/>
          <w:szCs w:val="22"/>
        </w:rPr>
      </w:pPr>
      <w:r>
        <w:rPr>
          <w:rFonts w:asciiTheme="minorHAnsi" w:hAnsiTheme="minorHAnsi" w:cstheme="minorHAnsi"/>
          <w:sz w:val="24"/>
          <w:szCs w:val="22"/>
        </w:rPr>
        <w:t xml:space="preserve">Donation, retrieval and transplantation activities are guided by </w:t>
      </w:r>
      <w:r w:rsidR="0086701E">
        <w:rPr>
          <w:rFonts w:asciiTheme="minorHAnsi" w:hAnsiTheme="minorHAnsi" w:cstheme="minorHAnsi"/>
          <w:sz w:val="24"/>
          <w:szCs w:val="22"/>
        </w:rPr>
        <w:t>standards and guidelines. These are designed to provide guidance for professionals within the system regarding expectations and best practice. The standards are also used in</w:t>
      </w:r>
      <w:r w:rsidR="00764E9A">
        <w:rPr>
          <w:rFonts w:asciiTheme="minorHAnsi" w:hAnsiTheme="minorHAnsi" w:cstheme="minorHAnsi"/>
          <w:sz w:val="24"/>
          <w:szCs w:val="22"/>
        </w:rPr>
        <w:t xml:space="preserve"> the</w:t>
      </w:r>
      <w:r w:rsidR="0086701E">
        <w:rPr>
          <w:rFonts w:asciiTheme="minorHAnsi" w:hAnsiTheme="minorHAnsi" w:cstheme="minorHAnsi"/>
          <w:sz w:val="24"/>
          <w:szCs w:val="22"/>
        </w:rPr>
        <w:t xml:space="preserve"> review of activities by the OTA </w:t>
      </w:r>
      <w:r w:rsidR="00764E9A">
        <w:rPr>
          <w:rFonts w:asciiTheme="minorHAnsi" w:hAnsiTheme="minorHAnsi" w:cstheme="minorHAnsi"/>
          <w:sz w:val="24"/>
          <w:szCs w:val="22"/>
        </w:rPr>
        <w:t>and/</w:t>
      </w:r>
      <w:r w:rsidR="0086701E">
        <w:rPr>
          <w:rFonts w:asciiTheme="minorHAnsi" w:hAnsiTheme="minorHAnsi" w:cstheme="minorHAnsi"/>
          <w:sz w:val="24"/>
          <w:szCs w:val="22"/>
        </w:rPr>
        <w:t>or its committees and advisory groups</w:t>
      </w:r>
      <w:r w:rsidR="00764E9A">
        <w:rPr>
          <w:rFonts w:asciiTheme="minorHAnsi" w:hAnsiTheme="minorHAnsi" w:cstheme="minorHAnsi"/>
          <w:sz w:val="24"/>
          <w:szCs w:val="22"/>
        </w:rPr>
        <w:t xml:space="preserve"> in order</w:t>
      </w:r>
      <w:r w:rsidR="0086701E">
        <w:rPr>
          <w:rFonts w:asciiTheme="minorHAnsi" w:hAnsiTheme="minorHAnsi" w:cstheme="minorHAnsi"/>
          <w:sz w:val="24"/>
          <w:szCs w:val="22"/>
        </w:rPr>
        <w:t xml:space="preserve"> to identify safety and quality issues.</w:t>
      </w:r>
      <w:r w:rsidR="00FF6618">
        <w:rPr>
          <w:rFonts w:asciiTheme="minorHAnsi" w:hAnsiTheme="minorHAnsi" w:cstheme="minorHAnsi"/>
          <w:sz w:val="24"/>
          <w:szCs w:val="22"/>
        </w:rPr>
        <w:t xml:space="preserve"> </w:t>
      </w:r>
    </w:p>
    <w:p w14:paraId="60910789" w14:textId="77777777" w:rsidR="00485E42" w:rsidRDefault="00485E42">
      <w:pPr>
        <w:widowControl/>
        <w:autoSpaceDE/>
        <w:autoSpaceDN/>
        <w:adjustRightInd/>
        <w:spacing w:after="200" w:line="276" w:lineRule="auto"/>
        <w:rPr>
          <w:rFonts w:asciiTheme="minorHAnsi" w:hAnsiTheme="minorHAnsi" w:cstheme="minorHAnsi"/>
          <w:sz w:val="24"/>
          <w:szCs w:val="22"/>
        </w:rPr>
      </w:pPr>
      <w:r>
        <w:rPr>
          <w:rFonts w:asciiTheme="minorHAnsi" w:hAnsiTheme="minorHAnsi" w:cstheme="minorHAnsi"/>
          <w:sz w:val="24"/>
          <w:szCs w:val="22"/>
        </w:rPr>
        <w:br w:type="page"/>
      </w:r>
    </w:p>
    <w:p w14:paraId="7BFFB66C" w14:textId="4F96A050" w:rsidR="0039413F" w:rsidRDefault="00367FD5" w:rsidP="0086701E">
      <w:pPr>
        <w:spacing w:after="120"/>
        <w:rPr>
          <w:rFonts w:asciiTheme="minorHAnsi" w:hAnsiTheme="minorHAnsi" w:cstheme="minorHAnsi"/>
          <w:sz w:val="24"/>
          <w:szCs w:val="22"/>
        </w:rPr>
      </w:pPr>
      <w:r>
        <w:rPr>
          <w:rFonts w:asciiTheme="minorHAnsi" w:hAnsiTheme="minorHAnsi" w:cstheme="minorHAnsi"/>
          <w:sz w:val="24"/>
          <w:szCs w:val="22"/>
        </w:rPr>
        <w:lastRenderedPageBreak/>
        <w:t xml:space="preserve">Donation, retrieval and transplantation activity and outcome data is </w:t>
      </w:r>
      <w:r w:rsidR="00764E9A">
        <w:rPr>
          <w:rFonts w:asciiTheme="minorHAnsi" w:hAnsiTheme="minorHAnsi" w:cstheme="minorHAnsi"/>
          <w:sz w:val="24"/>
          <w:szCs w:val="22"/>
        </w:rPr>
        <w:t xml:space="preserve">to be </w:t>
      </w:r>
      <w:r>
        <w:rPr>
          <w:rFonts w:asciiTheme="minorHAnsi" w:hAnsiTheme="minorHAnsi" w:cstheme="minorHAnsi"/>
          <w:sz w:val="24"/>
          <w:szCs w:val="22"/>
        </w:rPr>
        <w:t xml:space="preserve">reviewed by </w:t>
      </w:r>
      <w:r w:rsidR="00A52F13">
        <w:rPr>
          <w:rFonts w:asciiTheme="minorHAnsi" w:hAnsiTheme="minorHAnsi" w:cstheme="minorHAnsi"/>
          <w:sz w:val="24"/>
          <w:szCs w:val="22"/>
        </w:rPr>
        <w:t xml:space="preserve">the clinical governance groups within </w:t>
      </w:r>
      <w:r w:rsidR="0086702B">
        <w:rPr>
          <w:rFonts w:asciiTheme="minorHAnsi" w:hAnsiTheme="minorHAnsi" w:cstheme="minorHAnsi"/>
          <w:sz w:val="24"/>
          <w:szCs w:val="22"/>
        </w:rPr>
        <w:t xml:space="preserve">a Local Health Network </w:t>
      </w:r>
      <w:r w:rsidR="00A52F13">
        <w:rPr>
          <w:rFonts w:asciiTheme="minorHAnsi" w:hAnsiTheme="minorHAnsi" w:cstheme="minorHAnsi"/>
          <w:sz w:val="24"/>
          <w:szCs w:val="22"/>
        </w:rPr>
        <w:t xml:space="preserve">to monitor quality and safety and </w:t>
      </w:r>
      <w:r w:rsidR="00764E9A">
        <w:rPr>
          <w:rFonts w:asciiTheme="minorHAnsi" w:hAnsiTheme="minorHAnsi" w:cstheme="minorHAnsi"/>
          <w:sz w:val="24"/>
          <w:szCs w:val="22"/>
        </w:rPr>
        <w:t xml:space="preserve">to </w:t>
      </w:r>
      <w:r w:rsidR="00A52F13">
        <w:rPr>
          <w:rFonts w:asciiTheme="minorHAnsi" w:hAnsiTheme="minorHAnsi" w:cstheme="minorHAnsi"/>
          <w:sz w:val="24"/>
          <w:szCs w:val="22"/>
        </w:rPr>
        <w:t xml:space="preserve">advise on improvements. </w:t>
      </w:r>
    </w:p>
    <w:p w14:paraId="56F8FB9D" w14:textId="1C0652D6" w:rsidR="0086701E" w:rsidRPr="0039413F" w:rsidRDefault="0086701E" w:rsidP="0086701E">
      <w:pPr>
        <w:spacing w:after="120"/>
        <w:rPr>
          <w:rFonts w:asciiTheme="minorHAnsi" w:hAnsiTheme="minorHAnsi" w:cstheme="minorHAnsi"/>
          <w:sz w:val="24"/>
          <w:szCs w:val="22"/>
        </w:rPr>
      </w:pPr>
      <w:r w:rsidRPr="009C6A3B">
        <w:rPr>
          <w:rFonts w:asciiTheme="minorHAnsi" w:hAnsiTheme="minorHAnsi" w:cs="Open Sans"/>
          <w:sz w:val="24"/>
          <w:szCs w:val="24"/>
          <w:lang w:val="en-US"/>
        </w:rPr>
        <w:t>There are a number of professional national, jurisdiction</w:t>
      </w:r>
      <w:r w:rsidR="007A23AB">
        <w:rPr>
          <w:rFonts w:asciiTheme="minorHAnsi" w:hAnsiTheme="minorHAnsi" w:cs="Open Sans"/>
          <w:sz w:val="24"/>
          <w:szCs w:val="24"/>
          <w:lang w:val="en-US"/>
        </w:rPr>
        <w:t>al</w:t>
      </w:r>
      <w:r w:rsidRPr="009C6A3B">
        <w:rPr>
          <w:rFonts w:asciiTheme="minorHAnsi" w:hAnsiTheme="minorHAnsi" w:cs="Open Sans"/>
          <w:sz w:val="24"/>
          <w:szCs w:val="24"/>
          <w:lang w:val="en-US"/>
        </w:rPr>
        <w:t xml:space="preserve"> and organ specific associations and committees </w:t>
      </w:r>
      <w:r>
        <w:rPr>
          <w:rFonts w:asciiTheme="minorHAnsi" w:hAnsiTheme="minorHAnsi" w:cs="Open Sans"/>
          <w:sz w:val="24"/>
          <w:szCs w:val="24"/>
          <w:lang w:val="en-US"/>
        </w:rPr>
        <w:t>which provide input into the governance of the system, i</w:t>
      </w:r>
      <w:r w:rsidRPr="009C6A3B">
        <w:rPr>
          <w:rFonts w:asciiTheme="minorHAnsi" w:hAnsiTheme="minorHAnsi" w:cs="Open Sans"/>
          <w:sz w:val="24"/>
          <w:szCs w:val="24"/>
          <w:lang w:val="en-US"/>
        </w:rPr>
        <w:t>ncluding</w:t>
      </w:r>
      <w:r>
        <w:rPr>
          <w:rFonts w:asciiTheme="minorHAnsi" w:hAnsiTheme="minorHAnsi" w:cs="Open Sans"/>
          <w:sz w:val="24"/>
          <w:szCs w:val="24"/>
          <w:lang w:val="en-US"/>
        </w:rPr>
        <w:t>,</w:t>
      </w:r>
      <w:r w:rsidRPr="009C6A3B">
        <w:rPr>
          <w:rFonts w:asciiTheme="minorHAnsi" w:hAnsiTheme="minorHAnsi" w:cs="Open Sans"/>
          <w:sz w:val="24"/>
          <w:szCs w:val="24"/>
          <w:lang w:val="en-US"/>
        </w:rPr>
        <w:t xml:space="preserve"> but not limited to:</w:t>
      </w:r>
      <w:r>
        <w:rPr>
          <w:rFonts w:asciiTheme="minorHAnsi" w:hAnsiTheme="minorHAnsi" w:cs="Open Sans"/>
          <w:sz w:val="24"/>
          <w:szCs w:val="24"/>
          <w:lang w:val="en-US"/>
        </w:rPr>
        <w:t xml:space="preserve"> </w:t>
      </w:r>
    </w:p>
    <w:p w14:paraId="28D98D2E" w14:textId="77777777" w:rsidR="0086701E" w:rsidRPr="005F5BB1" w:rsidRDefault="0086701E" w:rsidP="0086701E">
      <w:pPr>
        <w:numPr>
          <w:ilvl w:val="0"/>
          <w:numId w:val="18"/>
        </w:numPr>
        <w:spacing w:after="120"/>
        <w:ind w:left="357" w:hanging="357"/>
        <w:contextualSpacing/>
        <w:rPr>
          <w:rFonts w:asciiTheme="minorHAnsi" w:hAnsiTheme="minorHAnsi" w:cstheme="minorHAnsi"/>
          <w:sz w:val="24"/>
          <w:szCs w:val="24"/>
          <w:lang w:val="en-GB"/>
        </w:rPr>
      </w:pPr>
      <w:r w:rsidRPr="005F5BB1">
        <w:rPr>
          <w:rFonts w:asciiTheme="minorHAnsi" w:hAnsiTheme="minorHAnsi" w:cstheme="minorHAnsi"/>
          <w:sz w:val="24"/>
          <w:szCs w:val="24"/>
          <w:lang w:val="en-GB"/>
        </w:rPr>
        <w:t>The Transplantation Society of Australia and New Zealand</w:t>
      </w:r>
      <w:r w:rsidR="006300F7">
        <w:rPr>
          <w:rFonts w:asciiTheme="minorHAnsi" w:hAnsiTheme="minorHAnsi" w:cstheme="minorHAnsi"/>
          <w:sz w:val="24"/>
          <w:szCs w:val="24"/>
          <w:lang w:val="en-GB"/>
        </w:rPr>
        <w:t xml:space="preserve"> </w:t>
      </w:r>
    </w:p>
    <w:p w14:paraId="3D09DAB4" w14:textId="77777777" w:rsidR="0086701E" w:rsidRPr="005F5BB1" w:rsidRDefault="0086701E" w:rsidP="0086701E">
      <w:pPr>
        <w:numPr>
          <w:ilvl w:val="0"/>
          <w:numId w:val="18"/>
        </w:numPr>
        <w:spacing w:after="120"/>
        <w:ind w:left="357" w:hanging="357"/>
        <w:contextualSpacing/>
        <w:rPr>
          <w:rFonts w:asciiTheme="minorHAnsi" w:hAnsiTheme="minorHAnsi" w:cstheme="minorHAnsi"/>
          <w:sz w:val="24"/>
          <w:szCs w:val="24"/>
          <w:lang w:val="en-GB"/>
        </w:rPr>
      </w:pPr>
      <w:r w:rsidRPr="005F5BB1">
        <w:rPr>
          <w:rFonts w:asciiTheme="minorHAnsi" w:hAnsiTheme="minorHAnsi" w:cstheme="minorHAnsi"/>
          <w:sz w:val="24"/>
          <w:szCs w:val="24"/>
          <w:lang w:val="en-GB"/>
        </w:rPr>
        <w:t xml:space="preserve">The Australian and New Zealand Society of Nephrologists </w:t>
      </w:r>
    </w:p>
    <w:p w14:paraId="3E17FFAF" w14:textId="77777777" w:rsidR="0086701E" w:rsidRPr="005F5BB1" w:rsidRDefault="0086701E" w:rsidP="0086701E">
      <w:pPr>
        <w:numPr>
          <w:ilvl w:val="0"/>
          <w:numId w:val="18"/>
        </w:numPr>
        <w:spacing w:after="120"/>
        <w:ind w:left="357" w:hanging="357"/>
        <w:contextualSpacing/>
        <w:rPr>
          <w:rFonts w:asciiTheme="minorHAnsi" w:hAnsiTheme="minorHAnsi" w:cstheme="minorHAnsi"/>
          <w:sz w:val="24"/>
          <w:szCs w:val="24"/>
          <w:lang w:val="en-GB"/>
        </w:rPr>
      </w:pPr>
      <w:r w:rsidRPr="005F5BB1">
        <w:rPr>
          <w:rFonts w:asciiTheme="minorHAnsi" w:hAnsiTheme="minorHAnsi" w:cstheme="minorHAnsi"/>
          <w:sz w:val="24"/>
          <w:szCs w:val="24"/>
          <w:lang w:val="en-GB"/>
        </w:rPr>
        <w:t>Transplant Liaison Reference Group</w:t>
      </w:r>
    </w:p>
    <w:p w14:paraId="39B8C3AD" w14:textId="77777777" w:rsidR="0086701E" w:rsidRPr="005F5BB1" w:rsidRDefault="0086701E" w:rsidP="0086701E">
      <w:pPr>
        <w:numPr>
          <w:ilvl w:val="0"/>
          <w:numId w:val="18"/>
        </w:numPr>
        <w:spacing w:after="120"/>
        <w:ind w:left="357" w:hanging="357"/>
        <w:contextualSpacing/>
        <w:rPr>
          <w:rFonts w:asciiTheme="minorHAnsi" w:hAnsiTheme="minorHAnsi" w:cstheme="minorHAnsi"/>
          <w:sz w:val="24"/>
          <w:szCs w:val="24"/>
          <w:lang w:val="en-GB"/>
        </w:rPr>
      </w:pPr>
      <w:r w:rsidRPr="005F5BB1">
        <w:rPr>
          <w:rFonts w:asciiTheme="minorHAnsi" w:hAnsiTheme="minorHAnsi" w:cstheme="minorHAnsi"/>
          <w:sz w:val="24"/>
          <w:szCs w:val="24"/>
          <w:lang w:val="en-GB"/>
        </w:rPr>
        <w:t>Organ specific Vigilance and Surveillance Expert Advisory Committee</w:t>
      </w:r>
    </w:p>
    <w:p w14:paraId="00379B4B" w14:textId="77777777" w:rsidR="0086701E" w:rsidRPr="005F5BB1" w:rsidRDefault="0086701E" w:rsidP="0086701E">
      <w:pPr>
        <w:numPr>
          <w:ilvl w:val="0"/>
          <w:numId w:val="18"/>
        </w:numPr>
        <w:spacing w:after="120"/>
        <w:ind w:left="357" w:hanging="357"/>
        <w:contextualSpacing/>
        <w:rPr>
          <w:rFonts w:asciiTheme="minorHAnsi" w:hAnsiTheme="minorHAnsi" w:cstheme="minorHAnsi"/>
          <w:sz w:val="24"/>
          <w:szCs w:val="24"/>
          <w:lang w:val="en-GB"/>
        </w:rPr>
      </w:pPr>
      <w:r w:rsidRPr="005F5BB1">
        <w:rPr>
          <w:rFonts w:asciiTheme="minorHAnsi" w:hAnsiTheme="minorHAnsi" w:cstheme="minorHAnsi"/>
          <w:sz w:val="24"/>
          <w:szCs w:val="24"/>
          <w:lang w:val="en-GB"/>
        </w:rPr>
        <w:t>Australian and New Zealand Intensive Care Society</w:t>
      </w:r>
    </w:p>
    <w:p w14:paraId="704D3EBF" w14:textId="77777777" w:rsidR="0086701E" w:rsidRPr="005F5BB1" w:rsidRDefault="0086701E" w:rsidP="0086701E">
      <w:pPr>
        <w:numPr>
          <w:ilvl w:val="0"/>
          <w:numId w:val="18"/>
        </w:numPr>
        <w:spacing w:after="120"/>
        <w:ind w:left="357" w:hanging="357"/>
        <w:contextualSpacing/>
        <w:rPr>
          <w:rFonts w:asciiTheme="minorHAnsi" w:hAnsiTheme="minorHAnsi" w:cstheme="minorHAnsi"/>
          <w:sz w:val="24"/>
          <w:szCs w:val="24"/>
          <w:lang w:val="en-GB"/>
        </w:rPr>
      </w:pPr>
      <w:r w:rsidRPr="005F5BB1">
        <w:rPr>
          <w:rFonts w:asciiTheme="minorHAnsi" w:hAnsiTheme="minorHAnsi" w:cstheme="minorHAnsi"/>
          <w:sz w:val="24"/>
          <w:szCs w:val="24"/>
          <w:lang w:val="en-GB"/>
        </w:rPr>
        <w:t>College of Intensive Care Medicine of Australia and New Zealand</w:t>
      </w:r>
    </w:p>
    <w:p w14:paraId="5E6D0F8F" w14:textId="77777777" w:rsidR="0086701E" w:rsidRPr="005F5BB1" w:rsidRDefault="009176BD" w:rsidP="0086701E">
      <w:pPr>
        <w:numPr>
          <w:ilvl w:val="0"/>
          <w:numId w:val="18"/>
        </w:numPr>
        <w:spacing w:after="120"/>
        <w:ind w:left="357" w:hanging="357"/>
        <w:contextualSpacing/>
        <w:rPr>
          <w:rFonts w:asciiTheme="minorHAnsi" w:hAnsiTheme="minorHAnsi" w:cstheme="minorHAnsi"/>
          <w:sz w:val="24"/>
          <w:szCs w:val="24"/>
          <w:lang w:val="en-GB"/>
        </w:rPr>
      </w:pPr>
      <w:r>
        <w:rPr>
          <w:rFonts w:asciiTheme="minorHAnsi" w:hAnsiTheme="minorHAnsi" w:cstheme="minorHAnsi"/>
          <w:sz w:val="24"/>
          <w:szCs w:val="24"/>
          <w:lang w:val="en-GB"/>
        </w:rPr>
        <w:t>Australasian Transplant Coordinators Association</w:t>
      </w:r>
    </w:p>
    <w:p w14:paraId="18FAD803" w14:textId="77777777" w:rsidR="006300F7" w:rsidRPr="005F5BB1" w:rsidRDefault="0086701E" w:rsidP="0086701E">
      <w:pPr>
        <w:numPr>
          <w:ilvl w:val="0"/>
          <w:numId w:val="18"/>
        </w:numPr>
        <w:spacing w:after="120"/>
        <w:ind w:left="357" w:hanging="357"/>
        <w:contextualSpacing/>
        <w:rPr>
          <w:rFonts w:asciiTheme="minorHAnsi" w:hAnsiTheme="minorHAnsi" w:cstheme="minorHAnsi"/>
          <w:sz w:val="24"/>
          <w:szCs w:val="24"/>
          <w:lang w:val="en-GB"/>
        </w:rPr>
      </w:pPr>
      <w:r w:rsidRPr="005F5BB1">
        <w:rPr>
          <w:rFonts w:asciiTheme="minorHAnsi" w:hAnsiTheme="minorHAnsi" w:cstheme="minorHAnsi"/>
          <w:sz w:val="24"/>
          <w:szCs w:val="24"/>
          <w:lang w:val="en-GB"/>
        </w:rPr>
        <w:t>Transplant Nurses Association</w:t>
      </w:r>
    </w:p>
    <w:p w14:paraId="6A3DB69E" w14:textId="77777777" w:rsidR="006300F7" w:rsidRPr="005F5BB1" w:rsidRDefault="0086701E" w:rsidP="006300F7">
      <w:pPr>
        <w:numPr>
          <w:ilvl w:val="0"/>
          <w:numId w:val="18"/>
        </w:numPr>
        <w:spacing w:after="120"/>
        <w:ind w:left="357" w:hanging="357"/>
        <w:rPr>
          <w:rFonts w:asciiTheme="minorHAnsi" w:hAnsiTheme="minorHAnsi" w:cstheme="minorHAnsi"/>
          <w:sz w:val="24"/>
          <w:szCs w:val="24"/>
          <w:lang w:val="en-GB"/>
        </w:rPr>
      </w:pPr>
      <w:r w:rsidRPr="006300F7">
        <w:rPr>
          <w:rFonts w:asciiTheme="minorHAnsi" w:hAnsiTheme="minorHAnsi" w:cstheme="minorHAnsi"/>
          <w:sz w:val="24"/>
          <w:szCs w:val="24"/>
          <w:lang w:val="en-GB"/>
        </w:rPr>
        <w:t xml:space="preserve">State based and organ specific transplant Advisory Committees </w:t>
      </w:r>
    </w:p>
    <w:p w14:paraId="5C93A8D5" w14:textId="5BC935C4" w:rsidR="000A08C0" w:rsidRPr="006300F7" w:rsidRDefault="006300F7" w:rsidP="00D40C14">
      <w:pPr>
        <w:spacing w:after="120"/>
        <w:contextualSpacing/>
        <w:rPr>
          <w:rFonts w:asciiTheme="minorHAnsi" w:hAnsiTheme="minorHAnsi" w:cstheme="minorHAnsi"/>
          <w:sz w:val="24"/>
          <w:szCs w:val="22"/>
        </w:rPr>
      </w:pPr>
      <w:r>
        <w:rPr>
          <w:rFonts w:asciiTheme="minorHAnsi" w:hAnsiTheme="minorHAnsi" w:cstheme="minorHAnsi"/>
          <w:sz w:val="24"/>
          <w:szCs w:val="22"/>
        </w:rPr>
        <w:t xml:space="preserve">The key guidelines, standard operating procedures and governance structures for each element of the donation, retrieval and transplantation system are </w:t>
      </w:r>
      <w:r w:rsidRPr="00C14719">
        <w:rPr>
          <w:rFonts w:asciiTheme="minorHAnsi" w:hAnsiTheme="minorHAnsi" w:cstheme="minorHAnsi"/>
          <w:sz w:val="24"/>
          <w:szCs w:val="22"/>
        </w:rPr>
        <w:t>outlined in</w:t>
      </w:r>
      <w:r w:rsidR="0081744B">
        <w:rPr>
          <w:rFonts w:asciiTheme="minorHAnsi" w:hAnsiTheme="minorHAnsi" w:cstheme="minorHAnsi"/>
          <w:sz w:val="24"/>
          <w:szCs w:val="22"/>
        </w:rPr>
        <w:t xml:space="preserve"> Appendix D</w:t>
      </w:r>
      <w:r w:rsidR="008941C2" w:rsidRPr="00C14719">
        <w:rPr>
          <w:rFonts w:asciiTheme="minorHAnsi" w:hAnsiTheme="minorHAnsi" w:cstheme="minorHAnsi"/>
          <w:sz w:val="24"/>
          <w:szCs w:val="22"/>
        </w:rPr>
        <w:t>.</w:t>
      </w:r>
      <w:r w:rsidR="008941C2">
        <w:rPr>
          <w:rFonts w:asciiTheme="minorHAnsi" w:hAnsiTheme="minorHAnsi" w:cstheme="minorHAnsi"/>
          <w:sz w:val="24"/>
          <w:szCs w:val="22"/>
        </w:rPr>
        <w:t xml:space="preserve"> </w:t>
      </w:r>
    </w:p>
    <w:p w14:paraId="27C0E0A0" w14:textId="77777777" w:rsidR="001E3C03" w:rsidRPr="00F17564" w:rsidRDefault="001E3C03" w:rsidP="00F17564">
      <w:pPr>
        <w:pStyle w:val="Heading3"/>
        <w:tabs>
          <w:tab w:val="clear" w:pos="1843"/>
          <w:tab w:val="num" w:pos="1559"/>
        </w:tabs>
        <w:ind w:left="992" w:hanging="992"/>
        <w:rPr>
          <w:rFonts w:asciiTheme="minorHAnsi" w:hAnsiTheme="minorHAnsi" w:cstheme="minorHAnsi"/>
          <w:color w:val="7F7F7F" w:themeColor="text1" w:themeTint="80"/>
          <w:sz w:val="30"/>
          <w:szCs w:val="30"/>
        </w:rPr>
      </w:pPr>
      <w:r w:rsidRPr="00F17564">
        <w:rPr>
          <w:rFonts w:asciiTheme="minorHAnsi" w:hAnsiTheme="minorHAnsi" w:cstheme="minorHAnsi"/>
          <w:b w:val="0"/>
          <w:color w:val="7F7F7F" w:themeColor="text1" w:themeTint="80"/>
          <w:sz w:val="30"/>
          <w:szCs w:val="30"/>
        </w:rPr>
        <w:t>Governance of the</w:t>
      </w:r>
      <w:r w:rsidR="004D4D4E" w:rsidRPr="00F17564">
        <w:rPr>
          <w:rFonts w:asciiTheme="minorHAnsi" w:hAnsiTheme="minorHAnsi" w:cstheme="minorHAnsi"/>
          <w:b w:val="0"/>
          <w:color w:val="7F7F7F" w:themeColor="text1" w:themeTint="80"/>
          <w:sz w:val="30"/>
          <w:szCs w:val="30"/>
        </w:rPr>
        <w:t xml:space="preserve"> </w:t>
      </w:r>
      <w:r w:rsidR="004D4D4E" w:rsidRPr="004D4D4E">
        <w:rPr>
          <w:rFonts w:asciiTheme="minorHAnsi" w:hAnsiTheme="minorHAnsi" w:cstheme="minorHAnsi"/>
          <w:b w:val="0"/>
          <w:color w:val="7F7F7F" w:themeColor="text1" w:themeTint="80"/>
          <w:sz w:val="30"/>
          <w:szCs w:val="30"/>
        </w:rPr>
        <w:t>Australian Organ Donor Register</w:t>
      </w:r>
      <w:r w:rsidRPr="00F17564">
        <w:rPr>
          <w:rFonts w:asciiTheme="minorHAnsi" w:hAnsiTheme="minorHAnsi" w:cstheme="minorHAnsi"/>
          <w:b w:val="0"/>
          <w:color w:val="7F7F7F" w:themeColor="text1" w:themeTint="80"/>
          <w:sz w:val="30"/>
          <w:szCs w:val="30"/>
        </w:rPr>
        <w:t xml:space="preserve"> </w:t>
      </w:r>
    </w:p>
    <w:p w14:paraId="7BF95CEB" w14:textId="5645616C" w:rsidR="00E25B2F" w:rsidRDefault="001E3C03" w:rsidP="00AE3ED1">
      <w:pPr>
        <w:widowControl/>
        <w:autoSpaceDE/>
        <w:autoSpaceDN/>
        <w:adjustRightInd/>
        <w:spacing w:after="200" w:line="276" w:lineRule="auto"/>
        <w:rPr>
          <w:rFonts w:asciiTheme="minorHAnsi" w:hAnsiTheme="minorHAnsi" w:cstheme="minorHAnsi"/>
          <w:sz w:val="24"/>
          <w:szCs w:val="22"/>
        </w:rPr>
      </w:pPr>
      <w:r w:rsidRPr="001E3C03">
        <w:rPr>
          <w:rFonts w:asciiTheme="minorHAnsi" w:hAnsiTheme="minorHAnsi" w:cstheme="minorHAnsi"/>
          <w:sz w:val="24"/>
          <w:szCs w:val="22"/>
        </w:rPr>
        <w:t xml:space="preserve">The </w:t>
      </w:r>
      <w:r w:rsidR="00AE3019">
        <w:rPr>
          <w:rFonts w:asciiTheme="minorHAnsi" w:hAnsiTheme="minorHAnsi" w:cstheme="minorHAnsi"/>
          <w:sz w:val="24"/>
          <w:szCs w:val="22"/>
        </w:rPr>
        <w:t xml:space="preserve">Australian Government </w:t>
      </w:r>
      <w:r w:rsidRPr="001E3C03">
        <w:rPr>
          <w:rFonts w:asciiTheme="minorHAnsi" w:hAnsiTheme="minorHAnsi" w:cstheme="minorHAnsi"/>
          <w:sz w:val="24"/>
          <w:szCs w:val="22"/>
        </w:rPr>
        <w:t>Department</w:t>
      </w:r>
      <w:r w:rsidR="00AE3019">
        <w:rPr>
          <w:rFonts w:asciiTheme="minorHAnsi" w:hAnsiTheme="minorHAnsi" w:cstheme="minorHAnsi"/>
          <w:sz w:val="24"/>
          <w:szCs w:val="22"/>
        </w:rPr>
        <w:t xml:space="preserve"> of Health</w:t>
      </w:r>
      <w:r w:rsidRPr="001E3C03">
        <w:rPr>
          <w:rFonts w:asciiTheme="minorHAnsi" w:hAnsiTheme="minorHAnsi" w:cstheme="minorHAnsi"/>
          <w:sz w:val="24"/>
          <w:szCs w:val="22"/>
        </w:rPr>
        <w:t xml:space="preserve"> </w:t>
      </w:r>
      <w:r w:rsidR="003D0DA2">
        <w:rPr>
          <w:rFonts w:asciiTheme="minorHAnsi" w:hAnsiTheme="minorHAnsi" w:cstheme="minorHAnsi"/>
          <w:sz w:val="24"/>
          <w:szCs w:val="22"/>
        </w:rPr>
        <w:t>h</w:t>
      </w:r>
      <w:r w:rsidRPr="001E3C03">
        <w:rPr>
          <w:rFonts w:asciiTheme="minorHAnsi" w:hAnsiTheme="minorHAnsi" w:cstheme="minorHAnsi"/>
          <w:sz w:val="24"/>
          <w:szCs w:val="22"/>
        </w:rPr>
        <w:t xml:space="preserve">as policy authority for the Australian Organ Donor Register (AODR). The </w:t>
      </w:r>
      <w:r w:rsidR="008C7E73">
        <w:rPr>
          <w:rFonts w:asciiTheme="minorHAnsi" w:hAnsiTheme="minorHAnsi" w:cstheme="minorHAnsi"/>
          <w:sz w:val="24"/>
          <w:szCs w:val="22"/>
        </w:rPr>
        <w:t xml:space="preserve">Australian Government </w:t>
      </w:r>
      <w:r w:rsidRPr="001E3C03">
        <w:rPr>
          <w:rFonts w:asciiTheme="minorHAnsi" w:hAnsiTheme="minorHAnsi" w:cstheme="minorHAnsi"/>
          <w:sz w:val="24"/>
          <w:szCs w:val="22"/>
        </w:rPr>
        <w:t>Department of Human Services</w:t>
      </w:r>
      <w:r w:rsidR="00F17564">
        <w:rPr>
          <w:rFonts w:asciiTheme="minorHAnsi" w:hAnsiTheme="minorHAnsi" w:cstheme="minorHAnsi"/>
          <w:sz w:val="24"/>
          <w:szCs w:val="22"/>
        </w:rPr>
        <w:t xml:space="preserve"> </w:t>
      </w:r>
      <w:r w:rsidRPr="001E3C03">
        <w:rPr>
          <w:rFonts w:asciiTheme="minorHAnsi" w:hAnsiTheme="minorHAnsi" w:cstheme="minorHAnsi"/>
          <w:sz w:val="24"/>
          <w:szCs w:val="22"/>
        </w:rPr>
        <w:t xml:space="preserve">administers the AODR on behalf of the </w:t>
      </w:r>
      <w:r w:rsidR="00AE3019">
        <w:rPr>
          <w:rFonts w:asciiTheme="minorHAnsi" w:hAnsiTheme="minorHAnsi" w:cstheme="minorHAnsi"/>
          <w:sz w:val="24"/>
          <w:szCs w:val="22"/>
        </w:rPr>
        <w:t xml:space="preserve">Australian Government </w:t>
      </w:r>
      <w:r w:rsidR="00AE3019" w:rsidRPr="001E3C03">
        <w:rPr>
          <w:rFonts w:asciiTheme="minorHAnsi" w:hAnsiTheme="minorHAnsi" w:cstheme="minorHAnsi"/>
          <w:sz w:val="24"/>
          <w:szCs w:val="22"/>
        </w:rPr>
        <w:t>Department</w:t>
      </w:r>
      <w:r w:rsidR="00AE3019">
        <w:rPr>
          <w:rFonts w:asciiTheme="minorHAnsi" w:hAnsiTheme="minorHAnsi" w:cstheme="minorHAnsi"/>
          <w:sz w:val="24"/>
          <w:szCs w:val="22"/>
        </w:rPr>
        <w:t xml:space="preserve"> of Health</w:t>
      </w:r>
      <w:r w:rsidRPr="001E3C03">
        <w:rPr>
          <w:rFonts w:asciiTheme="minorHAnsi" w:hAnsiTheme="minorHAnsi" w:cstheme="minorHAnsi"/>
          <w:sz w:val="24"/>
          <w:szCs w:val="22"/>
        </w:rPr>
        <w:t xml:space="preserve">. </w:t>
      </w:r>
      <w:r w:rsidR="00AE701D">
        <w:rPr>
          <w:rFonts w:asciiTheme="minorHAnsi" w:hAnsiTheme="minorHAnsi" w:cstheme="minorHAnsi"/>
          <w:sz w:val="24"/>
          <w:szCs w:val="22"/>
        </w:rPr>
        <w:br w:type="page"/>
      </w:r>
    </w:p>
    <w:p w14:paraId="791C66A2" w14:textId="77777777" w:rsidR="00C43CA7" w:rsidRPr="00B038C0" w:rsidRDefault="005B2D59">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113" w:name="_Toc532301682"/>
      <w:r w:rsidRPr="00B038C0">
        <w:rPr>
          <w:rFonts w:asciiTheme="minorHAnsi" w:hAnsiTheme="minorHAnsi" w:cstheme="minorHAnsi"/>
          <w:iCs/>
          <w:color w:val="7F7F7F" w:themeColor="text1" w:themeTint="80"/>
          <w:sz w:val="36"/>
          <w:szCs w:val="30"/>
        </w:rPr>
        <w:lastRenderedPageBreak/>
        <w:t xml:space="preserve">Element 1: Initial </w:t>
      </w:r>
      <w:r w:rsidR="00C43CA7" w:rsidRPr="00B038C0">
        <w:rPr>
          <w:rFonts w:asciiTheme="minorHAnsi" w:hAnsiTheme="minorHAnsi" w:cstheme="minorHAnsi"/>
          <w:iCs/>
          <w:color w:val="7F7F7F" w:themeColor="text1" w:themeTint="80"/>
          <w:sz w:val="36"/>
          <w:szCs w:val="30"/>
        </w:rPr>
        <w:t xml:space="preserve">assessment and </w:t>
      </w:r>
      <w:r w:rsidR="007411D9">
        <w:rPr>
          <w:rFonts w:asciiTheme="minorHAnsi" w:hAnsiTheme="minorHAnsi" w:cstheme="minorHAnsi"/>
          <w:iCs/>
          <w:color w:val="7F7F7F" w:themeColor="text1" w:themeTint="80"/>
          <w:sz w:val="36"/>
          <w:szCs w:val="30"/>
        </w:rPr>
        <w:t>wait</w:t>
      </w:r>
      <w:r w:rsidR="00BA737B">
        <w:rPr>
          <w:rFonts w:asciiTheme="minorHAnsi" w:hAnsiTheme="minorHAnsi" w:cstheme="minorHAnsi"/>
          <w:iCs/>
          <w:color w:val="7F7F7F" w:themeColor="text1" w:themeTint="80"/>
          <w:sz w:val="36"/>
          <w:szCs w:val="30"/>
        </w:rPr>
        <w:t>ing</w:t>
      </w:r>
      <w:r w:rsidR="007411D9">
        <w:rPr>
          <w:rFonts w:asciiTheme="minorHAnsi" w:hAnsiTheme="minorHAnsi" w:cstheme="minorHAnsi"/>
          <w:iCs/>
          <w:color w:val="7F7F7F" w:themeColor="text1" w:themeTint="80"/>
          <w:sz w:val="36"/>
          <w:szCs w:val="30"/>
        </w:rPr>
        <w:t xml:space="preserve"> list</w:t>
      </w:r>
      <w:r w:rsidR="00C43CA7" w:rsidRPr="00B038C0">
        <w:rPr>
          <w:rFonts w:asciiTheme="minorHAnsi" w:hAnsiTheme="minorHAnsi" w:cstheme="minorHAnsi"/>
          <w:iCs/>
          <w:color w:val="7F7F7F" w:themeColor="text1" w:themeTint="80"/>
          <w:sz w:val="36"/>
          <w:szCs w:val="30"/>
        </w:rPr>
        <w:t xml:space="preserve"> management </w:t>
      </w:r>
      <w:r w:rsidR="00327B38">
        <w:rPr>
          <w:rFonts w:asciiTheme="minorHAnsi" w:hAnsiTheme="minorHAnsi" w:cstheme="minorHAnsi"/>
          <w:iCs/>
          <w:color w:val="7F7F7F" w:themeColor="text1" w:themeTint="80"/>
          <w:sz w:val="36"/>
          <w:szCs w:val="30"/>
        </w:rPr>
        <w:t>of potential transplant recipients</w:t>
      </w:r>
      <w:bookmarkEnd w:id="113"/>
    </w:p>
    <w:p w14:paraId="519A4C83" w14:textId="77777777" w:rsidR="00AE3019" w:rsidRDefault="00C43CA7" w:rsidP="00C43CA7">
      <w:pPr>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This element includes</w:t>
      </w:r>
      <w:r w:rsidR="00AE3019">
        <w:rPr>
          <w:rFonts w:asciiTheme="minorHAnsi" w:hAnsiTheme="minorHAnsi" w:cstheme="minorHAnsi"/>
          <w:sz w:val="24"/>
          <w:szCs w:val="22"/>
          <w:lang w:val="en-GB"/>
        </w:rPr>
        <w:t>:</w:t>
      </w:r>
    </w:p>
    <w:p w14:paraId="27761A94" w14:textId="77777777" w:rsidR="00AE3019" w:rsidRPr="00545923" w:rsidRDefault="00AE3019" w:rsidP="00447661">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R</w:t>
      </w:r>
      <w:r w:rsidR="00C43CA7" w:rsidRPr="00F37D51">
        <w:rPr>
          <w:rFonts w:asciiTheme="minorHAnsi" w:hAnsiTheme="minorHAnsi" w:cstheme="minorHAnsi"/>
          <w:sz w:val="24"/>
          <w:szCs w:val="22"/>
          <w:lang w:val="en-GB"/>
        </w:rPr>
        <w:t>ecipient eligibility</w:t>
      </w:r>
      <w:r w:rsidR="00142622">
        <w:rPr>
          <w:rFonts w:asciiTheme="minorHAnsi" w:hAnsiTheme="minorHAnsi" w:cstheme="minorHAnsi"/>
          <w:sz w:val="24"/>
          <w:szCs w:val="22"/>
          <w:lang w:val="en-GB"/>
        </w:rPr>
        <w:t xml:space="preserve"> </w:t>
      </w:r>
      <w:r w:rsidR="00142622" w:rsidRPr="00545923">
        <w:rPr>
          <w:rFonts w:asciiTheme="minorHAnsi" w:hAnsiTheme="minorHAnsi" w:cstheme="minorHAnsi"/>
          <w:sz w:val="24"/>
          <w:szCs w:val="22"/>
          <w:lang w:val="en-GB"/>
        </w:rPr>
        <w:t>assessment</w:t>
      </w:r>
    </w:p>
    <w:p w14:paraId="78E66333" w14:textId="77777777" w:rsidR="00AE3019" w:rsidRPr="00545923" w:rsidRDefault="00AE3019" w:rsidP="00447661">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545923">
        <w:rPr>
          <w:rFonts w:asciiTheme="minorHAnsi" w:hAnsiTheme="minorHAnsi" w:cstheme="minorHAnsi"/>
          <w:sz w:val="24"/>
          <w:szCs w:val="22"/>
          <w:lang w:val="en-GB"/>
        </w:rPr>
        <w:t>R</w:t>
      </w:r>
      <w:r w:rsidR="004253A0" w:rsidRPr="00545923">
        <w:rPr>
          <w:rFonts w:asciiTheme="minorHAnsi" w:hAnsiTheme="minorHAnsi" w:cstheme="minorHAnsi"/>
          <w:sz w:val="24"/>
          <w:szCs w:val="22"/>
          <w:lang w:val="en-GB"/>
        </w:rPr>
        <w:t>eferral for assessment</w:t>
      </w:r>
    </w:p>
    <w:p w14:paraId="397887A6" w14:textId="77777777" w:rsidR="00AE3019" w:rsidRPr="00545923" w:rsidRDefault="00AE3019" w:rsidP="00447661">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545923">
        <w:rPr>
          <w:rFonts w:asciiTheme="minorHAnsi" w:hAnsiTheme="minorHAnsi" w:cstheme="minorHAnsi"/>
          <w:sz w:val="24"/>
          <w:szCs w:val="22"/>
          <w:lang w:val="en-GB"/>
        </w:rPr>
        <w:t>E</w:t>
      </w:r>
      <w:r w:rsidR="00C43CA7" w:rsidRPr="00545923">
        <w:rPr>
          <w:rFonts w:asciiTheme="minorHAnsi" w:hAnsiTheme="minorHAnsi" w:cstheme="minorHAnsi"/>
          <w:sz w:val="24"/>
          <w:szCs w:val="22"/>
          <w:lang w:val="en-GB"/>
        </w:rPr>
        <w:t xml:space="preserve">nlisting and accession of the potential recipient on the </w:t>
      </w:r>
      <w:r w:rsidR="007411D9" w:rsidRPr="00545923">
        <w:rPr>
          <w:rFonts w:asciiTheme="minorHAnsi" w:hAnsiTheme="minorHAnsi" w:cstheme="minorHAnsi"/>
          <w:sz w:val="24"/>
          <w:szCs w:val="22"/>
          <w:lang w:val="en-GB"/>
        </w:rPr>
        <w:t>wait</w:t>
      </w:r>
      <w:r w:rsidR="00BA737B" w:rsidRPr="00545923">
        <w:rPr>
          <w:rFonts w:asciiTheme="minorHAnsi" w:hAnsiTheme="minorHAnsi" w:cstheme="minorHAnsi"/>
          <w:sz w:val="24"/>
          <w:szCs w:val="22"/>
          <w:lang w:val="en-GB"/>
        </w:rPr>
        <w:t>ing</w:t>
      </w:r>
      <w:r w:rsidR="007411D9" w:rsidRPr="00545923">
        <w:rPr>
          <w:rFonts w:asciiTheme="minorHAnsi" w:hAnsiTheme="minorHAnsi" w:cstheme="minorHAnsi"/>
          <w:sz w:val="24"/>
          <w:szCs w:val="22"/>
          <w:lang w:val="en-GB"/>
        </w:rPr>
        <w:t xml:space="preserve"> list</w:t>
      </w:r>
      <w:r w:rsidR="00C43CA7" w:rsidRPr="00545923">
        <w:rPr>
          <w:rFonts w:asciiTheme="minorHAnsi" w:hAnsiTheme="minorHAnsi" w:cstheme="minorHAnsi"/>
          <w:sz w:val="24"/>
          <w:szCs w:val="22"/>
          <w:lang w:val="en-GB"/>
        </w:rPr>
        <w:t xml:space="preserve"> </w:t>
      </w:r>
    </w:p>
    <w:p w14:paraId="5FF8C957" w14:textId="77777777" w:rsidR="00C43CA7" w:rsidRPr="00545923" w:rsidRDefault="00AE3019" w:rsidP="00447661">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545923">
        <w:rPr>
          <w:rFonts w:asciiTheme="minorHAnsi" w:hAnsiTheme="minorHAnsi" w:cstheme="minorHAnsi"/>
          <w:sz w:val="24"/>
          <w:szCs w:val="22"/>
          <w:lang w:val="en-GB"/>
        </w:rPr>
        <w:t>M</w:t>
      </w:r>
      <w:r w:rsidR="00C43CA7" w:rsidRPr="00545923">
        <w:rPr>
          <w:rFonts w:asciiTheme="minorHAnsi" w:hAnsiTheme="minorHAnsi" w:cstheme="minorHAnsi"/>
          <w:sz w:val="24"/>
          <w:szCs w:val="22"/>
          <w:lang w:val="en-GB"/>
        </w:rPr>
        <w:t xml:space="preserve">anagement of the health of the potential recipient while on the </w:t>
      </w:r>
      <w:r w:rsidR="007411D9" w:rsidRPr="00545923">
        <w:rPr>
          <w:rFonts w:asciiTheme="minorHAnsi" w:hAnsiTheme="minorHAnsi" w:cstheme="minorHAnsi"/>
          <w:sz w:val="24"/>
          <w:szCs w:val="22"/>
          <w:lang w:val="en-GB"/>
        </w:rPr>
        <w:t>wait</w:t>
      </w:r>
      <w:r w:rsidR="00BA737B" w:rsidRPr="00545923">
        <w:rPr>
          <w:rFonts w:asciiTheme="minorHAnsi" w:hAnsiTheme="minorHAnsi" w:cstheme="minorHAnsi"/>
          <w:sz w:val="24"/>
          <w:szCs w:val="22"/>
          <w:lang w:val="en-GB"/>
        </w:rPr>
        <w:t>ing</w:t>
      </w:r>
      <w:r w:rsidR="007411D9" w:rsidRPr="00545923">
        <w:rPr>
          <w:rFonts w:asciiTheme="minorHAnsi" w:hAnsiTheme="minorHAnsi" w:cstheme="minorHAnsi"/>
          <w:sz w:val="24"/>
          <w:szCs w:val="22"/>
          <w:lang w:val="en-GB"/>
        </w:rPr>
        <w:t xml:space="preserve"> list</w:t>
      </w:r>
      <w:r w:rsidR="00C43CA7" w:rsidRPr="00545923">
        <w:rPr>
          <w:rFonts w:asciiTheme="minorHAnsi" w:hAnsiTheme="minorHAnsi" w:cstheme="minorHAnsi"/>
          <w:sz w:val="24"/>
          <w:szCs w:val="22"/>
          <w:lang w:val="en-GB"/>
        </w:rPr>
        <w:t xml:space="preserve">. </w:t>
      </w:r>
    </w:p>
    <w:p w14:paraId="6650E6DE" w14:textId="77777777" w:rsidR="004253A0" w:rsidRPr="00545923" w:rsidRDefault="004253A0" w:rsidP="00F17564">
      <w:pPr>
        <w:pStyle w:val="Heading3"/>
        <w:tabs>
          <w:tab w:val="clear" w:pos="1843"/>
          <w:tab w:val="num" w:pos="1559"/>
        </w:tabs>
        <w:ind w:left="992" w:hanging="992"/>
        <w:rPr>
          <w:rFonts w:asciiTheme="minorHAnsi" w:hAnsiTheme="minorHAnsi" w:cstheme="minorHAnsi"/>
          <w:color w:val="7F7F7F" w:themeColor="text1" w:themeTint="80"/>
          <w:sz w:val="30"/>
          <w:szCs w:val="30"/>
        </w:rPr>
      </w:pPr>
      <w:bookmarkStart w:id="114" w:name="_Ref527645561"/>
      <w:bookmarkStart w:id="115" w:name="_Ref531269714"/>
      <w:r w:rsidRPr="00545923">
        <w:rPr>
          <w:rFonts w:asciiTheme="minorHAnsi" w:hAnsiTheme="minorHAnsi" w:cstheme="minorHAnsi"/>
          <w:b w:val="0"/>
          <w:color w:val="7F7F7F" w:themeColor="text1" w:themeTint="80"/>
          <w:sz w:val="30"/>
          <w:szCs w:val="30"/>
        </w:rPr>
        <w:t>Recipient eligibility</w:t>
      </w:r>
      <w:bookmarkEnd w:id="114"/>
      <w:r w:rsidR="00142622" w:rsidRPr="00545923">
        <w:rPr>
          <w:rFonts w:asciiTheme="minorHAnsi" w:hAnsiTheme="minorHAnsi" w:cstheme="minorHAnsi"/>
          <w:b w:val="0"/>
          <w:color w:val="7F7F7F" w:themeColor="text1" w:themeTint="80"/>
          <w:sz w:val="30"/>
          <w:szCs w:val="30"/>
        </w:rPr>
        <w:t xml:space="preserve"> assessment</w:t>
      </w:r>
      <w:bookmarkEnd w:id="115"/>
    </w:p>
    <w:p w14:paraId="48B5D1CD" w14:textId="77777777" w:rsidR="008D58D5" w:rsidRPr="00391D3A" w:rsidRDefault="004253A0" w:rsidP="00F17564">
      <w:pPr>
        <w:spacing w:after="120"/>
        <w:rPr>
          <w:rFonts w:asciiTheme="minorHAnsi" w:hAnsiTheme="minorHAnsi" w:cstheme="minorHAnsi"/>
          <w:sz w:val="24"/>
          <w:szCs w:val="22"/>
          <w:lang w:val="en-GB"/>
        </w:rPr>
      </w:pPr>
      <w:r w:rsidRPr="00391D3A">
        <w:rPr>
          <w:rFonts w:asciiTheme="minorHAnsi" w:eastAsiaTheme="minorHAnsi" w:hAnsiTheme="minorHAnsi" w:cstheme="minorHAnsi"/>
          <w:sz w:val="24"/>
          <w:szCs w:val="22"/>
          <w:lang w:val="en-GB"/>
        </w:rPr>
        <w:t>In</w:t>
      </w:r>
      <w:r w:rsidR="008D58D5">
        <w:rPr>
          <w:rFonts w:asciiTheme="minorHAnsi" w:eastAsiaTheme="minorHAnsi" w:hAnsiTheme="minorHAnsi" w:cstheme="minorHAnsi"/>
          <w:sz w:val="24"/>
          <w:szCs w:val="22"/>
          <w:lang w:val="en-GB"/>
        </w:rPr>
        <w:t xml:space="preserve"> order to provide a framework for access and equity to a life</w:t>
      </w:r>
      <w:r w:rsidR="00AE3019">
        <w:rPr>
          <w:rFonts w:asciiTheme="minorHAnsi" w:eastAsiaTheme="minorHAnsi" w:hAnsiTheme="minorHAnsi" w:cstheme="minorHAnsi"/>
          <w:sz w:val="24"/>
          <w:szCs w:val="22"/>
          <w:lang w:val="en-GB"/>
        </w:rPr>
        <w:t>-</w:t>
      </w:r>
      <w:r w:rsidR="008D58D5">
        <w:rPr>
          <w:rFonts w:asciiTheme="minorHAnsi" w:eastAsiaTheme="minorHAnsi" w:hAnsiTheme="minorHAnsi" w:cstheme="minorHAnsi"/>
          <w:sz w:val="24"/>
          <w:szCs w:val="22"/>
          <w:lang w:val="en-GB"/>
        </w:rPr>
        <w:t xml:space="preserve">saving </w:t>
      </w:r>
      <w:r w:rsidR="00A554AE">
        <w:rPr>
          <w:rFonts w:asciiTheme="minorHAnsi" w:eastAsiaTheme="minorHAnsi" w:hAnsiTheme="minorHAnsi" w:cstheme="minorHAnsi"/>
          <w:sz w:val="24"/>
          <w:szCs w:val="22"/>
          <w:lang w:val="en-GB"/>
        </w:rPr>
        <w:t>or life-transforming transplantation</w:t>
      </w:r>
      <w:r w:rsidR="008D58D5">
        <w:rPr>
          <w:rFonts w:asciiTheme="minorHAnsi" w:eastAsiaTheme="minorHAnsi" w:hAnsiTheme="minorHAnsi" w:cstheme="minorHAnsi"/>
          <w:sz w:val="24"/>
          <w:szCs w:val="22"/>
          <w:lang w:val="en-GB"/>
        </w:rPr>
        <w:t xml:space="preserve"> for all Australians, principles and guidelines have been developed to provide a framework for assessing eligibility. </w:t>
      </w:r>
      <w:r w:rsidR="008D58D5" w:rsidRPr="00391D3A">
        <w:rPr>
          <w:rFonts w:asciiTheme="minorHAnsi" w:hAnsiTheme="minorHAnsi" w:cstheme="minorHAnsi"/>
          <w:sz w:val="24"/>
          <w:szCs w:val="22"/>
          <w:lang w:val="en-GB"/>
        </w:rPr>
        <w:t xml:space="preserve">The overall principles for </w:t>
      </w:r>
      <w:r w:rsidR="008D58D5">
        <w:rPr>
          <w:rFonts w:asciiTheme="minorHAnsi" w:hAnsiTheme="minorHAnsi" w:cstheme="minorHAnsi"/>
          <w:sz w:val="24"/>
          <w:szCs w:val="22"/>
          <w:lang w:val="en-GB"/>
        </w:rPr>
        <w:t xml:space="preserve">consideration </w:t>
      </w:r>
      <w:r w:rsidR="008D58D5" w:rsidRPr="00391D3A">
        <w:rPr>
          <w:rFonts w:asciiTheme="minorHAnsi" w:hAnsiTheme="minorHAnsi" w:cstheme="minorHAnsi"/>
          <w:sz w:val="24"/>
          <w:szCs w:val="22"/>
          <w:lang w:val="en-GB"/>
        </w:rPr>
        <w:t>for transplantation include:</w:t>
      </w:r>
    </w:p>
    <w:p w14:paraId="023E88AF" w14:textId="77777777" w:rsidR="008D58D5" w:rsidRPr="00391D3A" w:rsidRDefault="008D58D5" w:rsidP="00481A6A">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391D3A">
        <w:rPr>
          <w:rFonts w:asciiTheme="minorHAnsi" w:hAnsiTheme="minorHAnsi" w:cstheme="minorHAnsi"/>
          <w:sz w:val="24"/>
          <w:szCs w:val="22"/>
          <w:lang w:val="en-GB"/>
        </w:rPr>
        <w:t xml:space="preserve">Organ transplantation should be considered only when patients who have reached </w:t>
      </w:r>
      <w:r w:rsidR="007A23AB">
        <w:rPr>
          <w:rFonts w:asciiTheme="minorHAnsi" w:hAnsiTheme="minorHAnsi" w:cstheme="minorHAnsi"/>
          <w:sz w:val="24"/>
          <w:szCs w:val="22"/>
          <w:lang w:val="en-GB"/>
        </w:rPr>
        <w:t xml:space="preserve">the </w:t>
      </w:r>
      <w:r w:rsidRPr="00391D3A">
        <w:rPr>
          <w:rFonts w:asciiTheme="minorHAnsi" w:hAnsiTheme="minorHAnsi" w:cstheme="minorHAnsi"/>
          <w:sz w:val="24"/>
          <w:szCs w:val="22"/>
          <w:lang w:val="en-GB"/>
        </w:rPr>
        <w:t>end-stage of their organ disease and (with the exception of kidney transplantation) have exhausted all alternative treatment options</w:t>
      </w:r>
    </w:p>
    <w:p w14:paraId="340E4192" w14:textId="77777777" w:rsidR="008D58D5" w:rsidRPr="00391D3A" w:rsidRDefault="008D58D5" w:rsidP="00481A6A">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391D3A">
        <w:rPr>
          <w:rFonts w:asciiTheme="minorHAnsi" w:hAnsiTheme="minorHAnsi" w:cstheme="minorHAnsi"/>
          <w:sz w:val="24"/>
          <w:szCs w:val="22"/>
          <w:lang w:val="en-GB"/>
        </w:rPr>
        <w:t>Organ transplantation should be offered only to patients who have a reasonable prospect of achieving an acceptably good quality and duration of life after transplantation</w:t>
      </w:r>
    </w:p>
    <w:p w14:paraId="21F64706" w14:textId="77777777" w:rsidR="008D58D5" w:rsidRPr="00391D3A" w:rsidRDefault="008D58D5" w:rsidP="00481A6A">
      <w:pPr>
        <w:widowControl/>
        <w:numPr>
          <w:ilvl w:val="0"/>
          <w:numId w:val="18"/>
        </w:numPr>
        <w:autoSpaceDE/>
        <w:autoSpaceDN/>
        <w:adjustRightInd/>
        <w:spacing w:after="120"/>
        <w:ind w:left="357" w:hanging="357"/>
        <w:rPr>
          <w:rFonts w:asciiTheme="minorHAnsi" w:hAnsiTheme="minorHAnsi" w:cstheme="minorHAnsi"/>
          <w:sz w:val="24"/>
          <w:szCs w:val="22"/>
          <w:lang w:val="en-GB"/>
        </w:rPr>
      </w:pPr>
      <w:r w:rsidRPr="00391D3A">
        <w:rPr>
          <w:rFonts w:asciiTheme="minorHAnsi" w:hAnsiTheme="minorHAnsi" w:cstheme="minorHAnsi"/>
          <w:sz w:val="24"/>
          <w:szCs w:val="22"/>
          <w:lang w:val="en-GB"/>
        </w:rPr>
        <w:t>Organ transplantation should aim to balance the individual needs of the patient with the overall benefit to the community.</w:t>
      </w:r>
    </w:p>
    <w:p w14:paraId="000F7884" w14:textId="77777777" w:rsidR="008D58D5" w:rsidRPr="00447661" w:rsidRDefault="008D58D5" w:rsidP="00447661">
      <w:pPr>
        <w:widowControl/>
        <w:autoSpaceDE/>
        <w:autoSpaceDN/>
        <w:adjustRightInd/>
        <w:spacing w:after="120"/>
        <w:rPr>
          <w:rFonts w:asciiTheme="minorHAnsi" w:hAnsiTheme="minorHAnsi" w:cstheme="minorHAnsi"/>
          <w:sz w:val="24"/>
          <w:szCs w:val="22"/>
          <w:lang w:val="en-GB"/>
        </w:rPr>
      </w:pPr>
      <w:r w:rsidRPr="00447661">
        <w:rPr>
          <w:rFonts w:asciiTheme="minorHAnsi" w:hAnsiTheme="minorHAnsi" w:cstheme="minorHAnsi"/>
          <w:sz w:val="24"/>
          <w:szCs w:val="22"/>
          <w:lang w:val="en-GB"/>
        </w:rPr>
        <w:t xml:space="preserve">These principles form the basis of the </w:t>
      </w:r>
      <w:r w:rsidR="004253A0" w:rsidRPr="00447661">
        <w:rPr>
          <w:rFonts w:asciiTheme="minorHAnsi" w:hAnsiTheme="minorHAnsi" w:cstheme="minorHAnsi"/>
          <w:i/>
          <w:sz w:val="24"/>
          <w:szCs w:val="22"/>
          <w:lang w:val="en-GB"/>
        </w:rPr>
        <w:t>Clinical Guidelines for Organ Transplantation from Deceased Donors</w:t>
      </w:r>
      <w:r w:rsidR="004253A0" w:rsidRPr="00447661">
        <w:rPr>
          <w:rFonts w:asciiTheme="minorHAnsi" w:hAnsiTheme="minorHAnsi" w:cstheme="minorHAnsi"/>
          <w:sz w:val="24"/>
          <w:szCs w:val="22"/>
          <w:lang w:val="en-GB"/>
        </w:rPr>
        <w:t xml:space="preserve"> (</w:t>
      </w:r>
      <w:r w:rsidR="008E64B3">
        <w:rPr>
          <w:rFonts w:asciiTheme="minorHAnsi" w:hAnsiTheme="minorHAnsi" w:cstheme="minorHAnsi"/>
          <w:sz w:val="24"/>
          <w:szCs w:val="22"/>
          <w:lang w:val="en-GB"/>
        </w:rPr>
        <w:t>‘</w:t>
      </w:r>
      <w:r w:rsidR="004253A0" w:rsidRPr="00447661">
        <w:rPr>
          <w:rFonts w:asciiTheme="minorHAnsi" w:hAnsiTheme="minorHAnsi" w:cstheme="minorHAnsi"/>
          <w:sz w:val="24"/>
          <w:szCs w:val="22"/>
          <w:lang w:val="en-GB"/>
        </w:rPr>
        <w:t>the Clinical Guidelines</w:t>
      </w:r>
      <w:r w:rsidR="008E64B3">
        <w:rPr>
          <w:rFonts w:asciiTheme="minorHAnsi" w:hAnsiTheme="minorHAnsi" w:cstheme="minorHAnsi"/>
          <w:sz w:val="24"/>
          <w:szCs w:val="22"/>
          <w:lang w:val="en-GB"/>
        </w:rPr>
        <w:t>’</w:t>
      </w:r>
      <w:r w:rsidR="004253A0" w:rsidRPr="00447661">
        <w:rPr>
          <w:rFonts w:asciiTheme="minorHAnsi" w:hAnsiTheme="minorHAnsi" w:cstheme="minorHAnsi"/>
          <w:sz w:val="24"/>
          <w:szCs w:val="22"/>
          <w:lang w:val="en-GB"/>
        </w:rPr>
        <w:t>)</w:t>
      </w:r>
      <w:r w:rsidR="00D27898" w:rsidRPr="00D27898">
        <w:rPr>
          <w:rFonts w:asciiTheme="minorHAnsi" w:hAnsiTheme="minorHAnsi" w:cstheme="minorHAnsi"/>
          <w:sz w:val="18"/>
          <w:szCs w:val="18"/>
          <w:vertAlign w:val="superscript"/>
        </w:rPr>
        <w:t xml:space="preserve"> </w:t>
      </w:r>
      <w:r w:rsidR="00D27898" w:rsidRPr="00C14719">
        <w:rPr>
          <w:rFonts w:asciiTheme="minorHAnsi" w:hAnsiTheme="minorHAnsi" w:cstheme="minorHAnsi"/>
          <w:sz w:val="18"/>
          <w:szCs w:val="18"/>
          <w:vertAlign w:val="superscript"/>
        </w:rPr>
        <w:footnoteReference w:id="37"/>
      </w:r>
      <w:r w:rsidR="00D27898" w:rsidRPr="00447661">
        <w:rPr>
          <w:rFonts w:asciiTheme="minorHAnsi" w:hAnsiTheme="minorHAnsi" w:cstheme="minorHAnsi"/>
          <w:sz w:val="24"/>
          <w:szCs w:val="22"/>
          <w:lang w:val="en-GB"/>
        </w:rPr>
        <w:t xml:space="preserve"> </w:t>
      </w:r>
      <w:r w:rsidRPr="00447661">
        <w:rPr>
          <w:rFonts w:asciiTheme="minorHAnsi" w:hAnsiTheme="minorHAnsi" w:cstheme="minorHAnsi"/>
          <w:sz w:val="24"/>
          <w:szCs w:val="22"/>
          <w:lang w:val="en-GB"/>
        </w:rPr>
        <w:t xml:space="preserve"> which are used by transplant clinicians when undertaking assessment for eligibility</w:t>
      </w:r>
      <w:r w:rsidR="004253A0" w:rsidRPr="00447661">
        <w:rPr>
          <w:rFonts w:asciiTheme="minorHAnsi" w:hAnsiTheme="minorHAnsi" w:cstheme="minorHAnsi"/>
          <w:sz w:val="24"/>
          <w:szCs w:val="22"/>
          <w:lang w:val="en-GB"/>
        </w:rPr>
        <w:t>.</w:t>
      </w:r>
      <w:r w:rsidRPr="00447661">
        <w:rPr>
          <w:rFonts w:asciiTheme="minorHAnsi" w:hAnsiTheme="minorHAnsi" w:cstheme="minorHAnsi"/>
          <w:sz w:val="24"/>
          <w:szCs w:val="22"/>
          <w:lang w:val="en-GB"/>
        </w:rPr>
        <w:t xml:space="preserve"> While there are specific inclusion and exclusion criteria for each organ detailed in the Clinical Guidelines, there are general conditions that currently apply across all organs</w:t>
      </w:r>
      <w:r w:rsidR="00F805BF">
        <w:rPr>
          <w:rFonts w:asciiTheme="minorHAnsi" w:hAnsiTheme="minorHAnsi" w:cstheme="minorHAnsi"/>
          <w:sz w:val="24"/>
          <w:szCs w:val="22"/>
          <w:lang w:val="en-GB"/>
        </w:rPr>
        <w:t xml:space="preserve">: </w:t>
      </w:r>
    </w:p>
    <w:p w14:paraId="6C8F106E" w14:textId="77777777" w:rsidR="008D58D5" w:rsidRPr="003D0DA2" w:rsidRDefault="008D58D5" w:rsidP="00481A6A">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F17564">
        <w:rPr>
          <w:rFonts w:asciiTheme="minorHAnsi" w:hAnsiTheme="minorHAnsi" w:cstheme="minorHAnsi"/>
          <w:sz w:val="24"/>
          <w:szCs w:val="22"/>
          <w:lang w:val="en-GB"/>
        </w:rPr>
        <w:t>Age:</w:t>
      </w:r>
      <w:r w:rsidRPr="003D0DA2">
        <w:rPr>
          <w:rFonts w:asciiTheme="minorHAnsi" w:hAnsiTheme="minorHAnsi" w:cstheme="minorHAnsi"/>
          <w:sz w:val="24"/>
          <w:szCs w:val="22"/>
          <w:lang w:val="en-GB"/>
        </w:rPr>
        <w:t xml:space="preserve"> With the increasing success of transplantation, the age range considered suitable for transplantation has steadily increased</w:t>
      </w:r>
    </w:p>
    <w:p w14:paraId="477639CF" w14:textId="77777777" w:rsidR="008D58D5" w:rsidRPr="003D0DA2" w:rsidRDefault="008D58D5" w:rsidP="00481A6A">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F17564">
        <w:rPr>
          <w:rFonts w:asciiTheme="minorHAnsi" w:hAnsiTheme="minorHAnsi" w:cstheme="minorHAnsi"/>
          <w:sz w:val="24"/>
          <w:szCs w:val="22"/>
          <w:lang w:val="en-GB"/>
        </w:rPr>
        <w:t>Comorbidities:</w:t>
      </w:r>
      <w:r w:rsidRPr="003D0DA2">
        <w:rPr>
          <w:rFonts w:asciiTheme="minorHAnsi" w:hAnsiTheme="minorHAnsi" w:cstheme="minorHAnsi"/>
          <w:sz w:val="24"/>
          <w:szCs w:val="22"/>
          <w:lang w:val="en-GB"/>
        </w:rPr>
        <w:t xml:space="preserve"> Exclusion criteria generally include conditions or combinations of conditions that would result in an unacceptably high risk of mortality or morbidity during or after transplantation (e.g. active malignancy, severe cardiac disease, or chronic infection).</w:t>
      </w:r>
    </w:p>
    <w:p w14:paraId="1D948667" w14:textId="77777777" w:rsidR="008D58D5" w:rsidRPr="003D0DA2" w:rsidRDefault="008D58D5" w:rsidP="00481A6A">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F17564">
        <w:rPr>
          <w:rFonts w:asciiTheme="minorHAnsi" w:hAnsiTheme="minorHAnsi" w:cstheme="minorHAnsi"/>
          <w:sz w:val="24"/>
          <w:szCs w:val="22"/>
          <w:lang w:val="en-GB"/>
        </w:rPr>
        <w:t>Behavioural risk factors:</w:t>
      </w:r>
      <w:r w:rsidRPr="003D0DA2">
        <w:rPr>
          <w:rFonts w:asciiTheme="minorHAnsi" w:hAnsiTheme="minorHAnsi" w:cstheme="minorHAnsi"/>
          <w:sz w:val="24"/>
          <w:szCs w:val="22"/>
          <w:lang w:val="en-GB"/>
        </w:rPr>
        <w:t xml:space="preserve"> Ongoing substance abuse including excessive alcohol consumption, cigarette smoking and illicit drug use are generally considered contraindications to transplantation. These lifestyle factors increase the risk of poor </w:t>
      </w:r>
      <w:r w:rsidR="000B07FB" w:rsidRPr="00545923">
        <w:rPr>
          <w:rFonts w:asciiTheme="minorHAnsi" w:hAnsiTheme="minorHAnsi" w:cstheme="minorHAnsi"/>
          <w:sz w:val="24"/>
          <w:szCs w:val="22"/>
          <w:lang w:val="en-GB"/>
        </w:rPr>
        <w:t>transplant</w:t>
      </w:r>
      <w:r w:rsidR="00142622" w:rsidRPr="00545923">
        <w:rPr>
          <w:rFonts w:asciiTheme="minorHAnsi" w:hAnsiTheme="minorHAnsi" w:cstheme="minorHAnsi"/>
          <w:sz w:val="24"/>
          <w:szCs w:val="22"/>
          <w:lang w:val="en-GB"/>
        </w:rPr>
        <w:t>ation</w:t>
      </w:r>
      <w:r w:rsidR="000B07FB">
        <w:rPr>
          <w:rFonts w:asciiTheme="minorHAnsi" w:hAnsiTheme="minorHAnsi" w:cstheme="minorHAnsi"/>
          <w:sz w:val="24"/>
          <w:szCs w:val="22"/>
          <w:lang w:val="en-GB"/>
        </w:rPr>
        <w:t xml:space="preserve"> outcome</w:t>
      </w:r>
      <w:r w:rsidRPr="003D0DA2">
        <w:rPr>
          <w:rFonts w:asciiTheme="minorHAnsi" w:hAnsiTheme="minorHAnsi" w:cstheme="minorHAnsi"/>
          <w:sz w:val="24"/>
          <w:szCs w:val="22"/>
          <w:lang w:val="en-GB"/>
        </w:rPr>
        <w:t>s.</w:t>
      </w:r>
    </w:p>
    <w:p w14:paraId="65F4ECD7" w14:textId="77777777" w:rsidR="008D58D5" w:rsidRPr="00F17564" w:rsidRDefault="008D58D5" w:rsidP="00481A6A">
      <w:pPr>
        <w:widowControl/>
        <w:numPr>
          <w:ilvl w:val="0"/>
          <w:numId w:val="18"/>
        </w:numPr>
        <w:autoSpaceDE/>
        <w:autoSpaceDN/>
        <w:adjustRightInd/>
        <w:spacing w:after="120"/>
        <w:ind w:left="357" w:hanging="357"/>
        <w:rPr>
          <w:rFonts w:asciiTheme="minorHAnsi" w:hAnsiTheme="minorHAnsi" w:cstheme="minorHAnsi"/>
          <w:sz w:val="24"/>
          <w:szCs w:val="22"/>
          <w:lang w:val="en-GB"/>
        </w:rPr>
      </w:pPr>
      <w:r w:rsidRPr="00F17564">
        <w:rPr>
          <w:rFonts w:asciiTheme="minorHAnsi" w:hAnsiTheme="minorHAnsi" w:cstheme="minorHAnsi"/>
          <w:sz w:val="24"/>
          <w:szCs w:val="22"/>
          <w:lang w:val="en-GB"/>
        </w:rPr>
        <w:t>Inability to adhere with complex medical therapy:</w:t>
      </w:r>
      <w:r w:rsidRPr="003D0DA2">
        <w:rPr>
          <w:rFonts w:asciiTheme="minorHAnsi" w:hAnsiTheme="minorHAnsi" w:cstheme="minorHAnsi"/>
          <w:sz w:val="24"/>
          <w:szCs w:val="22"/>
          <w:lang w:val="en-GB"/>
        </w:rPr>
        <w:t xml:space="preserve"> This may be as a result of chronic cognitive or neuropsychiatric</w:t>
      </w:r>
      <w:r w:rsidRPr="00A33214">
        <w:rPr>
          <w:rFonts w:asciiTheme="minorHAnsi" w:hAnsiTheme="minorHAnsi" w:cstheme="minorHAnsi"/>
          <w:sz w:val="24"/>
          <w:szCs w:val="22"/>
          <w:lang w:val="en-GB"/>
        </w:rPr>
        <w:t xml:space="preserve"> deficits in the absence of a carer capable of facilitating adherence to therapy.</w:t>
      </w:r>
    </w:p>
    <w:p w14:paraId="1493559F" w14:textId="77777777" w:rsidR="0081744B" w:rsidRDefault="0081744B">
      <w:pPr>
        <w:widowControl/>
        <w:autoSpaceDE/>
        <w:autoSpaceDN/>
        <w:adjustRightInd/>
        <w:spacing w:after="200" w:line="276" w:lineRule="auto"/>
        <w:rPr>
          <w:rFonts w:asciiTheme="minorHAnsi" w:hAnsiTheme="minorHAnsi" w:cstheme="minorHAnsi"/>
          <w:sz w:val="24"/>
          <w:szCs w:val="22"/>
          <w:lang w:val="en-GB"/>
        </w:rPr>
      </w:pPr>
      <w:r>
        <w:rPr>
          <w:rFonts w:asciiTheme="minorHAnsi" w:hAnsiTheme="minorHAnsi" w:cstheme="minorHAnsi"/>
          <w:sz w:val="24"/>
          <w:szCs w:val="22"/>
          <w:lang w:val="en-GB"/>
        </w:rPr>
        <w:br w:type="page"/>
      </w:r>
    </w:p>
    <w:p w14:paraId="002EE2A1" w14:textId="2FACD5D0" w:rsidR="00391D3A" w:rsidRPr="00F17564" w:rsidRDefault="00391D3A" w:rsidP="00F17564">
      <w:pPr>
        <w:widowControl/>
        <w:autoSpaceDE/>
        <w:autoSpaceDN/>
        <w:adjustRightInd/>
        <w:spacing w:after="120"/>
        <w:rPr>
          <w:rFonts w:asciiTheme="minorHAnsi" w:eastAsiaTheme="minorHAnsi" w:hAnsiTheme="minorHAnsi" w:cstheme="minorBidi"/>
          <w:sz w:val="24"/>
          <w:szCs w:val="22"/>
        </w:rPr>
      </w:pPr>
      <w:r w:rsidRPr="00391D3A">
        <w:rPr>
          <w:rFonts w:asciiTheme="minorHAnsi" w:hAnsiTheme="minorHAnsi" w:cstheme="minorHAnsi"/>
          <w:sz w:val="24"/>
          <w:szCs w:val="22"/>
          <w:lang w:val="en-GB"/>
        </w:rPr>
        <w:lastRenderedPageBreak/>
        <w:t xml:space="preserve">The Clinical Guidelines are supported by the National Health and Medical Research Council’s (NHMRC) </w:t>
      </w:r>
      <w:r w:rsidRPr="00391D3A">
        <w:rPr>
          <w:rFonts w:asciiTheme="minorHAnsi" w:hAnsiTheme="minorHAnsi" w:cstheme="minorHAnsi"/>
          <w:i/>
          <w:sz w:val="24"/>
          <w:szCs w:val="22"/>
          <w:lang w:val="en-GB"/>
        </w:rPr>
        <w:t>Ethical Guidelines for Organ Transplantation from Deceased Donors</w:t>
      </w:r>
      <w:r w:rsidRPr="00391D3A">
        <w:rPr>
          <w:rFonts w:asciiTheme="minorHAnsi" w:hAnsiTheme="minorHAnsi" w:cstheme="minorHAnsi"/>
          <w:sz w:val="24"/>
          <w:szCs w:val="22"/>
          <w:lang w:val="en-GB"/>
        </w:rPr>
        <w:t xml:space="preserve"> (</w:t>
      </w:r>
      <w:r w:rsidR="008E64B3">
        <w:rPr>
          <w:rFonts w:asciiTheme="minorHAnsi" w:hAnsiTheme="minorHAnsi" w:cstheme="minorHAnsi"/>
          <w:sz w:val="24"/>
          <w:szCs w:val="22"/>
          <w:lang w:val="en-GB"/>
        </w:rPr>
        <w:t>‘</w:t>
      </w:r>
      <w:r w:rsidRPr="00391D3A">
        <w:rPr>
          <w:rFonts w:asciiTheme="minorHAnsi" w:hAnsiTheme="minorHAnsi" w:cstheme="minorHAnsi"/>
          <w:sz w:val="24"/>
          <w:szCs w:val="22"/>
          <w:lang w:val="en-GB"/>
        </w:rPr>
        <w:t>the Ethical Guidelines</w:t>
      </w:r>
      <w:r w:rsidR="008E64B3">
        <w:rPr>
          <w:rFonts w:asciiTheme="minorHAnsi" w:hAnsiTheme="minorHAnsi" w:cstheme="minorHAnsi"/>
          <w:sz w:val="24"/>
          <w:szCs w:val="22"/>
          <w:lang w:val="en-GB"/>
        </w:rPr>
        <w:t>’</w:t>
      </w:r>
      <w:r w:rsidRPr="00391D3A">
        <w:rPr>
          <w:rFonts w:asciiTheme="minorHAnsi" w:hAnsiTheme="minorHAnsi" w:cstheme="minorHAnsi"/>
          <w:sz w:val="24"/>
          <w:szCs w:val="22"/>
          <w:lang w:val="en-GB"/>
        </w:rPr>
        <w:t>).</w:t>
      </w:r>
      <w:r w:rsidR="00D27898">
        <w:rPr>
          <w:rStyle w:val="FootnoteReference"/>
          <w:rFonts w:cstheme="minorHAnsi"/>
          <w:lang w:val="en-GB"/>
        </w:rPr>
        <w:footnoteReference w:id="38"/>
      </w:r>
      <w:r w:rsidRPr="00391D3A">
        <w:rPr>
          <w:rFonts w:asciiTheme="minorHAnsi" w:hAnsiTheme="minorHAnsi" w:cstheme="minorHAnsi"/>
          <w:sz w:val="24"/>
          <w:szCs w:val="22"/>
          <w:lang w:val="en-GB"/>
        </w:rPr>
        <w:t xml:space="preserve"> These guidelines provide an overview of the ethical principles that are to be adhered to when assessing the eligibility of patients for transplant</w:t>
      </w:r>
      <w:r w:rsidR="00AE3019">
        <w:rPr>
          <w:rFonts w:asciiTheme="minorHAnsi" w:hAnsiTheme="minorHAnsi" w:cstheme="minorHAnsi"/>
          <w:sz w:val="24"/>
          <w:szCs w:val="22"/>
          <w:lang w:val="en-GB"/>
        </w:rPr>
        <w:t>ation:</w:t>
      </w:r>
      <w:r w:rsidRPr="00391D3A">
        <w:rPr>
          <w:rFonts w:asciiTheme="minorHAnsi" w:hAnsiTheme="minorHAnsi" w:cstheme="minorHAnsi"/>
          <w:sz w:val="24"/>
          <w:szCs w:val="22"/>
          <w:lang w:val="en-GB"/>
        </w:rPr>
        <w:t xml:space="preserve"> </w:t>
      </w:r>
    </w:p>
    <w:p w14:paraId="21B8EAE5" w14:textId="77777777" w:rsidR="00391D3A" w:rsidRPr="00447661" w:rsidRDefault="00391D3A" w:rsidP="00481A6A">
      <w:pPr>
        <w:widowControl/>
        <w:numPr>
          <w:ilvl w:val="0"/>
          <w:numId w:val="22"/>
        </w:numPr>
        <w:autoSpaceDE/>
        <w:autoSpaceDN/>
        <w:adjustRightInd/>
        <w:spacing w:after="120"/>
        <w:ind w:left="425" w:hanging="357"/>
        <w:rPr>
          <w:rFonts w:asciiTheme="minorHAnsi" w:hAnsiTheme="minorHAnsi" w:cstheme="minorHAnsi"/>
          <w:sz w:val="24"/>
          <w:szCs w:val="22"/>
          <w:lang w:val="en-GB"/>
        </w:rPr>
      </w:pPr>
      <w:r w:rsidRPr="00447661">
        <w:rPr>
          <w:rFonts w:asciiTheme="minorHAnsi" w:hAnsiTheme="minorHAnsi" w:cstheme="minorHAnsi"/>
          <w:sz w:val="24"/>
          <w:szCs w:val="22"/>
          <w:lang w:val="en-GB"/>
        </w:rPr>
        <w:t xml:space="preserve">Decision making regarding allocation must involve explicit evaluation of the risk and benefits to the potential recipient as well as the need to ensure the appropriate use of scarce health resources.  </w:t>
      </w:r>
    </w:p>
    <w:p w14:paraId="4E1813B5" w14:textId="77777777" w:rsidR="00391D3A" w:rsidRPr="00447661" w:rsidRDefault="00391D3A" w:rsidP="00481A6A">
      <w:pPr>
        <w:widowControl/>
        <w:numPr>
          <w:ilvl w:val="0"/>
          <w:numId w:val="22"/>
        </w:numPr>
        <w:autoSpaceDE/>
        <w:autoSpaceDN/>
        <w:adjustRightInd/>
        <w:spacing w:after="120"/>
        <w:ind w:left="425" w:hanging="357"/>
        <w:rPr>
          <w:rFonts w:asciiTheme="minorHAnsi" w:hAnsiTheme="minorHAnsi" w:cstheme="minorHAnsi"/>
          <w:sz w:val="24"/>
          <w:szCs w:val="22"/>
          <w:lang w:val="en-GB"/>
        </w:rPr>
      </w:pPr>
      <w:r w:rsidRPr="00447661">
        <w:rPr>
          <w:rFonts w:asciiTheme="minorHAnsi" w:hAnsiTheme="minorHAnsi" w:cstheme="minorHAnsi"/>
          <w:sz w:val="24"/>
          <w:szCs w:val="22"/>
          <w:lang w:val="en-GB"/>
        </w:rPr>
        <w:t xml:space="preserve">There must be no unlawful or unreasonable discrimination against potential recipients on the basis of: </w:t>
      </w:r>
    </w:p>
    <w:p w14:paraId="0CB8D7AE" w14:textId="77777777" w:rsidR="00391D3A" w:rsidRPr="00447661" w:rsidRDefault="00391D3A" w:rsidP="00481A6A">
      <w:pPr>
        <w:widowControl/>
        <w:numPr>
          <w:ilvl w:val="1"/>
          <w:numId w:val="22"/>
        </w:numPr>
        <w:autoSpaceDE/>
        <w:autoSpaceDN/>
        <w:adjustRightInd/>
        <w:spacing w:after="120"/>
        <w:ind w:left="851"/>
        <w:contextualSpacing/>
        <w:rPr>
          <w:rFonts w:asciiTheme="minorHAnsi" w:hAnsiTheme="minorHAnsi" w:cstheme="minorHAnsi"/>
          <w:sz w:val="24"/>
          <w:szCs w:val="22"/>
          <w:lang w:val="en-GB"/>
        </w:rPr>
      </w:pPr>
      <w:r w:rsidRPr="00447661">
        <w:rPr>
          <w:rFonts w:asciiTheme="minorHAnsi" w:hAnsiTheme="minorHAnsi" w:cstheme="minorHAnsi"/>
          <w:sz w:val="24"/>
          <w:szCs w:val="22"/>
          <w:lang w:val="en-GB"/>
        </w:rPr>
        <w:t xml:space="preserve">Race, religious belief, gender, marital status, sexual orientation, social or other status, disability or age </w:t>
      </w:r>
    </w:p>
    <w:p w14:paraId="2A36E848" w14:textId="77777777" w:rsidR="00391D3A" w:rsidRPr="00447661" w:rsidRDefault="00391D3A" w:rsidP="00481A6A">
      <w:pPr>
        <w:widowControl/>
        <w:numPr>
          <w:ilvl w:val="1"/>
          <w:numId w:val="22"/>
        </w:numPr>
        <w:autoSpaceDE/>
        <w:autoSpaceDN/>
        <w:adjustRightInd/>
        <w:spacing w:after="120"/>
        <w:ind w:left="851"/>
        <w:contextualSpacing/>
        <w:rPr>
          <w:rFonts w:asciiTheme="minorHAnsi" w:hAnsiTheme="minorHAnsi" w:cstheme="minorHAnsi"/>
          <w:sz w:val="24"/>
          <w:szCs w:val="22"/>
          <w:lang w:val="en-GB"/>
        </w:rPr>
      </w:pPr>
      <w:r w:rsidRPr="00447661">
        <w:rPr>
          <w:rFonts w:asciiTheme="minorHAnsi" w:hAnsiTheme="minorHAnsi" w:cstheme="minorHAnsi"/>
          <w:sz w:val="24"/>
          <w:szCs w:val="22"/>
          <w:lang w:val="en-GB"/>
        </w:rPr>
        <w:t xml:space="preserve">The need for a transplant arising from the medical consequences of past lifestyle </w:t>
      </w:r>
    </w:p>
    <w:p w14:paraId="1779E33B" w14:textId="77777777" w:rsidR="00391D3A" w:rsidRPr="00447661" w:rsidRDefault="00391D3A" w:rsidP="00481A6A">
      <w:pPr>
        <w:widowControl/>
        <w:numPr>
          <w:ilvl w:val="1"/>
          <w:numId w:val="22"/>
        </w:numPr>
        <w:autoSpaceDE/>
        <w:autoSpaceDN/>
        <w:adjustRightInd/>
        <w:spacing w:after="120"/>
        <w:ind w:left="851"/>
        <w:contextualSpacing/>
        <w:rPr>
          <w:rFonts w:asciiTheme="minorHAnsi" w:hAnsiTheme="minorHAnsi" w:cstheme="minorHAnsi"/>
          <w:sz w:val="24"/>
          <w:szCs w:val="22"/>
          <w:lang w:val="en-GB"/>
        </w:rPr>
      </w:pPr>
      <w:r w:rsidRPr="00447661">
        <w:rPr>
          <w:rFonts w:asciiTheme="minorHAnsi" w:hAnsiTheme="minorHAnsi" w:cstheme="minorHAnsi"/>
          <w:sz w:val="24"/>
          <w:szCs w:val="22"/>
          <w:lang w:val="en-GB"/>
        </w:rPr>
        <w:t xml:space="preserve">Capacity to pay for treatment </w:t>
      </w:r>
    </w:p>
    <w:p w14:paraId="3A0F1671" w14:textId="77777777" w:rsidR="00391D3A" w:rsidRPr="00447661" w:rsidRDefault="00391D3A" w:rsidP="00481A6A">
      <w:pPr>
        <w:widowControl/>
        <w:numPr>
          <w:ilvl w:val="1"/>
          <w:numId w:val="22"/>
        </w:numPr>
        <w:autoSpaceDE/>
        <w:autoSpaceDN/>
        <w:adjustRightInd/>
        <w:spacing w:after="120"/>
        <w:ind w:left="851"/>
        <w:contextualSpacing/>
        <w:rPr>
          <w:rFonts w:asciiTheme="minorHAnsi" w:hAnsiTheme="minorHAnsi" w:cstheme="minorHAnsi"/>
          <w:sz w:val="24"/>
          <w:szCs w:val="22"/>
          <w:lang w:val="en-GB"/>
        </w:rPr>
      </w:pPr>
      <w:r w:rsidRPr="00447661">
        <w:rPr>
          <w:rFonts w:asciiTheme="minorHAnsi" w:hAnsiTheme="minorHAnsi" w:cstheme="minorHAnsi"/>
          <w:sz w:val="24"/>
          <w:szCs w:val="22"/>
          <w:lang w:val="en-GB"/>
        </w:rPr>
        <w:t xml:space="preserve">Location of residence (e.g. remote, rural, regional or metropolitan) </w:t>
      </w:r>
    </w:p>
    <w:p w14:paraId="6FDCB5E1" w14:textId="77777777" w:rsidR="00391D3A" w:rsidRPr="00447661" w:rsidRDefault="00391D3A" w:rsidP="00481A6A">
      <w:pPr>
        <w:widowControl/>
        <w:numPr>
          <w:ilvl w:val="1"/>
          <w:numId w:val="22"/>
        </w:numPr>
        <w:autoSpaceDE/>
        <w:autoSpaceDN/>
        <w:adjustRightInd/>
        <w:spacing w:after="120"/>
        <w:ind w:left="851"/>
        <w:contextualSpacing/>
        <w:rPr>
          <w:rFonts w:asciiTheme="minorHAnsi" w:hAnsiTheme="minorHAnsi" w:cstheme="minorHAnsi"/>
          <w:sz w:val="24"/>
          <w:szCs w:val="22"/>
          <w:lang w:val="en-GB"/>
        </w:rPr>
      </w:pPr>
      <w:r w:rsidRPr="00447661">
        <w:rPr>
          <w:rFonts w:asciiTheme="minorHAnsi" w:hAnsiTheme="minorHAnsi" w:cstheme="minorHAnsi"/>
          <w:sz w:val="24"/>
          <w:szCs w:val="22"/>
          <w:lang w:val="en-GB"/>
        </w:rPr>
        <w:t xml:space="preserve">Previous refusal of an offer of an organ for transplantation </w:t>
      </w:r>
    </w:p>
    <w:p w14:paraId="013A67DC" w14:textId="77777777" w:rsidR="00391D3A" w:rsidRPr="00447661" w:rsidRDefault="00391D3A" w:rsidP="00481A6A">
      <w:pPr>
        <w:widowControl/>
        <w:numPr>
          <w:ilvl w:val="1"/>
          <w:numId w:val="22"/>
        </w:numPr>
        <w:autoSpaceDE/>
        <w:autoSpaceDN/>
        <w:adjustRightInd/>
        <w:spacing w:after="120"/>
        <w:ind w:left="850" w:hanging="357"/>
        <w:rPr>
          <w:rFonts w:asciiTheme="minorHAnsi" w:hAnsiTheme="minorHAnsi" w:cstheme="minorHAnsi"/>
          <w:sz w:val="24"/>
          <w:szCs w:val="22"/>
          <w:lang w:val="en-GB"/>
        </w:rPr>
      </w:pPr>
      <w:r w:rsidRPr="00447661">
        <w:rPr>
          <w:rFonts w:asciiTheme="minorHAnsi" w:hAnsiTheme="minorHAnsi" w:cstheme="minorHAnsi"/>
          <w:sz w:val="24"/>
          <w:szCs w:val="22"/>
          <w:lang w:val="en-GB"/>
        </w:rPr>
        <w:t xml:space="preserve">Refusal to participate in research.  </w:t>
      </w:r>
    </w:p>
    <w:p w14:paraId="38AF24C9" w14:textId="77777777" w:rsidR="00391D3A" w:rsidRPr="00447661" w:rsidRDefault="00391D3A" w:rsidP="00481A6A">
      <w:pPr>
        <w:widowControl/>
        <w:numPr>
          <w:ilvl w:val="0"/>
          <w:numId w:val="22"/>
        </w:numPr>
        <w:autoSpaceDE/>
        <w:autoSpaceDN/>
        <w:adjustRightInd/>
        <w:spacing w:after="120"/>
        <w:ind w:left="425" w:hanging="357"/>
        <w:rPr>
          <w:rFonts w:asciiTheme="minorHAnsi" w:hAnsiTheme="minorHAnsi" w:cstheme="minorHAnsi"/>
          <w:sz w:val="24"/>
          <w:szCs w:val="22"/>
          <w:lang w:val="en-GB"/>
        </w:rPr>
      </w:pPr>
      <w:r w:rsidRPr="00447661">
        <w:rPr>
          <w:rFonts w:asciiTheme="minorHAnsi" w:hAnsiTheme="minorHAnsi" w:cstheme="minorHAnsi"/>
          <w:sz w:val="24"/>
          <w:szCs w:val="22"/>
          <w:lang w:val="en-GB"/>
        </w:rPr>
        <w:t xml:space="preserve">Decisions regarding eligibility and allocation will take into account the following ethically relevant factors: </w:t>
      </w:r>
    </w:p>
    <w:p w14:paraId="3222FFE6" w14:textId="77777777" w:rsidR="00391D3A" w:rsidRPr="00447661" w:rsidRDefault="00391D3A" w:rsidP="00481A6A">
      <w:pPr>
        <w:widowControl/>
        <w:numPr>
          <w:ilvl w:val="1"/>
          <w:numId w:val="22"/>
        </w:numPr>
        <w:autoSpaceDE/>
        <w:autoSpaceDN/>
        <w:adjustRightInd/>
        <w:spacing w:after="120"/>
        <w:ind w:left="851"/>
        <w:contextualSpacing/>
        <w:rPr>
          <w:rFonts w:asciiTheme="minorHAnsi" w:hAnsiTheme="minorHAnsi" w:cstheme="minorHAnsi"/>
          <w:sz w:val="24"/>
          <w:szCs w:val="22"/>
          <w:lang w:val="en-GB"/>
        </w:rPr>
      </w:pPr>
      <w:r w:rsidRPr="00447661">
        <w:rPr>
          <w:rFonts w:asciiTheme="minorHAnsi" w:hAnsiTheme="minorHAnsi" w:cstheme="minorHAnsi"/>
          <w:sz w:val="24"/>
          <w:szCs w:val="22"/>
          <w:lang w:val="en-GB"/>
        </w:rPr>
        <w:t xml:space="preserve">Relative urgency of need </w:t>
      </w:r>
    </w:p>
    <w:p w14:paraId="03BFE76F" w14:textId="77777777" w:rsidR="00391D3A" w:rsidRPr="00447661" w:rsidRDefault="00391D3A" w:rsidP="00481A6A">
      <w:pPr>
        <w:widowControl/>
        <w:numPr>
          <w:ilvl w:val="1"/>
          <w:numId w:val="22"/>
        </w:numPr>
        <w:autoSpaceDE/>
        <w:autoSpaceDN/>
        <w:adjustRightInd/>
        <w:spacing w:after="120"/>
        <w:ind w:left="851"/>
        <w:contextualSpacing/>
        <w:rPr>
          <w:rFonts w:asciiTheme="minorHAnsi" w:hAnsiTheme="minorHAnsi" w:cstheme="minorHAnsi"/>
          <w:sz w:val="24"/>
          <w:szCs w:val="22"/>
          <w:lang w:val="en-GB"/>
        </w:rPr>
      </w:pPr>
      <w:r w:rsidRPr="00447661">
        <w:rPr>
          <w:rFonts w:asciiTheme="minorHAnsi" w:hAnsiTheme="minorHAnsi" w:cstheme="minorHAnsi"/>
          <w:sz w:val="24"/>
          <w:szCs w:val="22"/>
          <w:lang w:val="en-GB"/>
        </w:rPr>
        <w:t xml:space="preserve">Medical factors which affect likelihood of success (e.g. comorbidities, tissue matching) </w:t>
      </w:r>
    </w:p>
    <w:p w14:paraId="741E4EBC" w14:textId="77777777" w:rsidR="00391D3A" w:rsidRPr="00447661" w:rsidRDefault="00391D3A" w:rsidP="00481A6A">
      <w:pPr>
        <w:widowControl/>
        <w:numPr>
          <w:ilvl w:val="1"/>
          <w:numId w:val="22"/>
        </w:numPr>
        <w:autoSpaceDE/>
        <w:autoSpaceDN/>
        <w:adjustRightInd/>
        <w:spacing w:after="120"/>
        <w:ind w:left="851"/>
        <w:contextualSpacing/>
        <w:rPr>
          <w:rFonts w:asciiTheme="minorHAnsi" w:hAnsiTheme="minorHAnsi" w:cstheme="minorHAnsi"/>
          <w:sz w:val="24"/>
          <w:szCs w:val="22"/>
          <w:lang w:val="en-GB"/>
        </w:rPr>
      </w:pPr>
      <w:r w:rsidRPr="00447661">
        <w:rPr>
          <w:rFonts w:asciiTheme="minorHAnsi" w:hAnsiTheme="minorHAnsi" w:cstheme="minorHAnsi"/>
          <w:sz w:val="24"/>
          <w:szCs w:val="22"/>
          <w:lang w:val="en-GB"/>
        </w:rPr>
        <w:t xml:space="preserve">Relative severity of illness and disability </w:t>
      </w:r>
    </w:p>
    <w:p w14:paraId="49BF7217" w14:textId="77777777" w:rsidR="00391D3A" w:rsidRPr="00447661" w:rsidRDefault="00391D3A" w:rsidP="00481A6A">
      <w:pPr>
        <w:widowControl/>
        <w:numPr>
          <w:ilvl w:val="1"/>
          <w:numId w:val="22"/>
        </w:numPr>
        <w:autoSpaceDE/>
        <w:autoSpaceDN/>
        <w:adjustRightInd/>
        <w:spacing w:after="120"/>
        <w:ind w:left="851"/>
        <w:contextualSpacing/>
        <w:rPr>
          <w:rFonts w:asciiTheme="minorHAnsi" w:hAnsiTheme="minorHAnsi" w:cstheme="minorHAnsi"/>
          <w:sz w:val="24"/>
          <w:szCs w:val="22"/>
          <w:lang w:val="en-GB"/>
        </w:rPr>
      </w:pPr>
      <w:r w:rsidRPr="00447661">
        <w:rPr>
          <w:rFonts w:asciiTheme="minorHAnsi" w:hAnsiTheme="minorHAnsi" w:cstheme="minorHAnsi"/>
          <w:sz w:val="24"/>
          <w:szCs w:val="22"/>
          <w:lang w:val="en-GB"/>
        </w:rPr>
        <w:t xml:space="preserve">Relative length of time on the waiting list </w:t>
      </w:r>
    </w:p>
    <w:p w14:paraId="5088B67E" w14:textId="77777777" w:rsidR="00391D3A" w:rsidRDefault="00391D3A" w:rsidP="00481A6A">
      <w:pPr>
        <w:widowControl/>
        <w:numPr>
          <w:ilvl w:val="1"/>
          <w:numId w:val="22"/>
        </w:numPr>
        <w:autoSpaceDE/>
        <w:autoSpaceDN/>
        <w:adjustRightInd/>
        <w:spacing w:after="120"/>
        <w:ind w:left="851"/>
        <w:contextualSpacing/>
        <w:rPr>
          <w:rFonts w:asciiTheme="minorHAnsi" w:hAnsiTheme="minorHAnsi" w:cstheme="minorHAnsi"/>
          <w:sz w:val="24"/>
          <w:szCs w:val="22"/>
          <w:lang w:val="en-GB"/>
        </w:rPr>
      </w:pPr>
      <w:r w:rsidRPr="00447661">
        <w:rPr>
          <w:rFonts w:asciiTheme="minorHAnsi" w:hAnsiTheme="minorHAnsi" w:cstheme="minorHAnsi"/>
          <w:sz w:val="24"/>
          <w:szCs w:val="22"/>
          <w:lang w:val="en-GB"/>
        </w:rPr>
        <w:t>Likelihood that the recipient will be able to comply with the necessary ongoing treatment after transplantation.</w:t>
      </w:r>
      <w:r w:rsidR="00D107C0" w:rsidRPr="00447661">
        <w:rPr>
          <w:rStyle w:val="FootnoteReference"/>
          <w:rFonts w:asciiTheme="minorHAnsi" w:eastAsiaTheme="minorHAnsi" w:hAnsiTheme="minorHAnsi" w:cstheme="minorHAnsi"/>
          <w:sz w:val="20"/>
          <w:szCs w:val="16"/>
          <w:lang w:val="en-US"/>
        </w:rPr>
        <w:footnoteReference w:id="39"/>
      </w:r>
    </w:p>
    <w:p w14:paraId="22162BB2" w14:textId="77777777" w:rsidR="004253A0" w:rsidRPr="00266A77" w:rsidRDefault="004253A0" w:rsidP="004253A0">
      <w:pPr>
        <w:pStyle w:val="Heading3"/>
        <w:tabs>
          <w:tab w:val="clear" w:pos="1843"/>
          <w:tab w:val="num" w:pos="1559"/>
        </w:tabs>
        <w:ind w:left="992" w:hanging="992"/>
        <w:rPr>
          <w:rFonts w:asciiTheme="minorHAnsi" w:hAnsiTheme="minorHAnsi" w:cstheme="minorHAnsi"/>
          <w:color w:val="7F7F7F" w:themeColor="text1" w:themeTint="80"/>
          <w:sz w:val="30"/>
          <w:szCs w:val="30"/>
        </w:rPr>
      </w:pPr>
      <w:r w:rsidRPr="00266A77">
        <w:rPr>
          <w:rFonts w:asciiTheme="minorHAnsi" w:hAnsiTheme="minorHAnsi" w:cstheme="minorHAnsi"/>
          <w:b w:val="0"/>
          <w:color w:val="7F7F7F" w:themeColor="text1" w:themeTint="80"/>
          <w:sz w:val="30"/>
          <w:szCs w:val="30"/>
        </w:rPr>
        <w:t>R</w:t>
      </w:r>
      <w:r>
        <w:rPr>
          <w:rFonts w:asciiTheme="minorHAnsi" w:hAnsiTheme="minorHAnsi" w:cstheme="minorHAnsi"/>
          <w:b w:val="0"/>
          <w:color w:val="7F7F7F" w:themeColor="text1" w:themeTint="80"/>
          <w:sz w:val="30"/>
          <w:szCs w:val="30"/>
        </w:rPr>
        <w:t>eferral for</w:t>
      </w:r>
      <w:r w:rsidR="00EA60C4">
        <w:rPr>
          <w:rFonts w:asciiTheme="minorHAnsi" w:hAnsiTheme="minorHAnsi" w:cstheme="minorHAnsi"/>
          <w:b w:val="0"/>
          <w:color w:val="7F7F7F" w:themeColor="text1" w:themeTint="80"/>
          <w:sz w:val="30"/>
          <w:szCs w:val="30"/>
        </w:rPr>
        <w:t xml:space="preserve"> a</w:t>
      </w:r>
      <w:r>
        <w:rPr>
          <w:rFonts w:asciiTheme="minorHAnsi" w:hAnsiTheme="minorHAnsi" w:cstheme="minorHAnsi"/>
          <w:b w:val="0"/>
          <w:color w:val="7F7F7F" w:themeColor="text1" w:themeTint="80"/>
          <w:sz w:val="30"/>
          <w:szCs w:val="30"/>
        </w:rPr>
        <w:t xml:space="preserve"> transplant assessment</w:t>
      </w:r>
    </w:p>
    <w:p w14:paraId="47971B63" w14:textId="77777777" w:rsidR="00325EE3" w:rsidRDefault="008D58D5" w:rsidP="00F17564">
      <w:pPr>
        <w:spacing w:after="120"/>
        <w:rPr>
          <w:rFonts w:asciiTheme="minorHAnsi" w:hAnsiTheme="minorHAnsi" w:cstheme="minorHAnsi"/>
          <w:sz w:val="24"/>
          <w:szCs w:val="22"/>
          <w:lang w:val="en-GB"/>
        </w:rPr>
      </w:pPr>
      <w:r>
        <w:rPr>
          <w:rFonts w:asciiTheme="minorHAnsi" w:hAnsiTheme="minorHAnsi" w:cstheme="minorHAnsi"/>
          <w:sz w:val="24"/>
          <w:szCs w:val="22"/>
          <w:lang w:val="en-GB"/>
        </w:rPr>
        <w:t>T</w:t>
      </w:r>
      <w:r w:rsidR="004253A0" w:rsidRPr="000062AB">
        <w:rPr>
          <w:rFonts w:asciiTheme="minorHAnsi" w:hAnsiTheme="minorHAnsi" w:cstheme="minorHAnsi"/>
          <w:sz w:val="24"/>
          <w:szCs w:val="22"/>
          <w:lang w:val="en-GB"/>
        </w:rPr>
        <w:t xml:space="preserve">o </w:t>
      </w:r>
      <w:r w:rsidR="001A2419">
        <w:rPr>
          <w:rFonts w:asciiTheme="minorHAnsi" w:hAnsiTheme="minorHAnsi" w:cstheme="minorHAnsi"/>
          <w:sz w:val="24"/>
          <w:szCs w:val="22"/>
          <w:lang w:val="en-GB"/>
        </w:rPr>
        <w:t>undertake an assessment to be</w:t>
      </w:r>
      <w:r w:rsidR="004253A0" w:rsidRPr="000062AB">
        <w:rPr>
          <w:rFonts w:asciiTheme="minorHAnsi" w:hAnsiTheme="minorHAnsi" w:cstheme="minorHAnsi"/>
          <w:sz w:val="24"/>
          <w:szCs w:val="22"/>
          <w:lang w:val="en-GB"/>
        </w:rPr>
        <w:t xml:space="preserve"> wait</w:t>
      </w:r>
      <w:r w:rsidR="00CA288D">
        <w:rPr>
          <w:rFonts w:asciiTheme="minorHAnsi" w:hAnsiTheme="minorHAnsi" w:cstheme="minorHAnsi"/>
          <w:sz w:val="24"/>
          <w:szCs w:val="22"/>
          <w:lang w:val="en-GB"/>
        </w:rPr>
        <w:t xml:space="preserve"> </w:t>
      </w:r>
      <w:r w:rsidR="004253A0" w:rsidRPr="000062AB">
        <w:rPr>
          <w:rFonts w:asciiTheme="minorHAnsi" w:hAnsiTheme="minorHAnsi" w:cstheme="minorHAnsi"/>
          <w:sz w:val="24"/>
          <w:szCs w:val="22"/>
          <w:lang w:val="en-GB"/>
        </w:rPr>
        <w:t>listed for organ transplantation</w:t>
      </w:r>
      <w:r w:rsidR="004253A0">
        <w:rPr>
          <w:rFonts w:asciiTheme="minorHAnsi" w:hAnsiTheme="minorHAnsi" w:cstheme="minorHAnsi"/>
          <w:sz w:val="24"/>
          <w:szCs w:val="22"/>
          <w:lang w:val="en-GB"/>
        </w:rPr>
        <w:t xml:space="preserve"> in Australia</w:t>
      </w:r>
      <w:r w:rsidR="004253A0" w:rsidRPr="000062AB">
        <w:rPr>
          <w:rFonts w:asciiTheme="minorHAnsi" w:hAnsiTheme="minorHAnsi" w:cstheme="minorHAnsi"/>
          <w:sz w:val="24"/>
          <w:szCs w:val="22"/>
          <w:lang w:val="en-GB"/>
        </w:rPr>
        <w:t>, patients must be referred by their treating clinical or specialist physician to a transplant physician.</w:t>
      </w:r>
      <w:r w:rsidR="004253A0">
        <w:rPr>
          <w:rFonts w:asciiTheme="minorHAnsi" w:hAnsiTheme="minorHAnsi" w:cstheme="minorHAnsi"/>
          <w:sz w:val="24"/>
          <w:szCs w:val="22"/>
          <w:lang w:val="en-GB"/>
        </w:rPr>
        <w:t xml:space="preserve"> </w:t>
      </w:r>
      <w:r w:rsidR="00191936">
        <w:rPr>
          <w:rFonts w:asciiTheme="minorHAnsi" w:hAnsiTheme="minorHAnsi" w:cstheme="minorHAnsi"/>
          <w:sz w:val="24"/>
          <w:szCs w:val="22"/>
          <w:lang w:val="en-GB"/>
        </w:rPr>
        <w:t>If the treating physician determines that transplant</w:t>
      </w:r>
      <w:r w:rsidR="00AE3019">
        <w:rPr>
          <w:rFonts w:asciiTheme="minorHAnsi" w:hAnsiTheme="minorHAnsi" w:cstheme="minorHAnsi"/>
          <w:sz w:val="24"/>
          <w:szCs w:val="22"/>
          <w:lang w:val="en-GB"/>
        </w:rPr>
        <w:t>ation</w:t>
      </w:r>
      <w:r w:rsidR="00191936">
        <w:rPr>
          <w:rFonts w:asciiTheme="minorHAnsi" w:hAnsiTheme="minorHAnsi" w:cstheme="minorHAnsi"/>
          <w:sz w:val="24"/>
          <w:szCs w:val="22"/>
          <w:lang w:val="en-GB"/>
        </w:rPr>
        <w:t xml:space="preserve"> may be an appropriate course of treatment based on the patient’s condition, they may consider referral for transplantation. At this time, discussions are undertaken with the patient to determine their wishes for future treatment for their condition and to explain the benefits and risks of transplantation. If the patient agrees to undergo assessment, the referral will proceed to the appropriate </w:t>
      </w:r>
      <w:r w:rsidR="00F46C80">
        <w:rPr>
          <w:rFonts w:asciiTheme="minorHAnsi" w:hAnsiTheme="minorHAnsi" w:cstheme="minorHAnsi"/>
          <w:sz w:val="24"/>
          <w:szCs w:val="22"/>
          <w:lang w:val="en-GB"/>
        </w:rPr>
        <w:t>transplantation unit</w:t>
      </w:r>
      <w:r w:rsidR="00191936">
        <w:rPr>
          <w:rFonts w:asciiTheme="minorHAnsi" w:hAnsiTheme="minorHAnsi" w:cstheme="minorHAnsi"/>
          <w:sz w:val="24"/>
          <w:szCs w:val="22"/>
          <w:lang w:val="en-GB"/>
        </w:rPr>
        <w:t>.</w:t>
      </w:r>
      <w:r w:rsidR="00A95552">
        <w:rPr>
          <w:rFonts w:asciiTheme="minorHAnsi" w:hAnsiTheme="minorHAnsi" w:cstheme="minorHAnsi"/>
          <w:sz w:val="24"/>
          <w:szCs w:val="22"/>
          <w:lang w:val="en-GB"/>
        </w:rPr>
        <w:t xml:space="preserve"> </w:t>
      </w:r>
    </w:p>
    <w:p w14:paraId="530B7BB7" w14:textId="77777777" w:rsidR="00D41EA2" w:rsidRDefault="004253A0" w:rsidP="00F17564">
      <w:pPr>
        <w:spacing w:after="120"/>
        <w:rPr>
          <w:rFonts w:asciiTheme="minorHAnsi" w:hAnsiTheme="minorHAnsi" w:cstheme="minorHAnsi"/>
          <w:sz w:val="24"/>
          <w:szCs w:val="22"/>
          <w:lang w:val="en-GB"/>
        </w:rPr>
      </w:pPr>
      <w:r>
        <w:rPr>
          <w:rFonts w:asciiTheme="minorHAnsi" w:hAnsiTheme="minorHAnsi" w:cstheme="minorHAnsi"/>
          <w:sz w:val="24"/>
          <w:szCs w:val="22"/>
          <w:lang w:val="en-GB"/>
        </w:rPr>
        <w:t>T</w:t>
      </w:r>
      <w:r w:rsidRPr="00D107C0">
        <w:rPr>
          <w:rFonts w:asciiTheme="minorHAnsi" w:hAnsiTheme="minorHAnsi" w:cstheme="minorHAnsi"/>
          <w:sz w:val="24"/>
          <w:szCs w:val="22"/>
          <w:lang w:val="en-GB"/>
        </w:rPr>
        <w:t>imely referral for assessment is</w:t>
      </w:r>
      <w:r w:rsidR="001A2419">
        <w:rPr>
          <w:rFonts w:asciiTheme="minorHAnsi" w:hAnsiTheme="minorHAnsi" w:cstheme="minorHAnsi"/>
          <w:sz w:val="24"/>
          <w:szCs w:val="22"/>
          <w:lang w:val="en-GB"/>
        </w:rPr>
        <w:t xml:space="preserve"> an</w:t>
      </w:r>
      <w:r w:rsidRPr="00D107C0">
        <w:rPr>
          <w:rFonts w:asciiTheme="minorHAnsi" w:hAnsiTheme="minorHAnsi" w:cstheme="minorHAnsi"/>
          <w:sz w:val="24"/>
          <w:szCs w:val="22"/>
          <w:lang w:val="en-GB"/>
        </w:rPr>
        <w:t xml:space="preserve"> important</w:t>
      </w:r>
      <w:r w:rsidR="001A2419">
        <w:rPr>
          <w:rFonts w:asciiTheme="minorHAnsi" w:hAnsiTheme="minorHAnsi" w:cstheme="minorHAnsi"/>
          <w:sz w:val="24"/>
          <w:szCs w:val="22"/>
          <w:lang w:val="en-GB"/>
        </w:rPr>
        <w:t xml:space="preserve"> part of this process</w:t>
      </w:r>
      <w:r w:rsidRPr="00D107C0">
        <w:rPr>
          <w:rFonts w:asciiTheme="minorHAnsi" w:hAnsiTheme="minorHAnsi" w:cstheme="minorHAnsi"/>
          <w:sz w:val="24"/>
          <w:szCs w:val="22"/>
          <w:lang w:val="en-GB"/>
        </w:rPr>
        <w:t xml:space="preserve"> </w:t>
      </w:r>
      <w:r w:rsidR="008D58D5">
        <w:rPr>
          <w:rFonts w:asciiTheme="minorHAnsi" w:hAnsiTheme="minorHAnsi" w:cstheme="minorHAnsi"/>
          <w:sz w:val="24"/>
          <w:szCs w:val="22"/>
          <w:lang w:val="en-GB"/>
        </w:rPr>
        <w:t xml:space="preserve">as </w:t>
      </w:r>
      <w:r w:rsidR="0077100E">
        <w:rPr>
          <w:rFonts w:asciiTheme="minorHAnsi" w:hAnsiTheme="minorHAnsi" w:cstheme="minorHAnsi"/>
          <w:sz w:val="24"/>
          <w:szCs w:val="22"/>
          <w:lang w:val="en-GB"/>
        </w:rPr>
        <w:t xml:space="preserve">evidence demonstrates that late referral leads to poorer patient outcomes (mortality and increased duration of </w:t>
      </w:r>
      <w:r w:rsidR="0077100E">
        <w:rPr>
          <w:rFonts w:asciiTheme="minorHAnsi" w:hAnsiTheme="minorHAnsi" w:cstheme="minorHAnsi"/>
          <w:sz w:val="24"/>
          <w:szCs w:val="22"/>
          <w:lang w:val="en-GB"/>
        </w:rPr>
        <w:lastRenderedPageBreak/>
        <w:t>hospitalisation).</w:t>
      </w:r>
      <w:r w:rsidR="0077100E" w:rsidRPr="00447661">
        <w:rPr>
          <w:rStyle w:val="FootnoteReference"/>
          <w:rFonts w:asciiTheme="minorHAnsi" w:hAnsiTheme="minorHAnsi" w:cstheme="minorHAnsi"/>
          <w:lang w:val="en-GB"/>
        </w:rPr>
        <w:footnoteReference w:id="40"/>
      </w:r>
      <w:r w:rsidR="0077100E">
        <w:rPr>
          <w:rFonts w:asciiTheme="minorHAnsi" w:hAnsiTheme="minorHAnsi" w:cstheme="minorHAnsi"/>
          <w:sz w:val="24"/>
          <w:szCs w:val="22"/>
          <w:lang w:val="en-GB"/>
        </w:rPr>
        <w:t xml:space="preserve"> Early referral </w:t>
      </w:r>
      <w:r w:rsidRPr="00D107C0">
        <w:rPr>
          <w:rFonts w:asciiTheme="minorHAnsi" w:hAnsiTheme="minorHAnsi" w:cstheme="minorHAnsi"/>
          <w:sz w:val="24"/>
          <w:szCs w:val="22"/>
          <w:lang w:val="en-GB"/>
        </w:rPr>
        <w:t>enable</w:t>
      </w:r>
      <w:r w:rsidR="008D58D5">
        <w:rPr>
          <w:rFonts w:asciiTheme="minorHAnsi" w:hAnsiTheme="minorHAnsi" w:cstheme="minorHAnsi"/>
          <w:sz w:val="24"/>
          <w:szCs w:val="22"/>
          <w:lang w:val="en-GB"/>
        </w:rPr>
        <w:t>s</w:t>
      </w:r>
      <w:r w:rsidRPr="00D107C0">
        <w:rPr>
          <w:rFonts w:asciiTheme="minorHAnsi" w:hAnsiTheme="minorHAnsi" w:cstheme="minorHAnsi"/>
          <w:sz w:val="24"/>
          <w:szCs w:val="22"/>
          <w:lang w:val="en-GB"/>
        </w:rPr>
        <w:t xml:space="preserve"> patients to be assessed</w:t>
      </w:r>
      <w:r w:rsidR="001A2419">
        <w:rPr>
          <w:rFonts w:asciiTheme="minorHAnsi" w:hAnsiTheme="minorHAnsi" w:cstheme="minorHAnsi"/>
          <w:sz w:val="24"/>
          <w:szCs w:val="22"/>
          <w:lang w:val="en-GB"/>
        </w:rPr>
        <w:t xml:space="preserve"> for suitability</w:t>
      </w:r>
      <w:r w:rsidRPr="00D107C0">
        <w:rPr>
          <w:rFonts w:asciiTheme="minorHAnsi" w:hAnsiTheme="minorHAnsi" w:cstheme="minorHAnsi"/>
          <w:sz w:val="24"/>
          <w:szCs w:val="22"/>
          <w:lang w:val="en-GB"/>
        </w:rPr>
        <w:t xml:space="preserve"> and </w:t>
      </w:r>
      <w:r w:rsidR="00CA288D">
        <w:rPr>
          <w:rFonts w:asciiTheme="minorHAnsi" w:hAnsiTheme="minorHAnsi" w:cstheme="minorHAnsi"/>
          <w:sz w:val="24"/>
          <w:szCs w:val="22"/>
          <w:lang w:val="en-GB"/>
        </w:rPr>
        <w:t>wait listed</w:t>
      </w:r>
      <w:r w:rsidRPr="00D107C0">
        <w:rPr>
          <w:rFonts w:asciiTheme="minorHAnsi" w:hAnsiTheme="minorHAnsi" w:cstheme="minorHAnsi"/>
          <w:sz w:val="24"/>
          <w:szCs w:val="22"/>
          <w:lang w:val="en-GB"/>
        </w:rPr>
        <w:t xml:space="preserve"> as earl</w:t>
      </w:r>
      <w:r w:rsidR="008D58D5">
        <w:rPr>
          <w:rFonts w:asciiTheme="minorHAnsi" w:hAnsiTheme="minorHAnsi" w:cstheme="minorHAnsi"/>
          <w:sz w:val="24"/>
          <w:szCs w:val="22"/>
          <w:lang w:val="en-GB"/>
        </w:rPr>
        <w:t>y</w:t>
      </w:r>
      <w:r w:rsidR="0077100E">
        <w:rPr>
          <w:rFonts w:asciiTheme="minorHAnsi" w:hAnsiTheme="minorHAnsi" w:cstheme="minorHAnsi"/>
          <w:sz w:val="24"/>
          <w:szCs w:val="22"/>
          <w:lang w:val="en-GB"/>
        </w:rPr>
        <w:t xml:space="preserve"> as is medically appropriate,</w:t>
      </w:r>
      <w:r w:rsidR="00191936">
        <w:rPr>
          <w:rFonts w:asciiTheme="minorHAnsi" w:hAnsiTheme="minorHAnsi" w:cstheme="minorHAnsi"/>
          <w:sz w:val="24"/>
          <w:szCs w:val="22"/>
          <w:lang w:val="en-GB"/>
        </w:rPr>
        <w:t xml:space="preserve"> </w:t>
      </w:r>
      <w:r w:rsidR="0077100E">
        <w:rPr>
          <w:rFonts w:asciiTheme="minorHAnsi" w:hAnsiTheme="minorHAnsi" w:cstheme="minorHAnsi"/>
          <w:sz w:val="24"/>
          <w:szCs w:val="22"/>
          <w:lang w:val="en-GB"/>
        </w:rPr>
        <w:t>optimising</w:t>
      </w:r>
      <w:r w:rsidRPr="00D107C0">
        <w:rPr>
          <w:rFonts w:asciiTheme="minorHAnsi" w:hAnsiTheme="minorHAnsi" w:cstheme="minorHAnsi"/>
          <w:sz w:val="24"/>
          <w:szCs w:val="22"/>
          <w:lang w:val="en-GB"/>
        </w:rPr>
        <w:t xml:space="preserve"> </w:t>
      </w:r>
      <w:r w:rsidR="00BE65D5">
        <w:rPr>
          <w:rFonts w:asciiTheme="minorHAnsi" w:hAnsiTheme="minorHAnsi" w:cstheme="minorHAnsi"/>
          <w:sz w:val="24"/>
          <w:szCs w:val="22"/>
          <w:lang w:val="en-GB"/>
        </w:rPr>
        <w:t xml:space="preserve">the potential for positive </w:t>
      </w:r>
      <w:r w:rsidR="000B07FB" w:rsidRPr="00545923">
        <w:rPr>
          <w:rFonts w:asciiTheme="minorHAnsi" w:hAnsiTheme="minorHAnsi" w:cstheme="minorHAnsi"/>
          <w:sz w:val="24"/>
          <w:szCs w:val="22"/>
          <w:lang w:val="en-GB"/>
        </w:rPr>
        <w:t>transplant</w:t>
      </w:r>
      <w:r w:rsidR="00142622" w:rsidRPr="00545923">
        <w:rPr>
          <w:rFonts w:asciiTheme="minorHAnsi" w:hAnsiTheme="minorHAnsi" w:cstheme="minorHAnsi"/>
          <w:sz w:val="24"/>
          <w:szCs w:val="22"/>
          <w:lang w:val="en-GB"/>
        </w:rPr>
        <w:t>ation</w:t>
      </w:r>
      <w:r w:rsidR="000B07FB">
        <w:rPr>
          <w:rFonts w:asciiTheme="minorHAnsi" w:hAnsiTheme="minorHAnsi" w:cstheme="minorHAnsi"/>
          <w:sz w:val="24"/>
          <w:szCs w:val="22"/>
          <w:lang w:val="en-GB"/>
        </w:rPr>
        <w:t xml:space="preserve"> outcome</w:t>
      </w:r>
      <w:r w:rsidRPr="00D107C0">
        <w:rPr>
          <w:rFonts w:asciiTheme="minorHAnsi" w:hAnsiTheme="minorHAnsi" w:cstheme="minorHAnsi"/>
          <w:sz w:val="24"/>
          <w:szCs w:val="22"/>
          <w:lang w:val="en-GB"/>
        </w:rPr>
        <w:t>s.</w:t>
      </w:r>
      <w:r w:rsidR="007F74C3">
        <w:rPr>
          <w:rStyle w:val="FootnoteReference"/>
          <w:rFonts w:cstheme="minorHAnsi"/>
          <w:lang w:val="en-GB"/>
        </w:rPr>
        <w:footnoteReference w:id="41"/>
      </w:r>
      <w:r w:rsidR="007F74C3">
        <w:rPr>
          <w:rFonts w:asciiTheme="minorHAnsi" w:hAnsiTheme="minorHAnsi" w:cstheme="minorHAnsi"/>
          <w:sz w:val="24"/>
          <w:szCs w:val="22"/>
          <w:lang w:val="en-GB"/>
        </w:rPr>
        <w:t xml:space="preserve"> </w:t>
      </w:r>
    </w:p>
    <w:p w14:paraId="47D560B0" w14:textId="77777777" w:rsidR="00D41EA2" w:rsidRPr="00D930F7" w:rsidRDefault="00D41EA2" w:rsidP="00AE3ED1">
      <w:pPr>
        <w:shd w:val="clear" w:color="auto" w:fill="DCEFF4"/>
        <w:spacing w:after="120"/>
        <w:rPr>
          <w:rFonts w:asciiTheme="minorHAnsi" w:hAnsiTheme="minorHAnsi" w:cstheme="minorHAnsi"/>
          <w:b/>
          <w:sz w:val="22"/>
          <w:szCs w:val="22"/>
          <w:lang w:val="en-GB"/>
        </w:rPr>
      </w:pPr>
      <w:r w:rsidRPr="00D930F7">
        <w:rPr>
          <w:rFonts w:asciiTheme="minorHAnsi" w:hAnsiTheme="minorHAnsi" w:cstheme="minorHAnsi"/>
          <w:b/>
          <w:sz w:val="22"/>
          <w:szCs w:val="22"/>
          <w:lang w:val="en-GB"/>
        </w:rPr>
        <w:t>The guidelines used in Australia for organ transplantation</w:t>
      </w:r>
    </w:p>
    <w:p w14:paraId="5FEB0E63" w14:textId="77777777" w:rsidR="00D41EA2" w:rsidRPr="00AE3ED1" w:rsidRDefault="00D41EA2" w:rsidP="00AE3ED1">
      <w:pPr>
        <w:shd w:val="clear" w:color="auto" w:fill="DCEFF4"/>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The Clinical Guidelines for Organ Transplantation from Deceased Donors aims to achieve an appropriate balance between the needs of patients with end-stage organ failure and the need to maximize the overall benefit to the community.  The ethical principles set out in the NHMRC’s Ethical Guidelines for Organ Transplantation from Deceased Donors underpin the Clinical Guidelines (see above).</w:t>
      </w:r>
    </w:p>
    <w:p w14:paraId="5793CC9F" w14:textId="77777777" w:rsidR="00D41EA2" w:rsidRPr="00AE3ED1" w:rsidRDefault="00D41EA2" w:rsidP="00AE3ED1">
      <w:pPr>
        <w:shd w:val="clear" w:color="auto" w:fill="DCEFF4"/>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The TSANZ is the primary body responsible for developing the eligibility criteria for organ transplantation, as well as protocols for the allocation of deceased organ donor organs to wait listed patients in Australia. As such, the Clinical Guidelines are produced by the TSANZ in collaboration with the OTA and DonateLife. The current version of the Clinical Guidelines were developed by the advisory committees of the TSANZ with written feedback sought through a targeted consultation process. The current version of the Clinical Guidelines were released in May 2017 and replace all previous sets of guidelines. </w:t>
      </w:r>
    </w:p>
    <w:p w14:paraId="466896E2" w14:textId="25AEE202" w:rsidR="000A1DCD" w:rsidRDefault="00D41EA2" w:rsidP="00AE3ED1">
      <w:pPr>
        <w:shd w:val="clear" w:color="auto" w:fill="DCEFF4"/>
        <w:spacing w:after="120"/>
        <w:rPr>
          <w:rFonts w:asciiTheme="minorHAnsi" w:hAnsiTheme="minorHAnsi" w:cstheme="minorHAnsi"/>
          <w:sz w:val="24"/>
          <w:szCs w:val="22"/>
          <w:lang w:val="en-GB"/>
        </w:rPr>
      </w:pPr>
      <w:r w:rsidRPr="00AE3ED1">
        <w:rPr>
          <w:rFonts w:asciiTheme="minorHAnsi" w:hAnsiTheme="minorHAnsi" w:cstheme="minorHAnsi"/>
          <w:sz w:val="22"/>
          <w:szCs w:val="22"/>
          <w:lang w:val="en-GB"/>
        </w:rPr>
        <w:t>Previous versions of the Clinical Guidelines (previously known as Organ Transplantation from Deceased Donors: Consensus Statement on Eligibility Criteria and Allocation Protocols) were released in June 2011 (version 1.1), May 2012 (version 1.2), January 2014 (version 1.3), and April 2015 (version 1.4).</w:t>
      </w:r>
    </w:p>
    <w:p w14:paraId="35712F93" w14:textId="77777777" w:rsidR="001A2419" w:rsidRPr="00F17564" w:rsidRDefault="001A2419" w:rsidP="00F17564">
      <w:pPr>
        <w:pStyle w:val="Heading3"/>
        <w:tabs>
          <w:tab w:val="clear" w:pos="1843"/>
          <w:tab w:val="num" w:pos="1559"/>
        </w:tabs>
        <w:ind w:left="992" w:hanging="992"/>
        <w:rPr>
          <w:rFonts w:asciiTheme="minorHAnsi" w:hAnsiTheme="minorHAnsi" w:cstheme="minorHAnsi"/>
          <w:color w:val="7F7F7F" w:themeColor="text1" w:themeTint="80"/>
          <w:sz w:val="30"/>
          <w:szCs w:val="30"/>
        </w:rPr>
      </w:pPr>
      <w:bookmarkStart w:id="116" w:name="_Ref527399645"/>
      <w:r w:rsidRPr="00F17564">
        <w:rPr>
          <w:rFonts w:asciiTheme="minorHAnsi" w:hAnsiTheme="minorHAnsi" w:cstheme="minorHAnsi"/>
          <w:b w:val="0"/>
          <w:color w:val="7F7F7F" w:themeColor="text1" w:themeTint="80"/>
          <w:sz w:val="30"/>
          <w:szCs w:val="30"/>
        </w:rPr>
        <w:t xml:space="preserve">Assessment for </w:t>
      </w:r>
      <w:r w:rsidR="007603B8">
        <w:rPr>
          <w:rFonts w:asciiTheme="minorHAnsi" w:hAnsiTheme="minorHAnsi" w:cstheme="minorHAnsi"/>
          <w:b w:val="0"/>
          <w:color w:val="7F7F7F" w:themeColor="text1" w:themeTint="80"/>
          <w:sz w:val="30"/>
          <w:szCs w:val="30"/>
        </w:rPr>
        <w:t>t</w:t>
      </w:r>
      <w:r w:rsidRPr="00F17564">
        <w:rPr>
          <w:rFonts w:asciiTheme="minorHAnsi" w:hAnsiTheme="minorHAnsi" w:cstheme="minorHAnsi"/>
          <w:b w:val="0"/>
          <w:color w:val="7F7F7F" w:themeColor="text1" w:themeTint="80"/>
          <w:sz w:val="30"/>
          <w:szCs w:val="30"/>
        </w:rPr>
        <w:t>ransplantation</w:t>
      </w:r>
      <w:bookmarkEnd w:id="116"/>
    </w:p>
    <w:p w14:paraId="523ADB37" w14:textId="77777777" w:rsidR="001A2419" w:rsidRPr="00F17564" w:rsidRDefault="001A2419" w:rsidP="00F17564">
      <w:pPr>
        <w:spacing w:after="120"/>
        <w:rPr>
          <w:rFonts w:asciiTheme="minorHAnsi" w:hAnsiTheme="minorHAnsi" w:cstheme="minorHAnsi"/>
          <w:sz w:val="24"/>
          <w:szCs w:val="22"/>
          <w:lang w:val="en-GB"/>
        </w:rPr>
      </w:pPr>
      <w:r w:rsidRPr="00F17564">
        <w:rPr>
          <w:rFonts w:asciiTheme="minorHAnsi" w:hAnsiTheme="minorHAnsi" w:cstheme="minorHAnsi"/>
          <w:sz w:val="24"/>
          <w:szCs w:val="22"/>
          <w:lang w:val="en-GB"/>
        </w:rPr>
        <w:t>Comprehensive, multidisciplinary assessment of people for transplantation is a com</w:t>
      </w:r>
      <w:r w:rsidRPr="00CC4EA6">
        <w:rPr>
          <w:rFonts w:asciiTheme="minorHAnsi" w:hAnsiTheme="minorHAnsi" w:cstheme="minorHAnsi"/>
          <w:sz w:val="24"/>
          <w:szCs w:val="22"/>
          <w:lang w:val="en-GB"/>
        </w:rPr>
        <w:t xml:space="preserve">plex and time consuming process, </w:t>
      </w:r>
      <w:r w:rsidRPr="00F17564">
        <w:rPr>
          <w:rFonts w:asciiTheme="minorHAnsi" w:hAnsiTheme="minorHAnsi" w:cstheme="minorHAnsi"/>
          <w:sz w:val="24"/>
          <w:szCs w:val="22"/>
          <w:lang w:val="en-GB"/>
        </w:rPr>
        <w:t>largely determined by individual case complexity. Thorough medical and psychological assessments are required in order to identify any contraindications to transplantation and to inform an estimation of the risks and benefits of transplantation for each individual. The assessment process</w:t>
      </w:r>
      <w:r w:rsidR="00191936">
        <w:rPr>
          <w:rFonts w:asciiTheme="minorHAnsi" w:hAnsiTheme="minorHAnsi" w:cstheme="minorHAnsi"/>
          <w:sz w:val="24"/>
          <w:szCs w:val="22"/>
          <w:lang w:val="en-GB"/>
        </w:rPr>
        <w:t xml:space="preserve"> for medical suitability for transplantation</w:t>
      </w:r>
      <w:r w:rsidRPr="00F17564">
        <w:rPr>
          <w:rFonts w:asciiTheme="minorHAnsi" w:hAnsiTheme="minorHAnsi" w:cstheme="minorHAnsi"/>
          <w:sz w:val="24"/>
          <w:szCs w:val="22"/>
          <w:lang w:val="en-GB"/>
        </w:rPr>
        <w:t xml:space="preserve"> includes a </w:t>
      </w:r>
      <w:r w:rsidR="00191936">
        <w:rPr>
          <w:rFonts w:asciiTheme="minorHAnsi" w:hAnsiTheme="minorHAnsi" w:cstheme="minorHAnsi"/>
          <w:sz w:val="24"/>
          <w:szCs w:val="22"/>
          <w:lang w:val="en-GB"/>
        </w:rPr>
        <w:t xml:space="preserve">number of </w:t>
      </w:r>
      <w:r w:rsidRPr="00F17564">
        <w:rPr>
          <w:rFonts w:asciiTheme="minorHAnsi" w:hAnsiTheme="minorHAnsi" w:cstheme="minorHAnsi"/>
          <w:sz w:val="24"/>
          <w:szCs w:val="22"/>
          <w:lang w:val="en-GB"/>
        </w:rPr>
        <w:t>scree</w:t>
      </w:r>
      <w:r w:rsidR="00191936" w:rsidRPr="00CC4EA6">
        <w:rPr>
          <w:rFonts w:asciiTheme="minorHAnsi" w:hAnsiTheme="minorHAnsi" w:cstheme="minorHAnsi"/>
          <w:sz w:val="24"/>
          <w:szCs w:val="22"/>
          <w:lang w:val="en-GB"/>
        </w:rPr>
        <w:t>ning test</w:t>
      </w:r>
      <w:r w:rsidR="00191936">
        <w:rPr>
          <w:rFonts w:asciiTheme="minorHAnsi" w:hAnsiTheme="minorHAnsi" w:cstheme="minorHAnsi"/>
          <w:sz w:val="24"/>
          <w:szCs w:val="22"/>
          <w:lang w:val="en-GB"/>
        </w:rPr>
        <w:t>s</w:t>
      </w:r>
      <w:r w:rsidRPr="00F17564">
        <w:rPr>
          <w:rFonts w:asciiTheme="minorHAnsi" w:hAnsiTheme="minorHAnsi" w:cstheme="minorHAnsi"/>
          <w:sz w:val="24"/>
          <w:szCs w:val="22"/>
          <w:lang w:val="en-GB"/>
        </w:rPr>
        <w:t xml:space="preserve"> and investigations such as serology, radiology</w:t>
      </w:r>
      <w:r w:rsidR="001B7BDC">
        <w:rPr>
          <w:rFonts w:asciiTheme="minorHAnsi" w:hAnsiTheme="minorHAnsi" w:cstheme="minorHAnsi"/>
          <w:sz w:val="24"/>
          <w:szCs w:val="22"/>
          <w:lang w:val="en-GB"/>
        </w:rPr>
        <w:t xml:space="preserve">, </w:t>
      </w:r>
      <w:r w:rsidR="00EB0AA5">
        <w:rPr>
          <w:rFonts w:asciiTheme="minorHAnsi" w:hAnsiTheme="minorHAnsi" w:cstheme="minorHAnsi"/>
          <w:sz w:val="24"/>
          <w:szCs w:val="22"/>
          <w:lang w:val="en-GB"/>
        </w:rPr>
        <w:t>N</w:t>
      </w:r>
      <w:r w:rsidR="001B7BDC">
        <w:rPr>
          <w:rFonts w:asciiTheme="minorHAnsi" w:hAnsiTheme="minorHAnsi" w:cstheme="minorHAnsi"/>
          <w:sz w:val="24"/>
          <w:szCs w:val="22"/>
          <w:lang w:val="en-GB"/>
        </w:rPr>
        <w:t>ucleic Acid Test</w:t>
      </w:r>
      <w:r w:rsidR="005D72CD">
        <w:rPr>
          <w:rFonts w:asciiTheme="minorHAnsi" w:hAnsiTheme="minorHAnsi" w:cstheme="minorHAnsi"/>
          <w:sz w:val="24"/>
          <w:szCs w:val="22"/>
          <w:lang w:val="en-GB"/>
        </w:rPr>
        <w:t>ing</w:t>
      </w:r>
      <w:r w:rsidRPr="00F17564">
        <w:rPr>
          <w:rFonts w:asciiTheme="minorHAnsi" w:hAnsiTheme="minorHAnsi" w:cstheme="minorHAnsi"/>
          <w:sz w:val="24"/>
          <w:szCs w:val="22"/>
          <w:lang w:val="en-GB"/>
        </w:rPr>
        <w:t xml:space="preserve">, cardiology, respiratory etc. </w:t>
      </w:r>
    </w:p>
    <w:p w14:paraId="36F8AB64" w14:textId="77777777" w:rsidR="0077100E" w:rsidRDefault="001A2419" w:rsidP="00F17564">
      <w:pPr>
        <w:spacing w:after="120"/>
        <w:rPr>
          <w:rFonts w:asciiTheme="minorHAnsi" w:hAnsiTheme="minorHAnsi" w:cstheme="minorHAnsi"/>
          <w:sz w:val="24"/>
          <w:szCs w:val="22"/>
          <w:lang w:val="en-GB"/>
        </w:rPr>
      </w:pPr>
      <w:r w:rsidRPr="00F17564">
        <w:rPr>
          <w:rFonts w:asciiTheme="minorHAnsi" w:hAnsiTheme="minorHAnsi" w:cstheme="minorHAnsi"/>
          <w:sz w:val="24"/>
          <w:szCs w:val="22"/>
          <w:lang w:val="en-GB"/>
        </w:rPr>
        <w:t xml:space="preserve">During the assessment phase the person will also receive education and information about the risks, benefits and expected outcomes of transplantation. This takes place over a series of meetings including consultations with clinicians and patient education sessions, with provision of supplementary reading material. </w:t>
      </w:r>
    </w:p>
    <w:p w14:paraId="7CD3F012" w14:textId="77777777" w:rsidR="00F72C2E" w:rsidRDefault="001A2419" w:rsidP="00F17564">
      <w:pPr>
        <w:spacing w:after="120"/>
        <w:rPr>
          <w:rFonts w:asciiTheme="minorHAnsi" w:hAnsiTheme="minorHAnsi" w:cstheme="minorHAnsi"/>
          <w:sz w:val="24"/>
          <w:szCs w:val="22"/>
          <w:lang w:val="en-GB"/>
        </w:rPr>
      </w:pPr>
      <w:r w:rsidRPr="00F17564">
        <w:rPr>
          <w:rFonts w:asciiTheme="minorHAnsi" w:hAnsiTheme="minorHAnsi" w:cstheme="minorHAnsi"/>
          <w:sz w:val="24"/>
          <w:szCs w:val="22"/>
          <w:lang w:val="en-GB"/>
        </w:rPr>
        <w:t xml:space="preserve">The time it takes for patients to undergo assessment to be </w:t>
      </w:r>
      <w:r w:rsidR="007411D9">
        <w:rPr>
          <w:rFonts w:asciiTheme="minorHAnsi" w:hAnsiTheme="minorHAnsi" w:cstheme="minorHAnsi"/>
          <w:sz w:val="24"/>
          <w:szCs w:val="22"/>
          <w:lang w:val="en-GB"/>
        </w:rPr>
        <w:t>wait list</w:t>
      </w:r>
      <w:r w:rsidRPr="00F17564">
        <w:rPr>
          <w:rFonts w:asciiTheme="minorHAnsi" w:hAnsiTheme="minorHAnsi" w:cstheme="minorHAnsi"/>
          <w:sz w:val="24"/>
          <w:szCs w:val="22"/>
          <w:lang w:val="en-GB"/>
        </w:rPr>
        <w:t xml:space="preserve">ed varies between </w:t>
      </w:r>
      <w:r w:rsidR="00F46C80">
        <w:rPr>
          <w:rFonts w:asciiTheme="minorHAnsi" w:hAnsiTheme="minorHAnsi" w:cstheme="minorHAnsi"/>
          <w:sz w:val="24"/>
          <w:szCs w:val="22"/>
          <w:lang w:val="en-GB"/>
        </w:rPr>
        <w:t>transplantation unit</w:t>
      </w:r>
      <w:r w:rsidRPr="00F17564">
        <w:rPr>
          <w:rFonts w:asciiTheme="minorHAnsi" w:hAnsiTheme="minorHAnsi" w:cstheme="minorHAnsi"/>
          <w:sz w:val="24"/>
          <w:szCs w:val="22"/>
          <w:lang w:val="en-GB"/>
        </w:rPr>
        <w:t>s based on individual practices.</w:t>
      </w:r>
    </w:p>
    <w:p w14:paraId="69ADCD16" w14:textId="77777777" w:rsidR="0060662A" w:rsidRDefault="0060662A" w:rsidP="00447661">
      <w:pPr>
        <w:tabs>
          <w:tab w:val="num" w:pos="720"/>
        </w:tabs>
        <w:spacing w:after="120"/>
        <w:rPr>
          <w:rFonts w:asciiTheme="minorHAnsi" w:hAnsiTheme="minorHAnsi" w:cstheme="minorHAnsi"/>
          <w:i/>
          <w:sz w:val="24"/>
          <w:szCs w:val="22"/>
          <w:lang w:val="en-GB"/>
        </w:rPr>
      </w:pPr>
      <w:r w:rsidRPr="00447661">
        <w:rPr>
          <w:rFonts w:asciiTheme="minorHAnsi" w:hAnsiTheme="minorHAnsi" w:cstheme="minorHAnsi"/>
          <w:i/>
          <w:color w:val="808080" w:themeColor="background1" w:themeShade="80"/>
          <w:sz w:val="26"/>
          <w:szCs w:val="26"/>
        </w:rPr>
        <w:t xml:space="preserve">Recipient consent to organ transplantation </w:t>
      </w:r>
    </w:p>
    <w:p w14:paraId="4BA1AA38" w14:textId="77777777" w:rsidR="00164E98" w:rsidRDefault="00164E98" w:rsidP="00164E98">
      <w:pPr>
        <w:spacing w:after="120"/>
        <w:rPr>
          <w:rFonts w:asciiTheme="minorHAnsi" w:hAnsiTheme="minorHAnsi" w:cstheme="minorHAnsi"/>
          <w:sz w:val="24"/>
          <w:szCs w:val="22"/>
          <w:lang w:val="en-GB"/>
        </w:rPr>
      </w:pPr>
      <w:r>
        <w:rPr>
          <w:rFonts w:asciiTheme="minorHAnsi" w:hAnsiTheme="minorHAnsi" w:cstheme="minorHAnsi"/>
          <w:sz w:val="24"/>
          <w:szCs w:val="22"/>
          <w:lang w:val="en-GB"/>
        </w:rPr>
        <w:t>The decision by potential recipients to accept the offer of an organ is based on their understanding of the risks and benefits</w:t>
      </w:r>
      <w:r w:rsidR="00EA60C4">
        <w:rPr>
          <w:rFonts w:asciiTheme="minorHAnsi" w:hAnsiTheme="minorHAnsi" w:cstheme="minorHAnsi"/>
          <w:sz w:val="24"/>
          <w:szCs w:val="22"/>
          <w:lang w:val="en-GB"/>
        </w:rPr>
        <w:t>,</w:t>
      </w:r>
      <w:r>
        <w:rPr>
          <w:rFonts w:asciiTheme="minorHAnsi" w:hAnsiTheme="minorHAnsi" w:cstheme="minorHAnsi"/>
          <w:sz w:val="24"/>
          <w:szCs w:val="22"/>
          <w:lang w:val="en-GB"/>
        </w:rPr>
        <w:t xml:space="preserve"> as they relate to their individual circumstances. Decision</w:t>
      </w:r>
      <w:r w:rsidR="00E632AF">
        <w:rPr>
          <w:rFonts w:asciiTheme="minorHAnsi" w:hAnsiTheme="minorHAnsi" w:cstheme="minorHAnsi"/>
          <w:sz w:val="24"/>
          <w:szCs w:val="22"/>
          <w:lang w:val="en-GB"/>
        </w:rPr>
        <w:t xml:space="preserve"> </w:t>
      </w:r>
      <w:r>
        <w:rPr>
          <w:rFonts w:asciiTheme="minorHAnsi" w:hAnsiTheme="minorHAnsi" w:cstheme="minorHAnsi"/>
          <w:sz w:val="24"/>
          <w:szCs w:val="22"/>
          <w:lang w:val="en-GB"/>
        </w:rPr>
        <w:t>making is particularly complex when the organ being offered may have a lower likelihood of providing optimal outcomes. For example, potential recipients who are stable on medical therapy may find the expected outcomes of transplantation with such an organ</w:t>
      </w:r>
      <w:r w:rsidR="00EA60C4">
        <w:rPr>
          <w:rFonts w:asciiTheme="minorHAnsi" w:hAnsiTheme="minorHAnsi" w:cstheme="minorHAnsi"/>
          <w:sz w:val="24"/>
          <w:szCs w:val="22"/>
          <w:lang w:val="en-GB"/>
        </w:rPr>
        <w:t xml:space="preserve"> is</w:t>
      </w:r>
      <w:r>
        <w:rPr>
          <w:rFonts w:asciiTheme="minorHAnsi" w:hAnsiTheme="minorHAnsi" w:cstheme="minorHAnsi"/>
          <w:sz w:val="24"/>
          <w:szCs w:val="22"/>
          <w:lang w:val="en-GB"/>
        </w:rPr>
        <w:t xml:space="preserve"> less acceptable </w:t>
      </w:r>
      <w:r w:rsidR="00EA60C4">
        <w:rPr>
          <w:rFonts w:asciiTheme="minorHAnsi" w:hAnsiTheme="minorHAnsi" w:cstheme="minorHAnsi"/>
          <w:sz w:val="24"/>
          <w:szCs w:val="22"/>
          <w:lang w:val="en-GB"/>
        </w:rPr>
        <w:t xml:space="preserve">compared to </w:t>
      </w:r>
      <w:r>
        <w:rPr>
          <w:rFonts w:asciiTheme="minorHAnsi" w:hAnsiTheme="minorHAnsi" w:cstheme="minorHAnsi"/>
          <w:sz w:val="24"/>
          <w:szCs w:val="22"/>
          <w:lang w:val="en-GB"/>
        </w:rPr>
        <w:t>potential recipients who are advanced in age or extremely unwell</w:t>
      </w:r>
      <w:r w:rsidR="00EA60C4">
        <w:rPr>
          <w:rFonts w:asciiTheme="minorHAnsi" w:hAnsiTheme="minorHAnsi" w:cstheme="minorHAnsi"/>
          <w:sz w:val="24"/>
          <w:szCs w:val="22"/>
          <w:lang w:val="en-GB"/>
        </w:rPr>
        <w:t xml:space="preserve"> (and </w:t>
      </w:r>
      <w:r>
        <w:rPr>
          <w:rFonts w:asciiTheme="minorHAnsi" w:hAnsiTheme="minorHAnsi" w:cstheme="minorHAnsi"/>
          <w:sz w:val="24"/>
          <w:szCs w:val="22"/>
          <w:lang w:val="en-GB"/>
        </w:rPr>
        <w:t xml:space="preserve">might see </w:t>
      </w:r>
      <w:r w:rsidR="00EA60C4">
        <w:rPr>
          <w:rFonts w:asciiTheme="minorHAnsi" w:hAnsiTheme="minorHAnsi" w:cstheme="minorHAnsi"/>
          <w:sz w:val="24"/>
          <w:szCs w:val="22"/>
          <w:lang w:val="en-GB"/>
        </w:rPr>
        <w:t>it</w:t>
      </w:r>
      <w:r>
        <w:rPr>
          <w:rFonts w:asciiTheme="minorHAnsi" w:hAnsiTheme="minorHAnsi" w:cstheme="minorHAnsi"/>
          <w:sz w:val="24"/>
          <w:szCs w:val="22"/>
          <w:lang w:val="en-GB"/>
        </w:rPr>
        <w:t xml:space="preserve"> as</w:t>
      </w:r>
      <w:r w:rsidR="00EA60C4">
        <w:rPr>
          <w:rFonts w:asciiTheme="minorHAnsi" w:hAnsiTheme="minorHAnsi" w:cstheme="minorHAnsi"/>
          <w:sz w:val="24"/>
          <w:szCs w:val="22"/>
          <w:lang w:val="en-GB"/>
        </w:rPr>
        <w:t xml:space="preserve"> an opportunity to</w:t>
      </w:r>
      <w:r>
        <w:rPr>
          <w:rFonts w:asciiTheme="minorHAnsi" w:hAnsiTheme="minorHAnsi" w:cstheme="minorHAnsi"/>
          <w:sz w:val="24"/>
          <w:szCs w:val="22"/>
          <w:lang w:val="en-GB"/>
        </w:rPr>
        <w:t xml:space="preserve"> increas</w:t>
      </w:r>
      <w:r w:rsidR="00EA60C4">
        <w:rPr>
          <w:rFonts w:asciiTheme="minorHAnsi" w:hAnsiTheme="minorHAnsi" w:cstheme="minorHAnsi"/>
          <w:sz w:val="24"/>
          <w:szCs w:val="22"/>
          <w:lang w:val="en-GB"/>
        </w:rPr>
        <w:t>e</w:t>
      </w:r>
      <w:r>
        <w:rPr>
          <w:rFonts w:asciiTheme="minorHAnsi" w:hAnsiTheme="minorHAnsi" w:cstheme="minorHAnsi"/>
          <w:sz w:val="24"/>
          <w:szCs w:val="22"/>
          <w:lang w:val="en-GB"/>
        </w:rPr>
        <w:t xml:space="preserve"> their survival prospects</w:t>
      </w:r>
      <w:r w:rsidR="00EA60C4">
        <w:rPr>
          <w:rFonts w:asciiTheme="minorHAnsi" w:hAnsiTheme="minorHAnsi" w:cstheme="minorHAnsi"/>
          <w:sz w:val="24"/>
          <w:szCs w:val="22"/>
          <w:lang w:val="en-GB"/>
        </w:rPr>
        <w:t>)</w:t>
      </w:r>
      <w:r>
        <w:rPr>
          <w:rFonts w:asciiTheme="minorHAnsi" w:hAnsiTheme="minorHAnsi" w:cstheme="minorHAnsi"/>
          <w:sz w:val="24"/>
          <w:szCs w:val="22"/>
          <w:lang w:val="en-GB"/>
        </w:rPr>
        <w:t>. Organs that may carry an unacceptable</w:t>
      </w:r>
      <w:r w:rsidR="00EA60C4">
        <w:rPr>
          <w:rFonts w:asciiTheme="minorHAnsi" w:hAnsiTheme="minorHAnsi" w:cstheme="minorHAnsi"/>
          <w:sz w:val="24"/>
          <w:szCs w:val="22"/>
          <w:lang w:val="en-GB"/>
        </w:rPr>
        <w:t xml:space="preserve"> level of </w:t>
      </w:r>
      <w:r>
        <w:rPr>
          <w:rFonts w:asciiTheme="minorHAnsi" w:hAnsiTheme="minorHAnsi" w:cstheme="minorHAnsi"/>
          <w:sz w:val="24"/>
          <w:szCs w:val="22"/>
          <w:lang w:val="en-GB"/>
        </w:rPr>
        <w:t xml:space="preserve">risk </w:t>
      </w:r>
      <w:r w:rsidR="00EA60C4">
        <w:rPr>
          <w:rFonts w:asciiTheme="minorHAnsi" w:hAnsiTheme="minorHAnsi" w:cstheme="minorHAnsi"/>
          <w:sz w:val="24"/>
          <w:szCs w:val="22"/>
          <w:lang w:val="en-GB"/>
        </w:rPr>
        <w:t>for</w:t>
      </w:r>
      <w:r w:rsidR="005D72CD">
        <w:rPr>
          <w:rFonts w:asciiTheme="minorHAnsi" w:hAnsiTheme="minorHAnsi" w:cstheme="minorHAnsi"/>
          <w:sz w:val="24"/>
          <w:szCs w:val="22"/>
          <w:lang w:val="en-GB"/>
        </w:rPr>
        <w:t xml:space="preserve"> some</w:t>
      </w:r>
      <w:r w:rsidR="00EA60C4">
        <w:rPr>
          <w:rFonts w:asciiTheme="minorHAnsi" w:hAnsiTheme="minorHAnsi" w:cstheme="minorHAnsi"/>
          <w:sz w:val="24"/>
          <w:szCs w:val="22"/>
          <w:lang w:val="en-GB"/>
        </w:rPr>
        <w:t xml:space="preserve"> </w:t>
      </w:r>
      <w:r>
        <w:rPr>
          <w:rFonts w:asciiTheme="minorHAnsi" w:hAnsiTheme="minorHAnsi" w:cstheme="minorHAnsi"/>
          <w:sz w:val="24"/>
          <w:szCs w:val="22"/>
          <w:lang w:val="en-GB"/>
        </w:rPr>
        <w:t>potential recipients may provide benefit for others.</w:t>
      </w:r>
    </w:p>
    <w:p w14:paraId="140C0F65" w14:textId="77777777" w:rsidR="00164E98" w:rsidRDefault="00164E98" w:rsidP="00164E98">
      <w:pPr>
        <w:spacing w:after="120"/>
        <w:rPr>
          <w:rFonts w:asciiTheme="minorHAnsi" w:hAnsiTheme="minorHAnsi" w:cstheme="minorHAnsi"/>
          <w:sz w:val="24"/>
          <w:szCs w:val="22"/>
          <w:lang w:val="en-GB"/>
        </w:rPr>
      </w:pPr>
      <w:r>
        <w:rPr>
          <w:rFonts w:asciiTheme="minorHAnsi" w:hAnsiTheme="minorHAnsi" w:cstheme="minorHAnsi"/>
          <w:sz w:val="24"/>
          <w:szCs w:val="22"/>
          <w:lang w:val="en-GB"/>
        </w:rPr>
        <w:lastRenderedPageBreak/>
        <w:t>The acceptability of donor organs that may pose an element of risk should be discussed with both the potential recipient and their carer at the time of wait</w:t>
      </w:r>
      <w:r w:rsidR="009B2CB9">
        <w:rPr>
          <w:rFonts w:asciiTheme="minorHAnsi" w:hAnsiTheme="minorHAnsi" w:cstheme="minorHAnsi"/>
          <w:sz w:val="24"/>
          <w:szCs w:val="22"/>
          <w:lang w:val="en-GB"/>
        </w:rPr>
        <w:t xml:space="preserve"> </w:t>
      </w:r>
      <w:r>
        <w:rPr>
          <w:rFonts w:asciiTheme="minorHAnsi" w:hAnsiTheme="minorHAnsi" w:cstheme="minorHAnsi"/>
          <w:sz w:val="24"/>
          <w:szCs w:val="22"/>
          <w:lang w:val="en-GB"/>
        </w:rPr>
        <w:t>listing (rather than at the time of the organ offer). For example</w:t>
      </w:r>
      <w:r w:rsidR="005D72CD">
        <w:rPr>
          <w:rFonts w:asciiTheme="minorHAnsi" w:hAnsiTheme="minorHAnsi" w:cstheme="minorHAnsi"/>
          <w:sz w:val="24"/>
          <w:szCs w:val="22"/>
          <w:lang w:val="en-GB"/>
        </w:rPr>
        <w:t>,</w:t>
      </w:r>
      <w:r>
        <w:rPr>
          <w:rFonts w:asciiTheme="minorHAnsi" w:hAnsiTheme="minorHAnsi" w:cstheme="minorHAnsi"/>
          <w:sz w:val="24"/>
          <w:szCs w:val="22"/>
          <w:lang w:val="en-GB"/>
        </w:rPr>
        <w:t xml:space="preserve"> the introduction of new and safe antiviral therapy for </w:t>
      </w:r>
      <w:r w:rsidR="00EA60C4">
        <w:rPr>
          <w:rFonts w:asciiTheme="minorHAnsi" w:hAnsiTheme="minorHAnsi" w:cstheme="minorHAnsi"/>
          <w:sz w:val="24"/>
          <w:szCs w:val="22"/>
          <w:lang w:val="en-GB"/>
        </w:rPr>
        <w:t>H</w:t>
      </w:r>
      <w:r>
        <w:rPr>
          <w:rFonts w:asciiTheme="minorHAnsi" w:hAnsiTheme="minorHAnsi" w:cstheme="minorHAnsi"/>
          <w:sz w:val="24"/>
          <w:szCs w:val="22"/>
          <w:lang w:val="en-GB"/>
        </w:rPr>
        <w:t xml:space="preserve">epatitis C infection </w:t>
      </w:r>
      <w:r w:rsidR="00091391">
        <w:rPr>
          <w:rFonts w:asciiTheme="minorHAnsi" w:hAnsiTheme="minorHAnsi" w:cstheme="minorHAnsi"/>
          <w:sz w:val="24"/>
          <w:szCs w:val="22"/>
          <w:lang w:val="en-GB"/>
        </w:rPr>
        <w:t>may result in the po</w:t>
      </w:r>
      <w:r>
        <w:rPr>
          <w:rFonts w:asciiTheme="minorHAnsi" w:hAnsiTheme="minorHAnsi" w:cstheme="minorHAnsi"/>
          <w:sz w:val="24"/>
          <w:szCs w:val="22"/>
          <w:lang w:val="en-GB"/>
        </w:rPr>
        <w:t xml:space="preserve">ssible use of an organ from a </w:t>
      </w:r>
      <w:r w:rsidR="00B815FE">
        <w:rPr>
          <w:rFonts w:asciiTheme="minorHAnsi" w:hAnsiTheme="minorHAnsi" w:cstheme="minorHAnsi"/>
          <w:sz w:val="24"/>
          <w:szCs w:val="22"/>
          <w:lang w:val="en-GB"/>
        </w:rPr>
        <w:t xml:space="preserve">Hepatitis C </w:t>
      </w:r>
      <w:r>
        <w:rPr>
          <w:rFonts w:asciiTheme="minorHAnsi" w:hAnsiTheme="minorHAnsi" w:cstheme="minorHAnsi"/>
          <w:sz w:val="24"/>
          <w:szCs w:val="22"/>
          <w:lang w:val="en-GB"/>
        </w:rPr>
        <w:t xml:space="preserve">infected donor into a recipient without </w:t>
      </w:r>
      <w:r w:rsidR="00B815FE">
        <w:rPr>
          <w:rFonts w:asciiTheme="minorHAnsi" w:hAnsiTheme="minorHAnsi" w:cstheme="minorHAnsi"/>
          <w:sz w:val="24"/>
          <w:szCs w:val="22"/>
          <w:lang w:val="en-GB"/>
        </w:rPr>
        <w:t>Hepatitis C</w:t>
      </w:r>
      <w:r>
        <w:rPr>
          <w:rFonts w:asciiTheme="minorHAnsi" w:hAnsiTheme="minorHAnsi" w:cstheme="minorHAnsi"/>
          <w:sz w:val="24"/>
          <w:szCs w:val="22"/>
          <w:lang w:val="en-GB"/>
        </w:rPr>
        <w:t>.</w:t>
      </w:r>
      <w:r w:rsidR="002B6259">
        <w:rPr>
          <w:rFonts w:asciiTheme="minorHAnsi" w:hAnsiTheme="minorHAnsi" w:cstheme="minorHAnsi"/>
          <w:sz w:val="24"/>
          <w:szCs w:val="22"/>
          <w:lang w:val="en-GB"/>
        </w:rPr>
        <w:t xml:space="preserve"> </w:t>
      </w:r>
      <w:r>
        <w:rPr>
          <w:rFonts w:asciiTheme="minorHAnsi" w:hAnsiTheme="minorHAnsi" w:cstheme="minorHAnsi"/>
          <w:sz w:val="24"/>
          <w:szCs w:val="22"/>
          <w:lang w:val="en-GB"/>
        </w:rPr>
        <w:t>The provision of adequate counselling and education about the procedure including the risks, benefits and what will happen if the procedure does not go ahead is critical</w:t>
      </w:r>
      <w:r w:rsidR="00EA60C4">
        <w:rPr>
          <w:rFonts w:asciiTheme="minorHAnsi" w:hAnsiTheme="minorHAnsi" w:cstheme="minorHAnsi"/>
          <w:sz w:val="24"/>
          <w:szCs w:val="22"/>
          <w:lang w:val="en-GB"/>
        </w:rPr>
        <w:t xml:space="preserve">. This allows each </w:t>
      </w:r>
      <w:r>
        <w:rPr>
          <w:rFonts w:asciiTheme="minorHAnsi" w:hAnsiTheme="minorHAnsi" w:cstheme="minorHAnsi"/>
          <w:sz w:val="24"/>
          <w:szCs w:val="22"/>
          <w:lang w:val="en-GB"/>
        </w:rPr>
        <w:t xml:space="preserve">person </w:t>
      </w:r>
      <w:r w:rsidR="00EA60C4">
        <w:rPr>
          <w:rFonts w:asciiTheme="minorHAnsi" w:hAnsiTheme="minorHAnsi" w:cstheme="minorHAnsi"/>
          <w:sz w:val="24"/>
          <w:szCs w:val="22"/>
          <w:lang w:val="en-GB"/>
        </w:rPr>
        <w:t>to</w:t>
      </w:r>
      <w:r>
        <w:rPr>
          <w:rFonts w:asciiTheme="minorHAnsi" w:hAnsiTheme="minorHAnsi" w:cstheme="minorHAnsi"/>
          <w:sz w:val="24"/>
          <w:szCs w:val="22"/>
          <w:lang w:val="en-GB"/>
        </w:rPr>
        <w:t xml:space="preserve"> consider their options and ultimately provide informed consent if they choose to proceed.</w:t>
      </w:r>
    </w:p>
    <w:p w14:paraId="2DB7627F" w14:textId="77777777" w:rsidR="00C43CA7" w:rsidRPr="00F17564" w:rsidRDefault="00E32602" w:rsidP="00266A77">
      <w:pPr>
        <w:pStyle w:val="Heading3"/>
        <w:tabs>
          <w:tab w:val="clear" w:pos="1843"/>
          <w:tab w:val="num" w:pos="1559"/>
        </w:tabs>
        <w:ind w:left="992" w:hanging="992"/>
        <w:rPr>
          <w:rFonts w:asciiTheme="minorHAnsi" w:hAnsiTheme="minorHAnsi" w:cstheme="minorHAnsi"/>
          <w:b w:val="0"/>
          <w:color w:val="7F7F7F" w:themeColor="text1" w:themeTint="80"/>
          <w:sz w:val="30"/>
          <w:szCs w:val="30"/>
        </w:rPr>
      </w:pPr>
      <w:r w:rsidRPr="00F17564">
        <w:rPr>
          <w:rFonts w:asciiTheme="minorHAnsi" w:hAnsiTheme="minorHAnsi" w:cstheme="minorHAnsi"/>
          <w:b w:val="0"/>
          <w:color w:val="7F7F7F" w:themeColor="text1" w:themeTint="80"/>
          <w:sz w:val="30"/>
          <w:szCs w:val="30"/>
        </w:rPr>
        <w:t>Wait</w:t>
      </w:r>
      <w:r w:rsidR="005123E6">
        <w:rPr>
          <w:rFonts w:asciiTheme="minorHAnsi" w:hAnsiTheme="minorHAnsi" w:cstheme="minorHAnsi"/>
          <w:b w:val="0"/>
          <w:color w:val="7F7F7F" w:themeColor="text1" w:themeTint="80"/>
          <w:sz w:val="30"/>
          <w:szCs w:val="30"/>
        </w:rPr>
        <w:t>ing</w:t>
      </w:r>
      <w:r w:rsidRPr="00F17564">
        <w:rPr>
          <w:rFonts w:asciiTheme="minorHAnsi" w:hAnsiTheme="minorHAnsi" w:cstheme="minorHAnsi"/>
          <w:b w:val="0"/>
          <w:color w:val="7F7F7F" w:themeColor="text1" w:themeTint="80"/>
          <w:sz w:val="30"/>
          <w:szCs w:val="30"/>
        </w:rPr>
        <w:t xml:space="preserve"> list management</w:t>
      </w:r>
    </w:p>
    <w:p w14:paraId="6F4A5C94" w14:textId="6A82F54A" w:rsidR="00C43CA7" w:rsidRPr="00F37D51" w:rsidRDefault="00220B0B">
      <w:pPr>
        <w:spacing w:after="120"/>
        <w:rPr>
          <w:rFonts w:asciiTheme="minorHAnsi" w:hAnsiTheme="minorHAnsi" w:cstheme="minorHAnsi"/>
          <w:sz w:val="24"/>
          <w:szCs w:val="22"/>
          <w:lang w:val="en-GB"/>
        </w:rPr>
      </w:pPr>
      <w:r>
        <w:rPr>
          <w:rFonts w:asciiTheme="minorHAnsi" w:hAnsiTheme="minorHAnsi" w:cstheme="minorHAnsi"/>
          <w:sz w:val="24"/>
          <w:szCs w:val="22"/>
          <w:lang w:val="en-GB"/>
        </w:rPr>
        <w:t>Wait</w:t>
      </w:r>
      <w:r w:rsidR="001073C8">
        <w:rPr>
          <w:rFonts w:asciiTheme="minorHAnsi" w:hAnsiTheme="minorHAnsi" w:cstheme="minorHAnsi"/>
          <w:sz w:val="24"/>
          <w:szCs w:val="22"/>
          <w:lang w:val="en-GB"/>
        </w:rPr>
        <w:t xml:space="preserve">ing list </w:t>
      </w:r>
      <w:r>
        <w:rPr>
          <w:rFonts w:asciiTheme="minorHAnsi" w:hAnsiTheme="minorHAnsi" w:cstheme="minorHAnsi"/>
          <w:sz w:val="24"/>
          <w:szCs w:val="22"/>
          <w:lang w:val="en-GB"/>
        </w:rPr>
        <w:t>practices follow the Clinical Guidelines and are influenced by</w:t>
      </w:r>
      <w:r w:rsidR="00F00ECB">
        <w:rPr>
          <w:rFonts w:asciiTheme="minorHAnsi" w:hAnsiTheme="minorHAnsi" w:cstheme="minorHAnsi"/>
          <w:sz w:val="24"/>
          <w:szCs w:val="22"/>
          <w:lang w:val="en-GB"/>
        </w:rPr>
        <w:t xml:space="preserve"> the clinical judgement of the transplant clinicians</w:t>
      </w:r>
      <w:r>
        <w:rPr>
          <w:rFonts w:asciiTheme="minorHAnsi" w:hAnsiTheme="minorHAnsi" w:cstheme="minorHAnsi"/>
          <w:sz w:val="24"/>
          <w:szCs w:val="22"/>
          <w:lang w:val="en-GB"/>
        </w:rPr>
        <w:t xml:space="preserve">. </w:t>
      </w:r>
      <w:r w:rsidR="00F72C2E" w:rsidRPr="00F37D51">
        <w:rPr>
          <w:rFonts w:asciiTheme="minorHAnsi" w:hAnsiTheme="minorHAnsi" w:cstheme="minorHAnsi"/>
          <w:sz w:val="24"/>
          <w:szCs w:val="22"/>
          <w:lang w:val="en-GB"/>
        </w:rPr>
        <w:t>Once</w:t>
      </w:r>
      <w:r w:rsidR="004D4D4E">
        <w:rPr>
          <w:rFonts w:asciiTheme="minorHAnsi" w:hAnsiTheme="minorHAnsi" w:cstheme="minorHAnsi"/>
          <w:sz w:val="24"/>
          <w:szCs w:val="22"/>
          <w:lang w:val="en-GB"/>
        </w:rPr>
        <w:t xml:space="preserve"> the</w:t>
      </w:r>
      <w:r w:rsidR="00F72C2E" w:rsidRPr="00F37D51">
        <w:rPr>
          <w:rFonts w:asciiTheme="minorHAnsi" w:hAnsiTheme="minorHAnsi" w:cstheme="minorHAnsi"/>
          <w:sz w:val="24"/>
          <w:szCs w:val="22"/>
          <w:lang w:val="en-GB"/>
        </w:rPr>
        <w:t xml:space="preserve"> </w:t>
      </w:r>
      <w:r w:rsidR="00E32602">
        <w:rPr>
          <w:rFonts w:asciiTheme="minorHAnsi" w:hAnsiTheme="minorHAnsi" w:cstheme="minorHAnsi"/>
          <w:sz w:val="24"/>
          <w:szCs w:val="22"/>
          <w:lang w:val="en-GB"/>
        </w:rPr>
        <w:t xml:space="preserve">assessment process has been completed and </w:t>
      </w:r>
      <w:r w:rsidR="00F72C2E" w:rsidRPr="00F37D51">
        <w:rPr>
          <w:rFonts w:asciiTheme="minorHAnsi" w:hAnsiTheme="minorHAnsi" w:cstheme="minorHAnsi"/>
          <w:sz w:val="24"/>
          <w:szCs w:val="22"/>
          <w:lang w:val="en-GB"/>
        </w:rPr>
        <w:t xml:space="preserve">a patient is deemed eligible for transplantation, </w:t>
      </w:r>
      <w:r w:rsidR="00E32602">
        <w:rPr>
          <w:rFonts w:asciiTheme="minorHAnsi" w:hAnsiTheme="minorHAnsi" w:cstheme="minorHAnsi"/>
          <w:sz w:val="24"/>
          <w:szCs w:val="22"/>
          <w:lang w:val="en-GB"/>
        </w:rPr>
        <w:t xml:space="preserve">it is at this point that they are formally listed for transplantation. </w:t>
      </w:r>
      <w:r w:rsidR="00D47AFE">
        <w:rPr>
          <w:rFonts w:asciiTheme="minorHAnsi" w:hAnsiTheme="minorHAnsi" w:cstheme="minorHAnsi"/>
          <w:sz w:val="24"/>
          <w:szCs w:val="22"/>
          <w:lang w:val="en-GB"/>
        </w:rPr>
        <w:t>This occurs when the potential recipient’s assessment data are sent to the state</w:t>
      </w:r>
      <w:r w:rsidR="009B2CB9">
        <w:rPr>
          <w:rFonts w:asciiTheme="minorHAnsi" w:hAnsiTheme="minorHAnsi" w:cstheme="minorHAnsi"/>
          <w:sz w:val="24"/>
          <w:szCs w:val="22"/>
          <w:lang w:val="en-GB"/>
        </w:rPr>
        <w:t>-</w:t>
      </w:r>
      <w:r w:rsidR="00D47AFE">
        <w:rPr>
          <w:rFonts w:asciiTheme="minorHAnsi" w:hAnsiTheme="minorHAnsi" w:cstheme="minorHAnsi"/>
          <w:sz w:val="24"/>
          <w:szCs w:val="22"/>
          <w:lang w:val="en-GB"/>
        </w:rPr>
        <w:t>based tissue typing lab</w:t>
      </w:r>
      <w:r w:rsidR="004D4D4E">
        <w:rPr>
          <w:rFonts w:asciiTheme="minorHAnsi" w:hAnsiTheme="minorHAnsi" w:cstheme="minorHAnsi"/>
          <w:sz w:val="24"/>
          <w:szCs w:val="22"/>
          <w:lang w:val="en-GB"/>
        </w:rPr>
        <w:t xml:space="preserve">, </w:t>
      </w:r>
      <w:r w:rsidR="00D47AFE">
        <w:rPr>
          <w:rFonts w:asciiTheme="minorHAnsi" w:hAnsiTheme="minorHAnsi" w:cstheme="minorHAnsi"/>
          <w:sz w:val="24"/>
          <w:szCs w:val="22"/>
          <w:lang w:val="en-GB"/>
        </w:rPr>
        <w:t>which maintain the list to enable allocation and cross matching at the time of offer (see</w:t>
      </w:r>
      <w:r w:rsidR="00E0693A">
        <w:rPr>
          <w:rFonts w:asciiTheme="minorHAnsi" w:hAnsiTheme="minorHAnsi" w:cstheme="minorHAnsi"/>
          <w:sz w:val="24"/>
          <w:szCs w:val="22"/>
          <w:lang w:val="en-GB"/>
        </w:rPr>
        <w:t xml:space="preserve"> Section</w:t>
      </w:r>
      <w:r w:rsidR="005D72CD">
        <w:rPr>
          <w:rFonts w:asciiTheme="minorHAnsi" w:hAnsiTheme="minorHAnsi" w:cstheme="minorHAnsi"/>
          <w:sz w:val="24"/>
          <w:szCs w:val="22"/>
          <w:lang w:val="en-GB"/>
        </w:rPr>
        <w:t xml:space="preserve"> </w:t>
      </w:r>
      <w:r w:rsidR="00E0693A">
        <w:rPr>
          <w:rFonts w:asciiTheme="minorHAnsi" w:hAnsiTheme="minorHAnsi" w:cstheme="minorHAnsi"/>
          <w:sz w:val="24"/>
          <w:szCs w:val="22"/>
          <w:lang w:val="en-GB"/>
        </w:rPr>
        <w:fldChar w:fldCharType="begin"/>
      </w:r>
      <w:r w:rsidR="00E0693A">
        <w:rPr>
          <w:rFonts w:asciiTheme="minorHAnsi" w:hAnsiTheme="minorHAnsi" w:cstheme="minorHAnsi"/>
          <w:sz w:val="24"/>
          <w:szCs w:val="22"/>
          <w:lang w:val="en-GB"/>
        </w:rPr>
        <w:instrText xml:space="preserve"> REF _Ref531252075 \r \h </w:instrText>
      </w:r>
      <w:r w:rsidR="00E0693A">
        <w:rPr>
          <w:rFonts w:asciiTheme="minorHAnsi" w:hAnsiTheme="minorHAnsi" w:cstheme="minorHAnsi"/>
          <w:sz w:val="24"/>
          <w:szCs w:val="22"/>
          <w:lang w:val="en-GB"/>
        </w:rPr>
      </w:r>
      <w:r w:rsidR="00E0693A">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4.5</w:t>
      </w:r>
      <w:r w:rsidR="00E0693A">
        <w:rPr>
          <w:rFonts w:asciiTheme="minorHAnsi" w:hAnsiTheme="minorHAnsi" w:cstheme="minorHAnsi"/>
          <w:sz w:val="24"/>
          <w:szCs w:val="22"/>
          <w:lang w:val="en-GB"/>
        </w:rPr>
        <w:fldChar w:fldCharType="end"/>
      </w:r>
      <w:r w:rsidR="00D47AFE" w:rsidRPr="002F662D">
        <w:rPr>
          <w:rFonts w:asciiTheme="minorHAnsi" w:hAnsiTheme="minorHAnsi" w:cstheme="minorHAnsi"/>
          <w:sz w:val="24"/>
          <w:szCs w:val="22"/>
          <w:lang w:val="en-GB"/>
        </w:rPr>
        <w:t xml:space="preserve">). </w:t>
      </w:r>
      <w:r w:rsidRPr="002F662D">
        <w:rPr>
          <w:rFonts w:asciiTheme="minorHAnsi" w:hAnsiTheme="minorHAnsi" w:cstheme="minorHAnsi"/>
          <w:sz w:val="24"/>
          <w:szCs w:val="22"/>
          <w:lang w:val="en-GB"/>
        </w:rPr>
        <w:t>The</w:t>
      </w:r>
      <w:r w:rsidRPr="00A33214">
        <w:rPr>
          <w:rFonts w:asciiTheme="minorHAnsi" w:hAnsiTheme="minorHAnsi" w:cstheme="minorHAnsi"/>
          <w:sz w:val="24"/>
          <w:szCs w:val="22"/>
          <w:lang w:val="en-GB"/>
        </w:rPr>
        <w:t xml:space="preserve"> tissue typing labs send samples of all recipients’ blood to each other so that the blood is available for tissue typing when a donor is identified. </w:t>
      </w:r>
    </w:p>
    <w:p w14:paraId="12CE8DAF" w14:textId="77777777" w:rsidR="00F72C2E" w:rsidRDefault="00D47AFE">
      <w:pPr>
        <w:spacing w:after="120"/>
        <w:rPr>
          <w:rFonts w:asciiTheme="minorHAnsi" w:hAnsiTheme="minorHAnsi" w:cstheme="minorHAnsi"/>
          <w:sz w:val="24"/>
          <w:szCs w:val="22"/>
          <w:lang w:val="en-GB"/>
        </w:rPr>
      </w:pPr>
      <w:r w:rsidRPr="00F17564">
        <w:rPr>
          <w:rFonts w:asciiTheme="minorHAnsi" w:hAnsiTheme="minorHAnsi" w:cstheme="minorHAnsi"/>
          <w:sz w:val="24"/>
          <w:szCs w:val="22"/>
          <w:lang w:val="en-GB"/>
        </w:rPr>
        <w:t xml:space="preserve">Factors affecting the potential recipient’s suitability for transplantation may change over time due to patient behaviour or as the disease progresses. Potential recipients’ </w:t>
      </w:r>
      <w:r w:rsidR="00F17564">
        <w:rPr>
          <w:rFonts w:asciiTheme="minorHAnsi" w:hAnsiTheme="minorHAnsi" w:cstheme="minorHAnsi"/>
          <w:sz w:val="24"/>
          <w:szCs w:val="22"/>
          <w:lang w:val="en-GB"/>
        </w:rPr>
        <w:t>wait liste</w:t>
      </w:r>
      <w:r w:rsidRPr="00F17564">
        <w:rPr>
          <w:rFonts w:asciiTheme="minorHAnsi" w:hAnsiTheme="minorHAnsi" w:cstheme="minorHAnsi"/>
          <w:sz w:val="24"/>
          <w:szCs w:val="22"/>
          <w:lang w:val="en-GB"/>
        </w:rPr>
        <w:t>d for organ transplantation are regularly reviewed to ensure that they remain eligible to receive a transplant. On a monthly basis, potential recipients are required to provide blood samples to the tissue typing labs. The blood and tissue type</w:t>
      </w:r>
      <w:r w:rsidR="00220B0B" w:rsidRPr="00F17564">
        <w:rPr>
          <w:rFonts w:asciiTheme="minorHAnsi" w:hAnsiTheme="minorHAnsi" w:cstheme="minorHAnsi"/>
          <w:sz w:val="24"/>
          <w:szCs w:val="22"/>
          <w:lang w:val="en-GB"/>
        </w:rPr>
        <w:t xml:space="preserve"> is</w:t>
      </w:r>
      <w:r w:rsidRPr="00F17564">
        <w:rPr>
          <w:rFonts w:asciiTheme="minorHAnsi" w:hAnsiTheme="minorHAnsi" w:cstheme="minorHAnsi"/>
          <w:sz w:val="24"/>
          <w:szCs w:val="22"/>
          <w:lang w:val="en-GB"/>
        </w:rPr>
        <w:t xml:space="preserve"> screened to detect changes in sensitisation and sera is also used for cross-matching against potential donors. This monthly process is extremely time consuming and resource intensive.</w:t>
      </w:r>
    </w:p>
    <w:p w14:paraId="191E260D" w14:textId="77777777" w:rsidR="009D145F" w:rsidRDefault="009D145F">
      <w:pPr>
        <w:spacing w:after="120"/>
        <w:rPr>
          <w:rFonts w:asciiTheme="minorHAnsi" w:hAnsiTheme="minorHAnsi" w:cstheme="minorHAnsi"/>
          <w:sz w:val="24"/>
          <w:szCs w:val="22"/>
          <w:lang w:val="en-GB"/>
        </w:rPr>
      </w:pPr>
      <w:r w:rsidRPr="00F17564">
        <w:rPr>
          <w:rFonts w:asciiTheme="minorHAnsi" w:hAnsiTheme="minorHAnsi" w:cstheme="minorHAnsi"/>
          <w:sz w:val="24"/>
          <w:szCs w:val="22"/>
          <w:lang w:val="en-GB"/>
        </w:rPr>
        <w:t xml:space="preserve">Potential recipients will also undergo additional ad hoc reviews if there is a potential change to suitability for </w:t>
      </w:r>
      <w:r w:rsidR="00595193">
        <w:rPr>
          <w:rFonts w:asciiTheme="minorHAnsi" w:hAnsiTheme="minorHAnsi" w:cstheme="minorHAnsi"/>
          <w:sz w:val="24"/>
          <w:szCs w:val="22"/>
          <w:lang w:val="en-GB"/>
        </w:rPr>
        <w:t>waiting list eligibility</w:t>
      </w:r>
      <w:r w:rsidRPr="00F17564">
        <w:rPr>
          <w:rFonts w:asciiTheme="minorHAnsi" w:hAnsiTheme="minorHAnsi" w:cstheme="minorHAnsi"/>
          <w:sz w:val="24"/>
          <w:szCs w:val="22"/>
          <w:lang w:val="en-GB"/>
        </w:rPr>
        <w:t xml:space="preserve"> due to a worsening of their </w:t>
      </w:r>
      <w:r>
        <w:rPr>
          <w:rFonts w:asciiTheme="minorHAnsi" w:hAnsiTheme="minorHAnsi" w:cstheme="minorHAnsi"/>
          <w:sz w:val="24"/>
          <w:szCs w:val="22"/>
          <w:lang w:val="en-GB"/>
        </w:rPr>
        <w:t>condition. In the case of the renal organ waiting list, i</w:t>
      </w:r>
      <w:r w:rsidRPr="00F17564">
        <w:rPr>
          <w:rFonts w:asciiTheme="minorHAnsi" w:hAnsiTheme="minorHAnsi" w:cstheme="minorHAnsi"/>
          <w:sz w:val="24"/>
          <w:szCs w:val="22"/>
          <w:lang w:val="en-GB"/>
        </w:rPr>
        <w:t xml:space="preserve">f </w:t>
      </w:r>
      <w:r>
        <w:rPr>
          <w:rFonts w:asciiTheme="minorHAnsi" w:hAnsiTheme="minorHAnsi" w:cstheme="minorHAnsi"/>
          <w:sz w:val="24"/>
          <w:szCs w:val="22"/>
          <w:lang w:val="en-GB"/>
        </w:rPr>
        <w:t xml:space="preserve">the review reveals that </w:t>
      </w:r>
      <w:r w:rsidRPr="00F17564">
        <w:rPr>
          <w:rFonts w:asciiTheme="minorHAnsi" w:hAnsiTheme="minorHAnsi" w:cstheme="minorHAnsi"/>
          <w:sz w:val="24"/>
          <w:szCs w:val="22"/>
          <w:lang w:val="en-GB"/>
        </w:rPr>
        <w:t>the potential recipient is no longer thought</w:t>
      </w:r>
      <w:r w:rsidR="003778F4">
        <w:rPr>
          <w:rFonts w:asciiTheme="minorHAnsi" w:hAnsiTheme="minorHAnsi" w:cstheme="minorHAnsi"/>
          <w:sz w:val="24"/>
          <w:szCs w:val="22"/>
          <w:lang w:val="en-GB"/>
        </w:rPr>
        <w:t xml:space="preserve"> to be</w:t>
      </w:r>
      <w:r w:rsidRPr="00F17564">
        <w:rPr>
          <w:rFonts w:asciiTheme="minorHAnsi" w:hAnsiTheme="minorHAnsi" w:cstheme="minorHAnsi"/>
          <w:sz w:val="24"/>
          <w:szCs w:val="22"/>
          <w:lang w:val="en-GB"/>
        </w:rPr>
        <w:t xml:space="preserve"> suitable for a transplant</w:t>
      </w:r>
      <w:r>
        <w:rPr>
          <w:rFonts w:asciiTheme="minorHAnsi" w:hAnsiTheme="minorHAnsi" w:cstheme="minorHAnsi"/>
          <w:sz w:val="24"/>
          <w:szCs w:val="22"/>
          <w:lang w:val="en-GB"/>
        </w:rPr>
        <w:t>,</w:t>
      </w:r>
      <w:r w:rsidRPr="00F17564">
        <w:rPr>
          <w:rFonts w:asciiTheme="minorHAnsi" w:hAnsiTheme="minorHAnsi" w:cstheme="minorHAnsi"/>
          <w:sz w:val="24"/>
          <w:szCs w:val="22"/>
          <w:lang w:val="en-GB"/>
        </w:rPr>
        <w:t xml:space="preserve"> they will be removed from the wait</w:t>
      </w:r>
      <w:r w:rsidR="005123E6">
        <w:rPr>
          <w:rFonts w:asciiTheme="minorHAnsi" w:hAnsiTheme="minorHAnsi" w:cstheme="minorHAnsi"/>
          <w:sz w:val="24"/>
          <w:szCs w:val="22"/>
          <w:lang w:val="en-GB"/>
        </w:rPr>
        <w:t>ing</w:t>
      </w:r>
      <w:r w:rsidRPr="00F17564">
        <w:rPr>
          <w:rFonts w:asciiTheme="minorHAnsi" w:hAnsiTheme="minorHAnsi" w:cstheme="minorHAnsi"/>
          <w:sz w:val="24"/>
          <w:szCs w:val="22"/>
          <w:lang w:val="en-GB"/>
        </w:rPr>
        <w:t xml:space="preserve"> list. This could be a permanent or temporary removal from the list depending on individual circumstances.</w:t>
      </w:r>
      <w:r>
        <w:rPr>
          <w:rFonts w:asciiTheme="minorHAnsi" w:hAnsiTheme="minorHAnsi" w:cstheme="minorHAnsi"/>
          <w:sz w:val="24"/>
          <w:szCs w:val="22"/>
          <w:lang w:val="en-GB"/>
        </w:rPr>
        <w:t xml:space="preserve"> </w:t>
      </w:r>
    </w:p>
    <w:p w14:paraId="34A69265" w14:textId="03930256" w:rsidR="008D21EA" w:rsidRDefault="001732C2">
      <w:pPr>
        <w:spacing w:after="120"/>
        <w:rPr>
          <w:rFonts w:asciiTheme="minorHAnsi" w:hAnsiTheme="minorHAnsi" w:cstheme="minorHAnsi"/>
          <w:sz w:val="24"/>
          <w:szCs w:val="22"/>
          <w:lang w:val="en-GB"/>
        </w:rPr>
      </w:pPr>
      <w:r>
        <w:rPr>
          <w:rFonts w:asciiTheme="minorHAnsi" w:hAnsiTheme="minorHAnsi" w:cstheme="minorHAnsi"/>
          <w:sz w:val="24"/>
          <w:szCs w:val="22"/>
          <w:lang w:val="en-GB"/>
        </w:rPr>
        <w:t>Wait</w:t>
      </w:r>
      <w:r w:rsidR="009D145F">
        <w:rPr>
          <w:rFonts w:asciiTheme="minorHAnsi" w:hAnsiTheme="minorHAnsi" w:cstheme="minorHAnsi"/>
          <w:sz w:val="24"/>
          <w:szCs w:val="22"/>
          <w:lang w:val="en-GB"/>
        </w:rPr>
        <w:t>ing lists</w:t>
      </w:r>
      <w:r>
        <w:rPr>
          <w:rFonts w:asciiTheme="minorHAnsi" w:hAnsiTheme="minorHAnsi" w:cstheme="minorHAnsi"/>
          <w:sz w:val="24"/>
          <w:szCs w:val="22"/>
          <w:lang w:val="en-GB"/>
        </w:rPr>
        <w:t xml:space="preserve"> for </w:t>
      </w:r>
      <w:r w:rsidR="009D145F">
        <w:rPr>
          <w:rFonts w:asciiTheme="minorHAnsi" w:hAnsiTheme="minorHAnsi" w:cstheme="minorHAnsi"/>
          <w:sz w:val="24"/>
          <w:szCs w:val="22"/>
          <w:lang w:val="en-GB"/>
        </w:rPr>
        <w:t>non-renal organs</w:t>
      </w:r>
      <w:r>
        <w:rPr>
          <w:rFonts w:asciiTheme="minorHAnsi" w:hAnsiTheme="minorHAnsi" w:cstheme="minorHAnsi"/>
          <w:sz w:val="24"/>
          <w:szCs w:val="22"/>
          <w:lang w:val="en-GB"/>
        </w:rPr>
        <w:t xml:space="preserve"> are less dynamic due to factors such as the scarcity of organs, the disease profile of potential recipients and the availability of other treatments</w:t>
      </w:r>
      <w:r w:rsidR="009B2CB9">
        <w:rPr>
          <w:rFonts w:asciiTheme="minorHAnsi" w:hAnsiTheme="minorHAnsi" w:cstheme="minorHAnsi"/>
          <w:sz w:val="24"/>
          <w:szCs w:val="22"/>
          <w:lang w:val="en-GB"/>
        </w:rPr>
        <w:t xml:space="preserve">. </w:t>
      </w:r>
      <w:r w:rsidR="00DB2089">
        <w:rPr>
          <w:rFonts w:asciiTheme="minorHAnsi" w:hAnsiTheme="minorHAnsi" w:cstheme="minorHAnsi"/>
          <w:sz w:val="24"/>
          <w:szCs w:val="22"/>
          <w:lang w:val="en-GB"/>
        </w:rPr>
        <w:t>Therefore,</w:t>
      </w:r>
      <w:r>
        <w:rPr>
          <w:rFonts w:asciiTheme="minorHAnsi" w:hAnsiTheme="minorHAnsi" w:cstheme="minorHAnsi"/>
          <w:sz w:val="24"/>
          <w:szCs w:val="22"/>
          <w:lang w:val="en-GB"/>
        </w:rPr>
        <w:t xml:space="preserve"> patients remain on the </w:t>
      </w:r>
      <w:r w:rsidR="007411D9">
        <w:rPr>
          <w:rFonts w:asciiTheme="minorHAnsi" w:hAnsiTheme="minorHAnsi" w:cstheme="minorHAnsi"/>
          <w:sz w:val="24"/>
          <w:szCs w:val="22"/>
          <w:lang w:val="en-GB"/>
        </w:rPr>
        <w:t>wait</w:t>
      </w:r>
      <w:r w:rsidR="005123E6">
        <w:rPr>
          <w:rFonts w:asciiTheme="minorHAnsi" w:hAnsiTheme="minorHAnsi" w:cstheme="minorHAnsi"/>
          <w:sz w:val="24"/>
          <w:szCs w:val="22"/>
          <w:lang w:val="en-GB"/>
        </w:rPr>
        <w:t>ing</w:t>
      </w:r>
      <w:r w:rsidR="007411D9">
        <w:rPr>
          <w:rFonts w:asciiTheme="minorHAnsi" w:hAnsiTheme="minorHAnsi" w:cstheme="minorHAnsi"/>
          <w:sz w:val="24"/>
          <w:szCs w:val="22"/>
          <w:lang w:val="en-GB"/>
        </w:rPr>
        <w:t xml:space="preserve"> list</w:t>
      </w:r>
      <w:r>
        <w:rPr>
          <w:rFonts w:asciiTheme="minorHAnsi" w:hAnsiTheme="minorHAnsi" w:cstheme="minorHAnsi"/>
          <w:sz w:val="24"/>
          <w:szCs w:val="22"/>
          <w:lang w:val="en-GB"/>
        </w:rPr>
        <w:t xml:space="preserve"> and </w:t>
      </w:r>
      <w:r w:rsidR="009B2CB9">
        <w:rPr>
          <w:rFonts w:asciiTheme="minorHAnsi" w:hAnsiTheme="minorHAnsi" w:cstheme="minorHAnsi"/>
          <w:sz w:val="24"/>
          <w:szCs w:val="22"/>
          <w:lang w:val="en-GB"/>
        </w:rPr>
        <w:t xml:space="preserve">are </w:t>
      </w:r>
      <w:r>
        <w:rPr>
          <w:rFonts w:asciiTheme="minorHAnsi" w:hAnsiTheme="minorHAnsi" w:cstheme="minorHAnsi"/>
          <w:sz w:val="24"/>
          <w:szCs w:val="22"/>
          <w:lang w:val="en-GB"/>
        </w:rPr>
        <w:t>clinically managed to meet the eligibility criteria.</w:t>
      </w:r>
    </w:p>
    <w:p w14:paraId="754B0614" w14:textId="2EAF7B16" w:rsidR="00AE701D" w:rsidRDefault="001732C2">
      <w:pPr>
        <w:spacing w:after="120"/>
        <w:rPr>
          <w:rFonts w:asciiTheme="minorHAnsi" w:hAnsiTheme="minorHAnsi" w:cstheme="minorHAnsi"/>
          <w:sz w:val="24"/>
          <w:szCs w:val="22"/>
          <w:lang w:val="en-GB"/>
        </w:rPr>
      </w:pPr>
      <w:r>
        <w:rPr>
          <w:rFonts w:asciiTheme="minorHAnsi" w:hAnsiTheme="minorHAnsi" w:cstheme="minorHAnsi"/>
          <w:sz w:val="24"/>
          <w:szCs w:val="22"/>
          <w:lang w:val="en-GB"/>
        </w:rPr>
        <w:t>In order to</w:t>
      </w:r>
      <w:r w:rsidR="00C84FE6">
        <w:rPr>
          <w:rFonts w:asciiTheme="minorHAnsi" w:hAnsiTheme="minorHAnsi" w:cstheme="minorHAnsi"/>
          <w:sz w:val="24"/>
          <w:szCs w:val="22"/>
          <w:lang w:val="en-GB"/>
        </w:rPr>
        <w:t xml:space="preserve"> understand</w:t>
      </w:r>
      <w:r w:rsidR="00C84FE6" w:rsidRPr="00F37D51">
        <w:rPr>
          <w:rFonts w:asciiTheme="minorHAnsi" w:hAnsiTheme="minorHAnsi" w:cstheme="minorHAnsi"/>
          <w:sz w:val="24"/>
          <w:szCs w:val="22"/>
          <w:lang w:val="en-GB"/>
        </w:rPr>
        <w:t xml:space="preserve"> the type of organ required to suitably match to recipient according to size, blood type and other medical suitability requirements</w:t>
      </w:r>
      <w:r w:rsidR="00C84FE6">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potential recipient</w:t>
      </w:r>
      <w:r w:rsidR="00C84FE6">
        <w:rPr>
          <w:rFonts w:asciiTheme="minorHAnsi" w:hAnsiTheme="minorHAnsi" w:cstheme="minorHAnsi"/>
          <w:sz w:val="24"/>
          <w:szCs w:val="22"/>
          <w:lang w:val="en-GB"/>
        </w:rPr>
        <w:t>s undergo</w:t>
      </w:r>
      <w:r w:rsidRPr="00F37D51">
        <w:rPr>
          <w:rFonts w:asciiTheme="minorHAnsi" w:hAnsiTheme="minorHAnsi" w:cstheme="minorHAnsi"/>
          <w:sz w:val="24"/>
          <w:szCs w:val="22"/>
          <w:lang w:val="en-GB"/>
        </w:rPr>
        <w:t xml:space="preserve"> a transplant assessment </w:t>
      </w:r>
      <w:r w:rsidR="00C84FE6">
        <w:rPr>
          <w:rFonts w:asciiTheme="minorHAnsi" w:hAnsiTheme="minorHAnsi" w:cstheme="minorHAnsi"/>
          <w:sz w:val="24"/>
          <w:szCs w:val="22"/>
          <w:lang w:val="en-GB"/>
        </w:rPr>
        <w:t>within</w:t>
      </w:r>
      <w:r w:rsidRPr="00F37D51">
        <w:rPr>
          <w:rFonts w:asciiTheme="minorHAnsi" w:hAnsiTheme="minorHAnsi" w:cstheme="minorHAnsi"/>
          <w:sz w:val="24"/>
          <w:szCs w:val="22"/>
          <w:lang w:val="en-GB"/>
        </w:rPr>
        <w:t xml:space="preserve"> the transplant</w:t>
      </w:r>
      <w:r w:rsidR="002F662D">
        <w:rPr>
          <w:rFonts w:asciiTheme="minorHAnsi" w:hAnsiTheme="minorHAnsi" w:cstheme="minorHAnsi"/>
          <w:sz w:val="24"/>
          <w:szCs w:val="22"/>
          <w:lang w:val="en-GB"/>
        </w:rPr>
        <w:t>ation</w:t>
      </w:r>
      <w:r w:rsidRPr="00F37D51">
        <w:rPr>
          <w:rFonts w:asciiTheme="minorHAnsi" w:hAnsiTheme="minorHAnsi" w:cstheme="minorHAnsi"/>
          <w:sz w:val="24"/>
          <w:szCs w:val="22"/>
          <w:lang w:val="en-GB"/>
        </w:rPr>
        <w:t xml:space="preserve"> unit to which the patient was referred. </w:t>
      </w:r>
      <w:r>
        <w:rPr>
          <w:rFonts w:asciiTheme="minorHAnsi" w:hAnsiTheme="minorHAnsi" w:cstheme="minorHAnsi"/>
          <w:sz w:val="24"/>
          <w:szCs w:val="22"/>
          <w:lang w:val="en-GB"/>
        </w:rPr>
        <w:t xml:space="preserve">Further detail on </w:t>
      </w:r>
      <w:r w:rsidRPr="00F37D51">
        <w:rPr>
          <w:rFonts w:asciiTheme="minorHAnsi" w:hAnsiTheme="minorHAnsi" w:cstheme="minorHAnsi"/>
          <w:sz w:val="24"/>
          <w:szCs w:val="22"/>
          <w:lang w:val="en-GB"/>
        </w:rPr>
        <w:t xml:space="preserve">organ matching </w:t>
      </w:r>
      <w:r>
        <w:rPr>
          <w:rFonts w:asciiTheme="minorHAnsi" w:hAnsiTheme="minorHAnsi" w:cstheme="minorHAnsi"/>
          <w:sz w:val="24"/>
          <w:szCs w:val="22"/>
          <w:lang w:val="en-GB"/>
        </w:rPr>
        <w:t xml:space="preserve">is </w:t>
      </w:r>
      <w:r w:rsidRPr="002F662D">
        <w:rPr>
          <w:rFonts w:asciiTheme="minorHAnsi" w:hAnsiTheme="minorHAnsi" w:cstheme="minorHAnsi"/>
          <w:sz w:val="24"/>
          <w:szCs w:val="22"/>
          <w:lang w:val="en-GB"/>
        </w:rPr>
        <w:t>outlined in Section</w:t>
      </w:r>
      <w:r w:rsidR="005D72CD">
        <w:rPr>
          <w:rFonts w:asciiTheme="minorHAnsi" w:hAnsiTheme="minorHAnsi" w:cstheme="minorHAnsi"/>
          <w:sz w:val="24"/>
          <w:szCs w:val="22"/>
          <w:lang w:val="en-GB"/>
        </w:rPr>
        <w:t xml:space="preserve"> </w:t>
      </w:r>
      <w:r w:rsidR="00E0693A">
        <w:rPr>
          <w:rFonts w:asciiTheme="minorHAnsi" w:hAnsiTheme="minorHAnsi" w:cstheme="minorHAnsi"/>
          <w:sz w:val="24"/>
          <w:szCs w:val="22"/>
          <w:lang w:val="en-GB"/>
        </w:rPr>
        <w:fldChar w:fldCharType="begin"/>
      </w:r>
      <w:r w:rsidR="00E0693A">
        <w:rPr>
          <w:rFonts w:asciiTheme="minorHAnsi" w:hAnsiTheme="minorHAnsi" w:cstheme="minorHAnsi"/>
          <w:sz w:val="24"/>
          <w:szCs w:val="22"/>
          <w:lang w:val="en-GB"/>
        </w:rPr>
        <w:instrText xml:space="preserve"> REF _Ref531252114 \r \h </w:instrText>
      </w:r>
      <w:r w:rsidR="00E0693A">
        <w:rPr>
          <w:rFonts w:asciiTheme="minorHAnsi" w:hAnsiTheme="minorHAnsi" w:cstheme="minorHAnsi"/>
          <w:sz w:val="24"/>
          <w:szCs w:val="22"/>
          <w:lang w:val="en-GB"/>
        </w:rPr>
      </w:r>
      <w:r w:rsidR="00E0693A">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4.5</w:t>
      </w:r>
      <w:r w:rsidR="00E0693A">
        <w:rPr>
          <w:rFonts w:asciiTheme="minorHAnsi" w:hAnsiTheme="minorHAnsi" w:cstheme="minorHAnsi"/>
          <w:sz w:val="24"/>
          <w:szCs w:val="22"/>
          <w:lang w:val="en-GB"/>
        </w:rPr>
        <w:fldChar w:fldCharType="end"/>
      </w:r>
      <w:r w:rsidRPr="002F662D">
        <w:rPr>
          <w:rFonts w:asciiTheme="minorHAnsi" w:hAnsiTheme="minorHAnsi" w:cstheme="minorHAnsi"/>
          <w:sz w:val="24"/>
          <w:szCs w:val="22"/>
          <w:lang w:val="en-GB"/>
        </w:rPr>
        <w:t>.</w:t>
      </w:r>
      <w:r w:rsidR="00AE701D">
        <w:rPr>
          <w:rFonts w:asciiTheme="minorHAnsi" w:hAnsiTheme="minorHAnsi" w:cstheme="minorHAnsi"/>
          <w:sz w:val="24"/>
          <w:szCs w:val="22"/>
          <w:lang w:val="en-GB"/>
        </w:rPr>
        <w:br w:type="page"/>
      </w:r>
    </w:p>
    <w:p w14:paraId="77A38A78" w14:textId="77777777" w:rsidR="00C43CA7" w:rsidRDefault="006A6E02" w:rsidP="00C43CA7">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117" w:name="_Toc532301683"/>
      <w:r w:rsidRPr="00266A77">
        <w:rPr>
          <w:rFonts w:asciiTheme="minorHAnsi" w:hAnsiTheme="minorHAnsi" w:cstheme="minorHAnsi"/>
          <w:iCs/>
          <w:color w:val="7F7F7F" w:themeColor="text1" w:themeTint="80"/>
          <w:sz w:val="36"/>
          <w:szCs w:val="30"/>
        </w:rPr>
        <w:lastRenderedPageBreak/>
        <w:t xml:space="preserve">Element 2: </w:t>
      </w:r>
      <w:r w:rsidR="00C43CA7" w:rsidRPr="00266A77">
        <w:rPr>
          <w:rFonts w:asciiTheme="minorHAnsi" w:hAnsiTheme="minorHAnsi" w:cstheme="minorHAnsi"/>
          <w:iCs/>
          <w:color w:val="7F7F7F" w:themeColor="text1" w:themeTint="80"/>
          <w:sz w:val="36"/>
          <w:szCs w:val="30"/>
        </w:rPr>
        <w:t xml:space="preserve">Deceased </w:t>
      </w:r>
      <w:r w:rsidR="00327B38">
        <w:rPr>
          <w:rFonts w:asciiTheme="minorHAnsi" w:hAnsiTheme="minorHAnsi" w:cstheme="minorHAnsi"/>
          <w:iCs/>
          <w:color w:val="7F7F7F" w:themeColor="text1" w:themeTint="80"/>
          <w:sz w:val="36"/>
          <w:szCs w:val="30"/>
        </w:rPr>
        <w:t xml:space="preserve">donor </w:t>
      </w:r>
      <w:r w:rsidR="00E114D8">
        <w:rPr>
          <w:rFonts w:asciiTheme="minorHAnsi" w:hAnsiTheme="minorHAnsi" w:cstheme="minorHAnsi"/>
          <w:iCs/>
          <w:color w:val="7F7F7F" w:themeColor="text1" w:themeTint="80"/>
          <w:sz w:val="36"/>
          <w:szCs w:val="30"/>
        </w:rPr>
        <w:t xml:space="preserve">organ </w:t>
      </w:r>
      <w:r w:rsidR="00C43CA7" w:rsidRPr="00266A77">
        <w:rPr>
          <w:rFonts w:asciiTheme="minorHAnsi" w:hAnsiTheme="minorHAnsi" w:cstheme="minorHAnsi"/>
          <w:iCs/>
          <w:color w:val="7F7F7F" w:themeColor="text1" w:themeTint="80"/>
          <w:sz w:val="36"/>
          <w:szCs w:val="30"/>
        </w:rPr>
        <w:t>donation</w:t>
      </w:r>
      <w:bookmarkEnd w:id="117"/>
    </w:p>
    <w:p w14:paraId="58040AEA" w14:textId="77777777" w:rsidR="009B2CB9" w:rsidRDefault="009B2CB9" w:rsidP="009B2CB9">
      <w:pPr>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This element includes</w:t>
      </w:r>
      <w:r>
        <w:rPr>
          <w:rFonts w:asciiTheme="minorHAnsi" w:hAnsiTheme="minorHAnsi" w:cstheme="minorHAnsi"/>
          <w:sz w:val="24"/>
          <w:szCs w:val="22"/>
          <w:lang w:val="en-GB"/>
        </w:rPr>
        <w:t>:</w:t>
      </w:r>
    </w:p>
    <w:p w14:paraId="2E238D73" w14:textId="39A48A20" w:rsidR="009B2CB9" w:rsidRDefault="00B815FE" w:rsidP="009B2CB9">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Registration for organ and tissue donation for transplantation</w:t>
      </w:r>
      <w:r w:rsidR="0039413F">
        <w:rPr>
          <w:rFonts w:asciiTheme="minorHAnsi" w:hAnsiTheme="minorHAnsi" w:cstheme="minorHAnsi"/>
          <w:sz w:val="24"/>
          <w:szCs w:val="22"/>
          <w:lang w:val="en-GB"/>
        </w:rPr>
        <w:t xml:space="preserve"> (Section 4.4.1)</w:t>
      </w:r>
    </w:p>
    <w:p w14:paraId="24F63179" w14:textId="7853B1CE" w:rsidR="009B2CB9" w:rsidRDefault="00B815FE" w:rsidP="009B2CB9">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Organ donation</w:t>
      </w:r>
      <w:r w:rsidR="0039413F">
        <w:rPr>
          <w:rFonts w:asciiTheme="minorHAnsi" w:hAnsiTheme="minorHAnsi" w:cstheme="minorHAnsi"/>
          <w:sz w:val="24"/>
          <w:szCs w:val="22"/>
          <w:lang w:val="en-GB"/>
        </w:rPr>
        <w:t xml:space="preserve"> (Section 4.4.2) </w:t>
      </w:r>
    </w:p>
    <w:p w14:paraId="13D4A762" w14:textId="76C1F86A" w:rsidR="009B2CB9" w:rsidRDefault="00B815FE" w:rsidP="00447661">
      <w:pPr>
        <w:widowControl/>
        <w:numPr>
          <w:ilvl w:val="0"/>
          <w:numId w:val="18"/>
        </w:numPr>
        <w:autoSpaceDE/>
        <w:autoSpaceDN/>
        <w:adjustRightInd/>
        <w:spacing w:after="120"/>
        <w:ind w:left="357" w:hanging="357"/>
        <w:rPr>
          <w:rFonts w:asciiTheme="minorHAnsi" w:hAnsiTheme="minorHAnsi" w:cstheme="minorHAnsi"/>
          <w:sz w:val="24"/>
          <w:szCs w:val="22"/>
          <w:lang w:val="en-GB"/>
        </w:rPr>
      </w:pPr>
      <w:r>
        <w:rPr>
          <w:rFonts w:asciiTheme="minorHAnsi" w:hAnsiTheme="minorHAnsi" w:cstheme="minorHAnsi"/>
          <w:sz w:val="24"/>
          <w:szCs w:val="22"/>
          <w:lang w:val="en-GB"/>
        </w:rPr>
        <w:t>Deceased organ donation performance</w:t>
      </w:r>
      <w:r w:rsidR="0039413F">
        <w:rPr>
          <w:rFonts w:asciiTheme="minorHAnsi" w:hAnsiTheme="minorHAnsi" w:cstheme="minorHAnsi"/>
          <w:sz w:val="24"/>
          <w:szCs w:val="22"/>
          <w:lang w:val="en-GB"/>
        </w:rPr>
        <w:t xml:space="preserve"> (Section 4.4.3). </w:t>
      </w:r>
    </w:p>
    <w:p w14:paraId="60260575" w14:textId="77777777" w:rsidR="00C43CA7" w:rsidRPr="00266A77" w:rsidRDefault="00C43CA7" w:rsidP="00266A77">
      <w:pPr>
        <w:pStyle w:val="Heading3"/>
        <w:tabs>
          <w:tab w:val="clear" w:pos="1843"/>
          <w:tab w:val="num" w:pos="1559"/>
        </w:tabs>
        <w:ind w:left="992" w:hanging="992"/>
        <w:rPr>
          <w:rFonts w:asciiTheme="minorHAnsi" w:hAnsiTheme="minorHAnsi" w:cstheme="minorHAnsi"/>
          <w:color w:val="7F7F7F" w:themeColor="text1" w:themeTint="80"/>
          <w:sz w:val="30"/>
          <w:szCs w:val="30"/>
        </w:rPr>
      </w:pPr>
      <w:r w:rsidRPr="00266A77">
        <w:rPr>
          <w:rFonts w:asciiTheme="minorHAnsi" w:hAnsiTheme="minorHAnsi" w:cstheme="minorHAnsi"/>
          <w:b w:val="0"/>
          <w:color w:val="7F7F7F" w:themeColor="text1" w:themeTint="80"/>
          <w:sz w:val="30"/>
          <w:szCs w:val="30"/>
        </w:rPr>
        <w:t>Registration</w:t>
      </w:r>
      <w:r w:rsidR="00EB5B74">
        <w:rPr>
          <w:rFonts w:asciiTheme="minorHAnsi" w:hAnsiTheme="minorHAnsi" w:cstheme="minorHAnsi"/>
          <w:b w:val="0"/>
          <w:color w:val="7F7F7F" w:themeColor="text1" w:themeTint="80"/>
          <w:sz w:val="30"/>
          <w:szCs w:val="30"/>
        </w:rPr>
        <w:t xml:space="preserve"> for organ </w:t>
      </w:r>
      <w:r w:rsidR="00164E98">
        <w:rPr>
          <w:rFonts w:asciiTheme="minorHAnsi" w:hAnsiTheme="minorHAnsi" w:cstheme="minorHAnsi"/>
          <w:b w:val="0"/>
          <w:color w:val="7F7F7F" w:themeColor="text1" w:themeTint="80"/>
          <w:sz w:val="30"/>
          <w:szCs w:val="30"/>
        </w:rPr>
        <w:t xml:space="preserve">and tissue </w:t>
      </w:r>
      <w:r w:rsidR="00EB5B74">
        <w:rPr>
          <w:rFonts w:asciiTheme="minorHAnsi" w:hAnsiTheme="minorHAnsi" w:cstheme="minorHAnsi"/>
          <w:b w:val="0"/>
          <w:color w:val="7F7F7F" w:themeColor="text1" w:themeTint="80"/>
          <w:sz w:val="30"/>
          <w:szCs w:val="30"/>
        </w:rPr>
        <w:t>donation</w:t>
      </w:r>
      <w:r w:rsidR="00164E98">
        <w:rPr>
          <w:rFonts w:asciiTheme="minorHAnsi" w:hAnsiTheme="minorHAnsi" w:cstheme="minorHAnsi"/>
          <w:b w:val="0"/>
          <w:color w:val="7F7F7F" w:themeColor="text1" w:themeTint="80"/>
          <w:sz w:val="30"/>
          <w:szCs w:val="30"/>
        </w:rPr>
        <w:t xml:space="preserve"> for transplantation</w:t>
      </w:r>
      <w:r w:rsidR="00EB5B74">
        <w:rPr>
          <w:rFonts w:asciiTheme="minorHAnsi" w:hAnsiTheme="minorHAnsi" w:cstheme="minorHAnsi"/>
          <w:b w:val="0"/>
          <w:color w:val="7F7F7F" w:themeColor="text1" w:themeTint="80"/>
          <w:sz w:val="30"/>
          <w:szCs w:val="30"/>
        </w:rPr>
        <w:t xml:space="preserve"> </w:t>
      </w:r>
    </w:p>
    <w:p w14:paraId="2DAC55D0" w14:textId="77777777" w:rsidR="00C43CA7" w:rsidRPr="00F37D51" w:rsidRDefault="00C43CA7" w:rsidP="00C43CA7">
      <w:pPr>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The AODR was established in 2000 and is </w:t>
      </w:r>
      <w:r w:rsidR="007A12EB">
        <w:rPr>
          <w:rFonts w:asciiTheme="minorHAnsi" w:hAnsiTheme="minorHAnsi" w:cstheme="minorHAnsi"/>
          <w:sz w:val="24"/>
          <w:szCs w:val="22"/>
          <w:lang w:val="en-GB"/>
        </w:rPr>
        <w:t xml:space="preserve">the national register </w:t>
      </w:r>
      <w:r w:rsidR="00921C8D">
        <w:rPr>
          <w:rFonts w:asciiTheme="minorHAnsi" w:hAnsiTheme="minorHAnsi" w:cstheme="minorHAnsi"/>
          <w:sz w:val="24"/>
          <w:szCs w:val="22"/>
          <w:lang w:val="en-GB"/>
        </w:rPr>
        <w:t xml:space="preserve">of consent </w:t>
      </w:r>
      <w:r w:rsidR="007A12EB">
        <w:rPr>
          <w:rFonts w:asciiTheme="minorHAnsi" w:hAnsiTheme="minorHAnsi" w:cstheme="minorHAnsi"/>
          <w:sz w:val="24"/>
          <w:szCs w:val="22"/>
          <w:lang w:val="en-GB"/>
        </w:rPr>
        <w:t xml:space="preserve">for organ and tissue donation for transplantation decisions after death. The AODR is administered by the </w:t>
      </w:r>
      <w:r w:rsidR="008C7E73">
        <w:rPr>
          <w:rFonts w:asciiTheme="minorHAnsi" w:hAnsiTheme="minorHAnsi" w:cstheme="minorHAnsi"/>
          <w:sz w:val="24"/>
          <w:szCs w:val="22"/>
          <w:lang w:val="en-GB"/>
        </w:rPr>
        <w:t xml:space="preserve">Australian Government </w:t>
      </w:r>
      <w:r w:rsidR="00FF469A">
        <w:rPr>
          <w:rFonts w:asciiTheme="minorHAnsi" w:hAnsiTheme="minorHAnsi" w:cstheme="minorHAnsi"/>
          <w:sz w:val="24"/>
          <w:szCs w:val="22"/>
          <w:lang w:val="en-GB"/>
        </w:rPr>
        <w:t>D</w:t>
      </w:r>
      <w:r w:rsidR="007A12EB">
        <w:rPr>
          <w:rFonts w:asciiTheme="minorHAnsi" w:hAnsiTheme="minorHAnsi" w:cstheme="minorHAnsi"/>
          <w:sz w:val="24"/>
          <w:szCs w:val="22"/>
          <w:lang w:val="en-GB"/>
        </w:rPr>
        <w:t xml:space="preserve">epartment of Human </w:t>
      </w:r>
      <w:r w:rsidR="008C7E73">
        <w:rPr>
          <w:rFonts w:asciiTheme="minorHAnsi" w:hAnsiTheme="minorHAnsi" w:cstheme="minorHAnsi"/>
          <w:sz w:val="24"/>
          <w:szCs w:val="22"/>
          <w:lang w:val="en-GB"/>
        </w:rPr>
        <w:t>S</w:t>
      </w:r>
      <w:r w:rsidR="007A12EB">
        <w:rPr>
          <w:rFonts w:asciiTheme="minorHAnsi" w:hAnsiTheme="minorHAnsi" w:cstheme="minorHAnsi"/>
          <w:sz w:val="24"/>
          <w:szCs w:val="22"/>
          <w:lang w:val="en-GB"/>
        </w:rPr>
        <w:t xml:space="preserve">ervices, on behalf of the </w:t>
      </w:r>
      <w:r w:rsidR="00E632AF">
        <w:rPr>
          <w:rFonts w:asciiTheme="minorHAnsi" w:hAnsiTheme="minorHAnsi" w:cstheme="minorHAnsi"/>
          <w:sz w:val="24"/>
          <w:szCs w:val="24"/>
          <w:lang w:val="en-GB"/>
        </w:rPr>
        <w:t>Australian Government</w:t>
      </w:r>
      <w:r w:rsidR="007A12EB">
        <w:rPr>
          <w:rFonts w:asciiTheme="minorHAnsi" w:hAnsiTheme="minorHAnsi" w:cstheme="minorHAnsi"/>
          <w:sz w:val="24"/>
          <w:szCs w:val="22"/>
          <w:lang w:val="en-GB"/>
        </w:rPr>
        <w:t xml:space="preserve"> Department of Health</w:t>
      </w:r>
      <w:r w:rsidR="00676C9E">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 xml:space="preserve">The AODR is used to record individuals who have agreed to </w:t>
      </w:r>
      <w:hyperlink r:id="rId20" w:tooltip="Organ donation" w:history="1">
        <w:r w:rsidRPr="00F37D51">
          <w:rPr>
            <w:rFonts w:asciiTheme="minorHAnsi" w:hAnsiTheme="minorHAnsi" w:cstheme="minorHAnsi"/>
            <w:sz w:val="24"/>
            <w:szCs w:val="22"/>
            <w:lang w:val="en-GB"/>
          </w:rPr>
          <w:t>donate</w:t>
        </w:r>
      </w:hyperlink>
      <w:r w:rsidRPr="00F37D51">
        <w:rPr>
          <w:rFonts w:asciiTheme="minorHAnsi" w:hAnsiTheme="minorHAnsi" w:cstheme="minorHAnsi"/>
          <w:sz w:val="24"/>
          <w:szCs w:val="22"/>
          <w:lang w:val="en-GB"/>
        </w:rPr>
        <w:t xml:space="preserve"> </w:t>
      </w:r>
      <w:hyperlink r:id="rId21" w:tooltip="Organ (anatomy)" w:history="1">
        <w:r w:rsidRPr="00F37D51">
          <w:rPr>
            <w:rFonts w:asciiTheme="minorHAnsi" w:hAnsiTheme="minorHAnsi" w:cstheme="minorHAnsi"/>
            <w:sz w:val="24"/>
            <w:szCs w:val="22"/>
            <w:lang w:val="en-GB"/>
          </w:rPr>
          <w:t>organs</w:t>
        </w:r>
      </w:hyperlink>
      <w:r w:rsidRPr="00F37D51">
        <w:rPr>
          <w:rFonts w:asciiTheme="minorHAnsi" w:hAnsiTheme="minorHAnsi" w:cstheme="minorHAnsi"/>
          <w:sz w:val="24"/>
          <w:szCs w:val="22"/>
          <w:lang w:val="en-GB"/>
        </w:rPr>
        <w:t xml:space="preserve"> and</w:t>
      </w:r>
      <w:r w:rsidR="008573C1">
        <w:rPr>
          <w:rFonts w:asciiTheme="minorHAnsi" w:hAnsiTheme="minorHAnsi" w:cstheme="minorHAnsi"/>
          <w:sz w:val="24"/>
          <w:szCs w:val="22"/>
          <w:lang w:val="en-GB"/>
        </w:rPr>
        <w:t>/or</w:t>
      </w:r>
      <w:r w:rsidRPr="00F37D51">
        <w:rPr>
          <w:rFonts w:asciiTheme="minorHAnsi" w:hAnsiTheme="minorHAnsi" w:cstheme="minorHAnsi"/>
          <w:sz w:val="24"/>
          <w:szCs w:val="22"/>
          <w:lang w:val="en-GB"/>
        </w:rPr>
        <w:t xml:space="preserve"> </w:t>
      </w:r>
      <w:hyperlink r:id="rId22" w:tooltip="Biological tissue" w:history="1">
        <w:r w:rsidRPr="00F37D51">
          <w:rPr>
            <w:rFonts w:asciiTheme="minorHAnsi" w:hAnsiTheme="minorHAnsi" w:cstheme="minorHAnsi"/>
            <w:sz w:val="24"/>
            <w:szCs w:val="22"/>
            <w:lang w:val="en-GB"/>
          </w:rPr>
          <w:t>tissues</w:t>
        </w:r>
      </w:hyperlink>
      <w:r w:rsidRPr="00F37D51">
        <w:rPr>
          <w:rFonts w:asciiTheme="minorHAnsi" w:hAnsiTheme="minorHAnsi" w:cstheme="minorHAnsi"/>
          <w:sz w:val="24"/>
          <w:szCs w:val="22"/>
          <w:lang w:val="en-GB"/>
        </w:rPr>
        <w:t xml:space="preserve"> in the event of their death. Registration can be done online through: </w:t>
      </w:r>
    </w:p>
    <w:p w14:paraId="4764CD27" w14:textId="77777777" w:rsidR="00C43CA7" w:rsidRPr="00F37D51" w:rsidRDefault="00C43CA7" w:rsidP="00481A6A">
      <w:pPr>
        <w:numPr>
          <w:ilvl w:val="0"/>
          <w:numId w:val="18"/>
        </w:numPr>
        <w:spacing w:after="120"/>
        <w:ind w:left="357" w:hanging="357"/>
        <w:contextualSpacing/>
        <w:rPr>
          <w:rFonts w:asciiTheme="minorHAnsi" w:hAnsiTheme="minorHAnsi" w:cstheme="minorHAnsi"/>
          <w:sz w:val="24"/>
          <w:szCs w:val="22"/>
          <w:lang w:val="en-GB"/>
        </w:rPr>
      </w:pPr>
      <w:r w:rsidRPr="00F37D51">
        <w:rPr>
          <w:rFonts w:asciiTheme="minorHAnsi" w:hAnsiTheme="minorHAnsi" w:cstheme="minorHAnsi"/>
          <w:sz w:val="24"/>
          <w:szCs w:val="22"/>
          <w:lang w:val="en-GB"/>
        </w:rPr>
        <w:t>Medicare online account through myGov</w:t>
      </w:r>
    </w:p>
    <w:p w14:paraId="011F1AAD" w14:textId="77777777" w:rsidR="00C43CA7" w:rsidRPr="00F37D51" w:rsidRDefault="00C43CA7" w:rsidP="00481A6A">
      <w:pPr>
        <w:numPr>
          <w:ilvl w:val="0"/>
          <w:numId w:val="18"/>
        </w:numPr>
        <w:spacing w:after="120"/>
        <w:ind w:left="357" w:hanging="357"/>
        <w:contextualSpacing/>
        <w:rPr>
          <w:rFonts w:asciiTheme="minorHAnsi" w:hAnsiTheme="minorHAnsi" w:cstheme="minorHAnsi"/>
          <w:sz w:val="24"/>
          <w:szCs w:val="22"/>
          <w:lang w:val="en-GB"/>
        </w:rPr>
      </w:pPr>
      <w:r w:rsidRPr="00F37D51">
        <w:rPr>
          <w:rFonts w:asciiTheme="minorHAnsi" w:hAnsiTheme="minorHAnsi" w:cstheme="minorHAnsi"/>
          <w:sz w:val="24"/>
          <w:szCs w:val="22"/>
          <w:lang w:val="en-GB"/>
        </w:rPr>
        <w:t>Express Plus Medicare mobile app</w:t>
      </w:r>
    </w:p>
    <w:p w14:paraId="214F1998" w14:textId="77777777" w:rsidR="00C43CA7" w:rsidRPr="00F37D51" w:rsidRDefault="00C43CA7" w:rsidP="00481A6A">
      <w:pPr>
        <w:numPr>
          <w:ilvl w:val="0"/>
          <w:numId w:val="18"/>
        </w:numPr>
        <w:spacing w:after="120"/>
        <w:ind w:left="357" w:hanging="357"/>
        <w:contextualSpacing/>
        <w:rPr>
          <w:rFonts w:asciiTheme="minorHAnsi" w:hAnsiTheme="minorHAnsi" w:cstheme="minorHAnsi"/>
          <w:sz w:val="24"/>
          <w:szCs w:val="22"/>
          <w:lang w:val="en-GB"/>
        </w:rPr>
      </w:pPr>
      <w:r w:rsidRPr="00F37D51">
        <w:rPr>
          <w:rFonts w:asciiTheme="minorHAnsi" w:hAnsiTheme="minorHAnsi" w:cstheme="minorHAnsi"/>
          <w:sz w:val="24"/>
          <w:szCs w:val="22"/>
          <w:lang w:val="en-GB"/>
        </w:rPr>
        <w:t>Online form on the DonateLife website</w:t>
      </w:r>
    </w:p>
    <w:p w14:paraId="72959F47" w14:textId="77777777" w:rsidR="00C43CA7" w:rsidRDefault="00C43CA7" w:rsidP="00447661">
      <w:pPr>
        <w:numPr>
          <w:ilvl w:val="0"/>
          <w:numId w:val="18"/>
        </w:numPr>
        <w:spacing w:after="120"/>
        <w:ind w:left="357" w:hanging="357"/>
        <w:contextualSpacing/>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The </w:t>
      </w:r>
      <w:r w:rsidRPr="00266A77">
        <w:rPr>
          <w:rFonts w:asciiTheme="minorHAnsi" w:hAnsiTheme="minorHAnsi" w:cstheme="minorHAnsi"/>
          <w:i/>
          <w:sz w:val="24"/>
          <w:szCs w:val="22"/>
          <w:lang w:val="en-GB"/>
        </w:rPr>
        <w:t>Australian Organ Donor Register form for Donors</w:t>
      </w:r>
      <w:r w:rsidRPr="00F37D51">
        <w:rPr>
          <w:rFonts w:asciiTheme="minorHAnsi" w:hAnsiTheme="minorHAnsi" w:cstheme="minorHAnsi"/>
          <w:sz w:val="24"/>
          <w:szCs w:val="22"/>
          <w:lang w:val="en-GB"/>
        </w:rPr>
        <w:t xml:space="preserve"> (hard copy submitted by return post or at Centrelink)</w:t>
      </w:r>
    </w:p>
    <w:p w14:paraId="710C61EF" w14:textId="77777777" w:rsidR="00164E98" w:rsidRPr="00F37D51" w:rsidRDefault="00164E98" w:rsidP="00481A6A">
      <w:pPr>
        <w:numPr>
          <w:ilvl w:val="0"/>
          <w:numId w:val="18"/>
        </w:num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Online form on the </w:t>
      </w:r>
      <w:r w:rsidR="008C7E73">
        <w:rPr>
          <w:rFonts w:asciiTheme="minorHAnsi" w:hAnsiTheme="minorHAnsi" w:cstheme="minorHAnsi"/>
          <w:sz w:val="24"/>
          <w:szCs w:val="22"/>
          <w:lang w:val="en-GB"/>
        </w:rPr>
        <w:t xml:space="preserve">Australian Government </w:t>
      </w:r>
      <w:r>
        <w:rPr>
          <w:rFonts w:asciiTheme="minorHAnsi" w:hAnsiTheme="minorHAnsi" w:cstheme="minorHAnsi"/>
          <w:sz w:val="24"/>
          <w:szCs w:val="22"/>
          <w:lang w:val="en-GB"/>
        </w:rPr>
        <w:t>Department of Human Services website</w:t>
      </w:r>
      <w:r w:rsidR="00BD70FC">
        <w:rPr>
          <w:rFonts w:asciiTheme="minorHAnsi" w:hAnsiTheme="minorHAnsi" w:cstheme="minorHAnsi"/>
          <w:sz w:val="24"/>
          <w:szCs w:val="22"/>
          <w:lang w:val="en-GB"/>
        </w:rPr>
        <w:t>.</w:t>
      </w:r>
    </w:p>
    <w:p w14:paraId="03160F14" w14:textId="77777777" w:rsidR="006611D7" w:rsidRPr="00F17564" w:rsidRDefault="006611D7" w:rsidP="00F17564">
      <w:pPr>
        <w:spacing w:after="120"/>
        <w:rPr>
          <w:rFonts w:asciiTheme="minorHAnsi" w:hAnsiTheme="minorHAnsi" w:cstheme="minorHAnsi"/>
          <w:sz w:val="24"/>
          <w:szCs w:val="22"/>
          <w:lang w:val="en-GB"/>
        </w:rPr>
      </w:pPr>
      <w:r w:rsidRPr="00F17564">
        <w:rPr>
          <w:rFonts w:asciiTheme="minorHAnsi" w:hAnsiTheme="minorHAnsi" w:cstheme="minorHAnsi"/>
          <w:sz w:val="24"/>
          <w:szCs w:val="22"/>
          <w:lang w:val="en-GB"/>
        </w:rPr>
        <w:t>In July 2017</w:t>
      </w:r>
      <w:r w:rsidR="00164E98">
        <w:rPr>
          <w:rFonts w:asciiTheme="minorHAnsi" w:hAnsiTheme="minorHAnsi" w:cstheme="minorHAnsi"/>
          <w:sz w:val="24"/>
          <w:szCs w:val="22"/>
          <w:lang w:val="en-GB"/>
        </w:rPr>
        <w:t xml:space="preserve">, a </w:t>
      </w:r>
      <w:r w:rsidRPr="00F17564">
        <w:rPr>
          <w:rFonts w:asciiTheme="minorHAnsi" w:hAnsiTheme="minorHAnsi" w:cstheme="minorHAnsi"/>
          <w:sz w:val="24"/>
          <w:szCs w:val="22"/>
          <w:lang w:val="en-GB"/>
        </w:rPr>
        <w:t xml:space="preserve">new streamlined </w:t>
      </w:r>
      <w:r w:rsidR="00164E98">
        <w:rPr>
          <w:rFonts w:asciiTheme="minorHAnsi" w:hAnsiTheme="minorHAnsi" w:cstheme="minorHAnsi"/>
          <w:sz w:val="24"/>
          <w:szCs w:val="22"/>
          <w:lang w:val="en-GB"/>
        </w:rPr>
        <w:t xml:space="preserve">channel </w:t>
      </w:r>
      <w:r w:rsidRPr="00F17564">
        <w:rPr>
          <w:rFonts w:asciiTheme="minorHAnsi" w:hAnsiTheme="minorHAnsi" w:cstheme="minorHAnsi"/>
          <w:sz w:val="24"/>
          <w:szCs w:val="22"/>
          <w:lang w:val="en-GB"/>
        </w:rPr>
        <w:t>was launched by the Minister for Aged Care and Minister for Indigenous Health, the Hon Ken Wyatt AM</w:t>
      </w:r>
      <w:r w:rsidR="00164E98">
        <w:rPr>
          <w:rFonts w:asciiTheme="minorHAnsi" w:hAnsiTheme="minorHAnsi" w:cstheme="minorHAnsi"/>
          <w:sz w:val="24"/>
          <w:szCs w:val="22"/>
          <w:lang w:val="en-GB"/>
        </w:rPr>
        <w:t xml:space="preserve"> MP</w:t>
      </w:r>
      <w:r w:rsidRPr="00F17564">
        <w:rPr>
          <w:rFonts w:asciiTheme="minorHAnsi" w:hAnsiTheme="minorHAnsi" w:cstheme="minorHAnsi"/>
          <w:sz w:val="24"/>
          <w:szCs w:val="22"/>
          <w:lang w:val="en-GB"/>
        </w:rPr>
        <w:t xml:space="preserve">, </w:t>
      </w:r>
      <w:r w:rsidR="003778F4">
        <w:rPr>
          <w:rFonts w:asciiTheme="minorHAnsi" w:hAnsiTheme="minorHAnsi" w:cstheme="minorHAnsi"/>
          <w:sz w:val="24"/>
          <w:szCs w:val="22"/>
          <w:lang w:val="en-GB"/>
        </w:rPr>
        <w:t>which</w:t>
      </w:r>
      <w:r w:rsidRPr="00F17564">
        <w:rPr>
          <w:rFonts w:asciiTheme="minorHAnsi" w:hAnsiTheme="minorHAnsi" w:cstheme="minorHAnsi"/>
          <w:sz w:val="24"/>
          <w:szCs w:val="22"/>
          <w:lang w:val="en-GB"/>
        </w:rPr>
        <w:t xml:space="preserve"> enables people to register</w:t>
      </w:r>
      <w:r w:rsidR="00164E98">
        <w:rPr>
          <w:rFonts w:asciiTheme="minorHAnsi" w:hAnsiTheme="minorHAnsi" w:cstheme="minorHAnsi"/>
          <w:sz w:val="24"/>
          <w:szCs w:val="22"/>
          <w:lang w:val="en-GB"/>
        </w:rPr>
        <w:t xml:space="preserve"> through DonateLife to the AODR.</w:t>
      </w:r>
      <w:r w:rsidR="007F74C3" w:rsidRPr="007F74C3">
        <w:rPr>
          <w:rStyle w:val="FootnoteReference"/>
          <w:rFonts w:asciiTheme="minorHAnsi" w:hAnsiTheme="minorHAnsi" w:cstheme="minorHAnsi"/>
          <w:lang w:val="en-GB"/>
        </w:rPr>
        <w:footnoteReference w:id="42"/>
      </w:r>
      <w:r w:rsidRPr="007F74C3">
        <w:rPr>
          <w:rFonts w:asciiTheme="minorHAnsi" w:hAnsiTheme="minorHAnsi" w:cstheme="minorHAnsi"/>
          <w:sz w:val="24"/>
          <w:szCs w:val="22"/>
          <w:lang w:val="en-GB"/>
        </w:rPr>
        <w:t xml:space="preserve"> </w:t>
      </w:r>
      <w:r w:rsidRPr="00F17564">
        <w:rPr>
          <w:rFonts w:asciiTheme="minorHAnsi" w:hAnsiTheme="minorHAnsi" w:cstheme="minorHAnsi"/>
          <w:sz w:val="24"/>
          <w:szCs w:val="22"/>
          <w:lang w:val="en-GB"/>
        </w:rPr>
        <w:t>The OTA and DonateLife Network have promoted the new online form to encourage more Australian</w:t>
      </w:r>
      <w:r w:rsidR="00DA5C82">
        <w:rPr>
          <w:rFonts w:asciiTheme="minorHAnsi" w:hAnsiTheme="minorHAnsi" w:cstheme="minorHAnsi"/>
          <w:sz w:val="24"/>
          <w:szCs w:val="22"/>
          <w:lang w:val="en-GB"/>
        </w:rPr>
        <w:t>s</w:t>
      </w:r>
      <w:r w:rsidRPr="00F17564">
        <w:rPr>
          <w:rFonts w:asciiTheme="minorHAnsi" w:hAnsiTheme="minorHAnsi" w:cstheme="minorHAnsi"/>
          <w:sz w:val="24"/>
          <w:szCs w:val="22"/>
          <w:lang w:val="en-GB"/>
        </w:rPr>
        <w:t xml:space="preserve"> to </w:t>
      </w:r>
      <w:r w:rsidR="009B3DD3">
        <w:rPr>
          <w:rFonts w:asciiTheme="minorHAnsi" w:hAnsiTheme="minorHAnsi" w:cstheme="minorHAnsi"/>
          <w:sz w:val="24"/>
          <w:szCs w:val="22"/>
          <w:lang w:val="en-GB"/>
        </w:rPr>
        <w:t xml:space="preserve">register </w:t>
      </w:r>
      <w:r w:rsidR="003778F4">
        <w:rPr>
          <w:rFonts w:asciiTheme="minorHAnsi" w:hAnsiTheme="minorHAnsi" w:cstheme="minorHAnsi"/>
          <w:sz w:val="24"/>
          <w:szCs w:val="22"/>
          <w:lang w:val="en-GB"/>
        </w:rPr>
        <w:t xml:space="preserve">their </w:t>
      </w:r>
      <w:r w:rsidR="009B3DD3">
        <w:rPr>
          <w:rFonts w:asciiTheme="minorHAnsi" w:hAnsiTheme="minorHAnsi" w:cstheme="minorHAnsi"/>
          <w:sz w:val="24"/>
          <w:szCs w:val="22"/>
          <w:lang w:val="en-GB"/>
        </w:rPr>
        <w:t xml:space="preserve">intent for organ donation </w:t>
      </w:r>
      <w:r w:rsidRPr="00F17564">
        <w:rPr>
          <w:rFonts w:asciiTheme="minorHAnsi" w:hAnsiTheme="minorHAnsi" w:cstheme="minorHAnsi"/>
          <w:sz w:val="24"/>
          <w:szCs w:val="22"/>
          <w:lang w:val="en-GB"/>
        </w:rPr>
        <w:t xml:space="preserve">in </w:t>
      </w:r>
      <w:r w:rsidR="009B3DD3">
        <w:rPr>
          <w:rFonts w:asciiTheme="minorHAnsi" w:hAnsiTheme="minorHAnsi" w:cstheme="minorHAnsi"/>
          <w:sz w:val="24"/>
          <w:szCs w:val="22"/>
          <w:lang w:val="en-GB"/>
        </w:rPr>
        <w:t>a</w:t>
      </w:r>
      <w:r w:rsidRPr="00F17564">
        <w:rPr>
          <w:rFonts w:asciiTheme="minorHAnsi" w:hAnsiTheme="minorHAnsi" w:cstheme="minorHAnsi"/>
          <w:sz w:val="24"/>
          <w:szCs w:val="22"/>
          <w:lang w:val="en-GB"/>
        </w:rPr>
        <w:t xml:space="preserve"> simplified way.</w:t>
      </w:r>
      <w:r w:rsidR="00164E98">
        <w:rPr>
          <w:rStyle w:val="FootnoteReference"/>
          <w:rFonts w:cstheme="minorHAnsi"/>
          <w:lang w:val="en-GB"/>
        </w:rPr>
        <w:footnoteReference w:id="43"/>
      </w:r>
    </w:p>
    <w:p w14:paraId="186F51E4" w14:textId="49EA61C7" w:rsidR="00D41EA2" w:rsidRDefault="00C43CA7" w:rsidP="006611D7">
      <w:pPr>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While </w:t>
      </w:r>
      <w:r w:rsidR="00164E98">
        <w:rPr>
          <w:rFonts w:asciiTheme="minorHAnsi" w:hAnsiTheme="minorHAnsi" w:cstheme="minorHAnsi"/>
          <w:sz w:val="24"/>
          <w:szCs w:val="22"/>
          <w:lang w:val="en-GB"/>
        </w:rPr>
        <w:t>all</w:t>
      </w:r>
      <w:r w:rsidR="00164E98" w:rsidRPr="00F37D51">
        <w:rPr>
          <w:rFonts w:asciiTheme="minorHAnsi" w:hAnsiTheme="minorHAnsi" w:cstheme="minorHAnsi"/>
          <w:sz w:val="24"/>
          <w:szCs w:val="22"/>
          <w:lang w:val="en-GB"/>
        </w:rPr>
        <w:t xml:space="preserve"> </w:t>
      </w:r>
      <w:r w:rsidR="008B22E8">
        <w:rPr>
          <w:rFonts w:asciiTheme="minorHAnsi" w:hAnsiTheme="minorHAnsi" w:cstheme="minorHAnsi"/>
          <w:sz w:val="24"/>
          <w:szCs w:val="22"/>
          <w:lang w:val="en-GB"/>
        </w:rPr>
        <w:t xml:space="preserve">states and territories </w:t>
      </w:r>
      <w:r w:rsidR="007A12EB">
        <w:rPr>
          <w:rFonts w:asciiTheme="minorHAnsi" w:hAnsiTheme="minorHAnsi" w:cstheme="minorHAnsi"/>
          <w:sz w:val="24"/>
          <w:szCs w:val="22"/>
          <w:lang w:val="en-GB"/>
        </w:rPr>
        <w:t xml:space="preserve">previously </w:t>
      </w:r>
      <w:r w:rsidR="003778F4">
        <w:rPr>
          <w:rFonts w:asciiTheme="minorHAnsi" w:hAnsiTheme="minorHAnsi" w:cstheme="minorHAnsi"/>
          <w:sz w:val="24"/>
          <w:szCs w:val="22"/>
          <w:lang w:val="en-GB"/>
        </w:rPr>
        <w:t xml:space="preserve">recorded </w:t>
      </w:r>
      <w:r w:rsidR="007A12EB">
        <w:rPr>
          <w:rFonts w:asciiTheme="minorHAnsi" w:hAnsiTheme="minorHAnsi" w:cstheme="minorHAnsi"/>
          <w:sz w:val="24"/>
          <w:szCs w:val="22"/>
          <w:lang w:val="en-GB"/>
        </w:rPr>
        <w:t xml:space="preserve">donation registration </w:t>
      </w:r>
      <w:r w:rsidRPr="00F37D51">
        <w:rPr>
          <w:rFonts w:asciiTheme="minorHAnsi" w:hAnsiTheme="minorHAnsi" w:cstheme="minorHAnsi"/>
          <w:sz w:val="24"/>
          <w:szCs w:val="22"/>
          <w:lang w:val="en-GB"/>
        </w:rPr>
        <w:t xml:space="preserve">through the drivers’ licensing system, South Australia is the only jurisdiction </w:t>
      </w:r>
      <w:r w:rsidR="00A24F2B">
        <w:rPr>
          <w:rFonts w:asciiTheme="minorHAnsi" w:hAnsiTheme="minorHAnsi" w:cstheme="minorHAnsi"/>
          <w:sz w:val="24"/>
          <w:szCs w:val="22"/>
          <w:lang w:val="en-GB"/>
        </w:rPr>
        <w:t>where</w:t>
      </w:r>
      <w:r w:rsidR="003778F4">
        <w:rPr>
          <w:rFonts w:asciiTheme="minorHAnsi" w:hAnsiTheme="minorHAnsi" w:cstheme="minorHAnsi"/>
          <w:sz w:val="24"/>
          <w:szCs w:val="22"/>
          <w:lang w:val="en-GB"/>
        </w:rPr>
        <w:t xml:space="preserve"> registration for</w:t>
      </w:r>
      <w:r w:rsidR="00A24F2B">
        <w:rPr>
          <w:rFonts w:asciiTheme="minorHAnsi" w:hAnsiTheme="minorHAnsi" w:cstheme="minorHAnsi"/>
          <w:sz w:val="24"/>
          <w:szCs w:val="22"/>
          <w:lang w:val="en-GB"/>
        </w:rPr>
        <w:t xml:space="preserve"> organ and/or tissue donation for transplantation after death continue</w:t>
      </w:r>
      <w:r w:rsidR="003778F4">
        <w:rPr>
          <w:rFonts w:asciiTheme="minorHAnsi" w:hAnsiTheme="minorHAnsi" w:cstheme="minorHAnsi"/>
          <w:sz w:val="24"/>
          <w:szCs w:val="22"/>
          <w:lang w:val="en-GB"/>
        </w:rPr>
        <w:t xml:space="preserve">s </w:t>
      </w:r>
      <w:r w:rsidR="00A24F2B">
        <w:rPr>
          <w:rFonts w:asciiTheme="minorHAnsi" w:hAnsiTheme="minorHAnsi" w:cstheme="minorHAnsi"/>
          <w:sz w:val="24"/>
          <w:szCs w:val="22"/>
          <w:lang w:val="en-GB"/>
        </w:rPr>
        <w:t>to be captured through drivers</w:t>
      </w:r>
      <w:r w:rsidR="006904A9">
        <w:rPr>
          <w:rFonts w:asciiTheme="minorHAnsi" w:hAnsiTheme="minorHAnsi" w:cstheme="minorHAnsi"/>
          <w:sz w:val="24"/>
          <w:szCs w:val="22"/>
          <w:lang w:val="en-GB"/>
        </w:rPr>
        <w:t>’</w:t>
      </w:r>
      <w:r w:rsidR="00091391">
        <w:rPr>
          <w:rFonts w:asciiTheme="minorHAnsi" w:hAnsiTheme="minorHAnsi" w:cstheme="minorHAnsi"/>
          <w:sz w:val="24"/>
          <w:szCs w:val="22"/>
          <w:lang w:val="en-GB"/>
        </w:rPr>
        <w:t xml:space="preserve"> licens</w:t>
      </w:r>
      <w:r w:rsidR="00A24F2B">
        <w:rPr>
          <w:rFonts w:asciiTheme="minorHAnsi" w:hAnsiTheme="minorHAnsi" w:cstheme="minorHAnsi"/>
          <w:sz w:val="24"/>
          <w:szCs w:val="22"/>
          <w:lang w:val="en-GB"/>
        </w:rPr>
        <w:t xml:space="preserve">e arrangements. </w:t>
      </w:r>
      <w:r w:rsidR="006611D7" w:rsidRPr="00F17564">
        <w:rPr>
          <w:rFonts w:asciiTheme="minorHAnsi" w:hAnsiTheme="minorHAnsi" w:cstheme="minorHAnsi"/>
          <w:sz w:val="24"/>
          <w:szCs w:val="22"/>
          <w:lang w:val="en-GB"/>
        </w:rPr>
        <w:t>This registration data is transferred</w:t>
      </w:r>
      <w:r w:rsidR="00091391">
        <w:rPr>
          <w:rFonts w:asciiTheme="minorHAnsi" w:hAnsiTheme="minorHAnsi" w:cstheme="minorHAnsi"/>
          <w:sz w:val="24"/>
          <w:szCs w:val="22"/>
          <w:lang w:val="en-GB"/>
        </w:rPr>
        <w:t xml:space="preserve"> from the South Australia licens</w:t>
      </w:r>
      <w:r w:rsidR="006611D7" w:rsidRPr="00F17564">
        <w:rPr>
          <w:rFonts w:asciiTheme="minorHAnsi" w:hAnsiTheme="minorHAnsi" w:cstheme="minorHAnsi"/>
          <w:sz w:val="24"/>
          <w:szCs w:val="22"/>
          <w:lang w:val="en-GB"/>
        </w:rPr>
        <w:t>e</w:t>
      </w:r>
      <w:r w:rsidR="00091391">
        <w:rPr>
          <w:rFonts w:asciiTheme="minorHAnsi" w:hAnsiTheme="minorHAnsi" w:cstheme="minorHAnsi"/>
          <w:sz w:val="24"/>
          <w:szCs w:val="22"/>
          <w:lang w:val="en-GB"/>
        </w:rPr>
        <w:t xml:space="preserve"> database held by the South Australian Government</w:t>
      </w:r>
      <w:r w:rsidR="006611D7" w:rsidRPr="00F17564">
        <w:rPr>
          <w:rFonts w:asciiTheme="minorHAnsi" w:hAnsiTheme="minorHAnsi" w:cstheme="minorHAnsi"/>
          <w:sz w:val="24"/>
          <w:szCs w:val="22"/>
          <w:lang w:val="en-GB"/>
        </w:rPr>
        <w:t xml:space="preserve"> to the AODR monthly</w:t>
      </w:r>
      <w:r w:rsidR="0096459B">
        <w:rPr>
          <w:rFonts w:asciiTheme="minorHAnsi" w:hAnsiTheme="minorHAnsi" w:cstheme="minorHAnsi"/>
          <w:sz w:val="24"/>
          <w:szCs w:val="22"/>
          <w:lang w:val="en-GB"/>
        </w:rPr>
        <w:t xml:space="preserve">. </w:t>
      </w:r>
    </w:p>
    <w:p w14:paraId="4FA84290" w14:textId="77777777" w:rsidR="00D41EA2" w:rsidRPr="00D930F7" w:rsidRDefault="00D41EA2" w:rsidP="00AE3ED1">
      <w:pPr>
        <w:shd w:val="clear" w:color="auto" w:fill="DCEFF4"/>
        <w:spacing w:after="120"/>
        <w:rPr>
          <w:rFonts w:asciiTheme="minorHAnsi" w:hAnsiTheme="minorHAnsi" w:cstheme="minorHAnsi"/>
          <w:b/>
          <w:sz w:val="22"/>
          <w:szCs w:val="22"/>
          <w:lang w:val="en-GB"/>
        </w:rPr>
      </w:pPr>
      <w:r w:rsidRPr="00D930F7">
        <w:rPr>
          <w:rFonts w:asciiTheme="minorHAnsi" w:hAnsiTheme="minorHAnsi" w:cstheme="minorHAnsi"/>
          <w:b/>
          <w:sz w:val="22"/>
          <w:szCs w:val="22"/>
          <w:lang w:val="en-GB"/>
        </w:rPr>
        <w:t>Background to the AODR</w:t>
      </w:r>
    </w:p>
    <w:p w14:paraId="050E6143" w14:textId="77777777" w:rsidR="00D41EA2" w:rsidRPr="00AE3ED1" w:rsidRDefault="00D41EA2" w:rsidP="00AE3ED1">
      <w:pPr>
        <w:shd w:val="clear" w:color="auto" w:fill="DCEFF4"/>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The original purpose of registration on the AODR was to reflect a person’s intention to donate, with legal consent still required from the potential donor’s next of kin. Over time, concerns regarding both the ability of family members to override individual decisions and the quality of AODR data (in particular the records transferred from state government databases and the Road Transport Authorities), resulted in the AODR arrangements needing further consideration.</w:t>
      </w:r>
    </w:p>
    <w:p w14:paraId="13B5FDBE" w14:textId="77777777" w:rsidR="00D41EA2" w:rsidRPr="00AE3ED1" w:rsidRDefault="00D41EA2" w:rsidP="00AE3ED1">
      <w:pPr>
        <w:shd w:val="clear" w:color="auto" w:fill="DCEFF4"/>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In April 2004, Health Ministers agreed to establish an AHMAC Organ Donation Working Group tasked with providing advice on how to implement Ministers’ endorsed position that:</w:t>
      </w:r>
    </w:p>
    <w:p w14:paraId="47D4108E" w14:textId="72CE8856" w:rsidR="00D41EA2" w:rsidRPr="00AE3ED1" w:rsidRDefault="00D41EA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Expressed wishes of the deceased should be given effect</w:t>
      </w:r>
    </w:p>
    <w:p w14:paraId="2D8BE9B5" w14:textId="5E612D45" w:rsidR="00D41EA2" w:rsidRPr="00AE3ED1" w:rsidRDefault="00D41EA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There should be no requirement for express consent from the family if the deceased had consented </w:t>
      </w:r>
    </w:p>
    <w:p w14:paraId="6B91A196" w14:textId="525AB742" w:rsidR="00D41EA2" w:rsidRPr="00AE3ED1" w:rsidRDefault="00D41EA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Legislation in each jurisdiction should clearly reflect this.</w:t>
      </w:r>
    </w:p>
    <w:p w14:paraId="4CF0F9B8" w14:textId="77777777" w:rsidR="00D41EA2" w:rsidRPr="00AE3ED1" w:rsidRDefault="00D41EA2" w:rsidP="00AE3ED1">
      <w:pPr>
        <w:shd w:val="clear" w:color="auto" w:fill="DCEFF4"/>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lastRenderedPageBreak/>
        <w:t>In an AHMAC communiqué in January 2005, it was announced that Health Ministers had received a report from the AHMAC Organ Donation Working Group ‘confirming that, under existing laws, Australian adults can legally express their consent to donate their organs and tissues after death without the need for family consent’. It was also noted that the while existing laws allowed for donation to proceed in Australia for ethical reasons, this would not remove the consent of family members.</w:t>
      </w:r>
    </w:p>
    <w:p w14:paraId="53A8D5FE" w14:textId="77777777" w:rsidR="00D41EA2" w:rsidRPr="00AE3ED1" w:rsidRDefault="00D41EA2" w:rsidP="00AE3ED1">
      <w:pPr>
        <w:shd w:val="clear" w:color="auto" w:fill="DCEFF4"/>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The AHMAC Organ Donation Working Group recommended the AODR operate as Australia’s single national register of consent and that this consent must be ‘informed consent’. Health Ministers agreed for the AODR to become a register of consent from 1 July 2005. </w:t>
      </w:r>
    </w:p>
    <w:p w14:paraId="0F265C6D" w14:textId="77777777" w:rsidR="00D41EA2" w:rsidRPr="00AE3ED1" w:rsidRDefault="00D41EA2" w:rsidP="00AE3ED1">
      <w:pPr>
        <w:shd w:val="clear" w:color="auto" w:fill="DCEFF4"/>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In moving from a register of intent to consent it was the Australian Government’s intention the strengthened AODR would:</w:t>
      </w:r>
    </w:p>
    <w:p w14:paraId="4DB46B55" w14:textId="4540D377" w:rsidR="00D41EA2" w:rsidRPr="00AE3ED1" w:rsidRDefault="00D41EA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Only record legally valid consent or refusal to donate particular organs and tissues for people aged 18 years and over, as expressed by a signed and dated consent statement.</w:t>
      </w:r>
    </w:p>
    <w:p w14:paraId="1D867C64" w14:textId="2CCD3759" w:rsidR="00D41EA2" w:rsidRPr="00AE3ED1" w:rsidRDefault="00D41EA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Only record ‘intent’ for people aged 16 and 17.  A ‘yes’ intent record would mean that a family’s permission will still be an absolute pre-requisite for donation to proceed.  A ‘no’ intent record would mean that donation will not proceed unless the family advises that the person has changed their mind.</w:t>
      </w:r>
    </w:p>
    <w:p w14:paraId="4B5EBA01" w14:textId="0E3E4AFD" w:rsidR="00D41EA2" w:rsidRPr="00AE3ED1" w:rsidRDefault="00D41EA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Not include records for people aged under 16.</w:t>
      </w:r>
    </w:p>
    <w:p w14:paraId="0C12A29D" w14:textId="60E3CFCF" w:rsidR="00D41EA2" w:rsidRPr="00AE3ED1" w:rsidRDefault="00D41EA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Maintain existing records that do not meet the formal legal requirements of consent as ‘intent’ records, with the same implications as above, until such time as each registrant has had the opportunity to upgrade their registration to consent.  </w:t>
      </w:r>
    </w:p>
    <w:p w14:paraId="41F52A3E" w14:textId="326C886D" w:rsidR="00D41EA2" w:rsidRPr="00AE3ED1" w:rsidRDefault="00D41EA2" w:rsidP="00AE3ED1">
      <w:pPr>
        <w:widowControl/>
        <w:numPr>
          <w:ilvl w:val="0"/>
          <w:numId w:val="18"/>
        </w:numPr>
        <w:shd w:val="clear" w:color="auto" w:fill="DCEFF4"/>
        <w:autoSpaceDE/>
        <w:autoSpaceDN/>
        <w:adjustRightInd/>
        <w:spacing w:after="120"/>
        <w:ind w:left="357" w:hanging="357"/>
        <w:rPr>
          <w:rFonts w:asciiTheme="minorHAnsi" w:hAnsiTheme="minorHAnsi" w:cstheme="minorHAnsi"/>
          <w:sz w:val="22"/>
          <w:szCs w:val="22"/>
          <w:lang w:val="en-GB"/>
        </w:rPr>
      </w:pPr>
      <w:r w:rsidRPr="00AE3ED1">
        <w:rPr>
          <w:rFonts w:asciiTheme="minorHAnsi" w:hAnsiTheme="minorHAnsi" w:cstheme="minorHAnsi"/>
          <w:sz w:val="22"/>
          <w:szCs w:val="22"/>
          <w:lang w:val="en-GB"/>
        </w:rPr>
        <w:t>As far as possible, match registrations to Medicare records to facilitate updating of address details and opportunities for upgrading and updating of registrations when the individuals concerned interact with the Medicare system.</w:t>
      </w:r>
    </w:p>
    <w:p w14:paraId="37D5B7E8" w14:textId="756251C1" w:rsidR="00D41EA2" w:rsidRPr="00AE3ED1" w:rsidRDefault="00D41EA2" w:rsidP="00AE3ED1">
      <w:pPr>
        <w:shd w:val="clear" w:color="auto" w:fill="DCEFF4"/>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To ensure the integrity of the AODR it was also agreed that organ donation for transplantation registrations collected through the drivers’ license system would no longer be transferred to the AODR. This was supported and agreed at that time by the corresponding Road Transport Ministers’ Council. There was no agreement to continue the arrangements of transferring registration from the South Australian drivers’ licensing system to the AODR – this is an anomaly that has continued to the present.</w:t>
      </w:r>
    </w:p>
    <w:p w14:paraId="103ADC4C" w14:textId="7C8236A5" w:rsidR="00C43CA7" w:rsidRPr="00F37D51" w:rsidRDefault="00EB5B74">
      <w:pPr>
        <w:pStyle w:val="Heading3"/>
        <w:tabs>
          <w:tab w:val="clear" w:pos="1843"/>
          <w:tab w:val="num" w:pos="1559"/>
        </w:tabs>
        <w:ind w:left="992" w:hanging="992"/>
        <w:rPr>
          <w:rFonts w:asciiTheme="minorHAnsi" w:hAnsiTheme="minorHAnsi" w:cstheme="minorHAnsi"/>
          <w:i/>
          <w:color w:val="808080" w:themeColor="background1" w:themeShade="80"/>
          <w:szCs w:val="22"/>
        </w:rPr>
      </w:pPr>
      <w:bookmarkStart w:id="118" w:name="_Ref523737760"/>
      <w:r>
        <w:rPr>
          <w:rFonts w:asciiTheme="minorHAnsi" w:hAnsiTheme="minorHAnsi" w:cstheme="minorHAnsi"/>
          <w:b w:val="0"/>
          <w:color w:val="7F7F7F" w:themeColor="text1" w:themeTint="80"/>
          <w:sz w:val="30"/>
          <w:szCs w:val="30"/>
        </w:rPr>
        <w:t>Organ d</w:t>
      </w:r>
      <w:r w:rsidR="00C43CA7" w:rsidRPr="00266A77">
        <w:rPr>
          <w:rFonts w:asciiTheme="minorHAnsi" w:hAnsiTheme="minorHAnsi" w:cstheme="minorHAnsi"/>
          <w:b w:val="0"/>
          <w:color w:val="7F7F7F" w:themeColor="text1" w:themeTint="80"/>
          <w:sz w:val="30"/>
          <w:szCs w:val="30"/>
        </w:rPr>
        <w:t>onation</w:t>
      </w:r>
      <w:bookmarkEnd w:id="118"/>
    </w:p>
    <w:p w14:paraId="3CE7E95D" w14:textId="4E77A20D" w:rsidR="00A67F01" w:rsidRDefault="006611D7" w:rsidP="00C43CA7">
      <w:pPr>
        <w:spacing w:after="120"/>
        <w:rPr>
          <w:rFonts w:asciiTheme="minorHAnsi" w:hAnsiTheme="minorHAnsi" w:cstheme="minorHAnsi"/>
          <w:sz w:val="24"/>
          <w:szCs w:val="22"/>
        </w:rPr>
      </w:pPr>
      <w:r w:rsidRPr="006611D7">
        <w:rPr>
          <w:rFonts w:asciiTheme="minorHAnsi" w:hAnsiTheme="minorHAnsi" w:cstheme="minorHAnsi"/>
          <w:sz w:val="24"/>
          <w:szCs w:val="22"/>
        </w:rPr>
        <w:t xml:space="preserve">The donation of organs and tissues for the purpose of transplantation takes place within a legal context </w:t>
      </w:r>
      <w:r w:rsidR="003918E7">
        <w:rPr>
          <w:rFonts w:asciiTheme="minorHAnsi" w:hAnsiTheme="minorHAnsi" w:cstheme="minorHAnsi"/>
          <w:sz w:val="24"/>
          <w:szCs w:val="22"/>
        </w:rPr>
        <w:t xml:space="preserve">in Australia </w:t>
      </w:r>
      <w:r w:rsidRPr="006611D7">
        <w:rPr>
          <w:rFonts w:asciiTheme="minorHAnsi" w:hAnsiTheme="minorHAnsi" w:cstheme="minorHAnsi"/>
          <w:sz w:val="24"/>
          <w:szCs w:val="22"/>
        </w:rPr>
        <w:t xml:space="preserve">and is the responsibility of the states and territories under </w:t>
      </w:r>
      <w:r w:rsidR="003918E7">
        <w:rPr>
          <w:rFonts w:asciiTheme="minorHAnsi" w:hAnsiTheme="minorHAnsi" w:cstheme="minorHAnsi"/>
          <w:sz w:val="24"/>
          <w:szCs w:val="22"/>
        </w:rPr>
        <w:t xml:space="preserve">their </w:t>
      </w:r>
      <w:r w:rsidRPr="006611D7">
        <w:rPr>
          <w:rFonts w:asciiTheme="minorHAnsi" w:hAnsiTheme="minorHAnsi" w:cstheme="minorHAnsi"/>
          <w:sz w:val="24"/>
          <w:szCs w:val="22"/>
        </w:rPr>
        <w:t>re</w:t>
      </w:r>
      <w:r w:rsidR="009D4385">
        <w:rPr>
          <w:rFonts w:asciiTheme="minorHAnsi" w:hAnsiTheme="minorHAnsi" w:cstheme="minorHAnsi"/>
          <w:sz w:val="24"/>
          <w:szCs w:val="22"/>
        </w:rPr>
        <w:t>spective</w:t>
      </w:r>
      <w:r w:rsidRPr="006611D7">
        <w:rPr>
          <w:rFonts w:asciiTheme="minorHAnsi" w:hAnsiTheme="minorHAnsi" w:cstheme="minorHAnsi"/>
          <w:sz w:val="24"/>
          <w:szCs w:val="22"/>
        </w:rPr>
        <w:t xml:space="preserve"> </w:t>
      </w:r>
      <w:r w:rsidR="009D4385">
        <w:rPr>
          <w:rFonts w:asciiTheme="minorHAnsi" w:hAnsiTheme="minorHAnsi" w:cstheme="minorHAnsi"/>
          <w:sz w:val="24"/>
          <w:szCs w:val="22"/>
        </w:rPr>
        <w:t>Human Tissue Acts</w:t>
      </w:r>
      <w:r w:rsidR="009D4385" w:rsidRPr="006611D7">
        <w:rPr>
          <w:rFonts w:asciiTheme="minorHAnsi" w:hAnsiTheme="minorHAnsi" w:cstheme="minorHAnsi"/>
          <w:sz w:val="24"/>
          <w:szCs w:val="22"/>
        </w:rPr>
        <w:t xml:space="preserve"> </w:t>
      </w:r>
      <w:r w:rsidRPr="006611D7">
        <w:rPr>
          <w:rFonts w:asciiTheme="minorHAnsi" w:hAnsiTheme="minorHAnsi" w:cstheme="minorHAnsi"/>
          <w:sz w:val="24"/>
          <w:szCs w:val="22"/>
        </w:rPr>
        <w:t xml:space="preserve">and </w:t>
      </w:r>
      <w:r w:rsidR="003918E7">
        <w:rPr>
          <w:rFonts w:asciiTheme="minorHAnsi" w:hAnsiTheme="minorHAnsi" w:cstheme="minorHAnsi"/>
          <w:sz w:val="24"/>
          <w:szCs w:val="22"/>
        </w:rPr>
        <w:t xml:space="preserve">the </w:t>
      </w:r>
      <w:r w:rsidRPr="006611D7">
        <w:rPr>
          <w:rFonts w:asciiTheme="minorHAnsi" w:hAnsiTheme="minorHAnsi" w:cstheme="minorHAnsi"/>
          <w:sz w:val="24"/>
          <w:szCs w:val="22"/>
        </w:rPr>
        <w:t>associated regulations that govern dealings with human tissue.</w:t>
      </w:r>
      <w:r w:rsidR="003918E7">
        <w:rPr>
          <w:rStyle w:val="FootnoteReference"/>
          <w:rFonts w:cstheme="minorHAnsi"/>
        </w:rPr>
        <w:footnoteReference w:id="44"/>
      </w:r>
      <w:r w:rsidRPr="006611D7">
        <w:rPr>
          <w:rFonts w:asciiTheme="minorHAnsi" w:hAnsiTheme="minorHAnsi" w:cstheme="minorHAnsi"/>
          <w:sz w:val="24"/>
          <w:szCs w:val="22"/>
        </w:rPr>
        <w:t xml:space="preserve"> The </w:t>
      </w:r>
      <w:r w:rsidRPr="003E6F1F">
        <w:rPr>
          <w:rFonts w:asciiTheme="minorHAnsi" w:hAnsiTheme="minorHAnsi" w:cstheme="minorHAnsi"/>
          <w:sz w:val="24"/>
          <w:szCs w:val="22"/>
        </w:rPr>
        <w:t>Human Tissue Acts</w:t>
      </w:r>
      <w:r w:rsidRPr="006611D7">
        <w:rPr>
          <w:rFonts w:asciiTheme="minorHAnsi" w:hAnsiTheme="minorHAnsi" w:cstheme="minorHAnsi"/>
          <w:sz w:val="24"/>
          <w:szCs w:val="22"/>
        </w:rPr>
        <w:t xml:space="preserve"> generally set legal requirements for the certification of death</w:t>
      </w:r>
      <w:r w:rsidR="004D4D4E">
        <w:rPr>
          <w:rFonts w:asciiTheme="minorHAnsi" w:hAnsiTheme="minorHAnsi" w:cstheme="minorHAnsi"/>
          <w:sz w:val="24"/>
          <w:szCs w:val="22"/>
        </w:rPr>
        <w:t>,</w:t>
      </w:r>
      <w:r w:rsidRPr="006611D7">
        <w:rPr>
          <w:rFonts w:asciiTheme="minorHAnsi" w:hAnsiTheme="minorHAnsi" w:cstheme="minorHAnsi"/>
          <w:sz w:val="24"/>
          <w:szCs w:val="22"/>
        </w:rPr>
        <w:t xml:space="preserve"> consent to donation</w:t>
      </w:r>
      <w:r w:rsidR="004D4D4E">
        <w:rPr>
          <w:rFonts w:asciiTheme="minorHAnsi" w:hAnsiTheme="minorHAnsi" w:cstheme="minorHAnsi"/>
          <w:sz w:val="24"/>
          <w:szCs w:val="22"/>
        </w:rPr>
        <w:t>,</w:t>
      </w:r>
      <w:r w:rsidRPr="006611D7">
        <w:rPr>
          <w:rFonts w:asciiTheme="minorHAnsi" w:hAnsiTheme="minorHAnsi" w:cstheme="minorHAnsi"/>
          <w:sz w:val="24"/>
          <w:szCs w:val="22"/>
        </w:rPr>
        <w:t xml:space="preserve"> donation of organs, eyes and tissues</w:t>
      </w:r>
      <w:r w:rsidR="004D4D4E">
        <w:rPr>
          <w:rFonts w:asciiTheme="minorHAnsi" w:hAnsiTheme="minorHAnsi" w:cstheme="minorHAnsi"/>
          <w:sz w:val="24"/>
          <w:szCs w:val="22"/>
        </w:rPr>
        <w:t>, as well as</w:t>
      </w:r>
      <w:r w:rsidRPr="006611D7">
        <w:rPr>
          <w:rFonts w:asciiTheme="minorHAnsi" w:hAnsiTheme="minorHAnsi" w:cstheme="minorHAnsi"/>
          <w:sz w:val="24"/>
          <w:szCs w:val="22"/>
        </w:rPr>
        <w:t xml:space="preserve"> </w:t>
      </w:r>
      <w:r w:rsidR="009744EC">
        <w:rPr>
          <w:rFonts w:asciiTheme="minorHAnsi" w:hAnsiTheme="minorHAnsi" w:cstheme="minorHAnsi"/>
          <w:sz w:val="24"/>
          <w:szCs w:val="22"/>
        </w:rPr>
        <w:t xml:space="preserve">the </w:t>
      </w:r>
      <w:r w:rsidRPr="006611D7">
        <w:rPr>
          <w:rFonts w:asciiTheme="minorHAnsi" w:hAnsiTheme="minorHAnsi" w:cstheme="minorHAnsi"/>
          <w:sz w:val="24"/>
          <w:szCs w:val="22"/>
        </w:rPr>
        <w:t>disclosure of information about donors and recipients.</w:t>
      </w:r>
    </w:p>
    <w:p w14:paraId="37A26623" w14:textId="77777777" w:rsidR="00A67F01" w:rsidRPr="00D930F7" w:rsidRDefault="00A67F01" w:rsidP="00AE3ED1">
      <w:pPr>
        <w:shd w:val="clear" w:color="auto" w:fill="DCEFF4"/>
        <w:spacing w:after="120"/>
        <w:rPr>
          <w:rFonts w:asciiTheme="minorHAnsi" w:hAnsiTheme="minorHAnsi" w:cstheme="minorHAnsi"/>
          <w:b/>
          <w:sz w:val="22"/>
          <w:szCs w:val="22"/>
        </w:rPr>
      </w:pPr>
      <w:r w:rsidRPr="00D930F7">
        <w:rPr>
          <w:rFonts w:asciiTheme="minorHAnsi" w:hAnsiTheme="minorHAnsi" w:cstheme="minorHAnsi"/>
          <w:b/>
          <w:sz w:val="22"/>
          <w:szCs w:val="22"/>
        </w:rPr>
        <w:t>The Best Practice Guidelines for Offering Organ and Tissue Donation in Australia</w:t>
      </w:r>
    </w:p>
    <w:p w14:paraId="6C3517CA" w14:textId="77777777" w:rsidR="00A67F01" w:rsidRPr="00AE3ED1" w:rsidRDefault="00A67F01" w:rsidP="00AE3ED1">
      <w:pPr>
        <w:shd w:val="clear" w:color="auto" w:fill="DCEFF4"/>
        <w:spacing w:after="120"/>
        <w:rPr>
          <w:rFonts w:asciiTheme="minorHAnsi" w:hAnsiTheme="minorHAnsi" w:cstheme="minorHAnsi"/>
          <w:sz w:val="22"/>
          <w:szCs w:val="22"/>
        </w:rPr>
      </w:pPr>
      <w:r w:rsidRPr="00AE3ED1">
        <w:rPr>
          <w:rFonts w:asciiTheme="minorHAnsi" w:hAnsiTheme="minorHAnsi" w:cstheme="minorHAnsi"/>
          <w:sz w:val="22"/>
          <w:szCs w:val="22"/>
        </w:rPr>
        <w:t xml:space="preserve">The Best Practice Guidelines for Offering Organ and Tissue Donation in Australia (‘the Best Practice Guidelines’) were published in July 2017 by the OTA, in consultation with the DonateLife Network and peak professional bodies. They outline the preferred approach to be taken for all potentially suitable donors. This includes early referral to DonateLife to explore suitability for donation and to facilitate someone’s wish to be an organ or tissue donor. The initial assessment of referrals by DonateLife involves liaison with medical staff with donation and transplantation expertise to determine donor suitability. The practice of </w:t>
      </w:r>
      <w:r w:rsidRPr="00AE3ED1">
        <w:rPr>
          <w:rFonts w:asciiTheme="minorHAnsi" w:hAnsiTheme="minorHAnsi" w:cstheme="minorHAnsi"/>
          <w:sz w:val="22"/>
          <w:szCs w:val="22"/>
        </w:rPr>
        <w:lastRenderedPageBreak/>
        <w:t xml:space="preserve">routine referral and assessment at the point of planned end-of-life care within intensive care units and emergency care departments has been adopted as a key performance indicator within the DonateLife Network ‘Clinical Practice Improvement Program Phase 3’. </w:t>
      </w:r>
    </w:p>
    <w:p w14:paraId="4B471F06" w14:textId="4BDEA0BC" w:rsidR="00A67F01" w:rsidRPr="00AE3ED1" w:rsidRDefault="00A67F01" w:rsidP="00AE3ED1">
      <w:pPr>
        <w:shd w:val="clear" w:color="auto" w:fill="DCEFF4"/>
        <w:spacing w:after="120"/>
        <w:rPr>
          <w:rFonts w:asciiTheme="minorHAnsi" w:hAnsiTheme="minorHAnsi" w:cstheme="minorHAnsi"/>
          <w:sz w:val="22"/>
          <w:szCs w:val="22"/>
        </w:rPr>
      </w:pPr>
      <w:r w:rsidRPr="00AE3ED1">
        <w:rPr>
          <w:rFonts w:asciiTheme="minorHAnsi" w:hAnsiTheme="minorHAnsi" w:cstheme="minorHAnsi"/>
          <w:sz w:val="22"/>
          <w:szCs w:val="22"/>
        </w:rPr>
        <w:t>A key focus of the Best Practice Guidelines is to provide specialist support to families of potential donors. This is through a collaborative approach between the treating clinical team and the DonateLife donation specialist to discuss donation with the family and support them during the end-of-life care of their family member. The Best Practice Guidelines includes checking the AODR before the family donation conversation and sharing the status of AODR status with the family so they can make an informed decision about donation.</w:t>
      </w:r>
    </w:p>
    <w:p w14:paraId="4F16841D" w14:textId="77777777" w:rsidR="001E6160" w:rsidRPr="00BE2DB4" w:rsidRDefault="00C43CA7" w:rsidP="00AE3ED1">
      <w:pPr>
        <w:spacing w:before="120" w:after="120"/>
        <w:rPr>
          <w:rFonts w:cstheme="minorHAnsi"/>
          <w:sz w:val="24"/>
        </w:rPr>
      </w:pPr>
      <w:r w:rsidRPr="00F37D51">
        <w:rPr>
          <w:rFonts w:asciiTheme="minorHAnsi" w:hAnsiTheme="minorHAnsi" w:cstheme="minorHAnsi"/>
          <w:sz w:val="24"/>
          <w:szCs w:val="22"/>
        </w:rPr>
        <w:t>Under the deceased donation pathway</w:t>
      </w:r>
      <w:r w:rsidR="001E6160">
        <w:rPr>
          <w:rFonts w:asciiTheme="minorHAnsi" w:hAnsiTheme="minorHAnsi" w:cstheme="minorHAnsi"/>
          <w:sz w:val="24"/>
          <w:szCs w:val="22"/>
        </w:rPr>
        <w:t xml:space="preserve">, </w:t>
      </w:r>
      <w:r w:rsidRPr="00F37D51">
        <w:rPr>
          <w:rFonts w:asciiTheme="minorHAnsi" w:hAnsiTheme="minorHAnsi" w:cstheme="minorHAnsi"/>
          <w:sz w:val="24"/>
          <w:szCs w:val="22"/>
        </w:rPr>
        <w:t>as a person nears the end of their life</w:t>
      </w:r>
      <w:r w:rsidR="004D4D4E">
        <w:rPr>
          <w:rFonts w:asciiTheme="minorHAnsi" w:hAnsiTheme="minorHAnsi" w:cstheme="minorHAnsi"/>
          <w:sz w:val="24"/>
          <w:szCs w:val="22"/>
        </w:rPr>
        <w:t>,</w:t>
      </w:r>
      <w:r w:rsidRPr="00F37D51">
        <w:rPr>
          <w:rFonts w:asciiTheme="minorHAnsi" w:hAnsiTheme="minorHAnsi" w:cstheme="minorHAnsi"/>
          <w:sz w:val="24"/>
          <w:szCs w:val="22"/>
        </w:rPr>
        <w:t xml:space="preserve"> </w:t>
      </w:r>
      <w:r w:rsidR="001E6160">
        <w:rPr>
          <w:rFonts w:asciiTheme="minorHAnsi" w:hAnsiTheme="minorHAnsi" w:cstheme="minorHAnsi"/>
          <w:sz w:val="24"/>
          <w:szCs w:val="22"/>
        </w:rPr>
        <w:t xml:space="preserve">steps are taken to determine the potential for organ donation. </w:t>
      </w:r>
      <w:r w:rsidR="001E6160" w:rsidRPr="00F17564">
        <w:rPr>
          <w:rFonts w:asciiTheme="minorHAnsi" w:hAnsiTheme="minorHAnsi" w:cstheme="minorHAnsi"/>
          <w:sz w:val="24"/>
          <w:szCs w:val="22"/>
        </w:rPr>
        <w:t>Whether donation occurs after brain death or after circulatory death has an impact on how the donation process occurs and which organs can be donated.</w:t>
      </w:r>
      <w:r w:rsidR="001E6160">
        <w:rPr>
          <w:rFonts w:asciiTheme="minorHAnsi" w:hAnsiTheme="minorHAnsi" w:cstheme="minorHAnsi"/>
          <w:sz w:val="24"/>
          <w:szCs w:val="22"/>
        </w:rPr>
        <w:t xml:space="preserve"> </w:t>
      </w:r>
      <w:r w:rsidR="00932EF6" w:rsidRPr="00932EF6">
        <w:rPr>
          <w:rFonts w:asciiTheme="minorHAnsi" w:hAnsiTheme="minorHAnsi" w:cstheme="minorHAnsi"/>
          <w:sz w:val="24"/>
          <w:szCs w:val="22"/>
        </w:rPr>
        <w:t xml:space="preserve">Hospital based DonateLife staff generally work </w:t>
      </w:r>
      <w:r w:rsidR="009744EC">
        <w:rPr>
          <w:rFonts w:asciiTheme="minorHAnsi" w:hAnsiTheme="minorHAnsi" w:cstheme="minorHAnsi"/>
          <w:sz w:val="24"/>
          <w:szCs w:val="22"/>
        </w:rPr>
        <w:t>within</w:t>
      </w:r>
      <w:r w:rsidR="00932EF6" w:rsidRPr="00932EF6">
        <w:rPr>
          <w:rFonts w:asciiTheme="minorHAnsi" w:hAnsiTheme="minorHAnsi" w:cstheme="minorHAnsi"/>
          <w:sz w:val="24"/>
          <w:szCs w:val="22"/>
        </w:rPr>
        <w:t xml:space="preserve"> the Intensive Care Unit (ICU) and work closely with ICU staff</w:t>
      </w:r>
      <w:r w:rsidR="00932EF6">
        <w:rPr>
          <w:rFonts w:asciiTheme="minorHAnsi" w:hAnsiTheme="minorHAnsi" w:cstheme="minorHAnsi"/>
          <w:sz w:val="24"/>
          <w:szCs w:val="22"/>
        </w:rPr>
        <w:t xml:space="preserve"> to determine donation potential using the Best Practice Guidelines</w:t>
      </w:r>
      <w:r w:rsidR="00932EF6" w:rsidRPr="00932EF6">
        <w:rPr>
          <w:rFonts w:asciiTheme="minorHAnsi" w:hAnsiTheme="minorHAnsi" w:cstheme="minorHAnsi"/>
          <w:sz w:val="24"/>
          <w:szCs w:val="22"/>
        </w:rPr>
        <w:t>.</w:t>
      </w:r>
      <w:r w:rsidR="00BF3053">
        <w:rPr>
          <w:rFonts w:asciiTheme="minorHAnsi" w:hAnsiTheme="minorHAnsi" w:cstheme="minorHAnsi"/>
          <w:sz w:val="24"/>
          <w:szCs w:val="22"/>
        </w:rPr>
        <w:t xml:space="preserve"> Each component of the donation process is closely supported and facilitated by a dedicated network of specialist staff members. The DonateLife Network </w:t>
      </w:r>
      <w:r w:rsidR="009B3DD3">
        <w:rPr>
          <w:rFonts w:asciiTheme="minorHAnsi" w:hAnsiTheme="minorHAnsi" w:cstheme="minorHAnsi"/>
          <w:sz w:val="24"/>
          <w:szCs w:val="22"/>
        </w:rPr>
        <w:t xml:space="preserve">underpins this system and </w:t>
      </w:r>
      <w:r w:rsidR="00BF3053">
        <w:rPr>
          <w:rFonts w:asciiTheme="minorHAnsi" w:hAnsiTheme="minorHAnsi" w:cstheme="minorHAnsi"/>
          <w:sz w:val="24"/>
          <w:szCs w:val="22"/>
        </w:rPr>
        <w:t xml:space="preserve">consists of over 250 staff members holding medical, nursing and administrative roles in 90 hospitals across Australia.  </w:t>
      </w:r>
    </w:p>
    <w:p w14:paraId="2DD72F38" w14:textId="77777777" w:rsidR="001E6160" w:rsidRPr="00F17564" w:rsidRDefault="00932EF6" w:rsidP="006611D7">
      <w:pPr>
        <w:spacing w:after="120"/>
        <w:rPr>
          <w:rFonts w:asciiTheme="minorHAnsi" w:hAnsiTheme="minorHAnsi" w:cstheme="minorHAnsi"/>
          <w:sz w:val="24"/>
          <w:szCs w:val="22"/>
          <w:lang w:val="en-GB"/>
        </w:rPr>
      </w:pPr>
      <w:r>
        <w:rPr>
          <w:rFonts w:asciiTheme="minorHAnsi" w:hAnsiTheme="minorHAnsi" w:cstheme="minorHAnsi"/>
          <w:sz w:val="24"/>
          <w:szCs w:val="22"/>
        </w:rPr>
        <w:t>O</w:t>
      </w:r>
      <w:r w:rsidR="00C43CA7" w:rsidRPr="00F37D51">
        <w:rPr>
          <w:rFonts w:asciiTheme="minorHAnsi" w:hAnsiTheme="minorHAnsi" w:cstheme="minorHAnsi"/>
          <w:sz w:val="24"/>
          <w:szCs w:val="22"/>
        </w:rPr>
        <w:t>nce it is deemed that the</w:t>
      </w:r>
      <w:r w:rsidR="009744EC">
        <w:rPr>
          <w:rFonts w:asciiTheme="minorHAnsi" w:hAnsiTheme="minorHAnsi" w:cstheme="minorHAnsi"/>
          <w:sz w:val="24"/>
          <w:szCs w:val="22"/>
        </w:rPr>
        <w:t xml:space="preserve"> person</w:t>
      </w:r>
      <w:r w:rsidR="00A24F2B">
        <w:rPr>
          <w:rFonts w:asciiTheme="minorHAnsi" w:hAnsiTheme="minorHAnsi" w:cstheme="minorHAnsi"/>
          <w:sz w:val="24"/>
          <w:szCs w:val="22"/>
        </w:rPr>
        <w:t xml:space="preserve"> may be a potential organ donor</w:t>
      </w:r>
      <w:r w:rsidR="00C43CA7" w:rsidRPr="00F37D51">
        <w:rPr>
          <w:rFonts w:asciiTheme="minorHAnsi" w:hAnsiTheme="minorHAnsi" w:cstheme="minorHAnsi"/>
          <w:sz w:val="24"/>
          <w:szCs w:val="22"/>
        </w:rPr>
        <w:t xml:space="preserve">, an authorised medical personnel access the </w:t>
      </w:r>
      <w:r w:rsidR="00EB5B74">
        <w:rPr>
          <w:rFonts w:asciiTheme="minorHAnsi" w:hAnsiTheme="minorHAnsi" w:cstheme="minorHAnsi"/>
          <w:sz w:val="24"/>
          <w:szCs w:val="22"/>
        </w:rPr>
        <w:t>AODR</w:t>
      </w:r>
      <w:r w:rsidR="00C43CA7" w:rsidRPr="00F37D51">
        <w:rPr>
          <w:rFonts w:asciiTheme="minorHAnsi" w:hAnsiTheme="minorHAnsi" w:cstheme="minorHAnsi"/>
          <w:sz w:val="24"/>
          <w:szCs w:val="22"/>
        </w:rPr>
        <w:t xml:space="preserve"> to confirm the</w:t>
      </w:r>
      <w:r w:rsidR="009744EC">
        <w:rPr>
          <w:rFonts w:asciiTheme="minorHAnsi" w:hAnsiTheme="minorHAnsi" w:cstheme="minorHAnsi"/>
          <w:sz w:val="24"/>
          <w:szCs w:val="22"/>
        </w:rPr>
        <w:t xml:space="preserve">ir </w:t>
      </w:r>
      <w:r w:rsidR="00C43CA7" w:rsidRPr="00F37D51">
        <w:rPr>
          <w:rFonts w:asciiTheme="minorHAnsi" w:hAnsiTheme="minorHAnsi" w:cstheme="minorHAnsi"/>
          <w:sz w:val="24"/>
          <w:szCs w:val="22"/>
        </w:rPr>
        <w:t>organ donation</w:t>
      </w:r>
      <w:r w:rsidR="00A24F2B">
        <w:rPr>
          <w:rFonts w:asciiTheme="minorHAnsi" w:hAnsiTheme="minorHAnsi" w:cstheme="minorHAnsi"/>
          <w:sz w:val="24"/>
          <w:szCs w:val="22"/>
        </w:rPr>
        <w:t xml:space="preserve"> decision</w:t>
      </w:r>
      <w:r w:rsidR="00C43CA7" w:rsidRPr="009A1783">
        <w:rPr>
          <w:rFonts w:asciiTheme="minorHAnsi" w:hAnsiTheme="minorHAnsi" w:cstheme="minorHAnsi"/>
          <w:sz w:val="24"/>
          <w:szCs w:val="22"/>
        </w:rPr>
        <w:t xml:space="preserve">. </w:t>
      </w:r>
      <w:r w:rsidR="00F40CEB">
        <w:rPr>
          <w:rFonts w:asciiTheme="minorHAnsi" w:hAnsiTheme="minorHAnsi" w:cstheme="minorHAnsi"/>
          <w:sz w:val="24"/>
          <w:szCs w:val="22"/>
        </w:rPr>
        <w:t xml:space="preserve">Authorised medical personnel are those persons approved by the </w:t>
      </w:r>
      <w:r w:rsidR="008C7E73">
        <w:rPr>
          <w:rFonts w:asciiTheme="minorHAnsi" w:hAnsiTheme="minorHAnsi" w:cstheme="minorHAnsi"/>
          <w:sz w:val="24"/>
          <w:szCs w:val="22"/>
        </w:rPr>
        <w:t xml:space="preserve">Australian Government </w:t>
      </w:r>
      <w:r w:rsidR="00F40CEB">
        <w:rPr>
          <w:rFonts w:asciiTheme="minorHAnsi" w:hAnsiTheme="minorHAnsi" w:cstheme="minorHAnsi"/>
          <w:sz w:val="24"/>
          <w:szCs w:val="22"/>
        </w:rPr>
        <w:t xml:space="preserve">Department of Human Services to have access to the AODR on an ongoing basis. </w:t>
      </w:r>
      <w:r w:rsidR="00F40CEB">
        <w:rPr>
          <w:rFonts w:asciiTheme="minorHAnsi" w:hAnsiTheme="minorHAnsi" w:cstheme="minorHAnsi"/>
          <w:sz w:val="24"/>
          <w:szCs w:val="22"/>
          <w:lang w:val="en-GB"/>
        </w:rPr>
        <w:t>A</w:t>
      </w:r>
      <w:r w:rsidR="0096459B">
        <w:rPr>
          <w:rFonts w:asciiTheme="minorHAnsi" w:hAnsiTheme="minorHAnsi" w:cstheme="minorHAnsi"/>
          <w:sz w:val="24"/>
          <w:szCs w:val="22"/>
          <w:lang w:val="en-GB"/>
        </w:rPr>
        <w:t>uthorised medical personnel</w:t>
      </w:r>
      <w:r w:rsidR="006611D7" w:rsidRPr="00A33214">
        <w:rPr>
          <w:rFonts w:asciiTheme="minorHAnsi" w:hAnsiTheme="minorHAnsi" w:cstheme="minorHAnsi"/>
          <w:sz w:val="24"/>
          <w:szCs w:val="22"/>
          <w:lang w:val="en-GB"/>
        </w:rPr>
        <w:t xml:space="preserve"> may conduct </w:t>
      </w:r>
      <w:r w:rsidR="00276398">
        <w:rPr>
          <w:rFonts w:asciiTheme="minorHAnsi" w:hAnsiTheme="minorHAnsi" w:cstheme="minorHAnsi"/>
          <w:sz w:val="24"/>
          <w:szCs w:val="22"/>
          <w:lang w:val="en-GB"/>
        </w:rPr>
        <w:t>AODR</w:t>
      </w:r>
      <w:r w:rsidR="00276398" w:rsidRPr="00A33214">
        <w:rPr>
          <w:rFonts w:asciiTheme="minorHAnsi" w:hAnsiTheme="minorHAnsi" w:cstheme="minorHAnsi"/>
          <w:sz w:val="24"/>
          <w:szCs w:val="22"/>
          <w:lang w:val="en-GB"/>
        </w:rPr>
        <w:t xml:space="preserve"> </w:t>
      </w:r>
      <w:r w:rsidR="006611D7" w:rsidRPr="00A33214">
        <w:rPr>
          <w:rFonts w:asciiTheme="minorHAnsi" w:hAnsiTheme="minorHAnsi" w:cstheme="minorHAnsi"/>
          <w:sz w:val="24"/>
          <w:szCs w:val="22"/>
          <w:lang w:val="en-GB"/>
        </w:rPr>
        <w:t xml:space="preserve">checks </w:t>
      </w:r>
      <w:r w:rsidR="0096459B">
        <w:rPr>
          <w:rFonts w:asciiTheme="minorHAnsi" w:hAnsiTheme="minorHAnsi" w:cstheme="minorHAnsi"/>
          <w:sz w:val="24"/>
          <w:szCs w:val="22"/>
          <w:lang w:val="en-GB"/>
        </w:rPr>
        <w:t xml:space="preserve">with the </w:t>
      </w:r>
      <w:r w:rsidR="008C7E73">
        <w:rPr>
          <w:rFonts w:asciiTheme="minorHAnsi" w:hAnsiTheme="minorHAnsi" w:cstheme="minorHAnsi"/>
          <w:sz w:val="24"/>
          <w:szCs w:val="22"/>
          <w:lang w:val="en-GB"/>
        </w:rPr>
        <w:t xml:space="preserve">Australian Government </w:t>
      </w:r>
      <w:r w:rsidR="0096459B">
        <w:rPr>
          <w:rFonts w:asciiTheme="minorHAnsi" w:hAnsiTheme="minorHAnsi" w:cstheme="minorHAnsi"/>
          <w:sz w:val="24"/>
          <w:szCs w:val="22"/>
          <w:lang w:val="en-GB"/>
        </w:rPr>
        <w:t xml:space="preserve">Department of Human </w:t>
      </w:r>
      <w:r w:rsidR="008C7E73">
        <w:rPr>
          <w:rFonts w:asciiTheme="minorHAnsi" w:hAnsiTheme="minorHAnsi" w:cstheme="minorHAnsi"/>
          <w:sz w:val="24"/>
          <w:szCs w:val="22"/>
          <w:lang w:val="en-GB"/>
        </w:rPr>
        <w:t>S</w:t>
      </w:r>
      <w:r w:rsidR="0096459B">
        <w:rPr>
          <w:rFonts w:asciiTheme="minorHAnsi" w:hAnsiTheme="minorHAnsi" w:cstheme="minorHAnsi"/>
          <w:sz w:val="24"/>
          <w:szCs w:val="22"/>
          <w:lang w:val="en-GB"/>
        </w:rPr>
        <w:t xml:space="preserve">ervices </w:t>
      </w:r>
      <w:r w:rsidR="006611D7" w:rsidRPr="00A33214">
        <w:rPr>
          <w:rFonts w:asciiTheme="minorHAnsi" w:hAnsiTheme="minorHAnsi" w:cstheme="minorHAnsi"/>
          <w:sz w:val="24"/>
          <w:szCs w:val="22"/>
          <w:lang w:val="en-GB"/>
        </w:rPr>
        <w:t xml:space="preserve">either over telephone </w:t>
      </w:r>
      <w:r w:rsidR="0096459B">
        <w:rPr>
          <w:rFonts w:asciiTheme="minorHAnsi" w:hAnsiTheme="minorHAnsi" w:cstheme="minorHAnsi"/>
          <w:sz w:val="24"/>
          <w:szCs w:val="22"/>
          <w:lang w:val="en-GB"/>
        </w:rPr>
        <w:t xml:space="preserve">or </w:t>
      </w:r>
      <w:r w:rsidR="006611D7" w:rsidRPr="00A33214">
        <w:rPr>
          <w:rFonts w:asciiTheme="minorHAnsi" w:hAnsiTheme="minorHAnsi" w:cstheme="minorHAnsi"/>
          <w:sz w:val="24"/>
          <w:szCs w:val="22"/>
          <w:lang w:val="en-GB"/>
        </w:rPr>
        <w:t xml:space="preserve">via a secure online system. DonateLife donation specialists </w:t>
      </w:r>
      <w:r w:rsidR="0096459B">
        <w:rPr>
          <w:rFonts w:asciiTheme="minorHAnsi" w:hAnsiTheme="minorHAnsi" w:cstheme="minorHAnsi"/>
          <w:sz w:val="24"/>
          <w:szCs w:val="22"/>
          <w:lang w:val="en-GB"/>
        </w:rPr>
        <w:t>are generally the authorised medical personnel and will regularly</w:t>
      </w:r>
      <w:r w:rsidR="006611D7" w:rsidRPr="00A33214">
        <w:rPr>
          <w:rFonts w:asciiTheme="minorHAnsi" w:hAnsiTheme="minorHAnsi" w:cstheme="minorHAnsi"/>
          <w:sz w:val="24"/>
          <w:szCs w:val="22"/>
          <w:lang w:val="en-GB"/>
        </w:rPr>
        <w:t xml:space="preserve"> perform the </w:t>
      </w:r>
      <w:r w:rsidR="00276398">
        <w:rPr>
          <w:rFonts w:asciiTheme="minorHAnsi" w:hAnsiTheme="minorHAnsi" w:cstheme="minorHAnsi"/>
          <w:sz w:val="24"/>
          <w:szCs w:val="22"/>
          <w:lang w:val="en-GB"/>
        </w:rPr>
        <w:t>AODR</w:t>
      </w:r>
      <w:r w:rsidR="00276398" w:rsidRPr="00A33214">
        <w:rPr>
          <w:rFonts w:asciiTheme="minorHAnsi" w:hAnsiTheme="minorHAnsi" w:cstheme="minorHAnsi"/>
          <w:sz w:val="24"/>
          <w:szCs w:val="22"/>
          <w:lang w:val="en-GB"/>
        </w:rPr>
        <w:t xml:space="preserve"> </w:t>
      </w:r>
      <w:r w:rsidR="0096459B">
        <w:rPr>
          <w:rFonts w:asciiTheme="minorHAnsi" w:hAnsiTheme="minorHAnsi" w:cstheme="minorHAnsi"/>
          <w:sz w:val="24"/>
          <w:szCs w:val="22"/>
          <w:lang w:val="en-GB"/>
        </w:rPr>
        <w:t>checks.</w:t>
      </w:r>
    </w:p>
    <w:p w14:paraId="012B5D5A" w14:textId="2D23429D" w:rsidR="00363C68" w:rsidRDefault="00A3453D" w:rsidP="0039413F">
      <w:pPr>
        <w:spacing w:after="120"/>
        <w:rPr>
          <w:rFonts w:asciiTheme="minorHAnsi" w:hAnsiTheme="minorHAnsi" w:cstheme="minorHAnsi"/>
          <w:sz w:val="24"/>
          <w:szCs w:val="22"/>
        </w:rPr>
      </w:pPr>
      <w:r>
        <w:rPr>
          <w:rFonts w:asciiTheme="minorHAnsi" w:hAnsiTheme="minorHAnsi" w:cstheme="minorHAnsi"/>
          <w:sz w:val="24"/>
          <w:szCs w:val="22"/>
        </w:rPr>
        <w:t xml:space="preserve">Family or enduring guardian consent prior to donation is obtained </w:t>
      </w:r>
      <w:r w:rsidR="00C86377">
        <w:rPr>
          <w:rFonts w:asciiTheme="minorHAnsi" w:hAnsiTheme="minorHAnsi" w:cstheme="minorHAnsi"/>
          <w:sz w:val="24"/>
          <w:szCs w:val="22"/>
        </w:rPr>
        <w:t>for all</w:t>
      </w:r>
      <w:r>
        <w:rPr>
          <w:rFonts w:asciiTheme="minorHAnsi" w:hAnsiTheme="minorHAnsi" w:cstheme="minorHAnsi"/>
          <w:sz w:val="24"/>
          <w:szCs w:val="22"/>
        </w:rPr>
        <w:t xml:space="preserve"> organ donations</w:t>
      </w:r>
      <w:r w:rsidR="003512DB">
        <w:rPr>
          <w:rFonts w:asciiTheme="minorHAnsi" w:hAnsiTheme="minorHAnsi" w:cstheme="minorHAnsi"/>
          <w:sz w:val="24"/>
          <w:szCs w:val="22"/>
        </w:rPr>
        <w:t>,</w:t>
      </w:r>
      <w:r>
        <w:rPr>
          <w:rFonts w:asciiTheme="minorHAnsi" w:hAnsiTheme="minorHAnsi" w:cstheme="minorHAnsi"/>
          <w:sz w:val="24"/>
          <w:szCs w:val="22"/>
        </w:rPr>
        <w:t xml:space="preserve"> where possible. </w:t>
      </w:r>
      <w:r w:rsidR="00613962">
        <w:rPr>
          <w:rFonts w:asciiTheme="minorHAnsi" w:hAnsiTheme="minorHAnsi" w:cstheme="minorHAnsi"/>
          <w:sz w:val="24"/>
          <w:szCs w:val="22"/>
        </w:rPr>
        <w:t>To confirm family or</w:t>
      </w:r>
      <w:r w:rsidR="008941C2">
        <w:rPr>
          <w:rFonts w:asciiTheme="minorHAnsi" w:hAnsiTheme="minorHAnsi" w:cstheme="minorHAnsi"/>
          <w:sz w:val="24"/>
          <w:szCs w:val="22"/>
        </w:rPr>
        <w:t xml:space="preserve"> enduring guardian consent, a specialist within the </w:t>
      </w:r>
      <w:r w:rsidR="003765B9">
        <w:rPr>
          <w:rFonts w:asciiTheme="minorHAnsi" w:hAnsiTheme="minorHAnsi" w:cstheme="minorHAnsi"/>
          <w:sz w:val="24"/>
          <w:szCs w:val="22"/>
        </w:rPr>
        <w:t>ICU</w:t>
      </w:r>
      <w:r w:rsidR="008941C2">
        <w:rPr>
          <w:rFonts w:asciiTheme="minorHAnsi" w:hAnsiTheme="minorHAnsi" w:cstheme="minorHAnsi"/>
          <w:sz w:val="24"/>
          <w:szCs w:val="22"/>
        </w:rPr>
        <w:t xml:space="preserve"> </w:t>
      </w:r>
      <w:r w:rsidR="00C43CA7" w:rsidRPr="009A1783">
        <w:rPr>
          <w:rFonts w:asciiTheme="minorHAnsi" w:hAnsiTheme="minorHAnsi" w:cstheme="minorHAnsi"/>
          <w:sz w:val="24"/>
          <w:szCs w:val="22"/>
        </w:rPr>
        <w:t xml:space="preserve">may </w:t>
      </w:r>
      <w:r w:rsidR="00363C68">
        <w:rPr>
          <w:rFonts w:asciiTheme="minorHAnsi" w:hAnsiTheme="minorHAnsi" w:cstheme="minorHAnsi"/>
          <w:sz w:val="24"/>
          <w:szCs w:val="22"/>
        </w:rPr>
        <w:t>commence</w:t>
      </w:r>
      <w:r w:rsidR="00363C68" w:rsidRPr="00363C68">
        <w:rPr>
          <w:rFonts w:asciiTheme="minorHAnsi" w:hAnsiTheme="minorHAnsi" w:cstheme="minorHAnsi"/>
          <w:sz w:val="24"/>
          <w:szCs w:val="22"/>
        </w:rPr>
        <w:t xml:space="preserve"> </w:t>
      </w:r>
      <w:r w:rsidR="00363C68">
        <w:rPr>
          <w:rFonts w:asciiTheme="minorHAnsi" w:hAnsiTheme="minorHAnsi" w:cstheme="minorHAnsi"/>
          <w:sz w:val="24"/>
          <w:szCs w:val="22"/>
        </w:rPr>
        <w:t xml:space="preserve">conversations </w:t>
      </w:r>
      <w:r w:rsidR="00363C68" w:rsidRPr="009A1783">
        <w:rPr>
          <w:rFonts w:asciiTheme="minorHAnsi" w:hAnsiTheme="minorHAnsi" w:cstheme="minorHAnsi"/>
          <w:sz w:val="24"/>
          <w:szCs w:val="22"/>
        </w:rPr>
        <w:t>between the potential donor and</w:t>
      </w:r>
      <w:r w:rsidR="00363C68">
        <w:rPr>
          <w:rFonts w:asciiTheme="minorHAnsi" w:hAnsiTheme="minorHAnsi" w:cstheme="minorHAnsi"/>
          <w:sz w:val="24"/>
          <w:szCs w:val="22"/>
        </w:rPr>
        <w:t>/</w:t>
      </w:r>
      <w:r w:rsidR="00363C68" w:rsidRPr="009A1783">
        <w:rPr>
          <w:rFonts w:asciiTheme="minorHAnsi" w:hAnsiTheme="minorHAnsi" w:cstheme="minorHAnsi"/>
          <w:sz w:val="24"/>
          <w:szCs w:val="22"/>
        </w:rPr>
        <w:t xml:space="preserve">or their family or enduring guardian. </w:t>
      </w:r>
      <w:r w:rsidR="00363C68">
        <w:rPr>
          <w:rFonts w:asciiTheme="minorHAnsi" w:hAnsiTheme="minorHAnsi" w:cstheme="minorHAnsi"/>
          <w:sz w:val="24"/>
          <w:szCs w:val="22"/>
        </w:rPr>
        <w:t xml:space="preserve">A </w:t>
      </w:r>
      <w:r w:rsidR="00363C68" w:rsidRPr="00932EF6">
        <w:rPr>
          <w:rFonts w:asciiTheme="minorHAnsi" w:hAnsiTheme="minorHAnsi" w:cstheme="minorHAnsi"/>
          <w:sz w:val="24"/>
          <w:szCs w:val="22"/>
        </w:rPr>
        <w:t xml:space="preserve">DonateLife donation specialist conducts the family interview to complete </w:t>
      </w:r>
      <w:r w:rsidR="00363C68">
        <w:rPr>
          <w:rFonts w:asciiTheme="minorHAnsi" w:hAnsiTheme="minorHAnsi" w:cstheme="minorHAnsi"/>
          <w:sz w:val="24"/>
          <w:szCs w:val="22"/>
        </w:rPr>
        <w:t xml:space="preserve">the </w:t>
      </w:r>
      <w:r w:rsidR="00363C68" w:rsidRPr="00932EF6">
        <w:rPr>
          <w:rFonts w:asciiTheme="minorHAnsi" w:hAnsiTheme="minorHAnsi" w:cstheme="minorHAnsi"/>
          <w:sz w:val="24"/>
          <w:szCs w:val="22"/>
        </w:rPr>
        <w:t xml:space="preserve">consent paperwork and to obtain important health information and medical and social history about the donor. </w:t>
      </w:r>
      <w:r w:rsidR="00363C68">
        <w:rPr>
          <w:rFonts w:asciiTheme="minorHAnsi" w:hAnsiTheme="minorHAnsi" w:cstheme="minorHAnsi"/>
          <w:sz w:val="24"/>
          <w:szCs w:val="22"/>
        </w:rPr>
        <w:t>Registration on the AODR</w:t>
      </w:r>
      <w:r w:rsidR="00363C68" w:rsidRPr="009A1783">
        <w:rPr>
          <w:rFonts w:asciiTheme="minorHAnsi" w:hAnsiTheme="minorHAnsi" w:cstheme="minorHAnsi"/>
          <w:sz w:val="24"/>
          <w:szCs w:val="22"/>
        </w:rPr>
        <w:t xml:space="preserve"> is</w:t>
      </w:r>
      <w:r w:rsidR="00363C68">
        <w:rPr>
          <w:rFonts w:asciiTheme="minorHAnsi" w:hAnsiTheme="minorHAnsi" w:cstheme="minorHAnsi"/>
          <w:sz w:val="24"/>
          <w:szCs w:val="22"/>
        </w:rPr>
        <w:t xml:space="preserve"> not </w:t>
      </w:r>
      <w:r w:rsidR="00363C68" w:rsidRPr="009A1783">
        <w:rPr>
          <w:rFonts w:asciiTheme="minorHAnsi" w:hAnsiTheme="minorHAnsi" w:cstheme="minorHAnsi"/>
          <w:sz w:val="24"/>
          <w:szCs w:val="22"/>
        </w:rPr>
        <w:t>required for organ donation to proceed</w:t>
      </w:r>
      <w:r w:rsidR="00363C68">
        <w:rPr>
          <w:rFonts w:asciiTheme="minorHAnsi" w:hAnsiTheme="minorHAnsi" w:cstheme="minorHAnsi"/>
          <w:sz w:val="24"/>
          <w:szCs w:val="22"/>
        </w:rPr>
        <w:t xml:space="preserve">, however it is a key factor that has been demonstrated to lead to follow through with consent to donate. </w:t>
      </w:r>
      <w:r w:rsidR="00363C68" w:rsidRPr="00636E27">
        <w:rPr>
          <w:rFonts w:asciiTheme="minorHAnsi" w:hAnsiTheme="minorHAnsi" w:cstheme="minorHAnsi"/>
          <w:sz w:val="24"/>
          <w:szCs w:val="22"/>
        </w:rPr>
        <w:t>Data provided by</w:t>
      </w:r>
      <w:r w:rsidR="00363C68">
        <w:rPr>
          <w:rFonts w:asciiTheme="minorHAnsi" w:hAnsiTheme="minorHAnsi" w:cstheme="minorHAnsi"/>
          <w:sz w:val="24"/>
          <w:szCs w:val="22"/>
        </w:rPr>
        <w:t xml:space="preserve"> the</w:t>
      </w:r>
      <w:r w:rsidR="00363C68" w:rsidRPr="00636E27">
        <w:rPr>
          <w:rFonts w:asciiTheme="minorHAnsi" w:hAnsiTheme="minorHAnsi" w:cstheme="minorHAnsi"/>
          <w:sz w:val="24"/>
          <w:szCs w:val="22"/>
        </w:rPr>
        <w:t xml:space="preserve"> OTA indicated that 90 per cent of families agree to donation when their loved one</w:t>
      </w:r>
      <w:r w:rsidR="0039413F">
        <w:rPr>
          <w:rFonts w:asciiTheme="minorHAnsi" w:hAnsiTheme="minorHAnsi" w:cstheme="minorHAnsi"/>
          <w:sz w:val="24"/>
          <w:szCs w:val="22"/>
        </w:rPr>
        <w:t xml:space="preserve"> </w:t>
      </w:r>
      <w:r w:rsidR="00363C68" w:rsidRPr="00636E27">
        <w:rPr>
          <w:rFonts w:asciiTheme="minorHAnsi" w:hAnsiTheme="minorHAnsi" w:cstheme="minorHAnsi"/>
          <w:sz w:val="24"/>
          <w:szCs w:val="22"/>
        </w:rPr>
        <w:t>is registered on the AODR</w:t>
      </w:r>
      <w:r w:rsidR="00363C68">
        <w:rPr>
          <w:rFonts w:asciiTheme="minorHAnsi" w:hAnsiTheme="minorHAnsi" w:cstheme="minorHAnsi"/>
          <w:sz w:val="24"/>
          <w:szCs w:val="22"/>
        </w:rPr>
        <w:t xml:space="preserve"> and the family is aware of the deceased’s donation decision</w:t>
      </w:r>
      <w:r w:rsidR="00363C68" w:rsidRPr="00636E27">
        <w:rPr>
          <w:rFonts w:asciiTheme="minorHAnsi" w:hAnsiTheme="minorHAnsi" w:cstheme="minorHAnsi"/>
          <w:sz w:val="24"/>
          <w:szCs w:val="22"/>
        </w:rPr>
        <w:t>.</w:t>
      </w:r>
      <w:r w:rsidR="00363C68">
        <w:rPr>
          <w:rStyle w:val="FootnoteReference"/>
          <w:rFonts w:cstheme="minorHAnsi"/>
        </w:rPr>
        <w:footnoteReference w:id="45"/>
      </w:r>
    </w:p>
    <w:p w14:paraId="2B35C997" w14:textId="77777777" w:rsidR="006417C1" w:rsidRPr="00D930F7" w:rsidRDefault="006417C1" w:rsidP="00AE3ED1">
      <w:pPr>
        <w:shd w:val="clear" w:color="auto" w:fill="DCEFF4"/>
        <w:spacing w:after="120"/>
        <w:rPr>
          <w:rFonts w:asciiTheme="minorHAnsi" w:hAnsiTheme="minorHAnsi" w:cstheme="minorHAnsi"/>
          <w:b/>
          <w:sz w:val="22"/>
          <w:szCs w:val="22"/>
        </w:rPr>
      </w:pPr>
      <w:r w:rsidRPr="00D930F7">
        <w:rPr>
          <w:rFonts w:asciiTheme="minorHAnsi" w:hAnsiTheme="minorHAnsi" w:cstheme="minorHAnsi"/>
          <w:b/>
          <w:sz w:val="22"/>
          <w:szCs w:val="22"/>
        </w:rPr>
        <w:t xml:space="preserve">Consent to organ donation </w:t>
      </w:r>
    </w:p>
    <w:p w14:paraId="49835F2D" w14:textId="77777777" w:rsidR="006417C1" w:rsidRPr="00AE3ED1" w:rsidRDefault="006417C1" w:rsidP="00AE3ED1">
      <w:pPr>
        <w:shd w:val="clear" w:color="auto" w:fill="DCEFF4"/>
        <w:spacing w:after="120"/>
        <w:rPr>
          <w:rFonts w:asciiTheme="minorHAnsi" w:hAnsiTheme="minorHAnsi" w:cstheme="minorHAnsi"/>
          <w:sz w:val="22"/>
          <w:szCs w:val="22"/>
        </w:rPr>
      </w:pPr>
      <w:r w:rsidRPr="00AE3ED1">
        <w:rPr>
          <w:rFonts w:asciiTheme="minorHAnsi" w:hAnsiTheme="minorHAnsi" w:cstheme="minorHAnsi"/>
          <w:sz w:val="22"/>
          <w:szCs w:val="22"/>
        </w:rPr>
        <w:t xml:space="preserve">Consent to organ donation after death in Australia is governed by the respective Human Tissue Acts of each state and territory, as well as national guidelines issued by the NHMRC. The requirements and format for obtaining deceased donor consent varies between each jurisdiction. </w:t>
      </w:r>
    </w:p>
    <w:p w14:paraId="4FE71976" w14:textId="77777777" w:rsidR="006417C1" w:rsidRPr="00AE3ED1" w:rsidRDefault="006417C1" w:rsidP="00AE3ED1">
      <w:pPr>
        <w:shd w:val="clear" w:color="auto" w:fill="DCEFF4"/>
        <w:spacing w:after="120"/>
        <w:rPr>
          <w:rFonts w:asciiTheme="minorHAnsi" w:hAnsiTheme="minorHAnsi" w:cstheme="minorHAnsi"/>
          <w:sz w:val="22"/>
          <w:szCs w:val="22"/>
        </w:rPr>
      </w:pPr>
      <w:r w:rsidRPr="00AE3ED1">
        <w:rPr>
          <w:rFonts w:asciiTheme="minorHAnsi" w:hAnsiTheme="minorHAnsi" w:cstheme="minorHAnsi"/>
          <w:sz w:val="22"/>
          <w:szCs w:val="22"/>
        </w:rPr>
        <w:t xml:space="preserve">The NHMRC’s Organ and Tissue donation after death, for transplantation: guidelines for ethical practice for health professionals outline a national approach, which should be adopted by all jurisdictions. In addition to individual donor consent, the guidelines stipulate that best practice requires further consultation with </w:t>
      </w:r>
      <w:r w:rsidRPr="00AE3ED1">
        <w:rPr>
          <w:rFonts w:asciiTheme="minorHAnsi" w:hAnsiTheme="minorHAnsi" w:cstheme="minorHAnsi"/>
          <w:sz w:val="22"/>
          <w:szCs w:val="22"/>
        </w:rPr>
        <w:lastRenderedPageBreak/>
        <w:t xml:space="preserve">and consent from the deceased donor’s family.   These guidelines are commonly adhered to in practice.  </w:t>
      </w:r>
    </w:p>
    <w:p w14:paraId="3CBF3BEE" w14:textId="6FC8B515" w:rsidR="00A67F01" w:rsidRPr="00AE3ED1" w:rsidRDefault="006417C1" w:rsidP="00AE3ED1">
      <w:pPr>
        <w:shd w:val="clear" w:color="auto" w:fill="DCEFF4"/>
        <w:spacing w:after="120"/>
        <w:rPr>
          <w:rFonts w:asciiTheme="minorHAnsi" w:hAnsiTheme="minorHAnsi" w:cstheme="minorHAnsi"/>
          <w:sz w:val="22"/>
          <w:szCs w:val="22"/>
        </w:rPr>
      </w:pPr>
      <w:r w:rsidRPr="00AE3ED1">
        <w:rPr>
          <w:rFonts w:asciiTheme="minorHAnsi" w:hAnsiTheme="minorHAnsi" w:cstheme="minorHAnsi"/>
          <w:sz w:val="22"/>
          <w:szCs w:val="22"/>
        </w:rPr>
        <w:t xml:space="preserve">Nevertheless, there are still legislative variations in place. In New South Wales, the authority to remove tissue for transplantation requires consent in writing by the potential donor.  Its South Australian counterpart, sets a lower threshold, stipulating that donation may proceed if the designated officer believes, through making reasonable enquiries that the deceased person had expressed the wish for donation.  A jurisdiction like Queensland is different again, as they legislate the requirement for family consent. Queensland legislation confers that consent must be sought from the next senior available next of kin of the deceased person as well.  </w:t>
      </w:r>
    </w:p>
    <w:p w14:paraId="38A4EE52" w14:textId="2F983F73" w:rsidR="0039413F" w:rsidRDefault="00C43CA7" w:rsidP="00751F00">
      <w:pPr>
        <w:spacing w:after="120"/>
        <w:rPr>
          <w:rFonts w:asciiTheme="minorHAnsi" w:hAnsiTheme="minorHAnsi" w:cstheme="minorHAnsi"/>
          <w:sz w:val="24"/>
          <w:szCs w:val="22"/>
        </w:rPr>
      </w:pPr>
      <w:r w:rsidRPr="009A1783">
        <w:rPr>
          <w:rFonts w:asciiTheme="minorHAnsi" w:hAnsiTheme="minorHAnsi" w:cstheme="minorHAnsi"/>
          <w:sz w:val="24"/>
          <w:szCs w:val="22"/>
        </w:rPr>
        <w:t xml:space="preserve">Once consent is </w:t>
      </w:r>
      <w:r w:rsidR="00A24F2B" w:rsidRPr="009A1783">
        <w:rPr>
          <w:rFonts w:asciiTheme="minorHAnsi" w:hAnsiTheme="minorHAnsi" w:cstheme="minorHAnsi"/>
          <w:sz w:val="24"/>
          <w:szCs w:val="22"/>
        </w:rPr>
        <w:t xml:space="preserve">provided </w:t>
      </w:r>
      <w:r w:rsidRPr="009A1783">
        <w:rPr>
          <w:rFonts w:asciiTheme="minorHAnsi" w:hAnsiTheme="minorHAnsi" w:cstheme="minorHAnsi"/>
          <w:sz w:val="24"/>
          <w:szCs w:val="22"/>
        </w:rPr>
        <w:t>for organ donation</w:t>
      </w:r>
      <w:r w:rsidR="00A24F2B" w:rsidRPr="009A1783">
        <w:rPr>
          <w:rFonts w:asciiTheme="minorHAnsi" w:hAnsiTheme="minorHAnsi" w:cstheme="minorHAnsi"/>
          <w:sz w:val="24"/>
          <w:szCs w:val="22"/>
        </w:rPr>
        <w:t xml:space="preserve"> to </w:t>
      </w:r>
      <w:r w:rsidR="00237017">
        <w:rPr>
          <w:rFonts w:asciiTheme="minorHAnsi" w:hAnsiTheme="minorHAnsi" w:cstheme="minorHAnsi"/>
          <w:sz w:val="24"/>
          <w:szCs w:val="22"/>
        </w:rPr>
        <w:t>progress</w:t>
      </w:r>
      <w:r w:rsidRPr="009A1783">
        <w:rPr>
          <w:rFonts w:asciiTheme="minorHAnsi" w:hAnsiTheme="minorHAnsi" w:cstheme="minorHAnsi"/>
          <w:sz w:val="24"/>
          <w:szCs w:val="22"/>
        </w:rPr>
        <w:t>, additional tests are undertaken to confirm the potential donor’s suitability. This includes tissue typing, serology, clinical examinations and medical and social history. DonateLife and hospital personnel manage the donor and their end-of-life care</w:t>
      </w:r>
      <w:r w:rsidR="00932EF6">
        <w:rPr>
          <w:rFonts w:asciiTheme="minorHAnsi" w:hAnsiTheme="minorHAnsi" w:cstheme="minorHAnsi"/>
          <w:sz w:val="24"/>
          <w:szCs w:val="22"/>
        </w:rPr>
        <w:t xml:space="preserve"> to optimise the donation opportunity</w:t>
      </w:r>
      <w:r w:rsidRPr="009A1783">
        <w:rPr>
          <w:rFonts w:asciiTheme="minorHAnsi" w:hAnsiTheme="minorHAnsi" w:cstheme="minorHAnsi"/>
          <w:sz w:val="24"/>
          <w:szCs w:val="22"/>
        </w:rPr>
        <w:t>. Support is to be provided to the donor families through the entire</w:t>
      </w:r>
      <w:r w:rsidR="008F714E" w:rsidRPr="009A1783">
        <w:rPr>
          <w:rFonts w:asciiTheme="minorHAnsi" w:hAnsiTheme="minorHAnsi" w:cstheme="minorHAnsi"/>
          <w:sz w:val="24"/>
          <w:szCs w:val="22"/>
        </w:rPr>
        <w:t xml:space="preserve"> </w:t>
      </w:r>
      <w:r w:rsidRPr="009A1783">
        <w:rPr>
          <w:rFonts w:asciiTheme="minorHAnsi" w:hAnsiTheme="minorHAnsi" w:cstheme="minorHAnsi"/>
          <w:sz w:val="24"/>
          <w:szCs w:val="22"/>
        </w:rPr>
        <w:t>process through DonateLife</w:t>
      </w:r>
      <w:r w:rsidR="00E26DF5">
        <w:rPr>
          <w:rFonts w:asciiTheme="minorHAnsi" w:hAnsiTheme="minorHAnsi" w:cstheme="minorHAnsi"/>
          <w:sz w:val="24"/>
          <w:szCs w:val="22"/>
        </w:rPr>
        <w:t xml:space="preserve"> (see below for further detail on the donor family experience)</w:t>
      </w:r>
      <w:r w:rsidRPr="009A1783">
        <w:rPr>
          <w:rFonts w:asciiTheme="minorHAnsi" w:hAnsiTheme="minorHAnsi" w:cstheme="minorHAnsi"/>
          <w:sz w:val="24"/>
          <w:szCs w:val="22"/>
        </w:rPr>
        <w:t>.</w:t>
      </w:r>
    </w:p>
    <w:p w14:paraId="2F8C7FA1" w14:textId="77777777" w:rsidR="00D41EA2" w:rsidRPr="00D930F7" w:rsidRDefault="00D41EA2" w:rsidP="00AE3ED1">
      <w:pPr>
        <w:shd w:val="clear" w:color="auto" w:fill="DCEFF4"/>
        <w:spacing w:after="120"/>
        <w:rPr>
          <w:rFonts w:asciiTheme="minorHAnsi" w:hAnsiTheme="minorHAnsi" w:cstheme="minorHAnsi"/>
          <w:b/>
          <w:sz w:val="22"/>
          <w:szCs w:val="22"/>
        </w:rPr>
      </w:pPr>
      <w:r w:rsidRPr="00D930F7">
        <w:rPr>
          <w:rFonts w:asciiTheme="minorHAnsi" w:hAnsiTheme="minorHAnsi" w:cstheme="minorHAnsi"/>
          <w:b/>
          <w:sz w:val="22"/>
          <w:szCs w:val="22"/>
        </w:rPr>
        <w:t>The donor family experience</w:t>
      </w:r>
    </w:p>
    <w:p w14:paraId="3C092259" w14:textId="77777777" w:rsidR="00D41EA2" w:rsidRPr="00AE3ED1" w:rsidRDefault="00D41EA2" w:rsidP="00AE3ED1">
      <w:pPr>
        <w:shd w:val="clear" w:color="auto" w:fill="DCEFF4"/>
        <w:spacing w:after="120"/>
        <w:rPr>
          <w:rFonts w:asciiTheme="minorHAnsi" w:hAnsiTheme="minorHAnsi" w:cstheme="minorHAnsi"/>
          <w:sz w:val="22"/>
          <w:szCs w:val="22"/>
        </w:rPr>
      </w:pPr>
      <w:r w:rsidRPr="00AE3ED1">
        <w:rPr>
          <w:rFonts w:asciiTheme="minorHAnsi" w:hAnsiTheme="minorHAnsi" w:cstheme="minorHAnsi"/>
          <w:sz w:val="22"/>
          <w:szCs w:val="22"/>
        </w:rPr>
        <w:t xml:space="preserve">The Best Practice Guideline for offering Organ and Tissue Donation in Australia 2017, outlines the preferred approach to be taken for all potential donations. A key element of which is ensuring that specialist support and a collaborative approach is utilised to enhance the donor family experience. As discussed above, when a potential donor is identified a conversation occurs with the donor family to explain the donation and consent process. It is the responsibility of the treating clinical medical team to ensure that the family understands that death has occurred or is expected to occur. This process is supported by staff in the ICU where the potential donor is being cared for and the DonateLife donation coordinator. The following describes how the process should work. </w:t>
      </w:r>
    </w:p>
    <w:p w14:paraId="45778886" w14:textId="77777777" w:rsidR="00D41EA2" w:rsidRPr="00AE3ED1" w:rsidRDefault="00D41EA2" w:rsidP="00AE3ED1">
      <w:pPr>
        <w:shd w:val="clear" w:color="auto" w:fill="DCEFF4"/>
        <w:spacing w:after="120"/>
        <w:rPr>
          <w:rFonts w:asciiTheme="minorHAnsi" w:hAnsiTheme="minorHAnsi" w:cstheme="minorHAnsi"/>
          <w:sz w:val="22"/>
          <w:szCs w:val="22"/>
        </w:rPr>
      </w:pPr>
      <w:r w:rsidRPr="00AE3ED1">
        <w:rPr>
          <w:rFonts w:asciiTheme="minorHAnsi" w:hAnsiTheme="minorHAnsi" w:cstheme="minorHAnsi"/>
          <w:sz w:val="22"/>
          <w:szCs w:val="22"/>
        </w:rPr>
        <w:t xml:space="preserve">DonateLife donation specialists and the treating hospital clinical team work together throughout the donation process to manage the patient’s end-of-life care, to provide clinical care to optimise the donation opportunity, and to support the family through the entire process. The treating clinical team also works with a Family Donation Conversation Trained Specialist to discuss and plan the next steps, including the family donation conversation. The AODR is checked before the team planning meet so that the patient’s registration status can be shared with the family to inform the decision-making process. </w:t>
      </w:r>
    </w:p>
    <w:p w14:paraId="15BD4E81" w14:textId="77777777" w:rsidR="00D41EA2" w:rsidRPr="00AE3ED1" w:rsidRDefault="00D41EA2" w:rsidP="00AE3ED1">
      <w:pPr>
        <w:shd w:val="clear" w:color="auto" w:fill="DCEFF4"/>
        <w:spacing w:after="120"/>
        <w:rPr>
          <w:rFonts w:asciiTheme="minorHAnsi" w:hAnsiTheme="minorHAnsi" w:cstheme="minorHAnsi"/>
          <w:sz w:val="22"/>
          <w:szCs w:val="22"/>
        </w:rPr>
      </w:pPr>
      <w:r w:rsidRPr="00AE3ED1">
        <w:rPr>
          <w:rFonts w:asciiTheme="minorHAnsi" w:hAnsiTheme="minorHAnsi" w:cstheme="minorHAnsi"/>
          <w:sz w:val="22"/>
          <w:szCs w:val="22"/>
        </w:rPr>
        <w:t>The transition from a conversation about death to a conversation about organ donation should not be rushed. A Family Donation Conversation Trained Specialist is to be actively present and participates in the family discussion. Once it is confirmed that the family provide consent for organ donation and that donation is viable, the next steps are explained and the Family Donation Conversation Trained Specialist and treating clinical team will continue to support the family throughout the process.</w:t>
      </w:r>
    </w:p>
    <w:p w14:paraId="1A796BD4" w14:textId="77777777" w:rsidR="00D41EA2" w:rsidRPr="00AE3ED1" w:rsidRDefault="00D41EA2" w:rsidP="00AE3ED1">
      <w:pPr>
        <w:shd w:val="clear" w:color="auto" w:fill="DCEFF4"/>
        <w:spacing w:after="120"/>
        <w:rPr>
          <w:rFonts w:asciiTheme="minorHAnsi" w:hAnsiTheme="minorHAnsi" w:cstheme="minorHAnsi"/>
          <w:sz w:val="22"/>
          <w:szCs w:val="22"/>
        </w:rPr>
      </w:pPr>
      <w:r w:rsidRPr="00AE3ED1">
        <w:rPr>
          <w:rFonts w:asciiTheme="minorHAnsi" w:hAnsiTheme="minorHAnsi" w:cstheme="minorHAnsi"/>
          <w:sz w:val="22"/>
          <w:szCs w:val="22"/>
        </w:rPr>
        <w:t xml:space="preserve">Once donation is complete, DonateLife remain in contact with the family to link them to the psychosocial support they require. DonateLife facilitate a letter writing service which allows both the donor family and recipient to establish and maintain anonymous contact should they wish to. </w:t>
      </w:r>
    </w:p>
    <w:p w14:paraId="3F2A6A00" w14:textId="77777777" w:rsidR="00D41EA2" w:rsidRPr="00AE3ED1" w:rsidRDefault="00D41EA2" w:rsidP="00AE3ED1">
      <w:pPr>
        <w:shd w:val="clear" w:color="auto" w:fill="DCEFF4"/>
        <w:spacing w:after="120"/>
        <w:rPr>
          <w:rFonts w:asciiTheme="minorHAnsi" w:hAnsiTheme="minorHAnsi" w:cstheme="minorHAnsi"/>
          <w:sz w:val="22"/>
          <w:szCs w:val="22"/>
        </w:rPr>
      </w:pPr>
      <w:r w:rsidRPr="00AE3ED1">
        <w:rPr>
          <w:rFonts w:asciiTheme="minorHAnsi" w:hAnsiTheme="minorHAnsi" w:cstheme="minorHAnsi"/>
          <w:sz w:val="22"/>
          <w:szCs w:val="22"/>
        </w:rPr>
        <w:t>Further support is offered to families after donation and includes providing a general update on the recipients who benefited from the donation. As well as a package of donor family support resources with information about grief and the process of donation, and guidelines on the exchange of anonymous correspondence with transplant recipients.</w:t>
      </w:r>
    </w:p>
    <w:p w14:paraId="3096BAAE" w14:textId="59314E80" w:rsidR="0039413F" w:rsidRDefault="00D41EA2" w:rsidP="00AE3ED1">
      <w:pPr>
        <w:shd w:val="clear" w:color="auto" w:fill="DCEFF4"/>
        <w:spacing w:after="120"/>
        <w:rPr>
          <w:rFonts w:asciiTheme="minorHAnsi" w:hAnsiTheme="minorHAnsi" w:cstheme="minorHAnsi"/>
          <w:sz w:val="24"/>
          <w:szCs w:val="22"/>
        </w:rPr>
      </w:pPr>
      <w:r w:rsidRPr="00AE3ED1">
        <w:rPr>
          <w:rFonts w:asciiTheme="minorHAnsi" w:hAnsiTheme="minorHAnsi" w:cstheme="minorHAnsi"/>
          <w:sz w:val="22"/>
          <w:szCs w:val="22"/>
        </w:rPr>
        <w:t>A Donor Family Study is undertaken by the OTA to gain an understanding of the family experience of the donation process and their perception of the care they received from the treating clinical team and the DonateLife donation specialists before, during and after their donation experience.</w:t>
      </w:r>
      <w:r w:rsidR="0039413F">
        <w:rPr>
          <w:rFonts w:asciiTheme="minorHAnsi" w:hAnsiTheme="minorHAnsi" w:cstheme="minorHAnsi"/>
          <w:sz w:val="24"/>
          <w:szCs w:val="22"/>
        </w:rPr>
        <w:br w:type="page"/>
      </w:r>
    </w:p>
    <w:p w14:paraId="09DB5EBD" w14:textId="77777777" w:rsidR="00932EF6" w:rsidRPr="00AF7C07" w:rsidRDefault="00932EF6" w:rsidP="00AF7C07">
      <w:pPr>
        <w:pStyle w:val="Heading3"/>
        <w:tabs>
          <w:tab w:val="clear" w:pos="1843"/>
          <w:tab w:val="num" w:pos="1559"/>
        </w:tabs>
        <w:ind w:left="992" w:hanging="992"/>
        <w:rPr>
          <w:rFonts w:asciiTheme="minorHAnsi" w:hAnsiTheme="minorHAnsi" w:cstheme="minorHAnsi"/>
          <w:b w:val="0"/>
          <w:color w:val="7F7F7F" w:themeColor="text1" w:themeTint="80"/>
          <w:sz w:val="30"/>
          <w:szCs w:val="30"/>
        </w:rPr>
      </w:pPr>
      <w:r w:rsidRPr="00AF7C07">
        <w:rPr>
          <w:rFonts w:asciiTheme="minorHAnsi" w:hAnsiTheme="minorHAnsi" w:cstheme="minorHAnsi"/>
          <w:b w:val="0"/>
          <w:color w:val="7F7F7F" w:themeColor="text1" w:themeTint="80"/>
          <w:sz w:val="30"/>
          <w:szCs w:val="30"/>
        </w:rPr>
        <w:lastRenderedPageBreak/>
        <w:t>Deceased organ donation performance</w:t>
      </w:r>
    </w:p>
    <w:p w14:paraId="3FCE2D09" w14:textId="054FF691" w:rsidR="00AE701D" w:rsidRDefault="00D239DA" w:rsidP="00D239DA">
      <w:pPr>
        <w:spacing w:after="120"/>
        <w:rPr>
          <w:rFonts w:asciiTheme="minorHAnsi" w:hAnsiTheme="minorHAnsi" w:cstheme="minorHAnsi"/>
          <w:sz w:val="24"/>
          <w:szCs w:val="22"/>
          <w:lang w:val="en-GB"/>
        </w:rPr>
      </w:pPr>
      <w:bookmarkStart w:id="119" w:name="_Toc523496668"/>
      <w:bookmarkStart w:id="120" w:name="_Toc523496896"/>
      <w:bookmarkStart w:id="121" w:name="_Toc523508773"/>
      <w:bookmarkStart w:id="122" w:name="_Toc523509006"/>
      <w:bookmarkStart w:id="123" w:name="_Toc523509237"/>
      <w:bookmarkStart w:id="124" w:name="_Toc523496669"/>
      <w:bookmarkStart w:id="125" w:name="_Toc523496897"/>
      <w:bookmarkStart w:id="126" w:name="_Toc523508774"/>
      <w:bookmarkStart w:id="127" w:name="_Toc523509007"/>
      <w:bookmarkStart w:id="128" w:name="_Toc523509238"/>
      <w:bookmarkStart w:id="129" w:name="_Ref523733411"/>
      <w:bookmarkStart w:id="130" w:name="_Ref523737811"/>
      <w:bookmarkEnd w:id="119"/>
      <w:bookmarkEnd w:id="120"/>
      <w:bookmarkEnd w:id="121"/>
      <w:bookmarkEnd w:id="122"/>
      <w:bookmarkEnd w:id="123"/>
      <w:bookmarkEnd w:id="124"/>
      <w:bookmarkEnd w:id="125"/>
      <w:bookmarkEnd w:id="126"/>
      <w:bookmarkEnd w:id="127"/>
      <w:bookmarkEnd w:id="128"/>
      <w:r>
        <w:rPr>
          <w:rFonts w:asciiTheme="minorHAnsi" w:hAnsiTheme="minorHAnsi" w:cstheme="minorHAnsi"/>
          <w:sz w:val="24"/>
          <w:szCs w:val="22"/>
          <w:lang w:val="en-GB"/>
        </w:rPr>
        <w:t>Deceased organ donation rates across Australia have improved dramatically</w:t>
      </w:r>
      <w:r w:rsidR="00584536">
        <w:rPr>
          <w:rFonts w:asciiTheme="minorHAnsi" w:hAnsiTheme="minorHAnsi" w:cstheme="minorHAnsi"/>
          <w:sz w:val="24"/>
          <w:szCs w:val="22"/>
          <w:lang w:val="en-GB"/>
        </w:rPr>
        <w:t xml:space="preserve"> since</w:t>
      </w:r>
      <w:r w:rsidR="007A42C2">
        <w:rPr>
          <w:rFonts w:asciiTheme="minorHAnsi" w:hAnsiTheme="minorHAnsi" w:cstheme="minorHAnsi"/>
          <w:sz w:val="24"/>
          <w:szCs w:val="22"/>
          <w:lang w:val="en-GB"/>
        </w:rPr>
        <w:t>2009</w:t>
      </w:r>
      <w:r>
        <w:rPr>
          <w:rFonts w:asciiTheme="minorHAnsi" w:hAnsiTheme="minorHAnsi" w:cstheme="minorHAnsi"/>
          <w:sz w:val="24"/>
          <w:szCs w:val="22"/>
          <w:lang w:val="en-GB"/>
        </w:rPr>
        <w:t xml:space="preserve">, demonstrated in an overall national increase </w:t>
      </w:r>
      <w:r w:rsidR="00A40C9D">
        <w:rPr>
          <w:rFonts w:asciiTheme="minorHAnsi" w:hAnsiTheme="minorHAnsi" w:cstheme="minorHAnsi"/>
          <w:sz w:val="24"/>
          <w:szCs w:val="22"/>
          <w:lang w:val="en-GB"/>
        </w:rPr>
        <w:t xml:space="preserve">of </w:t>
      </w:r>
      <w:r w:rsidR="007A42C2">
        <w:rPr>
          <w:rFonts w:asciiTheme="minorHAnsi" w:hAnsiTheme="minorHAnsi" w:cstheme="minorHAnsi"/>
          <w:sz w:val="24"/>
          <w:szCs w:val="22"/>
          <w:lang w:val="en-GB"/>
        </w:rPr>
        <w:t>106</w:t>
      </w:r>
      <w:r w:rsidR="0096459B">
        <w:rPr>
          <w:rFonts w:asciiTheme="minorHAnsi" w:hAnsiTheme="minorHAnsi" w:cstheme="minorHAnsi"/>
          <w:sz w:val="24"/>
          <w:szCs w:val="22"/>
          <w:lang w:val="en-GB"/>
        </w:rPr>
        <w:t xml:space="preserve"> per cent</w:t>
      </w:r>
      <w:r>
        <w:rPr>
          <w:rFonts w:asciiTheme="minorHAnsi" w:hAnsiTheme="minorHAnsi" w:cstheme="minorHAnsi"/>
          <w:sz w:val="24"/>
          <w:szCs w:val="22"/>
          <w:lang w:val="en-GB"/>
        </w:rPr>
        <w:t>.</w:t>
      </w:r>
      <w:r w:rsidR="00A40C9D">
        <w:rPr>
          <w:rFonts w:asciiTheme="minorHAnsi" w:hAnsiTheme="minorHAnsi" w:cstheme="minorHAnsi"/>
          <w:sz w:val="24"/>
          <w:szCs w:val="22"/>
          <w:lang w:val="en-GB"/>
        </w:rPr>
        <w:t xml:space="preserve"> </w:t>
      </w:r>
      <w:r w:rsidR="007713E4">
        <w:rPr>
          <w:rFonts w:asciiTheme="minorHAnsi" w:hAnsiTheme="minorHAnsi" w:cstheme="minorHAnsi"/>
          <w:sz w:val="24"/>
          <w:szCs w:val="22"/>
          <w:lang w:val="en-GB"/>
        </w:rPr>
        <w:t xml:space="preserve">The highest growth rates have been achieved in </w:t>
      </w:r>
      <w:r w:rsidR="00A40C9D">
        <w:rPr>
          <w:rFonts w:asciiTheme="minorHAnsi" w:hAnsiTheme="minorHAnsi" w:cstheme="minorHAnsi"/>
          <w:sz w:val="24"/>
          <w:szCs w:val="22"/>
          <w:lang w:val="en-GB"/>
        </w:rPr>
        <w:t xml:space="preserve">Victoria </w:t>
      </w:r>
      <w:r w:rsidR="007713E4">
        <w:rPr>
          <w:rFonts w:asciiTheme="minorHAnsi" w:hAnsiTheme="minorHAnsi" w:cstheme="minorHAnsi"/>
          <w:sz w:val="24"/>
          <w:szCs w:val="22"/>
          <w:lang w:val="en-GB"/>
        </w:rPr>
        <w:t xml:space="preserve">(220 per cent) </w:t>
      </w:r>
      <w:r w:rsidR="00A40C9D">
        <w:rPr>
          <w:rFonts w:asciiTheme="minorHAnsi" w:hAnsiTheme="minorHAnsi" w:cstheme="minorHAnsi"/>
          <w:sz w:val="24"/>
          <w:szCs w:val="22"/>
          <w:lang w:val="en-GB"/>
        </w:rPr>
        <w:t>and Western Australia</w:t>
      </w:r>
      <w:r w:rsidR="007713E4">
        <w:rPr>
          <w:rFonts w:asciiTheme="minorHAnsi" w:hAnsiTheme="minorHAnsi" w:cstheme="minorHAnsi"/>
          <w:sz w:val="24"/>
          <w:szCs w:val="22"/>
          <w:lang w:val="en-GB"/>
        </w:rPr>
        <w:t xml:space="preserve"> (168 per cent)</w:t>
      </w:r>
      <w:r w:rsidRPr="00E3042C">
        <w:rPr>
          <w:rFonts w:asciiTheme="minorHAnsi" w:hAnsiTheme="minorHAnsi" w:cstheme="minorHAnsi"/>
          <w:sz w:val="24"/>
          <w:szCs w:val="22"/>
          <w:lang w:val="en-GB"/>
        </w:rPr>
        <w:t>.</w:t>
      </w:r>
      <w:r w:rsidR="00914E90" w:rsidRPr="00A36170">
        <w:rPr>
          <w:rStyle w:val="FootnoteReference"/>
          <w:rFonts w:asciiTheme="minorHAnsi" w:hAnsiTheme="minorHAnsi" w:cstheme="minorHAnsi"/>
          <w:szCs w:val="18"/>
          <w:lang w:val="en-GB"/>
        </w:rPr>
        <w:footnoteReference w:id="46"/>
      </w:r>
      <w:r>
        <w:rPr>
          <w:rFonts w:asciiTheme="minorHAnsi" w:hAnsiTheme="minorHAnsi" w:cstheme="minorHAnsi"/>
          <w:sz w:val="24"/>
          <w:szCs w:val="22"/>
          <w:lang w:val="en-GB"/>
        </w:rPr>
        <w:t xml:space="preserve"> New South Wales and Victoria have maintained the largest volume of donations across </w:t>
      </w:r>
      <w:r w:rsidR="00584536">
        <w:rPr>
          <w:rFonts w:asciiTheme="minorHAnsi" w:hAnsiTheme="minorHAnsi" w:cstheme="minorHAnsi"/>
          <w:sz w:val="24"/>
          <w:szCs w:val="22"/>
          <w:lang w:val="en-GB"/>
        </w:rPr>
        <w:t>all jurisdictions</w:t>
      </w:r>
      <w:r>
        <w:rPr>
          <w:rFonts w:asciiTheme="minorHAnsi" w:hAnsiTheme="minorHAnsi" w:cstheme="minorHAnsi"/>
          <w:sz w:val="24"/>
          <w:szCs w:val="22"/>
          <w:lang w:val="en-GB"/>
        </w:rPr>
        <w:t xml:space="preserve"> </w:t>
      </w:r>
      <w:r w:rsidR="00B05CBC">
        <w:rPr>
          <w:rFonts w:asciiTheme="minorHAnsi" w:hAnsiTheme="minorHAnsi" w:cstheme="minorHAnsi"/>
          <w:sz w:val="24"/>
          <w:szCs w:val="22"/>
          <w:lang w:val="en-GB"/>
        </w:rPr>
        <w:t xml:space="preserve">since the establishment of the reform, </w:t>
      </w:r>
      <w:r>
        <w:rPr>
          <w:rFonts w:asciiTheme="minorHAnsi" w:hAnsiTheme="minorHAnsi" w:cstheme="minorHAnsi"/>
          <w:sz w:val="24"/>
          <w:szCs w:val="22"/>
          <w:lang w:val="en-GB"/>
        </w:rPr>
        <w:t>as</w:t>
      </w:r>
      <w:r w:rsidR="00350E79">
        <w:rPr>
          <w:rFonts w:asciiTheme="minorHAnsi" w:hAnsiTheme="minorHAnsi" w:cstheme="minorHAnsi"/>
          <w:sz w:val="24"/>
          <w:szCs w:val="22"/>
          <w:lang w:val="en-GB"/>
        </w:rPr>
        <w:t xml:space="preserve"> would be expected given the size of their population compared to </w:t>
      </w:r>
      <w:r w:rsidR="00584536">
        <w:rPr>
          <w:rFonts w:asciiTheme="minorHAnsi" w:hAnsiTheme="minorHAnsi" w:cstheme="minorHAnsi"/>
          <w:sz w:val="24"/>
          <w:szCs w:val="22"/>
          <w:lang w:val="en-GB"/>
        </w:rPr>
        <w:t>other jurisdictions</w:t>
      </w:r>
      <w:r w:rsidR="00350E79">
        <w:rPr>
          <w:rFonts w:asciiTheme="minorHAnsi" w:hAnsiTheme="minorHAnsi" w:cstheme="minorHAnsi"/>
          <w:sz w:val="24"/>
          <w:szCs w:val="22"/>
          <w:lang w:val="en-GB"/>
        </w:rPr>
        <w:t xml:space="preserve">. </w:t>
      </w:r>
      <w:r w:rsidR="00914E90">
        <w:rPr>
          <w:rFonts w:asciiTheme="minorHAnsi" w:hAnsiTheme="minorHAnsi" w:cstheme="minorHAnsi"/>
          <w:sz w:val="24"/>
          <w:szCs w:val="22"/>
          <w:lang w:val="en-GB"/>
        </w:rPr>
        <w:t>Donation performance</w:t>
      </w:r>
      <w:r w:rsidR="003259BB">
        <w:rPr>
          <w:rFonts w:asciiTheme="minorHAnsi" w:hAnsiTheme="minorHAnsi" w:cstheme="minorHAnsi"/>
          <w:sz w:val="24"/>
          <w:szCs w:val="22"/>
          <w:lang w:val="en-GB"/>
        </w:rPr>
        <w:t xml:space="preserve"> is discussed further in Section 6.2.1</w:t>
      </w:r>
      <w:r w:rsidR="00914E90">
        <w:rPr>
          <w:rFonts w:asciiTheme="minorHAnsi" w:hAnsiTheme="minorHAnsi" w:cstheme="minorHAnsi"/>
          <w:sz w:val="24"/>
          <w:szCs w:val="22"/>
          <w:lang w:val="en-GB"/>
        </w:rPr>
        <w:t>.</w:t>
      </w:r>
      <w:r>
        <w:rPr>
          <w:rFonts w:asciiTheme="minorHAnsi" w:hAnsiTheme="minorHAnsi" w:cstheme="minorHAnsi"/>
          <w:sz w:val="24"/>
          <w:szCs w:val="22"/>
          <w:lang w:val="en-GB"/>
        </w:rPr>
        <w:t xml:space="preserve">  </w:t>
      </w:r>
    </w:p>
    <w:p w14:paraId="67B2CF72" w14:textId="77777777" w:rsidR="00AE701D" w:rsidRDefault="00AE701D">
      <w:pPr>
        <w:widowControl/>
        <w:autoSpaceDE/>
        <w:autoSpaceDN/>
        <w:adjustRightInd/>
        <w:spacing w:after="200" w:line="276" w:lineRule="auto"/>
        <w:rPr>
          <w:rFonts w:asciiTheme="minorHAnsi" w:hAnsiTheme="minorHAnsi" w:cstheme="minorHAnsi"/>
          <w:sz w:val="24"/>
          <w:szCs w:val="22"/>
          <w:lang w:val="en-GB"/>
        </w:rPr>
      </w:pPr>
      <w:r>
        <w:rPr>
          <w:rFonts w:asciiTheme="minorHAnsi" w:hAnsiTheme="minorHAnsi" w:cstheme="minorHAnsi"/>
          <w:sz w:val="24"/>
          <w:szCs w:val="22"/>
          <w:lang w:val="en-GB"/>
        </w:rPr>
        <w:br w:type="page"/>
      </w:r>
    </w:p>
    <w:p w14:paraId="1F39A849" w14:textId="5EB2E1E0" w:rsidR="00C43CA7" w:rsidRDefault="001129BE">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131" w:name="_Ref527641502"/>
      <w:bookmarkStart w:id="132" w:name="_Ref527641528"/>
      <w:bookmarkStart w:id="133" w:name="_Toc532301684"/>
      <w:bookmarkStart w:id="134" w:name="_Ref531252063"/>
      <w:bookmarkStart w:id="135" w:name="_Ref531252075"/>
      <w:bookmarkStart w:id="136" w:name="_Ref531252114"/>
      <w:r w:rsidRPr="00266A77">
        <w:rPr>
          <w:rFonts w:asciiTheme="minorHAnsi" w:hAnsiTheme="minorHAnsi" w:cstheme="minorHAnsi"/>
          <w:iCs/>
          <w:color w:val="7F7F7F" w:themeColor="text1" w:themeTint="80"/>
          <w:sz w:val="36"/>
          <w:szCs w:val="30"/>
        </w:rPr>
        <w:lastRenderedPageBreak/>
        <w:t>Element 3</w:t>
      </w:r>
      <w:r w:rsidR="00B055FD">
        <w:rPr>
          <w:rFonts w:asciiTheme="minorHAnsi" w:hAnsiTheme="minorHAnsi" w:cstheme="minorHAnsi"/>
          <w:iCs/>
          <w:color w:val="7F7F7F" w:themeColor="text1" w:themeTint="80"/>
          <w:sz w:val="36"/>
          <w:szCs w:val="30"/>
        </w:rPr>
        <w:t>: Organ allocation</w:t>
      </w:r>
      <w:bookmarkEnd w:id="129"/>
      <w:bookmarkEnd w:id="130"/>
      <w:bookmarkEnd w:id="131"/>
      <w:bookmarkEnd w:id="132"/>
      <w:bookmarkEnd w:id="133"/>
      <w:r w:rsidR="00327B38">
        <w:rPr>
          <w:rFonts w:asciiTheme="minorHAnsi" w:hAnsiTheme="minorHAnsi" w:cstheme="minorHAnsi"/>
          <w:iCs/>
          <w:color w:val="7F7F7F" w:themeColor="text1" w:themeTint="80"/>
          <w:sz w:val="36"/>
          <w:szCs w:val="30"/>
        </w:rPr>
        <w:t xml:space="preserve"> </w:t>
      </w:r>
      <w:bookmarkEnd w:id="134"/>
      <w:bookmarkEnd w:id="135"/>
      <w:bookmarkEnd w:id="136"/>
    </w:p>
    <w:p w14:paraId="01F9C985" w14:textId="77777777" w:rsidR="00332CAA" w:rsidRDefault="00332CAA" w:rsidP="00332CAA">
      <w:pPr>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This element includes</w:t>
      </w:r>
      <w:r>
        <w:rPr>
          <w:rFonts w:asciiTheme="minorHAnsi" w:hAnsiTheme="minorHAnsi" w:cstheme="minorHAnsi"/>
          <w:sz w:val="24"/>
          <w:szCs w:val="22"/>
          <w:lang w:val="en-GB"/>
        </w:rPr>
        <w:t>:</w:t>
      </w:r>
    </w:p>
    <w:p w14:paraId="66B4B45A" w14:textId="77777777" w:rsidR="00332CAA" w:rsidRDefault="00C56E8D" w:rsidP="00332CAA">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Renal allocation</w:t>
      </w:r>
    </w:p>
    <w:p w14:paraId="3D77D403" w14:textId="77777777" w:rsidR="00332CAA" w:rsidRPr="00447661" w:rsidRDefault="00C56E8D" w:rsidP="003A517E">
      <w:pPr>
        <w:widowControl/>
        <w:numPr>
          <w:ilvl w:val="0"/>
          <w:numId w:val="18"/>
        </w:numPr>
        <w:autoSpaceDE/>
        <w:autoSpaceDN/>
        <w:adjustRightInd/>
        <w:spacing w:after="120"/>
        <w:ind w:left="357" w:hanging="357"/>
        <w:rPr>
          <w:rFonts w:asciiTheme="minorHAnsi" w:hAnsiTheme="minorHAnsi" w:cstheme="minorHAnsi"/>
          <w:sz w:val="24"/>
          <w:szCs w:val="22"/>
        </w:rPr>
      </w:pPr>
      <w:r>
        <w:rPr>
          <w:rFonts w:asciiTheme="minorHAnsi" w:hAnsiTheme="minorHAnsi" w:cstheme="minorHAnsi"/>
          <w:sz w:val="24"/>
          <w:szCs w:val="22"/>
          <w:lang w:val="en-GB"/>
        </w:rPr>
        <w:t>Non-renal allocation</w:t>
      </w:r>
    </w:p>
    <w:p w14:paraId="390D5679" w14:textId="77777777" w:rsidR="00671A69" w:rsidRDefault="00C43CA7" w:rsidP="00AC1B9E">
      <w:pPr>
        <w:spacing w:after="120"/>
        <w:rPr>
          <w:rFonts w:asciiTheme="minorHAnsi" w:hAnsiTheme="minorHAnsi" w:cstheme="minorHAnsi"/>
          <w:sz w:val="24"/>
          <w:szCs w:val="22"/>
        </w:rPr>
      </w:pPr>
      <w:r w:rsidRPr="00F37D51">
        <w:rPr>
          <w:rFonts w:asciiTheme="minorHAnsi" w:hAnsiTheme="minorHAnsi" w:cstheme="minorHAnsi"/>
          <w:sz w:val="24"/>
          <w:szCs w:val="22"/>
        </w:rPr>
        <w:t xml:space="preserve">Once consent for donation is received and it is deemed that </w:t>
      </w:r>
      <w:r w:rsidR="00B05CBC">
        <w:rPr>
          <w:rFonts w:asciiTheme="minorHAnsi" w:hAnsiTheme="minorHAnsi" w:cstheme="minorHAnsi"/>
          <w:sz w:val="24"/>
          <w:szCs w:val="22"/>
        </w:rPr>
        <w:t>the organs are</w:t>
      </w:r>
      <w:r w:rsidRPr="00F37D51">
        <w:rPr>
          <w:rFonts w:asciiTheme="minorHAnsi" w:hAnsiTheme="minorHAnsi" w:cstheme="minorHAnsi"/>
          <w:sz w:val="24"/>
          <w:szCs w:val="22"/>
        </w:rPr>
        <w:t xml:space="preserve"> </w:t>
      </w:r>
      <w:r>
        <w:rPr>
          <w:rFonts w:asciiTheme="minorHAnsi" w:hAnsiTheme="minorHAnsi" w:cstheme="minorHAnsi"/>
          <w:sz w:val="24"/>
          <w:szCs w:val="22"/>
        </w:rPr>
        <w:t>suitable</w:t>
      </w:r>
      <w:r w:rsidRPr="00F37D51">
        <w:rPr>
          <w:rFonts w:asciiTheme="minorHAnsi" w:hAnsiTheme="minorHAnsi" w:cstheme="minorHAnsi"/>
          <w:sz w:val="24"/>
          <w:szCs w:val="22"/>
        </w:rPr>
        <w:t xml:space="preserve"> for donation, </w:t>
      </w:r>
      <w:r w:rsidR="00B055FD">
        <w:rPr>
          <w:rFonts w:asciiTheme="minorHAnsi" w:hAnsiTheme="minorHAnsi" w:cstheme="minorHAnsi"/>
          <w:sz w:val="24"/>
          <w:szCs w:val="22"/>
        </w:rPr>
        <w:t>the process for organ allocation commences.</w:t>
      </w:r>
      <w:r w:rsidRPr="00F37D51">
        <w:rPr>
          <w:rFonts w:asciiTheme="minorHAnsi" w:hAnsiTheme="minorHAnsi" w:cstheme="minorHAnsi"/>
          <w:sz w:val="24"/>
          <w:szCs w:val="22"/>
        </w:rPr>
        <w:t xml:space="preserve"> The allocation process </w:t>
      </w:r>
      <w:r w:rsidR="006904A9">
        <w:rPr>
          <w:rFonts w:asciiTheme="minorHAnsi" w:hAnsiTheme="minorHAnsi" w:cstheme="minorHAnsi"/>
          <w:sz w:val="24"/>
          <w:szCs w:val="22"/>
        </w:rPr>
        <w:t xml:space="preserve">is </w:t>
      </w:r>
      <w:r w:rsidR="00AC1B9E">
        <w:rPr>
          <w:rFonts w:asciiTheme="minorHAnsi" w:hAnsiTheme="minorHAnsi" w:cstheme="minorHAnsi"/>
          <w:sz w:val="24"/>
          <w:szCs w:val="22"/>
        </w:rPr>
        <w:t>complex and</w:t>
      </w:r>
      <w:r w:rsidR="00AC1B9E" w:rsidRPr="00AC1B9E">
        <w:rPr>
          <w:rFonts w:asciiTheme="minorHAnsi" w:hAnsiTheme="minorHAnsi" w:cstheme="minorHAnsi"/>
          <w:sz w:val="24"/>
          <w:szCs w:val="22"/>
        </w:rPr>
        <w:t xml:space="preserve"> </w:t>
      </w:r>
      <w:r w:rsidR="00BB51DA">
        <w:rPr>
          <w:rFonts w:asciiTheme="minorHAnsi" w:hAnsiTheme="minorHAnsi" w:cstheme="minorHAnsi"/>
          <w:sz w:val="24"/>
          <w:szCs w:val="22"/>
        </w:rPr>
        <w:t xml:space="preserve">varies considerably between renal and non-renal organs. </w:t>
      </w:r>
    </w:p>
    <w:p w14:paraId="4FBB4290" w14:textId="77777777" w:rsidR="00BB51DA" w:rsidRDefault="00671A69" w:rsidP="00AC1B9E">
      <w:pPr>
        <w:spacing w:after="120"/>
        <w:rPr>
          <w:rFonts w:asciiTheme="minorHAnsi" w:hAnsiTheme="minorHAnsi" w:cstheme="minorHAnsi"/>
          <w:sz w:val="24"/>
          <w:szCs w:val="22"/>
          <w:lang w:val="en-GB"/>
        </w:rPr>
      </w:pPr>
      <w:r>
        <w:rPr>
          <w:rFonts w:asciiTheme="minorHAnsi" w:hAnsiTheme="minorHAnsi" w:cstheme="minorHAnsi"/>
          <w:sz w:val="24"/>
          <w:szCs w:val="22"/>
        </w:rPr>
        <w:t>Both renal and non-renal organ allocation consider</w:t>
      </w:r>
      <w:r w:rsidR="007713E4">
        <w:rPr>
          <w:rFonts w:asciiTheme="minorHAnsi" w:hAnsiTheme="minorHAnsi" w:cstheme="minorHAnsi"/>
          <w:sz w:val="24"/>
          <w:szCs w:val="22"/>
        </w:rPr>
        <w:t>s</w:t>
      </w:r>
      <w:r>
        <w:rPr>
          <w:rFonts w:asciiTheme="minorHAnsi" w:hAnsiTheme="minorHAnsi" w:cstheme="minorHAnsi"/>
          <w:sz w:val="24"/>
          <w:szCs w:val="22"/>
        </w:rPr>
        <w:t xml:space="preserve"> </w:t>
      </w:r>
      <w:r w:rsidRPr="00266A77">
        <w:rPr>
          <w:rFonts w:asciiTheme="minorHAnsi" w:hAnsiTheme="minorHAnsi" w:cstheme="minorHAnsi"/>
          <w:sz w:val="24"/>
          <w:szCs w:val="22"/>
          <w:lang w:val="en-GB"/>
        </w:rPr>
        <w:t xml:space="preserve">the </w:t>
      </w:r>
      <w:r>
        <w:rPr>
          <w:rFonts w:asciiTheme="minorHAnsi" w:hAnsiTheme="minorHAnsi" w:cstheme="minorHAnsi"/>
          <w:sz w:val="24"/>
          <w:szCs w:val="22"/>
          <w:lang w:val="en-GB"/>
        </w:rPr>
        <w:t>clinical, health</w:t>
      </w:r>
      <w:r w:rsidR="007339A0">
        <w:rPr>
          <w:rFonts w:asciiTheme="minorHAnsi" w:hAnsiTheme="minorHAnsi" w:cstheme="minorHAnsi"/>
          <w:sz w:val="24"/>
          <w:szCs w:val="22"/>
          <w:lang w:val="en-GB"/>
        </w:rPr>
        <w:t xml:space="preserve">, </w:t>
      </w:r>
      <w:r>
        <w:rPr>
          <w:rFonts w:asciiTheme="minorHAnsi" w:hAnsiTheme="minorHAnsi" w:cstheme="minorHAnsi"/>
          <w:sz w:val="24"/>
          <w:szCs w:val="22"/>
          <w:lang w:val="en-GB"/>
        </w:rPr>
        <w:t>medical</w:t>
      </w:r>
      <w:r w:rsidR="007339A0">
        <w:rPr>
          <w:rFonts w:asciiTheme="minorHAnsi" w:hAnsiTheme="minorHAnsi" w:cstheme="minorHAnsi"/>
          <w:sz w:val="24"/>
          <w:szCs w:val="22"/>
          <w:lang w:val="en-GB"/>
        </w:rPr>
        <w:t xml:space="preserve"> and socia</w:t>
      </w:r>
      <w:r>
        <w:rPr>
          <w:rFonts w:asciiTheme="minorHAnsi" w:hAnsiTheme="minorHAnsi" w:cstheme="minorHAnsi"/>
          <w:sz w:val="24"/>
          <w:szCs w:val="22"/>
          <w:lang w:val="en-GB"/>
        </w:rPr>
        <w:t>l history of both donor and potential recipient, tissue typing, cross matching and serology</w:t>
      </w:r>
      <w:r w:rsidR="007339A0">
        <w:rPr>
          <w:rFonts w:asciiTheme="minorHAnsi" w:hAnsiTheme="minorHAnsi" w:cstheme="minorHAnsi"/>
          <w:sz w:val="24"/>
          <w:szCs w:val="22"/>
          <w:lang w:val="en-GB"/>
        </w:rPr>
        <w:t>. T</w:t>
      </w:r>
      <w:r w:rsidR="00BB51DA">
        <w:rPr>
          <w:rFonts w:asciiTheme="minorHAnsi" w:hAnsiTheme="minorHAnsi" w:cstheme="minorHAnsi"/>
          <w:sz w:val="24"/>
          <w:szCs w:val="22"/>
          <w:lang w:val="en-GB"/>
        </w:rPr>
        <w:t>hey are</w:t>
      </w:r>
      <w:r w:rsidR="003D3A51">
        <w:rPr>
          <w:rFonts w:asciiTheme="minorHAnsi" w:hAnsiTheme="minorHAnsi" w:cstheme="minorHAnsi"/>
          <w:sz w:val="24"/>
          <w:szCs w:val="22"/>
          <w:lang w:val="en-GB"/>
        </w:rPr>
        <w:t xml:space="preserve"> </w:t>
      </w:r>
      <w:r w:rsidR="00BB51DA" w:rsidRPr="00AC1B9E">
        <w:rPr>
          <w:rFonts w:asciiTheme="minorHAnsi" w:hAnsiTheme="minorHAnsi" w:cstheme="minorHAnsi"/>
          <w:sz w:val="24"/>
          <w:szCs w:val="22"/>
        </w:rPr>
        <w:t>influenced by a number of factors including</w:t>
      </w:r>
      <w:r w:rsidR="00BB51DA">
        <w:rPr>
          <w:rFonts w:asciiTheme="minorHAnsi" w:hAnsiTheme="minorHAnsi" w:cstheme="minorHAnsi"/>
          <w:sz w:val="24"/>
          <w:szCs w:val="22"/>
        </w:rPr>
        <w:t xml:space="preserve">, </w:t>
      </w:r>
      <w:r w:rsidR="00BB51DA" w:rsidRPr="00AC1B9E">
        <w:rPr>
          <w:rFonts w:asciiTheme="minorHAnsi" w:hAnsiTheme="minorHAnsi" w:cstheme="minorHAnsi"/>
          <w:sz w:val="24"/>
          <w:szCs w:val="22"/>
        </w:rPr>
        <w:t>medical urgency</w:t>
      </w:r>
      <w:r w:rsidR="00BB51DA">
        <w:rPr>
          <w:rFonts w:asciiTheme="minorHAnsi" w:hAnsiTheme="minorHAnsi" w:cstheme="minorHAnsi"/>
          <w:sz w:val="24"/>
          <w:szCs w:val="22"/>
        </w:rPr>
        <w:t xml:space="preserve"> of potential recipients</w:t>
      </w:r>
      <w:r w:rsidR="00BB51DA" w:rsidRPr="00AC1B9E">
        <w:rPr>
          <w:rFonts w:asciiTheme="minorHAnsi" w:hAnsiTheme="minorHAnsi" w:cstheme="minorHAnsi"/>
          <w:sz w:val="24"/>
          <w:szCs w:val="22"/>
        </w:rPr>
        <w:t>, recipient capacity to benefit, donor</w:t>
      </w:r>
      <w:r w:rsidR="00BB51DA">
        <w:rPr>
          <w:rFonts w:asciiTheme="minorHAnsi" w:hAnsiTheme="minorHAnsi" w:cstheme="minorHAnsi"/>
          <w:sz w:val="24"/>
          <w:szCs w:val="22"/>
        </w:rPr>
        <w:t xml:space="preserve"> and </w:t>
      </w:r>
      <w:r w:rsidR="00BB51DA" w:rsidRPr="00AC1B9E">
        <w:rPr>
          <w:rFonts w:asciiTheme="minorHAnsi" w:hAnsiTheme="minorHAnsi" w:cstheme="minorHAnsi"/>
          <w:sz w:val="24"/>
          <w:szCs w:val="22"/>
        </w:rPr>
        <w:t>recipient matching, a</w:t>
      </w:r>
      <w:r w:rsidR="00BB51DA">
        <w:rPr>
          <w:rFonts w:asciiTheme="minorHAnsi" w:hAnsiTheme="minorHAnsi" w:cstheme="minorHAnsi"/>
          <w:sz w:val="24"/>
          <w:szCs w:val="22"/>
        </w:rPr>
        <w:t xml:space="preserve">s well as </w:t>
      </w:r>
      <w:r w:rsidR="00BB51DA" w:rsidRPr="00AC1B9E">
        <w:rPr>
          <w:rFonts w:asciiTheme="minorHAnsi" w:hAnsiTheme="minorHAnsi" w:cstheme="minorHAnsi"/>
          <w:sz w:val="24"/>
          <w:szCs w:val="22"/>
        </w:rPr>
        <w:t>logistical factors.</w:t>
      </w:r>
      <w:r>
        <w:rPr>
          <w:rFonts w:asciiTheme="minorHAnsi" w:hAnsiTheme="minorHAnsi" w:cstheme="minorHAnsi"/>
          <w:sz w:val="24"/>
          <w:szCs w:val="22"/>
          <w:lang w:val="en-GB"/>
        </w:rPr>
        <w:t xml:space="preserve"> </w:t>
      </w:r>
    </w:p>
    <w:p w14:paraId="5DF569A6" w14:textId="77777777" w:rsidR="00BB51DA" w:rsidRPr="00F17564" w:rsidRDefault="00BB51DA" w:rsidP="00F17564">
      <w:pPr>
        <w:pStyle w:val="Heading3"/>
        <w:tabs>
          <w:tab w:val="clear" w:pos="1843"/>
          <w:tab w:val="num" w:pos="1559"/>
        </w:tabs>
        <w:ind w:left="992" w:hanging="992"/>
        <w:rPr>
          <w:rFonts w:asciiTheme="minorHAnsi" w:hAnsiTheme="minorHAnsi" w:cstheme="minorHAnsi"/>
          <w:color w:val="7F7F7F" w:themeColor="text1" w:themeTint="80"/>
          <w:sz w:val="30"/>
          <w:szCs w:val="30"/>
        </w:rPr>
      </w:pPr>
      <w:bookmarkStart w:id="137" w:name="_Ref531796520"/>
      <w:r w:rsidRPr="00F17564">
        <w:rPr>
          <w:rFonts w:asciiTheme="minorHAnsi" w:hAnsiTheme="minorHAnsi" w:cstheme="minorHAnsi"/>
          <w:b w:val="0"/>
          <w:color w:val="7F7F7F" w:themeColor="text1" w:themeTint="80"/>
          <w:sz w:val="30"/>
          <w:szCs w:val="30"/>
        </w:rPr>
        <w:t>Renal allocation</w:t>
      </w:r>
      <w:bookmarkEnd w:id="137"/>
    </w:p>
    <w:p w14:paraId="2AE2EF41" w14:textId="77777777" w:rsidR="00CC4EA6" w:rsidRDefault="00BB51DA" w:rsidP="00F17564">
      <w:pPr>
        <w:spacing w:after="120"/>
        <w:rPr>
          <w:rFonts w:asciiTheme="minorHAnsi" w:hAnsiTheme="minorHAnsi" w:cstheme="minorHAnsi"/>
          <w:sz w:val="24"/>
          <w:szCs w:val="22"/>
        </w:rPr>
      </w:pPr>
      <w:r>
        <w:rPr>
          <w:rFonts w:asciiTheme="minorHAnsi" w:hAnsiTheme="minorHAnsi" w:cstheme="minorHAnsi"/>
          <w:sz w:val="24"/>
          <w:szCs w:val="22"/>
        </w:rPr>
        <w:t>The renal allocation process</w:t>
      </w:r>
      <w:r w:rsidRPr="00266A77">
        <w:rPr>
          <w:rFonts w:asciiTheme="minorHAnsi" w:hAnsiTheme="minorHAnsi" w:cstheme="minorHAnsi"/>
          <w:sz w:val="24"/>
          <w:szCs w:val="22"/>
        </w:rPr>
        <w:t xml:space="preserve"> </w:t>
      </w:r>
      <w:r>
        <w:rPr>
          <w:rFonts w:asciiTheme="minorHAnsi" w:hAnsiTheme="minorHAnsi" w:cstheme="minorHAnsi"/>
          <w:sz w:val="24"/>
          <w:szCs w:val="22"/>
        </w:rPr>
        <w:t>is currently</w:t>
      </w:r>
      <w:r w:rsidR="00CC4EA6">
        <w:rPr>
          <w:rFonts w:asciiTheme="minorHAnsi" w:hAnsiTheme="minorHAnsi" w:cstheme="minorHAnsi"/>
          <w:sz w:val="24"/>
          <w:szCs w:val="22"/>
        </w:rPr>
        <w:t xml:space="preserve"> undertaken using the</w:t>
      </w:r>
      <w:r>
        <w:rPr>
          <w:rFonts w:asciiTheme="minorHAnsi" w:hAnsiTheme="minorHAnsi" w:cstheme="minorHAnsi"/>
          <w:sz w:val="24"/>
          <w:szCs w:val="22"/>
        </w:rPr>
        <w:t xml:space="preserve"> National Organ Matching System</w:t>
      </w:r>
      <w:r w:rsidR="00E34D5B">
        <w:rPr>
          <w:rFonts w:asciiTheme="minorHAnsi" w:hAnsiTheme="minorHAnsi" w:cstheme="minorHAnsi"/>
          <w:sz w:val="24"/>
          <w:szCs w:val="22"/>
        </w:rPr>
        <w:t xml:space="preserve"> (NOMS)</w:t>
      </w:r>
      <w:r>
        <w:rPr>
          <w:rFonts w:asciiTheme="minorHAnsi" w:hAnsiTheme="minorHAnsi" w:cstheme="minorHAnsi"/>
          <w:sz w:val="24"/>
          <w:szCs w:val="22"/>
        </w:rPr>
        <w:t xml:space="preserve"> </w:t>
      </w:r>
      <w:r w:rsidR="00CC4EA6">
        <w:rPr>
          <w:rFonts w:asciiTheme="minorHAnsi" w:hAnsiTheme="minorHAnsi" w:cstheme="minorHAnsi"/>
          <w:sz w:val="24"/>
          <w:szCs w:val="22"/>
        </w:rPr>
        <w:t>which calculates the ranked order of kidney recipients based on an algorithm. The algorithm has been set up based on the Clinical and Ethical Guidelines</w:t>
      </w:r>
      <w:r>
        <w:rPr>
          <w:rFonts w:asciiTheme="minorHAnsi" w:hAnsiTheme="minorHAnsi" w:cstheme="minorHAnsi"/>
          <w:sz w:val="24"/>
          <w:szCs w:val="22"/>
        </w:rPr>
        <w:t xml:space="preserve">. </w:t>
      </w:r>
    </w:p>
    <w:p w14:paraId="5F01644E" w14:textId="77777777" w:rsidR="00A50C21" w:rsidRPr="00966670" w:rsidRDefault="00A50C21" w:rsidP="00F17564">
      <w:pPr>
        <w:pStyle w:val="Pa2"/>
        <w:spacing w:after="120" w:line="240" w:lineRule="auto"/>
        <w:rPr>
          <w:rFonts w:asciiTheme="minorHAnsi" w:eastAsia="Times New Roman" w:hAnsiTheme="minorHAnsi" w:cstheme="minorHAnsi"/>
        </w:rPr>
      </w:pPr>
      <w:r>
        <w:rPr>
          <w:rFonts w:asciiTheme="minorHAnsi" w:eastAsia="Times New Roman" w:hAnsiTheme="minorHAnsi" w:cstheme="minorHAnsi"/>
        </w:rPr>
        <w:t>Components within</w:t>
      </w:r>
      <w:r w:rsidR="00584536">
        <w:rPr>
          <w:rFonts w:asciiTheme="minorHAnsi" w:eastAsia="Times New Roman" w:hAnsiTheme="minorHAnsi" w:cstheme="minorHAnsi"/>
        </w:rPr>
        <w:t xml:space="preserve"> the</w:t>
      </w:r>
      <w:r>
        <w:rPr>
          <w:rFonts w:asciiTheme="minorHAnsi" w:eastAsia="Times New Roman" w:hAnsiTheme="minorHAnsi" w:cstheme="minorHAnsi"/>
        </w:rPr>
        <w:t xml:space="preserve"> NOMS </w:t>
      </w:r>
      <w:r w:rsidRPr="00966670">
        <w:rPr>
          <w:rFonts w:asciiTheme="minorHAnsi" w:eastAsia="Times New Roman" w:hAnsiTheme="minorHAnsi" w:cstheme="minorHAnsi"/>
        </w:rPr>
        <w:t xml:space="preserve">that currently </w:t>
      </w:r>
      <w:r>
        <w:rPr>
          <w:rFonts w:asciiTheme="minorHAnsi" w:eastAsia="Times New Roman" w:hAnsiTheme="minorHAnsi" w:cstheme="minorHAnsi"/>
        </w:rPr>
        <w:t>determine</w:t>
      </w:r>
      <w:r w:rsidRPr="00966670">
        <w:rPr>
          <w:rFonts w:asciiTheme="minorHAnsi" w:eastAsia="Times New Roman" w:hAnsiTheme="minorHAnsi" w:cstheme="minorHAnsi"/>
        </w:rPr>
        <w:t xml:space="preserve"> the rank order of recipients for a renal donation include:</w:t>
      </w:r>
    </w:p>
    <w:p w14:paraId="5372006B" w14:textId="77777777" w:rsidR="00A50C21" w:rsidRPr="00F17564" w:rsidRDefault="00A50C21" w:rsidP="00481A6A">
      <w:pPr>
        <w:numPr>
          <w:ilvl w:val="0"/>
          <w:numId w:val="37"/>
        </w:numPr>
        <w:spacing w:after="120"/>
        <w:contextualSpacing/>
        <w:rPr>
          <w:rFonts w:asciiTheme="minorHAnsi" w:hAnsiTheme="minorHAnsi" w:cstheme="minorHAnsi"/>
          <w:szCs w:val="22"/>
          <w:lang w:val="en-GB"/>
        </w:rPr>
      </w:pPr>
      <w:r w:rsidRPr="00F17564">
        <w:rPr>
          <w:rFonts w:asciiTheme="minorHAnsi" w:hAnsiTheme="minorHAnsi" w:cstheme="minorHAnsi"/>
          <w:sz w:val="24"/>
          <w:szCs w:val="22"/>
          <w:lang w:val="en-GB"/>
        </w:rPr>
        <w:t xml:space="preserve">Immunological compatibility </w:t>
      </w:r>
      <w:r w:rsidR="009E0150" w:rsidRPr="00F17564">
        <w:rPr>
          <w:rFonts w:asciiTheme="minorHAnsi" w:hAnsiTheme="minorHAnsi" w:cstheme="minorHAnsi"/>
          <w:sz w:val="24"/>
          <w:szCs w:val="22"/>
          <w:lang w:val="en-GB"/>
        </w:rPr>
        <w:t>e.g.</w:t>
      </w:r>
      <w:r w:rsidRPr="00F17564">
        <w:rPr>
          <w:rFonts w:asciiTheme="minorHAnsi" w:hAnsiTheme="minorHAnsi" w:cstheme="minorHAnsi"/>
          <w:sz w:val="24"/>
          <w:szCs w:val="22"/>
          <w:lang w:val="en-GB"/>
        </w:rPr>
        <w:t xml:space="preserve"> the avoidance of severe acute rejection (through blood group compatibility and the avoidance of high level </w:t>
      </w:r>
      <w:r w:rsidR="0096459B">
        <w:rPr>
          <w:rFonts w:asciiTheme="minorHAnsi" w:hAnsiTheme="minorHAnsi" w:cstheme="minorHAnsi"/>
          <w:sz w:val="24"/>
          <w:szCs w:val="22"/>
          <w:lang w:val="en-GB"/>
        </w:rPr>
        <w:t>human leukocyte antigen</w:t>
      </w:r>
      <w:r w:rsidRPr="00F17564">
        <w:rPr>
          <w:rFonts w:asciiTheme="minorHAnsi" w:hAnsiTheme="minorHAnsi" w:cstheme="minorHAnsi"/>
          <w:sz w:val="24"/>
          <w:szCs w:val="22"/>
          <w:lang w:val="en-GB"/>
        </w:rPr>
        <w:t xml:space="preserve"> antibodies)</w:t>
      </w:r>
    </w:p>
    <w:p w14:paraId="5786DAEB" w14:textId="77777777" w:rsidR="00A50C21" w:rsidRPr="00F17564" w:rsidRDefault="00A50C21" w:rsidP="00481A6A">
      <w:pPr>
        <w:numPr>
          <w:ilvl w:val="0"/>
          <w:numId w:val="37"/>
        </w:numPr>
        <w:spacing w:after="120"/>
        <w:contextualSpacing/>
        <w:rPr>
          <w:rFonts w:asciiTheme="minorHAnsi" w:hAnsiTheme="minorHAnsi" w:cstheme="minorHAnsi"/>
          <w:szCs w:val="22"/>
          <w:lang w:val="en-GB"/>
        </w:rPr>
      </w:pPr>
      <w:r w:rsidRPr="00F17564">
        <w:rPr>
          <w:rFonts w:asciiTheme="minorHAnsi" w:hAnsiTheme="minorHAnsi" w:cstheme="minorHAnsi"/>
          <w:sz w:val="24"/>
          <w:szCs w:val="22"/>
          <w:lang w:val="en-GB"/>
        </w:rPr>
        <w:t xml:space="preserve">Immunological matching (or the degree of </w:t>
      </w:r>
      <w:r w:rsidR="0096459B">
        <w:rPr>
          <w:rFonts w:asciiTheme="minorHAnsi" w:hAnsiTheme="minorHAnsi" w:cstheme="minorHAnsi"/>
          <w:sz w:val="24"/>
          <w:szCs w:val="22"/>
          <w:lang w:val="en-GB"/>
        </w:rPr>
        <w:t>human leukocyte antigen</w:t>
      </w:r>
      <w:r w:rsidRPr="00F17564">
        <w:rPr>
          <w:rFonts w:asciiTheme="minorHAnsi" w:hAnsiTheme="minorHAnsi" w:cstheme="minorHAnsi"/>
          <w:sz w:val="24"/>
          <w:szCs w:val="22"/>
          <w:lang w:val="en-GB"/>
        </w:rPr>
        <w:t xml:space="preserve"> matching)</w:t>
      </w:r>
    </w:p>
    <w:p w14:paraId="6B893F3D" w14:textId="77777777" w:rsidR="00A50C21" w:rsidRPr="00F17564" w:rsidRDefault="00A50C21" w:rsidP="00481A6A">
      <w:pPr>
        <w:numPr>
          <w:ilvl w:val="0"/>
          <w:numId w:val="37"/>
        </w:numPr>
        <w:spacing w:after="120"/>
        <w:contextualSpacing/>
        <w:rPr>
          <w:rFonts w:asciiTheme="minorHAnsi" w:hAnsiTheme="minorHAnsi" w:cstheme="minorHAnsi"/>
          <w:szCs w:val="22"/>
          <w:lang w:val="en-GB"/>
        </w:rPr>
      </w:pPr>
      <w:r w:rsidRPr="00F17564">
        <w:rPr>
          <w:rFonts w:asciiTheme="minorHAnsi" w:hAnsiTheme="minorHAnsi" w:cstheme="minorHAnsi"/>
          <w:sz w:val="24"/>
          <w:szCs w:val="22"/>
          <w:lang w:val="en-GB"/>
        </w:rPr>
        <w:t>The waiting time on dialysis</w:t>
      </w:r>
    </w:p>
    <w:p w14:paraId="0B4BE726" w14:textId="77777777" w:rsidR="00A50C21" w:rsidRPr="00F17564" w:rsidRDefault="00A50C21" w:rsidP="00481A6A">
      <w:pPr>
        <w:numPr>
          <w:ilvl w:val="0"/>
          <w:numId w:val="37"/>
        </w:numPr>
        <w:spacing w:after="120"/>
        <w:contextualSpacing/>
        <w:rPr>
          <w:rFonts w:asciiTheme="minorHAnsi" w:hAnsiTheme="minorHAnsi" w:cstheme="minorHAnsi"/>
          <w:szCs w:val="22"/>
          <w:lang w:val="en-GB"/>
        </w:rPr>
      </w:pPr>
      <w:r w:rsidRPr="00F17564">
        <w:rPr>
          <w:rFonts w:asciiTheme="minorHAnsi" w:hAnsiTheme="minorHAnsi" w:cstheme="minorHAnsi"/>
          <w:sz w:val="24"/>
          <w:szCs w:val="22"/>
          <w:lang w:val="en-GB"/>
        </w:rPr>
        <w:t>Paediatric status</w:t>
      </w:r>
      <w:r w:rsidR="009E0150">
        <w:rPr>
          <w:rFonts w:asciiTheme="minorHAnsi" w:hAnsiTheme="minorHAnsi" w:cstheme="minorHAnsi"/>
          <w:sz w:val="24"/>
          <w:szCs w:val="22"/>
          <w:lang w:val="en-GB"/>
        </w:rPr>
        <w:t xml:space="preserve"> –</w:t>
      </w:r>
      <w:r w:rsidR="009E0150" w:rsidRPr="00F17564">
        <w:rPr>
          <w:rFonts w:asciiTheme="minorHAnsi" w:hAnsiTheme="minorHAnsi" w:cstheme="minorHAnsi"/>
          <w:sz w:val="24"/>
          <w:szCs w:val="22"/>
          <w:lang w:val="en-GB"/>
        </w:rPr>
        <w:t xml:space="preserve"> r</w:t>
      </w:r>
      <w:r w:rsidRPr="00F17564">
        <w:rPr>
          <w:rFonts w:asciiTheme="minorHAnsi" w:hAnsiTheme="minorHAnsi" w:cstheme="minorHAnsi"/>
          <w:sz w:val="24"/>
          <w:szCs w:val="22"/>
          <w:lang w:val="en-GB"/>
        </w:rPr>
        <w:t xml:space="preserve">ecipients </w:t>
      </w:r>
      <w:r w:rsidR="009E0150" w:rsidRPr="00F17564">
        <w:rPr>
          <w:rFonts w:asciiTheme="minorHAnsi" w:hAnsiTheme="minorHAnsi" w:cstheme="minorHAnsi"/>
          <w:sz w:val="24"/>
          <w:szCs w:val="22"/>
          <w:lang w:val="en-GB"/>
        </w:rPr>
        <w:t xml:space="preserve">under </w:t>
      </w:r>
      <w:r w:rsidRPr="00F17564">
        <w:rPr>
          <w:rFonts w:asciiTheme="minorHAnsi" w:hAnsiTheme="minorHAnsi" w:cstheme="minorHAnsi"/>
          <w:sz w:val="24"/>
          <w:szCs w:val="22"/>
          <w:lang w:val="en-GB"/>
        </w:rPr>
        <w:t>18 years</w:t>
      </w:r>
      <w:r w:rsidR="009E0150" w:rsidRPr="00F17564">
        <w:rPr>
          <w:rFonts w:asciiTheme="minorHAnsi" w:hAnsiTheme="minorHAnsi" w:cstheme="minorHAnsi"/>
          <w:sz w:val="24"/>
          <w:szCs w:val="22"/>
          <w:lang w:val="en-GB"/>
        </w:rPr>
        <w:t xml:space="preserve"> of age</w:t>
      </w:r>
      <w:r w:rsidRPr="00F17564">
        <w:rPr>
          <w:rFonts w:asciiTheme="minorHAnsi" w:hAnsiTheme="minorHAnsi" w:cstheme="minorHAnsi"/>
          <w:sz w:val="24"/>
          <w:szCs w:val="22"/>
          <w:lang w:val="en-GB"/>
        </w:rPr>
        <w:t xml:space="preserve"> receive a bonus score, improving their rank</w:t>
      </w:r>
    </w:p>
    <w:p w14:paraId="79EF4424" w14:textId="77777777" w:rsidR="00A50C21" w:rsidRPr="00D40C14" w:rsidRDefault="00A50C21" w:rsidP="00447661">
      <w:pPr>
        <w:numPr>
          <w:ilvl w:val="0"/>
          <w:numId w:val="37"/>
        </w:numPr>
        <w:spacing w:after="120"/>
        <w:ind w:left="357" w:hanging="357"/>
        <w:contextualSpacing/>
        <w:rPr>
          <w:rFonts w:asciiTheme="minorHAnsi" w:hAnsiTheme="minorHAnsi" w:cstheme="minorHAnsi"/>
          <w:szCs w:val="22"/>
          <w:lang w:val="en-GB"/>
        </w:rPr>
      </w:pPr>
      <w:r w:rsidRPr="00F17564">
        <w:rPr>
          <w:rFonts w:asciiTheme="minorHAnsi" w:hAnsiTheme="minorHAnsi" w:cstheme="minorHAnsi"/>
          <w:sz w:val="24"/>
          <w:szCs w:val="22"/>
          <w:lang w:val="en-GB"/>
        </w:rPr>
        <w:t xml:space="preserve">The </w:t>
      </w:r>
      <w:r w:rsidR="00D72901">
        <w:rPr>
          <w:rFonts w:asciiTheme="minorHAnsi" w:hAnsiTheme="minorHAnsi" w:cstheme="minorHAnsi"/>
          <w:sz w:val="24"/>
          <w:szCs w:val="22"/>
          <w:lang w:val="en-GB"/>
        </w:rPr>
        <w:t>State Balancing S</w:t>
      </w:r>
      <w:r w:rsidRPr="00F17564">
        <w:rPr>
          <w:rFonts w:asciiTheme="minorHAnsi" w:hAnsiTheme="minorHAnsi" w:cstheme="minorHAnsi"/>
          <w:sz w:val="24"/>
          <w:szCs w:val="22"/>
          <w:lang w:val="en-GB"/>
        </w:rPr>
        <w:t xml:space="preserve">ystem. </w:t>
      </w:r>
    </w:p>
    <w:p w14:paraId="6B1600C7" w14:textId="77777777" w:rsidR="00350E79" w:rsidRPr="00AE701D" w:rsidRDefault="00350E79" w:rsidP="00481A6A">
      <w:pPr>
        <w:numPr>
          <w:ilvl w:val="0"/>
          <w:numId w:val="37"/>
        </w:numPr>
        <w:spacing w:after="120"/>
        <w:rPr>
          <w:rFonts w:asciiTheme="minorHAnsi" w:hAnsiTheme="minorHAnsi" w:cstheme="minorHAnsi"/>
          <w:szCs w:val="22"/>
          <w:lang w:val="en-GB"/>
        </w:rPr>
      </w:pPr>
      <w:r>
        <w:rPr>
          <w:rFonts w:asciiTheme="minorHAnsi" w:hAnsiTheme="minorHAnsi" w:cstheme="minorHAnsi"/>
          <w:sz w:val="24"/>
          <w:szCs w:val="22"/>
          <w:lang w:val="en-GB"/>
        </w:rPr>
        <w:t>The state and territory of the donor and recipient</w:t>
      </w:r>
      <w:r w:rsidR="007713E4">
        <w:rPr>
          <w:rFonts w:asciiTheme="minorHAnsi" w:hAnsiTheme="minorHAnsi" w:cstheme="minorHAnsi"/>
          <w:sz w:val="24"/>
          <w:szCs w:val="22"/>
          <w:lang w:val="en-GB"/>
        </w:rPr>
        <w:t xml:space="preserve"> - p</w:t>
      </w:r>
      <w:r>
        <w:rPr>
          <w:rFonts w:asciiTheme="minorHAnsi" w:hAnsiTheme="minorHAnsi" w:cstheme="minorHAnsi"/>
          <w:sz w:val="24"/>
          <w:szCs w:val="22"/>
          <w:lang w:val="en-GB"/>
        </w:rPr>
        <w:t xml:space="preserve">riority is given to the recipients in the </w:t>
      </w:r>
      <w:r w:rsidRPr="00AE701D">
        <w:rPr>
          <w:rFonts w:asciiTheme="minorHAnsi" w:hAnsiTheme="minorHAnsi" w:cstheme="minorHAnsi"/>
          <w:sz w:val="24"/>
          <w:szCs w:val="22"/>
          <w:lang w:val="en-GB"/>
        </w:rPr>
        <w:t xml:space="preserve">same state as the donor. </w:t>
      </w:r>
    </w:p>
    <w:p w14:paraId="4628BB1E" w14:textId="146D9F07" w:rsidR="000B3B47" w:rsidRDefault="00BB51DA" w:rsidP="00F17564">
      <w:pPr>
        <w:spacing w:after="120"/>
        <w:rPr>
          <w:rFonts w:asciiTheme="minorHAnsi" w:hAnsiTheme="minorHAnsi" w:cstheme="minorHAnsi"/>
          <w:sz w:val="24"/>
          <w:szCs w:val="22"/>
        </w:rPr>
      </w:pPr>
      <w:r w:rsidRPr="00AE701D">
        <w:rPr>
          <w:rFonts w:asciiTheme="minorHAnsi" w:hAnsiTheme="minorHAnsi" w:cstheme="minorHAnsi"/>
          <w:sz w:val="24"/>
          <w:szCs w:val="22"/>
        </w:rPr>
        <w:t>All donated kidneys go through a t</w:t>
      </w:r>
      <w:r w:rsidR="00C56E8D" w:rsidRPr="00AE701D">
        <w:rPr>
          <w:rFonts w:asciiTheme="minorHAnsi" w:hAnsiTheme="minorHAnsi" w:cstheme="minorHAnsi"/>
          <w:sz w:val="24"/>
          <w:szCs w:val="22"/>
        </w:rPr>
        <w:t>hree</w:t>
      </w:r>
      <w:r w:rsidRPr="00AE701D">
        <w:rPr>
          <w:rFonts w:asciiTheme="minorHAnsi" w:hAnsiTheme="minorHAnsi" w:cstheme="minorHAnsi"/>
          <w:sz w:val="24"/>
          <w:szCs w:val="22"/>
        </w:rPr>
        <w:t>-level allocation process coordinated through the</w:t>
      </w:r>
      <w:r w:rsidR="009E0150" w:rsidRPr="00AE701D">
        <w:rPr>
          <w:rFonts w:asciiTheme="minorHAnsi" w:hAnsiTheme="minorHAnsi" w:cstheme="minorHAnsi"/>
          <w:sz w:val="24"/>
          <w:szCs w:val="22"/>
        </w:rPr>
        <w:t xml:space="preserve"> </w:t>
      </w:r>
      <w:r w:rsidRPr="00AE701D">
        <w:rPr>
          <w:rFonts w:asciiTheme="minorHAnsi" w:hAnsiTheme="minorHAnsi" w:cstheme="minorHAnsi"/>
          <w:sz w:val="24"/>
          <w:szCs w:val="22"/>
        </w:rPr>
        <w:t>NOMS</w:t>
      </w:r>
      <w:r w:rsidR="00CF56FD" w:rsidRPr="00AE701D">
        <w:rPr>
          <w:rFonts w:asciiTheme="minorHAnsi" w:hAnsiTheme="minorHAnsi" w:cstheme="minorHAnsi"/>
          <w:sz w:val="24"/>
          <w:szCs w:val="22"/>
        </w:rPr>
        <w:t xml:space="preserve"> as described </w:t>
      </w:r>
      <w:r w:rsidR="00AE701D" w:rsidRPr="00AE3ED1">
        <w:rPr>
          <w:rFonts w:asciiTheme="minorHAnsi" w:hAnsiTheme="minorHAnsi" w:cstheme="minorHAnsi"/>
          <w:sz w:val="24"/>
          <w:szCs w:val="22"/>
        </w:rPr>
        <w:t xml:space="preserve">in </w:t>
      </w:r>
      <w:r w:rsidR="00CF56FD" w:rsidRPr="00AE701D">
        <w:rPr>
          <w:rFonts w:asciiTheme="minorHAnsi" w:hAnsiTheme="minorHAnsi" w:cstheme="minorHAnsi"/>
          <w:sz w:val="24"/>
          <w:szCs w:val="22"/>
        </w:rPr>
        <w:fldChar w:fldCharType="begin"/>
      </w:r>
      <w:r w:rsidR="00CF56FD" w:rsidRPr="00AE701D">
        <w:rPr>
          <w:rFonts w:asciiTheme="minorHAnsi" w:hAnsiTheme="minorHAnsi" w:cstheme="minorHAnsi"/>
          <w:sz w:val="24"/>
          <w:szCs w:val="22"/>
        </w:rPr>
        <w:instrText xml:space="preserve"> REF _Ref526950736 \h  \* MERGEFORMAT </w:instrText>
      </w:r>
      <w:r w:rsidR="00CF56FD" w:rsidRPr="00AE701D">
        <w:rPr>
          <w:rFonts w:asciiTheme="minorHAnsi" w:hAnsiTheme="minorHAnsi" w:cstheme="minorHAnsi"/>
          <w:sz w:val="24"/>
          <w:szCs w:val="22"/>
        </w:rPr>
      </w:r>
      <w:r w:rsidR="00CF56FD" w:rsidRPr="00AE701D">
        <w:rPr>
          <w:rFonts w:asciiTheme="minorHAnsi" w:hAnsiTheme="minorHAnsi" w:cstheme="minorHAnsi"/>
          <w:sz w:val="24"/>
          <w:szCs w:val="22"/>
        </w:rPr>
        <w:fldChar w:fldCharType="separate"/>
      </w:r>
      <w:r w:rsidR="00A04048" w:rsidRPr="00AE701D">
        <w:rPr>
          <w:rFonts w:asciiTheme="minorHAnsi" w:hAnsiTheme="minorHAnsi" w:cstheme="minorHAnsi"/>
          <w:sz w:val="24"/>
          <w:szCs w:val="22"/>
        </w:rPr>
        <w:t>Figure 4</w:t>
      </w:r>
      <w:r w:rsidR="00CF56FD" w:rsidRPr="00AE701D">
        <w:rPr>
          <w:rFonts w:asciiTheme="minorHAnsi" w:hAnsiTheme="minorHAnsi" w:cstheme="minorHAnsi"/>
          <w:sz w:val="24"/>
          <w:szCs w:val="22"/>
        </w:rPr>
        <w:fldChar w:fldCharType="end"/>
      </w:r>
      <w:r w:rsidR="00C56E8D" w:rsidRPr="00AE701D">
        <w:rPr>
          <w:rFonts w:asciiTheme="minorHAnsi" w:hAnsiTheme="minorHAnsi" w:cstheme="minorHAnsi"/>
          <w:sz w:val="24"/>
          <w:szCs w:val="22"/>
        </w:rPr>
        <w:t xml:space="preserve">, </w:t>
      </w:r>
      <w:r w:rsidR="00AE701D" w:rsidRPr="00AE3ED1">
        <w:rPr>
          <w:rFonts w:asciiTheme="minorHAnsi" w:hAnsiTheme="minorHAnsi" w:cstheme="minorHAnsi"/>
          <w:sz w:val="24"/>
          <w:szCs w:val="22"/>
        </w:rPr>
        <w:t xml:space="preserve">for </w:t>
      </w:r>
      <w:r w:rsidR="00C56E8D" w:rsidRPr="00AE701D">
        <w:rPr>
          <w:rFonts w:asciiTheme="minorHAnsi" w:hAnsiTheme="minorHAnsi" w:cstheme="minorHAnsi"/>
          <w:sz w:val="24"/>
          <w:szCs w:val="22"/>
        </w:rPr>
        <w:t>national, state and interstate allocation.</w:t>
      </w:r>
      <w:r w:rsidR="009E3A90">
        <w:rPr>
          <w:rFonts w:asciiTheme="minorHAnsi" w:hAnsiTheme="minorHAnsi" w:cstheme="minorHAnsi"/>
          <w:sz w:val="24"/>
          <w:szCs w:val="22"/>
        </w:rPr>
        <w:t xml:space="preserve"> </w:t>
      </w:r>
    </w:p>
    <w:p w14:paraId="239F4C3C" w14:textId="77777777" w:rsidR="000B3B47" w:rsidRPr="00D40C14" w:rsidRDefault="000B3B47" w:rsidP="00D40C14">
      <w:pPr>
        <w:pStyle w:val="Caption"/>
        <w:keepNext/>
        <w:spacing w:after="0"/>
        <w:rPr>
          <w:rFonts w:asciiTheme="minorHAnsi" w:hAnsiTheme="minorHAnsi" w:cstheme="minorHAnsi"/>
          <w:color w:val="808080"/>
          <w:sz w:val="20"/>
        </w:rPr>
      </w:pPr>
      <w:bookmarkStart w:id="138" w:name="_Ref526950736"/>
      <w:bookmarkStart w:id="139" w:name="_Ref531268239"/>
      <w:r w:rsidRPr="00D40C14">
        <w:rPr>
          <w:rFonts w:asciiTheme="minorHAnsi" w:hAnsiTheme="minorHAnsi" w:cstheme="minorHAnsi"/>
          <w:b w:val="0"/>
          <w:color w:val="808080"/>
          <w:sz w:val="20"/>
        </w:rPr>
        <w:lastRenderedPageBreak/>
        <w:t xml:space="preserve">Figure </w:t>
      </w:r>
      <w:r w:rsidR="006624EC">
        <w:rPr>
          <w:rFonts w:asciiTheme="minorHAnsi" w:hAnsiTheme="minorHAnsi" w:cstheme="minorHAnsi"/>
          <w:b w:val="0"/>
          <w:color w:val="808080"/>
          <w:sz w:val="20"/>
        </w:rPr>
        <w:fldChar w:fldCharType="begin"/>
      </w:r>
      <w:r w:rsidR="006624EC">
        <w:rPr>
          <w:rFonts w:asciiTheme="minorHAnsi" w:hAnsiTheme="minorHAnsi" w:cstheme="minorHAnsi"/>
          <w:b w:val="0"/>
          <w:color w:val="808080"/>
          <w:sz w:val="20"/>
        </w:rPr>
        <w:instrText xml:space="preserve"> SEQ Figure \* ARABIC </w:instrText>
      </w:r>
      <w:r w:rsidR="006624EC">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4</w:t>
      </w:r>
      <w:r w:rsidR="006624EC">
        <w:rPr>
          <w:rFonts w:asciiTheme="minorHAnsi" w:hAnsiTheme="minorHAnsi" w:cstheme="minorHAnsi"/>
          <w:b w:val="0"/>
          <w:color w:val="808080"/>
          <w:sz w:val="20"/>
        </w:rPr>
        <w:fldChar w:fldCharType="end"/>
      </w:r>
      <w:bookmarkEnd w:id="138"/>
      <w:r w:rsidRPr="00D40C14">
        <w:rPr>
          <w:rFonts w:asciiTheme="minorHAnsi" w:hAnsiTheme="minorHAnsi" w:cstheme="minorHAnsi"/>
          <w:b w:val="0"/>
          <w:color w:val="808080"/>
          <w:sz w:val="20"/>
        </w:rPr>
        <w:t>: Renal allocation hierarchy as determined by the NOMS allocation system</w:t>
      </w:r>
      <w:r w:rsidR="00C56E8D">
        <w:rPr>
          <w:rFonts w:asciiTheme="minorHAnsi" w:hAnsiTheme="minorHAnsi" w:cstheme="minorHAnsi"/>
          <w:b w:val="0"/>
          <w:color w:val="808080"/>
          <w:sz w:val="20"/>
        </w:rPr>
        <w:t xml:space="preserve">, SOURCE: </w:t>
      </w:r>
      <w:r w:rsidR="00237017">
        <w:rPr>
          <w:rFonts w:asciiTheme="minorHAnsi" w:hAnsiTheme="minorHAnsi" w:cstheme="minorHAnsi"/>
          <w:b w:val="0"/>
          <w:color w:val="808080"/>
          <w:sz w:val="20"/>
        </w:rPr>
        <w:t>the OTA</w:t>
      </w:r>
      <w:r w:rsidR="00B82198">
        <w:rPr>
          <w:rStyle w:val="FootnoteReference"/>
          <w:rFonts w:cstheme="minorHAnsi"/>
          <w:b w:val="0"/>
          <w:color w:val="808080"/>
        </w:rPr>
        <w:footnoteReference w:id="47"/>
      </w:r>
      <w:bookmarkEnd w:id="139"/>
    </w:p>
    <w:p w14:paraId="313C6793" w14:textId="48BADC80" w:rsidR="00F0435E" w:rsidRDefault="00AE701D" w:rsidP="00D40C14">
      <w:pPr>
        <w:keepNext/>
        <w:keepLines/>
        <w:spacing w:after="120"/>
        <w:rPr>
          <w:rFonts w:asciiTheme="minorHAnsi" w:hAnsiTheme="minorHAnsi" w:cstheme="minorHAnsi"/>
          <w:sz w:val="24"/>
          <w:szCs w:val="22"/>
        </w:rPr>
      </w:pPr>
      <w:r w:rsidRPr="00AE701D">
        <w:rPr>
          <w:noProof/>
          <w:lang w:eastAsia="en-AU"/>
        </w:rPr>
        <w:drawing>
          <wp:inline distT="0" distB="0" distL="0" distR="0" wp14:anchorId="2FD0E950" wp14:editId="51004DE9">
            <wp:extent cx="5868718" cy="5097101"/>
            <wp:effectExtent l="0" t="0" r="0" b="8890"/>
            <wp:docPr id="3" name="Picture 3" descr="Figure 4 is the renal allocation hierarchy, as determined by the NOMS allocation system for national, state and interstate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8811" cy="5105867"/>
                    </a:xfrm>
                    <a:prstGeom prst="rect">
                      <a:avLst/>
                    </a:prstGeom>
                    <a:noFill/>
                    <a:ln>
                      <a:noFill/>
                    </a:ln>
                  </pic:spPr>
                </pic:pic>
              </a:graphicData>
            </a:graphic>
          </wp:inline>
        </w:drawing>
      </w:r>
      <w:r w:rsidR="00F0435E">
        <w:rPr>
          <w:rFonts w:asciiTheme="minorHAnsi" w:hAnsiTheme="minorHAnsi" w:cstheme="minorHAnsi"/>
          <w:sz w:val="24"/>
          <w:szCs w:val="22"/>
        </w:rPr>
        <w:t xml:space="preserve"> </w:t>
      </w:r>
    </w:p>
    <w:p w14:paraId="755E3AB5" w14:textId="77777777" w:rsidR="00310C7A" w:rsidRDefault="0006614F" w:rsidP="00D40C14">
      <w:pPr>
        <w:keepNext/>
        <w:keepLines/>
        <w:spacing w:after="120"/>
        <w:rPr>
          <w:rFonts w:asciiTheme="minorHAnsi" w:hAnsiTheme="minorHAnsi" w:cstheme="minorHAnsi"/>
          <w:sz w:val="24"/>
          <w:szCs w:val="22"/>
        </w:rPr>
      </w:pPr>
      <w:r>
        <w:rPr>
          <w:rFonts w:asciiTheme="minorHAnsi" w:hAnsiTheme="minorHAnsi" w:cstheme="minorHAnsi"/>
          <w:sz w:val="24"/>
          <w:szCs w:val="22"/>
        </w:rPr>
        <w:t xml:space="preserve">In </w:t>
      </w:r>
      <w:r w:rsidRPr="0006614F">
        <w:rPr>
          <w:rFonts w:asciiTheme="minorHAnsi" w:hAnsiTheme="minorHAnsi" w:cstheme="minorHAnsi"/>
          <w:sz w:val="24"/>
          <w:szCs w:val="22"/>
        </w:rPr>
        <w:t>Levels 1-6</w:t>
      </w:r>
      <w:r>
        <w:rPr>
          <w:rFonts w:asciiTheme="minorHAnsi" w:hAnsiTheme="minorHAnsi" w:cstheme="minorHAnsi"/>
          <w:sz w:val="24"/>
          <w:szCs w:val="22"/>
        </w:rPr>
        <w:t>, allocations and offers</w:t>
      </w:r>
      <w:r w:rsidRPr="0006614F">
        <w:rPr>
          <w:rFonts w:asciiTheme="minorHAnsi" w:hAnsiTheme="minorHAnsi" w:cstheme="minorHAnsi"/>
          <w:sz w:val="24"/>
          <w:szCs w:val="22"/>
        </w:rPr>
        <w:t xml:space="preserve"> are </w:t>
      </w:r>
      <w:r>
        <w:rPr>
          <w:rFonts w:asciiTheme="minorHAnsi" w:hAnsiTheme="minorHAnsi" w:cstheme="minorHAnsi"/>
          <w:sz w:val="24"/>
          <w:szCs w:val="22"/>
        </w:rPr>
        <w:t xml:space="preserve">made </w:t>
      </w:r>
      <w:r w:rsidR="00310C7A">
        <w:rPr>
          <w:rFonts w:asciiTheme="minorHAnsi" w:hAnsiTheme="minorHAnsi" w:cstheme="minorHAnsi"/>
          <w:sz w:val="24"/>
          <w:szCs w:val="22"/>
        </w:rPr>
        <w:t>using the national algorithm</w:t>
      </w:r>
      <w:r w:rsidR="00326878">
        <w:rPr>
          <w:rFonts w:asciiTheme="minorHAnsi" w:hAnsiTheme="minorHAnsi" w:cstheme="minorHAnsi"/>
          <w:sz w:val="24"/>
          <w:szCs w:val="22"/>
        </w:rPr>
        <w:t xml:space="preserve">, with highly sensitised and closely matched </w:t>
      </w:r>
      <w:r w:rsidR="00C56E8D">
        <w:rPr>
          <w:rFonts w:asciiTheme="minorHAnsi" w:hAnsiTheme="minorHAnsi" w:cstheme="minorHAnsi"/>
          <w:sz w:val="24"/>
          <w:szCs w:val="22"/>
        </w:rPr>
        <w:t>human leukocyte antigen</w:t>
      </w:r>
      <w:r w:rsidR="00326878">
        <w:rPr>
          <w:rFonts w:asciiTheme="minorHAnsi" w:hAnsiTheme="minorHAnsi" w:cstheme="minorHAnsi"/>
          <w:sz w:val="24"/>
          <w:szCs w:val="22"/>
        </w:rPr>
        <w:t xml:space="preserve"> patients prioritised first</w:t>
      </w:r>
      <w:r w:rsidRPr="0006614F">
        <w:rPr>
          <w:rFonts w:asciiTheme="minorHAnsi" w:hAnsiTheme="minorHAnsi" w:cstheme="minorHAnsi"/>
          <w:sz w:val="24"/>
          <w:szCs w:val="22"/>
        </w:rPr>
        <w:t>. Within these levels preference is given to recipients within the donor home state and paediatric recipients.</w:t>
      </w:r>
      <w:r w:rsidR="00310C7A">
        <w:rPr>
          <w:rFonts w:asciiTheme="minorHAnsi" w:hAnsiTheme="minorHAnsi" w:cstheme="minorHAnsi"/>
          <w:sz w:val="24"/>
          <w:szCs w:val="22"/>
        </w:rPr>
        <w:t xml:space="preserve"> </w:t>
      </w:r>
      <w:r w:rsidR="00310C7A" w:rsidRPr="007339A0">
        <w:rPr>
          <w:rFonts w:asciiTheme="minorHAnsi" w:hAnsiTheme="minorHAnsi" w:cstheme="minorHAnsi"/>
          <w:sz w:val="24"/>
          <w:szCs w:val="22"/>
        </w:rPr>
        <w:t>On average, about 20 per cent of deceased donor kidneys are transported interstate through national allocation.</w:t>
      </w:r>
      <w:r w:rsidR="00B82198">
        <w:rPr>
          <w:rStyle w:val="FootnoteReference"/>
          <w:rFonts w:cstheme="minorHAnsi"/>
        </w:rPr>
        <w:footnoteReference w:id="48"/>
      </w:r>
      <w:r w:rsidR="00310C7A" w:rsidRPr="007339A0">
        <w:rPr>
          <w:rFonts w:asciiTheme="minorHAnsi" w:hAnsiTheme="minorHAnsi" w:cstheme="minorHAnsi"/>
          <w:sz w:val="24"/>
          <w:szCs w:val="22"/>
        </w:rPr>
        <w:t xml:space="preserve"> </w:t>
      </w:r>
      <w:r w:rsidR="00310C7A">
        <w:rPr>
          <w:rFonts w:asciiTheme="minorHAnsi" w:hAnsiTheme="minorHAnsi" w:cstheme="minorHAnsi"/>
          <w:sz w:val="24"/>
          <w:szCs w:val="22"/>
        </w:rPr>
        <w:t xml:space="preserve">If the kidney has gone through allocation levels 1-6 and has not been accepted, it is then considered in the </w:t>
      </w:r>
      <w:r w:rsidR="00C56E8D">
        <w:rPr>
          <w:rFonts w:asciiTheme="minorHAnsi" w:hAnsiTheme="minorHAnsi" w:cstheme="minorHAnsi"/>
          <w:sz w:val="24"/>
          <w:szCs w:val="22"/>
        </w:rPr>
        <w:t xml:space="preserve">State Balancing </w:t>
      </w:r>
      <w:r w:rsidR="00310C7A">
        <w:rPr>
          <w:rFonts w:asciiTheme="minorHAnsi" w:hAnsiTheme="minorHAnsi" w:cstheme="minorHAnsi"/>
          <w:sz w:val="24"/>
          <w:szCs w:val="22"/>
        </w:rPr>
        <w:t>System (Level 7).</w:t>
      </w:r>
    </w:p>
    <w:p w14:paraId="3AFF1675" w14:textId="735705A7" w:rsidR="00E34D5B" w:rsidRDefault="00310C7A" w:rsidP="00EF2596">
      <w:pPr>
        <w:keepNext/>
        <w:keepLines/>
        <w:spacing w:before="240" w:after="120"/>
        <w:rPr>
          <w:rFonts w:asciiTheme="minorHAnsi" w:hAnsiTheme="minorHAnsi" w:cstheme="minorHAnsi"/>
          <w:sz w:val="24"/>
          <w:szCs w:val="22"/>
          <w:lang w:val="en-GB"/>
        </w:rPr>
      </w:pPr>
      <w:r w:rsidRPr="00F85B6A">
        <w:rPr>
          <w:rFonts w:asciiTheme="minorHAnsi" w:hAnsiTheme="minorHAnsi" w:cstheme="minorHAnsi"/>
          <w:sz w:val="24"/>
          <w:szCs w:val="22"/>
        </w:rPr>
        <w:t>I</w:t>
      </w:r>
      <w:r w:rsidR="00BB51DA" w:rsidRPr="00F85B6A">
        <w:rPr>
          <w:rFonts w:asciiTheme="minorHAnsi" w:hAnsiTheme="minorHAnsi" w:cstheme="minorHAnsi"/>
          <w:sz w:val="24"/>
          <w:szCs w:val="22"/>
        </w:rPr>
        <w:t>f not allocated nationally</w:t>
      </w:r>
      <w:r w:rsidRPr="00F85B6A">
        <w:rPr>
          <w:rFonts w:asciiTheme="minorHAnsi" w:hAnsiTheme="minorHAnsi" w:cstheme="minorHAnsi"/>
          <w:sz w:val="24"/>
          <w:szCs w:val="22"/>
        </w:rPr>
        <w:t xml:space="preserve"> from</w:t>
      </w:r>
      <w:r w:rsidR="00412748" w:rsidRPr="00F85B6A">
        <w:rPr>
          <w:rFonts w:asciiTheme="minorHAnsi" w:hAnsiTheme="minorHAnsi" w:cstheme="minorHAnsi"/>
          <w:sz w:val="24"/>
          <w:szCs w:val="22"/>
        </w:rPr>
        <w:t xml:space="preserve"> the national algorithm or the State Balancing S</w:t>
      </w:r>
      <w:r w:rsidRPr="00F85B6A">
        <w:rPr>
          <w:rFonts w:asciiTheme="minorHAnsi" w:hAnsiTheme="minorHAnsi" w:cstheme="minorHAnsi"/>
          <w:sz w:val="24"/>
          <w:szCs w:val="22"/>
        </w:rPr>
        <w:t>ystem</w:t>
      </w:r>
      <w:r w:rsidR="00BB51DA" w:rsidRPr="00F85B6A">
        <w:rPr>
          <w:rFonts w:asciiTheme="minorHAnsi" w:hAnsiTheme="minorHAnsi" w:cstheme="minorHAnsi"/>
          <w:sz w:val="24"/>
          <w:szCs w:val="22"/>
        </w:rPr>
        <w:t xml:space="preserve"> then the kidney(s) will be allocated according to the allocation algorithm of the state in which they were donated. </w:t>
      </w:r>
      <w:r w:rsidRPr="00F85B6A">
        <w:rPr>
          <w:rFonts w:asciiTheme="minorHAnsi" w:hAnsiTheme="minorHAnsi" w:cstheme="minorHAnsi"/>
          <w:sz w:val="24"/>
          <w:szCs w:val="22"/>
        </w:rPr>
        <w:t xml:space="preserve">This </w:t>
      </w:r>
      <w:r w:rsidR="00DB2089" w:rsidRPr="00F85B6A">
        <w:rPr>
          <w:rFonts w:asciiTheme="minorHAnsi" w:hAnsiTheme="minorHAnsi" w:cstheme="minorHAnsi"/>
          <w:sz w:val="24"/>
          <w:szCs w:val="22"/>
        </w:rPr>
        <w:t>can</w:t>
      </w:r>
      <w:r w:rsidRPr="00F85B6A">
        <w:rPr>
          <w:rFonts w:asciiTheme="minorHAnsi" w:hAnsiTheme="minorHAnsi" w:cstheme="minorHAnsi"/>
          <w:sz w:val="24"/>
          <w:szCs w:val="22"/>
        </w:rPr>
        <w:t xml:space="preserve"> be done through</w:t>
      </w:r>
      <w:r w:rsidR="00584536" w:rsidRPr="00F85B6A">
        <w:rPr>
          <w:rFonts w:asciiTheme="minorHAnsi" w:hAnsiTheme="minorHAnsi" w:cstheme="minorHAnsi"/>
          <w:sz w:val="24"/>
          <w:szCs w:val="22"/>
        </w:rPr>
        <w:t xml:space="preserve"> the</w:t>
      </w:r>
      <w:r w:rsidRPr="00F85B6A">
        <w:rPr>
          <w:rFonts w:asciiTheme="minorHAnsi" w:hAnsiTheme="minorHAnsi" w:cstheme="minorHAnsi"/>
          <w:sz w:val="24"/>
          <w:szCs w:val="22"/>
        </w:rPr>
        <w:t xml:space="preserve"> NOMS. </w:t>
      </w:r>
      <w:r w:rsidR="00EB5889" w:rsidRPr="00F85B6A">
        <w:rPr>
          <w:rFonts w:asciiTheme="minorHAnsi" w:hAnsiTheme="minorHAnsi" w:cstheme="minorHAnsi"/>
          <w:sz w:val="24"/>
          <w:szCs w:val="22"/>
        </w:rPr>
        <w:t>In 2017, a</w:t>
      </w:r>
      <w:r w:rsidRPr="00F85B6A">
        <w:rPr>
          <w:rFonts w:asciiTheme="minorHAnsi" w:hAnsiTheme="minorHAnsi" w:cstheme="minorHAnsi"/>
          <w:sz w:val="24"/>
          <w:szCs w:val="22"/>
        </w:rPr>
        <w:t xml:space="preserve">pproximately </w:t>
      </w:r>
      <w:r w:rsidR="00BB2B83" w:rsidRPr="00F85B6A">
        <w:rPr>
          <w:rFonts w:asciiTheme="minorHAnsi" w:hAnsiTheme="minorHAnsi" w:cstheme="minorHAnsi"/>
          <w:sz w:val="24"/>
          <w:szCs w:val="22"/>
        </w:rPr>
        <w:t xml:space="preserve">20 per cent of kidneys </w:t>
      </w:r>
      <w:r w:rsidR="00EB5889" w:rsidRPr="00F85B6A">
        <w:rPr>
          <w:rFonts w:asciiTheme="minorHAnsi" w:hAnsiTheme="minorHAnsi" w:cstheme="minorHAnsi"/>
          <w:sz w:val="24"/>
          <w:szCs w:val="22"/>
        </w:rPr>
        <w:t xml:space="preserve">were </w:t>
      </w:r>
      <w:r w:rsidR="00BB2B83" w:rsidRPr="00F85B6A">
        <w:rPr>
          <w:rFonts w:asciiTheme="minorHAnsi" w:hAnsiTheme="minorHAnsi" w:cstheme="minorHAnsi"/>
          <w:sz w:val="24"/>
          <w:szCs w:val="22"/>
        </w:rPr>
        <w:t xml:space="preserve">allocated based on </w:t>
      </w:r>
      <w:r w:rsidR="00412748" w:rsidRPr="00F85B6A">
        <w:rPr>
          <w:rFonts w:asciiTheme="minorHAnsi" w:hAnsiTheme="minorHAnsi" w:cstheme="minorHAnsi"/>
          <w:sz w:val="24"/>
          <w:szCs w:val="22"/>
        </w:rPr>
        <w:t>n</w:t>
      </w:r>
      <w:r w:rsidR="00BB2B83" w:rsidRPr="00F85B6A">
        <w:rPr>
          <w:rFonts w:asciiTheme="minorHAnsi" w:hAnsiTheme="minorHAnsi" w:cstheme="minorHAnsi"/>
          <w:sz w:val="24"/>
          <w:szCs w:val="22"/>
        </w:rPr>
        <w:t>a</w:t>
      </w:r>
      <w:r w:rsidR="00412748" w:rsidRPr="00F85B6A">
        <w:rPr>
          <w:rFonts w:asciiTheme="minorHAnsi" w:hAnsiTheme="minorHAnsi" w:cstheme="minorHAnsi"/>
          <w:sz w:val="24"/>
          <w:szCs w:val="22"/>
        </w:rPr>
        <w:t>tional a</w:t>
      </w:r>
      <w:r w:rsidR="00BB2B83" w:rsidRPr="00F85B6A">
        <w:rPr>
          <w:rFonts w:asciiTheme="minorHAnsi" w:hAnsiTheme="minorHAnsi" w:cstheme="minorHAnsi"/>
          <w:sz w:val="24"/>
          <w:szCs w:val="22"/>
        </w:rPr>
        <w:t>llocation</w:t>
      </w:r>
      <w:r w:rsidR="00BB51DA" w:rsidRPr="00F85B6A">
        <w:rPr>
          <w:rFonts w:asciiTheme="minorHAnsi" w:hAnsiTheme="minorHAnsi" w:cstheme="minorHAnsi"/>
          <w:sz w:val="24"/>
          <w:szCs w:val="22"/>
        </w:rPr>
        <w:t>.</w:t>
      </w:r>
      <w:r w:rsidR="00BB2B83" w:rsidRPr="00F85B6A">
        <w:rPr>
          <w:rFonts w:asciiTheme="minorHAnsi" w:hAnsiTheme="minorHAnsi" w:cstheme="minorHAnsi"/>
          <w:sz w:val="24"/>
          <w:szCs w:val="22"/>
        </w:rPr>
        <w:t xml:space="preserve"> Of the remaining 80 per cent, approximately 75 per cent are accounted for by state allocation and another </w:t>
      </w:r>
      <w:r w:rsidR="00584536" w:rsidRPr="00F85B6A">
        <w:rPr>
          <w:rFonts w:asciiTheme="minorHAnsi" w:hAnsiTheme="minorHAnsi" w:cstheme="minorHAnsi"/>
          <w:sz w:val="24"/>
          <w:szCs w:val="22"/>
        </w:rPr>
        <w:t>five</w:t>
      </w:r>
      <w:r w:rsidR="00BB2B83" w:rsidRPr="00F85B6A">
        <w:rPr>
          <w:rFonts w:asciiTheme="minorHAnsi" w:hAnsiTheme="minorHAnsi" w:cstheme="minorHAnsi"/>
          <w:sz w:val="24"/>
          <w:szCs w:val="22"/>
        </w:rPr>
        <w:t xml:space="preserve"> per cent by interstate allocation.</w:t>
      </w:r>
      <w:r w:rsidR="00BB51DA" w:rsidRPr="00F85B6A">
        <w:rPr>
          <w:rStyle w:val="FootnoteReference"/>
          <w:rFonts w:cstheme="minorHAnsi"/>
        </w:rPr>
        <w:footnoteReference w:id="49"/>
      </w:r>
      <w:r w:rsidR="00BB51DA">
        <w:rPr>
          <w:rFonts w:asciiTheme="minorHAnsi" w:hAnsiTheme="minorHAnsi" w:cstheme="minorHAnsi"/>
          <w:sz w:val="24"/>
          <w:szCs w:val="22"/>
          <w:lang w:val="en-GB"/>
        </w:rPr>
        <w:t xml:space="preserve"> </w:t>
      </w:r>
    </w:p>
    <w:p w14:paraId="1E2BBE83" w14:textId="72D2CCAF" w:rsidR="006417C1" w:rsidRPr="00D930F7" w:rsidRDefault="006417C1" w:rsidP="00AE3ED1">
      <w:pPr>
        <w:keepNext/>
        <w:keepLines/>
        <w:shd w:val="clear" w:color="auto" w:fill="DCEFF4"/>
        <w:spacing w:before="120" w:after="120"/>
        <w:rPr>
          <w:rFonts w:asciiTheme="minorHAnsi" w:hAnsiTheme="minorHAnsi" w:cstheme="minorHAnsi"/>
          <w:b/>
          <w:sz w:val="22"/>
          <w:szCs w:val="22"/>
          <w:lang w:val="en-GB"/>
        </w:rPr>
      </w:pPr>
      <w:r w:rsidRPr="00D930F7">
        <w:rPr>
          <w:rFonts w:asciiTheme="minorHAnsi" w:hAnsiTheme="minorHAnsi" w:cstheme="minorHAnsi"/>
          <w:b/>
          <w:sz w:val="22"/>
          <w:szCs w:val="22"/>
          <w:lang w:val="en-GB"/>
        </w:rPr>
        <w:t>The State Balancing System</w:t>
      </w:r>
    </w:p>
    <w:p w14:paraId="3C66F777" w14:textId="074C9B40" w:rsidR="006417C1" w:rsidRPr="00AE3ED1" w:rsidRDefault="006417C1" w:rsidP="00AE3ED1">
      <w:pPr>
        <w:keepNext/>
        <w:keepLines/>
        <w:shd w:val="clear" w:color="auto" w:fill="DCEFF4"/>
        <w:spacing w:before="120" w:after="120"/>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The State Balancing System or payback system of the kidney algorithm was initially implemented to allow the number of kidney donations within a state to equal the number of transplants performed with that state. It aims to ensure that no state was disproportionately affected by the national allocation levels 1-6. </w:t>
      </w:r>
    </w:p>
    <w:p w14:paraId="20ECA44B" w14:textId="77A0CDF4" w:rsidR="006417C1" w:rsidRPr="00AE3ED1" w:rsidRDefault="006417C1" w:rsidP="00AE3ED1">
      <w:pPr>
        <w:keepNext/>
        <w:keepLines/>
        <w:shd w:val="clear" w:color="auto" w:fill="DCEFF4"/>
        <w:spacing w:before="120" w:after="120"/>
        <w:rPr>
          <w:rFonts w:asciiTheme="minorHAnsi" w:hAnsiTheme="minorHAnsi" w:cstheme="minorHAnsi"/>
          <w:sz w:val="22"/>
          <w:szCs w:val="22"/>
          <w:lang w:val="en-GB"/>
        </w:rPr>
      </w:pPr>
      <w:r w:rsidRPr="00AE3ED1">
        <w:rPr>
          <w:rFonts w:asciiTheme="minorHAnsi" w:hAnsiTheme="minorHAnsi" w:cstheme="minorHAnsi"/>
          <w:sz w:val="22"/>
          <w:szCs w:val="22"/>
          <w:lang w:val="en-GB"/>
        </w:rPr>
        <w:lastRenderedPageBreak/>
        <w:t>The system provides a mechanism for the allocation of organs interstate where they are required. A tally is kept of kidneys allocated to other states. States with the highest levels of kidneys allocated out of state receive increased priority as a means of balancing the allocation system.</w:t>
      </w:r>
    </w:p>
    <w:p w14:paraId="4AB8A2F8" w14:textId="77777777" w:rsidR="00BB51DA" w:rsidRPr="00F17564" w:rsidRDefault="00BB51DA" w:rsidP="005F5BB1">
      <w:pPr>
        <w:pStyle w:val="Heading3"/>
        <w:tabs>
          <w:tab w:val="clear" w:pos="1843"/>
          <w:tab w:val="num" w:pos="1559"/>
        </w:tabs>
        <w:spacing w:before="240"/>
        <w:ind w:left="992" w:hanging="992"/>
        <w:rPr>
          <w:rFonts w:asciiTheme="minorHAnsi" w:hAnsiTheme="minorHAnsi" w:cstheme="minorHAnsi"/>
          <w:color w:val="7F7F7F" w:themeColor="text1" w:themeTint="80"/>
          <w:sz w:val="30"/>
          <w:szCs w:val="30"/>
        </w:rPr>
      </w:pPr>
      <w:r>
        <w:rPr>
          <w:rFonts w:asciiTheme="minorHAnsi" w:hAnsiTheme="minorHAnsi" w:cstheme="minorHAnsi"/>
          <w:b w:val="0"/>
          <w:color w:val="7F7F7F" w:themeColor="text1" w:themeTint="80"/>
          <w:sz w:val="30"/>
          <w:szCs w:val="30"/>
        </w:rPr>
        <w:t>Non-r</w:t>
      </w:r>
      <w:r w:rsidRPr="00A33214">
        <w:rPr>
          <w:rFonts w:asciiTheme="minorHAnsi" w:hAnsiTheme="minorHAnsi" w:cstheme="minorHAnsi"/>
          <w:b w:val="0"/>
          <w:color w:val="7F7F7F" w:themeColor="text1" w:themeTint="80"/>
          <w:sz w:val="30"/>
          <w:szCs w:val="30"/>
        </w:rPr>
        <w:t>enal allocation</w:t>
      </w:r>
    </w:p>
    <w:p w14:paraId="2850EA4C" w14:textId="77777777" w:rsidR="00727F42" w:rsidRPr="00447661" w:rsidRDefault="00727F42" w:rsidP="00447661">
      <w:pPr>
        <w:spacing w:after="120"/>
        <w:rPr>
          <w:rFonts w:asciiTheme="minorHAnsi" w:hAnsiTheme="minorHAnsi" w:cstheme="minorHAnsi"/>
          <w:b/>
          <w:bCs/>
          <w:szCs w:val="24"/>
        </w:rPr>
      </w:pPr>
      <w:r w:rsidRPr="00447661">
        <w:rPr>
          <w:rFonts w:asciiTheme="minorHAnsi" w:hAnsiTheme="minorHAnsi" w:cstheme="minorHAnsi"/>
          <w:sz w:val="24"/>
          <w:szCs w:val="24"/>
        </w:rPr>
        <w:t xml:space="preserve">The allocation of non-renal organs is not as complex as renal organs. There are primarily </w:t>
      </w:r>
      <w:r w:rsidR="009E0150" w:rsidRPr="00447661">
        <w:rPr>
          <w:rFonts w:asciiTheme="minorHAnsi" w:hAnsiTheme="minorHAnsi" w:cstheme="minorHAnsi"/>
          <w:sz w:val="24"/>
          <w:szCs w:val="24"/>
        </w:rPr>
        <w:t>three</w:t>
      </w:r>
      <w:r w:rsidRPr="00447661">
        <w:rPr>
          <w:rFonts w:asciiTheme="minorHAnsi" w:hAnsiTheme="minorHAnsi" w:cstheme="minorHAnsi"/>
          <w:sz w:val="24"/>
          <w:szCs w:val="24"/>
        </w:rPr>
        <w:t xml:space="preserve"> factors that determine the allocation of a non-renal organ to a recipient:</w:t>
      </w:r>
    </w:p>
    <w:p w14:paraId="43393628" w14:textId="77777777" w:rsidR="00727F42" w:rsidRPr="00F17564" w:rsidRDefault="00727F42" w:rsidP="00481A6A">
      <w:pPr>
        <w:numPr>
          <w:ilvl w:val="0"/>
          <w:numId w:val="18"/>
        </w:numPr>
        <w:spacing w:after="120"/>
        <w:ind w:left="357" w:hanging="357"/>
        <w:contextualSpacing/>
        <w:rPr>
          <w:rFonts w:asciiTheme="minorHAnsi" w:hAnsiTheme="minorHAnsi" w:cstheme="minorHAnsi"/>
          <w:b/>
          <w:bCs/>
          <w:szCs w:val="22"/>
          <w:lang w:val="en-GB"/>
        </w:rPr>
      </w:pPr>
      <w:r w:rsidRPr="00F17564">
        <w:rPr>
          <w:rFonts w:asciiTheme="minorHAnsi" w:hAnsiTheme="minorHAnsi" w:cstheme="minorHAnsi"/>
          <w:sz w:val="24"/>
          <w:szCs w:val="22"/>
          <w:lang w:val="en-GB"/>
        </w:rPr>
        <w:t>Blood group compatibility</w:t>
      </w:r>
    </w:p>
    <w:p w14:paraId="04DF807D" w14:textId="77777777" w:rsidR="00727F42" w:rsidRPr="00F17564" w:rsidRDefault="00727F42" w:rsidP="00481A6A">
      <w:pPr>
        <w:numPr>
          <w:ilvl w:val="0"/>
          <w:numId w:val="18"/>
        </w:numPr>
        <w:spacing w:after="120"/>
        <w:ind w:left="357" w:hanging="357"/>
        <w:contextualSpacing/>
        <w:rPr>
          <w:rFonts w:asciiTheme="minorHAnsi" w:hAnsiTheme="minorHAnsi" w:cstheme="minorHAnsi"/>
          <w:b/>
          <w:bCs/>
          <w:szCs w:val="22"/>
          <w:lang w:val="en-GB"/>
        </w:rPr>
      </w:pPr>
      <w:r w:rsidRPr="00F17564">
        <w:rPr>
          <w:rFonts w:asciiTheme="minorHAnsi" w:hAnsiTheme="minorHAnsi" w:cstheme="minorHAnsi"/>
          <w:sz w:val="24"/>
          <w:szCs w:val="22"/>
          <w:lang w:val="en-GB"/>
        </w:rPr>
        <w:t>Age</w:t>
      </w:r>
    </w:p>
    <w:p w14:paraId="0D50FABA" w14:textId="77777777" w:rsidR="008F1E7E" w:rsidRPr="00F17564" w:rsidRDefault="00727F42" w:rsidP="00481A6A">
      <w:pPr>
        <w:numPr>
          <w:ilvl w:val="0"/>
          <w:numId w:val="18"/>
        </w:numPr>
        <w:spacing w:after="120"/>
        <w:ind w:left="357" w:hanging="357"/>
        <w:rPr>
          <w:rFonts w:asciiTheme="minorHAnsi" w:hAnsiTheme="minorHAnsi" w:cstheme="minorHAnsi"/>
          <w:b/>
          <w:bCs/>
          <w:szCs w:val="22"/>
          <w:lang w:val="en-GB"/>
        </w:rPr>
      </w:pPr>
      <w:r w:rsidRPr="00F17564">
        <w:rPr>
          <w:rFonts w:asciiTheme="minorHAnsi" w:hAnsiTheme="minorHAnsi" w:cstheme="minorHAnsi"/>
          <w:sz w:val="24"/>
          <w:szCs w:val="22"/>
          <w:lang w:val="en-GB"/>
        </w:rPr>
        <w:t>Size match</w:t>
      </w:r>
      <w:r w:rsidR="00584536">
        <w:rPr>
          <w:rFonts w:asciiTheme="minorHAnsi" w:hAnsiTheme="minorHAnsi" w:cstheme="minorHAnsi"/>
          <w:sz w:val="24"/>
          <w:szCs w:val="22"/>
          <w:lang w:val="en-GB"/>
        </w:rPr>
        <w:t>.</w:t>
      </w:r>
    </w:p>
    <w:p w14:paraId="76AF77B3" w14:textId="77777777" w:rsidR="009A7CA8" w:rsidRPr="00447661" w:rsidRDefault="00C43CA7" w:rsidP="00447661">
      <w:pPr>
        <w:spacing w:after="120"/>
        <w:rPr>
          <w:rFonts w:asciiTheme="minorHAnsi" w:hAnsiTheme="minorHAnsi" w:cstheme="minorHAnsi"/>
          <w:b/>
          <w:bCs/>
          <w:szCs w:val="24"/>
        </w:rPr>
      </w:pPr>
      <w:r w:rsidRPr="00447661">
        <w:rPr>
          <w:rFonts w:asciiTheme="minorHAnsi" w:hAnsiTheme="minorHAnsi" w:cstheme="minorHAnsi"/>
          <w:sz w:val="24"/>
          <w:szCs w:val="24"/>
        </w:rPr>
        <w:t xml:space="preserve">The process for </w:t>
      </w:r>
      <w:r w:rsidR="008E68F4" w:rsidRPr="00447661">
        <w:rPr>
          <w:rFonts w:asciiTheme="minorHAnsi" w:hAnsiTheme="minorHAnsi" w:cstheme="minorHAnsi"/>
          <w:sz w:val="24"/>
          <w:szCs w:val="24"/>
        </w:rPr>
        <w:t xml:space="preserve">allocating </w:t>
      </w:r>
      <w:r w:rsidRPr="00447661">
        <w:rPr>
          <w:rFonts w:asciiTheme="minorHAnsi" w:hAnsiTheme="minorHAnsi" w:cstheme="minorHAnsi"/>
          <w:sz w:val="24"/>
          <w:szCs w:val="24"/>
        </w:rPr>
        <w:t xml:space="preserve">donor organs with recipients </w:t>
      </w:r>
      <w:r w:rsidR="008E68F4" w:rsidRPr="00447661">
        <w:rPr>
          <w:rFonts w:asciiTheme="minorHAnsi" w:hAnsiTheme="minorHAnsi" w:cstheme="minorHAnsi"/>
          <w:sz w:val="24"/>
          <w:szCs w:val="24"/>
        </w:rPr>
        <w:t xml:space="preserve">is </w:t>
      </w:r>
      <w:r w:rsidR="003D3A51" w:rsidRPr="00447661">
        <w:rPr>
          <w:rFonts w:asciiTheme="minorHAnsi" w:hAnsiTheme="minorHAnsi" w:cstheme="minorHAnsi"/>
          <w:sz w:val="24"/>
          <w:szCs w:val="24"/>
        </w:rPr>
        <w:t xml:space="preserve">undertaken by the </w:t>
      </w:r>
      <w:r w:rsidR="00CB5F84" w:rsidRPr="00447661">
        <w:rPr>
          <w:rFonts w:asciiTheme="minorHAnsi" w:hAnsiTheme="minorHAnsi" w:cstheme="minorHAnsi"/>
          <w:sz w:val="24"/>
          <w:szCs w:val="24"/>
        </w:rPr>
        <w:t xml:space="preserve">tissue typing </w:t>
      </w:r>
      <w:r w:rsidR="003D3A51" w:rsidRPr="00447661">
        <w:rPr>
          <w:rFonts w:asciiTheme="minorHAnsi" w:hAnsiTheme="minorHAnsi" w:cstheme="minorHAnsi"/>
          <w:sz w:val="24"/>
          <w:szCs w:val="24"/>
        </w:rPr>
        <w:t xml:space="preserve">clinicians </w:t>
      </w:r>
      <w:r w:rsidR="00CB5F84" w:rsidRPr="00447661">
        <w:rPr>
          <w:rFonts w:asciiTheme="minorHAnsi" w:hAnsiTheme="minorHAnsi" w:cstheme="minorHAnsi"/>
          <w:sz w:val="24"/>
          <w:szCs w:val="24"/>
        </w:rPr>
        <w:t xml:space="preserve">in collaboration with the clinicians </w:t>
      </w:r>
      <w:r w:rsidR="003D3A51" w:rsidRPr="00447661">
        <w:rPr>
          <w:rFonts w:asciiTheme="minorHAnsi" w:hAnsiTheme="minorHAnsi" w:cstheme="minorHAnsi"/>
          <w:sz w:val="24"/>
          <w:szCs w:val="24"/>
        </w:rPr>
        <w:t>caring for the donor organs and the potential recipient. Based on the information collected from the donor assessment and the potential recipient’s transplant assessment and the tissue typing results, the</w:t>
      </w:r>
      <w:r w:rsidR="00CB5F84" w:rsidRPr="00447661">
        <w:rPr>
          <w:rFonts w:asciiTheme="minorHAnsi" w:hAnsiTheme="minorHAnsi" w:cstheme="minorHAnsi"/>
          <w:sz w:val="24"/>
          <w:szCs w:val="24"/>
        </w:rPr>
        <w:t xml:space="preserve"> </w:t>
      </w:r>
      <w:r w:rsidR="00525ADC" w:rsidRPr="00447661">
        <w:rPr>
          <w:rFonts w:asciiTheme="minorHAnsi" w:hAnsiTheme="minorHAnsi" w:cstheme="minorHAnsi"/>
          <w:sz w:val="24"/>
          <w:szCs w:val="24"/>
        </w:rPr>
        <w:t xml:space="preserve">organ is allocated to the best possible match from the home state first, then best possible match from the urgent listings and then will be allocated to the best possible match according to the </w:t>
      </w:r>
      <w:r w:rsidR="009A7CA8" w:rsidRPr="00447661">
        <w:rPr>
          <w:rFonts w:asciiTheme="minorHAnsi" w:hAnsiTheme="minorHAnsi" w:cstheme="minorHAnsi"/>
          <w:sz w:val="24"/>
          <w:szCs w:val="24"/>
        </w:rPr>
        <w:t xml:space="preserve">state rotation allocation list. </w:t>
      </w:r>
    </w:p>
    <w:p w14:paraId="25002074" w14:textId="79DE1BFB" w:rsidR="0039413F" w:rsidRDefault="009A7CA8" w:rsidP="00447661">
      <w:pPr>
        <w:spacing w:after="120"/>
        <w:rPr>
          <w:rFonts w:asciiTheme="minorHAnsi" w:hAnsiTheme="minorHAnsi" w:cstheme="minorHAnsi"/>
          <w:sz w:val="24"/>
          <w:szCs w:val="24"/>
        </w:rPr>
      </w:pPr>
      <w:r w:rsidRPr="00447661">
        <w:rPr>
          <w:rFonts w:asciiTheme="minorHAnsi" w:hAnsiTheme="minorHAnsi" w:cstheme="minorHAnsi"/>
          <w:sz w:val="24"/>
          <w:szCs w:val="24"/>
        </w:rPr>
        <w:t xml:space="preserve">The state rotation allocation list is </w:t>
      </w:r>
      <w:r w:rsidR="00D5104E">
        <w:rPr>
          <w:rFonts w:asciiTheme="minorHAnsi" w:hAnsiTheme="minorHAnsi" w:cstheme="minorHAnsi"/>
          <w:sz w:val="24"/>
          <w:szCs w:val="24"/>
        </w:rPr>
        <w:t xml:space="preserve">maintained and </w:t>
      </w:r>
      <w:r w:rsidRPr="00447661">
        <w:rPr>
          <w:rFonts w:asciiTheme="minorHAnsi" w:hAnsiTheme="minorHAnsi" w:cstheme="minorHAnsi"/>
          <w:sz w:val="24"/>
          <w:szCs w:val="24"/>
        </w:rPr>
        <w:t xml:space="preserve">governed by the Australasian Transplantation Coordinators Association </w:t>
      </w:r>
      <w:r w:rsidR="006B3FA6" w:rsidRPr="00447661">
        <w:rPr>
          <w:rFonts w:asciiTheme="minorHAnsi" w:hAnsiTheme="minorHAnsi" w:cstheme="minorHAnsi"/>
          <w:sz w:val="24"/>
          <w:szCs w:val="24"/>
        </w:rPr>
        <w:t xml:space="preserve">and is supported by the </w:t>
      </w:r>
      <w:r w:rsidR="007D4798" w:rsidRPr="00447661">
        <w:rPr>
          <w:rFonts w:asciiTheme="minorHAnsi" w:hAnsiTheme="minorHAnsi" w:cstheme="minorHAnsi"/>
          <w:sz w:val="24"/>
          <w:szCs w:val="24"/>
        </w:rPr>
        <w:t>N</w:t>
      </w:r>
      <w:r w:rsidR="008E68F4" w:rsidRPr="00447661">
        <w:rPr>
          <w:rFonts w:asciiTheme="minorHAnsi" w:hAnsiTheme="minorHAnsi" w:cstheme="minorHAnsi"/>
          <w:sz w:val="24"/>
          <w:szCs w:val="24"/>
        </w:rPr>
        <w:t>ational Standard Operating Procedure</w:t>
      </w:r>
      <w:r w:rsidR="00850351" w:rsidRPr="00447661">
        <w:rPr>
          <w:rFonts w:asciiTheme="minorHAnsi" w:hAnsiTheme="minorHAnsi" w:cstheme="minorHAnsi"/>
          <w:sz w:val="24"/>
          <w:szCs w:val="24"/>
        </w:rPr>
        <w:t>s</w:t>
      </w:r>
      <w:r w:rsidR="008E68F4" w:rsidRPr="00447661">
        <w:rPr>
          <w:rFonts w:asciiTheme="minorHAnsi" w:hAnsiTheme="minorHAnsi" w:cstheme="minorHAnsi"/>
          <w:sz w:val="24"/>
          <w:szCs w:val="24"/>
        </w:rPr>
        <w:t xml:space="preserve">: </w:t>
      </w:r>
      <w:r w:rsidR="008E68F4" w:rsidRPr="00447661">
        <w:rPr>
          <w:rFonts w:asciiTheme="minorHAnsi" w:hAnsiTheme="minorHAnsi" w:cstheme="minorHAnsi"/>
          <w:i/>
          <w:sz w:val="24"/>
          <w:szCs w:val="24"/>
        </w:rPr>
        <w:t>Organ Allocation, Organ Rotation, Urgent Listing, Auditing Process</w:t>
      </w:r>
      <w:r w:rsidR="00850351" w:rsidRPr="00447661">
        <w:rPr>
          <w:rFonts w:asciiTheme="minorHAnsi" w:hAnsiTheme="minorHAnsi" w:cstheme="minorHAnsi"/>
          <w:i/>
          <w:sz w:val="24"/>
          <w:szCs w:val="24"/>
        </w:rPr>
        <w:t xml:space="preserve"> (</w:t>
      </w:r>
      <w:r w:rsidR="008E68F4" w:rsidRPr="00447661">
        <w:rPr>
          <w:rFonts w:asciiTheme="minorHAnsi" w:hAnsiTheme="minorHAnsi" w:cstheme="minorHAnsi"/>
          <w:i/>
          <w:sz w:val="24"/>
          <w:szCs w:val="24"/>
        </w:rPr>
        <w:t>Version 2</w:t>
      </w:r>
      <w:r w:rsidR="00850351" w:rsidRPr="00447661">
        <w:rPr>
          <w:rFonts w:asciiTheme="minorHAnsi" w:hAnsiTheme="minorHAnsi" w:cstheme="minorHAnsi"/>
          <w:i/>
          <w:sz w:val="24"/>
          <w:szCs w:val="24"/>
        </w:rPr>
        <w:t>)</w:t>
      </w:r>
      <w:r w:rsidR="008E68F4" w:rsidRPr="00447661">
        <w:rPr>
          <w:rFonts w:asciiTheme="minorHAnsi" w:hAnsiTheme="minorHAnsi" w:cstheme="minorHAnsi"/>
          <w:i/>
          <w:sz w:val="24"/>
          <w:szCs w:val="24"/>
        </w:rPr>
        <w:t xml:space="preserve"> (SOP001/201</w:t>
      </w:r>
      <w:r w:rsidR="00850351" w:rsidRPr="00447661">
        <w:rPr>
          <w:rFonts w:asciiTheme="minorHAnsi" w:hAnsiTheme="minorHAnsi" w:cstheme="minorHAnsi"/>
          <w:i/>
          <w:sz w:val="24"/>
          <w:szCs w:val="24"/>
        </w:rPr>
        <w:t>7</w:t>
      </w:r>
      <w:r w:rsidR="008E68F4" w:rsidRPr="00447661">
        <w:rPr>
          <w:rFonts w:asciiTheme="minorHAnsi" w:hAnsiTheme="minorHAnsi" w:cstheme="minorHAnsi"/>
          <w:i/>
          <w:sz w:val="24"/>
          <w:szCs w:val="24"/>
        </w:rPr>
        <w:t>)</w:t>
      </w:r>
      <w:r w:rsidR="00C43CA7" w:rsidRPr="00447661">
        <w:rPr>
          <w:rFonts w:asciiTheme="minorHAnsi" w:hAnsiTheme="minorHAnsi" w:cstheme="minorHAnsi"/>
          <w:sz w:val="24"/>
          <w:szCs w:val="24"/>
        </w:rPr>
        <w:t>.</w:t>
      </w:r>
      <w:r w:rsidR="008E68F4" w:rsidRPr="0002011E">
        <w:rPr>
          <w:rFonts w:asciiTheme="minorHAnsi" w:hAnsiTheme="minorHAnsi" w:cstheme="minorHAnsi"/>
          <w:sz w:val="18"/>
          <w:szCs w:val="24"/>
          <w:vertAlign w:val="superscript"/>
        </w:rPr>
        <w:footnoteReference w:id="50"/>
      </w:r>
      <w:r w:rsidR="00D5104E">
        <w:rPr>
          <w:sz w:val="24"/>
          <w:szCs w:val="24"/>
        </w:rPr>
        <w:t xml:space="preserve"> </w:t>
      </w:r>
      <w:r w:rsidR="00D5104E" w:rsidRPr="00EF2596">
        <w:rPr>
          <w:rFonts w:asciiTheme="minorHAnsi" w:hAnsiTheme="minorHAnsi" w:cstheme="minorHAnsi"/>
          <w:sz w:val="24"/>
          <w:szCs w:val="24"/>
        </w:rPr>
        <w:t xml:space="preserve">Prior to commencing the allocation process, the allocation list can be obtained from the </w:t>
      </w:r>
      <w:r w:rsidR="00EC4419" w:rsidRPr="00447661">
        <w:rPr>
          <w:rFonts w:asciiTheme="minorHAnsi" w:hAnsiTheme="minorHAnsi" w:cstheme="minorHAnsi"/>
          <w:sz w:val="24"/>
          <w:szCs w:val="24"/>
        </w:rPr>
        <w:t>Australasian Transplantation Coordinators Association</w:t>
      </w:r>
      <w:r w:rsidR="00D5104E" w:rsidRPr="00EF2596">
        <w:rPr>
          <w:rFonts w:asciiTheme="minorHAnsi" w:hAnsiTheme="minorHAnsi" w:cstheme="minorHAnsi"/>
          <w:sz w:val="24"/>
          <w:szCs w:val="24"/>
        </w:rPr>
        <w:t>. The</w:t>
      </w:r>
      <w:r w:rsidR="00412748">
        <w:rPr>
          <w:rFonts w:asciiTheme="minorHAnsi" w:hAnsiTheme="minorHAnsi" w:cstheme="minorHAnsi"/>
          <w:sz w:val="24"/>
          <w:szCs w:val="24"/>
        </w:rPr>
        <w:t xml:space="preserve"> </w:t>
      </w:r>
      <w:r w:rsidR="00412748" w:rsidRPr="00447661">
        <w:rPr>
          <w:rFonts w:asciiTheme="minorHAnsi" w:hAnsiTheme="minorHAnsi" w:cstheme="minorHAnsi"/>
          <w:sz w:val="24"/>
          <w:szCs w:val="24"/>
        </w:rPr>
        <w:t xml:space="preserve">National Standard Operating Procedures: </w:t>
      </w:r>
      <w:r w:rsidR="00412748" w:rsidRPr="00447661">
        <w:rPr>
          <w:rFonts w:asciiTheme="minorHAnsi" w:hAnsiTheme="minorHAnsi" w:cstheme="minorHAnsi"/>
          <w:i/>
          <w:sz w:val="24"/>
          <w:szCs w:val="24"/>
        </w:rPr>
        <w:t>Organ Allocation, Organ Rotation, Urgent Listing, Auditing Process (Version 2) (SOP001/2017)</w:t>
      </w:r>
      <w:r w:rsidR="00412748">
        <w:rPr>
          <w:rFonts w:asciiTheme="minorHAnsi" w:hAnsiTheme="minorHAnsi" w:cstheme="minorHAnsi"/>
          <w:i/>
          <w:sz w:val="24"/>
          <w:szCs w:val="24"/>
        </w:rPr>
        <w:t xml:space="preserve"> </w:t>
      </w:r>
      <w:r w:rsidR="00D5104E" w:rsidRPr="00EF2596">
        <w:rPr>
          <w:rFonts w:asciiTheme="minorHAnsi" w:hAnsiTheme="minorHAnsi" w:cstheme="minorHAnsi"/>
          <w:sz w:val="24"/>
          <w:szCs w:val="24"/>
        </w:rPr>
        <w:t>provide a step</w:t>
      </w:r>
      <w:r w:rsidR="003512DB">
        <w:rPr>
          <w:rFonts w:asciiTheme="minorHAnsi" w:hAnsiTheme="minorHAnsi" w:cstheme="minorHAnsi"/>
          <w:sz w:val="24"/>
          <w:szCs w:val="24"/>
        </w:rPr>
        <w:t>-</w:t>
      </w:r>
      <w:r w:rsidR="00D5104E" w:rsidRPr="00EF2596">
        <w:rPr>
          <w:rFonts w:asciiTheme="minorHAnsi" w:hAnsiTheme="minorHAnsi" w:cstheme="minorHAnsi"/>
          <w:sz w:val="24"/>
          <w:szCs w:val="24"/>
        </w:rPr>
        <w:t>by</w:t>
      </w:r>
      <w:r w:rsidR="003512DB">
        <w:rPr>
          <w:rFonts w:asciiTheme="minorHAnsi" w:hAnsiTheme="minorHAnsi" w:cstheme="minorHAnsi"/>
          <w:sz w:val="24"/>
          <w:szCs w:val="24"/>
        </w:rPr>
        <w:t>-</w:t>
      </w:r>
      <w:r w:rsidR="00D5104E" w:rsidRPr="00EF2596">
        <w:rPr>
          <w:rFonts w:asciiTheme="minorHAnsi" w:hAnsiTheme="minorHAnsi" w:cstheme="minorHAnsi"/>
          <w:sz w:val="24"/>
          <w:szCs w:val="24"/>
        </w:rPr>
        <w:t>step guide for the allocation of heart, lung, liver, pancreas and multiple organs.</w:t>
      </w:r>
      <w:r w:rsidR="0039413F">
        <w:rPr>
          <w:rFonts w:asciiTheme="minorHAnsi" w:hAnsiTheme="minorHAnsi" w:cstheme="minorHAnsi"/>
          <w:sz w:val="24"/>
          <w:szCs w:val="24"/>
        </w:rPr>
        <w:br w:type="page"/>
      </w:r>
    </w:p>
    <w:p w14:paraId="10E9C6A1" w14:textId="77777777" w:rsidR="00B055FD" w:rsidRDefault="00B055FD" w:rsidP="00266A77">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140" w:name="_Toc527380921"/>
      <w:bookmarkStart w:id="141" w:name="_Toc532301685"/>
      <w:bookmarkEnd w:id="140"/>
      <w:r>
        <w:rPr>
          <w:rFonts w:asciiTheme="minorHAnsi" w:hAnsiTheme="minorHAnsi" w:cstheme="minorHAnsi"/>
          <w:iCs/>
          <w:color w:val="7F7F7F" w:themeColor="text1" w:themeTint="80"/>
          <w:sz w:val="36"/>
          <w:szCs w:val="30"/>
        </w:rPr>
        <w:lastRenderedPageBreak/>
        <w:t>Element 4: Organ offer</w:t>
      </w:r>
      <w:bookmarkEnd w:id="141"/>
    </w:p>
    <w:p w14:paraId="7375C2B6" w14:textId="77777777" w:rsidR="00332CAA" w:rsidRDefault="00332CAA" w:rsidP="00332CAA">
      <w:pPr>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This element includes</w:t>
      </w:r>
      <w:r>
        <w:rPr>
          <w:rFonts w:asciiTheme="minorHAnsi" w:hAnsiTheme="minorHAnsi" w:cstheme="minorHAnsi"/>
          <w:sz w:val="24"/>
          <w:szCs w:val="22"/>
          <w:lang w:val="en-GB"/>
        </w:rPr>
        <w:t>:</w:t>
      </w:r>
    </w:p>
    <w:p w14:paraId="07BBB11D" w14:textId="77777777" w:rsidR="00332CAA" w:rsidRDefault="00C56E8D" w:rsidP="00332CAA">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Renal organ offer</w:t>
      </w:r>
    </w:p>
    <w:p w14:paraId="468655B7" w14:textId="77777777" w:rsidR="00332CAA" w:rsidRDefault="00C56E8D" w:rsidP="00332CAA">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Non-renal organ offer</w:t>
      </w:r>
    </w:p>
    <w:p w14:paraId="2A931F74" w14:textId="77777777" w:rsidR="00332CAA" w:rsidRDefault="00C56E8D" w:rsidP="00332CAA">
      <w:pPr>
        <w:widowControl/>
        <w:numPr>
          <w:ilvl w:val="0"/>
          <w:numId w:val="18"/>
        </w:numPr>
        <w:autoSpaceDE/>
        <w:autoSpaceDN/>
        <w:adjustRightInd/>
        <w:spacing w:after="120"/>
        <w:ind w:left="357" w:hanging="357"/>
        <w:rPr>
          <w:rFonts w:asciiTheme="minorHAnsi" w:hAnsiTheme="minorHAnsi" w:cstheme="minorHAnsi"/>
          <w:sz w:val="24"/>
          <w:szCs w:val="22"/>
          <w:lang w:val="en-GB"/>
        </w:rPr>
      </w:pPr>
      <w:r>
        <w:rPr>
          <w:rFonts w:asciiTheme="minorHAnsi" w:hAnsiTheme="minorHAnsi" w:cstheme="minorHAnsi"/>
          <w:sz w:val="24"/>
          <w:szCs w:val="22"/>
          <w:lang w:val="en-GB"/>
        </w:rPr>
        <w:t>Multi-organ offer</w:t>
      </w:r>
      <w:r w:rsidR="00584536">
        <w:rPr>
          <w:rFonts w:asciiTheme="minorHAnsi" w:hAnsiTheme="minorHAnsi" w:cstheme="minorHAnsi"/>
          <w:sz w:val="24"/>
          <w:szCs w:val="22"/>
          <w:lang w:val="en-GB"/>
        </w:rPr>
        <w:t>.</w:t>
      </w:r>
    </w:p>
    <w:p w14:paraId="692A740A" w14:textId="77777777" w:rsidR="008F1E7E" w:rsidRPr="00F17564" w:rsidRDefault="003528E7" w:rsidP="00F17564">
      <w:pPr>
        <w:spacing w:after="120"/>
        <w:rPr>
          <w:rFonts w:asciiTheme="minorHAnsi" w:hAnsiTheme="minorHAnsi" w:cstheme="minorHAnsi"/>
          <w:sz w:val="24"/>
          <w:szCs w:val="24"/>
        </w:rPr>
      </w:pPr>
      <w:r w:rsidRPr="00F17564">
        <w:rPr>
          <w:rFonts w:asciiTheme="minorHAnsi" w:hAnsiTheme="minorHAnsi" w:cstheme="minorHAnsi"/>
          <w:sz w:val="24"/>
          <w:szCs w:val="24"/>
        </w:rPr>
        <w:t xml:space="preserve">Once </w:t>
      </w:r>
      <w:r w:rsidRPr="002051C6">
        <w:rPr>
          <w:rFonts w:asciiTheme="minorHAnsi" w:hAnsiTheme="minorHAnsi" w:cstheme="minorHAnsi"/>
          <w:sz w:val="24"/>
          <w:szCs w:val="24"/>
        </w:rPr>
        <w:t>the allocation process is complete and a suitable match is found, the donated organ is offered to the transplant</w:t>
      </w:r>
      <w:r w:rsidR="002F662D">
        <w:rPr>
          <w:rFonts w:asciiTheme="minorHAnsi" w:hAnsiTheme="minorHAnsi" w:cstheme="minorHAnsi"/>
          <w:sz w:val="24"/>
          <w:szCs w:val="24"/>
        </w:rPr>
        <w:t>ation</w:t>
      </w:r>
      <w:r w:rsidRPr="002051C6">
        <w:rPr>
          <w:rFonts w:asciiTheme="minorHAnsi" w:hAnsiTheme="minorHAnsi" w:cstheme="minorHAnsi"/>
          <w:sz w:val="24"/>
          <w:szCs w:val="24"/>
        </w:rPr>
        <w:t xml:space="preserve"> unit caring for the potential recipient. </w:t>
      </w:r>
      <w:r w:rsidR="008F1E7E" w:rsidRPr="00E36514">
        <w:rPr>
          <w:rFonts w:asciiTheme="minorHAnsi" w:hAnsiTheme="minorHAnsi" w:cstheme="minorHAnsi"/>
          <w:sz w:val="24"/>
          <w:szCs w:val="24"/>
        </w:rPr>
        <w:t>As part of the organ offer process, an initial brief phone call is made to the transplant coordinator. The phone call is followe</w:t>
      </w:r>
      <w:r w:rsidR="008F1E7E" w:rsidRPr="00F17564">
        <w:rPr>
          <w:rFonts w:asciiTheme="minorHAnsi" w:hAnsiTheme="minorHAnsi" w:cstheme="minorHAnsi"/>
          <w:sz w:val="24"/>
          <w:szCs w:val="24"/>
        </w:rPr>
        <w:t xml:space="preserve">d by the provision of de-identified donor information via a pdf format of the Electronic Donor Record (EDR) in a secure email. </w:t>
      </w:r>
    </w:p>
    <w:p w14:paraId="1CB287BD" w14:textId="77777777" w:rsidR="003528E7" w:rsidRPr="00F17564" w:rsidRDefault="008F1E7E" w:rsidP="00F17564">
      <w:pPr>
        <w:spacing w:after="120"/>
        <w:rPr>
          <w:rFonts w:asciiTheme="minorHAnsi" w:hAnsiTheme="minorHAnsi" w:cstheme="minorHAnsi"/>
          <w:sz w:val="24"/>
          <w:szCs w:val="24"/>
        </w:rPr>
      </w:pPr>
      <w:r w:rsidRPr="00F17564">
        <w:rPr>
          <w:rFonts w:asciiTheme="minorHAnsi" w:hAnsiTheme="minorHAnsi" w:cstheme="minorHAnsi"/>
          <w:sz w:val="24"/>
          <w:szCs w:val="24"/>
        </w:rPr>
        <w:t xml:space="preserve">Once the EDR is reviewed </w:t>
      </w:r>
      <w:r w:rsidR="00434228" w:rsidRPr="00F17564">
        <w:rPr>
          <w:rFonts w:asciiTheme="minorHAnsi" w:hAnsiTheme="minorHAnsi" w:cstheme="minorHAnsi"/>
          <w:sz w:val="24"/>
          <w:szCs w:val="24"/>
        </w:rPr>
        <w:t xml:space="preserve">against the potential recipient’s record, additional </w:t>
      </w:r>
      <w:r w:rsidR="003528E7" w:rsidRPr="00F17564">
        <w:rPr>
          <w:rFonts w:asciiTheme="minorHAnsi" w:hAnsiTheme="minorHAnsi" w:cstheme="minorHAnsi"/>
          <w:sz w:val="24"/>
          <w:szCs w:val="24"/>
        </w:rPr>
        <w:t xml:space="preserve">medical suitability testing </w:t>
      </w:r>
      <w:r w:rsidR="00434228" w:rsidRPr="00F17564">
        <w:rPr>
          <w:rFonts w:asciiTheme="minorHAnsi" w:hAnsiTheme="minorHAnsi" w:cstheme="minorHAnsi"/>
          <w:sz w:val="24"/>
          <w:szCs w:val="24"/>
        </w:rPr>
        <w:t xml:space="preserve">may be </w:t>
      </w:r>
      <w:r w:rsidR="003528E7" w:rsidRPr="00F17564">
        <w:rPr>
          <w:rFonts w:asciiTheme="minorHAnsi" w:hAnsiTheme="minorHAnsi" w:cstheme="minorHAnsi"/>
          <w:sz w:val="24"/>
          <w:szCs w:val="24"/>
        </w:rPr>
        <w:t>requ</w:t>
      </w:r>
      <w:r w:rsidR="00434228" w:rsidRPr="00F17564">
        <w:rPr>
          <w:rFonts w:asciiTheme="minorHAnsi" w:hAnsiTheme="minorHAnsi" w:cstheme="minorHAnsi"/>
          <w:sz w:val="24"/>
          <w:szCs w:val="24"/>
        </w:rPr>
        <w:t>ested, particularly for</w:t>
      </w:r>
      <w:r w:rsidR="003528E7" w:rsidRPr="00F17564">
        <w:rPr>
          <w:rFonts w:asciiTheme="minorHAnsi" w:hAnsiTheme="minorHAnsi" w:cstheme="minorHAnsi"/>
          <w:sz w:val="24"/>
          <w:szCs w:val="24"/>
        </w:rPr>
        <w:t xml:space="preserve"> extended use organs, such as those treated for </w:t>
      </w:r>
      <w:r w:rsidR="009E0150">
        <w:rPr>
          <w:rFonts w:asciiTheme="minorHAnsi" w:hAnsiTheme="minorHAnsi" w:cstheme="minorHAnsi"/>
          <w:sz w:val="24"/>
          <w:szCs w:val="24"/>
        </w:rPr>
        <w:t>H</w:t>
      </w:r>
      <w:r w:rsidR="003528E7" w:rsidRPr="00E36514">
        <w:rPr>
          <w:rFonts w:asciiTheme="minorHAnsi" w:hAnsiTheme="minorHAnsi" w:cstheme="minorHAnsi"/>
          <w:sz w:val="24"/>
          <w:szCs w:val="24"/>
        </w:rPr>
        <w:t>epatitis C, organs exposed to multi-resistant bacteria and other factors such as older donors.</w:t>
      </w:r>
    </w:p>
    <w:p w14:paraId="080E2AEA" w14:textId="77777777" w:rsidR="00434228" w:rsidRPr="00E36514" w:rsidRDefault="003528E7" w:rsidP="00F17564">
      <w:pPr>
        <w:spacing w:after="120"/>
        <w:rPr>
          <w:rFonts w:asciiTheme="minorHAnsi" w:hAnsiTheme="minorHAnsi" w:cstheme="minorHAnsi"/>
          <w:sz w:val="24"/>
        </w:rPr>
      </w:pPr>
      <w:r w:rsidRPr="00F17564">
        <w:rPr>
          <w:rFonts w:asciiTheme="minorHAnsi" w:hAnsiTheme="minorHAnsi" w:cstheme="minorHAnsi"/>
          <w:sz w:val="24"/>
          <w:szCs w:val="24"/>
        </w:rPr>
        <w:t>The organ offer process differs for renal and non-renal organs</w:t>
      </w:r>
      <w:r w:rsidR="00434228" w:rsidRPr="00F17564">
        <w:rPr>
          <w:rFonts w:asciiTheme="minorHAnsi" w:hAnsiTheme="minorHAnsi" w:cstheme="minorHAnsi"/>
          <w:sz w:val="24"/>
          <w:szCs w:val="24"/>
        </w:rPr>
        <w:t>. These are explained below</w:t>
      </w:r>
      <w:r w:rsidR="009E0150">
        <w:rPr>
          <w:rFonts w:asciiTheme="minorHAnsi" w:hAnsiTheme="minorHAnsi" w:cstheme="minorHAnsi"/>
          <w:sz w:val="24"/>
          <w:szCs w:val="24"/>
        </w:rPr>
        <w:t>.</w:t>
      </w:r>
    </w:p>
    <w:p w14:paraId="229110E7" w14:textId="77777777" w:rsidR="00434228" w:rsidRPr="00F17564" w:rsidRDefault="00434228" w:rsidP="00F17564">
      <w:pPr>
        <w:pStyle w:val="Heading3"/>
        <w:tabs>
          <w:tab w:val="clear" w:pos="1843"/>
          <w:tab w:val="num" w:pos="1559"/>
        </w:tabs>
        <w:ind w:left="992" w:hanging="992"/>
        <w:rPr>
          <w:rFonts w:asciiTheme="minorHAnsi" w:hAnsiTheme="minorHAnsi" w:cstheme="minorHAnsi"/>
          <w:color w:val="7F7F7F" w:themeColor="text1" w:themeTint="80"/>
          <w:sz w:val="30"/>
          <w:szCs w:val="30"/>
        </w:rPr>
      </w:pPr>
      <w:r w:rsidRPr="00F17564">
        <w:rPr>
          <w:rFonts w:asciiTheme="minorHAnsi" w:hAnsiTheme="minorHAnsi" w:cstheme="minorHAnsi"/>
          <w:b w:val="0"/>
          <w:color w:val="7F7F7F" w:themeColor="text1" w:themeTint="80"/>
          <w:sz w:val="30"/>
          <w:szCs w:val="30"/>
        </w:rPr>
        <w:t xml:space="preserve">Renal </w:t>
      </w:r>
      <w:r w:rsidR="00B71591">
        <w:rPr>
          <w:rFonts w:asciiTheme="minorHAnsi" w:hAnsiTheme="minorHAnsi" w:cstheme="minorHAnsi"/>
          <w:b w:val="0"/>
          <w:color w:val="7F7F7F" w:themeColor="text1" w:themeTint="80"/>
          <w:sz w:val="30"/>
          <w:szCs w:val="30"/>
        </w:rPr>
        <w:t>o</w:t>
      </w:r>
      <w:r w:rsidRPr="00F17564">
        <w:rPr>
          <w:rFonts w:asciiTheme="minorHAnsi" w:hAnsiTheme="minorHAnsi" w:cstheme="minorHAnsi"/>
          <w:b w:val="0"/>
          <w:color w:val="7F7F7F" w:themeColor="text1" w:themeTint="80"/>
          <w:sz w:val="30"/>
          <w:szCs w:val="30"/>
        </w:rPr>
        <w:t xml:space="preserve">rgan </w:t>
      </w:r>
      <w:r w:rsidR="00B71591">
        <w:rPr>
          <w:rFonts w:asciiTheme="minorHAnsi" w:hAnsiTheme="minorHAnsi" w:cstheme="minorHAnsi"/>
          <w:b w:val="0"/>
          <w:color w:val="7F7F7F" w:themeColor="text1" w:themeTint="80"/>
          <w:sz w:val="30"/>
          <w:szCs w:val="30"/>
        </w:rPr>
        <w:t>o</w:t>
      </w:r>
      <w:r w:rsidRPr="00F17564">
        <w:rPr>
          <w:rFonts w:asciiTheme="minorHAnsi" w:hAnsiTheme="minorHAnsi" w:cstheme="minorHAnsi"/>
          <w:b w:val="0"/>
          <w:color w:val="7F7F7F" w:themeColor="text1" w:themeTint="80"/>
          <w:sz w:val="30"/>
          <w:szCs w:val="30"/>
        </w:rPr>
        <w:t>ffer</w:t>
      </w:r>
    </w:p>
    <w:p w14:paraId="324222BE" w14:textId="77777777" w:rsidR="00434228" w:rsidRPr="00434228" w:rsidRDefault="00434228" w:rsidP="00F17564">
      <w:pPr>
        <w:spacing w:after="120"/>
        <w:rPr>
          <w:rFonts w:asciiTheme="minorHAnsi" w:hAnsiTheme="minorHAnsi" w:cstheme="minorHAnsi"/>
          <w:sz w:val="24"/>
          <w:szCs w:val="22"/>
        </w:rPr>
      </w:pPr>
      <w:r w:rsidRPr="00434228">
        <w:rPr>
          <w:rFonts w:asciiTheme="minorHAnsi" w:hAnsiTheme="minorHAnsi" w:cstheme="minorHAnsi"/>
          <w:sz w:val="24"/>
          <w:szCs w:val="22"/>
        </w:rPr>
        <w:t>Renal Organs (kidneys) are offered according to the NOMS list. The NOMS list dictates the offering order of kidneys to transplant</w:t>
      </w:r>
      <w:r w:rsidR="002F662D">
        <w:rPr>
          <w:rFonts w:asciiTheme="minorHAnsi" w:hAnsiTheme="minorHAnsi" w:cstheme="minorHAnsi"/>
          <w:sz w:val="24"/>
          <w:szCs w:val="22"/>
        </w:rPr>
        <w:t>ation</w:t>
      </w:r>
      <w:r w:rsidRPr="00434228">
        <w:rPr>
          <w:rFonts w:asciiTheme="minorHAnsi" w:hAnsiTheme="minorHAnsi" w:cstheme="minorHAnsi"/>
          <w:sz w:val="24"/>
          <w:szCs w:val="22"/>
        </w:rPr>
        <w:t xml:space="preserve"> units, the ranked NOMS list begins with:</w:t>
      </w:r>
    </w:p>
    <w:p w14:paraId="2E3BAF09" w14:textId="77777777" w:rsidR="00434228" w:rsidRPr="00F17564" w:rsidRDefault="00434228" w:rsidP="00481A6A">
      <w:pPr>
        <w:numPr>
          <w:ilvl w:val="0"/>
          <w:numId w:val="18"/>
        </w:numPr>
        <w:spacing w:after="120"/>
        <w:ind w:left="357" w:hanging="357"/>
        <w:contextualSpacing/>
        <w:rPr>
          <w:rFonts w:asciiTheme="minorHAnsi" w:hAnsiTheme="minorHAnsi" w:cstheme="minorHAnsi"/>
          <w:sz w:val="24"/>
          <w:szCs w:val="22"/>
          <w:lang w:val="en-GB"/>
        </w:rPr>
      </w:pPr>
      <w:r w:rsidRPr="00F17564">
        <w:rPr>
          <w:rFonts w:asciiTheme="minorHAnsi" w:hAnsiTheme="minorHAnsi" w:cstheme="minorHAnsi"/>
          <w:sz w:val="24"/>
          <w:szCs w:val="22"/>
          <w:lang w:val="en-GB"/>
        </w:rPr>
        <w:t>National Levels 1 to 3</w:t>
      </w:r>
    </w:p>
    <w:p w14:paraId="42B6C835" w14:textId="77777777" w:rsidR="00434228" w:rsidRPr="00F17564" w:rsidRDefault="00434228" w:rsidP="00481A6A">
      <w:pPr>
        <w:numPr>
          <w:ilvl w:val="0"/>
          <w:numId w:val="18"/>
        </w:numPr>
        <w:spacing w:after="120"/>
        <w:ind w:left="357" w:hanging="357"/>
        <w:contextualSpacing/>
        <w:rPr>
          <w:rFonts w:asciiTheme="minorHAnsi" w:hAnsiTheme="minorHAnsi" w:cstheme="minorHAnsi"/>
          <w:sz w:val="24"/>
          <w:szCs w:val="22"/>
          <w:lang w:val="en-GB"/>
        </w:rPr>
      </w:pPr>
      <w:r w:rsidRPr="00F17564">
        <w:rPr>
          <w:rFonts w:asciiTheme="minorHAnsi" w:hAnsiTheme="minorHAnsi" w:cstheme="minorHAnsi"/>
          <w:sz w:val="24"/>
          <w:szCs w:val="22"/>
          <w:lang w:val="en-GB"/>
        </w:rPr>
        <w:t>Combined transplant</w:t>
      </w:r>
    </w:p>
    <w:p w14:paraId="792B6E38" w14:textId="77777777" w:rsidR="00434228" w:rsidRPr="00F17564" w:rsidRDefault="00434228" w:rsidP="00481A6A">
      <w:pPr>
        <w:numPr>
          <w:ilvl w:val="0"/>
          <w:numId w:val="18"/>
        </w:numPr>
        <w:spacing w:after="120"/>
        <w:ind w:left="357" w:hanging="357"/>
        <w:contextualSpacing/>
        <w:rPr>
          <w:rFonts w:asciiTheme="minorHAnsi" w:hAnsiTheme="minorHAnsi" w:cstheme="minorHAnsi"/>
          <w:sz w:val="24"/>
          <w:szCs w:val="22"/>
          <w:lang w:val="en-GB"/>
        </w:rPr>
      </w:pPr>
      <w:r w:rsidRPr="00F17564">
        <w:rPr>
          <w:rFonts w:asciiTheme="minorHAnsi" w:hAnsiTheme="minorHAnsi" w:cstheme="minorHAnsi"/>
          <w:sz w:val="24"/>
          <w:szCs w:val="22"/>
          <w:lang w:val="en-GB"/>
        </w:rPr>
        <w:t>Urgent</w:t>
      </w:r>
    </w:p>
    <w:p w14:paraId="123059CD" w14:textId="77777777" w:rsidR="00434228" w:rsidRPr="00F17564" w:rsidRDefault="00D934F5" w:rsidP="00481A6A">
      <w:pPr>
        <w:numPr>
          <w:ilvl w:val="0"/>
          <w:numId w:val="18"/>
        </w:numPr>
        <w:spacing w:after="120"/>
        <w:ind w:left="357" w:hanging="357"/>
        <w:contextualSpacing/>
        <w:rPr>
          <w:rFonts w:asciiTheme="minorHAnsi" w:hAnsiTheme="minorHAnsi" w:cstheme="minorHAnsi"/>
          <w:sz w:val="24"/>
          <w:szCs w:val="22"/>
          <w:lang w:val="en-GB"/>
        </w:rPr>
      </w:pPr>
      <w:r w:rsidRPr="005D4F60">
        <w:rPr>
          <w:rFonts w:asciiTheme="minorHAnsi" w:hAnsiTheme="minorHAnsi" w:cstheme="minorHAnsi"/>
          <w:sz w:val="24"/>
          <w:szCs w:val="22"/>
          <w:lang w:val="en-GB"/>
        </w:rPr>
        <w:t>National</w:t>
      </w:r>
      <w:r w:rsidR="00434228" w:rsidRPr="00F17564">
        <w:rPr>
          <w:rFonts w:asciiTheme="minorHAnsi" w:hAnsiTheme="minorHAnsi" w:cstheme="minorHAnsi"/>
          <w:sz w:val="24"/>
          <w:szCs w:val="22"/>
          <w:lang w:val="en-GB"/>
        </w:rPr>
        <w:t xml:space="preserve"> Levels 4 to 6</w:t>
      </w:r>
    </w:p>
    <w:p w14:paraId="63F1BFE6" w14:textId="77777777" w:rsidR="00434228" w:rsidRPr="00F17564" w:rsidRDefault="00434228" w:rsidP="00481A6A">
      <w:pPr>
        <w:numPr>
          <w:ilvl w:val="0"/>
          <w:numId w:val="18"/>
        </w:numPr>
        <w:spacing w:after="120"/>
        <w:ind w:left="357" w:hanging="357"/>
        <w:contextualSpacing/>
        <w:rPr>
          <w:rFonts w:asciiTheme="minorHAnsi" w:hAnsiTheme="minorHAnsi" w:cstheme="minorHAnsi"/>
          <w:sz w:val="24"/>
          <w:szCs w:val="22"/>
          <w:lang w:val="en-GB"/>
        </w:rPr>
      </w:pPr>
      <w:r w:rsidRPr="00F17564">
        <w:rPr>
          <w:rFonts w:asciiTheme="minorHAnsi" w:hAnsiTheme="minorHAnsi" w:cstheme="minorHAnsi"/>
          <w:sz w:val="24"/>
          <w:szCs w:val="22"/>
          <w:lang w:val="en-GB"/>
        </w:rPr>
        <w:t>National payback</w:t>
      </w:r>
    </w:p>
    <w:p w14:paraId="4C5BBDC2" w14:textId="77777777" w:rsidR="00434228" w:rsidRPr="00F17564" w:rsidRDefault="00434228" w:rsidP="00481A6A">
      <w:pPr>
        <w:numPr>
          <w:ilvl w:val="0"/>
          <w:numId w:val="18"/>
        </w:numPr>
        <w:spacing w:after="120"/>
        <w:ind w:left="357" w:hanging="357"/>
        <w:contextualSpacing/>
        <w:rPr>
          <w:rFonts w:asciiTheme="minorHAnsi" w:hAnsiTheme="minorHAnsi" w:cstheme="minorHAnsi"/>
          <w:sz w:val="24"/>
          <w:szCs w:val="22"/>
          <w:lang w:val="en-GB"/>
        </w:rPr>
      </w:pPr>
      <w:r w:rsidRPr="00F17564">
        <w:rPr>
          <w:rFonts w:asciiTheme="minorHAnsi" w:hAnsiTheme="minorHAnsi" w:cstheme="minorHAnsi"/>
          <w:sz w:val="24"/>
          <w:szCs w:val="22"/>
          <w:lang w:val="en-GB"/>
        </w:rPr>
        <w:t>State urgent</w:t>
      </w:r>
    </w:p>
    <w:p w14:paraId="768BA832" w14:textId="77777777" w:rsidR="00434228" w:rsidRPr="00F17564" w:rsidRDefault="00434228" w:rsidP="00481A6A">
      <w:pPr>
        <w:numPr>
          <w:ilvl w:val="0"/>
          <w:numId w:val="18"/>
        </w:numPr>
        <w:spacing w:after="120"/>
        <w:ind w:left="357" w:hanging="357"/>
        <w:contextualSpacing/>
        <w:rPr>
          <w:rFonts w:asciiTheme="minorHAnsi" w:hAnsiTheme="minorHAnsi" w:cstheme="minorHAnsi"/>
          <w:sz w:val="24"/>
          <w:szCs w:val="22"/>
          <w:lang w:val="en-GB"/>
        </w:rPr>
      </w:pPr>
      <w:r w:rsidRPr="00F17564">
        <w:rPr>
          <w:rFonts w:asciiTheme="minorHAnsi" w:hAnsiTheme="minorHAnsi" w:cstheme="minorHAnsi"/>
          <w:sz w:val="24"/>
          <w:szCs w:val="22"/>
          <w:lang w:val="en-GB"/>
        </w:rPr>
        <w:t>State paediatric</w:t>
      </w:r>
    </w:p>
    <w:p w14:paraId="66C07581" w14:textId="77777777" w:rsidR="00434228" w:rsidRPr="00F53E98" w:rsidRDefault="00434228">
      <w:pPr>
        <w:numPr>
          <w:ilvl w:val="0"/>
          <w:numId w:val="18"/>
        </w:numPr>
        <w:spacing w:after="120"/>
        <w:ind w:left="357" w:hanging="357"/>
        <w:contextualSpacing/>
        <w:rPr>
          <w:rFonts w:asciiTheme="minorHAnsi" w:hAnsiTheme="minorHAnsi" w:cstheme="minorHAnsi"/>
          <w:sz w:val="24"/>
          <w:szCs w:val="22"/>
          <w:lang w:val="en-GB"/>
        </w:rPr>
      </w:pPr>
      <w:r w:rsidRPr="00F17564">
        <w:rPr>
          <w:rFonts w:asciiTheme="minorHAnsi" w:hAnsiTheme="minorHAnsi" w:cstheme="minorHAnsi"/>
          <w:sz w:val="24"/>
          <w:szCs w:val="22"/>
          <w:lang w:val="en-GB"/>
        </w:rPr>
        <w:t xml:space="preserve">State </w:t>
      </w:r>
      <w:r w:rsidR="00C56E8D">
        <w:rPr>
          <w:rFonts w:asciiTheme="minorHAnsi" w:hAnsiTheme="minorHAnsi" w:cstheme="minorHAnsi"/>
          <w:sz w:val="24"/>
          <w:szCs w:val="22"/>
          <w:lang w:val="en-GB"/>
        </w:rPr>
        <w:t>human leukocyte antigen matches</w:t>
      </w:r>
      <w:r w:rsidRPr="00F17564">
        <w:rPr>
          <w:rFonts w:asciiTheme="minorHAnsi" w:hAnsiTheme="minorHAnsi" w:cstheme="minorHAnsi"/>
          <w:sz w:val="24"/>
          <w:szCs w:val="22"/>
          <w:lang w:val="en-GB"/>
        </w:rPr>
        <w:t>/</w:t>
      </w:r>
      <w:r w:rsidR="007411D9">
        <w:rPr>
          <w:rFonts w:asciiTheme="minorHAnsi" w:hAnsiTheme="minorHAnsi" w:cstheme="minorHAnsi"/>
          <w:sz w:val="24"/>
          <w:szCs w:val="22"/>
          <w:lang w:val="en-GB"/>
        </w:rPr>
        <w:t>wait</w:t>
      </w:r>
      <w:r w:rsidR="005123E6">
        <w:rPr>
          <w:rFonts w:asciiTheme="minorHAnsi" w:hAnsiTheme="minorHAnsi" w:cstheme="minorHAnsi"/>
          <w:sz w:val="24"/>
          <w:szCs w:val="22"/>
          <w:lang w:val="en-GB"/>
        </w:rPr>
        <w:t>ing</w:t>
      </w:r>
      <w:r w:rsidR="007411D9">
        <w:rPr>
          <w:rFonts w:asciiTheme="minorHAnsi" w:hAnsiTheme="minorHAnsi" w:cstheme="minorHAnsi"/>
          <w:sz w:val="24"/>
          <w:szCs w:val="22"/>
          <w:lang w:val="en-GB"/>
        </w:rPr>
        <w:t xml:space="preserve"> list</w:t>
      </w:r>
    </w:p>
    <w:p w14:paraId="0068D313" w14:textId="77777777" w:rsidR="00327F0F" w:rsidRPr="00B71591" w:rsidRDefault="00434228" w:rsidP="00447661">
      <w:pPr>
        <w:numPr>
          <w:ilvl w:val="0"/>
          <w:numId w:val="18"/>
        </w:numPr>
        <w:spacing w:after="120"/>
        <w:ind w:left="357" w:hanging="357"/>
        <w:rPr>
          <w:rFonts w:asciiTheme="minorHAnsi" w:hAnsiTheme="minorHAnsi" w:cstheme="minorHAnsi"/>
          <w:sz w:val="24"/>
          <w:szCs w:val="22"/>
          <w:lang w:val="en-GB"/>
        </w:rPr>
      </w:pPr>
      <w:r w:rsidRPr="00B71591">
        <w:rPr>
          <w:rFonts w:asciiTheme="minorHAnsi" w:hAnsiTheme="minorHAnsi" w:cstheme="minorHAnsi"/>
          <w:sz w:val="24"/>
          <w:szCs w:val="22"/>
          <w:lang w:val="en-GB"/>
        </w:rPr>
        <w:t>Interstate</w:t>
      </w:r>
    </w:p>
    <w:p w14:paraId="50762105" w14:textId="77777777" w:rsidR="00327F0F" w:rsidRDefault="00327F0F" w:rsidP="00F17564">
      <w:pPr>
        <w:spacing w:after="120"/>
        <w:rPr>
          <w:rFonts w:asciiTheme="minorHAnsi" w:hAnsiTheme="minorHAnsi" w:cstheme="minorHAnsi"/>
          <w:sz w:val="24"/>
          <w:szCs w:val="22"/>
          <w:lang w:val="en-GB"/>
        </w:rPr>
      </w:pPr>
      <w:r>
        <w:rPr>
          <w:rFonts w:asciiTheme="minorHAnsi" w:hAnsiTheme="minorHAnsi" w:cstheme="minorHAnsi"/>
          <w:sz w:val="24"/>
          <w:szCs w:val="22"/>
          <w:lang w:val="en-GB"/>
        </w:rPr>
        <w:t>There are some instances where variation to this process occurs. For example, pre-emptive transplantation is not part of the NOMS algorithm</w:t>
      </w:r>
      <w:r w:rsidR="004C11C3">
        <w:rPr>
          <w:rFonts w:asciiTheme="minorHAnsi" w:hAnsiTheme="minorHAnsi" w:cstheme="minorHAnsi"/>
          <w:sz w:val="24"/>
          <w:szCs w:val="22"/>
          <w:lang w:val="en-GB"/>
        </w:rPr>
        <w:t xml:space="preserve"> and</w:t>
      </w:r>
      <w:r>
        <w:rPr>
          <w:rFonts w:asciiTheme="minorHAnsi" w:hAnsiTheme="minorHAnsi" w:cstheme="minorHAnsi"/>
          <w:sz w:val="24"/>
          <w:szCs w:val="22"/>
          <w:lang w:val="en-GB"/>
        </w:rPr>
        <w:t xml:space="preserve"> represents a process variation that conflicts with the TSANZ guidelines for eligibility for transplant. </w:t>
      </w:r>
    </w:p>
    <w:p w14:paraId="5EDDA198" w14:textId="77777777" w:rsidR="00434228" w:rsidRPr="00434228" w:rsidRDefault="00434228" w:rsidP="00F17564">
      <w:pPr>
        <w:spacing w:after="120"/>
        <w:rPr>
          <w:rFonts w:asciiTheme="minorHAnsi" w:hAnsiTheme="minorHAnsi" w:cstheme="minorHAnsi"/>
          <w:sz w:val="24"/>
          <w:szCs w:val="22"/>
        </w:rPr>
      </w:pPr>
      <w:r w:rsidRPr="00434228">
        <w:rPr>
          <w:rFonts w:asciiTheme="minorHAnsi" w:hAnsiTheme="minorHAnsi" w:cstheme="minorHAnsi"/>
          <w:sz w:val="24"/>
          <w:szCs w:val="22"/>
        </w:rPr>
        <w:t xml:space="preserve">The offering process for renal organs can be very time consuming, as often the kidneys are not accepted in the first few rankings. If rank 1 declines, the offered is then given to rank 2 and so on, until the organ is accepted or it is deemed unnecessary to continue, for example if offer is at rank 20.  </w:t>
      </w:r>
    </w:p>
    <w:p w14:paraId="778D3834" w14:textId="0D800298" w:rsidR="00F85B6A" w:rsidRDefault="00434228" w:rsidP="00F17564">
      <w:pPr>
        <w:spacing w:after="120"/>
        <w:rPr>
          <w:rFonts w:asciiTheme="minorHAnsi" w:hAnsiTheme="minorHAnsi" w:cstheme="minorHAnsi"/>
          <w:sz w:val="24"/>
          <w:szCs w:val="22"/>
        </w:rPr>
      </w:pPr>
      <w:r w:rsidRPr="00434228">
        <w:rPr>
          <w:rFonts w:asciiTheme="minorHAnsi" w:hAnsiTheme="minorHAnsi" w:cstheme="minorHAnsi"/>
          <w:sz w:val="24"/>
          <w:szCs w:val="22"/>
        </w:rPr>
        <w:t>In some jurisdictions, the offering process is slightly altered to improve timeframes. For example, if transplant</w:t>
      </w:r>
      <w:r w:rsidR="002F662D">
        <w:rPr>
          <w:rFonts w:asciiTheme="minorHAnsi" w:hAnsiTheme="minorHAnsi" w:cstheme="minorHAnsi"/>
          <w:sz w:val="24"/>
          <w:szCs w:val="22"/>
        </w:rPr>
        <w:t>ation</w:t>
      </w:r>
      <w:r w:rsidRPr="00434228">
        <w:rPr>
          <w:rFonts w:asciiTheme="minorHAnsi" w:hAnsiTheme="minorHAnsi" w:cstheme="minorHAnsi"/>
          <w:sz w:val="24"/>
          <w:szCs w:val="22"/>
        </w:rPr>
        <w:t xml:space="preserve"> </w:t>
      </w:r>
      <w:r w:rsidR="00A31FD8">
        <w:rPr>
          <w:rFonts w:asciiTheme="minorHAnsi" w:hAnsiTheme="minorHAnsi" w:cstheme="minorHAnsi"/>
          <w:sz w:val="24"/>
          <w:szCs w:val="22"/>
        </w:rPr>
        <w:t>U</w:t>
      </w:r>
      <w:r w:rsidRPr="00434228">
        <w:rPr>
          <w:rFonts w:asciiTheme="minorHAnsi" w:hAnsiTheme="minorHAnsi" w:cstheme="minorHAnsi"/>
          <w:sz w:val="24"/>
          <w:szCs w:val="22"/>
        </w:rPr>
        <w:t xml:space="preserve">nit X have kidney ranks 1, 3, 5 and 9 they will request consideration for all ranked offers in the initial phone call, rather than having to make </w:t>
      </w:r>
      <w:r w:rsidR="00E95BEA">
        <w:rPr>
          <w:rFonts w:asciiTheme="minorHAnsi" w:hAnsiTheme="minorHAnsi" w:cstheme="minorHAnsi"/>
          <w:sz w:val="24"/>
          <w:szCs w:val="22"/>
        </w:rPr>
        <w:t>four</w:t>
      </w:r>
      <w:r w:rsidRPr="00434228">
        <w:rPr>
          <w:rFonts w:asciiTheme="minorHAnsi" w:hAnsiTheme="minorHAnsi" w:cstheme="minorHAnsi"/>
          <w:sz w:val="24"/>
          <w:szCs w:val="22"/>
        </w:rPr>
        <w:t xml:space="preserve"> separate phone calls (concurrent transplant</w:t>
      </w:r>
      <w:r w:rsidR="002F662D">
        <w:rPr>
          <w:rFonts w:asciiTheme="minorHAnsi" w:hAnsiTheme="minorHAnsi" w:cstheme="minorHAnsi"/>
          <w:sz w:val="24"/>
          <w:szCs w:val="22"/>
        </w:rPr>
        <w:t>ation</w:t>
      </w:r>
      <w:r w:rsidRPr="00434228">
        <w:rPr>
          <w:rFonts w:asciiTheme="minorHAnsi" w:hAnsiTheme="minorHAnsi" w:cstheme="minorHAnsi"/>
          <w:sz w:val="24"/>
          <w:szCs w:val="22"/>
        </w:rPr>
        <w:t xml:space="preserve"> unit offers).</w:t>
      </w:r>
    </w:p>
    <w:p w14:paraId="02F03A8B" w14:textId="77777777" w:rsidR="00F85B6A" w:rsidRDefault="00F85B6A">
      <w:pPr>
        <w:widowControl/>
        <w:autoSpaceDE/>
        <w:autoSpaceDN/>
        <w:adjustRightInd/>
        <w:spacing w:after="200" w:line="276" w:lineRule="auto"/>
        <w:rPr>
          <w:rFonts w:asciiTheme="minorHAnsi" w:hAnsiTheme="minorHAnsi" w:cstheme="minorHAnsi"/>
          <w:sz w:val="24"/>
          <w:szCs w:val="22"/>
        </w:rPr>
      </w:pPr>
      <w:r>
        <w:rPr>
          <w:rFonts w:asciiTheme="minorHAnsi" w:hAnsiTheme="minorHAnsi" w:cstheme="minorHAnsi"/>
          <w:sz w:val="24"/>
          <w:szCs w:val="22"/>
        </w:rPr>
        <w:br w:type="page"/>
      </w:r>
    </w:p>
    <w:p w14:paraId="64D3C09A" w14:textId="77777777" w:rsidR="00434228" w:rsidRPr="00F17564" w:rsidRDefault="00434228" w:rsidP="00F17564">
      <w:pPr>
        <w:pStyle w:val="Heading3"/>
        <w:tabs>
          <w:tab w:val="clear" w:pos="1843"/>
          <w:tab w:val="num" w:pos="1559"/>
        </w:tabs>
        <w:ind w:left="992" w:hanging="992"/>
        <w:rPr>
          <w:rFonts w:asciiTheme="minorHAnsi" w:hAnsiTheme="minorHAnsi" w:cstheme="minorHAnsi"/>
          <w:color w:val="7F7F7F" w:themeColor="text1" w:themeTint="80"/>
          <w:sz w:val="30"/>
          <w:szCs w:val="30"/>
        </w:rPr>
      </w:pPr>
      <w:r w:rsidRPr="00F17564">
        <w:rPr>
          <w:rFonts w:asciiTheme="minorHAnsi" w:hAnsiTheme="minorHAnsi" w:cstheme="minorHAnsi"/>
          <w:b w:val="0"/>
          <w:color w:val="7F7F7F" w:themeColor="text1" w:themeTint="80"/>
          <w:sz w:val="30"/>
          <w:szCs w:val="30"/>
        </w:rPr>
        <w:lastRenderedPageBreak/>
        <w:t xml:space="preserve"> Non</w:t>
      </w:r>
      <w:r w:rsidR="00B71591">
        <w:rPr>
          <w:rFonts w:asciiTheme="minorHAnsi" w:hAnsiTheme="minorHAnsi" w:cstheme="minorHAnsi"/>
          <w:b w:val="0"/>
          <w:color w:val="7F7F7F" w:themeColor="text1" w:themeTint="80"/>
          <w:sz w:val="30"/>
          <w:szCs w:val="30"/>
        </w:rPr>
        <w:t>-r</w:t>
      </w:r>
      <w:r w:rsidRPr="00F17564">
        <w:rPr>
          <w:rFonts w:asciiTheme="minorHAnsi" w:hAnsiTheme="minorHAnsi" w:cstheme="minorHAnsi"/>
          <w:b w:val="0"/>
          <w:color w:val="7F7F7F" w:themeColor="text1" w:themeTint="80"/>
          <w:sz w:val="30"/>
          <w:szCs w:val="30"/>
        </w:rPr>
        <w:t xml:space="preserve">enal </w:t>
      </w:r>
      <w:r w:rsidR="00B71591">
        <w:rPr>
          <w:rFonts w:asciiTheme="minorHAnsi" w:hAnsiTheme="minorHAnsi" w:cstheme="minorHAnsi"/>
          <w:b w:val="0"/>
          <w:color w:val="7F7F7F" w:themeColor="text1" w:themeTint="80"/>
          <w:sz w:val="30"/>
          <w:szCs w:val="30"/>
        </w:rPr>
        <w:t>o</w:t>
      </w:r>
      <w:r w:rsidRPr="00F17564">
        <w:rPr>
          <w:rFonts w:asciiTheme="minorHAnsi" w:hAnsiTheme="minorHAnsi" w:cstheme="minorHAnsi"/>
          <w:b w:val="0"/>
          <w:color w:val="7F7F7F" w:themeColor="text1" w:themeTint="80"/>
          <w:sz w:val="30"/>
          <w:szCs w:val="30"/>
        </w:rPr>
        <w:t xml:space="preserve">rgan </w:t>
      </w:r>
      <w:r w:rsidR="00B71591">
        <w:rPr>
          <w:rFonts w:asciiTheme="minorHAnsi" w:hAnsiTheme="minorHAnsi" w:cstheme="minorHAnsi"/>
          <w:b w:val="0"/>
          <w:color w:val="7F7F7F" w:themeColor="text1" w:themeTint="80"/>
          <w:sz w:val="30"/>
          <w:szCs w:val="30"/>
        </w:rPr>
        <w:t>o</w:t>
      </w:r>
      <w:r w:rsidRPr="00F17564">
        <w:rPr>
          <w:rFonts w:asciiTheme="minorHAnsi" w:hAnsiTheme="minorHAnsi" w:cstheme="minorHAnsi"/>
          <w:b w:val="0"/>
          <w:color w:val="7F7F7F" w:themeColor="text1" w:themeTint="80"/>
          <w:sz w:val="30"/>
          <w:szCs w:val="30"/>
        </w:rPr>
        <w:t>ffer</w:t>
      </w:r>
    </w:p>
    <w:p w14:paraId="2A90C790" w14:textId="77777777" w:rsidR="00434228" w:rsidRPr="00434228" w:rsidRDefault="00434228" w:rsidP="00F17564">
      <w:pPr>
        <w:spacing w:after="120"/>
        <w:rPr>
          <w:rFonts w:asciiTheme="minorHAnsi" w:hAnsiTheme="minorHAnsi" w:cstheme="minorHAnsi"/>
          <w:sz w:val="24"/>
          <w:szCs w:val="22"/>
        </w:rPr>
      </w:pPr>
      <w:r w:rsidRPr="00434228">
        <w:rPr>
          <w:rFonts w:asciiTheme="minorHAnsi" w:hAnsiTheme="minorHAnsi" w:cstheme="minorHAnsi"/>
          <w:sz w:val="24"/>
          <w:szCs w:val="22"/>
        </w:rPr>
        <w:t>Non-renal organs (heart, lung, liver, intestine, pancreas and pancreas islets) are offered according to the Clinical</w:t>
      </w:r>
      <w:r w:rsidR="00D934F5">
        <w:rPr>
          <w:rFonts w:asciiTheme="minorHAnsi" w:hAnsiTheme="minorHAnsi" w:cstheme="minorHAnsi"/>
          <w:sz w:val="24"/>
          <w:szCs w:val="22"/>
        </w:rPr>
        <w:t xml:space="preserve"> Guidelines</w:t>
      </w:r>
      <w:r w:rsidR="0057410E">
        <w:rPr>
          <w:rStyle w:val="FootnoteReference"/>
          <w:rFonts w:cstheme="minorHAnsi"/>
        </w:rPr>
        <w:footnoteReference w:id="51"/>
      </w:r>
      <w:r w:rsidR="00D934F5">
        <w:rPr>
          <w:rFonts w:asciiTheme="minorHAnsi" w:hAnsiTheme="minorHAnsi" w:cstheme="minorHAnsi"/>
          <w:sz w:val="24"/>
          <w:szCs w:val="22"/>
        </w:rPr>
        <w:t xml:space="preserve"> and the </w:t>
      </w:r>
      <w:r w:rsidRPr="00F17564">
        <w:rPr>
          <w:rFonts w:asciiTheme="minorHAnsi" w:hAnsiTheme="minorHAnsi" w:cstheme="minorHAnsi"/>
          <w:i/>
          <w:sz w:val="24"/>
          <w:szCs w:val="22"/>
        </w:rPr>
        <w:t>National Standard Operating Procedures – Organ Allocation, Organ Rotation, Urgent Listing, Auditing Process’, Version 2.1 ATCA-TSANZ SOP 001/2017</w:t>
      </w:r>
      <w:r w:rsidR="0057410E">
        <w:rPr>
          <w:rStyle w:val="FootnoteReference"/>
          <w:rFonts w:cstheme="minorHAnsi"/>
          <w:i/>
        </w:rPr>
        <w:footnoteReference w:id="52"/>
      </w:r>
      <w:r w:rsidR="00E95BEA">
        <w:rPr>
          <w:rFonts w:asciiTheme="minorHAnsi" w:hAnsiTheme="minorHAnsi" w:cstheme="minorHAnsi"/>
          <w:sz w:val="24"/>
          <w:szCs w:val="22"/>
        </w:rPr>
        <w:t>:</w:t>
      </w:r>
    </w:p>
    <w:p w14:paraId="0F449D35" w14:textId="77777777" w:rsidR="00434228" w:rsidRPr="00F17564" w:rsidRDefault="00434228" w:rsidP="00481A6A">
      <w:pPr>
        <w:pStyle w:val="ListParagraph"/>
        <w:numPr>
          <w:ilvl w:val="0"/>
          <w:numId w:val="34"/>
        </w:numPr>
        <w:rPr>
          <w:rFonts w:asciiTheme="minorHAnsi" w:hAnsiTheme="minorHAnsi" w:cstheme="minorHAnsi"/>
          <w:sz w:val="24"/>
          <w:szCs w:val="22"/>
        </w:rPr>
      </w:pPr>
      <w:r w:rsidRPr="00F17564">
        <w:rPr>
          <w:rFonts w:asciiTheme="minorHAnsi" w:hAnsiTheme="minorHAnsi" w:cstheme="minorHAnsi"/>
          <w:sz w:val="24"/>
          <w:szCs w:val="22"/>
        </w:rPr>
        <w:t xml:space="preserve">Organs are offered to the home state first unless there is a patient on an Urgent Listing or the home state does not offer relevant </w:t>
      </w:r>
      <w:r w:rsidR="00E634FA">
        <w:rPr>
          <w:rFonts w:asciiTheme="minorHAnsi" w:hAnsiTheme="minorHAnsi" w:cstheme="minorHAnsi"/>
          <w:sz w:val="24"/>
          <w:szCs w:val="22"/>
        </w:rPr>
        <w:t>transplantation services</w:t>
      </w:r>
      <w:r w:rsidRPr="00F17564">
        <w:rPr>
          <w:rFonts w:asciiTheme="minorHAnsi" w:hAnsiTheme="minorHAnsi" w:cstheme="minorHAnsi"/>
          <w:sz w:val="24"/>
          <w:szCs w:val="22"/>
        </w:rPr>
        <w:t xml:space="preserve"> (i</w:t>
      </w:r>
      <w:r w:rsidR="00D934F5" w:rsidRPr="00F17564">
        <w:rPr>
          <w:rFonts w:asciiTheme="minorHAnsi" w:hAnsiTheme="minorHAnsi" w:cstheme="minorHAnsi"/>
          <w:sz w:val="24"/>
          <w:szCs w:val="22"/>
        </w:rPr>
        <w:t>.e. heart and lung transplant).</w:t>
      </w:r>
    </w:p>
    <w:p w14:paraId="564FAF14" w14:textId="77777777" w:rsidR="00434228" w:rsidRPr="00F17564" w:rsidRDefault="00434228" w:rsidP="00481A6A">
      <w:pPr>
        <w:pStyle w:val="ListParagraph"/>
        <w:numPr>
          <w:ilvl w:val="0"/>
          <w:numId w:val="34"/>
        </w:numPr>
        <w:rPr>
          <w:rFonts w:asciiTheme="minorHAnsi" w:hAnsiTheme="minorHAnsi" w:cstheme="minorHAnsi"/>
          <w:sz w:val="24"/>
          <w:szCs w:val="22"/>
        </w:rPr>
      </w:pPr>
      <w:r w:rsidRPr="00F17564">
        <w:rPr>
          <w:rFonts w:asciiTheme="minorHAnsi" w:hAnsiTheme="minorHAnsi" w:cstheme="minorHAnsi"/>
          <w:sz w:val="24"/>
          <w:szCs w:val="22"/>
        </w:rPr>
        <w:t>If the home state declines the offer and the organ is deemed medically suitable to offer on, the organ is offered according to the</w:t>
      </w:r>
      <w:r w:rsidR="00E95BEA">
        <w:rPr>
          <w:rFonts w:asciiTheme="minorHAnsi" w:hAnsiTheme="minorHAnsi" w:cstheme="minorHAnsi"/>
          <w:sz w:val="24"/>
          <w:szCs w:val="22"/>
        </w:rPr>
        <w:t xml:space="preserve"> </w:t>
      </w:r>
      <w:r w:rsidR="00E95BEA" w:rsidRPr="00434228">
        <w:rPr>
          <w:rFonts w:asciiTheme="minorHAnsi" w:hAnsiTheme="minorHAnsi" w:cstheme="minorHAnsi"/>
          <w:sz w:val="24"/>
          <w:szCs w:val="22"/>
        </w:rPr>
        <w:t>Australasian Transplant Coordinators Association</w:t>
      </w:r>
      <w:r w:rsidRPr="00F17564">
        <w:rPr>
          <w:rFonts w:asciiTheme="minorHAnsi" w:hAnsiTheme="minorHAnsi" w:cstheme="minorHAnsi"/>
          <w:sz w:val="24"/>
          <w:szCs w:val="22"/>
        </w:rPr>
        <w:t xml:space="preserve"> </w:t>
      </w:r>
      <w:r w:rsidR="00E95BEA">
        <w:rPr>
          <w:rFonts w:asciiTheme="minorHAnsi" w:hAnsiTheme="minorHAnsi" w:cstheme="minorHAnsi"/>
          <w:sz w:val="24"/>
          <w:szCs w:val="22"/>
        </w:rPr>
        <w:t xml:space="preserve">and </w:t>
      </w:r>
      <w:r w:rsidRPr="00F17564">
        <w:rPr>
          <w:rFonts w:asciiTheme="minorHAnsi" w:hAnsiTheme="minorHAnsi" w:cstheme="minorHAnsi"/>
          <w:sz w:val="24"/>
          <w:szCs w:val="22"/>
        </w:rPr>
        <w:t>TSANZ Organ Allocation Rotation to ensure a fair and equitable distribution.</w:t>
      </w:r>
    </w:p>
    <w:p w14:paraId="49FC6E47" w14:textId="77777777" w:rsidR="00434228" w:rsidRPr="00F17564" w:rsidRDefault="00434228" w:rsidP="00481A6A">
      <w:pPr>
        <w:pStyle w:val="ListParagraph"/>
        <w:numPr>
          <w:ilvl w:val="0"/>
          <w:numId w:val="34"/>
        </w:numPr>
        <w:rPr>
          <w:rFonts w:asciiTheme="minorHAnsi" w:hAnsiTheme="minorHAnsi" w:cstheme="minorHAnsi"/>
          <w:sz w:val="24"/>
          <w:szCs w:val="22"/>
        </w:rPr>
      </w:pPr>
      <w:r w:rsidRPr="00F17564">
        <w:rPr>
          <w:rFonts w:asciiTheme="minorHAnsi" w:hAnsiTheme="minorHAnsi" w:cstheme="minorHAnsi"/>
          <w:sz w:val="24"/>
          <w:szCs w:val="22"/>
        </w:rPr>
        <w:t>The offer is rotated through each jurisdiction as appropriate, in strict turn until either the organ is accepted or all units have declined the offer.</w:t>
      </w:r>
    </w:p>
    <w:p w14:paraId="741F75BA" w14:textId="77777777" w:rsidR="00B4678F" w:rsidRPr="00641CEC" w:rsidRDefault="00434228" w:rsidP="00B4678F">
      <w:pPr>
        <w:pStyle w:val="ListParagraph"/>
        <w:numPr>
          <w:ilvl w:val="0"/>
          <w:numId w:val="34"/>
        </w:numPr>
        <w:spacing w:after="120"/>
        <w:ind w:left="357" w:hanging="357"/>
        <w:rPr>
          <w:rFonts w:asciiTheme="minorHAnsi" w:hAnsiTheme="minorHAnsi" w:cstheme="minorHAnsi"/>
          <w:sz w:val="24"/>
          <w:szCs w:val="22"/>
        </w:rPr>
      </w:pPr>
      <w:r w:rsidRPr="00F17564">
        <w:rPr>
          <w:rFonts w:asciiTheme="minorHAnsi" w:hAnsiTheme="minorHAnsi" w:cstheme="minorHAnsi"/>
          <w:sz w:val="24"/>
          <w:szCs w:val="22"/>
        </w:rPr>
        <w:t xml:space="preserve">If </w:t>
      </w:r>
      <w:r w:rsidR="0057410E">
        <w:rPr>
          <w:rFonts w:asciiTheme="minorHAnsi" w:hAnsiTheme="minorHAnsi" w:cstheme="minorHAnsi"/>
          <w:sz w:val="24"/>
          <w:szCs w:val="22"/>
        </w:rPr>
        <w:t>all</w:t>
      </w:r>
      <w:r w:rsidR="0057410E" w:rsidRPr="00F17564">
        <w:rPr>
          <w:rFonts w:asciiTheme="minorHAnsi" w:hAnsiTheme="minorHAnsi" w:cstheme="minorHAnsi"/>
          <w:sz w:val="24"/>
          <w:szCs w:val="22"/>
        </w:rPr>
        <w:t xml:space="preserve"> </w:t>
      </w:r>
      <w:r w:rsidRPr="00F17564">
        <w:rPr>
          <w:rFonts w:asciiTheme="minorHAnsi" w:hAnsiTheme="minorHAnsi" w:cstheme="minorHAnsi"/>
          <w:sz w:val="24"/>
          <w:szCs w:val="22"/>
        </w:rPr>
        <w:t>transplant</w:t>
      </w:r>
      <w:r w:rsidR="002F662D">
        <w:rPr>
          <w:rFonts w:asciiTheme="minorHAnsi" w:hAnsiTheme="minorHAnsi" w:cstheme="minorHAnsi"/>
          <w:sz w:val="24"/>
          <w:szCs w:val="22"/>
        </w:rPr>
        <w:t>ation</w:t>
      </w:r>
      <w:r w:rsidRPr="00F17564">
        <w:rPr>
          <w:rFonts w:asciiTheme="minorHAnsi" w:hAnsiTheme="minorHAnsi" w:cstheme="minorHAnsi"/>
          <w:sz w:val="24"/>
          <w:szCs w:val="22"/>
        </w:rPr>
        <w:t xml:space="preserve"> units decline the offer, it is then rotated through units with Non-Nationals (citizens of other countries that are not permanent residents of Australia) awaiting transplantation.</w:t>
      </w:r>
    </w:p>
    <w:p w14:paraId="75F45BE6" w14:textId="77777777" w:rsidR="00641CEC" w:rsidRDefault="00117305" w:rsidP="006B12C2">
      <w:pPr>
        <w:spacing w:after="120"/>
        <w:rPr>
          <w:rFonts w:asciiTheme="minorHAnsi" w:hAnsiTheme="minorHAnsi" w:cstheme="minorHAnsi"/>
          <w:sz w:val="24"/>
          <w:szCs w:val="22"/>
        </w:rPr>
      </w:pPr>
      <w:r w:rsidRPr="008B22E8">
        <w:rPr>
          <w:rFonts w:asciiTheme="minorHAnsi" w:hAnsiTheme="minorHAnsi" w:cstheme="minorHAnsi"/>
          <w:sz w:val="24"/>
          <w:szCs w:val="22"/>
        </w:rPr>
        <w:t>The offer process is closely linked with allocation and acceptance and is i</w:t>
      </w:r>
      <w:r w:rsidR="00BA2EBD" w:rsidRPr="008B22E8">
        <w:rPr>
          <w:rFonts w:asciiTheme="minorHAnsi" w:hAnsiTheme="minorHAnsi" w:cstheme="minorHAnsi"/>
          <w:sz w:val="24"/>
          <w:szCs w:val="22"/>
        </w:rPr>
        <w:t>llustrated in</w:t>
      </w:r>
      <w:r w:rsidR="006B12C2">
        <w:rPr>
          <w:rFonts w:asciiTheme="minorHAnsi" w:hAnsiTheme="minorHAnsi" w:cstheme="minorHAnsi"/>
          <w:sz w:val="24"/>
          <w:szCs w:val="22"/>
        </w:rPr>
        <w:t xml:space="preserve"> </w:t>
      </w:r>
      <w:r w:rsidR="006B12C2">
        <w:rPr>
          <w:rFonts w:asciiTheme="minorHAnsi" w:hAnsiTheme="minorHAnsi" w:cstheme="minorHAnsi"/>
          <w:sz w:val="24"/>
          <w:szCs w:val="22"/>
        </w:rPr>
        <w:fldChar w:fldCharType="begin"/>
      </w:r>
      <w:r w:rsidR="006B12C2">
        <w:rPr>
          <w:rFonts w:asciiTheme="minorHAnsi" w:hAnsiTheme="minorHAnsi" w:cstheme="minorHAnsi"/>
          <w:sz w:val="24"/>
          <w:szCs w:val="22"/>
        </w:rPr>
        <w:instrText xml:space="preserve"> REF _Ref531944240 \h  \* MERGEFORMAT </w:instrText>
      </w:r>
      <w:r w:rsidR="006B12C2">
        <w:rPr>
          <w:rFonts w:asciiTheme="minorHAnsi" w:hAnsiTheme="minorHAnsi" w:cstheme="minorHAnsi"/>
          <w:sz w:val="24"/>
          <w:szCs w:val="22"/>
        </w:rPr>
      </w:r>
      <w:r w:rsidR="006B12C2">
        <w:rPr>
          <w:rFonts w:asciiTheme="minorHAnsi" w:hAnsiTheme="minorHAnsi" w:cstheme="minorHAnsi"/>
          <w:sz w:val="24"/>
          <w:szCs w:val="22"/>
        </w:rPr>
        <w:fldChar w:fldCharType="separate"/>
      </w:r>
      <w:r w:rsidR="00A04048" w:rsidRPr="00C75FAB">
        <w:rPr>
          <w:rFonts w:asciiTheme="minorHAnsi" w:hAnsiTheme="minorHAnsi" w:cstheme="minorHAnsi"/>
          <w:sz w:val="24"/>
          <w:szCs w:val="22"/>
        </w:rPr>
        <w:t>Figure 5</w:t>
      </w:r>
      <w:r w:rsidR="006B12C2">
        <w:rPr>
          <w:rFonts w:asciiTheme="minorHAnsi" w:hAnsiTheme="minorHAnsi" w:cstheme="minorHAnsi"/>
          <w:sz w:val="24"/>
          <w:szCs w:val="22"/>
        </w:rPr>
        <w:fldChar w:fldCharType="end"/>
      </w:r>
      <w:r w:rsidRPr="008B22E8">
        <w:rPr>
          <w:rFonts w:asciiTheme="minorHAnsi" w:hAnsiTheme="minorHAnsi" w:cstheme="minorHAnsi"/>
          <w:sz w:val="24"/>
          <w:szCs w:val="22"/>
        </w:rPr>
        <w:t>.</w:t>
      </w:r>
      <w:bookmarkStart w:id="142" w:name="_Ref526964688"/>
    </w:p>
    <w:p w14:paraId="60A432C0" w14:textId="77777777" w:rsidR="00CE3ECE" w:rsidRDefault="001339DB" w:rsidP="00AE3ED1">
      <w:pPr>
        <w:spacing w:after="120"/>
        <w:jc w:val="both"/>
        <w:rPr>
          <w:rFonts w:asciiTheme="minorHAnsi" w:hAnsiTheme="minorHAnsi" w:cstheme="minorHAnsi"/>
          <w:sz w:val="24"/>
          <w:szCs w:val="22"/>
        </w:rPr>
      </w:pPr>
      <w:bookmarkStart w:id="143" w:name="_Ref531944240"/>
      <w:r w:rsidRPr="00B63622">
        <w:rPr>
          <w:noProof/>
          <w:lang w:eastAsia="en-AU"/>
        </w:rPr>
        <w:lastRenderedPageBreak/>
        <w:drawing>
          <wp:anchor distT="0" distB="0" distL="114300" distR="114300" simplePos="0" relativeHeight="251891712" behindDoc="1" locked="0" layoutInCell="1" allowOverlap="1" wp14:anchorId="1DF1DC9A" wp14:editId="1C6CD2AD">
            <wp:simplePos x="0" y="0"/>
            <wp:positionH relativeFrom="margin">
              <wp:posOffset>72390</wp:posOffset>
            </wp:positionH>
            <wp:positionV relativeFrom="paragraph">
              <wp:posOffset>189865</wp:posOffset>
            </wp:positionV>
            <wp:extent cx="5558790" cy="6021705"/>
            <wp:effectExtent l="0" t="0" r="3810" b="0"/>
            <wp:wrapSquare wrapText="bothSides"/>
            <wp:docPr id="28" name="Picture 28" descr="Figure 5 is a flowchart showing the Non-renal offer process.  This process explores a numer of key decision points including: (1) whether an urgent match has been indentified; and (2) whether a home state transplant unit can accept the organ. " title="Non renal offer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8790" cy="602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EBD" w:rsidRPr="00B63622">
        <w:rPr>
          <w:rFonts w:asciiTheme="minorHAnsi" w:hAnsiTheme="minorHAnsi" w:cstheme="minorHAnsi"/>
          <w:color w:val="808080"/>
        </w:rPr>
        <w:t xml:space="preserve">Figure </w:t>
      </w:r>
      <w:r w:rsidR="006624EC" w:rsidRPr="001E17E5">
        <w:rPr>
          <w:rFonts w:asciiTheme="minorHAnsi" w:hAnsiTheme="minorHAnsi" w:cstheme="minorHAnsi"/>
          <w:b/>
          <w:color w:val="808080"/>
        </w:rPr>
        <w:fldChar w:fldCharType="begin"/>
      </w:r>
      <w:r w:rsidR="006624EC" w:rsidRPr="0024640F">
        <w:rPr>
          <w:rFonts w:asciiTheme="minorHAnsi" w:hAnsiTheme="minorHAnsi" w:cstheme="minorHAnsi"/>
          <w:color w:val="808080"/>
        </w:rPr>
        <w:instrText xml:space="preserve"> SEQ Figure \* ARABIC </w:instrText>
      </w:r>
      <w:r w:rsidR="006624EC" w:rsidRPr="001E17E5">
        <w:rPr>
          <w:rFonts w:asciiTheme="minorHAnsi" w:hAnsiTheme="minorHAnsi" w:cstheme="minorHAnsi"/>
          <w:b/>
          <w:color w:val="808080"/>
        </w:rPr>
        <w:fldChar w:fldCharType="separate"/>
      </w:r>
      <w:r w:rsidR="00A04048" w:rsidRPr="0024640F">
        <w:rPr>
          <w:rFonts w:asciiTheme="minorHAnsi" w:hAnsiTheme="minorHAnsi" w:cstheme="minorHAnsi"/>
          <w:noProof/>
          <w:color w:val="808080"/>
        </w:rPr>
        <w:t>5</w:t>
      </w:r>
      <w:r w:rsidR="006624EC" w:rsidRPr="001E17E5">
        <w:rPr>
          <w:rFonts w:asciiTheme="minorHAnsi" w:hAnsiTheme="minorHAnsi" w:cstheme="minorHAnsi"/>
          <w:b/>
          <w:color w:val="808080"/>
        </w:rPr>
        <w:fldChar w:fldCharType="end"/>
      </w:r>
      <w:bookmarkEnd w:id="142"/>
      <w:bookmarkEnd w:id="143"/>
      <w:r w:rsidR="00BA2EBD" w:rsidRPr="00B63622">
        <w:rPr>
          <w:rFonts w:asciiTheme="minorHAnsi" w:hAnsiTheme="minorHAnsi" w:cstheme="minorHAnsi"/>
          <w:color w:val="808080"/>
        </w:rPr>
        <w:t>: Non-renal offer process</w:t>
      </w:r>
    </w:p>
    <w:p w14:paraId="482CB2BB" w14:textId="77777777" w:rsidR="00D934F5" w:rsidRPr="00F17564" w:rsidRDefault="00D934F5" w:rsidP="00F17564">
      <w:pPr>
        <w:spacing w:after="120"/>
        <w:rPr>
          <w:rFonts w:asciiTheme="minorHAnsi" w:hAnsiTheme="minorHAnsi" w:cstheme="minorHAnsi"/>
          <w:sz w:val="24"/>
          <w:szCs w:val="22"/>
        </w:rPr>
      </w:pPr>
      <w:r w:rsidRPr="00F17564">
        <w:rPr>
          <w:rFonts w:asciiTheme="minorHAnsi" w:hAnsiTheme="minorHAnsi" w:cstheme="minorHAnsi"/>
          <w:sz w:val="24"/>
          <w:szCs w:val="22"/>
        </w:rPr>
        <w:t xml:space="preserve">Urgent listings exist for potential heart, liver and lung recipients. When a patient’s survival is estimated to be days or weeks without transplantation, the patient may be placed on the urgent list and the next compatible donor </w:t>
      </w:r>
      <w:r w:rsidR="00C56E8D">
        <w:rPr>
          <w:rFonts w:asciiTheme="minorHAnsi" w:hAnsiTheme="minorHAnsi" w:cstheme="minorHAnsi"/>
          <w:sz w:val="24"/>
          <w:szCs w:val="22"/>
        </w:rPr>
        <w:t>organ</w:t>
      </w:r>
      <w:r w:rsidR="00C56E8D" w:rsidRPr="00F17564">
        <w:rPr>
          <w:rFonts w:asciiTheme="minorHAnsi" w:hAnsiTheme="minorHAnsi" w:cstheme="minorHAnsi"/>
          <w:sz w:val="24"/>
          <w:szCs w:val="22"/>
        </w:rPr>
        <w:t xml:space="preserve"> </w:t>
      </w:r>
      <w:r w:rsidRPr="00F17564">
        <w:rPr>
          <w:rFonts w:asciiTheme="minorHAnsi" w:hAnsiTheme="minorHAnsi" w:cstheme="minorHAnsi"/>
          <w:sz w:val="24"/>
          <w:szCs w:val="22"/>
        </w:rPr>
        <w:t>available from anywhere in Australia or New Zealand will be offered for that patient.</w:t>
      </w:r>
    </w:p>
    <w:p w14:paraId="75D191B6" w14:textId="6CF7C200" w:rsidR="00D934F5" w:rsidRDefault="00434228" w:rsidP="00F17564">
      <w:pPr>
        <w:spacing w:after="120"/>
        <w:rPr>
          <w:rFonts w:asciiTheme="minorHAnsi" w:hAnsiTheme="minorHAnsi" w:cstheme="minorHAnsi"/>
          <w:sz w:val="24"/>
          <w:szCs w:val="22"/>
        </w:rPr>
      </w:pPr>
      <w:r w:rsidRPr="00434228">
        <w:rPr>
          <w:rFonts w:asciiTheme="minorHAnsi" w:hAnsiTheme="minorHAnsi" w:cstheme="minorHAnsi"/>
          <w:sz w:val="24"/>
          <w:szCs w:val="22"/>
        </w:rPr>
        <w:t>Each jurisdiction</w:t>
      </w:r>
      <w:r w:rsidR="00237017">
        <w:rPr>
          <w:rFonts w:asciiTheme="minorHAnsi" w:hAnsiTheme="minorHAnsi" w:cstheme="minorHAnsi"/>
          <w:sz w:val="24"/>
          <w:szCs w:val="22"/>
        </w:rPr>
        <w:t xml:space="preserve"> (except A</w:t>
      </w:r>
      <w:r w:rsidR="006B12C2">
        <w:rPr>
          <w:rFonts w:asciiTheme="minorHAnsi" w:hAnsiTheme="minorHAnsi" w:cstheme="minorHAnsi"/>
          <w:sz w:val="24"/>
          <w:szCs w:val="22"/>
        </w:rPr>
        <w:t xml:space="preserve">ustralian </w:t>
      </w:r>
      <w:r w:rsidR="00237017">
        <w:rPr>
          <w:rFonts w:asciiTheme="minorHAnsi" w:hAnsiTheme="minorHAnsi" w:cstheme="minorHAnsi"/>
          <w:sz w:val="24"/>
          <w:szCs w:val="22"/>
        </w:rPr>
        <w:t>C</w:t>
      </w:r>
      <w:r w:rsidR="006B12C2">
        <w:rPr>
          <w:rFonts w:asciiTheme="minorHAnsi" w:hAnsiTheme="minorHAnsi" w:cstheme="minorHAnsi"/>
          <w:sz w:val="24"/>
          <w:szCs w:val="22"/>
        </w:rPr>
        <w:t>apital Territory</w:t>
      </w:r>
      <w:r w:rsidR="00237017">
        <w:rPr>
          <w:rFonts w:asciiTheme="minorHAnsi" w:hAnsiTheme="minorHAnsi" w:cstheme="minorHAnsi"/>
          <w:sz w:val="24"/>
          <w:szCs w:val="22"/>
        </w:rPr>
        <w:t>)</w:t>
      </w:r>
      <w:r w:rsidRPr="00434228">
        <w:rPr>
          <w:rFonts w:asciiTheme="minorHAnsi" w:hAnsiTheme="minorHAnsi" w:cstheme="minorHAnsi"/>
          <w:sz w:val="24"/>
          <w:szCs w:val="22"/>
        </w:rPr>
        <w:t xml:space="preserve"> has its own non-renal organ allocation rotation which is developed by</w:t>
      </w:r>
      <w:r w:rsidR="00EC4419" w:rsidRPr="00EF2596">
        <w:rPr>
          <w:rFonts w:asciiTheme="minorHAnsi" w:hAnsiTheme="minorHAnsi" w:cstheme="minorHAnsi"/>
          <w:sz w:val="24"/>
          <w:szCs w:val="22"/>
        </w:rPr>
        <w:t xml:space="preserve"> </w:t>
      </w:r>
      <w:r w:rsidR="00824B77">
        <w:rPr>
          <w:rFonts w:asciiTheme="minorHAnsi" w:hAnsiTheme="minorHAnsi" w:cstheme="minorHAnsi"/>
          <w:sz w:val="24"/>
          <w:szCs w:val="22"/>
        </w:rPr>
        <w:t xml:space="preserve">the </w:t>
      </w:r>
      <w:r w:rsidR="00EC4419" w:rsidRPr="00EF2596">
        <w:rPr>
          <w:rFonts w:asciiTheme="minorHAnsi" w:hAnsiTheme="minorHAnsi" w:cstheme="minorHAnsi"/>
          <w:sz w:val="24"/>
          <w:szCs w:val="22"/>
        </w:rPr>
        <w:t>Australasian Transplantation Coordinators Association</w:t>
      </w:r>
      <w:r w:rsidR="00EC4419">
        <w:rPr>
          <w:rFonts w:asciiTheme="minorHAnsi" w:hAnsiTheme="minorHAnsi" w:cstheme="minorHAnsi"/>
          <w:b/>
          <w:color w:val="000000"/>
          <w:sz w:val="18"/>
          <w:szCs w:val="18"/>
          <w:lang w:eastAsia="en-AU"/>
        </w:rPr>
        <w:t xml:space="preserve"> </w:t>
      </w:r>
      <w:r w:rsidR="00E95BEA">
        <w:rPr>
          <w:rFonts w:asciiTheme="minorHAnsi" w:hAnsiTheme="minorHAnsi" w:cstheme="minorHAnsi"/>
          <w:sz w:val="24"/>
          <w:szCs w:val="22"/>
        </w:rPr>
        <w:t>and</w:t>
      </w:r>
      <w:r w:rsidR="00824B77">
        <w:rPr>
          <w:rFonts w:asciiTheme="minorHAnsi" w:hAnsiTheme="minorHAnsi" w:cstheme="minorHAnsi"/>
          <w:sz w:val="24"/>
          <w:szCs w:val="22"/>
        </w:rPr>
        <w:t xml:space="preserve"> the</w:t>
      </w:r>
      <w:r w:rsidR="00E95BEA">
        <w:rPr>
          <w:rFonts w:asciiTheme="minorHAnsi" w:hAnsiTheme="minorHAnsi" w:cstheme="minorHAnsi"/>
          <w:sz w:val="24"/>
          <w:szCs w:val="22"/>
        </w:rPr>
        <w:t xml:space="preserve"> </w:t>
      </w:r>
      <w:r w:rsidRPr="00434228">
        <w:rPr>
          <w:rFonts w:asciiTheme="minorHAnsi" w:hAnsiTheme="minorHAnsi" w:cstheme="minorHAnsi"/>
          <w:sz w:val="24"/>
          <w:szCs w:val="22"/>
        </w:rPr>
        <w:t xml:space="preserve">TSANZ and applied by each jurisdiction. </w:t>
      </w:r>
      <w:r w:rsidR="00824B77">
        <w:rPr>
          <w:rFonts w:asciiTheme="minorHAnsi" w:hAnsiTheme="minorHAnsi" w:cstheme="minorHAnsi"/>
          <w:sz w:val="24"/>
          <w:szCs w:val="22"/>
        </w:rPr>
        <w:t xml:space="preserve">The </w:t>
      </w:r>
      <w:r w:rsidR="00EC4419" w:rsidRPr="0011622A">
        <w:rPr>
          <w:rFonts w:asciiTheme="minorHAnsi" w:hAnsiTheme="minorHAnsi" w:cstheme="minorHAnsi"/>
          <w:sz w:val="24"/>
          <w:szCs w:val="22"/>
        </w:rPr>
        <w:t>Australasian Transplantation Coordinators Association</w:t>
      </w:r>
      <w:r w:rsidR="00EC4419">
        <w:rPr>
          <w:rFonts w:asciiTheme="minorHAnsi" w:hAnsiTheme="minorHAnsi" w:cstheme="minorHAnsi"/>
          <w:sz w:val="24"/>
          <w:szCs w:val="22"/>
        </w:rPr>
        <w:t xml:space="preserve"> </w:t>
      </w:r>
      <w:r w:rsidRPr="00434228">
        <w:rPr>
          <w:rFonts w:asciiTheme="minorHAnsi" w:hAnsiTheme="minorHAnsi" w:cstheme="minorHAnsi"/>
          <w:sz w:val="24"/>
          <w:szCs w:val="22"/>
        </w:rPr>
        <w:t>annually review the allocation</w:t>
      </w:r>
      <w:r w:rsidR="00E95BEA">
        <w:rPr>
          <w:rFonts w:asciiTheme="minorHAnsi" w:hAnsiTheme="minorHAnsi" w:cstheme="minorHAnsi"/>
          <w:sz w:val="24"/>
          <w:szCs w:val="22"/>
        </w:rPr>
        <w:t xml:space="preserve"> and</w:t>
      </w:r>
      <w:r w:rsidRPr="00434228">
        <w:rPr>
          <w:rFonts w:asciiTheme="minorHAnsi" w:hAnsiTheme="minorHAnsi" w:cstheme="minorHAnsi"/>
          <w:sz w:val="24"/>
          <w:szCs w:val="22"/>
        </w:rPr>
        <w:t xml:space="preserve"> rotation processes of the jurisdictions and have found variation in the application of both the rotations </w:t>
      </w:r>
      <w:r w:rsidR="00584536" w:rsidRPr="00434228">
        <w:rPr>
          <w:rFonts w:asciiTheme="minorHAnsi" w:hAnsiTheme="minorHAnsi" w:cstheme="minorHAnsi"/>
          <w:sz w:val="24"/>
          <w:szCs w:val="22"/>
        </w:rPr>
        <w:t xml:space="preserve">and </w:t>
      </w:r>
      <w:r w:rsidR="00824B77">
        <w:rPr>
          <w:rFonts w:asciiTheme="minorHAnsi" w:hAnsiTheme="minorHAnsi" w:cstheme="minorHAnsi"/>
          <w:sz w:val="24"/>
          <w:szCs w:val="22"/>
        </w:rPr>
        <w:t xml:space="preserve">the </w:t>
      </w:r>
      <w:r w:rsidR="00584536" w:rsidRPr="00A465BA">
        <w:rPr>
          <w:rFonts w:asciiTheme="minorHAnsi" w:hAnsiTheme="minorHAnsi" w:cstheme="minorHAnsi"/>
          <w:i/>
          <w:sz w:val="24"/>
          <w:szCs w:val="22"/>
        </w:rPr>
        <w:t>Australasian</w:t>
      </w:r>
      <w:r w:rsidR="00EC4419" w:rsidRPr="00A465BA">
        <w:rPr>
          <w:rFonts w:asciiTheme="minorHAnsi" w:hAnsiTheme="minorHAnsi" w:cstheme="minorHAnsi"/>
          <w:i/>
          <w:sz w:val="24"/>
          <w:szCs w:val="22"/>
        </w:rPr>
        <w:t xml:space="preserve"> Transplantation Coordinators Association </w:t>
      </w:r>
      <w:r w:rsidR="00E95BEA" w:rsidRPr="00A465BA">
        <w:rPr>
          <w:rFonts w:asciiTheme="minorHAnsi" w:hAnsiTheme="minorHAnsi" w:cstheme="minorHAnsi"/>
          <w:i/>
          <w:sz w:val="24"/>
          <w:szCs w:val="22"/>
        </w:rPr>
        <w:t>and</w:t>
      </w:r>
      <w:r w:rsidR="00824B77" w:rsidRPr="00A465BA">
        <w:rPr>
          <w:rFonts w:asciiTheme="minorHAnsi" w:hAnsiTheme="minorHAnsi" w:cstheme="minorHAnsi"/>
          <w:i/>
          <w:sz w:val="24"/>
          <w:szCs w:val="22"/>
        </w:rPr>
        <w:t xml:space="preserve"> the</w:t>
      </w:r>
      <w:r w:rsidR="00E95BEA" w:rsidRPr="00A465BA">
        <w:rPr>
          <w:rFonts w:asciiTheme="minorHAnsi" w:hAnsiTheme="minorHAnsi" w:cstheme="minorHAnsi"/>
          <w:i/>
          <w:sz w:val="24"/>
          <w:szCs w:val="22"/>
        </w:rPr>
        <w:t xml:space="preserve"> </w:t>
      </w:r>
      <w:r w:rsidRPr="00A465BA">
        <w:rPr>
          <w:rFonts w:asciiTheme="minorHAnsi" w:hAnsiTheme="minorHAnsi" w:cstheme="minorHAnsi"/>
          <w:i/>
          <w:sz w:val="24"/>
          <w:szCs w:val="22"/>
        </w:rPr>
        <w:t xml:space="preserve">TSANZ Organ Allocation Rotation </w:t>
      </w:r>
      <w:r w:rsidR="00A465BA" w:rsidRPr="00A465BA">
        <w:rPr>
          <w:rFonts w:asciiTheme="minorHAnsi" w:hAnsiTheme="minorHAnsi" w:cstheme="minorHAnsi"/>
          <w:i/>
          <w:sz w:val="24"/>
          <w:szCs w:val="22"/>
        </w:rPr>
        <w:t>Standard Operating P</w:t>
      </w:r>
      <w:r w:rsidR="007339A0" w:rsidRPr="00A465BA">
        <w:rPr>
          <w:rFonts w:asciiTheme="minorHAnsi" w:hAnsiTheme="minorHAnsi" w:cstheme="minorHAnsi"/>
          <w:i/>
          <w:sz w:val="24"/>
          <w:szCs w:val="22"/>
        </w:rPr>
        <w:t>rocedure</w:t>
      </w:r>
      <w:r w:rsidRPr="00434228">
        <w:rPr>
          <w:rFonts w:asciiTheme="minorHAnsi" w:hAnsiTheme="minorHAnsi" w:cstheme="minorHAnsi"/>
          <w:sz w:val="24"/>
          <w:szCs w:val="22"/>
        </w:rPr>
        <w:t>.</w:t>
      </w:r>
    </w:p>
    <w:p w14:paraId="52CC5594" w14:textId="77777777" w:rsidR="00011755" w:rsidRDefault="00011755" w:rsidP="00F17564">
      <w:pPr>
        <w:pStyle w:val="Heading3"/>
        <w:tabs>
          <w:tab w:val="clear" w:pos="1843"/>
          <w:tab w:val="num" w:pos="1559"/>
        </w:tabs>
        <w:ind w:left="992" w:hanging="992"/>
        <w:rPr>
          <w:rFonts w:asciiTheme="minorHAnsi" w:hAnsiTheme="minorHAnsi" w:cstheme="minorHAnsi"/>
          <w:b w:val="0"/>
          <w:color w:val="7F7F7F" w:themeColor="text1" w:themeTint="80"/>
          <w:sz w:val="30"/>
          <w:szCs w:val="30"/>
        </w:rPr>
      </w:pPr>
      <w:r>
        <w:rPr>
          <w:rFonts w:asciiTheme="minorHAnsi" w:hAnsiTheme="minorHAnsi" w:cstheme="minorHAnsi"/>
          <w:b w:val="0"/>
          <w:color w:val="7F7F7F" w:themeColor="text1" w:themeTint="80"/>
          <w:sz w:val="30"/>
          <w:szCs w:val="30"/>
        </w:rPr>
        <w:br w:type="page"/>
      </w:r>
    </w:p>
    <w:p w14:paraId="03CFF4E6" w14:textId="01B9DFD3" w:rsidR="00D934F5" w:rsidRPr="00F17564" w:rsidRDefault="00D934F5" w:rsidP="00F17564">
      <w:pPr>
        <w:pStyle w:val="Heading3"/>
        <w:tabs>
          <w:tab w:val="clear" w:pos="1843"/>
          <w:tab w:val="num" w:pos="1559"/>
        </w:tabs>
        <w:ind w:left="992" w:hanging="992"/>
        <w:rPr>
          <w:rFonts w:asciiTheme="minorHAnsi" w:hAnsiTheme="minorHAnsi" w:cstheme="minorHAnsi"/>
          <w:color w:val="7F7F7F" w:themeColor="text1" w:themeTint="80"/>
          <w:sz w:val="30"/>
          <w:szCs w:val="30"/>
        </w:rPr>
      </w:pPr>
      <w:r w:rsidRPr="00F17564">
        <w:rPr>
          <w:rFonts w:asciiTheme="minorHAnsi" w:hAnsiTheme="minorHAnsi" w:cstheme="minorHAnsi"/>
          <w:b w:val="0"/>
          <w:color w:val="7F7F7F" w:themeColor="text1" w:themeTint="80"/>
          <w:sz w:val="30"/>
          <w:szCs w:val="30"/>
        </w:rPr>
        <w:lastRenderedPageBreak/>
        <w:t xml:space="preserve">Multi-organ </w:t>
      </w:r>
      <w:r>
        <w:rPr>
          <w:rFonts w:asciiTheme="minorHAnsi" w:hAnsiTheme="minorHAnsi" w:cstheme="minorHAnsi"/>
          <w:b w:val="0"/>
          <w:color w:val="7F7F7F" w:themeColor="text1" w:themeTint="80"/>
          <w:sz w:val="30"/>
          <w:szCs w:val="30"/>
        </w:rPr>
        <w:t>offer</w:t>
      </w:r>
    </w:p>
    <w:p w14:paraId="5BF2BFBE" w14:textId="77777777" w:rsidR="003528E7" w:rsidRDefault="00D934F5" w:rsidP="00F17564">
      <w:pPr>
        <w:rPr>
          <w:rFonts w:asciiTheme="minorHAnsi" w:hAnsiTheme="minorHAnsi" w:cstheme="minorHAnsi"/>
          <w:sz w:val="24"/>
          <w:szCs w:val="22"/>
        </w:rPr>
      </w:pPr>
      <w:r w:rsidRPr="00D934F5">
        <w:rPr>
          <w:rFonts w:asciiTheme="minorHAnsi" w:hAnsiTheme="minorHAnsi" w:cstheme="minorHAnsi"/>
          <w:sz w:val="24"/>
          <w:szCs w:val="22"/>
        </w:rPr>
        <w:t xml:space="preserve">Combined transplant listings </w:t>
      </w:r>
      <w:r w:rsidR="00E95BEA">
        <w:rPr>
          <w:rFonts w:asciiTheme="minorHAnsi" w:hAnsiTheme="minorHAnsi" w:cstheme="minorHAnsi"/>
          <w:sz w:val="24"/>
          <w:szCs w:val="22"/>
        </w:rPr>
        <w:t>(</w:t>
      </w:r>
      <w:r w:rsidRPr="00D934F5">
        <w:rPr>
          <w:rFonts w:asciiTheme="minorHAnsi" w:hAnsiTheme="minorHAnsi" w:cstheme="minorHAnsi"/>
          <w:sz w:val="24"/>
          <w:szCs w:val="22"/>
        </w:rPr>
        <w:t>e.g. liver</w:t>
      </w:r>
      <w:r w:rsidR="00E95BEA">
        <w:rPr>
          <w:rFonts w:asciiTheme="minorHAnsi" w:hAnsiTheme="minorHAnsi" w:cstheme="minorHAnsi"/>
          <w:sz w:val="24"/>
          <w:szCs w:val="22"/>
        </w:rPr>
        <w:t xml:space="preserve"> and </w:t>
      </w:r>
      <w:r w:rsidRPr="00D934F5">
        <w:rPr>
          <w:rFonts w:asciiTheme="minorHAnsi" w:hAnsiTheme="minorHAnsi" w:cstheme="minorHAnsi"/>
          <w:sz w:val="24"/>
          <w:szCs w:val="22"/>
        </w:rPr>
        <w:t>kidney, heart</w:t>
      </w:r>
      <w:r w:rsidR="00E95BEA">
        <w:rPr>
          <w:rFonts w:asciiTheme="minorHAnsi" w:hAnsiTheme="minorHAnsi" w:cstheme="minorHAnsi"/>
          <w:sz w:val="24"/>
          <w:szCs w:val="22"/>
        </w:rPr>
        <w:t xml:space="preserve"> and </w:t>
      </w:r>
      <w:r w:rsidRPr="00D934F5">
        <w:rPr>
          <w:rFonts w:asciiTheme="minorHAnsi" w:hAnsiTheme="minorHAnsi" w:cstheme="minorHAnsi"/>
          <w:sz w:val="24"/>
          <w:szCs w:val="22"/>
        </w:rPr>
        <w:t>kidney</w:t>
      </w:r>
      <w:r w:rsidR="00E95BEA">
        <w:rPr>
          <w:rFonts w:asciiTheme="minorHAnsi" w:hAnsiTheme="minorHAnsi" w:cstheme="minorHAnsi"/>
          <w:sz w:val="24"/>
          <w:szCs w:val="22"/>
        </w:rPr>
        <w:t>)</w:t>
      </w:r>
      <w:r w:rsidRPr="00D934F5">
        <w:rPr>
          <w:rFonts w:asciiTheme="minorHAnsi" w:hAnsiTheme="minorHAnsi" w:cstheme="minorHAnsi"/>
          <w:sz w:val="24"/>
          <w:szCs w:val="22"/>
        </w:rPr>
        <w:t xml:space="preserve"> are required to be formally approved by local jurisdiction transplant committees. Relevant interstate committees and DonateLife Agencies are required to be not</w:t>
      </w:r>
      <w:r>
        <w:rPr>
          <w:rFonts w:asciiTheme="minorHAnsi" w:hAnsiTheme="minorHAnsi" w:cstheme="minorHAnsi"/>
          <w:sz w:val="24"/>
          <w:szCs w:val="22"/>
        </w:rPr>
        <w:t xml:space="preserve">ified formally of the listing. </w:t>
      </w:r>
      <w:r w:rsidRPr="00D934F5">
        <w:rPr>
          <w:rFonts w:asciiTheme="minorHAnsi" w:hAnsiTheme="minorHAnsi" w:cstheme="minorHAnsi"/>
          <w:sz w:val="24"/>
          <w:szCs w:val="22"/>
        </w:rPr>
        <w:t>Organs should not be allocated to recipients for combined transplants prior to completion of this formalised process. The only exception to this is heart</w:t>
      </w:r>
      <w:r w:rsidR="00E95BEA">
        <w:rPr>
          <w:rFonts w:asciiTheme="minorHAnsi" w:hAnsiTheme="minorHAnsi" w:cstheme="minorHAnsi"/>
          <w:sz w:val="24"/>
          <w:szCs w:val="22"/>
        </w:rPr>
        <w:t xml:space="preserve"> and </w:t>
      </w:r>
      <w:r w:rsidRPr="00D934F5">
        <w:rPr>
          <w:rFonts w:asciiTheme="minorHAnsi" w:hAnsiTheme="minorHAnsi" w:cstheme="minorHAnsi"/>
          <w:sz w:val="24"/>
          <w:szCs w:val="22"/>
        </w:rPr>
        <w:t>lung block offers</w:t>
      </w:r>
      <w:r w:rsidR="00E95BEA">
        <w:rPr>
          <w:rFonts w:asciiTheme="minorHAnsi" w:hAnsiTheme="minorHAnsi" w:cstheme="minorHAnsi"/>
          <w:sz w:val="24"/>
          <w:szCs w:val="22"/>
        </w:rPr>
        <w:t>,</w:t>
      </w:r>
      <w:r w:rsidRPr="00D934F5">
        <w:rPr>
          <w:rFonts w:asciiTheme="minorHAnsi" w:hAnsiTheme="minorHAnsi" w:cstheme="minorHAnsi"/>
          <w:sz w:val="24"/>
          <w:szCs w:val="22"/>
        </w:rPr>
        <w:t xml:space="preserve"> and kidney</w:t>
      </w:r>
      <w:r w:rsidR="00E95BEA">
        <w:rPr>
          <w:rFonts w:asciiTheme="minorHAnsi" w:hAnsiTheme="minorHAnsi" w:cstheme="minorHAnsi"/>
          <w:sz w:val="24"/>
          <w:szCs w:val="22"/>
        </w:rPr>
        <w:t xml:space="preserve"> and </w:t>
      </w:r>
      <w:r w:rsidRPr="00D934F5">
        <w:rPr>
          <w:rFonts w:asciiTheme="minorHAnsi" w:hAnsiTheme="minorHAnsi" w:cstheme="minorHAnsi"/>
          <w:sz w:val="24"/>
          <w:szCs w:val="22"/>
        </w:rPr>
        <w:t>pancreas offers</w:t>
      </w:r>
      <w:r>
        <w:rPr>
          <w:rFonts w:asciiTheme="minorHAnsi" w:hAnsiTheme="minorHAnsi" w:cstheme="minorHAnsi"/>
          <w:sz w:val="24"/>
          <w:szCs w:val="22"/>
        </w:rPr>
        <w:t>.</w:t>
      </w:r>
    </w:p>
    <w:p w14:paraId="586D6EA7" w14:textId="77777777" w:rsidR="00C43CA7" w:rsidRPr="00266A77" w:rsidRDefault="001129BE" w:rsidP="00266A77">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144" w:name="_Ref531797809"/>
      <w:bookmarkStart w:id="145" w:name="_Toc532301686"/>
      <w:r>
        <w:rPr>
          <w:rFonts w:asciiTheme="minorHAnsi" w:hAnsiTheme="minorHAnsi" w:cstheme="minorHAnsi"/>
          <w:iCs/>
          <w:color w:val="7F7F7F" w:themeColor="text1" w:themeTint="80"/>
          <w:sz w:val="36"/>
          <w:szCs w:val="30"/>
        </w:rPr>
        <w:t xml:space="preserve">Element 5: </w:t>
      </w:r>
      <w:r w:rsidR="00C43CA7" w:rsidRPr="00266A77">
        <w:rPr>
          <w:rFonts w:asciiTheme="minorHAnsi" w:hAnsiTheme="minorHAnsi" w:cstheme="minorHAnsi"/>
          <w:iCs/>
          <w:color w:val="7F7F7F" w:themeColor="text1" w:themeTint="80"/>
          <w:sz w:val="36"/>
          <w:szCs w:val="30"/>
        </w:rPr>
        <w:t xml:space="preserve">Organ </w:t>
      </w:r>
      <w:r>
        <w:rPr>
          <w:rFonts w:asciiTheme="minorHAnsi" w:hAnsiTheme="minorHAnsi" w:cstheme="minorHAnsi"/>
          <w:iCs/>
          <w:color w:val="7F7F7F" w:themeColor="text1" w:themeTint="80"/>
          <w:sz w:val="36"/>
          <w:szCs w:val="30"/>
        </w:rPr>
        <w:t>a</w:t>
      </w:r>
      <w:r w:rsidR="00C43CA7" w:rsidRPr="00266A77">
        <w:rPr>
          <w:rFonts w:asciiTheme="minorHAnsi" w:hAnsiTheme="minorHAnsi" w:cstheme="minorHAnsi"/>
          <w:iCs/>
          <w:color w:val="7F7F7F" w:themeColor="text1" w:themeTint="80"/>
          <w:sz w:val="36"/>
          <w:szCs w:val="30"/>
        </w:rPr>
        <w:t>cceptance</w:t>
      </w:r>
      <w:bookmarkEnd w:id="144"/>
      <w:bookmarkEnd w:id="145"/>
    </w:p>
    <w:p w14:paraId="793AD3F5" w14:textId="77777777" w:rsidR="00F96E26" w:rsidRPr="00E36514" w:rsidRDefault="00F96E26" w:rsidP="00C43CA7">
      <w:pPr>
        <w:spacing w:after="120"/>
        <w:rPr>
          <w:rFonts w:asciiTheme="minorHAnsi" w:hAnsiTheme="minorHAnsi" w:cstheme="minorHAnsi"/>
          <w:sz w:val="24"/>
          <w:szCs w:val="24"/>
        </w:rPr>
      </w:pPr>
      <w:r w:rsidRPr="00F17564">
        <w:rPr>
          <w:rFonts w:asciiTheme="minorHAnsi" w:hAnsiTheme="minorHAnsi" w:cstheme="minorHAnsi"/>
          <w:sz w:val="24"/>
          <w:szCs w:val="24"/>
        </w:rPr>
        <w:t>For the offer process to be complete, acceptance of the organ</w:t>
      </w:r>
      <w:r w:rsidR="002F662D">
        <w:rPr>
          <w:rFonts w:asciiTheme="minorHAnsi" w:hAnsiTheme="minorHAnsi" w:cstheme="minorHAnsi"/>
          <w:sz w:val="24"/>
          <w:szCs w:val="24"/>
        </w:rPr>
        <w:t xml:space="preserve"> as suitable for transplant</w:t>
      </w:r>
      <w:r w:rsidRPr="00F17564">
        <w:rPr>
          <w:rFonts w:asciiTheme="minorHAnsi" w:hAnsiTheme="minorHAnsi" w:cstheme="minorHAnsi"/>
          <w:sz w:val="24"/>
          <w:szCs w:val="24"/>
        </w:rPr>
        <w:t xml:space="preserve"> into the potential recipient must be completed. This process differs for renal and non-renal organs </w:t>
      </w:r>
      <w:r w:rsidR="00E95BEA">
        <w:rPr>
          <w:rFonts w:asciiTheme="minorHAnsi" w:hAnsiTheme="minorHAnsi" w:cstheme="minorHAnsi"/>
          <w:sz w:val="24"/>
          <w:szCs w:val="24"/>
        </w:rPr>
        <w:t>due to</w:t>
      </w:r>
      <w:r w:rsidRPr="002051C6">
        <w:rPr>
          <w:rFonts w:asciiTheme="minorHAnsi" w:hAnsiTheme="minorHAnsi" w:cstheme="minorHAnsi"/>
          <w:sz w:val="24"/>
          <w:szCs w:val="24"/>
        </w:rPr>
        <w:t xml:space="preserve"> the different allocation processes</w:t>
      </w:r>
      <w:r w:rsidR="00AA607F">
        <w:rPr>
          <w:rFonts w:asciiTheme="minorHAnsi" w:hAnsiTheme="minorHAnsi" w:cstheme="minorHAnsi"/>
          <w:sz w:val="24"/>
          <w:szCs w:val="24"/>
        </w:rPr>
        <w:t>:</w:t>
      </w:r>
    </w:p>
    <w:p w14:paraId="60E24F4B" w14:textId="77777777" w:rsidR="000C3EDB" w:rsidRPr="00447661" w:rsidRDefault="00F96E26" w:rsidP="00447661">
      <w:pPr>
        <w:numPr>
          <w:ilvl w:val="0"/>
          <w:numId w:val="18"/>
        </w:numPr>
        <w:spacing w:after="120"/>
        <w:ind w:left="357" w:hanging="357"/>
        <w:contextualSpacing/>
        <w:rPr>
          <w:rFonts w:asciiTheme="minorHAnsi" w:hAnsiTheme="minorHAnsi" w:cstheme="minorHAnsi"/>
          <w:sz w:val="24"/>
          <w:szCs w:val="22"/>
          <w:lang w:val="en-GB"/>
        </w:rPr>
      </w:pPr>
      <w:r w:rsidRPr="00F17564">
        <w:rPr>
          <w:rFonts w:asciiTheme="minorHAnsi" w:hAnsiTheme="minorHAnsi" w:cstheme="minorHAnsi"/>
          <w:sz w:val="24"/>
          <w:szCs w:val="24"/>
        </w:rPr>
        <w:t xml:space="preserve">For </w:t>
      </w:r>
      <w:r w:rsidRPr="00447661">
        <w:rPr>
          <w:rFonts w:asciiTheme="minorHAnsi" w:hAnsiTheme="minorHAnsi" w:cstheme="minorHAnsi"/>
          <w:sz w:val="24"/>
          <w:szCs w:val="22"/>
          <w:lang w:val="en-GB"/>
        </w:rPr>
        <w:t>non-renal organs</w:t>
      </w:r>
      <w:r w:rsidR="00AA607F">
        <w:rPr>
          <w:rFonts w:asciiTheme="minorHAnsi" w:hAnsiTheme="minorHAnsi" w:cstheme="minorHAnsi"/>
          <w:sz w:val="24"/>
          <w:szCs w:val="22"/>
          <w:lang w:val="en-GB"/>
        </w:rPr>
        <w:t>: T</w:t>
      </w:r>
      <w:r w:rsidRPr="00447661">
        <w:rPr>
          <w:rFonts w:asciiTheme="minorHAnsi" w:hAnsiTheme="minorHAnsi" w:cstheme="minorHAnsi"/>
          <w:sz w:val="24"/>
          <w:szCs w:val="22"/>
          <w:lang w:val="en-GB"/>
        </w:rPr>
        <w:t xml:space="preserve">he </w:t>
      </w:r>
      <w:r w:rsidR="000C3EDB" w:rsidRPr="00447661">
        <w:rPr>
          <w:rFonts w:asciiTheme="minorHAnsi" w:hAnsiTheme="minorHAnsi" w:cstheme="minorHAnsi"/>
          <w:sz w:val="24"/>
          <w:szCs w:val="22"/>
          <w:lang w:val="en-GB"/>
        </w:rPr>
        <w:t>transplant</w:t>
      </w:r>
      <w:r w:rsidR="002F662D">
        <w:rPr>
          <w:rFonts w:asciiTheme="minorHAnsi" w:hAnsiTheme="minorHAnsi" w:cstheme="minorHAnsi"/>
          <w:sz w:val="24"/>
          <w:szCs w:val="22"/>
          <w:lang w:val="en-GB"/>
        </w:rPr>
        <w:t>ation</w:t>
      </w:r>
      <w:r w:rsidR="000C3EDB" w:rsidRPr="00447661">
        <w:rPr>
          <w:rFonts w:asciiTheme="minorHAnsi" w:hAnsiTheme="minorHAnsi" w:cstheme="minorHAnsi"/>
          <w:sz w:val="24"/>
          <w:szCs w:val="22"/>
          <w:lang w:val="en-GB"/>
        </w:rPr>
        <w:t xml:space="preserve"> unit indicate their acceptance to the unit that is offering the organ. The acceptance process often requires additional testing in order to confirm acceptance</w:t>
      </w:r>
      <w:r w:rsidR="005E4C36" w:rsidRPr="00447661">
        <w:rPr>
          <w:rFonts w:asciiTheme="minorHAnsi" w:hAnsiTheme="minorHAnsi" w:cstheme="minorHAnsi"/>
          <w:sz w:val="24"/>
          <w:szCs w:val="22"/>
          <w:lang w:val="en-GB"/>
        </w:rPr>
        <w:t>.</w:t>
      </w:r>
      <w:r w:rsidR="00327F0F" w:rsidRPr="00447661">
        <w:rPr>
          <w:rFonts w:asciiTheme="minorHAnsi" w:hAnsiTheme="minorHAnsi" w:cstheme="minorHAnsi"/>
          <w:sz w:val="24"/>
          <w:szCs w:val="22"/>
          <w:lang w:val="en-GB"/>
        </w:rPr>
        <w:t xml:space="preserve"> Transplant</w:t>
      </w:r>
      <w:r w:rsidR="002F662D">
        <w:rPr>
          <w:rFonts w:asciiTheme="minorHAnsi" w:hAnsiTheme="minorHAnsi" w:cstheme="minorHAnsi"/>
          <w:sz w:val="24"/>
          <w:szCs w:val="22"/>
          <w:lang w:val="en-GB"/>
        </w:rPr>
        <w:t>ation</w:t>
      </w:r>
      <w:r w:rsidR="00327F0F" w:rsidRPr="00447661">
        <w:rPr>
          <w:rFonts w:asciiTheme="minorHAnsi" w:hAnsiTheme="minorHAnsi" w:cstheme="minorHAnsi"/>
          <w:sz w:val="24"/>
          <w:szCs w:val="22"/>
          <w:lang w:val="en-GB"/>
        </w:rPr>
        <w:t xml:space="preserve"> units are allocated </w:t>
      </w:r>
      <w:r w:rsidR="0057410E">
        <w:rPr>
          <w:rFonts w:asciiTheme="minorHAnsi" w:hAnsiTheme="minorHAnsi" w:cstheme="minorHAnsi"/>
          <w:sz w:val="24"/>
          <w:szCs w:val="22"/>
          <w:lang w:val="en-GB"/>
        </w:rPr>
        <w:t>thirty</w:t>
      </w:r>
      <w:r w:rsidR="0057410E" w:rsidRPr="00447661">
        <w:rPr>
          <w:rFonts w:asciiTheme="minorHAnsi" w:hAnsiTheme="minorHAnsi" w:cstheme="minorHAnsi"/>
          <w:sz w:val="24"/>
          <w:szCs w:val="22"/>
          <w:lang w:val="en-GB"/>
        </w:rPr>
        <w:t xml:space="preserve"> </w:t>
      </w:r>
      <w:r w:rsidR="00327F0F" w:rsidRPr="00447661">
        <w:rPr>
          <w:rFonts w:asciiTheme="minorHAnsi" w:hAnsiTheme="minorHAnsi" w:cstheme="minorHAnsi"/>
          <w:sz w:val="24"/>
          <w:szCs w:val="22"/>
          <w:lang w:val="en-GB"/>
        </w:rPr>
        <w:t xml:space="preserve">minutes to either accept or decline an organ offer. </w:t>
      </w:r>
    </w:p>
    <w:p w14:paraId="6508E2A9" w14:textId="77777777" w:rsidR="000C3EDB" w:rsidRPr="00F17564" w:rsidRDefault="000C3EDB" w:rsidP="00447661">
      <w:pPr>
        <w:numPr>
          <w:ilvl w:val="0"/>
          <w:numId w:val="18"/>
        </w:numPr>
        <w:spacing w:after="120"/>
        <w:ind w:left="357" w:hanging="357"/>
        <w:rPr>
          <w:rFonts w:asciiTheme="minorHAnsi" w:hAnsiTheme="minorHAnsi" w:cstheme="minorHAnsi"/>
          <w:sz w:val="24"/>
          <w:szCs w:val="24"/>
        </w:rPr>
      </w:pPr>
      <w:r w:rsidRPr="00447661">
        <w:rPr>
          <w:rFonts w:asciiTheme="minorHAnsi" w:hAnsiTheme="minorHAnsi" w:cstheme="minorHAnsi"/>
          <w:sz w:val="24"/>
          <w:szCs w:val="22"/>
          <w:lang w:val="en-GB"/>
        </w:rPr>
        <w:t>For renal organs</w:t>
      </w:r>
      <w:r w:rsidR="00AA607F">
        <w:rPr>
          <w:rFonts w:asciiTheme="minorHAnsi" w:hAnsiTheme="minorHAnsi" w:cstheme="minorHAnsi"/>
          <w:sz w:val="24"/>
          <w:szCs w:val="22"/>
          <w:lang w:val="en-GB"/>
        </w:rPr>
        <w:t>:</w:t>
      </w:r>
      <w:r w:rsidR="00824B77">
        <w:rPr>
          <w:rFonts w:asciiTheme="minorHAnsi" w:hAnsiTheme="minorHAnsi" w:cstheme="minorHAnsi"/>
          <w:sz w:val="24"/>
          <w:szCs w:val="22"/>
          <w:lang w:val="en-GB"/>
        </w:rPr>
        <w:t xml:space="preserve"> The</w:t>
      </w:r>
      <w:r w:rsidR="00AA607F">
        <w:rPr>
          <w:rFonts w:asciiTheme="minorHAnsi" w:hAnsiTheme="minorHAnsi" w:cstheme="minorHAnsi"/>
          <w:sz w:val="24"/>
          <w:szCs w:val="22"/>
          <w:lang w:val="en-GB"/>
        </w:rPr>
        <w:t xml:space="preserve"> </w:t>
      </w:r>
      <w:r w:rsidRPr="00447661">
        <w:rPr>
          <w:rFonts w:asciiTheme="minorHAnsi" w:hAnsiTheme="minorHAnsi" w:cstheme="minorHAnsi"/>
          <w:sz w:val="24"/>
          <w:szCs w:val="22"/>
          <w:lang w:val="en-GB"/>
        </w:rPr>
        <w:t xml:space="preserve">NOMS means that the </w:t>
      </w:r>
      <w:r w:rsidR="00237017">
        <w:rPr>
          <w:rFonts w:asciiTheme="minorHAnsi" w:hAnsiTheme="minorHAnsi" w:cstheme="minorHAnsi"/>
          <w:sz w:val="24"/>
          <w:szCs w:val="22"/>
          <w:lang w:val="en-GB"/>
        </w:rPr>
        <w:t>kidney allocation list</w:t>
      </w:r>
      <w:r w:rsidR="00237017" w:rsidRPr="00447661">
        <w:rPr>
          <w:rFonts w:asciiTheme="minorHAnsi" w:hAnsiTheme="minorHAnsi" w:cstheme="minorHAnsi"/>
          <w:sz w:val="24"/>
          <w:szCs w:val="22"/>
          <w:lang w:val="en-GB"/>
        </w:rPr>
        <w:t xml:space="preserve"> </w:t>
      </w:r>
      <w:r w:rsidRPr="00447661">
        <w:rPr>
          <w:rFonts w:asciiTheme="minorHAnsi" w:hAnsiTheme="minorHAnsi" w:cstheme="minorHAnsi"/>
          <w:sz w:val="24"/>
          <w:szCs w:val="22"/>
          <w:lang w:val="en-GB"/>
        </w:rPr>
        <w:t>is more straightforward and the transplant</w:t>
      </w:r>
      <w:r w:rsidR="002F662D">
        <w:rPr>
          <w:rFonts w:asciiTheme="minorHAnsi" w:hAnsiTheme="minorHAnsi" w:cstheme="minorHAnsi"/>
          <w:sz w:val="24"/>
          <w:szCs w:val="22"/>
          <w:lang w:val="en-GB"/>
        </w:rPr>
        <w:t>ation</w:t>
      </w:r>
      <w:r w:rsidRPr="00447661">
        <w:rPr>
          <w:rFonts w:asciiTheme="minorHAnsi" w:hAnsiTheme="minorHAnsi" w:cstheme="minorHAnsi"/>
          <w:sz w:val="24"/>
          <w:szCs w:val="22"/>
          <w:lang w:val="en-GB"/>
        </w:rPr>
        <w:t xml:space="preserve"> unit accepts the match</w:t>
      </w:r>
      <w:r w:rsidRPr="00F17564">
        <w:rPr>
          <w:rFonts w:asciiTheme="minorHAnsi" w:hAnsiTheme="minorHAnsi" w:cstheme="minorHAnsi"/>
          <w:sz w:val="24"/>
          <w:szCs w:val="24"/>
        </w:rPr>
        <w:t xml:space="preserve"> based on the information provided through the system.</w:t>
      </w:r>
      <w:r w:rsidR="00327F0F">
        <w:rPr>
          <w:rFonts w:asciiTheme="minorHAnsi" w:hAnsiTheme="minorHAnsi" w:cstheme="minorHAnsi"/>
          <w:sz w:val="24"/>
          <w:szCs w:val="24"/>
        </w:rPr>
        <w:t xml:space="preserve"> Renal transplant</w:t>
      </w:r>
      <w:r w:rsidR="002F662D">
        <w:rPr>
          <w:rFonts w:asciiTheme="minorHAnsi" w:hAnsiTheme="minorHAnsi" w:cstheme="minorHAnsi"/>
          <w:sz w:val="24"/>
          <w:szCs w:val="24"/>
        </w:rPr>
        <w:t>ation</w:t>
      </w:r>
      <w:r w:rsidR="00327F0F">
        <w:rPr>
          <w:rFonts w:asciiTheme="minorHAnsi" w:hAnsiTheme="minorHAnsi" w:cstheme="minorHAnsi"/>
          <w:sz w:val="24"/>
          <w:szCs w:val="24"/>
        </w:rPr>
        <w:t xml:space="preserve"> units are allocated one hour to either accept or decline a kidney offer. </w:t>
      </w:r>
    </w:p>
    <w:p w14:paraId="5F51CA17" w14:textId="29A0B61B" w:rsidR="00347D38" w:rsidRDefault="000C3EDB" w:rsidP="00C75FAB">
      <w:pPr>
        <w:spacing w:after="120"/>
        <w:rPr>
          <w:rFonts w:asciiTheme="minorHAnsi" w:hAnsiTheme="minorHAnsi" w:cstheme="minorHAnsi"/>
          <w:sz w:val="24"/>
          <w:szCs w:val="24"/>
        </w:rPr>
      </w:pPr>
      <w:r w:rsidRPr="00F17564">
        <w:rPr>
          <w:rFonts w:asciiTheme="minorHAnsi" w:hAnsiTheme="minorHAnsi" w:cstheme="minorHAnsi"/>
          <w:sz w:val="24"/>
          <w:szCs w:val="24"/>
        </w:rPr>
        <w:t>Once the organ is accepted by the respective units, consent from the potential recipient is required. Gaining potential recipient consent requires full explanation of the outcomes and potential r</w:t>
      </w:r>
      <w:r w:rsidR="00E15BE1" w:rsidRPr="00F17564">
        <w:rPr>
          <w:rFonts w:asciiTheme="minorHAnsi" w:hAnsiTheme="minorHAnsi" w:cstheme="minorHAnsi"/>
          <w:sz w:val="24"/>
          <w:szCs w:val="24"/>
        </w:rPr>
        <w:t>isks as a result of transplantation.</w:t>
      </w:r>
      <w:r w:rsidR="005E4C36" w:rsidRPr="00F17564">
        <w:rPr>
          <w:rFonts w:asciiTheme="minorHAnsi" w:hAnsiTheme="minorHAnsi" w:cstheme="minorHAnsi"/>
          <w:sz w:val="24"/>
          <w:szCs w:val="24"/>
        </w:rPr>
        <w:t xml:space="preserve"> </w:t>
      </w:r>
      <w:r w:rsidR="006611D7" w:rsidRPr="00F17564">
        <w:rPr>
          <w:rFonts w:asciiTheme="minorHAnsi" w:hAnsiTheme="minorHAnsi" w:cstheme="minorHAnsi"/>
          <w:sz w:val="24"/>
          <w:szCs w:val="24"/>
        </w:rPr>
        <w:t>The decision by potential recipients to accept the offer of an organ is based on their understanding of the risks and benefits as they relate to their individual circumstances. Decision</w:t>
      </w:r>
      <w:r w:rsidR="00E632AF">
        <w:rPr>
          <w:rFonts w:asciiTheme="minorHAnsi" w:hAnsiTheme="minorHAnsi" w:cstheme="minorHAnsi"/>
          <w:sz w:val="24"/>
          <w:szCs w:val="24"/>
        </w:rPr>
        <w:t xml:space="preserve"> </w:t>
      </w:r>
      <w:r w:rsidR="006611D7" w:rsidRPr="00F17564">
        <w:rPr>
          <w:rFonts w:asciiTheme="minorHAnsi" w:hAnsiTheme="minorHAnsi" w:cstheme="minorHAnsi"/>
          <w:sz w:val="24"/>
          <w:szCs w:val="24"/>
        </w:rPr>
        <w:t>making is particularly complex when the organ being offered may have a lower likelihood of providing optimal outcomes. For example, potential recipients who are stable on medical therapy may find the expected outcomes associated with transplantation of such an organ less acceptable than would potential recipients who are advanced in age or extremely unwell who might see this as increasing their survival prospects. Organs that may carry an unacceptable risk for some potential recipients may provide benefit for others.</w:t>
      </w:r>
    </w:p>
    <w:p w14:paraId="242DFA97" w14:textId="4EE8B542" w:rsidR="003224E2" w:rsidRPr="00C75FAB" w:rsidRDefault="00347D38" w:rsidP="00C75FAB">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146" w:name="_Toc532301687"/>
      <w:r>
        <w:rPr>
          <w:rFonts w:asciiTheme="minorHAnsi" w:hAnsiTheme="minorHAnsi" w:cstheme="minorHAnsi"/>
          <w:iCs/>
          <w:color w:val="7F7F7F" w:themeColor="text1" w:themeTint="80"/>
          <w:sz w:val="36"/>
          <w:szCs w:val="30"/>
        </w:rPr>
        <w:t>E</w:t>
      </w:r>
      <w:r w:rsidR="003224E2" w:rsidRPr="00C75FAB">
        <w:rPr>
          <w:rFonts w:asciiTheme="minorHAnsi" w:hAnsiTheme="minorHAnsi" w:cstheme="minorHAnsi"/>
          <w:iCs/>
          <w:color w:val="7F7F7F" w:themeColor="text1" w:themeTint="80"/>
          <w:sz w:val="36"/>
          <w:szCs w:val="30"/>
        </w:rPr>
        <w:t>lement 6: Retrieval</w:t>
      </w:r>
      <w:bookmarkEnd w:id="146"/>
    </w:p>
    <w:p w14:paraId="44376138" w14:textId="127C9821" w:rsidR="00332CAA" w:rsidRDefault="003224E2" w:rsidP="00332CAA">
      <w:pPr>
        <w:spacing w:after="120"/>
        <w:rPr>
          <w:rFonts w:asciiTheme="minorHAnsi" w:hAnsiTheme="minorHAnsi" w:cstheme="minorHAnsi"/>
          <w:sz w:val="24"/>
          <w:szCs w:val="22"/>
          <w:lang w:val="en-GB"/>
        </w:rPr>
      </w:pPr>
      <w:r>
        <w:rPr>
          <w:rFonts w:asciiTheme="minorHAnsi" w:hAnsiTheme="minorHAnsi" w:cstheme="minorHAnsi"/>
          <w:sz w:val="24"/>
          <w:szCs w:val="22"/>
          <w:lang w:val="en-GB"/>
        </w:rPr>
        <w:t>This</w:t>
      </w:r>
      <w:r w:rsidR="00332CAA" w:rsidRPr="00F37D51">
        <w:rPr>
          <w:rFonts w:asciiTheme="minorHAnsi" w:hAnsiTheme="minorHAnsi" w:cstheme="minorHAnsi"/>
          <w:sz w:val="24"/>
          <w:szCs w:val="22"/>
          <w:lang w:val="en-GB"/>
        </w:rPr>
        <w:t xml:space="preserve"> element includes</w:t>
      </w:r>
      <w:r w:rsidR="00332CAA">
        <w:rPr>
          <w:rFonts w:asciiTheme="minorHAnsi" w:hAnsiTheme="minorHAnsi" w:cstheme="minorHAnsi"/>
          <w:sz w:val="24"/>
          <w:szCs w:val="22"/>
          <w:lang w:val="en-GB"/>
        </w:rPr>
        <w:t>:</w:t>
      </w:r>
    </w:p>
    <w:p w14:paraId="1B9979B0" w14:textId="77777777" w:rsidR="00332CAA" w:rsidRDefault="00754558" w:rsidP="00332CAA">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Transportation of retrieval teams</w:t>
      </w:r>
    </w:p>
    <w:p w14:paraId="69DE0E55" w14:textId="77777777" w:rsidR="00332CAA" w:rsidRDefault="00754558" w:rsidP="00332CAA">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Retrieval procedure</w:t>
      </w:r>
    </w:p>
    <w:p w14:paraId="06D8B1F7" w14:textId="77777777" w:rsidR="00754558" w:rsidRDefault="00754558" w:rsidP="00447661">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Organ transportation and packaging arrangements</w:t>
      </w:r>
    </w:p>
    <w:p w14:paraId="42301777" w14:textId="77777777" w:rsidR="00754558" w:rsidRDefault="00754558" w:rsidP="00447661">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 xml:space="preserve">Use of new technology in retrieval </w:t>
      </w:r>
    </w:p>
    <w:p w14:paraId="4A00F5B0" w14:textId="77777777" w:rsidR="00332CAA" w:rsidRPr="00447661" w:rsidRDefault="00754558" w:rsidP="00447661">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Performance of the Australian organ retrieval services</w:t>
      </w:r>
      <w:r w:rsidR="00824B77">
        <w:rPr>
          <w:rFonts w:asciiTheme="minorHAnsi" w:hAnsiTheme="minorHAnsi" w:cstheme="minorHAnsi"/>
          <w:sz w:val="24"/>
          <w:szCs w:val="22"/>
          <w:lang w:val="en-GB"/>
        </w:rPr>
        <w:t>.</w:t>
      </w:r>
    </w:p>
    <w:p w14:paraId="21DE4964" w14:textId="06A5164B" w:rsidR="005E4C36" w:rsidRPr="005E4C36" w:rsidRDefault="005E4C36" w:rsidP="00447661">
      <w:pPr>
        <w:spacing w:before="240" w:after="120"/>
        <w:rPr>
          <w:rFonts w:asciiTheme="minorHAnsi" w:hAnsiTheme="minorHAnsi" w:cstheme="minorHAnsi"/>
          <w:sz w:val="24"/>
          <w:szCs w:val="22"/>
        </w:rPr>
      </w:pPr>
      <w:r w:rsidRPr="005E4C36">
        <w:rPr>
          <w:rFonts w:asciiTheme="minorHAnsi" w:hAnsiTheme="minorHAnsi" w:cstheme="minorHAnsi"/>
          <w:sz w:val="24"/>
          <w:szCs w:val="22"/>
        </w:rPr>
        <w:t xml:space="preserve">The donation specialist coordinator liaises closely with the transplant coordinator in the relevant </w:t>
      </w:r>
      <w:r w:rsidR="00F46C80">
        <w:rPr>
          <w:rFonts w:asciiTheme="minorHAnsi" w:hAnsiTheme="minorHAnsi" w:cstheme="minorHAnsi"/>
          <w:sz w:val="24"/>
          <w:szCs w:val="22"/>
        </w:rPr>
        <w:t>transplantation unit</w:t>
      </w:r>
      <w:r w:rsidRPr="005E4C36">
        <w:rPr>
          <w:rFonts w:asciiTheme="minorHAnsi" w:hAnsiTheme="minorHAnsi" w:cstheme="minorHAnsi"/>
          <w:sz w:val="24"/>
          <w:szCs w:val="22"/>
        </w:rPr>
        <w:t xml:space="preserve"> once an organ has been accepted for transplant</w:t>
      </w:r>
      <w:r w:rsidR="007B7843">
        <w:rPr>
          <w:rFonts w:asciiTheme="minorHAnsi" w:hAnsiTheme="minorHAnsi" w:cstheme="minorHAnsi"/>
          <w:sz w:val="24"/>
          <w:szCs w:val="22"/>
        </w:rPr>
        <w:t>ation</w:t>
      </w:r>
      <w:r w:rsidRPr="005E4C36">
        <w:rPr>
          <w:rFonts w:asciiTheme="minorHAnsi" w:hAnsiTheme="minorHAnsi" w:cstheme="minorHAnsi"/>
          <w:sz w:val="24"/>
          <w:szCs w:val="22"/>
        </w:rPr>
        <w:t xml:space="preserve">. This is </w:t>
      </w:r>
      <w:r w:rsidR="008C0F32">
        <w:rPr>
          <w:rFonts w:asciiTheme="minorHAnsi" w:hAnsiTheme="minorHAnsi" w:cstheme="minorHAnsi"/>
          <w:sz w:val="24"/>
          <w:szCs w:val="22"/>
        </w:rPr>
        <w:t xml:space="preserve">a </w:t>
      </w:r>
      <w:r w:rsidRPr="005E4C36">
        <w:rPr>
          <w:rFonts w:asciiTheme="minorHAnsi" w:hAnsiTheme="minorHAnsi" w:cstheme="minorHAnsi"/>
          <w:sz w:val="24"/>
          <w:szCs w:val="22"/>
        </w:rPr>
        <w:t xml:space="preserve">complex and </w:t>
      </w:r>
      <w:r w:rsidR="00DB2089" w:rsidRPr="005E4C36">
        <w:rPr>
          <w:rFonts w:asciiTheme="minorHAnsi" w:hAnsiTheme="minorHAnsi" w:cstheme="minorHAnsi"/>
          <w:sz w:val="24"/>
          <w:szCs w:val="22"/>
        </w:rPr>
        <w:t>time-consuming</w:t>
      </w:r>
      <w:r w:rsidRPr="005E4C36">
        <w:rPr>
          <w:rFonts w:asciiTheme="minorHAnsi" w:hAnsiTheme="minorHAnsi" w:cstheme="minorHAnsi"/>
          <w:sz w:val="24"/>
          <w:szCs w:val="22"/>
        </w:rPr>
        <w:t xml:space="preserve"> process involving multiple stakeholders to coordinate retrieval and transplant surgeries</w:t>
      </w:r>
      <w:r w:rsidR="008C0F32">
        <w:rPr>
          <w:rFonts w:asciiTheme="minorHAnsi" w:hAnsiTheme="minorHAnsi" w:cstheme="minorHAnsi"/>
          <w:sz w:val="24"/>
          <w:szCs w:val="22"/>
        </w:rPr>
        <w:t xml:space="preserve"> within the required timeframes</w:t>
      </w:r>
      <w:r w:rsidR="00E95BEA">
        <w:rPr>
          <w:rFonts w:asciiTheme="minorHAnsi" w:hAnsiTheme="minorHAnsi" w:cstheme="minorHAnsi"/>
          <w:sz w:val="24"/>
          <w:szCs w:val="22"/>
        </w:rPr>
        <w:t>. There is also the need to</w:t>
      </w:r>
      <w:r w:rsidRPr="005E4C36">
        <w:rPr>
          <w:rFonts w:asciiTheme="minorHAnsi" w:hAnsiTheme="minorHAnsi" w:cstheme="minorHAnsi"/>
          <w:sz w:val="24"/>
          <w:szCs w:val="22"/>
        </w:rPr>
        <w:t xml:space="preserve"> manage a variety of logistical factors including timing to accommodate the donor family’s needs, the availability of operating theatres, and the retrieval team’s availability and travel arrangements.</w:t>
      </w:r>
    </w:p>
    <w:p w14:paraId="67B23CBF" w14:textId="77777777" w:rsidR="0082549E" w:rsidRPr="00F17564" w:rsidRDefault="0082549E" w:rsidP="00F17564">
      <w:pPr>
        <w:pStyle w:val="Heading3"/>
        <w:tabs>
          <w:tab w:val="clear" w:pos="1843"/>
          <w:tab w:val="num" w:pos="1559"/>
        </w:tabs>
        <w:ind w:left="992" w:hanging="992"/>
        <w:rPr>
          <w:rFonts w:asciiTheme="minorHAnsi" w:hAnsiTheme="minorHAnsi" w:cstheme="minorHAnsi"/>
          <w:color w:val="7F7F7F" w:themeColor="text1" w:themeTint="80"/>
          <w:sz w:val="30"/>
          <w:szCs w:val="30"/>
        </w:rPr>
      </w:pPr>
      <w:r w:rsidRPr="00F17564">
        <w:rPr>
          <w:rFonts w:asciiTheme="minorHAnsi" w:hAnsiTheme="minorHAnsi" w:cstheme="minorHAnsi"/>
          <w:b w:val="0"/>
          <w:color w:val="7F7F7F" w:themeColor="text1" w:themeTint="80"/>
          <w:sz w:val="30"/>
          <w:szCs w:val="30"/>
        </w:rPr>
        <w:lastRenderedPageBreak/>
        <w:t>Transport</w:t>
      </w:r>
      <w:r w:rsidR="007B7843">
        <w:rPr>
          <w:rFonts w:asciiTheme="minorHAnsi" w:hAnsiTheme="minorHAnsi" w:cstheme="minorHAnsi"/>
          <w:b w:val="0"/>
          <w:color w:val="7F7F7F" w:themeColor="text1" w:themeTint="80"/>
          <w:sz w:val="30"/>
          <w:szCs w:val="30"/>
        </w:rPr>
        <w:t xml:space="preserve">ation </w:t>
      </w:r>
      <w:r w:rsidRPr="00F17564">
        <w:rPr>
          <w:rFonts w:asciiTheme="minorHAnsi" w:hAnsiTheme="minorHAnsi" w:cstheme="minorHAnsi"/>
          <w:b w:val="0"/>
          <w:color w:val="7F7F7F" w:themeColor="text1" w:themeTint="80"/>
          <w:sz w:val="30"/>
          <w:szCs w:val="30"/>
        </w:rPr>
        <w:t xml:space="preserve">of </w:t>
      </w:r>
      <w:r w:rsidR="00E95BEA">
        <w:rPr>
          <w:rFonts w:asciiTheme="minorHAnsi" w:hAnsiTheme="minorHAnsi" w:cstheme="minorHAnsi"/>
          <w:b w:val="0"/>
          <w:color w:val="7F7F7F" w:themeColor="text1" w:themeTint="80"/>
          <w:sz w:val="30"/>
          <w:szCs w:val="30"/>
        </w:rPr>
        <w:t>r</w:t>
      </w:r>
      <w:r w:rsidRPr="00F17564">
        <w:rPr>
          <w:rFonts w:asciiTheme="minorHAnsi" w:hAnsiTheme="minorHAnsi" w:cstheme="minorHAnsi"/>
          <w:b w:val="0"/>
          <w:color w:val="7F7F7F" w:themeColor="text1" w:themeTint="80"/>
          <w:sz w:val="30"/>
          <w:szCs w:val="30"/>
        </w:rPr>
        <w:t xml:space="preserve">etrieval </w:t>
      </w:r>
      <w:r w:rsidR="00E95BEA">
        <w:rPr>
          <w:rFonts w:asciiTheme="minorHAnsi" w:hAnsiTheme="minorHAnsi" w:cstheme="minorHAnsi"/>
          <w:b w:val="0"/>
          <w:color w:val="7F7F7F" w:themeColor="text1" w:themeTint="80"/>
          <w:sz w:val="30"/>
          <w:szCs w:val="30"/>
        </w:rPr>
        <w:t>t</w:t>
      </w:r>
      <w:r w:rsidRPr="00F17564">
        <w:rPr>
          <w:rFonts w:asciiTheme="minorHAnsi" w:hAnsiTheme="minorHAnsi" w:cstheme="minorHAnsi"/>
          <w:b w:val="0"/>
          <w:color w:val="7F7F7F" w:themeColor="text1" w:themeTint="80"/>
          <w:sz w:val="30"/>
          <w:szCs w:val="30"/>
        </w:rPr>
        <w:t xml:space="preserve">eams </w:t>
      </w:r>
    </w:p>
    <w:p w14:paraId="3BD146CD" w14:textId="77777777" w:rsidR="0082549E" w:rsidRPr="0082549E" w:rsidRDefault="0082549E" w:rsidP="0082549E">
      <w:pPr>
        <w:spacing w:after="120"/>
        <w:rPr>
          <w:rFonts w:asciiTheme="minorHAnsi" w:hAnsiTheme="minorHAnsi" w:cstheme="minorHAnsi"/>
          <w:sz w:val="24"/>
          <w:szCs w:val="22"/>
        </w:rPr>
      </w:pPr>
      <w:r w:rsidRPr="0082549E">
        <w:rPr>
          <w:rFonts w:asciiTheme="minorHAnsi" w:hAnsiTheme="minorHAnsi" w:cstheme="minorHAnsi"/>
          <w:sz w:val="24"/>
          <w:szCs w:val="22"/>
        </w:rPr>
        <w:t xml:space="preserve">There is jurisdictional variance in the use of transport networks for the mobilisation of organ retrieval teams. In some jurisdictions the </w:t>
      </w:r>
      <w:r w:rsidR="00F46C80">
        <w:rPr>
          <w:rFonts w:asciiTheme="minorHAnsi" w:hAnsiTheme="minorHAnsi" w:cstheme="minorHAnsi"/>
          <w:sz w:val="24"/>
          <w:szCs w:val="22"/>
        </w:rPr>
        <w:t>transplantation unit</w:t>
      </w:r>
      <w:r w:rsidRPr="0082549E">
        <w:rPr>
          <w:rFonts w:asciiTheme="minorHAnsi" w:hAnsiTheme="minorHAnsi" w:cstheme="minorHAnsi"/>
          <w:sz w:val="24"/>
          <w:szCs w:val="22"/>
        </w:rPr>
        <w:t xml:space="preserve">s which provide the retrieval team organise retrieval team travel, while others rely on their respective DonateLife agency. </w:t>
      </w:r>
    </w:p>
    <w:p w14:paraId="6695F106" w14:textId="77777777" w:rsidR="0082549E" w:rsidRPr="0082549E" w:rsidRDefault="0082549E" w:rsidP="0082549E">
      <w:pPr>
        <w:spacing w:after="120"/>
        <w:rPr>
          <w:rFonts w:asciiTheme="minorHAnsi" w:hAnsiTheme="minorHAnsi" w:cstheme="minorHAnsi"/>
          <w:sz w:val="24"/>
          <w:szCs w:val="22"/>
        </w:rPr>
      </w:pPr>
      <w:r w:rsidRPr="0082549E">
        <w:rPr>
          <w:rFonts w:asciiTheme="minorHAnsi" w:hAnsiTheme="minorHAnsi" w:cstheme="minorHAnsi"/>
          <w:sz w:val="24"/>
          <w:szCs w:val="22"/>
        </w:rPr>
        <w:t>Modes of transport</w:t>
      </w:r>
      <w:r w:rsidR="007B7843">
        <w:rPr>
          <w:rFonts w:asciiTheme="minorHAnsi" w:hAnsiTheme="minorHAnsi" w:cstheme="minorHAnsi"/>
          <w:sz w:val="24"/>
          <w:szCs w:val="22"/>
        </w:rPr>
        <w:t>ation</w:t>
      </w:r>
      <w:r w:rsidRPr="0082549E">
        <w:rPr>
          <w:rFonts w:asciiTheme="minorHAnsi" w:hAnsiTheme="minorHAnsi" w:cstheme="minorHAnsi"/>
          <w:sz w:val="24"/>
          <w:szCs w:val="22"/>
        </w:rPr>
        <w:t xml:space="preserve"> of retrieval teams vary and can use combinations of road (police escort, taxis, and private vehicles) and air travel (commercial aircraft or chartered jet). The road and air services used will vary depending on jurisdictional contracts, jurisdictional preferences, case urgency and geographical logistics. </w:t>
      </w:r>
    </w:p>
    <w:p w14:paraId="214C691E" w14:textId="77777777" w:rsidR="002B0DE2" w:rsidRPr="00F17564" w:rsidRDefault="002B0DE2" w:rsidP="00F17564">
      <w:pPr>
        <w:pStyle w:val="Heading3"/>
        <w:tabs>
          <w:tab w:val="clear" w:pos="1843"/>
          <w:tab w:val="num" w:pos="1559"/>
        </w:tabs>
        <w:ind w:left="992" w:hanging="992"/>
        <w:rPr>
          <w:rFonts w:asciiTheme="minorHAnsi" w:hAnsiTheme="minorHAnsi" w:cstheme="minorHAnsi"/>
          <w:color w:val="7F7F7F" w:themeColor="text1" w:themeTint="80"/>
          <w:sz w:val="30"/>
          <w:szCs w:val="30"/>
        </w:rPr>
      </w:pPr>
      <w:r w:rsidRPr="00F17564">
        <w:rPr>
          <w:rFonts w:asciiTheme="minorHAnsi" w:hAnsiTheme="minorHAnsi" w:cstheme="minorHAnsi"/>
          <w:b w:val="0"/>
          <w:color w:val="7F7F7F" w:themeColor="text1" w:themeTint="80"/>
          <w:sz w:val="30"/>
          <w:szCs w:val="30"/>
        </w:rPr>
        <w:t>Retrieval procedure</w:t>
      </w:r>
    </w:p>
    <w:p w14:paraId="0B6979FF" w14:textId="77777777" w:rsidR="0082549E" w:rsidRPr="005E4C36" w:rsidRDefault="0082549E" w:rsidP="0082549E">
      <w:pPr>
        <w:spacing w:after="120"/>
        <w:rPr>
          <w:rFonts w:asciiTheme="minorHAnsi" w:hAnsiTheme="minorHAnsi" w:cstheme="minorHAnsi"/>
          <w:sz w:val="24"/>
          <w:szCs w:val="22"/>
        </w:rPr>
      </w:pPr>
      <w:r w:rsidRPr="005E4C36">
        <w:rPr>
          <w:rFonts w:asciiTheme="minorHAnsi" w:hAnsiTheme="minorHAnsi" w:cstheme="minorHAnsi"/>
          <w:sz w:val="24"/>
          <w:szCs w:val="22"/>
        </w:rPr>
        <w:t>The retrieval procedure</w:t>
      </w:r>
      <w:r>
        <w:rPr>
          <w:rFonts w:asciiTheme="minorHAnsi" w:hAnsiTheme="minorHAnsi" w:cstheme="minorHAnsi"/>
          <w:sz w:val="24"/>
          <w:szCs w:val="22"/>
        </w:rPr>
        <w:t xml:space="preserve"> generally</w:t>
      </w:r>
      <w:r w:rsidRPr="005E4C36">
        <w:rPr>
          <w:rFonts w:asciiTheme="minorHAnsi" w:hAnsiTheme="minorHAnsi" w:cstheme="minorHAnsi"/>
          <w:sz w:val="24"/>
          <w:szCs w:val="22"/>
        </w:rPr>
        <w:t xml:space="preserve"> takes place in the hospital where the donor is situated and is completed by retrieval surgical teams who may or may not be the same as the transplant surgical team.</w:t>
      </w:r>
      <w:r>
        <w:rPr>
          <w:rFonts w:asciiTheme="minorHAnsi" w:hAnsiTheme="minorHAnsi" w:cstheme="minorHAnsi"/>
          <w:sz w:val="24"/>
          <w:szCs w:val="22"/>
        </w:rPr>
        <w:t xml:space="preserve"> However, t</w:t>
      </w:r>
      <w:r w:rsidRPr="005E4C36">
        <w:rPr>
          <w:rFonts w:asciiTheme="minorHAnsi" w:hAnsiTheme="minorHAnsi" w:cstheme="minorHAnsi"/>
          <w:sz w:val="24"/>
          <w:szCs w:val="22"/>
        </w:rPr>
        <w:t xml:space="preserve">here are a variety of models for the delivery of retrieval services across jurisdictions and </w:t>
      </w:r>
      <w:r w:rsidR="00F46C80">
        <w:rPr>
          <w:rFonts w:asciiTheme="minorHAnsi" w:hAnsiTheme="minorHAnsi" w:cstheme="minorHAnsi"/>
          <w:sz w:val="24"/>
          <w:szCs w:val="22"/>
        </w:rPr>
        <w:t>transplantation unit</w:t>
      </w:r>
      <w:r w:rsidRPr="005E4C36">
        <w:rPr>
          <w:rFonts w:asciiTheme="minorHAnsi" w:hAnsiTheme="minorHAnsi" w:cstheme="minorHAnsi"/>
          <w:sz w:val="24"/>
          <w:szCs w:val="22"/>
        </w:rPr>
        <w:t>s, and ad</w:t>
      </w:r>
      <w:r w:rsidR="00CF77B8">
        <w:rPr>
          <w:rFonts w:asciiTheme="minorHAnsi" w:hAnsiTheme="minorHAnsi" w:cstheme="minorHAnsi"/>
          <w:sz w:val="24"/>
          <w:szCs w:val="22"/>
        </w:rPr>
        <w:t xml:space="preserve"> </w:t>
      </w:r>
      <w:r w:rsidRPr="005E4C36">
        <w:rPr>
          <w:rFonts w:asciiTheme="minorHAnsi" w:hAnsiTheme="minorHAnsi" w:cstheme="minorHAnsi"/>
          <w:sz w:val="24"/>
          <w:szCs w:val="22"/>
        </w:rPr>
        <w:t xml:space="preserve">hoc arrangements for cross border retrieval. </w:t>
      </w:r>
    </w:p>
    <w:p w14:paraId="6879D3CC" w14:textId="77777777" w:rsidR="0082549E" w:rsidRPr="008C0F32" w:rsidRDefault="0082549E" w:rsidP="0082549E">
      <w:pPr>
        <w:spacing w:after="120"/>
        <w:rPr>
          <w:rFonts w:asciiTheme="minorHAnsi" w:hAnsiTheme="minorHAnsi" w:cstheme="minorHAnsi"/>
          <w:sz w:val="24"/>
          <w:szCs w:val="22"/>
        </w:rPr>
      </w:pPr>
      <w:r w:rsidRPr="008C0F32">
        <w:rPr>
          <w:rFonts w:asciiTheme="minorHAnsi" w:hAnsiTheme="minorHAnsi" w:cstheme="minorHAnsi"/>
          <w:sz w:val="24"/>
          <w:szCs w:val="22"/>
        </w:rPr>
        <w:t>In general, there are two types of retrieval teams</w:t>
      </w:r>
      <w:r w:rsidR="00556B66">
        <w:rPr>
          <w:rFonts w:asciiTheme="minorHAnsi" w:hAnsiTheme="minorHAnsi" w:cstheme="minorHAnsi"/>
          <w:sz w:val="24"/>
          <w:szCs w:val="22"/>
        </w:rPr>
        <w:t>:</w:t>
      </w:r>
      <w:r w:rsidRPr="008C0F32">
        <w:rPr>
          <w:rFonts w:asciiTheme="minorHAnsi" w:hAnsiTheme="minorHAnsi" w:cstheme="minorHAnsi"/>
          <w:sz w:val="24"/>
          <w:szCs w:val="22"/>
        </w:rPr>
        <w:t xml:space="preserve"> </w:t>
      </w:r>
    </w:p>
    <w:p w14:paraId="24BF20BD" w14:textId="77777777" w:rsidR="0082549E" w:rsidRPr="005F5BB1" w:rsidRDefault="0082549E" w:rsidP="00481A6A">
      <w:pPr>
        <w:pStyle w:val="ListParagraph"/>
        <w:numPr>
          <w:ilvl w:val="0"/>
          <w:numId w:val="38"/>
        </w:numPr>
        <w:spacing w:after="120"/>
        <w:ind w:left="357" w:hanging="357"/>
        <w:rPr>
          <w:rFonts w:asciiTheme="minorHAnsi" w:hAnsiTheme="minorHAnsi" w:cstheme="minorHAnsi"/>
          <w:sz w:val="24"/>
          <w:szCs w:val="22"/>
        </w:rPr>
      </w:pPr>
      <w:r w:rsidRPr="005F5BB1">
        <w:rPr>
          <w:rFonts w:asciiTheme="minorHAnsi" w:hAnsiTheme="minorHAnsi" w:cstheme="minorHAnsi"/>
          <w:sz w:val="24"/>
          <w:szCs w:val="22"/>
        </w:rPr>
        <w:t xml:space="preserve">Abdominal retrieval teams which retrieve liver, pancreas and kidneys </w:t>
      </w:r>
    </w:p>
    <w:p w14:paraId="5357AE27" w14:textId="77777777" w:rsidR="0082549E" w:rsidRPr="005F5BB1" w:rsidRDefault="0082549E" w:rsidP="00481A6A">
      <w:pPr>
        <w:pStyle w:val="ListParagraph"/>
        <w:numPr>
          <w:ilvl w:val="0"/>
          <w:numId w:val="38"/>
        </w:numPr>
        <w:spacing w:after="120"/>
        <w:ind w:left="357" w:hanging="357"/>
        <w:rPr>
          <w:rFonts w:asciiTheme="minorHAnsi" w:hAnsiTheme="minorHAnsi" w:cstheme="minorHAnsi"/>
          <w:sz w:val="24"/>
          <w:szCs w:val="22"/>
        </w:rPr>
      </w:pPr>
      <w:r w:rsidRPr="005F5BB1">
        <w:rPr>
          <w:rFonts w:asciiTheme="minorHAnsi" w:hAnsiTheme="minorHAnsi" w:cstheme="minorHAnsi"/>
          <w:sz w:val="24"/>
          <w:szCs w:val="22"/>
        </w:rPr>
        <w:t>Cardio-thoracic retrieval teams which retrieve heart and lungs.</w:t>
      </w:r>
    </w:p>
    <w:p w14:paraId="65C0F08C" w14:textId="77777777" w:rsidR="0082549E" w:rsidRDefault="0082549E" w:rsidP="00C43CA7">
      <w:pPr>
        <w:spacing w:after="120"/>
        <w:rPr>
          <w:rFonts w:asciiTheme="minorHAnsi" w:hAnsiTheme="minorHAnsi" w:cstheme="minorHAnsi"/>
          <w:sz w:val="24"/>
          <w:szCs w:val="22"/>
        </w:rPr>
      </w:pPr>
      <w:r>
        <w:rPr>
          <w:rFonts w:asciiTheme="minorHAnsi" w:hAnsiTheme="minorHAnsi" w:cstheme="minorHAnsi"/>
          <w:sz w:val="24"/>
          <w:szCs w:val="22"/>
        </w:rPr>
        <w:t>The composition of these teams is dependent on the donation pathway and the jurisdictional health system requirements.</w:t>
      </w:r>
    </w:p>
    <w:p w14:paraId="35D917A8" w14:textId="77777777" w:rsidR="00C43CA7" w:rsidRDefault="00C43CA7" w:rsidP="00C43CA7">
      <w:pPr>
        <w:spacing w:after="120"/>
        <w:rPr>
          <w:rFonts w:asciiTheme="minorHAnsi" w:hAnsiTheme="minorHAnsi" w:cstheme="minorHAnsi"/>
          <w:sz w:val="24"/>
          <w:szCs w:val="22"/>
        </w:rPr>
      </w:pPr>
      <w:r w:rsidRPr="00F37D51">
        <w:rPr>
          <w:rFonts w:asciiTheme="minorHAnsi" w:hAnsiTheme="minorHAnsi" w:cstheme="minorHAnsi"/>
          <w:sz w:val="24"/>
          <w:szCs w:val="22"/>
        </w:rPr>
        <w:t xml:space="preserve">Retrieval surgery is performed (which may include a biopsy for additional testing) at a time that is optimal for the viability of the organs. Where there are multiple organs required for retrieval, </w:t>
      </w:r>
      <w:r w:rsidR="0082549E">
        <w:rPr>
          <w:rFonts w:asciiTheme="minorHAnsi" w:hAnsiTheme="minorHAnsi" w:cstheme="minorHAnsi"/>
          <w:sz w:val="24"/>
          <w:szCs w:val="22"/>
        </w:rPr>
        <w:t>both types of the retrieval teams may be used to retrieve the abdominal and cardiothoracic organs.</w:t>
      </w:r>
      <w:r w:rsidRPr="00F37D51">
        <w:rPr>
          <w:rFonts w:asciiTheme="minorHAnsi" w:hAnsiTheme="minorHAnsi" w:cstheme="minorHAnsi"/>
          <w:sz w:val="24"/>
          <w:szCs w:val="22"/>
        </w:rPr>
        <w:t xml:space="preserve"> </w:t>
      </w:r>
    </w:p>
    <w:p w14:paraId="4872E20C" w14:textId="77777777" w:rsidR="002B0DE2" w:rsidRPr="00F17564" w:rsidRDefault="002B0DE2" w:rsidP="00F17564">
      <w:pPr>
        <w:pStyle w:val="Heading3"/>
        <w:tabs>
          <w:tab w:val="clear" w:pos="1843"/>
          <w:tab w:val="num" w:pos="1559"/>
        </w:tabs>
        <w:ind w:left="992" w:hanging="992"/>
        <w:rPr>
          <w:rFonts w:asciiTheme="minorHAnsi" w:hAnsiTheme="minorHAnsi" w:cstheme="minorHAnsi"/>
          <w:color w:val="7F7F7F" w:themeColor="text1" w:themeTint="80"/>
          <w:sz w:val="30"/>
          <w:szCs w:val="30"/>
        </w:rPr>
      </w:pPr>
      <w:r w:rsidRPr="00F17564">
        <w:rPr>
          <w:rFonts w:asciiTheme="minorHAnsi" w:hAnsiTheme="minorHAnsi" w:cstheme="minorHAnsi"/>
          <w:b w:val="0"/>
          <w:color w:val="7F7F7F" w:themeColor="text1" w:themeTint="80"/>
          <w:sz w:val="30"/>
          <w:szCs w:val="30"/>
        </w:rPr>
        <w:t>Organ transport</w:t>
      </w:r>
      <w:r w:rsidR="007B7843">
        <w:rPr>
          <w:rFonts w:asciiTheme="minorHAnsi" w:hAnsiTheme="minorHAnsi" w:cstheme="minorHAnsi"/>
          <w:b w:val="0"/>
          <w:color w:val="7F7F7F" w:themeColor="text1" w:themeTint="80"/>
          <w:sz w:val="30"/>
          <w:szCs w:val="30"/>
        </w:rPr>
        <w:t>ation</w:t>
      </w:r>
      <w:r w:rsidRPr="00F17564">
        <w:rPr>
          <w:rFonts w:asciiTheme="minorHAnsi" w:hAnsiTheme="minorHAnsi" w:cstheme="minorHAnsi"/>
          <w:b w:val="0"/>
          <w:color w:val="7F7F7F" w:themeColor="text1" w:themeTint="80"/>
          <w:sz w:val="30"/>
          <w:szCs w:val="30"/>
        </w:rPr>
        <w:t xml:space="preserve"> and packaging arrangements</w:t>
      </w:r>
    </w:p>
    <w:p w14:paraId="7A56D4CD" w14:textId="77777777" w:rsidR="002B0DE2" w:rsidRPr="002B0DE2" w:rsidRDefault="002B0DE2" w:rsidP="002B0DE2">
      <w:pPr>
        <w:spacing w:after="120"/>
        <w:rPr>
          <w:rFonts w:asciiTheme="minorHAnsi" w:hAnsiTheme="minorHAnsi" w:cstheme="minorHAnsi"/>
          <w:sz w:val="24"/>
          <w:szCs w:val="22"/>
        </w:rPr>
      </w:pPr>
      <w:r w:rsidRPr="002B0DE2">
        <w:rPr>
          <w:rFonts w:asciiTheme="minorHAnsi" w:hAnsiTheme="minorHAnsi" w:cstheme="minorHAnsi"/>
          <w:sz w:val="24"/>
          <w:szCs w:val="22"/>
        </w:rPr>
        <w:t xml:space="preserve">Donation specialist coordinators and/or transplant coordinators are responsible for organising transport arrangements for organs for transplantation. The mode of transport, distance and whether the organ is accompanied or unaccompanied depends on the organ. </w:t>
      </w:r>
    </w:p>
    <w:p w14:paraId="702EB2A2" w14:textId="77777777" w:rsidR="002B0DE2" w:rsidRPr="002B0DE2" w:rsidRDefault="002B0DE2" w:rsidP="002B0DE2">
      <w:pPr>
        <w:spacing w:after="120"/>
        <w:rPr>
          <w:rFonts w:asciiTheme="minorHAnsi" w:hAnsiTheme="minorHAnsi" w:cstheme="minorHAnsi"/>
          <w:sz w:val="24"/>
          <w:szCs w:val="22"/>
        </w:rPr>
      </w:pPr>
      <w:r w:rsidRPr="002B0DE2">
        <w:rPr>
          <w:rFonts w:asciiTheme="minorHAnsi" w:hAnsiTheme="minorHAnsi" w:cstheme="minorHAnsi"/>
          <w:sz w:val="24"/>
          <w:szCs w:val="22"/>
        </w:rPr>
        <w:t>Road transport</w:t>
      </w:r>
      <w:r w:rsidR="007B7843">
        <w:rPr>
          <w:rFonts w:asciiTheme="minorHAnsi" w:hAnsiTheme="minorHAnsi" w:cstheme="minorHAnsi"/>
          <w:sz w:val="24"/>
          <w:szCs w:val="22"/>
        </w:rPr>
        <w:t>ation</w:t>
      </w:r>
      <w:r w:rsidRPr="002B0DE2">
        <w:rPr>
          <w:rFonts w:asciiTheme="minorHAnsi" w:hAnsiTheme="minorHAnsi" w:cstheme="minorHAnsi"/>
          <w:sz w:val="24"/>
          <w:szCs w:val="22"/>
        </w:rPr>
        <w:t xml:space="preserve"> arrangements may include police escort, couriers, commercial aircraft for kidneys (occasionally liver, lungs and pancreas) and chartered jets for surgical teams and interstate pick-ups. In all states, transport</w:t>
      </w:r>
      <w:r w:rsidR="007B7843">
        <w:rPr>
          <w:rFonts w:asciiTheme="minorHAnsi" w:hAnsiTheme="minorHAnsi" w:cstheme="minorHAnsi"/>
          <w:sz w:val="24"/>
          <w:szCs w:val="22"/>
        </w:rPr>
        <w:t>ation</w:t>
      </w:r>
      <w:r w:rsidRPr="002B0DE2">
        <w:rPr>
          <w:rFonts w:asciiTheme="minorHAnsi" w:hAnsiTheme="minorHAnsi" w:cstheme="minorHAnsi"/>
          <w:sz w:val="24"/>
          <w:szCs w:val="22"/>
        </w:rPr>
        <w:t xml:space="preserve"> of kidneys is managed by donation specialist coordinators. Non-renal organ transport</w:t>
      </w:r>
      <w:r w:rsidR="007B7843">
        <w:rPr>
          <w:rFonts w:asciiTheme="minorHAnsi" w:hAnsiTheme="minorHAnsi" w:cstheme="minorHAnsi"/>
          <w:sz w:val="24"/>
          <w:szCs w:val="22"/>
        </w:rPr>
        <w:t>ation</w:t>
      </w:r>
      <w:r w:rsidRPr="002B0DE2">
        <w:rPr>
          <w:rFonts w:asciiTheme="minorHAnsi" w:hAnsiTheme="minorHAnsi" w:cstheme="minorHAnsi"/>
          <w:sz w:val="24"/>
          <w:szCs w:val="22"/>
        </w:rPr>
        <w:t xml:space="preserve"> is usually managed by transplant coordinators.</w:t>
      </w:r>
    </w:p>
    <w:p w14:paraId="4A87DBEC" w14:textId="0654EF53" w:rsidR="002579FD" w:rsidRDefault="002B0DE2" w:rsidP="002B0DE2">
      <w:pPr>
        <w:spacing w:after="120"/>
        <w:rPr>
          <w:rFonts w:asciiTheme="minorHAnsi" w:hAnsiTheme="minorHAnsi" w:cstheme="minorHAnsi"/>
          <w:sz w:val="24"/>
          <w:szCs w:val="22"/>
        </w:rPr>
      </w:pPr>
      <w:r w:rsidRPr="002B0DE2">
        <w:rPr>
          <w:rFonts w:asciiTheme="minorHAnsi" w:hAnsiTheme="minorHAnsi" w:cstheme="minorHAnsi"/>
          <w:sz w:val="24"/>
          <w:szCs w:val="22"/>
        </w:rPr>
        <w:t>The person responsible for the labelling, packaging and documentation of organs and donor vessels in the donor theatre varies between jurisdictions. This person may be either the donation specialist coordinator</w:t>
      </w:r>
      <w:r w:rsidR="00556B66">
        <w:rPr>
          <w:rFonts w:asciiTheme="minorHAnsi" w:hAnsiTheme="minorHAnsi" w:cstheme="minorHAnsi"/>
          <w:sz w:val="24"/>
          <w:szCs w:val="22"/>
        </w:rPr>
        <w:t>,</w:t>
      </w:r>
      <w:r w:rsidRPr="002B0DE2">
        <w:rPr>
          <w:rFonts w:asciiTheme="minorHAnsi" w:hAnsiTheme="minorHAnsi" w:cstheme="minorHAnsi"/>
          <w:sz w:val="24"/>
          <w:szCs w:val="22"/>
        </w:rPr>
        <w:t xml:space="preserve"> the perfusionist (who is a member of the abdominal retrieval team) or a transplant coordinator (who is a member of the cardio-thoracic team). </w:t>
      </w:r>
      <w:r w:rsidR="00B40E9D" w:rsidRPr="002B0DE2">
        <w:rPr>
          <w:rFonts w:asciiTheme="minorHAnsi" w:hAnsiTheme="minorHAnsi" w:cstheme="minorHAnsi"/>
          <w:sz w:val="24"/>
          <w:szCs w:val="22"/>
        </w:rPr>
        <w:t>However,</w:t>
      </w:r>
      <w:r w:rsidRPr="002B0DE2">
        <w:rPr>
          <w:rFonts w:asciiTheme="minorHAnsi" w:hAnsiTheme="minorHAnsi" w:cstheme="minorHAnsi"/>
          <w:sz w:val="24"/>
          <w:szCs w:val="22"/>
        </w:rPr>
        <w:t xml:space="preserve"> the principles of labelling and packaging are the same.</w:t>
      </w:r>
    </w:p>
    <w:p w14:paraId="590CDC4D" w14:textId="77777777" w:rsidR="002B0DE2" w:rsidRPr="00F17564" w:rsidRDefault="002B0DE2" w:rsidP="00F17564">
      <w:pPr>
        <w:pStyle w:val="Heading3"/>
        <w:tabs>
          <w:tab w:val="clear" w:pos="1843"/>
          <w:tab w:val="num" w:pos="1559"/>
        </w:tabs>
        <w:ind w:left="992" w:hanging="992"/>
        <w:rPr>
          <w:rFonts w:asciiTheme="minorHAnsi" w:hAnsiTheme="minorHAnsi" w:cstheme="minorHAnsi"/>
          <w:color w:val="7F7F7F" w:themeColor="text1" w:themeTint="80"/>
          <w:sz w:val="30"/>
          <w:szCs w:val="30"/>
        </w:rPr>
      </w:pPr>
      <w:bookmarkStart w:id="147" w:name="_Ref531798474"/>
      <w:r w:rsidRPr="00F17564">
        <w:rPr>
          <w:rFonts w:asciiTheme="minorHAnsi" w:hAnsiTheme="minorHAnsi" w:cstheme="minorHAnsi"/>
          <w:b w:val="0"/>
          <w:color w:val="7F7F7F" w:themeColor="text1" w:themeTint="80"/>
          <w:sz w:val="30"/>
          <w:szCs w:val="30"/>
        </w:rPr>
        <w:t>Use of new technologies in retrieval</w:t>
      </w:r>
      <w:bookmarkEnd w:id="147"/>
    </w:p>
    <w:p w14:paraId="4648FD30" w14:textId="385E5DB0" w:rsidR="001339DB" w:rsidRDefault="004F7DF0" w:rsidP="00C43CA7">
      <w:pPr>
        <w:spacing w:after="120"/>
        <w:rPr>
          <w:rFonts w:asciiTheme="minorHAnsi" w:hAnsiTheme="minorHAnsi" w:cstheme="minorHAnsi"/>
          <w:sz w:val="24"/>
          <w:szCs w:val="22"/>
        </w:rPr>
      </w:pPr>
      <w:r w:rsidRPr="004F7DF0">
        <w:rPr>
          <w:rFonts w:asciiTheme="minorHAnsi" w:hAnsiTheme="minorHAnsi" w:cstheme="minorHAnsi"/>
          <w:sz w:val="24"/>
          <w:szCs w:val="22"/>
        </w:rPr>
        <w:t xml:space="preserve">Retrieval services in some jurisdictions utilise technology and mechanical devices to support organ perfusion post retrieval. Utilisation of this equipment in select cases of kidney, heart and lung retrieval may enable the transplant team to maintain the organ in an optimal condition for longer periods of time. This allows for planning of the transplant surgery and accommodating unforeseen delays or transport of the organ over a greater distance. </w:t>
      </w:r>
    </w:p>
    <w:p w14:paraId="414A0D09" w14:textId="77777777" w:rsidR="002579FD" w:rsidRDefault="00C43CA7" w:rsidP="00F526D8">
      <w:pPr>
        <w:spacing w:before="120" w:after="120"/>
        <w:rPr>
          <w:rFonts w:asciiTheme="minorHAnsi" w:hAnsiTheme="minorHAnsi" w:cstheme="minorHAnsi"/>
          <w:sz w:val="24"/>
          <w:szCs w:val="22"/>
        </w:rPr>
      </w:pPr>
      <w:r w:rsidRPr="00F37D51">
        <w:rPr>
          <w:rFonts w:asciiTheme="minorHAnsi" w:hAnsiTheme="minorHAnsi" w:cstheme="minorHAnsi"/>
          <w:sz w:val="24"/>
          <w:szCs w:val="22"/>
        </w:rPr>
        <w:lastRenderedPageBreak/>
        <w:t xml:space="preserve">Advanced perfusion technology, such as ex vivo perfusion technology, </w:t>
      </w:r>
      <w:r w:rsidRPr="00551BAE">
        <w:rPr>
          <w:rFonts w:asciiTheme="minorHAnsi" w:hAnsiTheme="minorHAnsi" w:cstheme="minorHAnsi"/>
          <w:sz w:val="24"/>
          <w:szCs w:val="22"/>
        </w:rPr>
        <w:t>allows for techniques to evaluate the quality of an organ, active rehabilitation of organs after procurement and prior to implantation</w:t>
      </w:r>
      <w:r w:rsidR="0010597D">
        <w:rPr>
          <w:rFonts w:asciiTheme="minorHAnsi" w:hAnsiTheme="minorHAnsi" w:cstheme="minorHAnsi"/>
          <w:sz w:val="24"/>
          <w:szCs w:val="22"/>
        </w:rPr>
        <w:t xml:space="preserve">. </w:t>
      </w:r>
      <w:r w:rsidR="00A43A61">
        <w:rPr>
          <w:rFonts w:asciiTheme="minorHAnsi" w:hAnsiTheme="minorHAnsi" w:cstheme="minorHAnsi"/>
          <w:sz w:val="24"/>
          <w:szCs w:val="22"/>
        </w:rPr>
        <w:t xml:space="preserve">Ex vivo </w:t>
      </w:r>
      <w:r w:rsidR="00556B66">
        <w:rPr>
          <w:rFonts w:asciiTheme="minorHAnsi" w:hAnsiTheme="minorHAnsi" w:cstheme="minorHAnsi"/>
          <w:sz w:val="24"/>
          <w:szCs w:val="22"/>
        </w:rPr>
        <w:t xml:space="preserve">perfusion </w:t>
      </w:r>
      <w:r w:rsidR="00A43A61">
        <w:rPr>
          <w:rFonts w:asciiTheme="minorHAnsi" w:hAnsiTheme="minorHAnsi" w:cstheme="minorHAnsi"/>
          <w:sz w:val="24"/>
          <w:szCs w:val="22"/>
        </w:rPr>
        <w:t xml:space="preserve">technology </w:t>
      </w:r>
      <w:r w:rsidR="008A4A4E">
        <w:rPr>
          <w:rFonts w:asciiTheme="minorHAnsi" w:hAnsiTheme="minorHAnsi" w:cstheme="minorHAnsi"/>
          <w:sz w:val="24"/>
          <w:szCs w:val="22"/>
        </w:rPr>
        <w:t>allow</w:t>
      </w:r>
      <w:r w:rsidR="00A43A61">
        <w:rPr>
          <w:rFonts w:asciiTheme="minorHAnsi" w:hAnsiTheme="minorHAnsi" w:cstheme="minorHAnsi"/>
          <w:sz w:val="24"/>
          <w:szCs w:val="22"/>
        </w:rPr>
        <w:t>s</w:t>
      </w:r>
      <w:r w:rsidR="008A4A4E">
        <w:rPr>
          <w:rFonts w:asciiTheme="minorHAnsi" w:hAnsiTheme="minorHAnsi" w:cstheme="minorHAnsi"/>
          <w:sz w:val="24"/>
          <w:szCs w:val="22"/>
        </w:rPr>
        <w:t xml:space="preserve"> for</w:t>
      </w:r>
      <w:r w:rsidRPr="00551BAE">
        <w:rPr>
          <w:rFonts w:asciiTheme="minorHAnsi" w:hAnsiTheme="minorHAnsi" w:cstheme="minorHAnsi"/>
          <w:sz w:val="24"/>
          <w:szCs w:val="22"/>
        </w:rPr>
        <w:t xml:space="preserve"> increased time between organ </w:t>
      </w:r>
      <w:r w:rsidR="00A43A61">
        <w:rPr>
          <w:rFonts w:asciiTheme="minorHAnsi" w:hAnsiTheme="minorHAnsi" w:cstheme="minorHAnsi"/>
          <w:sz w:val="24"/>
          <w:szCs w:val="22"/>
        </w:rPr>
        <w:t xml:space="preserve">retrieval </w:t>
      </w:r>
      <w:r w:rsidRPr="00551BAE">
        <w:rPr>
          <w:rFonts w:asciiTheme="minorHAnsi" w:hAnsiTheme="minorHAnsi" w:cstheme="minorHAnsi"/>
          <w:sz w:val="24"/>
          <w:szCs w:val="22"/>
        </w:rPr>
        <w:t>and implantation</w:t>
      </w:r>
      <w:r w:rsidRPr="00F37D51">
        <w:rPr>
          <w:rFonts w:asciiTheme="minorHAnsi" w:hAnsiTheme="minorHAnsi" w:cstheme="minorHAnsi"/>
          <w:sz w:val="24"/>
          <w:szCs w:val="22"/>
        </w:rPr>
        <w:t>.</w:t>
      </w:r>
      <w:r w:rsidRPr="00323A35">
        <w:rPr>
          <w:rStyle w:val="FootnoteReference"/>
          <w:rFonts w:asciiTheme="minorHAnsi" w:hAnsiTheme="minorHAnsi" w:cstheme="minorHAnsi"/>
        </w:rPr>
        <w:footnoteReference w:id="53"/>
      </w:r>
      <w:r>
        <w:rPr>
          <w:rFonts w:asciiTheme="minorHAnsi" w:hAnsiTheme="minorHAnsi" w:cstheme="minorHAnsi"/>
          <w:sz w:val="24"/>
          <w:szCs w:val="22"/>
        </w:rPr>
        <w:t xml:space="preserve"> Ex </w:t>
      </w:r>
      <w:r w:rsidR="0010597D">
        <w:rPr>
          <w:rFonts w:asciiTheme="minorHAnsi" w:hAnsiTheme="minorHAnsi" w:cstheme="minorHAnsi"/>
          <w:sz w:val="24"/>
          <w:szCs w:val="22"/>
        </w:rPr>
        <w:t>v</w:t>
      </w:r>
      <w:r>
        <w:rPr>
          <w:rFonts w:asciiTheme="minorHAnsi" w:hAnsiTheme="minorHAnsi" w:cstheme="minorHAnsi"/>
          <w:sz w:val="24"/>
          <w:szCs w:val="22"/>
        </w:rPr>
        <w:t xml:space="preserve">ivo </w:t>
      </w:r>
      <w:r w:rsidR="0010597D">
        <w:rPr>
          <w:rFonts w:asciiTheme="minorHAnsi" w:hAnsiTheme="minorHAnsi" w:cstheme="minorHAnsi"/>
          <w:sz w:val="24"/>
          <w:szCs w:val="22"/>
        </w:rPr>
        <w:t xml:space="preserve">perfusion </w:t>
      </w:r>
      <w:r>
        <w:rPr>
          <w:rFonts w:asciiTheme="minorHAnsi" w:hAnsiTheme="minorHAnsi" w:cstheme="minorHAnsi"/>
          <w:sz w:val="24"/>
          <w:szCs w:val="22"/>
        </w:rPr>
        <w:t>technology is not currently widely available across Australia</w:t>
      </w:r>
      <w:r w:rsidR="0010597D">
        <w:rPr>
          <w:rFonts w:asciiTheme="minorHAnsi" w:hAnsiTheme="minorHAnsi" w:cstheme="minorHAnsi"/>
          <w:sz w:val="24"/>
          <w:szCs w:val="22"/>
        </w:rPr>
        <w:t xml:space="preserve">, </w:t>
      </w:r>
      <w:r>
        <w:rPr>
          <w:rFonts w:asciiTheme="minorHAnsi" w:hAnsiTheme="minorHAnsi" w:cstheme="minorHAnsi"/>
          <w:sz w:val="24"/>
          <w:szCs w:val="22"/>
        </w:rPr>
        <w:t xml:space="preserve">as the technology is still emerging and requires </w:t>
      </w:r>
      <w:r w:rsidR="00C47549">
        <w:rPr>
          <w:rFonts w:asciiTheme="minorHAnsi" w:hAnsiTheme="minorHAnsi" w:cstheme="minorHAnsi"/>
          <w:sz w:val="24"/>
          <w:szCs w:val="22"/>
        </w:rPr>
        <w:t xml:space="preserve">additional </w:t>
      </w:r>
      <w:r>
        <w:rPr>
          <w:rFonts w:asciiTheme="minorHAnsi" w:hAnsiTheme="minorHAnsi" w:cstheme="minorHAnsi"/>
          <w:sz w:val="24"/>
          <w:szCs w:val="22"/>
        </w:rPr>
        <w:t xml:space="preserve">training for </w:t>
      </w:r>
      <w:r w:rsidR="00C47549">
        <w:rPr>
          <w:rFonts w:asciiTheme="minorHAnsi" w:hAnsiTheme="minorHAnsi" w:cstheme="minorHAnsi"/>
          <w:sz w:val="24"/>
          <w:szCs w:val="22"/>
        </w:rPr>
        <w:t>clinicians</w:t>
      </w:r>
      <w:r>
        <w:rPr>
          <w:rFonts w:asciiTheme="minorHAnsi" w:hAnsiTheme="minorHAnsi" w:cstheme="minorHAnsi"/>
          <w:sz w:val="24"/>
          <w:szCs w:val="22"/>
        </w:rPr>
        <w:t xml:space="preserve">. Further, the cost of purchasing and maintaining the </w:t>
      </w:r>
      <w:r w:rsidR="0010597D">
        <w:rPr>
          <w:rFonts w:asciiTheme="minorHAnsi" w:hAnsiTheme="minorHAnsi" w:cstheme="minorHAnsi"/>
          <w:sz w:val="24"/>
          <w:szCs w:val="22"/>
        </w:rPr>
        <w:t>e</w:t>
      </w:r>
      <w:r>
        <w:rPr>
          <w:rFonts w:asciiTheme="minorHAnsi" w:hAnsiTheme="minorHAnsi" w:cstheme="minorHAnsi"/>
          <w:sz w:val="24"/>
          <w:szCs w:val="22"/>
        </w:rPr>
        <w:t xml:space="preserve">x </w:t>
      </w:r>
      <w:r w:rsidR="0010597D">
        <w:rPr>
          <w:rFonts w:asciiTheme="minorHAnsi" w:hAnsiTheme="minorHAnsi" w:cstheme="minorHAnsi"/>
          <w:sz w:val="24"/>
          <w:szCs w:val="22"/>
        </w:rPr>
        <w:t>v</w:t>
      </w:r>
      <w:r>
        <w:rPr>
          <w:rFonts w:asciiTheme="minorHAnsi" w:hAnsiTheme="minorHAnsi" w:cstheme="minorHAnsi"/>
          <w:sz w:val="24"/>
          <w:szCs w:val="22"/>
        </w:rPr>
        <w:t>ivo</w:t>
      </w:r>
      <w:r w:rsidR="0010597D">
        <w:rPr>
          <w:rFonts w:asciiTheme="minorHAnsi" w:hAnsiTheme="minorHAnsi" w:cstheme="minorHAnsi"/>
          <w:sz w:val="24"/>
          <w:szCs w:val="22"/>
        </w:rPr>
        <w:t xml:space="preserve"> perfusion</w:t>
      </w:r>
      <w:r>
        <w:rPr>
          <w:rFonts w:asciiTheme="minorHAnsi" w:hAnsiTheme="minorHAnsi" w:cstheme="minorHAnsi"/>
          <w:sz w:val="24"/>
          <w:szCs w:val="22"/>
        </w:rPr>
        <w:t xml:space="preserve"> technology is high</w:t>
      </w:r>
      <w:r w:rsidR="001129BE">
        <w:rPr>
          <w:rFonts w:asciiTheme="minorHAnsi" w:hAnsiTheme="minorHAnsi" w:cstheme="minorHAnsi"/>
          <w:sz w:val="24"/>
          <w:szCs w:val="22"/>
        </w:rPr>
        <w:t>. E</w:t>
      </w:r>
      <w:r>
        <w:rPr>
          <w:rFonts w:asciiTheme="minorHAnsi" w:hAnsiTheme="minorHAnsi" w:cstheme="minorHAnsi"/>
          <w:sz w:val="24"/>
          <w:szCs w:val="22"/>
        </w:rPr>
        <w:t>ach machine cost</w:t>
      </w:r>
      <w:r w:rsidR="001129BE">
        <w:rPr>
          <w:rFonts w:asciiTheme="minorHAnsi" w:hAnsiTheme="minorHAnsi" w:cstheme="minorHAnsi"/>
          <w:sz w:val="24"/>
          <w:szCs w:val="22"/>
        </w:rPr>
        <w:t>s</w:t>
      </w:r>
      <w:r>
        <w:rPr>
          <w:rFonts w:asciiTheme="minorHAnsi" w:hAnsiTheme="minorHAnsi" w:cstheme="minorHAnsi"/>
          <w:sz w:val="24"/>
          <w:szCs w:val="22"/>
        </w:rPr>
        <w:t xml:space="preserve"> between $300</w:t>
      </w:r>
      <w:r w:rsidR="001129BE">
        <w:rPr>
          <w:rFonts w:asciiTheme="minorHAnsi" w:hAnsiTheme="minorHAnsi" w:cstheme="minorHAnsi"/>
          <w:sz w:val="24"/>
          <w:szCs w:val="22"/>
        </w:rPr>
        <w:t>,</w:t>
      </w:r>
      <w:r>
        <w:rPr>
          <w:rFonts w:asciiTheme="minorHAnsi" w:hAnsiTheme="minorHAnsi" w:cstheme="minorHAnsi"/>
          <w:sz w:val="24"/>
          <w:szCs w:val="22"/>
        </w:rPr>
        <w:t xml:space="preserve">000 </w:t>
      </w:r>
      <w:r w:rsidR="001129BE">
        <w:rPr>
          <w:rFonts w:asciiTheme="minorHAnsi" w:hAnsiTheme="minorHAnsi" w:cstheme="minorHAnsi"/>
          <w:sz w:val="24"/>
          <w:szCs w:val="22"/>
        </w:rPr>
        <w:t xml:space="preserve">to </w:t>
      </w:r>
      <w:r>
        <w:rPr>
          <w:rFonts w:asciiTheme="minorHAnsi" w:hAnsiTheme="minorHAnsi" w:cstheme="minorHAnsi"/>
          <w:sz w:val="24"/>
          <w:szCs w:val="22"/>
        </w:rPr>
        <w:t>$500</w:t>
      </w:r>
      <w:r w:rsidR="001129BE">
        <w:rPr>
          <w:rFonts w:asciiTheme="minorHAnsi" w:hAnsiTheme="minorHAnsi" w:cstheme="minorHAnsi"/>
          <w:sz w:val="24"/>
          <w:szCs w:val="22"/>
        </w:rPr>
        <w:t>,</w:t>
      </w:r>
      <w:r>
        <w:rPr>
          <w:rFonts w:asciiTheme="minorHAnsi" w:hAnsiTheme="minorHAnsi" w:cstheme="minorHAnsi"/>
          <w:sz w:val="24"/>
          <w:szCs w:val="22"/>
        </w:rPr>
        <w:t>000</w:t>
      </w:r>
      <w:r w:rsidR="00E038B6">
        <w:rPr>
          <w:rFonts w:asciiTheme="minorHAnsi" w:hAnsiTheme="minorHAnsi" w:cstheme="minorHAnsi"/>
          <w:sz w:val="24"/>
          <w:szCs w:val="22"/>
        </w:rPr>
        <w:t xml:space="preserve"> AUD</w:t>
      </w:r>
      <w:r>
        <w:rPr>
          <w:rFonts w:asciiTheme="minorHAnsi" w:hAnsiTheme="minorHAnsi" w:cstheme="minorHAnsi"/>
          <w:sz w:val="24"/>
          <w:szCs w:val="22"/>
        </w:rPr>
        <w:t xml:space="preserve"> to procure</w:t>
      </w:r>
      <w:r w:rsidR="001129BE">
        <w:rPr>
          <w:rFonts w:asciiTheme="minorHAnsi" w:hAnsiTheme="minorHAnsi" w:cstheme="minorHAnsi"/>
          <w:sz w:val="24"/>
          <w:szCs w:val="22"/>
        </w:rPr>
        <w:t>, with</w:t>
      </w:r>
      <w:r>
        <w:rPr>
          <w:rFonts w:asciiTheme="minorHAnsi" w:hAnsiTheme="minorHAnsi" w:cstheme="minorHAnsi"/>
          <w:sz w:val="24"/>
          <w:szCs w:val="22"/>
        </w:rPr>
        <w:t xml:space="preserve"> consumables for each use costing between $20</w:t>
      </w:r>
      <w:r w:rsidR="001129BE">
        <w:rPr>
          <w:rFonts w:asciiTheme="minorHAnsi" w:hAnsiTheme="minorHAnsi" w:cstheme="minorHAnsi"/>
          <w:sz w:val="24"/>
          <w:szCs w:val="22"/>
        </w:rPr>
        <w:t>,</w:t>
      </w:r>
      <w:r>
        <w:rPr>
          <w:rFonts w:asciiTheme="minorHAnsi" w:hAnsiTheme="minorHAnsi" w:cstheme="minorHAnsi"/>
          <w:sz w:val="24"/>
          <w:szCs w:val="22"/>
        </w:rPr>
        <w:t>000 and $50</w:t>
      </w:r>
      <w:r w:rsidR="001129BE">
        <w:rPr>
          <w:rFonts w:asciiTheme="minorHAnsi" w:hAnsiTheme="minorHAnsi" w:cstheme="minorHAnsi"/>
          <w:sz w:val="24"/>
          <w:szCs w:val="22"/>
        </w:rPr>
        <w:t>,</w:t>
      </w:r>
      <w:r>
        <w:rPr>
          <w:rFonts w:asciiTheme="minorHAnsi" w:hAnsiTheme="minorHAnsi" w:cstheme="minorHAnsi"/>
          <w:sz w:val="24"/>
          <w:szCs w:val="22"/>
        </w:rPr>
        <w:t>000</w:t>
      </w:r>
      <w:r w:rsidR="00E038B6">
        <w:rPr>
          <w:rFonts w:asciiTheme="minorHAnsi" w:hAnsiTheme="minorHAnsi" w:cstheme="minorHAnsi"/>
          <w:sz w:val="24"/>
          <w:szCs w:val="22"/>
        </w:rPr>
        <w:t xml:space="preserve"> AUD</w:t>
      </w:r>
      <w:r>
        <w:rPr>
          <w:rFonts w:asciiTheme="minorHAnsi" w:hAnsiTheme="minorHAnsi" w:cstheme="minorHAnsi"/>
          <w:sz w:val="24"/>
          <w:szCs w:val="22"/>
        </w:rPr>
        <w:t>.</w:t>
      </w:r>
      <w:r w:rsidR="007D4798" w:rsidRPr="00323A35">
        <w:rPr>
          <w:rStyle w:val="FootnoteReference"/>
          <w:rFonts w:asciiTheme="minorHAnsi" w:hAnsiTheme="minorHAnsi" w:cstheme="minorHAnsi"/>
          <w:sz w:val="16"/>
          <w:szCs w:val="16"/>
        </w:rPr>
        <w:footnoteReference w:id="54"/>
      </w:r>
      <w:r>
        <w:rPr>
          <w:rFonts w:asciiTheme="minorHAnsi" w:hAnsiTheme="minorHAnsi" w:cstheme="minorHAnsi"/>
          <w:sz w:val="24"/>
          <w:szCs w:val="22"/>
        </w:rPr>
        <w:t xml:space="preserve"> </w:t>
      </w:r>
    </w:p>
    <w:p w14:paraId="2ED60555" w14:textId="77777777" w:rsidR="006624EC" w:rsidRDefault="00C43CA7" w:rsidP="009C7D5A">
      <w:pPr>
        <w:spacing w:after="120"/>
        <w:rPr>
          <w:rFonts w:asciiTheme="minorHAnsi" w:hAnsiTheme="minorHAnsi" w:cstheme="minorHAnsi"/>
          <w:sz w:val="24"/>
          <w:szCs w:val="22"/>
        </w:rPr>
      </w:pPr>
      <w:r w:rsidRPr="00F37D51">
        <w:rPr>
          <w:rFonts w:asciiTheme="minorHAnsi" w:hAnsiTheme="minorHAnsi" w:cstheme="minorHAnsi"/>
          <w:sz w:val="24"/>
          <w:szCs w:val="22"/>
        </w:rPr>
        <w:t xml:space="preserve">Following retrieval, the organ is </w:t>
      </w:r>
      <w:r>
        <w:rPr>
          <w:rFonts w:asciiTheme="minorHAnsi" w:hAnsiTheme="minorHAnsi" w:cstheme="minorHAnsi"/>
          <w:sz w:val="24"/>
          <w:szCs w:val="22"/>
        </w:rPr>
        <w:t>supported</w:t>
      </w:r>
      <w:r w:rsidRPr="00F37D51">
        <w:rPr>
          <w:rFonts w:asciiTheme="minorHAnsi" w:hAnsiTheme="minorHAnsi" w:cstheme="minorHAnsi"/>
          <w:sz w:val="24"/>
          <w:szCs w:val="22"/>
        </w:rPr>
        <w:t>, ready to be transported to the transplant</w:t>
      </w:r>
      <w:r w:rsidR="001129BE">
        <w:rPr>
          <w:rFonts w:asciiTheme="minorHAnsi" w:hAnsiTheme="minorHAnsi" w:cstheme="minorHAnsi"/>
          <w:sz w:val="24"/>
          <w:szCs w:val="22"/>
        </w:rPr>
        <w:t>ation</w:t>
      </w:r>
      <w:r w:rsidRPr="00F37D51">
        <w:rPr>
          <w:rFonts w:asciiTheme="minorHAnsi" w:hAnsiTheme="minorHAnsi" w:cstheme="minorHAnsi"/>
          <w:sz w:val="24"/>
          <w:szCs w:val="22"/>
        </w:rPr>
        <w:t xml:space="preserve"> site. </w:t>
      </w:r>
      <w:r w:rsidR="00A465BA">
        <w:rPr>
          <w:rFonts w:asciiTheme="minorHAnsi" w:hAnsiTheme="minorHAnsi" w:cstheme="minorHAnsi"/>
          <w:sz w:val="24"/>
          <w:szCs w:val="22"/>
        </w:rPr>
        <w:t>Ex vivo perfusion technology may be used in assisting in the retrieval and transportation process.</w:t>
      </w:r>
    </w:p>
    <w:p w14:paraId="63976671" w14:textId="4CB1404E" w:rsidR="00641CEC" w:rsidRDefault="004F7DF0" w:rsidP="009C7D5A">
      <w:pPr>
        <w:spacing w:after="120"/>
        <w:rPr>
          <w:rFonts w:asciiTheme="minorHAnsi" w:hAnsiTheme="minorHAnsi" w:cstheme="minorHAnsi"/>
          <w:sz w:val="24"/>
          <w:szCs w:val="22"/>
        </w:rPr>
      </w:pPr>
      <w:r w:rsidRPr="00F17564">
        <w:rPr>
          <w:rFonts w:asciiTheme="minorHAnsi" w:hAnsiTheme="minorHAnsi" w:cstheme="minorHAnsi"/>
          <w:sz w:val="24"/>
          <w:szCs w:val="22"/>
        </w:rPr>
        <w:t>When a team has used ex vivo perfusion technology to manage the organ, an additional plane must be chartered for the machine and resources required with its use. Although the retrieval outcomes improve significantly from the use of the perfusion technology, costs of the retrieval process increase significantly.</w:t>
      </w:r>
      <w:r>
        <w:rPr>
          <w:rFonts w:asciiTheme="minorHAnsi" w:hAnsiTheme="minorHAnsi" w:cstheme="minorHAnsi"/>
          <w:sz w:val="24"/>
          <w:szCs w:val="22"/>
        </w:rPr>
        <w:t xml:space="preserve"> </w:t>
      </w:r>
      <w:r w:rsidR="00C43CA7">
        <w:rPr>
          <w:rFonts w:asciiTheme="minorHAnsi" w:hAnsiTheme="minorHAnsi" w:cstheme="minorHAnsi"/>
          <w:sz w:val="24"/>
          <w:szCs w:val="22"/>
        </w:rPr>
        <w:t>According to the Independent Hospital Pricing Authority</w:t>
      </w:r>
      <w:r w:rsidR="001129BE">
        <w:rPr>
          <w:rFonts w:asciiTheme="minorHAnsi" w:hAnsiTheme="minorHAnsi" w:cstheme="minorHAnsi"/>
          <w:sz w:val="24"/>
          <w:szCs w:val="22"/>
        </w:rPr>
        <w:t xml:space="preserve"> (IHPA)</w:t>
      </w:r>
      <w:r w:rsidR="00C43CA7">
        <w:rPr>
          <w:rFonts w:asciiTheme="minorHAnsi" w:hAnsiTheme="minorHAnsi" w:cstheme="minorHAnsi"/>
          <w:sz w:val="24"/>
          <w:szCs w:val="22"/>
        </w:rPr>
        <w:t>, the average cost of organ retrieval per separation nationally was almost $28</w:t>
      </w:r>
      <w:r w:rsidR="001129BE">
        <w:rPr>
          <w:rFonts w:asciiTheme="minorHAnsi" w:hAnsiTheme="minorHAnsi" w:cstheme="minorHAnsi"/>
          <w:sz w:val="24"/>
          <w:szCs w:val="22"/>
        </w:rPr>
        <w:t>,</w:t>
      </w:r>
      <w:r w:rsidR="00C43CA7">
        <w:rPr>
          <w:rFonts w:asciiTheme="minorHAnsi" w:hAnsiTheme="minorHAnsi" w:cstheme="minorHAnsi"/>
          <w:sz w:val="24"/>
          <w:szCs w:val="22"/>
        </w:rPr>
        <w:t>000</w:t>
      </w:r>
      <w:r w:rsidR="00E038B6">
        <w:rPr>
          <w:rFonts w:asciiTheme="minorHAnsi" w:hAnsiTheme="minorHAnsi" w:cstheme="minorHAnsi"/>
          <w:sz w:val="24"/>
          <w:szCs w:val="22"/>
        </w:rPr>
        <w:t xml:space="preserve"> AUD</w:t>
      </w:r>
      <w:r w:rsidR="00C43CA7">
        <w:rPr>
          <w:rFonts w:asciiTheme="minorHAnsi" w:hAnsiTheme="minorHAnsi" w:cstheme="minorHAnsi"/>
          <w:sz w:val="24"/>
          <w:szCs w:val="22"/>
        </w:rPr>
        <w:t>. With additional costs of chartered flights, retrieval costs may increase to upwards of $30</w:t>
      </w:r>
      <w:r w:rsidR="001129BE">
        <w:rPr>
          <w:rFonts w:asciiTheme="minorHAnsi" w:hAnsiTheme="minorHAnsi" w:cstheme="minorHAnsi"/>
          <w:sz w:val="24"/>
          <w:szCs w:val="22"/>
        </w:rPr>
        <w:t>,</w:t>
      </w:r>
      <w:r w:rsidR="00C43CA7">
        <w:rPr>
          <w:rFonts w:asciiTheme="minorHAnsi" w:hAnsiTheme="minorHAnsi" w:cstheme="minorHAnsi"/>
          <w:sz w:val="24"/>
          <w:szCs w:val="22"/>
        </w:rPr>
        <w:t xml:space="preserve">000 </w:t>
      </w:r>
      <w:r w:rsidR="001129BE">
        <w:rPr>
          <w:rFonts w:asciiTheme="minorHAnsi" w:hAnsiTheme="minorHAnsi" w:cstheme="minorHAnsi"/>
          <w:sz w:val="24"/>
          <w:szCs w:val="22"/>
        </w:rPr>
        <w:t xml:space="preserve">to </w:t>
      </w:r>
      <w:r w:rsidR="00C43CA7">
        <w:rPr>
          <w:rFonts w:asciiTheme="minorHAnsi" w:hAnsiTheme="minorHAnsi" w:cstheme="minorHAnsi"/>
          <w:sz w:val="24"/>
          <w:szCs w:val="22"/>
        </w:rPr>
        <w:t>$40</w:t>
      </w:r>
      <w:r w:rsidR="001129BE">
        <w:rPr>
          <w:rFonts w:asciiTheme="minorHAnsi" w:hAnsiTheme="minorHAnsi" w:cstheme="minorHAnsi"/>
          <w:sz w:val="24"/>
          <w:szCs w:val="22"/>
        </w:rPr>
        <w:t>,</w:t>
      </w:r>
      <w:r w:rsidR="00C43CA7">
        <w:rPr>
          <w:rFonts w:asciiTheme="minorHAnsi" w:hAnsiTheme="minorHAnsi" w:cstheme="minorHAnsi"/>
          <w:sz w:val="24"/>
          <w:szCs w:val="22"/>
        </w:rPr>
        <w:t>000</w:t>
      </w:r>
      <w:r w:rsidR="00E038B6">
        <w:rPr>
          <w:rFonts w:asciiTheme="minorHAnsi" w:hAnsiTheme="minorHAnsi" w:cstheme="minorHAnsi"/>
          <w:sz w:val="24"/>
          <w:szCs w:val="22"/>
        </w:rPr>
        <w:t xml:space="preserve"> </w:t>
      </w:r>
      <w:r w:rsidR="00BA2EBD">
        <w:rPr>
          <w:rFonts w:asciiTheme="minorHAnsi" w:hAnsiTheme="minorHAnsi" w:cstheme="minorHAnsi"/>
          <w:sz w:val="24"/>
          <w:szCs w:val="22"/>
        </w:rPr>
        <w:t>AUD d</w:t>
      </w:r>
      <w:r w:rsidR="00C43CA7">
        <w:rPr>
          <w:rFonts w:asciiTheme="minorHAnsi" w:hAnsiTheme="minorHAnsi" w:cstheme="minorHAnsi"/>
          <w:sz w:val="24"/>
          <w:szCs w:val="22"/>
        </w:rPr>
        <w:t>epending on the number of charters required and the distance</w:t>
      </w:r>
      <w:r w:rsidR="008A4A4E">
        <w:rPr>
          <w:rFonts w:asciiTheme="minorHAnsi" w:hAnsiTheme="minorHAnsi" w:cstheme="minorHAnsi"/>
          <w:sz w:val="24"/>
          <w:szCs w:val="22"/>
        </w:rPr>
        <w:t xml:space="preserve"> travelled</w:t>
      </w:r>
      <w:r w:rsidR="00C43CA7">
        <w:rPr>
          <w:rFonts w:asciiTheme="minorHAnsi" w:hAnsiTheme="minorHAnsi" w:cstheme="minorHAnsi"/>
          <w:sz w:val="24"/>
          <w:szCs w:val="22"/>
        </w:rPr>
        <w:t>.</w:t>
      </w:r>
    </w:p>
    <w:p w14:paraId="3582E8D1" w14:textId="77777777" w:rsidR="001E17E5" w:rsidRPr="00D930F7" w:rsidRDefault="001E17E5" w:rsidP="00AE3ED1">
      <w:pPr>
        <w:shd w:val="clear" w:color="auto" w:fill="DCEFF4"/>
        <w:spacing w:after="120"/>
        <w:rPr>
          <w:rFonts w:asciiTheme="minorHAnsi" w:hAnsiTheme="minorHAnsi" w:cstheme="minorHAnsi"/>
          <w:b/>
          <w:sz w:val="22"/>
          <w:szCs w:val="22"/>
        </w:rPr>
      </w:pPr>
      <w:r w:rsidRPr="00D930F7">
        <w:rPr>
          <w:rFonts w:asciiTheme="minorHAnsi" w:hAnsiTheme="minorHAnsi" w:cstheme="minorHAnsi"/>
          <w:b/>
          <w:sz w:val="22"/>
          <w:szCs w:val="22"/>
        </w:rPr>
        <w:t xml:space="preserve">The utility of ex vivo perfusion for transplantation </w:t>
      </w:r>
    </w:p>
    <w:p w14:paraId="7A2A5FFB" w14:textId="77777777" w:rsidR="001E17E5" w:rsidRPr="00AE3ED1" w:rsidRDefault="001E17E5" w:rsidP="00AE3ED1">
      <w:pPr>
        <w:shd w:val="clear" w:color="auto" w:fill="DCEFF4"/>
        <w:spacing w:after="120"/>
        <w:rPr>
          <w:rFonts w:asciiTheme="minorHAnsi" w:hAnsiTheme="minorHAnsi" w:cstheme="minorHAnsi"/>
          <w:sz w:val="22"/>
          <w:szCs w:val="22"/>
        </w:rPr>
      </w:pPr>
      <w:r w:rsidRPr="00AE3ED1">
        <w:rPr>
          <w:rFonts w:asciiTheme="minorHAnsi" w:hAnsiTheme="minorHAnsi" w:cstheme="minorHAnsi"/>
          <w:sz w:val="22"/>
          <w:szCs w:val="22"/>
        </w:rPr>
        <w:t>After explant, perfusing donor organs outside the donor’s body enables assessment, measurement, prolonged protection and even better treatment of those organs prior to surgical implantation in the transplant recipient. This concept has been best applied to medically extended donor organs including physiologically marginal organs and questionable about suitability for transplant or organs with an expected long ischaemic period before implantation, for example, due to Donation after cardiac Death (DCD) or logistics (surgical team is already operation, long transport distances, or a need for time to crossmatch or to get a donor Nucleic Acid Test). The latter situations are all particularly common in the Australian donation landscape. Further, there are suggestions the future will see all organs placed on such a system to improve, optimise and even individualise them for the new recipient.</w:t>
      </w:r>
    </w:p>
    <w:p w14:paraId="26972D9C" w14:textId="716320E4" w:rsidR="001E17E5" w:rsidRPr="00AE3ED1" w:rsidRDefault="001E17E5" w:rsidP="00AE3ED1">
      <w:pPr>
        <w:shd w:val="clear" w:color="auto" w:fill="DCEFF4"/>
        <w:spacing w:after="120"/>
        <w:rPr>
          <w:rFonts w:asciiTheme="minorHAnsi" w:hAnsiTheme="minorHAnsi" w:cstheme="minorHAnsi"/>
          <w:sz w:val="22"/>
          <w:szCs w:val="22"/>
        </w:rPr>
      </w:pPr>
      <w:r w:rsidRPr="00AE3ED1">
        <w:rPr>
          <w:rFonts w:asciiTheme="minorHAnsi" w:hAnsiTheme="minorHAnsi" w:cstheme="minorHAnsi"/>
          <w:sz w:val="22"/>
          <w:szCs w:val="22"/>
        </w:rPr>
        <w:t>These ex vivo perfusion machines, as seen below have proved most useful in the heart (Figure 6), and lung (Figure 7 and 8), or kidneys transplant fields.  Similar early work is actively underway in the liver transplant arena. The challenge is that the machines are expensive to buy, typically have expensive consumables and require significant local skilled staff and space to operate. This is true particularly for heart, lung and liver perfusion devices. Cost-effectiveness studies have not done to any extent, except in kidney transplantation. In theory, following ex vivo assessment, a better functioning heart, lung or liver graft could save significant patient morbidity, mortality, as well as ICU and hospital costs.</w:t>
      </w:r>
    </w:p>
    <w:p w14:paraId="4CC3854D" w14:textId="77777777" w:rsidR="001E17E5" w:rsidRPr="00AE3ED1" w:rsidRDefault="001E17E5" w:rsidP="00AE3ED1">
      <w:pPr>
        <w:pStyle w:val="Caption"/>
        <w:keepNext/>
        <w:shd w:val="clear" w:color="auto" w:fill="DCEFF4"/>
        <w:spacing w:after="120"/>
        <w:rPr>
          <w:rFonts w:asciiTheme="minorHAnsi" w:hAnsiTheme="minorHAnsi" w:cstheme="minorHAnsi"/>
          <w:b w:val="0"/>
          <w:color w:val="808080"/>
        </w:rPr>
      </w:pPr>
      <w:r w:rsidRPr="00AE3ED1">
        <w:rPr>
          <w:rFonts w:asciiTheme="minorHAnsi" w:hAnsiTheme="minorHAnsi" w:cstheme="minorHAnsi"/>
          <w:b w:val="0"/>
          <w:color w:val="808080"/>
        </w:rPr>
        <w:lastRenderedPageBreak/>
        <w:t xml:space="preserve">Figure </w:t>
      </w:r>
      <w:r w:rsidRPr="00AE3ED1">
        <w:rPr>
          <w:rFonts w:asciiTheme="minorHAnsi" w:hAnsiTheme="minorHAnsi" w:cstheme="minorHAnsi"/>
          <w:b w:val="0"/>
          <w:color w:val="808080"/>
        </w:rPr>
        <w:fldChar w:fldCharType="begin"/>
      </w:r>
      <w:r w:rsidRPr="00AE3ED1">
        <w:rPr>
          <w:rFonts w:asciiTheme="minorHAnsi" w:hAnsiTheme="minorHAnsi" w:cstheme="minorHAnsi"/>
          <w:b w:val="0"/>
          <w:color w:val="808080"/>
        </w:rPr>
        <w:instrText xml:space="preserve"> SEQ Figure \* ARABIC </w:instrText>
      </w:r>
      <w:r w:rsidRPr="00AE3ED1">
        <w:rPr>
          <w:rFonts w:asciiTheme="minorHAnsi" w:hAnsiTheme="minorHAnsi" w:cstheme="minorHAnsi"/>
          <w:b w:val="0"/>
          <w:color w:val="808080"/>
        </w:rPr>
        <w:fldChar w:fldCharType="separate"/>
      </w:r>
      <w:r w:rsidRPr="00AE3ED1">
        <w:rPr>
          <w:rFonts w:asciiTheme="minorHAnsi" w:hAnsiTheme="minorHAnsi" w:cstheme="minorHAnsi"/>
          <w:b w:val="0"/>
          <w:noProof/>
          <w:color w:val="808080"/>
        </w:rPr>
        <w:t>6</w:t>
      </w:r>
      <w:r w:rsidRPr="00AE3ED1">
        <w:rPr>
          <w:rFonts w:asciiTheme="minorHAnsi" w:hAnsiTheme="minorHAnsi" w:cstheme="minorHAnsi"/>
          <w:b w:val="0"/>
          <w:color w:val="808080"/>
        </w:rPr>
        <w:fldChar w:fldCharType="end"/>
      </w:r>
      <w:r w:rsidRPr="00AE3ED1">
        <w:rPr>
          <w:rFonts w:asciiTheme="minorHAnsi" w:hAnsiTheme="minorHAnsi" w:cstheme="minorHAnsi"/>
          <w:b w:val="0"/>
          <w:color w:val="808080"/>
        </w:rPr>
        <w:t>: Transmedic, ex vivo heart perfusion, SOURCE: Dhital, et al 2015</w:t>
      </w:r>
      <w:r w:rsidRPr="00AE3ED1">
        <w:rPr>
          <w:rStyle w:val="FootnoteReference"/>
          <w:rFonts w:cstheme="minorHAnsi"/>
          <w:b w:val="0"/>
          <w:color w:val="808080"/>
          <w:sz w:val="14"/>
        </w:rPr>
        <w:footnoteReference w:id="55"/>
      </w:r>
    </w:p>
    <w:p w14:paraId="02F1AC2A" w14:textId="2FDEE652" w:rsidR="001E17E5" w:rsidRPr="000D11CE" w:rsidRDefault="001E17E5" w:rsidP="00AE3ED1">
      <w:pPr>
        <w:shd w:val="clear" w:color="auto" w:fill="DCEFF4"/>
        <w:spacing w:after="120"/>
        <w:rPr>
          <w:rFonts w:asciiTheme="minorHAnsi" w:hAnsiTheme="minorHAnsi" w:cstheme="minorHAnsi"/>
          <w:sz w:val="24"/>
          <w:szCs w:val="22"/>
        </w:rPr>
      </w:pPr>
      <w:r w:rsidRPr="000D11CE">
        <w:rPr>
          <w:rFonts w:asciiTheme="minorHAnsi" w:hAnsiTheme="minorHAnsi" w:cstheme="minorHAnsi"/>
          <w:noProof/>
          <w:sz w:val="18"/>
          <w:szCs w:val="22"/>
          <w:lang w:eastAsia="en-AU"/>
        </w:rPr>
        <w:drawing>
          <wp:inline distT="0" distB="0" distL="0" distR="0" wp14:anchorId="527BCB7A" wp14:editId="7239D64B">
            <wp:extent cx="1749425" cy="1438910"/>
            <wp:effectExtent l="0" t="0" r="3175" b="8890"/>
            <wp:docPr id="7" name="Picture 7" descr="Figure 6 is a photgraphic image of transmedic ex vivo heart perfu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9425" cy="1438910"/>
                    </a:xfrm>
                    <a:prstGeom prst="rect">
                      <a:avLst/>
                    </a:prstGeom>
                    <a:noFill/>
                    <a:ln>
                      <a:noFill/>
                    </a:ln>
                  </pic:spPr>
                </pic:pic>
              </a:graphicData>
            </a:graphic>
          </wp:inline>
        </w:drawing>
      </w:r>
    </w:p>
    <w:p w14:paraId="2F775734" w14:textId="77777777" w:rsidR="001E17E5" w:rsidRPr="00AE3ED1" w:rsidRDefault="001E17E5" w:rsidP="00AE3ED1">
      <w:pPr>
        <w:pStyle w:val="Caption"/>
        <w:keepNext/>
        <w:shd w:val="clear" w:color="auto" w:fill="DCEFF4"/>
        <w:spacing w:after="120"/>
        <w:rPr>
          <w:rFonts w:asciiTheme="minorHAnsi" w:hAnsiTheme="minorHAnsi" w:cstheme="minorHAnsi"/>
          <w:b w:val="0"/>
          <w:color w:val="808080"/>
        </w:rPr>
      </w:pPr>
      <w:r w:rsidRPr="00AE3ED1">
        <w:rPr>
          <w:rFonts w:asciiTheme="minorHAnsi" w:hAnsiTheme="minorHAnsi" w:cstheme="minorHAnsi"/>
          <w:b w:val="0"/>
          <w:color w:val="808080"/>
        </w:rPr>
        <w:t xml:space="preserve">Figure </w:t>
      </w:r>
      <w:r w:rsidRPr="00AE3ED1">
        <w:rPr>
          <w:rFonts w:asciiTheme="minorHAnsi" w:hAnsiTheme="minorHAnsi" w:cstheme="minorHAnsi"/>
          <w:b w:val="0"/>
          <w:color w:val="808080"/>
        </w:rPr>
        <w:fldChar w:fldCharType="begin"/>
      </w:r>
      <w:r w:rsidRPr="00AE3ED1">
        <w:rPr>
          <w:rFonts w:asciiTheme="minorHAnsi" w:hAnsiTheme="minorHAnsi" w:cstheme="minorHAnsi"/>
          <w:b w:val="0"/>
          <w:color w:val="808080"/>
        </w:rPr>
        <w:instrText xml:space="preserve"> SEQ Figure \* ARABIC </w:instrText>
      </w:r>
      <w:r w:rsidRPr="00AE3ED1">
        <w:rPr>
          <w:rFonts w:asciiTheme="minorHAnsi" w:hAnsiTheme="minorHAnsi" w:cstheme="minorHAnsi"/>
          <w:b w:val="0"/>
          <w:color w:val="808080"/>
        </w:rPr>
        <w:fldChar w:fldCharType="separate"/>
      </w:r>
      <w:r w:rsidRPr="00AE3ED1">
        <w:rPr>
          <w:rFonts w:asciiTheme="minorHAnsi" w:hAnsiTheme="minorHAnsi" w:cstheme="minorHAnsi"/>
          <w:b w:val="0"/>
          <w:noProof/>
          <w:color w:val="808080"/>
        </w:rPr>
        <w:t>7</w:t>
      </w:r>
      <w:r w:rsidRPr="00AE3ED1">
        <w:rPr>
          <w:rFonts w:asciiTheme="minorHAnsi" w:hAnsiTheme="minorHAnsi" w:cstheme="minorHAnsi"/>
          <w:b w:val="0"/>
          <w:color w:val="808080"/>
        </w:rPr>
        <w:fldChar w:fldCharType="end"/>
      </w:r>
      <w:r w:rsidRPr="00AE3ED1">
        <w:rPr>
          <w:rFonts w:asciiTheme="minorHAnsi" w:hAnsiTheme="minorHAnsi" w:cstheme="minorHAnsi"/>
          <w:b w:val="0"/>
          <w:color w:val="808080"/>
        </w:rPr>
        <w:t>: Ex vivo lung perfusion machine console, SOURCE: Cypel and Keshavjee 2016</w:t>
      </w:r>
      <w:r w:rsidRPr="00AE3ED1">
        <w:rPr>
          <w:rStyle w:val="FootnoteReference"/>
          <w:rFonts w:cstheme="minorHAnsi"/>
          <w:b w:val="0"/>
          <w:color w:val="808080"/>
          <w:sz w:val="14"/>
        </w:rPr>
        <w:footnoteReference w:id="56"/>
      </w:r>
    </w:p>
    <w:p w14:paraId="1536A0FF" w14:textId="3908AE14" w:rsidR="001E17E5" w:rsidRPr="000D11CE" w:rsidRDefault="001E17E5" w:rsidP="00AE3ED1">
      <w:pPr>
        <w:shd w:val="clear" w:color="auto" w:fill="DCEFF4"/>
        <w:spacing w:after="120"/>
        <w:rPr>
          <w:rFonts w:asciiTheme="minorHAnsi" w:hAnsiTheme="minorHAnsi" w:cstheme="minorHAnsi"/>
          <w:sz w:val="24"/>
          <w:szCs w:val="22"/>
        </w:rPr>
      </w:pPr>
      <w:r w:rsidRPr="000D11CE">
        <w:rPr>
          <w:rFonts w:asciiTheme="minorHAnsi" w:hAnsiTheme="minorHAnsi" w:cstheme="minorHAnsi"/>
          <w:noProof/>
          <w:sz w:val="18"/>
          <w:szCs w:val="22"/>
          <w:lang w:eastAsia="en-AU"/>
        </w:rPr>
        <w:drawing>
          <wp:inline distT="0" distB="0" distL="0" distR="0" wp14:anchorId="26A38469" wp14:editId="6A1B6BEF">
            <wp:extent cx="1971675" cy="1438910"/>
            <wp:effectExtent l="0" t="0" r="9525" b="8890"/>
            <wp:docPr id="12" name="Picture 12" descr="Figure 7 is a photgraphic image of  Ex vivo lung perfusion machine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1675" cy="1438910"/>
                    </a:xfrm>
                    <a:prstGeom prst="rect">
                      <a:avLst/>
                    </a:prstGeom>
                    <a:noFill/>
                    <a:ln>
                      <a:noFill/>
                    </a:ln>
                  </pic:spPr>
                </pic:pic>
              </a:graphicData>
            </a:graphic>
          </wp:inline>
        </w:drawing>
      </w:r>
    </w:p>
    <w:p w14:paraId="794F5BE8" w14:textId="77777777" w:rsidR="001E17E5" w:rsidRPr="00AE3ED1" w:rsidRDefault="001E17E5" w:rsidP="00AE3ED1">
      <w:pPr>
        <w:pStyle w:val="Caption"/>
        <w:keepNext/>
        <w:shd w:val="clear" w:color="auto" w:fill="DCEFF4"/>
        <w:spacing w:after="120"/>
        <w:rPr>
          <w:rFonts w:asciiTheme="minorHAnsi" w:hAnsiTheme="minorHAnsi" w:cstheme="minorHAnsi"/>
          <w:b w:val="0"/>
          <w:color w:val="808080"/>
        </w:rPr>
      </w:pPr>
      <w:r w:rsidRPr="00AE3ED1">
        <w:rPr>
          <w:rFonts w:asciiTheme="minorHAnsi" w:hAnsiTheme="minorHAnsi" w:cstheme="minorHAnsi"/>
          <w:b w:val="0"/>
          <w:color w:val="808080"/>
        </w:rPr>
        <w:t xml:space="preserve">Figure </w:t>
      </w:r>
      <w:r w:rsidRPr="00AE3ED1">
        <w:rPr>
          <w:rFonts w:asciiTheme="minorHAnsi" w:hAnsiTheme="minorHAnsi" w:cstheme="minorHAnsi"/>
          <w:b w:val="0"/>
          <w:color w:val="808080"/>
        </w:rPr>
        <w:fldChar w:fldCharType="begin"/>
      </w:r>
      <w:r w:rsidRPr="00AE3ED1">
        <w:rPr>
          <w:rFonts w:asciiTheme="minorHAnsi" w:hAnsiTheme="minorHAnsi" w:cstheme="minorHAnsi"/>
          <w:b w:val="0"/>
          <w:color w:val="808080"/>
        </w:rPr>
        <w:instrText xml:space="preserve"> SEQ Figure \* ARABIC </w:instrText>
      </w:r>
      <w:r w:rsidRPr="00AE3ED1">
        <w:rPr>
          <w:rFonts w:asciiTheme="minorHAnsi" w:hAnsiTheme="minorHAnsi" w:cstheme="minorHAnsi"/>
          <w:b w:val="0"/>
          <w:color w:val="808080"/>
        </w:rPr>
        <w:fldChar w:fldCharType="separate"/>
      </w:r>
      <w:r w:rsidRPr="00AE3ED1">
        <w:rPr>
          <w:rFonts w:asciiTheme="minorHAnsi" w:hAnsiTheme="minorHAnsi" w:cstheme="minorHAnsi"/>
          <w:b w:val="0"/>
          <w:noProof/>
          <w:color w:val="808080"/>
        </w:rPr>
        <w:t>8</w:t>
      </w:r>
      <w:r w:rsidRPr="00AE3ED1">
        <w:rPr>
          <w:rFonts w:asciiTheme="minorHAnsi" w:hAnsiTheme="minorHAnsi" w:cstheme="minorHAnsi"/>
          <w:b w:val="0"/>
          <w:color w:val="808080"/>
        </w:rPr>
        <w:fldChar w:fldCharType="end"/>
      </w:r>
      <w:r w:rsidRPr="00AE3ED1">
        <w:rPr>
          <w:rFonts w:asciiTheme="minorHAnsi" w:hAnsiTheme="minorHAnsi" w:cstheme="minorHAnsi"/>
          <w:b w:val="0"/>
          <w:color w:val="808080"/>
        </w:rPr>
        <w:t>: Ex vivo lung perfusion lung under assessment dome, SOURCE: Cypel and Keshavjee 2016</w:t>
      </w:r>
      <w:r w:rsidRPr="00AE3ED1">
        <w:rPr>
          <w:rStyle w:val="FootnoteReference"/>
          <w:rFonts w:cstheme="minorHAnsi"/>
          <w:b w:val="0"/>
          <w:color w:val="808080"/>
          <w:sz w:val="14"/>
        </w:rPr>
        <w:footnoteReference w:id="57"/>
      </w:r>
    </w:p>
    <w:p w14:paraId="1D0B1194" w14:textId="30ABFA02" w:rsidR="001E17E5" w:rsidRDefault="001E17E5" w:rsidP="00AE3ED1">
      <w:pPr>
        <w:shd w:val="clear" w:color="auto" w:fill="DCEFF4"/>
        <w:spacing w:after="120"/>
        <w:rPr>
          <w:rFonts w:asciiTheme="minorHAnsi" w:hAnsiTheme="minorHAnsi" w:cstheme="minorHAnsi"/>
          <w:sz w:val="24"/>
          <w:szCs w:val="22"/>
        </w:rPr>
      </w:pPr>
      <w:r w:rsidRPr="00AE3ED1">
        <w:rPr>
          <w:rFonts w:asciiTheme="minorHAnsi" w:hAnsiTheme="minorHAnsi" w:cstheme="minorHAnsi"/>
          <w:noProof/>
          <w:sz w:val="18"/>
          <w:szCs w:val="22"/>
          <w:highlight w:val="yellow"/>
          <w:lang w:eastAsia="en-AU"/>
        </w:rPr>
        <w:drawing>
          <wp:inline distT="0" distB="0" distL="0" distR="0" wp14:anchorId="50A2DA12" wp14:editId="1294B8FD">
            <wp:extent cx="1932305" cy="1447165"/>
            <wp:effectExtent l="0" t="0" r="0" b="635"/>
            <wp:docPr id="24" name="Picture 24" descr="Figure 8 is a photgraphic image of  Ex vivo lung perfusion lung under 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2305" cy="1447165"/>
                    </a:xfrm>
                    <a:prstGeom prst="rect">
                      <a:avLst/>
                    </a:prstGeom>
                    <a:noFill/>
                    <a:ln>
                      <a:noFill/>
                    </a:ln>
                  </pic:spPr>
                </pic:pic>
              </a:graphicData>
            </a:graphic>
          </wp:inline>
        </w:drawing>
      </w:r>
    </w:p>
    <w:p w14:paraId="4241F1B7" w14:textId="77777777" w:rsidR="00BA2EBD" w:rsidRDefault="00BA2EBD" w:rsidP="00D40C14">
      <w:pPr>
        <w:pStyle w:val="Heading3"/>
        <w:tabs>
          <w:tab w:val="clear" w:pos="1843"/>
          <w:tab w:val="num" w:pos="1559"/>
        </w:tabs>
        <w:ind w:left="992" w:hanging="992"/>
        <w:rPr>
          <w:rFonts w:asciiTheme="minorHAnsi" w:hAnsiTheme="minorHAnsi" w:cstheme="minorHAnsi"/>
          <w:color w:val="7F7F7F" w:themeColor="text1" w:themeTint="80"/>
          <w:sz w:val="30"/>
          <w:szCs w:val="30"/>
        </w:rPr>
      </w:pPr>
      <w:r w:rsidRPr="00D40C14">
        <w:rPr>
          <w:rFonts w:asciiTheme="minorHAnsi" w:hAnsiTheme="minorHAnsi" w:cstheme="minorHAnsi"/>
          <w:b w:val="0"/>
          <w:color w:val="7F7F7F" w:themeColor="text1" w:themeTint="80"/>
          <w:sz w:val="30"/>
          <w:szCs w:val="30"/>
        </w:rPr>
        <w:t>Performance of the Australian organ retrieval services</w:t>
      </w:r>
    </w:p>
    <w:p w14:paraId="76E2CC33" w14:textId="31881BC0" w:rsidR="00011755" w:rsidRDefault="003247D8">
      <w:pPr>
        <w:spacing w:after="120"/>
        <w:rPr>
          <w:rFonts w:asciiTheme="minorHAnsi" w:hAnsiTheme="minorHAnsi" w:cstheme="minorHAnsi"/>
          <w:sz w:val="24"/>
          <w:szCs w:val="22"/>
        </w:rPr>
      </w:pPr>
      <w:r w:rsidRPr="00D40C14">
        <w:rPr>
          <w:rFonts w:asciiTheme="minorHAnsi" w:hAnsiTheme="minorHAnsi" w:cstheme="minorHAnsi"/>
          <w:sz w:val="24"/>
          <w:szCs w:val="22"/>
        </w:rPr>
        <w:t>In 2017, a tota</w:t>
      </w:r>
      <w:r w:rsidRPr="003247D8">
        <w:rPr>
          <w:rFonts w:asciiTheme="minorHAnsi" w:hAnsiTheme="minorHAnsi" w:cstheme="minorHAnsi"/>
          <w:sz w:val="24"/>
          <w:szCs w:val="22"/>
        </w:rPr>
        <w:t>l of 1</w:t>
      </w:r>
      <w:r w:rsidR="00D11AEE">
        <w:rPr>
          <w:rFonts w:asciiTheme="minorHAnsi" w:hAnsiTheme="minorHAnsi" w:cstheme="minorHAnsi"/>
          <w:sz w:val="24"/>
          <w:szCs w:val="22"/>
        </w:rPr>
        <w:t>,</w:t>
      </w:r>
      <w:r w:rsidRPr="003247D8">
        <w:rPr>
          <w:rFonts w:asciiTheme="minorHAnsi" w:hAnsiTheme="minorHAnsi" w:cstheme="minorHAnsi"/>
          <w:sz w:val="24"/>
          <w:szCs w:val="22"/>
        </w:rPr>
        <w:t>595 organs were retrieved across Australia.</w:t>
      </w:r>
      <w:r w:rsidR="00A85F57">
        <w:rPr>
          <w:rStyle w:val="FootnoteReference"/>
          <w:rFonts w:cstheme="minorHAnsi"/>
        </w:rPr>
        <w:footnoteReference w:id="58"/>
      </w:r>
      <w:r w:rsidRPr="003247D8">
        <w:rPr>
          <w:rFonts w:asciiTheme="minorHAnsi" w:hAnsiTheme="minorHAnsi" w:cstheme="minorHAnsi"/>
          <w:sz w:val="24"/>
          <w:szCs w:val="22"/>
        </w:rPr>
        <w:t xml:space="preserve"> </w:t>
      </w:r>
      <w:r w:rsidR="006925E1">
        <w:rPr>
          <w:rFonts w:asciiTheme="minorHAnsi" w:hAnsiTheme="minorHAnsi" w:cstheme="minorHAnsi"/>
          <w:sz w:val="24"/>
          <w:szCs w:val="22"/>
        </w:rPr>
        <w:fldChar w:fldCharType="begin"/>
      </w:r>
      <w:r w:rsidR="006925E1">
        <w:rPr>
          <w:rFonts w:asciiTheme="minorHAnsi" w:hAnsiTheme="minorHAnsi" w:cstheme="minorHAnsi"/>
          <w:sz w:val="24"/>
          <w:szCs w:val="22"/>
        </w:rPr>
        <w:instrText xml:space="preserve"> REF _Ref526968846 \h  \* MERGEFORMAT </w:instrText>
      </w:r>
      <w:r w:rsidR="006925E1">
        <w:rPr>
          <w:rFonts w:asciiTheme="minorHAnsi" w:hAnsiTheme="minorHAnsi" w:cstheme="minorHAnsi"/>
          <w:sz w:val="24"/>
          <w:szCs w:val="22"/>
        </w:rPr>
      </w:r>
      <w:r w:rsidR="006925E1">
        <w:rPr>
          <w:rFonts w:asciiTheme="minorHAnsi" w:hAnsiTheme="minorHAnsi" w:cstheme="minorHAnsi"/>
          <w:sz w:val="24"/>
          <w:szCs w:val="22"/>
        </w:rPr>
        <w:fldChar w:fldCharType="separate"/>
      </w:r>
      <w:r w:rsidR="00A04048" w:rsidRPr="00C75FAB">
        <w:rPr>
          <w:rFonts w:asciiTheme="minorHAnsi" w:hAnsiTheme="minorHAnsi" w:cstheme="minorHAnsi"/>
          <w:sz w:val="24"/>
          <w:szCs w:val="22"/>
        </w:rPr>
        <w:t>Table 4</w:t>
      </w:r>
      <w:r w:rsidR="006925E1">
        <w:rPr>
          <w:rFonts w:asciiTheme="minorHAnsi" w:hAnsiTheme="minorHAnsi" w:cstheme="minorHAnsi"/>
          <w:sz w:val="24"/>
          <w:szCs w:val="22"/>
        </w:rPr>
        <w:fldChar w:fldCharType="end"/>
      </w:r>
      <w:r>
        <w:rPr>
          <w:rFonts w:asciiTheme="minorHAnsi" w:hAnsiTheme="minorHAnsi" w:cstheme="minorHAnsi"/>
          <w:sz w:val="24"/>
          <w:szCs w:val="22"/>
        </w:rPr>
        <w:t xml:space="preserve"> illustrates the total number of organ retrieval procedures performed by each state or territories retrieval teams.</w:t>
      </w:r>
      <w:r w:rsidR="00011755">
        <w:rPr>
          <w:rFonts w:asciiTheme="minorHAnsi" w:hAnsiTheme="minorHAnsi" w:cstheme="minorHAnsi"/>
          <w:sz w:val="24"/>
          <w:szCs w:val="22"/>
        </w:rPr>
        <w:br w:type="page"/>
      </w:r>
    </w:p>
    <w:p w14:paraId="75C0AEBE" w14:textId="10D74DF0" w:rsidR="003247D8" w:rsidRPr="00D40C14" w:rsidRDefault="00A4075A" w:rsidP="002455C6">
      <w:pPr>
        <w:pStyle w:val="Caption"/>
        <w:spacing w:after="120"/>
        <w:rPr>
          <w:rFonts w:asciiTheme="minorHAnsi" w:hAnsiTheme="minorHAnsi" w:cstheme="minorHAnsi"/>
          <w:color w:val="808080"/>
          <w:sz w:val="20"/>
        </w:rPr>
      </w:pPr>
      <w:bookmarkStart w:id="148" w:name="_Ref526968846"/>
      <w:r w:rsidRPr="00D40C14">
        <w:rPr>
          <w:rFonts w:asciiTheme="minorHAnsi" w:hAnsiTheme="minorHAnsi" w:cstheme="minorHAnsi"/>
          <w:b w:val="0"/>
          <w:color w:val="808080"/>
          <w:sz w:val="20"/>
        </w:rPr>
        <w:lastRenderedPageBreak/>
        <w:t xml:space="preserve">Table </w:t>
      </w:r>
      <w:r w:rsidRPr="00D40C14">
        <w:rPr>
          <w:rFonts w:asciiTheme="minorHAnsi" w:hAnsiTheme="minorHAnsi" w:cstheme="minorHAnsi"/>
          <w:b w:val="0"/>
          <w:color w:val="808080"/>
          <w:sz w:val="20"/>
        </w:rPr>
        <w:fldChar w:fldCharType="begin"/>
      </w:r>
      <w:r w:rsidRPr="00D40C14">
        <w:rPr>
          <w:rFonts w:asciiTheme="minorHAnsi" w:hAnsiTheme="minorHAnsi" w:cstheme="minorHAnsi"/>
          <w:b w:val="0"/>
          <w:color w:val="808080"/>
          <w:sz w:val="20"/>
        </w:rPr>
        <w:instrText xml:space="preserve"> SEQ Table \* ARABIC </w:instrText>
      </w:r>
      <w:r w:rsidRPr="00D40C14">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4</w:t>
      </w:r>
      <w:r w:rsidRPr="00D40C14">
        <w:rPr>
          <w:rFonts w:asciiTheme="minorHAnsi" w:hAnsiTheme="minorHAnsi" w:cstheme="minorHAnsi"/>
          <w:b w:val="0"/>
          <w:color w:val="808080"/>
          <w:sz w:val="20"/>
        </w:rPr>
        <w:fldChar w:fldCharType="end"/>
      </w:r>
      <w:bookmarkEnd w:id="148"/>
      <w:r w:rsidRPr="00D40C14">
        <w:rPr>
          <w:rFonts w:asciiTheme="minorHAnsi" w:hAnsiTheme="minorHAnsi" w:cstheme="minorHAnsi"/>
          <w:b w:val="0"/>
          <w:color w:val="808080"/>
          <w:sz w:val="20"/>
        </w:rPr>
        <w:t>: Total organ retrievals performed in 2017 (by state or territory)</w:t>
      </w:r>
      <w:r w:rsidR="00237017">
        <w:rPr>
          <w:rFonts w:asciiTheme="minorHAnsi" w:hAnsiTheme="minorHAnsi" w:cstheme="minorHAnsi"/>
          <w:b w:val="0"/>
          <w:color w:val="808080"/>
          <w:sz w:val="20"/>
        </w:rPr>
        <w:t>, SOURCE: ANZOD</w:t>
      </w:r>
      <w:r w:rsidR="00BB2B83">
        <w:rPr>
          <w:rStyle w:val="FootnoteReference"/>
          <w:rFonts w:cstheme="minorHAnsi"/>
          <w:b w:val="0"/>
          <w:color w:val="808080"/>
        </w:rPr>
        <w:footnoteReference w:id="59"/>
      </w:r>
      <w:r w:rsidR="003247D8" w:rsidRPr="00D40C14">
        <w:rPr>
          <w:rFonts w:asciiTheme="minorHAnsi" w:hAnsiTheme="minorHAnsi" w:cstheme="minorHAnsi"/>
          <w:b w:val="0"/>
          <w:color w:val="808080"/>
          <w:sz w:val="20"/>
        </w:rPr>
        <w:t xml:space="preserve"> </w:t>
      </w:r>
    </w:p>
    <w:tbl>
      <w:tblPr>
        <w:tblStyle w:val="TableGrid"/>
        <w:tblW w:w="2359"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Queensland, three hundred and nineteen, Northern Territory, seven, Western Australia, one hundres and seventy eight, Victoria, five hundred and twenty three, New South Wales, four hundred and eighty seven, South Australia, eighty one. Total organ retrievals performed in Australia in two thousand and seventeen, was one thousand, five hundred and ninty five. "/>
      </w:tblPr>
      <w:tblGrid>
        <w:gridCol w:w="2123"/>
        <w:gridCol w:w="2409"/>
      </w:tblGrid>
      <w:tr w:rsidR="00A4075A" w:rsidRPr="00A4075A" w14:paraId="2E62306D" w14:textId="77777777" w:rsidTr="00AE49EA">
        <w:trPr>
          <w:trHeight w:val="253"/>
          <w:tblHeader/>
        </w:trPr>
        <w:tc>
          <w:tcPr>
            <w:tcW w:w="2342" w:type="pct"/>
            <w:shd w:val="clear" w:color="auto" w:fill="595959" w:themeFill="text1" w:themeFillTint="A6"/>
            <w:noWrap/>
          </w:tcPr>
          <w:p w14:paraId="7BFCB6B7" w14:textId="77777777" w:rsidR="00A4075A" w:rsidRPr="00D40C14" w:rsidRDefault="00A4075A" w:rsidP="00447661">
            <w:pPr>
              <w:widowControl/>
              <w:autoSpaceDE/>
              <w:autoSpaceDN/>
              <w:adjustRightInd/>
              <w:spacing w:before="40" w:after="40"/>
              <w:rPr>
                <w:rFonts w:ascii="Calibri" w:hAnsi="Calibri" w:cs="Calibri"/>
                <w:b/>
                <w:color w:val="FFFFFF" w:themeColor="background1"/>
                <w:sz w:val="22"/>
                <w:szCs w:val="22"/>
                <w:lang w:eastAsia="en-AU"/>
              </w:rPr>
            </w:pPr>
            <w:r w:rsidRPr="00D40C14">
              <w:rPr>
                <w:rFonts w:ascii="Calibri" w:hAnsi="Calibri" w:cs="Calibri"/>
                <w:b/>
                <w:color w:val="FFFFFF" w:themeColor="background1"/>
                <w:sz w:val="22"/>
                <w:szCs w:val="22"/>
                <w:lang w:eastAsia="en-AU"/>
              </w:rPr>
              <w:t>State or territory</w:t>
            </w:r>
          </w:p>
        </w:tc>
        <w:tc>
          <w:tcPr>
            <w:tcW w:w="2658" w:type="pct"/>
            <w:shd w:val="clear" w:color="auto" w:fill="595959" w:themeFill="text1" w:themeFillTint="A6"/>
            <w:noWrap/>
          </w:tcPr>
          <w:p w14:paraId="28FA88E3" w14:textId="77777777" w:rsidR="00A4075A" w:rsidRPr="00D40C14" w:rsidRDefault="00A4075A" w:rsidP="00447661">
            <w:pPr>
              <w:widowControl/>
              <w:autoSpaceDE/>
              <w:autoSpaceDN/>
              <w:adjustRightInd/>
              <w:spacing w:before="40" w:after="40"/>
              <w:jc w:val="center"/>
              <w:rPr>
                <w:rFonts w:ascii="Calibri" w:hAnsi="Calibri" w:cs="Calibri"/>
                <w:b/>
                <w:color w:val="FFFFFF" w:themeColor="background1"/>
                <w:sz w:val="22"/>
                <w:szCs w:val="22"/>
                <w:lang w:eastAsia="en-AU"/>
              </w:rPr>
            </w:pPr>
            <w:r w:rsidRPr="00D40C14">
              <w:rPr>
                <w:rFonts w:ascii="Calibri" w:hAnsi="Calibri" w:cs="Calibri"/>
                <w:b/>
                <w:color w:val="FFFFFF" w:themeColor="background1"/>
                <w:sz w:val="22"/>
                <w:szCs w:val="22"/>
                <w:lang w:eastAsia="en-AU"/>
              </w:rPr>
              <w:t>Total organ retrievals</w:t>
            </w:r>
          </w:p>
        </w:tc>
      </w:tr>
      <w:tr w:rsidR="00A4075A" w:rsidRPr="00A4075A" w14:paraId="5C440FEA" w14:textId="77777777" w:rsidTr="00AE49EA">
        <w:trPr>
          <w:trHeight w:val="253"/>
        </w:trPr>
        <w:tc>
          <w:tcPr>
            <w:tcW w:w="2342" w:type="pct"/>
            <w:shd w:val="clear" w:color="auto" w:fill="auto"/>
            <w:noWrap/>
            <w:hideMark/>
          </w:tcPr>
          <w:p w14:paraId="07E895C6" w14:textId="77777777" w:rsidR="00A4075A" w:rsidRPr="00A4075A" w:rsidRDefault="00A4075A" w:rsidP="00447661">
            <w:pPr>
              <w:widowControl/>
              <w:autoSpaceDE/>
              <w:autoSpaceDN/>
              <w:adjustRightInd/>
              <w:spacing w:before="40" w:after="40"/>
              <w:rPr>
                <w:rFonts w:ascii="Calibri" w:hAnsi="Calibri" w:cs="Calibri"/>
                <w:color w:val="000000"/>
                <w:sz w:val="22"/>
                <w:szCs w:val="22"/>
                <w:lang w:eastAsia="en-AU"/>
              </w:rPr>
            </w:pPr>
            <w:r w:rsidRPr="00A4075A">
              <w:rPr>
                <w:rFonts w:ascii="Calibri" w:hAnsi="Calibri" w:cs="Calibri"/>
                <w:color w:val="000000"/>
                <w:sz w:val="22"/>
                <w:szCs w:val="22"/>
                <w:lang w:eastAsia="en-AU"/>
              </w:rPr>
              <w:t>Queensland</w:t>
            </w:r>
          </w:p>
        </w:tc>
        <w:tc>
          <w:tcPr>
            <w:tcW w:w="2658" w:type="pct"/>
            <w:shd w:val="clear" w:color="auto" w:fill="auto"/>
            <w:noWrap/>
            <w:hideMark/>
          </w:tcPr>
          <w:p w14:paraId="00C68E0C" w14:textId="77777777" w:rsidR="00A4075A" w:rsidRPr="00A4075A" w:rsidRDefault="00A4075A" w:rsidP="00447661">
            <w:pPr>
              <w:widowControl/>
              <w:autoSpaceDE/>
              <w:autoSpaceDN/>
              <w:adjustRightInd/>
              <w:spacing w:before="40" w:after="40"/>
              <w:jc w:val="center"/>
              <w:rPr>
                <w:rFonts w:ascii="Calibri" w:hAnsi="Calibri" w:cs="Calibri"/>
                <w:color w:val="000000"/>
                <w:sz w:val="22"/>
                <w:szCs w:val="22"/>
                <w:lang w:eastAsia="en-AU"/>
              </w:rPr>
            </w:pPr>
            <w:r w:rsidRPr="00A4075A">
              <w:rPr>
                <w:rFonts w:ascii="Calibri" w:hAnsi="Calibri" w:cs="Calibri"/>
                <w:color w:val="000000"/>
                <w:sz w:val="22"/>
                <w:szCs w:val="22"/>
                <w:lang w:eastAsia="en-AU"/>
              </w:rPr>
              <w:t>319</w:t>
            </w:r>
          </w:p>
        </w:tc>
      </w:tr>
      <w:tr w:rsidR="00A4075A" w:rsidRPr="00A4075A" w14:paraId="591DE4F9" w14:textId="77777777" w:rsidTr="00AE49EA">
        <w:trPr>
          <w:trHeight w:val="253"/>
        </w:trPr>
        <w:tc>
          <w:tcPr>
            <w:tcW w:w="2342" w:type="pct"/>
            <w:shd w:val="clear" w:color="auto" w:fill="auto"/>
            <w:noWrap/>
            <w:hideMark/>
          </w:tcPr>
          <w:p w14:paraId="3A236EA2" w14:textId="77777777" w:rsidR="00A4075A" w:rsidRPr="00A4075A" w:rsidRDefault="00A4075A" w:rsidP="00447661">
            <w:pPr>
              <w:widowControl/>
              <w:autoSpaceDE/>
              <w:autoSpaceDN/>
              <w:adjustRightInd/>
              <w:spacing w:before="40" w:after="40"/>
              <w:rPr>
                <w:rFonts w:ascii="Calibri" w:hAnsi="Calibri" w:cs="Calibri"/>
                <w:color w:val="000000"/>
                <w:sz w:val="22"/>
                <w:szCs w:val="22"/>
                <w:lang w:eastAsia="en-AU"/>
              </w:rPr>
            </w:pPr>
            <w:r w:rsidRPr="00A4075A">
              <w:rPr>
                <w:rFonts w:ascii="Calibri" w:hAnsi="Calibri" w:cs="Calibri"/>
                <w:color w:val="000000"/>
                <w:sz w:val="22"/>
                <w:szCs w:val="22"/>
                <w:lang w:eastAsia="en-AU"/>
              </w:rPr>
              <w:t>Northern Territory</w:t>
            </w:r>
          </w:p>
        </w:tc>
        <w:tc>
          <w:tcPr>
            <w:tcW w:w="2658" w:type="pct"/>
            <w:shd w:val="clear" w:color="auto" w:fill="auto"/>
            <w:noWrap/>
            <w:hideMark/>
          </w:tcPr>
          <w:p w14:paraId="7C580DFF" w14:textId="77777777" w:rsidR="00A4075A" w:rsidRPr="00A4075A" w:rsidRDefault="00A4075A" w:rsidP="00447661">
            <w:pPr>
              <w:widowControl/>
              <w:autoSpaceDE/>
              <w:autoSpaceDN/>
              <w:adjustRightInd/>
              <w:spacing w:before="40" w:after="40"/>
              <w:jc w:val="center"/>
              <w:rPr>
                <w:rFonts w:ascii="Calibri" w:hAnsi="Calibri" w:cs="Calibri"/>
                <w:color w:val="000000"/>
                <w:sz w:val="22"/>
                <w:szCs w:val="22"/>
                <w:lang w:eastAsia="en-AU"/>
              </w:rPr>
            </w:pPr>
            <w:r w:rsidRPr="00A4075A">
              <w:rPr>
                <w:rFonts w:ascii="Calibri" w:hAnsi="Calibri" w:cs="Calibri"/>
                <w:color w:val="000000"/>
                <w:sz w:val="22"/>
                <w:szCs w:val="22"/>
                <w:lang w:eastAsia="en-AU"/>
              </w:rPr>
              <w:t>7</w:t>
            </w:r>
          </w:p>
        </w:tc>
      </w:tr>
      <w:tr w:rsidR="00A4075A" w:rsidRPr="00A4075A" w14:paraId="37AB4955" w14:textId="77777777" w:rsidTr="00AE49EA">
        <w:trPr>
          <w:trHeight w:val="253"/>
        </w:trPr>
        <w:tc>
          <w:tcPr>
            <w:tcW w:w="2342" w:type="pct"/>
            <w:shd w:val="clear" w:color="auto" w:fill="auto"/>
            <w:noWrap/>
            <w:hideMark/>
          </w:tcPr>
          <w:p w14:paraId="6AE60FAD" w14:textId="77777777" w:rsidR="00A4075A" w:rsidRPr="00A4075A" w:rsidRDefault="00A4075A" w:rsidP="00447661">
            <w:pPr>
              <w:widowControl/>
              <w:autoSpaceDE/>
              <w:autoSpaceDN/>
              <w:adjustRightInd/>
              <w:spacing w:before="40" w:after="40"/>
              <w:rPr>
                <w:rFonts w:ascii="Calibri" w:hAnsi="Calibri" w:cs="Calibri"/>
                <w:color w:val="000000"/>
                <w:sz w:val="22"/>
                <w:szCs w:val="22"/>
                <w:lang w:eastAsia="en-AU"/>
              </w:rPr>
            </w:pPr>
            <w:r w:rsidRPr="00A4075A">
              <w:rPr>
                <w:rFonts w:ascii="Calibri" w:hAnsi="Calibri" w:cs="Calibri"/>
                <w:color w:val="000000"/>
                <w:sz w:val="22"/>
                <w:szCs w:val="22"/>
                <w:lang w:eastAsia="en-AU"/>
              </w:rPr>
              <w:t>Western Australia</w:t>
            </w:r>
          </w:p>
        </w:tc>
        <w:tc>
          <w:tcPr>
            <w:tcW w:w="2658" w:type="pct"/>
            <w:shd w:val="clear" w:color="auto" w:fill="auto"/>
            <w:noWrap/>
            <w:hideMark/>
          </w:tcPr>
          <w:p w14:paraId="16F45D48" w14:textId="77777777" w:rsidR="00A4075A" w:rsidRPr="00A4075A" w:rsidRDefault="00A4075A" w:rsidP="00447661">
            <w:pPr>
              <w:widowControl/>
              <w:autoSpaceDE/>
              <w:autoSpaceDN/>
              <w:adjustRightInd/>
              <w:spacing w:before="40" w:after="40"/>
              <w:jc w:val="center"/>
              <w:rPr>
                <w:rFonts w:ascii="Calibri" w:hAnsi="Calibri" w:cs="Calibri"/>
                <w:color w:val="000000"/>
                <w:sz w:val="22"/>
                <w:szCs w:val="22"/>
                <w:lang w:eastAsia="en-AU"/>
              </w:rPr>
            </w:pPr>
            <w:r w:rsidRPr="00A4075A">
              <w:rPr>
                <w:rFonts w:ascii="Calibri" w:hAnsi="Calibri" w:cs="Calibri"/>
                <w:color w:val="000000"/>
                <w:sz w:val="22"/>
                <w:szCs w:val="22"/>
                <w:lang w:eastAsia="en-AU"/>
              </w:rPr>
              <w:t>178</w:t>
            </w:r>
          </w:p>
        </w:tc>
      </w:tr>
      <w:tr w:rsidR="00A4075A" w:rsidRPr="00A4075A" w14:paraId="01F57411" w14:textId="77777777" w:rsidTr="00AE49EA">
        <w:trPr>
          <w:trHeight w:val="253"/>
        </w:trPr>
        <w:tc>
          <w:tcPr>
            <w:tcW w:w="2342" w:type="pct"/>
            <w:shd w:val="clear" w:color="auto" w:fill="auto"/>
            <w:noWrap/>
            <w:hideMark/>
          </w:tcPr>
          <w:p w14:paraId="412901DE" w14:textId="77777777" w:rsidR="00A4075A" w:rsidRPr="00A4075A" w:rsidRDefault="00A4075A" w:rsidP="00447661">
            <w:pPr>
              <w:widowControl/>
              <w:autoSpaceDE/>
              <w:autoSpaceDN/>
              <w:adjustRightInd/>
              <w:spacing w:before="40" w:after="40"/>
              <w:rPr>
                <w:rFonts w:ascii="Calibri" w:hAnsi="Calibri" w:cs="Calibri"/>
                <w:color w:val="000000"/>
                <w:sz w:val="22"/>
                <w:szCs w:val="22"/>
                <w:lang w:eastAsia="en-AU"/>
              </w:rPr>
            </w:pPr>
            <w:r w:rsidRPr="00A4075A">
              <w:rPr>
                <w:rFonts w:ascii="Calibri" w:hAnsi="Calibri" w:cs="Calibri"/>
                <w:color w:val="000000"/>
                <w:sz w:val="22"/>
                <w:szCs w:val="22"/>
                <w:lang w:eastAsia="en-AU"/>
              </w:rPr>
              <w:t>Victoria</w:t>
            </w:r>
          </w:p>
        </w:tc>
        <w:tc>
          <w:tcPr>
            <w:tcW w:w="2658" w:type="pct"/>
            <w:shd w:val="clear" w:color="auto" w:fill="auto"/>
            <w:noWrap/>
            <w:hideMark/>
          </w:tcPr>
          <w:p w14:paraId="5D398022" w14:textId="77777777" w:rsidR="00A4075A" w:rsidRPr="00A4075A" w:rsidRDefault="00A4075A" w:rsidP="00447661">
            <w:pPr>
              <w:widowControl/>
              <w:autoSpaceDE/>
              <w:autoSpaceDN/>
              <w:adjustRightInd/>
              <w:spacing w:before="40" w:after="40"/>
              <w:jc w:val="center"/>
              <w:rPr>
                <w:rFonts w:ascii="Calibri" w:hAnsi="Calibri" w:cs="Calibri"/>
                <w:color w:val="000000"/>
                <w:sz w:val="22"/>
                <w:szCs w:val="22"/>
                <w:lang w:eastAsia="en-AU"/>
              </w:rPr>
            </w:pPr>
            <w:r w:rsidRPr="00A4075A">
              <w:rPr>
                <w:rFonts w:ascii="Calibri" w:hAnsi="Calibri" w:cs="Calibri"/>
                <w:color w:val="000000"/>
                <w:sz w:val="22"/>
                <w:szCs w:val="22"/>
                <w:lang w:eastAsia="en-AU"/>
              </w:rPr>
              <w:t>523</w:t>
            </w:r>
          </w:p>
        </w:tc>
      </w:tr>
      <w:tr w:rsidR="00A4075A" w:rsidRPr="00A4075A" w14:paraId="5E05AAA1" w14:textId="77777777" w:rsidTr="00AE49EA">
        <w:trPr>
          <w:trHeight w:val="253"/>
        </w:trPr>
        <w:tc>
          <w:tcPr>
            <w:tcW w:w="2342" w:type="pct"/>
            <w:shd w:val="clear" w:color="auto" w:fill="auto"/>
            <w:noWrap/>
            <w:hideMark/>
          </w:tcPr>
          <w:p w14:paraId="4072703D" w14:textId="77777777" w:rsidR="00A4075A" w:rsidRPr="00A4075A" w:rsidRDefault="00A4075A" w:rsidP="00447661">
            <w:pPr>
              <w:widowControl/>
              <w:autoSpaceDE/>
              <w:autoSpaceDN/>
              <w:adjustRightInd/>
              <w:spacing w:before="40" w:after="40"/>
              <w:rPr>
                <w:rFonts w:ascii="Calibri" w:hAnsi="Calibri" w:cs="Calibri"/>
                <w:color w:val="000000"/>
                <w:sz w:val="22"/>
                <w:szCs w:val="22"/>
                <w:lang w:eastAsia="en-AU"/>
              </w:rPr>
            </w:pPr>
            <w:r w:rsidRPr="00A4075A">
              <w:rPr>
                <w:rFonts w:ascii="Calibri" w:hAnsi="Calibri" w:cs="Calibri"/>
                <w:color w:val="000000"/>
                <w:sz w:val="22"/>
                <w:szCs w:val="22"/>
                <w:lang w:eastAsia="en-AU"/>
              </w:rPr>
              <w:t>New South Wales</w:t>
            </w:r>
          </w:p>
        </w:tc>
        <w:tc>
          <w:tcPr>
            <w:tcW w:w="2658" w:type="pct"/>
            <w:shd w:val="clear" w:color="auto" w:fill="auto"/>
            <w:noWrap/>
            <w:hideMark/>
          </w:tcPr>
          <w:p w14:paraId="0148B99F" w14:textId="77777777" w:rsidR="00A4075A" w:rsidRPr="00A4075A" w:rsidRDefault="00A4075A" w:rsidP="00447661">
            <w:pPr>
              <w:widowControl/>
              <w:autoSpaceDE/>
              <w:autoSpaceDN/>
              <w:adjustRightInd/>
              <w:spacing w:before="40" w:after="40"/>
              <w:jc w:val="center"/>
              <w:rPr>
                <w:rFonts w:ascii="Calibri" w:hAnsi="Calibri" w:cs="Calibri"/>
                <w:color w:val="000000"/>
                <w:sz w:val="22"/>
                <w:szCs w:val="22"/>
                <w:lang w:eastAsia="en-AU"/>
              </w:rPr>
            </w:pPr>
            <w:r w:rsidRPr="00A4075A">
              <w:rPr>
                <w:rFonts w:ascii="Calibri" w:hAnsi="Calibri" w:cs="Calibri"/>
                <w:color w:val="000000"/>
                <w:sz w:val="22"/>
                <w:szCs w:val="22"/>
                <w:lang w:eastAsia="en-AU"/>
              </w:rPr>
              <w:t>487</w:t>
            </w:r>
          </w:p>
        </w:tc>
      </w:tr>
      <w:tr w:rsidR="00A4075A" w:rsidRPr="00A4075A" w14:paraId="244ABD5B" w14:textId="77777777" w:rsidTr="00AE49EA">
        <w:trPr>
          <w:trHeight w:val="253"/>
        </w:trPr>
        <w:tc>
          <w:tcPr>
            <w:tcW w:w="2342" w:type="pct"/>
            <w:shd w:val="clear" w:color="auto" w:fill="auto"/>
            <w:noWrap/>
            <w:hideMark/>
          </w:tcPr>
          <w:p w14:paraId="1A6FC03A" w14:textId="77777777" w:rsidR="00A4075A" w:rsidRPr="00A4075A" w:rsidRDefault="00A4075A" w:rsidP="00447661">
            <w:pPr>
              <w:widowControl/>
              <w:autoSpaceDE/>
              <w:autoSpaceDN/>
              <w:adjustRightInd/>
              <w:spacing w:before="40" w:after="40"/>
              <w:rPr>
                <w:rFonts w:ascii="Calibri" w:hAnsi="Calibri" w:cs="Calibri"/>
                <w:color w:val="000000"/>
                <w:sz w:val="22"/>
                <w:szCs w:val="22"/>
                <w:lang w:eastAsia="en-AU"/>
              </w:rPr>
            </w:pPr>
            <w:r w:rsidRPr="00A4075A">
              <w:rPr>
                <w:rFonts w:ascii="Calibri" w:hAnsi="Calibri" w:cs="Calibri"/>
                <w:color w:val="000000"/>
                <w:sz w:val="22"/>
                <w:szCs w:val="22"/>
                <w:lang w:eastAsia="en-AU"/>
              </w:rPr>
              <w:t>South Australia</w:t>
            </w:r>
          </w:p>
        </w:tc>
        <w:tc>
          <w:tcPr>
            <w:tcW w:w="2658" w:type="pct"/>
            <w:shd w:val="clear" w:color="auto" w:fill="auto"/>
            <w:noWrap/>
            <w:hideMark/>
          </w:tcPr>
          <w:p w14:paraId="4C2E38ED" w14:textId="77777777" w:rsidR="00A4075A" w:rsidRPr="00A4075A" w:rsidRDefault="00A4075A" w:rsidP="00447661">
            <w:pPr>
              <w:widowControl/>
              <w:autoSpaceDE/>
              <w:autoSpaceDN/>
              <w:adjustRightInd/>
              <w:spacing w:before="40" w:after="40"/>
              <w:jc w:val="center"/>
              <w:rPr>
                <w:rFonts w:ascii="Calibri" w:hAnsi="Calibri" w:cs="Calibri"/>
                <w:color w:val="000000"/>
                <w:sz w:val="22"/>
                <w:szCs w:val="22"/>
                <w:lang w:eastAsia="en-AU"/>
              </w:rPr>
            </w:pPr>
            <w:r w:rsidRPr="00A4075A">
              <w:rPr>
                <w:rFonts w:ascii="Calibri" w:hAnsi="Calibri" w:cs="Calibri"/>
                <w:color w:val="000000"/>
                <w:sz w:val="22"/>
                <w:szCs w:val="22"/>
                <w:lang w:eastAsia="en-AU"/>
              </w:rPr>
              <w:t>81</w:t>
            </w:r>
          </w:p>
        </w:tc>
      </w:tr>
      <w:tr w:rsidR="00A4075A" w:rsidRPr="00A4075A" w14:paraId="65194D5C" w14:textId="77777777" w:rsidTr="00AE49EA">
        <w:trPr>
          <w:trHeight w:val="253"/>
        </w:trPr>
        <w:tc>
          <w:tcPr>
            <w:tcW w:w="2342" w:type="pct"/>
            <w:shd w:val="clear" w:color="auto" w:fill="auto"/>
            <w:noWrap/>
            <w:hideMark/>
          </w:tcPr>
          <w:p w14:paraId="624F1D0E" w14:textId="77777777" w:rsidR="00A4075A" w:rsidRPr="00A4075A" w:rsidRDefault="00A4075A" w:rsidP="00447661">
            <w:pPr>
              <w:widowControl/>
              <w:autoSpaceDE/>
              <w:autoSpaceDN/>
              <w:adjustRightInd/>
              <w:spacing w:before="40" w:after="40"/>
              <w:rPr>
                <w:rFonts w:ascii="Calibri" w:hAnsi="Calibri" w:cs="Calibri"/>
                <w:color w:val="000000"/>
                <w:sz w:val="22"/>
                <w:szCs w:val="22"/>
                <w:lang w:eastAsia="en-AU"/>
              </w:rPr>
            </w:pPr>
            <w:r w:rsidRPr="00A4075A">
              <w:rPr>
                <w:rFonts w:ascii="Calibri" w:hAnsi="Calibri" w:cs="Calibri"/>
                <w:color w:val="000000"/>
                <w:sz w:val="22"/>
                <w:szCs w:val="22"/>
                <w:lang w:eastAsia="en-AU"/>
              </w:rPr>
              <w:t>Total</w:t>
            </w:r>
          </w:p>
        </w:tc>
        <w:tc>
          <w:tcPr>
            <w:tcW w:w="2658" w:type="pct"/>
            <w:shd w:val="clear" w:color="auto" w:fill="auto"/>
            <w:noWrap/>
            <w:hideMark/>
          </w:tcPr>
          <w:p w14:paraId="101A897D" w14:textId="77777777" w:rsidR="00A4075A" w:rsidRPr="00A4075A" w:rsidRDefault="00A4075A" w:rsidP="00447661">
            <w:pPr>
              <w:widowControl/>
              <w:autoSpaceDE/>
              <w:autoSpaceDN/>
              <w:adjustRightInd/>
              <w:spacing w:before="40" w:after="40"/>
              <w:jc w:val="center"/>
              <w:rPr>
                <w:rFonts w:ascii="Calibri" w:hAnsi="Calibri" w:cs="Calibri"/>
                <w:color w:val="000000"/>
                <w:sz w:val="22"/>
                <w:szCs w:val="22"/>
                <w:lang w:eastAsia="en-AU"/>
              </w:rPr>
            </w:pPr>
            <w:r w:rsidRPr="00A4075A">
              <w:rPr>
                <w:rFonts w:ascii="Calibri" w:hAnsi="Calibri" w:cs="Calibri"/>
                <w:color w:val="000000"/>
                <w:sz w:val="22"/>
                <w:szCs w:val="22"/>
                <w:lang w:eastAsia="en-AU"/>
              </w:rPr>
              <w:t>1</w:t>
            </w:r>
            <w:r w:rsidR="00D11AEE">
              <w:rPr>
                <w:rFonts w:ascii="Calibri" w:hAnsi="Calibri" w:cs="Calibri"/>
                <w:color w:val="000000"/>
                <w:sz w:val="22"/>
                <w:szCs w:val="22"/>
                <w:lang w:eastAsia="en-AU"/>
              </w:rPr>
              <w:t>,</w:t>
            </w:r>
            <w:r w:rsidRPr="00A4075A">
              <w:rPr>
                <w:rFonts w:ascii="Calibri" w:hAnsi="Calibri" w:cs="Calibri"/>
                <w:color w:val="000000"/>
                <w:sz w:val="22"/>
                <w:szCs w:val="22"/>
                <w:lang w:eastAsia="en-AU"/>
              </w:rPr>
              <w:t>595</w:t>
            </w:r>
          </w:p>
        </w:tc>
      </w:tr>
    </w:tbl>
    <w:p w14:paraId="16B9B12B" w14:textId="77777777" w:rsidR="00BA2EBD" w:rsidRDefault="003247D8" w:rsidP="00D40C14">
      <w:pPr>
        <w:spacing w:before="120" w:after="120"/>
        <w:rPr>
          <w:rFonts w:asciiTheme="minorHAnsi" w:hAnsiTheme="minorHAnsi" w:cstheme="minorHAnsi"/>
          <w:sz w:val="24"/>
          <w:szCs w:val="22"/>
        </w:rPr>
      </w:pPr>
      <w:r>
        <w:rPr>
          <w:rFonts w:asciiTheme="minorHAnsi" w:hAnsiTheme="minorHAnsi" w:cstheme="minorHAnsi"/>
          <w:sz w:val="24"/>
          <w:szCs w:val="22"/>
        </w:rPr>
        <w:t xml:space="preserve">In Australia organ </w:t>
      </w:r>
      <w:r w:rsidRPr="003247D8">
        <w:rPr>
          <w:rFonts w:asciiTheme="minorHAnsi" w:hAnsiTheme="minorHAnsi" w:cstheme="minorHAnsi"/>
          <w:sz w:val="24"/>
          <w:szCs w:val="22"/>
        </w:rPr>
        <w:t xml:space="preserve">retrieval teams </w:t>
      </w:r>
      <w:r>
        <w:rPr>
          <w:rFonts w:asciiTheme="minorHAnsi" w:hAnsiTheme="minorHAnsi" w:cstheme="minorHAnsi"/>
          <w:sz w:val="24"/>
          <w:szCs w:val="22"/>
        </w:rPr>
        <w:t xml:space="preserve">perform retrievals within the home state </w:t>
      </w:r>
      <w:r w:rsidR="00A4075A">
        <w:rPr>
          <w:rFonts w:asciiTheme="minorHAnsi" w:hAnsiTheme="minorHAnsi" w:cstheme="minorHAnsi"/>
          <w:sz w:val="24"/>
          <w:szCs w:val="22"/>
        </w:rPr>
        <w:t>and may also perform organ retrievals across state borders</w:t>
      </w:r>
      <w:r>
        <w:rPr>
          <w:rFonts w:asciiTheme="minorHAnsi" w:hAnsiTheme="minorHAnsi" w:cstheme="minorHAnsi"/>
          <w:sz w:val="24"/>
          <w:szCs w:val="22"/>
        </w:rPr>
        <w:t>. In 2017, a</w:t>
      </w:r>
      <w:r w:rsidRPr="003247D8">
        <w:rPr>
          <w:rFonts w:asciiTheme="minorHAnsi" w:hAnsiTheme="minorHAnsi" w:cstheme="minorHAnsi"/>
          <w:sz w:val="24"/>
          <w:szCs w:val="22"/>
        </w:rPr>
        <w:t>pproximatel</w:t>
      </w:r>
      <w:r>
        <w:rPr>
          <w:rFonts w:asciiTheme="minorHAnsi" w:hAnsiTheme="minorHAnsi" w:cstheme="minorHAnsi"/>
          <w:sz w:val="24"/>
          <w:szCs w:val="22"/>
        </w:rPr>
        <w:t>y 30</w:t>
      </w:r>
      <w:r w:rsidR="00D11AEE">
        <w:rPr>
          <w:rFonts w:asciiTheme="minorHAnsi" w:hAnsiTheme="minorHAnsi" w:cstheme="minorHAnsi"/>
          <w:sz w:val="24"/>
          <w:szCs w:val="22"/>
        </w:rPr>
        <w:t xml:space="preserve"> per cent</w:t>
      </w:r>
      <w:r>
        <w:rPr>
          <w:rFonts w:asciiTheme="minorHAnsi" w:hAnsiTheme="minorHAnsi" w:cstheme="minorHAnsi"/>
          <w:sz w:val="24"/>
          <w:szCs w:val="22"/>
        </w:rPr>
        <w:t xml:space="preserve"> of retrievals and 20</w:t>
      </w:r>
      <w:r w:rsidR="00D11AEE">
        <w:rPr>
          <w:rFonts w:asciiTheme="minorHAnsi" w:hAnsiTheme="minorHAnsi" w:cstheme="minorHAnsi"/>
          <w:sz w:val="24"/>
          <w:szCs w:val="22"/>
        </w:rPr>
        <w:t xml:space="preserve"> per cent</w:t>
      </w:r>
      <w:r>
        <w:rPr>
          <w:rFonts w:asciiTheme="minorHAnsi" w:hAnsiTheme="minorHAnsi" w:cstheme="minorHAnsi"/>
          <w:sz w:val="24"/>
          <w:szCs w:val="22"/>
        </w:rPr>
        <w:t xml:space="preserve"> of </w:t>
      </w:r>
      <w:r w:rsidRPr="003247D8">
        <w:rPr>
          <w:rFonts w:asciiTheme="minorHAnsi" w:hAnsiTheme="minorHAnsi" w:cstheme="minorHAnsi"/>
          <w:sz w:val="24"/>
          <w:szCs w:val="22"/>
        </w:rPr>
        <w:t>organs transplanted occurred across jurisdictions.</w:t>
      </w:r>
      <w:r w:rsidR="006925E1" w:rsidRPr="00D40C14">
        <w:rPr>
          <w:rStyle w:val="FootnoteReference"/>
          <w:rFonts w:asciiTheme="minorHAnsi" w:hAnsiTheme="minorHAnsi" w:cstheme="minorHAnsi"/>
        </w:rPr>
        <w:footnoteReference w:id="60"/>
      </w:r>
    </w:p>
    <w:p w14:paraId="6CCE83ED" w14:textId="77777777" w:rsidR="00A4075A" w:rsidRDefault="00A4075A" w:rsidP="00D40C14">
      <w:pPr>
        <w:spacing w:before="120" w:after="120"/>
        <w:rPr>
          <w:rFonts w:asciiTheme="minorHAnsi" w:hAnsiTheme="minorHAnsi" w:cstheme="minorHAnsi"/>
          <w:sz w:val="24"/>
          <w:szCs w:val="22"/>
        </w:rPr>
      </w:pPr>
      <w:r>
        <w:rPr>
          <w:rFonts w:asciiTheme="minorHAnsi" w:hAnsiTheme="minorHAnsi" w:cstheme="minorHAnsi"/>
          <w:sz w:val="24"/>
          <w:szCs w:val="22"/>
        </w:rPr>
        <w:t xml:space="preserve">As most states have a renal </w:t>
      </w:r>
      <w:r w:rsidR="00F46C80">
        <w:rPr>
          <w:rFonts w:asciiTheme="minorHAnsi" w:hAnsiTheme="minorHAnsi" w:cstheme="minorHAnsi"/>
          <w:sz w:val="24"/>
          <w:szCs w:val="22"/>
        </w:rPr>
        <w:t>transplantation unit</w:t>
      </w:r>
      <w:r>
        <w:rPr>
          <w:rFonts w:asciiTheme="minorHAnsi" w:hAnsiTheme="minorHAnsi" w:cstheme="minorHAnsi"/>
          <w:sz w:val="24"/>
          <w:szCs w:val="22"/>
        </w:rPr>
        <w:t xml:space="preserve">, a large proportion of kidney retrieval procedures are performed by the home state retrieval service. Kidney retrievals in Tasmania </w:t>
      </w:r>
      <w:r w:rsidR="00D11AEE">
        <w:rPr>
          <w:rFonts w:asciiTheme="minorHAnsi" w:hAnsiTheme="minorHAnsi" w:cstheme="minorHAnsi"/>
          <w:sz w:val="24"/>
          <w:szCs w:val="22"/>
        </w:rPr>
        <w:t>were</w:t>
      </w:r>
      <w:r>
        <w:rPr>
          <w:rFonts w:asciiTheme="minorHAnsi" w:hAnsiTheme="minorHAnsi" w:cstheme="minorHAnsi"/>
          <w:sz w:val="24"/>
          <w:szCs w:val="22"/>
        </w:rPr>
        <w:t xml:space="preserve"> performed by Victorian and New Zealand retrieval teams whereas kidney retrieval procedures in the A</w:t>
      </w:r>
      <w:r w:rsidR="00D11AEE">
        <w:rPr>
          <w:rFonts w:asciiTheme="minorHAnsi" w:hAnsiTheme="minorHAnsi" w:cstheme="minorHAnsi"/>
          <w:sz w:val="24"/>
          <w:szCs w:val="22"/>
        </w:rPr>
        <w:t xml:space="preserve">ustralian Capital </w:t>
      </w:r>
      <w:r>
        <w:rPr>
          <w:rFonts w:asciiTheme="minorHAnsi" w:hAnsiTheme="minorHAnsi" w:cstheme="minorHAnsi"/>
          <w:sz w:val="24"/>
          <w:szCs w:val="22"/>
        </w:rPr>
        <w:t>T</w:t>
      </w:r>
      <w:r w:rsidR="00D11AEE">
        <w:rPr>
          <w:rFonts w:asciiTheme="minorHAnsi" w:hAnsiTheme="minorHAnsi" w:cstheme="minorHAnsi"/>
          <w:sz w:val="24"/>
          <w:szCs w:val="22"/>
        </w:rPr>
        <w:t>erritory</w:t>
      </w:r>
      <w:r>
        <w:rPr>
          <w:rFonts w:asciiTheme="minorHAnsi" w:hAnsiTheme="minorHAnsi" w:cstheme="minorHAnsi"/>
          <w:sz w:val="24"/>
          <w:szCs w:val="22"/>
        </w:rPr>
        <w:t xml:space="preserve"> were </w:t>
      </w:r>
      <w:r w:rsidR="0094063B">
        <w:rPr>
          <w:rFonts w:asciiTheme="minorHAnsi" w:hAnsiTheme="minorHAnsi" w:cstheme="minorHAnsi"/>
          <w:sz w:val="24"/>
          <w:szCs w:val="22"/>
        </w:rPr>
        <w:t>performed by retrieval teams from New South Wales.</w:t>
      </w:r>
    </w:p>
    <w:p w14:paraId="49A81BF9" w14:textId="77777777" w:rsidR="0094063B" w:rsidRPr="00D40C14" w:rsidRDefault="0094063B" w:rsidP="00D40C14">
      <w:pPr>
        <w:spacing w:before="120" w:after="120"/>
        <w:rPr>
          <w:rFonts w:asciiTheme="minorHAnsi" w:hAnsiTheme="minorHAnsi" w:cstheme="minorHAnsi"/>
          <w:sz w:val="24"/>
          <w:szCs w:val="22"/>
        </w:rPr>
      </w:pPr>
      <w:r>
        <w:rPr>
          <w:rFonts w:asciiTheme="minorHAnsi" w:hAnsiTheme="minorHAnsi" w:cstheme="minorHAnsi"/>
          <w:sz w:val="24"/>
          <w:szCs w:val="22"/>
        </w:rPr>
        <w:t xml:space="preserve">For non-renal organs, organ retrieval procedures are more commonly performed by interstate retrieval teams. This is most common for heart and lung retrieval procedures as there are fewer heart and lung </w:t>
      </w:r>
      <w:r w:rsidR="00F46C80">
        <w:rPr>
          <w:rFonts w:asciiTheme="minorHAnsi" w:hAnsiTheme="minorHAnsi" w:cstheme="minorHAnsi"/>
          <w:sz w:val="24"/>
          <w:szCs w:val="22"/>
        </w:rPr>
        <w:t>transplantation unit</w:t>
      </w:r>
      <w:r>
        <w:rPr>
          <w:rFonts w:asciiTheme="minorHAnsi" w:hAnsiTheme="minorHAnsi" w:cstheme="minorHAnsi"/>
          <w:sz w:val="24"/>
          <w:szCs w:val="22"/>
        </w:rPr>
        <w:t xml:space="preserve">s across the country. This means that retrieval procedures for heart, lung and liver are more commonly performed by the transplanting unit. In 2017, 86 per cent of lung retrieval procedures, 74 per cent of heart retrieval procedures and 68 per cent of </w:t>
      </w:r>
      <w:r w:rsidR="006925E1">
        <w:rPr>
          <w:rFonts w:asciiTheme="minorHAnsi" w:hAnsiTheme="minorHAnsi" w:cstheme="minorHAnsi"/>
          <w:sz w:val="24"/>
          <w:szCs w:val="22"/>
        </w:rPr>
        <w:t>liver retrieval procedures were performed by the transplanting unit that the organ was allocated to.</w:t>
      </w:r>
      <w:r w:rsidR="00A85F57">
        <w:rPr>
          <w:rStyle w:val="FootnoteReference"/>
          <w:rFonts w:cstheme="minorHAnsi"/>
        </w:rPr>
        <w:footnoteReference w:id="61"/>
      </w:r>
    </w:p>
    <w:p w14:paraId="5146097B" w14:textId="4AA33A50" w:rsidR="00C43CA7" w:rsidRPr="00266A77" w:rsidRDefault="001129BE" w:rsidP="00C43CA7">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149" w:name="_Toc532301688"/>
      <w:r w:rsidRPr="001129BE">
        <w:rPr>
          <w:rFonts w:asciiTheme="minorHAnsi" w:hAnsiTheme="minorHAnsi" w:cstheme="minorHAnsi"/>
          <w:iCs/>
          <w:color w:val="7F7F7F" w:themeColor="text1" w:themeTint="80"/>
          <w:sz w:val="36"/>
          <w:szCs w:val="30"/>
        </w:rPr>
        <w:t>Element 7</w:t>
      </w:r>
      <w:r w:rsidRPr="00266A77">
        <w:rPr>
          <w:rFonts w:asciiTheme="minorHAnsi" w:hAnsiTheme="minorHAnsi" w:cstheme="minorHAnsi"/>
          <w:iCs/>
          <w:color w:val="7F7F7F" w:themeColor="text1" w:themeTint="80"/>
          <w:sz w:val="36"/>
          <w:szCs w:val="30"/>
        </w:rPr>
        <w:t xml:space="preserve">: </w:t>
      </w:r>
      <w:r w:rsidR="00C43CA7" w:rsidRPr="00266A77">
        <w:rPr>
          <w:rFonts w:asciiTheme="minorHAnsi" w:hAnsiTheme="minorHAnsi" w:cstheme="minorHAnsi"/>
          <w:iCs/>
          <w:color w:val="7F7F7F" w:themeColor="text1" w:themeTint="80"/>
          <w:sz w:val="36"/>
          <w:szCs w:val="30"/>
        </w:rPr>
        <w:t>Transplantation</w:t>
      </w:r>
      <w:bookmarkEnd w:id="149"/>
    </w:p>
    <w:p w14:paraId="06E68E5A" w14:textId="77777777" w:rsidR="003252BB" w:rsidRDefault="003252BB" w:rsidP="003252BB">
      <w:pPr>
        <w:spacing w:after="120"/>
        <w:rPr>
          <w:rFonts w:asciiTheme="minorHAnsi" w:hAnsiTheme="minorHAnsi" w:cstheme="minorHAnsi"/>
          <w:sz w:val="24"/>
          <w:szCs w:val="22"/>
        </w:rPr>
      </w:pPr>
      <w:r w:rsidRPr="003252BB">
        <w:rPr>
          <w:rFonts w:asciiTheme="minorHAnsi" w:hAnsiTheme="minorHAnsi" w:cstheme="minorHAnsi"/>
          <w:sz w:val="24"/>
          <w:szCs w:val="22"/>
        </w:rPr>
        <w:t xml:space="preserve">There are a variety of models for the delivery of </w:t>
      </w:r>
      <w:r w:rsidR="00E634FA">
        <w:rPr>
          <w:rFonts w:asciiTheme="minorHAnsi" w:hAnsiTheme="minorHAnsi" w:cstheme="minorHAnsi"/>
          <w:sz w:val="24"/>
          <w:szCs w:val="22"/>
        </w:rPr>
        <w:t>transplantation services</w:t>
      </w:r>
      <w:r w:rsidRPr="003252BB">
        <w:rPr>
          <w:rFonts w:asciiTheme="minorHAnsi" w:hAnsiTheme="minorHAnsi" w:cstheme="minorHAnsi"/>
          <w:sz w:val="24"/>
          <w:szCs w:val="22"/>
        </w:rPr>
        <w:t xml:space="preserve"> across jurisdictions and </w:t>
      </w:r>
      <w:r w:rsidR="00F46C80">
        <w:rPr>
          <w:rFonts w:asciiTheme="minorHAnsi" w:hAnsiTheme="minorHAnsi" w:cstheme="minorHAnsi"/>
          <w:sz w:val="24"/>
          <w:szCs w:val="22"/>
        </w:rPr>
        <w:t>transplantation unit</w:t>
      </w:r>
      <w:r w:rsidRPr="003252BB">
        <w:rPr>
          <w:rFonts w:asciiTheme="minorHAnsi" w:hAnsiTheme="minorHAnsi" w:cstheme="minorHAnsi"/>
          <w:sz w:val="24"/>
          <w:szCs w:val="22"/>
        </w:rPr>
        <w:t>s</w:t>
      </w:r>
      <w:r>
        <w:rPr>
          <w:rFonts w:asciiTheme="minorHAnsi" w:hAnsiTheme="minorHAnsi" w:cstheme="minorHAnsi"/>
          <w:sz w:val="24"/>
          <w:szCs w:val="22"/>
        </w:rPr>
        <w:t xml:space="preserve">. </w:t>
      </w:r>
      <w:r w:rsidR="00C43CA7" w:rsidRPr="00F37D51">
        <w:rPr>
          <w:rFonts w:asciiTheme="minorHAnsi" w:hAnsiTheme="minorHAnsi" w:cstheme="minorHAnsi"/>
          <w:sz w:val="24"/>
          <w:szCs w:val="22"/>
        </w:rPr>
        <w:t xml:space="preserve">Once it is confirmed that the retrieval </w:t>
      </w:r>
      <w:r w:rsidR="00327F0F">
        <w:rPr>
          <w:rFonts w:asciiTheme="minorHAnsi" w:hAnsiTheme="minorHAnsi" w:cstheme="minorHAnsi"/>
          <w:sz w:val="24"/>
          <w:szCs w:val="22"/>
        </w:rPr>
        <w:t>is to be undertaken</w:t>
      </w:r>
      <w:r w:rsidR="00C43CA7" w:rsidRPr="00F37D51">
        <w:rPr>
          <w:rFonts w:asciiTheme="minorHAnsi" w:hAnsiTheme="minorHAnsi" w:cstheme="minorHAnsi"/>
          <w:sz w:val="24"/>
          <w:szCs w:val="22"/>
        </w:rPr>
        <w:t xml:space="preserve">, the transplantation is confirmed and the resources in the </w:t>
      </w:r>
      <w:r w:rsidR="00F46C80">
        <w:rPr>
          <w:rFonts w:asciiTheme="minorHAnsi" w:hAnsiTheme="minorHAnsi" w:cstheme="minorHAnsi"/>
          <w:sz w:val="24"/>
          <w:szCs w:val="22"/>
        </w:rPr>
        <w:t>transplantation unit</w:t>
      </w:r>
      <w:r w:rsidR="00C43CA7" w:rsidRPr="00F37D51">
        <w:rPr>
          <w:rFonts w:asciiTheme="minorHAnsi" w:hAnsiTheme="minorHAnsi" w:cstheme="minorHAnsi"/>
          <w:sz w:val="24"/>
          <w:szCs w:val="22"/>
        </w:rPr>
        <w:t xml:space="preserve"> are prepared and coordinated (including all personnel and resources)</w:t>
      </w:r>
      <w:r>
        <w:rPr>
          <w:rFonts w:asciiTheme="minorHAnsi" w:hAnsiTheme="minorHAnsi" w:cstheme="minorHAnsi"/>
          <w:sz w:val="24"/>
          <w:szCs w:val="22"/>
        </w:rPr>
        <w:t xml:space="preserve"> by the transplant coordinator</w:t>
      </w:r>
      <w:r w:rsidR="00C43CA7" w:rsidRPr="00F37D51">
        <w:rPr>
          <w:rFonts w:asciiTheme="minorHAnsi" w:hAnsiTheme="minorHAnsi" w:cstheme="minorHAnsi"/>
          <w:sz w:val="24"/>
          <w:szCs w:val="22"/>
        </w:rPr>
        <w:t xml:space="preserve">. </w:t>
      </w:r>
      <w:r w:rsidR="00327F0F">
        <w:rPr>
          <w:rFonts w:asciiTheme="minorHAnsi" w:hAnsiTheme="minorHAnsi" w:cstheme="minorHAnsi"/>
          <w:sz w:val="24"/>
          <w:szCs w:val="22"/>
        </w:rPr>
        <w:t>Transplant coordination occurs before successful retrieval is confirmed.</w:t>
      </w:r>
    </w:p>
    <w:p w14:paraId="55EFBDEE" w14:textId="77777777" w:rsidR="004476D7" w:rsidRDefault="003252BB" w:rsidP="00C43CA7">
      <w:pPr>
        <w:spacing w:after="120"/>
        <w:rPr>
          <w:rFonts w:asciiTheme="minorHAnsi" w:hAnsiTheme="minorHAnsi" w:cstheme="minorHAnsi"/>
          <w:sz w:val="24"/>
          <w:szCs w:val="22"/>
        </w:rPr>
      </w:pPr>
      <w:r>
        <w:rPr>
          <w:rFonts w:asciiTheme="minorHAnsi" w:hAnsiTheme="minorHAnsi" w:cstheme="minorHAnsi"/>
          <w:sz w:val="24"/>
          <w:szCs w:val="22"/>
        </w:rPr>
        <w:t>Once the potential recipient is prepared for surgery, the transplant surgery takes place. This</w:t>
      </w:r>
      <w:r w:rsidRPr="003252BB">
        <w:rPr>
          <w:rFonts w:asciiTheme="minorHAnsi" w:hAnsiTheme="minorHAnsi" w:cstheme="minorHAnsi"/>
          <w:sz w:val="24"/>
          <w:szCs w:val="22"/>
        </w:rPr>
        <w:t xml:space="preserve"> may or may not be</w:t>
      </w:r>
      <w:r>
        <w:rPr>
          <w:rFonts w:asciiTheme="minorHAnsi" w:hAnsiTheme="minorHAnsi" w:cstheme="minorHAnsi"/>
          <w:sz w:val="24"/>
          <w:szCs w:val="22"/>
        </w:rPr>
        <w:t xml:space="preserve"> performed by</w:t>
      </w:r>
      <w:r w:rsidRPr="003252BB">
        <w:rPr>
          <w:rFonts w:asciiTheme="minorHAnsi" w:hAnsiTheme="minorHAnsi" w:cstheme="minorHAnsi"/>
          <w:sz w:val="24"/>
          <w:szCs w:val="22"/>
        </w:rPr>
        <w:t xml:space="preserve"> the same surgical team as the retrieval team (i.e. may be in different hospital within the state or interstate).</w:t>
      </w:r>
      <w:r>
        <w:rPr>
          <w:rFonts w:asciiTheme="minorHAnsi" w:hAnsiTheme="minorHAnsi" w:cstheme="minorHAnsi"/>
          <w:sz w:val="24"/>
          <w:szCs w:val="22"/>
        </w:rPr>
        <w:t xml:space="preserve"> </w:t>
      </w:r>
      <w:r w:rsidR="00C43CA7" w:rsidRPr="00F37D51">
        <w:rPr>
          <w:rFonts w:asciiTheme="minorHAnsi" w:hAnsiTheme="minorHAnsi" w:cstheme="minorHAnsi"/>
          <w:sz w:val="24"/>
          <w:szCs w:val="22"/>
        </w:rPr>
        <w:t xml:space="preserve">The transplantation takes place and often takes </w:t>
      </w:r>
      <w:r w:rsidR="00C43CA7">
        <w:rPr>
          <w:rFonts w:asciiTheme="minorHAnsi" w:hAnsiTheme="minorHAnsi" w:cstheme="minorHAnsi"/>
          <w:sz w:val="24"/>
          <w:szCs w:val="22"/>
        </w:rPr>
        <w:t xml:space="preserve">some </w:t>
      </w:r>
      <w:r w:rsidR="00C43CA7" w:rsidRPr="00F37D51">
        <w:rPr>
          <w:rFonts w:asciiTheme="minorHAnsi" w:hAnsiTheme="minorHAnsi" w:cstheme="minorHAnsi"/>
          <w:sz w:val="24"/>
          <w:szCs w:val="22"/>
        </w:rPr>
        <w:t>hours</w:t>
      </w:r>
      <w:r w:rsidR="0017420A">
        <w:rPr>
          <w:rFonts w:asciiTheme="minorHAnsi" w:hAnsiTheme="minorHAnsi" w:cstheme="minorHAnsi"/>
          <w:sz w:val="24"/>
          <w:szCs w:val="22"/>
        </w:rPr>
        <w:t xml:space="preserve">; </w:t>
      </w:r>
      <w:r w:rsidR="00C43CA7" w:rsidRPr="00F37D51">
        <w:rPr>
          <w:rFonts w:asciiTheme="minorHAnsi" w:hAnsiTheme="minorHAnsi" w:cstheme="minorHAnsi"/>
          <w:sz w:val="24"/>
          <w:szCs w:val="22"/>
        </w:rPr>
        <w:t xml:space="preserve">the duration </w:t>
      </w:r>
      <w:r w:rsidR="0017420A">
        <w:rPr>
          <w:rFonts w:asciiTheme="minorHAnsi" w:hAnsiTheme="minorHAnsi" w:cstheme="minorHAnsi"/>
          <w:sz w:val="24"/>
          <w:szCs w:val="22"/>
        </w:rPr>
        <w:t xml:space="preserve">often </w:t>
      </w:r>
      <w:r w:rsidR="00C43CA7" w:rsidRPr="00F37D51">
        <w:rPr>
          <w:rFonts w:asciiTheme="minorHAnsi" w:hAnsiTheme="minorHAnsi" w:cstheme="minorHAnsi"/>
          <w:sz w:val="24"/>
          <w:szCs w:val="22"/>
        </w:rPr>
        <w:t xml:space="preserve">depends on the organ, the experience of the transplant </w:t>
      </w:r>
      <w:r w:rsidR="00F00ECB">
        <w:rPr>
          <w:rFonts w:asciiTheme="minorHAnsi" w:hAnsiTheme="minorHAnsi" w:cstheme="minorHAnsi"/>
          <w:sz w:val="24"/>
          <w:szCs w:val="22"/>
        </w:rPr>
        <w:t>surgeons</w:t>
      </w:r>
      <w:r w:rsidR="00F00ECB" w:rsidRPr="00F37D51">
        <w:rPr>
          <w:rFonts w:asciiTheme="minorHAnsi" w:hAnsiTheme="minorHAnsi" w:cstheme="minorHAnsi"/>
          <w:sz w:val="24"/>
          <w:szCs w:val="22"/>
        </w:rPr>
        <w:t xml:space="preserve"> </w:t>
      </w:r>
      <w:r w:rsidR="00C43CA7" w:rsidRPr="00F37D51">
        <w:rPr>
          <w:rFonts w:asciiTheme="minorHAnsi" w:hAnsiTheme="minorHAnsi" w:cstheme="minorHAnsi"/>
          <w:sz w:val="24"/>
          <w:szCs w:val="22"/>
        </w:rPr>
        <w:t>and the specific circumstance of the recipient.</w:t>
      </w:r>
      <w:r>
        <w:rPr>
          <w:rFonts w:asciiTheme="minorHAnsi" w:hAnsiTheme="minorHAnsi" w:cstheme="minorHAnsi"/>
          <w:sz w:val="24"/>
          <w:szCs w:val="22"/>
        </w:rPr>
        <w:t xml:space="preserve"> Successful su</w:t>
      </w:r>
      <w:r w:rsidR="004476D7">
        <w:rPr>
          <w:rFonts w:asciiTheme="minorHAnsi" w:hAnsiTheme="minorHAnsi" w:cstheme="minorHAnsi"/>
          <w:sz w:val="24"/>
          <w:szCs w:val="22"/>
        </w:rPr>
        <w:t>rgical transplantation relies on</w:t>
      </w:r>
      <w:r>
        <w:rPr>
          <w:rFonts w:asciiTheme="minorHAnsi" w:hAnsiTheme="minorHAnsi" w:cstheme="minorHAnsi"/>
          <w:sz w:val="24"/>
          <w:szCs w:val="22"/>
        </w:rPr>
        <w:t xml:space="preserve"> clinical expertise</w:t>
      </w:r>
      <w:r w:rsidR="004476D7">
        <w:rPr>
          <w:rFonts w:asciiTheme="minorHAnsi" w:hAnsiTheme="minorHAnsi" w:cstheme="minorHAnsi"/>
          <w:sz w:val="24"/>
          <w:szCs w:val="22"/>
        </w:rPr>
        <w:t>, adequate and skilled workforce</w:t>
      </w:r>
      <w:r>
        <w:rPr>
          <w:rFonts w:asciiTheme="minorHAnsi" w:hAnsiTheme="minorHAnsi" w:cstheme="minorHAnsi"/>
          <w:sz w:val="24"/>
          <w:szCs w:val="22"/>
        </w:rPr>
        <w:t xml:space="preserve"> and rigorous management</w:t>
      </w:r>
      <w:r w:rsidR="004476D7">
        <w:rPr>
          <w:rFonts w:asciiTheme="minorHAnsi" w:hAnsiTheme="minorHAnsi" w:cstheme="minorHAnsi"/>
          <w:sz w:val="24"/>
          <w:szCs w:val="22"/>
        </w:rPr>
        <w:t xml:space="preserve"> from identification of organs for donation to transplant surgery.</w:t>
      </w:r>
    </w:p>
    <w:p w14:paraId="695625E1" w14:textId="77777777" w:rsidR="004476D7" w:rsidRDefault="00D11AEE" w:rsidP="00C43CA7">
      <w:pPr>
        <w:spacing w:after="120"/>
        <w:rPr>
          <w:rFonts w:asciiTheme="minorHAnsi" w:hAnsiTheme="minorHAnsi" w:cstheme="minorHAnsi"/>
          <w:sz w:val="24"/>
          <w:szCs w:val="22"/>
        </w:rPr>
      </w:pPr>
      <w:r>
        <w:rPr>
          <w:rFonts w:asciiTheme="minorHAnsi" w:hAnsiTheme="minorHAnsi" w:cstheme="minorHAnsi"/>
          <w:sz w:val="24"/>
          <w:szCs w:val="22"/>
        </w:rPr>
        <w:lastRenderedPageBreak/>
        <w:t>Ex vivo p</w:t>
      </w:r>
      <w:r w:rsidR="004476D7">
        <w:rPr>
          <w:rFonts w:asciiTheme="minorHAnsi" w:hAnsiTheme="minorHAnsi" w:cstheme="minorHAnsi"/>
          <w:sz w:val="24"/>
          <w:szCs w:val="22"/>
        </w:rPr>
        <w:t>erfusion technology may be used in the transplantation process in order to allow for increased flexibility in transplant timing, enable more time to optimise the medical status of organs and recipients prior to surgery and ultimately improve the potential outcomes from surgery.</w:t>
      </w:r>
    </w:p>
    <w:p w14:paraId="28F82173" w14:textId="0ADB9B6F" w:rsidR="005C5EF6" w:rsidRDefault="00D11AEE" w:rsidP="00C43CA7">
      <w:pPr>
        <w:spacing w:after="120"/>
        <w:rPr>
          <w:rFonts w:asciiTheme="minorHAnsi" w:hAnsiTheme="minorHAnsi" w:cstheme="minorHAnsi"/>
          <w:sz w:val="24"/>
          <w:szCs w:val="22"/>
        </w:rPr>
      </w:pPr>
      <w:r>
        <w:rPr>
          <w:rFonts w:asciiTheme="minorHAnsi" w:hAnsiTheme="minorHAnsi" w:cstheme="minorHAnsi"/>
          <w:sz w:val="24"/>
          <w:szCs w:val="22"/>
        </w:rPr>
        <w:t>T</w:t>
      </w:r>
      <w:r w:rsidR="005C5EF6">
        <w:rPr>
          <w:rFonts w:asciiTheme="minorHAnsi" w:hAnsiTheme="minorHAnsi" w:cstheme="minorHAnsi"/>
          <w:sz w:val="24"/>
          <w:szCs w:val="22"/>
        </w:rPr>
        <w:t>ransplant</w:t>
      </w:r>
      <w:r>
        <w:rPr>
          <w:rFonts w:asciiTheme="minorHAnsi" w:hAnsiTheme="minorHAnsi" w:cstheme="minorHAnsi"/>
          <w:sz w:val="24"/>
          <w:szCs w:val="22"/>
        </w:rPr>
        <w:t>ation</w:t>
      </w:r>
      <w:r w:rsidR="005C5EF6">
        <w:rPr>
          <w:rFonts w:asciiTheme="minorHAnsi" w:hAnsiTheme="minorHAnsi" w:cstheme="minorHAnsi"/>
          <w:sz w:val="24"/>
          <w:szCs w:val="22"/>
        </w:rPr>
        <w:t xml:space="preserve"> </w:t>
      </w:r>
      <w:r w:rsidR="009F724C">
        <w:rPr>
          <w:rFonts w:asciiTheme="minorHAnsi" w:hAnsiTheme="minorHAnsi" w:cstheme="minorHAnsi"/>
          <w:sz w:val="24"/>
          <w:szCs w:val="22"/>
        </w:rPr>
        <w:t xml:space="preserve">numbers have increased overall since the implementation of the reform in 2009. However, </w:t>
      </w:r>
      <w:r>
        <w:rPr>
          <w:rFonts w:asciiTheme="minorHAnsi" w:hAnsiTheme="minorHAnsi" w:cstheme="minorHAnsi"/>
          <w:sz w:val="24"/>
          <w:szCs w:val="22"/>
        </w:rPr>
        <w:t>they</w:t>
      </w:r>
      <w:r w:rsidR="009F724C">
        <w:rPr>
          <w:rFonts w:asciiTheme="minorHAnsi" w:hAnsiTheme="minorHAnsi" w:cstheme="minorHAnsi"/>
          <w:sz w:val="24"/>
          <w:szCs w:val="22"/>
        </w:rPr>
        <w:t xml:space="preserve"> vary greatly between organs and across states and territories as illustrated </w:t>
      </w:r>
      <w:r w:rsidR="009F724C" w:rsidRPr="00D40C14">
        <w:rPr>
          <w:rFonts w:asciiTheme="minorHAnsi" w:hAnsiTheme="minorHAnsi" w:cstheme="minorHAnsi"/>
          <w:sz w:val="24"/>
          <w:szCs w:val="22"/>
        </w:rPr>
        <w:t>in</w:t>
      </w:r>
      <w:r w:rsidR="002455C6">
        <w:rPr>
          <w:rFonts w:asciiTheme="minorHAnsi" w:hAnsiTheme="minorHAnsi" w:cstheme="minorHAnsi"/>
          <w:sz w:val="24"/>
          <w:szCs w:val="22"/>
        </w:rPr>
        <w:t xml:space="preserve"> </w:t>
      </w:r>
      <w:r w:rsidR="00B7366B">
        <w:rPr>
          <w:rFonts w:asciiTheme="minorHAnsi" w:hAnsiTheme="minorHAnsi" w:cstheme="minorHAnsi"/>
          <w:sz w:val="24"/>
          <w:szCs w:val="22"/>
        </w:rPr>
        <w:t>Figure 9</w:t>
      </w:r>
      <w:r w:rsidR="00A465BA" w:rsidRPr="00A465BA">
        <w:rPr>
          <w:rFonts w:asciiTheme="minorHAnsi" w:hAnsiTheme="minorHAnsi" w:cstheme="minorHAnsi"/>
          <w:sz w:val="24"/>
          <w:szCs w:val="22"/>
        </w:rPr>
        <w:t xml:space="preserve"> </w:t>
      </w:r>
      <w:r w:rsidR="002455C6" w:rsidRPr="00B7366B">
        <w:rPr>
          <w:rFonts w:asciiTheme="minorHAnsi" w:hAnsiTheme="minorHAnsi" w:cstheme="minorHAnsi"/>
          <w:sz w:val="24"/>
          <w:szCs w:val="22"/>
        </w:rPr>
        <w:t xml:space="preserve">to </w:t>
      </w:r>
      <w:r w:rsidR="005A6BF5">
        <w:rPr>
          <w:rFonts w:asciiTheme="minorHAnsi" w:hAnsiTheme="minorHAnsi" w:cstheme="minorHAnsi"/>
          <w:sz w:val="24"/>
          <w:szCs w:val="22"/>
        </w:rPr>
        <w:t>Figure 14</w:t>
      </w:r>
      <w:r w:rsidR="00376944">
        <w:rPr>
          <w:rFonts w:asciiTheme="minorHAnsi" w:hAnsiTheme="minorHAnsi" w:cstheme="minorHAnsi"/>
          <w:sz w:val="24"/>
          <w:szCs w:val="22"/>
        </w:rPr>
        <w:t>.</w:t>
      </w:r>
      <w:r w:rsidR="005A6BF5">
        <w:rPr>
          <w:rFonts w:asciiTheme="minorHAnsi" w:hAnsiTheme="minorHAnsi" w:cstheme="minorHAnsi"/>
          <w:sz w:val="24"/>
          <w:szCs w:val="22"/>
        </w:rPr>
        <w:t xml:space="preserve"> </w:t>
      </w:r>
      <w:r w:rsidR="00754558" w:rsidRPr="00B7366B">
        <w:rPr>
          <w:rFonts w:asciiTheme="minorHAnsi" w:hAnsiTheme="minorHAnsi" w:cstheme="minorHAnsi"/>
          <w:sz w:val="24"/>
          <w:szCs w:val="22"/>
        </w:rPr>
        <w:t>Kidneys</w:t>
      </w:r>
      <w:r w:rsidR="00754558">
        <w:rPr>
          <w:rFonts w:asciiTheme="minorHAnsi" w:hAnsiTheme="minorHAnsi" w:cstheme="minorHAnsi"/>
          <w:sz w:val="24"/>
          <w:szCs w:val="22"/>
        </w:rPr>
        <w:t xml:space="preserve"> are the most commonly transplanted organ, whereas pancreas and intestine organ transplantations are performed on a much smaller scale currently in Australia. New South Wales and Victoria </w:t>
      </w:r>
      <w:r w:rsidR="00B63AD0">
        <w:rPr>
          <w:rFonts w:asciiTheme="minorHAnsi" w:hAnsiTheme="minorHAnsi" w:cstheme="minorHAnsi"/>
          <w:sz w:val="24"/>
          <w:szCs w:val="22"/>
        </w:rPr>
        <w:t>perform the most organ transplantations and have continued to do since 2009. The lowest number of transplantations can be seen in Western Australia and South Australia.</w:t>
      </w:r>
    </w:p>
    <w:p w14:paraId="39A2B3F8" w14:textId="77777777" w:rsidR="007F0188" w:rsidRDefault="007F0188">
      <w:pPr>
        <w:widowControl/>
        <w:autoSpaceDE/>
        <w:autoSpaceDN/>
        <w:adjustRightInd/>
        <w:spacing w:after="200" w:line="276" w:lineRule="auto"/>
        <w:rPr>
          <w:rFonts w:asciiTheme="minorHAnsi" w:hAnsiTheme="minorHAnsi" w:cstheme="minorHAnsi"/>
          <w:b/>
          <w:color w:val="808080"/>
        </w:rPr>
      </w:pPr>
      <w:r>
        <w:rPr>
          <w:rFonts w:asciiTheme="minorHAnsi" w:hAnsiTheme="minorHAnsi" w:cstheme="minorHAnsi"/>
          <w:b/>
          <w:color w:val="808080"/>
        </w:rPr>
        <w:br w:type="page"/>
      </w:r>
    </w:p>
    <w:p w14:paraId="52280428" w14:textId="4C001140" w:rsidR="00B7366B" w:rsidRPr="00AE3ED1" w:rsidRDefault="00F23D1D" w:rsidP="00AE3ED1">
      <w:pPr>
        <w:spacing w:after="0"/>
        <w:rPr>
          <w:rFonts w:asciiTheme="minorHAnsi" w:hAnsiTheme="minorHAnsi" w:cstheme="minorHAnsi"/>
          <w:color w:val="808080"/>
        </w:rPr>
      </w:pPr>
      <w:r w:rsidRPr="00AE3ED1">
        <w:rPr>
          <w:rFonts w:asciiTheme="minorHAnsi" w:hAnsiTheme="minorHAnsi" w:cstheme="minorHAnsi"/>
          <w:color w:val="808080"/>
        </w:rPr>
        <w:lastRenderedPageBreak/>
        <w:t xml:space="preserve">Figure </w:t>
      </w:r>
      <w:r w:rsidRPr="00AE3ED1">
        <w:rPr>
          <w:rFonts w:asciiTheme="minorHAnsi" w:hAnsiTheme="minorHAnsi" w:cstheme="minorHAnsi"/>
          <w:color w:val="808080"/>
        </w:rPr>
        <w:fldChar w:fldCharType="begin"/>
      </w:r>
      <w:r w:rsidRPr="00AE3ED1">
        <w:rPr>
          <w:rFonts w:asciiTheme="minorHAnsi" w:hAnsiTheme="minorHAnsi" w:cstheme="minorHAnsi"/>
          <w:color w:val="808080"/>
        </w:rPr>
        <w:instrText xml:space="preserve"> SEQ Figure \* ARABIC </w:instrText>
      </w:r>
      <w:r w:rsidRPr="00AE3ED1">
        <w:rPr>
          <w:rFonts w:asciiTheme="minorHAnsi" w:hAnsiTheme="minorHAnsi" w:cstheme="minorHAnsi"/>
          <w:color w:val="808080"/>
        </w:rPr>
        <w:fldChar w:fldCharType="separate"/>
      </w:r>
      <w:r w:rsidRPr="00AE3ED1">
        <w:rPr>
          <w:rFonts w:asciiTheme="minorHAnsi" w:hAnsiTheme="minorHAnsi" w:cstheme="minorHAnsi"/>
          <w:noProof/>
          <w:color w:val="808080"/>
        </w:rPr>
        <w:t>9</w:t>
      </w:r>
      <w:r w:rsidRPr="00AE3ED1">
        <w:rPr>
          <w:rFonts w:asciiTheme="minorHAnsi" w:hAnsiTheme="minorHAnsi" w:cstheme="minorHAnsi"/>
          <w:color w:val="808080"/>
        </w:rPr>
        <w:fldChar w:fldCharType="end"/>
      </w:r>
      <w:r w:rsidRPr="00AE3ED1">
        <w:rPr>
          <w:rFonts w:asciiTheme="minorHAnsi" w:hAnsiTheme="minorHAnsi" w:cstheme="minorHAnsi"/>
          <w:color w:val="808080"/>
        </w:rPr>
        <w:t>: Lung transplant counts 2009-2017 (per state/territory), SOURCE: ANZOD</w:t>
      </w:r>
      <w:r w:rsidRPr="00AE3ED1">
        <w:rPr>
          <w:rStyle w:val="FootnoteReference"/>
          <w:rFonts w:cstheme="minorHAnsi"/>
          <w:color w:val="808080"/>
        </w:rPr>
        <w:footnoteReference w:id="62"/>
      </w:r>
    </w:p>
    <w:p w14:paraId="37C7FD5D" w14:textId="2846A2DF" w:rsidR="00773CA0" w:rsidRDefault="003F621E" w:rsidP="00C43CA7">
      <w:pPr>
        <w:spacing w:after="120"/>
        <w:rPr>
          <w:rFonts w:asciiTheme="minorHAnsi" w:hAnsiTheme="minorHAnsi" w:cstheme="minorHAnsi"/>
          <w:sz w:val="24"/>
          <w:szCs w:val="22"/>
        </w:rPr>
      </w:pPr>
      <w:r w:rsidRPr="002565CF">
        <w:rPr>
          <w:noProof/>
          <w:lang w:eastAsia="en-AU"/>
        </w:rPr>
        <w:drawing>
          <wp:inline distT="0" distB="0" distL="0" distR="0" wp14:anchorId="30D8BD2F" wp14:editId="4F4A9E65">
            <wp:extent cx="5169529" cy="3131896"/>
            <wp:effectExtent l="0" t="0" r="0" b="0"/>
            <wp:docPr id="2049" name="Picture 2049" descr="Figure 9 is a line graph comparing lung transplant counts 2009-2017 (per state/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2882" cy="3133928"/>
                    </a:xfrm>
                    <a:prstGeom prst="rect">
                      <a:avLst/>
                    </a:prstGeom>
                    <a:noFill/>
                    <a:ln>
                      <a:noFill/>
                    </a:ln>
                  </pic:spPr>
                </pic:pic>
              </a:graphicData>
            </a:graphic>
          </wp:inline>
        </w:drawing>
      </w:r>
    </w:p>
    <w:p w14:paraId="21472304" w14:textId="38E2FF4F" w:rsidR="003F621E" w:rsidRDefault="003F621E" w:rsidP="00C43CA7">
      <w:pPr>
        <w:spacing w:after="120"/>
        <w:rPr>
          <w:rFonts w:asciiTheme="minorHAnsi" w:hAnsiTheme="minorHAnsi" w:cstheme="minorHAnsi"/>
          <w:sz w:val="24"/>
          <w:szCs w:val="22"/>
        </w:rPr>
      </w:pPr>
      <w:r w:rsidRPr="00AE3ED1">
        <w:rPr>
          <w:rFonts w:asciiTheme="minorHAnsi" w:hAnsiTheme="minorHAnsi" w:cstheme="minorHAnsi"/>
          <w:color w:val="808080"/>
        </w:rPr>
        <w:t xml:space="preserve">Figure </w:t>
      </w:r>
      <w:r w:rsidRPr="00AE3ED1">
        <w:rPr>
          <w:rFonts w:asciiTheme="minorHAnsi" w:hAnsiTheme="minorHAnsi" w:cstheme="minorHAnsi"/>
          <w:color w:val="808080"/>
        </w:rPr>
        <w:fldChar w:fldCharType="begin"/>
      </w:r>
      <w:r w:rsidRPr="00AE3ED1">
        <w:rPr>
          <w:rFonts w:asciiTheme="minorHAnsi" w:hAnsiTheme="minorHAnsi" w:cstheme="minorHAnsi"/>
          <w:color w:val="808080"/>
        </w:rPr>
        <w:instrText xml:space="preserve"> SEQ Figure \* ARABIC </w:instrText>
      </w:r>
      <w:r w:rsidRPr="00AE3ED1">
        <w:rPr>
          <w:rFonts w:asciiTheme="minorHAnsi" w:hAnsiTheme="minorHAnsi" w:cstheme="minorHAnsi"/>
          <w:color w:val="808080"/>
        </w:rPr>
        <w:fldChar w:fldCharType="separate"/>
      </w:r>
      <w:r w:rsidRPr="00AE3ED1">
        <w:rPr>
          <w:rFonts w:asciiTheme="minorHAnsi" w:hAnsiTheme="minorHAnsi" w:cstheme="minorHAnsi"/>
          <w:noProof/>
          <w:color w:val="808080"/>
        </w:rPr>
        <w:t>10</w:t>
      </w:r>
      <w:r w:rsidRPr="00AE3ED1">
        <w:rPr>
          <w:rFonts w:asciiTheme="minorHAnsi" w:hAnsiTheme="minorHAnsi" w:cstheme="minorHAnsi"/>
          <w:color w:val="808080"/>
        </w:rPr>
        <w:fldChar w:fldCharType="end"/>
      </w:r>
      <w:r w:rsidRPr="00AE3ED1">
        <w:rPr>
          <w:rFonts w:asciiTheme="minorHAnsi" w:hAnsiTheme="minorHAnsi" w:cstheme="minorHAnsi"/>
          <w:color w:val="808080"/>
        </w:rPr>
        <w:t>: Heart transplant counts 2009-2017 (per state/territory), SOURCE: ANZOD</w:t>
      </w:r>
      <w:r w:rsidRPr="00AE3ED1">
        <w:rPr>
          <w:rStyle w:val="FootnoteReference"/>
          <w:rFonts w:cstheme="minorHAnsi"/>
          <w:color w:val="808080"/>
        </w:rPr>
        <w:footnoteReference w:id="63"/>
      </w:r>
      <w:r w:rsidRPr="005B1483">
        <w:rPr>
          <w:noProof/>
          <w:lang w:eastAsia="en-AU"/>
        </w:rPr>
        <w:drawing>
          <wp:inline distT="0" distB="0" distL="0" distR="0" wp14:anchorId="01631D9F" wp14:editId="2BF98D7D">
            <wp:extent cx="5142230" cy="2933065"/>
            <wp:effectExtent l="0" t="0" r="0" b="0"/>
            <wp:docPr id="2050" name="Picture 2050" descr="Figure 10 is a line graph comparing heart transplant counts 2009-2017 (per state/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2230" cy="2933065"/>
                    </a:xfrm>
                    <a:prstGeom prst="rect">
                      <a:avLst/>
                    </a:prstGeom>
                    <a:noFill/>
                    <a:ln>
                      <a:noFill/>
                    </a:ln>
                  </pic:spPr>
                </pic:pic>
              </a:graphicData>
            </a:graphic>
          </wp:inline>
        </w:drawing>
      </w:r>
    </w:p>
    <w:p w14:paraId="131AAC39" w14:textId="202076FF" w:rsidR="00376944" w:rsidRDefault="00376944">
      <w:pPr>
        <w:widowControl/>
        <w:autoSpaceDE/>
        <w:autoSpaceDN/>
        <w:adjustRightInd/>
        <w:spacing w:after="200" w:line="276" w:lineRule="auto"/>
        <w:rPr>
          <w:rFonts w:asciiTheme="minorHAnsi" w:hAnsiTheme="minorHAnsi" w:cstheme="minorHAnsi"/>
          <w:sz w:val="24"/>
          <w:szCs w:val="22"/>
        </w:rPr>
      </w:pPr>
      <w:r>
        <w:rPr>
          <w:rFonts w:asciiTheme="minorHAnsi" w:hAnsiTheme="minorHAnsi" w:cstheme="minorHAnsi"/>
          <w:sz w:val="24"/>
          <w:szCs w:val="22"/>
        </w:rPr>
        <w:br w:type="page"/>
      </w:r>
    </w:p>
    <w:p w14:paraId="62D499B0" w14:textId="535BAF42" w:rsidR="007F0188" w:rsidRDefault="003F621E" w:rsidP="00AE3ED1">
      <w:pPr>
        <w:widowControl/>
        <w:autoSpaceDE/>
        <w:autoSpaceDN/>
        <w:adjustRightInd/>
        <w:spacing w:after="200" w:line="276" w:lineRule="auto"/>
        <w:rPr>
          <w:rFonts w:asciiTheme="minorHAnsi" w:hAnsiTheme="minorHAnsi" w:cstheme="minorHAnsi"/>
          <w:b/>
          <w:color w:val="808080"/>
        </w:rPr>
      </w:pPr>
      <w:r w:rsidRPr="007F0188">
        <w:rPr>
          <w:rFonts w:asciiTheme="minorHAnsi" w:hAnsiTheme="minorHAnsi" w:cstheme="minorHAnsi"/>
          <w:color w:val="808080"/>
        </w:rPr>
        <w:t xml:space="preserve">Figure </w:t>
      </w:r>
      <w:r w:rsidRPr="00AE3ED1">
        <w:rPr>
          <w:rFonts w:asciiTheme="minorHAnsi" w:hAnsiTheme="minorHAnsi" w:cstheme="minorHAnsi"/>
          <w:color w:val="808080"/>
        </w:rPr>
        <w:fldChar w:fldCharType="begin"/>
      </w:r>
      <w:r w:rsidRPr="007F0188">
        <w:rPr>
          <w:rFonts w:asciiTheme="minorHAnsi" w:hAnsiTheme="minorHAnsi" w:cstheme="minorHAnsi"/>
          <w:color w:val="808080"/>
        </w:rPr>
        <w:instrText xml:space="preserve"> SEQ Figure \* ARABIC </w:instrText>
      </w:r>
      <w:r w:rsidRPr="00AE3ED1">
        <w:rPr>
          <w:rFonts w:asciiTheme="minorHAnsi" w:hAnsiTheme="minorHAnsi" w:cstheme="minorHAnsi"/>
          <w:color w:val="808080"/>
        </w:rPr>
        <w:fldChar w:fldCharType="separate"/>
      </w:r>
      <w:r w:rsidRPr="00AE3ED1">
        <w:rPr>
          <w:rFonts w:asciiTheme="minorHAnsi" w:hAnsiTheme="minorHAnsi" w:cstheme="minorHAnsi"/>
          <w:color w:val="808080"/>
        </w:rPr>
        <w:t>11</w:t>
      </w:r>
      <w:r w:rsidRPr="00AE3ED1">
        <w:rPr>
          <w:rFonts w:asciiTheme="minorHAnsi" w:hAnsiTheme="minorHAnsi" w:cstheme="minorHAnsi"/>
          <w:color w:val="808080"/>
        </w:rPr>
        <w:fldChar w:fldCharType="end"/>
      </w:r>
      <w:r w:rsidRPr="007F0188">
        <w:rPr>
          <w:rFonts w:asciiTheme="minorHAnsi" w:hAnsiTheme="minorHAnsi" w:cstheme="minorHAnsi"/>
          <w:color w:val="808080"/>
        </w:rPr>
        <w:t>: Liver transplant counts 2009-2017 (per state/territory)</w:t>
      </w:r>
      <w:r w:rsidRPr="00AE3ED1">
        <w:rPr>
          <w:rFonts w:asciiTheme="minorHAnsi" w:hAnsiTheme="minorHAnsi" w:cstheme="minorHAnsi"/>
          <w:color w:val="808080"/>
        </w:rPr>
        <w:t xml:space="preserve">, </w:t>
      </w:r>
      <w:r w:rsidRPr="007F0188">
        <w:rPr>
          <w:rFonts w:asciiTheme="minorHAnsi" w:hAnsiTheme="minorHAnsi" w:cstheme="minorHAnsi"/>
          <w:color w:val="808080"/>
        </w:rPr>
        <w:t>SOURCE: ANZOD</w:t>
      </w:r>
      <w:r w:rsidRPr="007F0188">
        <w:rPr>
          <w:rStyle w:val="FootnoteReference"/>
          <w:rFonts w:cstheme="minorHAnsi"/>
          <w:color w:val="808080"/>
        </w:rPr>
        <w:footnoteReference w:id="64"/>
      </w:r>
    </w:p>
    <w:p w14:paraId="66A4F573" w14:textId="6032643B" w:rsidR="003F621E" w:rsidRDefault="003F621E" w:rsidP="00C43CA7">
      <w:pPr>
        <w:spacing w:after="120"/>
        <w:rPr>
          <w:rFonts w:asciiTheme="minorHAnsi" w:hAnsiTheme="minorHAnsi" w:cstheme="minorHAnsi"/>
          <w:sz w:val="24"/>
          <w:szCs w:val="22"/>
        </w:rPr>
      </w:pPr>
      <w:r w:rsidRPr="005B1483">
        <w:rPr>
          <w:noProof/>
          <w:lang w:eastAsia="en-AU"/>
        </w:rPr>
        <w:drawing>
          <wp:inline distT="0" distB="0" distL="0" distR="0" wp14:anchorId="1C188CEB" wp14:editId="7ED69D50">
            <wp:extent cx="5558828" cy="2832751"/>
            <wp:effectExtent l="0" t="0" r="0" b="0"/>
            <wp:docPr id="2051" name="Picture 2051" descr="Figure 11 is a line graph comparing liver transplant counts 2009-2017 (per state/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4037" cy="2835405"/>
                    </a:xfrm>
                    <a:prstGeom prst="rect">
                      <a:avLst/>
                    </a:prstGeom>
                    <a:noFill/>
                    <a:ln>
                      <a:noFill/>
                    </a:ln>
                  </pic:spPr>
                </pic:pic>
              </a:graphicData>
            </a:graphic>
          </wp:inline>
        </w:drawing>
      </w:r>
    </w:p>
    <w:p w14:paraId="1072C688" w14:textId="7F50A7A5" w:rsidR="007F0188" w:rsidRPr="007F0188" w:rsidRDefault="007F0188" w:rsidP="00C43CA7">
      <w:pPr>
        <w:spacing w:after="120"/>
        <w:rPr>
          <w:rFonts w:asciiTheme="minorHAnsi" w:hAnsiTheme="minorHAnsi" w:cstheme="minorHAnsi"/>
          <w:color w:val="808080"/>
        </w:rPr>
      </w:pPr>
      <w:r w:rsidRPr="007F0188">
        <w:rPr>
          <w:rFonts w:asciiTheme="minorHAnsi" w:hAnsiTheme="minorHAnsi" w:cstheme="minorHAnsi"/>
          <w:color w:val="808080"/>
        </w:rPr>
        <w:t xml:space="preserve">Figure </w:t>
      </w:r>
      <w:r w:rsidRPr="00AE3ED1">
        <w:rPr>
          <w:rFonts w:asciiTheme="minorHAnsi" w:hAnsiTheme="minorHAnsi" w:cstheme="minorHAnsi"/>
          <w:color w:val="808080"/>
        </w:rPr>
        <w:fldChar w:fldCharType="begin"/>
      </w:r>
      <w:r w:rsidRPr="007F0188">
        <w:rPr>
          <w:rFonts w:asciiTheme="minorHAnsi" w:hAnsiTheme="minorHAnsi" w:cstheme="minorHAnsi"/>
          <w:color w:val="808080"/>
        </w:rPr>
        <w:instrText xml:space="preserve"> SEQ Figure \* ARABIC </w:instrText>
      </w:r>
      <w:r w:rsidRPr="00AE3ED1">
        <w:rPr>
          <w:rFonts w:asciiTheme="minorHAnsi" w:hAnsiTheme="minorHAnsi" w:cstheme="minorHAnsi"/>
          <w:color w:val="808080"/>
        </w:rPr>
        <w:fldChar w:fldCharType="separate"/>
      </w:r>
      <w:r w:rsidRPr="007F0188">
        <w:rPr>
          <w:rFonts w:asciiTheme="minorHAnsi" w:hAnsiTheme="minorHAnsi" w:cstheme="minorHAnsi"/>
          <w:noProof/>
          <w:color w:val="808080"/>
        </w:rPr>
        <w:t>12</w:t>
      </w:r>
      <w:r w:rsidRPr="00AE3ED1">
        <w:rPr>
          <w:rFonts w:asciiTheme="minorHAnsi" w:hAnsiTheme="minorHAnsi" w:cstheme="minorHAnsi"/>
          <w:color w:val="808080"/>
        </w:rPr>
        <w:fldChar w:fldCharType="end"/>
      </w:r>
      <w:r w:rsidRPr="007F0188">
        <w:rPr>
          <w:rFonts w:asciiTheme="minorHAnsi" w:hAnsiTheme="minorHAnsi" w:cstheme="minorHAnsi"/>
          <w:color w:val="808080"/>
        </w:rPr>
        <w:t>: Kidney transplant counts 2009-2017 (per state/territory)</w:t>
      </w:r>
      <w:r>
        <w:rPr>
          <w:rFonts w:asciiTheme="minorHAnsi" w:hAnsiTheme="minorHAnsi" w:cstheme="minorHAnsi"/>
          <w:color w:val="808080"/>
        </w:rPr>
        <w:t xml:space="preserve">, </w:t>
      </w:r>
      <w:r w:rsidRPr="007F0188">
        <w:rPr>
          <w:rFonts w:asciiTheme="minorHAnsi" w:hAnsiTheme="minorHAnsi" w:cstheme="minorHAnsi"/>
          <w:color w:val="808080"/>
        </w:rPr>
        <w:t>SOURCE: ANZOD</w:t>
      </w:r>
      <w:r w:rsidRPr="00AE3ED1">
        <w:rPr>
          <w:rStyle w:val="FootnoteReference"/>
          <w:rFonts w:asciiTheme="minorHAnsi" w:hAnsiTheme="minorHAnsi" w:cstheme="minorHAnsi"/>
          <w:color w:val="808080"/>
        </w:rPr>
        <w:footnoteReference w:id="65"/>
      </w:r>
    </w:p>
    <w:p w14:paraId="029874F0" w14:textId="2039842D" w:rsidR="007F0188" w:rsidRDefault="007F0188" w:rsidP="00C43CA7">
      <w:pPr>
        <w:spacing w:after="120"/>
        <w:rPr>
          <w:rFonts w:asciiTheme="minorHAnsi" w:hAnsiTheme="minorHAnsi" w:cstheme="minorHAnsi"/>
          <w:sz w:val="24"/>
          <w:szCs w:val="22"/>
        </w:rPr>
      </w:pPr>
      <w:r w:rsidRPr="002565CF">
        <w:rPr>
          <w:noProof/>
          <w:lang w:eastAsia="en-AU"/>
        </w:rPr>
        <w:drawing>
          <wp:inline distT="0" distB="0" distL="0" distR="0" wp14:anchorId="7063A91A" wp14:editId="06170A81">
            <wp:extent cx="5730844" cy="3178827"/>
            <wp:effectExtent l="0" t="0" r="0" b="0"/>
            <wp:docPr id="2052" name="Picture 2052" descr="Figure 12 is a line graph comparing kidney transplant counts 2009-2017 (per state/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7407" cy="3182467"/>
                    </a:xfrm>
                    <a:prstGeom prst="rect">
                      <a:avLst/>
                    </a:prstGeom>
                    <a:noFill/>
                    <a:ln>
                      <a:noFill/>
                    </a:ln>
                  </pic:spPr>
                </pic:pic>
              </a:graphicData>
            </a:graphic>
          </wp:inline>
        </w:drawing>
      </w:r>
    </w:p>
    <w:p w14:paraId="641C7EB4" w14:textId="77777777" w:rsidR="007F0188" w:rsidRDefault="007F0188">
      <w:pPr>
        <w:widowControl/>
        <w:autoSpaceDE/>
        <w:autoSpaceDN/>
        <w:adjustRightInd/>
        <w:spacing w:after="200" w:line="276" w:lineRule="auto"/>
        <w:rPr>
          <w:rFonts w:asciiTheme="minorHAnsi" w:hAnsiTheme="minorHAnsi" w:cstheme="minorHAnsi"/>
          <w:color w:val="808080"/>
        </w:rPr>
      </w:pPr>
      <w:r>
        <w:rPr>
          <w:rFonts w:asciiTheme="minorHAnsi" w:hAnsiTheme="minorHAnsi" w:cstheme="minorHAnsi"/>
          <w:color w:val="808080"/>
        </w:rPr>
        <w:br w:type="page"/>
      </w:r>
    </w:p>
    <w:p w14:paraId="07570320" w14:textId="522C2E27" w:rsidR="007F0188" w:rsidRDefault="007F0188" w:rsidP="00C43CA7">
      <w:pPr>
        <w:spacing w:after="120"/>
        <w:rPr>
          <w:rFonts w:asciiTheme="minorHAnsi" w:hAnsiTheme="minorHAnsi" w:cstheme="minorHAnsi"/>
          <w:color w:val="808080"/>
        </w:rPr>
      </w:pPr>
      <w:r w:rsidRPr="00F17564">
        <w:rPr>
          <w:rFonts w:asciiTheme="minorHAnsi" w:hAnsiTheme="minorHAnsi" w:cstheme="minorHAnsi"/>
          <w:color w:val="808080"/>
        </w:rPr>
        <w:lastRenderedPageBreak/>
        <w:t xml:space="preserve">Figure </w:t>
      </w:r>
      <w:r>
        <w:rPr>
          <w:rFonts w:asciiTheme="minorHAnsi" w:hAnsiTheme="minorHAnsi" w:cstheme="minorHAnsi"/>
          <w:b/>
          <w:color w:val="808080"/>
        </w:rPr>
        <w:fldChar w:fldCharType="begin"/>
      </w:r>
      <w:r>
        <w:rPr>
          <w:rFonts w:asciiTheme="minorHAnsi" w:hAnsiTheme="minorHAnsi" w:cstheme="minorHAnsi"/>
          <w:color w:val="808080"/>
        </w:rPr>
        <w:instrText xml:space="preserve"> SEQ Figure \* ARABIC </w:instrText>
      </w:r>
      <w:r>
        <w:rPr>
          <w:rFonts w:asciiTheme="minorHAnsi" w:hAnsiTheme="minorHAnsi" w:cstheme="minorHAnsi"/>
          <w:b/>
          <w:color w:val="808080"/>
        </w:rPr>
        <w:fldChar w:fldCharType="separate"/>
      </w:r>
      <w:r>
        <w:rPr>
          <w:rFonts w:asciiTheme="minorHAnsi" w:hAnsiTheme="minorHAnsi" w:cstheme="minorHAnsi"/>
          <w:noProof/>
          <w:color w:val="808080"/>
        </w:rPr>
        <w:t>13</w:t>
      </w:r>
      <w:r>
        <w:rPr>
          <w:rFonts w:asciiTheme="minorHAnsi" w:hAnsiTheme="minorHAnsi" w:cstheme="minorHAnsi"/>
          <w:b/>
          <w:color w:val="808080"/>
        </w:rPr>
        <w:fldChar w:fldCharType="end"/>
      </w:r>
      <w:r w:rsidRPr="00F17564">
        <w:rPr>
          <w:rFonts w:asciiTheme="minorHAnsi" w:hAnsiTheme="minorHAnsi" w:cstheme="minorHAnsi"/>
          <w:color w:val="808080"/>
        </w:rPr>
        <w:t>: Intestine transplant counts 2009-2017 (per state/territory)</w:t>
      </w:r>
      <w:r>
        <w:rPr>
          <w:rFonts w:asciiTheme="minorHAnsi" w:hAnsiTheme="minorHAnsi" w:cstheme="minorHAnsi"/>
          <w:color w:val="808080"/>
        </w:rPr>
        <w:t>, SOURCE: ANZOD</w:t>
      </w:r>
      <w:r>
        <w:rPr>
          <w:rStyle w:val="FootnoteReference"/>
          <w:rFonts w:cstheme="minorHAnsi"/>
          <w:color w:val="808080"/>
        </w:rPr>
        <w:footnoteReference w:id="66"/>
      </w:r>
    </w:p>
    <w:p w14:paraId="03F37E90" w14:textId="037DEBA2" w:rsidR="007F0188" w:rsidRDefault="007F0188" w:rsidP="00C43CA7">
      <w:pPr>
        <w:spacing w:after="120"/>
        <w:rPr>
          <w:rFonts w:asciiTheme="minorHAnsi" w:hAnsiTheme="minorHAnsi" w:cstheme="minorHAnsi"/>
          <w:sz w:val="24"/>
          <w:szCs w:val="22"/>
        </w:rPr>
      </w:pPr>
      <w:r w:rsidRPr="002565CF">
        <w:rPr>
          <w:noProof/>
          <w:lang w:eastAsia="en-AU"/>
        </w:rPr>
        <w:drawing>
          <wp:inline distT="0" distB="0" distL="0" distR="0" wp14:anchorId="27A7FD24" wp14:editId="0CDF251E">
            <wp:extent cx="5721790" cy="3295033"/>
            <wp:effectExtent l="0" t="0" r="0" b="0"/>
            <wp:docPr id="2053" name="Picture 2053" descr="Figure 13 is a line graph comparing intestine transplant counts 2009-2017 (per state/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037" cy="3298055"/>
                    </a:xfrm>
                    <a:prstGeom prst="rect">
                      <a:avLst/>
                    </a:prstGeom>
                    <a:noFill/>
                    <a:ln>
                      <a:noFill/>
                    </a:ln>
                  </pic:spPr>
                </pic:pic>
              </a:graphicData>
            </a:graphic>
          </wp:inline>
        </w:drawing>
      </w:r>
    </w:p>
    <w:p w14:paraId="57444502" w14:textId="75C0129C" w:rsidR="007F0188" w:rsidRDefault="007F0188" w:rsidP="00C43CA7">
      <w:pPr>
        <w:spacing w:after="120"/>
        <w:rPr>
          <w:rFonts w:asciiTheme="minorHAnsi" w:hAnsiTheme="minorHAnsi" w:cstheme="minorHAnsi"/>
          <w:color w:val="808080"/>
        </w:rPr>
      </w:pPr>
      <w:r w:rsidRPr="00F17564">
        <w:rPr>
          <w:rFonts w:asciiTheme="minorHAnsi" w:hAnsiTheme="minorHAnsi" w:cstheme="minorHAnsi"/>
          <w:color w:val="808080"/>
        </w:rPr>
        <w:t xml:space="preserve">Figure </w:t>
      </w:r>
      <w:r>
        <w:rPr>
          <w:rFonts w:asciiTheme="minorHAnsi" w:hAnsiTheme="minorHAnsi" w:cstheme="minorHAnsi"/>
          <w:b/>
          <w:color w:val="808080"/>
        </w:rPr>
        <w:fldChar w:fldCharType="begin"/>
      </w:r>
      <w:r>
        <w:rPr>
          <w:rFonts w:asciiTheme="minorHAnsi" w:hAnsiTheme="minorHAnsi" w:cstheme="minorHAnsi"/>
          <w:color w:val="808080"/>
        </w:rPr>
        <w:instrText xml:space="preserve"> SEQ Figure \* ARABIC </w:instrText>
      </w:r>
      <w:r>
        <w:rPr>
          <w:rFonts w:asciiTheme="minorHAnsi" w:hAnsiTheme="minorHAnsi" w:cstheme="minorHAnsi"/>
          <w:b/>
          <w:color w:val="808080"/>
        </w:rPr>
        <w:fldChar w:fldCharType="separate"/>
      </w:r>
      <w:r>
        <w:rPr>
          <w:rFonts w:asciiTheme="minorHAnsi" w:hAnsiTheme="minorHAnsi" w:cstheme="minorHAnsi"/>
          <w:noProof/>
          <w:color w:val="808080"/>
        </w:rPr>
        <w:t>14</w:t>
      </w:r>
      <w:r>
        <w:rPr>
          <w:rFonts w:asciiTheme="minorHAnsi" w:hAnsiTheme="minorHAnsi" w:cstheme="minorHAnsi"/>
          <w:b/>
          <w:color w:val="808080"/>
        </w:rPr>
        <w:fldChar w:fldCharType="end"/>
      </w:r>
      <w:r w:rsidRPr="00F17564">
        <w:rPr>
          <w:rFonts w:asciiTheme="minorHAnsi" w:hAnsiTheme="minorHAnsi" w:cstheme="minorHAnsi"/>
          <w:color w:val="808080"/>
        </w:rPr>
        <w:t>: Pancreas transplant counts 2009-2017 (per state/territory)</w:t>
      </w:r>
      <w:r>
        <w:rPr>
          <w:rFonts w:asciiTheme="minorHAnsi" w:hAnsiTheme="minorHAnsi" w:cstheme="minorHAnsi"/>
          <w:color w:val="808080"/>
        </w:rPr>
        <w:t>, SOURCE: ANZOD</w:t>
      </w:r>
      <w:r>
        <w:rPr>
          <w:rStyle w:val="FootnoteReference"/>
          <w:rFonts w:cstheme="minorHAnsi"/>
          <w:color w:val="808080"/>
        </w:rPr>
        <w:footnoteReference w:id="67"/>
      </w:r>
    </w:p>
    <w:p w14:paraId="6496E5DA" w14:textId="630F4398" w:rsidR="007F0188" w:rsidRDefault="007F0188" w:rsidP="00C43CA7">
      <w:pPr>
        <w:spacing w:after="120"/>
        <w:rPr>
          <w:rFonts w:asciiTheme="minorHAnsi" w:hAnsiTheme="minorHAnsi" w:cstheme="minorHAnsi"/>
          <w:sz w:val="24"/>
          <w:szCs w:val="22"/>
        </w:rPr>
        <w:sectPr w:rsidR="007F0188" w:rsidSect="00EB39DF">
          <w:headerReference w:type="even" r:id="rId33"/>
          <w:headerReference w:type="default" r:id="rId34"/>
          <w:headerReference w:type="first" r:id="rId35"/>
          <w:pgSz w:w="11906" w:h="16838"/>
          <w:pgMar w:top="1440" w:right="851" w:bottom="1440" w:left="1440" w:header="283" w:footer="567" w:gutter="0"/>
          <w:cols w:space="708"/>
          <w:docGrid w:linePitch="360"/>
        </w:sectPr>
      </w:pPr>
      <w:r w:rsidRPr="002565CF">
        <w:rPr>
          <w:noProof/>
          <w:lang w:eastAsia="en-AU"/>
        </w:rPr>
        <w:drawing>
          <wp:inline distT="0" distB="0" distL="0" distR="0" wp14:anchorId="5BA0F788" wp14:editId="1B7839D0">
            <wp:extent cx="5648960" cy="3479165"/>
            <wp:effectExtent l="0" t="0" r="0" b="0"/>
            <wp:docPr id="2054" name="Picture 2054" descr="Figure 14 is a line graph comparing pancreas transplant counts 2009-2017 (per state/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8960" cy="3479165"/>
                    </a:xfrm>
                    <a:prstGeom prst="rect">
                      <a:avLst/>
                    </a:prstGeom>
                    <a:noFill/>
                    <a:ln>
                      <a:noFill/>
                    </a:ln>
                  </pic:spPr>
                </pic:pic>
              </a:graphicData>
            </a:graphic>
          </wp:inline>
        </w:drawing>
      </w:r>
    </w:p>
    <w:p w14:paraId="5691355F" w14:textId="77777777" w:rsidR="00C43CA7" w:rsidRPr="00266A77" w:rsidRDefault="001129BE" w:rsidP="00C43CA7">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150" w:name="_Ref523741620"/>
      <w:bookmarkStart w:id="151" w:name="_Ref523741738"/>
      <w:bookmarkStart w:id="152" w:name="_Ref531798704"/>
      <w:bookmarkStart w:id="153" w:name="_Toc532301689"/>
      <w:r w:rsidRPr="001129BE">
        <w:rPr>
          <w:rFonts w:asciiTheme="minorHAnsi" w:hAnsiTheme="minorHAnsi" w:cstheme="minorHAnsi"/>
          <w:iCs/>
          <w:color w:val="7F7F7F" w:themeColor="text1" w:themeTint="80"/>
          <w:sz w:val="36"/>
          <w:szCs w:val="30"/>
        </w:rPr>
        <w:lastRenderedPageBreak/>
        <w:t>Element 8:</w:t>
      </w:r>
      <w:r w:rsidRPr="00266A77">
        <w:rPr>
          <w:rFonts w:asciiTheme="minorHAnsi" w:hAnsiTheme="minorHAnsi" w:cstheme="minorHAnsi"/>
          <w:iCs/>
          <w:color w:val="7F7F7F" w:themeColor="text1" w:themeTint="80"/>
          <w:sz w:val="36"/>
          <w:szCs w:val="30"/>
        </w:rPr>
        <w:t xml:space="preserve"> </w:t>
      </w:r>
      <w:r w:rsidR="00C43CA7" w:rsidRPr="00266A77">
        <w:rPr>
          <w:rFonts w:asciiTheme="minorHAnsi" w:hAnsiTheme="minorHAnsi" w:cstheme="minorHAnsi"/>
          <w:iCs/>
          <w:color w:val="7F7F7F" w:themeColor="text1" w:themeTint="80"/>
          <w:sz w:val="36"/>
          <w:szCs w:val="30"/>
        </w:rPr>
        <w:t>Post</w:t>
      </w:r>
      <w:r w:rsidR="00E632AF">
        <w:rPr>
          <w:rFonts w:asciiTheme="minorHAnsi" w:hAnsiTheme="minorHAnsi" w:cstheme="minorHAnsi"/>
          <w:iCs/>
          <w:color w:val="7F7F7F" w:themeColor="text1" w:themeTint="80"/>
          <w:sz w:val="36"/>
          <w:szCs w:val="30"/>
        </w:rPr>
        <w:t xml:space="preserve"> </w:t>
      </w:r>
      <w:r w:rsidR="00C43CA7" w:rsidRPr="00266A77">
        <w:rPr>
          <w:rFonts w:asciiTheme="minorHAnsi" w:hAnsiTheme="minorHAnsi" w:cstheme="minorHAnsi"/>
          <w:iCs/>
          <w:color w:val="7F7F7F" w:themeColor="text1" w:themeTint="80"/>
          <w:sz w:val="36"/>
          <w:szCs w:val="30"/>
        </w:rPr>
        <w:t>transplant</w:t>
      </w:r>
      <w:bookmarkEnd w:id="150"/>
      <w:bookmarkEnd w:id="151"/>
      <w:r w:rsidR="00F538AC">
        <w:rPr>
          <w:rFonts w:asciiTheme="minorHAnsi" w:hAnsiTheme="minorHAnsi" w:cstheme="minorHAnsi"/>
          <w:iCs/>
          <w:color w:val="7F7F7F" w:themeColor="text1" w:themeTint="80"/>
          <w:sz w:val="36"/>
          <w:szCs w:val="30"/>
        </w:rPr>
        <w:t>ation</w:t>
      </w:r>
      <w:r w:rsidR="00D11AEE">
        <w:rPr>
          <w:rFonts w:asciiTheme="minorHAnsi" w:hAnsiTheme="minorHAnsi" w:cstheme="minorHAnsi"/>
          <w:iCs/>
          <w:color w:val="7F7F7F" w:themeColor="text1" w:themeTint="80"/>
          <w:sz w:val="36"/>
          <w:szCs w:val="30"/>
        </w:rPr>
        <w:t xml:space="preserve"> care</w:t>
      </w:r>
      <w:bookmarkEnd w:id="152"/>
      <w:bookmarkEnd w:id="153"/>
    </w:p>
    <w:p w14:paraId="1BB964B1" w14:textId="77777777" w:rsidR="008D4496" w:rsidRDefault="008D4496" w:rsidP="00C43CA7">
      <w:pPr>
        <w:spacing w:after="120"/>
        <w:rPr>
          <w:rFonts w:asciiTheme="minorHAnsi" w:hAnsiTheme="minorHAnsi" w:cstheme="minorHAnsi"/>
          <w:sz w:val="24"/>
          <w:szCs w:val="22"/>
        </w:rPr>
      </w:pPr>
      <w:r>
        <w:rPr>
          <w:rFonts w:asciiTheme="minorHAnsi" w:hAnsiTheme="minorHAnsi" w:cstheme="minorHAnsi"/>
          <w:sz w:val="24"/>
          <w:szCs w:val="22"/>
        </w:rPr>
        <w:t>P</w:t>
      </w:r>
      <w:r w:rsidR="00C43CA7" w:rsidRPr="00F37D51">
        <w:rPr>
          <w:rFonts w:asciiTheme="minorHAnsi" w:hAnsiTheme="minorHAnsi" w:cstheme="minorHAnsi"/>
          <w:sz w:val="24"/>
          <w:szCs w:val="22"/>
        </w:rPr>
        <w:t>ost</w:t>
      </w:r>
      <w:r w:rsidR="00E632AF">
        <w:rPr>
          <w:rFonts w:asciiTheme="minorHAnsi" w:hAnsiTheme="minorHAnsi" w:cstheme="minorHAnsi"/>
          <w:sz w:val="24"/>
          <w:szCs w:val="22"/>
        </w:rPr>
        <w:t xml:space="preserve"> </w:t>
      </w:r>
      <w:r w:rsidR="00941954">
        <w:rPr>
          <w:rFonts w:asciiTheme="minorHAnsi" w:hAnsiTheme="minorHAnsi" w:cstheme="minorHAnsi"/>
          <w:sz w:val="24"/>
          <w:szCs w:val="22"/>
        </w:rPr>
        <w:t>transplantation</w:t>
      </w:r>
      <w:r w:rsidR="00C43CA7" w:rsidRPr="00F37D51">
        <w:rPr>
          <w:rFonts w:asciiTheme="minorHAnsi" w:hAnsiTheme="minorHAnsi" w:cstheme="minorHAnsi"/>
          <w:sz w:val="24"/>
          <w:szCs w:val="22"/>
        </w:rPr>
        <w:t xml:space="preserve"> care is undertaken</w:t>
      </w:r>
      <w:r>
        <w:rPr>
          <w:rFonts w:asciiTheme="minorHAnsi" w:hAnsiTheme="minorHAnsi" w:cstheme="minorHAnsi"/>
          <w:sz w:val="24"/>
          <w:szCs w:val="22"/>
        </w:rPr>
        <w:t xml:space="preserve"> in the</w:t>
      </w:r>
      <w:r w:rsidR="00556B66">
        <w:rPr>
          <w:rFonts w:asciiTheme="minorHAnsi" w:hAnsiTheme="minorHAnsi" w:cstheme="minorHAnsi"/>
          <w:sz w:val="24"/>
          <w:szCs w:val="22"/>
        </w:rPr>
        <w:t xml:space="preserve"> ICU</w:t>
      </w:r>
      <w:r>
        <w:rPr>
          <w:rFonts w:asciiTheme="minorHAnsi" w:hAnsiTheme="minorHAnsi" w:cstheme="minorHAnsi"/>
          <w:sz w:val="24"/>
          <w:szCs w:val="22"/>
        </w:rPr>
        <w:t xml:space="preserve"> immediately after surgery (other than kidney</w:t>
      </w:r>
      <w:r w:rsidR="00556B66">
        <w:rPr>
          <w:rFonts w:asciiTheme="minorHAnsi" w:hAnsiTheme="minorHAnsi" w:cstheme="minorHAnsi"/>
          <w:sz w:val="24"/>
          <w:szCs w:val="22"/>
        </w:rPr>
        <w:t xml:space="preserve"> and </w:t>
      </w:r>
      <w:r>
        <w:rPr>
          <w:rFonts w:asciiTheme="minorHAnsi" w:hAnsiTheme="minorHAnsi" w:cstheme="minorHAnsi"/>
          <w:sz w:val="24"/>
          <w:szCs w:val="22"/>
        </w:rPr>
        <w:t>pancreas recipients)</w:t>
      </w:r>
      <w:r w:rsidR="00C43CA7" w:rsidRPr="00F37D51">
        <w:rPr>
          <w:rFonts w:asciiTheme="minorHAnsi" w:hAnsiTheme="minorHAnsi" w:cstheme="minorHAnsi"/>
          <w:sz w:val="24"/>
          <w:szCs w:val="22"/>
        </w:rPr>
        <w:t>.</w:t>
      </w:r>
      <w:r>
        <w:rPr>
          <w:rFonts w:asciiTheme="minorHAnsi" w:hAnsiTheme="minorHAnsi" w:cstheme="minorHAnsi"/>
          <w:sz w:val="24"/>
          <w:szCs w:val="22"/>
        </w:rPr>
        <w:t xml:space="preserve"> Care is a combined responsibility of both the ICU and the transplant teams. </w:t>
      </w:r>
      <w:r w:rsidR="00C43CA7" w:rsidRPr="00F37D51">
        <w:rPr>
          <w:rFonts w:asciiTheme="minorHAnsi" w:hAnsiTheme="minorHAnsi" w:cstheme="minorHAnsi"/>
          <w:sz w:val="24"/>
          <w:szCs w:val="22"/>
        </w:rPr>
        <w:t xml:space="preserve">Intensive care is maintained for approximately </w:t>
      </w:r>
      <w:r w:rsidR="00D11AEE">
        <w:rPr>
          <w:rFonts w:asciiTheme="minorHAnsi" w:hAnsiTheme="minorHAnsi" w:cstheme="minorHAnsi"/>
          <w:sz w:val="24"/>
          <w:szCs w:val="22"/>
        </w:rPr>
        <w:t>one</w:t>
      </w:r>
      <w:r>
        <w:rPr>
          <w:rFonts w:asciiTheme="minorHAnsi" w:hAnsiTheme="minorHAnsi" w:cstheme="minorHAnsi"/>
          <w:sz w:val="24"/>
          <w:szCs w:val="22"/>
        </w:rPr>
        <w:t xml:space="preserve"> week</w:t>
      </w:r>
      <w:r w:rsidR="00C43CA7" w:rsidRPr="00F37D51">
        <w:rPr>
          <w:rFonts w:asciiTheme="minorHAnsi" w:hAnsiTheme="minorHAnsi" w:cstheme="minorHAnsi"/>
          <w:sz w:val="24"/>
          <w:szCs w:val="22"/>
        </w:rPr>
        <w:t xml:space="preserve"> or until the recipient is deemed well</w:t>
      </w:r>
      <w:r w:rsidR="00941954">
        <w:rPr>
          <w:rFonts w:asciiTheme="minorHAnsi" w:hAnsiTheme="minorHAnsi" w:cstheme="minorHAnsi"/>
          <w:sz w:val="24"/>
          <w:szCs w:val="22"/>
        </w:rPr>
        <w:t xml:space="preserve"> </w:t>
      </w:r>
      <w:r w:rsidR="00C43CA7" w:rsidRPr="00F37D51">
        <w:rPr>
          <w:rFonts w:asciiTheme="minorHAnsi" w:hAnsiTheme="minorHAnsi" w:cstheme="minorHAnsi"/>
          <w:sz w:val="24"/>
          <w:szCs w:val="22"/>
        </w:rPr>
        <w:t xml:space="preserve">enough to be discharged from ICU into the general medical ward. </w:t>
      </w:r>
    </w:p>
    <w:p w14:paraId="32589259" w14:textId="222EB542" w:rsidR="002A0AB8" w:rsidRDefault="002A0AB8" w:rsidP="00C43CA7">
      <w:pPr>
        <w:spacing w:after="120"/>
        <w:rPr>
          <w:rFonts w:asciiTheme="minorHAnsi" w:hAnsiTheme="minorHAnsi" w:cstheme="minorHAnsi"/>
          <w:sz w:val="24"/>
          <w:szCs w:val="22"/>
        </w:rPr>
      </w:pPr>
      <w:r>
        <w:rPr>
          <w:rFonts w:asciiTheme="minorHAnsi" w:hAnsiTheme="minorHAnsi" w:cstheme="minorHAnsi"/>
          <w:sz w:val="24"/>
          <w:szCs w:val="22"/>
        </w:rPr>
        <w:t>Kidney</w:t>
      </w:r>
      <w:r w:rsidR="00556B66">
        <w:rPr>
          <w:rFonts w:asciiTheme="minorHAnsi" w:hAnsiTheme="minorHAnsi" w:cstheme="minorHAnsi"/>
          <w:sz w:val="24"/>
          <w:szCs w:val="22"/>
        </w:rPr>
        <w:t xml:space="preserve"> and </w:t>
      </w:r>
      <w:r>
        <w:rPr>
          <w:rFonts w:asciiTheme="minorHAnsi" w:hAnsiTheme="minorHAnsi" w:cstheme="minorHAnsi"/>
          <w:sz w:val="24"/>
          <w:szCs w:val="22"/>
        </w:rPr>
        <w:t xml:space="preserve">pancreas transplant recipients generally go straight to the ward </w:t>
      </w:r>
      <w:r w:rsidR="007411D9">
        <w:rPr>
          <w:rFonts w:asciiTheme="minorHAnsi" w:hAnsiTheme="minorHAnsi" w:cstheme="minorHAnsi"/>
          <w:sz w:val="24"/>
          <w:szCs w:val="22"/>
        </w:rPr>
        <w:t>post</w:t>
      </w:r>
      <w:r w:rsidR="00135BF0">
        <w:rPr>
          <w:rFonts w:asciiTheme="minorHAnsi" w:hAnsiTheme="minorHAnsi" w:cstheme="minorHAnsi"/>
          <w:sz w:val="24"/>
          <w:szCs w:val="22"/>
        </w:rPr>
        <w:t xml:space="preserve"> </w:t>
      </w:r>
      <w:r w:rsidR="007411D9">
        <w:rPr>
          <w:rFonts w:asciiTheme="minorHAnsi" w:hAnsiTheme="minorHAnsi" w:cstheme="minorHAnsi"/>
          <w:sz w:val="24"/>
          <w:szCs w:val="22"/>
        </w:rPr>
        <w:t>t</w:t>
      </w:r>
      <w:r>
        <w:rPr>
          <w:rFonts w:asciiTheme="minorHAnsi" w:hAnsiTheme="minorHAnsi" w:cstheme="minorHAnsi"/>
          <w:sz w:val="24"/>
          <w:szCs w:val="22"/>
        </w:rPr>
        <w:t>ransplant</w:t>
      </w:r>
      <w:r w:rsidR="00D11AEE">
        <w:rPr>
          <w:rFonts w:asciiTheme="minorHAnsi" w:hAnsiTheme="minorHAnsi" w:cstheme="minorHAnsi"/>
          <w:sz w:val="24"/>
          <w:szCs w:val="22"/>
        </w:rPr>
        <w:t>ation</w:t>
      </w:r>
      <w:r>
        <w:rPr>
          <w:rFonts w:asciiTheme="minorHAnsi" w:hAnsiTheme="minorHAnsi" w:cstheme="minorHAnsi"/>
          <w:sz w:val="24"/>
          <w:szCs w:val="22"/>
        </w:rPr>
        <w:t xml:space="preserve"> surgery. </w:t>
      </w:r>
      <w:r w:rsidRPr="002A0AB8">
        <w:rPr>
          <w:rFonts w:asciiTheme="minorHAnsi" w:hAnsiTheme="minorHAnsi" w:cstheme="minorHAnsi"/>
          <w:sz w:val="24"/>
          <w:szCs w:val="22"/>
        </w:rPr>
        <w:t>Renal recipients are initially followed up daily in the transplant</w:t>
      </w:r>
      <w:r w:rsidR="00647282">
        <w:rPr>
          <w:rFonts w:asciiTheme="minorHAnsi" w:hAnsiTheme="minorHAnsi" w:cstheme="minorHAnsi"/>
          <w:sz w:val="24"/>
          <w:szCs w:val="22"/>
        </w:rPr>
        <w:t>ation</w:t>
      </w:r>
      <w:r w:rsidRPr="002A0AB8">
        <w:rPr>
          <w:rFonts w:asciiTheme="minorHAnsi" w:hAnsiTheme="minorHAnsi" w:cstheme="minorHAnsi"/>
          <w:sz w:val="24"/>
          <w:szCs w:val="22"/>
        </w:rPr>
        <w:t xml:space="preserve"> clinic with daily </w:t>
      </w:r>
      <w:r w:rsidR="007411D9">
        <w:rPr>
          <w:rFonts w:asciiTheme="minorHAnsi" w:hAnsiTheme="minorHAnsi" w:cstheme="minorHAnsi"/>
          <w:sz w:val="24"/>
          <w:szCs w:val="22"/>
        </w:rPr>
        <w:t>post</w:t>
      </w:r>
      <w:r w:rsidR="00135BF0">
        <w:rPr>
          <w:rFonts w:asciiTheme="minorHAnsi" w:hAnsiTheme="minorHAnsi" w:cstheme="minorHAnsi"/>
          <w:sz w:val="24"/>
          <w:szCs w:val="22"/>
        </w:rPr>
        <w:t xml:space="preserve"> </w:t>
      </w:r>
      <w:r w:rsidR="007411D9">
        <w:rPr>
          <w:rFonts w:asciiTheme="minorHAnsi" w:hAnsiTheme="minorHAnsi" w:cstheme="minorHAnsi"/>
          <w:sz w:val="24"/>
          <w:szCs w:val="22"/>
        </w:rPr>
        <w:t>t</w:t>
      </w:r>
      <w:r w:rsidRPr="002A0AB8">
        <w:rPr>
          <w:rFonts w:asciiTheme="minorHAnsi" w:hAnsiTheme="minorHAnsi" w:cstheme="minorHAnsi"/>
          <w:sz w:val="24"/>
          <w:szCs w:val="22"/>
        </w:rPr>
        <w:t>ransplant</w:t>
      </w:r>
      <w:r w:rsidR="00D95703">
        <w:rPr>
          <w:rFonts w:asciiTheme="minorHAnsi" w:hAnsiTheme="minorHAnsi" w:cstheme="minorHAnsi"/>
          <w:sz w:val="24"/>
          <w:szCs w:val="22"/>
        </w:rPr>
        <w:t>ation</w:t>
      </w:r>
      <w:r w:rsidRPr="002A0AB8">
        <w:rPr>
          <w:rFonts w:asciiTheme="minorHAnsi" w:hAnsiTheme="minorHAnsi" w:cstheme="minorHAnsi"/>
          <w:sz w:val="24"/>
          <w:szCs w:val="22"/>
        </w:rPr>
        <w:t xml:space="preserve"> bloods and reviews in the first </w:t>
      </w:r>
      <w:r w:rsidR="00135BF0">
        <w:rPr>
          <w:rFonts w:asciiTheme="minorHAnsi" w:hAnsiTheme="minorHAnsi" w:cstheme="minorHAnsi"/>
          <w:sz w:val="24"/>
          <w:szCs w:val="22"/>
        </w:rPr>
        <w:t xml:space="preserve">two to </w:t>
      </w:r>
      <w:r w:rsidR="00DB2089">
        <w:rPr>
          <w:rFonts w:asciiTheme="minorHAnsi" w:hAnsiTheme="minorHAnsi" w:cstheme="minorHAnsi"/>
          <w:sz w:val="24"/>
          <w:szCs w:val="22"/>
        </w:rPr>
        <w:t>four</w:t>
      </w:r>
      <w:r w:rsidR="00DB2089" w:rsidRPr="002A0AB8">
        <w:rPr>
          <w:rFonts w:asciiTheme="minorHAnsi" w:hAnsiTheme="minorHAnsi" w:cstheme="minorHAnsi"/>
          <w:sz w:val="24"/>
          <w:szCs w:val="22"/>
        </w:rPr>
        <w:t>-week</w:t>
      </w:r>
      <w:r w:rsidRPr="002A0AB8">
        <w:rPr>
          <w:rFonts w:asciiTheme="minorHAnsi" w:hAnsiTheme="minorHAnsi" w:cstheme="minorHAnsi"/>
          <w:sz w:val="24"/>
          <w:szCs w:val="22"/>
        </w:rPr>
        <w:t xml:space="preserve"> period. This frequency is dependent on the renal function stability and whether there is any rejection of the transplanted kidney.</w:t>
      </w:r>
    </w:p>
    <w:p w14:paraId="0AF33514" w14:textId="77777777" w:rsidR="00C43CA7" w:rsidRPr="00F37D51" w:rsidRDefault="00C43CA7" w:rsidP="00C43CA7">
      <w:pPr>
        <w:spacing w:after="120"/>
        <w:rPr>
          <w:rFonts w:asciiTheme="minorHAnsi" w:hAnsiTheme="minorHAnsi" w:cstheme="minorHAnsi"/>
          <w:sz w:val="24"/>
          <w:szCs w:val="22"/>
        </w:rPr>
      </w:pPr>
      <w:r w:rsidRPr="00F37D51">
        <w:rPr>
          <w:rFonts w:asciiTheme="minorHAnsi" w:hAnsiTheme="minorHAnsi" w:cstheme="minorHAnsi"/>
          <w:sz w:val="24"/>
          <w:szCs w:val="22"/>
        </w:rPr>
        <w:t xml:space="preserve">During time in </w:t>
      </w:r>
      <w:r w:rsidR="002A0AB8">
        <w:rPr>
          <w:rFonts w:asciiTheme="minorHAnsi" w:hAnsiTheme="minorHAnsi" w:cstheme="minorHAnsi"/>
          <w:sz w:val="24"/>
          <w:szCs w:val="22"/>
        </w:rPr>
        <w:t>hospital</w:t>
      </w:r>
      <w:r w:rsidR="00D11AEE">
        <w:rPr>
          <w:rFonts w:asciiTheme="minorHAnsi" w:hAnsiTheme="minorHAnsi" w:cstheme="minorHAnsi"/>
          <w:sz w:val="24"/>
          <w:szCs w:val="22"/>
        </w:rPr>
        <w:t>,</w:t>
      </w:r>
      <w:r w:rsidRPr="00F37D51">
        <w:rPr>
          <w:rFonts w:asciiTheme="minorHAnsi" w:hAnsiTheme="minorHAnsi" w:cstheme="minorHAnsi"/>
          <w:sz w:val="24"/>
          <w:szCs w:val="22"/>
        </w:rPr>
        <w:t xml:space="preserve"> ongoing clinical management is commenced</w:t>
      </w:r>
      <w:r w:rsidR="00D11AEE">
        <w:rPr>
          <w:rFonts w:asciiTheme="minorHAnsi" w:hAnsiTheme="minorHAnsi" w:cstheme="minorHAnsi"/>
          <w:sz w:val="24"/>
          <w:szCs w:val="22"/>
        </w:rPr>
        <w:t>. This includes</w:t>
      </w:r>
      <w:r w:rsidRPr="00F37D51">
        <w:rPr>
          <w:rFonts w:asciiTheme="minorHAnsi" w:hAnsiTheme="minorHAnsi" w:cstheme="minorHAnsi"/>
          <w:sz w:val="24"/>
          <w:szCs w:val="22"/>
        </w:rPr>
        <w:t xml:space="preserve"> pathology, imaging, medical treatment, pharmacy, dietetics, physiotherapy, etc. This is also the time when psychosocial </w:t>
      </w:r>
      <w:r w:rsidR="008D4496">
        <w:rPr>
          <w:rFonts w:asciiTheme="minorHAnsi" w:hAnsiTheme="minorHAnsi" w:cstheme="minorHAnsi"/>
          <w:sz w:val="24"/>
          <w:szCs w:val="22"/>
        </w:rPr>
        <w:t>supp</w:t>
      </w:r>
      <w:r w:rsidRPr="00F37D51">
        <w:rPr>
          <w:rFonts w:asciiTheme="minorHAnsi" w:hAnsiTheme="minorHAnsi" w:cstheme="minorHAnsi"/>
          <w:sz w:val="24"/>
          <w:szCs w:val="22"/>
        </w:rPr>
        <w:t>ort commences to assist with counselling or connection to appropriate services as required.</w:t>
      </w:r>
      <w:r w:rsidR="008D4496">
        <w:rPr>
          <w:rFonts w:asciiTheme="minorHAnsi" w:hAnsiTheme="minorHAnsi" w:cstheme="minorHAnsi"/>
          <w:sz w:val="24"/>
          <w:szCs w:val="22"/>
        </w:rPr>
        <w:t xml:space="preserve"> </w:t>
      </w:r>
      <w:r w:rsidR="008D4496" w:rsidRPr="008D4496">
        <w:rPr>
          <w:rFonts w:asciiTheme="minorHAnsi" w:hAnsiTheme="minorHAnsi" w:cstheme="minorHAnsi"/>
          <w:sz w:val="24"/>
          <w:szCs w:val="22"/>
        </w:rPr>
        <w:t>Education is given to the recipient and family prior to discharge, including pharmacy education regarding medications and a drug list for the patients to follow.</w:t>
      </w:r>
    </w:p>
    <w:p w14:paraId="5F13CBB7" w14:textId="34BA0B62" w:rsidR="0039413F" w:rsidRDefault="00A43A61" w:rsidP="002A0AB8">
      <w:pPr>
        <w:spacing w:after="120"/>
        <w:rPr>
          <w:rFonts w:asciiTheme="minorHAnsi" w:hAnsiTheme="minorHAnsi" w:cstheme="minorHAnsi"/>
          <w:sz w:val="24"/>
          <w:szCs w:val="22"/>
        </w:rPr>
      </w:pPr>
      <w:r>
        <w:rPr>
          <w:rFonts w:asciiTheme="minorHAnsi" w:hAnsiTheme="minorHAnsi" w:cstheme="minorHAnsi"/>
          <w:sz w:val="24"/>
          <w:szCs w:val="22"/>
        </w:rPr>
        <w:t xml:space="preserve">Following discharge from hospital, </w:t>
      </w:r>
      <w:r w:rsidR="00C43CA7">
        <w:rPr>
          <w:rFonts w:asciiTheme="minorHAnsi" w:hAnsiTheme="minorHAnsi" w:cstheme="minorHAnsi"/>
          <w:sz w:val="24"/>
          <w:szCs w:val="22"/>
        </w:rPr>
        <w:t>lung, heart, liver and pancreas</w:t>
      </w:r>
      <w:r w:rsidR="005A3C74">
        <w:rPr>
          <w:rFonts w:asciiTheme="minorHAnsi" w:hAnsiTheme="minorHAnsi" w:cstheme="minorHAnsi"/>
          <w:sz w:val="24"/>
          <w:szCs w:val="22"/>
        </w:rPr>
        <w:t xml:space="preserve"> transplant </w:t>
      </w:r>
      <w:r w:rsidR="007339A0">
        <w:rPr>
          <w:rFonts w:asciiTheme="minorHAnsi" w:hAnsiTheme="minorHAnsi" w:cstheme="minorHAnsi"/>
          <w:sz w:val="24"/>
          <w:szCs w:val="22"/>
        </w:rPr>
        <w:t xml:space="preserve">recipients </w:t>
      </w:r>
      <w:r w:rsidR="00C43CA7">
        <w:rPr>
          <w:rFonts w:asciiTheme="minorHAnsi" w:hAnsiTheme="minorHAnsi" w:cstheme="minorHAnsi"/>
          <w:sz w:val="24"/>
          <w:szCs w:val="22"/>
        </w:rPr>
        <w:t xml:space="preserve">remain under the care of the </w:t>
      </w:r>
      <w:r w:rsidR="00F46C80">
        <w:rPr>
          <w:rFonts w:asciiTheme="minorHAnsi" w:hAnsiTheme="minorHAnsi" w:cstheme="minorHAnsi"/>
          <w:sz w:val="24"/>
          <w:szCs w:val="22"/>
        </w:rPr>
        <w:t>transplantation unit</w:t>
      </w:r>
      <w:r w:rsidR="00C43CA7">
        <w:rPr>
          <w:rFonts w:asciiTheme="minorHAnsi" w:hAnsiTheme="minorHAnsi" w:cstheme="minorHAnsi"/>
          <w:sz w:val="24"/>
          <w:szCs w:val="22"/>
        </w:rPr>
        <w:t xml:space="preserve">. </w:t>
      </w:r>
      <w:r w:rsidR="007339A0">
        <w:rPr>
          <w:rFonts w:asciiTheme="minorHAnsi" w:hAnsiTheme="minorHAnsi" w:cstheme="minorHAnsi"/>
          <w:sz w:val="24"/>
          <w:szCs w:val="22"/>
        </w:rPr>
        <w:t>Post</w:t>
      </w:r>
      <w:r w:rsidR="00135BF0">
        <w:rPr>
          <w:rFonts w:asciiTheme="minorHAnsi" w:hAnsiTheme="minorHAnsi" w:cstheme="minorHAnsi"/>
          <w:sz w:val="24"/>
          <w:szCs w:val="22"/>
        </w:rPr>
        <w:t xml:space="preserve"> </w:t>
      </w:r>
      <w:r w:rsidR="007339A0">
        <w:rPr>
          <w:rFonts w:asciiTheme="minorHAnsi" w:hAnsiTheme="minorHAnsi" w:cstheme="minorHAnsi"/>
          <w:sz w:val="24"/>
          <w:szCs w:val="22"/>
        </w:rPr>
        <w:t>transplant</w:t>
      </w:r>
      <w:r w:rsidR="00D72901">
        <w:rPr>
          <w:rFonts w:asciiTheme="minorHAnsi" w:hAnsiTheme="minorHAnsi" w:cstheme="minorHAnsi"/>
          <w:sz w:val="24"/>
          <w:szCs w:val="22"/>
        </w:rPr>
        <w:t>ation</w:t>
      </w:r>
      <w:r w:rsidR="007339A0">
        <w:rPr>
          <w:rFonts w:asciiTheme="minorHAnsi" w:hAnsiTheme="minorHAnsi" w:cstheme="minorHAnsi"/>
          <w:sz w:val="24"/>
          <w:szCs w:val="22"/>
        </w:rPr>
        <w:t xml:space="preserve"> </w:t>
      </w:r>
      <w:r w:rsidR="002A0AB8">
        <w:rPr>
          <w:rFonts w:asciiTheme="minorHAnsi" w:hAnsiTheme="minorHAnsi" w:cstheme="minorHAnsi"/>
          <w:sz w:val="24"/>
          <w:szCs w:val="22"/>
        </w:rPr>
        <w:t>reviews are g</w:t>
      </w:r>
      <w:r w:rsidR="002A0AB8" w:rsidRPr="002A0AB8">
        <w:rPr>
          <w:rFonts w:asciiTheme="minorHAnsi" w:hAnsiTheme="minorHAnsi" w:cstheme="minorHAnsi"/>
          <w:sz w:val="24"/>
          <w:szCs w:val="22"/>
        </w:rPr>
        <w:t xml:space="preserve">enerally initially </w:t>
      </w:r>
      <w:r w:rsidR="002A0AB8">
        <w:rPr>
          <w:rFonts w:asciiTheme="minorHAnsi" w:hAnsiTheme="minorHAnsi" w:cstheme="minorHAnsi"/>
          <w:sz w:val="24"/>
          <w:szCs w:val="22"/>
        </w:rPr>
        <w:t xml:space="preserve">required </w:t>
      </w:r>
      <w:r w:rsidR="002A0AB8" w:rsidRPr="002A0AB8">
        <w:rPr>
          <w:rFonts w:asciiTheme="minorHAnsi" w:hAnsiTheme="minorHAnsi" w:cstheme="minorHAnsi"/>
          <w:sz w:val="24"/>
          <w:szCs w:val="22"/>
        </w:rPr>
        <w:t xml:space="preserve">weekly for liver, lungs, heart and intestinal, then the frequency is </w:t>
      </w:r>
      <w:r w:rsidR="002A0AB8">
        <w:rPr>
          <w:rFonts w:asciiTheme="minorHAnsi" w:hAnsiTheme="minorHAnsi" w:cstheme="minorHAnsi"/>
          <w:sz w:val="24"/>
          <w:szCs w:val="22"/>
        </w:rPr>
        <w:t xml:space="preserve">gradually </w:t>
      </w:r>
      <w:r w:rsidR="002A0AB8" w:rsidRPr="002A0AB8">
        <w:rPr>
          <w:rFonts w:asciiTheme="minorHAnsi" w:hAnsiTheme="minorHAnsi" w:cstheme="minorHAnsi"/>
          <w:sz w:val="24"/>
          <w:szCs w:val="22"/>
        </w:rPr>
        <w:t>reduced according to how the patient responds to medication</w:t>
      </w:r>
      <w:r w:rsidR="00930024">
        <w:rPr>
          <w:rFonts w:asciiTheme="minorHAnsi" w:hAnsiTheme="minorHAnsi" w:cstheme="minorHAnsi"/>
          <w:sz w:val="24"/>
          <w:szCs w:val="22"/>
        </w:rPr>
        <w:t xml:space="preserve"> and whether there are any post</w:t>
      </w:r>
      <w:r w:rsidR="00135BF0">
        <w:rPr>
          <w:rFonts w:asciiTheme="minorHAnsi" w:hAnsiTheme="minorHAnsi" w:cstheme="minorHAnsi"/>
          <w:sz w:val="24"/>
          <w:szCs w:val="22"/>
        </w:rPr>
        <w:t xml:space="preserve"> </w:t>
      </w:r>
      <w:r w:rsidR="00930024">
        <w:rPr>
          <w:rFonts w:asciiTheme="minorHAnsi" w:hAnsiTheme="minorHAnsi" w:cstheme="minorHAnsi"/>
          <w:sz w:val="24"/>
          <w:szCs w:val="22"/>
        </w:rPr>
        <w:t>transplant</w:t>
      </w:r>
      <w:r w:rsidR="00D72901">
        <w:rPr>
          <w:rFonts w:asciiTheme="minorHAnsi" w:hAnsiTheme="minorHAnsi" w:cstheme="minorHAnsi"/>
          <w:sz w:val="24"/>
          <w:szCs w:val="22"/>
        </w:rPr>
        <w:t>ation</w:t>
      </w:r>
      <w:r w:rsidR="002A0AB8" w:rsidRPr="002A0AB8">
        <w:rPr>
          <w:rFonts w:asciiTheme="minorHAnsi" w:hAnsiTheme="minorHAnsi" w:cstheme="minorHAnsi"/>
          <w:sz w:val="24"/>
          <w:szCs w:val="22"/>
        </w:rPr>
        <w:t xml:space="preserve"> complications.</w:t>
      </w:r>
      <w:r w:rsidR="002A0AB8">
        <w:rPr>
          <w:rFonts w:asciiTheme="minorHAnsi" w:hAnsiTheme="minorHAnsi" w:cstheme="minorHAnsi"/>
          <w:sz w:val="24"/>
          <w:szCs w:val="22"/>
        </w:rPr>
        <w:t xml:space="preserve"> </w:t>
      </w:r>
      <w:r w:rsidR="00C43CA7">
        <w:rPr>
          <w:rFonts w:asciiTheme="minorHAnsi" w:hAnsiTheme="minorHAnsi" w:cstheme="minorHAnsi"/>
          <w:sz w:val="24"/>
          <w:szCs w:val="22"/>
        </w:rPr>
        <w:t xml:space="preserve">Kidney transplant recipients on the other hand </w:t>
      </w:r>
      <w:r w:rsidR="00C43CA7" w:rsidRPr="00F37D51">
        <w:rPr>
          <w:rFonts w:asciiTheme="minorHAnsi" w:hAnsiTheme="minorHAnsi" w:cstheme="minorHAnsi"/>
          <w:sz w:val="24"/>
          <w:szCs w:val="22"/>
        </w:rPr>
        <w:t xml:space="preserve">are referred to a </w:t>
      </w:r>
      <w:r w:rsidR="007339A0" w:rsidRPr="00F17564">
        <w:rPr>
          <w:rFonts w:asciiTheme="minorHAnsi" w:hAnsiTheme="minorHAnsi" w:cstheme="minorHAnsi"/>
          <w:sz w:val="24"/>
          <w:szCs w:val="22"/>
        </w:rPr>
        <w:t>post</w:t>
      </w:r>
      <w:r w:rsidR="00135BF0">
        <w:rPr>
          <w:rFonts w:asciiTheme="minorHAnsi" w:hAnsiTheme="minorHAnsi" w:cstheme="minorHAnsi"/>
          <w:sz w:val="24"/>
          <w:szCs w:val="22"/>
        </w:rPr>
        <w:t xml:space="preserve"> </w:t>
      </w:r>
      <w:r w:rsidR="00D11AEE">
        <w:rPr>
          <w:rFonts w:asciiTheme="minorHAnsi" w:hAnsiTheme="minorHAnsi" w:cstheme="minorHAnsi"/>
          <w:sz w:val="24"/>
          <w:szCs w:val="22"/>
        </w:rPr>
        <w:t>t</w:t>
      </w:r>
      <w:r w:rsidR="007339A0" w:rsidRPr="00F17564">
        <w:rPr>
          <w:rFonts w:asciiTheme="minorHAnsi" w:hAnsiTheme="minorHAnsi" w:cstheme="minorHAnsi"/>
          <w:sz w:val="24"/>
          <w:szCs w:val="22"/>
        </w:rPr>
        <w:t>ransplant</w:t>
      </w:r>
      <w:r w:rsidR="00D72901">
        <w:rPr>
          <w:rFonts w:asciiTheme="minorHAnsi" w:hAnsiTheme="minorHAnsi" w:cstheme="minorHAnsi"/>
          <w:sz w:val="24"/>
          <w:szCs w:val="22"/>
        </w:rPr>
        <w:t>ation</w:t>
      </w:r>
      <w:r w:rsidR="00C43CA7" w:rsidRPr="00F37D51">
        <w:rPr>
          <w:rFonts w:asciiTheme="minorHAnsi" w:hAnsiTheme="minorHAnsi" w:cstheme="minorHAnsi"/>
          <w:sz w:val="24"/>
          <w:szCs w:val="22"/>
        </w:rPr>
        <w:t xml:space="preserve"> physician for ongoing care and a script for all medication requirements. </w:t>
      </w:r>
      <w:r w:rsidR="002A0AB8">
        <w:rPr>
          <w:rFonts w:asciiTheme="minorHAnsi" w:hAnsiTheme="minorHAnsi" w:cstheme="minorHAnsi"/>
          <w:sz w:val="24"/>
          <w:szCs w:val="22"/>
        </w:rPr>
        <w:t xml:space="preserve">This may be a transplant physician attached to the </w:t>
      </w:r>
      <w:r w:rsidR="00F46C80">
        <w:rPr>
          <w:rFonts w:asciiTheme="minorHAnsi" w:hAnsiTheme="minorHAnsi" w:cstheme="minorHAnsi"/>
          <w:sz w:val="24"/>
          <w:szCs w:val="22"/>
        </w:rPr>
        <w:t>transplantation unit</w:t>
      </w:r>
      <w:r w:rsidR="002A0AB8">
        <w:rPr>
          <w:rFonts w:asciiTheme="minorHAnsi" w:hAnsiTheme="minorHAnsi" w:cstheme="minorHAnsi"/>
          <w:sz w:val="24"/>
          <w:szCs w:val="22"/>
        </w:rPr>
        <w:t xml:space="preserve"> or their referring local physician. </w:t>
      </w:r>
      <w:r w:rsidR="002A0AB8" w:rsidRPr="00F37D51">
        <w:rPr>
          <w:rFonts w:asciiTheme="minorHAnsi" w:hAnsiTheme="minorHAnsi" w:cstheme="minorHAnsi"/>
          <w:sz w:val="24"/>
          <w:szCs w:val="22"/>
        </w:rPr>
        <w:t xml:space="preserve">Patients are required to return to </w:t>
      </w:r>
      <w:r w:rsidR="002A0AB8">
        <w:rPr>
          <w:rFonts w:asciiTheme="minorHAnsi" w:hAnsiTheme="minorHAnsi" w:cstheme="minorHAnsi"/>
          <w:sz w:val="24"/>
          <w:szCs w:val="22"/>
        </w:rPr>
        <w:t>post transplantation clinics or appointments</w:t>
      </w:r>
      <w:r w:rsidR="002A0AB8" w:rsidRPr="00F37D51">
        <w:rPr>
          <w:rFonts w:asciiTheme="minorHAnsi" w:hAnsiTheme="minorHAnsi" w:cstheme="minorHAnsi"/>
          <w:sz w:val="24"/>
          <w:szCs w:val="22"/>
        </w:rPr>
        <w:t xml:space="preserve"> every three months following discharge, with extended time between visits as time goes on and as deemed appropriate by the transplant</w:t>
      </w:r>
      <w:r w:rsidR="002A0AB8">
        <w:rPr>
          <w:rFonts w:asciiTheme="minorHAnsi" w:hAnsiTheme="minorHAnsi" w:cstheme="minorHAnsi"/>
          <w:sz w:val="24"/>
          <w:szCs w:val="22"/>
        </w:rPr>
        <w:t>ation</w:t>
      </w:r>
      <w:r w:rsidR="003D2073">
        <w:rPr>
          <w:rFonts w:asciiTheme="minorHAnsi" w:hAnsiTheme="minorHAnsi" w:cstheme="minorHAnsi"/>
          <w:sz w:val="24"/>
          <w:szCs w:val="22"/>
        </w:rPr>
        <w:t xml:space="preserve"> clinician.</w:t>
      </w:r>
    </w:p>
    <w:p w14:paraId="157B02DA" w14:textId="77777777" w:rsidR="00A77C8F" w:rsidRDefault="00636B36" w:rsidP="00C75FAB">
      <w:pPr>
        <w:widowControl/>
        <w:autoSpaceDE/>
        <w:autoSpaceDN/>
        <w:adjustRightInd/>
        <w:spacing w:after="200" w:line="276" w:lineRule="auto"/>
        <w:rPr>
          <w:rFonts w:asciiTheme="minorHAnsi" w:hAnsiTheme="minorHAnsi" w:cstheme="minorHAnsi"/>
          <w:iCs/>
          <w:color w:val="7F7F7F" w:themeColor="text1" w:themeTint="80"/>
          <w:sz w:val="36"/>
          <w:szCs w:val="30"/>
        </w:rPr>
      </w:pPr>
      <w:bookmarkStart w:id="154" w:name="_Ref523741820"/>
      <w:r>
        <w:rPr>
          <w:rFonts w:asciiTheme="minorHAnsi" w:hAnsiTheme="minorHAnsi" w:cstheme="minorHAnsi"/>
          <w:iCs/>
          <w:color w:val="7F7F7F" w:themeColor="text1" w:themeTint="80"/>
          <w:sz w:val="36"/>
          <w:szCs w:val="30"/>
        </w:rPr>
        <w:t xml:space="preserve">Supporting </w:t>
      </w:r>
      <w:r w:rsidR="00D11AEE">
        <w:rPr>
          <w:rFonts w:asciiTheme="minorHAnsi" w:hAnsiTheme="minorHAnsi" w:cstheme="minorHAnsi"/>
          <w:iCs/>
          <w:color w:val="7F7F7F" w:themeColor="text1" w:themeTint="80"/>
          <w:sz w:val="36"/>
          <w:szCs w:val="30"/>
        </w:rPr>
        <w:t>e</w:t>
      </w:r>
      <w:r w:rsidR="00DA188B">
        <w:rPr>
          <w:rFonts w:asciiTheme="minorHAnsi" w:hAnsiTheme="minorHAnsi" w:cstheme="minorHAnsi"/>
          <w:iCs/>
          <w:color w:val="7F7F7F" w:themeColor="text1" w:themeTint="80"/>
          <w:sz w:val="36"/>
          <w:szCs w:val="30"/>
        </w:rPr>
        <w:t>lement</w:t>
      </w:r>
      <w:r w:rsidR="00A77C8F">
        <w:rPr>
          <w:rFonts w:asciiTheme="minorHAnsi" w:hAnsiTheme="minorHAnsi" w:cstheme="minorHAnsi"/>
          <w:iCs/>
          <w:color w:val="7F7F7F" w:themeColor="text1" w:themeTint="80"/>
          <w:sz w:val="36"/>
          <w:szCs w:val="30"/>
        </w:rPr>
        <w:t>s</w:t>
      </w:r>
    </w:p>
    <w:p w14:paraId="2B2910BB" w14:textId="77777777" w:rsidR="00C43CA7" w:rsidRPr="00EF2596" w:rsidRDefault="00C43CA7" w:rsidP="00EF2596">
      <w:pPr>
        <w:pStyle w:val="Heading3"/>
        <w:tabs>
          <w:tab w:val="clear" w:pos="1843"/>
          <w:tab w:val="num" w:pos="1559"/>
        </w:tabs>
        <w:ind w:left="992" w:hanging="992"/>
        <w:rPr>
          <w:rFonts w:asciiTheme="minorHAnsi" w:hAnsiTheme="minorHAnsi" w:cstheme="minorHAnsi"/>
          <w:color w:val="7F7F7F" w:themeColor="text1" w:themeTint="80"/>
          <w:sz w:val="30"/>
          <w:szCs w:val="30"/>
        </w:rPr>
      </w:pPr>
      <w:bookmarkStart w:id="155" w:name="_Ref530496950"/>
      <w:r w:rsidRPr="00EF2596">
        <w:rPr>
          <w:rFonts w:asciiTheme="minorHAnsi" w:hAnsiTheme="minorHAnsi" w:cstheme="minorHAnsi"/>
          <w:b w:val="0"/>
          <w:color w:val="7F7F7F" w:themeColor="text1" w:themeTint="80"/>
          <w:sz w:val="30"/>
          <w:szCs w:val="30"/>
        </w:rPr>
        <w:t>Data and information management</w:t>
      </w:r>
      <w:bookmarkEnd w:id="154"/>
      <w:bookmarkEnd w:id="155"/>
    </w:p>
    <w:p w14:paraId="61739DDD" w14:textId="21D43DEA" w:rsidR="00086190" w:rsidRDefault="00774F88" w:rsidP="00EF2596">
      <w:pPr>
        <w:spacing w:before="120" w:after="120"/>
        <w:rPr>
          <w:rFonts w:asciiTheme="minorHAnsi" w:hAnsiTheme="minorHAnsi" w:cstheme="minorHAnsi"/>
          <w:sz w:val="24"/>
          <w:szCs w:val="22"/>
        </w:rPr>
      </w:pPr>
      <w:r w:rsidRPr="005F5BB1">
        <w:rPr>
          <w:rFonts w:asciiTheme="minorHAnsi" w:hAnsiTheme="minorHAnsi" w:cstheme="minorHAnsi"/>
          <w:sz w:val="24"/>
          <w:szCs w:val="22"/>
        </w:rPr>
        <w:t xml:space="preserve">Information relating an individual’s health, is regulated by privacy legislation at a both a federal and state and territory level. At a federal level, the right to collect and use sensitive information is granted to the OTA and other </w:t>
      </w:r>
      <w:r w:rsidR="00D11AEE">
        <w:rPr>
          <w:rFonts w:asciiTheme="minorHAnsi" w:hAnsiTheme="minorHAnsi" w:cstheme="minorHAnsi"/>
          <w:sz w:val="24"/>
          <w:szCs w:val="22"/>
        </w:rPr>
        <w:t>Australian Government</w:t>
      </w:r>
      <w:r w:rsidR="00D11AEE" w:rsidRPr="005F5BB1">
        <w:rPr>
          <w:rFonts w:asciiTheme="minorHAnsi" w:hAnsiTheme="minorHAnsi" w:cstheme="minorHAnsi"/>
          <w:sz w:val="24"/>
          <w:szCs w:val="22"/>
        </w:rPr>
        <w:t xml:space="preserve"> </w:t>
      </w:r>
      <w:r w:rsidRPr="005F5BB1">
        <w:rPr>
          <w:rFonts w:asciiTheme="minorHAnsi" w:hAnsiTheme="minorHAnsi" w:cstheme="minorHAnsi"/>
          <w:sz w:val="24"/>
          <w:szCs w:val="22"/>
        </w:rPr>
        <w:t xml:space="preserve">entities through the </w:t>
      </w:r>
      <w:r w:rsidRPr="005F5BB1">
        <w:rPr>
          <w:rFonts w:asciiTheme="minorHAnsi" w:hAnsiTheme="minorHAnsi" w:cstheme="minorHAnsi"/>
          <w:i/>
          <w:sz w:val="24"/>
          <w:szCs w:val="22"/>
        </w:rPr>
        <w:t>Privacy Act 1988 (Cth)</w:t>
      </w:r>
      <w:r w:rsidR="00A85F57">
        <w:rPr>
          <w:rStyle w:val="FootnoteReference"/>
          <w:rFonts w:cstheme="minorHAnsi"/>
          <w:i/>
        </w:rPr>
        <w:footnoteReference w:id="68"/>
      </w:r>
      <w:r w:rsidRPr="005F5BB1">
        <w:rPr>
          <w:rFonts w:asciiTheme="minorHAnsi" w:hAnsiTheme="minorHAnsi" w:cstheme="minorHAnsi"/>
          <w:sz w:val="24"/>
          <w:szCs w:val="22"/>
        </w:rPr>
        <w:t xml:space="preserve"> (</w:t>
      </w:r>
      <w:r w:rsidR="001F5DA4" w:rsidRPr="005F5BB1">
        <w:rPr>
          <w:rFonts w:asciiTheme="minorHAnsi" w:hAnsiTheme="minorHAnsi" w:cstheme="minorHAnsi"/>
          <w:sz w:val="24"/>
          <w:szCs w:val="22"/>
        </w:rPr>
        <w:t>‘</w:t>
      </w:r>
      <w:r w:rsidRPr="005F5BB1">
        <w:rPr>
          <w:rFonts w:asciiTheme="minorHAnsi" w:hAnsiTheme="minorHAnsi" w:cstheme="minorHAnsi"/>
          <w:sz w:val="24"/>
          <w:szCs w:val="22"/>
        </w:rPr>
        <w:t>The Privacy Act</w:t>
      </w:r>
      <w:r w:rsidR="001F5DA4" w:rsidRPr="005F5BB1">
        <w:rPr>
          <w:rFonts w:asciiTheme="minorHAnsi" w:hAnsiTheme="minorHAnsi" w:cstheme="minorHAnsi"/>
          <w:sz w:val="24"/>
          <w:szCs w:val="22"/>
        </w:rPr>
        <w:t>’</w:t>
      </w:r>
      <w:r w:rsidRPr="005F5BB1">
        <w:rPr>
          <w:rFonts w:asciiTheme="minorHAnsi" w:hAnsiTheme="minorHAnsi" w:cstheme="minorHAnsi"/>
          <w:sz w:val="24"/>
          <w:szCs w:val="22"/>
        </w:rPr>
        <w:t>) and managed through the Australian Privacy Principles</w:t>
      </w:r>
      <w:r w:rsidR="006B12C2">
        <w:rPr>
          <w:rFonts w:asciiTheme="minorHAnsi" w:hAnsiTheme="minorHAnsi" w:cstheme="minorHAnsi"/>
          <w:sz w:val="24"/>
          <w:szCs w:val="22"/>
        </w:rPr>
        <w:t>.</w:t>
      </w:r>
      <w:r w:rsidR="000928C6">
        <w:rPr>
          <w:rStyle w:val="FootnoteReference"/>
          <w:rFonts w:cstheme="minorHAnsi"/>
        </w:rPr>
        <w:footnoteReference w:id="69"/>
      </w:r>
      <w:r w:rsidRPr="005F5BB1">
        <w:rPr>
          <w:rFonts w:asciiTheme="minorHAnsi" w:hAnsiTheme="minorHAnsi" w:cstheme="minorHAnsi"/>
          <w:sz w:val="24"/>
          <w:szCs w:val="22"/>
        </w:rPr>
        <w:t xml:space="preserve"> Specifically, information relating to public sector health service providers, namely patient information generated by individual </w:t>
      </w:r>
      <w:r w:rsidR="00F46C80">
        <w:rPr>
          <w:rFonts w:asciiTheme="minorHAnsi" w:hAnsiTheme="minorHAnsi" w:cstheme="minorHAnsi"/>
          <w:sz w:val="24"/>
          <w:szCs w:val="22"/>
        </w:rPr>
        <w:t>transplantation unit</w:t>
      </w:r>
      <w:r w:rsidRPr="005F5BB1">
        <w:rPr>
          <w:rFonts w:asciiTheme="minorHAnsi" w:hAnsiTheme="minorHAnsi" w:cstheme="minorHAnsi"/>
          <w:sz w:val="24"/>
          <w:szCs w:val="22"/>
        </w:rPr>
        <w:t>s are managed at a state and territory level. Separate bodies of legislation govern the collection, management and distribution of personal information within each jurisdiction</w:t>
      </w:r>
      <w:r w:rsidR="00D11AEE">
        <w:rPr>
          <w:rFonts w:asciiTheme="minorHAnsi" w:hAnsiTheme="minorHAnsi" w:cstheme="minorHAnsi"/>
          <w:sz w:val="24"/>
          <w:szCs w:val="22"/>
        </w:rPr>
        <w:t>. A</w:t>
      </w:r>
      <w:r w:rsidRPr="005F5BB1">
        <w:rPr>
          <w:rFonts w:asciiTheme="minorHAnsi" w:hAnsiTheme="minorHAnsi" w:cstheme="minorHAnsi"/>
          <w:sz w:val="24"/>
          <w:szCs w:val="22"/>
        </w:rPr>
        <w:t>s such, each state and territory remain the custodians for their patient data.</w:t>
      </w:r>
      <w:r w:rsidR="00086190">
        <w:rPr>
          <w:rFonts w:asciiTheme="minorHAnsi" w:hAnsiTheme="minorHAnsi" w:cstheme="minorHAnsi"/>
          <w:sz w:val="24"/>
          <w:szCs w:val="22"/>
        </w:rPr>
        <w:br w:type="page"/>
      </w:r>
    </w:p>
    <w:p w14:paraId="2B7C0F83" w14:textId="50C80D1D" w:rsidR="00714397" w:rsidRDefault="00774F88" w:rsidP="00EF2596">
      <w:pPr>
        <w:spacing w:after="120"/>
      </w:pPr>
      <w:r w:rsidRPr="005F5BB1">
        <w:rPr>
          <w:rFonts w:asciiTheme="minorHAnsi" w:hAnsiTheme="minorHAnsi" w:cstheme="minorHAnsi"/>
          <w:sz w:val="24"/>
          <w:szCs w:val="22"/>
        </w:rPr>
        <w:lastRenderedPageBreak/>
        <w:t>Data in relation to the organ</w:t>
      </w:r>
      <w:r w:rsidR="00714397">
        <w:rPr>
          <w:rFonts w:asciiTheme="minorHAnsi" w:hAnsiTheme="minorHAnsi" w:cstheme="minorHAnsi"/>
          <w:sz w:val="24"/>
          <w:szCs w:val="22"/>
        </w:rPr>
        <w:t>,</w:t>
      </w:r>
      <w:r w:rsidRPr="005F5BB1">
        <w:rPr>
          <w:rFonts w:asciiTheme="minorHAnsi" w:hAnsiTheme="minorHAnsi" w:cstheme="minorHAnsi"/>
          <w:sz w:val="24"/>
          <w:szCs w:val="22"/>
        </w:rPr>
        <w:t xml:space="preserve"> donation retrieval and transplantation </w:t>
      </w:r>
      <w:r w:rsidR="004F3DCD" w:rsidRPr="005F5BB1">
        <w:rPr>
          <w:rFonts w:asciiTheme="minorHAnsi" w:hAnsiTheme="minorHAnsi" w:cstheme="minorHAnsi"/>
          <w:sz w:val="24"/>
          <w:szCs w:val="22"/>
        </w:rPr>
        <w:t>s</w:t>
      </w:r>
      <w:r w:rsidR="004F3DCD">
        <w:rPr>
          <w:rFonts w:asciiTheme="minorHAnsi" w:hAnsiTheme="minorHAnsi" w:cstheme="minorHAnsi"/>
          <w:sz w:val="24"/>
          <w:szCs w:val="22"/>
        </w:rPr>
        <w:t>ystem</w:t>
      </w:r>
      <w:r w:rsidR="004F3DCD" w:rsidRPr="005F5BB1">
        <w:rPr>
          <w:rFonts w:asciiTheme="minorHAnsi" w:hAnsiTheme="minorHAnsi" w:cstheme="minorHAnsi"/>
          <w:sz w:val="24"/>
          <w:szCs w:val="22"/>
        </w:rPr>
        <w:t xml:space="preserve"> </w:t>
      </w:r>
      <w:r w:rsidRPr="005F5BB1">
        <w:rPr>
          <w:rFonts w:asciiTheme="minorHAnsi" w:hAnsiTheme="minorHAnsi" w:cstheme="minorHAnsi"/>
          <w:sz w:val="24"/>
          <w:szCs w:val="22"/>
        </w:rPr>
        <w:t xml:space="preserve">is collected across Australia. </w:t>
      </w:r>
      <w:r w:rsidR="00714397">
        <w:rPr>
          <w:rFonts w:asciiTheme="minorHAnsi" w:hAnsiTheme="minorHAnsi" w:cstheme="minorHAnsi"/>
          <w:sz w:val="24"/>
          <w:szCs w:val="22"/>
        </w:rPr>
        <w:t xml:space="preserve">The databases in which key donation, retrieval and transplantation is collected are outlined in </w:t>
      </w:r>
      <w:r w:rsidR="00714397">
        <w:rPr>
          <w:rFonts w:asciiTheme="minorHAnsi" w:hAnsiTheme="minorHAnsi" w:cstheme="minorHAnsi"/>
          <w:sz w:val="24"/>
          <w:szCs w:val="22"/>
        </w:rPr>
        <w:fldChar w:fldCharType="begin"/>
      </w:r>
      <w:r w:rsidR="00714397">
        <w:rPr>
          <w:rFonts w:asciiTheme="minorHAnsi" w:hAnsiTheme="minorHAnsi" w:cstheme="minorHAnsi"/>
          <w:sz w:val="24"/>
          <w:szCs w:val="22"/>
        </w:rPr>
        <w:instrText xml:space="preserve"> REF _Ref530068271 \h  \* MERGEFORMAT </w:instrText>
      </w:r>
      <w:r w:rsidR="00714397">
        <w:rPr>
          <w:rFonts w:asciiTheme="minorHAnsi" w:hAnsiTheme="minorHAnsi" w:cstheme="minorHAnsi"/>
          <w:sz w:val="24"/>
          <w:szCs w:val="22"/>
        </w:rPr>
      </w:r>
      <w:r w:rsidR="00714397">
        <w:rPr>
          <w:rFonts w:asciiTheme="minorHAnsi" w:hAnsiTheme="minorHAnsi" w:cstheme="minorHAnsi"/>
          <w:sz w:val="24"/>
          <w:szCs w:val="22"/>
        </w:rPr>
        <w:fldChar w:fldCharType="separate"/>
      </w:r>
      <w:r w:rsidR="00A04048" w:rsidRPr="00C75FAB">
        <w:rPr>
          <w:rFonts w:asciiTheme="minorHAnsi" w:hAnsiTheme="minorHAnsi" w:cstheme="minorHAnsi"/>
          <w:sz w:val="24"/>
          <w:szCs w:val="22"/>
        </w:rPr>
        <w:t>Table 5</w:t>
      </w:r>
      <w:r w:rsidR="00714397">
        <w:rPr>
          <w:rFonts w:asciiTheme="minorHAnsi" w:hAnsiTheme="minorHAnsi" w:cstheme="minorHAnsi"/>
          <w:sz w:val="24"/>
          <w:szCs w:val="22"/>
        </w:rPr>
        <w:fldChar w:fldCharType="end"/>
      </w:r>
      <w:r w:rsidR="00714397">
        <w:rPr>
          <w:rFonts w:asciiTheme="minorHAnsi" w:hAnsiTheme="minorHAnsi" w:cstheme="minorHAnsi"/>
          <w:sz w:val="24"/>
          <w:szCs w:val="22"/>
        </w:rPr>
        <w:t>.</w:t>
      </w:r>
    </w:p>
    <w:p w14:paraId="516BE177" w14:textId="06694C36" w:rsidR="00714397" w:rsidRPr="001D081D" w:rsidRDefault="00714397" w:rsidP="00714397">
      <w:pPr>
        <w:pStyle w:val="Caption"/>
        <w:spacing w:after="120"/>
        <w:rPr>
          <w:rFonts w:asciiTheme="minorHAnsi" w:hAnsiTheme="minorHAnsi" w:cstheme="minorHAnsi"/>
          <w:color w:val="808080"/>
          <w:sz w:val="20"/>
        </w:rPr>
      </w:pPr>
      <w:bookmarkStart w:id="156" w:name="_Ref530068271"/>
      <w:r w:rsidRPr="001D081D">
        <w:rPr>
          <w:rFonts w:asciiTheme="minorHAnsi" w:hAnsiTheme="minorHAnsi" w:cstheme="minorHAnsi"/>
          <w:b w:val="0"/>
          <w:color w:val="808080"/>
          <w:sz w:val="20"/>
        </w:rPr>
        <w:t xml:space="preserve">Table </w:t>
      </w:r>
      <w:r w:rsidRPr="001D081D">
        <w:rPr>
          <w:rFonts w:asciiTheme="minorHAnsi" w:hAnsiTheme="minorHAnsi" w:cstheme="minorHAnsi"/>
          <w:b w:val="0"/>
          <w:color w:val="808080"/>
          <w:sz w:val="20"/>
        </w:rPr>
        <w:fldChar w:fldCharType="begin"/>
      </w:r>
      <w:r w:rsidRPr="001D081D">
        <w:rPr>
          <w:rFonts w:asciiTheme="minorHAnsi" w:hAnsiTheme="minorHAnsi" w:cstheme="minorHAnsi"/>
          <w:b w:val="0"/>
          <w:color w:val="808080"/>
          <w:sz w:val="20"/>
        </w:rPr>
        <w:instrText xml:space="preserve"> SEQ Table \* ARABIC </w:instrText>
      </w:r>
      <w:r w:rsidRPr="001D081D">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5</w:t>
      </w:r>
      <w:r w:rsidRPr="001D081D">
        <w:rPr>
          <w:rFonts w:asciiTheme="minorHAnsi" w:hAnsiTheme="minorHAnsi" w:cstheme="minorHAnsi"/>
          <w:b w:val="0"/>
          <w:color w:val="808080"/>
          <w:sz w:val="20"/>
        </w:rPr>
        <w:fldChar w:fldCharType="end"/>
      </w:r>
      <w:bookmarkEnd w:id="156"/>
      <w:r w:rsidRPr="001D081D">
        <w:rPr>
          <w:rFonts w:asciiTheme="minorHAnsi" w:hAnsiTheme="minorHAnsi" w:cstheme="minorHAnsi"/>
          <w:b w:val="0"/>
          <w:color w:val="808080"/>
          <w:sz w:val="20"/>
        </w:rPr>
        <w:t xml:space="preserve">: </w:t>
      </w:r>
      <w:r w:rsidR="00001FBD">
        <w:rPr>
          <w:rFonts w:asciiTheme="minorHAnsi" w:hAnsiTheme="minorHAnsi" w:cstheme="minorHAnsi"/>
          <w:b w:val="0"/>
          <w:color w:val="808080"/>
          <w:sz w:val="20"/>
        </w:rPr>
        <w:t>Data hosts and owners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Description w:val="The table lists that data hosts and their owners. Medicare Benefit Schedule data, Pharmaceuticals Benefits Scheme data, The Australian Organ Donor Register, DonateLife Audit and the Electronic Donor Record are hosted by the Australian Government. Inpatient data is hosted by the state and territory health departments. The National Organ Matching System is owned by the Australian Red Cross Blood Service. The Australia and New Zealand Intensive Care Society Adult Patient Database, the Australia and New Zealand Liver Transplant Register, the Australia and New Zealand Cardiothoracic Organ Transplant Register, the Australia and New Zealand Islets and Pancreas Transplant Register, the Australia and New Zealand Organ Donation Registry and the Australian and New Zealand Dialysis and Transplant Registry are outcome registries. "/>
      </w:tblPr>
      <w:tblGrid>
        <w:gridCol w:w="3014"/>
        <w:gridCol w:w="6591"/>
      </w:tblGrid>
      <w:tr w:rsidR="00714397" w:rsidRPr="00585DBA" w14:paraId="31A6A0AC" w14:textId="77777777" w:rsidTr="00AE3ED1">
        <w:trPr>
          <w:tblHeader/>
        </w:trPr>
        <w:tc>
          <w:tcPr>
            <w:tcW w:w="1569" w:type="pct"/>
            <w:shd w:val="clear" w:color="auto" w:fill="595959" w:themeFill="text1" w:themeFillTint="A6"/>
          </w:tcPr>
          <w:p w14:paraId="32B57A02" w14:textId="77777777" w:rsidR="00714397" w:rsidRPr="003A517E" w:rsidRDefault="00A465BA" w:rsidP="00A465BA">
            <w:pPr>
              <w:widowControl/>
              <w:autoSpaceDE/>
              <w:autoSpaceDN/>
              <w:adjustRightInd/>
              <w:spacing w:before="40" w:after="60"/>
              <w:rPr>
                <w:sz w:val="22"/>
                <w:szCs w:val="18"/>
              </w:rPr>
            </w:pPr>
            <w:r w:rsidRPr="00A465BA">
              <w:rPr>
                <w:rFonts w:asciiTheme="minorHAnsi" w:eastAsiaTheme="minorHAnsi" w:hAnsiTheme="minorHAnsi" w:cstheme="minorHAnsi"/>
                <w:b/>
                <w:color w:val="FFFFFF" w:themeColor="background1"/>
                <w:sz w:val="22"/>
                <w:szCs w:val="18"/>
              </w:rPr>
              <w:t>Data type</w:t>
            </w:r>
          </w:p>
        </w:tc>
        <w:tc>
          <w:tcPr>
            <w:tcW w:w="3431" w:type="pct"/>
            <w:shd w:val="clear" w:color="auto" w:fill="595959" w:themeFill="text1" w:themeFillTint="A6"/>
          </w:tcPr>
          <w:p w14:paraId="77166827" w14:textId="77777777" w:rsidR="00714397" w:rsidRPr="003A517E" w:rsidRDefault="00714397" w:rsidP="0055366A">
            <w:pPr>
              <w:widowControl/>
              <w:autoSpaceDE/>
              <w:autoSpaceDN/>
              <w:adjustRightInd/>
              <w:spacing w:before="40" w:after="60"/>
              <w:rPr>
                <w:sz w:val="22"/>
                <w:szCs w:val="18"/>
              </w:rPr>
            </w:pPr>
            <w:r w:rsidRPr="003A517E">
              <w:rPr>
                <w:rFonts w:asciiTheme="minorHAnsi" w:eastAsiaTheme="minorHAnsi" w:hAnsiTheme="minorHAnsi" w:cstheme="minorHAnsi"/>
                <w:b/>
                <w:color w:val="FFFFFF" w:themeColor="background1"/>
                <w:sz w:val="22"/>
                <w:szCs w:val="18"/>
              </w:rPr>
              <w:t>Databases</w:t>
            </w:r>
          </w:p>
        </w:tc>
      </w:tr>
      <w:tr w:rsidR="00714397" w:rsidRPr="00585DBA" w14:paraId="65EEF9FD" w14:textId="77777777" w:rsidTr="00AE3ED1">
        <w:trPr>
          <w:trHeight w:val="446"/>
        </w:trPr>
        <w:tc>
          <w:tcPr>
            <w:tcW w:w="1569" w:type="pct"/>
            <w:shd w:val="clear" w:color="auto" w:fill="auto"/>
          </w:tcPr>
          <w:p w14:paraId="606EADBD" w14:textId="25ABFCE9" w:rsidR="00714397" w:rsidRPr="003A517E" w:rsidRDefault="00714397" w:rsidP="00A73523">
            <w:pPr>
              <w:spacing w:before="40" w:after="60"/>
              <w:rPr>
                <w:color w:val="000000" w:themeColor="text1"/>
                <w:sz w:val="22"/>
                <w:szCs w:val="18"/>
              </w:rPr>
            </w:pPr>
            <w:r w:rsidRPr="003A517E">
              <w:rPr>
                <w:rFonts w:asciiTheme="minorHAnsi" w:eastAsiaTheme="minorHAnsi" w:hAnsiTheme="minorHAnsi" w:cstheme="minorHAnsi"/>
                <w:color w:val="000000" w:themeColor="text1"/>
                <w:sz w:val="22"/>
                <w:szCs w:val="18"/>
              </w:rPr>
              <w:t>Australian Government</w:t>
            </w:r>
          </w:p>
        </w:tc>
        <w:tc>
          <w:tcPr>
            <w:tcW w:w="3431" w:type="pct"/>
          </w:tcPr>
          <w:p w14:paraId="110C21E6" w14:textId="04B0B4F0" w:rsidR="00714397" w:rsidRPr="003A517E" w:rsidRDefault="00714397" w:rsidP="0055366A">
            <w:pPr>
              <w:widowControl/>
              <w:numPr>
                <w:ilvl w:val="0"/>
                <w:numId w:val="48"/>
              </w:numPr>
              <w:autoSpaceDE/>
              <w:autoSpaceDN/>
              <w:adjustRightInd/>
              <w:spacing w:before="40" w:after="60"/>
              <w:ind w:left="170" w:hanging="170"/>
              <w:contextualSpacing/>
              <w:rPr>
                <w:rFonts w:asciiTheme="minorHAnsi" w:eastAsiaTheme="minorHAnsi" w:hAnsiTheme="minorHAnsi" w:cstheme="minorHAnsi"/>
                <w:sz w:val="22"/>
                <w:szCs w:val="18"/>
              </w:rPr>
            </w:pPr>
            <w:r w:rsidRPr="003A517E">
              <w:rPr>
                <w:rFonts w:asciiTheme="minorHAnsi" w:eastAsiaTheme="minorHAnsi" w:hAnsiTheme="minorHAnsi" w:cstheme="minorHAnsi"/>
                <w:sz w:val="22"/>
                <w:szCs w:val="18"/>
              </w:rPr>
              <w:t>M</w:t>
            </w:r>
            <w:r w:rsidR="00A465BA">
              <w:rPr>
                <w:rFonts w:asciiTheme="minorHAnsi" w:eastAsiaTheme="minorHAnsi" w:hAnsiTheme="minorHAnsi" w:cstheme="minorHAnsi"/>
                <w:sz w:val="22"/>
                <w:szCs w:val="18"/>
              </w:rPr>
              <w:t xml:space="preserve">edicare Benefit </w:t>
            </w:r>
            <w:r w:rsidRPr="003A517E">
              <w:rPr>
                <w:rFonts w:asciiTheme="minorHAnsi" w:eastAsiaTheme="minorHAnsi" w:hAnsiTheme="minorHAnsi" w:cstheme="minorHAnsi"/>
                <w:sz w:val="22"/>
                <w:szCs w:val="18"/>
              </w:rPr>
              <w:t>S</w:t>
            </w:r>
            <w:r w:rsidR="00A465BA">
              <w:rPr>
                <w:rFonts w:asciiTheme="minorHAnsi" w:eastAsiaTheme="minorHAnsi" w:hAnsiTheme="minorHAnsi" w:cstheme="minorHAnsi"/>
                <w:sz w:val="22"/>
                <w:szCs w:val="18"/>
              </w:rPr>
              <w:t>che</w:t>
            </w:r>
            <w:r w:rsidR="006B12C2">
              <w:rPr>
                <w:rFonts w:asciiTheme="minorHAnsi" w:eastAsiaTheme="minorHAnsi" w:hAnsiTheme="minorHAnsi" w:cstheme="minorHAnsi"/>
                <w:sz w:val="22"/>
                <w:szCs w:val="18"/>
              </w:rPr>
              <w:t>dule</w:t>
            </w:r>
            <w:r w:rsidR="00A465BA">
              <w:rPr>
                <w:rFonts w:asciiTheme="minorHAnsi" w:eastAsiaTheme="minorHAnsi" w:hAnsiTheme="minorHAnsi" w:cstheme="minorHAnsi"/>
                <w:sz w:val="22"/>
                <w:szCs w:val="18"/>
              </w:rPr>
              <w:t xml:space="preserve"> (MBS)</w:t>
            </w:r>
            <w:r w:rsidRPr="003A517E">
              <w:rPr>
                <w:rFonts w:asciiTheme="minorHAnsi" w:eastAsiaTheme="minorHAnsi" w:hAnsiTheme="minorHAnsi" w:cstheme="minorHAnsi"/>
                <w:sz w:val="22"/>
                <w:szCs w:val="18"/>
              </w:rPr>
              <w:t xml:space="preserve"> data</w:t>
            </w:r>
          </w:p>
          <w:p w14:paraId="197D4029" w14:textId="77777777" w:rsidR="00714397" w:rsidRPr="003A517E" w:rsidRDefault="00714397" w:rsidP="0055366A">
            <w:pPr>
              <w:widowControl/>
              <w:numPr>
                <w:ilvl w:val="0"/>
                <w:numId w:val="48"/>
              </w:numPr>
              <w:autoSpaceDE/>
              <w:autoSpaceDN/>
              <w:adjustRightInd/>
              <w:spacing w:before="40" w:after="60"/>
              <w:ind w:left="170" w:hanging="170"/>
              <w:contextualSpacing/>
              <w:rPr>
                <w:rFonts w:asciiTheme="minorHAnsi" w:eastAsiaTheme="minorHAnsi" w:hAnsiTheme="minorHAnsi" w:cstheme="minorHAnsi"/>
                <w:sz w:val="22"/>
                <w:szCs w:val="18"/>
              </w:rPr>
            </w:pPr>
            <w:r w:rsidRPr="003A517E">
              <w:rPr>
                <w:rFonts w:asciiTheme="minorHAnsi" w:eastAsiaTheme="minorHAnsi" w:hAnsiTheme="minorHAnsi" w:cstheme="minorHAnsi"/>
                <w:sz w:val="22"/>
                <w:szCs w:val="18"/>
              </w:rPr>
              <w:t>P</w:t>
            </w:r>
            <w:r w:rsidR="00A465BA">
              <w:rPr>
                <w:rFonts w:asciiTheme="minorHAnsi" w:eastAsiaTheme="minorHAnsi" w:hAnsiTheme="minorHAnsi" w:cstheme="minorHAnsi"/>
                <w:sz w:val="22"/>
                <w:szCs w:val="18"/>
              </w:rPr>
              <w:t xml:space="preserve">harmaceuticals </w:t>
            </w:r>
            <w:r w:rsidRPr="003A517E">
              <w:rPr>
                <w:rFonts w:asciiTheme="minorHAnsi" w:eastAsiaTheme="minorHAnsi" w:hAnsiTheme="minorHAnsi" w:cstheme="minorHAnsi"/>
                <w:sz w:val="22"/>
                <w:szCs w:val="18"/>
              </w:rPr>
              <w:t>B</w:t>
            </w:r>
            <w:r w:rsidR="00A465BA">
              <w:rPr>
                <w:rFonts w:asciiTheme="minorHAnsi" w:eastAsiaTheme="minorHAnsi" w:hAnsiTheme="minorHAnsi" w:cstheme="minorHAnsi"/>
                <w:sz w:val="22"/>
                <w:szCs w:val="18"/>
              </w:rPr>
              <w:t xml:space="preserve">enefits </w:t>
            </w:r>
            <w:r w:rsidRPr="003A517E">
              <w:rPr>
                <w:rFonts w:asciiTheme="minorHAnsi" w:eastAsiaTheme="minorHAnsi" w:hAnsiTheme="minorHAnsi" w:cstheme="minorHAnsi"/>
                <w:sz w:val="22"/>
                <w:szCs w:val="18"/>
              </w:rPr>
              <w:t>S</w:t>
            </w:r>
            <w:r w:rsidR="00A465BA">
              <w:rPr>
                <w:rFonts w:asciiTheme="minorHAnsi" w:eastAsiaTheme="minorHAnsi" w:hAnsiTheme="minorHAnsi" w:cstheme="minorHAnsi"/>
                <w:sz w:val="22"/>
                <w:szCs w:val="18"/>
              </w:rPr>
              <w:t>cheme (PBS)</w:t>
            </w:r>
            <w:r w:rsidRPr="003A517E">
              <w:rPr>
                <w:rFonts w:asciiTheme="minorHAnsi" w:eastAsiaTheme="minorHAnsi" w:hAnsiTheme="minorHAnsi" w:cstheme="minorHAnsi"/>
                <w:sz w:val="22"/>
                <w:szCs w:val="18"/>
              </w:rPr>
              <w:t xml:space="preserve"> data</w:t>
            </w:r>
          </w:p>
          <w:p w14:paraId="751322EF" w14:textId="77777777" w:rsidR="00714397" w:rsidRPr="003A517E" w:rsidRDefault="00714397" w:rsidP="0055366A">
            <w:pPr>
              <w:widowControl/>
              <w:numPr>
                <w:ilvl w:val="0"/>
                <w:numId w:val="48"/>
              </w:numPr>
              <w:autoSpaceDE/>
              <w:autoSpaceDN/>
              <w:adjustRightInd/>
              <w:spacing w:before="40" w:after="60"/>
              <w:ind w:left="170" w:hanging="170"/>
              <w:contextualSpacing/>
              <w:rPr>
                <w:rFonts w:asciiTheme="minorHAnsi" w:eastAsiaTheme="minorHAnsi" w:hAnsiTheme="minorHAnsi" w:cstheme="minorHAnsi"/>
                <w:sz w:val="22"/>
                <w:szCs w:val="18"/>
              </w:rPr>
            </w:pPr>
            <w:r w:rsidRPr="003A517E">
              <w:rPr>
                <w:rFonts w:asciiTheme="minorHAnsi" w:eastAsiaTheme="minorHAnsi" w:hAnsiTheme="minorHAnsi" w:cstheme="minorHAnsi"/>
                <w:sz w:val="22"/>
                <w:szCs w:val="18"/>
              </w:rPr>
              <w:t>The Australian Organ Donor Register (AODR)</w:t>
            </w:r>
          </w:p>
          <w:p w14:paraId="7A3013F2" w14:textId="77777777" w:rsidR="00714397" w:rsidRPr="003A517E" w:rsidRDefault="00714397" w:rsidP="0055366A">
            <w:pPr>
              <w:widowControl/>
              <w:numPr>
                <w:ilvl w:val="0"/>
                <w:numId w:val="48"/>
              </w:numPr>
              <w:autoSpaceDE/>
              <w:autoSpaceDN/>
              <w:adjustRightInd/>
              <w:spacing w:before="40" w:after="60"/>
              <w:ind w:left="170" w:hanging="170"/>
              <w:contextualSpacing/>
              <w:rPr>
                <w:rFonts w:asciiTheme="minorHAnsi" w:eastAsiaTheme="minorHAnsi" w:hAnsiTheme="minorHAnsi" w:cstheme="minorHAnsi"/>
                <w:sz w:val="22"/>
                <w:szCs w:val="18"/>
              </w:rPr>
            </w:pPr>
            <w:r w:rsidRPr="003A517E">
              <w:rPr>
                <w:rFonts w:asciiTheme="minorHAnsi" w:eastAsiaTheme="minorHAnsi" w:hAnsiTheme="minorHAnsi" w:cstheme="minorHAnsi"/>
                <w:sz w:val="22"/>
                <w:szCs w:val="18"/>
              </w:rPr>
              <w:t xml:space="preserve">DonateLife Audit </w:t>
            </w:r>
          </w:p>
          <w:p w14:paraId="217A2520" w14:textId="77777777" w:rsidR="00714397" w:rsidRPr="003A517E" w:rsidRDefault="00714397" w:rsidP="0055366A">
            <w:pPr>
              <w:widowControl/>
              <w:numPr>
                <w:ilvl w:val="0"/>
                <w:numId w:val="48"/>
              </w:numPr>
              <w:autoSpaceDE/>
              <w:autoSpaceDN/>
              <w:adjustRightInd/>
              <w:spacing w:before="40" w:after="60"/>
              <w:ind w:left="170" w:hanging="170"/>
              <w:contextualSpacing/>
              <w:rPr>
                <w:rFonts w:asciiTheme="minorHAnsi" w:eastAsiaTheme="minorHAnsi" w:hAnsiTheme="minorHAnsi" w:cstheme="minorHAnsi"/>
                <w:sz w:val="22"/>
                <w:szCs w:val="18"/>
              </w:rPr>
            </w:pPr>
            <w:r w:rsidRPr="003A517E">
              <w:rPr>
                <w:rFonts w:asciiTheme="minorHAnsi" w:eastAsiaTheme="minorHAnsi" w:hAnsiTheme="minorHAnsi" w:cstheme="minorHAnsi"/>
                <w:sz w:val="22"/>
                <w:szCs w:val="18"/>
              </w:rPr>
              <w:t>Electronic Donor Record (EDR)</w:t>
            </w:r>
            <w:r w:rsidRPr="003A517E" w:rsidDel="00714397">
              <w:rPr>
                <w:rFonts w:asciiTheme="minorHAnsi" w:eastAsiaTheme="minorHAnsi" w:hAnsiTheme="minorHAnsi" w:cstheme="minorHAnsi"/>
                <w:sz w:val="22"/>
                <w:szCs w:val="18"/>
              </w:rPr>
              <w:t xml:space="preserve"> </w:t>
            </w:r>
          </w:p>
        </w:tc>
      </w:tr>
      <w:tr w:rsidR="00714397" w:rsidRPr="00585DBA" w14:paraId="503396DF" w14:textId="77777777" w:rsidTr="00AE3ED1">
        <w:tc>
          <w:tcPr>
            <w:tcW w:w="1569" w:type="pct"/>
            <w:shd w:val="clear" w:color="auto" w:fill="auto"/>
          </w:tcPr>
          <w:p w14:paraId="1BF9560C" w14:textId="77777777" w:rsidR="00714397" w:rsidRPr="003A517E" w:rsidRDefault="00714397" w:rsidP="0055366A">
            <w:pPr>
              <w:spacing w:before="40" w:after="60"/>
              <w:rPr>
                <w:rFonts w:asciiTheme="minorHAnsi" w:eastAsiaTheme="minorHAnsi" w:hAnsiTheme="minorHAnsi" w:cstheme="minorHAnsi"/>
                <w:color w:val="000000" w:themeColor="text1"/>
                <w:sz w:val="22"/>
                <w:szCs w:val="18"/>
              </w:rPr>
            </w:pPr>
            <w:r w:rsidRPr="003A517E">
              <w:rPr>
                <w:rFonts w:asciiTheme="minorHAnsi" w:eastAsiaTheme="minorHAnsi" w:hAnsiTheme="minorHAnsi" w:cstheme="minorHAnsi"/>
                <w:color w:val="000000" w:themeColor="text1"/>
                <w:sz w:val="22"/>
                <w:szCs w:val="18"/>
              </w:rPr>
              <w:t>State and territory health departments</w:t>
            </w:r>
          </w:p>
        </w:tc>
        <w:tc>
          <w:tcPr>
            <w:tcW w:w="3431" w:type="pct"/>
          </w:tcPr>
          <w:p w14:paraId="4766DCDB" w14:textId="77777777" w:rsidR="00714397" w:rsidRPr="003A517E" w:rsidRDefault="00714397" w:rsidP="0055366A">
            <w:pPr>
              <w:widowControl/>
              <w:numPr>
                <w:ilvl w:val="0"/>
                <w:numId w:val="48"/>
              </w:numPr>
              <w:autoSpaceDE/>
              <w:autoSpaceDN/>
              <w:adjustRightInd/>
              <w:spacing w:before="40" w:after="60"/>
              <w:ind w:left="170" w:hanging="170"/>
              <w:contextualSpacing/>
              <w:rPr>
                <w:rFonts w:asciiTheme="minorHAnsi" w:eastAsiaTheme="minorHAnsi" w:hAnsiTheme="minorHAnsi" w:cstheme="minorHAnsi"/>
                <w:sz w:val="22"/>
                <w:szCs w:val="18"/>
              </w:rPr>
            </w:pPr>
            <w:r w:rsidRPr="003A517E">
              <w:rPr>
                <w:rFonts w:asciiTheme="minorHAnsi" w:eastAsiaTheme="minorHAnsi" w:hAnsiTheme="minorHAnsi" w:cstheme="minorHAnsi"/>
                <w:sz w:val="22"/>
                <w:szCs w:val="18"/>
              </w:rPr>
              <w:t>Inpatient data</w:t>
            </w:r>
          </w:p>
        </w:tc>
      </w:tr>
      <w:tr w:rsidR="00714397" w:rsidRPr="00585DBA" w14:paraId="2F72AF2D" w14:textId="77777777" w:rsidTr="00AE3ED1">
        <w:tc>
          <w:tcPr>
            <w:tcW w:w="1569" w:type="pct"/>
            <w:shd w:val="clear" w:color="auto" w:fill="auto"/>
          </w:tcPr>
          <w:p w14:paraId="662FD6A1" w14:textId="77777777" w:rsidR="00714397" w:rsidRPr="003A517E" w:rsidRDefault="00824B77" w:rsidP="0055366A">
            <w:pPr>
              <w:spacing w:before="40" w:after="60"/>
              <w:rPr>
                <w:rFonts w:asciiTheme="minorHAnsi" w:eastAsiaTheme="minorHAnsi" w:hAnsiTheme="minorHAnsi" w:cstheme="minorHAnsi"/>
                <w:color w:val="000000" w:themeColor="text1"/>
                <w:sz w:val="22"/>
                <w:szCs w:val="18"/>
              </w:rPr>
            </w:pPr>
            <w:r>
              <w:rPr>
                <w:rFonts w:asciiTheme="minorHAnsi" w:eastAsiaTheme="minorHAnsi" w:hAnsiTheme="minorHAnsi" w:cstheme="minorHAnsi"/>
                <w:color w:val="000000" w:themeColor="text1"/>
                <w:sz w:val="22"/>
                <w:szCs w:val="18"/>
              </w:rPr>
              <w:t xml:space="preserve">The </w:t>
            </w:r>
            <w:r w:rsidR="00714397" w:rsidRPr="003A517E">
              <w:rPr>
                <w:rFonts w:asciiTheme="minorHAnsi" w:eastAsiaTheme="minorHAnsi" w:hAnsiTheme="minorHAnsi" w:cstheme="minorHAnsi"/>
                <w:color w:val="000000" w:themeColor="text1"/>
                <w:sz w:val="22"/>
                <w:szCs w:val="18"/>
              </w:rPr>
              <w:t>Australian Red Cross Blood Service</w:t>
            </w:r>
          </w:p>
        </w:tc>
        <w:tc>
          <w:tcPr>
            <w:tcW w:w="3431" w:type="pct"/>
          </w:tcPr>
          <w:p w14:paraId="5449D4B9" w14:textId="77777777" w:rsidR="00714397" w:rsidRPr="003A517E" w:rsidRDefault="00824B77" w:rsidP="0055366A">
            <w:pPr>
              <w:widowControl/>
              <w:numPr>
                <w:ilvl w:val="0"/>
                <w:numId w:val="48"/>
              </w:numPr>
              <w:autoSpaceDE/>
              <w:autoSpaceDN/>
              <w:adjustRightInd/>
              <w:spacing w:before="40" w:after="60"/>
              <w:ind w:left="170" w:hanging="170"/>
              <w:contextualSpacing/>
              <w:rPr>
                <w:rFonts w:asciiTheme="minorHAnsi" w:eastAsiaTheme="minorHAnsi" w:hAnsiTheme="minorHAnsi" w:cstheme="minorHAnsi"/>
                <w:sz w:val="22"/>
                <w:szCs w:val="18"/>
              </w:rPr>
            </w:pPr>
            <w:r>
              <w:rPr>
                <w:rFonts w:asciiTheme="minorHAnsi" w:eastAsiaTheme="minorHAnsi" w:hAnsiTheme="minorHAnsi" w:cstheme="minorHAnsi"/>
                <w:sz w:val="22"/>
                <w:szCs w:val="18"/>
              </w:rPr>
              <w:t xml:space="preserve">The </w:t>
            </w:r>
            <w:r w:rsidR="00714397" w:rsidRPr="003A517E">
              <w:rPr>
                <w:rFonts w:asciiTheme="minorHAnsi" w:eastAsiaTheme="minorHAnsi" w:hAnsiTheme="minorHAnsi" w:cstheme="minorHAnsi"/>
                <w:sz w:val="22"/>
                <w:szCs w:val="18"/>
              </w:rPr>
              <w:t>NOMS</w:t>
            </w:r>
          </w:p>
        </w:tc>
      </w:tr>
      <w:tr w:rsidR="00714397" w:rsidRPr="00585DBA" w14:paraId="13DF3E14" w14:textId="77777777" w:rsidTr="00AE3ED1">
        <w:tc>
          <w:tcPr>
            <w:tcW w:w="1569" w:type="pct"/>
            <w:shd w:val="clear" w:color="auto" w:fill="auto"/>
          </w:tcPr>
          <w:p w14:paraId="5DB70F63" w14:textId="77777777" w:rsidR="00714397" w:rsidRPr="003A517E" w:rsidRDefault="00714397" w:rsidP="0055366A">
            <w:pPr>
              <w:spacing w:before="40" w:after="60"/>
              <w:rPr>
                <w:color w:val="000000" w:themeColor="text1"/>
                <w:sz w:val="22"/>
                <w:szCs w:val="18"/>
              </w:rPr>
            </w:pPr>
            <w:r w:rsidRPr="003A517E">
              <w:rPr>
                <w:rFonts w:asciiTheme="minorHAnsi" w:eastAsiaTheme="minorHAnsi" w:hAnsiTheme="minorHAnsi" w:cstheme="minorHAnsi"/>
                <w:color w:val="000000" w:themeColor="text1"/>
                <w:sz w:val="22"/>
                <w:szCs w:val="18"/>
              </w:rPr>
              <w:t>Outcomes registries</w:t>
            </w:r>
          </w:p>
        </w:tc>
        <w:tc>
          <w:tcPr>
            <w:tcW w:w="3431" w:type="pct"/>
          </w:tcPr>
          <w:p w14:paraId="52D63217" w14:textId="77777777" w:rsidR="00714397" w:rsidRPr="003A517E" w:rsidRDefault="00714397" w:rsidP="0055366A">
            <w:pPr>
              <w:widowControl/>
              <w:numPr>
                <w:ilvl w:val="0"/>
                <w:numId w:val="48"/>
              </w:numPr>
              <w:autoSpaceDE/>
              <w:autoSpaceDN/>
              <w:adjustRightInd/>
              <w:spacing w:before="40" w:after="60"/>
              <w:ind w:left="170" w:hanging="170"/>
              <w:contextualSpacing/>
              <w:rPr>
                <w:rFonts w:asciiTheme="minorHAnsi" w:eastAsiaTheme="minorHAnsi" w:hAnsiTheme="minorHAnsi" w:cstheme="minorHAnsi"/>
                <w:sz w:val="22"/>
                <w:szCs w:val="18"/>
              </w:rPr>
            </w:pPr>
            <w:r w:rsidRPr="003A517E">
              <w:rPr>
                <w:rFonts w:asciiTheme="minorHAnsi" w:eastAsiaTheme="minorHAnsi" w:hAnsiTheme="minorHAnsi" w:cstheme="minorHAnsi"/>
                <w:sz w:val="22"/>
                <w:szCs w:val="18"/>
              </w:rPr>
              <w:t xml:space="preserve">Australia and New Zealand Intensive Care Society Adult Patient Database </w:t>
            </w:r>
          </w:p>
          <w:p w14:paraId="7E4C701F" w14:textId="77777777" w:rsidR="00714397" w:rsidRPr="003A517E" w:rsidRDefault="00714397" w:rsidP="0055366A">
            <w:pPr>
              <w:widowControl/>
              <w:numPr>
                <w:ilvl w:val="0"/>
                <w:numId w:val="48"/>
              </w:numPr>
              <w:autoSpaceDE/>
              <w:autoSpaceDN/>
              <w:adjustRightInd/>
              <w:spacing w:before="40" w:after="60"/>
              <w:ind w:left="170" w:hanging="170"/>
              <w:contextualSpacing/>
              <w:rPr>
                <w:rFonts w:asciiTheme="minorHAnsi" w:eastAsiaTheme="minorHAnsi" w:hAnsiTheme="minorHAnsi" w:cstheme="minorHAnsi"/>
                <w:sz w:val="22"/>
                <w:szCs w:val="18"/>
              </w:rPr>
            </w:pPr>
            <w:r w:rsidRPr="003A517E">
              <w:rPr>
                <w:rFonts w:asciiTheme="minorHAnsi" w:eastAsiaTheme="minorHAnsi" w:hAnsiTheme="minorHAnsi" w:cstheme="minorHAnsi"/>
                <w:sz w:val="22"/>
                <w:szCs w:val="18"/>
              </w:rPr>
              <w:t>Australia and New Ze</w:t>
            </w:r>
            <w:r w:rsidR="00A465BA">
              <w:rPr>
                <w:rFonts w:asciiTheme="minorHAnsi" w:eastAsiaTheme="minorHAnsi" w:hAnsiTheme="minorHAnsi" w:cstheme="minorHAnsi"/>
                <w:sz w:val="22"/>
                <w:szCs w:val="18"/>
              </w:rPr>
              <w:t>aland Liver Transplant Register</w:t>
            </w:r>
          </w:p>
          <w:p w14:paraId="5576584F" w14:textId="77777777" w:rsidR="00714397" w:rsidRPr="003A517E" w:rsidRDefault="00714397" w:rsidP="0055366A">
            <w:pPr>
              <w:widowControl/>
              <w:numPr>
                <w:ilvl w:val="0"/>
                <w:numId w:val="48"/>
              </w:numPr>
              <w:autoSpaceDE/>
              <w:autoSpaceDN/>
              <w:adjustRightInd/>
              <w:spacing w:before="40" w:after="60"/>
              <w:ind w:left="170" w:hanging="170"/>
              <w:contextualSpacing/>
              <w:rPr>
                <w:rFonts w:asciiTheme="minorHAnsi" w:eastAsiaTheme="minorHAnsi" w:hAnsiTheme="minorHAnsi" w:cstheme="minorHAnsi"/>
                <w:sz w:val="22"/>
                <w:szCs w:val="18"/>
              </w:rPr>
            </w:pPr>
            <w:r w:rsidRPr="003A517E">
              <w:rPr>
                <w:rFonts w:asciiTheme="minorHAnsi" w:eastAsiaTheme="minorHAnsi" w:hAnsiTheme="minorHAnsi" w:cstheme="minorHAnsi"/>
                <w:sz w:val="22"/>
                <w:szCs w:val="18"/>
              </w:rPr>
              <w:t xml:space="preserve">Australia and New Zealand Cardiothoracic Organ Transplant Register </w:t>
            </w:r>
          </w:p>
          <w:p w14:paraId="3826C310" w14:textId="77777777" w:rsidR="00714397" w:rsidRPr="003A517E" w:rsidRDefault="00714397" w:rsidP="0055366A">
            <w:pPr>
              <w:widowControl/>
              <w:numPr>
                <w:ilvl w:val="0"/>
                <w:numId w:val="48"/>
              </w:numPr>
              <w:autoSpaceDE/>
              <w:autoSpaceDN/>
              <w:adjustRightInd/>
              <w:spacing w:before="40" w:after="60"/>
              <w:ind w:left="170" w:hanging="170"/>
              <w:contextualSpacing/>
              <w:rPr>
                <w:rFonts w:asciiTheme="minorHAnsi" w:eastAsiaTheme="minorHAnsi" w:hAnsiTheme="minorHAnsi" w:cstheme="minorHAnsi"/>
                <w:sz w:val="22"/>
                <w:szCs w:val="18"/>
              </w:rPr>
            </w:pPr>
            <w:r w:rsidRPr="003A517E">
              <w:rPr>
                <w:rFonts w:asciiTheme="minorHAnsi" w:eastAsiaTheme="minorHAnsi" w:hAnsiTheme="minorHAnsi" w:cstheme="minorHAnsi"/>
                <w:sz w:val="22"/>
                <w:szCs w:val="18"/>
              </w:rPr>
              <w:t xml:space="preserve">Australia and New Zealand Islets and Pancreas Transplant Register </w:t>
            </w:r>
          </w:p>
          <w:p w14:paraId="42161A06" w14:textId="77777777" w:rsidR="00714397" w:rsidRPr="003A517E" w:rsidRDefault="00714397" w:rsidP="0055366A">
            <w:pPr>
              <w:widowControl/>
              <w:numPr>
                <w:ilvl w:val="0"/>
                <w:numId w:val="48"/>
              </w:numPr>
              <w:autoSpaceDE/>
              <w:autoSpaceDN/>
              <w:adjustRightInd/>
              <w:spacing w:before="40" w:after="60"/>
              <w:ind w:left="170" w:hanging="170"/>
              <w:contextualSpacing/>
              <w:rPr>
                <w:rFonts w:asciiTheme="minorHAnsi" w:eastAsiaTheme="minorHAnsi" w:hAnsiTheme="minorHAnsi" w:cstheme="minorHAnsi"/>
                <w:sz w:val="22"/>
                <w:szCs w:val="18"/>
              </w:rPr>
            </w:pPr>
            <w:r w:rsidRPr="003A517E">
              <w:rPr>
                <w:rFonts w:asciiTheme="minorHAnsi" w:eastAsiaTheme="minorHAnsi" w:hAnsiTheme="minorHAnsi" w:cstheme="minorHAnsi"/>
                <w:sz w:val="22"/>
                <w:szCs w:val="18"/>
              </w:rPr>
              <w:t xml:space="preserve">Australia and New Zealand Organ Donation Registry (ANZOD) </w:t>
            </w:r>
          </w:p>
          <w:p w14:paraId="64F13085" w14:textId="77777777" w:rsidR="00714397" w:rsidRPr="00274F3C" w:rsidRDefault="00A465BA" w:rsidP="00274F3C">
            <w:pPr>
              <w:widowControl/>
              <w:numPr>
                <w:ilvl w:val="0"/>
                <w:numId w:val="48"/>
              </w:numPr>
              <w:autoSpaceDE/>
              <w:autoSpaceDN/>
              <w:adjustRightInd/>
              <w:spacing w:before="40" w:after="60"/>
              <w:ind w:left="170" w:hanging="170"/>
              <w:contextualSpacing/>
              <w:rPr>
                <w:sz w:val="22"/>
                <w:szCs w:val="18"/>
              </w:rPr>
            </w:pPr>
            <w:r>
              <w:rPr>
                <w:rFonts w:asciiTheme="minorHAnsi" w:eastAsiaTheme="minorHAnsi" w:hAnsiTheme="minorHAnsi" w:cstheme="minorHAnsi"/>
                <w:sz w:val="22"/>
                <w:szCs w:val="18"/>
              </w:rPr>
              <w:t xml:space="preserve">Australian and New Zealand Dialysis and Transplant Registry </w:t>
            </w:r>
            <w:r w:rsidR="00274F3C">
              <w:rPr>
                <w:rFonts w:asciiTheme="minorHAnsi" w:eastAsiaTheme="minorHAnsi" w:hAnsiTheme="minorHAnsi" w:cstheme="minorHAnsi"/>
                <w:sz w:val="22"/>
                <w:szCs w:val="18"/>
              </w:rPr>
              <w:t>(</w:t>
            </w:r>
            <w:r w:rsidR="00714397" w:rsidRPr="003A517E">
              <w:rPr>
                <w:rFonts w:asciiTheme="minorHAnsi" w:eastAsiaTheme="minorHAnsi" w:hAnsiTheme="minorHAnsi" w:cstheme="minorHAnsi"/>
                <w:sz w:val="22"/>
                <w:szCs w:val="18"/>
              </w:rPr>
              <w:t>ANZDATA</w:t>
            </w:r>
            <w:r w:rsidR="00274F3C">
              <w:rPr>
                <w:rFonts w:asciiTheme="minorHAnsi" w:eastAsiaTheme="minorHAnsi" w:hAnsiTheme="minorHAnsi" w:cstheme="minorHAnsi"/>
                <w:sz w:val="22"/>
                <w:szCs w:val="18"/>
              </w:rPr>
              <w:t>)</w:t>
            </w:r>
          </w:p>
        </w:tc>
      </w:tr>
    </w:tbl>
    <w:p w14:paraId="721FD9A4" w14:textId="77777777" w:rsidR="00E32E02" w:rsidRDefault="00585DBA" w:rsidP="00F526D8">
      <w:pPr>
        <w:spacing w:before="120" w:after="120"/>
        <w:rPr>
          <w:rFonts w:asciiTheme="minorHAnsi" w:hAnsiTheme="minorHAnsi" w:cstheme="minorHAnsi"/>
          <w:color w:val="000000" w:themeColor="text1"/>
          <w:sz w:val="24"/>
          <w:szCs w:val="26"/>
        </w:rPr>
      </w:pPr>
      <w:r>
        <w:rPr>
          <w:rFonts w:asciiTheme="minorHAnsi" w:hAnsiTheme="minorHAnsi" w:cstheme="minorHAnsi"/>
          <w:sz w:val="24"/>
          <w:szCs w:val="22"/>
        </w:rPr>
        <w:t xml:space="preserve">The </w:t>
      </w:r>
      <w:r w:rsidR="00774F88" w:rsidRPr="005F5BB1">
        <w:rPr>
          <w:rFonts w:asciiTheme="minorHAnsi" w:hAnsiTheme="minorHAnsi" w:cstheme="minorHAnsi"/>
          <w:sz w:val="24"/>
          <w:szCs w:val="22"/>
        </w:rPr>
        <w:t>ANZOD</w:t>
      </w:r>
      <w:r w:rsidR="00C14719">
        <w:rPr>
          <w:rFonts w:asciiTheme="minorHAnsi" w:hAnsiTheme="minorHAnsi" w:cstheme="minorHAnsi"/>
          <w:sz w:val="24"/>
          <w:szCs w:val="22"/>
        </w:rPr>
        <w:t xml:space="preserve"> </w:t>
      </w:r>
      <w:r w:rsidR="00774F88" w:rsidRPr="005F5BB1">
        <w:rPr>
          <w:rFonts w:asciiTheme="minorHAnsi" w:hAnsiTheme="minorHAnsi" w:cstheme="minorHAnsi"/>
          <w:sz w:val="24"/>
          <w:szCs w:val="22"/>
        </w:rPr>
        <w:t>was established in 1989 in Australia and 1993 in New Zealand to record and report on all organ don</w:t>
      </w:r>
      <w:r w:rsidR="00C36B35">
        <w:rPr>
          <w:rFonts w:asciiTheme="minorHAnsi" w:hAnsiTheme="minorHAnsi" w:cstheme="minorHAnsi"/>
          <w:sz w:val="24"/>
          <w:szCs w:val="22"/>
        </w:rPr>
        <w:t>ation</w:t>
      </w:r>
      <w:r w:rsidR="00774F88" w:rsidRPr="005F5BB1">
        <w:rPr>
          <w:rFonts w:asciiTheme="minorHAnsi" w:hAnsiTheme="minorHAnsi" w:cstheme="minorHAnsi"/>
          <w:sz w:val="24"/>
          <w:szCs w:val="22"/>
        </w:rPr>
        <w:t xml:space="preserve"> after death. </w:t>
      </w:r>
      <w:r w:rsidR="00274F3C">
        <w:rPr>
          <w:rFonts w:asciiTheme="minorHAnsi" w:hAnsiTheme="minorHAnsi" w:cstheme="minorHAnsi"/>
          <w:sz w:val="24"/>
          <w:szCs w:val="22"/>
        </w:rPr>
        <w:t xml:space="preserve">The </w:t>
      </w:r>
      <w:r w:rsidR="00774F88" w:rsidRPr="005F5BB1">
        <w:rPr>
          <w:rFonts w:asciiTheme="minorHAnsi" w:hAnsiTheme="minorHAnsi" w:cstheme="minorHAnsi"/>
          <w:sz w:val="24"/>
          <w:szCs w:val="22"/>
        </w:rPr>
        <w:t>ANZOD reports monthly and includes the numbers of deceased organ donors and the number of recipients benefiting from donation</w:t>
      </w:r>
      <w:r w:rsidR="00E32E02">
        <w:rPr>
          <w:rFonts w:asciiTheme="minorHAnsi" w:hAnsiTheme="minorHAnsi" w:cstheme="minorHAnsi"/>
          <w:sz w:val="24"/>
          <w:szCs w:val="22"/>
        </w:rPr>
        <w:t xml:space="preserve">. </w:t>
      </w:r>
      <w:r w:rsidR="001913D2">
        <w:rPr>
          <w:rFonts w:asciiTheme="minorHAnsi" w:hAnsiTheme="minorHAnsi" w:cstheme="minorHAnsi"/>
          <w:color w:val="000000" w:themeColor="text1"/>
          <w:sz w:val="24"/>
          <w:szCs w:val="26"/>
        </w:rPr>
        <w:t xml:space="preserve">Donation data is uploaded from the Electronic Donor Record (EDR) in each hospital to </w:t>
      </w:r>
      <w:r w:rsidR="00274F3C">
        <w:rPr>
          <w:rFonts w:asciiTheme="minorHAnsi" w:hAnsiTheme="minorHAnsi" w:cstheme="minorHAnsi"/>
          <w:color w:val="000000" w:themeColor="text1"/>
          <w:sz w:val="24"/>
          <w:szCs w:val="26"/>
        </w:rPr>
        <w:t xml:space="preserve">The </w:t>
      </w:r>
      <w:r w:rsidR="001913D2">
        <w:rPr>
          <w:rFonts w:asciiTheme="minorHAnsi" w:hAnsiTheme="minorHAnsi" w:cstheme="minorHAnsi"/>
          <w:color w:val="000000" w:themeColor="text1"/>
          <w:sz w:val="24"/>
          <w:szCs w:val="26"/>
        </w:rPr>
        <w:t>ANZOD.</w:t>
      </w:r>
    </w:p>
    <w:p w14:paraId="4AED5466" w14:textId="74EC6AA8" w:rsidR="001913D2" w:rsidRDefault="001913D2">
      <w:pPr>
        <w:spacing w:after="120"/>
        <w:rPr>
          <w:rFonts w:asciiTheme="minorHAnsi" w:hAnsiTheme="minorHAnsi" w:cstheme="minorHAnsi"/>
          <w:color w:val="000000" w:themeColor="text1"/>
          <w:sz w:val="24"/>
          <w:szCs w:val="26"/>
        </w:rPr>
      </w:pPr>
      <w:r>
        <w:rPr>
          <w:rFonts w:asciiTheme="minorHAnsi" w:hAnsiTheme="minorHAnsi" w:cstheme="minorHAnsi"/>
          <w:color w:val="000000" w:themeColor="text1"/>
          <w:sz w:val="24"/>
          <w:szCs w:val="26"/>
        </w:rPr>
        <w:t>Transplant</w:t>
      </w:r>
      <w:r w:rsidR="00F46C80">
        <w:rPr>
          <w:rFonts w:asciiTheme="minorHAnsi" w:hAnsiTheme="minorHAnsi" w:cstheme="minorHAnsi"/>
          <w:color w:val="000000" w:themeColor="text1"/>
          <w:sz w:val="24"/>
          <w:szCs w:val="26"/>
        </w:rPr>
        <w:t>ation</w:t>
      </w:r>
      <w:r>
        <w:rPr>
          <w:rFonts w:asciiTheme="minorHAnsi" w:hAnsiTheme="minorHAnsi" w:cstheme="minorHAnsi"/>
          <w:color w:val="000000" w:themeColor="text1"/>
          <w:sz w:val="24"/>
          <w:szCs w:val="26"/>
        </w:rPr>
        <w:t xml:space="preserve"> units contribute activity and outcome data to national organ specific outcome registries for kidney (ANZDATA), heart and lung (</w:t>
      </w:r>
      <w:r w:rsidR="00274F3C" w:rsidRPr="00274F3C">
        <w:rPr>
          <w:rFonts w:asciiTheme="minorHAnsi" w:hAnsiTheme="minorHAnsi" w:cstheme="minorHAnsi"/>
          <w:color w:val="000000" w:themeColor="text1"/>
          <w:sz w:val="24"/>
          <w:szCs w:val="26"/>
        </w:rPr>
        <w:t>Australia and New Zealand Cardiothoracic Organ Transplant Register</w:t>
      </w:r>
      <w:r>
        <w:rPr>
          <w:rFonts w:asciiTheme="minorHAnsi" w:hAnsiTheme="minorHAnsi" w:cstheme="minorHAnsi"/>
          <w:color w:val="000000" w:themeColor="text1"/>
          <w:sz w:val="24"/>
          <w:szCs w:val="26"/>
        </w:rPr>
        <w:t>), liver (</w:t>
      </w:r>
      <w:r w:rsidR="00274F3C" w:rsidRPr="00274F3C">
        <w:rPr>
          <w:rFonts w:asciiTheme="minorHAnsi" w:hAnsiTheme="minorHAnsi" w:cstheme="minorHAnsi"/>
          <w:color w:val="000000" w:themeColor="text1"/>
          <w:sz w:val="24"/>
          <w:szCs w:val="26"/>
        </w:rPr>
        <w:t>Australia and New Zealand Liver Transplant Register</w:t>
      </w:r>
      <w:r>
        <w:rPr>
          <w:rFonts w:asciiTheme="minorHAnsi" w:hAnsiTheme="minorHAnsi" w:cstheme="minorHAnsi"/>
          <w:color w:val="000000" w:themeColor="text1"/>
          <w:sz w:val="24"/>
          <w:szCs w:val="26"/>
        </w:rPr>
        <w:t>) and pancreas (</w:t>
      </w:r>
      <w:r w:rsidR="00274F3C" w:rsidRPr="00274F3C">
        <w:rPr>
          <w:rFonts w:asciiTheme="minorHAnsi" w:hAnsiTheme="minorHAnsi" w:cstheme="minorHAnsi"/>
          <w:color w:val="000000" w:themeColor="text1"/>
          <w:sz w:val="24"/>
          <w:szCs w:val="26"/>
        </w:rPr>
        <w:t>Australia and New Zealand Islets and Pancreas Transplant Register</w:t>
      </w:r>
      <w:r>
        <w:rPr>
          <w:rFonts w:asciiTheme="minorHAnsi" w:hAnsiTheme="minorHAnsi" w:cstheme="minorHAnsi"/>
          <w:color w:val="000000" w:themeColor="text1"/>
          <w:sz w:val="24"/>
          <w:szCs w:val="26"/>
        </w:rPr>
        <w:t>) transplant reporting.</w:t>
      </w:r>
      <w:r w:rsidRPr="00F37D51">
        <w:rPr>
          <w:rFonts w:asciiTheme="minorHAnsi" w:hAnsiTheme="minorHAnsi" w:cstheme="minorHAnsi"/>
          <w:color w:val="000000" w:themeColor="text1"/>
          <w:sz w:val="24"/>
          <w:szCs w:val="26"/>
        </w:rPr>
        <w:t xml:space="preserve"> </w:t>
      </w:r>
      <w:r w:rsidR="00AF2399">
        <w:rPr>
          <w:rFonts w:asciiTheme="minorHAnsi" w:hAnsiTheme="minorHAnsi" w:cstheme="minorHAnsi"/>
          <w:color w:val="000000" w:themeColor="text1"/>
          <w:sz w:val="24"/>
          <w:szCs w:val="26"/>
        </w:rPr>
        <w:t xml:space="preserve">The </w:t>
      </w:r>
      <w:r w:rsidRPr="00F37D51">
        <w:rPr>
          <w:rFonts w:asciiTheme="minorHAnsi" w:hAnsiTheme="minorHAnsi" w:cstheme="minorHAnsi"/>
          <w:color w:val="000000" w:themeColor="text1"/>
          <w:sz w:val="24"/>
          <w:szCs w:val="26"/>
        </w:rPr>
        <w:t xml:space="preserve">ANZDATA </w:t>
      </w:r>
      <w:r>
        <w:rPr>
          <w:rFonts w:asciiTheme="minorHAnsi" w:hAnsiTheme="minorHAnsi" w:cstheme="minorHAnsi"/>
          <w:color w:val="000000" w:themeColor="text1"/>
          <w:sz w:val="24"/>
          <w:szCs w:val="26"/>
        </w:rPr>
        <w:t xml:space="preserve">also </w:t>
      </w:r>
      <w:r w:rsidRPr="00F37D51">
        <w:rPr>
          <w:rFonts w:asciiTheme="minorHAnsi" w:hAnsiTheme="minorHAnsi" w:cstheme="minorHAnsi"/>
          <w:color w:val="000000" w:themeColor="text1"/>
          <w:sz w:val="24"/>
          <w:szCs w:val="26"/>
        </w:rPr>
        <w:t xml:space="preserve">collects and reports the incidence, prevalence and outcome of dialysis treatment and kidney transplantation for patients with </w:t>
      </w:r>
      <w:r w:rsidR="00E632AF">
        <w:rPr>
          <w:rFonts w:asciiTheme="minorHAnsi" w:hAnsiTheme="minorHAnsi" w:cstheme="minorHAnsi"/>
          <w:color w:val="000000" w:themeColor="text1"/>
          <w:sz w:val="24"/>
          <w:szCs w:val="26"/>
        </w:rPr>
        <w:t>end-stage</w:t>
      </w:r>
      <w:r w:rsidRPr="00F37D51">
        <w:rPr>
          <w:rFonts w:asciiTheme="minorHAnsi" w:hAnsiTheme="minorHAnsi" w:cstheme="minorHAnsi"/>
          <w:color w:val="000000" w:themeColor="text1"/>
          <w:sz w:val="24"/>
          <w:szCs w:val="26"/>
        </w:rPr>
        <w:t xml:space="preserve"> kidney disease across Australia and New Zealand.</w:t>
      </w:r>
      <w:r w:rsidR="00E32E02">
        <w:rPr>
          <w:rFonts w:asciiTheme="minorHAnsi" w:hAnsiTheme="minorHAnsi" w:cstheme="minorHAnsi"/>
          <w:color w:val="000000" w:themeColor="text1"/>
          <w:sz w:val="24"/>
          <w:szCs w:val="26"/>
        </w:rPr>
        <w:t xml:space="preserve"> The performance of the system is reported through each </w:t>
      </w:r>
      <w:r w:rsidR="00DB2089">
        <w:rPr>
          <w:rFonts w:asciiTheme="minorHAnsi" w:hAnsiTheme="minorHAnsi" w:cstheme="minorHAnsi"/>
          <w:color w:val="000000" w:themeColor="text1"/>
          <w:sz w:val="24"/>
          <w:szCs w:val="26"/>
        </w:rPr>
        <w:t>registry</w:t>
      </w:r>
      <w:r w:rsidR="00E32E02">
        <w:rPr>
          <w:rFonts w:asciiTheme="minorHAnsi" w:hAnsiTheme="minorHAnsi" w:cstheme="minorHAnsi"/>
          <w:color w:val="000000" w:themeColor="text1"/>
          <w:sz w:val="24"/>
          <w:szCs w:val="26"/>
        </w:rPr>
        <w:t xml:space="preserve"> yearly</w:t>
      </w:r>
      <w:r w:rsidR="00DB2089">
        <w:rPr>
          <w:rFonts w:asciiTheme="minorHAnsi" w:hAnsiTheme="minorHAnsi" w:cstheme="minorHAnsi"/>
          <w:color w:val="000000" w:themeColor="text1"/>
          <w:sz w:val="24"/>
          <w:szCs w:val="26"/>
        </w:rPr>
        <w:t>,</w:t>
      </w:r>
      <w:r w:rsidR="00E32E02">
        <w:rPr>
          <w:rFonts w:asciiTheme="minorHAnsi" w:hAnsiTheme="minorHAnsi" w:cstheme="minorHAnsi"/>
          <w:color w:val="000000" w:themeColor="text1"/>
          <w:sz w:val="24"/>
          <w:szCs w:val="26"/>
        </w:rPr>
        <w:t xml:space="preserve"> via an annual report with interim findings published on an ad hoc basis.</w:t>
      </w:r>
    </w:p>
    <w:p w14:paraId="0DCBB595" w14:textId="2CC4AC63" w:rsidR="00E32E02" w:rsidRDefault="00E32E02">
      <w:pPr>
        <w:spacing w:after="120"/>
        <w:rPr>
          <w:rFonts w:asciiTheme="minorHAnsi" w:hAnsiTheme="minorHAnsi" w:cstheme="minorHAnsi"/>
          <w:color w:val="000000" w:themeColor="text1"/>
          <w:sz w:val="24"/>
          <w:szCs w:val="26"/>
        </w:rPr>
      </w:pPr>
      <w:r w:rsidRPr="00774F88">
        <w:rPr>
          <w:rFonts w:asciiTheme="minorHAnsi" w:hAnsiTheme="minorHAnsi" w:cstheme="minorHAnsi"/>
          <w:color w:val="000000" w:themeColor="text1"/>
          <w:sz w:val="24"/>
          <w:szCs w:val="26"/>
        </w:rPr>
        <w:t xml:space="preserve">Data sharing agreements with each </w:t>
      </w:r>
      <w:r w:rsidR="00DB2089" w:rsidRPr="00774F88">
        <w:rPr>
          <w:rFonts w:asciiTheme="minorHAnsi" w:hAnsiTheme="minorHAnsi" w:cstheme="minorHAnsi"/>
          <w:color w:val="000000" w:themeColor="text1"/>
          <w:sz w:val="24"/>
          <w:szCs w:val="26"/>
        </w:rPr>
        <w:t>jurisdiction</w:t>
      </w:r>
      <w:r w:rsidRPr="00774F88">
        <w:rPr>
          <w:rFonts w:asciiTheme="minorHAnsi" w:hAnsiTheme="minorHAnsi" w:cstheme="minorHAnsi"/>
          <w:color w:val="000000" w:themeColor="text1"/>
          <w:sz w:val="24"/>
          <w:szCs w:val="26"/>
        </w:rPr>
        <w:t xml:space="preserve"> must be in place to allow data to be fed into these sources for analysis and reporting. The </w:t>
      </w:r>
      <w:r w:rsidRPr="003A05C7">
        <w:rPr>
          <w:rFonts w:asciiTheme="minorHAnsi" w:hAnsiTheme="minorHAnsi" w:cstheme="minorHAnsi"/>
          <w:i/>
          <w:color w:val="000000" w:themeColor="text1"/>
          <w:sz w:val="24"/>
          <w:szCs w:val="26"/>
        </w:rPr>
        <w:t>Australian Organ and Tissue Donation and Transplantation Authority Act 2008</w:t>
      </w:r>
      <w:r w:rsidR="000928C6">
        <w:rPr>
          <w:rFonts w:asciiTheme="minorHAnsi" w:hAnsiTheme="minorHAnsi" w:cstheme="minorHAnsi"/>
          <w:i/>
          <w:color w:val="000000" w:themeColor="text1"/>
          <w:sz w:val="24"/>
          <w:szCs w:val="26"/>
        </w:rPr>
        <w:t xml:space="preserve"> </w:t>
      </w:r>
      <w:r w:rsidR="000928C6">
        <w:rPr>
          <w:rStyle w:val="FootnoteReference"/>
          <w:rFonts w:cstheme="minorHAnsi"/>
          <w:i/>
          <w:color w:val="000000" w:themeColor="text1"/>
        </w:rPr>
        <w:footnoteReference w:id="70"/>
      </w:r>
      <w:r w:rsidRPr="005F5BB1">
        <w:rPr>
          <w:rFonts w:asciiTheme="minorHAnsi" w:hAnsiTheme="minorHAnsi" w:cstheme="minorHAnsi"/>
          <w:i/>
          <w:color w:val="000000" w:themeColor="text1"/>
          <w:sz w:val="24"/>
          <w:szCs w:val="26"/>
        </w:rPr>
        <w:t xml:space="preserve"> </w:t>
      </w:r>
      <w:r w:rsidRPr="00774F88">
        <w:rPr>
          <w:rFonts w:asciiTheme="minorHAnsi" w:hAnsiTheme="minorHAnsi" w:cstheme="minorHAnsi"/>
          <w:color w:val="000000" w:themeColor="text1"/>
          <w:sz w:val="24"/>
          <w:szCs w:val="26"/>
        </w:rPr>
        <w:t xml:space="preserve">stipulates that a clear function of the OTA is to collect, analyse, interpret and disseminate information relating to organ or tissue donation and transplantation matters. </w:t>
      </w:r>
      <w:r>
        <w:rPr>
          <w:rFonts w:asciiTheme="minorHAnsi" w:hAnsiTheme="minorHAnsi" w:cstheme="minorHAnsi"/>
          <w:color w:val="000000" w:themeColor="text1"/>
          <w:sz w:val="24"/>
          <w:szCs w:val="26"/>
        </w:rPr>
        <w:t xml:space="preserve">Currently the consolidation, analysis and release of organ donation data across jurisdictions require agreement from the custodian jurisdictions. </w:t>
      </w:r>
    </w:p>
    <w:p w14:paraId="5B01D784" w14:textId="77777777" w:rsidR="00E32E02" w:rsidRDefault="00E32E02">
      <w:pPr>
        <w:spacing w:after="120"/>
        <w:rPr>
          <w:rFonts w:asciiTheme="minorHAnsi" w:hAnsiTheme="minorHAnsi" w:cstheme="minorHAnsi"/>
          <w:color w:val="000000" w:themeColor="text1"/>
          <w:sz w:val="18"/>
          <w:szCs w:val="18"/>
        </w:rPr>
      </w:pPr>
      <w:r>
        <w:rPr>
          <w:rFonts w:asciiTheme="minorHAnsi" w:hAnsiTheme="minorHAnsi" w:cstheme="minorHAnsi"/>
          <w:color w:val="000000" w:themeColor="text1"/>
          <w:sz w:val="24"/>
          <w:szCs w:val="26"/>
        </w:rPr>
        <w:t xml:space="preserve">Funding to maintain the outcome registries is provided by the </w:t>
      </w:r>
      <w:r w:rsidR="00C36B35">
        <w:rPr>
          <w:rFonts w:asciiTheme="minorHAnsi" w:hAnsiTheme="minorHAnsi" w:cstheme="minorHAnsi"/>
          <w:color w:val="000000" w:themeColor="text1"/>
          <w:sz w:val="24"/>
          <w:szCs w:val="26"/>
        </w:rPr>
        <w:t xml:space="preserve">Australian </w:t>
      </w:r>
      <w:r>
        <w:rPr>
          <w:rFonts w:asciiTheme="minorHAnsi" w:hAnsiTheme="minorHAnsi" w:cstheme="minorHAnsi"/>
          <w:color w:val="000000" w:themeColor="text1"/>
          <w:sz w:val="24"/>
          <w:szCs w:val="26"/>
        </w:rPr>
        <w:t xml:space="preserve">through the OTA. </w:t>
      </w:r>
      <w:r>
        <w:rPr>
          <w:rFonts w:asciiTheme="minorHAnsi" w:hAnsiTheme="minorHAnsi" w:cstheme="minorHAnsi"/>
          <w:color w:val="000000" w:themeColor="text1"/>
          <w:sz w:val="24"/>
          <w:szCs w:val="26"/>
        </w:rPr>
        <w:lastRenderedPageBreak/>
        <w:t xml:space="preserve">Additional funding is also provided through specialist colleges and the New Zealand Government. </w:t>
      </w:r>
    </w:p>
    <w:p w14:paraId="70B5BA3E" w14:textId="77777777" w:rsidR="0058430B" w:rsidRPr="00EF2596" w:rsidRDefault="00C43CA7" w:rsidP="00EF2596">
      <w:pPr>
        <w:pStyle w:val="Heading3"/>
        <w:tabs>
          <w:tab w:val="clear" w:pos="1843"/>
          <w:tab w:val="num" w:pos="1559"/>
        </w:tabs>
        <w:ind w:left="992" w:hanging="992"/>
        <w:rPr>
          <w:rFonts w:asciiTheme="minorHAnsi" w:hAnsiTheme="minorHAnsi" w:cstheme="minorHAnsi"/>
          <w:color w:val="7F7F7F" w:themeColor="text1" w:themeTint="80"/>
          <w:sz w:val="30"/>
          <w:szCs w:val="30"/>
        </w:rPr>
      </w:pPr>
      <w:bookmarkStart w:id="157" w:name="_Ref530048266"/>
      <w:r w:rsidRPr="00EF2596">
        <w:rPr>
          <w:rFonts w:asciiTheme="minorHAnsi" w:hAnsiTheme="minorHAnsi" w:cstheme="minorHAnsi"/>
          <w:b w:val="0"/>
          <w:color w:val="7F7F7F" w:themeColor="text1" w:themeTint="80"/>
          <w:sz w:val="30"/>
          <w:szCs w:val="30"/>
        </w:rPr>
        <w:t xml:space="preserve">Financing arrangements </w:t>
      </w:r>
      <w:r w:rsidR="00DE780E" w:rsidRPr="00EF2596">
        <w:rPr>
          <w:rFonts w:asciiTheme="minorHAnsi" w:hAnsiTheme="minorHAnsi" w:cstheme="minorHAnsi"/>
          <w:b w:val="0"/>
          <w:color w:val="7F7F7F" w:themeColor="text1" w:themeTint="80"/>
          <w:sz w:val="30"/>
          <w:szCs w:val="30"/>
        </w:rPr>
        <w:t>for the system</w:t>
      </w:r>
      <w:bookmarkEnd w:id="157"/>
    </w:p>
    <w:p w14:paraId="06B6CDD2" w14:textId="77777777" w:rsidR="003949FD" w:rsidRDefault="005C6C5E" w:rsidP="003949FD">
      <w:pPr>
        <w:spacing w:before="120" w:after="120"/>
        <w:rPr>
          <w:rFonts w:asciiTheme="minorHAnsi" w:hAnsiTheme="minorHAnsi" w:cstheme="minorHAnsi"/>
          <w:color w:val="000000" w:themeColor="text1"/>
          <w:sz w:val="24"/>
          <w:szCs w:val="26"/>
        </w:rPr>
      </w:pPr>
      <w:r>
        <w:rPr>
          <w:rFonts w:asciiTheme="minorHAnsi" w:hAnsiTheme="minorHAnsi" w:cstheme="minorHAnsi"/>
          <w:color w:val="000000" w:themeColor="text1"/>
          <w:sz w:val="24"/>
          <w:szCs w:val="26"/>
        </w:rPr>
        <w:t xml:space="preserve">Different </w:t>
      </w:r>
      <w:r w:rsidR="003949FD">
        <w:rPr>
          <w:rFonts w:asciiTheme="minorHAnsi" w:hAnsiTheme="minorHAnsi" w:cstheme="minorHAnsi"/>
          <w:color w:val="000000" w:themeColor="text1"/>
          <w:sz w:val="24"/>
          <w:szCs w:val="26"/>
        </w:rPr>
        <w:t>funding arrangements apply to the different elements of the system. These are explained</w:t>
      </w:r>
      <w:r w:rsidR="002F5B39">
        <w:rPr>
          <w:rFonts w:asciiTheme="minorHAnsi" w:hAnsiTheme="minorHAnsi" w:cstheme="minorHAnsi"/>
          <w:color w:val="000000" w:themeColor="text1"/>
          <w:sz w:val="24"/>
          <w:szCs w:val="26"/>
        </w:rPr>
        <w:t xml:space="preserve"> in detail</w:t>
      </w:r>
      <w:r w:rsidR="003949FD">
        <w:rPr>
          <w:rFonts w:asciiTheme="minorHAnsi" w:hAnsiTheme="minorHAnsi" w:cstheme="minorHAnsi"/>
          <w:color w:val="000000" w:themeColor="text1"/>
          <w:sz w:val="24"/>
          <w:szCs w:val="26"/>
        </w:rPr>
        <w:t xml:space="preserve"> </w:t>
      </w:r>
      <w:r w:rsidR="00E721A9">
        <w:rPr>
          <w:rFonts w:asciiTheme="minorHAnsi" w:hAnsiTheme="minorHAnsi" w:cstheme="minorHAnsi"/>
          <w:color w:val="000000" w:themeColor="text1"/>
          <w:sz w:val="24"/>
          <w:szCs w:val="26"/>
        </w:rPr>
        <w:t>below</w:t>
      </w:r>
      <w:r w:rsidR="002F5B39">
        <w:rPr>
          <w:rFonts w:asciiTheme="minorHAnsi" w:hAnsiTheme="minorHAnsi" w:cstheme="minorHAnsi"/>
          <w:color w:val="000000" w:themeColor="text1"/>
          <w:sz w:val="24"/>
          <w:szCs w:val="26"/>
        </w:rPr>
        <w:t>.</w:t>
      </w:r>
    </w:p>
    <w:p w14:paraId="2E0296FB" w14:textId="77777777" w:rsidR="002F5B39" w:rsidRDefault="003949FD" w:rsidP="003949FD">
      <w:pPr>
        <w:spacing w:before="120" w:after="120"/>
        <w:rPr>
          <w:rFonts w:asciiTheme="minorHAnsi" w:hAnsiTheme="minorHAnsi" w:cstheme="minorHAnsi"/>
          <w:i/>
          <w:color w:val="808080" w:themeColor="background1" w:themeShade="80"/>
          <w:sz w:val="26"/>
          <w:szCs w:val="26"/>
        </w:rPr>
      </w:pPr>
      <w:r w:rsidRPr="00447661">
        <w:rPr>
          <w:rFonts w:asciiTheme="minorHAnsi" w:hAnsiTheme="minorHAnsi" w:cstheme="minorHAnsi"/>
          <w:i/>
          <w:color w:val="808080" w:themeColor="background1" w:themeShade="80"/>
          <w:sz w:val="26"/>
          <w:szCs w:val="26"/>
        </w:rPr>
        <w:t>Element 1</w:t>
      </w:r>
      <w:r w:rsidR="002F5B39">
        <w:rPr>
          <w:rFonts w:asciiTheme="minorHAnsi" w:hAnsiTheme="minorHAnsi" w:cstheme="minorHAnsi"/>
          <w:i/>
          <w:color w:val="808080" w:themeColor="background1" w:themeShade="80"/>
          <w:sz w:val="26"/>
          <w:szCs w:val="26"/>
        </w:rPr>
        <w:t>:</w:t>
      </w:r>
      <w:r w:rsidR="00B63AD0">
        <w:rPr>
          <w:rFonts w:asciiTheme="minorHAnsi" w:hAnsiTheme="minorHAnsi" w:cstheme="minorHAnsi"/>
          <w:i/>
          <w:color w:val="808080" w:themeColor="background1" w:themeShade="80"/>
          <w:sz w:val="26"/>
          <w:szCs w:val="26"/>
        </w:rPr>
        <w:t xml:space="preserve"> Initial assessment and waiting list management</w:t>
      </w:r>
      <w:r w:rsidR="002F5B39">
        <w:rPr>
          <w:rFonts w:asciiTheme="minorHAnsi" w:hAnsiTheme="minorHAnsi" w:cstheme="minorHAnsi"/>
          <w:i/>
          <w:color w:val="808080" w:themeColor="background1" w:themeShade="80"/>
          <w:sz w:val="26"/>
          <w:szCs w:val="26"/>
        </w:rPr>
        <w:t xml:space="preserve"> </w:t>
      </w:r>
    </w:p>
    <w:p w14:paraId="692C82E1" w14:textId="2543FAD6" w:rsidR="00042160" w:rsidRDefault="003949FD" w:rsidP="00FC0FD7">
      <w:pPr>
        <w:spacing w:before="120" w:after="120"/>
        <w:rPr>
          <w:rFonts w:asciiTheme="minorHAnsi" w:hAnsiTheme="minorHAnsi" w:cstheme="minorHAnsi"/>
          <w:color w:val="000000" w:themeColor="text1"/>
          <w:sz w:val="24"/>
          <w:szCs w:val="26"/>
        </w:rPr>
      </w:pPr>
      <w:r>
        <w:rPr>
          <w:rFonts w:asciiTheme="minorHAnsi" w:hAnsiTheme="minorHAnsi" w:cstheme="minorHAnsi"/>
          <w:color w:val="000000" w:themeColor="text1"/>
          <w:sz w:val="24"/>
          <w:szCs w:val="26"/>
        </w:rPr>
        <w:t xml:space="preserve">As directed by the National Reform Agreement, </w:t>
      </w:r>
      <w:r w:rsidR="00E304D4">
        <w:rPr>
          <w:rFonts w:asciiTheme="minorHAnsi" w:hAnsiTheme="minorHAnsi" w:cstheme="minorHAnsi"/>
          <w:color w:val="000000" w:themeColor="text1"/>
          <w:sz w:val="24"/>
          <w:szCs w:val="26"/>
        </w:rPr>
        <w:t xml:space="preserve">Australian Government </w:t>
      </w:r>
      <w:r>
        <w:rPr>
          <w:rFonts w:asciiTheme="minorHAnsi" w:hAnsiTheme="minorHAnsi" w:cstheme="minorHAnsi"/>
          <w:color w:val="000000" w:themeColor="text1"/>
          <w:sz w:val="24"/>
          <w:szCs w:val="26"/>
        </w:rPr>
        <w:t>funding is provided to hospitals for the initial assessment and wait</w:t>
      </w:r>
      <w:r w:rsidR="00595193">
        <w:rPr>
          <w:rFonts w:asciiTheme="minorHAnsi" w:hAnsiTheme="minorHAnsi" w:cstheme="minorHAnsi"/>
          <w:color w:val="000000" w:themeColor="text1"/>
          <w:sz w:val="24"/>
          <w:szCs w:val="26"/>
        </w:rPr>
        <w:t>ing</w:t>
      </w:r>
      <w:r>
        <w:rPr>
          <w:rFonts w:asciiTheme="minorHAnsi" w:hAnsiTheme="minorHAnsi" w:cstheme="minorHAnsi"/>
          <w:color w:val="000000" w:themeColor="text1"/>
          <w:sz w:val="24"/>
          <w:szCs w:val="26"/>
        </w:rPr>
        <w:t xml:space="preserve"> list activities undertaken in hospital. The funding level is based on the National Efficient Price</w:t>
      </w:r>
      <w:r w:rsidR="00A40C9D">
        <w:rPr>
          <w:rFonts w:asciiTheme="minorHAnsi" w:hAnsiTheme="minorHAnsi" w:cstheme="minorHAnsi"/>
          <w:color w:val="000000" w:themeColor="text1"/>
          <w:sz w:val="24"/>
          <w:szCs w:val="26"/>
        </w:rPr>
        <w:t xml:space="preserve">. </w:t>
      </w:r>
      <w:r>
        <w:rPr>
          <w:rFonts w:asciiTheme="minorHAnsi" w:hAnsiTheme="minorHAnsi" w:cstheme="minorHAnsi"/>
          <w:color w:val="000000" w:themeColor="text1"/>
          <w:sz w:val="24"/>
          <w:szCs w:val="26"/>
        </w:rPr>
        <w:t xml:space="preserve">Outpatient activities </w:t>
      </w:r>
      <w:r w:rsidR="003474F5">
        <w:rPr>
          <w:rFonts w:asciiTheme="minorHAnsi" w:hAnsiTheme="minorHAnsi" w:cstheme="minorHAnsi"/>
          <w:color w:val="000000" w:themeColor="text1"/>
          <w:sz w:val="24"/>
          <w:szCs w:val="26"/>
        </w:rPr>
        <w:t xml:space="preserve">undertaken as part of the Initial Assessment and </w:t>
      </w:r>
      <w:r w:rsidR="00704B86">
        <w:rPr>
          <w:rFonts w:asciiTheme="minorHAnsi" w:hAnsiTheme="minorHAnsi" w:cstheme="minorHAnsi"/>
          <w:color w:val="000000" w:themeColor="text1"/>
          <w:sz w:val="24"/>
          <w:szCs w:val="26"/>
        </w:rPr>
        <w:t>W</w:t>
      </w:r>
      <w:r w:rsidR="007411D9">
        <w:rPr>
          <w:rFonts w:asciiTheme="minorHAnsi" w:hAnsiTheme="minorHAnsi" w:cstheme="minorHAnsi"/>
          <w:color w:val="000000" w:themeColor="text1"/>
          <w:sz w:val="24"/>
          <w:szCs w:val="26"/>
        </w:rPr>
        <w:t>ait</w:t>
      </w:r>
      <w:r w:rsidR="00704B86">
        <w:rPr>
          <w:rFonts w:asciiTheme="minorHAnsi" w:hAnsiTheme="minorHAnsi" w:cstheme="minorHAnsi"/>
          <w:color w:val="000000" w:themeColor="text1"/>
          <w:sz w:val="24"/>
          <w:szCs w:val="26"/>
        </w:rPr>
        <w:t>ing</w:t>
      </w:r>
      <w:r w:rsidR="007411D9">
        <w:rPr>
          <w:rFonts w:asciiTheme="minorHAnsi" w:hAnsiTheme="minorHAnsi" w:cstheme="minorHAnsi"/>
          <w:color w:val="000000" w:themeColor="text1"/>
          <w:sz w:val="24"/>
          <w:szCs w:val="26"/>
        </w:rPr>
        <w:t xml:space="preserve"> </w:t>
      </w:r>
      <w:r w:rsidR="00704B86">
        <w:rPr>
          <w:rFonts w:asciiTheme="minorHAnsi" w:hAnsiTheme="minorHAnsi" w:cstheme="minorHAnsi"/>
          <w:color w:val="000000" w:themeColor="text1"/>
          <w:sz w:val="24"/>
          <w:szCs w:val="26"/>
        </w:rPr>
        <w:t>L</w:t>
      </w:r>
      <w:r w:rsidR="007411D9">
        <w:rPr>
          <w:rFonts w:asciiTheme="minorHAnsi" w:hAnsiTheme="minorHAnsi" w:cstheme="minorHAnsi"/>
          <w:color w:val="000000" w:themeColor="text1"/>
          <w:sz w:val="24"/>
          <w:szCs w:val="26"/>
        </w:rPr>
        <w:t>ist</w:t>
      </w:r>
      <w:r w:rsidR="003474F5">
        <w:rPr>
          <w:rFonts w:asciiTheme="minorHAnsi" w:hAnsiTheme="minorHAnsi" w:cstheme="minorHAnsi"/>
          <w:color w:val="000000" w:themeColor="text1"/>
          <w:sz w:val="24"/>
          <w:szCs w:val="26"/>
        </w:rPr>
        <w:t xml:space="preserve"> </w:t>
      </w:r>
      <w:r w:rsidR="00704B86">
        <w:rPr>
          <w:rFonts w:asciiTheme="minorHAnsi" w:hAnsiTheme="minorHAnsi" w:cstheme="minorHAnsi"/>
          <w:color w:val="000000" w:themeColor="text1"/>
          <w:sz w:val="24"/>
          <w:szCs w:val="26"/>
        </w:rPr>
        <w:t xml:space="preserve">element </w:t>
      </w:r>
      <w:r>
        <w:rPr>
          <w:rFonts w:asciiTheme="minorHAnsi" w:hAnsiTheme="minorHAnsi" w:cstheme="minorHAnsi"/>
          <w:color w:val="000000" w:themeColor="text1"/>
          <w:sz w:val="24"/>
          <w:szCs w:val="26"/>
        </w:rPr>
        <w:t>are</w:t>
      </w:r>
      <w:r w:rsidR="004A2F2D">
        <w:rPr>
          <w:rFonts w:asciiTheme="minorHAnsi" w:hAnsiTheme="minorHAnsi" w:cstheme="minorHAnsi"/>
          <w:color w:val="000000" w:themeColor="text1"/>
          <w:sz w:val="24"/>
          <w:szCs w:val="26"/>
        </w:rPr>
        <w:t xml:space="preserve"> sometimes</w:t>
      </w:r>
      <w:r>
        <w:rPr>
          <w:rFonts w:asciiTheme="minorHAnsi" w:hAnsiTheme="minorHAnsi" w:cstheme="minorHAnsi"/>
          <w:color w:val="000000" w:themeColor="text1"/>
          <w:sz w:val="24"/>
          <w:szCs w:val="26"/>
        </w:rPr>
        <w:t xml:space="preserve"> covered through the Medicare Benefits Sche</w:t>
      </w:r>
      <w:r w:rsidR="00AF2399">
        <w:rPr>
          <w:rFonts w:asciiTheme="minorHAnsi" w:hAnsiTheme="minorHAnsi" w:cstheme="minorHAnsi"/>
          <w:color w:val="000000" w:themeColor="text1"/>
          <w:sz w:val="24"/>
          <w:szCs w:val="26"/>
        </w:rPr>
        <w:t>dule</w:t>
      </w:r>
      <w:r w:rsidR="003474F5">
        <w:rPr>
          <w:rFonts w:asciiTheme="minorHAnsi" w:hAnsiTheme="minorHAnsi" w:cstheme="minorHAnsi"/>
          <w:color w:val="000000" w:themeColor="text1"/>
          <w:sz w:val="24"/>
          <w:szCs w:val="26"/>
        </w:rPr>
        <w:t>.</w:t>
      </w:r>
      <w:r w:rsidR="00E81CE6">
        <w:rPr>
          <w:rFonts w:asciiTheme="minorHAnsi" w:hAnsiTheme="minorHAnsi" w:cstheme="minorHAnsi"/>
          <w:color w:val="000000" w:themeColor="text1"/>
          <w:sz w:val="24"/>
          <w:szCs w:val="26"/>
        </w:rPr>
        <w:t xml:space="preserve"> </w:t>
      </w:r>
      <w:r w:rsidR="00704B86">
        <w:rPr>
          <w:rFonts w:asciiTheme="minorHAnsi" w:hAnsiTheme="minorHAnsi" w:cstheme="minorHAnsi"/>
          <w:color w:val="000000" w:themeColor="text1"/>
          <w:sz w:val="24"/>
          <w:szCs w:val="26"/>
        </w:rPr>
        <w:t>Funding for t</w:t>
      </w:r>
      <w:r w:rsidR="003474F5">
        <w:rPr>
          <w:rFonts w:asciiTheme="minorHAnsi" w:hAnsiTheme="minorHAnsi" w:cstheme="minorHAnsi"/>
          <w:color w:val="000000" w:themeColor="text1"/>
          <w:sz w:val="24"/>
          <w:szCs w:val="26"/>
        </w:rPr>
        <w:t xml:space="preserve">issue typing and blood services </w:t>
      </w:r>
      <w:r w:rsidR="00704B86">
        <w:rPr>
          <w:rFonts w:asciiTheme="minorHAnsi" w:hAnsiTheme="minorHAnsi" w:cstheme="minorHAnsi"/>
          <w:color w:val="000000" w:themeColor="text1"/>
          <w:sz w:val="24"/>
          <w:szCs w:val="26"/>
        </w:rPr>
        <w:t xml:space="preserve">vary between </w:t>
      </w:r>
      <w:r w:rsidR="00042160">
        <w:rPr>
          <w:rFonts w:asciiTheme="minorHAnsi" w:hAnsiTheme="minorHAnsi" w:cstheme="minorHAnsi"/>
          <w:color w:val="000000" w:themeColor="text1"/>
          <w:sz w:val="24"/>
          <w:szCs w:val="26"/>
        </w:rPr>
        <w:t>jurisdictions:</w:t>
      </w:r>
    </w:p>
    <w:p w14:paraId="6BA5EE1E" w14:textId="77777777" w:rsidR="00042160" w:rsidRPr="00EF2596" w:rsidRDefault="00704B86" w:rsidP="00EF2596">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EF2596">
        <w:rPr>
          <w:rFonts w:asciiTheme="minorHAnsi" w:hAnsiTheme="minorHAnsi" w:cstheme="minorHAnsi"/>
          <w:sz w:val="24"/>
          <w:szCs w:val="22"/>
          <w:lang w:val="en-GB"/>
        </w:rPr>
        <w:t>Victorian tissue typing and blood services are block funded with some additional Activity Based Funding</w:t>
      </w:r>
      <w:r w:rsidR="0048157B" w:rsidRPr="00EF2596">
        <w:rPr>
          <w:rFonts w:asciiTheme="minorHAnsi" w:hAnsiTheme="minorHAnsi" w:cstheme="minorHAnsi"/>
          <w:sz w:val="24"/>
          <w:szCs w:val="22"/>
          <w:lang w:val="en-GB"/>
        </w:rPr>
        <w:t xml:space="preserve"> to operate services for both Victoria and Tasmania</w:t>
      </w:r>
      <w:r w:rsidRPr="00EF2596">
        <w:rPr>
          <w:rFonts w:asciiTheme="minorHAnsi" w:hAnsiTheme="minorHAnsi" w:cstheme="minorHAnsi"/>
          <w:sz w:val="24"/>
          <w:szCs w:val="22"/>
          <w:lang w:val="en-GB"/>
        </w:rPr>
        <w:t xml:space="preserve">. </w:t>
      </w:r>
    </w:p>
    <w:p w14:paraId="57ACE2D1" w14:textId="77777777" w:rsidR="00042160" w:rsidRPr="00EF2596" w:rsidRDefault="00704B86" w:rsidP="00EF2596">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EF2596">
        <w:rPr>
          <w:rFonts w:asciiTheme="minorHAnsi" w:hAnsiTheme="minorHAnsi" w:cstheme="minorHAnsi"/>
          <w:sz w:val="24"/>
          <w:szCs w:val="22"/>
          <w:lang w:val="en-GB"/>
        </w:rPr>
        <w:t xml:space="preserve">Queensland </w:t>
      </w:r>
      <w:r w:rsidR="0044362B" w:rsidRPr="00EF2596">
        <w:rPr>
          <w:rFonts w:asciiTheme="minorHAnsi" w:hAnsiTheme="minorHAnsi" w:cstheme="minorHAnsi"/>
          <w:sz w:val="24"/>
          <w:szCs w:val="22"/>
          <w:lang w:val="en-GB"/>
        </w:rPr>
        <w:t xml:space="preserve">and Western Australian </w:t>
      </w:r>
      <w:r w:rsidRPr="00EF2596">
        <w:rPr>
          <w:rFonts w:asciiTheme="minorHAnsi" w:hAnsiTheme="minorHAnsi" w:cstheme="minorHAnsi"/>
          <w:sz w:val="24"/>
          <w:szCs w:val="22"/>
          <w:lang w:val="en-GB"/>
        </w:rPr>
        <w:t>tissue typing and blood services are funded through block funding only</w:t>
      </w:r>
      <w:r w:rsidR="0044362B" w:rsidRPr="00EF2596">
        <w:rPr>
          <w:rFonts w:asciiTheme="minorHAnsi" w:hAnsiTheme="minorHAnsi" w:cstheme="minorHAnsi"/>
          <w:sz w:val="24"/>
          <w:szCs w:val="22"/>
          <w:lang w:val="en-GB"/>
        </w:rPr>
        <w:t xml:space="preserve">. </w:t>
      </w:r>
    </w:p>
    <w:p w14:paraId="1E8657C0" w14:textId="77777777" w:rsidR="00042160" w:rsidRPr="00EF2596" w:rsidRDefault="0044362B" w:rsidP="00EF2596">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EF2596">
        <w:rPr>
          <w:rFonts w:asciiTheme="minorHAnsi" w:hAnsiTheme="minorHAnsi" w:cstheme="minorHAnsi"/>
          <w:sz w:val="24"/>
          <w:szCs w:val="22"/>
          <w:lang w:val="en-GB"/>
        </w:rPr>
        <w:t>South Australia receive</w:t>
      </w:r>
      <w:r w:rsidR="00042160">
        <w:rPr>
          <w:rFonts w:asciiTheme="minorHAnsi" w:hAnsiTheme="minorHAnsi" w:cstheme="minorHAnsi"/>
          <w:sz w:val="24"/>
          <w:szCs w:val="22"/>
          <w:lang w:val="en-GB"/>
        </w:rPr>
        <w:t>s</w:t>
      </w:r>
      <w:r w:rsidRPr="00EF2596">
        <w:rPr>
          <w:rFonts w:asciiTheme="minorHAnsi" w:hAnsiTheme="minorHAnsi" w:cstheme="minorHAnsi"/>
          <w:sz w:val="24"/>
          <w:szCs w:val="22"/>
          <w:lang w:val="en-GB"/>
        </w:rPr>
        <w:t xml:space="preserve"> block funding to operate South Australian and Northern Territory tissue typing and blood services. </w:t>
      </w:r>
    </w:p>
    <w:p w14:paraId="22E122D7" w14:textId="77777777" w:rsidR="0048157B" w:rsidRPr="00EF2596" w:rsidRDefault="0044362B" w:rsidP="00EF2596">
      <w:pPr>
        <w:widowControl/>
        <w:numPr>
          <w:ilvl w:val="0"/>
          <w:numId w:val="18"/>
        </w:numPr>
        <w:autoSpaceDE/>
        <w:autoSpaceDN/>
        <w:adjustRightInd/>
        <w:spacing w:after="120"/>
        <w:ind w:left="357" w:hanging="357"/>
        <w:rPr>
          <w:rFonts w:asciiTheme="minorHAnsi" w:hAnsiTheme="minorHAnsi" w:cstheme="minorHAnsi"/>
          <w:sz w:val="24"/>
          <w:szCs w:val="22"/>
          <w:lang w:val="en-GB"/>
        </w:rPr>
      </w:pPr>
      <w:r w:rsidRPr="00EF2596">
        <w:rPr>
          <w:rFonts w:asciiTheme="minorHAnsi" w:hAnsiTheme="minorHAnsi" w:cstheme="minorHAnsi"/>
          <w:sz w:val="24"/>
          <w:szCs w:val="22"/>
          <w:lang w:val="en-GB"/>
        </w:rPr>
        <w:t>New South Wales tissue typing and blood services are funded through Activity Based Funding</w:t>
      </w:r>
      <w:r w:rsidR="0048157B" w:rsidRPr="00EF2596">
        <w:rPr>
          <w:rFonts w:asciiTheme="minorHAnsi" w:hAnsiTheme="minorHAnsi" w:cstheme="minorHAnsi"/>
          <w:sz w:val="24"/>
          <w:szCs w:val="22"/>
          <w:lang w:val="en-GB"/>
        </w:rPr>
        <w:t xml:space="preserve"> and operate services for both New South Wales and the Australian Capital Territory</w:t>
      </w:r>
      <w:r w:rsidRPr="00EF2596">
        <w:rPr>
          <w:rFonts w:asciiTheme="minorHAnsi" w:hAnsiTheme="minorHAnsi" w:cstheme="minorHAnsi"/>
          <w:sz w:val="24"/>
          <w:szCs w:val="22"/>
          <w:lang w:val="en-GB"/>
        </w:rPr>
        <w:t>.</w:t>
      </w:r>
      <w:r w:rsidR="008267A1" w:rsidRPr="00EF2596">
        <w:rPr>
          <w:rFonts w:asciiTheme="minorHAnsi" w:hAnsiTheme="minorHAnsi" w:cstheme="minorHAnsi"/>
          <w:sz w:val="24"/>
          <w:szCs w:val="22"/>
          <w:lang w:val="en-GB"/>
        </w:rPr>
        <w:t xml:space="preserve"> </w:t>
      </w:r>
    </w:p>
    <w:p w14:paraId="32024D86" w14:textId="77777777" w:rsidR="002F5B39" w:rsidRPr="00447661" w:rsidRDefault="003474F5" w:rsidP="003474F5">
      <w:pPr>
        <w:spacing w:before="120" w:after="120"/>
        <w:rPr>
          <w:rFonts w:asciiTheme="minorHAnsi" w:hAnsiTheme="minorHAnsi" w:cstheme="minorHAnsi"/>
          <w:i/>
          <w:color w:val="808080" w:themeColor="background1" w:themeShade="80"/>
          <w:sz w:val="26"/>
          <w:szCs w:val="26"/>
        </w:rPr>
      </w:pPr>
      <w:r w:rsidRPr="00447661">
        <w:rPr>
          <w:rFonts w:asciiTheme="minorHAnsi" w:hAnsiTheme="minorHAnsi" w:cstheme="minorHAnsi"/>
          <w:i/>
          <w:color w:val="808080" w:themeColor="background1" w:themeShade="80"/>
          <w:sz w:val="26"/>
          <w:szCs w:val="26"/>
        </w:rPr>
        <w:t>Element 2</w:t>
      </w:r>
      <w:r w:rsidR="002F5B39">
        <w:rPr>
          <w:rFonts w:asciiTheme="minorHAnsi" w:hAnsiTheme="minorHAnsi" w:cstheme="minorHAnsi"/>
          <w:i/>
          <w:color w:val="808080" w:themeColor="background1" w:themeShade="80"/>
          <w:sz w:val="26"/>
          <w:szCs w:val="26"/>
        </w:rPr>
        <w:t xml:space="preserve">: </w:t>
      </w:r>
      <w:r w:rsidR="00B63AD0">
        <w:rPr>
          <w:rFonts w:asciiTheme="minorHAnsi" w:hAnsiTheme="minorHAnsi" w:cstheme="minorHAnsi"/>
          <w:i/>
          <w:color w:val="808080" w:themeColor="background1" w:themeShade="80"/>
          <w:sz w:val="26"/>
          <w:szCs w:val="26"/>
        </w:rPr>
        <w:t>Deceased organ donation</w:t>
      </w:r>
      <w:r w:rsidRPr="00447661">
        <w:rPr>
          <w:rFonts w:asciiTheme="minorHAnsi" w:hAnsiTheme="minorHAnsi" w:cstheme="minorHAnsi"/>
          <w:i/>
          <w:color w:val="808080" w:themeColor="background1" w:themeShade="80"/>
          <w:sz w:val="26"/>
          <w:szCs w:val="26"/>
        </w:rPr>
        <w:t xml:space="preserve"> </w:t>
      </w:r>
    </w:p>
    <w:p w14:paraId="624342A8" w14:textId="77777777" w:rsidR="007C1C9B" w:rsidRDefault="003474F5" w:rsidP="007C1C9B">
      <w:pPr>
        <w:tabs>
          <w:tab w:val="left" w:pos="7513"/>
        </w:tabs>
        <w:spacing w:before="120" w:after="120"/>
        <w:rPr>
          <w:rFonts w:asciiTheme="minorHAnsi" w:hAnsiTheme="minorHAnsi" w:cstheme="minorHAnsi"/>
          <w:color w:val="000000" w:themeColor="text1"/>
          <w:sz w:val="24"/>
          <w:szCs w:val="26"/>
        </w:rPr>
      </w:pPr>
      <w:r>
        <w:rPr>
          <w:rFonts w:asciiTheme="minorHAnsi" w:hAnsiTheme="minorHAnsi" w:cstheme="minorHAnsi"/>
          <w:color w:val="000000" w:themeColor="text1"/>
          <w:sz w:val="24"/>
          <w:szCs w:val="26"/>
        </w:rPr>
        <w:t xml:space="preserve">Funding for </w:t>
      </w:r>
      <w:r w:rsidR="004A2F2D">
        <w:rPr>
          <w:rFonts w:asciiTheme="minorHAnsi" w:hAnsiTheme="minorHAnsi" w:cstheme="minorHAnsi"/>
          <w:color w:val="000000" w:themeColor="text1"/>
          <w:sz w:val="24"/>
          <w:szCs w:val="26"/>
        </w:rPr>
        <w:t xml:space="preserve">some </w:t>
      </w:r>
      <w:r w:rsidR="008867C8">
        <w:rPr>
          <w:rFonts w:asciiTheme="minorHAnsi" w:hAnsiTheme="minorHAnsi" w:cstheme="minorHAnsi"/>
          <w:color w:val="000000" w:themeColor="text1"/>
          <w:sz w:val="24"/>
          <w:szCs w:val="26"/>
        </w:rPr>
        <w:t>d</w:t>
      </w:r>
      <w:r>
        <w:rPr>
          <w:rFonts w:asciiTheme="minorHAnsi" w:hAnsiTheme="minorHAnsi" w:cstheme="minorHAnsi"/>
          <w:color w:val="000000" w:themeColor="text1"/>
          <w:sz w:val="24"/>
          <w:szCs w:val="26"/>
        </w:rPr>
        <w:t xml:space="preserve">eceased </w:t>
      </w:r>
      <w:r w:rsidR="008867C8">
        <w:rPr>
          <w:rFonts w:asciiTheme="minorHAnsi" w:hAnsiTheme="minorHAnsi" w:cstheme="minorHAnsi"/>
          <w:color w:val="000000" w:themeColor="text1"/>
          <w:sz w:val="24"/>
          <w:szCs w:val="26"/>
        </w:rPr>
        <w:t>d</w:t>
      </w:r>
      <w:r>
        <w:rPr>
          <w:rFonts w:asciiTheme="minorHAnsi" w:hAnsiTheme="minorHAnsi" w:cstheme="minorHAnsi"/>
          <w:color w:val="000000" w:themeColor="text1"/>
          <w:sz w:val="24"/>
          <w:szCs w:val="26"/>
        </w:rPr>
        <w:t>onation activities is covered by</w:t>
      </w:r>
      <w:r w:rsidR="004A2F2D">
        <w:rPr>
          <w:rFonts w:asciiTheme="minorHAnsi" w:hAnsiTheme="minorHAnsi" w:cstheme="minorHAnsi"/>
          <w:color w:val="000000" w:themeColor="text1"/>
          <w:sz w:val="24"/>
          <w:szCs w:val="26"/>
        </w:rPr>
        <w:t xml:space="preserve"> </w:t>
      </w:r>
      <w:r w:rsidR="00E632AF">
        <w:rPr>
          <w:rFonts w:asciiTheme="minorHAnsi" w:hAnsiTheme="minorHAnsi" w:cstheme="minorHAnsi"/>
          <w:sz w:val="24"/>
          <w:szCs w:val="24"/>
          <w:lang w:val="en-GB"/>
        </w:rPr>
        <w:t>Australian Government</w:t>
      </w:r>
      <w:r w:rsidR="004A2F2D">
        <w:rPr>
          <w:rFonts w:asciiTheme="minorHAnsi" w:hAnsiTheme="minorHAnsi" w:cstheme="minorHAnsi"/>
          <w:color w:val="000000" w:themeColor="text1"/>
          <w:sz w:val="24"/>
          <w:szCs w:val="26"/>
        </w:rPr>
        <w:t xml:space="preserve"> funding agreements with states and territories. States and territories also contribute varying levels of funding to support donation. </w:t>
      </w:r>
      <w:r w:rsidR="00C43CA7" w:rsidRPr="00F37D51">
        <w:rPr>
          <w:rFonts w:asciiTheme="minorHAnsi" w:hAnsiTheme="minorHAnsi" w:cstheme="minorHAnsi"/>
          <w:color w:val="000000" w:themeColor="text1"/>
          <w:sz w:val="24"/>
          <w:szCs w:val="26"/>
        </w:rPr>
        <w:t xml:space="preserve">There are two types of funding agreements entered into between the </w:t>
      </w:r>
      <w:r w:rsidR="00E304D4">
        <w:rPr>
          <w:rFonts w:asciiTheme="minorHAnsi" w:hAnsiTheme="minorHAnsi" w:cstheme="minorHAnsi"/>
          <w:color w:val="000000" w:themeColor="text1"/>
          <w:sz w:val="24"/>
          <w:szCs w:val="26"/>
        </w:rPr>
        <w:t>Australian Government</w:t>
      </w:r>
      <w:r w:rsidR="008867C8">
        <w:rPr>
          <w:rFonts w:asciiTheme="minorHAnsi" w:hAnsiTheme="minorHAnsi" w:cstheme="minorHAnsi"/>
          <w:color w:val="000000" w:themeColor="text1"/>
          <w:sz w:val="24"/>
          <w:szCs w:val="26"/>
        </w:rPr>
        <w:t>, through the OTA,</w:t>
      </w:r>
      <w:r w:rsidR="00E304D4">
        <w:rPr>
          <w:rFonts w:asciiTheme="minorHAnsi" w:hAnsiTheme="minorHAnsi" w:cstheme="minorHAnsi"/>
          <w:color w:val="000000" w:themeColor="text1"/>
          <w:sz w:val="24"/>
          <w:szCs w:val="26"/>
        </w:rPr>
        <w:t xml:space="preserve"> </w:t>
      </w:r>
      <w:r w:rsidR="00C43CA7" w:rsidRPr="00F37D51">
        <w:rPr>
          <w:rFonts w:asciiTheme="minorHAnsi" w:hAnsiTheme="minorHAnsi" w:cstheme="minorHAnsi"/>
          <w:color w:val="000000" w:themeColor="text1"/>
          <w:sz w:val="24"/>
          <w:szCs w:val="26"/>
        </w:rPr>
        <w:t xml:space="preserve">and each state and territory health department: (1) Organ Donation Hospital Support Funding (ODHSF); and (2) DonateLife Network - State and Territory Funding. </w:t>
      </w:r>
    </w:p>
    <w:p w14:paraId="434F0846" w14:textId="496102D1" w:rsidR="00C43CA7" w:rsidRPr="00F37D51" w:rsidRDefault="00C43CA7" w:rsidP="007C1C9B">
      <w:pPr>
        <w:tabs>
          <w:tab w:val="left" w:pos="7513"/>
        </w:tabs>
        <w:spacing w:before="120" w:after="120"/>
        <w:rPr>
          <w:rFonts w:asciiTheme="minorHAnsi" w:hAnsiTheme="minorHAnsi" w:cstheme="minorHAnsi"/>
          <w:color w:val="000000" w:themeColor="text1"/>
          <w:sz w:val="24"/>
          <w:szCs w:val="26"/>
        </w:rPr>
      </w:pPr>
      <w:r w:rsidRPr="00F37D51">
        <w:rPr>
          <w:rFonts w:asciiTheme="minorHAnsi" w:hAnsiTheme="minorHAnsi" w:cstheme="minorHAnsi"/>
          <w:color w:val="000000" w:themeColor="text1"/>
          <w:sz w:val="24"/>
          <w:szCs w:val="26"/>
        </w:rPr>
        <w:t xml:space="preserve">In 2012, </w:t>
      </w:r>
      <w:r w:rsidR="004B4986">
        <w:rPr>
          <w:rFonts w:asciiTheme="minorHAnsi" w:hAnsiTheme="minorHAnsi" w:cstheme="minorHAnsi"/>
          <w:color w:val="000000" w:themeColor="text1"/>
          <w:sz w:val="24"/>
          <w:szCs w:val="26"/>
        </w:rPr>
        <w:t xml:space="preserve">the </w:t>
      </w:r>
      <w:r w:rsidR="00E81CE6">
        <w:rPr>
          <w:rFonts w:asciiTheme="minorHAnsi" w:hAnsiTheme="minorHAnsi" w:cstheme="minorHAnsi"/>
          <w:color w:val="000000" w:themeColor="text1"/>
          <w:sz w:val="24"/>
          <w:szCs w:val="26"/>
        </w:rPr>
        <w:t>AHMAC</w:t>
      </w:r>
      <w:r w:rsidR="004B4986">
        <w:rPr>
          <w:rFonts w:asciiTheme="minorHAnsi" w:hAnsiTheme="minorHAnsi" w:cstheme="minorHAnsi"/>
          <w:color w:val="000000" w:themeColor="text1"/>
          <w:sz w:val="24"/>
          <w:szCs w:val="26"/>
        </w:rPr>
        <w:t xml:space="preserve"> agreed </w:t>
      </w:r>
      <w:r w:rsidRPr="00F37D51">
        <w:rPr>
          <w:rFonts w:asciiTheme="minorHAnsi" w:hAnsiTheme="minorHAnsi" w:cstheme="minorHAnsi"/>
          <w:color w:val="000000" w:themeColor="text1"/>
          <w:sz w:val="24"/>
          <w:szCs w:val="26"/>
        </w:rPr>
        <w:t xml:space="preserve">a </w:t>
      </w:r>
      <w:r w:rsidR="004B4986">
        <w:rPr>
          <w:rFonts w:asciiTheme="minorHAnsi" w:hAnsiTheme="minorHAnsi" w:cstheme="minorHAnsi"/>
          <w:color w:val="000000" w:themeColor="text1"/>
          <w:sz w:val="24"/>
          <w:szCs w:val="26"/>
        </w:rPr>
        <w:t xml:space="preserve">revised and </w:t>
      </w:r>
      <w:r w:rsidRPr="00F37D51">
        <w:rPr>
          <w:rFonts w:asciiTheme="minorHAnsi" w:hAnsiTheme="minorHAnsi" w:cstheme="minorHAnsi"/>
          <w:color w:val="000000" w:themeColor="text1"/>
          <w:sz w:val="24"/>
          <w:szCs w:val="26"/>
        </w:rPr>
        <w:t xml:space="preserve">simplified ODHSF </w:t>
      </w:r>
      <w:r w:rsidR="004B4986">
        <w:rPr>
          <w:rFonts w:asciiTheme="minorHAnsi" w:hAnsiTheme="minorHAnsi" w:cstheme="minorHAnsi"/>
          <w:color w:val="000000" w:themeColor="text1"/>
          <w:sz w:val="24"/>
          <w:szCs w:val="26"/>
        </w:rPr>
        <w:t>model that</w:t>
      </w:r>
      <w:r w:rsidRPr="00F37D51">
        <w:rPr>
          <w:rFonts w:asciiTheme="minorHAnsi" w:hAnsiTheme="minorHAnsi" w:cstheme="minorHAnsi"/>
          <w:color w:val="000000" w:themeColor="text1"/>
          <w:sz w:val="24"/>
          <w:szCs w:val="26"/>
        </w:rPr>
        <w:t xml:space="preserve"> provides a contribution towards the costs associated with organ donation activity (up to the point of the donation - retrieval procedure) based on actual and intended organ donors, and the cost of transferring an intended donor from a regional hospital to a larger hospital solely for the purpose of donation, utilising data as provided by A</w:t>
      </w:r>
      <w:r w:rsidR="00402E10">
        <w:rPr>
          <w:rFonts w:asciiTheme="minorHAnsi" w:hAnsiTheme="minorHAnsi" w:cstheme="minorHAnsi"/>
          <w:color w:val="000000" w:themeColor="text1"/>
          <w:sz w:val="24"/>
          <w:szCs w:val="26"/>
        </w:rPr>
        <w:t>NZOD</w:t>
      </w:r>
      <w:r w:rsidRPr="00F37D51">
        <w:rPr>
          <w:rFonts w:asciiTheme="minorHAnsi" w:hAnsiTheme="minorHAnsi" w:cstheme="minorHAnsi"/>
          <w:color w:val="000000" w:themeColor="text1"/>
          <w:sz w:val="24"/>
          <w:szCs w:val="26"/>
        </w:rPr>
        <w:t>. The ODHSF funding agreements are entered into with jurisdictional health departments, with funding agreements separately negotiated for private hospitals in the A</w:t>
      </w:r>
      <w:r w:rsidR="00292566">
        <w:rPr>
          <w:rFonts w:asciiTheme="minorHAnsi" w:hAnsiTheme="minorHAnsi" w:cstheme="minorHAnsi"/>
          <w:color w:val="000000" w:themeColor="text1"/>
          <w:sz w:val="24"/>
          <w:szCs w:val="26"/>
        </w:rPr>
        <w:t xml:space="preserve">ustralian Capital Territory </w:t>
      </w:r>
      <w:r w:rsidRPr="00F37D51">
        <w:rPr>
          <w:rFonts w:asciiTheme="minorHAnsi" w:hAnsiTheme="minorHAnsi" w:cstheme="minorHAnsi"/>
          <w:color w:val="000000" w:themeColor="text1"/>
          <w:sz w:val="24"/>
          <w:szCs w:val="26"/>
        </w:rPr>
        <w:t>and the Hospital and Health Services in Q</w:t>
      </w:r>
      <w:r w:rsidR="00292566">
        <w:rPr>
          <w:rFonts w:asciiTheme="minorHAnsi" w:hAnsiTheme="minorHAnsi" w:cstheme="minorHAnsi"/>
          <w:color w:val="000000" w:themeColor="text1"/>
          <w:sz w:val="24"/>
          <w:szCs w:val="26"/>
        </w:rPr>
        <w:t>ueensland</w:t>
      </w:r>
      <w:r w:rsidRPr="00F37D51">
        <w:rPr>
          <w:rFonts w:asciiTheme="minorHAnsi" w:hAnsiTheme="minorHAnsi" w:cstheme="minorHAnsi"/>
          <w:color w:val="000000" w:themeColor="text1"/>
          <w:sz w:val="24"/>
          <w:szCs w:val="26"/>
        </w:rPr>
        <w:t>.</w:t>
      </w:r>
    </w:p>
    <w:p w14:paraId="49FD3501" w14:textId="77777777" w:rsidR="002F5B39" w:rsidRDefault="005C6C5E" w:rsidP="00C04E68">
      <w:pPr>
        <w:spacing w:before="120" w:after="120"/>
        <w:rPr>
          <w:rFonts w:asciiTheme="minorHAnsi" w:hAnsiTheme="minorHAnsi" w:cstheme="minorHAnsi"/>
          <w:color w:val="000000" w:themeColor="text1"/>
          <w:sz w:val="24"/>
          <w:szCs w:val="26"/>
        </w:rPr>
      </w:pPr>
      <w:r w:rsidRPr="00447661">
        <w:rPr>
          <w:rFonts w:asciiTheme="minorHAnsi" w:hAnsiTheme="minorHAnsi" w:cstheme="minorHAnsi"/>
          <w:i/>
          <w:color w:val="808080" w:themeColor="background1" w:themeShade="80"/>
          <w:sz w:val="26"/>
          <w:szCs w:val="26"/>
        </w:rPr>
        <w:t xml:space="preserve">Element 3: </w:t>
      </w:r>
      <w:r w:rsidR="00B63AD0">
        <w:rPr>
          <w:rFonts w:asciiTheme="minorHAnsi" w:hAnsiTheme="minorHAnsi" w:cstheme="minorHAnsi"/>
          <w:i/>
          <w:color w:val="808080" w:themeColor="background1" w:themeShade="80"/>
          <w:sz w:val="26"/>
          <w:szCs w:val="26"/>
        </w:rPr>
        <w:t>Organ allocation</w:t>
      </w:r>
    </w:p>
    <w:p w14:paraId="11E73D76" w14:textId="77777777" w:rsidR="005C6C5E" w:rsidRDefault="00447751" w:rsidP="00C04E68">
      <w:pPr>
        <w:spacing w:before="120" w:after="120"/>
        <w:rPr>
          <w:rFonts w:asciiTheme="minorHAnsi" w:hAnsiTheme="minorHAnsi" w:cstheme="minorHAnsi"/>
          <w:color w:val="000000" w:themeColor="text1"/>
          <w:sz w:val="24"/>
          <w:szCs w:val="26"/>
        </w:rPr>
      </w:pPr>
      <w:r>
        <w:rPr>
          <w:rFonts w:asciiTheme="minorHAnsi" w:hAnsiTheme="minorHAnsi" w:cstheme="minorHAnsi"/>
          <w:color w:val="000000" w:themeColor="text1"/>
          <w:sz w:val="24"/>
          <w:szCs w:val="26"/>
        </w:rPr>
        <w:t xml:space="preserve">The OTA provides funding to </w:t>
      </w:r>
      <w:r w:rsidR="008867C8">
        <w:rPr>
          <w:rFonts w:asciiTheme="minorHAnsi" w:hAnsiTheme="minorHAnsi" w:cstheme="minorHAnsi"/>
          <w:color w:val="000000" w:themeColor="text1"/>
          <w:sz w:val="24"/>
          <w:szCs w:val="26"/>
        </w:rPr>
        <w:t>the Australian Red Cross Blood Service for the operation of</w:t>
      </w:r>
      <w:r>
        <w:rPr>
          <w:rFonts w:asciiTheme="minorHAnsi" w:hAnsiTheme="minorHAnsi" w:cstheme="minorHAnsi"/>
          <w:color w:val="000000" w:themeColor="text1"/>
          <w:sz w:val="24"/>
          <w:szCs w:val="26"/>
        </w:rPr>
        <w:t xml:space="preserve"> the NOMS</w:t>
      </w:r>
      <w:r w:rsidR="008B57AA">
        <w:rPr>
          <w:rFonts w:asciiTheme="minorHAnsi" w:hAnsiTheme="minorHAnsi" w:cstheme="minorHAnsi"/>
          <w:color w:val="000000" w:themeColor="text1"/>
          <w:sz w:val="24"/>
          <w:szCs w:val="26"/>
        </w:rPr>
        <w:t xml:space="preserve">. Tissue typing services are funded through the respective </w:t>
      </w:r>
      <w:r w:rsidR="00E304D4">
        <w:rPr>
          <w:rFonts w:asciiTheme="minorHAnsi" w:hAnsiTheme="minorHAnsi" w:cstheme="minorHAnsi"/>
          <w:color w:val="000000" w:themeColor="text1"/>
          <w:sz w:val="24"/>
          <w:szCs w:val="26"/>
        </w:rPr>
        <w:t>s</w:t>
      </w:r>
      <w:r w:rsidR="008B57AA">
        <w:rPr>
          <w:rFonts w:asciiTheme="minorHAnsi" w:hAnsiTheme="minorHAnsi" w:cstheme="minorHAnsi"/>
          <w:color w:val="000000" w:themeColor="text1"/>
          <w:sz w:val="24"/>
          <w:szCs w:val="26"/>
        </w:rPr>
        <w:t xml:space="preserve">tate and </w:t>
      </w:r>
      <w:r w:rsidR="00E304D4">
        <w:rPr>
          <w:rFonts w:asciiTheme="minorHAnsi" w:hAnsiTheme="minorHAnsi" w:cstheme="minorHAnsi"/>
          <w:color w:val="000000" w:themeColor="text1"/>
          <w:sz w:val="24"/>
          <w:szCs w:val="26"/>
        </w:rPr>
        <w:t>t</w:t>
      </w:r>
      <w:r w:rsidR="008B57AA">
        <w:rPr>
          <w:rFonts w:asciiTheme="minorHAnsi" w:hAnsiTheme="minorHAnsi" w:cstheme="minorHAnsi"/>
          <w:color w:val="000000" w:themeColor="text1"/>
          <w:sz w:val="24"/>
          <w:szCs w:val="26"/>
        </w:rPr>
        <w:t>erritory</w:t>
      </w:r>
      <w:r w:rsidR="00E304D4">
        <w:rPr>
          <w:rFonts w:asciiTheme="minorHAnsi" w:hAnsiTheme="minorHAnsi" w:cstheme="minorHAnsi"/>
          <w:color w:val="000000" w:themeColor="text1"/>
          <w:sz w:val="24"/>
          <w:szCs w:val="26"/>
        </w:rPr>
        <w:t xml:space="preserve"> health d</w:t>
      </w:r>
      <w:r w:rsidR="008B57AA">
        <w:rPr>
          <w:rFonts w:asciiTheme="minorHAnsi" w:hAnsiTheme="minorHAnsi" w:cstheme="minorHAnsi"/>
          <w:color w:val="000000" w:themeColor="text1"/>
          <w:sz w:val="24"/>
          <w:szCs w:val="26"/>
        </w:rPr>
        <w:t xml:space="preserve">epartments.  </w:t>
      </w:r>
    </w:p>
    <w:p w14:paraId="6F2D8007" w14:textId="77777777" w:rsidR="002F5B39" w:rsidRDefault="005C6C5E" w:rsidP="00C04E68">
      <w:pPr>
        <w:spacing w:before="120" w:after="120"/>
        <w:rPr>
          <w:rFonts w:asciiTheme="minorHAnsi" w:hAnsiTheme="minorHAnsi" w:cstheme="minorHAnsi"/>
          <w:color w:val="000000" w:themeColor="text1"/>
          <w:sz w:val="24"/>
          <w:szCs w:val="26"/>
        </w:rPr>
      </w:pPr>
      <w:r w:rsidRPr="00447661">
        <w:rPr>
          <w:rFonts w:asciiTheme="minorHAnsi" w:hAnsiTheme="minorHAnsi" w:cstheme="minorHAnsi"/>
          <w:i/>
          <w:color w:val="808080" w:themeColor="background1" w:themeShade="80"/>
          <w:sz w:val="26"/>
          <w:szCs w:val="26"/>
        </w:rPr>
        <w:t xml:space="preserve">Element 4: </w:t>
      </w:r>
      <w:r w:rsidR="00B63AD0">
        <w:rPr>
          <w:rFonts w:asciiTheme="minorHAnsi" w:hAnsiTheme="minorHAnsi" w:cstheme="minorHAnsi"/>
          <w:i/>
          <w:color w:val="808080" w:themeColor="background1" w:themeShade="80"/>
          <w:sz w:val="26"/>
          <w:szCs w:val="26"/>
        </w:rPr>
        <w:t>Organ offer</w:t>
      </w:r>
    </w:p>
    <w:p w14:paraId="3F95742B" w14:textId="77777777" w:rsidR="00E43A2E" w:rsidRDefault="005C6C5E" w:rsidP="00C04E68">
      <w:pPr>
        <w:spacing w:before="120" w:after="120"/>
        <w:rPr>
          <w:rFonts w:asciiTheme="minorHAnsi" w:hAnsiTheme="minorHAnsi" w:cstheme="minorHAnsi"/>
          <w:color w:val="000000" w:themeColor="text1"/>
          <w:sz w:val="24"/>
          <w:szCs w:val="26"/>
        </w:rPr>
      </w:pPr>
      <w:r>
        <w:rPr>
          <w:rFonts w:asciiTheme="minorHAnsi" w:hAnsiTheme="minorHAnsi" w:cstheme="minorHAnsi"/>
          <w:color w:val="000000" w:themeColor="text1"/>
          <w:sz w:val="24"/>
          <w:szCs w:val="26"/>
        </w:rPr>
        <w:t>The National Reform Agreements for</w:t>
      </w:r>
      <w:r w:rsidR="00E43A2E">
        <w:rPr>
          <w:rFonts w:asciiTheme="minorHAnsi" w:hAnsiTheme="minorHAnsi" w:cstheme="minorHAnsi"/>
          <w:color w:val="000000" w:themeColor="text1"/>
          <w:sz w:val="24"/>
          <w:szCs w:val="26"/>
        </w:rPr>
        <w:t xml:space="preserve"> </w:t>
      </w:r>
      <w:r w:rsidR="00E304D4">
        <w:rPr>
          <w:rFonts w:asciiTheme="minorHAnsi" w:hAnsiTheme="minorHAnsi" w:cstheme="minorHAnsi"/>
          <w:color w:val="000000" w:themeColor="text1"/>
          <w:sz w:val="24"/>
          <w:szCs w:val="26"/>
        </w:rPr>
        <w:t xml:space="preserve">Australian Government </w:t>
      </w:r>
      <w:r>
        <w:rPr>
          <w:rFonts w:asciiTheme="minorHAnsi" w:hAnsiTheme="minorHAnsi" w:cstheme="minorHAnsi"/>
          <w:color w:val="000000" w:themeColor="text1"/>
          <w:sz w:val="24"/>
          <w:szCs w:val="26"/>
        </w:rPr>
        <w:t>fundin</w:t>
      </w:r>
      <w:r w:rsidR="00447751">
        <w:rPr>
          <w:rFonts w:asciiTheme="minorHAnsi" w:hAnsiTheme="minorHAnsi" w:cstheme="minorHAnsi"/>
          <w:color w:val="000000" w:themeColor="text1"/>
          <w:sz w:val="24"/>
          <w:szCs w:val="26"/>
        </w:rPr>
        <w:t>g</w:t>
      </w:r>
      <w:r w:rsidR="00E43A2E">
        <w:rPr>
          <w:rFonts w:asciiTheme="minorHAnsi" w:hAnsiTheme="minorHAnsi" w:cstheme="minorHAnsi"/>
          <w:color w:val="000000" w:themeColor="text1"/>
          <w:sz w:val="24"/>
          <w:szCs w:val="26"/>
        </w:rPr>
        <w:t xml:space="preserve"> jurisdictions and </w:t>
      </w:r>
      <w:r>
        <w:rPr>
          <w:rFonts w:asciiTheme="minorHAnsi" w:hAnsiTheme="minorHAnsi" w:cstheme="minorHAnsi"/>
          <w:color w:val="000000" w:themeColor="text1"/>
          <w:sz w:val="24"/>
          <w:szCs w:val="26"/>
        </w:rPr>
        <w:t>hospitals for organ offer activities</w:t>
      </w:r>
      <w:r w:rsidR="00E43A2E">
        <w:rPr>
          <w:rFonts w:asciiTheme="minorHAnsi" w:hAnsiTheme="minorHAnsi" w:cstheme="minorHAnsi"/>
          <w:color w:val="000000" w:themeColor="text1"/>
          <w:sz w:val="24"/>
          <w:szCs w:val="26"/>
        </w:rPr>
        <w:t xml:space="preserve"> within the hospital setting. If additional testing is required during the offer stage, the tissue typing</w:t>
      </w:r>
      <w:r w:rsidR="005D0103">
        <w:rPr>
          <w:rFonts w:asciiTheme="minorHAnsi" w:hAnsiTheme="minorHAnsi" w:cstheme="minorHAnsi"/>
          <w:color w:val="000000" w:themeColor="text1"/>
          <w:sz w:val="24"/>
          <w:szCs w:val="26"/>
        </w:rPr>
        <w:t xml:space="preserve"> services are</w:t>
      </w:r>
      <w:r w:rsidR="00E43A2E">
        <w:rPr>
          <w:rFonts w:asciiTheme="minorHAnsi" w:hAnsiTheme="minorHAnsi" w:cstheme="minorHAnsi"/>
          <w:color w:val="000000" w:themeColor="text1"/>
          <w:sz w:val="24"/>
          <w:szCs w:val="26"/>
        </w:rPr>
        <w:t xml:space="preserve"> engaged and funded as per the state or territory arrangements mentioned above.</w:t>
      </w:r>
      <w:r>
        <w:rPr>
          <w:rFonts w:asciiTheme="minorHAnsi" w:hAnsiTheme="minorHAnsi" w:cstheme="minorHAnsi"/>
          <w:color w:val="000000" w:themeColor="text1"/>
          <w:sz w:val="24"/>
          <w:szCs w:val="26"/>
        </w:rPr>
        <w:t xml:space="preserve"> </w:t>
      </w:r>
    </w:p>
    <w:p w14:paraId="6396778D" w14:textId="77777777" w:rsidR="002F5B39" w:rsidRDefault="00E43A2E" w:rsidP="00C04E68">
      <w:pPr>
        <w:spacing w:before="120" w:after="120"/>
        <w:rPr>
          <w:rFonts w:asciiTheme="minorHAnsi" w:hAnsiTheme="minorHAnsi" w:cstheme="minorHAnsi"/>
          <w:color w:val="000000" w:themeColor="text1"/>
          <w:sz w:val="24"/>
          <w:szCs w:val="26"/>
        </w:rPr>
      </w:pPr>
      <w:r w:rsidRPr="00447661">
        <w:rPr>
          <w:rFonts w:asciiTheme="minorHAnsi" w:hAnsiTheme="minorHAnsi" w:cstheme="minorHAnsi"/>
          <w:i/>
          <w:color w:val="808080" w:themeColor="background1" w:themeShade="80"/>
          <w:sz w:val="26"/>
          <w:szCs w:val="26"/>
        </w:rPr>
        <w:lastRenderedPageBreak/>
        <w:t xml:space="preserve">Element 5: </w:t>
      </w:r>
      <w:r w:rsidR="00D95703">
        <w:rPr>
          <w:rFonts w:asciiTheme="minorHAnsi" w:hAnsiTheme="minorHAnsi" w:cstheme="minorHAnsi"/>
          <w:i/>
          <w:color w:val="808080" w:themeColor="background1" w:themeShade="80"/>
          <w:sz w:val="26"/>
          <w:szCs w:val="26"/>
        </w:rPr>
        <w:t>Organ acceptance</w:t>
      </w:r>
    </w:p>
    <w:p w14:paraId="1E754593" w14:textId="77777777" w:rsidR="00E43A2E" w:rsidRDefault="00E43A2E" w:rsidP="00C04E68">
      <w:pPr>
        <w:spacing w:before="120" w:after="120"/>
        <w:rPr>
          <w:rFonts w:asciiTheme="minorHAnsi" w:hAnsiTheme="minorHAnsi" w:cstheme="minorHAnsi"/>
          <w:color w:val="000000" w:themeColor="text1"/>
          <w:sz w:val="24"/>
          <w:szCs w:val="26"/>
        </w:rPr>
      </w:pPr>
      <w:r>
        <w:rPr>
          <w:rFonts w:asciiTheme="minorHAnsi" w:hAnsiTheme="minorHAnsi" w:cstheme="minorHAnsi"/>
          <w:color w:val="000000" w:themeColor="text1"/>
          <w:sz w:val="24"/>
          <w:szCs w:val="26"/>
        </w:rPr>
        <w:t xml:space="preserve">Organ acceptance activities and resources are also covered through the National Reform Agreements for </w:t>
      </w:r>
      <w:r w:rsidR="00E304D4">
        <w:rPr>
          <w:rFonts w:asciiTheme="minorHAnsi" w:hAnsiTheme="minorHAnsi" w:cstheme="minorHAnsi"/>
          <w:color w:val="000000" w:themeColor="text1"/>
          <w:sz w:val="24"/>
          <w:szCs w:val="26"/>
        </w:rPr>
        <w:t xml:space="preserve">Australian Government </w:t>
      </w:r>
      <w:r>
        <w:rPr>
          <w:rFonts w:asciiTheme="minorHAnsi" w:hAnsiTheme="minorHAnsi" w:cstheme="minorHAnsi"/>
          <w:color w:val="000000" w:themeColor="text1"/>
          <w:sz w:val="24"/>
          <w:szCs w:val="26"/>
        </w:rPr>
        <w:t>funding (</w:t>
      </w:r>
      <w:r w:rsidR="00E304D4">
        <w:rPr>
          <w:rFonts w:asciiTheme="minorHAnsi" w:hAnsiTheme="minorHAnsi" w:cstheme="minorHAnsi"/>
          <w:color w:val="000000" w:themeColor="text1"/>
          <w:sz w:val="24"/>
          <w:szCs w:val="26"/>
        </w:rPr>
        <w:t>National Efficient Price</w:t>
      </w:r>
      <w:r>
        <w:rPr>
          <w:rFonts w:asciiTheme="minorHAnsi" w:hAnsiTheme="minorHAnsi" w:cstheme="minorHAnsi"/>
          <w:color w:val="000000" w:themeColor="text1"/>
          <w:sz w:val="24"/>
          <w:szCs w:val="26"/>
        </w:rPr>
        <w:t>) to jurisdictions and hospitals.</w:t>
      </w:r>
    </w:p>
    <w:p w14:paraId="13FADAB8" w14:textId="52123549" w:rsidR="002F5B39" w:rsidRPr="00447661" w:rsidRDefault="00E43A2E" w:rsidP="00D40C14">
      <w:pPr>
        <w:spacing w:before="120" w:after="120"/>
        <w:rPr>
          <w:rFonts w:asciiTheme="minorHAnsi" w:hAnsiTheme="minorHAnsi" w:cstheme="minorHAnsi"/>
          <w:i/>
          <w:color w:val="808080" w:themeColor="background1" w:themeShade="80"/>
          <w:sz w:val="26"/>
          <w:szCs w:val="26"/>
        </w:rPr>
      </w:pPr>
      <w:r w:rsidRPr="00447661">
        <w:rPr>
          <w:rFonts w:asciiTheme="minorHAnsi" w:hAnsiTheme="minorHAnsi" w:cstheme="minorHAnsi"/>
          <w:i/>
          <w:color w:val="808080" w:themeColor="background1" w:themeShade="80"/>
          <w:sz w:val="26"/>
          <w:szCs w:val="26"/>
        </w:rPr>
        <w:t xml:space="preserve">Element 6: </w:t>
      </w:r>
      <w:r w:rsidR="00F33AE6">
        <w:rPr>
          <w:rFonts w:asciiTheme="minorHAnsi" w:hAnsiTheme="minorHAnsi" w:cstheme="minorHAnsi"/>
          <w:i/>
          <w:color w:val="808080" w:themeColor="background1" w:themeShade="80"/>
          <w:sz w:val="26"/>
          <w:szCs w:val="26"/>
        </w:rPr>
        <w:t>R</w:t>
      </w:r>
      <w:r w:rsidR="00D95703">
        <w:rPr>
          <w:rFonts w:asciiTheme="minorHAnsi" w:hAnsiTheme="minorHAnsi" w:cstheme="minorHAnsi"/>
          <w:i/>
          <w:color w:val="808080" w:themeColor="background1" w:themeShade="80"/>
          <w:sz w:val="26"/>
          <w:szCs w:val="26"/>
        </w:rPr>
        <w:t>etrieval</w:t>
      </w:r>
    </w:p>
    <w:p w14:paraId="7A98A3E2" w14:textId="1A764F44" w:rsidR="00AD2835" w:rsidRDefault="008B57AA" w:rsidP="00C04E68">
      <w:pPr>
        <w:spacing w:before="120" w:after="120"/>
        <w:rPr>
          <w:rFonts w:asciiTheme="minorHAnsi" w:hAnsiTheme="minorHAnsi" w:cstheme="minorHAnsi"/>
          <w:color w:val="000000" w:themeColor="text1"/>
          <w:sz w:val="24"/>
          <w:szCs w:val="26"/>
        </w:rPr>
      </w:pPr>
      <w:r>
        <w:rPr>
          <w:rFonts w:asciiTheme="minorHAnsi" w:hAnsiTheme="minorHAnsi" w:cstheme="minorHAnsi"/>
          <w:color w:val="000000" w:themeColor="text1"/>
          <w:sz w:val="24"/>
          <w:szCs w:val="26"/>
        </w:rPr>
        <w:t>Retrieval</w:t>
      </w:r>
      <w:r w:rsidR="005D0103">
        <w:rPr>
          <w:rFonts w:asciiTheme="minorHAnsi" w:hAnsiTheme="minorHAnsi" w:cstheme="minorHAnsi"/>
          <w:color w:val="000000" w:themeColor="text1"/>
          <w:sz w:val="24"/>
          <w:szCs w:val="26"/>
        </w:rPr>
        <w:t xml:space="preserve"> a</w:t>
      </w:r>
      <w:r w:rsidR="00E43A2E">
        <w:rPr>
          <w:rFonts w:asciiTheme="minorHAnsi" w:hAnsiTheme="minorHAnsi" w:cstheme="minorHAnsi"/>
          <w:color w:val="000000" w:themeColor="text1"/>
          <w:sz w:val="24"/>
          <w:szCs w:val="26"/>
        </w:rPr>
        <w:t xml:space="preserve">ctivities are </w:t>
      </w:r>
      <w:r w:rsidR="005D0103">
        <w:rPr>
          <w:rFonts w:asciiTheme="minorHAnsi" w:hAnsiTheme="minorHAnsi" w:cstheme="minorHAnsi"/>
          <w:color w:val="000000" w:themeColor="text1"/>
          <w:sz w:val="24"/>
          <w:szCs w:val="26"/>
        </w:rPr>
        <w:t>funded</w:t>
      </w:r>
      <w:r w:rsidR="00E43A2E">
        <w:rPr>
          <w:rFonts w:asciiTheme="minorHAnsi" w:hAnsiTheme="minorHAnsi" w:cstheme="minorHAnsi"/>
          <w:color w:val="000000" w:themeColor="text1"/>
          <w:sz w:val="24"/>
          <w:szCs w:val="26"/>
        </w:rPr>
        <w:t xml:space="preserve"> through the National Reform Agreements for </w:t>
      </w:r>
      <w:r w:rsidR="00E304D4">
        <w:rPr>
          <w:rFonts w:asciiTheme="minorHAnsi" w:hAnsiTheme="minorHAnsi" w:cstheme="minorHAnsi"/>
          <w:color w:val="000000" w:themeColor="text1"/>
          <w:sz w:val="24"/>
          <w:szCs w:val="26"/>
        </w:rPr>
        <w:t>Australian Government</w:t>
      </w:r>
      <w:r w:rsidR="00E43A2E">
        <w:rPr>
          <w:rFonts w:asciiTheme="minorHAnsi" w:hAnsiTheme="minorHAnsi" w:cstheme="minorHAnsi"/>
          <w:color w:val="000000" w:themeColor="text1"/>
          <w:sz w:val="24"/>
          <w:szCs w:val="26"/>
        </w:rPr>
        <w:t xml:space="preserve"> funding to jurisdictions and hospitals</w:t>
      </w:r>
      <w:r w:rsidR="005D0103">
        <w:rPr>
          <w:rFonts w:asciiTheme="minorHAnsi" w:hAnsiTheme="minorHAnsi" w:cstheme="minorHAnsi"/>
          <w:color w:val="000000" w:themeColor="text1"/>
          <w:sz w:val="24"/>
          <w:szCs w:val="26"/>
        </w:rPr>
        <w:t xml:space="preserve">. Perfusion technology is also funded by individual units and where ex vivo technology is being used, full or partial funding has been received from </w:t>
      </w:r>
      <w:r>
        <w:rPr>
          <w:rFonts w:asciiTheme="minorHAnsi" w:hAnsiTheme="minorHAnsi" w:cstheme="minorHAnsi"/>
          <w:color w:val="000000" w:themeColor="text1"/>
          <w:sz w:val="24"/>
          <w:szCs w:val="26"/>
        </w:rPr>
        <w:t xml:space="preserve">philanthropic sources </w:t>
      </w:r>
      <w:r w:rsidR="005D0103">
        <w:rPr>
          <w:rFonts w:asciiTheme="minorHAnsi" w:hAnsiTheme="minorHAnsi" w:cstheme="minorHAnsi"/>
          <w:color w:val="000000" w:themeColor="text1"/>
          <w:sz w:val="24"/>
          <w:szCs w:val="26"/>
        </w:rPr>
        <w:t>to support the purchase of the technology.</w:t>
      </w:r>
    </w:p>
    <w:p w14:paraId="4CD40724" w14:textId="77777777" w:rsidR="00AD2835" w:rsidRDefault="00AD2835" w:rsidP="00C04E68">
      <w:pPr>
        <w:spacing w:before="120" w:after="120"/>
        <w:rPr>
          <w:rFonts w:asciiTheme="minorHAnsi" w:hAnsiTheme="minorHAnsi" w:cstheme="minorHAnsi"/>
          <w:color w:val="000000" w:themeColor="text1"/>
          <w:sz w:val="24"/>
          <w:szCs w:val="26"/>
        </w:rPr>
      </w:pPr>
      <w:r>
        <w:rPr>
          <w:rFonts w:asciiTheme="minorHAnsi" w:hAnsiTheme="minorHAnsi" w:cstheme="minorHAnsi"/>
          <w:color w:val="000000" w:themeColor="text1"/>
          <w:sz w:val="24"/>
          <w:szCs w:val="26"/>
        </w:rPr>
        <w:t xml:space="preserve">In areas of specialised need, funding is provided by the </w:t>
      </w:r>
      <w:r w:rsidR="008B57AA">
        <w:rPr>
          <w:rFonts w:asciiTheme="minorHAnsi" w:hAnsiTheme="minorHAnsi" w:cstheme="minorHAnsi"/>
          <w:color w:val="000000" w:themeColor="text1"/>
          <w:sz w:val="24"/>
          <w:szCs w:val="26"/>
        </w:rPr>
        <w:t xml:space="preserve">states and territories </w:t>
      </w:r>
      <w:r>
        <w:rPr>
          <w:rFonts w:asciiTheme="minorHAnsi" w:hAnsiTheme="minorHAnsi" w:cstheme="minorHAnsi"/>
          <w:color w:val="000000" w:themeColor="text1"/>
          <w:sz w:val="24"/>
          <w:szCs w:val="26"/>
        </w:rPr>
        <w:t>to establish a national centre for transplantation. For example, the Paediatric Heart Transplant Centre in Victoria. Funding for this centre supports the activities required to undertake retrieval services for paediatric donors and potential recipients.</w:t>
      </w:r>
    </w:p>
    <w:p w14:paraId="7D22DB99" w14:textId="77777777" w:rsidR="002F5B39" w:rsidRPr="00447661" w:rsidRDefault="00AD2835" w:rsidP="00C04E68">
      <w:pPr>
        <w:spacing w:before="120" w:after="120"/>
        <w:rPr>
          <w:rFonts w:asciiTheme="minorHAnsi" w:hAnsiTheme="minorHAnsi" w:cstheme="minorHAnsi"/>
          <w:i/>
          <w:color w:val="808080" w:themeColor="background1" w:themeShade="80"/>
          <w:sz w:val="26"/>
          <w:szCs w:val="26"/>
        </w:rPr>
      </w:pPr>
      <w:r w:rsidRPr="00447661">
        <w:rPr>
          <w:rFonts w:asciiTheme="minorHAnsi" w:hAnsiTheme="minorHAnsi" w:cstheme="minorHAnsi"/>
          <w:i/>
          <w:color w:val="808080" w:themeColor="background1" w:themeShade="80"/>
          <w:sz w:val="26"/>
          <w:szCs w:val="26"/>
        </w:rPr>
        <w:t xml:space="preserve">Element 7: </w:t>
      </w:r>
      <w:r w:rsidR="00D95703">
        <w:rPr>
          <w:rFonts w:asciiTheme="minorHAnsi" w:hAnsiTheme="minorHAnsi" w:cstheme="minorHAnsi"/>
          <w:i/>
          <w:color w:val="808080" w:themeColor="background1" w:themeShade="80"/>
          <w:sz w:val="26"/>
          <w:szCs w:val="26"/>
        </w:rPr>
        <w:t>Transplantation</w:t>
      </w:r>
    </w:p>
    <w:p w14:paraId="3D4F6F86" w14:textId="3CF49702" w:rsidR="00187E07" w:rsidRDefault="00AD2835" w:rsidP="00C04E68">
      <w:pPr>
        <w:spacing w:before="120" w:after="120"/>
        <w:rPr>
          <w:rFonts w:asciiTheme="minorHAnsi" w:hAnsiTheme="minorHAnsi" w:cstheme="minorHAnsi"/>
          <w:color w:val="000000" w:themeColor="text1"/>
          <w:sz w:val="24"/>
          <w:szCs w:val="26"/>
        </w:rPr>
      </w:pPr>
      <w:r>
        <w:rPr>
          <w:rFonts w:asciiTheme="minorHAnsi" w:hAnsiTheme="minorHAnsi" w:cstheme="minorHAnsi"/>
          <w:color w:val="000000" w:themeColor="text1"/>
          <w:sz w:val="24"/>
          <w:szCs w:val="26"/>
        </w:rPr>
        <w:t xml:space="preserve">The National Reform Agreement prescribes funding to jurisdictions and hospitals for </w:t>
      </w:r>
      <w:r w:rsidR="00E634FA">
        <w:rPr>
          <w:rFonts w:asciiTheme="minorHAnsi" w:hAnsiTheme="minorHAnsi" w:cstheme="minorHAnsi"/>
          <w:color w:val="000000" w:themeColor="text1"/>
          <w:sz w:val="24"/>
          <w:szCs w:val="26"/>
        </w:rPr>
        <w:t>transplantation services</w:t>
      </w:r>
      <w:r>
        <w:rPr>
          <w:rFonts w:asciiTheme="minorHAnsi" w:hAnsiTheme="minorHAnsi" w:cstheme="minorHAnsi"/>
          <w:color w:val="000000" w:themeColor="text1"/>
          <w:sz w:val="24"/>
          <w:szCs w:val="26"/>
        </w:rPr>
        <w:t xml:space="preserve"> under A</w:t>
      </w:r>
      <w:r w:rsidR="00E304D4">
        <w:rPr>
          <w:rFonts w:asciiTheme="minorHAnsi" w:hAnsiTheme="minorHAnsi" w:cstheme="minorHAnsi"/>
          <w:color w:val="000000" w:themeColor="text1"/>
          <w:sz w:val="24"/>
          <w:szCs w:val="26"/>
        </w:rPr>
        <w:t xml:space="preserve">ctivity </w:t>
      </w:r>
      <w:r>
        <w:rPr>
          <w:rFonts w:asciiTheme="minorHAnsi" w:hAnsiTheme="minorHAnsi" w:cstheme="minorHAnsi"/>
          <w:color w:val="000000" w:themeColor="text1"/>
          <w:sz w:val="24"/>
          <w:szCs w:val="26"/>
        </w:rPr>
        <w:t>B</w:t>
      </w:r>
      <w:r w:rsidR="00E304D4">
        <w:rPr>
          <w:rFonts w:asciiTheme="minorHAnsi" w:hAnsiTheme="minorHAnsi" w:cstheme="minorHAnsi"/>
          <w:color w:val="000000" w:themeColor="text1"/>
          <w:sz w:val="24"/>
          <w:szCs w:val="26"/>
        </w:rPr>
        <w:t xml:space="preserve">ased </w:t>
      </w:r>
      <w:r>
        <w:rPr>
          <w:rFonts w:asciiTheme="minorHAnsi" w:hAnsiTheme="minorHAnsi" w:cstheme="minorHAnsi"/>
          <w:color w:val="000000" w:themeColor="text1"/>
          <w:sz w:val="24"/>
          <w:szCs w:val="26"/>
        </w:rPr>
        <w:t>F</w:t>
      </w:r>
      <w:r w:rsidR="00E304D4">
        <w:rPr>
          <w:rFonts w:asciiTheme="minorHAnsi" w:hAnsiTheme="minorHAnsi" w:cstheme="minorHAnsi"/>
          <w:color w:val="000000" w:themeColor="text1"/>
          <w:sz w:val="24"/>
          <w:szCs w:val="26"/>
        </w:rPr>
        <w:t>unding</w:t>
      </w:r>
      <w:r>
        <w:rPr>
          <w:rFonts w:asciiTheme="minorHAnsi" w:hAnsiTheme="minorHAnsi" w:cstheme="minorHAnsi"/>
          <w:color w:val="000000" w:themeColor="text1"/>
          <w:sz w:val="24"/>
          <w:szCs w:val="26"/>
        </w:rPr>
        <w:t xml:space="preserve">. Tissue typing services required during this time are covered through the </w:t>
      </w:r>
      <w:r w:rsidR="00DB2089">
        <w:rPr>
          <w:rFonts w:asciiTheme="minorHAnsi" w:hAnsiTheme="minorHAnsi" w:cstheme="minorHAnsi"/>
          <w:color w:val="000000" w:themeColor="text1"/>
          <w:sz w:val="24"/>
          <w:szCs w:val="26"/>
        </w:rPr>
        <w:t>above-mentioned</w:t>
      </w:r>
      <w:r>
        <w:rPr>
          <w:rFonts w:asciiTheme="minorHAnsi" w:hAnsiTheme="minorHAnsi" w:cstheme="minorHAnsi"/>
          <w:color w:val="000000" w:themeColor="text1"/>
          <w:sz w:val="24"/>
          <w:szCs w:val="26"/>
        </w:rPr>
        <w:t xml:space="preserve"> funding arrangements. Further, organ perfusion, cross border charging arrangements and activities that occur in specialised centres are covered under the </w:t>
      </w:r>
      <w:r w:rsidR="00DB2089">
        <w:rPr>
          <w:rFonts w:asciiTheme="minorHAnsi" w:hAnsiTheme="minorHAnsi" w:cstheme="minorHAnsi"/>
          <w:color w:val="000000" w:themeColor="text1"/>
          <w:sz w:val="24"/>
          <w:szCs w:val="26"/>
        </w:rPr>
        <w:t>above-mentioned</w:t>
      </w:r>
      <w:r>
        <w:rPr>
          <w:rFonts w:asciiTheme="minorHAnsi" w:hAnsiTheme="minorHAnsi" w:cstheme="minorHAnsi"/>
          <w:color w:val="000000" w:themeColor="text1"/>
          <w:sz w:val="24"/>
          <w:szCs w:val="26"/>
        </w:rPr>
        <w:t xml:space="preserve"> arrangements.</w:t>
      </w:r>
    </w:p>
    <w:p w14:paraId="2B7633BC" w14:textId="77777777" w:rsidR="002F5B39" w:rsidRPr="00447661" w:rsidRDefault="00187E07" w:rsidP="00C04E68">
      <w:pPr>
        <w:spacing w:before="120" w:after="120"/>
        <w:rPr>
          <w:rFonts w:asciiTheme="minorHAnsi" w:hAnsiTheme="minorHAnsi" w:cstheme="minorHAnsi"/>
          <w:i/>
          <w:color w:val="808080" w:themeColor="background1" w:themeShade="80"/>
          <w:sz w:val="26"/>
          <w:szCs w:val="26"/>
        </w:rPr>
      </w:pPr>
      <w:r w:rsidRPr="00447661">
        <w:rPr>
          <w:rFonts w:asciiTheme="minorHAnsi" w:hAnsiTheme="minorHAnsi" w:cstheme="minorHAnsi"/>
          <w:i/>
          <w:color w:val="808080" w:themeColor="background1" w:themeShade="80"/>
          <w:sz w:val="26"/>
          <w:szCs w:val="26"/>
        </w:rPr>
        <w:t xml:space="preserve">Element 8: </w:t>
      </w:r>
      <w:r w:rsidR="00D95703">
        <w:rPr>
          <w:rFonts w:asciiTheme="minorHAnsi" w:hAnsiTheme="minorHAnsi" w:cstheme="minorHAnsi"/>
          <w:i/>
          <w:color w:val="808080" w:themeColor="background1" w:themeShade="80"/>
          <w:sz w:val="26"/>
          <w:szCs w:val="26"/>
        </w:rPr>
        <w:t>Post transplantation</w:t>
      </w:r>
    </w:p>
    <w:p w14:paraId="70AB74C8" w14:textId="0B991F88" w:rsidR="00B63AD0" w:rsidRDefault="00187E07" w:rsidP="00C04E68">
      <w:pPr>
        <w:spacing w:before="120" w:after="120"/>
        <w:rPr>
          <w:rFonts w:asciiTheme="minorHAnsi" w:hAnsiTheme="minorHAnsi" w:cstheme="minorHAnsi"/>
          <w:color w:val="000000" w:themeColor="text1"/>
          <w:sz w:val="24"/>
          <w:szCs w:val="26"/>
        </w:rPr>
      </w:pPr>
      <w:r>
        <w:rPr>
          <w:rFonts w:asciiTheme="minorHAnsi" w:hAnsiTheme="minorHAnsi" w:cstheme="minorHAnsi"/>
          <w:color w:val="000000" w:themeColor="text1"/>
          <w:sz w:val="24"/>
          <w:szCs w:val="26"/>
        </w:rPr>
        <w:t xml:space="preserve">Inpatient services for </w:t>
      </w:r>
      <w:r w:rsidR="007411D9">
        <w:rPr>
          <w:rFonts w:asciiTheme="minorHAnsi" w:hAnsiTheme="minorHAnsi" w:cstheme="minorHAnsi"/>
          <w:color w:val="000000" w:themeColor="text1"/>
          <w:sz w:val="24"/>
          <w:szCs w:val="26"/>
        </w:rPr>
        <w:t>post t</w:t>
      </w:r>
      <w:r>
        <w:rPr>
          <w:rFonts w:asciiTheme="minorHAnsi" w:hAnsiTheme="minorHAnsi" w:cstheme="minorHAnsi"/>
          <w:color w:val="000000" w:themeColor="text1"/>
          <w:sz w:val="24"/>
          <w:szCs w:val="26"/>
        </w:rPr>
        <w:t>ransplant</w:t>
      </w:r>
      <w:r w:rsidR="008B57AA">
        <w:rPr>
          <w:rFonts w:asciiTheme="minorHAnsi" w:hAnsiTheme="minorHAnsi" w:cstheme="minorHAnsi"/>
          <w:color w:val="000000" w:themeColor="text1"/>
          <w:sz w:val="24"/>
          <w:szCs w:val="26"/>
        </w:rPr>
        <w:t>ation</w:t>
      </w:r>
      <w:r>
        <w:rPr>
          <w:rFonts w:asciiTheme="minorHAnsi" w:hAnsiTheme="minorHAnsi" w:cstheme="minorHAnsi"/>
          <w:color w:val="000000" w:themeColor="text1"/>
          <w:sz w:val="24"/>
          <w:szCs w:val="26"/>
        </w:rPr>
        <w:t xml:space="preserve"> are </w:t>
      </w:r>
      <w:r w:rsidR="008B57AA">
        <w:rPr>
          <w:rFonts w:asciiTheme="minorHAnsi" w:hAnsiTheme="minorHAnsi" w:cstheme="minorHAnsi"/>
          <w:color w:val="000000" w:themeColor="text1"/>
          <w:sz w:val="24"/>
          <w:szCs w:val="26"/>
        </w:rPr>
        <w:t>funded</w:t>
      </w:r>
      <w:r>
        <w:rPr>
          <w:rFonts w:asciiTheme="minorHAnsi" w:hAnsiTheme="minorHAnsi" w:cstheme="minorHAnsi"/>
          <w:color w:val="000000" w:themeColor="text1"/>
          <w:sz w:val="24"/>
          <w:szCs w:val="26"/>
        </w:rPr>
        <w:t xml:space="preserve"> under A</w:t>
      </w:r>
      <w:r w:rsidR="00E304D4">
        <w:rPr>
          <w:rFonts w:asciiTheme="minorHAnsi" w:hAnsiTheme="minorHAnsi" w:cstheme="minorHAnsi"/>
          <w:color w:val="000000" w:themeColor="text1"/>
          <w:sz w:val="24"/>
          <w:szCs w:val="26"/>
        </w:rPr>
        <w:t xml:space="preserve">ctivity </w:t>
      </w:r>
      <w:r>
        <w:rPr>
          <w:rFonts w:asciiTheme="minorHAnsi" w:hAnsiTheme="minorHAnsi" w:cstheme="minorHAnsi"/>
          <w:color w:val="000000" w:themeColor="text1"/>
          <w:sz w:val="24"/>
          <w:szCs w:val="26"/>
        </w:rPr>
        <w:t>B</w:t>
      </w:r>
      <w:r w:rsidR="00E304D4">
        <w:rPr>
          <w:rFonts w:asciiTheme="minorHAnsi" w:hAnsiTheme="minorHAnsi" w:cstheme="minorHAnsi"/>
          <w:color w:val="000000" w:themeColor="text1"/>
          <w:sz w:val="24"/>
          <w:szCs w:val="26"/>
        </w:rPr>
        <w:t xml:space="preserve">ased </w:t>
      </w:r>
      <w:r>
        <w:rPr>
          <w:rFonts w:asciiTheme="minorHAnsi" w:hAnsiTheme="minorHAnsi" w:cstheme="minorHAnsi"/>
          <w:color w:val="000000" w:themeColor="text1"/>
          <w:sz w:val="24"/>
          <w:szCs w:val="26"/>
        </w:rPr>
        <w:t>F</w:t>
      </w:r>
      <w:r w:rsidR="00E304D4">
        <w:rPr>
          <w:rFonts w:asciiTheme="minorHAnsi" w:hAnsiTheme="minorHAnsi" w:cstheme="minorHAnsi"/>
          <w:color w:val="000000" w:themeColor="text1"/>
          <w:sz w:val="24"/>
          <w:szCs w:val="26"/>
        </w:rPr>
        <w:t>unding</w:t>
      </w:r>
      <w:r>
        <w:rPr>
          <w:rFonts w:asciiTheme="minorHAnsi" w:hAnsiTheme="minorHAnsi" w:cstheme="minorHAnsi"/>
          <w:color w:val="000000" w:themeColor="text1"/>
          <w:sz w:val="24"/>
          <w:szCs w:val="26"/>
        </w:rPr>
        <w:t xml:space="preserve"> through the </w:t>
      </w:r>
      <w:r w:rsidR="00E304D4">
        <w:rPr>
          <w:rFonts w:asciiTheme="minorHAnsi" w:hAnsiTheme="minorHAnsi" w:cstheme="minorHAnsi"/>
          <w:color w:val="000000" w:themeColor="text1"/>
          <w:sz w:val="24"/>
          <w:szCs w:val="26"/>
        </w:rPr>
        <w:t xml:space="preserve">National Efficient </w:t>
      </w:r>
      <w:r w:rsidR="00E304D4" w:rsidRPr="002579FD">
        <w:rPr>
          <w:rFonts w:asciiTheme="minorHAnsi" w:hAnsiTheme="minorHAnsi" w:cstheme="minorHAnsi"/>
          <w:color w:val="000000" w:themeColor="text1"/>
          <w:sz w:val="24"/>
          <w:szCs w:val="26"/>
        </w:rPr>
        <w:t>Price</w:t>
      </w:r>
      <w:r w:rsidRPr="002579FD">
        <w:rPr>
          <w:rFonts w:asciiTheme="minorHAnsi" w:hAnsiTheme="minorHAnsi" w:cstheme="minorHAnsi"/>
          <w:color w:val="000000" w:themeColor="text1"/>
          <w:sz w:val="24"/>
          <w:szCs w:val="26"/>
        </w:rPr>
        <w:t>. Outpatient services are funding through MBS and PBS</w:t>
      </w:r>
      <w:r w:rsidR="00C30067" w:rsidRPr="002579FD">
        <w:rPr>
          <w:rFonts w:asciiTheme="minorHAnsi" w:hAnsiTheme="minorHAnsi" w:cstheme="minorHAnsi"/>
          <w:color w:val="000000" w:themeColor="text1"/>
          <w:sz w:val="24"/>
          <w:szCs w:val="26"/>
        </w:rPr>
        <w:t xml:space="preserve"> f</w:t>
      </w:r>
      <w:r w:rsidR="008B57AA" w:rsidRPr="002579FD">
        <w:rPr>
          <w:rFonts w:asciiTheme="minorHAnsi" w:hAnsiTheme="minorHAnsi" w:cstheme="minorHAnsi"/>
          <w:color w:val="000000" w:themeColor="text1"/>
          <w:sz w:val="24"/>
          <w:szCs w:val="26"/>
        </w:rPr>
        <w:t>or renal transplantation</w:t>
      </w:r>
      <w:r w:rsidR="00C30067" w:rsidRPr="002579FD">
        <w:rPr>
          <w:rFonts w:asciiTheme="minorHAnsi" w:hAnsiTheme="minorHAnsi" w:cstheme="minorHAnsi"/>
          <w:color w:val="000000" w:themeColor="text1"/>
          <w:sz w:val="24"/>
          <w:szCs w:val="26"/>
        </w:rPr>
        <w:t>.</w:t>
      </w:r>
      <w:r w:rsidRPr="002579FD">
        <w:rPr>
          <w:rFonts w:asciiTheme="minorHAnsi" w:hAnsiTheme="minorHAnsi" w:cstheme="minorHAnsi"/>
          <w:color w:val="000000" w:themeColor="text1"/>
          <w:sz w:val="24"/>
          <w:szCs w:val="26"/>
        </w:rPr>
        <w:t xml:space="preserve"> </w:t>
      </w:r>
      <w:r w:rsidR="00C30067" w:rsidRPr="002579FD">
        <w:rPr>
          <w:rFonts w:asciiTheme="minorHAnsi" w:hAnsiTheme="minorHAnsi" w:cstheme="minorHAnsi"/>
          <w:color w:val="000000" w:themeColor="text1"/>
          <w:sz w:val="24"/>
          <w:szCs w:val="26"/>
        </w:rPr>
        <w:t>H</w:t>
      </w:r>
      <w:r w:rsidR="003501C5" w:rsidRPr="00C028E1">
        <w:rPr>
          <w:rFonts w:asciiTheme="minorHAnsi" w:hAnsiTheme="minorHAnsi" w:cstheme="minorHAnsi"/>
          <w:color w:val="000000" w:themeColor="text1"/>
          <w:sz w:val="24"/>
          <w:szCs w:val="26"/>
        </w:rPr>
        <w:t>owever</w:t>
      </w:r>
      <w:r w:rsidR="008B57AA" w:rsidRPr="002579FD">
        <w:rPr>
          <w:rFonts w:asciiTheme="minorHAnsi" w:hAnsiTheme="minorHAnsi" w:cstheme="minorHAnsi"/>
          <w:color w:val="000000" w:themeColor="text1"/>
          <w:sz w:val="24"/>
          <w:szCs w:val="26"/>
        </w:rPr>
        <w:t xml:space="preserve">, </w:t>
      </w:r>
      <w:r w:rsidRPr="002579FD">
        <w:rPr>
          <w:rFonts w:asciiTheme="minorHAnsi" w:hAnsiTheme="minorHAnsi" w:cstheme="minorHAnsi"/>
          <w:color w:val="000000" w:themeColor="text1"/>
          <w:sz w:val="24"/>
          <w:szCs w:val="26"/>
        </w:rPr>
        <w:t xml:space="preserve">there are </w:t>
      </w:r>
      <w:r w:rsidR="008B57AA" w:rsidRPr="002579FD">
        <w:rPr>
          <w:rFonts w:asciiTheme="minorHAnsi" w:hAnsiTheme="minorHAnsi" w:cstheme="minorHAnsi"/>
          <w:color w:val="000000" w:themeColor="text1"/>
          <w:sz w:val="24"/>
          <w:szCs w:val="26"/>
        </w:rPr>
        <w:t>restrictions on MBS access in other transplant services</w:t>
      </w:r>
      <w:r w:rsidRPr="002579FD">
        <w:rPr>
          <w:rFonts w:asciiTheme="minorHAnsi" w:hAnsiTheme="minorHAnsi" w:cstheme="minorHAnsi"/>
          <w:color w:val="000000" w:themeColor="text1"/>
          <w:sz w:val="24"/>
          <w:szCs w:val="26"/>
        </w:rPr>
        <w:t xml:space="preserve">. These are explained in detail in </w:t>
      </w:r>
      <w:r w:rsidR="00575239" w:rsidRPr="002579FD">
        <w:rPr>
          <w:rFonts w:asciiTheme="minorHAnsi" w:hAnsiTheme="minorHAnsi" w:cstheme="minorHAnsi"/>
          <w:color w:val="000000" w:themeColor="text1"/>
          <w:sz w:val="24"/>
          <w:szCs w:val="26"/>
        </w:rPr>
        <w:t xml:space="preserve">Section </w:t>
      </w:r>
      <w:r w:rsidR="00314C1B" w:rsidRPr="002579FD">
        <w:rPr>
          <w:rFonts w:asciiTheme="minorHAnsi" w:hAnsiTheme="minorHAnsi" w:cstheme="minorHAnsi"/>
          <w:color w:val="000000" w:themeColor="text1"/>
          <w:sz w:val="24"/>
          <w:szCs w:val="26"/>
        </w:rPr>
        <w:fldChar w:fldCharType="begin"/>
      </w:r>
      <w:r w:rsidR="00314C1B" w:rsidRPr="002579FD">
        <w:rPr>
          <w:rFonts w:asciiTheme="minorHAnsi" w:hAnsiTheme="minorHAnsi" w:cstheme="minorHAnsi"/>
          <w:color w:val="000000" w:themeColor="text1"/>
          <w:sz w:val="24"/>
          <w:szCs w:val="26"/>
        </w:rPr>
        <w:instrText xml:space="preserve"> REF _Ref530475117 \r \h </w:instrText>
      </w:r>
      <w:r w:rsidR="008867C8" w:rsidRPr="001339DB">
        <w:rPr>
          <w:rFonts w:asciiTheme="minorHAnsi" w:hAnsiTheme="minorHAnsi" w:cstheme="minorHAnsi"/>
          <w:color w:val="000000" w:themeColor="text1"/>
          <w:sz w:val="24"/>
          <w:szCs w:val="26"/>
        </w:rPr>
        <w:instrText xml:space="preserve"> \* MERGEFORMAT </w:instrText>
      </w:r>
      <w:r w:rsidR="00314C1B" w:rsidRPr="002579FD">
        <w:rPr>
          <w:rFonts w:asciiTheme="minorHAnsi" w:hAnsiTheme="minorHAnsi" w:cstheme="minorHAnsi"/>
          <w:color w:val="000000" w:themeColor="text1"/>
          <w:sz w:val="24"/>
          <w:szCs w:val="26"/>
        </w:rPr>
      </w:r>
      <w:r w:rsidR="00314C1B" w:rsidRPr="002579FD">
        <w:rPr>
          <w:rFonts w:asciiTheme="minorHAnsi" w:hAnsiTheme="minorHAnsi" w:cstheme="minorHAnsi"/>
          <w:color w:val="000000" w:themeColor="text1"/>
          <w:sz w:val="24"/>
          <w:szCs w:val="26"/>
        </w:rPr>
        <w:fldChar w:fldCharType="separate"/>
      </w:r>
      <w:r w:rsidR="00A04048">
        <w:rPr>
          <w:rFonts w:asciiTheme="minorHAnsi" w:hAnsiTheme="minorHAnsi" w:cstheme="minorHAnsi"/>
          <w:color w:val="000000" w:themeColor="text1"/>
          <w:sz w:val="24"/>
          <w:szCs w:val="26"/>
        </w:rPr>
        <w:t>7.2.2</w:t>
      </w:r>
      <w:r w:rsidR="00314C1B" w:rsidRPr="002579FD">
        <w:rPr>
          <w:rFonts w:asciiTheme="minorHAnsi" w:hAnsiTheme="minorHAnsi" w:cstheme="minorHAnsi"/>
          <w:color w:val="000000" w:themeColor="text1"/>
          <w:sz w:val="24"/>
          <w:szCs w:val="26"/>
        </w:rPr>
        <w:fldChar w:fldCharType="end"/>
      </w:r>
      <w:r w:rsidRPr="002579FD">
        <w:rPr>
          <w:rFonts w:asciiTheme="minorHAnsi" w:hAnsiTheme="minorHAnsi" w:cstheme="minorHAnsi"/>
          <w:color w:val="000000" w:themeColor="text1"/>
          <w:sz w:val="24"/>
          <w:szCs w:val="26"/>
        </w:rPr>
        <w:t>.</w:t>
      </w:r>
    </w:p>
    <w:p w14:paraId="7A98F1D0" w14:textId="1F9305AB" w:rsidR="00E81CE6" w:rsidRDefault="00E81CE6" w:rsidP="00E81CE6">
      <w:pPr>
        <w:spacing w:before="120" w:after="120"/>
        <w:rPr>
          <w:rFonts w:asciiTheme="minorHAnsi" w:hAnsiTheme="minorHAnsi" w:cstheme="minorHAnsi"/>
          <w:color w:val="000000" w:themeColor="text1"/>
          <w:sz w:val="24"/>
          <w:szCs w:val="26"/>
        </w:rPr>
      </w:pPr>
      <w:r>
        <w:rPr>
          <w:rFonts w:asciiTheme="minorHAnsi" w:hAnsiTheme="minorHAnsi" w:cstheme="minorHAnsi"/>
          <w:color w:val="000000" w:themeColor="text1"/>
          <w:sz w:val="24"/>
          <w:szCs w:val="26"/>
        </w:rPr>
        <w:t xml:space="preserve">As demonstrated in </w:t>
      </w:r>
      <w:r>
        <w:rPr>
          <w:rFonts w:asciiTheme="minorHAnsi" w:hAnsiTheme="minorHAnsi" w:cstheme="minorHAnsi"/>
          <w:color w:val="000000" w:themeColor="text1"/>
          <w:sz w:val="24"/>
          <w:szCs w:val="26"/>
        </w:rPr>
        <w:fldChar w:fldCharType="begin"/>
      </w:r>
      <w:r>
        <w:rPr>
          <w:rFonts w:asciiTheme="minorHAnsi" w:hAnsiTheme="minorHAnsi" w:cstheme="minorHAnsi"/>
          <w:color w:val="000000" w:themeColor="text1"/>
          <w:sz w:val="24"/>
          <w:szCs w:val="26"/>
        </w:rPr>
        <w:instrText xml:space="preserve"> REF _Ref530474511 \h  \* MERGEFORMAT </w:instrText>
      </w:r>
      <w:r>
        <w:rPr>
          <w:rFonts w:asciiTheme="minorHAnsi" w:hAnsiTheme="minorHAnsi" w:cstheme="minorHAnsi"/>
          <w:color w:val="000000" w:themeColor="text1"/>
          <w:sz w:val="24"/>
          <w:szCs w:val="26"/>
        </w:rPr>
      </w:r>
      <w:r>
        <w:rPr>
          <w:rFonts w:asciiTheme="minorHAnsi" w:hAnsiTheme="minorHAnsi" w:cstheme="minorHAnsi"/>
          <w:color w:val="000000" w:themeColor="text1"/>
          <w:sz w:val="24"/>
          <w:szCs w:val="26"/>
        </w:rPr>
        <w:fldChar w:fldCharType="separate"/>
      </w:r>
      <w:r w:rsidR="00A04048" w:rsidRPr="00C75FAB">
        <w:rPr>
          <w:rFonts w:asciiTheme="minorHAnsi" w:hAnsiTheme="minorHAnsi" w:cstheme="minorHAnsi"/>
          <w:color w:val="000000" w:themeColor="text1"/>
          <w:sz w:val="24"/>
          <w:szCs w:val="26"/>
        </w:rPr>
        <w:t>Table 6</w:t>
      </w:r>
      <w:r>
        <w:rPr>
          <w:rFonts w:asciiTheme="minorHAnsi" w:hAnsiTheme="minorHAnsi" w:cstheme="minorHAnsi"/>
          <w:color w:val="000000" w:themeColor="text1"/>
          <w:sz w:val="24"/>
          <w:szCs w:val="26"/>
        </w:rPr>
        <w:fldChar w:fldCharType="end"/>
      </w:r>
      <w:r>
        <w:rPr>
          <w:rFonts w:asciiTheme="minorHAnsi" w:hAnsiTheme="minorHAnsi" w:cstheme="minorHAnsi"/>
          <w:color w:val="000000" w:themeColor="text1"/>
          <w:sz w:val="24"/>
          <w:szCs w:val="26"/>
        </w:rPr>
        <w:t>, the funding arrangements for the organ donation, retrieval and transplantation system are complex. The funding arrangements are explained in further detail following the table.</w:t>
      </w:r>
    </w:p>
    <w:p w14:paraId="6FD21065" w14:textId="77777777" w:rsidR="00E81CE6" w:rsidRDefault="00E81CE6" w:rsidP="00C04E68">
      <w:pPr>
        <w:spacing w:before="120" w:after="120"/>
        <w:rPr>
          <w:rFonts w:asciiTheme="minorHAnsi" w:hAnsiTheme="minorHAnsi" w:cstheme="minorHAnsi"/>
          <w:color w:val="000000" w:themeColor="text1"/>
          <w:sz w:val="24"/>
          <w:szCs w:val="26"/>
        </w:rPr>
      </w:pPr>
    </w:p>
    <w:p w14:paraId="4E416E8E" w14:textId="77777777" w:rsidR="00E81CE6" w:rsidRDefault="00E81CE6" w:rsidP="00C04E68">
      <w:pPr>
        <w:spacing w:before="120" w:after="120"/>
        <w:rPr>
          <w:rFonts w:asciiTheme="minorHAnsi" w:hAnsiTheme="minorHAnsi" w:cstheme="minorHAnsi"/>
          <w:color w:val="000000" w:themeColor="text1"/>
          <w:sz w:val="24"/>
          <w:szCs w:val="26"/>
          <w:highlight w:val="yellow"/>
        </w:rPr>
        <w:sectPr w:rsidR="00E81CE6" w:rsidSect="00EB39DF">
          <w:pgSz w:w="11906" w:h="16838"/>
          <w:pgMar w:top="1440" w:right="851" w:bottom="1440" w:left="1440" w:header="283" w:footer="567" w:gutter="0"/>
          <w:cols w:space="708"/>
          <w:docGrid w:linePitch="360"/>
        </w:sectPr>
      </w:pPr>
    </w:p>
    <w:p w14:paraId="7071C5F6" w14:textId="7E4A7926" w:rsidR="00B63AD0" w:rsidRPr="00D40C14" w:rsidRDefault="00B63AD0" w:rsidP="00B63AD0">
      <w:pPr>
        <w:pStyle w:val="Caption"/>
        <w:spacing w:after="120"/>
        <w:rPr>
          <w:rFonts w:asciiTheme="minorHAnsi" w:hAnsiTheme="minorHAnsi" w:cstheme="minorHAnsi"/>
          <w:color w:val="808080"/>
        </w:rPr>
      </w:pPr>
      <w:bookmarkStart w:id="158" w:name="_Ref530474511"/>
      <w:r w:rsidRPr="00D40C14">
        <w:rPr>
          <w:rFonts w:asciiTheme="minorHAnsi" w:hAnsiTheme="minorHAnsi" w:cstheme="minorHAnsi"/>
          <w:b w:val="0"/>
          <w:color w:val="808080"/>
          <w:sz w:val="20"/>
        </w:rPr>
        <w:lastRenderedPageBreak/>
        <w:t xml:space="preserve">Table </w:t>
      </w:r>
      <w:r w:rsidRPr="00D40C14">
        <w:rPr>
          <w:rFonts w:asciiTheme="minorHAnsi" w:hAnsiTheme="minorHAnsi" w:cstheme="minorHAnsi"/>
          <w:b w:val="0"/>
          <w:color w:val="808080"/>
          <w:sz w:val="20"/>
        </w:rPr>
        <w:fldChar w:fldCharType="begin"/>
      </w:r>
      <w:r w:rsidRPr="00D40C14">
        <w:rPr>
          <w:rFonts w:asciiTheme="minorHAnsi" w:hAnsiTheme="minorHAnsi" w:cstheme="minorHAnsi"/>
          <w:b w:val="0"/>
          <w:color w:val="808080"/>
          <w:sz w:val="20"/>
        </w:rPr>
        <w:instrText xml:space="preserve"> SEQ Table \* ARABIC </w:instrText>
      </w:r>
      <w:r w:rsidRPr="00D40C14">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6</w:t>
      </w:r>
      <w:r w:rsidRPr="00D40C14">
        <w:rPr>
          <w:rFonts w:asciiTheme="minorHAnsi" w:hAnsiTheme="minorHAnsi" w:cstheme="minorHAnsi"/>
          <w:b w:val="0"/>
          <w:color w:val="808080"/>
          <w:sz w:val="20"/>
        </w:rPr>
        <w:fldChar w:fldCharType="end"/>
      </w:r>
      <w:bookmarkEnd w:id="158"/>
      <w:r w:rsidRPr="00D40C14">
        <w:rPr>
          <w:rFonts w:asciiTheme="minorHAnsi" w:hAnsiTheme="minorHAnsi" w:cstheme="minorHAnsi"/>
          <w:b w:val="0"/>
          <w:color w:val="808080"/>
          <w:sz w:val="20"/>
        </w:rPr>
        <w:t>: Funding arrangements for the organ donation, retrieval and transplantation system (by element)</w:t>
      </w:r>
      <w:r w:rsidR="00C14719">
        <w:rPr>
          <w:rFonts w:asciiTheme="minorHAnsi" w:hAnsiTheme="minorHAnsi" w:cstheme="minorHAnsi"/>
          <w:b w:val="0"/>
          <w:color w:val="808080"/>
          <w:sz w:val="20"/>
        </w:rPr>
        <w:t xml:space="preserve">, SOURCE: </w:t>
      </w:r>
      <w:r w:rsidR="00C339A5">
        <w:rPr>
          <w:rFonts w:asciiTheme="minorHAnsi" w:hAnsiTheme="minorHAnsi" w:cstheme="minorHAnsi"/>
          <w:b w:val="0"/>
          <w:color w:val="808080"/>
          <w:sz w:val="20"/>
        </w:rPr>
        <w:t xml:space="preserve">The </w:t>
      </w:r>
      <w:r w:rsidR="00C14719">
        <w:rPr>
          <w:rFonts w:asciiTheme="minorHAnsi" w:hAnsiTheme="minorHAnsi" w:cstheme="minorHAnsi"/>
          <w:b w:val="0"/>
          <w:color w:val="808080"/>
          <w:sz w:val="20"/>
        </w:rPr>
        <w:t>OTA</w:t>
      </w:r>
      <w:r w:rsidR="000928C6">
        <w:rPr>
          <w:rStyle w:val="FootnoteReference"/>
          <w:rFonts w:cstheme="minorHAnsi"/>
          <w:b w:val="0"/>
          <w:color w:val="808080"/>
        </w:rPr>
        <w:footnoteReference w:id="71"/>
      </w:r>
    </w:p>
    <w:tbl>
      <w:tblPr>
        <w:tblStyle w:val="TableGrid"/>
        <w:tblW w:w="145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Description w:val="Table 6 is a table outlining the funding arrangements broken down into system elements. Element one is initial assessment and waitlist managment, element two is deceased donation, element three is organ allocation, element four is organ offer, element five is organ acceptance, element six is retrieval, element seven is transplantation and element eight is post transplantation. "/>
      </w:tblPr>
      <w:tblGrid>
        <w:gridCol w:w="799"/>
        <w:gridCol w:w="1748"/>
        <w:gridCol w:w="1542"/>
        <w:gridCol w:w="1523"/>
        <w:gridCol w:w="1604"/>
        <w:gridCol w:w="1515"/>
        <w:gridCol w:w="2179"/>
        <w:gridCol w:w="1896"/>
        <w:gridCol w:w="1701"/>
      </w:tblGrid>
      <w:tr w:rsidR="00B63AD0" w:rsidRPr="00CA33EB" w14:paraId="68A99F4C" w14:textId="77777777" w:rsidTr="00364065">
        <w:trPr>
          <w:tblHeader/>
        </w:trPr>
        <w:tc>
          <w:tcPr>
            <w:tcW w:w="799" w:type="dxa"/>
            <w:shd w:val="clear" w:color="auto" w:fill="595959" w:themeFill="text1" w:themeFillTint="A6"/>
          </w:tcPr>
          <w:p w14:paraId="57C46354" w14:textId="77777777" w:rsidR="00B63AD0" w:rsidRPr="00D40C14" w:rsidRDefault="00B63AD0" w:rsidP="009C1C66">
            <w:pPr>
              <w:spacing w:before="40" w:after="40"/>
              <w:rPr>
                <w:sz w:val="16"/>
                <w:szCs w:val="16"/>
              </w:rPr>
            </w:pPr>
          </w:p>
        </w:tc>
        <w:tc>
          <w:tcPr>
            <w:tcW w:w="1748" w:type="dxa"/>
            <w:shd w:val="clear" w:color="auto" w:fill="595959" w:themeFill="text1" w:themeFillTint="A6"/>
          </w:tcPr>
          <w:p w14:paraId="24237C30" w14:textId="664D23EC" w:rsidR="00B63AD0" w:rsidRPr="00D40C14" w:rsidRDefault="00B63AD0" w:rsidP="009C1C66">
            <w:pPr>
              <w:widowControl/>
              <w:autoSpaceDE/>
              <w:autoSpaceDN/>
              <w:adjustRightInd/>
              <w:spacing w:before="40" w:after="40"/>
              <w:rPr>
                <w:sz w:val="16"/>
                <w:szCs w:val="16"/>
              </w:rPr>
            </w:pPr>
            <w:r w:rsidRPr="00D40C14">
              <w:rPr>
                <w:rFonts w:asciiTheme="minorHAnsi" w:eastAsiaTheme="minorHAnsi" w:hAnsiTheme="minorHAnsi" w:cstheme="minorHAnsi"/>
                <w:b/>
                <w:color w:val="FFFFFF" w:themeColor="background1"/>
                <w:sz w:val="16"/>
                <w:szCs w:val="16"/>
              </w:rPr>
              <w:t>Element 1</w:t>
            </w:r>
            <w:r>
              <w:rPr>
                <w:rFonts w:asciiTheme="minorHAnsi" w:eastAsiaTheme="minorHAnsi" w:hAnsiTheme="minorHAnsi" w:cstheme="minorHAnsi"/>
                <w:b/>
                <w:color w:val="FFFFFF" w:themeColor="background1"/>
                <w:sz w:val="16"/>
                <w:szCs w:val="16"/>
              </w:rPr>
              <w:t>: Initial</w:t>
            </w:r>
            <w:r w:rsidRPr="00D40C14">
              <w:rPr>
                <w:rFonts w:asciiTheme="minorHAnsi" w:eastAsiaTheme="minorHAnsi" w:hAnsiTheme="minorHAnsi" w:cstheme="minorHAnsi"/>
                <w:b/>
                <w:color w:val="FFFFFF" w:themeColor="background1"/>
                <w:sz w:val="16"/>
                <w:szCs w:val="16"/>
              </w:rPr>
              <w:t xml:space="preserve"> assessment and waitlist management</w:t>
            </w:r>
            <w:r>
              <w:rPr>
                <w:rFonts w:asciiTheme="minorHAnsi" w:eastAsiaTheme="minorHAnsi" w:hAnsiTheme="minorHAnsi" w:cstheme="minorHAnsi"/>
                <w:b/>
                <w:color w:val="FFFFFF" w:themeColor="background1"/>
                <w:sz w:val="16"/>
                <w:szCs w:val="16"/>
              </w:rPr>
              <w:t xml:space="preserve"> </w:t>
            </w:r>
            <w:r w:rsidRPr="00D40C14">
              <w:rPr>
                <w:rFonts w:asciiTheme="minorHAnsi" w:eastAsiaTheme="minorHAnsi" w:hAnsiTheme="minorHAnsi" w:cstheme="minorHAnsi"/>
                <w:b/>
                <w:color w:val="FFFFFF" w:themeColor="background1"/>
                <w:sz w:val="16"/>
                <w:szCs w:val="16"/>
              </w:rPr>
              <w:t xml:space="preserve">(potential </w:t>
            </w:r>
            <w:r w:rsidR="00A04048">
              <w:rPr>
                <w:rFonts w:asciiTheme="minorHAnsi" w:eastAsiaTheme="minorHAnsi" w:hAnsiTheme="minorHAnsi" w:cstheme="minorHAnsi"/>
                <w:b/>
                <w:color w:val="FFFFFF" w:themeColor="background1"/>
                <w:sz w:val="16"/>
                <w:szCs w:val="16"/>
              </w:rPr>
              <w:t>r</w:t>
            </w:r>
            <w:r w:rsidRPr="00D40C14">
              <w:rPr>
                <w:rFonts w:asciiTheme="minorHAnsi" w:eastAsiaTheme="minorHAnsi" w:hAnsiTheme="minorHAnsi" w:cstheme="minorHAnsi"/>
                <w:b/>
                <w:color w:val="FFFFFF" w:themeColor="background1"/>
                <w:sz w:val="16"/>
                <w:szCs w:val="16"/>
              </w:rPr>
              <w:t>ecipient)</w:t>
            </w:r>
          </w:p>
        </w:tc>
        <w:tc>
          <w:tcPr>
            <w:tcW w:w="1542" w:type="dxa"/>
            <w:shd w:val="clear" w:color="auto" w:fill="595959" w:themeFill="text1" w:themeFillTint="A6"/>
          </w:tcPr>
          <w:p w14:paraId="005FFBC8" w14:textId="77777777" w:rsidR="00B63AD0" w:rsidRPr="00D40C14" w:rsidRDefault="00B63AD0" w:rsidP="009C1C66">
            <w:pPr>
              <w:widowControl/>
              <w:autoSpaceDE/>
              <w:autoSpaceDN/>
              <w:adjustRightInd/>
              <w:spacing w:before="40" w:after="40"/>
              <w:rPr>
                <w:sz w:val="16"/>
                <w:szCs w:val="16"/>
              </w:rPr>
            </w:pPr>
            <w:r w:rsidRPr="00D40C14">
              <w:rPr>
                <w:rFonts w:asciiTheme="minorHAnsi" w:eastAsiaTheme="minorHAnsi" w:hAnsiTheme="minorHAnsi" w:cstheme="minorHAnsi"/>
                <w:b/>
                <w:color w:val="FFFFFF" w:themeColor="background1"/>
                <w:sz w:val="16"/>
                <w:szCs w:val="16"/>
              </w:rPr>
              <w:t>Element 2</w:t>
            </w:r>
            <w:r>
              <w:rPr>
                <w:rFonts w:asciiTheme="minorHAnsi" w:eastAsiaTheme="minorHAnsi" w:hAnsiTheme="minorHAnsi" w:cstheme="minorHAnsi"/>
                <w:b/>
                <w:color w:val="FFFFFF" w:themeColor="background1"/>
                <w:sz w:val="16"/>
                <w:szCs w:val="16"/>
              </w:rPr>
              <w:t xml:space="preserve">: </w:t>
            </w:r>
            <w:r w:rsidRPr="00D40C14">
              <w:rPr>
                <w:rFonts w:asciiTheme="minorHAnsi" w:eastAsiaTheme="minorHAnsi" w:hAnsiTheme="minorHAnsi" w:cstheme="minorHAnsi"/>
                <w:b/>
                <w:color w:val="FFFFFF" w:themeColor="background1"/>
                <w:sz w:val="16"/>
                <w:szCs w:val="16"/>
              </w:rPr>
              <w:t>Deceased donation</w:t>
            </w:r>
            <w:r>
              <w:rPr>
                <w:rFonts w:asciiTheme="minorHAnsi" w:eastAsiaTheme="minorHAnsi" w:hAnsiTheme="minorHAnsi" w:cstheme="minorHAnsi"/>
                <w:b/>
                <w:color w:val="FFFFFF" w:themeColor="background1"/>
                <w:sz w:val="16"/>
                <w:szCs w:val="16"/>
              </w:rPr>
              <w:t xml:space="preserve"> </w:t>
            </w:r>
            <w:r w:rsidRPr="00D40C14">
              <w:rPr>
                <w:rFonts w:asciiTheme="minorHAnsi" w:eastAsiaTheme="minorHAnsi" w:hAnsiTheme="minorHAnsi" w:cstheme="minorHAnsi"/>
                <w:b/>
                <w:color w:val="FFFFFF" w:themeColor="background1"/>
                <w:sz w:val="16"/>
                <w:szCs w:val="16"/>
              </w:rPr>
              <w:t>(potential donor)</w:t>
            </w:r>
          </w:p>
        </w:tc>
        <w:tc>
          <w:tcPr>
            <w:tcW w:w="1523" w:type="dxa"/>
            <w:shd w:val="clear" w:color="auto" w:fill="595959" w:themeFill="text1" w:themeFillTint="A6"/>
          </w:tcPr>
          <w:p w14:paraId="7D4ADFED" w14:textId="77777777" w:rsidR="00B63AD0" w:rsidRPr="00D40C14" w:rsidRDefault="00B63AD0" w:rsidP="009C1C66">
            <w:pPr>
              <w:widowControl/>
              <w:autoSpaceDE/>
              <w:autoSpaceDN/>
              <w:adjustRightInd/>
              <w:spacing w:before="40" w:after="40"/>
              <w:rPr>
                <w:sz w:val="16"/>
                <w:szCs w:val="16"/>
              </w:rPr>
            </w:pPr>
            <w:r w:rsidRPr="00D40C14">
              <w:rPr>
                <w:rFonts w:asciiTheme="minorHAnsi" w:eastAsiaTheme="minorHAnsi" w:hAnsiTheme="minorHAnsi" w:cstheme="minorHAnsi"/>
                <w:b/>
                <w:color w:val="FFFFFF" w:themeColor="background1"/>
                <w:sz w:val="16"/>
                <w:szCs w:val="16"/>
              </w:rPr>
              <w:t>Element 3</w:t>
            </w:r>
            <w:r>
              <w:rPr>
                <w:rFonts w:asciiTheme="minorHAnsi" w:eastAsiaTheme="minorHAnsi" w:hAnsiTheme="minorHAnsi" w:cstheme="minorHAnsi"/>
                <w:b/>
                <w:color w:val="FFFFFF" w:themeColor="background1"/>
                <w:sz w:val="16"/>
                <w:szCs w:val="16"/>
              </w:rPr>
              <w:t xml:space="preserve">: </w:t>
            </w:r>
            <w:r w:rsidRPr="00D40C14">
              <w:rPr>
                <w:rFonts w:asciiTheme="minorHAnsi" w:eastAsiaTheme="minorHAnsi" w:hAnsiTheme="minorHAnsi" w:cstheme="minorHAnsi"/>
                <w:b/>
                <w:color w:val="FFFFFF" w:themeColor="background1"/>
                <w:sz w:val="16"/>
                <w:szCs w:val="16"/>
              </w:rPr>
              <w:t>Organ allocation</w:t>
            </w:r>
          </w:p>
        </w:tc>
        <w:tc>
          <w:tcPr>
            <w:tcW w:w="1604" w:type="dxa"/>
            <w:shd w:val="clear" w:color="auto" w:fill="595959" w:themeFill="text1" w:themeFillTint="A6"/>
          </w:tcPr>
          <w:p w14:paraId="3C7D70C0" w14:textId="77777777" w:rsidR="00B63AD0" w:rsidRPr="00D40C14" w:rsidRDefault="00B63AD0" w:rsidP="009C1C66">
            <w:pPr>
              <w:widowControl/>
              <w:autoSpaceDE/>
              <w:autoSpaceDN/>
              <w:adjustRightInd/>
              <w:spacing w:before="40" w:after="40"/>
              <w:rPr>
                <w:sz w:val="16"/>
                <w:szCs w:val="16"/>
              </w:rPr>
            </w:pPr>
            <w:r w:rsidRPr="00D40C14">
              <w:rPr>
                <w:rFonts w:asciiTheme="minorHAnsi" w:eastAsiaTheme="minorHAnsi" w:hAnsiTheme="minorHAnsi" w:cstheme="minorHAnsi"/>
                <w:b/>
                <w:color w:val="FFFFFF" w:themeColor="background1"/>
                <w:sz w:val="16"/>
                <w:szCs w:val="16"/>
              </w:rPr>
              <w:t>Element 4</w:t>
            </w:r>
            <w:r>
              <w:rPr>
                <w:rFonts w:asciiTheme="minorHAnsi" w:eastAsiaTheme="minorHAnsi" w:hAnsiTheme="minorHAnsi" w:cstheme="minorHAnsi"/>
                <w:b/>
                <w:color w:val="FFFFFF" w:themeColor="background1"/>
                <w:sz w:val="16"/>
                <w:szCs w:val="16"/>
              </w:rPr>
              <w:t xml:space="preserve">: </w:t>
            </w:r>
            <w:r w:rsidRPr="00D40C14">
              <w:rPr>
                <w:rFonts w:asciiTheme="minorHAnsi" w:eastAsiaTheme="minorHAnsi" w:hAnsiTheme="minorHAnsi" w:cstheme="minorHAnsi"/>
                <w:b/>
                <w:color w:val="FFFFFF" w:themeColor="background1"/>
                <w:sz w:val="16"/>
                <w:szCs w:val="16"/>
              </w:rPr>
              <w:t>Organ offer</w:t>
            </w:r>
          </w:p>
        </w:tc>
        <w:tc>
          <w:tcPr>
            <w:tcW w:w="1515" w:type="dxa"/>
            <w:shd w:val="clear" w:color="auto" w:fill="595959" w:themeFill="text1" w:themeFillTint="A6"/>
          </w:tcPr>
          <w:p w14:paraId="335B3BF5" w14:textId="77777777" w:rsidR="00B63AD0" w:rsidRPr="00D40C14" w:rsidRDefault="00B63AD0" w:rsidP="009C1C66">
            <w:pPr>
              <w:widowControl/>
              <w:autoSpaceDE/>
              <w:autoSpaceDN/>
              <w:adjustRightInd/>
              <w:spacing w:before="40" w:after="40"/>
              <w:rPr>
                <w:sz w:val="16"/>
                <w:szCs w:val="16"/>
              </w:rPr>
            </w:pPr>
            <w:r w:rsidRPr="00D40C14">
              <w:rPr>
                <w:rFonts w:asciiTheme="minorHAnsi" w:eastAsiaTheme="minorHAnsi" w:hAnsiTheme="minorHAnsi" w:cstheme="minorHAnsi"/>
                <w:b/>
                <w:color w:val="FFFFFF" w:themeColor="background1"/>
                <w:sz w:val="16"/>
                <w:szCs w:val="16"/>
              </w:rPr>
              <w:t>Element 5</w:t>
            </w:r>
            <w:r>
              <w:rPr>
                <w:rFonts w:asciiTheme="minorHAnsi" w:eastAsiaTheme="minorHAnsi" w:hAnsiTheme="minorHAnsi" w:cstheme="minorHAnsi"/>
                <w:b/>
                <w:color w:val="FFFFFF" w:themeColor="background1"/>
                <w:sz w:val="16"/>
                <w:szCs w:val="16"/>
              </w:rPr>
              <w:t xml:space="preserve">: </w:t>
            </w:r>
            <w:r w:rsidRPr="00D40C14">
              <w:rPr>
                <w:rFonts w:asciiTheme="minorHAnsi" w:eastAsiaTheme="minorHAnsi" w:hAnsiTheme="minorHAnsi" w:cstheme="minorHAnsi"/>
                <w:b/>
                <w:color w:val="FFFFFF" w:themeColor="background1"/>
                <w:sz w:val="16"/>
                <w:szCs w:val="16"/>
              </w:rPr>
              <w:t>Organ acceptance</w:t>
            </w:r>
          </w:p>
        </w:tc>
        <w:tc>
          <w:tcPr>
            <w:tcW w:w="2179" w:type="dxa"/>
            <w:shd w:val="clear" w:color="auto" w:fill="595959" w:themeFill="text1" w:themeFillTint="A6"/>
          </w:tcPr>
          <w:p w14:paraId="4E180769" w14:textId="77777777" w:rsidR="00B63AD0" w:rsidRPr="00D40C14" w:rsidRDefault="00B63AD0" w:rsidP="009C1C66">
            <w:pPr>
              <w:widowControl/>
              <w:autoSpaceDE/>
              <w:autoSpaceDN/>
              <w:adjustRightInd/>
              <w:spacing w:before="40" w:after="40"/>
              <w:rPr>
                <w:sz w:val="16"/>
                <w:szCs w:val="16"/>
              </w:rPr>
            </w:pPr>
            <w:r w:rsidRPr="00D40C14">
              <w:rPr>
                <w:rFonts w:asciiTheme="minorHAnsi" w:eastAsiaTheme="minorHAnsi" w:hAnsiTheme="minorHAnsi" w:cstheme="minorHAnsi"/>
                <w:b/>
                <w:color w:val="FFFFFF" w:themeColor="background1"/>
                <w:sz w:val="16"/>
                <w:szCs w:val="16"/>
              </w:rPr>
              <w:t>Element 6</w:t>
            </w:r>
            <w:r>
              <w:rPr>
                <w:rFonts w:asciiTheme="minorHAnsi" w:eastAsiaTheme="minorHAnsi" w:hAnsiTheme="minorHAnsi" w:cstheme="minorHAnsi"/>
                <w:b/>
                <w:color w:val="FFFFFF" w:themeColor="background1"/>
                <w:sz w:val="16"/>
                <w:szCs w:val="16"/>
              </w:rPr>
              <w:t xml:space="preserve">: </w:t>
            </w:r>
            <w:r w:rsidR="00CC6E46">
              <w:rPr>
                <w:rFonts w:asciiTheme="minorHAnsi" w:eastAsiaTheme="minorHAnsi" w:hAnsiTheme="minorHAnsi" w:cstheme="minorHAnsi"/>
                <w:b/>
                <w:color w:val="FFFFFF" w:themeColor="background1"/>
                <w:sz w:val="16"/>
                <w:szCs w:val="16"/>
              </w:rPr>
              <w:t>Retrieval</w:t>
            </w:r>
            <w:r>
              <w:rPr>
                <w:rFonts w:asciiTheme="minorHAnsi" w:eastAsiaTheme="minorHAnsi" w:hAnsiTheme="minorHAnsi" w:cstheme="minorHAnsi"/>
                <w:b/>
                <w:color w:val="FFFFFF" w:themeColor="background1"/>
                <w:sz w:val="16"/>
                <w:szCs w:val="16"/>
              </w:rPr>
              <w:t xml:space="preserve"> </w:t>
            </w:r>
            <w:r w:rsidRPr="00D40C14">
              <w:rPr>
                <w:rFonts w:asciiTheme="minorHAnsi" w:eastAsiaTheme="minorHAnsi" w:hAnsiTheme="minorHAnsi" w:cstheme="minorHAnsi"/>
                <w:b/>
                <w:color w:val="FFFFFF" w:themeColor="background1"/>
                <w:sz w:val="16"/>
                <w:szCs w:val="16"/>
              </w:rPr>
              <w:t>(donor)</w:t>
            </w:r>
          </w:p>
        </w:tc>
        <w:tc>
          <w:tcPr>
            <w:tcW w:w="1896" w:type="dxa"/>
            <w:shd w:val="clear" w:color="auto" w:fill="595959" w:themeFill="text1" w:themeFillTint="A6"/>
          </w:tcPr>
          <w:p w14:paraId="0AE12615" w14:textId="77777777" w:rsidR="00B63AD0" w:rsidRPr="00D40C14" w:rsidRDefault="00B63AD0" w:rsidP="009C1C66">
            <w:pPr>
              <w:widowControl/>
              <w:autoSpaceDE/>
              <w:autoSpaceDN/>
              <w:adjustRightInd/>
              <w:spacing w:before="40" w:after="40"/>
              <w:rPr>
                <w:sz w:val="16"/>
                <w:szCs w:val="16"/>
              </w:rPr>
            </w:pPr>
            <w:r w:rsidRPr="00D40C14">
              <w:rPr>
                <w:rFonts w:asciiTheme="minorHAnsi" w:eastAsiaTheme="minorHAnsi" w:hAnsiTheme="minorHAnsi" w:cstheme="minorHAnsi"/>
                <w:b/>
                <w:color w:val="FFFFFF" w:themeColor="background1"/>
                <w:sz w:val="16"/>
                <w:szCs w:val="16"/>
              </w:rPr>
              <w:t>Element 7</w:t>
            </w:r>
            <w:r>
              <w:rPr>
                <w:rFonts w:asciiTheme="minorHAnsi" w:eastAsiaTheme="minorHAnsi" w:hAnsiTheme="minorHAnsi" w:cstheme="minorHAnsi"/>
                <w:b/>
                <w:color w:val="FFFFFF" w:themeColor="background1"/>
                <w:sz w:val="16"/>
                <w:szCs w:val="16"/>
              </w:rPr>
              <w:t xml:space="preserve">: </w:t>
            </w:r>
            <w:r w:rsidRPr="00D40C14">
              <w:rPr>
                <w:rFonts w:asciiTheme="minorHAnsi" w:eastAsiaTheme="minorHAnsi" w:hAnsiTheme="minorHAnsi" w:cstheme="minorHAnsi"/>
                <w:b/>
                <w:color w:val="FFFFFF" w:themeColor="background1"/>
                <w:sz w:val="16"/>
                <w:szCs w:val="16"/>
              </w:rPr>
              <w:t>Transplantation</w:t>
            </w:r>
            <w:r>
              <w:rPr>
                <w:rFonts w:asciiTheme="minorHAnsi" w:eastAsiaTheme="minorHAnsi" w:hAnsiTheme="minorHAnsi" w:cstheme="minorHAnsi"/>
                <w:b/>
                <w:color w:val="FFFFFF" w:themeColor="background1"/>
                <w:sz w:val="16"/>
                <w:szCs w:val="16"/>
              </w:rPr>
              <w:t xml:space="preserve"> </w:t>
            </w:r>
            <w:r w:rsidRPr="00D40C14">
              <w:rPr>
                <w:rFonts w:asciiTheme="minorHAnsi" w:eastAsiaTheme="minorHAnsi" w:hAnsiTheme="minorHAnsi" w:cstheme="minorHAnsi"/>
                <w:b/>
                <w:color w:val="FFFFFF" w:themeColor="background1"/>
                <w:sz w:val="16"/>
                <w:szCs w:val="16"/>
              </w:rPr>
              <w:t>(recipient)</w:t>
            </w:r>
          </w:p>
        </w:tc>
        <w:tc>
          <w:tcPr>
            <w:tcW w:w="1701" w:type="dxa"/>
            <w:shd w:val="clear" w:color="auto" w:fill="595959" w:themeFill="text1" w:themeFillTint="A6"/>
          </w:tcPr>
          <w:p w14:paraId="7A7EAC6C" w14:textId="77777777" w:rsidR="00B63AD0" w:rsidRPr="00D40C14" w:rsidRDefault="00B63AD0" w:rsidP="009C1C66">
            <w:pPr>
              <w:widowControl/>
              <w:autoSpaceDE/>
              <w:autoSpaceDN/>
              <w:adjustRightInd/>
              <w:spacing w:before="40" w:after="40"/>
              <w:rPr>
                <w:sz w:val="16"/>
                <w:szCs w:val="16"/>
              </w:rPr>
            </w:pPr>
            <w:r w:rsidRPr="00D40C14">
              <w:rPr>
                <w:rFonts w:asciiTheme="minorHAnsi" w:eastAsiaTheme="minorHAnsi" w:hAnsiTheme="minorHAnsi" w:cstheme="minorHAnsi"/>
                <w:b/>
                <w:color w:val="FFFFFF" w:themeColor="background1"/>
                <w:sz w:val="16"/>
                <w:szCs w:val="16"/>
              </w:rPr>
              <w:t>Element 8</w:t>
            </w:r>
            <w:r>
              <w:rPr>
                <w:rFonts w:asciiTheme="minorHAnsi" w:eastAsiaTheme="minorHAnsi" w:hAnsiTheme="minorHAnsi" w:cstheme="minorHAnsi"/>
                <w:b/>
                <w:color w:val="FFFFFF" w:themeColor="background1"/>
                <w:sz w:val="16"/>
                <w:szCs w:val="16"/>
              </w:rPr>
              <w:t xml:space="preserve">: </w:t>
            </w:r>
            <w:r w:rsidRPr="00D40C14">
              <w:rPr>
                <w:rFonts w:asciiTheme="minorHAnsi" w:eastAsiaTheme="minorHAnsi" w:hAnsiTheme="minorHAnsi" w:cstheme="minorHAnsi"/>
                <w:b/>
                <w:color w:val="FFFFFF" w:themeColor="background1"/>
                <w:sz w:val="16"/>
                <w:szCs w:val="16"/>
              </w:rPr>
              <w:t>Post transplantation</w:t>
            </w:r>
            <w:r>
              <w:rPr>
                <w:rFonts w:asciiTheme="minorHAnsi" w:eastAsiaTheme="minorHAnsi" w:hAnsiTheme="minorHAnsi" w:cstheme="minorHAnsi"/>
                <w:b/>
                <w:color w:val="FFFFFF" w:themeColor="background1"/>
                <w:sz w:val="16"/>
                <w:szCs w:val="16"/>
              </w:rPr>
              <w:t xml:space="preserve"> </w:t>
            </w:r>
            <w:r w:rsidRPr="00D40C14">
              <w:rPr>
                <w:rFonts w:asciiTheme="minorHAnsi" w:eastAsiaTheme="minorHAnsi" w:hAnsiTheme="minorHAnsi" w:cstheme="minorHAnsi"/>
                <w:b/>
                <w:color w:val="FFFFFF" w:themeColor="background1"/>
                <w:sz w:val="16"/>
                <w:szCs w:val="16"/>
              </w:rPr>
              <w:t>(recipient)</w:t>
            </w:r>
          </w:p>
        </w:tc>
      </w:tr>
      <w:tr w:rsidR="00B63AD0" w:rsidRPr="00CA33EB" w14:paraId="06F32559" w14:textId="77777777" w:rsidTr="00364065">
        <w:tc>
          <w:tcPr>
            <w:tcW w:w="799" w:type="dxa"/>
            <w:shd w:val="clear" w:color="auto" w:fill="auto"/>
          </w:tcPr>
          <w:p w14:paraId="4E510E62" w14:textId="77777777" w:rsidR="00B63AD0" w:rsidRPr="00163C7F" w:rsidRDefault="00B63AD0" w:rsidP="009C1C66">
            <w:pPr>
              <w:spacing w:before="40" w:after="40"/>
              <w:rPr>
                <w:b/>
                <w:color w:val="000000" w:themeColor="text1"/>
                <w:sz w:val="16"/>
                <w:szCs w:val="16"/>
              </w:rPr>
            </w:pPr>
            <w:r w:rsidRPr="00163C7F">
              <w:rPr>
                <w:rFonts w:asciiTheme="minorHAnsi" w:eastAsiaTheme="minorHAnsi" w:hAnsiTheme="minorHAnsi" w:cstheme="minorHAnsi"/>
                <w:b/>
                <w:color w:val="000000" w:themeColor="text1"/>
                <w:sz w:val="16"/>
                <w:szCs w:val="16"/>
              </w:rPr>
              <w:t>Public funding</w:t>
            </w:r>
          </w:p>
        </w:tc>
        <w:tc>
          <w:tcPr>
            <w:tcW w:w="1748" w:type="dxa"/>
          </w:tcPr>
          <w:p w14:paraId="16A1B566"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National Health Reform Agreement</w:t>
            </w:r>
            <w:r>
              <w:rPr>
                <w:rFonts w:asciiTheme="minorHAnsi" w:eastAsiaTheme="minorHAnsi" w:hAnsiTheme="minorHAnsi" w:cstheme="minorHAnsi"/>
                <w:sz w:val="16"/>
                <w:szCs w:val="16"/>
              </w:rPr>
              <w:t>:</w:t>
            </w:r>
          </w:p>
          <w:p w14:paraId="54B8BDD4"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Pr>
                <w:rFonts w:asciiTheme="minorHAnsi" w:eastAsiaTheme="minorHAnsi" w:hAnsiTheme="minorHAnsi" w:cstheme="minorHAnsi"/>
                <w:sz w:val="16"/>
                <w:szCs w:val="16"/>
              </w:rPr>
              <w:t>Australian Government</w:t>
            </w:r>
            <w:r w:rsidRPr="00D40C14">
              <w:rPr>
                <w:rFonts w:asciiTheme="minorHAnsi" w:eastAsiaTheme="minorHAnsi" w:hAnsiTheme="minorHAnsi" w:cstheme="minorHAnsi"/>
                <w:sz w:val="16"/>
                <w:szCs w:val="16"/>
              </w:rPr>
              <w:t xml:space="preserve"> (NEP)</w:t>
            </w:r>
          </w:p>
          <w:p w14:paraId="4E575B8F"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Pr>
                <w:rFonts w:asciiTheme="minorHAnsi" w:eastAsiaTheme="minorHAnsi" w:hAnsiTheme="minorHAnsi" w:cstheme="minorHAnsi"/>
                <w:sz w:val="16"/>
                <w:szCs w:val="16"/>
              </w:rPr>
              <w:t>Australian Government</w:t>
            </w:r>
            <w:r w:rsidRPr="00D40C14">
              <w:rPr>
                <w:rFonts w:asciiTheme="minorHAnsi" w:eastAsiaTheme="minorHAnsi" w:hAnsiTheme="minorHAnsi" w:cstheme="minorHAnsi"/>
                <w:sz w:val="16"/>
                <w:szCs w:val="16"/>
              </w:rPr>
              <w:t xml:space="preserve"> (NEC)</w:t>
            </w:r>
          </w:p>
          <w:p w14:paraId="08606C39"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 xml:space="preserve">Jurisdiction inpatient </w:t>
            </w:r>
          </w:p>
          <w:p w14:paraId="76247011" w14:textId="77777777" w:rsidR="00B63AD0" w:rsidRPr="00163C7F" w:rsidRDefault="00B63AD0" w:rsidP="009C1C66">
            <w:pPr>
              <w:pStyle w:val="ListParagraph"/>
              <w:widowControl/>
              <w:numPr>
                <w:ilvl w:val="0"/>
                <w:numId w:val="48"/>
              </w:numPr>
              <w:autoSpaceDE/>
              <w:autoSpaceDN/>
              <w:adjustRightInd/>
              <w:spacing w:before="40" w:after="40"/>
              <w:ind w:left="170" w:hanging="170"/>
              <w:rPr>
                <w:rFonts w:asciiTheme="minorHAnsi" w:eastAsiaTheme="minorHAnsi" w:hAnsiTheme="minorHAnsi" w:cstheme="minorHAnsi"/>
                <w:sz w:val="16"/>
                <w:szCs w:val="16"/>
              </w:rPr>
            </w:pPr>
            <w:r w:rsidRPr="00163C7F">
              <w:rPr>
                <w:rFonts w:asciiTheme="minorHAnsi" w:eastAsiaTheme="minorHAnsi" w:hAnsiTheme="minorHAnsi" w:cstheme="minorHAnsi"/>
                <w:sz w:val="16"/>
                <w:szCs w:val="16"/>
              </w:rPr>
              <w:t xml:space="preserve">Tissue typing </w:t>
            </w:r>
          </w:p>
          <w:p w14:paraId="6EEC2034"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Blood Service</w:t>
            </w:r>
            <w:r>
              <w:rPr>
                <w:rFonts w:asciiTheme="minorHAnsi" w:eastAsiaTheme="minorHAnsi" w:hAnsiTheme="minorHAnsi" w:cstheme="minorHAnsi"/>
                <w:sz w:val="16"/>
                <w:szCs w:val="16"/>
              </w:rPr>
              <w:t>:</w:t>
            </w:r>
            <w:r w:rsidRPr="00D40C14">
              <w:rPr>
                <w:rFonts w:asciiTheme="minorHAnsi" w:eastAsiaTheme="minorHAnsi" w:hAnsiTheme="minorHAnsi" w:cstheme="minorHAnsi"/>
                <w:sz w:val="16"/>
                <w:szCs w:val="16"/>
              </w:rPr>
              <w:t xml:space="preserve"> </w:t>
            </w:r>
          </w:p>
          <w:p w14:paraId="739C579C" w14:textId="77777777" w:rsidR="00B63AD0" w:rsidRPr="00D40C14" w:rsidRDefault="00B63AD0" w:rsidP="009C1C66">
            <w:pPr>
              <w:widowControl/>
              <w:numPr>
                <w:ilvl w:val="1"/>
                <w:numId w:val="57"/>
              </w:numPr>
              <w:autoSpaceDE/>
              <w:autoSpaceDN/>
              <w:adjustRightInd/>
              <w:spacing w:before="40" w:after="40"/>
              <w:ind w:left="397" w:hanging="227"/>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VIC:  Block Funded / some Hospital ABF</w:t>
            </w:r>
          </w:p>
          <w:p w14:paraId="4FD9EB17" w14:textId="77777777" w:rsidR="00B63AD0" w:rsidRPr="00D40C14" w:rsidRDefault="00B63AD0" w:rsidP="009C1C66">
            <w:pPr>
              <w:widowControl/>
              <w:numPr>
                <w:ilvl w:val="1"/>
                <w:numId w:val="57"/>
              </w:numPr>
              <w:autoSpaceDE/>
              <w:autoSpaceDN/>
              <w:adjustRightInd/>
              <w:spacing w:before="40" w:after="40"/>
              <w:ind w:left="397" w:hanging="227"/>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SA: Block Funded (inc. NT State Agreement)</w:t>
            </w:r>
          </w:p>
          <w:p w14:paraId="761CAF16" w14:textId="77777777" w:rsidR="00B63AD0" w:rsidRPr="00D40C14" w:rsidRDefault="00B63AD0" w:rsidP="009C1C66">
            <w:pPr>
              <w:widowControl/>
              <w:numPr>
                <w:ilvl w:val="1"/>
                <w:numId w:val="57"/>
              </w:numPr>
              <w:autoSpaceDE/>
              <w:autoSpaceDN/>
              <w:adjustRightInd/>
              <w:spacing w:before="40" w:after="40"/>
              <w:ind w:left="397" w:hanging="227"/>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NSW: Activity Based Funding</w:t>
            </w:r>
          </w:p>
          <w:p w14:paraId="4575E81C"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QLD HSQ: Block Funded</w:t>
            </w:r>
          </w:p>
          <w:p w14:paraId="57566398"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WA PathWest</w:t>
            </w:r>
          </w:p>
          <w:p w14:paraId="2837ADDD"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p>
          <w:p w14:paraId="7B15C37C"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p>
          <w:p w14:paraId="0CF961D6" w14:textId="77777777" w:rsidR="00B63AD0" w:rsidRPr="00D40C14" w:rsidRDefault="00B63AD0" w:rsidP="009C1C66">
            <w:pPr>
              <w:spacing w:before="40" w:after="40"/>
              <w:rPr>
                <w:sz w:val="16"/>
                <w:szCs w:val="16"/>
              </w:rPr>
            </w:pPr>
          </w:p>
        </w:tc>
        <w:tc>
          <w:tcPr>
            <w:tcW w:w="1542" w:type="dxa"/>
          </w:tcPr>
          <w:p w14:paraId="562B16E6" w14:textId="77777777" w:rsidR="00B63AD0" w:rsidRPr="00D40C14" w:rsidRDefault="00C14719" w:rsidP="009C1C66">
            <w:pPr>
              <w:widowControl/>
              <w:autoSpaceDE/>
              <w:autoSpaceDN/>
              <w:adjustRightInd/>
              <w:spacing w:before="40" w:after="40"/>
              <w:rPr>
                <w:rFonts w:asciiTheme="minorHAnsi" w:eastAsiaTheme="minorHAnsi" w:hAnsiTheme="minorHAnsi" w:cstheme="minorHAnsi"/>
                <w:sz w:val="16"/>
                <w:szCs w:val="16"/>
              </w:rPr>
            </w:pPr>
            <w:r>
              <w:rPr>
                <w:rFonts w:asciiTheme="minorHAnsi" w:eastAsiaTheme="minorHAnsi" w:hAnsiTheme="minorHAnsi" w:cstheme="minorHAnsi"/>
                <w:sz w:val="16"/>
                <w:szCs w:val="16"/>
              </w:rPr>
              <w:t>State and Territory</w:t>
            </w:r>
            <w:r w:rsidR="00B63AD0" w:rsidRPr="00D40C14">
              <w:rPr>
                <w:rFonts w:asciiTheme="minorHAnsi" w:eastAsiaTheme="minorHAnsi" w:hAnsiTheme="minorHAnsi" w:cstheme="minorHAnsi"/>
                <w:sz w:val="16"/>
                <w:szCs w:val="16"/>
              </w:rPr>
              <w:t xml:space="preserve"> Funding Agreements DonateLife Network – OTA</w:t>
            </w:r>
          </w:p>
          <w:p w14:paraId="4E1A4C52"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Organ Donation Hospital Support Funding (ODHSF) - OTA</w:t>
            </w:r>
          </w:p>
          <w:p w14:paraId="61EECCAA" w14:textId="77777777" w:rsidR="00B63AD0" w:rsidRPr="00D40C14" w:rsidRDefault="00B63AD0" w:rsidP="009C1C66">
            <w:pPr>
              <w:widowControl/>
              <w:autoSpaceDE/>
              <w:autoSpaceDN/>
              <w:adjustRightInd/>
              <w:spacing w:before="40" w:after="40"/>
              <w:ind w:left="317"/>
              <w:rPr>
                <w:rFonts w:asciiTheme="minorHAnsi" w:eastAsiaTheme="minorHAnsi" w:hAnsiTheme="minorHAnsi" w:cstheme="minorHAnsi"/>
                <w:sz w:val="16"/>
                <w:szCs w:val="16"/>
              </w:rPr>
            </w:pPr>
          </w:p>
          <w:p w14:paraId="212E7EA9" w14:textId="77777777" w:rsidR="00B63AD0" w:rsidRPr="00D40C14" w:rsidRDefault="00B63AD0" w:rsidP="009C1C66">
            <w:pPr>
              <w:spacing w:before="40" w:after="40"/>
              <w:rPr>
                <w:sz w:val="16"/>
                <w:szCs w:val="16"/>
              </w:rPr>
            </w:pPr>
          </w:p>
        </w:tc>
        <w:tc>
          <w:tcPr>
            <w:tcW w:w="1523" w:type="dxa"/>
          </w:tcPr>
          <w:p w14:paraId="0FBDD843"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National Organ Matching System (NOMS)/Blood Service - OTA</w:t>
            </w:r>
          </w:p>
          <w:p w14:paraId="011E4508" w14:textId="77777777" w:rsidR="00B63AD0" w:rsidRPr="00D40C14" w:rsidRDefault="00B63AD0" w:rsidP="009C1C66">
            <w:pPr>
              <w:widowControl/>
              <w:autoSpaceDE/>
              <w:autoSpaceDN/>
              <w:adjustRightInd/>
              <w:spacing w:before="40" w:after="40"/>
              <w:ind w:left="265"/>
              <w:rPr>
                <w:rFonts w:asciiTheme="minorHAnsi" w:eastAsiaTheme="minorHAnsi" w:hAnsiTheme="minorHAnsi" w:cstheme="minorHAnsi"/>
                <w:sz w:val="16"/>
                <w:szCs w:val="16"/>
              </w:rPr>
            </w:pPr>
          </w:p>
          <w:p w14:paraId="014AEA59" w14:textId="77777777" w:rsidR="00B63AD0" w:rsidRPr="00D40C14" w:rsidRDefault="00B63AD0" w:rsidP="009C1C66">
            <w:pPr>
              <w:spacing w:before="40" w:after="40"/>
              <w:rPr>
                <w:sz w:val="16"/>
                <w:szCs w:val="16"/>
              </w:rPr>
            </w:pPr>
          </w:p>
        </w:tc>
        <w:tc>
          <w:tcPr>
            <w:tcW w:w="1604" w:type="dxa"/>
          </w:tcPr>
          <w:p w14:paraId="320D12C7"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National Health Reform Agreement</w:t>
            </w:r>
            <w:r>
              <w:rPr>
                <w:rFonts w:asciiTheme="minorHAnsi" w:eastAsiaTheme="minorHAnsi" w:hAnsiTheme="minorHAnsi" w:cstheme="minorHAnsi"/>
                <w:sz w:val="16"/>
                <w:szCs w:val="16"/>
              </w:rPr>
              <w:t>:</w:t>
            </w:r>
          </w:p>
          <w:p w14:paraId="3A963558"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Pr>
                <w:rFonts w:asciiTheme="minorHAnsi" w:eastAsiaTheme="minorHAnsi" w:hAnsiTheme="minorHAnsi" w:cstheme="minorHAnsi"/>
                <w:sz w:val="16"/>
                <w:szCs w:val="16"/>
              </w:rPr>
              <w:t>Australian Government</w:t>
            </w:r>
            <w:r w:rsidRPr="00D40C14">
              <w:rPr>
                <w:rFonts w:asciiTheme="minorHAnsi" w:eastAsiaTheme="minorHAnsi" w:hAnsiTheme="minorHAnsi" w:cstheme="minorHAnsi"/>
                <w:sz w:val="16"/>
                <w:szCs w:val="16"/>
              </w:rPr>
              <w:t xml:space="preserve"> (NEP)</w:t>
            </w:r>
          </w:p>
          <w:p w14:paraId="2F894261" w14:textId="77777777" w:rsidR="00B63AD0" w:rsidRPr="00D40C14" w:rsidRDefault="00B63AD0" w:rsidP="009C1C66">
            <w:pPr>
              <w:widowControl/>
              <w:numPr>
                <w:ilvl w:val="0"/>
                <w:numId w:val="48"/>
              </w:numPr>
              <w:autoSpaceDE/>
              <w:autoSpaceDN/>
              <w:adjustRightInd/>
              <w:spacing w:before="40" w:after="40"/>
              <w:ind w:left="170" w:hanging="17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 xml:space="preserve">Jurisdictions </w:t>
            </w:r>
          </w:p>
          <w:p w14:paraId="3FC45775"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Tissue typing</w:t>
            </w:r>
            <w:r>
              <w:rPr>
                <w:rFonts w:asciiTheme="minorHAnsi" w:eastAsiaTheme="minorHAnsi" w:hAnsiTheme="minorHAnsi" w:cstheme="minorHAnsi"/>
                <w:sz w:val="16"/>
                <w:szCs w:val="16"/>
              </w:rPr>
              <w:t>:</w:t>
            </w:r>
            <w:r w:rsidRPr="00D40C14">
              <w:rPr>
                <w:rFonts w:asciiTheme="minorHAnsi" w:eastAsiaTheme="minorHAnsi" w:hAnsiTheme="minorHAnsi" w:cstheme="minorHAnsi"/>
                <w:sz w:val="16"/>
                <w:szCs w:val="16"/>
              </w:rPr>
              <w:t xml:space="preserve"> </w:t>
            </w:r>
          </w:p>
          <w:p w14:paraId="6A5C03A2"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Blood Service</w:t>
            </w:r>
            <w:r w:rsidR="00575239">
              <w:rPr>
                <w:rFonts w:asciiTheme="minorHAnsi" w:eastAsiaTheme="minorHAnsi" w:hAnsiTheme="minorHAnsi" w:cstheme="minorHAnsi"/>
                <w:sz w:val="16"/>
                <w:szCs w:val="16"/>
              </w:rPr>
              <w:t>:</w:t>
            </w:r>
            <w:r w:rsidRPr="00D40C14">
              <w:rPr>
                <w:rFonts w:asciiTheme="minorHAnsi" w:eastAsiaTheme="minorHAnsi" w:hAnsiTheme="minorHAnsi" w:cstheme="minorHAnsi"/>
                <w:sz w:val="16"/>
                <w:szCs w:val="16"/>
              </w:rPr>
              <w:t xml:space="preserve"> </w:t>
            </w:r>
          </w:p>
          <w:p w14:paraId="67045FC6" w14:textId="77777777" w:rsidR="00B63AD0" w:rsidRPr="00D40C14" w:rsidRDefault="00B63AD0" w:rsidP="009C1C66">
            <w:pPr>
              <w:widowControl/>
              <w:numPr>
                <w:ilvl w:val="1"/>
                <w:numId w:val="57"/>
              </w:numPr>
              <w:autoSpaceDE/>
              <w:autoSpaceDN/>
              <w:adjustRightInd/>
              <w:spacing w:before="40" w:after="40"/>
              <w:ind w:left="397" w:hanging="227"/>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 xml:space="preserve">VIC: semi Block Funded </w:t>
            </w:r>
          </w:p>
          <w:p w14:paraId="2DDB2DC9" w14:textId="77777777" w:rsidR="00B63AD0" w:rsidRPr="00D40C14" w:rsidRDefault="00B63AD0" w:rsidP="009C1C66">
            <w:pPr>
              <w:widowControl/>
              <w:numPr>
                <w:ilvl w:val="1"/>
                <w:numId w:val="57"/>
              </w:numPr>
              <w:autoSpaceDE/>
              <w:autoSpaceDN/>
              <w:adjustRightInd/>
              <w:spacing w:before="40" w:after="40"/>
              <w:ind w:left="397" w:hanging="227"/>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SA: Block Funded (inc. NT State Agreement)</w:t>
            </w:r>
          </w:p>
          <w:p w14:paraId="4C783F5A" w14:textId="77777777" w:rsidR="00B63AD0" w:rsidRPr="00D40C14" w:rsidRDefault="00B63AD0" w:rsidP="009C1C66">
            <w:pPr>
              <w:widowControl/>
              <w:numPr>
                <w:ilvl w:val="1"/>
                <w:numId w:val="57"/>
              </w:numPr>
              <w:autoSpaceDE/>
              <w:autoSpaceDN/>
              <w:adjustRightInd/>
              <w:spacing w:before="40" w:after="40"/>
              <w:ind w:left="397" w:hanging="227"/>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NSW: Activity Based Funding</w:t>
            </w:r>
          </w:p>
          <w:p w14:paraId="3C23368A"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QLD HSQ: Block Funded</w:t>
            </w:r>
          </w:p>
          <w:p w14:paraId="2DF0139E" w14:textId="77777777" w:rsidR="00B63AD0" w:rsidRPr="00D40C14" w:rsidRDefault="00B63AD0" w:rsidP="009C1C66">
            <w:pPr>
              <w:widowControl/>
              <w:numPr>
                <w:ilvl w:val="0"/>
                <w:numId w:val="48"/>
              </w:numPr>
              <w:autoSpaceDE/>
              <w:autoSpaceDN/>
              <w:adjustRightInd/>
              <w:spacing w:before="40" w:after="40"/>
              <w:ind w:left="170" w:hanging="17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WA PathWest</w:t>
            </w:r>
          </w:p>
          <w:p w14:paraId="6E2D52D0" w14:textId="77777777" w:rsidR="00B63AD0" w:rsidRPr="00D40C14" w:rsidRDefault="00C14719" w:rsidP="009C1C66">
            <w:pPr>
              <w:widowControl/>
              <w:autoSpaceDE/>
              <w:autoSpaceDN/>
              <w:adjustRightInd/>
              <w:spacing w:before="40" w:after="40"/>
              <w:rPr>
                <w:rFonts w:asciiTheme="minorHAnsi" w:eastAsiaTheme="minorHAnsi" w:hAnsiTheme="minorHAnsi" w:cstheme="minorHAnsi"/>
                <w:sz w:val="16"/>
                <w:szCs w:val="16"/>
              </w:rPr>
            </w:pPr>
            <w:r>
              <w:rPr>
                <w:rFonts w:asciiTheme="minorHAnsi" w:eastAsiaTheme="minorHAnsi" w:hAnsiTheme="minorHAnsi" w:cstheme="minorHAnsi"/>
                <w:sz w:val="16"/>
                <w:szCs w:val="16"/>
              </w:rPr>
              <w:t>State and Territory</w:t>
            </w:r>
            <w:r w:rsidR="00B63AD0" w:rsidRPr="00D40C14">
              <w:rPr>
                <w:rFonts w:asciiTheme="minorHAnsi" w:eastAsiaTheme="minorHAnsi" w:hAnsiTheme="minorHAnsi" w:cstheme="minorHAnsi"/>
                <w:sz w:val="16"/>
                <w:szCs w:val="16"/>
              </w:rPr>
              <w:t xml:space="preserve"> Funding Agreements DonateLife Network – OTA</w:t>
            </w:r>
          </w:p>
          <w:p w14:paraId="5BCEDB2A" w14:textId="77777777" w:rsidR="00B63AD0" w:rsidRPr="00D40C14" w:rsidRDefault="00B63AD0" w:rsidP="009C1C66">
            <w:pPr>
              <w:widowControl/>
              <w:autoSpaceDE/>
              <w:autoSpaceDN/>
              <w:adjustRightInd/>
              <w:spacing w:before="40" w:after="40"/>
              <w:ind w:left="360"/>
              <w:rPr>
                <w:rFonts w:asciiTheme="minorHAnsi" w:eastAsiaTheme="minorHAnsi" w:hAnsiTheme="minorHAnsi" w:cstheme="minorHAnsi"/>
                <w:sz w:val="16"/>
                <w:szCs w:val="16"/>
              </w:rPr>
            </w:pPr>
          </w:p>
          <w:p w14:paraId="29BABFCA"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p>
          <w:p w14:paraId="7C5C6093" w14:textId="77777777" w:rsidR="00B63AD0" w:rsidRPr="00D40C14" w:rsidRDefault="00B63AD0" w:rsidP="009C1C66">
            <w:pPr>
              <w:spacing w:before="40" w:after="40"/>
              <w:rPr>
                <w:sz w:val="16"/>
                <w:szCs w:val="16"/>
              </w:rPr>
            </w:pPr>
          </w:p>
        </w:tc>
        <w:tc>
          <w:tcPr>
            <w:tcW w:w="1515" w:type="dxa"/>
          </w:tcPr>
          <w:p w14:paraId="7EF1F071"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National Health Reform Agreement</w:t>
            </w:r>
            <w:r>
              <w:rPr>
                <w:rFonts w:asciiTheme="minorHAnsi" w:eastAsiaTheme="minorHAnsi" w:hAnsiTheme="minorHAnsi" w:cstheme="minorHAnsi"/>
                <w:sz w:val="16"/>
                <w:szCs w:val="16"/>
              </w:rPr>
              <w:t>:</w:t>
            </w:r>
          </w:p>
          <w:p w14:paraId="22A227CC"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Pr>
                <w:rFonts w:asciiTheme="minorHAnsi" w:eastAsiaTheme="minorHAnsi" w:hAnsiTheme="minorHAnsi" w:cstheme="minorHAnsi"/>
                <w:sz w:val="16"/>
                <w:szCs w:val="16"/>
              </w:rPr>
              <w:t>Australian Government</w:t>
            </w:r>
            <w:r w:rsidRPr="00D40C14">
              <w:rPr>
                <w:rFonts w:asciiTheme="minorHAnsi" w:eastAsiaTheme="minorHAnsi" w:hAnsiTheme="minorHAnsi" w:cstheme="minorHAnsi"/>
                <w:sz w:val="16"/>
                <w:szCs w:val="16"/>
              </w:rPr>
              <w:t xml:space="preserve"> (NEP)</w:t>
            </w:r>
          </w:p>
          <w:p w14:paraId="41DD839E"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 xml:space="preserve">Jurisdictions </w:t>
            </w:r>
          </w:p>
          <w:p w14:paraId="6A0F1B50" w14:textId="77777777" w:rsidR="00B63AD0" w:rsidRPr="00D40C14" w:rsidRDefault="00B63AD0" w:rsidP="009C1C66">
            <w:pPr>
              <w:spacing w:before="40" w:after="40"/>
              <w:rPr>
                <w:sz w:val="16"/>
                <w:szCs w:val="16"/>
              </w:rPr>
            </w:pPr>
          </w:p>
        </w:tc>
        <w:tc>
          <w:tcPr>
            <w:tcW w:w="2179" w:type="dxa"/>
          </w:tcPr>
          <w:p w14:paraId="6097C0E0"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National Health Reform Agreement</w:t>
            </w:r>
            <w:r>
              <w:rPr>
                <w:rFonts w:asciiTheme="minorHAnsi" w:eastAsiaTheme="minorHAnsi" w:hAnsiTheme="minorHAnsi" w:cstheme="minorHAnsi"/>
                <w:sz w:val="16"/>
                <w:szCs w:val="16"/>
              </w:rPr>
              <w:t>:</w:t>
            </w:r>
          </w:p>
          <w:p w14:paraId="38CF3209"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Pr>
                <w:rFonts w:asciiTheme="minorHAnsi" w:eastAsiaTheme="minorHAnsi" w:hAnsiTheme="minorHAnsi" w:cstheme="minorHAnsi"/>
                <w:sz w:val="16"/>
                <w:szCs w:val="16"/>
              </w:rPr>
              <w:t>Australian Government</w:t>
            </w:r>
            <w:r w:rsidRPr="00D40C14">
              <w:rPr>
                <w:rFonts w:asciiTheme="minorHAnsi" w:eastAsiaTheme="minorHAnsi" w:hAnsiTheme="minorHAnsi" w:cstheme="minorHAnsi"/>
                <w:sz w:val="16"/>
                <w:szCs w:val="16"/>
              </w:rPr>
              <w:t xml:space="preserve"> (NEP)</w:t>
            </w:r>
          </w:p>
          <w:p w14:paraId="7FBF42E1"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Pr>
                <w:rFonts w:asciiTheme="minorHAnsi" w:eastAsiaTheme="minorHAnsi" w:hAnsiTheme="minorHAnsi" w:cstheme="minorHAnsi"/>
                <w:sz w:val="16"/>
                <w:szCs w:val="16"/>
              </w:rPr>
              <w:t>Australian Government</w:t>
            </w:r>
            <w:r w:rsidRPr="00D40C14">
              <w:rPr>
                <w:rFonts w:asciiTheme="minorHAnsi" w:eastAsiaTheme="minorHAnsi" w:hAnsiTheme="minorHAnsi" w:cstheme="minorHAnsi"/>
                <w:sz w:val="16"/>
                <w:szCs w:val="16"/>
              </w:rPr>
              <w:t xml:space="preserve"> (NEC)</w:t>
            </w:r>
          </w:p>
          <w:p w14:paraId="6775BA1B" w14:textId="77777777" w:rsidR="00B63AD0" w:rsidRPr="00D40C14" w:rsidRDefault="00B63AD0" w:rsidP="009C1C66">
            <w:pPr>
              <w:widowControl/>
              <w:numPr>
                <w:ilvl w:val="0"/>
                <w:numId w:val="48"/>
              </w:numPr>
              <w:autoSpaceDE/>
              <w:autoSpaceDN/>
              <w:adjustRightInd/>
              <w:spacing w:before="40" w:after="40"/>
              <w:ind w:left="170" w:hanging="17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 xml:space="preserve">Jurisdictions </w:t>
            </w:r>
          </w:p>
          <w:p w14:paraId="2A718E21"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Tissue typing</w:t>
            </w:r>
            <w:r>
              <w:rPr>
                <w:rFonts w:asciiTheme="minorHAnsi" w:eastAsiaTheme="minorHAnsi" w:hAnsiTheme="minorHAnsi" w:cstheme="minorHAnsi"/>
                <w:sz w:val="16"/>
                <w:szCs w:val="16"/>
              </w:rPr>
              <w:t>:</w:t>
            </w:r>
            <w:r w:rsidRPr="00D40C14">
              <w:rPr>
                <w:rFonts w:asciiTheme="minorHAnsi" w:eastAsiaTheme="minorHAnsi" w:hAnsiTheme="minorHAnsi" w:cstheme="minorHAnsi"/>
                <w:sz w:val="16"/>
                <w:szCs w:val="16"/>
              </w:rPr>
              <w:t xml:space="preserve"> </w:t>
            </w:r>
          </w:p>
          <w:p w14:paraId="6166462D"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 xml:space="preserve">Blood Service </w:t>
            </w:r>
          </w:p>
          <w:p w14:paraId="2B9F2369" w14:textId="77777777" w:rsidR="00B63AD0" w:rsidRPr="00D40C14" w:rsidRDefault="00B63AD0" w:rsidP="009C1C66">
            <w:pPr>
              <w:widowControl/>
              <w:numPr>
                <w:ilvl w:val="1"/>
                <w:numId w:val="57"/>
              </w:numPr>
              <w:autoSpaceDE/>
              <w:autoSpaceDN/>
              <w:adjustRightInd/>
              <w:spacing w:before="40" w:after="40"/>
              <w:ind w:left="397" w:hanging="227"/>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 xml:space="preserve">VIC: semi Block Funded </w:t>
            </w:r>
          </w:p>
          <w:p w14:paraId="131E3EAD" w14:textId="77777777" w:rsidR="00B63AD0" w:rsidRPr="00D40C14" w:rsidRDefault="00B63AD0" w:rsidP="009C1C66">
            <w:pPr>
              <w:widowControl/>
              <w:numPr>
                <w:ilvl w:val="1"/>
                <w:numId w:val="57"/>
              </w:numPr>
              <w:autoSpaceDE/>
              <w:autoSpaceDN/>
              <w:adjustRightInd/>
              <w:spacing w:before="40" w:after="40"/>
              <w:ind w:left="397" w:hanging="227"/>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SA: Block Funded (inc. NT State Agreement)</w:t>
            </w:r>
          </w:p>
          <w:p w14:paraId="0A5729EC" w14:textId="77777777" w:rsidR="00B63AD0" w:rsidRPr="00D40C14" w:rsidRDefault="00B63AD0" w:rsidP="009C1C66">
            <w:pPr>
              <w:widowControl/>
              <w:numPr>
                <w:ilvl w:val="1"/>
                <w:numId w:val="57"/>
              </w:numPr>
              <w:autoSpaceDE/>
              <w:autoSpaceDN/>
              <w:adjustRightInd/>
              <w:spacing w:before="40" w:after="40"/>
              <w:ind w:left="397" w:hanging="227"/>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NSW: Activity Based Funding</w:t>
            </w:r>
          </w:p>
          <w:p w14:paraId="4CF0099E"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QLD HSQ: Block Funded</w:t>
            </w:r>
          </w:p>
          <w:p w14:paraId="2FADC5CC" w14:textId="77777777" w:rsidR="00B63AD0" w:rsidRPr="00D40C14" w:rsidRDefault="00B63AD0" w:rsidP="009C1C66">
            <w:pPr>
              <w:widowControl/>
              <w:numPr>
                <w:ilvl w:val="0"/>
                <w:numId w:val="48"/>
              </w:numPr>
              <w:autoSpaceDE/>
              <w:autoSpaceDN/>
              <w:adjustRightInd/>
              <w:spacing w:before="40" w:after="40"/>
              <w:ind w:left="170" w:hanging="17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WA PathWest</w:t>
            </w:r>
          </w:p>
          <w:p w14:paraId="3889DCF4" w14:textId="77777777" w:rsidR="00B63AD0" w:rsidRPr="00D40C14" w:rsidRDefault="00C14719" w:rsidP="009C1C66">
            <w:pPr>
              <w:widowControl/>
              <w:autoSpaceDE/>
              <w:autoSpaceDN/>
              <w:adjustRightInd/>
              <w:spacing w:before="40" w:after="40"/>
              <w:rPr>
                <w:rFonts w:asciiTheme="minorHAnsi" w:eastAsiaTheme="minorHAnsi" w:hAnsiTheme="minorHAnsi" w:cstheme="minorHAnsi"/>
                <w:sz w:val="16"/>
                <w:szCs w:val="16"/>
              </w:rPr>
            </w:pPr>
            <w:r>
              <w:rPr>
                <w:rFonts w:asciiTheme="minorHAnsi" w:eastAsiaTheme="minorHAnsi" w:hAnsiTheme="minorHAnsi" w:cstheme="minorHAnsi"/>
                <w:sz w:val="16"/>
                <w:szCs w:val="16"/>
              </w:rPr>
              <w:t>State and Territory</w:t>
            </w:r>
            <w:r w:rsidRPr="00D40C14">
              <w:rPr>
                <w:rFonts w:asciiTheme="minorHAnsi" w:eastAsiaTheme="minorHAnsi" w:hAnsiTheme="minorHAnsi" w:cstheme="minorHAnsi"/>
                <w:sz w:val="16"/>
                <w:szCs w:val="16"/>
              </w:rPr>
              <w:t xml:space="preserve"> </w:t>
            </w:r>
            <w:r w:rsidR="00B63AD0" w:rsidRPr="00D40C14">
              <w:rPr>
                <w:rFonts w:asciiTheme="minorHAnsi" w:eastAsiaTheme="minorHAnsi" w:hAnsiTheme="minorHAnsi" w:cstheme="minorHAnsi"/>
                <w:sz w:val="16"/>
                <w:szCs w:val="16"/>
              </w:rPr>
              <w:t>Funding Agreements DonateLife Network – OTA</w:t>
            </w:r>
          </w:p>
          <w:p w14:paraId="1BEE5F2D"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Organ perfusion/</w:t>
            </w:r>
            <w:r>
              <w:rPr>
                <w:rFonts w:asciiTheme="minorHAnsi" w:eastAsiaTheme="minorHAnsi" w:hAnsiTheme="minorHAnsi" w:cstheme="minorHAnsi"/>
                <w:sz w:val="16"/>
                <w:szCs w:val="16"/>
              </w:rPr>
              <w:t xml:space="preserve"> </w:t>
            </w:r>
            <w:r w:rsidRPr="00D40C14">
              <w:rPr>
                <w:rFonts w:asciiTheme="minorHAnsi" w:eastAsiaTheme="minorHAnsi" w:hAnsiTheme="minorHAnsi" w:cstheme="minorHAnsi"/>
                <w:sz w:val="16"/>
                <w:szCs w:val="16"/>
              </w:rPr>
              <w:t>consumables</w:t>
            </w:r>
          </w:p>
          <w:p w14:paraId="22C5EF5B"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Organ transport - multi-organ and perfusion</w:t>
            </w:r>
            <w:r w:rsidR="0031747F">
              <w:rPr>
                <w:rFonts w:asciiTheme="minorHAnsi" w:eastAsiaTheme="minorHAnsi" w:hAnsiTheme="minorHAnsi" w:cstheme="minorHAnsi"/>
                <w:sz w:val="16"/>
                <w:szCs w:val="16"/>
              </w:rPr>
              <w:t>:</w:t>
            </w:r>
          </w:p>
          <w:p w14:paraId="1E7C3DC4"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Retrieval team transport</w:t>
            </w:r>
          </w:p>
          <w:p w14:paraId="1F5A5B87" w14:textId="77777777" w:rsidR="00B63AD0" w:rsidRPr="00D40C14" w:rsidRDefault="00B63AD0" w:rsidP="009C1C66">
            <w:pPr>
              <w:widowControl/>
              <w:numPr>
                <w:ilvl w:val="0"/>
                <w:numId w:val="48"/>
              </w:numPr>
              <w:autoSpaceDE/>
              <w:autoSpaceDN/>
              <w:adjustRightInd/>
              <w:spacing w:before="40" w:after="40"/>
              <w:ind w:left="170" w:hanging="17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Cross border charging arrangements</w:t>
            </w:r>
          </w:p>
          <w:p w14:paraId="6875FCEB" w14:textId="77777777" w:rsidR="00B63AD0" w:rsidRPr="00D40C14" w:rsidRDefault="00B63AD0" w:rsidP="009C1C66">
            <w:pPr>
              <w:spacing w:before="40" w:after="40"/>
              <w:rPr>
                <w:sz w:val="16"/>
                <w:szCs w:val="16"/>
              </w:rPr>
            </w:pPr>
            <w:r w:rsidRPr="00D40C14">
              <w:rPr>
                <w:rFonts w:asciiTheme="minorHAnsi" w:eastAsiaTheme="minorHAnsi" w:hAnsiTheme="minorHAnsi" w:cstheme="minorHAnsi"/>
                <w:sz w:val="16"/>
                <w:szCs w:val="16"/>
              </w:rPr>
              <w:t xml:space="preserve">Nationally Funded Centers (e.g. </w:t>
            </w:r>
            <w:r>
              <w:rPr>
                <w:rFonts w:asciiTheme="minorHAnsi" w:eastAsiaTheme="minorHAnsi" w:hAnsiTheme="minorHAnsi" w:cstheme="minorHAnsi"/>
                <w:sz w:val="16"/>
                <w:szCs w:val="16"/>
              </w:rPr>
              <w:t>Peadiatric</w:t>
            </w:r>
            <w:r w:rsidRPr="00D40C14">
              <w:rPr>
                <w:rFonts w:asciiTheme="minorHAnsi" w:eastAsiaTheme="minorHAnsi" w:hAnsiTheme="minorHAnsi" w:cstheme="minorHAnsi"/>
                <w:sz w:val="16"/>
                <w:szCs w:val="16"/>
              </w:rPr>
              <w:t xml:space="preserve"> Heart Transplant Centre)</w:t>
            </w:r>
          </w:p>
        </w:tc>
        <w:tc>
          <w:tcPr>
            <w:tcW w:w="1896" w:type="dxa"/>
          </w:tcPr>
          <w:p w14:paraId="1174AA07"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National Health Reform Agreement</w:t>
            </w:r>
            <w:r w:rsidR="0031747F">
              <w:rPr>
                <w:rFonts w:asciiTheme="minorHAnsi" w:eastAsiaTheme="minorHAnsi" w:hAnsiTheme="minorHAnsi" w:cstheme="minorHAnsi"/>
                <w:sz w:val="16"/>
                <w:szCs w:val="16"/>
              </w:rPr>
              <w:t>:</w:t>
            </w:r>
          </w:p>
          <w:p w14:paraId="43AB7C2D"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Pr>
                <w:rFonts w:asciiTheme="minorHAnsi" w:eastAsiaTheme="minorHAnsi" w:hAnsiTheme="minorHAnsi" w:cstheme="minorHAnsi"/>
                <w:sz w:val="16"/>
                <w:szCs w:val="16"/>
              </w:rPr>
              <w:t>Australian Government</w:t>
            </w:r>
            <w:r w:rsidRPr="00D40C14">
              <w:rPr>
                <w:rFonts w:asciiTheme="minorHAnsi" w:eastAsiaTheme="minorHAnsi" w:hAnsiTheme="minorHAnsi" w:cstheme="minorHAnsi"/>
                <w:sz w:val="16"/>
                <w:szCs w:val="16"/>
              </w:rPr>
              <w:t xml:space="preserve"> (NEP)</w:t>
            </w:r>
          </w:p>
          <w:p w14:paraId="24C79594"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Pr>
                <w:rFonts w:asciiTheme="minorHAnsi" w:eastAsiaTheme="minorHAnsi" w:hAnsiTheme="minorHAnsi" w:cstheme="minorHAnsi"/>
                <w:sz w:val="16"/>
                <w:szCs w:val="16"/>
              </w:rPr>
              <w:t>Australian Government</w:t>
            </w:r>
            <w:r w:rsidRPr="00D40C14">
              <w:rPr>
                <w:rFonts w:asciiTheme="minorHAnsi" w:eastAsiaTheme="minorHAnsi" w:hAnsiTheme="minorHAnsi" w:cstheme="minorHAnsi"/>
                <w:sz w:val="16"/>
                <w:szCs w:val="16"/>
              </w:rPr>
              <w:t xml:space="preserve"> (NEC)</w:t>
            </w:r>
          </w:p>
          <w:p w14:paraId="17C21055" w14:textId="77777777" w:rsidR="00B63AD0" w:rsidRPr="00D40C14" w:rsidRDefault="00B63AD0" w:rsidP="009C1C66">
            <w:pPr>
              <w:widowControl/>
              <w:numPr>
                <w:ilvl w:val="0"/>
                <w:numId w:val="48"/>
              </w:numPr>
              <w:autoSpaceDE/>
              <w:autoSpaceDN/>
              <w:adjustRightInd/>
              <w:spacing w:before="40" w:after="40"/>
              <w:ind w:left="170" w:hanging="17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 xml:space="preserve">Jurisdictions </w:t>
            </w:r>
          </w:p>
          <w:p w14:paraId="0AF93DE3"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Tissue typing</w:t>
            </w:r>
            <w:r w:rsidR="0031747F">
              <w:rPr>
                <w:rFonts w:asciiTheme="minorHAnsi" w:eastAsiaTheme="minorHAnsi" w:hAnsiTheme="minorHAnsi" w:cstheme="minorHAnsi"/>
                <w:sz w:val="16"/>
                <w:szCs w:val="16"/>
              </w:rPr>
              <w:t>:</w:t>
            </w:r>
            <w:r w:rsidRPr="00D40C14">
              <w:rPr>
                <w:rFonts w:asciiTheme="minorHAnsi" w:eastAsiaTheme="minorHAnsi" w:hAnsiTheme="minorHAnsi" w:cstheme="minorHAnsi"/>
                <w:sz w:val="16"/>
                <w:szCs w:val="16"/>
              </w:rPr>
              <w:t xml:space="preserve"> </w:t>
            </w:r>
          </w:p>
          <w:p w14:paraId="16C7D900"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 xml:space="preserve">Blood Service </w:t>
            </w:r>
          </w:p>
          <w:p w14:paraId="0BDC9CEF" w14:textId="77777777" w:rsidR="00B63AD0" w:rsidRPr="00D40C14" w:rsidRDefault="00B63AD0" w:rsidP="009C1C66">
            <w:pPr>
              <w:widowControl/>
              <w:numPr>
                <w:ilvl w:val="1"/>
                <w:numId w:val="57"/>
              </w:numPr>
              <w:autoSpaceDE/>
              <w:autoSpaceDN/>
              <w:adjustRightInd/>
              <w:spacing w:before="40" w:after="40"/>
              <w:ind w:left="397" w:hanging="227"/>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 xml:space="preserve">VIC: semi Block Funded </w:t>
            </w:r>
          </w:p>
          <w:p w14:paraId="297D3EB0" w14:textId="77777777" w:rsidR="00B63AD0" w:rsidRPr="00D40C14" w:rsidRDefault="00B63AD0" w:rsidP="009C1C66">
            <w:pPr>
              <w:widowControl/>
              <w:numPr>
                <w:ilvl w:val="1"/>
                <w:numId w:val="57"/>
              </w:numPr>
              <w:autoSpaceDE/>
              <w:autoSpaceDN/>
              <w:adjustRightInd/>
              <w:spacing w:before="40" w:after="40"/>
              <w:ind w:left="397" w:hanging="227"/>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SA: Block Funded (inc. NT State Agreement)</w:t>
            </w:r>
          </w:p>
          <w:p w14:paraId="44DAB2D0" w14:textId="77777777" w:rsidR="00B63AD0" w:rsidRPr="00D40C14" w:rsidRDefault="00B63AD0" w:rsidP="009C1C66">
            <w:pPr>
              <w:widowControl/>
              <w:numPr>
                <w:ilvl w:val="1"/>
                <w:numId w:val="57"/>
              </w:numPr>
              <w:autoSpaceDE/>
              <w:autoSpaceDN/>
              <w:adjustRightInd/>
              <w:spacing w:before="40" w:after="40"/>
              <w:ind w:left="397" w:hanging="227"/>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NSW: Activity Based Funding</w:t>
            </w:r>
          </w:p>
          <w:p w14:paraId="150ABD57"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QLD HSQ: Block Funded</w:t>
            </w:r>
          </w:p>
          <w:p w14:paraId="580E7C09" w14:textId="77777777" w:rsidR="00B63AD0" w:rsidRPr="00D40C14" w:rsidRDefault="00B63AD0" w:rsidP="009C1C66">
            <w:pPr>
              <w:widowControl/>
              <w:numPr>
                <w:ilvl w:val="0"/>
                <w:numId w:val="48"/>
              </w:numPr>
              <w:autoSpaceDE/>
              <w:autoSpaceDN/>
              <w:adjustRightInd/>
              <w:spacing w:before="40" w:after="40"/>
              <w:ind w:left="170" w:hanging="17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WA PathWest</w:t>
            </w:r>
          </w:p>
          <w:p w14:paraId="3EB93F69"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Organ perfusion/</w:t>
            </w:r>
            <w:r>
              <w:rPr>
                <w:rFonts w:asciiTheme="minorHAnsi" w:eastAsiaTheme="minorHAnsi" w:hAnsiTheme="minorHAnsi" w:cstheme="minorHAnsi"/>
                <w:sz w:val="16"/>
                <w:szCs w:val="16"/>
              </w:rPr>
              <w:t xml:space="preserve"> </w:t>
            </w:r>
            <w:r w:rsidRPr="00D40C14">
              <w:rPr>
                <w:rFonts w:asciiTheme="minorHAnsi" w:eastAsiaTheme="minorHAnsi" w:hAnsiTheme="minorHAnsi" w:cstheme="minorHAnsi"/>
                <w:sz w:val="16"/>
                <w:szCs w:val="16"/>
              </w:rPr>
              <w:t>consumables</w:t>
            </w:r>
          </w:p>
          <w:p w14:paraId="63C26653"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Cross border charging arrangements</w:t>
            </w:r>
          </w:p>
          <w:p w14:paraId="33DC6D6C"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 xml:space="preserve">Nationally Funded Centers (e.g. </w:t>
            </w:r>
            <w:r>
              <w:rPr>
                <w:rFonts w:asciiTheme="minorHAnsi" w:eastAsiaTheme="minorHAnsi" w:hAnsiTheme="minorHAnsi" w:cstheme="minorHAnsi"/>
                <w:sz w:val="16"/>
                <w:szCs w:val="16"/>
              </w:rPr>
              <w:t>Peadiatric</w:t>
            </w:r>
            <w:r w:rsidRPr="00D40C14">
              <w:rPr>
                <w:rFonts w:asciiTheme="minorHAnsi" w:eastAsiaTheme="minorHAnsi" w:hAnsiTheme="minorHAnsi" w:cstheme="minorHAnsi"/>
                <w:sz w:val="16"/>
                <w:szCs w:val="16"/>
              </w:rPr>
              <w:t xml:space="preserve"> Heart Transplant Centre)</w:t>
            </w:r>
          </w:p>
          <w:p w14:paraId="2A5E97F6" w14:textId="77777777" w:rsidR="00B63AD0" w:rsidRPr="00D40C14" w:rsidRDefault="00B63AD0" w:rsidP="009C1C66">
            <w:pPr>
              <w:spacing w:before="40" w:after="40"/>
              <w:rPr>
                <w:sz w:val="16"/>
                <w:szCs w:val="16"/>
              </w:rPr>
            </w:pPr>
          </w:p>
        </w:tc>
        <w:tc>
          <w:tcPr>
            <w:tcW w:w="1701" w:type="dxa"/>
          </w:tcPr>
          <w:p w14:paraId="09F87609"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National Health Reform Agreement</w:t>
            </w:r>
          </w:p>
          <w:p w14:paraId="1BD4FD8E"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Pr>
                <w:rFonts w:asciiTheme="minorHAnsi" w:eastAsiaTheme="minorHAnsi" w:hAnsiTheme="minorHAnsi" w:cstheme="minorHAnsi"/>
                <w:sz w:val="16"/>
                <w:szCs w:val="16"/>
              </w:rPr>
              <w:t>Australian Government</w:t>
            </w:r>
            <w:r w:rsidRPr="00D40C14">
              <w:rPr>
                <w:rFonts w:asciiTheme="minorHAnsi" w:eastAsiaTheme="minorHAnsi" w:hAnsiTheme="minorHAnsi" w:cstheme="minorHAnsi"/>
                <w:sz w:val="16"/>
                <w:szCs w:val="16"/>
              </w:rPr>
              <w:t xml:space="preserve"> (NEP)</w:t>
            </w:r>
          </w:p>
          <w:p w14:paraId="550FF299" w14:textId="77777777" w:rsidR="00B63AD0" w:rsidRPr="00D40C14" w:rsidRDefault="00B63AD0" w:rsidP="009C1C66">
            <w:pPr>
              <w:widowControl/>
              <w:numPr>
                <w:ilvl w:val="0"/>
                <w:numId w:val="48"/>
              </w:numPr>
              <w:autoSpaceDE/>
              <w:autoSpaceDN/>
              <w:adjustRightInd/>
              <w:spacing w:before="40" w:after="40"/>
              <w:ind w:left="170" w:hanging="170"/>
              <w:contextualSpacing/>
              <w:rPr>
                <w:rFonts w:asciiTheme="minorHAnsi" w:eastAsiaTheme="minorHAnsi" w:hAnsiTheme="minorHAnsi" w:cstheme="minorHAnsi"/>
                <w:sz w:val="16"/>
                <w:szCs w:val="16"/>
              </w:rPr>
            </w:pPr>
            <w:r>
              <w:rPr>
                <w:rFonts w:asciiTheme="minorHAnsi" w:eastAsiaTheme="minorHAnsi" w:hAnsiTheme="minorHAnsi" w:cstheme="minorHAnsi"/>
                <w:sz w:val="16"/>
                <w:szCs w:val="16"/>
              </w:rPr>
              <w:t>Australian Government</w:t>
            </w:r>
            <w:r w:rsidRPr="00D40C14">
              <w:rPr>
                <w:rFonts w:asciiTheme="minorHAnsi" w:eastAsiaTheme="minorHAnsi" w:hAnsiTheme="minorHAnsi" w:cstheme="minorHAnsi"/>
                <w:sz w:val="16"/>
                <w:szCs w:val="16"/>
              </w:rPr>
              <w:t xml:space="preserve"> (NEC)</w:t>
            </w:r>
          </w:p>
          <w:p w14:paraId="5FDAB265" w14:textId="77777777" w:rsidR="00B63AD0" w:rsidRPr="00D40C14" w:rsidRDefault="00B63AD0" w:rsidP="009C1C66">
            <w:pPr>
              <w:widowControl/>
              <w:numPr>
                <w:ilvl w:val="0"/>
                <w:numId w:val="48"/>
              </w:numPr>
              <w:autoSpaceDE/>
              <w:autoSpaceDN/>
              <w:adjustRightInd/>
              <w:spacing w:before="40" w:after="40"/>
              <w:ind w:left="170" w:hanging="17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 xml:space="preserve">Jurisdictions </w:t>
            </w:r>
          </w:p>
          <w:p w14:paraId="63FAAC39" w14:textId="77777777"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 xml:space="preserve">Nationally Funded Centers (e.g. </w:t>
            </w:r>
            <w:r>
              <w:rPr>
                <w:rFonts w:asciiTheme="minorHAnsi" w:eastAsiaTheme="minorHAnsi" w:hAnsiTheme="minorHAnsi" w:cstheme="minorHAnsi"/>
                <w:sz w:val="16"/>
                <w:szCs w:val="16"/>
              </w:rPr>
              <w:t>Peadiatric</w:t>
            </w:r>
            <w:r w:rsidRPr="00D40C14">
              <w:rPr>
                <w:rFonts w:asciiTheme="minorHAnsi" w:eastAsiaTheme="minorHAnsi" w:hAnsiTheme="minorHAnsi" w:cstheme="minorHAnsi"/>
                <w:sz w:val="16"/>
                <w:szCs w:val="16"/>
              </w:rPr>
              <w:t xml:space="preserve"> Heart Transplant Centre)</w:t>
            </w:r>
          </w:p>
          <w:p w14:paraId="22ADF740" w14:textId="77777777" w:rsidR="00B63AD0" w:rsidRPr="00D40C14" w:rsidRDefault="00B63AD0" w:rsidP="009C1C66">
            <w:pPr>
              <w:spacing w:before="40" w:after="40"/>
              <w:rPr>
                <w:sz w:val="16"/>
                <w:szCs w:val="16"/>
              </w:rPr>
            </w:pPr>
            <w:r w:rsidRPr="00D40C14">
              <w:rPr>
                <w:rFonts w:asciiTheme="minorHAnsi" w:eastAsiaTheme="minorHAnsi" w:hAnsiTheme="minorHAnsi" w:cstheme="minorHAnsi"/>
                <w:sz w:val="16"/>
                <w:szCs w:val="16"/>
              </w:rPr>
              <w:t>Outcome registries - OTA</w:t>
            </w:r>
          </w:p>
        </w:tc>
      </w:tr>
      <w:tr w:rsidR="00B63AD0" w:rsidRPr="00CA33EB" w14:paraId="7BC69885" w14:textId="77777777" w:rsidTr="00364065">
        <w:tc>
          <w:tcPr>
            <w:tcW w:w="799" w:type="dxa"/>
            <w:shd w:val="clear" w:color="auto" w:fill="auto"/>
          </w:tcPr>
          <w:p w14:paraId="38EC8BAB" w14:textId="77777777" w:rsidR="00B63AD0" w:rsidRPr="00163C7F" w:rsidRDefault="00B63AD0" w:rsidP="009C1C66">
            <w:pPr>
              <w:spacing w:before="40" w:after="40"/>
              <w:rPr>
                <w:b/>
                <w:color w:val="000000" w:themeColor="text1"/>
                <w:sz w:val="16"/>
                <w:szCs w:val="16"/>
              </w:rPr>
            </w:pPr>
            <w:r w:rsidRPr="00163C7F">
              <w:rPr>
                <w:rFonts w:asciiTheme="minorHAnsi" w:eastAsiaTheme="minorHAnsi" w:hAnsiTheme="minorHAnsi" w:cstheme="minorHAnsi"/>
                <w:b/>
                <w:color w:val="000000" w:themeColor="text1"/>
                <w:sz w:val="16"/>
                <w:szCs w:val="16"/>
              </w:rPr>
              <w:t>Patient funding</w:t>
            </w:r>
          </w:p>
        </w:tc>
        <w:tc>
          <w:tcPr>
            <w:tcW w:w="1748" w:type="dxa"/>
          </w:tcPr>
          <w:p w14:paraId="65B6EBC5" w14:textId="0A16945A"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Medicare Benefits Sche</w:t>
            </w:r>
            <w:r w:rsidR="00E81CE6">
              <w:rPr>
                <w:rFonts w:asciiTheme="minorHAnsi" w:eastAsiaTheme="minorHAnsi" w:hAnsiTheme="minorHAnsi" w:cstheme="minorHAnsi"/>
                <w:sz w:val="16"/>
                <w:szCs w:val="16"/>
              </w:rPr>
              <w:t>dule</w:t>
            </w:r>
          </w:p>
          <w:p w14:paraId="357FDDCD" w14:textId="77777777" w:rsidR="00B63AD0" w:rsidRPr="00D40C14" w:rsidRDefault="00B63AD0" w:rsidP="009C1C66">
            <w:pPr>
              <w:widowControl/>
              <w:autoSpaceDE/>
              <w:autoSpaceDN/>
              <w:adjustRightInd/>
              <w:spacing w:before="40" w:after="40"/>
              <w:rPr>
                <w:sz w:val="16"/>
                <w:szCs w:val="16"/>
              </w:rPr>
            </w:pPr>
            <w:r w:rsidRPr="00D40C14">
              <w:rPr>
                <w:rFonts w:asciiTheme="minorHAnsi" w:eastAsiaTheme="minorHAnsi" w:hAnsiTheme="minorHAnsi" w:cstheme="minorHAnsi"/>
                <w:sz w:val="16"/>
                <w:szCs w:val="16"/>
              </w:rPr>
              <w:t>Pharmaceutical Benefits Scheme</w:t>
            </w:r>
          </w:p>
        </w:tc>
        <w:tc>
          <w:tcPr>
            <w:tcW w:w="1542" w:type="dxa"/>
          </w:tcPr>
          <w:p w14:paraId="056CD745" w14:textId="77777777" w:rsidR="00B63AD0" w:rsidRPr="00D40C14" w:rsidRDefault="00B63AD0" w:rsidP="009C1C66">
            <w:pPr>
              <w:spacing w:before="40" w:after="40"/>
              <w:rPr>
                <w:sz w:val="16"/>
                <w:szCs w:val="16"/>
              </w:rPr>
            </w:pPr>
          </w:p>
        </w:tc>
        <w:tc>
          <w:tcPr>
            <w:tcW w:w="1523" w:type="dxa"/>
          </w:tcPr>
          <w:p w14:paraId="3B8B24B8" w14:textId="77777777" w:rsidR="00B63AD0" w:rsidRPr="00D40C14" w:rsidRDefault="00B63AD0" w:rsidP="009C1C66">
            <w:pPr>
              <w:spacing w:before="40" w:after="40"/>
              <w:rPr>
                <w:sz w:val="16"/>
                <w:szCs w:val="16"/>
              </w:rPr>
            </w:pPr>
          </w:p>
        </w:tc>
        <w:tc>
          <w:tcPr>
            <w:tcW w:w="1604" w:type="dxa"/>
          </w:tcPr>
          <w:p w14:paraId="640C7897" w14:textId="77777777" w:rsidR="00B63AD0" w:rsidRPr="00D40C14" w:rsidRDefault="00B63AD0" w:rsidP="009C1C66">
            <w:pPr>
              <w:spacing w:before="40" w:after="40"/>
              <w:rPr>
                <w:sz w:val="16"/>
                <w:szCs w:val="16"/>
              </w:rPr>
            </w:pPr>
          </w:p>
        </w:tc>
        <w:tc>
          <w:tcPr>
            <w:tcW w:w="1515" w:type="dxa"/>
          </w:tcPr>
          <w:p w14:paraId="4D7B1936" w14:textId="77777777" w:rsidR="00B63AD0" w:rsidRPr="00D40C14" w:rsidRDefault="00B63AD0" w:rsidP="009C1C66">
            <w:pPr>
              <w:spacing w:before="40" w:after="40"/>
              <w:rPr>
                <w:sz w:val="16"/>
                <w:szCs w:val="16"/>
              </w:rPr>
            </w:pPr>
          </w:p>
        </w:tc>
        <w:tc>
          <w:tcPr>
            <w:tcW w:w="2179" w:type="dxa"/>
          </w:tcPr>
          <w:p w14:paraId="06831D17" w14:textId="77777777" w:rsidR="00B63AD0" w:rsidRPr="00D40C14" w:rsidRDefault="00B63AD0" w:rsidP="009C1C66">
            <w:pPr>
              <w:spacing w:before="40" w:after="40"/>
              <w:rPr>
                <w:sz w:val="16"/>
                <w:szCs w:val="16"/>
              </w:rPr>
            </w:pPr>
          </w:p>
        </w:tc>
        <w:tc>
          <w:tcPr>
            <w:tcW w:w="1896" w:type="dxa"/>
          </w:tcPr>
          <w:p w14:paraId="6EFFA11E" w14:textId="77777777" w:rsidR="00B63AD0" w:rsidRPr="00D40C14" w:rsidRDefault="00B63AD0" w:rsidP="009C1C66">
            <w:pPr>
              <w:spacing w:before="40" w:after="40"/>
              <w:rPr>
                <w:sz w:val="16"/>
                <w:szCs w:val="16"/>
              </w:rPr>
            </w:pPr>
          </w:p>
        </w:tc>
        <w:tc>
          <w:tcPr>
            <w:tcW w:w="1701" w:type="dxa"/>
          </w:tcPr>
          <w:p w14:paraId="5FD4EAB7" w14:textId="1F4609C1" w:rsidR="00B63AD0" w:rsidRPr="00D40C14" w:rsidRDefault="00B63AD0" w:rsidP="009C1C66">
            <w:pPr>
              <w:widowControl/>
              <w:autoSpaceDE/>
              <w:autoSpaceDN/>
              <w:adjustRightInd/>
              <w:spacing w:before="40" w:after="40"/>
              <w:rPr>
                <w:rFonts w:asciiTheme="minorHAnsi" w:eastAsiaTheme="minorHAnsi" w:hAnsiTheme="minorHAnsi" w:cstheme="minorHAnsi"/>
                <w:sz w:val="16"/>
                <w:szCs w:val="16"/>
              </w:rPr>
            </w:pPr>
            <w:r w:rsidRPr="00D40C14">
              <w:rPr>
                <w:rFonts w:asciiTheme="minorHAnsi" w:eastAsiaTheme="minorHAnsi" w:hAnsiTheme="minorHAnsi" w:cstheme="minorHAnsi"/>
                <w:sz w:val="16"/>
                <w:szCs w:val="16"/>
              </w:rPr>
              <w:t>Medicare Benefits Sche</w:t>
            </w:r>
            <w:r w:rsidR="00E81CE6">
              <w:rPr>
                <w:rFonts w:asciiTheme="minorHAnsi" w:eastAsiaTheme="minorHAnsi" w:hAnsiTheme="minorHAnsi" w:cstheme="minorHAnsi"/>
                <w:sz w:val="16"/>
                <w:szCs w:val="16"/>
              </w:rPr>
              <w:t>dule</w:t>
            </w:r>
          </w:p>
          <w:p w14:paraId="063D6133" w14:textId="77777777" w:rsidR="00B63AD0" w:rsidRPr="005D62F0" w:rsidRDefault="005D62F0" w:rsidP="009C1C66">
            <w:pPr>
              <w:widowControl/>
              <w:autoSpaceDE/>
              <w:autoSpaceDN/>
              <w:adjustRightInd/>
              <w:spacing w:before="40" w:after="40"/>
              <w:rPr>
                <w:rFonts w:asciiTheme="minorHAnsi" w:eastAsiaTheme="minorHAnsi" w:hAnsiTheme="minorHAnsi" w:cstheme="minorHAnsi"/>
                <w:sz w:val="16"/>
                <w:szCs w:val="16"/>
              </w:rPr>
            </w:pPr>
            <w:r>
              <w:rPr>
                <w:rFonts w:asciiTheme="minorHAnsi" w:eastAsiaTheme="minorHAnsi" w:hAnsiTheme="minorHAnsi" w:cstheme="minorHAnsi"/>
                <w:sz w:val="16"/>
                <w:szCs w:val="16"/>
              </w:rPr>
              <w:t>Pharmaceutical Benefits Scheme</w:t>
            </w:r>
          </w:p>
        </w:tc>
      </w:tr>
    </w:tbl>
    <w:p w14:paraId="0CD632F6" w14:textId="77777777" w:rsidR="00B63AD0" w:rsidRDefault="00B63AD0" w:rsidP="00C04E68">
      <w:pPr>
        <w:spacing w:before="120" w:after="120"/>
        <w:rPr>
          <w:rFonts w:asciiTheme="minorHAnsi" w:hAnsiTheme="minorHAnsi" w:cstheme="minorHAnsi"/>
          <w:color w:val="000000" w:themeColor="text1"/>
          <w:sz w:val="24"/>
          <w:szCs w:val="26"/>
        </w:rPr>
        <w:sectPr w:rsidR="00B63AD0" w:rsidSect="009C1C66">
          <w:pgSz w:w="16838" w:h="11906" w:orient="landscape"/>
          <w:pgMar w:top="993" w:right="1440" w:bottom="851" w:left="1440" w:header="283" w:footer="567" w:gutter="0"/>
          <w:cols w:space="708"/>
          <w:docGrid w:linePitch="360"/>
        </w:sectPr>
      </w:pPr>
    </w:p>
    <w:p w14:paraId="106DB899" w14:textId="77777777" w:rsidR="0054490B" w:rsidRPr="00AA47E4" w:rsidRDefault="00855B2E" w:rsidP="0054490B">
      <w:pPr>
        <w:pStyle w:val="Heading1"/>
        <w:ind w:left="992" w:hanging="992"/>
        <w:rPr>
          <w:rFonts w:asciiTheme="minorHAnsi" w:hAnsiTheme="minorHAnsi" w:cstheme="minorHAnsi"/>
          <w:sz w:val="48"/>
        </w:rPr>
      </w:pPr>
      <w:bookmarkStart w:id="159" w:name="_Toc527380930"/>
      <w:bookmarkStart w:id="160" w:name="_Toc523508784"/>
      <w:bookmarkStart w:id="161" w:name="_Toc523509017"/>
      <w:bookmarkStart w:id="162" w:name="_Toc523509248"/>
      <w:bookmarkStart w:id="163" w:name="_Toc523480858"/>
      <w:bookmarkStart w:id="164" w:name="_Toc523481090"/>
      <w:bookmarkStart w:id="165" w:name="_Toc523481321"/>
      <w:bookmarkStart w:id="166" w:name="_Toc523481553"/>
      <w:bookmarkStart w:id="167" w:name="_Toc523485159"/>
      <w:bookmarkStart w:id="168" w:name="_Toc523496681"/>
      <w:bookmarkStart w:id="169" w:name="_Toc523496909"/>
      <w:bookmarkStart w:id="170" w:name="_Toc523508787"/>
      <w:bookmarkStart w:id="171" w:name="_Toc523509020"/>
      <w:bookmarkStart w:id="172" w:name="_Toc523509251"/>
      <w:bookmarkStart w:id="173" w:name="_Toc523480874"/>
      <w:bookmarkStart w:id="174" w:name="_Toc523481106"/>
      <w:bookmarkStart w:id="175" w:name="_Toc523481337"/>
      <w:bookmarkStart w:id="176" w:name="_Toc523481569"/>
      <w:bookmarkStart w:id="177" w:name="_Toc523485175"/>
      <w:bookmarkStart w:id="178" w:name="_Toc523496697"/>
      <w:bookmarkStart w:id="179" w:name="_Toc523496925"/>
      <w:bookmarkStart w:id="180" w:name="_Toc523508803"/>
      <w:bookmarkStart w:id="181" w:name="_Toc523509036"/>
      <w:bookmarkStart w:id="182" w:name="_Toc523509267"/>
      <w:bookmarkStart w:id="183" w:name="_Toc523480875"/>
      <w:bookmarkStart w:id="184" w:name="_Toc523481107"/>
      <w:bookmarkStart w:id="185" w:name="_Toc523481338"/>
      <w:bookmarkStart w:id="186" w:name="_Toc523481570"/>
      <w:bookmarkStart w:id="187" w:name="_Toc523485176"/>
      <w:bookmarkStart w:id="188" w:name="_Toc523496698"/>
      <w:bookmarkStart w:id="189" w:name="_Toc523496926"/>
      <w:bookmarkStart w:id="190" w:name="_Toc523508804"/>
      <w:bookmarkStart w:id="191" w:name="_Toc523509037"/>
      <w:bookmarkStart w:id="192" w:name="_Toc523509268"/>
      <w:bookmarkStart w:id="193" w:name="_Toc523480876"/>
      <w:bookmarkStart w:id="194" w:name="_Toc523481108"/>
      <w:bookmarkStart w:id="195" w:name="_Toc523481339"/>
      <w:bookmarkStart w:id="196" w:name="_Toc523481571"/>
      <w:bookmarkStart w:id="197" w:name="_Toc523485177"/>
      <w:bookmarkStart w:id="198" w:name="_Toc523496699"/>
      <w:bookmarkStart w:id="199" w:name="_Toc523496927"/>
      <w:bookmarkStart w:id="200" w:name="_Toc523508805"/>
      <w:bookmarkStart w:id="201" w:name="_Toc523509038"/>
      <w:bookmarkStart w:id="202" w:name="_Toc523509269"/>
      <w:bookmarkStart w:id="203" w:name="_Toc523480877"/>
      <w:bookmarkStart w:id="204" w:name="_Toc523481109"/>
      <w:bookmarkStart w:id="205" w:name="_Toc523481340"/>
      <w:bookmarkStart w:id="206" w:name="_Toc523481572"/>
      <w:bookmarkStart w:id="207" w:name="_Toc523485178"/>
      <w:bookmarkStart w:id="208" w:name="_Toc523496700"/>
      <w:bookmarkStart w:id="209" w:name="_Toc523496928"/>
      <w:bookmarkStart w:id="210" w:name="_Toc523508806"/>
      <w:bookmarkStart w:id="211" w:name="_Toc523509039"/>
      <w:bookmarkStart w:id="212" w:name="_Toc523509270"/>
      <w:bookmarkStart w:id="213" w:name="_Toc523480899"/>
      <w:bookmarkStart w:id="214" w:name="_Toc523481131"/>
      <w:bookmarkStart w:id="215" w:name="_Toc523481362"/>
      <w:bookmarkStart w:id="216" w:name="_Toc523481594"/>
      <w:bookmarkStart w:id="217" w:name="_Toc523485200"/>
      <w:bookmarkStart w:id="218" w:name="_Toc523496722"/>
      <w:bookmarkStart w:id="219" w:name="_Toc523496950"/>
      <w:bookmarkStart w:id="220" w:name="_Toc523508828"/>
      <w:bookmarkStart w:id="221" w:name="_Toc523509061"/>
      <w:bookmarkStart w:id="222" w:name="_Toc523509292"/>
      <w:bookmarkStart w:id="223" w:name="_Toc501331904"/>
      <w:bookmarkStart w:id="224" w:name="_Toc501332101"/>
      <w:bookmarkStart w:id="225" w:name="_Toc501332572"/>
      <w:bookmarkStart w:id="226" w:name="_Toc501331906"/>
      <w:bookmarkStart w:id="227" w:name="_Toc501332103"/>
      <w:bookmarkStart w:id="228" w:name="_Toc501332574"/>
      <w:bookmarkStart w:id="229" w:name="_Toc523480910"/>
      <w:bookmarkStart w:id="230" w:name="_Toc523481142"/>
      <w:bookmarkStart w:id="231" w:name="_Toc523481373"/>
      <w:bookmarkStart w:id="232" w:name="_Toc523481605"/>
      <w:bookmarkStart w:id="233" w:name="_Toc523480911"/>
      <w:bookmarkStart w:id="234" w:name="_Toc523481143"/>
      <w:bookmarkStart w:id="235" w:name="_Toc523481374"/>
      <w:bookmarkStart w:id="236" w:name="_Toc523481606"/>
      <w:bookmarkStart w:id="237" w:name="_Toc523743433"/>
      <w:bookmarkStart w:id="238" w:name="_Toc523750898"/>
      <w:bookmarkStart w:id="239" w:name="_Toc523480912"/>
      <w:bookmarkStart w:id="240" w:name="_Toc523481144"/>
      <w:bookmarkStart w:id="241" w:name="_Toc523481375"/>
      <w:bookmarkStart w:id="242" w:name="_Toc523481607"/>
      <w:bookmarkStart w:id="243" w:name="_Toc523743434"/>
      <w:bookmarkStart w:id="244" w:name="_Toc523750899"/>
      <w:bookmarkStart w:id="245" w:name="_Toc523480913"/>
      <w:bookmarkStart w:id="246" w:name="_Toc523481145"/>
      <w:bookmarkStart w:id="247" w:name="_Toc523481376"/>
      <w:bookmarkStart w:id="248" w:name="_Toc523481608"/>
      <w:bookmarkStart w:id="249" w:name="_Toc523743435"/>
      <w:bookmarkStart w:id="250" w:name="_Toc523750900"/>
      <w:bookmarkStart w:id="251" w:name="_Toc523480914"/>
      <w:bookmarkStart w:id="252" w:name="_Toc523481146"/>
      <w:bookmarkStart w:id="253" w:name="_Toc523481377"/>
      <w:bookmarkStart w:id="254" w:name="_Toc523481609"/>
      <w:bookmarkStart w:id="255" w:name="_Toc523743436"/>
      <w:bookmarkStart w:id="256" w:name="_Toc523750901"/>
      <w:bookmarkStart w:id="257" w:name="_Toc523480915"/>
      <w:bookmarkStart w:id="258" w:name="_Toc523481147"/>
      <w:bookmarkStart w:id="259" w:name="_Toc523481378"/>
      <w:bookmarkStart w:id="260" w:name="_Toc523481610"/>
      <w:bookmarkStart w:id="261" w:name="_Toc523743437"/>
      <w:bookmarkStart w:id="262" w:name="_Toc523750902"/>
      <w:bookmarkStart w:id="263" w:name="_Toc523480916"/>
      <w:bookmarkStart w:id="264" w:name="_Toc523481148"/>
      <w:bookmarkStart w:id="265" w:name="_Toc523481379"/>
      <w:bookmarkStart w:id="266" w:name="_Toc523481611"/>
      <w:bookmarkStart w:id="267" w:name="_Toc523743438"/>
      <w:bookmarkStart w:id="268" w:name="_Toc523750903"/>
      <w:bookmarkStart w:id="269" w:name="_Toc523480917"/>
      <w:bookmarkStart w:id="270" w:name="_Toc523481149"/>
      <w:bookmarkStart w:id="271" w:name="_Toc523481380"/>
      <w:bookmarkStart w:id="272" w:name="_Toc523481612"/>
      <w:bookmarkStart w:id="273" w:name="_Toc523743439"/>
      <w:bookmarkStart w:id="274" w:name="_Toc523750904"/>
      <w:bookmarkStart w:id="275" w:name="_Toc523480918"/>
      <w:bookmarkStart w:id="276" w:name="_Toc523481150"/>
      <w:bookmarkStart w:id="277" w:name="_Toc523481381"/>
      <w:bookmarkStart w:id="278" w:name="_Toc523481613"/>
      <w:bookmarkStart w:id="279" w:name="_Toc523743440"/>
      <w:bookmarkStart w:id="280" w:name="_Toc523750905"/>
      <w:bookmarkStart w:id="281" w:name="_Toc523480919"/>
      <w:bookmarkStart w:id="282" w:name="_Toc523481151"/>
      <w:bookmarkStart w:id="283" w:name="_Toc523481382"/>
      <w:bookmarkStart w:id="284" w:name="_Toc523481614"/>
      <w:bookmarkStart w:id="285" w:name="_Toc523743441"/>
      <w:bookmarkStart w:id="286" w:name="_Toc523750906"/>
      <w:bookmarkStart w:id="287" w:name="_Toc523480920"/>
      <w:bookmarkStart w:id="288" w:name="_Toc523481152"/>
      <w:bookmarkStart w:id="289" w:name="_Toc523481383"/>
      <w:bookmarkStart w:id="290" w:name="_Toc523481615"/>
      <w:bookmarkStart w:id="291" w:name="_Toc523743442"/>
      <w:bookmarkStart w:id="292" w:name="_Toc523750907"/>
      <w:bookmarkStart w:id="293" w:name="_Toc523480921"/>
      <w:bookmarkStart w:id="294" w:name="_Toc523481153"/>
      <w:bookmarkStart w:id="295" w:name="_Toc523481384"/>
      <w:bookmarkStart w:id="296" w:name="_Toc523481616"/>
      <w:bookmarkStart w:id="297" w:name="_Toc523743443"/>
      <w:bookmarkStart w:id="298" w:name="_Toc523750908"/>
      <w:bookmarkStart w:id="299" w:name="_Toc523480922"/>
      <w:bookmarkStart w:id="300" w:name="_Toc523481154"/>
      <w:bookmarkStart w:id="301" w:name="_Toc523481385"/>
      <w:bookmarkStart w:id="302" w:name="_Toc523481617"/>
      <w:bookmarkStart w:id="303" w:name="_Toc523743444"/>
      <w:bookmarkStart w:id="304" w:name="_Toc523750909"/>
      <w:bookmarkStart w:id="305" w:name="_Toc523480923"/>
      <w:bookmarkStart w:id="306" w:name="_Toc523481155"/>
      <w:bookmarkStart w:id="307" w:name="_Toc523481386"/>
      <w:bookmarkStart w:id="308" w:name="_Toc523481618"/>
      <w:bookmarkStart w:id="309" w:name="_Toc523743445"/>
      <w:bookmarkStart w:id="310" w:name="_Toc523750910"/>
      <w:bookmarkStart w:id="311" w:name="_Toc523480924"/>
      <w:bookmarkStart w:id="312" w:name="_Toc523481156"/>
      <w:bookmarkStart w:id="313" w:name="_Toc523481387"/>
      <w:bookmarkStart w:id="314" w:name="_Toc523481619"/>
      <w:bookmarkStart w:id="315" w:name="_Toc523743446"/>
      <w:bookmarkStart w:id="316" w:name="_Toc523750911"/>
      <w:bookmarkStart w:id="317" w:name="_Toc523480925"/>
      <w:bookmarkStart w:id="318" w:name="_Toc523481157"/>
      <w:bookmarkStart w:id="319" w:name="_Toc523481388"/>
      <w:bookmarkStart w:id="320" w:name="_Toc523481620"/>
      <w:bookmarkStart w:id="321" w:name="_Toc523743447"/>
      <w:bookmarkStart w:id="322" w:name="_Toc523750912"/>
      <w:bookmarkStart w:id="323" w:name="_Toc523480926"/>
      <w:bookmarkStart w:id="324" w:name="_Toc523481158"/>
      <w:bookmarkStart w:id="325" w:name="_Toc523481389"/>
      <w:bookmarkStart w:id="326" w:name="_Toc523481621"/>
      <w:bookmarkStart w:id="327" w:name="_Toc523743448"/>
      <w:bookmarkStart w:id="328" w:name="_Toc523750913"/>
      <w:bookmarkStart w:id="329" w:name="_Toc523480927"/>
      <w:bookmarkStart w:id="330" w:name="_Toc523481159"/>
      <w:bookmarkStart w:id="331" w:name="_Toc523481390"/>
      <w:bookmarkStart w:id="332" w:name="_Toc523481622"/>
      <w:bookmarkStart w:id="333" w:name="_Toc523743449"/>
      <w:bookmarkStart w:id="334" w:name="_Toc523750914"/>
      <w:bookmarkStart w:id="335" w:name="_Toc523480928"/>
      <w:bookmarkStart w:id="336" w:name="_Toc523481160"/>
      <w:bookmarkStart w:id="337" w:name="_Toc523481391"/>
      <w:bookmarkStart w:id="338" w:name="_Toc523481623"/>
      <w:bookmarkStart w:id="339" w:name="_Toc523743450"/>
      <w:bookmarkStart w:id="340" w:name="_Toc523750915"/>
      <w:bookmarkStart w:id="341" w:name="_Toc523480929"/>
      <w:bookmarkStart w:id="342" w:name="_Toc523481161"/>
      <w:bookmarkStart w:id="343" w:name="_Toc523481392"/>
      <w:bookmarkStart w:id="344" w:name="_Toc523481624"/>
      <w:bookmarkStart w:id="345" w:name="_Toc523743451"/>
      <w:bookmarkStart w:id="346" w:name="_Toc523750916"/>
      <w:bookmarkStart w:id="347" w:name="_Toc523480930"/>
      <w:bookmarkStart w:id="348" w:name="_Toc523481162"/>
      <w:bookmarkStart w:id="349" w:name="_Toc523481393"/>
      <w:bookmarkStart w:id="350" w:name="_Toc523481625"/>
      <w:bookmarkStart w:id="351" w:name="_Toc523743452"/>
      <w:bookmarkStart w:id="352" w:name="_Toc523750917"/>
      <w:bookmarkStart w:id="353" w:name="_Toc523480931"/>
      <w:bookmarkStart w:id="354" w:name="_Toc523481163"/>
      <w:bookmarkStart w:id="355" w:name="_Toc523481394"/>
      <w:bookmarkStart w:id="356" w:name="_Toc523481626"/>
      <w:bookmarkStart w:id="357" w:name="_Toc523743453"/>
      <w:bookmarkStart w:id="358" w:name="_Toc523750918"/>
      <w:bookmarkStart w:id="359" w:name="_Toc523480932"/>
      <w:bookmarkStart w:id="360" w:name="_Toc523481164"/>
      <w:bookmarkStart w:id="361" w:name="_Toc523481395"/>
      <w:bookmarkStart w:id="362" w:name="_Toc523481627"/>
      <w:bookmarkStart w:id="363" w:name="_Toc523743454"/>
      <w:bookmarkStart w:id="364" w:name="_Toc523750919"/>
      <w:bookmarkStart w:id="365" w:name="_Toc523480933"/>
      <w:bookmarkStart w:id="366" w:name="_Toc523481165"/>
      <w:bookmarkStart w:id="367" w:name="_Toc523481396"/>
      <w:bookmarkStart w:id="368" w:name="_Toc523481628"/>
      <w:bookmarkStart w:id="369" w:name="_Toc523743455"/>
      <w:bookmarkStart w:id="370" w:name="_Toc523750920"/>
      <w:bookmarkStart w:id="371" w:name="_Toc523480934"/>
      <w:bookmarkStart w:id="372" w:name="_Toc523481166"/>
      <w:bookmarkStart w:id="373" w:name="_Toc523481397"/>
      <w:bookmarkStart w:id="374" w:name="_Toc523481629"/>
      <w:bookmarkStart w:id="375" w:name="_Toc523743456"/>
      <w:bookmarkStart w:id="376" w:name="_Toc523750921"/>
      <w:bookmarkStart w:id="377" w:name="_Toc523480935"/>
      <w:bookmarkStart w:id="378" w:name="_Toc523481167"/>
      <w:bookmarkStart w:id="379" w:name="_Toc523481398"/>
      <w:bookmarkStart w:id="380" w:name="_Toc523481630"/>
      <w:bookmarkStart w:id="381" w:name="_Toc523743457"/>
      <w:bookmarkStart w:id="382" w:name="_Toc523750922"/>
      <w:bookmarkStart w:id="383" w:name="_Toc523480936"/>
      <w:bookmarkStart w:id="384" w:name="_Toc523481168"/>
      <w:bookmarkStart w:id="385" w:name="_Toc523481399"/>
      <w:bookmarkStart w:id="386" w:name="_Toc523481631"/>
      <w:bookmarkStart w:id="387" w:name="_Toc523743458"/>
      <w:bookmarkStart w:id="388" w:name="_Toc523750923"/>
      <w:bookmarkStart w:id="389" w:name="_Toc523480937"/>
      <w:bookmarkStart w:id="390" w:name="_Toc523481169"/>
      <w:bookmarkStart w:id="391" w:name="_Toc523481400"/>
      <w:bookmarkStart w:id="392" w:name="_Toc523481632"/>
      <w:bookmarkStart w:id="393" w:name="_Toc523743459"/>
      <w:bookmarkStart w:id="394" w:name="_Toc523750924"/>
      <w:bookmarkStart w:id="395" w:name="_Toc523743460"/>
      <w:bookmarkStart w:id="396" w:name="_Toc523750925"/>
      <w:bookmarkStart w:id="397" w:name="_Toc523743461"/>
      <w:bookmarkStart w:id="398" w:name="_Toc523750926"/>
      <w:bookmarkStart w:id="399" w:name="_Toc523743462"/>
      <w:bookmarkStart w:id="400" w:name="_Toc523750927"/>
      <w:bookmarkStart w:id="401" w:name="_Toc523743463"/>
      <w:bookmarkStart w:id="402" w:name="_Toc523750928"/>
      <w:bookmarkStart w:id="403" w:name="_Toc523743464"/>
      <w:bookmarkStart w:id="404" w:name="_Toc523750929"/>
      <w:bookmarkStart w:id="405" w:name="_Toc523743465"/>
      <w:bookmarkStart w:id="406" w:name="_Toc523750930"/>
      <w:bookmarkStart w:id="407" w:name="_Toc523743466"/>
      <w:bookmarkStart w:id="408" w:name="_Toc523750931"/>
      <w:bookmarkStart w:id="409" w:name="_Toc523743467"/>
      <w:bookmarkStart w:id="410" w:name="_Toc523750932"/>
      <w:bookmarkStart w:id="411" w:name="_Toc523743468"/>
      <w:bookmarkStart w:id="412" w:name="_Toc523750933"/>
      <w:bookmarkStart w:id="413" w:name="_Toc523743469"/>
      <w:bookmarkStart w:id="414" w:name="_Toc523750934"/>
      <w:bookmarkStart w:id="415" w:name="_Toc523743470"/>
      <w:bookmarkStart w:id="416" w:name="_Toc523750935"/>
      <w:bookmarkStart w:id="417" w:name="_Toc523743471"/>
      <w:bookmarkStart w:id="418" w:name="_Toc523750936"/>
      <w:bookmarkStart w:id="419" w:name="_Toc523743472"/>
      <w:bookmarkStart w:id="420" w:name="_Toc523750937"/>
      <w:bookmarkStart w:id="421" w:name="_Toc523743490"/>
      <w:bookmarkStart w:id="422" w:name="_Toc523750955"/>
      <w:bookmarkStart w:id="423" w:name="_Toc523743491"/>
      <w:bookmarkStart w:id="424" w:name="_Toc523750956"/>
      <w:bookmarkStart w:id="425" w:name="_Toc523743492"/>
      <w:bookmarkStart w:id="426" w:name="_Toc523750957"/>
      <w:bookmarkStart w:id="427" w:name="_Toc523743493"/>
      <w:bookmarkStart w:id="428" w:name="_Toc523750958"/>
      <w:bookmarkStart w:id="429" w:name="_Toc523743494"/>
      <w:bookmarkStart w:id="430" w:name="_Toc523750959"/>
      <w:bookmarkStart w:id="431" w:name="_Toc523743495"/>
      <w:bookmarkStart w:id="432" w:name="_Toc523750960"/>
      <w:bookmarkStart w:id="433" w:name="_Toc523743496"/>
      <w:bookmarkStart w:id="434" w:name="_Toc523750961"/>
      <w:bookmarkStart w:id="435" w:name="_Toc523743497"/>
      <w:bookmarkStart w:id="436" w:name="_Toc523750962"/>
      <w:bookmarkStart w:id="437" w:name="_Toc523743498"/>
      <w:bookmarkStart w:id="438" w:name="_Toc523750963"/>
      <w:bookmarkStart w:id="439" w:name="_Toc523743499"/>
      <w:bookmarkStart w:id="440" w:name="_Toc523750964"/>
      <w:bookmarkStart w:id="441" w:name="_Toc523743500"/>
      <w:bookmarkStart w:id="442" w:name="_Toc523750965"/>
      <w:bookmarkStart w:id="443" w:name="_Toc523743501"/>
      <w:bookmarkStart w:id="444" w:name="_Toc523750966"/>
      <w:bookmarkStart w:id="445" w:name="_Toc523743502"/>
      <w:bookmarkStart w:id="446" w:name="_Toc523750967"/>
      <w:bookmarkStart w:id="447" w:name="_Toc523743503"/>
      <w:bookmarkStart w:id="448" w:name="_Toc523750968"/>
      <w:bookmarkStart w:id="449" w:name="_Toc523743504"/>
      <w:bookmarkStart w:id="450" w:name="_Toc523750969"/>
      <w:bookmarkStart w:id="451" w:name="_Toc523743505"/>
      <w:bookmarkStart w:id="452" w:name="_Toc523750970"/>
      <w:bookmarkStart w:id="453" w:name="_Toc523743506"/>
      <w:bookmarkStart w:id="454" w:name="_Toc523750971"/>
      <w:bookmarkStart w:id="455" w:name="_Toc523480959"/>
      <w:bookmarkStart w:id="456" w:name="_Toc523481191"/>
      <w:bookmarkStart w:id="457" w:name="_Toc523481422"/>
      <w:bookmarkStart w:id="458" w:name="_Toc523481654"/>
      <w:bookmarkStart w:id="459" w:name="_Toc523485234"/>
      <w:bookmarkStart w:id="460" w:name="_Toc523496757"/>
      <w:bookmarkStart w:id="461" w:name="_Toc523496985"/>
      <w:bookmarkStart w:id="462" w:name="_Toc523508863"/>
      <w:bookmarkStart w:id="463" w:name="_Toc523509096"/>
      <w:bookmarkStart w:id="464" w:name="_Toc523509327"/>
      <w:bookmarkStart w:id="465" w:name="_Toc523480960"/>
      <w:bookmarkStart w:id="466" w:name="_Toc523481192"/>
      <w:bookmarkStart w:id="467" w:name="_Toc523481423"/>
      <w:bookmarkStart w:id="468" w:name="_Toc523481655"/>
      <w:bookmarkStart w:id="469" w:name="_Toc523485235"/>
      <w:bookmarkStart w:id="470" w:name="_Toc523496758"/>
      <w:bookmarkStart w:id="471" w:name="_Toc523496986"/>
      <w:bookmarkStart w:id="472" w:name="_Toc523508864"/>
      <w:bookmarkStart w:id="473" w:name="_Toc523509097"/>
      <w:bookmarkStart w:id="474" w:name="_Toc523509328"/>
      <w:bookmarkStart w:id="475" w:name="_Toc523480961"/>
      <w:bookmarkStart w:id="476" w:name="_Toc523481193"/>
      <w:bookmarkStart w:id="477" w:name="_Toc523481424"/>
      <w:bookmarkStart w:id="478" w:name="_Toc523481656"/>
      <w:bookmarkStart w:id="479" w:name="_Toc523485236"/>
      <w:bookmarkStart w:id="480" w:name="_Toc523496759"/>
      <w:bookmarkStart w:id="481" w:name="_Toc523496987"/>
      <w:bookmarkStart w:id="482" w:name="_Toc523508865"/>
      <w:bookmarkStart w:id="483" w:name="_Toc523509098"/>
      <w:bookmarkStart w:id="484" w:name="_Toc523509329"/>
      <w:bookmarkStart w:id="485" w:name="_Toc523480982"/>
      <w:bookmarkStart w:id="486" w:name="_Toc523481214"/>
      <w:bookmarkStart w:id="487" w:name="_Toc523481445"/>
      <w:bookmarkStart w:id="488" w:name="_Toc523481677"/>
      <w:bookmarkStart w:id="489" w:name="_Toc523485257"/>
      <w:bookmarkStart w:id="490" w:name="_Toc523496780"/>
      <w:bookmarkStart w:id="491" w:name="_Toc523497008"/>
      <w:bookmarkStart w:id="492" w:name="_Toc523508886"/>
      <w:bookmarkStart w:id="493" w:name="_Toc523509119"/>
      <w:bookmarkStart w:id="494" w:name="_Toc523509350"/>
      <w:bookmarkStart w:id="495" w:name="_Toc523481028"/>
      <w:bookmarkStart w:id="496" w:name="_Toc523481260"/>
      <w:bookmarkStart w:id="497" w:name="_Toc523481491"/>
      <w:bookmarkStart w:id="498" w:name="_Toc523481723"/>
      <w:bookmarkStart w:id="499" w:name="_Toc523485303"/>
      <w:bookmarkStart w:id="500" w:name="_Toc523496826"/>
      <w:bookmarkStart w:id="501" w:name="_Toc523497054"/>
      <w:bookmarkStart w:id="502" w:name="_Toc523508932"/>
      <w:bookmarkStart w:id="503" w:name="_Toc523509165"/>
      <w:bookmarkStart w:id="504" w:name="_Toc523509396"/>
      <w:bookmarkStart w:id="505" w:name="_Toc523481029"/>
      <w:bookmarkStart w:id="506" w:name="_Toc523481261"/>
      <w:bookmarkStart w:id="507" w:name="_Toc523481492"/>
      <w:bookmarkStart w:id="508" w:name="_Toc523481724"/>
      <w:bookmarkStart w:id="509" w:name="_Toc523485304"/>
      <w:bookmarkStart w:id="510" w:name="_Toc523496827"/>
      <w:bookmarkStart w:id="511" w:name="_Toc523497055"/>
      <w:bookmarkStart w:id="512" w:name="_Toc523508933"/>
      <w:bookmarkStart w:id="513" w:name="_Toc523509166"/>
      <w:bookmarkStart w:id="514" w:name="_Toc523509397"/>
      <w:bookmarkStart w:id="515" w:name="_Toc523481030"/>
      <w:bookmarkStart w:id="516" w:name="_Toc523481262"/>
      <w:bookmarkStart w:id="517" w:name="_Toc523481493"/>
      <w:bookmarkStart w:id="518" w:name="_Toc523481725"/>
      <w:bookmarkStart w:id="519" w:name="_Toc523485305"/>
      <w:bookmarkStart w:id="520" w:name="_Toc523496828"/>
      <w:bookmarkStart w:id="521" w:name="_Toc523497056"/>
      <w:bookmarkStart w:id="522" w:name="_Toc523508934"/>
      <w:bookmarkStart w:id="523" w:name="_Toc523509167"/>
      <w:bookmarkStart w:id="524" w:name="_Toc523509398"/>
      <w:bookmarkStart w:id="525" w:name="_Toc523481032"/>
      <w:bookmarkStart w:id="526" w:name="_Toc523481264"/>
      <w:bookmarkStart w:id="527" w:name="_Toc523481495"/>
      <w:bookmarkStart w:id="528" w:name="_Toc523481727"/>
      <w:bookmarkStart w:id="529" w:name="_Toc523485307"/>
      <w:bookmarkStart w:id="530" w:name="_Toc523496830"/>
      <w:bookmarkStart w:id="531" w:name="_Toc523497058"/>
      <w:bookmarkStart w:id="532" w:name="_Toc523508936"/>
      <w:bookmarkStart w:id="533" w:name="_Toc523509169"/>
      <w:bookmarkStart w:id="534" w:name="_Toc523509400"/>
      <w:bookmarkStart w:id="535" w:name="_Toc523481033"/>
      <w:bookmarkStart w:id="536" w:name="_Toc523481265"/>
      <w:bookmarkStart w:id="537" w:name="_Toc523481496"/>
      <w:bookmarkStart w:id="538" w:name="_Toc523481728"/>
      <w:bookmarkStart w:id="539" w:name="_Toc523485308"/>
      <w:bookmarkStart w:id="540" w:name="_Toc523496831"/>
      <w:bookmarkStart w:id="541" w:name="_Toc523497059"/>
      <w:bookmarkStart w:id="542" w:name="_Toc523508937"/>
      <w:bookmarkStart w:id="543" w:name="_Toc523509170"/>
      <w:bookmarkStart w:id="544" w:name="_Toc523509401"/>
      <w:bookmarkStart w:id="545" w:name="_Toc523481034"/>
      <w:bookmarkStart w:id="546" w:name="_Toc523481266"/>
      <w:bookmarkStart w:id="547" w:name="_Toc523481497"/>
      <w:bookmarkStart w:id="548" w:name="_Toc523481729"/>
      <w:bookmarkStart w:id="549" w:name="_Toc523485309"/>
      <w:bookmarkStart w:id="550" w:name="_Toc523496832"/>
      <w:bookmarkStart w:id="551" w:name="_Toc523497060"/>
      <w:bookmarkStart w:id="552" w:name="_Toc523508938"/>
      <w:bookmarkStart w:id="553" w:name="_Toc523509171"/>
      <w:bookmarkStart w:id="554" w:name="_Toc523509402"/>
      <w:bookmarkStart w:id="555" w:name="_Toc523481035"/>
      <w:bookmarkStart w:id="556" w:name="_Toc523481267"/>
      <w:bookmarkStart w:id="557" w:name="_Toc523481498"/>
      <w:bookmarkStart w:id="558" w:name="_Toc523481730"/>
      <w:bookmarkStart w:id="559" w:name="_Toc523485310"/>
      <w:bookmarkStart w:id="560" w:name="_Toc523496833"/>
      <w:bookmarkStart w:id="561" w:name="_Toc523497061"/>
      <w:bookmarkStart w:id="562" w:name="_Toc523508939"/>
      <w:bookmarkStart w:id="563" w:name="_Toc523509172"/>
      <w:bookmarkStart w:id="564" w:name="_Toc523509403"/>
      <w:bookmarkStart w:id="565" w:name="_Toc523481039"/>
      <w:bookmarkStart w:id="566" w:name="_Toc523481271"/>
      <w:bookmarkStart w:id="567" w:name="_Toc523481502"/>
      <w:bookmarkStart w:id="568" w:name="_Toc523481734"/>
      <w:bookmarkStart w:id="569" w:name="_Toc523485314"/>
      <w:bookmarkStart w:id="570" w:name="_Toc523496837"/>
      <w:bookmarkStart w:id="571" w:name="_Toc523497065"/>
      <w:bookmarkStart w:id="572" w:name="_Toc523508943"/>
      <w:bookmarkStart w:id="573" w:name="_Toc523509176"/>
      <w:bookmarkStart w:id="574" w:name="_Toc523509407"/>
      <w:bookmarkStart w:id="575" w:name="_Toc523481041"/>
      <w:bookmarkStart w:id="576" w:name="_Toc523481273"/>
      <w:bookmarkStart w:id="577" w:name="_Toc523481504"/>
      <w:bookmarkStart w:id="578" w:name="_Toc523481736"/>
      <w:bookmarkStart w:id="579" w:name="_Toc523485316"/>
      <w:bookmarkStart w:id="580" w:name="_Toc523496839"/>
      <w:bookmarkStart w:id="581" w:name="_Toc523497067"/>
      <w:bookmarkStart w:id="582" w:name="_Toc523508945"/>
      <w:bookmarkStart w:id="583" w:name="_Toc523509178"/>
      <w:bookmarkStart w:id="584" w:name="_Toc523509409"/>
      <w:bookmarkStart w:id="585" w:name="_Ref531772589"/>
      <w:bookmarkStart w:id="586" w:name="_Toc532301690"/>
      <w:bookmarkStart w:id="587" w:name="_Toc523753657"/>
      <w:bookmarkStart w:id="588" w:name="_Ref501087780"/>
      <w:bookmarkStart w:id="589" w:name="_Toc499548511"/>
      <w:bookmarkStart w:id="590" w:name="_Toc42301336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Pr>
          <w:rFonts w:asciiTheme="minorHAnsi" w:hAnsiTheme="minorHAnsi" w:cstheme="minorHAnsi"/>
          <w:sz w:val="48"/>
        </w:rPr>
        <w:lastRenderedPageBreak/>
        <w:t>Key f</w:t>
      </w:r>
      <w:r w:rsidR="0054490B" w:rsidRPr="00323A35">
        <w:rPr>
          <w:rFonts w:asciiTheme="minorHAnsi" w:hAnsiTheme="minorHAnsi" w:cstheme="minorHAnsi"/>
          <w:sz w:val="48"/>
        </w:rPr>
        <w:t xml:space="preserve">indings </w:t>
      </w:r>
      <w:r w:rsidR="0054490B">
        <w:rPr>
          <w:rFonts w:asciiTheme="minorHAnsi" w:hAnsiTheme="minorHAnsi" w:cstheme="minorHAnsi"/>
          <w:sz w:val="48"/>
        </w:rPr>
        <w:t>and recommendations</w:t>
      </w:r>
      <w:r>
        <w:rPr>
          <w:rFonts w:asciiTheme="minorHAnsi" w:hAnsiTheme="minorHAnsi" w:cstheme="minorHAnsi"/>
          <w:sz w:val="48"/>
        </w:rPr>
        <w:t xml:space="preserve">: </w:t>
      </w:r>
      <w:r w:rsidR="0085695A">
        <w:rPr>
          <w:rFonts w:asciiTheme="minorHAnsi" w:hAnsiTheme="minorHAnsi" w:cstheme="minorHAnsi"/>
          <w:sz w:val="48"/>
        </w:rPr>
        <w:t>System g</w:t>
      </w:r>
      <w:r>
        <w:rPr>
          <w:rFonts w:asciiTheme="minorHAnsi" w:hAnsiTheme="minorHAnsi" w:cstheme="minorHAnsi"/>
          <w:sz w:val="48"/>
        </w:rPr>
        <w:t>overnance</w:t>
      </w:r>
      <w:bookmarkEnd w:id="585"/>
      <w:bookmarkEnd w:id="586"/>
      <w:r>
        <w:rPr>
          <w:rFonts w:asciiTheme="minorHAnsi" w:hAnsiTheme="minorHAnsi" w:cstheme="minorHAnsi"/>
          <w:sz w:val="48"/>
        </w:rPr>
        <w:t xml:space="preserve"> </w:t>
      </w:r>
    </w:p>
    <w:p w14:paraId="5C4F8605" w14:textId="77777777" w:rsidR="0054490B" w:rsidRDefault="0054490B" w:rsidP="0054490B">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This section </w:t>
      </w:r>
      <w:r w:rsidR="004B474A">
        <w:rPr>
          <w:rFonts w:asciiTheme="minorHAnsi" w:hAnsiTheme="minorHAnsi" w:cstheme="minorHAnsi"/>
          <w:sz w:val="24"/>
          <w:szCs w:val="22"/>
          <w:lang w:val="en-GB"/>
        </w:rPr>
        <w:t xml:space="preserve">describes </w:t>
      </w:r>
      <w:r>
        <w:rPr>
          <w:rFonts w:asciiTheme="minorHAnsi" w:hAnsiTheme="minorHAnsi" w:cstheme="minorHAnsi"/>
          <w:sz w:val="24"/>
          <w:szCs w:val="22"/>
          <w:lang w:val="en-GB"/>
        </w:rPr>
        <w:t xml:space="preserve">the findings and recommendations for the Review </w:t>
      </w:r>
      <w:r w:rsidR="00585DBA">
        <w:rPr>
          <w:rFonts w:asciiTheme="minorHAnsi" w:hAnsiTheme="minorHAnsi" w:cstheme="minorHAnsi"/>
          <w:sz w:val="24"/>
          <w:szCs w:val="22"/>
          <w:lang w:val="en-GB"/>
        </w:rPr>
        <w:t>relating to the governance arrangements for the</w:t>
      </w:r>
      <w:r w:rsidR="00D561B0">
        <w:rPr>
          <w:rFonts w:asciiTheme="minorHAnsi" w:hAnsiTheme="minorHAnsi" w:cstheme="minorHAnsi"/>
          <w:sz w:val="24"/>
          <w:szCs w:val="22"/>
          <w:lang w:val="en-GB"/>
        </w:rPr>
        <w:t xml:space="preserve"> Australian</w:t>
      </w:r>
      <w:r w:rsidR="00D561B0" w:rsidRPr="00F37D51">
        <w:rPr>
          <w:rFonts w:asciiTheme="minorHAnsi" w:hAnsiTheme="minorHAnsi" w:cstheme="minorHAnsi"/>
          <w:sz w:val="24"/>
          <w:szCs w:val="22"/>
          <w:lang w:val="en-GB"/>
        </w:rPr>
        <w:t xml:space="preserve"> organ donation</w:t>
      </w:r>
      <w:r w:rsidR="00D561B0">
        <w:rPr>
          <w:rFonts w:asciiTheme="minorHAnsi" w:hAnsiTheme="minorHAnsi" w:cstheme="minorHAnsi"/>
          <w:sz w:val="24"/>
          <w:szCs w:val="22"/>
          <w:lang w:val="en-GB"/>
        </w:rPr>
        <w:t xml:space="preserve">, retrieval </w:t>
      </w:r>
      <w:r w:rsidR="00D561B0" w:rsidRPr="00F37D51">
        <w:rPr>
          <w:rFonts w:asciiTheme="minorHAnsi" w:hAnsiTheme="minorHAnsi" w:cstheme="minorHAnsi"/>
          <w:sz w:val="24"/>
          <w:szCs w:val="22"/>
          <w:lang w:val="en-GB"/>
        </w:rPr>
        <w:t>and transplantation</w:t>
      </w:r>
      <w:r w:rsidR="00855B2E">
        <w:rPr>
          <w:rFonts w:asciiTheme="minorHAnsi" w:hAnsiTheme="minorHAnsi" w:cstheme="minorHAnsi"/>
          <w:sz w:val="24"/>
          <w:szCs w:val="22"/>
          <w:lang w:val="en-GB"/>
        </w:rPr>
        <w:t xml:space="preserve"> system</w:t>
      </w:r>
      <w:r>
        <w:rPr>
          <w:rFonts w:asciiTheme="minorHAnsi" w:hAnsiTheme="minorHAnsi" w:cstheme="minorHAnsi"/>
          <w:sz w:val="24"/>
          <w:szCs w:val="22"/>
          <w:lang w:val="en-GB"/>
        </w:rPr>
        <w:t xml:space="preserve">. </w:t>
      </w:r>
    </w:p>
    <w:p w14:paraId="71D54FBF" w14:textId="77777777" w:rsidR="00C30067" w:rsidRPr="00447661" w:rsidRDefault="00585DBA" w:rsidP="003A517E">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591" w:name="_Toc532301691"/>
      <w:r>
        <w:rPr>
          <w:rFonts w:asciiTheme="minorHAnsi" w:hAnsiTheme="minorHAnsi" w:cstheme="minorHAnsi"/>
          <w:iCs/>
          <w:color w:val="7F7F7F" w:themeColor="text1" w:themeTint="80"/>
          <w:sz w:val="36"/>
          <w:szCs w:val="30"/>
        </w:rPr>
        <w:t>G</w:t>
      </w:r>
      <w:r w:rsidR="003220A4" w:rsidRPr="00447661">
        <w:rPr>
          <w:rFonts w:asciiTheme="minorHAnsi" w:hAnsiTheme="minorHAnsi" w:cstheme="minorHAnsi"/>
          <w:iCs/>
          <w:color w:val="7F7F7F" w:themeColor="text1" w:themeTint="80"/>
          <w:sz w:val="36"/>
          <w:szCs w:val="30"/>
        </w:rPr>
        <w:t xml:space="preserve">overnance </w:t>
      </w:r>
      <w:r>
        <w:rPr>
          <w:rFonts w:asciiTheme="minorHAnsi" w:hAnsiTheme="minorHAnsi" w:cstheme="minorHAnsi"/>
          <w:iCs/>
          <w:color w:val="7F7F7F" w:themeColor="text1" w:themeTint="80"/>
          <w:sz w:val="36"/>
          <w:szCs w:val="30"/>
        </w:rPr>
        <w:t xml:space="preserve">of the </w:t>
      </w:r>
      <w:r w:rsidRPr="00585DBA">
        <w:rPr>
          <w:rFonts w:asciiTheme="minorHAnsi" w:hAnsiTheme="minorHAnsi" w:cstheme="minorHAnsi"/>
          <w:iCs/>
          <w:color w:val="7F7F7F" w:themeColor="text1" w:themeTint="80"/>
          <w:sz w:val="36"/>
          <w:szCs w:val="30"/>
        </w:rPr>
        <w:t>Australian organ donation, retrieval and transplantation system</w:t>
      </w:r>
      <w:bookmarkEnd w:id="591"/>
    </w:p>
    <w:p w14:paraId="1F613BBD" w14:textId="77777777" w:rsidR="00C30067" w:rsidRDefault="00C30067" w:rsidP="00C30067">
      <w:pPr>
        <w:tabs>
          <w:tab w:val="num" w:pos="720"/>
        </w:tabs>
        <w:spacing w:after="120"/>
        <w:rPr>
          <w:rFonts w:asciiTheme="minorHAnsi" w:hAnsiTheme="minorHAnsi" w:cstheme="minorHAnsi"/>
          <w:sz w:val="24"/>
          <w:szCs w:val="24"/>
          <w:lang w:val="en-GB"/>
        </w:rPr>
      </w:pPr>
      <w:r w:rsidRPr="00B91EB3">
        <w:rPr>
          <w:rFonts w:asciiTheme="minorHAnsi" w:hAnsiTheme="minorHAnsi" w:cstheme="minorHAnsi"/>
          <w:sz w:val="24"/>
          <w:szCs w:val="24"/>
          <w:lang w:val="en-GB"/>
        </w:rPr>
        <w:t xml:space="preserve">The Review found that the strategic direction and governance arrangements for the organ donation, retrieval and transplantation system </w:t>
      </w:r>
      <w:r w:rsidRPr="002455C6">
        <w:rPr>
          <w:rFonts w:asciiTheme="minorHAnsi" w:hAnsiTheme="minorHAnsi" w:cstheme="minorHAnsi"/>
          <w:sz w:val="24"/>
          <w:szCs w:val="24"/>
          <w:lang w:val="en-GB"/>
        </w:rPr>
        <w:t xml:space="preserve">have </w:t>
      </w:r>
      <w:r w:rsidR="00F46DDB">
        <w:rPr>
          <w:rFonts w:asciiTheme="minorHAnsi" w:hAnsiTheme="minorHAnsi" w:cstheme="minorHAnsi"/>
          <w:sz w:val="24"/>
          <w:szCs w:val="24"/>
          <w:lang w:val="en-GB"/>
        </w:rPr>
        <w:t xml:space="preserve">largely </w:t>
      </w:r>
      <w:r w:rsidRPr="002455C6">
        <w:rPr>
          <w:rFonts w:asciiTheme="minorHAnsi" w:hAnsiTheme="minorHAnsi" w:cstheme="minorHAnsi"/>
          <w:sz w:val="24"/>
          <w:szCs w:val="24"/>
          <w:lang w:val="en-GB"/>
        </w:rPr>
        <w:t xml:space="preserve">been effective to date and have </w:t>
      </w:r>
      <w:r w:rsidR="00F46DDB">
        <w:rPr>
          <w:rFonts w:asciiTheme="minorHAnsi" w:hAnsiTheme="minorHAnsi" w:cstheme="minorHAnsi"/>
          <w:sz w:val="24"/>
          <w:szCs w:val="24"/>
          <w:lang w:val="en-GB"/>
        </w:rPr>
        <w:t>contributed towards</w:t>
      </w:r>
      <w:r w:rsidR="00F46DDB" w:rsidRPr="002455C6">
        <w:rPr>
          <w:rFonts w:asciiTheme="minorHAnsi" w:hAnsiTheme="minorHAnsi" w:cstheme="minorHAnsi"/>
          <w:sz w:val="24"/>
          <w:szCs w:val="24"/>
          <w:lang w:val="en-GB"/>
        </w:rPr>
        <w:t xml:space="preserve"> </w:t>
      </w:r>
      <w:r w:rsidRPr="002455C6">
        <w:rPr>
          <w:rFonts w:asciiTheme="minorHAnsi" w:hAnsiTheme="minorHAnsi" w:cstheme="minorHAnsi"/>
          <w:sz w:val="24"/>
          <w:szCs w:val="24"/>
          <w:lang w:val="en-GB"/>
        </w:rPr>
        <w:t xml:space="preserve">significant progress in driving the reform agenda. </w:t>
      </w:r>
      <w:r w:rsidR="00F46DDB">
        <w:rPr>
          <w:rFonts w:asciiTheme="minorHAnsi" w:hAnsiTheme="minorHAnsi" w:cstheme="minorHAnsi"/>
          <w:sz w:val="24"/>
          <w:szCs w:val="24"/>
          <w:lang w:val="en-GB"/>
        </w:rPr>
        <w:t xml:space="preserve">The current arrangements </w:t>
      </w:r>
      <w:r>
        <w:rPr>
          <w:rFonts w:asciiTheme="minorHAnsi" w:hAnsiTheme="minorHAnsi" w:cstheme="minorHAnsi"/>
          <w:sz w:val="24"/>
          <w:szCs w:val="24"/>
          <w:lang w:val="en-GB"/>
        </w:rPr>
        <w:t>have provided the framework and accountability measures to drive performance, particularly in organ donation, which in turn has driven performance in retrieval and transplantation. However, the Review found that in order to continue to overcome downstream capability and capacity pressures, meet future demand and achieve best practice, a new strategic plan and appropriate governance structures are required.</w:t>
      </w:r>
    </w:p>
    <w:p w14:paraId="703D841E" w14:textId="77777777" w:rsidR="00801827" w:rsidRPr="00AE3433" w:rsidRDefault="00801827" w:rsidP="00801827">
      <w:pPr>
        <w:spacing w:after="120"/>
        <w:rPr>
          <w:rFonts w:asciiTheme="minorHAnsi" w:hAnsiTheme="minorHAnsi" w:cstheme="minorHAnsi"/>
          <w:sz w:val="24"/>
          <w:szCs w:val="22"/>
          <w:lang w:val="en-GB"/>
        </w:rPr>
      </w:pPr>
      <w:r w:rsidRPr="00AE3433">
        <w:rPr>
          <w:rFonts w:asciiTheme="minorHAnsi" w:hAnsiTheme="minorHAnsi" w:cstheme="minorHAnsi"/>
          <w:sz w:val="24"/>
          <w:szCs w:val="22"/>
          <w:lang w:val="en-GB"/>
        </w:rPr>
        <w:t xml:space="preserve">For </w:t>
      </w:r>
      <w:r w:rsidR="00042160">
        <w:rPr>
          <w:rFonts w:asciiTheme="minorHAnsi" w:hAnsiTheme="minorHAnsi" w:cstheme="minorHAnsi"/>
          <w:sz w:val="24"/>
          <w:szCs w:val="22"/>
          <w:lang w:val="en-GB"/>
        </w:rPr>
        <w:t>system governance</w:t>
      </w:r>
      <w:r w:rsidRPr="00AE3433">
        <w:rPr>
          <w:rFonts w:asciiTheme="minorHAnsi" w:hAnsiTheme="minorHAnsi" w:cstheme="minorHAnsi"/>
          <w:sz w:val="24"/>
          <w:szCs w:val="22"/>
          <w:lang w:val="en-GB"/>
        </w:rPr>
        <w:t>, the findings</w:t>
      </w:r>
      <w:r w:rsidR="003C48D9" w:rsidRPr="00AE3433">
        <w:rPr>
          <w:rFonts w:asciiTheme="minorHAnsi" w:hAnsiTheme="minorHAnsi" w:cstheme="minorHAnsi"/>
          <w:sz w:val="24"/>
          <w:szCs w:val="22"/>
          <w:lang w:val="en-GB"/>
        </w:rPr>
        <w:t xml:space="preserve"> of the Review</w:t>
      </w:r>
      <w:r w:rsidRPr="00AE3433">
        <w:rPr>
          <w:rFonts w:asciiTheme="minorHAnsi" w:hAnsiTheme="minorHAnsi" w:cstheme="minorHAnsi"/>
          <w:sz w:val="24"/>
          <w:szCs w:val="22"/>
          <w:lang w:val="en-GB"/>
        </w:rPr>
        <w:t xml:space="preserve"> relate to:</w:t>
      </w:r>
    </w:p>
    <w:p w14:paraId="03027787" w14:textId="77777777" w:rsidR="00801827" w:rsidRPr="00FF7C2B" w:rsidRDefault="00801827" w:rsidP="00801827">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FF7C2B">
        <w:rPr>
          <w:rFonts w:asciiTheme="minorHAnsi" w:hAnsiTheme="minorHAnsi" w:cstheme="minorHAnsi"/>
          <w:sz w:val="24"/>
          <w:szCs w:val="22"/>
          <w:lang w:val="en-GB"/>
        </w:rPr>
        <w:t xml:space="preserve">Strategic planning for the Australian organ donation, retrieval and transplantation system (Section </w:t>
      </w:r>
      <w:r w:rsidRPr="00FF7C2B">
        <w:rPr>
          <w:rFonts w:asciiTheme="minorHAnsi" w:hAnsiTheme="minorHAnsi" w:cstheme="minorHAnsi"/>
          <w:sz w:val="24"/>
          <w:szCs w:val="22"/>
          <w:lang w:val="en-GB"/>
        </w:rPr>
        <w:fldChar w:fldCharType="begin"/>
      </w:r>
      <w:r w:rsidRPr="008D682C">
        <w:rPr>
          <w:rFonts w:asciiTheme="minorHAnsi" w:hAnsiTheme="minorHAnsi" w:cstheme="minorHAnsi"/>
          <w:sz w:val="24"/>
          <w:szCs w:val="22"/>
          <w:lang w:val="en-GB"/>
        </w:rPr>
        <w:instrText xml:space="preserve"> REF _Ref527623981 \n \h </w:instrText>
      </w:r>
      <w:r w:rsidR="00AE3433">
        <w:rPr>
          <w:rFonts w:asciiTheme="minorHAnsi" w:hAnsiTheme="minorHAnsi" w:cstheme="minorHAnsi"/>
          <w:sz w:val="24"/>
          <w:szCs w:val="22"/>
          <w:lang w:val="en-GB"/>
        </w:rPr>
        <w:instrText xml:space="preserve"> \* MERGEFORMAT </w:instrText>
      </w:r>
      <w:r w:rsidRPr="00FF7C2B">
        <w:rPr>
          <w:rFonts w:asciiTheme="minorHAnsi" w:hAnsiTheme="minorHAnsi" w:cstheme="minorHAnsi"/>
          <w:sz w:val="24"/>
          <w:szCs w:val="22"/>
          <w:lang w:val="en-GB"/>
        </w:rPr>
      </w:r>
      <w:r w:rsidRPr="00FF7C2B">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5.1.1</w:t>
      </w:r>
      <w:r w:rsidRPr="00FF7C2B">
        <w:rPr>
          <w:rFonts w:asciiTheme="minorHAnsi" w:hAnsiTheme="minorHAnsi" w:cstheme="minorHAnsi"/>
          <w:sz w:val="24"/>
          <w:szCs w:val="22"/>
          <w:lang w:val="en-GB"/>
        </w:rPr>
        <w:fldChar w:fldCharType="end"/>
      </w:r>
      <w:r w:rsidR="003259BB">
        <w:rPr>
          <w:rFonts w:asciiTheme="minorHAnsi" w:hAnsiTheme="minorHAnsi" w:cstheme="minorHAnsi"/>
          <w:sz w:val="24"/>
          <w:szCs w:val="22"/>
          <w:lang w:val="en-GB"/>
        </w:rPr>
        <w:t>1</w:t>
      </w:r>
      <w:r w:rsidRPr="00FF7C2B">
        <w:rPr>
          <w:rFonts w:asciiTheme="minorHAnsi" w:hAnsiTheme="minorHAnsi" w:cstheme="minorHAnsi"/>
          <w:sz w:val="24"/>
          <w:szCs w:val="22"/>
          <w:lang w:val="en-GB"/>
        </w:rPr>
        <w:t>)</w:t>
      </w:r>
    </w:p>
    <w:p w14:paraId="10B016A4" w14:textId="77777777" w:rsidR="00801827" w:rsidRDefault="00801827" w:rsidP="00801827">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 xml:space="preserve">Governance of the retrieval and transplantation system </w:t>
      </w:r>
      <w:r w:rsidRPr="00937DEE">
        <w:rPr>
          <w:rFonts w:asciiTheme="minorHAnsi" w:hAnsiTheme="minorHAnsi" w:cstheme="minorHAnsi"/>
          <w:sz w:val="24"/>
          <w:szCs w:val="22"/>
          <w:lang w:val="en-GB"/>
        </w:rPr>
        <w:t xml:space="preserve">(Section </w:t>
      </w:r>
      <w:r w:rsidR="003259BB">
        <w:rPr>
          <w:rFonts w:asciiTheme="minorHAnsi" w:hAnsiTheme="minorHAnsi" w:cstheme="minorHAnsi"/>
          <w:sz w:val="24"/>
          <w:szCs w:val="22"/>
          <w:lang w:val="en-GB"/>
        </w:rPr>
        <w:t>5.1.2</w:t>
      </w:r>
      <w:r w:rsidRPr="00937DEE">
        <w:rPr>
          <w:rFonts w:asciiTheme="minorHAnsi" w:hAnsiTheme="minorHAnsi" w:cstheme="minorHAnsi"/>
          <w:sz w:val="24"/>
          <w:szCs w:val="22"/>
          <w:lang w:val="en-GB"/>
        </w:rPr>
        <w:t>)</w:t>
      </w:r>
    </w:p>
    <w:p w14:paraId="4E614595" w14:textId="77777777" w:rsidR="00801827" w:rsidRPr="00447661" w:rsidRDefault="00801827" w:rsidP="00447661">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 xml:space="preserve">Adoption of evidence-based practice </w:t>
      </w:r>
      <w:r w:rsidRPr="00937DEE">
        <w:rPr>
          <w:rFonts w:asciiTheme="minorHAnsi" w:hAnsiTheme="minorHAnsi" w:cstheme="minorHAnsi"/>
          <w:sz w:val="24"/>
          <w:szCs w:val="22"/>
          <w:lang w:val="en-GB"/>
        </w:rPr>
        <w:t xml:space="preserve">(Section </w:t>
      </w:r>
      <w:r w:rsidR="003259BB">
        <w:rPr>
          <w:rFonts w:asciiTheme="minorHAnsi" w:hAnsiTheme="minorHAnsi" w:cstheme="minorHAnsi"/>
          <w:sz w:val="24"/>
          <w:szCs w:val="22"/>
          <w:lang w:val="en-GB"/>
        </w:rPr>
        <w:t>5.1.3</w:t>
      </w:r>
      <w:r w:rsidRPr="00937DEE">
        <w:rPr>
          <w:rFonts w:asciiTheme="minorHAnsi" w:hAnsiTheme="minorHAnsi" w:cstheme="minorHAnsi"/>
          <w:sz w:val="24"/>
          <w:szCs w:val="22"/>
          <w:lang w:val="en-GB"/>
        </w:rPr>
        <w:t>)</w:t>
      </w:r>
      <w:r w:rsidR="00042160">
        <w:rPr>
          <w:rFonts w:asciiTheme="minorHAnsi" w:hAnsiTheme="minorHAnsi" w:cstheme="minorHAnsi"/>
          <w:sz w:val="24"/>
          <w:szCs w:val="22"/>
          <w:lang w:val="en-GB"/>
        </w:rPr>
        <w:t>.</w:t>
      </w:r>
    </w:p>
    <w:p w14:paraId="04B731DC" w14:textId="77777777" w:rsidR="00C30067" w:rsidRDefault="00C30067" w:rsidP="00C30067">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592" w:name="_Ref527623981"/>
      <w:r>
        <w:rPr>
          <w:rFonts w:asciiTheme="minorHAnsi" w:hAnsiTheme="minorHAnsi" w:cstheme="minorHAnsi"/>
          <w:b w:val="0"/>
          <w:color w:val="7F7F7F" w:themeColor="text1" w:themeTint="80"/>
          <w:sz w:val="30"/>
          <w:szCs w:val="30"/>
        </w:rPr>
        <w:t>Strategic planning for the Australian organ donation, retrieval and transplantation system</w:t>
      </w:r>
      <w:bookmarkEnd w:id="592"/>
    </w:p>
    <w:p w14:paraId="03007867" w14:textId="77777777" w:rsidR="00C30067" w:rsidRDefault="0005663E" w:rsidP="00C30067">
      <w:pPr>
        <w:pStyle w:val="CommentText"/>
        <w:spacing w:after="120"/>
        <w:rPr>
          <w:rFonts w:asciiTheme="minorHAnsi" w:hAnsiTheme="minorHAnsi" w:cstheme="minorHAnsi"/>
          <w:sz w:val="24"/>
          <w:szCs w:val="24"/>
          <w:lang w:val="en-GB"/>
        </w:rPr>
      </w:pPr>
      <w:r>
        <w:rPr>
          <w:rFonts w:asciiTheme="minorHAnsi" w:hAnsiTheme="minorHAnsi" w:cstheme="minorHAnsi"/>
          <w:sz w:val="24"/>
          <w:szCs w:val="24"/>
          <w:lang w:val="en-GB"/>
        </w:rPr>
        <w:t>T</w:t>
      </w:r>
      <w:r w:rsidR="00C30067">
        <w:rPr>
          <w:rFonts w:asciiTheme="minorHAnsi" w:hAnsiTheme="minorHAnsi" w:cstheme="minorHAnsi"/>
          <w:sz w:val="24"/>
          <w:szCs w:val="24"/>
          <w:lang w:val="en-GB"/>
        </w:rPr>
        <w:t xml:space="preserve">he aim of the Australian Government’s national reform program has been to implement a nationally coordinated world’s best practice approach to organ and tissue donation for transplantation in collaboration with the states and territories, clinicians and the community sector. As such, DonateLife’s objectives, mission and strategic priorities have focused on improving donation rates. </w:t>
      </w:r>
      <w:r w:rsidR="00C30067" w:rsidRPr="0010570C">
        <w:rPr>
          <w:rFonts w:asciiTheme="minorHAnsi" w:hAnsiTheme="minorHAnsi" w:cstheme="minorHAnsi"/>
          <w:sz w:val="24"/>
          <w:szCs w:val="24"/>
          <w:lang w:val="en-GB"/>
        </w:rPr>
        <w:t>T</w:t>
      </w:r>
      <w:r w:rsidR="00C30067" w:rsidRPr="004938CA">
        <w:rPr>
          <w:rFonts w:asciiTheme="minorHAnsi" w:hAnsiTheme="minorHAnsi" w:cstheme="minorHAnsi"/>
          <w:sz w:val="24"/>
          <w:szCs w:val="24"/>
          <w:lang w:val="en-GB"/>
        </w:rPr>
        <w:t>he</w:t>
      </w:r>
      <w:r w:rsidR="00C30067" w:rsidRPr="00100A57">
        <w:rPr>
          <w:rFonts w:asciiTheme="minorHAnsi" w:hAnsiTheme="minorHAnsi" w:cstheme="minorHAnsi"/>
          <w:sz w:val="24"/>
          <w:szCs w:val="24"/>
          <w:lang w:val="en-GB"/>
        </w:rPr>
        <w:t xml:space="preserve"> </w:t>
      </w:r>
      <w:r w:rsidR="00C30067" w:rsidRPr="00EF2596">
        <w:rPr>
          <w:rFonts w:asciiTheme="minorHAnsi" w:hAnsiTheme="minorHAnsi" w:cstheme="minorHAnsi"/>
          <w:sz w:val="24"/>
          <w:szCs w:val="24"/>
          <w:lang w:val="en-GB"/>
        </w:rPr>
        <w:t>OTA</w:t>
      </w:r>
      <w:r w:rsidR="00A8416F" w:rsidRPr="00100A57">
        <w:rPr>
          <w:rFonts w:asciiTheme="minorHAnsi" w:hAnsiTheme="minorHAnsi" w:cstheme="minorHAnsi"/>
          <w:sz w:val="24"/>
          <w:szCs w:val="24"/>
          <w:lang w:val="en-GB"/>
        </w:rPr>
        <w:t>’s</w:t>
      </w:r>
      <w:r w:rsidR="00C30067" w:rsidRPr="00A33214">
        <w:rPr>
          <w:rFonts w:asciiTheme="minorHAnsi" w:hAnsiTheme="minorHAnsi" w:cstheme="minorHAnsi"/>
          <w:i/>
          <w:sz w:val="24"/>
          <w:szCs w:val="24"/>
          <w:lang w:val="en-GB"/>
        </w:rPr>
        <w:t xml:space="preserve"> </w:t>
      </w:r>
      <w:r w:rsidR="00C30067" w:rsidRPr="002579FD">
        <w:rPr>
          <w:rFonts w:asciiTheme="minorHAnsi" w:hAnsiTheme="minorHAnsi" w:cstheme="minorHAnsi"/>
          <w:sz w:val="24"/>
          <w:szCs w:val="24"/>
          <w:lang w:val="en-GB"/>
        </w:rPr>
        <w:t>Strategic Plan</w:t>
      </w:r>
      <w:r w:rsidR="00B6004E">
        <w:rPr>
          <w:rFonts w:asciiTheme="minorHAnsi" w:hAnsiTheme="minorHAnsi" w:cstheme="minorHAnsi"/>
          <w:sz w:val="24"/>
          <w:szCs w:val="24"/>
          <w:lang w:val="en-GB"/>
        </w:rPr>
        <w:t>,</w:t>
      </w:r>
      <w:r w:rsidR="00C30067" w:rsidRPr="00A33214">
        <w:rPr>
          <w:rFonts w:asciiTheme="minorHAnsi" w:hAnsiTheme="minorHAnsi" w:cstheme="minorHAnsi"/>
          <w:i/>
          <w:sz w:val="24"/>
          <w:szCs w:val="24"/>
          <w:lang w:val="en-GB"/>
        </w:rPr>
        <w:t xml:space="preserve"> Progressing Australian organ and tissue donation and transplantation to 202</w:t>
      </w:r>
      <w:r w:rsidR="00B6004E">
        <w:rPr>
          <w:rFonts w:asciiTheme="minorHAnsi" w:hAnsiTheme="minorHAnsi" w:cstheme="minorHAnsi"/>
          <w:i/>
          <w:sz w:val="24"/>
          <w:szCs w:val="24"/>
          <w:lang w:val="en-GB"/>
        </w:rPr>
        <w:t>2</w:t>
      </w:r>
      <w:r w:rsidR="00A8416F">
        <w:rPr>
          <w:rStyle w:val="FootnoteReference"/>
          <w:rFonts w:cstheme="minorHAnsi"/>
          <w:i/>
          <w:lang w:val="en-GB"/>
        </w:rPr>
        <w:footnoteReference w:id="72"/>
      </w:r>
      <w:r w:rsidR="00C30067">
        <w:rPr>
          <w:rFonts w:asciiTheme="minorHAnsi" w:hAnsiTheme="minorHAnsi" w:cstheme="minorHAnsi"/>
          <w:sz w:val="24"/>
          <w:szCs w:val="24"/>
          <w:lang w:val="en-GB"/>
        </w:rPr>
        <w:t xml:space="preserve"> </w:t>
      </w:r>
      <w:r w:rsidR="00C30067" w:rsidRPr="004938CA">
        <w:rPr>
          <w:rFonts w:asciiTheme="minorHAnsi" w:hAnsiTheme="minorHAnsi" w:cstheme="minorHAnsi"/>
          <w:sz w:val="24"/>
          <w:szCs w:val="24"/>
          <w:lang w:val="en-GB"/>
        </w:rPr>
        <w:t>is an organisational document to guide its priorities in delivering the implementation of the national reform agenda</w:t>
      </w:r>
      <w:r w:rsidR="00C30067">
        <w:rPr>
          <w:rFonts w:asciiTheme="minorHAnsi" w:hAnsiTheme="minorHAnsi" w:cstheme="minorHAnsi"/>
          <w:sz w:val="24"/>
          <w:szCs w:val="24"/>
          <w:lang w:val="en-GB"/>
        </w:rPr>
        <w:t xml:space="preserve">. It has four key objectives focused on improving donation performance. </w:t>
      </w:r>
    </w:p>
    <w:p w14:paraId="4417B2BA" w14:textId="77777777" w:rsidR="002579FD" w:rsidRPr="00545923" w:rsidRDefault="009A3EBD" w:rsidP="00C30067">
      <w:pPr>
        <w:spacing w:after="120"/>
        <w:rPr>
          <w:rFonts w:asciiTheme="minorHAnsi" w:hAnsiTheme="minorHAnsi" w:cstheme="minorHAnsi"/>
          <w:sz w:val="24"/>
          <w:szCs w:val="24"/>
          <w:lang w:val="en-GB"/>
        </w:rPr>
      </w:pPr>
      <w:r w:rsidRPr="00EF2596">
        <w:rPr>
          <w:rFonts w:asciiTheme="minorHAnsi" w:hAnsiTheme="minorHAnsi" w:cstheme="minorHAnsi"/>
          <w:sz w:val="24"/>
          <w:szCs w:val="24"/>
          <w:lang w:val="en-GB"/>
        </w:rPr>
        <w:t>As of December 2016, Australia was ranked 17</w:t>
      </w:r>
      <w:r w:rsidR="00273538" w:rsidRPr="00EF2596">
        <w:rPr>
          <w:rFonts w:asciiTheme="minorHAnsi" w:hAnsiTheme="minorHAnsi" w:cstheme="minorHAnsi"/>
          <w:sz w:val="24"/>
          <w:szCs w:val="24"/>
          <w:lang w:val="en-GB"/>
        </w:rPr>
        <w:t>th</w:t>
      </w:r>
      <w:r w:rsidRPr="00EF2596">
        <w:rPr>
          <w:rFonts w:asciiTheme="minorHAnsi" w:hAnsiTheme="minorHAnsi" w:cstheme="minorHAnsi"/>
          <w:sz w:val="24"/>
          <w:szCs w:val="24"/>
          <w:lang w:val="en-GB"/>
        </w:rPr>
        <w:t xml:space="preserve"> in the world in respect to actual deceased organ donors (up from 28th in 2008-09</w:t>
      </w:r>
      <w:r w:rsidRPr="00545923">
        <w:rPr>
          <w:rFonts w:asciiTheme="minorHAnsi" w:hAnsiTheme="minorHAnsi" w:cstheme="minorHAnsi"/>
          <w:sz w:val="24"/>
          <w:szCs w:val="24"/>
          <w:lang w:val="en-GB"/>
        </w:rPr>
        <w:t>)</w:t>
      </w:r>
      <w:r w:rsidR="006E65B8" w:rsidRPr="00545923">
        <w:rPr>
          <w:rFonts w:asciiTheme="minorHAnsi" w:hAnsiTheme="minorHAnsi" w:cstheme="minorHAnsi"/>
          <w:sz w:val="24"/>
          <w:szCs w:val="24"/>
          <w:lang w:val="en-GB"/>
        </w:rPr>
        <w:t xml:space="preserve">. </w:t>
      </w:r>
      <w:r w:rsidR="002925A3" w:rsidRPr="00545923">
        <w:rPr>
          <w:rFonts w:asciiTheme="minorHAnsi" w:hAnsiTheme="minorHAnsi" w:cstheme="minorHAnsi"/>
          <w:sz w:val="24"/>
          <w:szCs w:val="24"/>
          <w:lang w:val="en-GB"/>
        </w:rPr>
        <w:t xml:space="preserve">Australia </w:t>
      </w:r>
      <w:r w:rsidR="00EF2596" w:rsidRPr="00545923">
        <w:rPr>
          <w:rFonts w:asciiTheme="minorHAnsi" w:hAnsiTheme="minorHAnsi" w:cstheme="minorHAnsi"/>
          <w:sz w:val="24"/>
          <w:szCs w:val="24"/>
          <w:lang w:val="en-GB"/>
        </w:rPr>
        <w:t xml:space="preserve">has </w:t>
      </w:r>
      <w:r w:rsidR="002925A3" w:rsidRPr="00545923">
        <w:rPr>
          <w:rFonts w:asciiTheme="minorHAnsi" w:hAnsiTheme="minorHAnsi" w:cstheme="minorHAnsi"/>
          <w:sz w:val="24"/>
          <w:szCs w:val="24"/>
          <w:lang w:val="en-GB"/>
        </w:rPr>
        <w:t xml:space="preserve">had the highest percentage </w:t>
      </w:r>
      <w:r w:rsidR="006E65B8" w:rsidRPr="00545923">
        <w:rPr>
          <w:rFonts w:asciiTheme="minorHAnsi" w:hAnsiTheme="minorHAnsi" w:cstheme="minorHAnsi"/>
          <w:sz w:val="24"/>
          <w:szCs w:val="24"/>
          <w:lang w:val="en-GB"/>
        </w:rPr>
        <w:t xml:space="preserve">of </w:t>
      </w:r>
      <w:r w:rsidR="002925A3" w:rsidRPr="00545923">
        <w:rPr>
          <w:rFonts w:asciiTheme="minorHAnsi" w:hAnsiTheme="minorHAnsi" w:cstheme="minorHAnsi"/>
          <w:sz w:val="24"/>
          <w:szCs w:val="24"/>
          <w:lang w:val="en-GB"/>
        </w:rPr>
        <w:t>growth in donation in the 9</w:t>
      </w:r>
      <w:r w:rsidR="00273538" w:rsidRPr="00545923">
        <w:rPr>
          <w:rFonts w:asciiTheme="minorHAnsi" w:hAnsiTheme="minorHAnsi" w:cstheme="minorHAnsi"/>
          <w:sz w:val="24"/>
          <w:szCs w:val="24"/>
          <w:lang w:val="en-GB"/>
        </w:rPr>
        <w:t>th</w:t>
      </w:r>
      <w:r w:rsidR="002925A3" w:rsidRPr="00545923">
        <w:rPr>
          <w:rFonts w:asciiTheme="minorHAnsi" w:hAnsiTheme="minorHAnsi" w:cstheme="minorHAnsi"/>
          <w:sz w:val="24"/>
          <w:szCs w:val="24"/>
          <w:lang w:val="en-GB"/>
        </w:rPr>
        <w:t xml:space="preserve"> year of reform</w:t>
      </w:r>
      <w:r w:rsidR="00EF2596" w:rsidRPr="00545923">
        <w:rPr>
          <w:rFonts w:asciiTheme="minorHAnsi" w:hAnsiTheme="minorHAnsi" w:cstheme="minorHAnsi"/>
          <w:sz w:val="24"/>
          <w:szCs w:val="24"/>
          <w:lang w:val="en-GB"/>
        </w:rPr>
        <w:t xml:space="preserve"> when compared to countries that have undergone similar national organ </w:t>
      </w:r>
    </w:p>
    <w:p w14:paraId="5C3062F6" w14:textId="6D76744A" w:rsidR="00C30067" w:rsidRDefault="00EF2596" w:rsidP="00C30067">
      <w:pPr>
        <w:spacing w:after="120"/>
        <w:rPr>
          <w:rFonts w:asciiTheme="minorHAnsi" w:hAnsiTheme="minorHAnsi" w:cstheme="minorHAnsi"/>
          <w:sz w:val="24"/>
          <w:szCs w:val="24"/>
          <w:lang w:val="en-GB"/>
        </w:rPr>
      </w:pPr>
      <w:r w:rsidRPr="00545923">
        <w:rPr>
          <w:rFonts w:asciiTheme="minorHAnsi" w:hAnsiTheme="minorHAnsi" w:cstheme="minorHAnsi"/>
          <w:sz w:val="24"/>
          <w:szCs w:val="24"/>
          <w:lang w:val="en-GB"/>
        </w:rPr>
        <w:t>donation and transplantation reform programs</w:t>
      </w:r>
      <w:r w:rsidR="002925A3" w:rsidRPr="00545923">
        <w:rPr>
          <w:rFonts w:ascii="Calibri" w:hAnsi="Calibri" w:cs="Calibri"/>
          <w:sz w:val="24"/>
          <w:szCs w:val="24"/>
        </w:rPr>
        <w:t>.</w:t>
      </w:r>
      <w:r w:rsidR="002925A3" w:rsidRPr="002836B2">
        <w:rPr>
          <w:rStyle w:val="FootnoteReference"/>
          <w:rFonts w:asciiTheme="minorHAnsi" w:hAnsiTheme="minorHAnsi" w:cstheme="minorHAnsi"/>
          <w:sz w:val="20"/>
          <w:szCs w:val="24"/>
        </w:rPr>
        <w:footnoteReference w:id="73"/>
      </w:r>
      <w:r w:rsidR="002925A3" w:rsidRPr="002836B2">
        <w:rPr>
          <w:rStyle w:val="EYTabletextChar0"/>
          <w:rFonts w:asciiTheme="minorHAnsi" w:hAnsiTheme="minorHAnsi" w:cstheme="minorHAnsi"/>
          <w:sz w:val="20"/>
        </w:rPr>
        <w:t xml:space="preserve"> </w:t>
      </w:r>
      <w:r w:rsidR="00C30067" w:rsidRPr="00545923">
        <w:rPr>
          <w:rFonts w:asciiTheme="minorHAnsi" w:hAnsiTheme="minorHAnsi" w:cstheme="minorHAnsi"/>
          <w:sz w:val="24"/>
          <w:szCs w:val="24"/>
          <w:lang w:val="en-GB"/>
        </w:rPr>
        <w:t>Although strategies have been effective in improving donation performance in Australia, continued success has resulted in downstream pressure on the system. While it is important to continue to increase donation rates to provide greater access to transplantation</w:t>
      </w:r>
      <w:r w:rsidR="0005663E" w:rsidRPr="00545923">
        <w:rPr>
          <w:rFonts w:asciiTheme="minorHAnsi" w:hAnsiTheme="minorHAnsi" w:cstheme="minorHAnsi"/>
          <w:sz w:val="24"/>
          <w:szCs w:val="24"/>
          <w:lang w:val="en-GB"/>
        </w:rPr>
        <w:t>,</w:t>
      </w:r>
      <w:r w:rsidR="00C30067" w:rsidRPr="00545923">
        <w:rPr>
          <w:rFonts w:asciiTheme="minorHAnsi" w:hAnsiTheme="minorHAnsi" w:cstheme="minorHAnsi"/>
          <w:sz w:val="24"/>
          <w:szCs w:val="24"/>
          <w:lang w:val="en-GB"/>
        </w:rPr>
        <w:t xml:space="preserve"> the system requires strategies focused on improving capability and capacity issues within retrieval and </w:t>
      </w:r>
      <w:r w:rsidR="00E634FA" w:rsidRPr="00545923">
        <w:rPr>
          <w:rFonts w:asciiTheme="minorHAnsi" w:hAnsiTheme="minorHAnsi" w:cstheme="minorHAnsi"/>
          <w:sz w:val="24"/>
          <w:szCs w:val="24"/>
          <w:lang w:val="en-GB"/>
        </w:rPr>
        <w:t>transplantation services</w:t>
      </w:r>
      <w:r w:rsidR="00C30067" w:rsidRPr="00545923">
        <w:rPr>
          <w:rFonts w:asciiTheme="minorHAnsi" w:hAnsiTheme="minorHAnsi" w:cstheme="minorHAnsi"/>
          <w:sz w:val="24"/>
          <w:szCs w:val="24"/>
          <w:lang w:val="en-GB"/>
        </w:rPr>
        <w:t xml:space="preserve"> in order to alleviate inequities and facilitate access to life-saving transplantation for all Australians.</w:t>
      </w:r>
      <w:r w:rsidR="00323941" w:rsidRPr="00545923">
        <w:rPr>
          <w:rFonts w:asciiTheme="minorHAnsi" w:hAnsiTheme="minorHAnsi" w:cstheme="minorHAnsi"/>
          <w:sz w:val="24"/>
          <w:szCs w:val="24"/>
          <w:lang w:val="en-GB"/>
        </w:rPr>
        <w:t xml:space="preserve"> This includes identifying and implementing </w:t>
      </w:r>
      <w:r w:rsidR="00714397" w:rsidRPr="00545923">
        <w:rPr>
          <w:rFonts w:asciiTheme="minorHAnsi" w:hAnsiTheme="minorHAnsi" w:cstheme="minorHAnsi"/>
          <w:sz w:val="24"/>
          <w:szCs w:val="24"/>
          <w:lang w:val="en-GB"/>
        </w:rPr>
        <w:t xml:space="preserve">innovative </w:t>
      </w:r>
      <w:r w:rsidR="00323941" w:rsidRPr="00545923">
        <w:rPr>
          <w:rFonts w:asciiTheme="minorHAnsi" w:hAnsiTheme="minorHAnsi" w:cstheme="minorHAnsi"/>
          <w:sz w:val="24"/>
          <w:szCs w:val="24"/>
          <w:lang w:val="en-GB"/>
        </w:rPr>
        <w:t>strategies that relieve workforce pressures and effectively manage resources</w:t>
      </w:r>
      <w:r w:rsidR="001E17E5">
        <w:rPr>
          <w:rFonts w:asciiTheme="minorHAnsi" w:hAnsiTheme="minorHAnsi" w:cstheme="minorHAnsi"/>
          <w:sz w:val="24"/>
          <w:szCs w:val="24"/>
          <w:lang w:val="en-GB"/>
        </w:rPr>
        <w:t>,</w:t>
      </w:r>
      <w:r w:rsidR="00714397" w:rsidRPr="00545923">
        <w:rPr>
          <w:rFonts w:asciiTheme="minorHAnsi" w:hAnsiTheme="minorHAnsi" w:cstheme="minorHAnsi"/>
          <w:sz w:val="24"/>
          <w:szCs w:val="24"/>
          <w:lang w:val="en-GB"/>
        </w:rPr>
        <w:t xml:space="preserve"> such as</w:t>
      </w:r>
      <w:r w:rsidR="00256860" w:rsidRPr="00545923">
        <w:rPr>
          <w:rFonts w:asciiTheme="minorHAnsi" w:hAnsiTheme="minorHAnsi" w:cstheme="minorHAnsi"/>
          <w:sz w:val="24"/>
          <w:szCs w:val="24"/>
          <w:lang w:val="en-GB"/>
        </w:rPr>
        <w:t xml:space="preserve"> developing a training pathway for nurse practitioners in transplantation</w:t>
      </w:r>
      <w:r w:rsidR="00323941" w:rsidRPr="00545923">
        <w:rPr>
          <w:rFonts w:asciiTheme="minorHAnsi" w:hAnsiTheme="minorHAnsi" w:cstheme="minorHAnsi"/>
          <w:sz w:val="24"/>
          <w:szCs w:val="24"/>
          <w:lang w:val="en-GB"/>
        </w:rPr>
        <w:t>.</w:t>
      </w:r>
    </w:p>
    <w:p w14:paraId="6BA5A35B" w14:textId="77777777" w:rsidR="006F1EFD" w:rsidRPr="00D930F7" w:rsidRDefault="006F1EFD" w:rsidP="00AE3ED1">
      <w:pPr>
        <w:shd w:val="clear" w:color="auto" w:fill="DCEFF4"/>
        <w:spacing w:before="120" w:after="120"/>
        <w:rPr>
          <w:rFonts w:asciiTheme="minorHAnsi" w:hAnsiTheme="minorHAnsi" w:cstheme="minorHAnsi"/>
          <w:b/>
          <w:sz w:val="22"/>
          <w:szCs w:val="24"/>
          <w:lang w:val="en-GB"/>
        </w:rPr>
      </w:pPr>
      <w:r w:rsidRPr="00D930F7">
        <w:rPr>
          <w:rFonts w:asciiTheme="minorHAnsi" w:hAnsiTheme="minorHAnsi" w:cstheme="minorHAnsi"/>
          <w:b/>
          <w:sz w:val="22"/>
          <w:szCs w:val="24"/>
          <w:lang w:val="en-GB"/>
        </w:rPr>
        <w:t>The use of nurse practitioners in the United States</w:t>
      </w:r>
    </w:p>
    <w:p w14:paraId="4C78BC37" w14:textId="77777777" w:rsidR="006F1EFD" w:rsidRPr="00AE3ED1" w:rsidRDefault="006F1EFD" w:rsidP="00AE3ED1">
      <w:pPr>
        <w:shd w:val="clear" w:color="auto" w:fill="DCEFF4"/>
        <w:spacing w:before="120" w:after="120"/>
        <w:rPr>
          <w:rFonts w:asciiTheme="minorHAnsi" w:hAnsiTheme="minorHAnsi" w:cstheme="minorHAnsi"/>
          <w:sz w:val="22"/>
          <w:szCs w:val="24"/>
          <w:lang w:val="en-GB"/>
        </w:rPr>
      </w:pPr>
      <w:r w:rsidRPr="00AE3ED1">
        <w:rPr>
          <w:rFonts w:asciiTheme="minorHAnsi" w:hAnsiTheme="minorHAnsi" w:cstheme="minorHAnsi"/>
          <w:sz w:val="22"/>
          <w:szCs w:val="24"/>
          <w:lang w:val="en-GB"/>
        </w:rPr>
        <w:t xml:space="preserve">A nurse practitioner is a registered nurse educated and authorised to function autonomously and collaboratively in an advanced and extended clinical role. They play a central role in providing patient education, increasing patient compliance and managing comorbidities for to optimise patient outcomes. </w:t>
      </w:r>
    </w:p>
    <w:p w14:paraId="4ED96205" w14:textId="1C9157A0" w:rsidR="006F1EFD" w:rsidRPr="00AE3ED1" w:rsidRDefault="006F1EFD" w:rsidP="00AE3ED1">
      <w:pPr>
        <w:shd w:val="clear" w:color="auto" w:fill="DCEFF4"/>
        <w:spacing w:before="120" w:after="120"/>
        <w:rPr>
          <w:rFonts w:asciiTheme="minorHAnsi" w:hAnsiTheme="minorHAnsi" w:cstheme="minorHAnsi"/>
          <w:sz w:val="22"/>
          <w:szCs w:val="24"/>
          <w:lang w:val="en-GB"/>
        </w:rPr>
      </w:pPr>
      <w:r w:rsidRPr="00AE3ED1">
        <w:rPr>
          <w:rFonts w:asciiTheme="minorHAnsi" w:hAnsiTheme="minorHAnsi" w:cstheme="minorHAnsi"/>
          <w:sz w:val="22"/>
          <w:szCs w:val="24"/>
          <w:lang w:val="en-GB"/>
        </w:rPr>
        <w:t>Nurse practitioners, known as Advanced Practice Registered Nurses (APRNs) in the United States, have become an integral part of the organ donation and transplantation system. Their role in transplantation assessment and post transplantation care assists to alleviate the clinical workload of transplant medical specialists, improving efficiency and allocation of resources. In 2017, there were 166,280 Advanced Practice Registered Nurses employed in the United States and 1,585 endorsed nurse practitioners in Australia.</w:t>
      </w:r>
    </w:p>
    <w:p w14:paraId="04924412" w14:textId="1EDFFF96" w:rsidR="006F1EFD" w:rsidRPr="00AE3ED1" w:rsidRDefault="006F1EFD" w:rsidP="00AE3ED1">
      <w:pPr>
        <w:shd w:val="clear" w:color="auto" w:fill="DCEFF4"/>
        <w:spacing w:before="120" w:after="120"/>
        <w:rPr>
          <w:rFonts w:asciiTheme="minorHAnsi" w:hAnsiTheme="minorHAnsi" w:cstheme="minorHAnsi"/>
          <w:sz w:val="22"/>
          <w:szCs w:val="24"/>
          <w:lang w:val="en-GB"/>
        </w:rPr>
      </w:pPr>
      <w:r w:rsidRPr="00AE3ED1">
        <w:rPr>
          <w:rFonts w:asciiTheme="minorHAnsi" w:hAnsiTheme="minorHAnsi" w:cstheme="minorHAnsi"/>
          <w:sz w:val="22"/>
          <w:szCs w:val="24"/>
          <w:lang w:val="en-GB"/>
        </w:rPr>
        <w:t>While the role of nurse practitioners in Australia continues to develop across a spectrum of health care services, the Australian legislative landscape current limits the scope of practice.  A nurse practitioner’s scope of practice varies between state and territories. For example, there are no restrictions placed on nurse practitioners prescribing medication in Tasmania or Western Australia, whereas additional accreditation is required in South Australia, Queensland, New South Wales, Victoria and the Australian Capital Territory.  The Northern Territory on the other hand prohibits nurse practitioners from prescribing medication and they are only legally permitted to possess and dispense medicines.</w:t>
      </w:r>
    </w:p>
    <w:p w14:paraId="567945D7" w14:textId="7A4A0961" w:rsidR="006F1EFD" w:rsidRPr="00AE3ED1" w:rsidRDefault="006F1EFD" w:rsidP="00AE3ED1">
      <w:pPr>
        <w:shd w:val="clear" w:color="auto" w:fill="DCEFF4"/>
        <w:spacing w:before="120" w:after="120"/>
        <w:rPr>
          <w:rFonts w:asciiTheme="minorHAnsi" w:hAnsiTheme="minorHAnsi" w:cstheme="minorHAnsi"/>
          <w:sz w:val="22"/>
          <w:szCs w:val="24"/>
          <w:lang w:val="en-GB"/>
        </w:rPr>
      </w:pPr>
      <w:r w:rsidRPr="00AE3ED1">
        <w:rPr>
          <w:rFonts w:asciiTheme="minorHAnsi" w:hAnsiTheme="minorHAnsi" w:cstheme="minorHAnsi"/>
          <w:sz w:val="22"/>
          <w:szCs w:val="24"/>
          <w:lang w:val="en-GB"/>
        </w:rPr>
        <w:t>As the endorsed nurse practitioner workforce expands in Australia, their role and the value they can provide as an innovative method in improving efficiency in the healthcare sector requires consideration and the necessary legislative environment to effectively operate.</w:t>
      </w:r>
    </w:p>
    <w:p w14:paraId="359A1DE6" w14:textId="2D6C7065" w:rsidR="00C30067" w:rsidRDefault="00C30067" w:rsidP="00EF2596">
      <w:pPr>
        <w:spacing w:before="120" w:after="120"/>
        <w:rPr>
          <w:rFonts w:asciiTheme="minorHAnsi" w:hAnsiTheme="minorHAnsi" w:cstheme="minorHAnsi"/>
          <w:sz w:val="24"/>
          <w:szCs w:val="24"/>
          <w:lang w:val="en-GB"/>
        </w:rPr>
      </w:pPr>
      <w:r>
        <w:rPr>
          <w:rFonts w:asciiTheme="minorHAnsi" w:hAnsiTheme="minorHAnsi" w:cstheme="minorHAnsi"/>
          <w:sz w:val="24"/>
          <w:szCs w:val="24"/>
          <w:lang w:val="en-GB"/>
        </w:rPr>
        <w:t xml:space="preserve">The Review found that that the Australian Government has acted at the right time to review </w:t>
      </w:r>
      <w:r w:rsidR="0005663E">
        <w:rPr>
          <w:rFonts w:asciiTheme="minorHAnsi" w:hAnsiTheme="minorHAnsi" w:cstheme="minorHAnsi"/>
          <w:sz w:val="24"/>
          <w:szCs w:val="24"/>
          <w:lang w:val="en-GB"/>
        </w:rPr>
        <w:t xml:space="preserve">the </w:t>
      </w:r>
      <w:r>
        <w:rPr>
          <w:rFonts w:asciiTheme="minorHAnsi" w:hAnsiTheme="minorHAnsi" w:cstheme="minorHAnsi"/>
          <w:sz w:val="24"/>
          <w:szCs w:val="24"/>
          <w:lang w:val="en-GB"/>
        </w:rPr>
        <w:t>current performance of the system to develop a new strategy. Stakeholders highlighted the need to address capacity issues in the system through improvements to strategy and governance arrangements.</w:t>
      </w:r>
    </w:p>
    <w:p w14:paraId="7479DE10" w14:textId="2063D814" w:rsidR="00C30067" w:rsidRDefault="00E81CE6" w:rsidP="00C75FAB">
      <w:pPr>
        <w:widowControl/>
        <w:autoSpaceDE/>
        <w:autoSpaceDN/>
        <w:adjustRightInd/>
        <w:spacing w:after="120"/>
        <w:rPr>
          <w:rFonts w:asciiTheme="minorHAnsi" w:hAnsiTheme="minorHAnsi" w:cstheme="minorHAnsi"/>
          <w:sz w:val="24"/>
          <w:szCs w:val="24"/>
          <w:lang w:val="en-GB"/>
        </w:rPr>
      </w:pPr>
      <w:r>
        <w:rPr>
          <w:rFonts w:asciiTheme="minorHAnsi" w:hAnsiTheme="minorHAnsi" w:cstheme="minorHAnsi"/>
          <w:sz w:val="24"/>
          <w:szCs w:val="24"/>
          <w:lang w:val="en-GB"/>
        </w:rPr>
        <w:br w:type="page"/>
      </w:r>
      <w:r w:rsidR="00C30067">
        <w:rPr>
          <w:rFonts w:asciiTheme="minorHAnsi" w:hAnsiTheme="minorHAnsi" w:cstheme="minorHAnsi"/>
          <w:sz w:val="24"/>
          <w:szCs w:val="24"/>
          <w:lang w:val="en-GB"/>
        </w:rPr>
        <w:t>Donation and transplantation is internationally recognised as</w:t>
      </w:r>
      <w:r w:rsidR="0005663E">
        <w:rPr>
          <w:rFonts w:asciiTheme="minorHAnsi" w:hAnsiTheme="minorHAnsi" w:cstheme="minorHAnsi"/>
          <w:sz w:val="24"/>
          <w:szCs w:val="24"/>
          <w:lang w:val="en-GB"/>
        </w:rPr>
        <w:t xml:space="preserve"> a</w:t>
      </w:r>
      <w:r w:rsidR="00C30067">
        <w:rPr>
          <w:rFonts w:asciiTheme="minorHAnsi" w:hAnsiTheme="minorHAnsi" w:cstheme="minorHAnsi"/>
          <w:sz w:val="24"/>
          <w:szCs w:val="24"/>
          <w:lang w:val="en-GB"/>
        </w:rPr>
        <w:t xml:space="preserve"> highly effective</w:t>
      </w:r>
      <w:r w:rsidR="0005663E">
        <w:rPr>
          <w:rFonts w:asciiTheme="minorHAnsi" w:hAnsiTheme="minorHAnsi" w:cstheme="minorHAnsi"/>
          <w:sz w:val="24"/>
          <w:szCs w:val="24"/>
          <w:lang w:val="en-GB"/>
        </w:rPr>
        <w:t>,</w:t>
      </w:r>
      <w:r w:rsidR="00C30067">
        <w:rPr>
          <w:rFonts w:asciiTheme="minorHAnsi" w:hAnsiTheme="minorHAnsi" w:cstheme="minorHAnsi"/>
          <w:sz w:val="24"/>
          <w:szCs w:val="24"/>
          <w:lang w:val="en-GB"/>
        </w:rPr>
        <w:t xml:space="preserve"> life-saving treatment. Health systems around the world have invested in strategies to improve access to transplantation with mixed results. For example, w</w:t>
      </w:r>
      <w:r w:rsidR="00C30067" w:rsidRPr="006503E7">
        <w:rPr>
          <w:rFonts w:asciiTheme="minorHAnsi" w:hAnsiTheme="minorHAnsi" w:cstheme="minorHAnsi"/>
          <w:sz w:val="24"/>
          <w:szCs w:val="24"/>
          <w:lang w:val="en-GB"/>
        </w:rPr>
        <w:t>ith 40 donors and</w:t>
      </w:r>
      <w:r w:rsidR="00C30067">
        <w:rPr>
          <w:rFonts w:asciiTheme="minorHAnsi" w:hAnsiTheme="minorHAnsi" w:cstheme="minorHAnsi"/>
          <w:sz w:val="24"/>
          <w:szCs w:val="24"/>
          <w:lang w:val="en-GB"/>
        </w:rPr>
        <w:t xml:space="preserve"> more than 100 transplant proce</w:t>
      </w:r>
      <w:r w:rsidR="00C30067" w:rsidRPr="006503E7">
        <w:rPr>
          <w:rFonts w:asciiTheme="minorHAnsi" w:hAnsiTheme="minorHAnsi" w:cstheme="minorHAnsi"/>
          <w:sz w:val="24"/>
          <w:szCs w:val="24"/>
          <w:lang w:val="en-GB"/>
        </w:rPr>
        <w:t>dures per million po</w:t>
      </w:r>
      <w:r w:rsidR="00C30067">
        <w:rPr>
          <w:rFonts w:asciiTheme="minorHAnsi" w:hAnsiTheme="minorHAnsi" w:cstheme="minorHAnsi"/>
          <w:sz w:val="24"/>
          <w:szCs w:val="24"/>
          <w:lang w:val="en-GB"/>
        </w:rPr>
        <w:t xml:space="preserve">pulation in 2015, </w:t>
      </w:r>
      <w:r w:rsidR="00F46DDB">
        <w:rPr>
          <w:rFonts w:asciiTheme="minorHAnsi" w:hAnsiTheme="minorHAnsi" w:cstheme="minorHAnsi"/>
          <w:sz w:val="24"/>
          <w:szCs w:val="24"/>
          <w:lang w:val="en-GB"/>
        </w:rPr>
        <w:t xml:space="preserve">Spain is the leading </w:t>
      </w:r>
      <w:r w:rsidR="005F620F">
        <w:rPr>
          <w:rFonts w:asciiTheme="minorHAnsi" w:hAnsiTheme="minorHAnsi" w:cstheme="minorHAnsi"/>
          <w:sz w:val="24"/>
          <w:szCs w:val="24"/>
          <w:lang w:val="en-GB"/>
        </w:rPr>
        <w:t>jurisdiction</w:t>
      </w:r>
      <w:r w:rsidR="00C30067" w:rsidRPr="006503E7">
        <w:rPr>
          <w:rFonts w:asciiTheme="minorHAnsi" w:hAnsiTheme="minorHAnsi" w:cstheme="minorHAnsi"/>
          <w:sz w:val="24"/>
          <w:szCs w:val="24"/>
          <w:lang w:val="en-GB"/>
        </w:rPr>
        <w:t xml:space="preserve"> wo</w:t>
      </w:r>
      <w:r w:rsidR="00C30067">
        <w:rPr>
          <w:rFonts w:asciiTheme="minorHAnsi" w:hAnsiTheme="minorHAnsi" w:cstheme="minorHAnsi"/>
          <w:sz w:val="24"/>
          <w:szCs w:val="24"/>
          <w:lang w:val="en-GB"/>
        </w:rPr>
        <w:t xml:space="preserve">rldwide in providing </w:t>
      </w:r>
      <w:r w:rsidR="00E634FA">
        <w:rPr>
          <w:rFonts w:asciiTheme="minorHAnsi" w:hAnsiTheme="minorHAnsi" w:cstheme="minorHAnsi"/>
          <w:sz w:val="24"/>
          <w:szCs w:val="24"/>
          <w:lang w:val="en-GB"/>
        </w:rPr>
        <w:t>transplantation services</w:t>
      </w:r>
      <w:r w:rsidR="00C30067" w:rsidRPr="006503E7">
        <w:rPr>
          <w:rFonts w:asciiTheme="minorHAnsi" w:hAnsiTheme="minorHAnsi" w:cstheme="minorHAnsi"/>
          <w:sz w:val="24"/>
          <w:szCs w:val="24"/>
          <w:lang w:val="en-GB"/>
        </w:rPr>
        <w:t xml:space="preserve"> to its patie</w:t>
      </w:r>
      <w:r w:rsidR="00C30067">
        <w:rPr>
          <w:rFonts w:asciiTheme="minorHAnsi" w:hAnsiTheme="minorHAnsi" w:cstheme="minorHAnsi"/>
          <w:sz w:val="24"/>
          <w:szCs w:val="24"/>
          <w:lang w:val="en-GB"/>
        </w:rPr>
        <w:t>nt population.</w:t>
      </w:r>
      <w:r w:rsidR="00C30067" w:rsidRPr="00EF2596">
        <w:rPr>
          <w:rStyle w:val="FootnoteReference"/>
          <w:rFonts w:asciiTheme="minorHAnsi" w:hAnsiTheme="minorHAnsi" w:cstheme="minorHAnsi"/>
          <w:lang w:val="en-GB"/>
        </w:rPr>
        <w:footnoteReference w:id="74"/>
      </w:r>
      <w:r w:rsidR="00C30067">
        <w:rPr>
          <w:rFonts w:asciiTheme="minorHAnsi" w:hAnsiTheme="minorHAnsi" w:cstheme="minorHAnsi"/>
          <w:sz w:val="24"/>
          <w:szCs w:val="24"/>
          <w:lang w:val="en-GB"/>
        </w:rPr>
        <w:t xml:space="preserve"> The Spanish rates are </w:t>
      </w:r>
      <w:r w:rsidR="00C30067" w:rsidRPr="006503E7">
        <w:rPr>
          <w:rFonts w:asciiTheme="minorHAnsi" w:hAnsiTheme="minorHAnsi" w:cstheme="minorHAnsi"/>
          <w:sz w:val="24"/>
          <w:szCs w:val="24"/>
          <w:lang w:val="en-GB"/>
        </w:rPr>
        <w:t>derive</w:t>
      </w:r>
      <w:r w:rsidR="00C30067">
        <w:rPr>
          <w:rFonts w:asciiTheme="minorHAnsi" w:hAnsiTheme="minorHAnsi" w:cstheme="minorHAnsi"/>
          <w:sz w:val="24"/>
          <w:szCs w:val="24"/>
          <w:lang w:val="en-GB"/>
        </w:rPr>
        <w:t>d</w:t>
      </w:r>
      <w:r w:rsidR="00C30067" w:rsidRPr="006503E7">
        <w:rPr>
          <w:rFonts w:asciiTheme="minorHAnsi" w:hAnsiTheme="minorHAnsi" w:cstheme="minorHAnsi"/>
          <w:sz w:val="24"/>
          <w:szCs w:val="24"/>
          <w:lang w:val="en-GB"/>
        </w:rPr>
        <w:t xml:space="preserve"> from a </w:t>
      </w:r>
      <w:r w:rsidR="00C30067">
        <w:rPr>
          <w:rFonts w:asciiTheme="minorHAnsi" w:hAnsiTheme="minorHAnsi" w:cstheme="minorHAnsi"/>
          <w:sz w:val="24"/>
          <w:szCs w:val="24"/>
          <w:lang w:val="en-GB"/>
        </w:rPr>
        <w:t xml:space="preserve">speciﬁc organisational approach </w:t>
      </w:r>
      <w:r w:rsidR="00C30067" w:rsidRPr="006503E7">
        <w:rPr>
          <w:rFonts w:asciiTheme="minorHAnsi" w:hAnsiTheme="minorHAnsi" w:cstheme="minorHAnsi"/>
          <w:sz w:val="24"/>
          <w:szCs w:val="24"/>
          <w:lang w:val="en-GB"/>
        </w:rPr>
        <w:t>to ensure the systema</w:t>
      </w:r>
      <w:r w:rsidR="00C30067">
        <w:rPr>
          <w:rFonts w:asciiTheme="minorHAnsi" w:hAnsiTheme="minorHAnsi" w:cstheme="minorHAnsi"/>
          <w:sz w:val="24"/>
          <w:szCs w:val="24"/>
          <w:lang w:val="en-GB"/>
        </w:rPr>
        <w:t>tic identiﬁcation of opportuni</w:t>
      </w:r>
      <w:r w:rsidR="00C30067" w:rsidRPr="006503E7">
        <w:rPr>
          <w:rFonts w:asciiTheme="minorHAnsi" w:hAnsiTheme="minorHAnsi" w:cstheme="minorHAnsi"/>
          <w:sz w:val="24"/>
          <w:szCs w:val="24"/>
          <w:lang w:val="en-GB"/>
        </w:rPr>
        <w:t>ties for organ donation</w:t>
      </w:r>
      <w:r w:rsidR="00C30067">
        <w:rPr>
          <w:rFonts w:asciiTheme="minorHAnsi" w:hAnsiTheme="minorHAnsi" w:cstheme="minorHAnsi"/>
          <w:sz w:val="24"/>
          <w:szCs w:val="24"/>
          <w:lang w:val="en-GB"/>
        </w:rPr>
        <w:t xml:space="preserve"> and their transition to actual </w:t>
      </w:r>
      <w:r w:rsidR="00C30067" w:rsidRPr="006503E7">
        <w:rPr>
          <w:rFonts w:asciiTheme="minorHAnsi" w:hAnsiTheme="minorHAnsi" w:cstheme="minorHAnsi"/>
          <w:sz w:val="24"/>
          <w:szCs w:val="24"/>
          <w:lang w:val="en-GB"/>
        </w:rPr>
        <w:t xml:space="preserve">donation and to promote public support for </w:t>
      </w:r>
      <w:r w:rsidR="00C30067">
        <w:rPr>
          <w:rFonts w:asciiTheme="minorHAnsi" w:hAnsiTheme="minorHAnsi" w:cstheme="minorHAnsi"/>
          <w:sz w:val="24"/>
          <w:szCs w:val="24"/>
          <w:lang w:val="en-GB"/>
        </w:rPr>
        <w:t xml:space="preserve">the </w:t>
      </w:r>
      <w:r w:rsidR="00C30067" w:rsidRPr="006503E7">
        <w:rPr>
          <w:rFonts w:asciiTheme="minorHAnsi" w:hAnsiTheme="minorHAnsi" w:cstheme="minorHAnsi"/>
          <w:sz w:val="24"/>
          <w:szCs w:val="24"/>
          <w:lang w:val="en-GB"/>
        </w:rPr>
        <w:t>donation of organs after death.</w:t>
      </w:r>
      <w:r w:rsidR="00C30067">
        <w:rPr>
          <w:rFonts w:asciiTheme="minorHAnsi" w:hAnsiTheme="minorHAnsi" w:cstheme="minorHAnsi"/>
          <w:sz w:val="24"/>
          <w:szCs w:val="24"/>
          <w:lang w:val="en-GB"/>
        </w:rPr>
        <w:t xml:space="preserve"> </w:t>
      </w:r>
      <w:r w:rsidR="0005663E">
        <w:rPr>
          <w:rFonts w:asciiTheme="minorHAnsi" w:hAnsiTheme="minorHAnsi" w:cstheme="minorHAnsi"/>
          <w:sz w:val="24"/>
          <w:szCs w:val="24"/>
          <w:lang w:val="en-GB"/>
        </w:rPr>
        <w:t>T</w:t>
      </w:r>
      <w:r w:rsidR="00C30067">
        <w:rPr>
          <w:rFonts w:asciiTheme="minorHAnsi" w:hAnsiTheme="minorHAnsi" w:cstheme="minorHAnsi"/>
          <w:sz w:val="24"/>
          <w:szCs w:val="24"/>
          <w:lang w:val="en-GB"/>
        </w:rPr>
        <w:t xml:space="preserve">he approach includes </w:t>
      </w:r>
      <w:r w:rsidR="00C30067" w:rsidRPr="004938CA">
        <w:rPr>
          <w:rFonts w:asciiTheme="minorHAnsi" w:hAnsiTheme="minorHAnsi" w:cstheme="minorHAnsi"/>
          <w:sz w:val="24"/>
          <w:szCs w:val="24"/>
          <w:lang w:val="en-GB"/>
        </w:rPr>
        <w:t xml:space="preserve">three specific objectives: </w:t>
      </w:r>
    </w:p>
    <w:p w14:paraId="02490008" w14:textId="77777777" w:rsidR="00C30067" w:rsidRDefault="00C30067" w:rsidP="00C30067">
      <w:pPr>
        <w:pStyle w:val="ListParagraph"/>
        <w:numPr>
          <w:ilvl w:val="0"/>
          <w:numId w:val="46"/>
        </w:numPr>
        <w:spacing w:after="120"/>
        <w:rPr>
          <w:rFonts w:asciiTheme="minorHAnsi" w:hAnsiTheme="minorHAnsi" w:cstheme="minorHAnsi"/>
          <w:sz w:val="24"/>
          <w:szCs w:val="24"/>
          <w:lang w:val="en-GB"/>
        </w:rPr>
      </w:pPr>
      <w:r>
        <w:rPr>
          <w:rFonts w:asciiTheme="minorHAnsi" w:hAnsiTheme="minorHAnsi" w:cstheme="minorHAnsi"/>
          <w:sz w:val="24"/>
          <w:szCs w:val="24"/>
          <w:lang w:val="en-GB"/>
        </w:rPr>
        <w:t>P</w:t>
      </w:r>
      <w:r w:rsidRPr="004938CA">
        <w:rPr>
          <w:rFonts w:asciiTheme="minorHAnsi" w:hAnsiTheme="minorHAnsi" w:cstheme="minorHAnsi"/>
          <w:sz w:val="24"/>
          <w:szCs w:val="24"/>
          <w:lang w:val="en-GB"/>
        </w:rPr>
        <w:t xml:space="preserve">romoting the identification and early referral of possible organ donors from outside of the intensive care unit to consider elective non‐therapeutic intensive care and incorporate the option of organ donation into end‐of‐life care </w:t>
      </w:r>
    </w:p>
    <w:p w14:paraId="4592DBE4" w14:textId="77777777" w:rsidR="00C30067" w:rsidRDefault="00C30067" w:rsidP="00C30067">
      <w:pPr>
        <w:pStyle w:val="ListParagraph"/>
        <w:numPr>
          <w:ilvl w:val="0"/>
          <w:numId w:val="46"/>
        </w:numPr>
        <w:spacing w:after="120"/>
        <w:rPr>
          <w:rFonts w:asciiTheme="minorHAnsi" w:hAnsiTheme="minorHAnsi" w:cstheme="minorHAnsi"/>
          <w:sz w:val="24"/>
          <w:szCs w:val="24"/>
          <w:lang w:val="en-GB"/>
        </w:rPr>
      </w:pPr>
      <w:r>
        <w:rPr>
          <w:rFonts w:asciiTheme="minorHAnsi" w:hAnsiTheme="minorHAnsi" w:cstheme="minorHAnsi"/>
          <w:sz w:val="24"/>
          <w:szCs w:val="24"/>
          <w:lang w:val="en-GB"/>
        </w:rPr>
        <w:t>F</w:t>
      </w:r>
      <w:r w:rsidRPr="004938CA">
        <w:rPr>
          <w:rFonts w:asciiTheme="minorHAnsi" w:hAnsiTheme="minorHAnsi" w:cstheme="minorHAnsi"/>
          <w:sz w:val="24"/>
          <w:szCs w:val="24"/>
          <w:lang w:val="en-GB"/>
        </w:rPr>
        <w:t>acilitating the use of organs from expanded criteria and non–standard risk donors</w:t>
      </w:r>
    </w:p>
    <w:p w14:paraId="2E0AA162" w14:textId="77777777" w:rsidR="00C30067" w:rsidRPr="004938CA" w:rsidRDefault="00C30067" w:rsidP="00C30067">
      <w:pPr>
        <w:pStyle w:val="ListParagraph"/>
        <w:numPr>
          <w:ilvl w:val="0"/>
          <w:numId w:val="46"/>
        </w:numPr>
        <w:spacing w:after="120"/>
        <w:rPr>
          <w:rFonts w:asciiTheme="minorHAnsi" w:hAnsiTheme="minorHAnsi" w:cstheme="minorHAnsi"/>
          <w:sz w:val="24"/>
          <w:szCs w:val="24"/>
          <w:lang w:val="en-GB"/>
        </w:rPr>
      </w:pPr>
      <w:r>
        <w:rPr>
          <w:rFonts w:asciiTheme="minorHAnsi" w:hAnsiTheme="minorHAnsi" w:cstheme="minorHAnsi"/>
          <w:sz w:val="24"/>
          <w:szCs w:val="24"/>
          <w:lang w:val="en-GB"/>
        </w:rPr>
        <w:t>D</w:t>
      </w:r>
      <w:r w:rsidRPr="004938CA">
        <w:rPr>
          <w:rFonts w:asciiTheme="minorHAnsi" w:hAnsiTheme="minorHAnsi" w:cstheme="minorHAnsi"/>
          <w:sz w:val="24"/>
          <w:szCs w:val="24"/>
          <w:lang w:val="en-GB"/>
        </w:rPr>
        <w:t>eveloping the framework for the practice of donation after circulatory death.</w:t>
      </w:r>
    </w:p>
    <w:p w14:paraId="68DDF821" w14:textId="77777777" w:rsidR="00F46DDB" w:rsidRDefault="00C30067" w:rsidP="00C30067">
      <w:pPr>
        <w:tabs>
          <w:tab w:val="num" w:pos="720"/>
        </w:tabs>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Similar to Australia, </w:t>
      </w:r>
      <w:r w:rsidR="00433CC0">
        <w:rPr>
          <w:rFonts w:asciiTheme="minorHAnsi" w:hAnsiTheme="minorHAnsi" w:cstheme="minorHAnsi"/>
          <w:sz w:val="24"/>
          <w:szCs w:val="24"/>
          <w:lang w:val="en-GB"/>
        </w:rPr>
        <w:t xml:space="preserve">the strategies of </w:t>
      </w:r>
      <w:r>
        <w:rPr>
          <w:rFonts w:asciiTheme="minorHAnsi" w:hAnsiTheme="minorHAnsi" w:cstheme="minorHAnsi"/>
          <w:sz w:val="24"/>
          <w:szCs w:val="24"/>
          <w:lang w:val="en-GB"/>
        </w:rPr>
        <w:t xml:space="preserve">Spain’s </w:t>
      </w:r>
      <w:r w:rsidRPr="0031747F">
        <w:rPr>
          <w:rFonts w:asciiTheme="minorHAnsi" w:hAnsiTheme="minorHAnsi" w:cstheme="minorHAnsi"/>
          <w:i/>
          <w:sz w:val="24"/>
          <w:szCs w:val="24"/>
          <w:lang w:val="en-GB"/>
        </w:rPr>
        <w:t>Organizacion Nacional de Trasplantes</w:t>
      </w:r>
      <w:r>
        <w:rPr>
          <w:rFonts w:asciiTheme="minorHAnsi" w:hAnsiTheme="minorHAnsi" w:cstheme="minorHAnsi"/>
          <w:sz w:val="24"/>
          <w:szCs w:val="24"/>
          <w:lang w:val="en-GB"/>
        </w:rPr>
        <w:t xml:space="preserve"> have focused on donation as a means of driving access to transplantation. Personnel from the </w:t>
      </w:r>
      <w:r w:rsidRPr="0031747F">
        <w:rPr>
          <w:rFonts w:asciiTheme="minorHAnsi" w:hAnsiTheme="minorHAnsi" w:cstheme="minorHAnsi"/>
          <w:i/>
          <w:sz w:val="24"/>
          <w:szCs w:val="24"/>
          <w:lang w:val="en-GB"/>
        </w:rPr>
        <w:t>Organizacion Nacional de Trasplantes</w:t>
      </w:r>
      <w:r>
        <w:rPr>
          <w:rFonts w:asciiTheme="minorHAnsi" w:hAnsiTheme="minorHAnsi" w:cstheme="minorHAnsi"/>
          <w:sz w:val="24"/>
          <w:szCs w:val="24"/>
          <w:lang w:val="en-GB"/>
        </w:rPr>
        <w:t xml:space="preserve"> explain that good organis</w:t>
      </w:r>
      <w:r w:rsidRPr="00734B18">
        <w:rPr>
          <w:rFonts w:asciiTheme="minorHAnsi" w:hAnsiTheme="minorHAnsi" w:cstheme="minorHAnsi"/>
          <w:sz w:val="24"/>
          <w:szCs w:val="24"/>
          <w:lang w:val="en-GB"/>
        </w:rPr>
        <w:t>ation in the process of deceased donation and continuous adaptations of the system to changes are always the basis of successful results in organ donation</w:t>
      </w:r>
      <w:r>
        <w:rPr>
          <w:rFonts w:asciiTheme="minorHAnsi" w:hAnsiTheme="minorHAnsi" w:cstheme="minorHAnsi"/>
          <w:sz w:val="24"/>
          <w:szCs w:val="24"/>
          <w:lang w:val="en-GB"/>
        </w:rPr>
        <w:t xml:space="preserve"> and transplantation.</w:t>
      </w:r>
      <w:r w:rsidRPr="00447661">
        <w:rPr>
          <w:rStyle w:val="FootnoteReference"/>
          <w:rFonts w:asciiTheme="minorHAnsi" w:hAnsiTheme="minorHAnsi" w:cstheme="minorHAnsi"/>
          <w:lang w:val="en-GB"/>
        </w:rPr>
        <w:footnoteReference w:id="75"/>
      </w:r>
      <w:r>
        <w:rPr>
          <w:rFonts w:asciiTheme="minorHAnsi" w:hAnsiTheme="minorHAnsi" w:cstheme="minorHAnsi"/>
          <w:sz w:val="24"/>
          <w:szCs w:val="24"/>
          <w:lang w:val="en-GB"/>
        </w:rPr>
        <w:t xml:space="preserve"> </w:t>
      </w:r>
    </w:p>
    <w:p w14:paraId="2684E76D" w14:textId="77777777" w:rsidR="00C30067" w:rsidRDefault="00C30067" w:rsidP="00C30067">
      <w:pPr>
        <w:tabs>
          <w:tab w:val="num" w:pos="720"/>
        </w:tabs>
        <w:spacing w:after="120"/>
        <w:rPr>
          <w:rFonts w:asciiTheme="minorHAnsi" w:hAnsiTheme="minorHAnsi" w:cstheme="minorHAnsi"/>
          <w:sz w:val="24"/>
          <w:szCs w:val="24"/>
          <w:lang w:val="en-GB"/>
        </w:rPr>
      </w:pPr>
      <w:r>
        <w:rPr>
          <w:rFonts w:asciiTheme="minorHAnsi" w:hAnsiTheme="minorHAnsi" w:cstheme="minorHAnsi"/>
          <w:sz w:val="24"/>
          <w:szCs w:val="24"/>
          <w:lang w:val="en-GB"/>
        </w:rPr>
        <w:t>As Australia has continued to improve the organisation of the donation process</w:t>
      </w:r>
      <w:r w:rsidR="00016BE8">
        <w:rPr>
          <w:rFonts w:asciiTheme="minorHAnsi" w:hAnsiTheme="minorHAnsi" w:cstheme="minorHAnsi"/>
          <w:sz w:val="24"/>
          <w:szCs w:val="24"/>
          <w:lang w:val="en-GB"/>
        </w:rPr>
        <w:t xml:space="preserve"> resulting in an increased supply of organs for transplantation</w:t>
      </w:r>
      <w:r>
        <w:rPr>
          <w:rFonts w:asciiTheme="minorHAnsi" w:hAnsiTheme="minorHAnsi" w:cstheme="minorHAnsi"/>
          <w:sz w:val="24"/>
          <w:szCs w:val="24"/>
          <w:lang w:val="en-GB"/>
        </w:rPr>
        <w:t>,</w:t>
      </w:r>
      <w:r w:rsidR="00AE3433">
        <w:rPr>
          <w:rFonts w:asciiTheme="minorHAnsi" w:hAnsiTheme="minorHAnsi" w:cstheme="minorHAnsi"/>
          <w:sz w:val="24"/>
          <w:szCs w:val="24"/>
          <w:lang w:val="en-GB"/>
        </w:rPr>
        <w:t xml:space="preserve"> however</w:t>
      </w:r>
      <w:r>
        <w:rPr>
          <w:rFonts w:asciiTheme="minorHAnsi" w:hAnsiTheme="minorHAnsi" w:cstheme="minorHAnsi"/>
          <w:sz w:val="24"/>
          <w:szCs w:val="24"/>
          <w:lang w:val="en-GB"/>
        </w:rPr>
        <w:t xml:space="preserve"> </w:t>
      </w:r>
      <w:r w:rsidR="00016BE8">
        <w:rPr>
          <w:rFonts w:asciiTheme="minorHAnsi" w:hAnsiTheme="minorHAnsi" w:cstheme="minorHAnsi"/>
          <w:sz w:val="24"/>
          <w:szCs w:val="24"/>
          <w:lang w:val="en-GB"/>
        </w:rPr>
        <w:t>further work is required</w:t>
      </w:r>
      <w:r>
        <w:rPr>
          <w:rFonts w:asciiTheme="minorHAnsi" w:hAnsiTheme="minorHAnsi" w:cstheme="minorHAnsi"/>
          <w:sz w:val="24"/>
          <w:szCs w:val="24"/>
          <w:lang w:val="en-GB"/>
        </w:rPr>
        <w:t xml:space="preserve"> to the system in order to enable equitable access transplantation</w:t>
      </w:r>
      <w:r w:rsidR="00016BE8">
        <w:rPr>
          <w:rFonts w:asciiTheme="minorHAnsi" w:hAnsiTheme="minorHAnsi" w:cstheme="minorHAnsi"/>
          <w:sz w:val="24"/>
          <w:szCs w:val="24"/>
          <w:lang w:val="en-GB"/>
        </w:rPr>
        <w:t xml:space="preserve"> nationally</w:t>
      </w:r>
      <w:r>
        <w:rPr>
          <w:rFonts w:asciiTheme="minorHAnsi" w:hAnsiTheme="minorHAnsi" w:cstheme="minorHAnsi"/>
          <w:sz w:val="24"/>
          <w:szCs w:val="24"/>
          <w:lang w:val="en-GB"/>
        </w:rPr>
        <w:t xml:space="preserve">. </w:t>
      </w:r>
    </w:p>
    <w:p w14:paraId="53AF077B" w14:textId="77777777" w:rsidR="003429DF" w:rsidRPr="00266A77" w:rsidRDefault="003429DF" w:rsidP="003429DF">
      <w:pPr>
        <w:tabs>
          <w:tab w:val="num" w:pos="720"/>
        </w:tabs>
        <w:spacing w:after="120"/>
        <w:rPr>
          <w:rFonts w:asciiTheme="minorHAnsi" w:hAnsiTheme="minorHAnsi" w:cstheme="minorHAnsi"/>
          <w:color w:val="808080" w:themeColor="background1" w:themeShade="80"/>
          <w:sz w:val="26"/>
          <w:szCs w:val="26"/>
        </w:rPr>
      </w:pPr>
      <w:r w:rsidRPr="00266A77">
        <w:rPr>
          <w:rFonts w:asciiTheme="minorHAnsi" w:hAnsiTheme="minorHAnsi" w:cstheme="minorHAnsi"/>
          <w:i/>
          <w:color w:val="808080" w:themeColor="background1" w:themeShade="80"/>
          <w:sz w:val="26"/>
          <w:szCs w:val="26"/>
        </w:rPr>
        <w:t>Summary of key findings</w:t>
      </w:r>
    </w:p>
    <w:p w14:paraId="7CBECD13" w14:textId="77777777" w:rsidR="003429DF" w:rsidRPr="00EF2596" w:rsidRDefault="003429DF" w:rsidP="003429DF">
      <w:pPr>
        <w:pStyle w:val="ListParagraph"/>
        <w:numPr>
          <w:ilvl w:val="0"/>
          <w:numId w:val="23"/>
        </w:numPr>
        <w:spacing w:after="120"/>
        <w:rPr>
          <w:rFonts w:asciiTheme="minorHAnsi" w:hAnsiTheme="minorHAnsi" w:cstheme="minorHAnsi"/>
          <w:sz w:val="24"/>
          <w:szCs w:val="24"/>
          <w:lang w:val="en-GB"/>
        </w:rPr>
      </w:pPr>
      <w:r w:rsidRPr="00EF2596">
        <w:rPr>
          <w:rFonts w:asciiTheme="minorHAnsi" w:hAnsiTheme="minorHAnsi" w:cstheme="minorHAnsi"/>
          <w:sz w:val="24"/>
          <w:szCs w:val="24"/>
          <w:lang w:val="en-GB"/>
        </w:rPr>
        <w:t>Australia had the highest percentage of growth in donation in the 9th year of reform compared to other countries that have undertaken national reform programs to increase organ donation (Spain, United Kingdom and Portugal).</w:t>
      </w:r>
    </w:p>
    <w:p w14:paraId="3ECE5879" w14:textId="77777777" w:rsidR="003429DF" w:rsidRDefault="003429DF" w:rsidP="003429DF">
      <w:pPr>
        <w:pStyle w:val="ListParagraph"/>
        <w:numPr>
          <w:ilvl w:val="0"/>
          <w:numId w:val="23"/>
        </w:numPr>
        <w:spacing w:after="120"/>
        <w:rPr>
          <w:rFonts w:asciiTheme="minorHAnsi" w:hAnsiTheme="minorHAnsi" w:cstheme="minorHAnsi"/>
          <w:sz w:val="24"/>
          <w:szCs w:val="24"/>
          <w:lang w:val="en-GB"/>
        </w:rPr>
      </w:pPr>
      <w:r>
        <w:rPr>
          <w:rFonts w:asciiTheme="minorHAnsi" w:hAnsiTheme="minorHAnsi" w:cstheme="minorHAnsi"/>
          <w:sz w:val="24"/>
          <w:szCs w:val="24"/>
          <w:lang w:val="en-GB"/>
        </w:rPr>
        <w:t>A new national strategy is required in order to continue to drive performance of the system and meet key capacity issues, with a particular emphasis on innovative approaches to national workforce planning and coordination of retrieval and transplantation.</w:t>
      </w:r>
    </w:p>
    <w:p w14:paraId="0D24FC7E" w14:textId="77777777" w:rsidR="003429DF" w:rsidRPr="003429DF" w:rsidRDefault="003429DF" w:rsidP="003429DF">
      <w:pPr>
        <w:tabs>
          <w:tab w:val="num" w:pos="720"/>
        </w:tabs>
        <w:spacing w:after="120"/>
        <w:rPr>
          <w:rFonts w:asciiTheme="minorHAnsi" w:hAnsiTheme="minorHAnsi" w:cstheme="minorHAnsi"/>
          <w:i/>
          <w:color w:val="808080" w:themeColor="background1" w:themeShade="80"/>
          <w:sz w:val="26"/>
          <w:szCs w:val="26"/>
        </w:rPr>
      </w:pPr>
      <w:r w:rsidRPr="003429DF">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one is that the Australian Government working in collaboration with states and territores use this report to guide the development of a future national strategy for the retrieval and transplantation sector to optimise every deceased donation opportunity for maximum transplantation outcomes. Recommendation two is that the Australian Government working in partnership with states and territories, develop a long-term national workforce strategy for the organ donation, retrieval and transplantaiton sectors. "/>
      </w:tblPr>
      <w:tblGrid>
        <w:gridCol w:w="2268"/>
        <w:gridCol w:w="7479"/>
      </w:tblGrid>
      <w:tr w:rsidR="00376944" w:rsidRPr="00B60A37" w14:paraId="180BA32B" w14:textId="77777777" w:rsidTr="00AE3ED1">
        <w:trPr>
          <w:tblHeader/>
        </w:trPr>
        <w:tc>
          <w:tcPr>
            <w:tcW w:w="2268" w:type="dxa"/>
            <w:shd w:val="clear" w:color="auto" w:fill="595959" w:themeFill="text1" w:themeFillTint="A6"/>
          </w:tcPr>
          <w:p w14:paraId="74443824" w14:textId="5B0E913C" w:rsidR="00376944" w:rsidRPr="00AE3ED1" w:rsidRDefault="00376944" w:rsidP="00DF611F">
            <w:pPr>
              <w:ind w:right="-321"/>
              <w:rPr>
                <w:rFonts w:asciiTheme="minorHAnsi" w:hAnsiTheme="minorHAnsi" w:cstheme="minorHAnsi"/>
                <w:b/>
                <w:color w:val="FFFFFF" w:themeColor="background1"/>
                <w:sz w:val="24"/>
                <w:szCs w:val="24"/>
                <w:lang w:val="en-GB"/>
              </w:rPr>
            </w:pPr>
            <w:r w:rsidRPr="00AE3ED1">
              <w:rPr>
                <w:rFonts w:asciiTheme="minorHAnsi" w:hAnsiTheme="minorHAnsi" w:cstheme="minorHAnsi"/>
                <w:b/>
                <w:color w:val="FFFFFF" w:themeColor="background1"/>
                <w:sz w:val="24"/>
                <w:szCs w:val="24"/>
                <w:lang w:val="en-GB"/>
              </w:rPr>
              <w:t>Recommendation</w:t>
            </w:r>
          </w:p>
        </w:tc>
        <w:tc>
          <w:tcPr>
            <w:tcW w:w="7479" w:type="dxa"/>
            <w:shd w:val="clear" w:color="auto" w:fill="595959" w:themeFill="text1" w:themeFillTint="A6"/>
          </w:tcPr>
          <w:p w14:paraId="782AABBE" w14:textId="3998AAB7" w:rsidR="00376944" w:rsidRPr="00AE3ED1" w:rsidRDefault="00376944" w:rsidP="005702D4">
            <w:pPr>
              <w:spacing w:after="120"/>
              <w:ind w:right="-142"/>
              <w:rPr>
                <w:rFonts w:asciiTheme="minorHAnsi" w:hAnsiTheme="minorHAnsi" w:cstheme="minorHAnsi"/>
                <w:b/>
                <w:color w:val="FFFFFF" w:themeColor="background1"/>
                <w:sz w:val="24"/>
                <w:szCs w:val="24"/>
                <w:lang w:val="en-GB"/>
              </w:rPr>
            </w:pPr>
            <w:r w:rsidRPr="00AE3ED1">
              <w:rPr>
                <w:rFonts w:asciiTheme="minorHAnsi" w:hAnsiTheme="minorHAnsi" w:cstheme="minorHAnsi"/>
                <w:b/>
                <w:color w:val="FFFFFF" w:themeColor="background1"/>
                <w:sz w:val="24"/>
                <w:szCs w:val="24"/>
                <w:lang w:val="en-GB"/>
              </w:rPr>
              <w:t>Description</w:t>
            </w:r>
          </w:p>
        </w:tc>
      </w:tr>
      <w:tr w:rsidR="003429DF" w:rsidRPr="00B60A37" w14:paraId="7615B61A" w14:textId="77777777" w:rsidTr="00AE3ED1">
        <w:tc>
          <w:tcPr>
            <w:tcW w:w="2268" w:type="dxa"/>
          </w:tcPr>
          <w:p w14:paraId="5EF71BC7" w14:textId="77777777" w:rsidR="003429DF" w:rsidRPr="002A4039" w:rsidRDefault="003429DF" w:rsidP="00DF611F">
            <w:pPr>
              <w:ind w:right="-321"/>
              <w:rPr>
                <w:rFonts w:asciiTheme="minorHAnsi" w:hAnsiTheme="minorHAnsi" w:cstheme="minorHAnsi"/>
                <w:b/>
                <w:sz w:val="24"/>
                <w:szCs w:val="24"/>
                <w:lang w:val="en-GB"/>
              </w:rPr>
            </w:pPr>
            <w:r>
              <w:rPr>
                <w:rFonts w:asciiTheme="minorHAnsi" w:hAnsiTheme="minorHAnsi" w:cstheme="minorHAnsi"/>
                <w:b/>
                <w:sz w:val="24"/>
                <w:szCs w:val="24"/>
                <w:lang w:val="en-GB"/>
              </w:rPr>
              <w:t>Recommendation 1</w:t>
            </w:r>
          </w:p>
        </w:tc>
        <w:tc>
          <w:tcPr>
            <w:tcW w:w="7479" w:type="dxa"/>
          </w:tcPr>
          <w:p w14:paraId="48F18F5D" w14:textId="77777777" w:rsidR="003429DF" w:rsidRPr="00545923" w:rsidRDefault="003429DF" w:rsidP="005702D4">
            <w:pPr>
              <w:spacing w:after="120"/>
              <w:ind w:right="-142"/>
              <w:rPr>
                <w:rFonts w:asciiTheme="minorHAnsi" w:hAnsiTheme="minorHAnsi" w:cstheme="minorHAnsi"/>
                <w:sz w:val="24"/>
                <w:szCs w:val="24"/>
                <w:lang w:val="en-GB"/>
              </w:rPr>
            </w:pPr>
            <w:r w:rsidRPr="00545923">
              <w:rPr>
                <w:rFonts w:asciiTheme="minorHAnsi" w:hAnsiTheme="minorHAnsi" w:cstheme="minorHAnsi"/>
                <w:sz w:val="24"/>
                <w:szCs w:val="24"/>
                <w:lang w:val="en-GB"/>
              </w:rPr>
              <w:t>The Australian Government</w:t>
            </w:r>
            <w:r w:rsidR="006330C1">
              <w:rPr>
                <w:rFonts w:asciiTheme="minorHAnsi" w:hAnsiTheme="minorHAnsi" w:cstheme="minorHAnsi"/>
                <w:sz w:val="24"/>
                <w:szCs w:val="24"/>
                <w:lang w:val="en-GB"/>
              </w:rPr>
              <w:t xml:space="preserve"> </w:t>
            </w:r>
            <w:r w:rsidR="00B6004E">
              <w:rPr>
                <w:rFonts w:asciiTheme="minorHAnsi" w:hAnsiTheme="minorHAnsi" w:cstheme="minorHAnsi"/>
                <w:sz w:val="24"/>
                <w:szCs w:val="24"/>
                <w:lang w:val="en-GB"/>
              </w:rPr>
              <w:t>working in collaboration with states and territories</w:t>
            </w:r>
            <w:r w:rsidRPr="00545923">
              <w:rPr>
                <w:rFonts w:asciiTheme="minorHAnsi" w:hAnsiTheme="minorHAnsi" w:cstheme="minorHAnsi"/>
                <w:sz w:val="24"/>
                <w:szCs w:val="24"/>
                <w:lang w:val="en-GB"/>
              </w:rPr>
              <w:t xml:space="preserve"> use this report to guide the development of a future national strategy for the retrieval and transplantation sector to optimise every deceased donation opportunity for maximum </w:t>
            </w:r>
            <w:r>
              <w:rPr>
                <w:rFonts w:asciiTheme="minorHAnsi" w:hAnsiTheme="minorHAnsi" w:cstheme="minorHAnsi"/>
                <w:sz w:val="24"/>
                <w:szCs w:val="24"/>
                <w:lang w:val="en-GB"/>
              </w:rPr>
              <w:t>transplantation outcomes</w:t>
            </w:r>
            <w:r w:rsidRPr="00545923">
              <w:rPr>
                <w:rFonts w:asciiTheme="minorHAnsi" w:hAnsiTheme="minorHAnsi" w:cstheme="minorHAnsi"/>
                <w:sz w:val="24"/>
                <w:szCs w:val="24"/>
                <w:lang w:val="en-GB"/>
              </w:rPr>
              <w:t>.</w:t>
            </w:r>
          </w:p>
        </w:tc>
      </w:tr>
      <w:tr w:rsidR="003429DF" w:rsidRPr="00B60A37" w14:paraId="78EA88F4" w14:textId="77777777" w:rsidTr="00AE3ED1">
        <w:tc>
          <w:tcPr>
            <w:tcW w:w="2268" w:type="dxa"/>
          </w:tcPr>
          <w:p w14:paraId="39F8030D" w14:textId="77777777" w:rsidR="003429DF" w:rsidRDefault="003429DF" w:rsidP="003429DF">
            <w:pPr>
              <w:ind w:right="-321"/>
              <w:rPr>
                <w:rFonts w:asciiTheme="minorHAnsi" w:hAnsiTheme="minorHAnsi" w:cstheme="minorHAnsi"/>
                <w:b/>
                <w:sz w:val="24"/>
                <w:szCs w:val="24"/>
                <w:lang w:val="en-GB"/>
              </w:rPr>
            </w:pPr>
            <w:r>
              <w:rPr>
                <w:rFonts w:asciiTheme="minorHAnsi" w:hAnsiTheme="minorHAnsi" w:cstheme="minorHAnsi"/>
                <w:b/>
                <w:sz w:val="24"/>
                <w:szCs w:val="24"/>
                <w:lang w:val="en-GB"/>
              </w:rPr>
              <w:t>Recommendation 2</w:t>
            </w:r>
          </w:p>
        </w:tc>
        <w:tc>
          <w:tcPr>
            <w:tcW w:w="7479" w:type="dxa"/>
          </w:tcPr>
          <w:p w14:paraId="7A99CA15" w14:textId="77777777" w:rsidR="003429DF" w:rsidRPr="00545923" w:rsidRDefault="003429DF" w:rsidP="00A33DC6">
            <w:pPr>
              <w:spacing w:after="120"/>
              <w:ind w:right="-142"/>
              <w:rPr>
                <w:rFonts w:asciiTheme="minorHAnsi" w:hAnsiTheme="minorHAnsi" w:cstheme="minorHAnsi"/>
                <w:sz w:val="24"/>
                <w:szCs w:val="24"/>
                <w:lang w:val="en-GB"/>
              </w:rPr>
            </w:pPr>
            <w:r>
              <w:rPr>
                <w:rFonts w:asciiTheme="minorHAnsi" w:hAnsiTheme="minorHAnsi" w:cstheme="minorHAnsi"/>
                <w:sz w:val="24"/>
                <w:szCs w:val="24"/>
                <w:lang w:val="en-GB"/>
              </w:rPr>
              <w:t xml:space="preserve">The Australian Government </w:t>
            </w:r>
            <w:r w:rsidR="00B6004E">
              <w:rPr>
                <w:rFonts w:asciiTheme="minorHAnsi" w:hAnsiTheme="minorHAnsi" w:cstheme="minorHAnsi"/>
                <w:sz w:val="24"/>
                <w:szCs w:val="24"/>
                <w:lang w:val="en-GB"/>
              </w:rPr>
              <w:t>working in partnership with states and territories</w:t>
            </w:r>
            <w:r>
              <w:rPr>
                <w:rFonts w:asciiTheme="minorHAnsi" w:hAnsiTheme="minorHAnsi" w:cstheme="minorHAnsi"/>
                <w:sz w:val="24"/>
                <w:szCs w:val="24"/>
                <w:lang w:val="en-GB"/>
              </w:rPr>
              <w:t>, develop a long-</w:t>
            </w:r>
            <w:r w:rsidRPr="00545923">
              <w:rPr>
                <w:rFonts w:asciiTheme="minorHAnsi" w:hAnsiTheme="minorHAnsi" w:cstheme="minorHAnsi"/>
                <w:sz w:val="24"/>
                <w:szCs w:val="24"/>
                <w:lang w:val="en-GB"/>
              </w:rPr>
              <w:t>term national workforce</w:t>
            </w:r>
            <w:r w:rsidRPr="00EF2596">
              <w:rPr>
                <w:rFonts w:asciiTheme="minorHAnsi" w:hAnsiTheme="minorHAnsi" w:cstheme="minorHAnsi"/>
                <w:sz w:val="24"/>
                <w:szCs w:val="24"/>
                <w:lang w:val="en-GB"/>
              </w:rPr>
              <w:t xml:space="preserve"> strategy for the organ donation, retrieval and transplantation sectors</w:t>
            </w:r>
            <w:r>
              <w:rPr>
                <w:rFonts w:asciiTheme="minorHAnsi" w:hAnsiTheme="minorHAnsi" w:cstheme="minorHAnsi"/>
                <w:sz w:val="24"/>
                <w:szCs w:val="24"/>
                <w:lang w:val="en-GB"/>
              </w:rPr>
              <w:t>.</w:t>
            </w:r>
          </w:p>
        </w:tc>
      </w:tr>
    </w:tbl>
    <w:p w14:paraId="5894E642" w14:textId="77777777" w:rsidR="00C30067" w:rsidRPr="00266A77" w:rsidRDefault="00C30067" w:rsidP="00C30067">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593" w:name="_Ref527623987"/>
      <w:r w:rsidRPr="00266A77">
        <w:rPr>
          <w:rFonts w:asciiTheme="minorHAnsi" w:hAnsiTheme="minorHAnsi" w:cstheme="minorHAnsi"/>
          <w:b w:val="0"/>
          <w:color w:val="7F7F7F" w:themeColor="text1" w:themeTint="80"/>
          <w:sz w:val="30"/>
          <w:szCs w:val="30"/>
        </w:rPr>
        <w:t xml:space="preserve">Governance of the </w:t>
      </w:r>
      <w:r>
        <w:rPr>
          <w:rFonts w:asciiTheme="minorHAnsi" w:hAnsiTheme="minorHAnsi" w:cstheme="minorHAnsi"/>
          <w:b w:val="0"/>
          <w:color w:val="7F7F7F" w:themeColor="text1" w:themeTint="80"/>
          <w:sz w:val="30"/>
          <w:szCs w:val="30"/>
        </w:rPr>
        <w:t xml:space="preserve">retrieval and </w:t>
      </w:r>
      <w:r w:rsidRPr="00266A77">
        <w:rPr>
          <w:rFonts w:asciiTheme="minorHAnsi" w:hAnsiTheme="minorHAnsi" w:cstheme="minorHAnsi"/>
          <w:b w:val="0"/>
          <w:color w:val="7F7F7F" w:themeColor="text1" w:themeTint="80"/>
          <w:sz w:val="30"/>
          <w:szCs w:val="30"/>
        </w:rPr>
        <w:t>transplantation system</w:t>
      </w:r>
      <w:bookmarkEnd w:id="593"/>
    </w:p>
    <w:p w14:paraId="63526849" w14:textId="77777777" w:rsidR="00C30067" w:rsidRPr="00BF220F" w:rsidRDefault="00C30067" w:rsidP="00C30067">
      <w:pPr>
        <w:tabs>
          <w:tab w:val="num" w:pos="720"/>
        </w:tabs>
        <w:spacing w:after="120"/>
        <w:rPr>
          <w:rFonts w:asciiTheme="minorHAnsi" w:hAnsiTheme="minorHAnsi" w:cstheme="minorHAnsi"/>
          <w:i/>
          <w:color w:val="808080" w:themeColor="background1" w:themeShade="80"/>
          <w:sz w:val="26"/>
          <w:szCs w:val="26"/>
        </w:rPr>
      </w:pPr>
      <w:r w:rsidRPr="00BF220F">
        <w:rPr>
          <w:rFonts w:asciiTheme="minorHAnsi" w:hAnsiTheme="minorHAnsi" w:cstheme="minorHAnsi"/>
          <w:i/>
          <w:color w:val="808080" w:themeColor="background1" w:themeShade="80"/>
          <w:sz w:val="26"/>
          <w:szCs w:val="26"/>
        </w:rPr>
        <w:t>Discussion of findings</w:t>
      </w:r>
    </w:p>
    <w:p w14:paraId="6B77B174" w14:textId="77777777" w:rsidR="00975A13" w:rsidRDefault="0005663E" w:rsidP="00FC0FD7">
      <w:pPr>
        <w:tabs>
          <w:tab w:val="num" w:pos="720"/>
        </w:tabs>
        <w:spacing w:after="120"/>
        <w:rPr>
          <w:rFonts w:asciiTheme="minorHAnsi" w:hAnsiTheme="minorHAnsi" w:cstheme="minorHAnsi"/>
          <w:sz w:val="24"/>
          <w:szCs w:val="24"/>
          <w:lang w:val="en-GB"/>
        </w:rPr>
      </w:pPr>
      <w:r>
        <w:rPr>
          <w:rFonts w:asciiTheme="minorHAnsi" w:hAnsiTheme="minorHAnsi" w:cstheme="minorHAnsi"/>
          <w:sz w:val="24"/>
          <w:szCs w:val="24"/>
          <w:lang w:val="en-GB"/>
        </w:rPr>
        <w:t>S</w:t>
      </w:r>
      <w:r w:rsidR="00C30067" w:rsidRPr="00F37D51">
        <w:rPr>
          <w:rFonts w:asciiTheme="minorHAnsi" w:hAnsiTheme="minorHAnsi" w:cstheme="minorHAnsi"/>
          <w:sz w:val="24"/>
          <w:szCs w:val="24"/>
          <w:lang w:val="en-GB"/>
        </w:rPr>
        <w:t xml:space="preserve">tates and territories, and their constituent </w:t>
      </w:r>
      <w:r w:rsidR="00C30067">
        <w:rPr>
          <w:rFonts w:asciiTheme="minorHAnsi" w:hAnsiTheme="minorHAnsi" w:cstheme="minorHAnsi"/>
          <w:sz w:val="24"/>
          <w:szCs w:val="24"/>
          <w:lang w:val="en-GB"/>
        </w:rPr>
        <w:t>L</w:t>
      </w:r>
      <w:r w:rsidR="00C30067" w:rsidRPr="00F37D51">
        <w:rPr>
          <w:rFonts w:asciiTheme="minorHAnsi" w:hAnsiTheme="minorHAnsi" w:cstheme="minorHAnsi"/>
          <w:sz w:val="24"/>
          <w:szCs w:val="24"/>
          <w:lang w:val="en-GB"/>
        </w:rPr>
        <w:t xml:space="preserve">ocal </w:t>
      </w:r>
      <w:r w:rsidR="00C30067">
        <w:rPr>
          <w:rFonts w:asciiTheme="minorHAnsi" w:hAnsiTheme="minorHAnsi" w:cstheme="minorHAnsi"/>
          <w:sz w:val="24"/>
          <w:szCs w:val="24"/>
          <w:lang w:val="en-GB"/>
        </w:rPr>
        <w:t>H</w:t>
      </w:r>
      <w:r w:rsidR="00C30067" w:rsidRPr="00F37D51">
        <w:rPr>
          <w:rFonts w:asciiTheme="minorHAnsi" w:hAnsiTheme="minorHAnsi" w:cstheme="minorHAnsi"/>
          <w:sz w:val="24"/>
          <w:szCs w:val="24"/>
          <w:lang w:val="en-GB"/>
        </w:rPr>
        <w:t xml:space="preserve">ospital </w:t>
      </w:r>
      <w:r w:rsidR="00C30067">
        <w:rPr>
          <w:rFonts w:asciiTheme="minorHAnsi" w:hAnsiTheme="minorHAnsi" w:cstheme="minorHAnsi"/>
          <w:sz w:val="24"/>
          <w:szCs w:val="24"/>
          <w:lang w:val="en-GB"/>
        </w:rPr>
        <w:t>N</w:t>
      </w:r>
      <w:r w:rsidR="00C30067" w:rsidRPr="00F37D51">
        <w:rPr>
          <w:rFonts w:asciiTheme="minorHAnsi" w:hAnsiTheme="minorHAnsi" w:cstheme="minorHAnsi"/>
          <w:sz w:val="24"/>
          <w:szCs w:val="24"/>
          <w:lang w:val="en-GB"/>
        </w:rPr>
        <w:t xml:space="preserve">etworks, </w:t>
      </w:r>
      <w:r w:rsidR="00C30067">
        <w:rPr>
          <w:rFonts w:asciiTheme="minorHAnsi" w:hAnsiTheme="minorHAnsi" w:cstheme="minorHAnsi"/>
          <w:sz w:val="24"/>
          <w:szCs w:val="24"/>
          <w:lang w:val="en-GB"/>
        </w:rPr>
        <w:t xml:space="preserve">are currently </w:t>
      </w:r>
      <w:r w:rsidR="00C30067" w:rsidRPr="00F37D51">
        <w:rPr>
          <w:rFonts w:asciiTheme="minorHAnsi" w:hAnsiTheme="minorHAnsi" w:cstheme="minorHAnsi"/>
          <w:sz w:val="24"/>
          <w:szCs w:val="24"/>
          <w:lang w:val="en-GB"/>
        </w:rPr>
        <w:t xml:space="preserve">the primary vehicle for organ </w:t>
      </w:r>
      <w:r w:rsidR="00C30067">
        <w:rPr>
          <w:rFonts w:asciiTheme="minorHAnsi" w:hAnsiTheme="minorHAnsi" w:cstheme="minorHAnsi"/>
          <w:sz w:val="24"/>
          <w:szCs w:val="24"/>
          <w:lang w:val="en-GB"/>
        </w:rPr>
        <w:t xml:space="preserve">retrieval and </w:t>
      </w:r>
      <w:r w:rsidR="00E634FA">
        <w:rPr>
          <w:rFonts w:asciiTheme="minorHAnsi" w:hAnsiTheme="minorHAnsi" w:cstheme="minorHAnsi"/>
          <w:sz w:val="24"/>
          <w:szCs w:val="24"/>
          <w:lang w:val="en-GB"/>
        </w:rPr>
        <w:t>transplantation services</w:t>
      </w:r>
      <w:r w:rsidR="00C30067">
        <w:rPr>
          <w:rFonts w:asciiTheme="minorHAnsi" w:hAnsiTheme="minorHAnsi" w:cstheme="minorHAnsi"/>
          <w:sz w:val="24"/>
          <w:szCs w:val="24"/>
          <w:lang w:val="en-GB"/>
        </w:rPr>
        <w:t xml:space="preserve"> and it should remain this way</w:t>
      </w:r>
      <w:r w:rsidR="00AE3433">
        <w:rPr>
          <w:rFonts w:asciiTheme="minorHAnsi" w:hAnsiTheme="minorHAnsi" w:cstheme="minorHAnsi"/>
          <w:sz w:val="24"/>
          <w:szCs w:val="24"/>
          <w:lang w:val="en-GB"/>
        </w:rPr>
        <w:t>; a</w:t>
      </w:r>
      <w:r w:rsidR="00FD160A">
        <w:rPr>
          <w:rFonts w:asciiTheme="minorHAnsi" w:hAnsiTheme="minorHAnsi" w:cstheme="minorHAnsi"/>
          <w:sz w:val="24"/>
          <w:szCs w:val="24"/>
          <w:lang w:val="en-GB"/>
        </w:rPr>
        <w:t xml:space="preserve">s the primary responsibility for the delivery of public sector health services in Australia lies with the states and territories under the National Health Reform Agreement. </w:t>
      </w:r>
      <w:r w:rsidR="00C30067">
        <w:rPr>
          <w:rFonts w:asciiTheme="minorHAnsi" w:hAnsiTheme="minorHAnsi" w:cstheme="minorHAnsi"/>
          <w:sz w:val="24"/>
          <w:szCs w:val="24"/>
          <w:lang w:val="en-GB"/>
        </w:rPr>
        <w:t>However, t</w:t>
      </w:r>
      <w:r w:rsidR="00C30067" w:rsidRPr="00F37D51">
        <w:rPr>
          <w:rFonts w:asciiTheme="minorHAnsi" w:hAnsiTheme="minorHAnsi" w:cstheme="minorHAnsi"/>
          <w:sz w:val="24"/>
          <w:szCs w:val="24"/>
          <w:lang w:val="en-GB"/>
        </w:rPr>
        <w:t xml:space="preserve">here are a range of national issues </w:t>
      </w:r>
      <w:r w:rsidR="00C30067">
        <w:rPr>
          <w:rFonts w:asciiTheme="minorHAnsi" w:hAnsiTheme="minorHAnsi" w:cstheme="minorHAnsi"/>
          <w:sz w:val="24"/>
          <w:szCs w:val="24"/>
          <w:lang w:val="en-GB"/>
        </w:rPr>
        <w:t>impacting</w:t>
      </w:r>
      <w:r w:rsidR="00C30067" w:rsidRPr="00F37D51">
        <w:rPr>
          <w:rFonts w:asciiTheme="minorHAnsi" w:hAnsiTheme="minorHAnsi" w:cstheme="minorHAnsi"/>
          <w:sz w:val="24"/>
          <w:szCs w:val="24"/>
          <w:lang w:val="en-GB"/>
        </w:rPr>
        <w:t xml:space="preserve"> the organ </w:t>
      </w:r>
      <w:r w:rsidR="00C30067">
        <w:rPr>
          <w:rFonts w:asciiTheme="minorHAnsi" w:hAnsiTheme="minorHAnsi" w:cstheme="minorHAnsi"/>
          <w:sz w:val="24"/>
          <w:szCs w:val="24"/>
          <w:lang w:val="en-GB"/>
        </w:rPr>
        <w:t xml:space="preserve">retrieval and </w:t>
      </w:r>
      <w:r w:rsidR="00C30067" w:rsidRPr="00F37D51">
        <w:rPr>
          <w:rFonts w:asciiTheme="minorHAnsi" w:hAnsiTheme="minorHAnsi" w:cstheme="minorHAnsi"/>
          <w:sz w:val="24"/>
          <w:szCs w:val="24"/>
          <w:lang w:val="en-GB"/>
        </w:rPr>
        <w:t>transplantation system</w:t>
      </w:r>
      <w:r w:rsidR="00C30067">
        <w:rPr>
          <w:rFonts w:asciiTheme="minorHAnsi" w:hAnsiTheme="minorHAnsi" w:cstheme="minorHAnsi"/>
          <w:sz w:val="24"/>
          <w:szCs w:val="24"/>
          <w:lang w:val="en-GB"/>
        </w:rPr>
        <w:t>, and national reform agenda</w:t>
      </w:r>
      <w:r w:rsidR="00FD160A">
        <w:rPr>
          <w:rFonts w:asciiTheme="minorHAnsi" w:hAnsiTheme="minorHAnsi" w:cstheme="minorHAnsi"/>
          <w:sz w:val="24"/>
          <w:szCs w:val="24"/>
          <w:lang w:val="en-GB"/>
        </w:rPr>
        <w:t xml:space="preserve"> with a particular focus on organ donation</w:t>
      </w:r>
      <w:r w:rsidR="00C30067">
        <w:rPr>
          <w:rFonts w:asciiTheme="minorHAnsi" w:hAnsiTheme="minorHAnsi" w:cstheme="minorHAnsi"/>
          <w:sz w:val="24"/>
          <w:szCs w:val="24"/>
          <w:lang w:val="en-GB"/>
        </w:rPr>
        <w:t>, which</w:t>
      </w:r>
      <w:r w:rsidR="00C30067" w:rsidRPr="00F37D51">
        <w:rPr>
          <w:rFonts w:asciiTheme="minorHAnsi" w:hAnsiTheme="minorHAnsi" w:cstheme="minorHAnsi"/>
          <w:sz w:val="24"/>
          <w:szCs w:val="24"/>
          <w:lang w:val="en-GB"/>
        </w:rPr>
        <w:t xml:space="preserve"> require national coordination</w:t>
      </w:r>
      <w:r w:rsidR="00C30067">
        <w:rPr>
          <w:rFonts w:asciiTheme="minorHAnsi" w:hAnsiTheme="minorHAnsi" w:cstheme="minorHAnsi"/>
          <w:sz w:val="24"/>
          <w:szCs w:val="24"/>
          <w:lang w:val="en-GB"/>
        </w:rPr>
        <w:t>. The system would benefit from governance structures that provide oversight of the end-to-end processes in organ donation, retrieval and transplantation</w:t>
      </w:r>
      <w:r w:rsidR="005F73D7">
        <w:rPr>
          <w:rFonts w:asciiTheme="minorHAnsi" w:hAnsiTheme="minorHAnsi" w:cstheme="minorHAnsi"/>
          <w:sz w:val="24"/>
          <w:szCs w:val="24"/>
          <w:lang w:val="en-GB"/>
        </w:rPr>
        <w:t>, in particular</w:t>
      </w:r>
      <w:r w:rsidR="00AC2381">
        <w:rPr>
          <w:rFonts w:asciiTheme="minorHAnsi" w:hAnsiTheme="minorHAnsi" w:cstheme="minorHAnsi"/>
          <w:sz w:val="24"/>
          <w:szCs w:val="24"/>
          <w:lang w:val="en-GB"/>
        </w:rPr>
        <w:t xml:space="preserve"> enhanced coordination of retrieval and transplantation. </w:t>
      </w:r>
      <w:r w:rsidR="00C30067">
        <w:rPr>
          <w:rFonts w:asciiTheme="minorHAnsi" w:hAnsiTheme="minorHAnsi" w:cstheme="minorHAnsi"/>
          <w:sz w:val="24"/>
          <w:szCs w:val="24"/>
          <w:lang w:val="en-GB"/>
        </w:rPr>
        <w:t xml:space="preserve"> </w:t>
      </w:r>
      <w:r w:rsidR="00AC2381">
        <w:rPr>
          <w:rFonts w:asciiTheme="minorHAnsi" w:hAnsiTheme="minorHAnsi" w:cstheme="minorHAnsi"/>
          <w:sz w:val="24"/>
          <w:szCs w:val="24"/>
          <w:lang w:val="en-GB"/>
        </w:rPr>
        <w:t>T</w:t>
      </w:r>
      <w:r w:rsidR="009A3EBD">
        <w:rPr>
          <w:rFonts w:asciiTheme="minorHAnsi" w:hAnsiTheme="minorHAnsi" w:cstheme="minorHAnsi"/>
          <w:sz w:val="24"/>
          <w:szCs w:val="24"/>
          <w:lang w:val="en-GB"/>
        </w:rPr>
        <w:t xml:space="preserve">his would assist to </w:t>
      </w:r>
      <w:r w:rsidR="005F73D7">
        <w:rPr>
          <w:rFonts w:asciiTheme="minorHAnsi" w:hAnsiTheme="minorHAnsi" w:cstheme="minorHAnsi"/>
          <w:sz w:val="24"/>
          <w:szCs w:val="24"/>
          <w:lang w:val="en-GB"/>
        </w:rPr>
        <w:t xml:space="preserve">minimise missed opportunities in donation, ensure effective use of donated organs and provide more opportunities to help Australians who require transplantation. </w:t>
      </w:r>
    </w:p>
    <w:p w14:paraId="69DF8F6C" w14:textId="77777777" w:rsidR="00C30067" w:rsidRDefault="00C30067" w:rsidP="00FC0FD7">
      <w:pPr>
        <w:tabs>
          <w:tab w:val="num" w:pos="720"/>
        </w:tabs>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The </w:t>
      </w:r>
      <w:r w:rsidRPr="002A4039">
        <w:rPr>
          <w:rFonts w:asciiTheme="minorHAnsi" w:hAnsiTheme="minorHAnsi" w:cstheme="minorHAnsi"/>
          <w:sz w:val="24"/>
          <w:szCs w:val="24"/>
          <w:lang w:val="en-GB"/>
        </w:rPr>
        <w:t xml:space="preserve">OTA is best placed to lead </w:t>
      </w:r>
      <w:r>
        <w:rPr>
          <w:rFonts w:asciiTheme="minorHAnsi" w:hAnsiTheme="minorHAnsi" w:cstheme="minorHAnsi"/>
          <w:sz w:val="24"/>
          <w:szCs w:val="24"/>
          <w:lang w:val="en-GB"/>
        </w:rPr>
        <w:t>the development of these end-to-end governance arrangements, as current legislation provides for the OTA to have oversight and some responsibility over the retrieval and transplantation system. To date, the OTA have focused their attention</w:t>
      </w:r>
      <w:r w:rsidR="00147E27">
        <w:rPr>
          <w:rFonts w:asciiTheme="minorHAnsi" w:hAnsiTheme="minorHAnsi" w:cstheme="minorHAnsi"/>
          <w:sz w:val="24"/>
          <w:szCs w:val="24"/>
          <w:lang w:val="en-GB"/>
        </w:rPr>
        <w:t xml:space="preserve"> </w:t>
      </w:r>
      <w:r w:rsidR="005A62C5">
        <w:rPr>
          <w:rFonts w:asciiTheme="minorHAnsi" w:hAnsiTheme="minorHAnsi" w:cstheme="minorHAnsi"/>
          <w:sz w:val="24"/>
          <w:szCs w:val="24"/>
          <w:lang w:val="en-GB"/>
        </w:rPr>
        <w:t>on implementing</w:t>
      </w:r>
      <w:r>
        <w:rPr>
          <w:rFonts w:asciiTheme="minorHAnsi" w:hAnsiTheme="minorHAnsi" w:cstheme="minorHAnsi"/>
          <w:sz w:val="24"/>
          <w:szCs w:val="24"/>
          <w:lang w:val="en-GB"/>
        </w:rPr>
        <w:t xml:space="preserve"> the national reform agenda</w:t>
      </w:r>
      <w:r w:rsidR="00147E27">
        <w:rPr>
          <w:rFonts w:asciiTheme="minorHAnsi" w:hAnsiTheme="minorHAnsi" w:cstheme="minorHAnsi"/>
          <w:sz w:val="24"/>
          <w:szCs w:val="24"/>
          <w:lang w:val="en-GB"/>
        </w:rPr>
        <w:t xml:space="preserve"> with a particular focus on organ donation</w:t>
      </w:r>
      <w:r>
        <w:rPr>
          <w:rFonts w:asciiTheme="minorHAnsi" w:hAnsiTheme="minorHAnsi" w:cstheme="minorHAnsi"/>
          <w:sz w:val="24"/>
          <w:szCs w:val="24"/>
          <w:lang w:val="en-GB"/>
        </w:rPr>
        <w:t>. For the OTA to extend their governance focus</w:t>
      </w:r>
      <w:r w:rsidR="00FD160A">
        <w:rPr>
          <w:rFonts w:asciiTheme="minorHAnsi" w:hAnsiTheme="minorHAnsi" w:cstheme="minorHAnsi"/>
          <w:sz w:val="24"/>
          <w:szCs w:val="24"/>
          <w:lang w:val="en-GB"/>
        </w:rPr>
        <w:t xml:space="preserve"> to embrace the enhanced coordination of the retrieval and transplantation elements of the system</w:t>
      </w:r>
      <w:r>
        <w:rPr>
          <w:rFonts w:asciiTheme="minorHAnsi" w:hAnsiTheme="minorHAnsi" w:cstheme="minorHAnsi"/>
          <w:sz w:val="24"/>
          <w:szCs w:val="24"/>
          <w:lang w:val="en-GB"/>
        </w:rPr>
        <w:t xml:space="preserve"> and be the key driver of the new strategy, they will require adequate funding and support from the Australian Government.</w:t>
      </w:r>
    </w:p>
    <w:p w14:paraId="408E0BCF" w14:textId="77777777" w:rsidR="00C30067" w:rsidRDefault="00C30067" w:rsidP="00C30067">
      <w:pPr>
        <w:tabs>
          <w:tab w:val="num" w:pos="720"/>
        </w:tabs>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Countries with the highest performing organ donation, retrieval and transplantation systems (i.e. Spain, Croatia and the United States of America) all have dedicated structures within the system aimed to drive the performance of the system. The Spanish </w:t>
      </w:r>
      <w:r w:rsidRPr="00F63F23">
        <w:rPr>
          <w:rFonts w:asciiTheme="minorHAnsi" w:hAnsiTheme="minorHAnsi" w:cstheme="minorHAnsi"/>
          <w:sz w:val="24"/>
          <w:szCs w:val="24"/>
          <w:lang w:val="en-GB"/>
        </w:rPr>
        <w:t>Ministry o</w:t>
      </w:r>
      <w:r>
        <w:rPr>
          <w:rFonts w:asciiTheme="minorHAnsi" w:hAnsiTheme="minorHAnsi" w:cstheme="minorHAnsi"/>
          <w:sz w:val="24"/>
          <w:szCs w:val="24"/>
          <w:lang w:val="en-GB"/>
        </w:rPr>
        <w:t xml:space="preserve">f Health created the </w:t>
      </w:r>
      <w:r w:rsidRPr="0031747F">
        <w:rPr>
          <w:rFonts w:asciiTheme="minorHAnsi" w:hAnsiTheme="minorHAnsi" w:cstheme="minorHAnsi"/>
          <w:i/>
          <w:sz w:val="24"/>
          <w:szCs w:val="24"/>
          <w:lang w:val="en-GB"/>
        </w:rPr>
        <w:t>Organizacion Nacional de Trasplantes</w:t>
      </w:r>
      <w:r w:rsidRPr="00F63F23">
        <w:rPr>
          <w:rFonts w:asciiTheme="minorHAnsi" w:hAnsiTheme="minorHAnsi" w:cstheme="minorHAnsi"/>
          <w:sz w:val="24"/>
          <w:szCs w:val="24"/>
          <w:lang w:val="en-GB"/>
        </w:rPr>
        <w:t xml:space="preserve"> in 198</w:t>
      </w:r>
      <w:r>
        <w:rPr>
          <w:rFonts w:asciiTheme="minorHAnsi" w:hAnsiTheme="minorHAnsi" w:cstheme="minorHAnsi"/>
          <w:sz w:val="24"/>
          <w:szCs w:val="24"/>
          <w:lang w:val="en-GB"/>
        </w:rPr>
        <w:t xml:space="preserve">9 as an agency in charge of the </w:t>
      </w:r>
      <w:r w:rsidRPr="00F63F23">
        <w:rPr>
          <w:rFonts w:asciiTheme="minorHAnsi" w:hAnsiTheme="minorHAnsi" w:cstheme="minorHAnsi"/>
          <w:sz w:val="24"/>
          <w:szCs w:val="24"/>
          <w:lang w:val="en-GB"/>
        </w:rPr>
        <w:t>coordination and oversight of donation, pr</w:t>
      </w:r>
      <w:r>
        <w:rPr>
          <w:rFonts w:asciiTheme="minorHAnsi" w:hAnsiTheme="minorHAnsi" w:cstheme="minorHAnsi"/>
          <w:sz w:val="24"/>
          <w:szCs w:val="24"/>
          <w:lang w:val="en-GB"/>
        </w:rPr>
        <w:t xml:space="preserve">ocurement, and </w:t>
      </w:r>
      <w:r w:rsidRPr="00F63F23">
        <w:rPr>
          <w:rFonts w:asciiTheme="minorHAnsi" w:hAnsiTheme="minorHAnsi" w:cstheme="minorHAnsi"/>
          <w:sz w:val="24"/>
          <w:szCs w:val="24"/>
          <w:lang w:val="en-GB"/>
        </w:rPr>
        <w:t>transplantation activities in a politically decentrali</w:t>
      </w:r>
      <w:r w:rsidR="0005663E">
        <w:rPr>
          <w:rFonts w:asciiTheme="minorHAnsi" w:hAnsiTheme="minorHAnsi" w:cstheme="minorHAnsi"/>
          <w:sz w:val="24"/>
          <w:szCs w:val="24"/>
          <w:lang w:val="en-GB"/>
        </w:rPr>
        <w:t>s</w:t>
      </w:r>
      <w:r w:rsidRPr="00F63F23">
        <w:rPr>
          <w:rFonts w:asciiTheme="minorHAnsi" w:hAnsiTheme="minorHAnsi" w:cstheme="minorHAnsi"/>
          <w:sz w:val="24"/>
          <w:szCs w:val="24"/>
          <w:lang w:val="en-GB"/>
        </w:rPr>
        <w:t>ed</w:t>
      </w:r>
      <w:r>
        <w:rPr>
          <w:rFonts w:asciiTheme="minorHAnsi" w:hAnsiTheme="minorHAnsi" w:cstheme="minorHAnsi"/>
          <w:sz w:val="24"/>
          <w:szCs w:val="24"/>
          <w:lang w:val="en-GB"/>
        </w:rPr>
        <w:t xml:space="preserve"> </w:t>
      </w:r>
      <w:r w:rsidRPr="00F63F23">
        <w:rPr>
          <w:rFonts w:asciiTheme="minorHAnsi" w:hAnsiTheme="minorHAnsi" w:cstheme="minorHAnsi"/>
          <w:sz w:val="24"/>
          <w:szCs w:val="24"/>
          <w:lang w:val="en-GB"/>
        </w:rPr>
        <w:t>country, albeit with an adequate legislative and technical</w:t>
      </w:r>
      <w:r>
        <w:rPr>
          <w:rFonts w:asciiTheme="minorHAnsi" w:hAnsiTheme="minorHAnsi" w:cstheme="minorHAnsi"/>
          <w:sz w:val="24"/>
          <w:szCs w:val="24"/>
          <w:lang w:val="en-GB"/>
        </w:rPr>
        <w:t xml:space="preserve"> </w:t>
      </w:r>
      <w:r w:rsidRPr="00F63F23">
        <w:rPr>
          <w:rFonts w:asciiTheme="minorHAnsi" w:hAnsiTheme="minorHAnsi" w:cstheme="minorHAnsi"/>
          <w:sz w:val="24"/>
          <w:szCs w:val="24"/>
          <w:lang w:val="en-GB"/>
        </w:rPr>
        <w:t>framework from the transplantation perspective.</w:t>
      </w:r>
      <w:r w:rsidRPr="004938CA">
        <w:rPr>
          <w:rStyle w:val="FootnoteReference"/>
          <w:rFonts w:asciiTheme="minorHAnsi" w:hAnsiTheme="minorHAnsi" w:cstheme="minorHAnsi"/>
          <w:lang w:val="en-GB"/>
        </w:rPr>
        <w:footnoteReference w:id="76"/>
      </w:r>
      <w:r>
        <w:rPr>
          <w:rFonts w:asciiTheme="minorHAnsi" w:hAnsiTheme="minorHAnsi" w:cstheme="minorHAnsi"/>
          <w:sz w:val="24"/>
          <w:szCs w:val="24"/>
          <w:lang w:val="en-GB"/>
        </w:rPr>
        <w:t xml:space="preserve"> The </w:t>
      </w:r>
      <w:r w:rsidRPr="0031747F">
        <w:rPr>
          <w:rFonts w:asciiTheme="minorHAnsi" w:hAnsiTheme="minorHAnsi" w:cstheme="minorHAnsi"/>
          <w:i/>
          <w:sz w:val="24"/>
          <w:szCs w:val="24"/>
          <w:lang w:val="en-GB"/>
        </w:rPr>
        <w:t>Organizacion Nacional de Trasplantes</w:t>
      </w:r>
      <w:r w:rsidRPr="00F63F23">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has end-to-end oversight of all organ donation, retrieval and transplantation activities, enabling monitoring of performance and the ability to drive strategic change to improve donation and </w:t>
      </w:r>
      <w:r w:rsidR="00092158">
        <w:rPr>
          <w:rFonts w:asciiTheme="minorHAnsi" w:hAnsiTheme="minorHAnsi" w:cstheme="minorHAnsi"/>
          <w:sz w:val="24"/>
          <w:szCs w:val="24"/>
          <w:lang w:val="en-GB"/>
        </w:rPr>
        <w:t>transplantation outcomes</w:t>
      </w:r>
      <w:r>
        <w:rPr>
          <w:rFonts w:asciiTheme="minorHAnsi" w:hAnsiTheme="minorHAnsi" w:cstheme="minorHAnsi"/>
          <w:sz w:val="24"/>
          <w:szCs w:val="24"/>
          <w:lang w:val="en-GB"/>
        </w:rPr>
        <w:t>.</w:t>
      </w:r>
    </w:p>
    <w:p w14:paraId="2467DB6B" w14:textId="77777777" w:rsidR="00C30067" w:rsidRPr="00266A77" w:rsidRDefault="00C30067" w:rsidP="00C30067">
      <w:pPr>
        <w:tabs>
          <w:tab w:val="num" w:pos="720"/>
        </w:tabs>
        <w:spacing w:after="120"/>
        <w:rPr>
          <w:rFonts w:asciiTheme="minorHAnsi" w:hAnsiTheme="minorHAnsi" w:cstheme="minorHAnsi"/>
          <w:color w:val="808080" w:themeColor="background1" w:themeShade="80"/>
          <w:sz w:val="26"/>
          <w:szCs w:val="26"/>
        </w:rPr>
      </w:pPr>
      <w:r w:rsidRPr="00266A77">
        <w:rPr>
          <w:rFonts w:asciiTheme="minorHAnsi" w:hAnsiTheme="minorHAnsi" w:cstheme="minorHAnsi"/>
          <w:i/>
          <w:color w:val="808080" w:themeColor="background1" w:themeShade="80"/>
          <w:sz w:val="26"/>
          <w:szCs w:val="26"/>
        </w:rPr>
        <w:t>Summary of key findings</w:t>
      </w:r>
    </w:p>
    <w:p w14:paraId="5F256B39" w14:textId="0E5209F6" w:rsidR="00DB2089" w:rsidRPr="002A4039" w:rsidRDefault="00C30067" w:rsidP="00C30067">
      <w:pPr>
        <w:pStyle w:val="ListParagraph"/>
        <w:numPr>
          <w:ilvl w:val="0"/>
          <w:numId w:val="23"/>
        </w:numPr>
        <w:spacing w:after="120"/>
        <w:rPr>
          <w:rFonts w:asciiTheme="minorHAnsi" w:hAnsiTheme="minorHAnsi" w:cstheme="minorHAnsi"/>
          <w:sz w:val="24"/>
          <w:szCs w:val="24"/>
          <w:lang w:val="en-GB"/>
        </w:rPr>
      </w:pPr>
      <w:r w:rsidRPr="002A4039">
        <w:rPr>
          <w:rFonts w:asciiTheme="minorHAnsi" w:hAnsiTheme="minorHAnsi" w:cstheme="minorHAnsi"/>
          <w:sz w:val="24"/>
          <w:szCs w:val="24"/>
          <w:lang w:val="en-GB"/>
        </w:rPr>
        <w:t xml:space="preserve">The states and territories, and their constituent </w:t>
      </w:r>
      <w:r>
        <w:rPr>
          <w:rFonts w:asciiTheme="minorHAnsi" w:hAnsiTheme="minorHAnsi" w:cstheme="minorHAnsi"/>
          <w:sz w:val="24"/>
          <w:szCs w:val="24"/>
          <w:lang w:val="en-GB"/>
        </w:rPr>
        <w:t>L</w:t>
      </w:r>
      <w:r w:rsidRPr="002A4039">
        <w:rPr>
          <w:rFonts w:asciiTheme="minorHAnsi" w:hAnsiTheme="minorHAnsi" w:cstheme="minorHAnsi"/>
          <w:sz w:val="24"/>
          <w:szCs w:val="24"/>
          <w:lang w:val="en-GB"/>
        </w:rPr>
        <w:t xml:space="preserve">ocal </w:t>
      </w:r>
      <w:r>
        <w:rPr>
          <w:rFonts w:asciiTheme="minorHAnsi" w:hAnsiTheme="minorHAnsi" w:cstheme="minorHAnsi"/>
          <w:sz w:val="24"/>
          <w:szCs w:val="24"/>
          <w:lang w:val="en-GB"/>
        </w:rPr>
        <w:t>H</w:t>
      </w:r>
      <w:r w:rsidRPr="002A4039">
        <w:rPr>
          <w:rFonts w:asciiTheme="minorHAnsi" w:hAnsiTheme="minorHAnsi" w:cstheme="minorHAnsi"/>
          <w:sz w:val="24"/>
          <w:szCs w:val="24"/>
          <w:lang w:val="en-GB"/>
        </w:rPr>
        <w:t xml:space="preserve">ospital </w:t>
      </w:r>
      <w:r>
        <w:rPr>
          <w:rFonts w:asciiTheme="minorHAnsi" w:hAnsiTheme="minorHAnsi" w:cstheme="minorHAnsi"/>
          <w:sz w:val="24"/>
          <w:szCs w:val="24"/>
          <w:lang w:val="en-GB"/>
        </w:rPr>
        <w:t>N</w:t>
      </w:r>
      <w:r w:rsidRPr="002A4039">
        <w:rPr>
          <w:rFonts w:asciiTheme="minorHAnsi" w:hAnsiTheme="minorHAnsi" w:cstheme="minorHAnsi"/>
          <w:sz w:val="24"/>
          <w:szCs w:val="24"/>
          <w:lang w:val="en-GB"/>
        </w:rPr>
        <w:t xml:space="preserve">etworks, should remain the primary vehicle for the delivery of organ </w:t>
      </w:r>
      <w:r>
        <w:rPr>
          <w:rFonts w:asciiTheme="minorHAnsi" w:hAnsiTheme="minorHAnsi" w:cstheme="minorHAnsi"/>
          <w:sz w:val="24"/>
          <w:szCs w:val="24"/>
          <w:lang w:val="en-GB"/>
        </w:rPr>
        <w:t xml:space="preserve">donation, retrieval and </w:t>
      </w:r>
      <w:r w:rsidR="00E634FA">
        <w:rPr>
          <w:rFonts w:asciiTheme="minorHAnsi" w:hAnsiTheme="minorHAnsi" w:cstheme="minorHAnsi"/>
          <w:sz w:val="24"/>
          <w:szCs w:val="24"/>
          <w:lang w:val="en-GB"/>
        </w:rPr>
        <w:t>transplantation services</w:t>
      </w:r>
      <w:r>
        <w:rPr>
          <w:rFonts w:asciiTheme="minorHAnsi" w:hAnsiTheme="minorHAnsi" w:cstheme="minorHAnsi"/>
          <w:sz w:val="24"/>
          <w:szCs w:val="24"/>
          <w:lang w:val="en-GB"/>
        </w:rPr>
        <w:t>.</w:t>
      </w:r>
    </w:p>
    <w:p w14:paraId="4CFE2CA7" w14:textId="48EA0646" w:rsidR="00F3771B" w:rsidRPr="006C3F97" w:rsidRDefault="00C30067" w:rsidP="00AE3ED1">
      <w:pPr>
        <w:pStyle w:val="ListParagraph"/>
        <w:numPr>
          <w:ilvl w:val="0"/>
          <w:numId w:val="23"/>
        </w:numPr>
        <w:spacing w:after="120"/>
        <w:rPr>
          <w:i/>
          <w:color w:val="808080" w:themeColor="background1" w:themeShade="80"/>
          <w:sz w:val="26"/>
          <w:szCs w:val="26"/>
        </w:rPr>
      </w:pPr>
      <w:r w:rsidRPr="00AE3ED1">
        <w:rPr>
          <w:rFonts w:asciiTheme="minorHAnsi" w:hAnsiTheme="minorHAnsi" w:cstheme="minorHAnsi"/>
          <w:sz w:val="24"/>
          <w:szCs w:val="24"/>
          <w:lang w:val="en-GB"/>
        </w:rPr>
        <w:t xml:space="preserve">The OTA is best placed to lead strategic priorities and these </w:t>
      </w:r>
      <w:r w:rsidR="00DB2089" w:rsidRPr="00AE3ED1">
        <w:rPr>
          <w:rFonts w:asciiTheme="minorHAnsi" w:hAnsiTheme="minorHAnsi" w:cstheme="minorHAnsi"/>
          <w:sz w:val="24"/>
          <w:szCs w:val="24"/>
          <w:lang w:val="en-GB"/>
        </w:rPr>
        <w:t>initiatives;</w:t>
      </w:r>
      <w:r w:rsidRPr="00AE3ED1">
        <w:rPr>
          <w:rFonts w:asciiTheme="minorHAnsi" w:hAnsiTheme="minorHAnsi" w:cstheme="minorHAnsi"/>
          <w:sz w:val="24"/>
          <w:szCs w:val="24"/>
          <w:lang w:val="en-GB"/>
        </w:rPr>
        <w:t xml:space="preserve"> </w:t>
      </w:r>
      <w:r w:rsidR="00DB2089" w:rsidRPr="00B63622">
        <w:rPr>
          <w:rFonts w:asciiTheme="minorHAnsi" w:hAnsiTheme="minorHAnsi" w:cstheme="minorHAnsi"/>
          <w:sz w:val="24"/>
          <w:szCs w:val="24"/>
          <w:lang w:val="en-GB"/>
        </w:rPr>
        <w:t>however,</w:t>
      </w:r>
      <w:r w:rsidRPr="00AE3ED1">
        <w:rPr>
          <w:rFonts w:asciiTheme="minorHAnsi" w:hAnsiTheme="minorHAnsi" w:cstheme="minorHAnsi"/>
          <w:sz w:val="24"/>
          <w:szCs w:val="24"/>
          <w:lang w:val="en-GB"/>
        </w:rPr>
        <w:t xml:space="preserve"> change will be required to the current agreement between the </w:t>
      </w:r>
      <w:r w:rsidR="00E632AF" w:rsidRPr="00AE3ED1">
        <w:rPr>
          <w:rFonts w:asciiTheme="minorHAnsi" w:hAnsiTheme="minorHAnsi" w:cstheme="minorHAnsi"/>
          <w:sz w:val="24"/>
          <w:szCs w:val="24"/>
          <w:lang w:val="en-GB"/>
        </w:rPr>
        <w:t>Australian Government</w:t>
      </w:r>
      <w:r w:rsidRPr="00AE3ED1">
        <w:rPr>
          <w:rFonts w:asciiTheme="minorHAnsi" w:hAnsiTheme="minorHAnsi" w:cstheme="minorHAnsi"/>
          <w:sz w:val="24"/>
          <w:szCs w:val="24"/>
          <w:lang w:val="en-GB"/>
        </w:rPr>
        <w:t xml:space="preserve"> and the state and territory governments</w:t>
      </w:r>
      <w:r w:rsidR="00101035" w:rsidRPr="00AE3ED1">
        <w:rPr>
          <w:rFonts w:asciiTheme="minorHAnsi" w:hAnsiTheme="minorHAnsi" w:cstheme="minorHAnsi"/>
          <w:sz w:val="24"/>
          <w:szCs w:val="24"/>
          <w:lang w:val="en-GB"/>
        </w:rPr>
        <w:t xml:space="preserve">. Further, </w:t>
      </w:r>
      <w:r w:rsidRPr="00AE3ED1">
        <w:rPr>
          <w:rFonts w:asciiTheme="minorHAnsi" w:hAnsiTheme="minorHAnsi" w:cstheme="minorHAnsi"/>
          <w:sz w:val="24"/>
          <w:szCs w:val="24"/>
          <w:lang w:val="en-GB"/>
        </w:rPr>
        <w:t>additional resources</w:t>
      </w:r>
      <w:r w:rsidR="00101035" w:rsidRPr="00AE3ED1">
        <w:rPr>
          <w:rFonts w:asciiTheme="minorHAnsi" w:hAnsiTheme="minorHAnsi" w:cstheme="minorHAnsi"/>
          <w:sz w:val="24"/>
          <w:szCs w:val="24"/>
          <w:lang w:val="en-GB"/>
        </w:rPr>
        <w:t xml:space="preserve"> will be required</w:t>
      </w:r>
      <w:r w:rsidRPr="00AE3ED1">
        <w:rPr>
          <w:rFonts w:asciiTheme="minorHAnsi" w:hAnsiTheme="minorHAnsi" w:cstheme="minorHAnsi"/>
          <w:sz w:val="24"/>
          <w:szCs w:val="24"/>
          <w:lang w:val="en-GB"/>
        </w:rPr>
        <w:t xml:space="preserve"> to enable the</w:t>
      </w:r>
      <w:r w:rsidR="00101035" w:rsidRPr="00AE3ED1">
        <w:rPr>
          <w:rFonts w:asciiTheme="minorHAnsi" w:hAnsiTheme="minorHAnsi" w:cstheme="minorHAnsi"/>
          <w:sz w:val="24"/>
          <w:szCs w:val="24"/>
          <w:lang w:val="en-GB"/>
        </w:rPr>
        <w:t xml:space="preserve"> OTA to effectively</w:t>
      </w:r>
      <w:r w:rsidRPr="00AE3ED1">
        <w:rPr>
          <w:rFonts w:asciiTheme="minorHAnsi" w:hAnsiTheme="minorHAnsi" w:cstheme="minorHAnsi"/>
          <w:sz w:val="24"/>
          <w:szCs w:val="24"/>
          <w:lang w:val="en-GB"/>
        </w:rPr>
        <w:t xml:space="preserve"> undertake this role.</w:t>
      </w:r>
    </w:p>
    <w:p w14:paraId="3FD8B5CA" w14:textId="5D6A2AF0" w:rsidR="00C30067" w:rsidRPr="00266A77" w:rsidRDefault="00C30067" w:rsidP="00C30067">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three is that all Australian Governments resolve that the OTA shold take a national strategic or coordination role under its existing legislation in regards to the following organ donation retrieval and transplantation issues. These include national planning and service development, national standards and guideline development, advocacy for the donation, retrieval and transplantation system, provision of advice to national research funding bodies based on advice obtained from the TSAN and other clinical advisers, data collection, analysis and reporting to drive chnage and clinical best practice and national planning for the adoption of new evidence-based practice including new tissue typing and ex vivo organ perfusion technologies. "/>
      </w:tblPr>
      <w:tblGrid>
        <w:gridCol w:w="2268"/>
        <w:gridCol w:w="7479"/>
      </w:tblGrid>
      <w:tr w:rsidR="006C3F97" w:rsidRPr="009D533E" w14:paraId="5D169447" w14:textId="77777777" w:rsidTr="00B65E19">
        <w:trPr>
          <w:tblHeader/>
        </w:trPr>
        <w:tc>
          <w:tcPr>
            <w:tcW w:w="2268" w:type="dxa"/>
            <w:shd w:val="clear" w:color="auto" w:fill="595959" w:themeFill="text1" w:themeFillTint="A6"/>
          </w:tcPr>
          <w:p w14:paraId="5FB5BE2A" w14:textId="2AA09706" w:rsidR="006C3F97" w:rsidRPr="002A4039" w:rsidRDefault="006C3F97" w:rsidP="006C3F97">
            <w:pPr>
              <w:ind w:right="-321"/>
              <w:rPr>
                <w:rFonts w:asciiTheme="minorHAnsi" w:hAnsiTheme="minorHAnsi" w:cstheme="minorHAnsi"/>
                <w:b/>
                <w:sz w:val="24"/>
                <w:szCs w:val="24"/>
                <w:lang w:val="en-GB"/>
              </w:rPr>
            </w:pPr>
            <w:r w:rsidRPr="00BC331F">
              <w:rPr>
                <w:rFonts w:asciiTheme="minorHAnsi" w:hAnsiTheme="minorHAnsi" w:cstheme="minorHAnsi"/>
                <w:b/>
                <w:color w:val="FFFFFF" w:themeColor="background1"/>
                <w:sz w:val="24"/>
                <w:szCs w:val="24"/>
                <w:lang w:val="en-GB"/>
              </w:rPr>
              <w:t>Recommendation</w:t>
            </w:r>
          </w:p>
        </w:tc>
        <w:tc>
          <w:tcPr>
            <w:tcW w:w="7479" w:type="dxa"/>
            <w:shd w:val="clear" w:color="auto" w:fill="595959" w:themeFill="text1" w:themeFillTint="A6"/>
          </w:tcPr>
          <w:p w14:paraId="5A4D2879" w14:textId="6DCE8968" w:rsidR="006C3F97" w:rsidRDefault="006C3F97" w:rsidP="006C3F97">
            <w:pPr>
              <w:spacing w:after="120"/>
              <w:rPr>
                <w:rFonts w:asciiTheme="minorHAnsi" w:hAnsiTheme="minorHAnsi" w:cstheme="minorHAnsi"/>
                <w:sz w:val="24"/>
                <w:szCs w:val="24"/>
                <w:lang w:val="en-GB"/>
              </w:rPr>
            </w:pPr>
            <w:r w:rsidRPr="00BC331F">
              <w:rPr>
                <w:rFonts w:asciiTheme="minorHAnsi" w:hAnsiTheme="minorHAnsi" w:cstheme="minorHAnsi"/>
                <w:b/>
                <w:color w:val="FFFFFF" w:themeColor="background1"/>
                <w:sz w:val="24"/>
                <w:szCs w:val="24"/>
                <w:lang w:val="en-GB"/>
              </w:rPr>
              <w:t>Description</w:t>
            </w:r>
          </w:p>
        </w:tc>
      </w:tr>
      <w:tr w:rsidR="006C3F97" w:rsidRPr="009D533E" w14:paraId="3188DB86" w14:textId="77777777" w:rsidTr="00AE3ED1">
        <w:tc>
          <w:tcPr>
            <w:tcW w:w="2268" w:type="dxa"/>
          </w:tcPr>
          <w:p w14:paraId="77C2D7AD" w14:textId="77777777" w:rsidR="006C3F97" w:rsidRPr="002A4039" w:rsidRDefault="006C3F97" w:rsidP="006C3F97">
            <w:pPr>
              <w:ind w:right="-321"/>
              <w:rPr>
                <w:rFonts w:asciiTheme="minorHAnsi" w:hAnsiTheme="minorHAnsi" w:cstheme="minorHAnsi"/>
                <w:b/>
                <w:sz w:val="24"/>
                <w:szCs w:val="24"/>
                <w:lang w:val="en-GB"/>
              </w:rPr>
            </w:pPr>
            <w:r w:rsidRPr="002A4039">
              <w:rPr>
                <w:rFonts w:asciiTheme="minorHAnsi" w:hAnsiTheme="minorHAnsi" w:cstheme="minorHAnsi"/>
                <w:b/>
                <w:sz w:val="24"/>
                <w:szCs w:val="24"/>
                <w:lang w:val="en-GB"/>
              </w:rPr>
              <w:t xml:space="preserve">Recommendation </w:t>
            </w:r>
            <w:r>
              <w:rPr>
                <w:rFonts w:asciiTheme="minorHAnsi" w:hAnsiTheme="minorHAnsi" w:cstheme="minorHAnsi"/>
                <w:b/>
                <w:sz w:val="24"/>
                <w:szCs w:val="24"/>
                <w:lang w:val="en-GB"/>
              </w:rPr>
              <w:t>3</w:t>
            </w:r>
          </w:p>
        </w:tc>
        <w:tc>
          <w:tcPr>
            <w:tcW w:w="7479" w:type="dxa"/>
          </w:tcPr>
          <w:p w14:paraId="08D90B20" w14:textId="071884FE" w:rsidR="006C3F97" w:rsidRPr="00545923" w:rsidRDefault="006C3F97" w:rsidP="006C3F97">
            <w:pPr>
              <w:spacing w:after="120"/>
              <w:rPr>
                <w:rFonts w:asciiTheme="minorHAnsi" w:hAnsiTheme="minorHAnsi" w:cstheme="minorHAnsi"/>
                <w:sz w:val="24"/>
                <w:szCs w:val="24"/>
                <w:lang w:val="en-GB"/>
              </w:rPr>
            </w:pPr>
            <w:r>
              <w:rPr>
                <w:rFonts w:asciiTheme="minorHAnsi" w:hAnsiTheme="minorHAnsi" w:cstheme="minorHAnsi"/>
                <w:sz w:val="24"/>
                <w:szCs w:val="24"/>
                <w:lang w:val="en-GB"/>
              </w:rPr>
              <w:t>All Australian Governments</w:t>
            </w:r>
            <w:r w:rsidRPr="00545923">
              <w:rPr>
                <w:rFonts w:asciiTheme="minorHAnsi" w:hAnsiTheme="minorHAnsi" w:cstheme="minorHAnsi"/>
                <w:sz w:val="24"/>
                <w:szCs w:val="24"/>
                <w:lang w:val="en-GB"/>
              </w:rPr>
              <w:t xml:space="preserve"> resolve that the OTA should take a national strategic or coordination role under its existing legislation in regards to the following organ donation retrieval and transplantation issues: </w:t>
            </w:r>
          </w:p>
          <w:p w14:paraId="098C8719" w14:textId="77777777" w:rsidR="006C3F97" w:rsidRPr="00545923" w:rsidRDefault="006C3F97" w:rsidP="006C3F97">
            <w:pPr>
              <w:pStyle w:val="ListParagraph"/>
              <w:numPr>
                <w:ilvl w:val="0"/>
                <w:numId w:val="23"/>
              </w:numPr>
              <w:spacing w:after="120"/>
              <w:rPr>
                <w:rFonts w:asciiTheme="minorHAnsi" w:hAnsiTheme="minorHAnsi" w:cstheme="minorHAnsi"/>
                <w:sz w:val="24"/>
                <w:szCs w:val="24"/>
                <w:lang w:val="en-GB"/>
              </w:rPr>
            </w:pPr>
            <w:r w:rsidRPr="00545923">
              <w:rPr>
                <w:rFonts w:asciiTheme="minorHAnsi" w:hAnsiTheme="minorHAnsi" w:cstheme="minorHAnsi"/>
                <w:sz w:val="24"/>
                <w:szCs w:val="24"/>
                <w:lang w:val="en-GB"/>
              </w:rPr>
              <w:t xml:space="preserve">National planning and service development </w:t>
            </w:r>
          </w:p>
          <w:p w14:paraId="6F276D98" w14:textId="77777777" w:rsidR="006C3F97" w:rsidRPr="00545923" w:rsidRDefault="006C3F97" w:rsidP="006C3F97">
            <w:pPr>
              <w:pStyle w:val="ListParagraph"/>
              <w:numPr>
                <w:ilvl w:val="0"/>
                <w:numId w:val="23"/>
              </w:numPr>
              <w:spacing w:after="120"/>
              <w:rPr>
                <w:rFonts w:asciiTheme="minorHAnsi" w:hAnsiTheme="minorHAnsi" w:cstheme="minorHAnsi"/>
                <w:sz w:val="24"/>
                <w:szCs w:val="24"/>
                <w:lang w:val="en-GB"/>
              </w:rPr>
            </w:pPr>
            <w:r w:rsidRPr="00545923">
              <w:rPr>
                <w:rFonts w:asciiTheme="minorHAnsi" w:hAnsiTheme="minorHAnsi" w:cstheme="minorHAnsi"/>
                <w:sz w:val="24"/>
                <w:szCs w:val="24"/>
                <w:lang w:val="en-GB"/>
              </w:rPr>
              <w:t xml:space="preserve">National standards and guidelines development </w:t>
            </w:r>
          </w:p>
          <w:p w14:paraId="56A4642B" w14:textId="77777777" w:rsidR="006C3F97" w:rsidRPr="00545923" w:rsidRDefault="006C3F97" w:rsidP="006C3F97">
            <w:pPr>
              <w:pStyle w:val="ListParagraph"/>
              <w:numPr>
                <w:ilvl w:val="0"/>
                <w:numId w:val="23"/>
              </w:numPr>
              <w:spacing w:after="120"/>
              <w:rPr>
                <w:rFonts w:asciiTheme="minorHAnsi" w:hAnsiTheme="minorHAnsi" w:cstheme="minorHAnsi"/>
                <w:sz w:val="24"/>
                <w:szCs w:val="24"/>
                <w:lang w:val="en-GB"/>
              </w:rPr>
            </w:pPr>
            <w:r w:rsidRPr="00545923">
              <w:rPr>
                <w:rFonts w:asciiTheme="minorHAnsi" w:hAnsiTheme="minorHAnsi" w:cstheme="minorHAnsi"/>
                <w:sz w:val="24"/>
                <w:szCs w:val="24"/>
                <w:lang w:val="en-GB"/>
              </w:rPr>
              <w:t>Advocacy for the donation, retrieval and transplantation system</w:t>
            </w:r>
          </w:p>
          <w:p w14:paraId="7BA39A83" w14:textId="77777777" w:rsidR="006C3F97" w:rsidRPr="00545923" w:rsidRDefault="006C3F97" w:rsidP="006C3F97">
            <w:pPr>
              <w:pStyle w:val="ListParagraph"/>
              <w:numPr>
                <w:ilvl w:val="0"/>
                <w:numId w:val="23"/>
              </w:numPr>
              <w:spacing w:after="120"/>
              <w:rPr>
                <w:rFonts w:asciiTheme="minorHAnsi" w:hAnsiTheme="minorHAnsi" w:cstheme="minorHAnsi"/>
                <w:sz w:val="24"/>
                <w:szCs w:val="24"/>
                <w:lang w:val="en-GB"/>
              </w:rPr>
            </w:pPr>
            <w:r w:rsidRPr="00545923">
              <w:rPr>
                <w:rFonts w:asciiTheme="minorHAnsi" w:hAnsiTheme="minorHAnsi" w:cstheme="minorHAnsi"/>
                <w:sz w:val="24"/>
                <w:szCs w:val="24"/>
                <w:lang w:val="en-GB"/>
              </w:rPr>
              <w:t xml:space="preserve">Provision of advice to national research funding bodies based on advice obtained from the TSANZ and other clinical advisers </w:t>
            </w:r>
          </w:p>
          <w:p w14:paraId="4E6B8C13" w14:textId="77777777" w:rsidR="006C3F97" w:rsidRPr="00545923" w:rsidRDefault="006C3F97" w:rsidP="006C3F97">
            <w:pPr>
              <w:pStyle w:val="ListParagraph"/>
              <w:numPr>
                <w:ilvl w:val="0"/>
                <w:numId w:val="23"/>
              </w:numPr>
              <w:spacing w:after="120"/>
              <w:rPr>
                <w:rFonts w:asciiTheme="minorHAnsi" w:hAnsiTheme="minorHAnsi" w:cstheme="minorHAnsi"/>
                <w:sz w:val="24"/>
                <w:szCs w:val="24"/>
                <w:lang w:val="en-GB"/>
              </w:rPr>
            </w:pPr>
            <w:r w:rsidRPr="00545923">
              <w:rPr>
                <w:rFonts w:asciiTheme="minorHAnsi" w:hAnsiTheme="minorHAnsi" w:cstheme="minorHAnsi"/>
                <w:sz w:val="24"/>
                <w:szCs w:val="24"/>
                <w:lang w:val="en-GB"/>
              </w:rPr>
              <w:t xml:space="preserve">Data collection, analysis and reporting to drive change and clinical best practice </w:t>
            </w:r>
          </w:p>
          <w:p w14:paraId="0EE991BE" w14:textId="77777777" w:rsidR="006C3F97" w:rsidRPr="00545923" w:rsidRDefault="006C3F97" w:rsidP="006C3F97">
            <w:pPr>
              <w:pStyle w:val="ListParagraph"/>
              <w:numPr>
                <w:ilvl w:val="0"/>
                <w:numId w:val="23"/>
              </w:numPr>
              <w:spacing w:after="120"/>
              <w:rPr>
                <w:rFonts w:asciiTheme="minorHAnsi" w:hAnsiTheme="minorHAnsi" w:cstheme="minorHAnsi"/>
                <w:sz w:val="24"/>
                <w:szCs w:val="24"/>
                <w:lang w:val="en-GB"/>
              </w:rPr>
            </w:pPr>
            <w:r w:rsidRPr="00545923">
              <w:rPr>
                <w:rFonts w:asciiTheme="minorHAnsi" w:hAnsiTheme="minorHAnsi" w:cstheme="minorHAnsi"/>
                <w:sz w:val="24"/>
                <w:szCs w:val="24"/>
                <w:lang w:val="en-GB"/>
              </w:rPr>
              <w:t>National planning for the adoption of new evidence-based practice including new tissue typing and ex vivo organ perfusion technologies.</w:t>
            </w:r>
          </w:p>
        </w:tc>
      </w:tr>
    </w:tbl>
    <w:p w14:paraId="6A5A71AE" w14:textId="77777777" w:rsidR="00782432" w:rsidRPr="00266A77" w:rsidRDefault="00782432" w:rsidP="00782432">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594" w:name="_Toc526498668"/>
      <w:bookmarkStart w:id="595" w:name="_Ref527623995"/>
      <w:bookmarkEnd w:id="594"/>
      <w:r>
        <w:rPr>
          <w:rFonts w:asciiTheme="minorHAnsi" w:hAnsiTheme="minorHAnsi" w:cstheme="minorHAnsi"/>
          <w:b w:val="0"/>
          <w:color w:val="7F7F7F" w:themeColor="text1" w:themeTint="80"/>
          <w:sz w:val="30"/>
          <w:szCs w:val="30"/>
        </w:rPr>
        <w:t>Adoption of evidence</w:t>
      </w:r>
      <w:r w:rsidR="0005663E">
        <w:rPr>
          <w:rFonts w:asciiTheme="minorHAnsi" w:hAnsiTheme="minorHAnsi" w:cstheme="minorHAnsi"/>
          <w:b w:val="0"/>
          <w:color w:val="7F7F7F" w:themeColor="text1" w:themeTint="80"/>
          <w:sz w:val="30"/>
          <w:szCs w:val="30"/>
        </w:rPr>
        <w:t>-</w:t>
      </w:r>
      <w:r>
        <w:rPr>
          <w:rFonts w:asciiTheme="minorHAnsi" w:hAnsiTheme="minorHAnsi" w:cstheme="minorHAnsi"/>
          <w:b w:val="0"/>
          <w:color w:val="7F7F7F" w:themeColor="text1" w:themeTint="80"/>
          <w:sz w:val="30"/>
          <w:szCs w:val="30"/>
        </w:rPr>
        <w:t>based practice</w:t>
      </w:r>
      <w:bookmarkEnd w:id="595"/>
    </w:p>
    <w:p w14:paraId="2AC7FD6C" w14:textId="77777777" w:rsidR="00782432" w:rsidRPr="00266A77" w:rsidRDefault="00782432" w:rsidP="00782432">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Discussion of findings</w:t>
      </w:r>
    </w:p>
    <w:p w14:paraId="5551F093" w14:textId="77777777" w:rsidR="00782432" w:rsidRDefault="00782432" w:rsidP="00782432">
      <w:pPr>
        <w:tabs>
          <w:tab w:val="num" w:pos="720"/>
        </w:tabs>
        <w:spacing w:after="120"/>
        <w:rPr>
          <w:rFonts w:asciiTheme="minorHAnsi" w:hAnsiTheme="minorHAnsi" w:cstheme="minorHAnsi"/>
          <w:sz w:val="24"/>
          <w:szCs w:val="24"/>
          <w:lang w:val="en-GB"/>
        </w:rPr>
      </w:pPr>
      <w:r>
        <w:rPr>
          <w:rFonts w:asciiTheme="minorHAnsi" w:hAnsiTheme="minorHAnsi" w:cstheme="minorHAnsi"/>
          <w:sz w:val="24"/>
          <w:szCs w:val="24"/>
          <w:lang w:val="en-GB"/>
        </w:rPr>
        <w:t>The Review found that there</w:t>
      </w:r>
      <w:r w:rsidRPr="002A4039">
        <w:rPr>
          <w:rFonts w:asciiTheme="minorHAnsi" w:hAnsiTheme="minorHAnsi" w:cstheme="minorHAnsi"/>
          <w:sz w:val="24"/>
          <w:szCs w:val="24"/>
          <w:lang w:val="en-GB"/>
        </w:rPr>
        <w:t xml:space="preserve"> are a multitude of research bodies </w:t>
      </w:r>
      <w:r>
        <w:rPr>
          <w:rFonts w:asciiTheme="minorHAnsi" w:hAnsiTheme="minorHAnsi" w:cstheme="minorHAnsi"/>
          <w:sz w:val="24"/>
          <w:szCs w:val="24"/>
          <w:lang w:val="en-GB"/>
        </w:rPr>
        <w:t>that</w:t>
      </w:r>
      <w:r w:rsidRPr="002A4039">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currently </w:t>
      </w:r>
      <w:r w:rsidRPr="002A4039">
        <w:rPr>
          <w:rFonts w:asciiTheme="minorHAnsi" w:hAnsiTheme="minorHAnsi" w:cstheme="minorHAnsi"/>
          <w:sz w:val="24"/>
          <w:szCs w:val="24"/>
          <w:lang w:val="en-GB"/>
        </w:rPr>
        <w:t>inform</w:t>
      </w:r>
      <w:r>
        <w:rPr>
          <w:rFonts w:asciiTheme="minorHAnsi" w:hAnsiTheme="minorHAnsi" w:cstheme="minorHAnsi"/>
          <w:sz w:val="24"/>
          <w:szCs w:val="24"/>
          <w:lang w:val="en-GB"/>
        </w:rPr>
        <w:t xml:space="preserve"> and drive the evolution of</w:t>
      </w:r>
      <w:r w:rsidRPr="002A4039">
        <w:rPr>
          <w:rFonts w:asciiTheme="minorHAnsi" w:hAnsiTheme="minorHAnsi" w:cstheme="minorHAnsi"/>
          <w:sz w:val="24"/>
          <w:szCs w:val="24"/>
          <w:lang w:val="en-GB"/>
        </w:rPr>
        <w:t xml:space="preserve"> </w:t>
      </w:r>
      <w:r>
        <w:rPr>
          <w:rFonts w:asciiTheme="minorHAnsi" w:hAnsiTheme="minorHAnsi" w:cstheme="minorHAnsi"/>
          <w:sz w:val="24"/>
          <w:szCs w:val="24"/>
          <w:lang w:val="en-GB"/>
        </w:rPr>
        <w:t>the</w:t>
      </w:r>
      <w:r w:rsidR="00431E7F">
        <w:rPr>
          <w:rFonts w:asciiTheme="minorHAnsi" w:hAnsiTheme="minorHAnsi" w:cstheme="minorHAnsi"/>
          <w:sz w:val="24"/>
          <w:szCs w:val="24"/>
          <w:lang w:val="en-GB"/>
        </w:rPr>
        <w:t xml:space="preserve"> Australian</w:t>
      </w:r>
      <w:r>
        <w:rPr>
          <w:rFonts w:asciiTheme="minorHAnsi" w:hAnsiTheme="minorHAnsi" w:cstheme="minorHAnsi"/>
          <w:sz w:val="24"/>
          <w:szCs w:val="24"/>
          <w:lang w:val="en-GB"/>
        </w:rPr>
        <w:t xml:space="preserve"> </w:t>
      </w:r>
      <w:r w:rsidRPr="002A4039">
        <w:rPr>
          <w:rFonts w:asciiTheme="minorHAnsi" w:hAnsiTheme="minorHAnsi" w:cstheme="minorHAnsi"/>
          <w:sz w:val="24"/>
          <w:szCs w:val="24"/>
          <w:lang w:val="en-GB"/>
        </w:rPr>
        <w:t>organ donation, retrieval and transplantation</w:t>
      </w:r>
      <w:r>
        <w:rPr>
          <w:rFonts w:asciiTheme="minorHAnsi" w:hAnsiTheme="minorHAnsi" w:cstheme="minorHAnsi"/>
          <w:sz w:val="24"/>
          <w:szCs w:val="24"/>
          <w:lang w:val="en-GB"/>
        </w:rPr>
        <w:t xml:space="preserve"> system</w:t>
      </w:r>
      <w:r w:rsidRPr="002A4039">
        <w:rPr>
          <w:rFonts w:asciiTheme="minorHAnsi" w:hAnsiTheme="minorHAnsi" w:cstheme="minorHAnsi"/>
          <w:sz w:val="24"/>
          <w:szCs w:val="24"/>
          <w:lang w:val="en-GB"/>
        </w:rPr>
        <w:t xml:space="preserve">. Research </w:t>
      </w:r>
      <w:r>
        <w:rPr>
          <w:rFonts w:asciiTheme="minorHAnsi" w:hAnsiTheme="minorHAnsi" w:cstheme="minorHAnsi"/>
          <w:sz w:val="24"/>
          <w:szCs w:val="24"/>
          <w:lang w:val="en-GB"/>
        </w:rPr>
        <w:t>is a valuable part of innovation and improving practices to drive patient outcomes. However, the Review found that there are a number of research projects taking place with no national coordination. As a result, the investment in research and development</w:t>
      </w:r>
      <w:r w:rsidR="00431E7F">
        <w:rPr>
          <w:rFonts w:asciiTheme="minorHAnsi" w:hAnsiTheme="minorHAnsi" w:cstheme="minorHAnsi"/>
          <w:sz w:val="24"/>
          <w:szCs w:val="24"/>
          <w:lang w:val="en-GB"/>
        </w:rPr>
        <w:t>,</w:t>
      </w:r>
      <w:r>
        <w:rPr>
          <w:rFonts w:asciiTheme="minorHAnsi" w:hAnsiTheme="minorHAnsi" w:cstheme="minorHAnsi"/>
          <w:sz w:val="24"/>
          <w:szCs w:val="24"/>
          <w:lang w:val="en-GB"/>
        </w:rPr>
        <w:t xml:space="preserve"> along with the adoption of new evidence-based practices, techniques and technologies</w:t>
      </w:r>
      <w:r w:rsidR="00431E7F">
        <w:rPr>
          <w:rFonts w:asciiTheme="minorHAnsi" w:hAnsiTheme="minorHAnsi" w:cstheme="minorHAnsi"/>
          <w:sz w:val="24"/>
          <w:szCs w:val="24"/>
          <w:lang w:val="en-GB"/>
        </w:rPr>
        <w:t>,</w:t>
      </w:r>
      <w:r>
        <w:rPr>
          <w:rFonts w:asciiTheme="minorHAnsi" w:hAnsiTheme="minorHAnsi" w:cstheme="minorHAnsi"/>
          <w:sz w:val="24"/>
          <w:szCs w:val="24"/>
          <w:lang w:val="en-GB"/>
        </w:rPr>
        <w:t xml:space="preserve"> is often ad hoc. </w:t>
      </w:r>
      <w:r w:rsidR="00274F3C">
        <w:rPr>
          <w:rFonts w:asciiTheme="minorHAnsi" w:hAnsiTheme="minorHAnsi" w:cstheme="minorHAnsi"/>
          <w:sz w:val="24"/>
          <w:szCs w:val="24"/>
          <w:lang w:val="en-GB"/>
        </w:rPr>
        <w:t xml:space="preserve">See Section </w:t>
      </w:r>
      <w:r w:rsidR="00274F3C">
        <w:rPr>
          <w:rFonts w:asciiTheme="minorHAnsi" w:hAnsiTheme="minorHAnsi" w:cstheme="minorHAnsi"/>
          <w:sz w:val="24"/>
          <w:szCs w:val="24"/>
          <w:lang w:val="en-GB"/>
        </w:rPr>
        <w:fldChar w:fldCharType="begin"/>
      </w:r>
      <w:r w:rsidR="00274F3C">
        <w:rPr>
          <w:rFonts w:asciiTheme="minorHAnsi" w:hAnsiTheme="minorHAnsi" w:cstheme="minorHAnsi"/>
          <w:sz w:val="24"/>
          <w:szCs w:val="24"/>
          <w:lang w:val="en-GB"/>
        </w:rPr>
        <w:instrText xml:space="preserve"> REF _Ref530496066 \r \h </w:instrText>
      </w:r>
      <w:r w:rsidR="00274F3C">
        <w:rPr>
          <w:rFonts w:asciiTheme="minorHAnsi" w:hAnsiTheme="minorHAnsi" w:cstheme="minorHAnsi"/>
          <w:sz w:val="24"/>
          <w:szCs w:val="24"/>
          <w:lang w:val="en-GB"/>
        </w:rPr>
      </w:r>
      <w:r w:rsidR="00274F3C">
        <w:rPr>
          <w:rFonts w:asciiTheme="minorHAnsi" w:hAnsiTheme="minorHAnsi" w:cstheme="minorHAnsi"/>
          <w:sz w:val="24"/>
          <w:szCs w:val="24"/>
          <w:lang w:val="en-GB"/>
        </w:rPr>
        <w:fldChar w:fldCharType="separate"/>
      </w:r>
      <w:r w:rsidR="00A04048">
        <w:rPr>
          <w:rFonts w:asciiTheme="minorHAnsi" w:hAnsiTheme="minorHAnsi" w:cstheme="minorHAnsi"/>
          <w:sz w:val="24"/>
          <w:szCs w:val="24"/>
          <w:lang w:val="en-GB"/>
        </w:rPr>
        <w:t>7.3.1</w:t>
      </w:r>
      <w:r w:rsidR="00274F3C">
        <w:rPr>
          <w:rFonts w:asciiTheme="minorHAnsi" w:hAnsiTheme="minorHAnsi" w:cstheme="minorHAnsi"/>
          <w:sz w:val="24"/>
          <w:szCs w:val="24"/>
          <w:lang w:val="en-GB"/>
        </w:rPr>
        <w:fldChar w:fldCharType="end"/>
      </w:r>
      <w:r w:rsidR="00274F3C">
        <w:rPr>
          <w:rFonts w:asciiTheme="minorHAnsi" w:hAnsiTheme="minorHAnsi" w:cstheme="minorHAnsi"/>
          <w:sz w:val="24"/>
          <w:szCs w:val="24"/>
          <w:lang w:val="en-GB"/>
        </w:rPr>
        <w:t xml:space="preserve"> for more detail.</w:t>
      </w:r>
    </w:p>
    <w:p w14:paraId="43871729" w14:textId="77777777" w:rsidR="00782432" w:rsidRPr="004938CA" w:rsidRDefault="00782432" w:rsidP="00782432">
      <w:pPr>
        <w:tabs>
          <w:tab w:val="num" w:pos="720"/>
        </w:tabs>
        <w:spacing w:after="120"/>
        <w:rPr>
          <w:rFonts w:asciiTheme="minorHAnsi" w:hAnsiTheme="minorHAnsi" w:cstheme="minorHAnsi"/>
          <w:b/>
          <w:bCs/>
          <w:szCs w:val="22"/>
        </w:rPr>
      </w:pPr>
      <w:r w:rsidRPr="004938CA">
        <w:rPr>
          <w:rFonts w:asciiTheme="minorHAnsi" w:hAnsiTheme="minorHAnsi" w:cstheme="minorHAnsi"/>
          <w:sz w:val="24"/>
          <w:szCs w:val="22"/>
          <w:lang w:val="en-GB"/>
        </w:rPr>
        <w:t>National and international practice highlights the importance of a systematic approach to research and development as an essential part of improving quality and safety and remaining at the forefront of best practice. For example, the National Health Service in the U</w:t>
      </w:r>
      <w:r w:rsidR="00431E7F">
        <w:rPr>
          <w:rFonts w:asciiTheme="minorHAnsi" w:hAnsiTheme="minorHAnsi" w:cstheme="minorHAnsi"/>
          <w:sz w:val="24"/>
          <w:szCs w:val="22"/>
          <w:lang w:val="en-GB"/>
        </w:rPr>
        <w:t xml:space="preserve">nited </w:t>
      </w:r>
      <w:r w:rsidRPr="004938CA">
        <w:rPr>
          <w:rFonts w:asciiTheme="minorHAnsi" w:hAnsiTheme="minorHAnsi" w:cstheme="minorHAnsi"/>
          <w:sz w:val="24"/>
          <w:szCs w:val="22"/>
          <w:lang w:val="en-GB"/>
        </w:rPr>
        <w:t>K</w:t>
      </w:r>
      <w:r w:rsidR="00431E7F">
        <w:rPr>
          <w:rFonts w:asciiTheme="minorHAnsi" w:hAnsiTheme="minorHAnsi" w:cstheme="minorHAnsi"/>
          <w:sz w:val="24"/>
          <w:szCs w:val="22"/>
          <w:lang w:val="en-GB"/>
        </w:rPr>
        <w:t>ingdom</w:t>
      </w:r>
      <w:r w:rsidRPr="004938CA">
        <w:rPr>
          <w:rFonts w:asciiTheme="minorHAnsi" w:hAnsiTheme="minorHAnsi" w:cstheme="minorHAnsi"/>
          <w:sz w:val="24"/>
          <w:szCs w:val="22"/>
          <w:lang w:val="en-GB"/>
        </w:rPr>
        <w:t xml:space="preserve"> has developed the National Health Service Blood and Transplant Research and Development Programme. The Programme is run by the National Health Services Blood and Transplant Service and includes partnerships with top class universities with the aim to drive effective application of novel technologies, processes and products to drive the advancement of clinical practice. Further, Spain also provides oversight and coordination of research and development approaches through the </w:t>
      </w:r>
      <w:r w:rsidRPr="0031747F">
        <w:rPr>
          <w:rFonts w:asciiTheme="minorHAnsi" w:hAnsiTheme="minorHAnsi" w:cstheme="minorHAnsi"/>
          <w:i/>
          <w:sz w:val="24"/>
          <w:szCs w:val="22"/>
          <w:lang w:val="en-GB"/>
        </w:rPr>
        <w:t>Organizacion Nacional de Trasplantes</w:t>
      </w:r>
      <w:r w:rsidRPr="004938CA">
        <w:rPr>
          <w:rFonts w:asciiTheme="minorHAnsi" w:hAnsiTheme="minorHAnsi" w:cstheme="minorHAnsi"/>
          <w:sz w:val="24"/>
          <w:szCs w:val="22"/>
          <w:lang w:val="en-GB"/>
        </w:rPr>
        <w:t xml:space="preserve">. The </w:t>
      </w:r>
      <w:r w:rsidRPr="0031747F">
        <w:rPr>
          <w:rFonts w:asciiTheme="minorHAnsi" w:hAnsiTheme="minorHAnsi" w:cstheme="minorHAnsi"/>
          <w:i/>
          <w:sz w:val="24"/>
          <w:szCs w:val="22"/>
          <w:lang w:val="en-GB"/>
        </w:rPr>
        <w:t>Organizacion Nacional de Trasplantes</w:t>
      </w:r>
      <w:r w:rsidRPr="004938CA">
        <w:rPr>
          <w:rFonts w:asciiTheme="minorHAnsi" w:hAnsiTheme="minorHAnsi" w:cstheme="minorHAnsi"/>
          <w:sz w:val="24"/>
          <w:szCs w:val="22"/>
          <w:lang w:val="en-GB"/>
        </w:rPr>
        <w:t xml:space="preserve"> maintain partnerships with universities and other research bodies and are the responsible body for disseminating new information. </w:t>
      </w:r>
    </w:p>
    <w:p w14:paraId="30905EFB" w14:textId="77777777" w:rsidR="00782432" w:rsidRDefault="00782432" w:rsidP="00782432">
      <w:pPr>
        <w:tabs>
          <w:tab w:val="num" w:pos="720"/>
        </w:tabs>
        <w:spacing w:after="120"/>
        <w:rPr>
          <w:rFonts w:asciiTheme="minorHAnsi" w:hAnsiTheme="minorHAnsi" w:cstheme="minorHAnsi"/>
          <w:i/>
          <w:color w:val="808080" w:themeColor="background1" w:themeShade="80"/>
          <w:sz w:val="26"/>
          <w:szCs w:val="26"/>
        </w:rPr>
      </w:pPr>
      <w:r w:rsidRPr="00713F0A">
        <w:rPr>
          <w:rFonts w:asciiTheme="minorHAnsi" w:hAnsiTheme="minorHAnsi" w:cstheme="minorHAnsi"/>
          <w:i/>
          <w:color w:val="808080" w:themeColor="background1" w:themeShade="80"/>
          <w:sz w:val="26"/>
          <w:szCs w:val="26"/>
        </w:rPr>
        <w:t>Summary of key findings</w:t>
      </w:r>
      <w:r w:rsidRPr="004938CA">
        <w:rPr>
          <w:rFonts w:asciiTheme="minorHAnsi" w:hAnsiTheme="minorHAnsi" w:cstheme="minorHAnsi"/>
          <w:i/>
          <w:color w:val="808080" w:themeColor="background1" w:themeShade="80"/>
          <w:sz w:val="26"/>
          <w:szCs w:val="26"/>
        </w:rPr>
        <w:t xml:space="preserve"> </w:t>
      </w:r>
    </w:p>
    <w:p w14:paraId="457A4D22" w14:textId="565B85D2" w:rsidR="00F30C35" w:rsidRPr="00F526D8" w:rsidRDefault="00F30C35" w:rsidP="00F526D8">
      <w:pPr>
        <w:pStyle w:val="ListParagraph"/>
        <w:numPr>
          <w:ilvl w:val="0"/>
          <w:numId w:val="23"/>
        </w:numPr>
        <w:spacing w:after="120"/>
        <w:rPr>
          <w:rFonts w:asciiTheme="minorHAnsi" w:hAnsiTheme="minorHAnsi" w:cstheme="minorHAnsi"/>
          <w:sz w:val="24"/>
          <w:szCs w:val="24"/>
          <w:lang w:val="en-GB"/>
        </w:rPr>
      </w:pPr>
      <w:r w:rsidRPr="009F3837">
        <w:rPr>
          <w:rFonts w:asciiTheme="minorHAnsi" w:hAnsiTheme="minorHAnsi" w:cstheme="minorHAnsi"/>
          <w:sz w:val="24"/>
          <w:szCs w:val="24"/>
          <w:lang w:val="en-GB"/>
        </w:rPr>
        <w:t>Current approaches for research and development and the adoption of new evidence-based practices in the Australian organ donation, retrieval and transplantation system are not undertaken in a planned and coordinated manner.</w:t>
      </w:r>
    </w:p>
    <w:p w14:paraId="00816C7C" w14:textId="77777777" w:rsidR="00086190" w:rsidRDefault="00086190" w:rsidP="00782432">
      <w:pPr>
        <w:tabs>
          <w:tab w:val="num" w:pos="720"/>
        </w:tabs>
        <w:spacing w:after="120"/>
        <w:rPr>
          <w:rFonts w:asciiTheme="minorHAnsi" w:hAnsiTheme="minorHAnsi" w:cstheme="minorHAnsi"/>
          <w:i/>
          <w:color w:val="808080" w:themeColor="background1" w:themeShade="80"/>
          <w:sz w:val="26"/>
          <w:szCs w:val="26"/>
        </w:rPr>
      </w:pPr>
      <w:r>
        <w:rPr>
          <w:rFonts w:asciiTheme="minorHAnsi" w:hAnsiTheme="minorHAnsi" w:cstheme="minorHAnsi"/>
          <w:i/>
          <w:color w:val="808080" w:themeColor="background1" w:themeShade="80"/>
          <w:sz w:val="26"/>
          <w:szCs w:val="26"/>
        </w:rPr>
        <w:br w:type="page"/>
      </w:r>
    </w:p>
    <w:p w14:paraId="492D166B" w14:textId="43C89177" w:rsidR="00782432" w:rsidRPr="00266A77" w:rsidRDefault="00782432" w:rsidP="00782432">
      <w:pPr>
        <w:tabs>
          <w:tab w:val="num" w:pos="720"/>
        </w:tabs>
        <w:spacing w:after="120"/>
        <w:rPr>
          <w:rFonts w:asciiTheme="minorHAnsi" w:hAnsiTheme="minorHAnsi" w:cstheme="minorHAnsi"/>
          <w:i/>
          <w:color w:val="808080" w:themeColor="background1" w:themeShade="80"/>
          <w:sz w:val="26"/>
          <w:szCs w:val="26"/>
        </w:rPr>
      </w:pPr>
      <w:r w:rsidRPr="00713F0A">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four is the OTA should provide advice, based on guidance obtained from the TSANZ and other clinical advisers, to research funding organisations on the priorities for research in organ donation and tranplantation."/>
      </w:tblPr>
      <w:tblGrid>
        <w:gridCol w:w="2268"/>
        <w:gridCol w:w="7479"/>
      </w:tblGrid>
      <w:tr w:rsidR="006C3F97" w:rsidRPr="00B60A37" w14:paraId="2DB0E024" w14:textId="77777777" w:rsidTr="00B65E19">
        <w:trPr>
          <w:tblHeader/>
        </w:trPr>
        <w:tc>
          <w:tcPr>
            <w:tcW w:w="2268" w:type="dxa"/>
            <w:shd w:val="clear" w:color="auto" w:fill="595959" w:themeFill="text1" w:themeFillTint="A6"/>
          </w:tcPr>
          <w:p w14:paraId="45312B1C" w14:textId="48DB524D" w:rsidR="006C3F97" w:rsidRPr="00BF220F" w:rsidRDefault="006C3F97" w:rsidP="006C3F97">
            <w:pPr>
              <w:spacing w:after="120"/>
              <w:rPr>
                <w:rFonts w:asciiTheme="minorHAnsi" w:hAnsiTheme="minorHAnsi" w:cstheme="minorHAnsi"/>
                <w:b/>
                <w:sz w:val="24"/>
                <w:szCs w:val="24"/>
                <w:lang w:val="en-GB"/>
              </w:rPr>
            </w:pPr>
            <w:r w:rsidRPr="00BC331F">
              <w:rPr>
                <w:rFonts w:asciiTheme="minorHAnsi" w:hAnsiTheme="minorHAnsi" w:cstheme="minorHAnsi"/>
                <w:b/>
                <w:color w:val="FFFFFF" w:themeColor="background1"/>
                <w:sz w:val="24"/>
                <w:szCs w:val="24"/>
                <w:lang w:val="en-GB"/>
              </w:rPr>
              <w:t>Recommendation</w:t>
            </w:r>
          </w:p>
        </w:tc>
        <w:tc>
          <w:tcPr>
            <w:tcW w:w="7479" w:type="dxa"/>
            <w:shd w:val="clear" w:color="auto" w:fill="595959" w:themeFill="text1" w:themeFillTint="A6"/>
          </w:tcPr>
          <w:p w14:paraId="0A4FAD1D" w14:textId="20F12A11" w:rsidR="006C3F97" w:rsidRDefault="006C3F97" w:rsidP="006C3F97">
            <w:pPr>
              <w:spacing w:after="120"/>
              <w:rPr>
                <w:rFonts w:asciiTheme="minorHAnsi" w:hAnsiTheme="minorHAnsi" w:cstheme="minorHAnsi"/>
                <w:sz w:val="24"/>
                <w:szCs w:val="24"/>
                <w:lang w:val="en-GB"/>
              </w:rPr>
            </w:pPr>
            <w:r w:rsidRPr="00BC331F">
              <w:rPr>
                <w:rFonts w:asciiTheme="minorHAnsi" w:hAnsiTheme="minorHAnsi" w:cstheme="minorHAnsi"/>
                <w:b/>
                <w:color w:val="FFFFFF" w:themeColor="background1"/>
                <w:sz w:val="24"/>
                <w:szCs w:val="24"/>
                <w:lang w:val="en-GB"/>
              </w:rPr>
              <w:t>Description</w:t>
            </w:r>
          </w:p>
        </w:tc>
      </w:tr>
      <w:tr w:rsidR="00782432" w:rsidRPr="00B60A37" w14:paraId="6C0FAEC0" w14:textId="77777777" w:rsidTr="00AE3ED1">
        <w:tc>
          <w:tcPr>
            <w:tcW w:w="2268" w:type="dxa"/>
          </w:tcPr>
          <w:p w14:paraId="61C1D671" w14:textId="77777777" w:rsidR="00782432" w:rsidRPr="00BF220F" w:rsidRDefault="00782432" w:rsidP="009B7F7E">
            <w:pPr>
              <w:spacing w:after="120"/>
              <w:rPr>
                <w:rFonts w:asciiTheme="minorHAnsi" w:hAnsiTheme="minorHAnsi" w:cstheme="minorHAnsi"/>
                <w:b/>
                <w:sz w:val="24"/>
                <w:szCs w:val="24"/>
                <w:lang w:val="en-GB"/>
              </w:rPr>
            </w:pPr>
            <w:r w:rsidRPr="00BF220F">
              <w:rPr>
                <w:rFonts w:asciiTheme="minorHAnsi" w:hAnsiTheme="minorHAnsi" w:cstheme="minorHAnsi"/>
                <w:b/>
                <w:sz w:val="24"/>
                <w:szCs w:val="24"/>
                <w:lang w:val="en-GB"/>
              </w:rPr>
              <w:t xml:space="preserve">Recommendation </w:t>
            </w:r>
            <w:r w:rsidR="009B7F7E">
              <w:rPr>
                <w:rFonts w:asciiTheme="minorHAnsi" w:hAnsiTheme="minorHAnsi" w:cstheme="minorHAnsi"/>
                <w:b/>
                <w:sz w:val="24"/>
                <w:szCs w:val="24"/>
                <w:lang w:val="en-GB"/>
              </w:rPr>
              <w:t>4</w:t>
            </w:r>
          </w:p>
        </w:tc>
        <w:tc>
          <w:tcPr>
            <w:tcW w:w="7479" w:type="dxa"/>
          </w:tcPr>
          <w:p w14:paraId="644CA981" w14:textId="77777777" w:rsidR="00782432" w:rsidRPr="005D1137" w:rsidRDefault="00782432" w:rsidP="00B6004E">
            <w:pPr>
              <w:spacing w:after="120"/>
              <w:rPr>
                <w:lang w:val="en-GB"/>
              </w:rPr>
            </w:pPr>
            <w:r>
              <w:rPr>
                <w:rFonts w:asciiTheme="minorHAnsi" w:hAnsiTheme="minorHAnsi" w:cstheme="minorHAnsi"/>
                <w:sz w:val="24"/>
                <w:szCs w:val="24"/>
                <w:lang w:val="en-GB"/>
              </w:rPr>
              <w:t>The OTA</w:t>
            </w:r>
            <w:r w:rsidR="000775A8">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should </w:t>
            </w:r>
            <w:r w:rsidR="00FD160A">
              <w:rPr>
                <w:rFonts w:asciiTheme="minorHAnsi" w:hAnsiTheme="minorHAnsi" w:cstheme="minorHAnsi"/>
                <w:sz w:val="24"/>
                <w:szCs w:val="24"/>
                <w:lang w:val="en-GB"/>
              </w:rPr>
              <w:t>provide</w:t>
            </w:r>
            <w:r>
              <w:rPr>
                <w:rFonts w:asciiTheme="minorHAnsi" w:hAnsiTheme="minorHAnsi" w:cstheme="minorHAnsi"/>
                <w:sz w:val="24"/>
                <w:szCs w:val="24"/>
                <w:lang w:val="en-GB"/>
              </w:rPr>
              <w:t xml:space="preserve"> advice</w:t>
            </w:r>
            <w:r w:rsidR="00890530">
              <w:rPr>
                <w:rFonts w:asciiTheme="minorHAnsi" w:hAnsiTheme="minorHAnsi" w:cstheme="minorHAnsi"/>
                <w:sz w:val="24"/>
                <w:szCs w:val="24"/>
                <w:lang w:val="en-GB"/>
              </w:rPr>
              <w:t>,</w:t>
            </w:r>
            <w:r>
              <w:rPr>
                <w:rFonts w:asciiTheme="minorHAnsi" w:hAnsiTheme="minorHAnsi" w:cstheme="minorHAnsi"/>
                <w:sz w:val="24"/>
                <w:szCs w:val="24"/>
                <w:lang w:val="en-GB"/>
              </w:rPr>
              <w:t xml:space="preserve"> </w:t>
            </w:r>
            <w:r w:rsidR="00F20181">
              <w:rPr>
                <w:rFonts w:asciiTheme="minorHAnsi" w:hAnsiTheme="minorHAnsi" w:cstheme="minorHAnsi"/>
                <w:sz w:val="24"/>
                <w:szCs w:val="24"/>
                <w:lang w:val="en-GB"/>
              </w:rPr>
              <w:t xml:space="preserve">based on </w:t>
            </w:r>
            <w:r w:rsidR="000775A8">
              <w:rPr>
                <w:rFonts w:asciiTheme="minorHAnsi" w:hAnsiTheme="minorHAnsi" w:cstheme="minorHAnsi"/>
                <w:sz w:val="24"/>
                <w:szCs w:val="24"/>
                <w:lang w:val="en-GB"/>
              </w:rPr>
              <w:t>guidance</w:t>
            </w:r>
            <w:r w:rsidR="00F20181">
              <w:rPr>
                <w:rFonts w:asciiTheme="minorHAnsi" w:hAnsiTheme="minorHAnsi" w:cstheme="minorHAnsi"/>
                <w:sz w:val="24"/>
                <w:szCs w:val="24"/>
                <w:lang w:val="en-GB"/>
              </w:rPr>
              <w:t xml:space="preserve"> obtained from </w:t>
            </w:r>
            <w:r w:rsidR="000775A8">
              <w:rPr>
                <w:rFonts w:asciiTheme="minorHAnsi" w:hAnsiTheme="minorHAnsi" w:cstheme="minorHAnsi"/>
                <w:sz w:val="24"/>
                <w:szCs w:val="24"/>
                <w:lang w:val="en-GB"/>
              </w:rPr>
              <w:t xml:space="preserve">the </w:t>
            </w:r>
            <w:r w:rsidR="00F20181">
              <w:rPr>
                <w:rFonts w:asciiTheme="minorHAnsi" w:hAnsiTheme="minorHAnsi" w:cstheme="minorHAnsi"/>
                <w:sz w:val="24"/>
                <w:szCs w:val="24"/>
                <w:lang w:val="en-GB"/>
              </w:rPr>
              <w:t>TSANZ and other clinical advisers</w:t>
            </w:r>
            <w:r w:rsidR="00890530">
              <w:rPr>
                <w:rFonts w:asciiTheme="minorHAnsi" w:hAnsiTheme="minorHAnsi" w:cstheme="minorHAnsi"/>
                <w:sz w:val="24"/>
                <w:szCs w:val="24"/>
                <w:lang w:val="en-GB"/>
              </w:rPr>
              <w:t>,</w:t>
            </w:r>
            <w:r w:rsidR="00F20181">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to research funding organisations on the priorities for research in organ donation and transplantation. </w:t>
            </w:r>
          </w:p>
        </w:tc>
      </w:tr>
    </w:tbl>
    <w:p w14:paraId="30AFE361" w14:textId="77777777" w:rsidR="00855B2E" w:rsidRPr="003E2D97" w:rsidRDefault="003E2D97" w:rsidP="003E2D97">
      <w:pPr>
        <w:pStyle w:val="Heading1"/>
        <w:ind w:left="992" w:hanging="992"/>
        <w:rPr>
          <w:rFonts w:asciiTheme="minorHAnsi" w:hAnsiTheme="minorHAnsi" w:cstheme="minorHAnsi"/>
          <w:sz w:val="48"/>
        </w:rPr>
      </w:pPr>
      <w:bookmarkStart w:id="596" w:name="_Ref531772595"/>
      <w:bookmarkStart w:id="597" w:name="_Toc532301692"/>
      <w:r w:rsidRPr="003E2D97">
        <w:rPr>
          <w:rFonts w:asciiTheme="minorHAnsi" w:hAnsiTheme="minorHAnsi" w:cstheme="minorHAnsi"/>
          <w:sz w:val="48"/>
        </w:rPr>
        <w:t xml:space="preserve">Key findings and recommendations: </w:t>
      </w:r>
      <w:r w:rsidR="00AC088B">
        <w:rPr>
          <w:rFonts w:asciiTheme="minorHAnsi" w:hAnsiTheme="minorHAnsi" w:cstheme="minorHAnsi"/>
          <w:sz w:val="48"/>
        </w:rPr>
        <w:t xml:space="preserve">The eight elements of the </w:t>
      </w:r>
      <w:r w:rsidRPr="003E2D97">
        <w:rPr>
          <w:rFonts w:asciiTheme="minorHAnsi" w:hAnsiTheme="minorHAnsi" w:cstheme="minorHAnsi"/>
          <w:sz w:val="48"/>
        </w:rPr>
        <w:t xml:space="preserve">donation, retrieval and transplantation functional </w:t>
      </w:r>
      <w:r w:rsidR="00AC088B">
        <w:rPr>
          <w:rFonts w:asciiTheme="minorHAnsi" w:hAnsiTheme="minorHAnsi" w:cstheme="minorHAnsi"/>
          <w:sz w:val="48"/>
        </w:rPr>
        <w:t>model</w:t>
      </w:r>
      <w:bookmarkEnd w:id="596"/>
      <w:bookmarkEnd w:id="597"/>
    </w:p>
    <w:p w14:paraId="66B2BBCE" w14:textId="52B2A8C3" w:rsidR="00855B2E" w:rsidRPr="00855B2E" w:rsidRDefault="003E2D97" w:rsidP="00855B2E">
      <w:pPr>
        <w:rPr>
          <w:lang w:val="en-GB"/>
        </w:rPr>
      </w:pPr>
      <w:r>
        <w:rPr>
          <w:rFonts w:asciiTheme="minorHAnsi" w:hAnsiTheme="minorHAnsi" w:cstheme="minorHAnsi"/>
          <w:sz w:val="24"/>
          <w:szCs w:val="22"/>
          <w:lang w:val="en-GB"/>
        </w:rPr>
        <w:t xml:space="preserve">This section describes the findings and recommendations for the Review against </w:t>
      </w:r>
      <w:r w:rsidR="00AC088B">
        <w:rPr>
          <w:rFonts w:asciiTheme="minorHAnsi" w:hAnsiTheme="minorHAnsi" w:cstheme="minorHAnsi"/>
          <w:sz w:val="24"/>
          <w:szCs w:val="22"/>
          <w:lang w:val="en-GB"/>
        </w:rPr>
        <w:t xml:space="preserve">each of the eight elements of the </w:t>
      </w:r>
      <w:r>
        <w:rPr>
          <w:rFonts w:asciiTheme="minorHAnsi" w:hAnsiTheme="minorHAnsi" w:cstheme="minorHAnsi"/>
          <w:sz w:val="24"/>
          <w:szCs w:val="22"/>
          <w:lang w:val="en-GB"/>
        </w:rPr>
        <w:t>Australian</w:t>
      </w:r>
      <w:r w:rsidRPr="00F37D51">
        <w:rPr>
          <w:rFonts w:asciiTheme="minorHAnsi" w:hAnsiTheme="minorHAnsi" w:cstheme="minorHAnsi"/>
          <w:sz w:val="24"/>
          <w:szCs w:val="22"/>
          <w:lang w:val="en-GB"/>
        </w:rPr>
        <w:t xml:space="preserve"> organ donation</w:t>
      </w:r>
      <w:r>
        <w:rPr>
          <w:rFonts w:asciiTheme="minorHAnsi" w:hAnsiTheme="minorHAnsi" w:cstheme="minorHAnsi"/>
          <w:sz w:val="24"/>
          <w:szCs w:val="22"/>
          <w:lang w:val="en-GB"/>
        </w:rPr>
        <w:t xml:space="preserve">, retrieval </w:t>
      </w:r>
      <w:r w:rsidRPr="00F37D51">
        <w:rPr>
          <w:rFonts w:asciiTheme="minorHAnsi" w:hAnsiTheme="minorHAnsi" w:cstheme="minorHAnsi"/>
          <w:sz w:val="24"/>
          <w:szCs w:val="22"/>
          <w:lang w:val="en-GB"/>
        </w:rPr>
        <w:t>and transplantation</w:t>
      </w:r>
      <w:r>
        <w:rPr>
          <w:rFonts w:asciiTheme="minorHAnsi" w:hAnsiTheme="minorHAnsi" w:cstheme="minorHAnsi"/>
          <w:sz w:val="24"/>
          <w:szCs w:val="22"/>
          <w:lang w:val="en-GB"/>
        </w:rPr>
        <w:t xml:space="preserve"> </w:t>
      </w:r>
      <w:r w:rsidR="00AC088B">
        <w:rPr>
          <w:rFonts w:asciiTheme="minorHAnsi" w:hAnsiTheme="minorHAnsi" w:cstheme="minorHAnsi"/>
          <w:sz w:val="24"/>
          <w:szCs w:val="22"/>
          <w:lang w:val="en-GB"/>
        </w:rPr>
        <w:t>functional model</w:t>
      </w:r>
      <w:r>
        <w:rPr>
          <w:rFonts w:asciiTheme="minorHAnsi" w:hAnsiTheme="minorHAnsi" w:cstheme="minorHAnsi"/>
          <w:sz w:val="24"/>
          <w:szCs w:val="22"/>
          <w:lang w:val="en-GB"/>
        </w:rPr>
        <w:t xml:space="preserve">, </w:t>
      </w:r>
      <w:r w:rsidR="00855B2E">
        <w:rPr>
          <w:rFonts w:asciiTheme="minorHAnsi" w:hAnsiTheme="minorHAnsi" w:cstheme="minorHAnsi"/>
          <w:sz w:val="24"/>
          <w:szCs w:val="22"/>
          <w:lang w:val="en-GB"/>
        </w:rPr>
        <w:t>as illustrated</w:t>
      </w:r>
      <w:r w:rsidR="00855B2E" w:rsidRPr="00F37D51">
        <w:rPr>
          <w:rFonts w:asciiTheme="minorHAnsi" w:hAnsiTheme="minorHAnsi" w:cstheme="minorHAnsi"/>
          <w:sz w:val="24"/>
          <w:szCs w:val="22"/>
          <w:lang w:val="en-GB"/>
        </w:rPr>
        <w:t xml:space="preserve"> in </w:t>
      </w:r>
      <w:r w:rsidR="00855B2E">
        <w:rPr>
          <w:rFonts w:asciiTheme="minorHAnsi" w:hAnsiTheme="minorHAnsi" w:cstheme="minorHAnsi"/>
          <w:sz w:val="24"/>
          <w:szCs w:val="22"/>
          <w:lang w:val="en-GB"/>
        </w:rPr>
        <w:fldChar w:fldCharType="begin"/>
      </w:r>
      <w:r w:rsidR="00855B2E">
        <w:rPr>
          <w:rFonts w:asciiTheme="minorHAnsi" w:hAnsiTheme="minorHAnsi" w:cstheme="minorHAnsi"/>
          <w:sz w:val="24"/>
          <w:szCs w:val="22"/>
          <w:lang w:val="en-GB"/>
        </w:rPr>
        <w:instrText xml:space="preserve"> REF _Ref523489672 \h  \* MERGEFORMAT </w:instrText>
      </w:r>
      <w:r w:rsidR="00855B2E">
        <w:rPr>
          <w:rFonts w:asciiTheme="minorHAnsi" w:hAnsiTheme="minorHAnsi" w:cstheme="minorHAnsi"/>
          <w:sz w:val="24"/>
          <w:szCs w:val="22"/>
          <w:lang w:val="en-GB"/>
        </w:rPr>
      </w:r>
      <w:r w:rsidR="00855B2E">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Figure 2</w:t>
      </w:r>
      <w:r w:rsidR="00855B2E">
        <w:rPr>
          <w:rFonts w:asciiTheme="minorHAnsi" w:hAnsiTheme="minorHAnsi" w:cstheme="minorHAnsi"/>
          <w:sz w:val="24"/>
          <w:szCs w:val="22"/>
          <w:lang w:val="en-GB"/>
        </w:rPr>
        <w:fldChar w:fldCharType="end"/>
      </w:r>
      <w:r w:rsidR="009A3A92">
        <w:rPr>
          <w:rFonts w:asciiTheme="minorHAnsi" w:hAnsiTheme="minorHAnsi" w:cstheme="minorHAnsi"/>
          <w:sz w:val="24"/>
          <w:szCs w:val="22"/>
          <w:lang w:val="en-GB"/>
        </w:rPr>
        <w:t>.</w:t>
      </w:r>
    </w:p>
    <w:p w14:paraId="71DBB72F" w14:textId="77777777" w:rsidR="00C30067" w:rsidRDefault="00C30067" w:rsidP="00C30067">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598" w:name="_Toc532301693"/>
      <w:r>
        <w:rPr>
          <w:rFonts w:asciiTheme="minorHAnsi" w:hAnsiTheme="minorHAnsi" w:cstheme="minorHAnsi"/>
          <w:iCs/>
          <w:color w:val="7F7F7F" w:themeColor="text1" w:themeTint="80"/>
          <w:sz w:val="36"/>
          <w:szCs w:val="30"/>
        </w:rPr>
        <w:t>Element 1: Initial assessment and waiting list management</w:t>
      </w:r>
      <w:r w:rsidR="00FD160A">
        <w:rPr>
          <w:rFonts w:asciiTheme="minorHAnsi" w:hAnsiTheme="minorHAnsi" w:cstheme="minorHAnsi"/>
          <w:iCs/>
          <w:color w:val="7F7F7F" w:themeColor="text1" w:themeTint="80"/>
          <w:sz w:val="36"/>
          <w:szCs w:val="30"/>
        </w:rPr>
        <w:t xml:space="preserve"> of potential transplant recipients</w:t>
      </w:r>
      <w:bookmarkEnd w:id="598"/>
    </w:p>
    <w:p w14:paraId="150F6EC1" w14:textId="77777777" w:rsidR="006C62A0" w:rsidRDefault="006C62A0" w:rsidP="006C62A0">
      <w:pPr>
        <w:spacing w:after="120"/>
        <w:rPr>
          <w:rFonts w:asciiTheme="minorHAnsi" w:hAnsiTheme="minorHAnsi" w:cstheme="minorHAnsi"/>
          <w:sz w:val="24"/>
          <w:szCs w:val="22"/>
          <w:lang w:val="en-GB"/>
        </w:rPr>
      </w:pPr>
      <w:r>
        <w:rPr>
          <w:rFonts w:asciiTheme="minorHAnsi" w:hAnsiTheme="minorHAnsi" w:cstheme="minorHAnsi"/>
          <w:sz w:val="24"/>
          <w:szCs w:val="22"/>
          <w:lang w:val="en-GB"/>
        </w:rPr>
        <w:t>For element 1, the findings</w:t>
      </w:r>
      <w:r w:rsidR="003C48D9">
        <w:rPr>
          <w:rFonts w:asciiTheme="minorHAnsi" w:hAnsiTheme="minorHAnsi" w:cstheme="minorHAnsi"/>
          <w:sz w:val="24"/>
          <w:szCs w:val="22"/>
          <w:lang w:val="en-GB"/>
        </w:rPr>
        <w:t xml:space="preserve"> of the Review</w:t>
      </w:r>
      <w:r>
        <w:rPr>
          <w:rFonts w:asciiTheme="minorHAnsi" w:hAnsiTheme="minorHAnsi" w:cstheme="minorHAnsi"/>
          <w:sz w:val="24"/>
          <w:szCs w:val="22"/>
          <w:lang w:val="en-GB"/>
        </w:rPr>
        <w:t xml:space="preserve"> relate to:</w:t>
      </w:r>
    </w:p>
    <w:p w14:paraId="0C188C27" w14:textId="77777777" w:rsidR="006C62A0" w:rsidRDefault="006C62A0" w:rsidP="00B91EB3">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B91EB3">
        <w:rPr>
          <w:rFonts w:asciiTheme="minorHAnsi" w:hAnsiTheme="minorHAnsi" w:cstheme="minorHAnsi"/>
          <w:sz w:val="24"/>
          <w:szCs w:val="22"/>
          <w:lang w:val="en-GB"/>
        </w:rPr>
        <w:t>Referral</w:t>
      </w:r>
      <w:r w:rsidR="002A27FE">
        <w:rPr>
          <w:rFonts w:asciiTheme="minorHAnsi" w:hAnsiTheme="minorHAnsi" w:cstheme="minorHAnsi"/>
          <w:sz w:val="24"/>
          <w:szCs w:val="22"/>
          <w:lang w:val="en-GB"/>
        </w:rPr>
        <w:t>s to transplant</w:t>
      </w:r>
      <w:r w:rsidRPr="00B91EB3">
        <w:rPr>
          <w:rFonts w:asciiTheme="minorHAnsi" w:hAnsiTheme="minorHAnsi" w:cstheme="minorHAnsi"/>
          <w:sz w:val="24"/>
          <w:szCs w:val="22"/>
          <w:lang w:val="en-GB"/>
        </w:rPr>
        <w:t xml:space="preserve"> medical specialists (Section </w:t>
      </w:r>
      <w:r w:rsidR="00942415">
        <w:rPr>
          <w:rFonts w:asciiTheme="minorHAnsi" w:hAnsiTheme="minorHAnsi" w:cstheme="minorHAnsi"/>
          <w:sz w:val="24"/>
          <w:szCs w:val="22"/>
          <w:lang w:val="en-GB"/>
        </w:rPr>
        <w:fldChar w:fldCharType="begin"/>
      </w:r>
      <w:r w:rsidR="00942415">
        <w:rPr>
          <w:rFonts w:asciiTheme="minorHAnsi" w:hAnsiTheme="minorHAnsi" w:cstheme="minorHAnsi"/>
          <w:sz w:val="24"/>
          <w:szCs w:val="22"/>
          <w:lang w:val="en-GB"/>
        </w:rPr>
        <w:instrText xml:space="preserve"> REF _Ref527623661 \r \h </w:instrText>
      </w:r>
      <w:r w:rsidR="00942415">
        <w:rPr>
          <w:rFonts w:asciiTheme="minorHAnsi" w:hAnsiTheme="minorHAnsi" w:cstheme="minorHAnsi"/>
          <w:sz w:val="24"/>
          <w:szCs w:val="22"/>
          <w:lang w:val="en-GB"/>
        </w:rPr>
      </w:r>
      <w:r w:rsidR="00942415">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6.1.1</w:t>
      </w:r>
      <w:r w:rsidR="00942415">
        <w:rPr>
          <w:rFonts w:asciiTheme="minorHAnsi" w:hAnsiTheme="minorHAnsi" w:cstheme="minorHAnsi"/>
          <w:sz w:val="24"/>
          <w:szCs w:val="22"/>
          <w:lang w:val="en-GB"/>
        </w:rPr>
        <w:fldChar w:fldCharType="end"/>
      </w:r>
      <w:r w:rsidRPr="00B91EB3">
        <w:rPr>
          <w:rFonts w:asciiTheme="minorHAnsi" w:hAnsiTheme="minorHAnsi" w:cstheme="minorHAnsi"/>
          <w:sz w:val="24"/>
          <w:szCs w:val="22"/>
          <w:lang w:val="en-GB"/>
        </w:rPr>
        <w:t>)</w:t>
      </w:r>
    </w:p>
    <w:p w14:paraId="24C563D3" w14:textId="77777777" w:rsidR="006C62A0" w:rsidRDefault="006C62A0" w:rsidP="00447661">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B91EB3">
        <w:rPr>
          <w:rFonts w:asciiTheme="minorHAnsi" w:hAnsiTheme="minorHAnsi" w:cstheme="minorHAnsi"/>
          <w:sz w:val="24"/>
          <w:szCs w:val="22"/>
          <w:lang w:val="en-GB"/>
        </w:rPr>
        <w:t>The assessment process prior to transplantati</w:t>
      </w:r>
      <w:r w:rsidR="003259BB">
        <w:rPr>
          <w:rFonts w:asciiTheme="minorHAnsi" w:hAnsiTheme="minorHAnsi" w:cstheme="minorHAnsi"/>
          <w:sz w:val="24"/>
          <w:szCs w:val="22"/>
          <w:lang w:val="en-GB"/>
        </w:rPr>
        <w:t>on for non-renal organs (Section</w:t>
      </w:r>
      <w:r w:rsidR="001339DB">
        <w:rPr>
          <w:rFonts w:asciiTheme="minorHAnsi" w:hAnsiTheme="minorHAnsi" w:cstheme="minorHAnsi"/>
          <w:sz w:val="24"/>
          <w:szCs w:val="22"/>
          <w:lang w:val="en-GB"/>
        </w:rPr>
        <w:t xml:space="preserve"> </w:t>
      </w:r>
      <w:r w:rsidR="00942415">
        <w:rPr>
          <w:rFonts w:asciiTheme="minorHAnsi" w:hAnsiTheme="minorHAnsi" w:cstheme="minorHAnsi"/>
          <w:sz w:val="24"/>
          <w:szCs w:val="22"/>
          <w:lang w:val="en-GB"/>
        </w:rPr>
        <w:fldChar w:fldCharType="begin"/>
      </w:r>
      <w:r w:rsidR="00942415">
        <w:rPr>
          <w:rFonts w:asciiTheme="minorHAnsi" w:hAnsiTheme="minorHAnsi" w:cstheme="minorHAnsi"/>
          <w:sz w:val="24"/>
          <w:szCs w:val="22"/>
          <w:lang w:val="en-GB"/>
        </w:rPr>
        <w:instrText xml:space="preserve"> REF _Ref527624420 \r \h </w:instrText>
      </w:r>
      <w:r w:rsidR="00942415">
        <w:rPr>
          <w:rFonts w:asciiTheme="minorHAnsi" w:hAnsiTheme="minorHAnsi" w:cstheme="minorHAnsi"/>
          <w:sz w:val="24"/>
          <w:szCs w:val="22"/>
          <w:lang w:val="en-GB"/>
        </w:rPr>
      </w:r>
      <w:r w:rsidR="00942415">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6.1.2</w:t>
      </w:r>
      <w:r w:rsidR="00942415">
        <w:rPr>
          <w:rFonts w:asciiTheme="minorHAnsi" w:hAnsiTheme="minorHAnsi" w:cstheme="minorHAnsi"/>
          <w:sz w:val="24"/>
          <w:szCs w:val="22"/>
          <w:lang w:val="en-GB"/>
        </w:rPr>
        <w:fldChar w:fldCharType="end"/>
      </w:r>
      <w:r w:rsidRPr="00B91EB3">
        <w:rPr>
          <w:rFonts w:asciiTheme="minorHAnsi" w:hAnsiTheme="minorHAnsi" w:cstheme="minorHAnsi"/>
          <w:sz w:val="24"/>
          <w:szCs w:val="22"/>
          <w:lang w:val="en-GB"/>
        </w:rPr>
        <w:t>)</w:t>
      </w:r>
    </w:p>
    <w:p w14:paraId="43935D35" w14:textId="77777777" w:rsidR="006C62A0" w:rsidRDefault="006C62A0" w:rsidP="00447661">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447661">
        <w:rPr>
          <w:rFonts w:asciiTheme="minorHAnsi" w:hAnsiTheme="minorHAnsi" w:cstheme="minorHAnsi"/>
          <w:sz w:val="24"/>
          <w:szCs w:val="22"/>
          <w:lang w:val="en-GB"/>
        </w:rPr>
        <w:t>The assessment process prior to transplantation for renal organs (Section</w:t>
      </w:r>
      <w:r w:rsidR="003259BB">
        <w:rPr>
          <w:rFonts w:asciiTheme="minorHAnsi" w:hAnsiTheme="minorHAnsi" w:cstheme="minorHAnsi"/>
          <w:sz w:val="24"/>
          <w:szCs w:val="22"/>
          <w:lang w:val="en-GB"/>
        </w:rPr>
        <w:t xml:space="preserve"> </w:t>
      </w:r>
      <w:r w:rsidR="00942415">
        <w:rPr>
          <w:rFonts w:asciiTheme="minorHAnsi" w:hAnsiTheme="minorHAnsi" w:cstheme="minorHAnsi"/>
          <w:sz w:val="24"/>
          <w:szCs w:val="22"/>
          <w:lang w:val="en-GB"/>
        </w:rPr>
        <w:fldChar w:fldCharType="begin"/>
      </w:r>
      <w:r w:rsidR="00942415">
        <w:rPr>
          <w:rFonts w:asciiTheme="minorHAnsi" w:hAnsiTheme="minorHAnsi" w:cstheme="minorHAnsi"/>
          <w:sz w:val="24"/>
          <w:szCs w:val="22"/>
          <w:lang w:val="en-GB"/>
        </w:rPr>
        <w:instrText xml:space="preserve"> REF _Ref527624427 \r \h </w:instrText>
      </w:r>
      <w:r w:rsidR="00942415">
        <w:rPr>
          <w:rFonts w:asciiTheme="minorHAnsi" w:hAnsiTheme="minorHAnsi" w:cstheme="minorHAnsi"/>
          <w:sz w:val="24"/>
          <w:szCs w:val="22"/>
          <w:lang w:val="en-GB"/>
        </w:rPr>
      </w:r>
      <w:r w:rsidR="00942415">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6.1.3</w:t>
      </w:r>
      <w:r w:rsidR="00942415">
        <w:rPr>
          <w:rFonts w:asciiTheme="minorHAnsi" w:hAnsiTheme="minorHAnsi" w:cstheme="minorHAnsi"/>
          <w:sz w:val="24"/>
          <w:szCs w:val="22"/>
          <w:lang w:val="en-GB"/>
        </w:rPr>
        <w:fldChar w:fldCharType="end"/>
      </w:r>
      <w:r w:rsidRPr="00447661">
        <w:rPr>
          <w:rFonts w:asciiTheme="minorHAnsi" w:hAnsiTheme="minorHAnsi" w:cstheme="minorHAnsi"/>
          <w:sz w:val="24"/>
          <w:szCs w:val="22"/>
          <w:lang w:val="en-GB"/>
        </w:rPr>
        <w:t>)</w:t>
      </w:r>
    </w:p>
    <w:p w14:paraId="076BA601" w14:textId="77777777" w:rsidR="006C62A0" w:rsidRPr="00447661" w:rsidRDefault="006C62A0" w:rsidP="00447661">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447661">
        <w:rPr>
          <w:rFonts w:asciiTheme="minorHAnsi" w:hAnsiTheme="minorHAnsi" w:cstheme="minorHAnsi"/>
          <w:sz w:val="24"/>
          <w:szCs w:val="22"/>
        </w:rPr>
        <w:t>Potential</w:t>
      </w:r>
      <w:r w:rsidR="002A27FE">
        <w:rPr>
          <w:rFonts w:asciiTheme="minorHAnsi" w:hAnsiTheme="minorHAnsi" w:cstheme="minorHAnsi"/>
          <w:sz w:val="24"/>
          <w:szCs w:val="22"/>
        </w:rPr>
        <w:t xml:space="preserve"> transplantation</w:t>
      </w:r>
      <w:r w:rsidRPr="00447661">
        <w:rPr>
          <w:rFonts w:asciiTheme="minorHAnsi" w:hAnsiTheme="minorHAnsi" w:cstheme="minorHAnsi"/>
          <w:sz w:val="24"/>
          <w:szCs w:val="22"/>
        </w:rPr>
        <w:t xml:space="preserve"> recipient education and consent </w:t>
      </w:r>
      <w:r w:rsidRPr="00447661">
        <w:rPr>
          <w:rFonts w:asciiTheme="minorHAnsi" w:hAnsiTheme="minorHAnsi" w:cstheme="minorHAnsi"/>
          <w:sz w:val="24"/>
          <w:szCs w:val="22"/>
          <w:lang w:val="en-GB"/>
        </w:rPr>
        <w:t>(Section</w:t>
      </w:r>
      <w:r w:rsidR="00903464">
        <w:rPr>
          <w:rFonts w:asciiTheme="minorHAnsi" w:hAnsiTheme="minorHAnsi" w:cstheme="minorHAnsi"/>
          <w:sz w:val="24"/>
          <w:szCs w:val="22"/>
          <w:lang w:val="en-GB"/>
        </w:rPr>
        <w:t xml:space="preserve"> </w:t>
      </w:r>
      <w:r w:rsidR="00942415">
        <w:rPr>
          <w:rFonts w:asciiTheme="minorHAnsi" w:hAnsiTheme="minorHAnsi" w:cstheme="minorHAnsi"/>
          <w:sz w:val="24"/>
          <w:szCs w:val="22"/>
          <w:lang w:val="en-GB"/>
        </w:rPr>
        <w:fldChar w:fldCharType="begin"/>
      </w:r>
      <w:r w:rsidR="00942415">
        <w:rPr>
          <w:rFonts w:asciiTheme="minorHAnsi" w:hAnsiTheme="minorHAnsi" w:cstheme="minorHAnsi"/>
          <w:sz w:val="24"/>
          <w:szCs w:val="22"/>
          <w:lang w:val="en-GB"/>
        </w:rPr>
        <w:instrText xml:space="preserve"> REF _Ref531269689 \r \h </w:instrText>
      </w:r>
      <w:r w:rsidR="00942415">
        <w:rPr>
          <w:rFonts w:asciiTheme="minorHAnsi" w:hAnsiTheme="minorHAnsi" w:cstheme="minorHAnsi"/>
          <w:sz w:val="24"/>
          <w:szCs w:val="22"/>
          <w:lang w:val="en-GB"/>
        </w:rPr>
      </w:r>
      <w:r w:rsidR="00942415">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6.1.4</w:t>
      </w:r>
      <w:r w:rsidR="00942415">
        <w:rPr>
          <w:rFonts w:asciiTheme="minorHAnsi" w:hAnsiTheme="minorHAnsi" w:cstheme="minorHAnsi"/>
          <w:sz w:val="24"/>
          <w:szCs w:val="22"/>
          <w:lang w:val="en-GB"/>
        </w:rPr>
        <w:fldChar w:fldCharType="end"/>
      </w:r>
      <w:r w:rsidRPr="00447661">
        <w:rPr>
          <w:rFonts w:asciiTheme="minorHAnsi" w:hAnsiTheme="minorHAnsi" w:cstheme="minorHAnsi"/>
          <w:sz w:val="24"/>
          <w:szCs w:val="22"/>
          <w:lang w:val="en-GB"/>
        </w:rPr>
        <w:t>)</w:t>
      </w:r>
      <w:r w:rsidR="00975A13">
        <w:rPr>
          <w:rFonts w:asciiTheme="minorHAnsi" w:hAnsiTheme="minorHAnsi" w:cstheme="minorHAnsi"/>
          <w:sz w:val="24"/>
          <w:szCs w:val="22"/>
          <w:lang w:val="en-GB"/>
        </w:rPr>
        <w:t>.</w:t>
      </w:r>
    </w:p>
    <w:p w14:paraId="47CC2F7B" w14:textId="77777777" w:rsidR="00C30067" w:rsidRPr="00266A77" w:rsidRDefault="002A27FE" w:rsidP="00C30067">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599" w:name="_Ref527623661"/>
      <w:r>
        <w:rPr>
          <w:rFonts w:asciiTheme="minorHAnsi" w:hAnsiTheme="minorHAnsi" w:cstheme="minorHAnsi"/>
          <w:b w:val="0"/>
          <w:color w:val="7F7F7F" w:themeColor="text1" w:themeTint="80"/>
          <w:sz w:val="30"/>
          <w:szCs w:val="30"/>
        </w:rPr>
        <w:t>Referrals to transplant</w:t>
      </w:r>
      <w:r w:rsidR="00C30067" w:rsidRPr="00266A77">
        <w:rPr>
          <w:rFonts w:asciiTheme="minorHAnsi" w:hAnsiTheme="minorHAnsi" w:cstheme="minorHAnsi"/>
          <w:b w:val="0"/>
          <w:color w:val="7F7F7F" w:themeColor="text1" w:themeTint="80"/>
          <w:sz w:val="30"/>
          <w:szCs w:val="30"/>
        </w:rPr>
        <w:t xml:space="preserve"> medical specialists</w:t>
      </w:r>
      <w:bookmarkEnd w:id="599"/>
    </w:p>
    <w:p w14:paraId="7F466795" w14:textId="77777777" w:rsidR="00C30067" w:rsidRPr="00266A77" w:rsidRDefault="00C30067" w:rsidP="00C30067">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Discussion of findings</w:t>
      </w:r>
    </w:p>
    <w:p w14:paraId="4B00C088" w14:textId="77777777" w:rsidR="00C30067" w:rsidRDefault="00C30067"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Outpatient specialist clinics </w:t>
      </w:r>
      <w:r w:rsidRPr="001E7060">
        <w:rPr>
          <w:rFonts w:asciiTheme="minorHAnsi" w:hAnsiTheme="minorHAnsi" w:cstheme="minorHAnsi"/>
          <w:sz w:val="24"/>
          <w:szCs w:val="22"/>
          <w:lang w:val="en-GB"/>
        </w:rPr>
        <w:t>have an important role in</w:t>
      </w:r>
      <w:r>
        <w:rPr>
          <w:rFonts w:asciiTheme="minorHAnsi" w:hAnsiTheme="minorHAnsi" w:cstheme="minorHAnsi"/>
          <w:sz w:val="24"/>
          <w:szCs w:val="22"/>
          <w:lang w:val="en-GB"/>
        </w:rPr>
        <w:t xml:space="preserve"> improving </w:t>
      </w:r>
      <w:r w:rsidR="00092158">
        <w:rPr>
          <w:rFonts w:asciiTheme="minorHAnsi" w:hAnsiTheme="minorHAnsi" w:cstheme="minorHAnsi"/>
          <w:sz w:val="24"/>
          <w:szCs w:val="22"/>
          <w:lang w:val="en-GB"/>
        </w:rPr>
        <w:t>transplantation outcomes</w:t>
      </w:r>
      <w:r>
        <w:rPr>
          <w:rFonts w:asciiTheme="minorHAnsi" w:hAnsiTheme="minorHAnsi" w:cstheme="minorHAnsi"/>
          <w:sz w:val="24"/>
          <w:szCs w:val="22"/>
          <w:lang w:val="en-GB"/>
        </w:rPr>
        <w:t xml:space="preserve"> through</w:t>
      </w:r>
      <w:r w:rsidRPr="001E7060">
        <w:rPr>
          <w:rFonts w:asciiTheme="minorHAnsi" w:hAnsiTheme="minorHAnsi" w:cstheme="minorHAnsi"/>
          <w:sz w:val="24"/>
          <w:szCs w:val="22"/>
          <w:lang w:val="en-GB"/>
        </w:rPr>
        <w:t xml:space="preserve"> delivering transplant education and referr</w:t>
      </w:r>
      <w:r w:rsidR="003C48D9">
        <w:rPr>
          <w:rFonts w:asciiTheme="minorHAnsi" w:hAnsiTheme="minorHAnsi" w:cstheme="minorHAnsi"/>
          <w:sz w:val="24"/>
          <w:szCs w:val="22"/>
          <w:lang w:val="en-GB"/>
        </w:rPr>
        <w:t>al</w:t>
      </w:r>
      <w:r w:rsidR="00050173">
        <w:rPr>
          <w:rFonts w:asciiTheme="minorHAnsi" w:hAnsiTheme="minorHAnsi" w:cstheme="minorHAnsi"/>
          <w:sz w:val="24"/>
          <w:szCs w:val="22"/>
          <w:lang w:val="en-GB"/>
        </w:rPr>
        <w:t xml:space="preserve"> systems</w:t>
      </w:r>
      <w:r w:rsidRPr="001E7060">
        <w:rPr>
          <w:rFonts w:asciiTheme="minorHAnsi" w:hAnsiTheme="minorHAnsi" w:cstheme="minorHAnsi"/>
          <w:sz w:val="24"/>
          <w:szCs w:val="22"/>
          <w:lang w:val="en-GB"/>
        </w:rPr>
        <w:t xml:space="preserve"> for </w:t>
      </w:r>
      <w:r w:rsidR="00840CB8">
        <w:rPr>
          <w:rFonts w:asciiTheme="minorHAnsi" w:hAnsiTheme="minorHAnsi" w:cstheme="minorHAnsi"/>
          <w:sz w:val="24"/>
          <w:szCs w:val="22"/>
          <w:lang w:val="en-GB"/>
        </w:rPr>
        <w:t xml:space="preserve">organ </w:t>
      </w:r>
      <w:r w:rsidRPr="001E7060">
        <w:rPr>
          <w:rFonts w:asciiTheme="minorHAnsi" w:hAnsiTheme="minorHAnsi" w:cstheme="minorHAnsi"/>
          <w:sz w:val="24"/>
          <w:szCs w:val="22"/>
          <w:lang w:val="en-GB"/>
        </w:rPr>
        <w:t>transplantation.</w:t>
      </w:r>
      <w:r w:rsidRPr="004938CA">
        <w:rPr>
          <w:rStyle w:val="FootnoteReference"/>
          <w:rFonts w:asciiTheme="minorHAnsi" w:hAnsiTheme="minorHAnsi" w:cstheme="minorHAnsi"/>
          <w:szCs w:val="18"/>
          <w:lang w:val="en-GB"/>
        </w:rPr>
        <w:footnoteReference w:id="77"/>
      </w:r>
      <w:r>
        <w:rPr>
          <w:rFonts w:asciiTheme="minorHAnsi" w:hAnsiTheme="minorHAnsi" w:cstheme="minorHAnsi"/>
          <w:sz w:val="24"/>
          <w:szCs w:val="22"/>
          <w:lang w:val="en-GB"/>
        </w:rPr>
        <w:t xml:space="preserve"> </w:t>
      </w:r>
      <w:r w:rsidR="003C48D9">
        <w:rPr>
          <w:rFonts w:asciiTheme="minorHAnsi" w:hAnsiTheme="minorHAnsi" w:cstheme="minorHAnsi"/>
          <w:sz w:val="24"/>
          <w:szCs w:val="22"/>
          <w:lang w:val="en-GB"/>
        </w:rPr>
        <w:t>Stakeholders reported</w:t>
      </w:r>
      <w:r w:rsidRPr="00F37D51">
        <w:rPr>
          <w:rFonts w:asciiTheme="minorHAnsi" w:hAnsiTheme="minorHAnsi" w:cstheme="minorHAnsi"/>
          <w:sz w:val="24"/>
          <w:szCs w:val="22"/>
          <w:lang w:val="en-GB"/>
        </w:rPr>
        <w:t xml:space="preserve"> t</w:t>
      </w:r>
      <w:r>
        <w:rPr>
          <w:rFonts w:asciiTheme="minorHAnsi" w:hAnsiTheme="minorHAnsi" w:cstheme="minorHAnsi"/>
          <w:sz w:val="24"/>
          <w:szCs w:val="22"/>
          <w:lang w:val="en-GB"/>
        </w:rPr>
        <w:t xml:space="preserve">hat there are persistent problems </w:t>
      </w:r>
      <w:r w:rsidR="00050173">
        <w:rPr>
          <w:rFonts w:asciiTheme="minorHAnsi" w:hAnsiTheme="minorHAnsi" w:cstheme="minorHAnsi"/>
          <w:sz w:val="24"/>
          <w:szCs w:val="22"/>
          <w:lang w:val="en-GB"/>
        </w:rPr>
        <w:t xml:space="preserve">reported by organ transplantation </w:t>
      </w:r>
      <w:r w:rsidR="00327878">
        <w:rPr>
          <w:rFonts w:asciiTheme="minorHAnsi" w:hAnsiTheme="minorHAnsi" w:cstheme="minorHAnsi"/>
          <w:sz w:val="24"/>
          <w:szCs w:val="22"/>
          <w:lang w:val="en-GB"/>
        </w:rPr>
        <w:t xml:space="preserve">clinicians </w:t>
      </w:r>
      <w:r>
        <w:rPr>
          <w:rFonts w:asciiTheme="minorHAnsi" w:hAnsiTheme="minorHAnsi" w:cstheme="minorHAnsi"/>
          <w:sz w:val="24"/>
          <w:szCs w:val="22"/>
          <w:lang w:val="en-GB"/>
        </w:rPr>
        <w:t xml:space="preserve">with late referrals </w:t>
      </w:r>
      <w:r w:rsidR="00050173">
        <w:rPr>
          <w:rFonts w:asciiTheme="minorHAnsi" w:hAnsiTheme="minorHAnsi" w:cstheme="minorHAnsi"/>
          <w:sz w:val="24"/>
          <w:szCs w:val="22"/>
          <w:lang w:val="en-GB"/>
        </w:rPr>
        <w:t xml:space="preserve">to </w:t>
      </w:r>
      <w:r>
        <w:rPr>
          <w:rFonts w:asciiTheme="minorHAnsi" w:hAnsiTheme="minorHAnsi" w:cstheme="minorHAnsi"/>
          <w:sz w:val="24"/>
          <w:szCs w:val="22"/>
          <w:lang w:val="en-GB"/>
        </w:rPr>
        <w:t xml:space="preserve">specialist transplantation clinicians which continues to impact the outcomes of </w:t>
      </w:r>
      <w:r w:rsidR="00840CB8">
        <w:rPr>
          <w:rFonts w:asciiTheme="minorHAnsi" w:hAnsiTheme="minorHAnsi" w:cstheme="minorHAnsi"/>
          <w:sz w:val="24"/>
          <w:szCs w:val="22"/>
          <w:lang w:val="en-GB"/>
        </w:rPr>
        <w:t>transplantation</w:t>
      </w:r>
      <w:r>
        <w:rPr>
          <w:rFonts w:asciiTheme="minorHAnsi" w:hAnsiTheme="minorHAnsi" w:cstheme="minorHAnsi"/>
          <w:sz w:val="24"/>
          <w:szCs w:val="22"/>
          <w:lang w:val="en-GB"/>
        </w:rPr>
        <w:t xml:space="preserve">. </w:t>
      </w:r>
    </w:p>
    <w:p w14:paraId="76E6EF8E" w14:textId="77777777" w:rsidR="00C30067" w:rsidRPr="00F37D51" w:rsidRDefault="00C30067" w:rsidP="00C30067">
      <w:pPr>
        <w:tabs>
          <w:tab w:val="num" w:pos="720"/>
        </w:tabs>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Referrals are considered late when a disease is in</w:t>
      </w:r>
      <w:r>
        <w:rPr>
          <w:rFonts w:asciiTheme="minorHAnsi" w:hAnsiTheme="minorHAnsi" w:cstheme="minorHAnsi"/>
          <w:sz w:val="24"/>
          <w:szCs w:val="22"/>
          <w:lang w:val="en-GB"/>
        </w:rPr>
        <w:t xml:space="preserve"> its</w:t>
      </w:r>
      <w:r w:rsidRPr="00F37D51">
        <w:rPr>
          <w:rFonts w:asciiTheme="minorHAnsi" w:hAnsiTheme="minorHAnsi" w:cstheme="minorHAnsi"/>
          <w:sz w:val="24"/>
          <w:szCs w:val="22"/>
          <w:lang w:val="en-GB"/>
        </w:rPr>
        <w:t xml:space="preserve"> late stages and the health </w:t>
      </w:r>
      <w:r>
        <w:rPr>
          <w:rFonts w:asciiTheme="minorHAnsi" w:hAnsiTheme="minorHAnsi" w:cstheme="minorHAnsi"/>
          <w:sz w:val="24"/>
          <w:szCs w:val="22"/>
          <w:lang w:val="en-GB"/>
        </w:rPr>
        <w:t xml:space="preserve">of </w:t>
      </w:r>
      <w:r w:rsidRPr="00F37D51">
        <w:rPr>
          <w:rFonts w:asciiTheme="minorHAnsi" w:hAnsiTheme="minorHAnsi" w:cstheme="minorHAnsi"/>
          <w:sz w:val="24"/>
          <w:szCs w:val="22"/>
          <w:lang w:val="en-GB"/>
        </w:rPr>
        <w:t>a potential recipient ha</w:t>
      </w:r>
      <w:r>
        <w:rPr>
          <w:rFonts w:asciiTheme="minorHAnsi" w:hAnsiTheme="minorHAnsi" w:cstheme="minorHAnsi"/>
          <w:sz w:val="24"/>
          <w:szCs w:val="22"/>
          <w:lang w:val="en-GB"/>
        </w:rPr>
        <w:t>s d</w:t>
      </w:r>
      <w:r w:rsidRPr="00F37D51">
        <w:rPr>
          <w:rFonts w:asciiTheme="minorHAnsi" w:hAnsiTheme="minorHAnsi" w:cstheme="minorHAnsi"/>
          <w:sz w:val="24"/>
          <w:szCs w:val="22"/>
          <w:lang w:val="en-GB"/>
        </w:rPr>
        <w:t>eclined</w:t>
      </w:r>
      <w:r>
        <w:rPr>
          <w:rFonts w:asciiTheme="minorHAnsi" w:hAnsiTheme="minorHAnsi" w:cstheme="minorHAnsi"/>
          <w:sz w:val="24"/>
          <w:szCs w:val="22"/>
          <w:lang w:val="en-GB"/>
        </w:rPr>
        <w:t xml:space="preserve"> to the point </w:t>
      </w:r>
      <w:r w:rsidR="003C48D9">
        <w:rPr>
          <w:rFonts w:asciiTheme="minorHAnsi" w:hAnsiTheme="minorHAnsi" w:cstheme="minorHAnsi"/>
          <w:sz w:val="24"/>
          <w:szCs w:val="22"/>
          <w:lang w:val="en-GB"/>
        </w:rPr>
        <w:t>to</w:t>
      </w:r>
      <w:r>
        <w:rPr>
          <w:rFonts w:asciiTheme="minorHAnsi" w:hAnsiTheme="minorHAnsi" w:cstheme="minorHAnsi"/>
          <w:sz w:val="24"/>
          <w:szCs w:val="22"/>
          <w:lang w:val="en-GB"/>
        </w:rPr>
        <w:t xml:space="preserve"> which the benefits of transplantation may be reduced</w:t>
      </w:r>
      <w:r w:rsidRPr="00F37D51">
        <w:rPr>
          <w:rFonts w:asciiTheme="minorHAnsi" w:hAnsiTheme="minorHAnsi" w:cstheme="minorHAnsi"/>
          <w:sz w:val="24"/>
          <w:szCs w:val="22"/>
          <w:lang w:val="en-GB"/>
        </w:rPr>
        <w:t>.</w:t>
      </w:r>
      <w:r w:rsidRPr="00266A77">
        <w:rPr>
          <w:rStyle w:val="FootnoteReference"/>
          <w:rFonts w:asciiTheme="minorHAnsi" w:hAnsiTheme="minorHAnsi" w:cstheme="minorHAnsi"/>
          <w:szCs w:val="16"/>
          <w:lang w:val="en-GB" w:eastAsia="en-AU"/>
        </w:rPr>
        <w:footnoteReference w:id="78"/>
      </w:r>
      <w:r w:rsidRPr="00F37D51">
        <w:rPr>
          <w:rFonts w:asciiTheme="minorHAnsi" w:hAnsiTheme="minorHAnsi" w:cstheme="minorHAnsi"/>
          <w:sz w:val="24"/>
          <w:szCs w:val="22"/>
          <w:lang w:val="en-GB"/>
        </w:rPr>
        <w:t xml:space="preserve"> Late </w:t>
      </w:r>
      <w:r>
        <w:rPr>
          <w:rFonts w:asciiTheme="minorHAnsi" w:hAnsiTheme="minorHAnsi" w:cstheme="minorHAnsi"/>
          <w:sz w:val="24"/>
          <w:szCs w:val="22"/>
          <w:lang w:val="en-GB"/>
        </w:rPr>
        <w:t>transplant</w:t>
      </w:r>
      <w:r w:rsidR="00840CB8">
        <w:rPr>
          <w:rFonts w:asciiTheme="minorHAnsi" w:hAnsiTheme="minorHAnsi" w:cstheme="minorHAnsi"/>
          <w:sz w:val="24"/>
          <w:szCs w:val="22"/>
          <w:lang w:val="en-GB"/>
        </w:rPr>
        <w:t>ation</w:t>
      </w:r>
      <w:r>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referral</w:t>
      </w:r>
      <w:r w:rsidR="00840CB8">
        <w:rPr>
          <w:rFonts w:asciiTheme="minorHAnsi" w:hAnsiTheme="minorHAnsi" w:cstheme="minorHAnsi"/>
          <w:sz w:val="24"/>
          <w:szCs w:val="22"/>
          <w:lang w:val="en-GB"/>
        </w:rPr>
        <w:t>s require either</w:t>
      </w:r>
      <w:r w:rsidR="003C48D9">
        <w:rPr>
          <w:rFonts w:asciiTheme="minorHAnsi" w:hAnsiTheme="minorHAnsi" w:cstheme="minorHAnsi"/>
          <w:sz w:val="24"/>
          <w:szCs w:val="22"/>
          <w:lang w:val="en-GB"/>
        </w:rPr>
        <w:t>: (1)</w:t>
      </w:r>
      <w:r w:rsidRPr="00F37D51">
        <w:rPr>
          <w:rFonts w:asciiTheme="minorHAnsi" w:hAnsiTheme="minorHAnsi" w:cstheme="minorHAnsi"/>
          <w:sz w:val="24"/>
          <w:szCs w:val="22"/>
          <w:lang w:val="en-GB"/>
        </w:rPr>
        <w:t xml:space="preserve"> additional management to improve</w:t>
      </w:r>
      <w:r>
        <w:rPr>
          <w:rFonts w:asciiTheme="minorHAnsi" w:hAnsiTheme="minorHAnsi" w:cstheme="minorHAnsi"/>
          <w:sz w:val="24"/>
          <w:szCs w:val="22"/>
          <w:lang w:val="en-GB"/>
        </w:rPr>
        <w:t xml:space="preserve"> their</w:t>
      </w:r>
      <w:r w:rsidRPr="00F37D51">
        <w:rPr>
          <w:rFonts w:asciiTheme="minorHAnsi" w:hAnsiTheme="minorHAnsi" w:cstheme="minorHAnsi"/>
          <w:sz w:val="24"/>
          <w:szCs w:val="22"/>
          <w:lang w:val="en-GB"/>
        </w:rPr>
        <w:t xml:space="preserve"> health</w:t>
      </w:r>
      <w:r>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 xml:space="preserve">to an optimal level </w:t>
      </w:r>
      <w:r>
        <w:rPr>
          <w:rFonts w:asciiTheme="minorHAnsi" w:hAnsiTheme="minorHAnsi" w:cstheme="minorHAnsi"/>
          <w:sz w:val="24"/>
          <w:szCs w:val="22"/>
          <w:lang w:val="en-GB"/>
        </w:rPr>
        <w:t>prior to</w:t>
      </w:r>
      <w:r w:rsidRPr="00F37D51">
        <w:rPr>
          <w:rFonts w:asciiTheme="minorHAnsi" w:hAnsiTheme="minorHAnsi" w:cstheme="minorHAnsi"/>
          <w:sz w:val="24"/>
          <w:szCs w:val="22"/>
          <w:lang w:val="en-GB"/>
        </w:rPr>
        <w:t xml:space="preserve"> transplant</w:t>
      </w:r>
      <w:r>
        <w:rPr>
          <w:rFonts w:asciiTheme="minorHAnsi" w:hAnsiTheme="minorHAnsi" w:cstheme="minorHAnsi"/>
          <w:sz w:val="24"/>
          <w:szCs w:val="22"/>
          <w:lang w:val="en-GB"/>
        </w:rPr>
        <w:t>ation</w:t>
      </w:r>
      <w:r w:rsidR="003C48D9">
        <w:rPr>
          <w:rFonts w:asciiTheme="minorHAnsi" w:hAnsiTheme="minorHAnsi" w:cstheme="minorHAnsi"/>
          <w:sz w:val="24"/>
          <w:szCs w:val="22"/>
          <w:lang w:val="en-GB"/>
        </w:rPr>
        <w:t>;</w:t>
      </w:r>
      <w:r w:rsidRPr="00F37D51">
        <w:rPr>
          <w:rFonts w:asciiTheme="minorHAnsi" w:hAnsiTheme="minorHAnsi" w:cstheme="minorHAnsi"/>
          <w:sz w:val="24"/>
          <w:szCs w:val="22"/>
          <w:lang w:val="en-GB"/>
        </w:rPr>
        <w:t xml:space="preserve"> or</w:t>
      </w:r>
      <w:r w:rsidR="003C48D9">
        <w:rPr>
          <w:rFonts w:asciiTheme="minorHAnsi" w:hAnsiTheme="minorHAnsi" w:cstheme="minorHAnsi"/>
          <w:sz w:val="24"/>
          <w:szCs w:val="22"/>
          <w:lang w:val="en-GB"/>
        </w:rPr>
        <w:t xml:space="preserve"> (2)</w:t>
      </w:r>
      <w:r>
        <w:rPr>
          <w:rFonts w:asciiTheme="minorHAnsi" w:hAnsiTheme="minorHAnsi" w:cstheme="minorHAnsi"/>
          <w:sz w:val="24"/>
          <w:szCs w:val="22"/>
          <w:lang w:val="en-GB"/>
        </w:rPr>
        <w:t xml:space="preserve"> the health of the potential recipient is so poor that it </w:t>
      </w:r>
      <w:r w:rsidRPr="00F37D51">
        <w:rPr>
          <w:rFonts w:asciiTheme="minorHAnsi" w:hAnsiTheme="minorHAnsi" w:cstheme="minorHAnsi"/>
          <w:sz w:val="24"/>
          <w:szCs w:val="22"/>
          <w:lang w:val="en-GB"/>
        </w:rPr>
        <w:t>precludes the</w:t>
      </w:r>
      <w:r>
        <w:rPr>
          <w:rFonts w:asciiTheme="minorHAnsi" w:hAnsiTheme="minorHAnsi" w:cstheme="minorHAnsi"/>
          <w:sz w:val="24"/>
          <w:szCs w:val="22"/>
          <w:lang w:val="en-GB"/>
        </w:rPr>
        <w:t xml:space="preserve"> patient</w:t>
      </w:r>
      <w:r w:rsidRPr="00F37D51">
        <w:rPr>
          <w:rFonts w:asciiTheme="minorHAnsi" w:hAnsiTheme="minorHAnsi" w:cstheme="minorHAnsi"/>
          <w:sz w:val="24"/>
          <w:szCs w:val="22"/>
          <w:lang w:val="en-GB"/>
        </w:rPr>
        <w:t xml:space="preserve"> from transplant</w:t>
      </w:r>
      <w:r>
        <w:rPr>
          <w:rFonts w:asciiTheme="minorHAnsi" w:hAnsiTheme="minorHAnsi" w:cstheme="minorHAnsi"/>
          <w:sz w:val="24"/>
          <w:szCs w:val="22"/>
          <w:lang w:val="en-GB"/>
        </w:rPr>
        <w:t>ation</w:t>
      </w:r>
      <w:r w:rsidRPr="00F37D51">
        <w:rPr>
          <w:rFonts w:asciiTheme="minorHAnsi" w:hAnsiTheme="minorHAnsi" w:cstheme="minorHAnsi"/>
          <w:sz w:val="24"/>
          <w:szCs w:val="22"/>
          <w:lang w:val="en-GB"/>
        </w:rPr>
        <w:t>.</w:t>
      </w:r>
    </w:p>
    <w:p w14:paraId="148105BD" w14:textId="77777777" w:rsidR="00C30067" w:rsidRDefault="00C30067"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The Review found that the reasons cited for late referrals included gaps in assessing appropriateness for referral and patient education. Transplantation clinicians reported that there was vast variability in the understanding of the </w:t>
      </w:r>
      <w:r w:rsidR="00840CB8">
        <w:rPr>
          <w:rFonts w:asciiTheme="minorHAnsi" w:hAnsiTheme="minorHAnsi" w:cstheme="minorHAnsi"/>
          <w:sz w:val="24"/>
          <w:szCs w:val="22"/>
          <w:lang w:val="en-GB"/>
        </w:rPr>
        <w:t xml:space="preserve">benefits </w:t>
      </w:r>
      <w:r>
        <w:rPr>
          <w:rFonts w:asciiTheme="minorHAnsi" w:hAnsiTheme="minorHAnsi" w:cstheme="minorHAnsi"/>
          <w:sz w:val="24"/>
          <w:szCs w:val="22"/>
          <w:lang w:val="en-GB"/>
        </w:rPr>
        <w:t xml:space="preserve">of transplantation among referring clinicians and potential recipients, as well as variability in referral processes.  </w:t>
      </w:r>
    </w:p>
    <w:p w14:paraId="32952FE7" w14:textId="77777777" w:rsidR="00F30C35" w:rsidRDefault="00F30C35">
      <w:pPr>
        <w:widowControl/>
        <w:autoSpaceDE/>
        <w:autoSpaceDN/>
        <w:adjustRightInd/>
        <w:spacing w:after="200" w:line="276" w:lineRule="auto"/>
        <w:rPr>
          <w:rFonts w:asciiTheme="minorHAnsi" w:hAnsiTheme="minorHAnsi" w:cstheme="minorHAnsi"/>
          <w:sz w:val="24"/>
          <w:szCs w:val="22"/>
          <w:lang w:val="en-GB"/>
        </w:rPr>
      </w:pPr>
      <w:r>
        <w:rPr>
          <w:rFonts w:asciiTheme="minorHAnsi" w:hAnsiTheme="minorHAnsi" w:cstheme="minorHAnsi"/>
          <w:sz w:val="24"/>
          <w:szCs w:val="22"/>
          <w:lang w:val="en-GB"/>
        </w:rPr>
        <w:br w:type="page"/>
      </w:r>
    </w:p>
    <w:p w14:paraId="34C5CD8C" w14:textId="68DAF27A" w:rsidR="00C30067" w:rsidRDefault="00C30067"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Internationally there has been investment in the education of donation clinicians and key stakeholders in order to improve donation outcomes.</w:t>
      </w:r>
      <w:r>
        <w:rPr>
          <w:rStyle w:val="FootnoteReference"/>
          <w:rFonts w:cstheme="minorHAnsi"/>
          <w:lang w:val="en-GB"/>
        </w:rPr>
        <w:footnoteReference w:id="79"/>
      </w:r>
      <w:r>
        <w:rPr>
          <w:rFonts w:asciiTheme="minorHAnsi" w:hAnsiTheme="minorHAnsi" w:cstheme="minorHAnsi"/>
          <w:sz w:val="24"/>
          <w:szCs w:val="22"/>
          <w:lang w:val="en-GB"/>
        </w:rPr>
        <w:t xml:space="preserve"> However, there is limited evidence of investment internationally in continuing education programs for clinicians involved in transplantation. </w:t>
      </w:r>
      <w:r w:rsidRPr="00F37D51">
        <w:rPr>
          <w:rFonts w:asciiTheme="minorHAnsi" w:hAnsiTheme="minorHAnsi" w:cstheme="minorHAnsi"/>
          <w:sz w:val="24"/>
          <w:szCs w:val="22"/>
          <w:lang w:val="en-GB"/>
        </w:rPr>
        <w:t>Clinical stakeholders reported that with improved</w:t>
      </w:r>
      <w:r>
        <w:rPr>
          <w:rFonts w:asciiTheme="minorHAnsi" w:hAnsiTheme="minorHAnsi" w:cstheme="minorHAnsi"/>
          <w:sz w:val="24"/>
          <w:szCs w:val="22"/>
          <w:lang w:val="en-GB"/>
        </w:rPr>
        <w:t xml:space="preserve"> education and training of referring clinicians, as well as improved</w:t>
      </w:r>
      <w:r w:rsidRPr="00F37D51">
        <w:rPr>
          <w:rFonts w:asciiTheme="minorHAnsi" w:hAnsiTheme="minorHAnsi" w:cstheme="minorHAnsi"/>
          <w:sz w:val="24"/>
          <w:szCs w:val="22"/>
          <w:lang w:val="en-GB"/>
        </w:rPr>
        <w:t xml:space="preserve"> information </w:t>
      </w:r>
      <w:r>
        <w:rPr>
          <w:rFonts w:asciiTheme="minorHAnsi" w:hAnsiTheme="minorHAnsi" w:cstheme="minorHAnsi"/>
          <w:sz w:val="24"/>
          <w:szCs w:val="22"/>
          <w:lang w:val="en-GB"/>
        </w:rPr>
        <w:t xml:space="preserve">sharing between referring clinicians and potential recipients, </w:t>
      </w:r>
      <w:r w:rsidRPr="00F37D51">
        <w:rPr>
          <w:rFonts w:asciiTheme="minorHAnsi" w:hAnsiTheme="minorHAnsi" w:cstheme="minorHAnsi"/>
          <w:sz w:val="24"/>
          <w:szCs w:val="22"/>
          <w:lang w:val="en-GB"/>
        </w:rPr>
        <w:t>both barriers may effectively be overcome.</w:t>
      </w:r>
    </w:p>
    <w:p w14:paraId="236B3BF1" w14:textId="77777777" w:rsidR="00C30067" w:rsidRPr="00266A77" w:rsidRDefault="00C30067" w:rsidP="00C30067">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Summary of key findings</w:t>
      </w:r>
    </w:p>
    <w:p w14:paraId="63E75C59" w14:textId="77777777" w:rsidR="00C30067" w:rsidRPr="00F37D51" w:rsidRDefault="00C30067" w:rsidP="00C30067">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Extensive evidence was </w:t>
      </w:r>
      <w:r>
        <w:rPr>
          <w:rFonts w:asciiTheme="minorHAnsi" w:hAnsiTheme="minorHAnsi" w:cstheme="minorHAnsi"/>
          <w:sz w:val="24"/>
          <w:szCs w:val="22"/>
          <w:lang w:val="en-GB"/>
        </w:rPr>
        <w:t xml:space="preserve">reported </w:t>
      </w:r>
      <w:r w:rsidRPr="00F37D51">
        <w:rPr>
          <w:rFonts w:asciiTheme="minorHAnsi" w:hAnsiTheme="minorHAnsi" w:cstheme="minorHAnsi"/>
          <w:sz w:val="24"/>
          <w:szCs w:val="22"/>
          <w:lang w:val="en-GB"/>
        </w:rPr>
        <w:t>in all</w:t>
      </w:r>
      <w:r>
        <w:rPr>
          <w:rFonts w:asciiTheme="minorHAnsi" w:hAnsiTheme="minorHAnsi" w:cstheme="minorHAnsi"/>
          <w:sz w:val="24"/>
          <w:szCs w:val="22"/>
          <w:lang w:val="en-GB"/>
        </w:rPr>
        <w:t xml:space="preserve"> the</w:t>
      </w:r>
      <w:r w:rsidRPr="00F37D51">
        <w:rPr>
          <w:rFonts w:asciiTheme="minorHAnsi" w:hAnsiTheme="minorHAnsi" w:cstheme="minorHAnsi"/>
          <w:sz w:val="24"/>
          <w:szCs w:val="22"/>
          <w:lang w:val="en-GB"/>
        </w:rPr>
        <w:t xml:space="preserve"> organ </w:t>
      </w:r>
      <w:r w:rsidR="00647282">
        <w:rPr>
          <w:rFonts w:asciiTheme="minorHAnsi" w:hAnsiTheme="minorHAnsi" w:cstheme="minorHAnsi"/>
          <w:sz w:val="24"/>
          <w:szCs w:val="22"/>
          <w:lang w:val="en-GB"/>
        </w:rPr>
        <w:t>transplantation programs</w:t>
      </w:r>
      <w:r w:rsidRPr="00F37D51">
        <w:rPr>
          <w:rFonts w:asciiTheme="minorHAnsi" w:hAnsiTheme="minorHAnsi" w:cstheme="minorHAnsi"/>
          <w:sz w:val="24"/>
          <w:szCs w:val="22"/>
          <w:lang w:val="en-GB"/>
        </w:rPr>
        <w:t xml:space="preserve"> of </w:t>
      </w:r>
      <w:r>
        <w:rPr>
          <w:rFonts w:asciiTheme="minorHAnsi" w:hAnsiTheme="minorHAnsi" w:cstheme="minorHAnsi"/>
          <w:sz w:val="24"/>
          <w:szCs w:val="22"/>
          <w:lang w:val="en-GB"/>
        </w:rPr>
        <w:t xml:space="preserve">the occurrence and challenge of </w:t>
      </w:r>
      <w:r w:rsidRPr="00F37D51">
        <w:rPr>
          <w:rFonts w:asciiTheme="minorHAnsi" w:hAnsiTheme="minorHAnsi" w:cstheme="minorHAnsi"/>
          <w:sz w:val="24"/>
          <w:szCs w:val="22"/>
          <w:lang w:val="en-GB"/>
        </w:rPr>
        <w:t>late referrals of potential recipients to the transplantation program for assessment</w:t>
      </w:r>
      <w:r>
        <w:rPr>
          <w:rFonts w:asciiTheme="minorHAnsi" w:hAnsiTheme="minorHAnsi" w:cstheme="minorHAnsi"/>
          <w:sz w:val="24"/>
          <w:szCs w:val="22"/>
          <w:lang w:val="en-GB"/>
        </w:rPr>
        <w:t>.</w:t>
      </w:r>
    </w:p>
    <w:p w14:paraId="3DCEAD55" w14:textId="77777777" w:rsidR="00C30067" w:rsidRPr="00266A77" w:rsidRDefault="00C30067" w:rsidP="00C30067">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five is that all transplantation programs work with the continuing medical education pathways to improve the understanding of eligibility of patients for transplantation and the referral pathways among clinicians. "/>
      </w:tblPr>
      <w:tblGrid>
        <w:gridCol w:w="2268"/>
        <w:gridCol w:w="7479"/>
      </w:tblGrid>
      <w:tr w:rsidR="006C3F97" w:rsidRPr="00DC1007" w14:paraId="2FC37B3E" w14:textId="77777777" w:rsidTr="00B65E19">
        <w:trPr>
          <w:tblHeader/>
        </w:trPr>
        <w:tc>
          <w:tcPr>
            <w:tcW w:w="2268" w:type="dxa"/>
            <w:shd w:val="clear" w:color="auto" w:fill="595959" w:themeFill="text1" w:themeFillTint="A6"/>
          </w:tcPr>
          <w:p w14:paraId="259CDFE5" w14:textId="32E9E21E" w:rsidR="006C3F97" w:rsidRPr="00F37D51" w:rsidRDefault="006C3F97" w:rsidP="006C3F97">
            <w:pPr>
              <w:ind w:right="-321"/>
              <w:rPr>
                <w:rFonts w:asciiTheme="minorHAnsi" w:hAnsiTheme="minorHAnsi" w:cstheme="minorHAnsi"/>
                <w:b/>
                <w:sz w:val="24"/>
                <w:szCs w:val="22"/>
                <w:lang w:val="en-GB"/>
              </w:rPr>
            </w:pPr>
            <w:r w:rsidRPr="00BC331F">
              <w:rPr>
                <w:rFonts w:asciiTheme="minorHAnsi" w:hAnsiTheme="minorHAnsi" w:cstheme="minorHAnsi"/>
                <w:b/>
                <w:color w:val="FFFFFF" w:themeColor="background1"/>
                <w:sz w:val="24"/>
                <w:szCs w:val="24"/>
                <w:lang w:val="en-GB"/>
              </w:rPr>
              <w:t>Recommendation</w:t>
            </w:r>
          </w:p>
        </w:tc>
        <w:tc>
          <w:tcPr>
            <w:tcW w:w="7479" w:type="dxa"/>
            <w:shd w:val="clear" w:color="auto" w:fill="595959" w:themeFill="text1" w:themeFillTint="A6"/>
          </w:tcPr>
          <w:p w14:paraId="0E460892" w14:textId="51946CAB" w:rsidR="006C3F97" w:rsidRPr="005D1137" w:rsidRDefault="006C3F97" w:rsidP="006C3F97">
            <w:pPr>
              <w:spacing w:after="120"/>
              <w:rPr>
                <w:rFonts w:asciiTheme="minorHAnsi" w:hAnsiTheme="minorHAnsi" w:cstheme="minorHAnsi"/>
                <w:sz w:val="24"/>
                <w:szCs w:val="22"/>
                <w:lang w:val="en-GB"/>
              </w:rPr>
            </w:pPr>
            <w:r w:rsidRPr="00BC331F">
              <w:rPr>
                <w:rFonts w:asciiTheme="minorHAnsi" w:hAnsiTheme="minorHAnsi" w:cstheme="minorHAnsi"/>
                <w:b/>
                <w:color w:val="FFFFFF" w:themeColor="background1"/>
                <w:sz w:val="24"/>
                <w:szCs w:val="24"/>
                <w:lang w:val="en-GB"/>
              </w:rPr>
              <w:t>Description</w:t>
            </w:r>
          </w:p>
        </w:tc>
      </w:tr>
      <w:tr w:rsidR="00C30067" w:rsidRPr="00DC1007" w14:paraId="30C066E5" w14:textId="77777777" w:rsidTr="00AE3ED1">
        <w:tc>
          <w:tcPr>
            <w:tcW w:w="2268" w:type="dxa"/>
          </w:tcPr>
          <w:p w14:paraId="3CDC580B" w14:textId="77777777" w:rsidR="00C30067" w:rsidRPr="00F37D51" w:rsidRDefault="00C30067" w:rsidP="002A27FE">
            <w:pPr>
              <w:ind w:right="-321"/>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sidR="009B7F7E">
              <w:rPr>
                <w:rFonts w:asciiTheme="minorHAnsi" w:hAnsiTheme="minorHAnsi" w:cstheme="minorHAnsi"/>
                <w:b/>
                <w:sz w:val="24"/>
                <w:szCs w:val="22"/>
                <w:lang w:val="en-GB"/>
              </w:rPr>
              <w:t>5</w:t>
            </w:r>
          </w:p>
        </w:tc>
        <w:tc>
          <w:tcPr>
            <w:tcW w:w="7479" w:type="dxa"/>
          </w:tcPr>
          <w:p w14:paraId="6C2A6061" w14:textId="77777777" w:rsidR="00C30067" w:rsidRPr="00F37D51" w:rsidRDefault="00C30067" w:rsidP="0082626C">
            <w:pPr>
              <w:spacing w:after="120"/>
              <w:rPr>
                <w:rFonts w:asciiTheme="minorHAnsi" w:hAnsiTheme="minorHAnsi" w:cstheme="minorHAnsi"/>
                <w:sz w:val="24"/>
                <w:szCs w:val="22"/>
                <w:lang w:val="en-GB"/>
              </w:rPr>
            </w:pPr>
            <w:r w:rsidRPr="005D1137">
              <w:rPr>
                <w:rFonts w:asciiTheme="minorHAnsi" w:hAnsiTheme="minorHAnsi" w:cstheme="minorHAnsi"/>
                <w:sz w:val="24"/>
                <w:szCs w:val="22"/>
                <w:lang w:val="en-GB"/>
              </w:rPr>
              <w:t xml:space="preserve">All transplantation programs work with the continuing medical education pathways to improve the understanding of eligibility of patients for transplantation and </w:t>
            </w:r>
            <w:r>
              <w:rPr>
                <w:rFonts w:asciiTheme="minorHAnsi" w:hAnsiTheme="minorHAnsi" w:cstheme="minorHAnsi"/>
                <w:sz w:val="24"/>
                <w:szCs w:val="22"/>
                <w:lang w:val="en-GB"/>
              </w:rPr>
              <w:t xml:space="preserve">the </w:t>
            </w:r>
            <w:r w:rsidRPr="005D1137">
              <w:rPr>
                <w:rFonts w:asciiTheme="minorHAnsi" w:hAnsiTheme="minorHAnsi" w:cstheme="minorHAnsi"/>
                <w:sz w:val="24"/>
                <w:szCs w:val="22"/>
                <w:lang w:val="en-GB"/>
              </w:rPr>
              <w:t>referral pathways among clinicians.</w:t>
            </w:r>
            <w:r w:rsidRPr="00F37D51">
              <w:rPr>
                <w:rFonts w:asciiTheme="minorHAnsi" w:hAnsiTheme="minorHAnsi" w:cstheme="minorHAnsi"/>
                <w:sz w:val="24"/>
                <w:szCs w:val="22"/>
                <w:lang w:val="en-GB"/>
              </w:rPr>
              <w:t xml:space="preserve"> </w:t>
            </w:r>
          </w:p>
        </w:tc>
      </w:tr>
    </w:tbl>
    <w:p w14:paraId="60382A31" w14:textId="77777777" w:rsidR="00C30067" w:rsidRDefault="00C30067" w:rsidP="00C30067">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600" w:name="_Ref527624420"/>
      <w:r w:rsidRPr="00266A77">
        <w:rPr>
          <w:rFonts w:asciiTheme="minorHAnsi" w:hAnsiTheme="minorHAnsi" w:cstheme="minorHAnsi"/>
          <w:b w:val="0"/>
          <w:color w:val="7F7F7F" w:themeColor="text1" w:themeTint="80"/>
          <w:sz w:val="30"/>
          <w:szCs w:val="30"/>
        </w:rPr>
        <w:t xml:space="preserve">The assessment process prior to transplantation </w:t>
      </w:r>
      <w:r>
        <w:rPr>
          <w:rFonts w:asciiTheme="minorHAnsi" w:hAnsiTheme="minorHAnsi" w:cstheme="minorHAnsi"/>
          <w:b w:val="0"/>
          <w:color w:val="7F7F7F" w:themeColor="text1" w:themeTint="80"/>
          <w:sz w:val="30"/>
          <w:szCs w:val="30"/>
        </w:rPr>
        <w:t>(non-renal organs)</w:t>
      </w:r>
      <w:bookmarkEnd w:id="600"/>
    </w:p>
    <w:p w14:paraId="65B7932F" w14:textId="77777777" w:rsidR="00C30067" w:rsidRPr="00266A77" w:rsidRDefault="00C30067" w:rsidP="00C30067">
      <w:pPr>
        <w:tabs>
          <w:tab w:val="num" w:pos="720"/>
        </w:tabs>
        <w:spacing w:after="120"/>
        <w:rPr>
          <w:rFonts w:asciiTheme="minorHAnsi" w:hAnsiTheme="minorHAnsi" w:cstheme="minorHAnsi"/>
          <w:i/>
          <w:color w:val="808080" w:themeColor="background1" w:themeShade="80"/>
          <w:sz w:val="28"/>
          <w:szCs w:val="22"/>
        </w:rPr>
      </w:pPr>
      <w:r w:rsidRPr="00266A77">
        <w:rPr>
          <w:rFonts w:asciiTheme="minorHAnsi" w:hAnsiTheme="minorHAnsi" w:cstheme="minorHAnsi"/>
          <w:i/>
          <w:color w:val="808080" w:themeColor="background1" w:themeShade="80"/>
          <w:sz w:val="28"/>
          <w:szCs w:val="22"/>
        </w:rPr>
        <w:t>Discussion of findings</w:t>
      </w:r>
    </w:p>
    <w:p w14:paraId="4E9655CE" w14:textId="77777777" w:rsidR="00C30067" w:rsidRPr="00266A77" w:rsidRDefault="00C30067" w:rsidP="00C30067">
      <w:pPr>
        <w:tabs>
          <w:tab w:val="num" w:pos="720"/>
        </w:tabs>
        <w:spacing w:after="120"/>
        <w:rPr>
          <w:rFonts w:asciiTheme="minorHAnsi" w:hAnsiTheme="minorHAnsi" w:cstheme="minorHAnsi"/>
          <w:color w:val="7F7F7F" w:themeColor="text1" w:themeTint="80"/>
          <w:sz w:val="24"/>
          <w:szCs w:val="22"/>
          <w:lang w:val="en-GB"/>
        </w:rPr>
      </w:pPr>
      <w:r w:rsidRPr="00266A77">
        <w:rPr>
          <w:rFonts w:asciiTheme="minorHAnsi" w:hAnsiTheme="minorHAnsi" w:cstheme="minorHAnsi"/>
          <w:color w:val="7F7F7F" w:themeColor="text1" w:themeTint="80"/>
          <w:sz w:val="24"/>
          <w:szCs w:val="22"/>
          <w:lang w:val="en-GB"/>
        </w:rPr>
        <w:t>Transplant assessment</w:t>
      </w:r>
    </w:p>
    <w:p w14:paraId="7866909B" w14:textId="77777777" w:rsidR="005A7551" w:rsidRDefault="00C30067" w:rsidP="005A7551">
      <w:pPr>
        <w:tabs>
          <w:tab w:val="num" w:pos="720"/>
        </w:tabs>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As outlined </w:t>
      </w:r>
      <w:r w:rsidRPr="002A27FE">
        <w:rPr>
          <w:rFonts w:asciiTheme="minorHAnsi" w:hAnsiTheme="minorHAnsi" w:cstheme="minorHAnsi"/>
          <w:sz w:val="24"/>
          <w:szCs w:val="22"/>
          <w:lang w:val="en-GB"/>
        </w:rPr>
        <w:t>in Section</w:t>
      </w:r>
      <w:r w:rsidR="005A7551">
        <w:rPr>
          <w:rFonts w:asciiTheme="minorHAnsi" w:hAnsiTheme="minorHAnsi" w:cstheme="minorHAnsi"/>
          <w:sz w:val="24"/>
          <w:szCs w:val="22"/>
          <w:lang w:val="en-GB"/>
        </w:rPr>
        <w:t xml:space="preserve"> </w:t>
      </w:r>
      <w:r w:rsidR="005A7551">
        <w:rPr>
          <w:rFonts w:asciiTheme="minorHAnsi" w:hAnsiTheme="minorHAnsi" w:cstheme="minorHAnsi"/>
          <w:sz w:val="24"/>
          <w:szCs w:val="22"/>
          <w:lang w:val="en-GB"/>
        </w:rPr>
        <w:fldChar w:fldCharType="begin"/>
      </w:r>
      <w:r w:rsidR="005A7551">
        <w:rPr>
          <w:rFonts w:asciiTheme="minorHAnsi" w:hAnsiTheme="minorHAnsi" w:cstheme="minorHAnsi"/>
          <w:sz w:val="24"/>
          <w:szCs w:val="22"/>
          <w:lang w:val="en-GB"/>
        </w:rPr>
        <w:instrText xml:space="preserve"> REF _Ref531269714 \r \h </w:instrText>
      </w:r>
      <w:r w:rsidR="005A7551">
        <w:rPr>
          <w:rFonts w:asciiTheme="minorHAnsi" w:hAnsiTheme="minorHAnsi" w:cstheme="minorHAnsi"/>
          <w:sz w:val="24"/>
          <w:szCs w:val="22"/>
          <w:lang w:val="en-GB"/>
        </w:rPr>
      </w:r>
      <w:r w:rsidR="005A7551">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4.3.1</w:t>
      </w:r>
      <w:r w:rsidR="005A7551">
        <w:rPr>
          <w:rFonts w:asciiTheme="minorHAnsi" w:hAnsiTheme="minorHAnsi" w:cstheme="minorHAnsi"/>
          <w:sz w:val="24"/>
          <w:szCs w:val="22"/>
          <w:lang w:val="en-GB"/>
        </w:rPr>
        <w:fldChar w:fldCharType="end"/>
      </w:r>
      <w:r w:rsidRPr="002A27FE">
        <w:rPr>
          <w:rFonts w:asciiTheme="minorHAnsi" w:hAnsiTheme="minorHAnsi" w:cstheme="minorHAnsi"/>
          <w:sz w:val="24"/>
          <w:szCs w:val="22"/>
          <w:lang w:val="en-GB"/>
        </w:rPr>
        <w:t>, both</w:t>
      </w:r>
      <w:r>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 xml:space="preserve">Clinical and Ethical Guidelines are used when assessing </w:t>
      </w:r>
      <w:r>
        <w:rPr>
          <w:rFonts w:asciiTheme="minorHAnsi" w:hAnsiTheme="minorHAnsi" w:cstheme="minorHAnsi"/>
          <w:sz w:val="24"/>
          <w:szCs w:val="22"/>
          <w:lang w:val="en-GB"/>
        </w:rPr>
        <w:t xml:space="preserve">the eligibility of </w:t>
      </w:r>
      <w:r w:rsidRPr="00F37D51">
        <w:rPr>
          <w:rFonts w:asciiTheme="minorHAnsi" w:hAnsiTheme="minorHAnsi" w:cstheme="minorHAnsi"/>
          <w:sz w:val="24"/>
          <w:szCs w:val="22"/>
          <w:lang w:val="en-GB"/>
        </w:rPr>
        <w:t>potential recipients for</w:t>
      </w:r>
      <w:r>
        <w:rPr>
          <w:rFonts w:asciiTheme="minorHAnsi" w:hAnsiTheme="minorHAnsi" w:cstheme="minorHAnsi"/>
          <w:sz w:val="24"/>
          <w:szCs w:val="22"/>
          <w:lang w:val="en-GB"/>
        </w:rPr>
        <w:t xml:space="preserve"> wait listing and</w:t>
      </w:r>
      <w:r w:rsidRPr="00F37D51">
        <w:rPr>
          <w:rFonts w:asciiTheme="minorHAnsi" w:hAnsiTheme="minorHAnsi" w:cstheme="minorHAnsi"/>
          <w:sz w:val="24"/>
          <w:szCs w:val="22"/>
          <w:lang w:val="en-GB"/>
        </w:rPr>
        <w:t xml:space="preserve"> transplantation.</w:t>
      </w:r>
      <w:r w:rsidRPr="004938CA">
        <w:rPr>
          <w:rStyle w:val="FootnoteReference"/>
          <w:rFonts w:asciiTheme="minorHAnsi" w:hAnsiTheme="minorHAnsi" w:cstheme="minorHAnsi"/>
          <w:lang w:val="en-GB"/>
        </w:rPr>
        <w:footnoteReference w:id="80"/>
      </w:r>
      <w:r w:rsidRPr="00AE3B4F">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The Review found that</w:t>
      </w:r>
      <w:r>
        <w:rPr>
          <w:rFonts w:asciiTheme="minorHAnsi" w:hAnsiTheme="minorHAnsi" w:cstheme="minorHAnsi"/>
          <w:sz w:val="24"/>
          <w:szCs w:val="22"/>
          <w:lang w:val="en-GB"/>
        </w:rPr>
        <w:t xml:space="preserve"> adherence to the </w:t>
      </w:r>
      <w:r w:rsidR="00534642" w:rsidRPr="00F37D51">
        <w:rPr>
          <w:rFonts w:asciiTheme="minorHAnsi" w:hAnsiTheme="minorHAnsi" w:cstheme="minorHAnsi"/>
          <w:sz w:val="24"/>
          <w:szCs w:val="22"/>
          <w:lang w:val="en-GB"/>
        </w:rPr>
        <w:t>Cli</w:t>
      </w:r>
      <w:r w:rsidR="00534642">
        <w:rPr>
          <w:rFonts w:asciiTheme="minorHAnsi" w:hAnsiTheme="minorHAnsi" w:cstheme="minorHAnsi"/>
          <w:sz w:val="24"/>
          <w:szCs w:val="22"/>
          <w:lang w:val="en-GB"/>
        </w:rPr>
        <w:t>nical and Ethical Guidelines</w:t>
      </w:r>
      <w:r>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 xml:space="preserve">for assessment </w:t>
      </w:r>
      <w:r>
        <w:rPr>
          <w:rFonts w:asciiTheme="minorHAnsi" w:hAnsiTheme="minorHAnsi" w:cstheme="minorHAnsi"/>
          <w:sz w:val="24"/>
          <w:szCs w:val="22"/>
          <w:lang w:val="en-GB"/>
        </w:rPr>
        <w:t xml:space="preserve">of potential heart, lung and liver transplant recipients was generally consistent </w:t>
      </w:r>
      <w:r w:rsidRPr="00F37D51">
        <w:rPr>
          <w:rFonts w:asciiTheme="minorHAnsi" w:hAnsiTheme="minorHAnsi" w:cstheme="minorHAnsi"/>
          <w:sz w:val="24"/>
          <w:szCs w:val="22"/>
          <w:lang w:val="en-GB"/>
        </w:rPr>
        <w:t xml:space="preserve">across </w:t>
      </w:r>
      <w:r w:rsidR="00647282">
        <w:rPr>
          <w:rFonts w:asciiTheme="minorHAnsi" w:hAnsiTheme="minorHAnsi" w:cstheme="minorHAnsi"/>
          <w:sz w:val="24"/>
          <w:szCs w:val="22"/>
          <w:lang w:val="en-GB"/>
        </w:rPr>
        <w:t>transplantation programs</w:t>
      </w:r>
      <w:r>
        <w:rPr>
          <w:rFonts w:asciiTheme="minorHAnsi" w:hAnsiTheme="minorHAnsi" w:cstheme="minorHAnsi"/>
          <w:sz w:val="24"/>
          <w:szCs w:val="22"/>
          <w:lang w:val="en-GB"/>
        </w:rPr>
        <w:t xml:space="preserve"> and clinicians working within those programs</w:t>
      </w:r>
      <w:r w:rsidRPr="00F37D51">
        <w:rPr>
          <w:rFonts w:asciiTheme="minorHAnsi" w:hAnsiTheme="minorHAnsi" w:cstheme="minorHAnsi"/>
          <w:sz w:val="24"/>
          <w:szCs w:val="22"/>
          <w:lang w:val="en-GB"/>
        </w:rPr>
        <w:t xml:space="preserve">. </w:t>
      </w:r>
    </w:p>
    <w:p w14:paraId="0EC55B51" w14:textId="3A56285E" w:rsidR="005A7551" w:rsidRDefault="005A7551" w:rsidP="00C30067">
      <w:pPr>
        <w:tabs>
          <w:tab w:val="num" w:pos="720"/>
        </w:tabs>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The Review found that transplant</w:t>
      </w:r>
      <w:r>
        <w:rPr>
          <w:rFonts w:asciiTheme="minorHAnsi" w:hAnsiTheme="minorHAnsi" w:cstheme="minorHAnsi"/>
          <w:sz w:val="24"/>
          <w:szCs w:val="22"/>
          <w:lang w:val="en-GB"/>
        </w:rPr>
        <w:t xml:space="preserve">ation </w:t>
      </w:r>
      <w:r w:rsidRPr="00F37D51">
        <w:rPr>
          <w:rFonts w:asciiTheme="minorHAnsi" w:hAnsiTheme="minorHAnsi" w:cstheme="minorHAnsi"/>
          <w:sz w:val="24"/>
          <w:szCs w:val="22"/>
          <w:lang w:val="en-GB"/>
        </w:rPr>
        <w:t xml:space="preserve">clinicians </w:t>
      </w:r>
      <w:r>
        <w:rPr>
          <w:rFonts w:asciiTheme="minorHAnsi" w:hAnsiTheme="minorHAnsi" w:cstheme="minorHAnsi"/>
          <w:sz w:val="24"/>
          <w:szCs w:val="22"/>
          <w:lang w:val="en-GB"/>
        </w:rPr>
        <w:t>generally</w:t>
      </w:r>
      <w:r w:rsidRPr="00F37D51">
        <w:rPr>
          <w:rFonts w:asciiTheme="minorHAnsi" w:hAnsiTheme="minorHAnsi" w:cstheme="minorHAnsi"/>
          <w:sz w:val="24"/>
          <w:szCs w:val="22"/>
          <w:lang w:val="en-GB"/>
        </w:rPr>
        <w:t xml:space="preserve"> accommodate</w:t>
      </w:r>
      <w:r>
        <w:rPr>
          <w:rFonts w:asciiTheme="minorHAnsi" w:hAnsiTheme="minorHAnsi" w:cstheme="minorHAnsi"/>
          <w:sz w:val="24"/>
          <w:szCs w:val="22"/>
          <w:lang w:val="en-GB"/>
        </w:rPr>
        <w:t xml:space="preserve"> patient needs by</w:t>
      </w:r>
      <w:r w:rsidRPr="00F37D51">
        <w:rPr>
          <w:rFonts w:asciiTheme="minorHAnsi" w:hAnsiTheme="minorHAnsi" w:cstheme="minorHAnsi"/>
          <w:sz w:val="24"/>
          <w:szCs w:val="22"/>
          <w:lang w:val="en-GB"/>
        </w:rPr>
        <w:t xml:space="preserve"> </w:t>
      </w:r>
      <w:r>
        <w:rPr>
          <w:rFonts w:asciiTheme="minorHAnsi" w:hAnsiTheme="minorHAnsi" w:cstheme="minorHAnsi"/>
          <w:sz w:val="24"/>
          <w:szCs w:val="22"/>
          <w:lang w:val="en-GB"/>
        </w:rPr>
        <w:t xml:space="preserve">conducting transplant </w:t>
      </w:r>
      <w:r w:rsidRPr="00F37D51">
        <w:rPr>
          <w:rFonts w:asciiTheme="minorHAnsi" w:hAnsiTheme="minorHAnsi" w:cstheme="minorHAnsi"/>
          <w:sz w:val="24"/>
          <w:szCs w:val="22"/>
          <w:lang w:val="en-GB"/>
        </w:rPr>
        <w:t>assessment in the</w:t>
      </w:r>
      <w:r>
        <w:rPr>
          <w:rFonts w:asciiTheme="minorHAnsi" w:hAnsiTheme="minorHAnsi" w:cstheme="minorHAnsi"/>
          <w:sz w:val="24"/>
          <w:szCs w:val="22"/>
          <w:lang w:val="en-GB"/>
        </w:rPr>
        <w:t xml:space="preserve"> patient’s</w:t>
      </w:r>
      <w:r w:rsidRPr="00F37D51">
        <w:rPr>
          <w:rFonts w:asciiTheme="minorHAnsi" w:hAnsiTheme="minorHAnsi" w:cstheme="minorHAnsi"/>
          <w:sz w:val="24"/>
          <w:szCs w:val="22"/>
          <w:lang w:val="en-GB"/>
        </w:rPr>
        <w:t xml:space="preserve"> local area </w:t>
      </w:r>
      <w:r>
        <w:rPr>
          <w:rFonts w:asciiTheme="minorHAnsi" w:hAnsiTheme="minorHAnsi" w:cstheme="minorHAnsi"/>
          <w:sz w:val="24"/>
          <w:szCs w:val="22"/>
          <w:lang w:val="en-GB"/>
        </w:rPr>
        <w:t xml:space="preserve">where </w:t>
      </w:r>
      <w:r w:rsidRPr="00F37D51">
        <w:rPr>
          <w:rFonts w:asciiTheme="minorHAnsi" w:hAnsiTheme="minorHAnsi" w:cstheme="minorHAnsi"/>
          <w:sz w:val="24"/>
          <w:szCs w:val="22"/>
          <w:lang w:val="en-GB"/>
        </w:rPr>
        <w:t>possible</w:t>
      </w:r>
      <w:r>
        <w:rPr>
          <w:rFonts w:asciiTheme="minorHAnsi" w:hAnsiTheme="minorHAnsi" w:cstheme="minorHAnsi"/>
          <w:sz w:val="24"/>
          <w:szCs w:val="22"/>
          <w:lang w:val="en-GB"/>
        </w:rPr>
        <w:t>. However</w:t>
      </w:r>
      <w:r w:rsidRPr="00F37D51">
        <w:rPr>
          <w:rFonts w:asciiTheme="minorHAnsi" w:hAnsiTheme="minorHAnsi" w:cstheme="minorHAnsi"/>
          <w:sz w:val="24"/>
          <w:szCs w:val="22"/>
          <w:lang w:val="en-GB"/>
        </w:rPr>
        <w:t>, most recipients ha</w:t>
      </w:r>
      <w:r>
        <w:rPr>
          <w:rFonts w:asciiTheme="minorHAnsi" w:hAnsiTheme="minorHAnsi" w:cstheme="minorHAnsi"/>
          <w:sz w:val="24"/>
          <w:szCs w:val="22"/>
          <w:lang w:val="en-GB"/>
        </w:rPr>
        <w:t>ve</w:t>
      </w:r>
      <w:r w:rsidRPr="00F37D51">
        <w:rPr>
          <w:rFonts w:asciiTheme="minorHAnsi" w:hAnsiTheme="minorHAnsi" w:cstheme="minorHAnsi"/>
          <w:sz w:val="24"/>
          <w:szCs w:val="22"/>
          <w:lang w:val="en-GB"/>
        </w:rPr>
        <w:t xml:space="preserve"> to attend </w:t>
      </w:r>
      <w:r>
        <w:rPr>
          <w:rFonts w:asciiTheme="minorHAnsi" w:hAnsiTheme="minorHAnsi" w:cstheme="minorHAnsi"/>
          <w:sz w:val="24"/>
          <w:szCs w:val="22"/>
          <w:lang w:val="en-GB"/>
        </w:rPr>
        <w:t>a</w:t>
      </w:r>
      <w:r w:rsidRPr="00F37D51">
        <w:rPr>
          <w:rFonts w:asciiTheme="minorHAnsi" w:hAnsiTheme="minorHAnsi" w:cstheme="minorHAnsi"/>
          <w:sz w:val="24"/>
          <w:szCs w:val="22"/>
          <w:lang w:val="en-GB"/>
        </w:rPr>
        <w:t xml:space="preserve"> transplant clinic to finalise assessment processes. </w:t>
      </w:r>
      <w:r>
        <w:rPr>
          <w:rFonts w:asciiTheme="minorHAnsi" w:hAnsiTheme="minorHAnsi" w:cstheme="minorHAnsi"/>
          <w:sz w:val="24"/>
          <w:szCs w:val="22"/>
          <w:lang w:val="en-GB"/>
        </w:rPr>
        <w:t>Transplant r</w:t>
      </w:r>
      <w:r w:rsidRPr="00F37D51">
        <w:rPr>
          <w:rFonts w:asciiTheme="minorHAnsi" w:hAnsiTheme="minorHAnsi" w:cstheme="minorHAnsi"/>
          <w:sz w:val="24"/>
          <w:szCs w:val="22"/>
          <w:lang w:val="en-GB"/>
        </w:rPr>
        <w:t>ecipients reported that this was sometimes problematic, particularly for those from rural and remote regions</w:t>
      </w:r>
      <w:r>
        <w:rPr>
          <w:rFonts w:asciiTheme="minorHAnsi" w:hAnsiTheme="minorHAnsi" w:cstheme="minorHAnsi"/>
          <w:sz w:val="24"/>
          <w:szCs w:val="22"/>
          <w:lang w:val="en-GB"/>
        </w:rPr>
        <w:t>. This was compounded if those from rural and remote regions were also from</w:t>
      </w:r>
      <w:r w:rsidRPr="00F37D51">
        <w:rPr>
          <w:rFonts w:asciiTheme="minorHAnsi" w:hAnsiTheme="minorHAnsi" w:cstheme="minorHAnsi"/>
          <w:sz w:val="24"/>
          <w:szCs w:val="22"/>
          <w:lang w:val="en-GB"/>
        </w:rPr>
        <w:t xml:space="preserve"> lower socio-economic groups</w:t>
      </w:r>
      <w:r>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 xml:space="preserve">Aboriginal and Torres Strait Islander people and </w:t>
      </w:r>
      <w:r w:rsidRPr="00DC324B">
        <w:rPr>
          <w:rFonts w:asciiTheme="minorHAnsi" w:hAnsiTheme="minorHAnsi" w:cstheme="minorHAnsi"/>
          <w:sz w:val="24"/>
          <w:szCs w:val="22"/>
          <w:lang w:val="en-GB"/>
        </w:rPr>
        <w:t xml:space="preserve">children. </w:t>
      </w:r>
      <w:r>
        <w:rPr>
          <w:rFonts w:asciiTheme="minorHAnsi" w:hAnsiTheme="minorHAnsi" w:cstheme="minorHAnsi"/>
          <w:sz w:val="24"/>
          <w:szCs w:val="22"/>
          <w:lang w:val="en-GB"/>
        </w:rPr>
        <w:t>Assessment at the transplantation clinic for those not located within the transplantation unit region sometimes</w:t>
      </w:r>
      <w:r w:rsidRPr="00F37D51">
        <w:rPr>
          <w:rFonts w:asciiTheme="minorHAnsi" w:hAnsiTheme="minorHAnsi" w:cstheme="minorHAnsi"/>
          <w:sz w:val="24"/>
          <w:szCs w:val="22"/>
          <w:lang w:val="en-GB"/>
        </w:rPr>
        <w:t xml:space="preserve"> require</w:t>
      </w:r>
      <w:r>
        <w:rPr>
          <w:rFonts w:asciiTheme="minorHAnsi" w:hAnsiTheme="minorHAnsi" w:cstheme="minorHAnsi"/>
          <w:sz w:val="24"/>
          <w:szCs w:val="22"/>
          <w:lang w:val="en-GB"/>
        </w:rPr>
        <w:t>d</w:t>
      </w:r>
      <w:r w:rsidRPr="00F37D51">
        <w:rPr>
          <w:rFonts w:asciiTheme="minorHAnsi" w:hAnsiTheme="minorHAnsi" w:cstheme="minorHAnsi"/>
          <w:sz w:val="24"/>
          <w:szCs w:val="22"/>
          <w:lang w:val="en-GB"/>
        </w:rPr>
        <w:t xml:space="preserve"> relocation of the </w:t>
      </w:r>
      <w:r>
        <w:rPr>
          <w:rFonts w:asciiTheme="minorHAnsi" w:hAnsiTheme="minorHAnsi" w:cstheme="minorHAnsi"/>
          <w:sz w:val="24"/>
          <w:szCs w:val="22"/>
          <w:lang w:val="en-GB"/>
        </w:rPr>
        <w:t xml:space="preserve">potential </w:t>
      </w:r>
      <w:r w:rsidRPr="00F37D51">
        <w:rPr>
          <w:rFonts w:asciiTheme="minorHAnsi" w:hAnsiTheme="minorHAnsi" w:cstheme="minorHAnsi"/>
          <w:sz w:val="24"/>
          <w:szCs w:val="22"/>
          <w:lang w:val="en-GB"/>
        </w:rPr>
        <w:t>recipient</w:t>
      </w:r>
      <w:r>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 xml:space="preserve">and </w:t>
      </w:r>
      <w:r>
        <w:rPr>
          <w:rFonts w:asciiTheme="minorHAnsi" w:hAnsiTheme="minorHAnsi" w:cstheme="minorHAnsi"/>
          <w:sz w:val="24"/>
          <w:szCs w:val="22"/>
          <w:lang w:val="en-GB"/>
        </w:rPr>
        <w:t xml:space="preserve">at times </w:t>
      </w:r>
      <w:r w:rsidRPr="00F37D51">
        <w:rPr>
          <w:rFonts w:asciiTheme="minorHAnsi" w:hAnsiTheme="minorHAnsi" w:cstheme="minorHAnsi"/>
          <w:sz w:val="24"/>
          <w:szCs w:val="22"/>
          <w:lang w:val="en-GB"/>
        </w:rPr>
        <w:t>their family</w:t>
      </w:r>
      <w:r>
        <w:rPr>
          <w:rFonts w:asciiTheme="minorHAnsi" w:hAnsiTheme="minorHAnsi" w:cstheme="minorHAnsi"/>
          <w:sz w:val="24"/>
          <w:szCs w:val="22"/>
          <w:lang w:val="en-GB"/>
        </w:rPr>
        <w:t>,</w:t>
      </w:r>
      <w:r w:rsidRPr="00F37D51">
        <w:rPr>
          <w:rFonts w:asciiTheme="minorHAnsi" w:hAnsiTheme="minorHAnsi" w:cstheme="minorHAnsi"/>
          <w:sz w:val="24"/>
          <w:szCs w:val="22"/>
          <w:lang w:val="en-GB"/>
        </w:rPr>
        <w:t xml:space="preserve"> for an extended period</w:t>
      </w:r>
      <w:r>
        <w:rPr>
          <w:rFonts w:asciiTheme="minorHAnsi" w:hAnsiTheme="minorHAnsi" w:cstheme="minorHAnsi"/>
          <w:sz w:val="24"/>
          <w:szCs w:val="22"/>
          <w:lang w:val="en-GB"/>
        </w:rPr>
        <w:t>, as well as additional costs</w:t>
      </w:r>
      <w:r w:rsidRPr="00F37D51">
        <w:rPr>
          <w:rFonts w:asciiTheme="minorHAnsi" w:hAnsiTheme="minorHAnsi" w:cstheme="minorHAnsi"/>
          <w:sz w:val="24"/>
          <w:szCs w:val="22"/>
          <w:lang w:val="en-GB"/>
        </w:rPr>
        <w:t>.</w:t>
      </w:r>
      <w:r>
        <w:rPr>
          <w:rFonts w:asciiTheme="minorHAnsi" w:hAnsiTheme="minorHAnsi" w:cstheme="minorHAnsi"/>
          <w:sz w:val="24"/>
          <w:szCs w:val="22"/>
          <w:lang w:val="en-GB"/>
        </w:rPr>
        <w:t xml:space="preserve"> This was seen as a barrier to receiving appropriate assessment and access to transplantation. </w:t>
      </w:r>
    </w:p>
    <w:p w14:paraId="1CD11D8D" w14:textId="55650B3F" w:rsidR="00C30067" w:rsidRDefault="00C30067"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The benefits of outreach clinics for liver transplant</w:t>
      </w:r>
      <w:r w:rsidR="003C48D9">
        <w:rPr>
          <w:rFonts w:asciiTheme="minorHAnsi" w:hAnsiTheme="minorHAnsi" w:cstheme="minorHAnsi"/>
          <w:sz w:val="24"/>
          <w:szCs w:val="22"/>
          <w:lang w:val="en-GB"/>
        </w:rPr>
        <w:t>ation</w:t>
      </w:r>
      <w:r>
        <w:rPr>
          <w:rFonts w:asciiTheme="minorHAnsi" w:hAnsiTheme="minorHAnsi" w:cstheme="minorHAnsi"/>
          <w:sz w:val="24"/>
          <w:szCs w:val="22"/>
          <w:lang w:val="en-GB"/>
        </w:rPr>
        <w:t xml:space="preserve"> have been explored by Hulley, et al and were found to increase access to specialists for review and access to the waiting list, improved satisfaction of both clinician and patients and assisted in improving inequities in transplantation.</w:t>
      </w:r>
      <w:r w:rsidRPr="004938CA">
        <w:rPr>
          <w:rStyle w:val="FootnoteReference"/>
          <w:rFonts w:asciiTheme="minorHAnsi" w:hAnsiTheme="minorHAnsi" w:cstheme="minorHAnsi"/>
          <w:lang w:val="en-GB"/>
        </w:rPr>
        <w:footnoteReference w:id="81"/>
      </w:r>
      <w:r>
        <w:rPr>
          <w:rFonts w:asciiTheme="minorHAnsi" w:hAnsiTheme="minorHAnsi" w:cstheme="minorHAnsi"/>
          <w:sz w:val="24"/>
          <w:szCs w:val="22"/>
          <w:lang w:val="en-GB"/>
        </w:rPr>
        <w:t xml:space="preserve"> </w:t>
      </w:r>
      <w:r w:rsidR="009E2BB0" w:rsidRPr="003538DF">
        <w:rPr>
          <w:rFonts w:asciiTheme="minorHAnsi" w:hAnsiTheme="minorHAnsi" w:cstheme="minorHAnsi"/>
          <w:sz w:val="24"/>
          <w:szCs w:val="22"/>
          <w:lang w:val="en-GB"/>
        </w:rPr>
        <w:t xml:space="preserve">The Review found that access to outreach clinics were variable across Australia resulting in inequity of access for Australian living in some particular rural and remote locations. The </w:t>
      </w:r>
      <w:r w:rsidR="003538DF">
        <w:rPr>
          <w:rFonts w:asciiTheme="minorHAnsi" w:hAnsiTheme="minorHAnsi" w:cstheme="minorHAnsi"/>
          <w:sz w:val="24"/>
          <w:szCs w:val="22"/>
          <w:lang w:val="en-GB"/>
        </w:rPr>
        <w:t>R</w:t>
      </w:r>
      <w:r w:rsidR="009E2BB0" w:rsidRPr="003538DF">
        <w:rPr>
          <w:rFonts w:asciiTheme="minorHAnsi" w:hAnsiTheme="minorHAnsi" w:cstheme="minorHAnsi"/>
          <w:sz w:val="24"/>
          <w:szCs w:val="22"/>
          <w:lang w:val="en-GB"/>
        </w:rPr>
        <w:t xml:space="preserve">eview found that </w:t>
      </w:r>
      <w:r w:rsidR="003538DF">
        <w:rPr>
          <w:rFonts w:asciiTheme="minorHAnsi" w:hAnsiTheme="minorHAnsi" w:cstheme="minorHAnsi"/>
          <w:sz w:val="24"/>
          <w:szCs w:val="22"/>
          <w:lang w:val="en-GB"/>
        </w:rPr>
        <w:t xml:space="preserve">it may be useful for states and territories to </w:t>
      </w:r>
      <w:r w:rsidR="009E2BB0" w:rsidRPr="003538DF">
        <w:rPr>
          <w:rFonts w:asciiTheme="minorHAnsi" w:hAnsiTheme="minorHAnsi" w:cstheme="minorHAnsi"/>
          <w:sz w:val="24"/>
          <w:szCs w:val="22"/>
          <w:lang w:val="en-GB"/>
        </w:rPr>
        <w:t>explor</w:t>
      </w:r>
      <w:r w:rsidR="003538DF">
        <w:rPr>
          <w:rFonts w:asciiTheme="minorHAnsi" w:hAnsiTheme="minorHAnsi" w:cstheme="minorHAnsi"/>
          <w:sz w:val="24"/>
          <w:szCs w:val="22"/>
          <w:lang w:val="en-GB"/>
        </w:rPr>
        <w:t>e</w:t>
      </w:r>
      <w:r w:rsidR="009E2BB0" w:rsidRPr="003538DF">
        <w:rPr>
          <w:rFonts w:asciiTheme="minorHAnsi" w:hAnsiTheme="minorHAnsi" w:cstheme="minorHAnsi"/>
          <w:sz w:val="24"/>
          <w:szCs w:val="22"/>
          <w:lang w:val="en-GB"/>
        </w:rPr>
        <w:t xml:space="preserve"> the findings from </w:t>
      </w:r>
      <w:r w:rsidRPr="003538DF">
        <w:rPr>
          <w:rFonts w:asciiTheme="minorHAnsi" w:hAnsiTheme="minorHAnsi" w:cstheme="minorHAnsi"/>
          <w:sz w:val="24"/>
          <w:szCs w:val="22"/>
          <w:lang w:val="en-GB"/>
        </w:rPr>
        <w:t>Hulley, et al</w:t>
      </w:r>
      <w:r w:rsidR="003C48D9" w:rsidRPr="003538DF">
        <w:rPr>
          <w:rFonts w:asciiTheme="minorHAnsi" w:hAnsiTheme="minorHAnsi" w:cstheme="minorHAnsi"/>
          <w:sz w:val="24"/>
          <w:szCs w:val="22"/>
          <w:lang w:val="en-GB"/>
        </w:rPr>
        <w:t>,</w:t>
      </w:r>
      <w:r w:rsidRPr="003538DF">
        <w:rPr>
          <w:rFonts w:asciiTheme="minorHAnsi" w:hAnsiTheme="minorHAnsi" w:cstheme="minorHAnsi"/>
          <w:sz w:val="24"/>
          <w:szCs w:val="22"/>
          <w:lang w:val="en-GB"/>
        </w:rPr>
        <w:t xml:space="preserve"> and </w:t>
      </w:r>
      <w:r w:rsidR="009E2BB0" w:rsidRPr="005A7551">
        <w:rPr>
          <w:rFonts w:asciiTheme="minorHAnsi" w:hAnsiTheme="minorHAnsi" w:cstheme="minorHAnsi"/>
          <w:sz w:val="24"/>
          <w:szCs w:val="22"/>
          <w:lang w:val="en-GB"/>
        </w:rPr>
        <w:t xml:space="preserve">consider </w:t>
      </w:r>
      <w:r w:rsidRPr="003538DF">
        <w:rPr>
          <w:rFonts w:asciiTheme="minorHAnsi" w:hAnsiTheme="minorHAnsi" w:cstheme="minorHAnsi"/>
          <w:sz w:val="24"/>
          <w:szCs w:val="22"/>
          <w:lang w:val="en-GB"/>
        </w:rPr>
        <w:t>the unique context of Australia’s rural and remote populations</w:t>
      </w:r>
      <w:r w:rsidR="009E2BB0" w:rsidRPr="005A7551">
        <w:rPr>
          <w:rFonts w:asciiTheme="minorHAnsi" w:hAnsiTheme="minorHAnsi" w:cstheme="minorHAnsi"/>
          <w:sz w:val="24"/>
          <w:szCs w:val="22"/>
          <w:lang w:val="en-GB"/>
        </w:rPr>
        <w:t xml:space="preserve"> </w:t>
      </w:r>
      <w:r w:rsidRPr="003538DF">
        <w:rPr>
          <w:rFonts w:asciiTheme="minorHAnsi" w:hAnsiTheme="minorHAnsi" w:cstheme="minorHAnsi"/>
          <w:sz w:val="24"/>
          <w:szCs w:val="22"/>
          <w:lang w:val="en-GB"/>
        </w:rPr>
        <w:t>in</w:t>
      </w:r>
      <w:r w:rsidR="009E2BB0" w:rsidRPr="005A7551">
        <w:rPr>
          <w:rFonts w:asciiTheme="minorHAnsi" w:hAnsiTheme="minorHAnsi" w:cstheme="minorHAnsi"/>
          <w:sz w:val="24"/>
          <w:szCs w:val="22"/>
          <w:lang w:val="en-GB"/>
        </w:rPr>
        <w:t xml:space="preserve"> designing approaches and </w:t>
      </w:r>
      <w:r w:rsidR="003538DF">
        <w:rPr>
          <w:rFonts w:asciiTheme="minorHAnsi" w:hAnsiTheme="minorHAnsi" w:cstheme="minorHAnsi"/>
          <w:sz w:val="24"/>
          <w:szCs w:val="22"/>
          <w:lang w:val="en-GB"/>
        </w:rPr>
        <w:t>allocating</w:t>
      </w:r>
      <w:r w:rsidR="009E2BB0" w:rsidRPr="005A7551">
        <w:rPr>
          <w:rFonts w:asciiTheme="minorHAnsi" w:hAnsiTheme="minorHAnsi" w:cstheme="minorHAnsi"/>
          <w:sz w:val="24"/>
          <w:szCs w:val="22"/>
          <w:lang w:val="en-GB"/>
        </w:rPr>
        <w:t xml:space="preserve"> resources to</w:t>
      </w:r>
      <w:r w:rsidRPr="003538DF">
        <w:rPr>
          <w:rFonts w:asciiTheme="minorHAnsi" w:hAnsiTheme="minorHAnsi" w:cstheme="minorHAnsi"/>
          <w:sz w:val="24"/>
          <w:szCs w:val="22"/>
          <w:lang w:val="en-GB"/>
        </w:rPr>
        <w:t xml:space="preserve"> </w:t>
      </w:r>
      <w:r w:rsidR="009E2BB0" w:rsidRPr="005A7551">
        <w:rPr>
          <w:rFonts w:asciiTheme="minorHAnsi" w:hAnsiTheme="minorHAnsi" w:cstheme="minorHAnsi"/>
          <w:sz w:val="24"/>
          <w:szCs w:val="22"/>
          <w:lang w:val="en-GB"/>
        </w:rPr>
        <w:t xml:space="preserve">improve inequities of access to non-renal assessment for </w:t>
      </w:r>
      <w:r w:rsidR="007E0248" w:rsidRPr="005A7551">
        <w:rPr>
          <w:rFonts w:asciiTheme="minorHAnsi" w:hAnsiTheme="minorHAnsi" w:cstheme="minorHAnsi"/>
          <w:sz w:val="24"/>
          <w:szCs w:val="22"/>
          <w:lang w:val="en-GB"/>
        </w:rPr>
        <w:t>transplantation waiting lists</w:t>
      </w:r>
      <w:r w:rsidRPr="003538DF">
        <w:rPr>
          <w:rFonts w:asciiTheme="minorHAnsi" w:hAnsiTheme="minorHAnsi" w:cstheme="minorHAnsi"/>
          <w:sz w:val="24"/>
          <w:szCs w:val="22"/>
          <w:lang w:val="en-GB"/>
        </w:rPr>
        <w:t>.</w:t>
      </w:r>
    </w:p>
    <w:p w14:paraId="747D5CAB" w14:textId="77777777" w:rsidR="00A84091" w:rsidRPr="00D930F7" w:rsidRDefault="00A84091" w:rsidP="00AE3ED1">
      <w:pPr>
        <w:shd w:val="clear" w:color="auto" w:fill="DCEFF4"/>
        <w:tabs>
          <w:tab w:val="num" w:pos="720"/>
        </w:tabs>
        <w:spacing w:after="120"/>
        <w:rPr>
          <w:rFonts w:asciiTheme="minorHAnsi" w:hAnsiTheme="minorHAnsi" w:cstheme="minorHAnsi"/>
          <w:b/>
          <w:sz w:val="22"/>
          <w:szCs w:val="22"/>
          <w:lang w:val="en-GB"/>
        </w:rPr>
      </w:pPr>
      <w:r w:rsidRPr="00D930F7">
        <w:rPr>
          <w:rFonts w:asciiTheme="minorHAnsi" w:hAnsiTheme="minorHAnsi" w:cstheme="minorHAnsi"/>
          <w:b/>
          <w:sz w:val="22"/>
          <w:szCs w:val="22"/>
          <w:lang w:val="en-GB"/>
        </w:rPr>
        <w:t xml:space="preserve">Assessment and eligibility criteria for heart liver and lung transplantation </w:t>
      </w:r>
    </w:p>
    <w:p w14:paraId="08590881" w14:textId="77777777" w:rsidR="00A84091" w:rsidRPr="00D930F7" w:rsidRDefault="00A84091" w:rsidP="00AE3ED1">
      <w:pPr>
        <w:shd w:val="clear" w:color="auto" w:fill="DCEFF4"/>
        <w:tabs>
          <w:tab w:val="num" w:pos="720"/>
        </w:tabs>
        <w:spacing w:after="120"/>
        <w:rPr>
          <w:rFonts w:asciiTheme="minorHAnsi" w:hAnsiTheme="minorHAnsi" w:cstheme="minorHAnsi"/>
          <w:sz w:val="22"/>
          <w:szCs w:val="22"/>
          <w:lang w:val="en-GB"/>
        </w:rPr>
      </w:pPr>
      <w:r w:rsidRPr="00D930F7">
        <w:rPr>
          <w:rFonts w:asciiTheme="minorHAnsi" w:hAnsiTheme="minorHAnsi" w:cstheme="minorHAnsi"/>
          <w:sz w:val="22"/>
          <w:szCs w:val="22"/>
          <w:lang w:val="en-GB"/>
        </w:rPr>
        <w:t xml:space="preserve">Heart </w:t>
      </w:r>
    </w:p>
    <w:p w14:paraId="5AA8046B" w14:textId="77777777" w:rsidR="00A84091" w:rsidRPr="00AE3ED1" w:rsidRDefault="00A84091" w:rsidP="00AE3ED1">
      <w:pPr>
        <w:shd w:val="clear" w:color="auto" w:fill="DCEFF4"/>
        <w:tabs>
          <w:tab w:val="num" w:pos="720"/>
        </w:tabs>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The essential indicator required for heart transplantation is the presence of end-stage heart disease where no alternative therapy is available. Examples of end-stage heart disease include but are not limited to, irreversible cardiogenic shock, intractable symptomatic heart failure, the need for permanent mechanical cardiac support, frequent discharges from an automated implantable cardioverter defibrillator or intractable angina despite optimal medical interventional and surgical treatment. All patients that are listed for heart transplantation have severely impaired quality of life, with an estimated survival of less than two years should transplantation not take place. Patients that suffer from conditions that may result in an unacceptably high mortality risk from heart transplantation or preclude active rehabilitation after transplantation may be excluded from transplantation. Examples of these include active malignancy, complicated diabetes, morbid obesity, active substance abuse and uncontrolled infections.</w:t>
      </w:r>
    </w:p>
    <w:p w14:paraId="7ABE689D" w14:textId="77777777" w:rsidR="00A84091" w:rsidRPr="00D930F7" w:rsidRDefault="00A84091" w:rsidP="00AE3ED1">
      <w:pPr>
        <w:shd w:val="clear" w:color="auto" w:fill="DCEFF4"/>
        <w:tabs>
          <w:tab w:val="num" w:pos="720"/>
        </w:tabs>
        <w:spacing w:after="120"/>
        <w:rPr>
          <w:rFonts w:asciiTheme="minorHAnsi" w:hAnsiTheme="minorHAnsi" w:cstheme="minorHAnsi"/>
          <w:sz w:val="22"/>
          <w:szCs w:val="22"/>
          <w:lang w:val="en-GB"/>
        </w:rPr>
      </w:pPr>
      <w:r w:rsidRPr="00D930F7">
        <w:rPr>
          <w:rFonts w:asciiTheme="minorHAnsi" w:hAnsiTheme="minorHAnsi" w:cstheme="minorHAnsi"/>
          <w:sz w:val="22"/>
          <w:szCs w:val="22"/>
          <w:lang w:val="en-GB"/>
        </w:rPr>
        <w:t xml:space="preserve">Liver </w:t>
      </w:r>
    </w:p>
    <w:p w14:paraId="75C056E1" w14:textId="77777777" w:rsidR="00A84091" w:rsidRPr="00AE3ED1" w:rsidRDefault="00A84091" w:rsidP="00AE3ED1">
      <w:pPr>
        <w:shd w:val="clear" w:color="auto" w:fill="DCEFF4"/>
        <w:tabs>
          <w:tab w:val="num" w:pos="720"/>
        </w:tabs>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Patients that are eligible for liver transplantation must suffer from chronic liver disease with life-threatening complications. The principle indication is a Model for End-Stage Liver Disease score of greater than 15 in an adult, or a Paediatric End-Stage Liver Disease score of greater than 17 for children. Patients may also be suitable candidates if they have small hepatocellular carcinomata. Additional indications include liver disease that would result in a two-year mortality rate of greater than 50 per cent without liver transplantation. </w:t>
      </w:r>
    </w:p>
    <w:p w14:paraId="6ED1DBB7" w14:textId="77777777" w:rsidR="00A84091" w:rsidRPr="00D930F7" w:rsidRDefault="00A84091" w:rsidP="00AE3ED1">
      <w:pPr>
        <w:shd w:val="clear" w:color="auto" w:fill="DCEFF4"/>
        <w:tabs>
          <w:tab w:val="num" w:pos="720"/>
        </w:tabs>
        <w:spacing w:after="120"/>
        <w:rPr>
          <w:rFonts w:asciiTheme="minorHAnsi" w:hAnsiTheme="minorHAnsi" w:cstheme="minorHAnsi"/>
          <w:sz w:val="22"/>
          <w:szCs w:val="22"/>
          <w:lang w:val="en-GB"/>
        </w:rPr>
      </w:pPr>
      <w:r w:rsidRPr="00D930F7">
        <w:rPr>
          <w:rFonts w:asciiTheme="minorHAnsi" w:hAnsiTheme="minorHAnsi" w:cstheme="minorHAnsi"/>
          <w:sz w:val="22"/>
          <w:szCs w:val="22"/>
          <w:lang w:val="en-GB"/>
        </w:rPr>
        <w:t>Lung</w:t>
      </w:r>
    </w:p>
    <w:p w14:paraId="71956653" w14:textId="03E6DD91" w:rsidR="00A84091" w:rsidRPr="00AE3ED1" w:rsidRDefault="00A84091" w:rsidP="00AE3ED1">
      <w:pPr>
        <w:shd w:val="clear" w:color="auto" w:fill="DCEFF4"/>
        <w:tabs>
          <w:tab w:val="num" w:pos="720"/>
        </w:tabs>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Due to the scarcity of donor lungs, lung transplantations are offered only to patients who have a life expectancy of less than two years without transplantation where no alternative treatment is available. Patients must satisfy the inclusion criteria of respiratory failure despite optimal medical, interventional and surgical treatment; and/or poor quality of life, potentially with intractable symptoms and repeated hospital admissions. Similar to heart and liver, the presence of comorbidities such as active malignancy, irreversible significant dysfunction of other organs or body systems, substance abuse and non-curable chronic infection, may exclude patients from consideration.</w:t>
      </w:r>
    </w:p>
    <w:p w14:paraId="75C0BFDB" w14:textId="77777777" w:rsidR="00086190" w:rsidRDefault="00086190" w:rsidP="00C30067">
      <w:pPr>
        <w:spacing w:after="120"/>
        <w:rPr>
          <w:rFonts w:asciiTheme="minorHAnsi" w:hAnsiTheme="minorHAnsi" w:cstheme="minorHAnsi"/>
          <w:color w:val="7F7F7F" w:themeColor="text1" w:themeTint="80"/>
          <w:sz w:val="24"/>
          <w:szCs w:val="22"/>
          <w:lang w:val="en-GB"/>
        </w:rPr>
      </w:pPr>
      <w:r>
        <w:rPr>
          <w:rFonts w:asciiTheme="minorHAnsi" w:hAnsiTheme="minorHAnsi" w:cstheme="minorHAnsi"/>
          <w:color w:val="7F7F7F" w:themeColor="text1" w:themeTint="80"/>
          <w:sz w:val="24"/>
          <w:szCs w:val="22"/>
          <w:lang w:val="en-GB"/>
        </w:rPr>
        <w:br w:type="page"/>
      </w:r>
    </w:p>
    <w:p w14:paraId="1D675DDA" w14:textId="1E09B711" w:rsidR="00C30067" w:rsidRPr="00956320" w:rsidRDefault="00C30067" w:rsidP="00C30067">
      <w:pPr>
        <w:spacing w:after="120"/>
        <w:rPr>
          <w:rFonts w:asciiTheme="minorHAnsi" w:hAnsiTheme="minorHAnsi" w:cstheme="minorHAnsi"/>
          <w:color w:val="7F7F7F" w:themeColor="text1" w:themeTint="80"/>
          <w:sz w:val="24"/>
          <w:szCs w:val="22"/>
          <w:lang w:val="en-GB"/>
        </w:rPr>
      </w:pPr>
      <w:r w:rsidRPr="004938CA">
        <w:rPr>
          <w:rFonts w:asciiTheme="minorHAnsi" w:hAnsiTheme="minorHAnsi" w:cstheme="minorHAnsi"/>
          <w:color w:val="7F7F7F" w:themeColor="text1" w:themeTint="80"/>
          <w:sz w:val="24"/>
          <w:szCs w:val="22"/>
          <w:lang w:val="en-GB"/>
        </w:rPr>
        <w:t>Wait</w:t>
      </w:r>
      <w:r>
        <w:rPr>
          <w:rFonts w:asciiTheme="minorHAnsi" w:hAnsiTheme="minorHAnsi" w:cstheme="minorHAnsi"/>
          <w:color w:val="7F7F7F" w:themeColor="text1" w:themeTint="80"/>
          <w:sz w:val="24"/>
          <w:szCs w:val="22"/>
          <w:lang w:val="en-GB"/>
        </w:rPr>
        <w:t>ing</w:t>
      </w:r>
      <w:r w:rsidRPr="004938CA">
        <w:rPr>
          <w:rFonts w:asciiTheme="minorHAnsi" w:hAnsiTheme="minorHAnsi" w:cstheme="minorHAnsi"/>
          <w:color w:val="7F7F7F" w:themeColor="text1" w:themeTint="80"/>
          <w:sz w:val="24"/>
          <w:szCs w:val="22"/>
          <w:lang w:val="en-GB"/>
        </w:rPr>
        <w:t xml:space="preserve"> list management for non-renal organs</w:t>
      </w:r>
    </w:p>
    <w:p w14:paraId="21882D71" w14:textId="54FF93A7" w:rsidR="00C30067" w:rsidRDefault="00C30067"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Once a potential recipient is wait listed for non-renal organ transplantation, it was reported by clinicians that patients are managed consistently across jurisdictions, transplant</w:t>
      </w:r>
      <w:r w:rsidR="00AD2AB6">
        <w:rPr>
          <w:rFonts w:asciiTheme="minorHAnsi" w:hAnsiTheme="minorHAnsi" w:cstheme="minorHAnsi"/>
          <w:sz w:val="24"/>
          <w:szCs w:val="22"/>
          <w:lang w:val="en-GB"/>
        </w:rPr>
        <w:t>ation</w:t>
      </w:r>
      <w:r>
        <w:rPr>
          <w:rFonts w:asciiTheme="minorHAnsi" w:hAnsiTheme="minorHAnsi" w:cstheme="minorHAnsi"/>
          <w:sz w:val="24"/>
          <w:szCs w:val="22"/>
          <w:lang w:val="en-GB"/>
        </w:rPr>
        <w:t xml:space="preserve"> clinics and clinicians. Heart, lung and liver transplant surgeons reported that the waiting list access process works well, particularly when there is an urgent listing. The clinicians working within these </w:t>
      </w:r>
      <w:r w:rsidR="00647282">
        <w:rPr>
          <w:rFonts w:asciiTheme="minorHAnsi" w:hAnsiTheme="minorHAnsi" w:cstheme="minorHAnsi"/>
          <w:sz w:val="24"/>
          <w:szCs w:val="22"/>
          <w:lang w:val="en-GB"/>
        </w:rPr>
        <w:t>transplantation programs</w:t>
      </w:r>
      <w:r>
        <w:rPr>
          <w:rFonts w:asciiTheme="minorHAnsi" w:hAnsiTheme="minorHAnsi" w:cstheme="minorHAnsi"/>
          <w:sz w:val="24"/>
          <w:szCs w:val="22"/>
          <w:lang w:val="en-GB"/>
        </w:rPr>
        <w:t xml:space="preserve"> consistently reported that the process used for moving potential recipients up the waiting list, if their health deteriorates, was effectively used in a collaborative and respectful way between transplant</w:t>
      </w:r>
      <w:r w:rsidR="00AD2AB6">
        <w:rPr>
          <w:rFonts w:asciiTheme="minorHAnsi" w:hAnsiTheme="minorHAnsi" w:cstheme="minorHAnsi"/>
          <w:sz w:val="24"/>
          <w:szCs w:val="22"/>
          <w:lang w:val="en-GB"/>
        </w:rPr>
        <w:t>ation</w:t>
      </w:r>
      <w:r>
        <w:rPr>
          <w:rFonts w:asciiTheme="minorHAnsi" w:hAnsiTheme="minorHAnsi" w:cstheme="minorHAnsi"/>
          <w:sz w:val="24"/>
          <w:szCs w:val="22"/>
          <w:lang w:val="en-GB"/>
        </w:rPr>
        <w:t xml:space="preserve"> units.</w:t>
      </w:r>
    </w:p>
    <w:p w14:paraId="4F878880" w14:textId="77777777" w:rsidR="00C30067" w:rsidRDefault="00C30067" w:rsidP="00C30067">
      <w:pPr>
        <w:spacing w:after="120"/>
        <w:rPr>
          <w:rFonts w:asciiTheme="minorHAnsi" w:hAnsiTheme="minorHAnsi" w:cstheme="minorHAnsi"/>
          <w:sz w:val="24"/>
          <w:szCs w:val="22"/>
          <w:lang w:val="en-GB"/>
        </w:rPr>
      </w:pPr>
      <w:r>
        <w:rPr>
          <w:rFonts w:asciiTheme="minorHAnsi" w:hAnsiTheme="minorHAnsi" w:cstheme="minorHAnsi"/>
          <w:sz w:val="24"/>
          <w:szCs w:val="22"/>
          <w:lang w:val="en-GB"/>
        </w:rPr>
        <w:t>However, t</w:t>
      </w:r>
      <w:r w:rsidRPr="004938CA">
        <w:rPr>
          <w:rFonts w:asciiTheme="minorHAnsi" w:hAnsiTheme="minorHAnsi" w:cstheme="minorHAnsi"/>
          <w:sz w:val="24"/>
          <w:szCs w:val="22"/>
          <w:lang w:val="en-GB"/>
        </w:rPr>
        <w:t xml:space="preserve">he Review found that </w:t>
      </w:r>
      <w:r>
        <w:rPr>
          <w:rFonts w:asciiTheme="minorHAnsi" w:hAnsiTheme="minorHAnsi" w:cstheme="minorHAnsi"/>
          <w:sz w:val="24"/>
          <w:szCs w:val="22"/>
          <w:lang w:val="en-GB"/>
        </w:rPr>
        <w:t xml:space="preserve">it is difficult to form an accurate, real time, national view of the waiting lists for non-renal organs. </w:t>
      </w:r>
      <w:r w:rsidRPr="004938CA">
        <w:rPr>
          <w:rFonts w:asciiTheme="minorHAnsi" w:hAnsiTheme="minorHAnsi" w:cstheme="minorHAnsi"/>
          <w:sz w:val="24"/>
          <w:szCs w:val="22"/>
          <w:lang w:val="en-GB"/>
        </w:rPr>
        <w:t xml:space="preserve">Unlike renal organs, which </w:t>
      </w:r>
      <w:r>
        <w:rPr>
          <w:rFonts w:asciiTheme="minorHAnsi" w:hAnsiTheme="minorHAnsi" w:cstheme="minorHAnsi"/>
          <w:sz w:val="24"/>
          <w:szCs w:val="22"/>
          <w:lang w:val="en-GB"/>
        </w:rPr>
        <w:t>require an accurate national waiting list for the renal allocation algorithms, a national view of waiting list data for non-renal organs is less readily available</w:t>
      </w:r>
      <w:r w:rsidRPr="004938CA">
        <w:rPr>
          <w:rFonts w:asciiTheme="minorHAnsi" w:hAnsiTheme="minorHAnsi" w:cstheme="minorHAnsi"/>
          <w:sz w:val="24"/>
          <w:szCs w:val="22"/>
          <w:lang w:val="en-GB"/>
        </w:rPr>
        <w:t xml:space="preserve">. </w:t>
      </w:r>
      <w:r>
        <w:rPr>
          <w:rFonts w:asciiTheme="minorHAnsi" w:hAnsiTheme="minorHAnsi" w:cstheme="minorHAnsi"/>
          <w:sz w:val="24"/>
          <w:szCs w:val="22"/>
          <w:lang w:val="en-GB"/>
        </w:rPr>
        <w:t>The</w:t>
      </w:r>
      <w:r w:rsidR="00EB4BC3">
        <w:rPr>
          <w:rFonts w:asciiTheme="minorHAnsi" w:hAnsiTheme="minorHAnsi" w:cstheme="minorHAnsi"/>
          <w:sz w:val="24"/>
          <w:szCs w:val="22"/>
          <w:lang w:val="en-GB"/>
        </w:rPr>
        <w:t xml:space="preserve"> Review found that</w:t>
      </w:r>
      <w:r>
        <w:rPr>
          <w:rFonts w:asciiTheme="minorHAnsi" w:hAnsiTheme="minorHAnsi" w:cstheme="minorHAnsi"/>
          <w:sz w:val="24"/>
          <w:szCs w:val="22"/>
          <w:lang w:val="en-GB"/>
        </w:rPr>
        <w:t xml:space="preserve"> non-renal organ waiting lists are maintained by the state-based transplant</w:t>
      </w:r>
      <w:r w:rsidR="00F46C80">
        <w:rPr>
          <w:rFonts w:asciiTheme="minorHAnsi" w:hAnsiTheme="minorHAnsi" w:cstheme="minorHAnsi"/>
          <w:sz w:val="24"/>
          <w:szCs w:val="22"/>
          <w:lang w:val="en-GB"/>
        </w:rPr>
        <w:t>ation</w:t>
      </w:r>
      <w:r>
        <w:rPr>
          <w:rFonts w:asciiTheme="minorHAnsi" w:hAnsiTheme="minorHAnsi" w:cstheme="minorHAnsi"/>
          <w:sz w:val="24"/>
          <w:szCs w:val="22"/>
          <w:lang w:val="en-GB"/>
        </w:rPr>
        <w:t xml:space="preserve"> units and are not currently </w:t>
      </w:r>
      <w:r w:rsidR="00EB4BC3">
        <w:rPr>
          <w:rFonts w:asciiTheme="minorHAnsi" w:hAnsiTheme="minorHAnsi" w:cstheme="minorHAnsi"/>
          <w:sz w:val="24"/>
          <w:szCs w:val="22"/>
          <w:lang w:val="en-GB"/>
        </w:rPr>
        <w:t xml:space="preserve">readily </w:t>
      </w:r>
      <w:r>
        <w:rPr>
          <w:rFonts w:asciiTheme="minorHAnsi" w:hAnsiTheme="minorHAnsi" w:cstheme="minorHAnsi"/>
          <w:sz w:val="24"/>
          <w:szCs w:val="22"/>
          <w:lang w:val="en-GB"/>
        </w:rPr>
        <w:t>shared nationally.</w:t>
      </w:r>
    </w:p>
    <w:p w14:paraId="1D8C8194" w14:textId="6BD060E8" w:rsidR="00C30067" w:rsidRPr="004938CA" w:rsidRDefault="008D58C9" w:rsidP="00C30067">
      <w:pPr>
        <w:spacing w:after="120"/>
        <w:rPr>
          <w:rFonts w:asciiTheme="minorHAnsi" w:hAnsiTheme="minorHAnsi" w:cstheme="minorHAnsi"/>
          <w:sz w:val="24"/>
          <w:szCs w:val="22"/>
          <w:lang w:val="en-GB"/>
        </w:rPr>
      </w:pPr>
      <w:r>
        <w:rPr>
          <w:rFonts w:asciiTheme="minorHAnsi" w:hAnsiTheme="minorHAnsi" w:cstheme="minorHAnsi"/>
          <w:sz w:val="24"/>
          <w:szCs w:val="22"/>
          <w:lang w:val="en-GB"/>
        </w:rPr>
        <w:fldChar w:fldCharType="begin"/>
      </w:r>
      <w:r>
        <w:rPr>
          <w:rFonts w:asciiTheme="minorHAnsi" w:hAnsiTheme="minorHAnsi" w:cstheme="minorHAnsi"/>
          <w:sz w:val="24"/>
          <w:szCs w:val="22"/>
          <w:lang w:val="en-GB"/>
        </w:rPr>
        <w:instrText xml:space="preserve"> REF _Ref530474562 \h  \* MERGEFORMAT </w:instrText>
      </w:r>
      <w:r>
        <w:rPr>
          <w:rFonts w:asciiTheme="minorHAnsi" w:hAnsiTheme="minorHAnsi" w:cstheme="minorHAnsi"/>
          <w:sz w:val="24"/>
          <w:szCs w:val="22"/>
          <w:lang w:val="en-GB"/>
        </w:rPr>
      </w:r>
      <w:r>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Table 7</w:t>
      </w:r>
      <w:r>
        <w:rPr>
          <w:rFonts w:asciiTheme="minorHAnsi" w:hAnsiTheme="minorHAnsi" w:cstheme="minorHAnsi"/>
          <w:sz w:val="24"/>
          <w:szCs w:val="22"/>
          <w:lang w:val="en-GB"/>
        </w:rPr>
        <w:fldChar w:fldCharType="end"/>
      </w:r>
      <w:r>
        <w:rPr>
          <w:rFonts w:asciiTheme="minorHAnsi" w:hAnsiTheme="minorHAnsi" w:cstheme="minorHAnsi"/>
          <w:sz w:val="24"/>
          <w:szCs w:val="22"/>
          <w:lang w:val="en-GB"/>
        </w:rPr>
        <w:t xml:space="preserve"> </w:t>
      </w:r>
      <w:r w:rsidR="004B474A">
        <w:rPr>
          <w:rFonts w:asciiTheme="minorHAnsi" w:hAnsiTheme="minorHAnsi" w:cstheme="minorHAnsi"/>
          <w:sz w:val="24"/>
          <w:szCs w:val="22"/>
          <w:lang w:val="en-GB"/>
        </w:rPr>
        <w:t>illustrates</w:t>
      </w:r>
      <w:r w:rsidR="00C30067" w:rsidRPr="00B91EB3">
        <w:rPr>
          <w:rFonts w:asciiTheme="minorHAnsi" w:hAnsiTheme="minorHAnsi" w:cstheme="minorHAnsi"/>
          <w:sz w:val="24"/>
          <w:szCs w:val="22"/>
          <w:lang w:val="en-GB"/>
        </w:rPr>
        <w:t xml:space="preserve"> the number of active patients on the waiting lists for non-renal organs (October 2018) for each</w:t>
      </w:r>
      <w:r w:rsidR="00C30067" w:rsidRPr="004938CA">
        <w:rPr>
          <w:rFonts w:asciiTheme="minorHAnsi" w:hAnsiTheme="minorHAnsi" w:cstheme="minorHAnsi"/>
          <w:sz w:val="24"/>
          <w:szCs w:val="22"/>
          <w:lang w:val="en-GB"/>
        </w:rPr>
        <w:t xml:space="preserve"> state and territory</w:t>
      </w:r>
      <w:r w:rsidR="00C30067">
        <w:rPr>
          <w:rFonts w:asciiTheme="minorHAnsi" w:hAnsiTheme="minorHAnsi" w:cstheme="minorHAnsi"/>
          <w:sz w:val="24"/>
          <w:szCs w:val="22"/>
          <w:lang w:val="en-GB"/>
        </w:rPr>
        <w:t>.</w:t>
      </w:r>
      <w:r w:rsidR="00C30067" w:rsidRPr="004938CA">
        <w:rPr>
          <w:rFonts w:asciiTheme="minorHAnsi" w:hAnsiTheme="minorHAnsi" w:cstheme="minorHAnsi"/>
          <w:sz w:val="24"/>
          <w:szCs w:val="22"/>
          <w:lang w:val="en-GB"/>
        </w:rPr>
        <w:t xml:space="preserve"> </w:t>
      </w:r>
      <w:r w:rsidR="00C30067">
        <w:rPr>
          <w:rFonts w:asciiTheme="minorHAnsi" w:hAnsiTheme="minorHAnsi" w:cstheme="minorHAnsi"/>
          <w:sz w:val="24"/>
          <w:szCs w:val="22"/>
          <w:lang w:val="en-GB"/>
        </w:rPr>
        <w:t>Each state presented has a transplant</w:t>
      </w:r>
      <w:r w:rsidR="00F46C80">
        <w:rPr>
          <w:rFonts w:asciiTheme="minorHAnsi" w:hAnsiTheme="minorHAnsi" w:cstheme="minorHAnsi"/>
          <w:sz w:val="24"/>
          <w:szCs w:val="22"/>
          <w:lang w:val="en-GB"/>
        </w:rPr>
        <w:t>ation</w:t>
      </w:r>
      <w:r w:rsidR="00C30067">
        <w:rPr>
          <w:rFonts w:asciiTheme="minorHAnsi" w:hAnsiTheme="minorHAnsi" w:cstheme="minorHAnsi"/>
          <w:sz w:val="24"/>
          <w:szCs w:val="22"/>
          <w:lang w:val="en-GB"/>
        </w:rPr>
        <w:t xml:space="preserve"> unit for the identified organs, with a children’s liver transplant</w:t>
      </w:r>
      <w:r w:rsidR="00F46C80">
        <w:rPr>
          <w:rFonts w:asciiTheme="minorHAnsi" w:hAnsiTheme="minorHAnsi" w:cstheme="minorHAnsi"/>
          <w:sz w:val="24"/>
          <w:szCs w:val="22"/>
          <w:lang w:val="en-GB"/>
        </w:rPr>
        <w:t>ation</w:t>
      </w:r>
      <w:r w:rsidR="00C30067">
        <w:rPr>
          <w:rFonts w:asciiTheme="minorHAnsi" w:hAnsiTheme="minorHAnsi" w:cstheme="minorHAnsi"/>
          <w:sz w:val="24"/>
          <w:szCs w:val="22"/>
          <w:lang w:val="en-GB"/>
        </w:rPr>
        <w:t xml:space="preserve"> unit included in both Queensland and New South Wales.</w:t>
      </w:r>
    </w:p>
    <w:p w14:paraId="3253BBEB" w14:textId="77777777" w:rsidR="00C30067" w:rsidRDefault="00C30067" w:rsidP="00C30067">
      <w:pPr>
        <w:pStyle w:val="Caption"/>
        <w:keepNext/>
        <w:widowControl/>
        <w:spacing w:after="120"/>
        <w:rPr>
          <w:rFonts w:asciiTheme="minorHAnsi" w:hAnsiTheme="minorHAnsi" w:cstheme="minorHAnsi"/>
          <w:b w:val="0"/>
          <w:color w:val="808080"/>
          <w:sz w:val="20"/>
        </w:rPr>
      </w:pPr>
      <w:bookmarkStart w:id="601" w:name="_Ref530474562"/>
      <w:r w:rsidRPr="004938CA">
        <w:rPr>
          <w:rFonts w:asciiTheme="minorHAnsi" w:hAnsiTheme="minorHAnsi" w:cstheme="minorHAnsi"/>
          <w:b w:val="0"/>
          <w:color w:val="808080"/>
          <w:sz w:val="20"/>
        </w:rPr>
        <w:t xml:space="preserve">Table </w:t>
      </w:r>
      <w:r w:rsidRPr="004938CA">
        <w:rPr>
          <w:rFonts w:asciiTheme="minorHAnsi" w:hAnsiTheme="minorHAnsi" w:cstheme="minorHAnsi"/>
          <w:b w:val="0"/>
          <w:color w:val="808080"/>
          <w:sz w:val="20"/>
        </w:rPr>
        <w:fldChar w:fldCharType="begin"/>
      </w:r>
      <w:r w:rsidRPr="004938CA">
        <w:rPr>
          <w:rFonts w:asciiTheme="minorHAnsi" w:hAnsiTheme="minorHAnsi" w:cstheme="minorHAnsi"/>
          <w:b w:val="0"/>
          <w:color w:val="808080"/>
          <w:sz w:val="20"/>
        </w:rPr>
        <w:instrText xml:space="preserve"> SEQ Table \* ARABIC </w:instrText>
      </w:r>
      <w:r w:rsidRPr="004938CA">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7</w:t>
      </w:r>
      <w:r w:rsidRPr="004938CA">
        <w:rPr>
          <w:rFonts w:asciiTheme="minorHAnsi" w:hAnsiTheme="minorHAnsi" w:cstheme="minorHAnsi"/>
          <w:b w:val="0"/>
          <w:color w:val="808080"/>
          <w:sz w:val="20"/>
        </w:rPr>
        <w:fldChar w:fldCharType="end"/>
      </w:r>
      <w:bookmarkEnd w:id="601"/>
      <w:r w:rsidRPr="004938CA">
        <w:rPr>
          <w:rFonts w:asciiTheme="minorHAnsi" w:hAnsiTheme="minorHAnsi" w:cstheme="minorHAnsi"/>
          <w:b w:val="0"/>
          <w:color w:val="808080"/>
          <w:sz w:val="20"/>
        </w:rPr>
        <w:t>: Number of active patients on the liver, lung, heart, kidney/pancreas and pancreas islets wait</w:t>
      </w:r>
      <w:r>
        <w:rPr>
          <w:rFonts w:asciiTheme="minorHAnsi" w:hAnsiTheme="minorHAnsi" w:cstheme="minorHAnsi"/>
          <w:b w:val="0"/>
          <w:color w:val="808080"/>
          <w:sz w:val="20"/>
        </w:rPr>
        <w:t>ing</w:t>
      </w:r>
      <w:r w:rsidRPr="004938CA">
        <w:rPr>
          <w:rFonts w:asciiTheme="minorHAnsi" w:hAnsiTheme="minorHAnsi" w:cstheme="minorHAnsi"/>
          <w:b w:val="0"/>
          <w:color w:val="808080"/>
          <w:sz w:val="20"/>
        </w:rPr>
        <w:t xml:space="preserve"> list as of October 2018</w:t>
      </w:r>
      <w:r w:rsidR="00EB2686">
        <w:rPr>
          <w:rFonts w:asciiTheme="minorHAnsi" w:hAnsiTheme="minorHAnsi" w:cstheme="minorHAnsi"/>
          <w:b w:val="0"/>
          <w:color w:val="808080"/>
          <w:sz w:val="20"/>
        </w:rPr>
        <w:t xml:space="preserve">, SOURCE: </w:t>
      </w:r>
      <w:r w:rsidR="009A34EC">
        <w:rPr>
          <w:rFonts w:asciiTheme="minorHAnsi" w:hAnsiTheme="minorHAnsi" w:cstheme="minorHAnsi"/>
          <w:b w:val="0"/>
          <w:color w:val="808080"/>
          <w:sz w:val="20"/>
        </w:rPr>
        <w:t>NOMS</w:t>
      </w:r>
      <w:r w:rsidR="00534F66">
        <w:rPr>
          <w:rFonts w:asciiTheme="minorHAnsi" w:hAnsiTheme="minorHAnsi" w:cstheme="minorHAnsi"/>
          <w:b w:val="0"/>
          <w:color w:val="808080"/>
          <w:sz w:val="20"/>
        </w:rPr>
        <w:t xml:space="preserve"> </w:t>
      </w:r>
      <w:r w:rsidRPr="00447661">
        <w:rPr>
          <w:rFonts w:asciiTheme="minorHAnsi" w:hAnsiTheme="minorHAnsi" w:cstheme="minorHAnsi"/>
          <w:b w:val="0"/>
          <w:color w:val="808080"/>
          <w:sz w:val="20"/>
          <w:vertAlign w:val="superscript"/>
        </w:rPr>
        <w:footnoteReference w:id="82"/>
      </w:r>
    </w:p>
    <w:tbl>
      <w:tblPr>
        <w:tblW w:w="793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01"/>
        <w:gridCol w:w="1127"/>
        <w:gridCol w:w="1127"/>
        <w:gridCol w:w="1127"/>
        <w:gridCol w:w="1127"/>
        <w:gridCol w:w="1127"/>
      </w:tblGrid>
      <w:tr w:rsidR="00C30067" w:rsidRPr="00DF1D80" w14:paraId="4BEA4A14" w14:textId="77777777" w:rsidTr="00447661">
        <w:trPr>
          <w:trHeight w:val="364"/>
          <w:tblHeader/>
        </w:trPr>
        <w:tc>
          <w:tcPr>
            <w:tcW w:w="2301" w:type="dxa"/>
            <w:shd w:val="clear" w:color="auto" w:fill="595959" w:themeFill="text1" w:themeFillTint="A6"/>
            <w:noWrap/>
            <w:vAlign w:val="bottom"/>
            <w:hideMark/>
          </w:tcPr>
          <w:p w14:paraId="515D0634" w14:textId="77777777" w:rsidR="00C30067" w:rsidRPr="004938CA" w:rsidRDefault="00C30067" w:rsidP="00EF2596">
            <w:pPr>
              <w:widowControl/>
              <w:autoSpaceDE/>
              <w:autoSpaceDN/>
              <w:adjustRightInd/>
              <w:spacing w:before="40" w:after="40"/>
              <w:textAlignment w:val="bottom"/>
              <w:rPr>
                <w:rFonts w:ascii="Calibri" w:hAnsi="Calibri" w:cs="Calibri"/>
                <w:b/>
                <w:bCs/>
                <w:color w:val="FFFFFF" w:themeColor="background1"/>
                <w:kern w:val="24"/>
                <w:szCs w:val="18"/>
                <w:lang w:eastAsia="en-AU"/>
              </w:rPr>
            </w:pPr>
            <w:r w:rsidRPr="004938CA">
              <w:rPr>
                <w:rFonts w:ascii="Calibri" w:hAnsi="Calibri" w:cs="Calibri"/>
                <w:b/>
                <w:bCs/>
                <w:color w:val="FFFFFF" w:themeColor="background1"/>
                <w:kern w:val="24"/>
                <w:szCs w:val="18"/>
                <w:lang w:eastAsia="en-AU"/>
              </w:rPr>
              <w:t xml:space="preserve">Organ </w:t>
            </w:r>
          </w:p>
        </w:tc>
        <w:tc>
          <w:tcPr>
            <w:tcW w:w="1127" w:type="dxa"/>
            <w:shd w:val="clear" w:color="auto" w:fill="595959" w:themeFill="text1" w:themeFillTint="A6"/>
            <w:noWrap/>
            <w:vAlign w:val="bottom"/>
            <w:hideMark/>
          </w:tcPr>
          <w:p w14:paraId="78C3DEF1" w14:textId="77777777" w:rsidR="00C30067" w:rsidRPr="004938CA" w:rsidRDefault="00C30067" w:rsidP="00EF2596">
            <w:pPr>
              <w:widowControl/>
              <w:autoSpaceDE/>
              <w:autoSpaceDN/>
              <w:adjustRightInd/>
              <w:spacing w:before="40" w:after="40"/>
              <w:jc w:val="center"/>
              <w:textAlignment w:val="bottom"/>
              <w:rPr>
                <w:rFonts w:ascii="Calibri" w:hAnsi="Calibri" w:cs="Calibri"/>
                <w:b/>
                <w:bCs/>
                <w:color w:val="FFFFFF" w:themeColor="background1"/>
                <w:kern w:val="24"/>
                <w:szCs w:val="18"/>
                <w:lang w:eastAsia="en-AU"/>
              </w:rPr>
            </w:pPr>
            <w:r w:rsidRPr="004938CA">
              <w:rPr>
                <w:rFonts w:ascii="Calibri" w:hAnsi="Calibri" w:cs="Calibri"/>
                <w:b/>
                <w:bCs/>
                <w:color w:val="FFFFFF" w:themeColor="background1"/>
                <w:kern w:val="24"/>
                <w:szCs w:val="18"/>
                <w:lang w:eastAsia="en-AU"/>
              </w:rPr>
              <w:t>NSW</w:t>
            </w:r>
          </w:p>
        </w:tc>
        <w:tc>
          <w:tcPr>
            <w:tcW w:w="1127" w:type="dxa"/>
            <w:shd w:val="clear" w:color="auto" w:fill="595959" w:themeFill="text1" w:themeFillTint="A6"/>
            <w:noWrap/>
            <w:vAlign w:val="bottom"/>
            <w:hideMark/>
          </w:tcPr>
          <w:p w14:paraId="0D4CAC87" w14:textId="77777777" w:rsidR="00C30067" w:rsidRPr="004938CA" w:rsidRDefault="00C30067" w:rsidP="00EF2596">
            <w:pPr>
              <w:widowControl/>
              <w:autoSpaceDE/>
              <w:autoSpaceDN/>
              <w:adjustRightInd/>
              <w:spacing w:before="40" w:after="40"/>
              <w:jc w:val="center"/>
              <w:textAlignment w:val="bottom"/>
              <w:rPr>
                <w:rFonts w:ascii="Calibri" w:hAnsi="Calibri" w:cs="Calibri"/>
                <w:b/>
                <w:bCs/>
                <w:color w:val="FFFFFF" w:themeColor="background1"/>
                <w:kern w:val="24"/>
                <w:szCs w:val="18"/>
                <w:lang w:eastAsia="en-AU"/>
              </w:rPr>
            </w:pPr>
            <w:r w:rsidRPr="004938CA">
              <w:rPr>
                <w:rFonts w:ascii="Calibri" w:hAnsi="Calibri" w:cs="Calibri"/>
                <w:b/>
                <w:bCs/>
                <w:color w:val="FFFFFF" w:themeColor="background1"/>
                <w:kern w:val="24"/>
                <w:szCs w:val="18"/>
                <w:lang w:eastAsia="en-AU"/>
              </w:rPr>
              <w:t>QLD</w:t>
            </w:r>
          </w:p>
        </w:tc>
        <w:tc>
          <w:tcPr>
            <w:tcW w:w="1127" w:type="dxa"/>
            <w:shd w:val="clear" w:color="auto" w:fill="595959" w:themeFill="text1" w:themeFillTint="A6"/>
            <w:noWrap/>
            <w:vAlign w:val="bottom"/>
            <w:hideMark/>
          </w:tcPr>
          <w:p w14:paraId="51837CF3" w14:textId="77777777" w:rsidR="00C30067" w:rsidRPr="004938CA" w:rsidRDefault="00C30067" w:rsidP="00EF2596">
            <w:pPr>
              <w:widowControl/>
              <w:autoSpaceDE/>
              <w:autoSpaceDN/>
              <w:adjustRightInd/>
              <w:spacing w:before="40" w:after="40"/>
              <w:jc w:val="center"/>
              <w:textAlignment w:val="bottom"/>
              <w:rPr>
                <w:rFonts w:ascii="Calibri" w:hAnsi="Calibri" w:cs="Calibri"/>
                <w:b/>
                <w:bCs/>
                <w:color w:val="FFFFFF" w:themeColor="background1"/>
                <w:kern w:val="24"/>
                <w:szCs w:val="18"/>
                <w:lang w:eastAsia="en-AU"/>
              </w:rPr>
            </w:pPr>
            <w:r w:rsidRPr="004938CA">
              <w:rPr>
                <w:rFonts w:ascii="Calibri" w:hAnsi="Calibri" w:cs="Calibri"/>
                <w:b/>
                <w:bCs/>
                <w:color w:val="FFFFFF" w:themeColor="background1"/>
                <w:kern w:val="24"/>
                <w:szCs w:val="18"/>
                <w:lang w:eastAsia="en-AU"/>
              </w:rPr>
              <w:t>SA</w:t>
            </w:r>
          </w:p>
        </w:tc>
        <w:tc>
          <w:tcPr>
            <w:tcW w:w="1127" w:type="dxa"/>
            <w:shd w:val="clear" w:color="auto" w:fill="595959" w:themeFill="text1" w:themeFillTint="A6"/>
            <w:noWrap/>
            <w:vAlign w:val="bottom"/>
            <w:hideMark/>
          </w:tcPr>
          <w:p w14:paraId="3C5D622D" w14:textId="77777777" w:rsidR="00C30067" w:rsidRPr="004938CA" w:rsidRDefault="00C30067" w:rsidP="00EF2596">
            <w:pPr>
              <w:widowControl/>
              <w:autoSpaceDE/>
              <w:autoSpaceDN/>
              <w:adjustRightInd/>
              <w:spacing w:before="40" w:after="40"/>
              <w:jc w:val="center"/>
              <w:textAlignment w:val="bottom"/>
              <w:rPr>
                <w:rFonts w:ascii="Calibri" w:hAnsi="Calibri" w:cs="Calibri"/>
                <w:b/>
                <w:bCs/>
                <w:color w:val="FFFFFF" w:themeColor="background1"/>
                <w:kern w:val="24"/>
                <w:szCs w:val="18"/>
                <w:lang w:eastAsia="en-AU"/>
              </w:rPr>
            </w:pPr>
            <w:r w:rsidRPr="004938CA">
              <w:rPr>
                <w:rFonts w:ascii="Calibri" w:hAnsi="Calibri" w:cs="Calibri"/>
                <w:b/>
                <w:bCs/>
                <w:color w:val="FFFFFF" w:themeColor="background1"/>
                <w:kern w:val="24"/>
                <w:szCs w:val="18"/>
                <w:lang w:eastAsia="en-AU"/>
              </w:rPr>
              <w:t>VIC</w:t>
            </w:r>
          </w:p>
        </w:tc>
        <w:tc>
          <w:tcPr>
            <w:tcW w:w="1127" w:type="dxa"/>
            <w:shd w:val="clear" w:color="auto" w:fill="595959" w:themeFill="text1" w:themeFillTint="A6"/>
            <w:noWrap/>
            <w:vAlign w:val="bottom"/>
            <w:hideMark/>
          </w:tcPr>
          <w:p w14:paraId="658C2167" w14:textId="77777777" w:rsidR="00C30067" w:rsidRPr="004938CA" w:rsidRDefault="00C30067" w:rsidP="00EF2596">
            <w:pPr>
              <w:widowControl/>
              <w:autoSpaceDE/>
              <w:autoSpaceDN/>
              <w:adjustRightInd/>
              <w:spacing w:before="40" w:after="40"/>
              <w:jc w:val="center"/>
              <w:textAlignment w:val="bottom"/>
              <w:rPr>
                <w:rFonts w:ascii="Calibri" w:hAnsi="Calibri" w:cs="Calibri"/>
                <w:b/>
                <w:bCs/>
                <w:color w:val="FFFFFF" w:themeColor="background1"/>
                <w:kern w:val="24"/>
                <w:szCs w:val="18"/>
                <w:lang w:eastAsia="en-AU"/>
              </w:rPr>
            </w:pPr>
            <w:r w:rsidRPr="004938CA">
              <w:rPr>
                <w:rFonts w:ascii="Calibri" w:hAnsi="Calibri" w:cs="Calibri"/>
                <w:b/>
                <w:bCs/>
                <w:color w:val="FFFFFF" w:themeColor="background1"/>
                <w:kern w:val="24"/>
                <w:szCs w:val="18"/>
                <w:lang w:eastAsia="en-AU"/>
              </w:rPr>
              <w:t>WA</w:t>
            </w:r>
          </w:p>
        </w:tc>
      </w:tr>
      <w:tr w:rsidR="00C30067" w:rsidRPr="00DF1D80" w14:paraId="08AD8E1D" w14:textId="77777777" w:rsidTr="0082626C">
        <w:trPr>
          <w:trHeight w:val="364"/>
        </w:trPr>
        <w:tc>
          <w:tcPr>
            <w:tcW w:w="2301" w:type="dxa"/>
            <w:shd w:val="clear" w:color="auto" w:fill="auto"/>
            <w:noWrap/>
            <w:vAlign w:val="bottom"/>
            <w:hideMark/>
          </w:tcPr>
          <w:p w14:paraId="7628BD0D" w14:textId="77777777" w:rsidR="00C30067" w:rsidRPr="004938CA" w:rsidRDefault="00C30067" w:rsidP="00EF2596">
            <w:pPr>
              <w:widowControl/>
              <w:autoSpaceDE/>
              <w:autoSpaceDN/>
              <w:adjustRightInd/>
              <w:spacing w:before="40" w:after="40"/>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Liver</w:t>
            </w:r>
          </w:p>
        </w:tc>
        <w:tc>
          <w:tcPr>
            <w:tcW w:w="1127" w:type="dxa"/>
            <w:shd w:val="clear" w:color="auto" w:fill="auto"/>
            <w:noWrap/>
            <w:vAlign w:val="bottom"/>
            <w:hideMark/>
          </w:tcPr>
          <w:p w14:paraId="13E9891F"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2</w:t>
            </w:r>
            <w:r w:rsidR="00B6004E">
              <w:rPr>
                <w:rFonts w:ascii="Calibri" w:hAnsi="Calibri" w:cs="Calibri"/>
                <w:bCs/>
                <w:color w:val="000000"/>
                <w:kern w:val="24"/>
                <w:szCs w:val="18"/>
                <w:lang w:eastAsia="en-AU"/>
              </w:rPr>
              <w:t>3</w:t>
            </w:r>
          </w:p>
        </w:tc>
        <w:tc>
          <w:tcPr>
            <w:tcW w:w="1127" w:type="dxa"/>
            <w:shd w:val="clear" w:color="auto" w:fill="auto"/>
            <w:noWrap/>
            <w:vAlign w:val="bottom"/>
            <w:hideMark/>
          </w:tcPr>
          <w:p w14:paraId="013E253C"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52</w:t>
            </w:r>
          </w:p>
        </w:tc>
        <w:tc>
          <w:tcPr>
            <w:tcW w:w="1127" w:type="dxa"/>
            <w:shd w:val="clear" w:color="auto" w:fill="auto"/>
            <w:noWrap/>
            <w:vAlign w:val="bottom"/>
            <w:hideMark/>
          </w:tcPr>
          <w:p w14:paraId="48272066"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9</w:t>
            </w:r>
          </w:p>
        </w:tc>
        <w:tc>
          <w:tcPr>
            <w:tcW w:w="1127" w:type="dxa"/>
            <w:shd w:val="clear" w:color="auto" w:fill="auto"/>
            <w:noWrap/>
            <w:vAlign w:val="bottom"/>
            <w:hideMark/>
          </w:tcPr>
          <w:p w14:paraId="2012CC57"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54</w:t>
            </w:r>
          </w:p>
        </w:tc>
        <w:tc>
          <w:tcPr>
            <w:tcW w:w="1127" w:type="dxa"/>
            <w:shd w:val="clear" w:color="auto" w:fill="auto"/>
            <w:noWrap/>
            <w:vAlign w:val="bottom"/>
            <w:hideMark/>
          </w:tcPr>
          <w:p w14:paraId="0C35D809" w14:textId="3447EE9B" w:rsidR="00C30067" w:rsidRPr="004938CA" w:rsidRDefault="0089749F"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Pr>
                <w:rFonts w:ascii="Calibri" w:hAnsi="Calibri" w:cs="Calibri"/>
                <w:bCs/>
                <w:color w:val="000000"/>
                <w:kern w:val="24"/>
                <w:szCs w:val="18"/>
                <w:lang w:eastAsia="en-AU"/>
              </w:rPr>
              <w:t>0</w:t>
            </w:r>
          </w:p>
        </w:tc>
      </w:tr>
      <w:tr w:rsidR="00C30067" w:rsidRPr="00DF1D80" w14:paraId="394A7176" w14:textId="77777777" w:rsidTr="0082626C">
        <w:trPr>
          <w:trHeight w:val="364"/>
        </w:trPr>
        <w:tc>
          <w:tcPr>
            <w:tcW w:w="2301" w:type="dxa"/>
            <w:shd w:val="clear" w:color="auto" w:fill="auto"/>
            <w:noWrap/>
            <w:vAlign w:val="bottom"/>
            <w:hideMark/>
          </w:tcPr>
          <w:p w14:paraId="0531B4E6" w14:textId="77777777" w:rsidR="00C30067" w:rsidRPr="004938CA" w:rsidRDefault="00C30067" w:rsidP="00EF2596">
            <w:pPr>
              <w:widowControl/>
              <w:autoSpaceDE/>
              <w:autoSpaceDN/>
              <w:adjustRightInd/>
              <w:spacing w:before="40" w:after="40"/>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Lung</w:t>
            </w:r>
          </w:p>
        </w:tc>
        <w:tc>
          <w:tcPr>
            <w:tcW w:w="1127" w:type="dxa"/>
            <w:shd w:val="clear" w:color="auto" w:fill="auto"/>
            <w:noWrap/>
            <w:vAlign w:val="bottom"/>
            <w:hideMark/>
          </w:tcPr>
          <w:p w14:paraId="5EF57E2C"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35</w:t>
            </w:r>
          </w:p>
        </w:tc>
        <w:tc>
          <w:tcPr>
            <w:tcW w:w="1127" w:type="dxa"/>
            <w:shd w:val="clear" w:color="auto" w:fill="auto"/>
            <w:noWrap/>
            <w:vAlign w:val="bottom"/>
            <w:hideMark/>
          </w:tcPr>
          <w:p w14:paraId="0AF634AE"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46</w:t>
            </w:r>
          </w:p>
        </w:tc>
        <w:tc>
          <w:tcPr>
            <w:tcW w:w="1127" w:type="dxa"/>
            <w:shd w:val="clear" w:color="auto" w:fill="auto"/>
            <w:noWrap/>
            <w:vAlign w:val="bottom"/>
            <w:hideMark/>
          </w:tcPr>
          <w:p w14:paraId="224FB0C2"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6</w:t>
            </w:r>
          </w:p>
        </w:tc>
        <w:tc>
          <w:tcPr>
            <w:tcW w:w="1127" w:type="dxa"/>
            <w:shd w:val="clear" w:color="auto" w:fill="auto"/>
            <w:noWrap/>
            <w:vAlign w:val="bottom"/>
            <w:hideMark/>
          </w:tcPr>
          <w:p w14:paraId="663CC922"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33</w:t>
            </w:r>
          </w:p>
        </w:tc>
        <w:tc>
          <w:tcPr>
            <w:tcW w:w="1127" w:type="dxa"/>
            <w:shd w:val="clear" w:color="auto" w:fill="auto"/>
            <w:noWrap/>
            <w:vAlign w:val="bottom"/>
            <w:hideMark/>
          </w:tcPr>
          <w:p w14:paraId="44FD0234"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10</w:t>
            </w:r>
          </w:p>
        </w:tc>
      </w:tr>
      <w:tr w:rsidR="00C30067" w:rsidRPr="00DF1D80" w14:paraId="24B55DE4" w14:textId="77777777" w:rsidTr="0082626C">
        <w:trPr>
          <w:trHeight w:val="364"/>
        </w:trPr>
        <w:tc>
          <w:tcPr>
            <w:tcW w:w="2301" w:type="dxa"/>
            <w:shd w:val="clear" w:color="auto" w:fill="auto"/>
            <w:noWrap/>
            <w:vAlign w:val="bottom"/>
            <w:hideMark/>
          </w:tcPr>
          <w:p w14:paraId="77EF9D45" w14:textId="77777777" w:rsidR="00C30067" w:rsidRPr="004938CA" w:rsidRDefault="00C30067" w:rsidP="00EF2596">
            <w:pPr>
              <w:widowControl/>
              <w:autoSpaceDE/>
              <w:autoSpaceDN/>
              <w:adjustRightInd/>
              <w:spacing w:before="40" w:after="40"/>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 xml:space="preserve">Heart </w:t>
            </w:r>
          </w:p>
        </w:tc>
        <w:tc>
          <w:tcPr>
            <w:tcW w:w="1127" w:type="dxa"/>
            <w:shd w:val="clear" w:color="auto" w:fill="auto"/>
            <w:noWrap/>
            <w:vAlign w:val="bottom"/>
            <w:hideMark/>
          </w:tcPr>
          <w:p w14:paraId="3E71655D"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34</w:t>
            </w:r>
          </w:p>
        </w:tc>
        <w:tc>
          <w:tcPr>
            <w:tcW w:w="1127" w:type="dxa"/>
            <w:shd w:val="clear" w:color="auto" w:fill="auto"/>
            <w:noWrap/>
            <w:vAlign w:val="bottom"/>
            <w:hideMark/>
          </w:tcPr>
          <w:p w14:paraId="1F4A8005"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24</w:t>
            </w:r>
          </w:p>
        </w:tc>
        <w:tc>
          <w:tcPr>
            <w:tcW w:w="1127" w:type="dxa"/>
            <w:shd w:val="clear" w:color="auto" w:fill="auto"/>
            <w:noWrap/>
            <w:vAlign w:val="bottom"/>
            <w:hideMark/>
          </w:tcPr>
          <w:p w14:paraId="081E147D"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2</w:t>
            </w:r>
          </w:p>
        </w:tc>
        <w:tc>
          <w:tcPr>
            <w:tcW w:w="1127" w:type="dxa"/>
            <w:shd w:val="clear" w:color="auto" w:fill="auto"/>
            <w:noWrap/>
            <w:vAlign w:val="bottom"/>
            <w:hideMark/>
          </w:tcPr>
          <w:p w14:paraId="0504BCA1"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12</w:t>
            </w:r>
          </w:p>
        </w:tc>
        <w:tc>
          <w:tcPr>
            <w:tcW w:w="1127" w:type="dxa"/>
            <w:shd w:val="clear" w:color="auto" w:fill="auto"/>
            <w:noWrap/>
            <w:vAlign w:val="bottom"/>
            <w:hideMark/>
          </w:tcPr>
          <w:p w14:paraId="21C52F54"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7</w:t>
            </w:r>
          </w:p>
        </w:tc>
      </w:tr>
      <w:tr w:rsidR="00C30067" w:rsidRPr="00DF1D80" w14:paraId="7485B535" w14:textId="77777777" w:rsidTr="0082626C">
        <w:trPr>
          <w:trHeight w:val="364"/>
        </w:trPr>
        <w:tc>
          <w:tcPr>
            <w:tcW w:w="2301" w:type="dxa"/>
            <w:shd w:val="clear" w:color="auto" w:fill="auto"/>
            <w:noWrap/>
            <w:vAlign w:val="bottom"/>
            <w:hideMark/>
          </w:tcPr>
          <w:p w14:paraId="5CDFCC64" w14:textId="77777777" w:rsidR="00C30067" w:rsidRPr="004938CA" w:rsidRDefault="00C30067" w:rsidP="00EF2596">
            <w:pPr>
              <w:widowControl/>
              <w:autoSpaceDE/>
              <w:autoSpaceDN/>
              <w:adjustRightInd/>
              <w:spacing w:before="40" w:after="40"/>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Kidney/Pancreas</w:t>
            </w:r>
          </w:p>
        </w:tc>
        <w:tc>
          <w:tcPr>
            <w:tcW w:w="1127" w:type="dxa"/>
            <w:shd w:val="clear" w:color="auto" w:fill="auto"/>
            <w:noWrap/>
            <w:vAlign w:val="bottom"/>
            <w:hideMark/>
          </w:tcPr>
          <w:p w14:paraId="10B10CFF"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23</w:t>
            </w:r>
          </w:p>
        </w:tc>
        <w:tc>
          <w:tcPr>
            <w:tcW w:w="1127" w:type="dxa"/>
            <w:shd w:val="clear" w:color="auto" w:fill="auto"/>
            <w:noWrap/>
            <w:vAlign w:val="bottom"/>
            <w:hideMark/>
          </w:tcPr>
          <w:p w14:paraId="734C3EFE"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2</w:t>
            </w:r>
          </w:p>
        </w:tc>
        <w:tc>
          <w:tcPr>
            <w:tcW w:w="1127" w:type="dxa"/>
            <w:shd w:val="clear" w:color="auto" w:fill="auto"/>
            <w:noWrap/>
            <w:vAlign w:val="bottom"/>
            <w:hideMark/>
          </w:tcPr>
          <w:p w14:paraId="4F19847E"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7</w:t>
            </w:r>
          </w:p>
        </w:tc>
        <w:tc>
          <w:tcPr>
            <w:tcW w:w="1127" w:type="dxa"/>
            <w:shd w:val="clear" w:color="auto" w:fill="auto"/>
            <w:noWrap/>
            <w:vAlign w:val="bottom"/>
            <w:hideMark/>
          </w:tcPr>
          <w:p w14:paraId="20FCB71C"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26</w:t>
            </w:r>
          </w:p>
        </w:tc>
        <w:tc>
          <w:tcPr>
            <w:tcW w:w="1127" w:type="dxa"/>
            <w:shd w:val="clear" w:color="auto" w:fill="auto"/>
            <w:noWrap/>
            <w:vAlign w:val="bottom"/>
            <w:hideMark/>
          </w:tcPr>
          <w:p w14:paraId="1A095EC7"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2</w:t>
            </w:r>
          </w:p>
        </w:tc>
      </w:tr>
      <w:tr w:rsidR="00C30067" w:rsidRPr="00DF1D80" w14:paraId="786695C4" w14:textId="77777777" w:rsidTr="0082626C">
        <w:trPr>
          <w:trHeight w:val="364"/>
        </w:trPr>
        <w:tc>
          <w:tcPr>
            <w:tcW w:w="2301" w:type="dxa"/>
            <w:shd w:val="clear" w:color="auto" w:fill="auto"/>
            <w:noWrap/>
            <w:vAlign w:val="bottom"/>
            <w:hideMark/>
          </w:tcPr>
          <w:p w14:paraId="4885A5F1" w14:textId="77777777" w:rsidR="00C30067" w:rsidRPr="004938CA" w:rsidRDefault="00C30067" w:rsidP="00EF2596">
            <w:pPr>
              <w:widowControl/>
              <w:autoSpaceDE/>
              <w:autoSpaceDN/>
              <w:adjustRightInd/>
              <w:spacing w:before="40" w:after="40"/>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Pancreas Islets</w:t>
            </w:r>
          </w:p>
        </w:tc>
        <w:tc>
          <w:tcPr>
            <w:tcW w:w="1127" w:type="dxa"/>
            <w:shd w:val="clear" w:color="auto" w:fill="auto"/>
            <w:noWrap/>
            <w:vAlign w:val="bottom"/>
            <w:hideMark/>
          </w:tcPr>
          <w:p w14:paraId="4A3BF9C6"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11</w:t>
            </w:r>
          </w:p>
        </w:tc>
        <w:tc>
          <w:tcPr>
            <w:tcW w:w="1127" w:type="dxa"/>
            <w:shd w:val="clear" w:color="auto" w:fill="auto"/>
            <w:noWrap/>
            <w:vAlign w:val="bottom"/>
            <w:hideMark/>
          </w:tcPr>
          <w:p w14:paraId="79E9F7FE"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2</w:t>
            </w:r>
          </w:p>
        </w:tc>
        <w:tc>
          <w:tcPr>
            <w:tcW w:w="1127" w:type="dxa"/>
            <w:shd w:val="clear" w:color="auto" w:fill="auto"/>
            <w:noWrap/>
            <w:vAlign w:val="bottom"/>
            <w:hideMark/>
          </w:tcPr>
          <w:p w14:paraId="1FDBCE07"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3</w:t>
            </w:r>
          </w:p>
        </w:tc>
        <w:tc>
          <w:tcPr>
            <w:tcW w:w="1127" w:type="dxa"/>
            <w:shd w:val="clear" w:color="auto" w:fill="auto"/>
            <w:noWrap/>
            <w:vAlign w:val="bottom"/>
            <w:hideMark/>
          </w:tcPr>
          <w:p w14:paraId="4E7B94AB" w14:textId="77777777" w:rsidR="00C30067" w:rsidRPr="004938CA" w:rsidRDefault="00C30067"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7</w:t>
            </w:r>
          </w:p>
        </w:tc>
        <w:tc>
          <w:tcPr>
            <w:tcW w:w="1127" w:type="dxa"/>
            <w:shd w:val="clear" w:color="auto" w:fill="auto"/>
            <w:noWrap/>
            <w:vAlign w:val="bottom"/>
            <w:hideMark/>
          </w:tcPr>
          <w:p w14:paraId="760351D0" w14:textId="424A053C" w:rsidR="00C30067" w:rsidRPr="004938CA" w:rsidRDefault="0089749F" w:rsidP="00EF2596">
            <w:pPr>
              <w:widowControl/>
              <w:autoSpaceDE/>
              <w:autoSpaceDN/>
              <w:adjustRightInd/>
              <w:spacing w:before="40" w:after="40"/>
              <w:jc w:val="center"/>
              <w:textAlignment w:val="bottom"/>
              <w:rPr>
                <w:rFonts w:ascii="Calibri" w:hAnsi="Calibri" w:cs="Calibri"/>
                <w:bCs/>
                <w:color w:val="000000"/>
                <w:kern w:val="24"/>
                <w:szCs w:val="18"/>
                <w:lang w:eastAsia="en-AU"/>
              </w:rPr>
            </w:pPr>
            <w:r>
              <w:rPr>
                <w:rFonts w:ascii="Calibri" w:hAnsi="Calibri" w:cs="Calibri"/>
                <w:bCs/>
                <w:color w:val="000000"/>
                <w:kern w:val="24"/>
                <w:szCs w:val="18"/>
                <w:lang w:eastAsia="en-AU"/>
              </w:rPr>
              <w:t>0</w:t>
            </w:r>
          </w:p>
        </w:tc>
      </w:tr>
    </w:tbl>
    <w:p w14:paraId="128C6E20" w14:textId="34228C0F" w:rsidR="00C30067" w:rsidRDefault="00C30067" w:rsidP="00C30067">
      <w:pPr>
        <w:tabs>
          <w:tab w:val="num" w:pos="720"/>
        </w:tabs>
        <w:spacing w:before="240" w:after="120"/>
        <w:rPr>
          <w:rFonts w:asciiTheme="minorHAnsi" w:hAnsiTheme="minorHAnsi" w:cstheme="minorHAnsi"/>
          <w:sz w:val="24"/>
          <w:szCs w:val="22"/>
          <w:lang w:val="en-GB"/>
        </w:rPr>
      </w:pPr>
      <w:r>
        <w:rPr>
          <w:rFonts w:asciiTheme="minorHAnsi" w:hAnsiTheme="minorHAnsi" w:cstheme="minorHAnsi"/>
          <w:sz w:val="24"/>
          <w:szCs w:val="22"/>
          <w:lang w:val="en-GB"/>
        </w:rPr>
        <w:t>The data show a large variation in waiting list numbers across transplant</w:t>
      </w:r>
      <w:r w:rsidR="00F46C80">
        <w:rPr>
          <w:rFonts w:asciiTheme="minorHAnsi" w:hAnsiTheme="minorHAnsi" w:cstheme="minorHAnsi"/>
          <w:sz w:val="24"/>
          <w:szCs w:val="22"/>
          <w:lang w:val="en-GB"/>
        </w:rPr>
        <w:t>ation</w:t>
      </w:r>
      <w:r>
        <w:rPr>
          <w:rFonts w:asciiTheme="minorHAnsi" w:hAnsiTheme="minorHAnsi" w:cstheme="minorHAnsi"/>
          <w:sz w:val="24"/>
          <w:szCs w:val="22"/>
          <w:lang w:val="en-GB"/>
        </w:rPr>
        <w:t xml:space="preserve"> units across Australia. Some variation may account for population </w:t>
      </w:r>
      <w:r w:rsidR="00DB2089">
        <w:rPr>
          <w:rFonts w:asciiTheme="minorHAnsi" w:hAnsiTheme="minorHAnsi" w:cstheme="minorHAnsi"/>
          <w:sz w:val="24"/>
          <w:szCs w:val="22"/>
          <w:lang w:val="en-GB"/>
        </w:rPr>
        <w:t>size;</w:t>
      </w:r>
      <w:r>
        <w:rPr>
          <w:rFonts w:asciiTheme="minorHAnsi" w:hAnsiTheme="minorHAnsi" w:cstheme="minorHAnsi"/>
          <w:sz w:val="24"/>
          <w:szCs w:val="22"/>
          <w:lang w:val="en-GB"/>
        </w:rPr>
        <w:t xml:space="preserve"> however, it may also indicate inaccuracy of waiting list data as well as variability in wait listing practices and waiting list management. The data indicates that there are non-uniform practices occurring across Australia in wait listing potential recipients and the management of waiting lists for non-renal organs.</w:t>
      </w:r>
    </w:p>
    <w:p w14:paraId="30698716" w14:textId="77777777" w:rsidR="00C30067" w:rsidRPr="00266A77" w:rsidRDefault="00C30067" w:rsidP="00C30067">
      <w:pPr>
        <w:tabs>
          <w:tab w:val="num" w:pos="720"/>
        </w:tabs>
        <w:spacing w:after="120"/>
        <w:rPr>
          <w:rFonts w:asciiTheme="minorHAnsi" w:hAnsiTheme="minorHAnsi" w:cstheme="minorHAnsi"/>
          <w:i/>
          <w:color w:val="808080" w:themeColor="background1" w:themeShade="80"/>
          <w:sz w:val="26"/>
          <w:szCs w:val="26"/>
        </w:rPr>
      </w:pPr>
      <w:r>
        <w:rPr>
          <w:rFonts w:asciiTheme="minorHAnsi" w:hAnsiTheme="minorHAnsi" w:cstheme="minorHAnsi"/>
          <w:i/>
          <w:color w:val="808080" w:themeColor="background1" w:themeShade="80"/>
          <w:sz w:val="26"/>
          <w:szCs w:val="26"/>
        </w:rPr>
        <w:t>Summary of k</w:t>
      </w:r>
      <w:r w:rsidRPr="00266A77">
        <w:rPr>
          <w:rFonts w:asciiTheme="minorHAnsi" w:hAnsiTheme="minorHAnsi" w:cstheme="minorHAnsi"/>
          <w:i/>
          <w:color w:val="808080" w:themeColor="background1" w:themeShade="80"/>
          <w:sz w:val="26"/>
          <w:szCs w:val="26"/>
        </w:rPr>
        <w:t>ey findings</w:t>
      </w:r>
    </w:p>
    <w:p w14:paraId="5B701914" w14:textId="77777777" w:rsidR="00C30067" w:rsidRDefault="00C30067" w:rsidP="00C30067">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The assessment processes and waiting list management utilised by </w:t>
      </w:r>
      <w:r>
        <w:rPr>
          <w:rFonts w:asciiTheme="minorHAnsi" w:hAnsiTheme="minorHAnsi" w:cstheme="minorHAnsi"/>
          <w:sz w:val="24"/>
          <w:szCs w:val="22"/>
          <w:lang w:val="en-GB"/>
        </w:rPr>
        <w:t>non-renal (</w:t>
      </w:r>
      <w:r w:rsidRPr="00F37D51">
        <w:rPr>
          <w:rFonts w:asciiTheme="minorHAnsi" w:hAnsiTheme="minorHAnsi" w:cstheme="minorHAnsi"/>
          <w:sz w:val="24"/>
          <w:szCs w:val="22"/>
          <w:lang w:val="en-GB"/>
        </w:rPr>
        <w:t>liver, heart and lung</w:t>
      </w:r>
      <w:r>
        <w:rPr>
          <w:rFonts w:asciiTheme="minorHAnsi" w:hAnsiTheme="minorHAnsi" w:cstheme="minorHAnsi"/>
          <w:sz w:val="24"/>
          <w:szCs w:val="22"/>
          <w:lang w:val="en-GB"/>
        </w:rPr>
        <w:t>)</w:t>
      </w:r>
      <w:r w:rsidRPr="00F37D51">
        <w:rPr>
          <w:rFonts w:asciiTheme="minorHAnsi" w:hAnsiTheme="minorHAnsi" w:cstheme="minorHAnsi"/>
          <w:sz w:val="24"/>
          <w:szCs w:val="22"/>
          <w:lang w:val="en-GB"/>
        </w:rPr>
        <w:t xml:space="preserve"> </w:t>
      </w:r>
      <w:r w:rsidR="00647282">
        <w:rPr>
          <w:rFonts w:asciiTheme="minorHAnsi" w:hAnsiTheme="minorHAnsi" w:cstheme="minorHAnsi"/>
          <w:sz w:val="24"/>
          <w:szCs w:val="22"/>
          <w:lang w:val="en-GB"/>
        </w:rPr>
        <w:t>transplantation programs</w:t>
      </w:r>
      <w:r w:rsidRPr="00F37D51">
        <w:rPr>
          <w:rFonts w:asciiTheme="minorHAnsi" w:hAnsiTheme="minorHAnsi" w:cstheme="minorHAnsi"/>
          <w:sz w:val="24"/>
          <w:szCs w:val="22"/>
          <w:lang w:val="en-GB"/>
        </w:rPr>
        <w:t xml:space="preserve"> throughout Australia are</w:t>
      </w:r>
      <w:r>
        <w:rPr>
          <w:rFonts w:asciiTheme="minorHAnsi" w:hAnsiTheme="minorHAnsi" w:cstheme="minorHAnsi"/>
          <w:sz w:val="24"/>
          <w:szCs w:val="22"/>
          <w:lang w:val="en-GB"/>
        </w:rPr>
        <w:t xml:space="preserve"> reported to be</w:t>
      </w:r>
      <w:r w:rsidRPr="00F37D51">
        <w:rPr>
          <w:rFonts w:asciiTheme="minorHAnsi" w:hAnsiTheme="minorHAnsi" w:cstheme="minorHAnsi"/>
          <w:sz w:val="24"/>
          <w:szCs w:val="22"/>
          <w:lang w:val="en-GB"/>
        </w:rPr>
        <w:t xml:space="preserve"> generally consistent across </w:t>
      </w:r>
      <w:r w:rsidR="00647282">
        <w:rPr>
          <w:rFonts w:asciiTheme="minorHAnsi" w:hAnsiTheme="minorHAnsi" w:cstheme="minorHAnsi"/>
          <w:sz w:val="24"/>
          <w:szCs w:val="22"/>
          <w:lang w:val="en-GB"/>
        </w:rPr>
        <w:t>transplantation programs</w:t>
      </w:r>
      <w:r>
        <w:rPr>
          <w:rFonts w:asciiTheme="minorHAnsi" w:hAnsiTheme="minorHAnsi" w:cstheme="minorHAnsi"/>
          <w:sz w:val="24"/>
          <w:szCs w:val="22"/>
          <w:lang w:val="en-GB"/>
        </w:rPr>
        <w:t xml:space="preserve"> by clinicians</w:t>
      </w:r>
      <w:r w:rsidRPr="00F37D51">
        <w:rPr>
          <w:rFonts w:asciiTheme="minorHAnsi" w:hAnsiTheme="minorHAnsi" w:cstheme="minorHAnsi"/>
          <w:sz w:val="24"/>
          <w:szCs w:val="22"/>
          <w:lang w:val="en-GB"/>
        </w:rPr>
        <w:t>.</w:t>
      </w:r>
      <w:r>
        <w:rPr>
          <w:rFonts w:asciiTheme="minorHAnsi" w:hAnsiTheme="minorHAnsi" w:cstheme="minorHAnsi"/>
          <w:sz w:val="24"/>
          <w:szCs w:val="22"/>
          <w:lang w:val="en-GB"/>
        </w:rPr>
        <w:t xml:space="preserve"> </w:t>
      </w:r>
    </w:p>
    <w:p w14:paraId="767EF60B" w14:textId="77777777" w:rsidR="00C30067" w:rsidRDefault="00C30067" w:rsidP="00C30067">
      <w:pPr>
        <w:numPr>
          <w:ilvl w:val="0"/>
          <w:numId w:val="18"/>
        </w:numPr>
        <w:spacing w:after="120"/>
        <w:ind w:left="357" w:hanging="357"/>
        <w:rPr>
          <w:rFonts w:asciiTheme="minorHAnsi" w:hAnsiTheme="minorHAnsi" w:cstheme="minorHAnsi"/>
          <w:sz w:val="24"/>
          <w:szCs w:val="22"/>
          <w:lang w:val="en-GB"/>
        </w:rPr>
      </w:pPr>
      <w:r>
        <w:rPr>
          <w:rFonts w:asciiTheme="minorHAnsi" w:hAnsiTheme="minorHAnsi" w:cstheme="minorHAnsi"/>
          <w:sz w:val="24"/>
          <w:szCs w:val="22"/>
          <w:lang w:val="en-GB"/>
        </w:rPr>
        <w:t>However, data show that there is large variation in waiting list numbers which may reflect non-uniform practices in wait listing potential recipients and the management of waiting lists for non-renal organs.</w:t>
      </w:r>
    </w:p>
    <w:p w14:paraId="7FB205C5" w14:textId="77777777" w:rsidR="00C30067" w:rsidRPr="004938CA" w:rsidRDefault="00C30067" w:rsidP="00C30067">
      <w:pPr>
        <w:tabs>
          <w:tab w:val="num" w:pos="720"/>
        </w:tabs>
        <w:spacing w:after="120"/>
        <w:rPr>
          <w:rFonts w:asciiTheme="minorHAnsi" w:hAnsiTheme="minorHAnsi" w:cstheme="minorHAnsi"/>
          <w:i/>
          <w:color w:val="808080" w:themeColor="background1" w:themeShade="80"/>
          <w:sz w:val="26"/>
          <w:szCs w:val="26"/>
        </w:rPr>
      </w:pPr>
      <w:r w:rsidRPr="004938CA">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six is that the OTA, through the TSANZ, oversee a clinical review of waiting list practices and management across all non-renal transplantation units in Australia, including the application of the Clinical Guidelines for non-renal transplantation and data management. The findings from the clinical review should be used to identify best practice in waiting list practices and management, as well as better enabling benchmarking to drive performance improvement across transplantation units. Recommendation seven is that all Australian governments consider strategies to improve access to non-renal outreach clinics for assessment for transplantation, including an emphasis on work up for transplantation as close as possible to the potential recipient’s place of residence."/>
      </w:tblPr>
      <w:tblGrid>
        <w:gridCol w:w="2268"/>
        <w:gridCol w:w="7479"/>
      </w:tblGrid>
      <w:tr w:rsidR="006C3F97" w:rsidRPr="00F37D51" w14:paraId="54699498" w14:textId="77777777" w:rsidTr="00AE3ED1">
        <w:trPr>
          <w:tblHeader/>
        </w:trPr>
        <w:tc>
          <w:tcPr>
            <w:tcW w:w="2268" w:type="dxa"/>
            <w:shd w:val="clear" w:color="auto" w:fill="595959" w:themeFill="text1" w:themeFillTint="A6"/>
          </w:tcPr>
          <w:p w14:paraId="05841F43" w14:textId="5FBAA39C" w:rsidR="006C3F97" w:rsidRDefault="006C3F97" w:rsidP="00AE3ED1">
            <w:pPr>
              <w:spacing w:after="120"/>
              <w:ind w:right="-321"/>
              <w:rPr>
                <w:rFonts w:asciiTheme="minorHAnsi" w:hAnsiTheme="minorHAnsi" w:cstheme="minorHAnsi"/>
                <w:b/>
                <w:sz w:val="24"/>
                <w:szCs w:val="22"/>
                <w:lang w:val="en-GB"/>
              </w:rPr>
            </w:pPr>
            <w:r w:rsidRPr="00BC331F">
              <w:rPr>
                <w:rFonts w:asciiTheme="minorHAnsi" w:hAnsiTheme="minorHAnsi" w:cstheme="minorHAnsi"/>
                <w:b/>
                <w:color w:val="FFFFFF" w:themeColor="background1"/>
                <w:sz w:val="24"/>
                <w:szCs w:val="24"/>
                <w:lang w:val="en-GB"/>
              </w:rPr>
              <w:t>Recommendation</w:t>
            </w:r>
          </w:p>
        </w:tc>
        <w:tc>
          <w:tcPr>
            <w:tcW w:w="7479" w:type="dxa"/>
            <w:shd w:val="clear" w:color="auto" w:fill="595959" w:themeFill="text1" w:themeFillTint="A6"/>
          </w:tcPr>
          <w:p w14:paraId="38B00982" w14:textId="162387D8" w:rsidR="006C3F97" w:rsidRDefault="006C3F97" w:rsidP="00AE3ED1">
            <w:pPr>
              <w:spacing w:after="120"/>
              <w:ind w:right="-142"/>
              <w:rPr>
                <w:rFonts w:asciiTheme="minorHAnsi" w:hAnsiTheme="minorHAnsi" w:cstheme="minorHAnsi"/>
                <w:sz w:val="24"/>
                <w:szCs w:val="22"/>
                <w:lang w:val="en-GB"/>
              </w:rPr>
            </w:pPr>
            <w:r w:rsidRPr="00BC331F">
              <w:rPr>
                <w:rFonts w:asciiTheme="minorHAnsi" w:hAnsiTheme="minorHAnsi" w:cstheme="minorHAnsi"/>
                <w:b/>
                <w:color w:val="FFFFFF" w:themeColor="background1"/>
                <w:sz w:val="24"/>
                <w:szCs w:val="24"/>
                <w:lang w:val="en-GB"/>
              </w:rPr>
              <w:t>Description</w:t>
            </w:r>
          </w:p>
        </w:tc>
      </w:tr>
      <w:tr w:rsidR="00C30067" w:rsidRPr="00F37D51" w14:paraId="073D9CCE" w14:textId="77777777" w:rsidTr="00AE3ED1">
        <w:tc>
          <w:tcPr>
            <w:tcW w:w="2268" w:type="dxa"/>
          </w:tcPr>
          <w:p w14:paraId="6B94477B" w14:textId="77777777" w:rsidR="00C30067" w:rsidRPr="00F37D51" w:rsidRDefault="00C30067" w:rsidP="00AE3ED1">
            <w:pPr>
              <w:spacing w:after="120"/>
              <w:ind w:right="-321"/>
              <w:rPr>
                <w:rFonts w:asciiTheme="minorHAnsi" w:hAnsiTheme="minorHAnsi" w:cstheme="minorHAnsi"/>
                <w:b/>
                <w:sz w:val="24"/>
                <w:szCs w:val="22"/>
                <w:lang w:val="en-GB"/>
              </w:rPr>
            </w:pPr>
            <w:r>
              <w:rPr>
                <w:rFonts w:asciiTheme="minorHAnsi" w:hAnsiTheme="minorHAnsi" w:cstheme="minorHAnsi"/>
                <w:b/>
                <w:sz w:val="24"/>
                <w:szCs w:val="22"/>
                <w:lang w:val="en-GB"/>
              </w:rPr>
              <w:t xml:space="preserve">Recommendation </w:t>
            </w:r>
            <w:r w:rsidR="009B7F7E">
              <w:rPr>
                <w:rFonts w:asciiTheme="minorHAnsi" w:hAnsiTheme="minorHAnsi" w:cstheme="minorHAnsi"/>
                <w:b/>
                <w:sz w:val="24"/>
                <w:szCs w:val="22"/>
                <w:lang w:val="en-GB"/>
              </w:rPr>
              <w:t>6</w:t>
            </w:r>
          </w:p>
        </w:tc>
        <w:tc>
          <w:tcPr>
            <w:tcW w:w="7479" w:type="dxa"/>
          </w:tcPr>
          <w:p w14:paraId="32872FB2" w14:textId="77777777" w:rsidR="00C30067" w:rsidRPr="00F37D51" w:rsidRDefault="00AC2381" w:rsidP="00AE3ED1">
            <w:pPr>
              <w:spacing w:after="120"/>
              <w:ind w:right="-142"/>
              <w:rPr>
                <w:rFonts w:asciiTheme="minorHAnsi" w:hAnsiTheme="minorHAnsi" w:cstheme="minorHAnsi"/>
                <w:sz w:val="24"/>
                <w:szCs w:val="22"/>
                <w:lang w:val="en-GB"/>
              </w:rPr>
            </w:pPr>
            <w:r>
              <w:rPr>
                <w:rFonts w:asciiTheme="minorHAnsi" w:hAnsiTheme="minorHAnsi" w:cstheme="minorHAnsi"/>
                <w:sz w:val="24"/>
                <w:szCs w:val="22"/>
                <w:lang w:val="en-GB"/>
              </w:rPr>
              <w:t xml:space="preserve">The </w:t>
            </w:r>
            <w:r w:rsidR="003558AC">
              <w:rPr>
                <w:rFonts w:asciiTheme="minorHAnsi" w:hAnsiTheme="minorHAnsi" w:cstheme="minorHAnsi"/>
                <w:sz w:val="24"/>
                <w:szCs w:val="22"/>
                <w:lang w:val="en-GB"/>
              </w:rPr>
              <w:t>OTA</w:t>
            </w:r>
            <w:r w:rsidR="00C32315">
              <w:rPr>
                <w:rFonts w:asciiTheme="minorHAnsi" w:hAnsiTheme="minorHAnsi" w:cstheme="minorHAnsi"/>
                <w:sz w:val="24"/>
                <w:szCs w:val="22"/>
                <w:lang w:val="en-GB"/>
              </w:rPr>
              <w:t>, through the TSANZ</w:t>
            </w:r>
            <w:r w:rsidR="00AC1C31">
              <w:rPr>
                <w:rFonts w:asciiTheme="minorHAnsi" w:hAnsiTheme="minorHAnsi" w:cstheme="minorHAnsi"/>
                <w:sz w:val="24"/>
                <w:szCs w:val="22"/>
                <w:lang w:val="en-GB"/>
              </w:rPr>
              <w:t>,</w:t>
            </w:r>
            <w:r w:rsidR="00C32315">
              <w:rPr>
                <w:rFonts w:asciiTheme="minorHAnsi" w:hAnsiTheme="minorHAnsi" w:cstheme="minorHAnsi"/>
                <w:sz w:val="24"/>
                <w:szCs w:val="22"/>
                <w:lang w:val="en-GB"/>
              </w:rPr>
              <w:t xml:space="preserve"> </w:t>
            </w:r>
            <w:r w:rsidR="00C30067">
              <w:rPr>
                <w:rFonts w:asciiTheme="minorHAnsi" w:hAnsiTheme="minorHAnsi" w:cstheme="minorHAnsi"/>
                <w:sz w:val="24"/>
                <w:szCs w:val="22"/>
                <w:lang w:val="en-GB"/>
              </w:rPr>
              <w:t xml:space="preserve">oversee a </w:t>
            </w:r>
            <w:r>
              <w:rPr>
                <w:rFonts w:asciiTheme="minorHAnsi" w:hAnsiTheme="minorHAnsi" w:cstheme="minorHAnsi"/>
                <w:sz w:val="24"/>
                <w:szCs w:val="22"/>
                <w:lang w:val="en-GB"/>
              </w:rPr>
              <w:t>c</w:t>
            </w:r>
            <w:r w:rsidR="00016581">
              <w:rPr>
                <w:rFonts w:asciiTheme="minorHAnsi" w:hAnsiTheme="minorHAnsi" w:cstheme="minorHAnsi"/>
                <w:sz w:val="24"/>
                <w:szCs w:val="22"/>
                <w:lang w:val="en-GB"/>
              </w:rPr>
              <w:t xml:space="preserve">linical </w:t>
            </w:r>
            <w:r>
              <w:rPr>
                <w:rFonts w:asciiTheme="minorHAnsi" w:hAnsiTheme="minorHAnsi" w:cstheme="minorHAnsi"/>
                <w:sz w:val="24"/>
                <w:szCs w:val="22"/>
                <w:lang w:val="en-GB"/>
              </w:rPr>
              <w:t>r</w:t>
            </w:r>
            <w:r w:rsidR="003341CC">
              <w:rPr>
                <w:rFonts w:asciiTheme="minorHAnsi" w:hAnsiTheme="minorHAnsi" w:cstheme="minorHAnsi"/>
                <w:sz w:val="24"/>
                <w:szCs w:val="22"/>
                <w:lang w:val="en-GB"/>
              </w:rPr>
              <w:t>eview</w:t>
            </w:r>
            <w:r w:rsidR="00C30067">
              <w:rPr>
                <w:rFonts w:asciiTheme="minorHAnsi" w:hAnsiTheme="minorHAnsi" w:cstheme="minorHAnsi"/>
                <w:sz w:val="24"/>
                <w:szCs w:val="22"/>
                <w:lang w:val="en-GB"/>
              </w:rPr>
              <w:t xml:space="preserve"> of wait</w:t>
            </w:r>
            <w:r w:rsidR="00595193">
              <w:rPr>
                <w:rFonts w:asciiTheme="minorHAnsi" w:hAnsiTheme="minorHAnsi" w:cstheme="minorHAnsi"/>
                <w:sz w:val="24"/>
                <w:szCs w:val="22"/>
                <w:lang w:val="en-GB"/>
              </w:rPr>
              <w:t>ing</w:t>
            </w:r>
            <w:r w:rsidR="00C30067">
              <w:rPr>
                <w:rFonts w:asciiTheme="minorHAnsi" w:hAnsiTheme="minorHAnsi" w:cstheme="minorHAnsi"/>
                <w:sz w:val="24"/>
                <w:szCs w:val="22"/>
                <w:lang w:val="en-GB"/>
              </w:rPr>
              <w:t xml:space="preserve"> list practices and management across all non-renal transplantation units in Australia, including the application of the Clinical Guidelines for non-renal </w:t>
            </w:r>
            <w:r w:rsidR="00C30067" w:rsidRPr="00FC0FD7">
              <w:rPr>
                <w:rFonts w:asciiTheme="minorHAnsi" w:hAnsiTheme="minorHAnsi" w:cstheme="minorHAnsi"/>
                <w:sz w:val="24"/>
                <w:szCs w:val="22"/>
                <w:lang w:val="en-GB"/>
              </w:rPr>
              <w:t>transplantation and data management.</w:t>
            </w:r>
            <w:r w:rsidR="00016581" w:rsidRPr="00FC0FD7">
              <w:rPr>
                <w:rFonts w:asciiTheme="minorHAnsi" w:hAnsiTheme="minorHAnsi" w:cstheme="minorHAnsi"/>
                <w:sz w:val="24"/>
                <w:szCs w:val="22"/>
                <w:lang w:val="en-GB"/>
              </w:rPr>
              <w:t xml:space="preserve"> The findings from the </w:t>
            </w:r>
            <w:r w:rsidRPr="00EF2596">
              <w:rPr>
                <w:rFonts w:asciiTheme="minorHAnsi" w:hAnsiTheme="minorHAnsi" w:cstheme="minorHAnsi"/>
                <w:sz w:val="24"/>
                <w:szCs w:val="22"/>
                <w:lang w:val="en-GB"/>
              </w:rPr>
              <w:t>c</w:t>
            </w:r>
            <w:r w:rsidR="00016581" w:rsidRPr="00FC0FD7">
              <w:rPr>
                <w:rFonts w:asciiTheme="minorHAnsi" w:hAnsiTheme="minorHAnsi" w:cstheme="minorHAnsi"/>
                <w:sz w:val="24"/>
                <w:szCs w:val="22"/>
                <w:lang w:val="en-GB"/>
              </w:rPr>
              <w:t xml:space="preserve">linical </w:t>
            </w:r>
            <w:r w:rsidRPr="00EF2596">
              <w:rPr>
                <w:rFonts w:asciiTheme="minorHAnsi" w:hAnsiTheme="minorHAnsi" w:cstheme="minorHAnsi"/>
                <w:sz w:val="24"/>
                <w:szCs w:val="22"/>
                <w:lang w:val="en-GB"/>
              </w:rPr>
              <w:t>r</w:t>
            </w:r>
            <w:r w:rsidR="00016581" w:rsidRPr="00FC0FD7">
              <w:rPr>
                <w:rFonts w:asciiTheme="minorHAnsi" w:hAnsiTheme="minorHAnsi" w:cstheme="minorHAnsi"/>
                <w:sz w:val="24"/>
                <w:szCs w:val="22"/>
                <w:lang w:val="en-GB"/>
              </w:rPr>
              <w:t>eview should be used to identify best practice in wait</w:t>
            </w:r>
            <w:r w:rsidR="00595193">
              <w:rPr>
                <w:rFonts w:asciiTheme="minorHAnsi" w:hAnsiTheme="minorHAnsi" w:cstheme="minorHAnsi"/>
                <w:sz w:val="24"/>
                <w:szCs w:val="22"/>
                <w:lang w:val="en-GB"/>
              </w:rPr>
              <w:t>ing</w:t>
            </w:r>
            <w:r w:rsidR="00016581" w:rsidRPr="00FC0FD7">
              <w:rPr>
                <w:rFonts w:asciiTheme="minorHAnsi" w:hAnsiTheme="minorHAnsi" w:cstheme="minorHAnsi"/>
                <w:sz w:val="24"/>
                <w:szCs w:val="22"/>
                <w:lang w:val="en-GB"/>
              </w:rPr>
              <w:t xml:space="preserve"> list practices and management</w:t>
            </w:r>
            <w:r w:rsidR="005A62C5">
              <w:rPr>
                <w:rFonts w:asciiTheme="minorHAnsi" w:hAnsiTheme="minorHAnsi" w:cstheme="minorHAnsi"/>
                <w:sz w:val="24"/>
                <w:szCs w:val="22"/>
                <w:lang w:val="en-GB"/>
              </w:rPr>
              <w:t xml:space="preserve">, as well as better enabling </w:t>
            </w:r>
            <w:r w:rsidR="00016581">
              <w:rPr>
                <w:rFonts w:asciiTheme="minorHAnsi" w:hAnsiTheme="minorHAnsi" w:cstheme="minorHAnsi"/>
                <w:sz w:val="24"/>
                <w:szCs w:val="22"/>
                <w:lang w:val="en-GB"/>
              </w:rPr>
              <w:t>benchmarking to drive performance improvement across transplant</w:t>
            </w:r>
            <w:r w:rsidR="005A62C5">
              <w:rPr>
                <w:rFonts w:asciiTheme="minorHAnsi" w:hAnsiTheme="minorHAnsi" w:cstheme="minorHAnsi"/>
                <w:sz w:val="24"/>
                <w:szCs w:val="22"/>
                <w:lang w:val="en-GB"/>
              </w:rPr>
              <w:t>ation</w:t>
            </w:r>
            <w:r w:rsidR="00016581">
              <w:rPr>
                <w:rFonts w:asciiTheme="minorHAnsi" w:hAnsiTheme="minorHAnsi" w:cstheme="minorHAnsi"/>
                <w:sz w:val="24"/>
                <w:szCs w:val="22"/>
                <w:lang w:val="en-GB"/>
              </w:rPr>
              <w:t xml:space="preserve"> units.</w:t>
            </w:r>
          </w:p>
        </w:tc>
      </w:tr>
      <w:tr w:rsidR="00C30067" w:rsidRPr="00F37D51" w14:paraId="3CBECC0B" w14:textId="77777777" w:rsidTr="00AE3ED1">
        <w:tc>
          <w:tcPr>
            <w:tcW w:w="2268" w:type="dxa"/>
          </w:tcPr>
          <w:p w14:paraId="61B535D8" w14:textId="77777777" w:rsidR="00C30067" w:rsidRDefault="00C30067" w:rsidP="00AE3ED1">
            <w:pPr>
              <w:spacing w:after="120"/>
              <w:ind w:right="-321"/>
              <w:rPr>
                <w:rFonts w:asciiTheme="minorHAnsi" w:hAnsiTheme="minorHAnsi" w:cstheme="minorHAnsi"/>
                <w:b/>
                <w:sz w:val="24"/>
                <w:szCs w:val="22"/>
                <w:lang w:val="en-GB"/>
              </w:rPr>
            </w:pPr>
            <w:r>
              <w:rPr>
                <w:rFonts w:asciiTheme="minorHAnsi" w:hAnsiTheme="minorHAnsi" w:cstheme="minorHAnsi"/>
                <w:b/>
                <w:sz w:val="24"/>
                <w:szCs w:val="22"/>
                <w:lang w:val="en-GB"/>
              </w:rPr>
              <w:t xml:space="preserve">Recommendation </w:t>
            </w:r>
            <w:r w:rsidR="00534F66">
              <w:rPr>
                <w:rFonts w:asciiTheme="minorHAnsi" w:hAnsiTheme="minorHAnsi" w:cstheme="minorHAnsi"/>
                <w:b/>
                <w:sz w:val="24"/>
                <w:szCs w:val="22"/>
                <w:lang w:val="en-GB"/>
              </w:rPr>
              <w:t>7</w:t>
            </w:r>
          </w:p>
        </w:tc>
        <w:tc>
          <w:tcPr>
            <w:tcW w:w="7479" w:type="dxa"/>
          </w:tcPr>
          <w:p w14:paraId="7FDF8358" w14:textId="77777777" w:rsidR="00C30067" w:rsidRDefault="00B6004E" w:rsidP="00AE3ED1">
            <w:pPr>
              <w:spacing w:after="120"/>
              <w:ind w:right="-142"/>
              <w:rPr>
                <w:rFonts w:asciiTheme="minorHAnsi" w:hAnsiTheme="minorHAnsi" w:cstheme="minorHAnsi"/>
                <w:sz w:val="24"/>
                <w:szCs w:val="22"/>
                <w:lang w:val="en-GB"/>
              </w:rPr>
            </w:pPr>
            <w:r>
              <w:rPr>
                <w:rFonts w:asciiTheme="minorHAnsi" w:hAnsiTheme="minorHAnsi" w:cstheme="minorHAnsi"/>
                <w:sz w:val="24"/>
                <w:szCs w:val="22"/>
                <w:lang w:val="en-GB"/>
              </w:rPr>
              <w:t>All Australian governments</w:t>
            </w:r>
            <w:r w:rsidR="00C30067">
              <w:rPr>
                <w:rFonts w:asciiTheme="minorHAnsi" w:hAnsiTheme="minorHAnsi" w:cstheme="minorHAnsi"/>
                <w:sz w:val="24"/>
                <w:szCs w:val="22"/>
                <w:lang w:val="en-GB"/>
              </w:rPr>
              <w:t xml:space="preserve"> consider strategies to improve access to non-renal outreach clinics for assessment for transplant</w:t>
            </w:r>
            <w:r w:rsidR="003341CC">
              <w:rPr>
                <w:rFonts w:asciiTheme="minorHAnsi" w:hAnsiTheme="minorHAnsi" w:cstheme="minorHAnsi"/>
                <w:sz w:val="24"/>
                <w:szCs w:val="22"/>
                <w:lang w:val="en-GB"/>
              </w:rPr>
              <w:t>ation</w:t>
            </w:r>
            <w:r w:rsidR="00DE47D3">
              <w:rPr>
                <w:rFonts w:asciiTheme="minorHAnsi" w:hAnsiTheme="minorHAnsi" w:cstheme="minorHAnsi"/>
                <w:sz w:val="24"/>
                <w:szCs w:val="22"/>
                <w:lang w:val="en-GB"/>
              </w:rPr>
              <w:t>, including an emphasis on work up for transplantation as close as possible to the potential recipient’s place of residence</w:t>
            </w:r>
            <w:r w:rsidR="00C30067">
              <w:rPr>
                <w:rFonts w:asciiTheme="minorHAnsi" w:hAnsiTheme="minorHAnsi" w:cstheme="minorHAnsi"/>
                <w:sz w:val="24"/>
                <w:szCs w:val="22"/>
                <w:lang w:val="en-GB"/>
              </w:rPr>
              <w:t>.</w:t>
            </w:r>
          </w:p>
        </w:tc>
      </w:tr>
    </w:tbl>
    <w:p w14:paraId="7EA68C3F" w14:textId="77777777" w:rsidR="00C30067" w:rsidRPr="00266A77" w:rsidRDefault="00C30067" w:rsidP="00C30067">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602" w:name="_Ref527624427"/>
      <w:r w:rsidRPr="00266A77">
        <w:rPr>
          <w:rFonts w:asciiTheme="minorHAnsi" w:hAnsiTheme="minorHAnsi" w:cstheme="minorHAnsi"/>
          <w:b w:val="0"/>
          <w:color w:val="7F7F7F" w:themeColor="text1" w:themeTint="80"/>
          <w:sz w:val="30"/>
          <w:szCs w:val="30"/>
        </w:rPr>
        <w:t>The assessment process prior to transplantation</w:t>
      </w:r>
      <w:r>
        <w:rPr>
          <w:rFonts w:asciiTheme="minorHAnsi" w:hAnsiTheme="minorHAnsi" w:cstheme="minorHAnsi"/>
          <w:b w:val="0"/>
          <w:color w:val="7F7F7F" w:themeColor="text1" w:themeTint="80"/>
          <w:sz w:val="30"/>
          <w:szCs w:val="30"/>
        </w:rPr>
        <w:t xml:space="preserve"> (renal organs)</w:t>
      </w:r>
      <w:bookmarkEnd w:id="602"/>
    </w:p>
    <w:p w14:paraId="565F4D50" w14:textId="77777777" w:rsidR="00C30067" w:rsidRDefault="00C30067" w:rsidP="00C30067">
      <w:pPr>
        <w:tabs>
          <w:tab w:val="num" w:pos="720"/>
        </w:tabs>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The Review found that there is widespread variability in</w:t>
      </w:r>
      <w:r>
        <w:rPr>
          <w:rFonts w:asciiTheme="minorHAnsi" w:hAnsiTheme="minorHAnsi" w:cstheme="minorHAnsi"/>
          <w:sz w:val="24"/>
          <w:szCs w:val="22"/>
          <w:lang w:val="en-GB"/>
        </w:rPr>
        <w:t>: (1)</w:t>
      </w:r>
      <w:r w:rsidRPr="00F37D51">
        <w:rPr>
          <w:rFonts w:asciiTheme="minorHAnsi" w:hAnsiTheme="minorHAnsi" w:cstheme="minorHAnsi"/>
          <w:sz w:val="24"/>
          <w:szCs w:val="22"/>
          <w:lang w:val="en-GB"/>
        </w:rPr>
        <w:t xml:space="preserve"> the use of assessment criteria </w:t>
      </w:r>
      <w:r>
        <w:rPr>
          <w:rFonts w:asciiTheme="minorHAnsi" w:hAnsiTheme="minorHAnsi" w:cstheme="minorHAnsi"/>
          <w:sz w:val="24"/>
          <w:szCs w:val="22"/>
          <w:lang w:val="en-GB"/>
        </w:rPr>
        <w:t>used to</w:t>
      </w:r>
      <w:r w:rsidRPr="00F37D51">
        <w:rPr>
          <w:rFonts w:asciiTheme="minorHAnsi" w:hAnsiTheme="minorHAnsi" w:cstheme="minorHAnsi"/>
          <w:sz w:val="24"/>
          <w:szCs w:val="22"/>
          <w:lang w:val="en-GB"/>
        </w:rPr>
        <w:t xml:space="preserve"> assess potential kidney transplant recipients</w:t>
      </w:r>
      <w:r>
        <w:rPr>
          <w:rFonts w:asciiTheme="minorHAnsi" w:hAnsiTheme="minorHAnsi" w:cstheme="minorHAnsi"/>
          <w:sz w:val="24"/>
          <w:szCs w:val="22"/>
          <w:lang w:val="en-GB"/>
        </w:rPr>
        <w:t>; and (2)</w:t>
      </w:r>
      <w:r w:rsidRPr="00F37D51">
        <w:rPr>
          <w:rFonts w:asciiTheme="minorHAnsi" w:hAnsiTheme="minorHAnsi" w:cstheme="minorHAnsi"/>
          <w:sz w:val="24"/>
          <w:szCs w:val="22"/>
          <w:lang w:val="en-GB"/>
        </w:rPr>
        <w:t xml:space="preserve"> the process used to manage patients on the </w:t>
      </w:r>
      <w:r>
        <w:rPr>
          <w:rFonts w:asciiTheme="minorHAnsi" w:hAnsiTheme="minorHAnsi" w:cstheme="minorHAnsi"/>
          <w:sz w:val="24"/>
          <w:szCs w:val="22"/>
          <w:lang w:val="en-GB"/>
        </w:rPr>
        <w:t xml:space="preserve">kidney </w:t>
      </w:r>
      <w:r w:rsidR="00E634FA">
        <w:rPr>
          <w:rFonts w:asciiTheme="minorHAnsi" w:hAnsiTheme="minorHAnsi" w:cstheme="minorHAnsi"/>
          <w:sz w:val="24"/>
          <w:szCs w:val="22"/>
          <w:lang w:val="en-GB"/>
        </w:rPr>
        <w:t>transplantation waiting list</w:t>
      </w:r>
      <w:r>
        <w:rPr>
          <w:rFonts w:asciiTheme="minorHAnsi" w:hAnsiTheme="minorHAnsi" w:cstheme="minorHAnsi"/>
          <w:sz w:val="24"/>
          <w:szCs w:val="22"/>
          <w:lang w:val="en-GB"/>
        </w:rPr>
        <w:t xml:space="preserve">.  </w:t>
      </w:r>
    </w:p>
    <w:p w14:paraId="2125DCCB" w14:textId="77777777" w:rsidR="00C30067" w:rsidRPr="00266A77" w:rsidRDefault="00C30067" w:rsidP="002A27FE">
      <w:pPr>
        <w:tabs>
          <w:tab w:val="num" w:pos="720"/>
        </w:tabs>
        <w:spacing w:before="240"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Discussion of findings</w:t>
      </w:r>
    </w:p>
    <w:p w14:paraId="44940C59" w14:textId="77777777" w:rsidR="00C30067" w:rsidRPr="00266A77" w:rsidRDefault="00C30067" w:rsidP="00C30067">
      <w:pPr>
        <w:tabs>
          <w:tab w:val="num" w:pos="720"/>
        </w:tabs>
        <w:spacing w:after="120"/>
        <w:rPr>
          <w:rFonts w:asciiTheme="minorHAnsi" w:hAnsiTheme="minorHAnsi" w:cstheme="minorHAnsi"/>
          <w:color w:val="7F7F7F" w:themeColor="text1" w:themeTint="80"/>
          <w:sz w:val="24"/>
          <w:szCs w:val="22"/>
          <w:lang w:val="en-GB"/>
        </w:rPr>
      </w:pPr>
      <w:r w:rsidRPr="00266A77">
        <w:rPr>
          <w:rFonts w:asciiTheme="minorHAnsi" w:hAnsiTheme="minorHAnsi" w:cstheme="minorHAnsi"/>
          <w:color w:val="7F7F7F" w:themeColor="text1" w:themeTint="80"/>
          <w:sz w:val="24"/>
          <w:szCs w:val="22"/>
          <w:lang w:val="en-GB"/>
        </w:rPr>
        <w:t>Assessment</w:t>
      </w:r>
    </w:p>
    <w:p w14:paraId="7EAA796F" w14:textId="77777777" w:rsidR="00C30067" w:rsidRDefault="00C30067"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The Review found that unlike assessment for non-renal organs, a considerable portion of the a</w:t>
      </w:r>
      <w:r w:rsidRPr="00F37D51">
        <w:rPr>
          <w:rFonts w:asciiTheme="minorHAnsi" w:hAnsiTheme="minorHAnsi" w:cstheme="minorHAnsi"/>
          <w:sz w:val="24"/>
          <w:szCs w:val="22"/>
          <w:lang w:val="en-GB"/>
        </w:rPr>
        <w:t xml:space="preserve">ssessment for </w:t>
      </w:r>
      <w:r>
        <w:rPr>
          <w:rFonts w:asciiTheme="minorHAnsi" w:hAnsiTheme="minorHAnsi" w:cstheme="minorHAnsi"/>
          <w:sz w:val="24"/>
          <w:szCs w:val="22"/>
          <w:lang w:val="en-GB"/>
        </w:rPr>
        <w:t xml:space="preserve">a </w:t>
      </w:r>
      <w:r w:rsidRPr="00F37D51">
        <w:rPr>
          <w:rFonts w:asciiTheme="minorHAnsi" w:hAnsiTheme="minorHAnsi" w:cstheme="minorHAnsi"/>
          <w:sz w:val="24"/>
          <w:szCs w:val="22"/>
          <w:lang w:val="en-GB"/>
        </w:rPr>
        <w:t>kidney transplant</w:t>
      </w:r>
      <w:r>
        <w:rPr>
          <w:rFonts w:asciiTheme="minorHAnsi" w:hAnsiTheme="minorHAnsi" w:cstheme="minorHAnsi"/>
          <w:sz w:val="24"/>
          <w:szCs w:val="22"/>
          <w:lang w:val="en-GB"/>
        </w:rPr>
        <w:t>ation</w:t>
      </w:r>
      <w:r w:rsidRPr="00F37D51">
        <w:rPr>
          <w:rFonts w:asciiTheme="minorHAnsi" w:hAnsiTheme="minorHAnsi" w:cstheme="minorHAnsi"/>
          <w:sz w:val="24"/>
          <w:szCs w:val="22"/>
          <w:lang w:val="en-GB"/>
        </w:rPr>
        <w:t xml:space="preserve"> can take place </w:t>
      </w:r>
      <w:r>
        <w:rPr>
          <w:rFonts w:asciiTheme="minorHAnsi" w:hAnsiTheme="minorHAnsi" w:cstheme="minorHAnsi"/>
          <w:sz w:val="24"/>
          <w:szCs w:val="22"/>
          <w:lang w:val="en-GB"/>
        </w:rPr>
        <w:t>close to</w:t>
      </w:r>
      <w:r w:rsidRPr="00F37D51">
        <w:rPr>
          <w:rFonts w:asciiTheme="minorHAnsi" w:hAnsiTheme="minorHAnsi" w:cstheme="minorHAnsi"/>
          <w:sz w:val="24"/>
          <w:szCs w:val="22"/>
          <w:lang w:val="en-GB"/>
        </w:rPr>
        <w:t xml:space="preserve"> the </w:t>
      </w:r>
      <w:r>
        <w:rPr>
          <w:rFonts w:asciiTheme="minorHAnsi" w:hAnsiTheme="minorHAnsi" w:cstheme="minorHAnsi"/>
          <w:sz w:val="24"/>
          <w:szCs w:val="22"/>
          <w:lang w:val="en-GB"/>
        </w:rPr>
        <w:t xml:space="preserve">potential </w:t>
      </w:r>
      <w:r w:rsidRPr="00F37D51">
        <w:rPr>
          <w:rFonts w:asciiTheme="minorHAnsi" w:hAnsiTheme="minorHAnsi" w:cstheme="minorHAnsi"/>
          <w:sz w:val="24"/>
          <w:szCs w:val="22"/>
          <w:lang w:val="en-GB"/>
        </w:rPr>
        <w:t xml:space="preserve">recipient’s local </w:t>
      </w:r>
      <w:r>
        <w:rPr>
          <w:rFonts w:asciiTheme="minorHAnsi" w:hAnsiTheme="minorHAnsi" w:cstheme="minorHAnsi"/>
          <w:sz w:val="24"/>
          <w:szCs w:val="22"/>
          <w:lang w:val="en-GB"/>
        </w:rPr>
        <w:t xml:space="preserve">residence. This is due the capability and capacity of renal </w:t>
      </w:r>
      <w:r w:rsidR="003558AC">
        <w:rPr>
          <w:rFonts w:asciiTheme="minorHAnsi" w:hAnsiTheme="minorHAnsi" w:cstheme="minorHAnsi"/>
          <w:sz w:val="24"/>
          <w:szCs w:val="22"/>
          <w:lang w:val="en-GB"/>
        </w:rPr>
        <w:t xml:space="preserve">and general medical </w:t>
      </w:r>
      <w:r>
        <w:rPr>
          <w:rFonts w:asciiTheme="minorHAnsi" w:hAnsiTheme="minorHAnsi" w:cstheme="minorHAnsi"/>
          <w:sz w:val="24"/>
          <w:szCs w:val="22"/>
          <w:lang w:val="en-GB"/>
        </w:rPr>
        <w:t xml:space="preserve">services in non-tertiary settings. </w:t>
      </w:r>
      <w:r w:rsidRPr="00F37D51">
        <w:rPr>
          <w:rFonts w:asciiTheme="minorHAnsi" w:hAnsiTheme="minorHAnsi" w:cstheme="minorHAnsi"/>
          <w:sz w:val="24"/>
          <w:szCs w:val="22"/>
          <w:lang w:val="en-GB"/>
        </w:rPr>
        <w:t>Where assessment took place in the</w:t>
      </w:r>
      <w:r>
        <w:rPr>
          <w:rFonts w:asciiTheme="minorHAnsi" w:hAnsiTheme="minorHAnsi" w:cstheme="minorHAnsi"/>
          <w:sz w:val="24"/>
          <w:szCs w:val="22"/>
          <w:lang w:val="en-GB"/>
        </w:rPr>
        <w:t xml:space="preserve"> potential recipient’s</w:t>
      </w:r>
      <w:r w:rsidRPr="00F37D51">
        <w:rPr>
          <w:rFonts w:asciiTheme="minorHAnsi" w:hAnsiTheme="minorHAnsi" w:cstheme="minorHAnsi"/>
          <w:sz w:val="24"/>
          <w:szCs w:val="22"/>
          <w:lang w:val="en-GB"/>
        </w:rPr>
        <w:t xml:space="preserve"> local area,</w:t>
      </w:r>
      <w:r>
        <w:rPr>
          <w:rFonts w:asciiTheme="minorHAnsi" w:hAnsiTheme="minorHAnsi" w:cstheme="minorHAnsi"/>
          <w:sz w:val="24"/>
          <w:szCs w:val="22"/>
          <w:lang w:val="en-GB"/>
        </w:rPr>
        <w:t xml:space="preserve"> and this was outside of a metropolitan area,</w:t>
      </w:r>
      <w:r w:rsidRPr="00F37D51">
        <w:rPr>
          <w:rFonts w:asciiTheme="minorHAnsi" w:hAnsiTheme="minorHAnsi" w:cstheme="minorHAnsi"/>
          <w:sz w:val="24"/>
          <w:szCs w:val="22"/>
          <w:lang w:val="en-GB"/>
        </w:rPr>
        <w:t xml:space="preserve"> this was often assisted by outreach clinics run by transplant physicians or </w:t>
      </w:r>
      <w:r>
        <w:rPr>
          <w:rFonts w:asciiTheme="minorHAnsi" w:hAnsiTheme="minorHAnsi" w:cstheme="minorHAnsi"/>
          <w:sz w:val="24"/>
          <w:szCs w:val="22"/>
          <w:lang w:val="en-GB"/>
        </w:rPr>
        <w:t xml:space="preserve">by </w:t>
      </w:r>
      <w:r w:rsidRPr="00F37D51">
        <w:rPr>
          <w:rFonts w:asciiTheme="minorHAnsi" w:hAnsiTheme="minorHAnsi" w:cstheme="minorHAnsi"/>
          <w:sz w:val="24"/>
          <w:szCs w:val="22"/>
          <w:lang w:val="en-GB"/>
        </w:rPr>
        <w:t>physicians that ha</w:t>
      </w:r>
      <w:r>
        <w:rPr>
          <w:rFonts w:asciiTheme="minorHAnsi" w:hAnsiTheme="minorHAnsi" w:cstheme="minorHAnsi"/>
          <w:sz w:val="24"/>
          <w:szCs w:val="22"/>
          <w:lang w:val="en-GB"/>
        </w:rPr>
        <w:t>ve</w:t>
      </w:r>
      <w:r w:rsidRPr="00F37D51">
        <w:rPr>
          <w:rFonts w:asciiTheme="minorHAnsi" w:hAnsiTheme="minorHAnsi" w:cstheme="minorHAnsi"/>
          <w:sz w:val="24"/>
          <w:szCs w:val="22"/>
          <w:lang w:val="en-GB"/>
        </w:rPr>
        <w:t xml:space="preserve"> been trained within the state-based transplant</w:t>
      </w:r>
      <w:r w:rsidR="00F46C80">
        <w:rPr>
          <w:rFonts w:asciiTheme="minorHAnsi" w:hAnsiTheme="minorHAnsi" w:cstheme="minorHAnsi"/>
          <w:sz w:val="24"/>
          <w:szCs w:val="22"/>
          <w:lang w:val="en-GB"/>
        </w:rPr>
        <w:t>ation</w:t>
      </w:r>
      <w:r w:rsidRPr="00F37D51">
        <w:rPr>
          <w:rFonts w:asciiTheme="minorHAnsi" w:hAnsiTheme="minorHAnsi" w:cstheme="minorHAnsi"/>
          <w:sz w:val="24"/>
          <w:szCs w:val="22"/>
          <w:lang w:val="en-GB"/>
        </w:rPr>
        <w:t xml:space="preserve"> unit</w:t>
      </w:r>
      <w:r>
        <w:rPr>
          <w:rFonts w:asciiTheme="minorHAnsi" w:hAnsiTheme="minorHAnsi" w:cstheme="minorHAnsi"/>
          <w:sz w:val="24"/>
          <w:szCs w:val="22"/>
          <w:lang w:val="en-GB"/>
        </w:rPr>
        <w:t>. In all other cases, assessment for kidney transplantation will take place</w:t>
      </w:r>
      <w:r w:rsidRPr="00F37D51">
        <w:rPr>
          <w:rFonts w:asciiTheme="minorHAnsi" w:hAnsiTheme="minorHAnsi" w:cstheme="minorHAnsi"/>
          <w:sz w:val="24"/>
          <w:szCs w:val="22"/>
          <w:lang w:val="en-GB"/>
        </w:rPr>
        <w:t xml:space="preserve"> at the transplant</w:t>
      </w:r>
      <w:r w:rsidR="00F46C80">
        <w:rPr>
          <w:rFonts w:asciiTheme="minorHAnsi" w:hAnsiTheme="minorHAnsi" w:cstheme="minorHAnsi"/>
          <w:sz w:val="24"/>
          <w:szCs w:val="22"/>
          <w:lang w:val="en-GB"/>
        </w:rPr>
        <w:t>ation</w:t>
      </w:r>
      <w:r w:rsidRPr="00F37D51">
        <w:rPr>
          <w:rFonts w:asciiTheme="minorHAnsi" w:hAnsiTheme="minorHAnsi" w:cstheme="minorHAnsi"/>
          <w:sz w:val="24"/>
          <w:szCs w:val="22"/>
          <w:lang w:val="en-GB"/>
        </w:rPr>
        <w:t xml:space="preserve"> unit.  </w:t>
      </w:r>
    </w:p>
    <w:p w14:paraId="3E8C6BE5" w14:textId="21EFD691" w:rsidR="00C30067" w:rsidRDefault="00C30067"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The Review found that barriers to assessment were more likely experienced by those who lived in rural and remote regions. </w:t>
      </w:r>
      <w:r w:rsidRPr="004938CA">
        <w:rPr>
          <w:rFonts w:asciiTheme="minorHAnsi" w:hAnsiTheme="minorHAnsi" w:cstheme="minorHAnsi"/>
          <w:sz w:val="24"/>
          <w:szCs w:val="22"/>
          <w:lang w:val="en-GB"/>
        </w:rPr>
        <w:t>Of the 12,706 patients on dialysis</w:t>
      </w:r>
      <w:r>
        <w:rPr>
          <w:rFonts w:asciiTheme="minorHAnsi" w:hAnsiTheme="minorHAnsi" w:cstheme="minorHAnsi"/>
          <w:sz w:val="24"/>
          <w:szCs w:val="22"/>
          <w:lang w:val="en-GB"/>
        </w:rPr>
        <w:t xml:space="preserve"> and requiring a kidney transplant in 2016</w:t>
      </w:r>
      <w:r w:rsidRPr="004938CA">
        <w:rPr>
          <w:rFonts w:asciiTheme="minorHAnsi" w:hAnsiTheme="minorHAnsi" w:cstheme="minorHAnsi"/>
          <w:sz w:val="24"/>
          <w:szCs w:val="22"/>
          <w:lang w:val="en-GB"/>
        </w:rPr>
        <w:t xml:space="preserve">, 619 patients were located in either remote or very remote </w:t>
      </w:r>
      <w:r>
        <w:rPr>
          <w:rFonts w:asciiTheme="minorHAnsi" w:hAnsiTheme="minorHAnsi" w:cstheme="minorHAnsi"/>
          <w:sz w:val="24"/>
          <w:szCs w:val="22"/>
          <w:lang w:val="en-GB"/>
        </w:rPr>
        <w:t>locations in the Northern Territory, Western Australia or Queensland (</w:t>
      </w:r>
      <w:r w:rsidRPr="004938CA">
        <w:rPr>
          <w:rFonts w:asciiTheme="minorHAnsi" w:hAnsiTheme="minorHAnsi" w:cstheme="minorHAnsi"/>
          <w:sz w:val="24"/>
          <w:szCs w:val="22"/>
          <w:lang w:val="en-GB"/>
        </w:rPr>
        <w:t>96</w:t>
      </w:r>
      <w:r>
        <w:rPr>
          <w:rFonts w:asciiTheme="minorHAnsi" w:hAnsiTheme="minorHAnsi" w:cstheme="minorHAnsi"/>
          <w:sz w:val="24"/>
          <w:szCs w:val="22"/>
          <w:lang w:val="en-GB"/>
        </w:rPr>
        <w:t xml:space="preserve"> per cent</w:t>
      </w:r>
      <w:r w:rsidRPr="004938CA">
        <w:rPr>
          <w:rFonts w:asciiTheme="minorHAnsi" w:hAnsiTheme="minorHAnsi" w:cstheme="minorHAnsi"/>
          <w:sz w:val="24"/>
          <w:szCs w:val="22"/>
          <w:lang w:val="en-GB"/>
        </w:rPr>
        <w:t xml:space="preserve"> of these patients identified as Aboriginal and</w:t>
      </w:r>
      <w:r w:rsidR="007C1C9B">
        <w:rPr>
          <w:rFonts w:asciiTheme="minorHAnsi" w:hAnsiTheme="minorHAnsi" w:cstheme="minorHAnsi"/>
          <w:sz w:val="24"/>
          <w:szCs w:val="22"/>
          <w:lang w:val="en-GB"/>
        </w:rPr>
        <w:t xml:space="preserve"> </w:t>
      </w:r>
      <w:r w:rsidRPr="004938CA">
        <w:rPr>
          <w:rFonts w:asciiTheme="minorHAnsi" w:hAnsiTheme="minorHAnsi" w:cstheme="minorHAnsi"/>
          <w:sz w:val="24"/>
          <w:szCs w:val="22"/>
          <w:lang w:val="en-GB"/>
        </w:rPr>
        <w:t>Torres Strait Islander</w:t>
      </w:r>
      <w:r>
        <w:rPr>
          <w:rFonts w:asciiTheme="minorHAnsi" w:hAnsiTheme="minorHAnsi" w:cstheme="minorHAnsi"/>
          <w:sz w:val="24"/>
          <w:szCs w:val="22"/>
          <w:lang w:val="en-GB"/>
        </w:rPr>
        <w:t>)</w:t>
      </w:r>
      <w:r w:rsidRPr="004938CA">
        <w:rPr>
          <w:rFonts w:asciiTheme="minorHAnsi" w:hAnsiTheme="minorHAnsi" w:cstheme="minorHAnsi"/>
          <w:sz w:val="24"/>
          <w:szCs w:val="22"/>
          <w:lang w:val="en-GB"/>
        </w:rPr>
        <w:t>.</w:t>
      </w:r>
      <w:r w:rsidR="009E41B8" w:rsidRPr="00EF2596">
        <w:rPr>
          <w:rStyle w:val="FootnoteReference"/>
          <w:rFonts w:asciiTheme="minorHAnsi" w:hAnsiTheme="minorHAnsi" w:cstheme="minorHAnsi"/>
          <w:lang w:val="en-GB"/>
        </w:rPr>
        <w:footnoteReference w:id="83"/>
      </w:r>
      <w:r w:rsidRPr="004938CA">
        <w:rPr>
          <w:rFonts w:asciiTheme="minorHAnsi" w:hAnsiTheme="minorHAnsi" w:cstheme="minorHAnsi"/>
          <w:sz w:val="24"/>
          <w:szCs w:val="22"/>
          <w:lang w:val="en-GB"/>
        </w:rPr>
        <w:t xml:space="preserve"> </w:t>
      </w:r>
      <w:r w:rsidRPr="007B43EF">
        <w:rPr>
          <w:rFonts w:asciiTheme="minorHAnsi" w:hAnsiTheme="minorHAnsi" w:cstheme="minorHAnsi"/>
          <w:sz w:val="24"/>
          <w:szCs w:val="22"/>
          <w:lang w:val="en-GB"/>
        </w:rPr>
        <w:t xml:space="preserve">However, </w:t>
      </w:r>
      <w:r w:rsidR="007B43EF" w:rsidRPr="007B43EF">
        <w:rPr>
          <w:rFonts w:asciiTheme="minorHAnsi" w:hAnsiTheme="minorHAnsi" w:cstheme="minorHAnsi"/>
          <w:sz w:val="24"/>
          <w:szCs w:val="22"/>
          <w:lang w:val="en-GB"/>
        </w:rPr>
        <w:t>the is evidence that people living in rural and remote locations, particularly Aboriginal and Torres Strait Islander people, are less likely to be listed on a transplantation waiting list than people living in metropolitan regions</w:t>
      </w:r>
      <w:r w:rsidRPr="007B43EF">
        <w:rPr>
          <w:rFonts w:asciiTheme="minorHAnsi" w:hAnsiTheme="minorHAnsi" w:cstheme="minorHAnsi"/>
          <w:sz w:val="24"/>
          <w:szCs w:val="22"/>
          <w:lang w:val="en-GB"/>
        </w:rPr>
        <w:t>.</w:t>
      </w:r>
      <w:r w:rsidR="009E41B8" w:rsidRPr="007B43EF">
        <w:rPr>
          <w:rStyle w:val="FootnoteReference"/>
          <w:rFonts w:asciiTheme="minorHAnsi" w:hAnsiTheme="minorHAnsi" w:cstheme="minorHAnsi"/>
          <w:lang w:val="en-GB"/>
        </w:rPr>
        <w:footnoteReference w:id="84"/>
      </w:r>
      <w:r w:rsidRPr="009E41B8">
        <w:rPr>
          <w:rFonts w:asciiTheme="minorHAnsi" w:hAnsiTheme="minorHAnsi" w:cstheme="minorHAnsi"/>
          <w:sz w:val="24"/>
          <w:szCs w:val="22"/>
          <w:lang w:val="en-GB"/>
        </w:rPr>
        <w:t xml:space="preserve"> </w:t>
      </w:r>
      <w:r>
        <w:rPr>
          <w:rFonts w:asciiTheme="minorHAnsi" w:hAnsiTheme="minorHAnsi" w:cstheme="minorHAnsi"/>
          <w:sz w:val="24"/>
          <w:szCs w:val="22"/>
          <w:lang w:val="en-GB"/>
        </w:rPr>
        <w:t xml:space="preserve"> </w:t>
      </w:r>
    </w:p>
    <w:p w14:paraId="14790D1F" w14:textId="77777777" w:rsidR="00C30067" w:rsidRDefault="00C30067"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As discussed previously, a</w:t>
      </w:r>
      <w:r w:rsidRPr="00F37D51">
        <w:rPr>
          <w:rFonts w:asciiTheme="minorHAnsi" w:hAnsiTheme="minorHAnsi" w:cstheme="minorHAnsi"/>
          <w:sz w:val="24"/>
          <w:szCs w:val="22"/>
          <w:lang w:val="en-GB"/>
        </w:rPr>
        <w:t xml:space="preserve">ccess to local assessment </w:t>
      </w:r>
      <w:r>
        <w:rPr>
          <w:rFonts w:asciiTheme="minorHAnsi" w:hAnsiTheme="minorHAnsi" w:cstheme="minorHAnsi"/>
          <w:sz w:val="24"/>
          <w:szCs w:val="22"/>
          <w:lang w:val="en-GB"/>
        </w:rPr>
        <w:t xml:space="preserve">for kidney transplantation (through both outreach clinics and trained physicians in assessment) </w:t>
      </w:r>
      <w:r w:rsidRPr="00F37D51">
        <w:rPr>
          <w:rFonts w:asciiTheme="minorHAnsi" w:hAnsiTheme="minorHAnsi" w:cstheme="minorHAnsi"/>
          <w:sz w:val="24"/>
          <w:szCs w:val="22"/>
          <w:lang w:val="en-GB"/>
        </w:rPr>
        <w:t xml:space="preserve">was </w:t>
      </w:r>
      <w:r>
        <w:rPr>
          <w:rFonts w:asciiTheme="minorHAnsi" w:hAnsiTheme="minorHAnsi" w:cstheme="minorHAnsi"/>
          <w:sz w:val="24"/>
          <w:szCs w:val="22"/>
          <w:lang w:val="en-GB"/>
        </w:rPr>
        <w:t>reported</w:t>
      </w:r>
      <w:r w:rsidRPr="00F37D51">
        <w:rPr>
          <w:rFonts w:asciiTheme="minorHAnsi" w:hAnsiTheme="minorHAnsi" w:cstheme="minorHAnsi"/>
          <w:sz w:val="24"/>
          <w:szCs w:val="22"/>
          <w:lang w:val="en-GB"/>
        </w:rPr>
        <w:t xml:space="preserve"> to greatly improve access for rural and remote recipients</w:t>
      </w:r>
      <w:r>
        <w:rPr>
          <w:rFonts w:asciiTheme="minorHAnsi" w:hAnsiTheme="minorHAnsi" w:cstheme="minorHAnsi"/>
          <w:sz w:val="24"/>
          <w:szCs w:val="22"/>
          <w:lang w:val="en-GB"/>
        </w:rPr>
        <w:t>. However, the Review found that outreach clinics were not in place consistently across all renal transplantation programs. In some states and territories access to assessment was only available</w:t>
      </w:r>
      <w:r w:rsidR="006D3622">
        <w:rPr>
          <w:rFonts w:asciiTheme="minorHAnsi" w:hAnsiTheme="minorHAnsi" w:cstheme="minorHAnsi"/>
          <w:sz w:val="24"/>
          <w:szCs w:val="22"/>
          <w:lang w:val="en-GB"/>
        </w:rPr>
        <w:t xml:space="preserve"> or predominately available</w:t>
      </w:r>
      <w:r>
        <w:rPr>
          <w:rFonts w:asciiTheme="minorHAnsi" w:hAnsiTheme="minorHAnsi" w:cstheme="minorHAnsi"/>
          <w:sz w:val="24"/>
          <w:szCs w:val="22"/>
          <w:lang w:val="en-GB"/>
        </w:rPr>
        <w:t xml:space="preserve"> in large urban centres, creating inequities across the jurisdiction.</w:t>
      </w:r>
    </w:p>
    <w:p w14:paraId="02F911BE" w14:textId="77777777" w:rsidR="00C30067" w:rsidRPr="00F37D51" w:rsidRDefault="00C30067" w:rsidP="00C30067">
      <w:pPr>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The Review found that the use of Clinical Guidelines for assessing the eligibility of patients for kidney transplant</w:t>
      </w:r>
      <w:r>
        <w:rPr>
          <w:rFonts w:asciiTheme="minorHAnsi" w:hAnsiTheme="minorHAnsi" w:cstheme="minorHAnsi"/>
          <w:sz w:val="24"/>
          <w:szCs w:val="22"/>
          <w:lang w:val="en-GB"/>
        </w:rPr>
        <w:t>ation</w:t>
      </w:r>
      <w:r w:rsidRPr="00F37D51">
        <w:rPr>
          <w:rFonts w:asciiTheme="minorHAnsi" w:hAnsiTheme="minorHAnsi" w:cstheme="minorHAnsi"/>
          <w:sz w:val="24"/>
          <w:szCs w:val="22"/>
          <w:lang w:val="en-GB"/>
        </w:rPr>
        <w:t xml:space="preserve"> were variable</w:t>
      </w:r>
      <w:r>
        <w:rPr>
          <w:rFonts w:asciiTheme="minorHAnsi" w:hAnsiTheme="minorHAnsi" w:cstheme="minorHAnsi"/>
          <w:sz w:val="24"/>
          <w:szCs w:val="22"/>
          <w:lang w:val="en-GB"/>
        </w:rPr>
        <w:t>, resulting in different waiting list practices</w:t>
      </w:r>
      <w:r w:rsidRPr="00F37D51">
        <w:rPr>
          <w:rFonts w:asciiTheme="minorHAnsi" w:hAnsiTheme="minorHAnsi" w:cstheme="minorHAnsi"/>
          <w:sz w:val="24"/>
          <w:szCs w:val="22"/>
          <w:lang w:val="en-GB"/>
        </w:rPr>
        <w:t xml:space="preserve">. </w:t>
      </w:r>
      <w:r>
        <w:rPr>
          <w:rFonts w:asciiTheme="minorHAnsi" w:hAnsiTheme="minorHAnsi" w:cstheme="minorHAnsi"/>
          <w:sz w:val="24"/>
          <w:szCs w:val="22"/>
          <w:lang w:val="en-GB"/>
        </w:rPr>
        <w:t xml:space="preserve">Some clinicians used a </w:t>
      </w:r>
      <w:r w:rsidRPr="00A33214">
        <w:rPr>
          <w:rFonts w:asciiTheme="minorHAnsi" w:hAnsiTheme="minorHAnsi" w:cstheme="minorHAnsi"/>
          <w:sz w:val="24"/>
          <w:szCs w:val="22"/>
          <w:lang w:val="en-GB"/>
        </w:rPr>
        <w:t xml:space="preserve">narrower application of the </w:t>
      </w:r>
      <w:r w:rsidR="000103FF">
        <w:rPr>
          <w:rFonts w:asciiTheme="minorHAnsi" w:hAnsiTheme="minorHAnsi" w:cstheme="minorHAnsi"/>
          <w:sz w:val="24"/>
          <w:szCs w:val="22"/>
          <w:lang w:val="en-GB"/>
        </w:rPr>
        <w:t>C</w:t>
      </w:r>
      <w:r w:rsidRPr="00A33214">
        <w:rPr>
          <w:rFonts w:asciiTheme="minorHAnsi" w:hAnsiTheme="minorHAnsi" w:cstheme="minorHAnsi"/>
          <w:sz w:val="24"/>
          <w:szCs w:val="22"/>
          <w:lang w:val="en-GB"/>
        </w:rPr>
        <w:t xml:space="preserve">linical </w:t>
      </w:r>
      <w:r w:rsidR="000103FF">
        <w:rPr>
          <w:rFonts w:asciiTheme="minorHAnsi" w:hAnsiTheme="minorHAnsi" w:cstheme="minorHAnsi"/>
          <w:sz w:val="24"/>
          <w:szCs w:val="22"/>
          <w:lang w:val="en-GB"/>
        </w:rPr>
        <w:t>G</w:t>
      </w:r>
      <w:r w:rsidRPr="00A33214">
        <w:rPr>
          <w:rFonts w:asciiTheme="minorHAnsi" w:hAnsiTheme="minorHAnsi" w:cstheme="minorHAnsi"/>
          <w:sz w:val="24"/>
          <w:szCs w:val="22"/>
          <w:lang w:val="en-GB"/>
        </w:rPr>
        <w:t xml:space="preserve">uidelines for transplantation resulting in less people being considered as ‘eligible’. </w:t>
      </w:r>
      <w:r>
        <w:rPr>
          <w:rFonts w:asciiTheme="minorHAnsi" w:hAnsiTheme="minorHAnsi" w:cstheme="minorHAnsi"/>
          <w:sz w:val="24"/>
          <w:szCs w:val="22"/>
          <w:lang w:val="en-GB"/>
        </w:rPr>
        <w:t>A key area of difference in application was the</w:t>
      </w:r>
      <w:r w:rsidRPr="00F37D51">
        <w:rPr>
          <w:rFonts w:asciiTheme="minorHAnsi" w:hAnsiTheme="minorHAnsi" w:cstheme="minorHAnsi"/>
          <w:sz w:val="24"/>
          <w:szCs w:val="22"/>
          <w:lang w:val="en-GB"/>
        </w:rPr>
        <w:t xml:space="preserve"> threshold</w:t>
      </w:r>
      <w:r>
        <w:rPr>
          <w:rFonts w:asciiTheme="minorHAnsi" w:hAnsiTheme="minorHAnsi" w:cstheme="minorHAnsi"/>
          <w:sz w:val="24"/>
          <w:szCs w:val="22"/>
          <w:lang w:val="en-GB"/>
        </w:rPr>
        <w:t xml:space="preserve"> for</w:t>
      </w:r>
      <w:r w:rsidRPr="00F37D51">
        <w:rPr>
          <w:rFonts w:asciiTheme="minorHAnsi" w:hAnsiTheme="minorHAnsi" w:cstheme="minorHAnsi"/>
          <w:sz w:val="24"/>
          <w:szCs w:val="22"/>
          <w:lang w:val="en-GB"/>
        </w:rPr>
        <w:t xml:space="preserve"> maximum B</w:t>
      </w:r>
      <w:r>
        <w:rPr>
          <w:rFonts w:asciiTheme="minorHAnsi" w:hAnsiTheme="minorHAnsi" w:cstheme="minorHAnsi"/>
          <w:sz w:val="24"/>
          <w:szCs w:val="22"/>
          <w:lang w:val="en-GB"/>
        </w:rPr>
        <w:t xml:space="preserve">ody </w:t>
      </w:r>
      <w:r w:rsidRPr="00F37D51">
        <w:rPr>
          <w:rFonts w:asciiTheme="minorHAnsi" w:hAnsiTheme="minorHAnsi" w:cstheme="minorHAnsi"/>
          <w:sz w:val="24"/>
          <w:szCs w:val="22"/>
          <w:lang w:val="en-GB"/>
        </w:rPr>
        <w:t>M</w:t>
      </w:r>
      <w:r>
        <w:rPr>
          <w:rFonts w:asciiTheme="minorHAnsi" w:hAnsiTheme="minorHAnsi" w:cstheme="minorHAnsi"/>
          <w:sz w:val="24"/>
          <w:szCs w:val="22"/>
          <w:lang w:val="en-GB"/>
        </w:rPr>
        <w:t xml:space="preserve">ass </w:t>
      </w:r>
      <w:r w:rsidRPr="00F37D51">
        <w:rPr>
          <w:rFonts w:asciiTheme="minorHAnsi" w:hAnsiTheme="minorHAnsi" w:cstheme="minorHAnsi"/>
          <w:sz w:val="24"/>
          <w:szCs w:val="22"/>
          <w:lang w:val="en-GB"/>
        </w:rPr>
        <w:t>I</w:t>
      </w:r>
      <w:r>
        <w:rPr>
          <w:rFonts w:asciiTheme="minorHAnsi" w:hAnsiTheme="minorHAnsi" w:cstheme="minorHAnsi"/>
          <w:sz w:val="24"/>
          <w:szCs w:val="22"/>
          <w:lang w:val="en-GB"/>
        </w:rPr>
        <w:t>ndex</w:t>
      </w:r>
      <w:r w:rsidRPr="00F37D51">
        <w:rPr>
          <w:rFonts w:asciiTheme="minorHAnsi" w:hAnsiTheme="minorHAnsi" w:cstheme="minorHAnsi"/>
          <w:sz w:val="24"/>
          <w:szCs w:val="22"/>
          <w:lang w:val="en-GB"/>
        </w:rPr>
        <w:t xml:space="preserve"> of a potential recipient that they would consider for transplant</w:t>
      </w:r>
      <w:r>
        <w:rPr>
          <w:rFonts w:asciiTheme="minorHAnsi" w:hAnsiTheme="minorHAnsi" w:cstheme="minorHAnsi"/>
          <w:sz w:val="24"/>
          <w:szCs w:val="22"/>
          <w:lang w:val="en-GB"/>
        </w:rPr>
        <w:t>ation</w:t>
      </w:r>
      <w:r w:rsidRPr="00F37D51">
        <w:rPr>
          <w:rFonts w:asciiTheme="minorHAnsi" w:hAnsiTheme="minorHAnsi" w:cstheme="minorHAnsi"/>
          <w:sz w:val="24"/>
          <w:szCs w:val="22"/>
          <w:lang w:val="en-GB"/>
        </w:rPr>
        <w:t xml:space="preserve">. Additionally, it was observed that there was variability in the </w:t>
      </w:r>
      <w:r>
        <w:rPr>
          <w:rFonts w:asciiTheme="minorHAnsi" w:hAnsiTheme="minorHAnsi" w:cstheme="minorHAnsi"/>
          <w:sz w:val="24"/>
          <w:szCs w:val="22"/>
          <w:lang w:val="en-GB"/>
        </w:rPr>
        <w:t xml:space="preserve">acceptable </w:t>
      </w:r>
      <w:r w:rsidRPr="00F37D51">
        <w:rPr>
          <w:rFonts w:asciiTheme="minorHAnsi" w:hAnsiTheme="minorHAnsi" w:cstheme="minorHAnsi"/>
          <w:sz w:val="24"/>
          <w:szCs w:val="22"/>
          <w:lang w:val="en-GB"/>
        </w:rPr>
        <w:t xml:space="preserve">age </w:t>
      </w:r>
      <w:r w:rsidR="00BB5088">
        <w:rPr>
          <w:rFonts w:asciiTheme="minorHAnsi" w:hAnsiTheme="minorHAnsi" w:cstheme="minorHAnsi"/>
          <w:sz w:val="24"/>
          <w:szCs w:val="22"/>
          <w:lang w:val="en-GB"/>
        </w:rPr>
        <w:t>difference</w:t>
      </w:r>
      <w:r>
        <w:rPr>
          <w:rFonts w:asciiTheme="minorHAnsi" w:hAnsiTheme="minorHAnsi" w:cstheme="minorHAnsi"/>
          <w:sz w:val="24"/>
          <w:szCs w:val="22"/>
          <w:lang w:val="en-GB"/>
        </w:rPr>
        <w:t xml:space="preserve"> between recipient and donor</w:t>
      </w:r>
      <w:r w:rsidRPr="00F37D51">
        <w:rPr>
          <w:rFonts w:asciiTheme="minorHAnsi" w:hAnsiTheme="minorHAnsi" w:cstheme="minorHAnsi"/>
          <w:sz w:val="24"/>
          <w:szCs w:val="22"/>
          <w:lang w:val="en-GB"/>
        </w:rPr>
        <w:t xml:space="preserve"> considered for transplantation across Australian kidney transplantation programs. This was considered to be a result of </w:t>
      </w:r>
      <w:r>
        <w:rPr>
          <w:rFonts w:asciiTheme="minorHAnsi" w:hAnsiTheme="minorHAnsi" w:cstheme="minorHAnsi"/>
          <w:sz w:val="24"/>
          <w:szCs w:val="22"/>
          <w:lang w:val="en-GB"/>
        </w:rPr>
        <w:t>the differing levels of risk appetite and experience</w:t>
      </w:r>
      <w:r w:rsidRPr="00F37D51">
        <w:rPr>
          <w:rFonts w:asciiTheme="minorHAnsi" w:hAnsiTheme="minorHAnsi" w:cstheme="minorHAnsi"/>
          <w:sz w:val="24"/>
          <w:szCs w:val="22"/>
          <w:lang w:val="en-GB"/>
        </w:rPr>
        <w:t xml:space="preserve"> of transplant</w:t>
      </w:r>
      <w:r>
        <w:rPr>
          <w:rFonts w:asciiTheme="minorHAnsi" w:hAnsiTheme="minorHAnsi" w:cstheme="minorHAnsi"/>
          <w:sz w:val="24"/>
          <w:szCs w:val="22"/>
          <w:lang w:val="en-GB"/>
        </w:rPr>
        <w:t>ation</w:t>
      </w:r>
      <w:r w:rsidRPr="00F37D51">
        <w:rPr>
          <w:rFonts w:asciiTheme="minorHAnsi" w:hAnsiTheme="minorHAnsi" w:cstheme="minorHAnsi"/>
          <w:sz w:val="24"/>
          <w:szCs w:val="22"/>
          <w:lang w:val="en-GB"/>
        </w:rPr>
        <w:t xml:space="preserve"> clinicians in assessing</w:t>
      </w:r>
      <w:r>
        <w:rPr>
          <w:rFonts w:asciiTheme="minorHAnsi" w:hAnsiTheme="minorHAnsi" w:cstheme="minorHAnsi"/>
          <w:sz w:val="24"/>
          <w:szCs w:val="22"/>
          <w:lang w:val="en-GB"/>
        </w:rPr>
        <w:t xml:space="preserve"> potential recipients</w:t>
      </w:r>
      <w:r w:rsidRPr="00F37D51">
        <w:rPr>
          <w:rFonts w:asciiTheme="minorHAnsi" w:hAnsiTheme="minorHAnsi" w:cstheme="minorHAnsi"/>
          <w:sz w:val="24"/>
          <w:szCs w:val="22"/>
          <w:lang w:val="en-GB"/>
        </w:rPr>
        <w:t xml:space="preserve"> for eligibility.</w:t>
      </w:r>
      <w:r>
        <w:rPr>
          <w:rFonts w:asciiTheme="minorHAnsi" w:hAnsiTheme="minorHAnsi" w:cstheme="minorHAnsi"/>
          <w:sz w:val="24"/>
          <w:szCs w:val="22"/>
          <w:lang w:val="en-GB"/>
        </w:rPr>
        <w:t xml:space="preserve"> </w:t>
      </w:r>
    </w:p>
    <w:p w14:paraId="282A5155" w14:textId="7820850E" w:rsidR="00C30067" w:rsidRDefault="00C30067" w:rsidP="00C30067">
      <w:pPr>
        <w:spacing w:after="120"/>
        <w:rPr>
          <w:rFonts w:asciiTheme="minorHAnsi" w:hAnsiTheme="minorHAnsi" w:cstheme="minorHAnsi"/>
          <w:sz w:val="24"/>
          <w:szCs w:val="22"/>
          <w:lang w:val="en-GB"/>
        </w:rPr>
      </w:pPr>
      <w:r>
        <w:rPr>
          <w:rFonts w:asciiTheme="minorHAnsi" w:hAnsiTheme="minorHAnsi" w:cstheme="minorHAnsi"/>
          <w:sz w:val="24"/>
          <w:szCs w:val="22"/>
          <w:lang w:val="en-GB"/>
        </w:rPr>
        <w:t>T</w:t>
      </w:r>
      <w:r w:rsidRPr="00F37D51">
        <w:rPr>
          <w:rFonts w:asciiTheme="minorHAnsi" w:hAnsiTheme="minorHAnsi" w:cstheme="minorHAnsi"/>
          <w:sz w:val="24"/>
          <w:szCs w:val="22"/>
          <w:lang w:val="en-GB"/>
        </w:rPr>
        <w:t>he Review</w:t>
      </w:r>
      <w:r>
        <w:rPr>
          <w:rFonts w:asciiTheme="minorHAnsi" w:hAnsiTheme="minorHAnsi" w:cstheme="minorHAnsi"/>
          <w:sz w:val="24"/>
          <w:szCs w:val="22"/>
          <w:lang w:val="en-GB"/>
        </w:rPr>
        <w:t xml:space="preserve"> also</w:t>
      </w:r>
      <w:r w:rsidRPr="00F37D51">
        <w:rPr>
          <w:rFonts w:asciiTheme="minorHAnsi" w:hAnsiTheme="minorHAnsi" w:cstheme="minorHAnsi"/>
          <w:sz w:val="24"/>
          <w:szCs w:val="22"/>
          <w:lang w:val="en-GB"/>
        </w:rPr>
        <w:t xml:space="preserve"> found that there is no formal process agreed nationally for patients to obtain a second opinion if they are declined for kidney transplantation. Recipients or potential recipients reported that if they </w:t>
      </w:r>
      <w:r>
        <w:rPr>
          <w:rFonts w:asciiTheme="minorHAnsi" w:hAnsiTheme="minorHAnsi" w:cstheme="minorHAnsi"/>
          <w:sz w:val="24"/>
          <w:szCs w:val="22"/>
          <w:lang w:val="en-GB"/>
        </w:rPr>
        <w:t>were</w:t>
      </w:r>
      <w:r w:rsidRPr="00F37D51">
        <w:rPr>
          <w:rFonts w:asciiTheme="minorHAnsi" w:hAnsiTheme="minorHAnsi" w:cstheme="minorHAnsi"/>
          <w:sz w:val="24"/>
          <w:szCs w:val="22"/>
          <w:lang w:val="en-GB"/>
        </w:rPr>
        <w:t xml:space="preserve"> declined for transplantation within their state </w:t>
      </w:r>
      <w:r>
        <w:rPr>
          <w:rFonts w:asciiTheme="minorHAnsi" w:hAnsiTheme="minorHAnsi" w:cstheme="minorHAnsi"/>
          <w:sz w:val="24"/>
          <w:szCs w:val="22"/>
          <w:lang w:val="en-GB"/>
        </w:rPr>
        <w:t>and</w:t>
      </w:r>
      <w:r w:rsidRPr="00F37D51">
        <w:rPr>
          <w:rFonts w:asciiTheme="minorHAnsi" w:hAnsiTheme="minorHAnsi" w:cstheme="minorHAnsi"/>
          <w:sz w:val="24"/>
          <w:szCs w:val="22"/>
          <w:lang w:val="en-GB"/>
        </w:rPr>
        <w:t xml:space="preserve"> would like a second opinion, </w:t>
      </w:r>
      <w:r w:rsidR="004E18C4">
        <w:rPr>
          <w:rFonts w:asciiTheme="minorHAnsi" w:hAnsiTheme="minorHAnsi" w:cstheme="minorHAnsi"/>
          <w:sz w:val="24"/>
          <w:szCs w:val="22"/>
          <w:lang w:val="en-GB"/>
        </w:rPr>
        <w:t>in some circumstances</w:t>
      </w:r>
      <w:r w:rsidR="003341CC">
        <w:rPr>
          <w:rFonts w:asciiTheme="minorHAnsi" w:hAnsiTheme="minorHAnsi" w:cstheme="minorHAnsi"/>
          <w:sz w:val="24"/>
          <w:szCs w:val="22"/>
          <w:lang w:val="en-GB"/>
        </w:rPr>
        <w:t>,</w:t>
      </w:r>
      <w:r w:rsidR="004E18C4">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their only option is to travel</w:t>
      </w:r>
      <w:r>
        <w:rPr>
          <w:rFonts w:asciiTheme="minorHAnsi" w:hAnsiTheme="minorHAnsi" w:cstheme="minorHAnsi"/>
          <w:sz w:val="24"/>
          <w:szCs w:val="22"/>
          <w:lang w:val="en-GB"/>
        </w:rPr>
        <w:t xml:space="preserve"> interstate</w:t>
      </w:r>
      <w:r w:rsidRPr="00F37D51">
        <w:rPr>
          <w:rFonts w:asciiTheme="minorHAnsi" w:hAnsiTheme="minorHAnsi" w:cstheme="minorHAnsi"/>
          <w:sz w:val="24"/>
          <w:szCs w:val="22"/>
          <w:lang w:val="en-GB"/>
        </w:rPr>
        <w:t xml:space="preserve"> to another </w:t>
      </w:r>
      <w:r>
        <w:rPr>
          <w:rFonts w:asciiTheme="minorHAnsi" w:hAnsiTheme="minorHAnsi" w:cstheme="minorHAnsi"/>
          <w:sz w:val="24"/>
          <w:szCs w:val="22"/>
          <w:lang w:val="en-GB"/>
        </w:rPr>
        <w:t>transplant</w:t>
      </w:r>
      <w:r w:rsidR="00D72901">
        <w:rPr>
          <w:rFonts w:asciiTheme="minorHAnsi" w:hAnsiTheme="minorHAnsi" w:cstheme="minorHAnsi"/>
          <w:sz w:val="24"/>
          <w:szCs w:val="22"/>
          <w:lang w:val="en-GB"/>
        </w:rPr>
        <w:t>ation</w:t>
      </w:r>
      <w:r>
        <w:rPr>
          <w:rFonts w:asciiTheme="minorHAnsi" w:hAnsiTheme="minorHAnsi" w:cstheme="minorHAnsi"/>
          <w:sz w:val="24"/>
          <w:szCs w:val="22"/>
          <w:lang w:val="en-GB"/>
        </w:rPr>
        <w:t xml:space="preserve"> program</w:t>
      </w:r>
      <w:r w:rsidRPr="00F37D51">
        <w:rPr>
          <w:rFonts w:asciiTheme="minorHAnsi" w:hAnsiTheme="minorHAnsi" w:cstheme="minorHAnsi"/>
          <w:sz w:val="24"/>
          <w:szCs w:val="22"/>
          <w:lang w:val="en-GB"/>
        </w:rPr>
        <w:t xml:space="preserve"> at their own expense for a second opinion. </w:t>
      </w:r>
      <w:r>
        <w:rPr>
          <w:rFonts w:asciiTheme="minorHAnsi" w:hAnsiTheme="minorHAnsi" w:cstheme="minorHAnsi"/>
          <w:sz w:val="24"/>
          <w:szCs w:val="22"/>
          <w:lang w:val="en-GB"/>
        </w:rPr>
        <w:t>Given the</w:t>
      </w:r>
      <w:r w:rsidRPr="00F37D51">
        <w:rPr>
          <w:rFonts w:asciiTheme="minorHAnsi" w:hAnsiTheme="minorHAnsi" w:cstheme="minorHAnsi"/>
          <w:sz w:val="24"/>
          <w:szCs w:val="22"/>
          <w:lang w:val="en-GB"/>
        </w:rPr>
        <w:t xml:space="preserve"> variability between transplant</w:t>
      </w:r>
      <w:r>
        <w:rPr>
          <w:rFonts w:asciiTheme="minorHAnsi" w:hAnsiTheme="minorHAnsi" w:cstheme="minorHAnsi"/>
          <w:sz w:val="24"/>
          <w:szCs w:val="22"/>
          <w:lang w:val="en-GB"/>
        </w:rPr>
        <w:t>ation</w:t>
      </w:r>
      <w:r w:rsidRPr="00F37D51">
        <w:rPr>
          <w:rFonts w:asciiTheme="minorHAnsi" w:hAnsiTheme="minorHAnsi" w:cstheme="minorHAnsi"/>
          <w:sz w:val="24"/>
          <w:szCs w:val="22"/>
          <w:lang w:val="en-GB"/>
        </w:rPr>
        <w:t xml:space="preserve"> clinicians in the assessment process, the right to a second opinion</w:t>
      </w:r>
      <w:r w:rsidR="00DE47D3">
        <w:rPr>
          <w:rFonts w:asciiTheme="minorHAnsi" w:hAnsiTheme="minorHAnsi" w:cstheme="minorHAnsi"/>
          <w:sz w:val="24"/>
          <w:szCs w:val="22"/>
          <w:lang w:val="en-GB"/>
        </w:rPr>
        <w:t xml:space="preserve">, as provided for in the </w:t>
      </w:r>
      <w:r w:rsidR="000103FF">
        <w:rPr>
          <w:rFonts w:asciiTheme="minorHAnsi" w:hAnsiTheme="minorHAnsi" w:cstheme="minorHAnsi"/>
          <w:sz w:val="24"/>
          <w:szCs w:val="22"/>
          <w:lang w:val="en-GB"/>
        </w:rPr>
        <w:t>E</w:t>
      </w:r>
      <w:r w:rsidR="00DE47D3">
        <w:rPr>
          <w:rFonts w:asciiTheme="minorHAnsi" w:hAnsiTheme="minorHAnsi" w:cstheme="minorHAnsi"/>
          <w:sz w:val="24"/>
          <w:szCs w:val="22"/>
          <w:lang w:val="en-GB"/>
        </w:rPr>
        <w:t xml:space="preserve">thical </w:t>
      </w:r>
      <w:r w:rsidR="000103FF">
        <w:rPr>
          <w:rFonts w:asciiTheme="minorHAnsi" w:hAnsiTheme="minorHAnsi" w:cstheme="minorHAnsi"/>
          <w:sz w:val="24"/>
          <w:szCs w:val="22"/>
          <w:lang w:val="en-GB"/>
        </w:rPr>
        <w:t>G</w:t>
      </w:r>
      <w:r w:rsidR="00DE47D3">
        <w:rPr>
          <w:rFonts w:asciiTheme="minorHAnsi" w:hAnsiTheme="minorHAnsi" w:cstheme="minorHAnsi"/>
          <w:sz w:val="24"/>
          <w:szCs w:val="22"/>
          <w:lang w:val="en-GB"/>
        </w:rPr>
        <w:t xml:space="preserve">uidelines </w:t>
      </w:r>
      <w:r w:rsidR="00EF2596" w:rsidRPr="00545923">
        <w:rPr>
          <w:rFonts w:asciiTheme="minorHAnsi" w:hAnsiTheme="minorHAnsi" w:cstheme="minorHAnsi"/>
          <w:sz w:val="24"/>
          <w:szCs w:val="22"/>
          <w:lang w:val="en-GB"/>
        </w:rPr>
        <w:t>determined</w:t>
      </w:r>
      <w:r w:rsidR="00DE47D3" w:rsidRPr="00545923">
        <w:rPr>
          <w:rFonts w:asciiTheme="minorHAnsi" w:hAnsiTheme="minorHAnsi" w:cstheme="minorHAnsi"/>
          <w:sz w:val="24"/>
          <w:szCs w:val="22"/>
          <w:lang w:val="en-GB"/>
        </w:rPr>
        <w:t xml:space="preserve"> by the</w:t>
      </w:r>
      <w:r w:rsidR="00DE47D3">
        <w:rPr>
          <w:rFonts w:asciiTheme="minorHAnsi" w:hAnsiTheme="minorHAnsi" w:cstheme="minorHAnsi"/>
          <w:sz w:val="24"/>
          <w:szCs w:val="22"/>
          <w:lang w:val="en-GB"/>
        </w:rPr>
        <w:t xml:space="preserve"> NHMRC, </w:t>
      </w:r>
      <w:r w:rsidRPr="00F37D51">
        <w:rPr>
          <w:rFonts w:asciiTheme="minorHAnsi" w:hAnsiTheme="minorHAnsi" w:cstheme="minorHAnsi"/>
          <w:sz w:val="24"/>
          <w:szCs w:val="22"/>
          <w:lang w:val="en-GB"/>
        </w:rPr>
        <w:t xml:space="preserve">should be available to the </w:t>
      </w:r>
      <w:r>
        <w:rPr>
          <w:rFonts w:asciiTheme="minorHAnsi" w:hAnsiTheme="minorHAnsi" w:cstheme="minorHAnsi"/>
          <w:sz w:val="24"/>
          <w:szCs w:val="22"/>
          <w:lang w:val="en-GB"/>
        </w:rPr>
        <w:t xml:space="preserve">potential </w:t>
      </w:r>
      <w:r w:rsidRPr="00F37D51">
        <w:rPr>
          <w:rFonts w:asciiTheme="minorHAnsi" w:hAnsiTheme="minorHAnsi" w:cstheme="minorHAnsi"/>
          <w:sz w:val="24"/>
          <w:szCs w:val="22"/>
          <w:lang w:val="en-GB"/>
        </w:rPr>
        <w:t>recipient when required.</w:t>
      </w:r>
    </w:p>
    <w:p w14:paraId="479B6C09" w14:textId="77777777" w:rsidR="00A84091" w:rsidRPr="00D930F7" w:rsidRDefault="00A84091" w:rsidP="00AE3ED1">
      <w:pPr>
        <w:shd w:val="clear" w:color="auto" w:fill="DCEFF4"/>
        <w:spacing w:after="120"/>
        <w:rPr>
          <w:rFonts w:asciiTheme="minorHAnsi" w:hAnsiTheme="minorHAnsi" w:cstheme="minorHAnsi"/>
          <w:b/>
          <w:sz w:val="22"/>
          <w:szCs w:val="22"/>
          <w:lang w:val="en-GB"/>
        </w:rPr>
      </w:pPr>
      <w:r w:rsidRPr="00D930F7">
        <w:rPr>
          <w:rFonts w:asciiTheme="minorHAnsi" w:hAnsiTheme="minorHAnsi" w:cstheme="minorHAnsi"/>
          <w:b/>
          <w:sz w:val="22"/>
          <w:szCs w:val="22"/>
          <w:lang w:val="en-GB"/>
        </w:rPr>
        <w:t xml:space="preserve">Assessment and eligibility criteria for kidney transplantation </w:t>
      </w:r>
    </w:p>
    <w:p w14:paraId="308C7135" w14:textId="77777777" w:rsidR="00A84091" w:rsidRPr="00AE3ED1" w:rsidRDefault="00A84091" w:rsidP="00AE3ED1">
      <w:pPr>
        <w:shd w:val="clear" w:color="auto" w:fill="DCEFF4"/>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Eligibility for kidney transplantation is determined based on likelihood of survival. Patients eligible for kidney transplantation must have end-stage kidney failure, requiring dialysis or an impending requirement for dialysis.  It is also expected that the transplanted organ is likely to have an 80 per cent likelihood of surviving for at least five years after transplantation. Comorbidities that may have a significant impact on the life expectancy of a kidney transplant recipient, including cardiac disease, vascular disease, diabetes mellitus and malignancies, may exclude patients from transplantation. </w:t>
      </w:r>
    </w:p>
    <w:p w14:paraId="6D833757" w14:textId="16DFD33A" w:rsidR="00A84091" w:rsidRPr="00AE3ED1" w:rsidRDefault="00A84091" w:rsidP="00AE3ED1">
      <w:pPr>
        <w:shd w:val="clear" w:color="auto" w:fill="DCEFF4"/>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Referrals for renal transplantations are initially assessed by the transplanting hospital, involving a transplant physician and a surgeon. As the number of kidneys donated continue to increase in Australia, transplanting hospitals are starting to apply less stringent criteria, maximising the accessibility for transplantation to all Australians.</w:t>
      </w:r>
    </w:p>
    <w:p w14:paraId="7A7F0344" w14:textId="77777777" w:rsidR="00C30067" w:rsidRPr="00BF220F" w:rsidRDefault="00C30067" w:rsidP="00C30067">
      <w:pPr>
        <w:tabs>
          <w:tab w:val="num" w:pos="720"/>
        </w:tabs>
        <w:spacing w:after="120"/>
        <w:rPr>
          <w:rFonts w:asciiTheme="minorHAnsi" w:hAnsiTheme="minorHAnsi" w:cstheme="minorHAnsi"/>
          <w:color w:val="7F7F7F" w:themeColor="text1" w:themeTint="80"/>
          <w:sz w:val="24"/>
          <w:szCs w:val="22"/>
          <w:lang w:val="en-GB"/>
        </w:rPr>
      </w:pPr>
      <w:r>
        <w:rPr>
          <w:rFonts w:asciiTheme="minorHAnsi" w:hAnsiTheme="minorHAnsi" w:cstheme="minorHAnsi"/>
          <w:color w:val="7F7F7F" w:themeColor="text1" w:themeTint="80"/>
          <w:sz w:val="24"/>
          <w:szCs w:val="22"/>
          <w:lang w:val="en-GB"/>
        </w:rPr>
        <w:t>Access to a</w:t>
      </w:r>
      <w:r w:rsidRPr="00BF220F">
        <w:rPr>
          <w:rFonts w:asciiTheme="minorHAnsi" w:hAnsiTheme="minorHAnsi" w:cstheme="minorHAnsi"/>
          <w:color w:val="7F7F7F" w:themeColor="text1" w:themeTint="80"/>
          <w:sz w:val="24"/>
          <w:szCs w:val="22"/>
          <w:lang w:val="en-GB"/>
        </w:rPr>
        <w:t xml:space="preserve">ssessment </w:t>
      </w:r>
      <w:r>
        <w:rPr>
          <w:rFonts w:asciiTheme="minorHAnsi" w:hAnsiTheme="minorHAnsi" w:cstheme="minorHAnsi"/>
          <w:color w:val="7F7F7F" w:themeColor="text1" w:themeTint="80"/>
          <w:sz w:val="24"/>
          <w:szCs w:val="22"/>
          <w:lang w:val="en-GB"/>
        </w:rPr>
        <w:t>for</w:t>
      </w:r>
      <w:r w:rsidRPr="00BF220F">
        <w:rPr>
          <w:rFonts w:asciiTheme="minorHAnsi" w:hAnsiTheme="minorHAnsi" w:cstheme="minorHAnsi"/>
          <w:color w:val="7F7F7F" w:themeColor="text1" w:themeTint="80"/>
          <w:sz w:val="24"/>
          <w:szCs w:val="22"/>
          <w:lang w:val="en-GB"/>
        </w:rPr>
        <w:t xml:space="preserve"> Aboriginal and Torres Strait Islander people</w:t>
      </w:r>
    </w:p>
    <w:p w14:paraId="75AD534B" w14:textId="77777777" w:rsidR="00C30067" w:rsidRDefault="00C30067"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The Review found that p</w:t>
      </w:r>
      <w:r w:rsidRPr="00115342">
        <w:rPr>
          <w:rFonts w:asciiTheme="minorHAnsi" w:hAnsiTheme="minorHAnsi" w:cstheme="minorHAnsi"/>
          <w:sz w:val="24"/>
          <w:szCs w:val="22"/>
          <w:lang w:val="en-GB"/>
        </w:rPr>
        <w:t xml:space="preserve">atient level factors such as ethnicity, age and </w:t>
      </w:r>
      <w:r>
        <w:rPr>
          <w:rFonts w:asciiTheme="minorHAnsi" w:hAnsiTheme="minorHAnsi" w:cstheme="minorHAnsi"/>
          <w:sz w:val="24"/>
          <w:szCs w:val="22"/>
          <w:lang w:val="en-GB"/>
        </w:rPr>
        <w:t>socio-economic</w:t>
      </w:r>
      <w:r w:rsidRPr="00115342">
        <w:rPr>
          <w:rFonts w:asciiTheme="minorHAnsi" w:hAnsiTheme="minorHAnsi" w:cstheme="minorHAnsi"/>
          <w:sz w:val="24"/>
          <w:szCs w:val="22"/>
          <w:lang w:val="en-GB"/>
        </w:rPr>
        <w:t xml:space="preserve"> status </w:t>
      </w:r>
      <w:r>
        <w:rPr>
          <w:rFonts w:asciiTheme="minorHAnsi" w:hAnsiTheme="minorHAnsi" w:cstheme="minorHAnsi"/>
          <w:sz w:val="24"/>
          <w:szCs w:val="22"/>
          <w:lang w:val="en-GB"/>
        </w:rPr>
        <w:t xml:space="preserve">played a role in the </w:t>
      </w:r>
      <w:r w:rsidRPr="00115342">
        <w:rPr>
          <w:rFonts w:asciiTheme="minorHAnsi" w:hAnsiTheme="minorHAnsi" w:cstheme="minorHAnsi"/>
          <w:sz w:val="24"/>
          <w:szCs w:val="22"/>
          <w:lang w:val="en-GB"/>
        </w:rPr>
        <w:t xml:space="preserve">quality and timing of transplant education and </w:t>
      </w:r>
      <w:r>
        <w:rPr>
          <w:rFonts w:asciiTheme="minorHAnsi" w:hAnsiTheme="minorHAnsi" w:cstheme="minorHAnsi"/>
          <w:sz w:val="24"/>
          <w:szCs w:val="22"/>
          <w:lang w:val="en-GB"/>
        </w:rPr>
        <w:t>access to transplantation for potential recipients.</w:t>
      </w:r>
      <w:r w:rsidRPr="004938CA">
        <w:rPr>
          <w:rStyle w:val="FootnoteReference"/>
          <w:rFonts w:asciiTheme="minorHAnsi" w:hAnsiTheme="minorHAnsi" w:cstheme="minorHAnsi"/>
          <w:szCs w:val="18"/>
          <w:lang w:val="en-GB"/>
        </w:rPr>
        <w:footnoteReference w:id="85"/>
      </w:r>
      <w:r>
        <w:rPr>
          <w:rFonts w:asciiTheme="minorHAnsi" w:hAnsiTheme="minorHAnsi" w:cstheme="minorHAnsi"/>
          <w:sz w:val="24"/>
          <w:szCs w:val="22"/>
          <w:lang w:val="en-GB"/>
        </w:rPr>
        <w:t xml:space="preserve"> This was particularly evident in the experience of Aboriginal and Torres Strait Islander people.</w:t>
      </w:r>
    </w:p>
    <w:p w14:paraId="15614D60" w14:textId="670CD87D" w:rsidR="00C30067" w:rsidRDefault="00C30067"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Aboriginal and Torres Strait Islander stakeholders and research groups reported</w:t>
      </w:r>
      <w:r w:rsidRPr="00F37D51">
        <w:rPr>
          <w:rFonts w:asciiTheme="minorHAnsi" w:hAnsiTheme="minorHAnsi" w:cstheme="minorHAnsi"/>
          <w:sz w:val="24"/>
          <w:szCs w:val="22"/>
          <w:lang w:val="en-GB"/>
        </w:rPr>
        <w:t xml:space="preserve"> that access to </w:t>
      </w:r>
      <w:r>
        <w:rPr>
          <w:rFonts w:asciiTheme="minorHAnsi" w:hAnsiTheme="minorHAnsi" w:cstheme="minorHAnsi"/>
          <w:sz w:val="24"/>
          <w:szCs w:val="22"/>
          <w:lang w:val="en-GB"/>
        </w:rPr>
        <w:t xml:space="preserve">wait listing for </w:t>
      </w:r>
      <w:r w:rsidRPr="00F37D51">
        <w:rPr>
          <w:rFonts w:asciiTheme="minorHAnsi" w:hAnsiTheme="minorHAnsi" w:cstheme="minorHAnsi"/>
          <w:sz w:val="24"/>
          <w:szCs w:val="22"/>
          <w:lang w:val="en-GB"/>
        </w:rPr>
        <w:t>kidney transplantation for Aboriginal and Torres Strait Islander people was significantly lower than non-Indigenous people.</w:t>
      </w:r>
      <w:r w:rsidRPr="00447661">
        <w:rPr>
          <w:rStyle w:val="FootnoteReference"/>
          <w:rFonts w:asciiTheme="minorHAnsi" w:hAnsiTheme="minorHAnsi" w:cstheme="minorHAnsi"/>
          <w:lang w:val="en-GB"/>
        </w:rPr>
        <w:footnoteReference w:id="86"/>
      </w:r>
      <w:r w:rsidRPr="00C40D7B">
        <w:rPr>
          <w:rFonts w:asciiTheme="minorHAnsi" w:hAnsiTheme="minorHAnsi" w:cstheme="minorHAnsi"/>
          <w:sz w:val="24"/>
          <w:szCs w:val="22"/>
          <w:lang w:val="en-GB"/>
        </w:rPr>
        <w:t xml:space="preserve"> At the end of 2015, 1.9</w:t>
      </w:r>
      <w:r>
        <w:rPr>
          <w:rFonts w:asciiTheme="minorHAnsi" w:hAnsiTheme="minorHAnsi" w:cstheme="minorHAnsi"/>
          <w:sz w:val="24"/>
          <w:szCs w:val="22"/>
          <w:lang w:val="en-GB"/>
        </w:rPr>
        <w:t xml:space="preserve"> per cent</w:t>
      </w:r>
      <w:r w:rsidRPr="00C40D7B">
        <w:rPr>
          <w:rFonts w:asciiTheme="minorHAnsi" w:hAnsiTheme="minorHAnsi" w:cstheme="minorHAnsi"/>
          <w:sz w:val="24"/>
          <w:szCs w:val="22"/>
          <w:lang w:val="en-GB"/>
        </w:rPr>
        <w:t xml:space="preserve"> of all </w:t>
      </w:r>
      <w:r>
        <w:rPr>
          <w:rFonts w:asciiTheme="minorHAnsi" w:hAnsiTheme="minorHAnsi" w:cstheme="minorHAnsi"/>
          <w:sz w:val="24"/>
          <w:szCs w:val="22"/>
          <w:lang w:val="en-GB"/>
        </w:rPr>
        <w:t>Aboriginal and Torres Strait Islander</w:t>
      </w:r>
      <w:r w:rsidRPr="00C40D7B">
        <w:rPr>
          <w:rFonts w:asciiTheme="minorHAnsi" w:hAnsiTheme="minorHAnsi" w:cstheme="minorHAnsi"/>
          <w:sz w:val="24"/>
          <w:szCs w:val="22"/>
          <w:lang w:val="en-GB"/>
        </w:rPr>
        <w:t xml:space="preserve"> dialysis patients were on the waiting list, in contrast to 9.</w:t>
      </w:r>
      <w:r>
        <w:rPr>
          <w:rFonts w:asciiTheme="minorHAnsi" w:hAnsiTheme="minorHAnsi" w:cstheme="minorHAnsi"/>
          <w:sz w:val="24"/>
          <w:szCs w:val="22"/>
          <w:lang w:val="en-GB"/>
        </w:rPr>
        <w:t>5 per cent of non-Indigenous dialysis patients.</w:t>
      </w:r>
      <w:r w:rsidRPr="00447661">
        <w:rPr>
          <w:rStyle w:val="FootnoteReference"/>
          <w:rFonts w:asciiTheme="minorHAnsi" w:hAnsiTheme="minorHAnsi" w:cstheme="minorHAnsi"/>
          <w:lang w:val="en-GB"/>
        </w:rPr>
        <w:footnoteReference w:id="87"/>
      </w:r>
      <w:r>
        <w:rPr>
          <w:rFonts w:asciiTheme="minorHAnsi" w:hAnsiTheme="minorHAnsi" w:cstheme="minorHAnsi"/>
          <w:sz w:val="24"/>
          <w:szCs w:val="22"/>
          <w:lang w:val="en-GB"/>
        </w:rPr>
        <w:t xml:space="preserve"> </w:t>
      </w:r>
      <w:r>
        <w:rPr>
          <w:rFonts w:asciiTheme="minorHAnsi" w:hAnsiTheme="minorHAnsi" w:cstheme="minorHAnsi"/>
          <w:sz w:val="24"/>
          <w:szCs w:val="22"/>
          <w:lang w:val="en-GB"/>
        </w:rPr>
        <w:fldChar w:fldCharType="begin"/>
      </w:r>
      <w:r>
        <w:rPr>
          <w:rFonts w:asciiTheme="minorHAnsi" w:hAnsiTheme="minorHAnsi" w:cstheme="minorHAnsi"/>
          <w:sz w:val="24"/>
          <w:szCs w:val="22"/>
          <w:lang w:val="en-GB"/>
        </w:rPr>
        <w:instrText xml:space="preserve"> REF _Ref527557279 \h  \* MERGEFORMAT </w:instrText>
      </w:r>
      <w:r>
        <w:rPr>
          <w:rFonts w:asciiTheme="minorHAnsi" w:hAnsiTheme="minorHAnsi" w:cstheme="minorHAnsi"/>
          <w:sz w:val="24"/>
          <w:szCs w:val="22"/>
          <w:lang w:val="en-GB"/>
        </w:rPr>
      </w:r>
      <w:r>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Table 8</w:t>
      </w:r>
      <w:r>
        <w:rPr>
          <w:rFonts w:asciiTheme="minorHAnsi" w:hAnsiTheme="minorHAnsi" w:cstheme="minorHAnsi"/>
          <w:sz w:val="24"/>
          <w:szCs w:val="22"/>
          <w:lang w:val="en-GB"/>
        </w:rPr>
        <w:fldChar w:fldCharType="end"/>
      </w:r>
      <w:r w:rsidR="00562D8B">
        <w:rPr>
          <w:rFonts w:asciiTheme="minorHAnsi" w:hAnsiTheme="minorHAnsi" w:cstheme="minorHAnsi"/>
          <w:sz w:val="24"/>
          <w:szCs w:val="22"/>
          <w:lang w:val="en-GB"/>
        </w:rPr>
        <w:t xml:space="preserve"> demonstrates</w:t>
      </w:r>
      <w:r>
        <w:rPr>
          <w:rFonts w:asciiTheme="minorHAnsi" w:hAnsiTheme="minorHAnsi" w:cstheme="minorHAnsi"/>
          <w:sz w:val="24"/>
          <w:szCs w:val="22"/>
          <w:lang w:val="en-GB"/>
        </w:rPr>
        <w:t xml:space="preserve"> that the dialysis units with the largest percentages of Aboriginal and Torres Strait Islander patients have some of the lowest rates of wait listing and the highest rates of dying on dialysis.</w:t>
      </w:r>
    </w:p>
    <w:p w14:paraId="50E2095B" w14:textId="77777777" w:rsidR="00C30067" w:rsidRPr="004938CA" w:rsidRDefault="00C30067" w:rsidP="00C30067">
      <w:pPr>
        <w:pStyle w:val="Caption"/>
        <w:keepNext/>
        <w:widowControl/>
        <w:spacing w:after="120"/>
        <w:rPr>
          <w:rFonts w:asciiTheme="minorHAnsi" w:hAnsiTheme="minorHAnsi" w:cstheme="minorHAnsi"/>
          <w:color w:val="808080"/>
          <w:sz w:val="20"/>
        </w:rPr>
      </w:pPr>
      <w:bookmarkStart w:id="603" w:name="_Ref527557279"/>
      <w:r w:rsidRPr="004938CA">
        <w:rPr>
          <w:rFonts w:asciiTheme="minorHAnsi" w:hAnsiTheme="minorHAnsi" w:cstheme="minorHAnsi"/>
          <w:b w:val="0"/>
          <w:color w:val="808080"/>
          <w:sz w:val="20"/>
        </w:rPr>
        <w:t xml:space="preserve">Table </w:t>
      </w:r>
      <w:r w:rsidRPr="004938CA">
        <w:rPr>
          <w:rFonts w:asciiTheme="minorHAnsi" w:hAnsiTheme="minorHAnsi" w:cstheme="minorHAnsi"/>
          <w:b w:val="0"/>
          <w:color w:val="808080"/>
          <w:sz w:val="20"/>
        </w:rPr>
        <w:fldChar w:fldCharType="begin"/>
      </w:r>
      <w:r w:rsidRPr="004938CA">
        <w:rPr>
          <w:rFonts w:asciiTheme="minorHAnsi" w:hAnsiTheme="minorHAnsi" w:cstheme="minorHAnsi"/>
          <w:b w:val="0"/>
          <w:color w:val="808080"/>
          <w:sz w:val="20"/>
        </w:rPr>
        <w:instrText xml:space="preserve"> SEQ Table \* ARABIC </w:instrText>
      </w:r>
      <w:r w:rsidRPr="004938CA">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8</w:t>
      </w:r>
      <w:r w:rsidRPr="004938CA">
        <w:rPr>
          <w:rFonts w:asciiTheme="minorHAnsi" w:hAnsiTheme="minorHAnsi" w:cstheme="minorHAnsi"/>
          <w:b w:val="0"/>
          <w:color w:val="808080"/>
          <w:sz w:val="20"/>
        </w:rPr>
        <w:fldChar w:fldCharType="end"/>
      </w:r>
      <w:bookmarkEnd w:id="603"/>
      <w:r w:rsidRPr="004938CA">
        <w:rPr>
          <w:rFonts w:asciiTheme="minorHAnsi" w:hAnsiTheme="minorHAnsi" w:cstheme="minorHAnsi"/>
          <w:b w:val="0"/>
          <w:color w:val="808080"/>
          <w:sz w:val="20"/>
        </w:rPr>
        <w:t>: Breakdown by dialysis unit of patients commencing dialysis, the percentage of those people who identify as Aboriginal and Torres Strait Islander, percentage of those wait listed within two years and those who died and were not waitlisted</w:t>
      </w:r>
      <w:r w:rsidR="00EB4BC3">
        <w:rPr>
          <w:rFonts w:asciiTheme="minorHAnsi" w:hAnsiTheme="minorHAnsi" w:cstheme="minorHAnsi"/>
          <w:b w:val="0"/>
          <w:color w:val="808080"/>
          <w:sz w:val="20"/>
        </w:rPr>
        <w:t xml:space="preserve">, SOURCE: </w:t>
      </w:r>
      <w:r w:rsidR="00AD08DD">
        <w:rPr>
          <w:rFonts w:asciiTheme="minorHAnsi" w:hAnsiTheme="minorHAnsi" w:cstheme="minorHAnsi"/>
          <w:b w:val="0"/>
          <w:color w:val="808080"/>
          <w:sz w:val="20"/>
        </w:rPr>
        <w:t>ANZDATA</w:t>
      </w:r>
      <w:r w:rsidR="00213C19" w:rsidRPr="00F526D8">
        <w:rPr>
          <w:rStyle w:val="FootnoteReference"/>
          <w:rFonts w:asciiTheme="minorHAnsi" w:hAnsiTheme="minorHAnsi" w:cstheme="minorHAnsi"/>
          <w:b w:val="0"/>
          <w:color w:val="808080"/>
          <w:sz w:val="16"/>
        </w:rPr>
        <w:footnoteReference w:id="88"/>
      </w:r>
      <w:r w:rsidRPr="00F526D8">
        <w:rPr>
          <w:rFonts w:asciiTheme="minorHAnsi" w:hAnsiTheme="minorHAnsi" w:cstheme="minorHAnsi"/>
          <w:b w:val="0"/>
          <w:color w:val="808080"/>
        </w:rPr>
        <w:t xml:space="preserve">  </w:t>
      </w:r>
    </w:p>
    <w:tbl>
      <w:tblPr>
        <w:tblW w:w="501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31"/>
        <w:gridCol w:w="1883"/>
        <w:gridCol w:w="1668"/>
        <w:gridCol w:w="2277"/>
        <w:gridCol w:w="2975"/>
      </w:tblGrid>
      <w:tr w:rsidR="00C30067" w:rsidRPr="00FD70B5" w14:paraId="79A59BAD" w14:textId="77777777" w:rsidTr="00EF2596">
        <w:trPr>
          <w:trHeight w:val="894"/>
          <w:tblHeader/>
        </w:trPr>
        <w:tc>
          <w:tcPr>
            <w:tcW w:w="431" w:type="pct"/>
            <w:shd w:val="clear" w:color="auto" w:fill="595959" w:themeFill="text1" w:themeFillTint="A6"/>
            <w:vAlign w:val="center"/>
            <w:hideMark/>
          </w:tcPr>
          <w:p w14:paraId="0A8DCBB8" w14:textId="77777777" w:rsidR="00C30067" w:rsidRPr="004938CA" w:rsidRDefault="00C30067" w:rsidP="0082626C">
            <w:pPr>
              <w:widowControl/>
              <w:autoSpaceDE/>
              <w:autoSpaceDN/>
              <w:adjustRightInd/>
              <w:spacing w:before="40" w:after="40"/>
              <w:rPr>
                <w:rFonts w:asciiTheme="minorHAnsi" w:hAnsiTheme="minorHAnsi" w:cstheme="minorHAnsi"/>
                <w:b/>
                <w:bCs/>
                <w:color w:val="FFFFFF" w:themeColor="background1"/>
                <w:szCs w:val="18"/>
                <w:lang w:eastAsia="en-AU"/>
              </w:rPr>
            </w:pPr>
            <w:r w:rsidRPr="004938CA">
              <w:rPr>
                <w:rFonts w:asciiTheme="minorHAnsi" w:hAnsiTheme="minorHAnsi" w:cstheme="minorHAnsi"/>
                <w:b/>
                <w:bCs/>
                <w:color w:val="FFFFFF" w:themeColor="background1"/>
                <w:szCs w:val="18"/>
                <w:lang w:eastAsia="en-AU"/>
              </w:rPr>
              <w:t>State</w:t>
            </w:r>
          </w:p>
        </w:tc>
        <w:tc>
          <w:tcPr>
            <w:tcW w:w="977" w:type="pct"/>
            <w:shd w:val="clear" w:color="auto" w:fill="595959" w:themeFill="text1" w:themeFillTint="A6"/>
            <w:vAlign w:val="center"/>
            <w:hideMark/>
          </w:tcPr>
          <w:p w14:paraId="7CCCF548" w14:textId="77777777" w:rsidR="00C30067" w:rsidRPr="004938CA" w:rsidRDefault="00C30067" w:rsidP="0082626C">
            <w:pPr>
              <w:widowControl/>
              <w:autoSpaceDE/>
              <w:autoSpaceDN/>
              <w:adjustRightInd/>
              <w:spacing w:before="40" w:after="40"/>
              <w:jc w:val="center"/>
              <w:rPr>
                <w:rFonts w:asciiTheme="minorHAnsi" w:hAnsiTheme="minorHAnsi" w:cstheme="minorHAnsi"/>
                <w:b/>
                <w:bCs/>
                <w:color w:val="FFFFFF" w:themeColor="background1"/>
                <w:szCs w:val="18"/>
                <w:lang w:eastAsia="en-AU"/>
              </w:rPr>
            </w:pPr>
            <w:r w:rsidRPr="004938CA">
              <w:rPr>
                <w:rFonts w:asciiTheme="minorHAnsi" w:hAnsiTheme="minorHAnsi" w:cstheme="minorHAnsi"/>
                <w:b/>
                <w:bCs/>
                <w:color w:val="FFFFFF" w:themeColor="background1"/>
                <w:szCs w:val="18"/>
                <w:lang w:eastAsia="en-AU"/>
              </w:rPr>
              <w:t>Patients initiating dialysis at age &lt;65 from 2005-2014</w:t>
            </w:r>
          </w:p>
        </w:tc>
        <w:tc>
          <w:tcPr>
            <w:tcW w:w="865" w:type="pct"/>
            <w:shd w:val="clear" w:color="auto" w:fill="595959" w:themeFill="text1" w:themeFillTint="A6"/>
            <w:vAlign w:val="center"/>
            <w:hideMark/>
          </w:tcPr>
          <w:p w14:paraId="5DEAC823" w14:textId="77777777" w:rsidR="00C30067" w:rsidRPr="004938CA" w:rsidRDefault="00C30067" w:rsidP="0082626C">
            <w:pPr>
              <w:widowControl/>
              <w:autoSpaceDE/>
              <w:autoSpaceDN/>
              <w:adjustRightInd/>
              <w:spacing w:before="40" w:after="40"/>
              <w:jc w:val="center"/>
              <w:rPr>
                <w:rFonts w:asciiTheme="minorHAnsi" w:hAnsiTheme="minorHAnsi" w:cstheme="minorHAnsi"/>
                <w:b/>
                <w:bCs/>
                <w:color w:val="FFFFFF" w:themeColor="background1"/>
                <w:szCs w:val="18"/>
                <w:lang w:eastAsia="en-AU"/>
              </w:rPr>
            </w:pPr>
            <w:r w:rsidRPr="004938CA">
              <w:rPr>
                <w:rFonts w:asciiTheme="minorHAnsi" w:hAnsiTheme="minorHAnsi" w:cstheme="minorHAnsi"/>
                <w:b/>
                <w:bCs/>
                <w:color w:val="FFFFFF" w:themeColor="background1"/>
                <w:szCs w:val="18"/>
                <w:lang w:eastAsia="en-AU"/>
              </w:rPr>
              <w:t>Aboriginal and Torres Strait Islander dialysis users</w:t>
            </w:r>
          </w:p>
        </w:tc>
        <w:tc>
          <w:tcPr>
            <w:tcW w:w="1182" w:type="pct"/>
            <w:shd w:val="clear" w:color="auto" w:fill="595959" w:themeFill="text1" w:themeFillTint="A6"/>
            <w:vAlign w:val="center"/>
            <w:hideMark/>
          </w:tcPr>
          <w:p w14:paraId="130CBFA8" w14:textId="77777777" w:rsidR="00C30067" w:rsidRPr="004938CA" w:rsidRDefault="00C30067" w:rsidP="0082626C">
            <w:pPr>
              <w:widowControl/>
              <w:autoSpaceDE/>
              <w:autoSpaceDN/>
              <w:adjustRightInd/>
              <w:spacing w:before="40" w:after="40"/>
              <w:jc w:val="center"/>
              <w:rPr>
                <w:rFonts w:asciiTheme="minorHAnsi" w:hAnsiTheme="minorHAnsi" w:cstheme="minorHAnsi"/>
                <w:b/>
                <w:bCs/>
                <w:color w:val="FFFFFF" w:themeColor="background1"/>
                <w:szCs w:val="18"/>
                <w:lang w:eastAsia="en-AU"/>
              </w:rPr>
            </w:pPr>
            <w:r w:rsidRPr="004938CA">
              <w:rPr>
                <w:rFonts w:asciiTheme="minorHAnsi" w:hAnsiTheme="minorHAnsi" w:cstheme="minorHAnsi"/>
                <w:b/>
                <w:bCs/>
                <w:color w:val="FFFFFF" w:themeColor="background1"/>
                <w:szCs w:val="18"/>
                <w:lang w:eastAsia="en-AU"/>
              </w:rPr>
              <w:t>Percentage wait listed 2 years after commencing dialysis</w:t>
            </w:r>
          </w:p>
        </w:tc>
        <w:tc>
          <w:tcPr>
            <w:tcW w:w="1544" w:type="pct"/>
            <w:shd w:val="clear" w:color="auto" w:fill="595959" w:themeFill="text1" w:themeFillTint="A6"/>
            <w:vAlign w:val="center"/>
            <w:hideMark/>
          </w:tcPr>
          <w:p w14:paraId="6B215ACF" w14:textId="77777777" w:rsidR="00C30067" w:rsidRPr="004938CA" w:rsidRDefault="00C30067" w:rsidP="0082626C">
            <w:pPr>
              <w:widowControl/>
              <w:autoSpaceDE/>
              <w:autoSpaceDN/>
              <w:adjustRightInd/>
              <w:spacing w:before="40" w:after="40"/>
              <w:jc w:val="center"/>
              <w:rPr>
                <w:rFonts w:asciiTheme="minorHAnsi" w:hAnsiTheme="minorHAnsi" w:cstheme="minorHAnsi"/>
                <w:b/>
                <w:bCs/>
                <w:color w:val="FFFFFF" w:themeColor="background1"/>
                <w:szCs w:val="18"/>
                <w:lang w:eastAsia="en-AU"/>
              </w:rPr>
            </w:pPr>
            <w:r w:rsidRPr="004938CA">
              <w:rPr>
                <w:rFonts w:asciiTheme="minorHAnsi" w:hAnsiTheme="minorHAnsi" w:cstheme="minorHAnsi"/>
                <w:b/>
                <w:bCs/>
                <w:color w:val="FFFFFF" w:themeColor="background1"/>
                <w:szCs w:val="18"/>
                <w:lang w:eastAsia="en-AU"/>
              </w:rPr>
              <w:t>Percentage who died within 2 years of commencing dialysis (never on the waiting list or received a live donor transplant)</w:t>
            </w:r>
          </w:p>
        </w:tc>
      </w:tr>
      <w:tr w:rsidR="00C30067" w:rsidRPr="00FD70B5" w14:paraId="7992026D" w14:textId="77777777" w:rsidTr="0010570C">
        <w:trPr>
          <w:trHeight w:val="290"/>
        </w:trPr>
        <w:tc>
          <w:tcPr>
            <w:tcW w:w="431" w:type="pct"/>
            <w:shd w:val="clear" w:color="auto" w:fill="auto"/>
            <w:vAlign w:val="bottom"/>
            <w:hideMark/>
          </w:tcPr>
          <w:p w14:paraId="61522C03"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NT</w:t>
            </w:r>
          </w:p>
        </w:tc>
        <w:tc>
          <w:tcPr>
            <w:tcW w:w="977" w:type="pct"/>
            <w:shd w:val="clear" w:color="auto" w:fill="auto"/>
            <w:vAlign w:val="bottom"/>
            <w:hideMark/>
          </w:tcPr>
          <w:p w14:paraId="286F6C26"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359</w:t>
            </w:r>
          </w:p>
        </w:tc>
        <w:tc>
          <w:tcPr>
            <w:tcW w:w="865" w:type="pct"/>
            <w:shd w:val="clear" w:color="auto" w:fill="auto"/>
            <w:vAlign w:val="bottom"/>
            <w:hideMark/>
          </w:tcPr>
          <w:p w14:paraId="5594A759"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96.70%</w:t>
            </w:r>
          </w:p>
        </w:tc>
        <w:tc>
          <w:tcPr>
            <w:tcW w:w="1182" w:type="pct"/>
            <w:shd w:val="clear" w:color="auto" w:fill="auto"/>
            <w:vAlign w:val="bottom"/>
            <w:hideMark/>
          </w:tcPr>
          <w:p w14:paraId="42E4EE5A"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3.30%</w:t>
            </w:r>
          </w:p>
        </w:tc>
        <w:tc>
          <w:tcPr>
            <w:tcW w:w="1544" w:type="pct"/>
            <w:shd w:val="clear" w:color="auto" w:fill="auto"/>
            <w:vAlign w:val="bottom"/>
            <w:hideMark/>
          </w:tcPr>
          <w:p w14:paraId="6398D78C"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13.10%</w:t>
            </w:r>
          </w:p>
        </w:tc>
      </w:tr>
      <w:tr w:rsidR="00C30067" w:rsidRPr="00FD70B5" w14:paraId="7F63D78A" w14:textId="77777777" w:rsidTr="0010570C">
        <w:trPr>
          <w:trHeight w:val="290"/>
        </w:trPr>
        <w:tc>
          <w:tcPr>
            <w:tcW w:w="431" w:type="pct"/>
            <w:shd w:val="clear" w:color="auto" w:fill="auto"/>
            <w:vAlign w:val="bottom"/>
            <w:hideMark/>
          </w:tcPr>
          <w:p w14:paraId="7174175D"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NT</w:t>
            </w:r>
          </w:p>
        </w:tc>
        <w:tc>
          <w:tcPr>
            <w:tcW w:w="977" w:type="pct"/>
            <w:shd w:val="clear" w:color="auto" w:fill="auto"/>
            <w:vAlign w:val="bottom"/>
            <w:hideMark/>
          </w:tcPr>
          <w:p w14:paraId="0DB15016"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409</w:t>
            </w:r>
          </w:p>
        </w:tc>
        <w:tc>
          <w:tcPr>
            <w:tcW w:w="865" w:type="pct"/>
            <w:shd w:val="clear" w:color="auto" w:fill="auto"/>
            <w:vAlign w:val="bottom"/>
            <w:hideMark/>
          </w:tcPr>
          <w:p w14:paraId="665A14DC"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81.20%</w:t>
            </w:r>
          </w:p>
        </w:tc>
        <w:tc>
          <w:tcPr>
            <w:tcW w:w="1182" w:type="pct"/>
            <w:shd w:val="clear" w:color="auto" w:fill="auto"/>
            <w:vAlign w:val="bottom"/>
            <w:hideMark/>
          </w:tcPr>
          <w:p w14:paraId="28DF36F5"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7.60%</w:t>
            </w:r>
          </w:p>
        </w:tc>
        <w:tc>
          <w:tcPr>
            <w:tcW w:w="1544" w:type="pct"/>
            <w:shd w:val="clear" w:color="auto" w:fill="auto"/>
            <w:vAlign w:val="bottom"/>
            <w:hideMark/>
          </w:tcPr>
          <w:p w14:paraId="164C1239"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19.10%</w:t>
            </w:r>
          </w:p>
        </w:tc>
      </w:tr>
      <w:tr w:rsidR="00C30067" w:rsidRPr="00FD70B5" w14:paraId="39E17BDE" w14:textId="77777777" w:rsidTr="0010570C">
        <w:trPr>
          <w:trHeight w:val="290"/>
        </w:trPr>
        <w:tc>
          <w:tcPr>
            <w:tcW w:w="431" w:type="pct"/>
            <w:shd w:val="clear" w:color="auto" w:fill="auto"/>
            <w:vAlign w:val="bottom"/>
            <w:hideMark/>
          </w:tcPr>
          <w:p w14:paraId="3450CA3C"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QLD</w:t>
            </w:r>
          </w:p>
        </w:tc>
        <w:tc>
          <w:tcPr>
            <w:tcW w:w="977" w:type="pct"/>
            <w:shd w:val="clear" w:color="auto" w:fill="auto"/>
            <w:vAlign w:val="bottom"/>
            <w:hideMark/>
          </w:tcPr>
          <w:p w14:paraId="1A6B3871"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340</w:t>
            </w:r>
          </w:p>
        </w:tc>
        <w:tc>
          <w:tcPr>
            <w:tcW w:w="865" w:type="pct"/>
            <w:shd w:val="clear" w:color="auto" w:fill="auto"/>
            <w:vAlign w:val="bottom"/>
            <w:hideMark/>
          </w:tcPr>
          <w:p w14:paraId="1E60F5F5"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67.90%</w:t>
            </w:r>
          </w:p>
        </w:tc>
        <w:tc>
          <w:tcPr>
            <w:tcW w:w="1182" w:type="pct"/>
            <w:shd w:val="clear" w:color="auto" w:fill="auto"/>
            <w:vAlign w:val="bottom"/>
            <w:hideMark/>
          </w:tcPr>
          <w:p w14:paraId="08C8869B"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12.60%</w:t>
            </w:r>
          </w:p>
        </w:tc>
        <w:tc>
          <w:tcPr>
            <w:tcW w:w="1544" w:type="pct"/>
            <w:shd w:val="clear" w:color="auto" w:fill="auto"/>
            <w:vAlign w:val="bottom"/>
            <w:hideMark/>
          </w:tcPr>
          <w:p w14:paraId="0FE0B08B"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20.00%</w:t>
            </w:r>
          </w:p>
        </w:tc>
      </w:tr>
      <w:tr w:rsidR="00C30067" w:rsidRPr="00FD70B5" w14:paraId="44E61798" w14:textId="77777777" w:rsidTr="0010570C">
        <w:trPr>
          <w:trHeight w:val="290"/>
        </w:trPr>
        <w:tc>
          <w:tcPr>
            <w:tcW w:w="431" w:type="pct"/>
            <w:shd w:val="clear" w:color="auto" w:fill="auto"/>
            <w:vAlign w:val="bottom"/>
            <w:hideMark/>
          </w:tcPr>
          <w:p w14:paraId="1A59D668"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QLD</w:t>
            </w:r>
          </w:p>
        </w:tc>
        <w:tc>
          <w:tcPr>
            <w:tcW w:w="977" w:type="pct"/>
            <w:shd w:val="clear" w:color="auto" w:fill="auto"/>
            <w:vAlign w:val="bottom"/>
            <w:hideMark/>
          </w:tcPr>
          <w:p w14:paraId="038316B2"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282</w:t>
            </w:r>
          </w:p>
        </w:tc>
        <w:tc>
          <w:tcPr>
            <w:tcW w:w="865" w:type="pct"/>
            <w:shd w:val="clear" w:color="auto" w:fill="auto"/>
            <w:vAlign w:val="bottom"/>
            <w:hideMark/>
          </w:tcPr>
          <w:p w14:paraId="570A6602"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52.50%</w:t>
            </w:r>
          </w:p>
        </w:tc>
        <w:tc>
          <w:tcPr>
            <w:tcW w:w="1182" w:type="pct"/>
            <w:shd w:val="clear" w:color="auto" w:fill="auto"/>
            <w:vAlign w:val="bottom"/>
            <w:hideMark/>
          </w:tcPr>
          <w:p w14:paraId="44F82F2C"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18.40%</w:t>
            </w:r>
          </w:p>
        </w:tc>
        <w:tc>
          <w:tcPr>
            <w:tcW w:w="1544" w:type="pct"/>
            <w:shd w:val="clear" w:color="auto" w:fill="auto"/>
            <w:vAlign w:val="bottom"/>
            <w:hideMark/>
          </w:tcPr>
          <w:p w14:paraId="003679AA"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13.80%</w:t>
            </w:r>
          </w:p>
        </w:tc>
      </w:tr>
      <w:tr w:rsidR="00C30067" w:rsidRPr="00FD70B5" w14:paraId="2E681105" w14:textId="77777777" w:rsidTr="0010570C">
        <w:trPr>
          <w:trHeight w:val="290"/>
        </w:trPr>
        <w:tc>
          <w:tcPr>
            <w:tcW w:w="431" w:type="pct"/>
            <w:shd w:val="clear" w:color="auto" w:fill="auto"/>
            <w:vAlign w:val="bottom"/>
            <w:hideMark/>
          </w:tcPr>
          <w:p w14:paraId="4A23FBD6"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WA</w:t>
            </w:r>
          </w:p>
        </w:tc>
        <w:tc>
          <w:tcPr>
            <w:tcW w:w="977" w:type="pct"/>
            <w:shd w:val="clear" w:color="auto" w:fill="auto"/>
            <w:vAlign w:val="bottom"/>
            <w:hideMark/>
          </w:tcPr>
          <w:p w14:paraId="61810BE5"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710</w:t>
            </w:r>
          </w:p>
        </w:tc>
        <w:tc>
          <w:tcPr>
            <w:tcW w:w="865" w:type="pct"/>
            <w:shd w:val="clear" w:color="auto" w:fill="auto"/>
            <w:vAlign w:val="bottom"/>
            <w:hideMark/>
          </w:tcPr>
          <w:p w14:paraId="2EB23126"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51.10%</w:t>
            </w:r>
          </w:p>
        </w:tc>
        <w:tc>
          <w:tcPr>
            <w:tcW w:w="1182" w:type="pct"/>
            <w:shd w:val="clear" w:color="auto" w:fill="auto"/>
            <w:vAlign w:val="bottom"/>
            <w:hideMark/>
          </w:tcPr>
          <w:p w14:paraId="05145A4C"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16.90%</w:t>
            </w:r>
          </w:p>
        </w:tc>
        <w:tc>
          <w:tcPr>
            <w:tcW w:w="1544" w:type="pct"/>
            <w:shd w:val="clear" w:color="auto" w:fill="auto"/>
            <w:vAlign w:val="bottom"/>
            <w:hideMark/>
          </w:tcPr>
          <w:p w14:paraId="78D8C0C4"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13.80%</w:t>
            </w:r>
          </w:p>
        </w:tc>
      </w:tr>
      <w:tr w:rsidR="00C30067" w:rsidRPr="00FD70B5" w14:paraId="7760BEA6" w14:textId="77777777" w:rsidTr="0010570C">
        <w:trPr>
          <w:trHeight w:val="290"/>
        </w:trPr>
        <w:tc>
          <w:tcPr>
            <w:tcW w:w="431" w:type="pct"/>
            <w:shd w:val="clear" w:color="auto" w:fill="auto"/>
            <w:vAlign w:val="bottom"/>
            <w:hideMark/>
          </w:tcPr>
          <w:p w14:paraId="6961C35B"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SA</w:t>
            </w:r>
          </w:p>
        </w:tc>
        <w:tc>
          <w:tcPr>
            <w:tcW w:w="977" w:type="pct"/>
            <w:shd w:val="clear" w:color="auto" w:fill="auto"/>
            <w:vAlign w:val="bottom"/>
            <w:hideMark/>
          </w:tcPr>
          <w:p w14:paraId="66907264"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798</w:t>
            </w:r>
          </w:p>
        </w:tc>
        <w:tc>
          <w:tcPr>
            <w:tcW w:w="865" w:type="pct"/>
            <w:shd w:val="clear" w:color="auto" w:fill="auto"/>
            <w:vAlign w:val="bottom"/>
            <w:hideMark/>
          </w:tcPr>
          <w:p w14:paraId="4E815B97"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16.20%</w:t>
            </w:r>
          </w:p>
        </w:tc>
        <w:tc>
          <w:tcPr>
            <w:tcW w:w="1182" w:type="pct"/>
            <w:shd w:val="clear" w:color="auto" w:fill="auto"/>
            <w:vAlign w:val="bottom"/>
            <w:hideMark/>
          </w:tcPr>
          <w:p w14:paraId="53A393F5"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36.60%</w:t>
            </w:r>
          </w:p>
        </w:tc>
        <w:tc>
          <w:tcPr>
            <w:tcW w:w="1544" w:type="pct"/>
            <w:shd w:val="clear" w:color="auto" w:fill="auto"/>
            <w:vAlign w:val="bottom"/>
            <w:hideMark/>
          </w:tcPr>
          <w:p w14:paraId="4570119E"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11.50%</w:t>
            </w:r>
          </w:p>
        </w:tc>
      </w:tr>
      <w:tr w:rsidR="00C30067" w:rsidRPr="00FD70B5" w14:paraId="0309EB00" w14:textId="77777777" w:rsidTr="0010570C">
        <w:trPr>
          <w:trHeight w:val="290"/>
        </w:trPr>
        <w:tc>
          <w:tcPr>
            <w:tcW w:w="431" w:type="pct"/>
            <w:shd w:val="clear" w:color="auto" w:fill="auto"/>
            <w:vAlign w:val="bottom"/>
            <w:hideMark/>
          </w:tcPr>
          <w:p w14:paraId="557EE7DB"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WA</w:t>
            </w:r>
          </w:p>
        </w:tc>
        <w:tc>
          <w:tcPr>
            <w:tcW w:w="977" w:type="pct"/>
            <w:shd w:val="clear" w:color="auto" w:fill="auto"/>
            <w:vAlign w:val="bottom"/>
            <w:hideMark/>
          </w:tcPr>
          <w:p w14:paraId="009198A6"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313</w:t>
            </w:r>
          </w:p>
        </w:tc>
        <w:tc>
          <w:tcPr>
            <w:tcW w:w="865" w:type="pct"/>
            <w:shd w:val="clear" w:color="auto" w:fill="auto"/>
            <w:vAlign w:val="bottom"/>
            <w:hideMark/>
          </w:tcPr>
          <w:p w14:paraId="6C99D4D8"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12.50%</w:t>
            </w:r>
          </w:p>
        </w:tc>
        <w:tc>
          <w:tcPr>
            <w:tcW w:w="1182" w:type="pct"/>
            <w:shd w:val="clear" w:color="auto" w:fill="auto"/>
            <w:vAlign w:val="bottom"/>
            <w:hideMark/>
          </w:tcPr>
          <w:p w14:paraId="648759AE"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28.80%</w:t>
            </w:r>
          </w:p>
        </w:tc>
        <w:tc>
          <w:tcPr>
            <w:tcW w:w="1544" w:type="pct"/>
            <w:shd w:val="clear" w:color="auto" w:fill="auto"/>
            <w:vAlign w:val="bottom"/>
            <w:hideMark/>
          </w:tcPr>
          <w:p w14:paraId="37884D4A"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11.80%</w:t>
            </w:r>
          </w:p>
        </w:tc>
      </w:tr>
      <w:tr w:rsidR="00C30067" w:rsidRPr="00FD70B5" w14:paraId="7FB31C55" w14:textId="77777777" w:rsidTr="0010570C">
        <w:trPr>
          <w:trHeight w:val="290"/>
        </w:trPr>
        <w:tc>
          <w:tcPr>
            <w:tcW w:w="431" w:type="pct"/>
            <w:shd w:val="clear" w:color="auto" w:fill="auto"/>
            <w:vAlign w:val="bottom"/>
            <w:hideMark/>
          </w:tcPr>
          <w:p w14:paraId="2E890DAF"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WA</w:t>
            </w:r>
          </w:p>
        </w:tc>
        <w:tc>
          <w:tcPr>
            <w:tcW w:w="977" w:type="pct"/>
            <w:shd w:val="clear" w:color="auto" w:fill="auto"/>
            <w:vAlign w:val="bottom"/>
            <w:hideMark/>
          </w:tcPr>
          <w:p w14:paraId="5ADEAC45"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458</w:t>
            </w:r>
          </w:p>
        </w:tc>
        <w:tc>
          <w:tcPr>
            <w:tcW w:w="865" w:type="pct"/>
            <w:shd w:val="clear" w:color="auto" w:fill="auto"/>
            <w:vAlign w:val="bottom"/>
            <w:hideMark/>
          </w:tcPr>
          <w:p w14:paraId="2B83BEAA"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11.80%</w:t>
            </w:r>
          </w:p>
        </w:tc>
        <w:tc>
          <w:tcPr>
            <w:tcW w:w="1182" w:type="pct"/>
            <w:shd w:val="clear" w:color="auto" w:fill="auto"/>
            <w:vAlign w:val="bottom"/>
            <w:hideMark/>
          </w:tcPr>
          <w:p w14:paraId="7836534D"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22.50%</w:t>
            </w:r>
          </w:p>
        </w:tc>
        <w:tc>
          <w:tcPr>
            <w:tcW w:w="1544" w:type="pct"/>
            <w:shd w:val="clear" w:color="auto" w:fill="auto"/>
            <w:vAlign w:val="bottom"/>
            <w:hideMark/>
          </w:tcPr>
          <w:p w14:paraId="57269F1E"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12.70%</w:t>
            </w:r>
          </w:p>
        </w:tc>
      </w:tr>
      <w:tr w:rsidR="00C30067" w:rsidRPr="00FD70B5" w14:paraId="15F2FDAE" w14:textId="77777777" w:rsidTr="0010570C">
        <w:trPr>
          <w:trHeight w:val="290"/>
        </w:trPr>
        <w:tc>
          <w:tcPr>
            <w:tcW w:w="431" w:type="pct"/>
            <w:shd w:val="clear" w:color="auto" w:fill="auto"/>
            <w:vAlign w:val="bottom"/>
            <w:hideMark/>
          </w:tcPr>
          <w:p w14:paraId="1552F24D"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NSW</w:t>
            </w:r>
          </w:p>
        </w:tc>
        <w:tc>
          <w:tcPr>
            <w:tcW w:w="977" w:type="pct"/>
            <w:shd w:val="clear" w:color="auto" w:fill="auto"/>
            <w:vAlign w:val="bottom"/>
            <w:hideMark/>
          </w:tcPr>
          <w:p w14:paraId="2A262C8C"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564</w:t>
            </w:r>
          </w:p>
        </w:tc>
        <w:tc>
          <w:tcPr>
            <w:tcW w:w="865" w:type="pct"/>
            <w:shd w:val="clear" w:color="auto" w:fill="auto"/>
            <w:vAlign w:val="bottom"/>
            <w:hideMark/>
          </w:tcPr>
          <w:p w14:paraId="1587AFA8"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7.40%</w:t>
            </w:r>
          </w:p>
        </w:tc>
        <w:tc>
          <w:tcPr>
            <w:tcW w:w="1182" w:type="pct"/>
            <w:shd w:val="clear" w:color="auto" w:fill="auto"/>
            <w:vAlign w:val="bottom"/>
            <w:hideMark/>
          </w:tcPr>
          <w:p w14:paraId="116A8DBC"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29.40%</w:t>
            </w:r>
          </w:p>
        </w:tc>
        <w:tc>
          <w:tcPr>
            <w:tcW w:w="1544" w:type="pct"/>
            <w:shd w:val="clear" w:color="auto" w:fill="auto"/>
            <w:vAlign w:val="bottom"/>
            <w:hideMark/>
          </w:tcPr>
          <w:p w14:paraId="3FCC26A2"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11.20%</w:t>
            </w:r>
          </w:p>
        </w:tc>
      </w:tr>
      <w:tr w:rsidR="00C30067" w:rsidRPr="00FD70B5" w14:paraId="68A7466C" w14:textId="77777777" w:rsidTr="0010570C">
        <w:trPr>
          <w:trHeight w:val="290"/>
        </w:trPr>
        <w:tc>
          <w:tcPr>
            <w:tcW w:w="431" w:type="pct"/>
            <w:shd w:val="clear" w:color="auto" w:fill="auto"/>
            <w:vAlign w:val="bottom"/>
            <w:hideMark/>
          </w:tcPr>
          <w:p w14:paraId="25FAB41C"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QLD</w:t>
            </w:r>
          </w:p>
        </w:tc>
        <w:tc>
          <w:tcPr>
            <w:tcW w:w="977" w:type="pct"/>
            <w:shd w:val="clear" w:color="auto" w:fill="auto"/>
            <w:vAlign w:val="bottom"/>
            <w:hideMark/>
          </w:tcPr>
          <w:p w14:paraId="1DDC5CFB"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345</w:t>
            </w:r>
          </w:p>
        </w:tc>
        <w:tc>
          <w:tcPr>
            <w:tcW w:w="865" w:type="pct"/>
            <w:shd w:val="clear" w:color="auto" w:fill="auto"/>
            <w:vAlign w:val="bottom"/>
            <w:hideMark/>
          </w:tcPr>
          <w:p w14:paraId="29E7D59D"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7.20%</w:t>
            </w:r>
          </w:p>
        </w:tc>
        <w:tc>
          <w:tcPr>
            <w:tcW w:w="1182" w:type="pct"/>
            <w:shd w:val="clear" w:color="auto" w:fill="auto"/>
            <w:vAlign w:val="bottom"/>
            <w:hideMark/>
          </w:tcPr>
          <w:p w14:paraId="3DFAA600"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26.10%</w:t>
            </w:r>
          </w:p>
        </w:tc>
        <w:tc>
          <w:tcPr>
            <w:tcW w:w="1544" w:type="pct"/>
            <w:shd w:val="clear" w:color="auto" w:fill="auto"/>
            <w:vAlign w:val="bottom"/>
            <w:hideMark/>
          </w:tcPr>
          <w:p w14:paraId="53BF3028"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12.50%</w:t>
            </w:r>
          </w:p>
        </w:tc>
      </w:tr>
      <w:tr w:rsidR="00C30067" w:rsidRPr="00FD70B5" w14:paraId="1F8215B6" w14:textId="77777777" w:rsidTr="0010570C">
        <w:trPr>
          <w:trHeight w:val="290"/>
        </w:trPr>
        <w:tc>
          <w:tcPr>
            <w:tcW w:w="431" w:type="pct"/>
            <w:shd w:val="clear" w:color="auto" w:fill="auto"/>
            <w:vAlign w:val="bottom"/>
            <w:hideMark/>
          </w:tcPr>
          <w:p w14:paraId="7445798B"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NSW</w:t>
            </w:r>
          </w:p>
        </w:tc>
        <w:tc>
          <w:tcPr>
            <w:tcW w:w="977" w:type="pct"/>
            <w:shd w:val="clear" w:color="auto" w:fill="auto"/>
            <w:vAlign w:val="bottom"/>
            <w:hideMark/>
          </w:tcPr>
          <w:p w14:paraId="2854C14F"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354</w:t>
            </w:r>
          </w:p>
        </w:tc>
        <w:tc>
          <w:tcPr>
            <w:tcW w:w="865" w:type="pct"/>
            <w:shd w:val="clear" w:color="auto" w:fill="auto"/>
            <w:vAlign w:val="bottom"/>
            <w:hideMark/>
          </w:tcPr>
          <w:p w14:paraId="5688B842"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6.20%</w:t>
            </w:r>
          </w:p>
        </w:tc>
        <w:tc>
          <w:tcPr>
            <w:tcW w:w="1182" w:type="pct"/>
            <w:shd w:val="clear" w:color="auto" w:fill="auto"/>
            <w:vAlign w:val="bottom"/>
            <w:hideMark/>
          </w:tcPr>
          <w:p w14:paraId="56119D88"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32.80%</w:t>
            </w:r>
          </w:p>
        </w:tc>
        <w:tc>
          <w:tcPr>
            <w:tcW w:w="1544" w:type="pct"/>
            <w:shd w:val="clear" w:color="auto" w:fill="auto"/>
            <w:vAlign w:val="bottom"/>
            <w:hideMark/>
          </w:tcPr>
          <w:p w14:paraId="7CD55746"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14.40%</w:t>
            </w:r>
          </w:p>
        </w:tc>
      </w:tr>
      <w:tr w:rsidR="00C30067" w:rsidRPr="00FD70B5" w14:paraId="178BCA0B" w14:textId="77777777" w:rsidTr="0010570C">
        <w:trPr>
          <w:trHeight w:val="290"/>
        </w:trPr>
        <w:tc>
          <w:tcPr>
            <w:tcW w:w="431" w:type="pct"/>
            <w:shd w:val="clear" w:color="auto" w:fill="auto"/>
            <w:vAlign w:val="bottom"/>
            <w:hideMark/>
          </w:tcPr>
          <w:p w14:paraId="5C87B591"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VIC</w:t>
            </w:r>
          </w:p>
        </w:tc>
        <w:tc>
          <w:tcPr>
            <w:tcW w:w="977" w:type="pct"/>
            <w:shd w:val="clear" w:color="auto" w:fill="auto"/>
            <w:vAlign w:val="bottom"/>
            <w:hideMark/>
          </w:tcPr>
          <w:p w14:paraId="5D4D5C55"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327</w:t>
            </w:r>
          </w:p>
        </w:tc>
        <w:tc>
          <w:tcPr>
            <w:tcW w:w="865" w:type="pct"/>
            <w:shd w:val="clear" w:color="auto" w:fill="auto"/>
            <w:vAlign w:val="bottom"/>
            <w:hideMark/>
          </w:tcPr>
          <w:p w14:paraId="7BDC0EDA"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5.80%</w:t>
            </w:r>
          </w:p>
        </w:tc>
        <w:tc>
          <w:tcPr>
            <w:tcW w:w="1182" w:type="pct"/>
            <w:shd w:val="clear" w:color="auto" w:fill="auto"/>
            <w:vAlign w:val="bottom"/>
            <w:hideMark/>
          </w:tcPr>
          <w:p w14:paraId="4432C991"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30.30%</w:t>
            </w:r>
          </w:p>
        </w:tc>
        <w:tc>
          <w:tcPr>
            <w:tcW w:w="1544" w:type="pct"/>
            <w:shd w:val="clear" w:color="auto" w:fill="auto"/>
            <w:vAlign w:val="bottom"/>
            <w:hideMark/>
          </w:tcPr>
          <w:p w14:paraId="6B6B89A1"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12.80%</w:t>
            </w:r>
          </w:p>
        </w:tc>
      </w:tr>
      <w:tr w:rsidR="00C30067" w:rsidRPr="00FD70B5" w14:paraId="1A3B3D3E" w14:textId="77777777" w:rsidTr="0010570C">
        <w:trPr>
          <w:trHeight w:val="290"/>
        </w:trPr>
        <w:tc>
          <w:tcPr>
            <w:tcW w:w="431" w:type="pct"/>
            <w:shd w:val="clear" w:color="auto" w:fill="auto"/>
            <w:vAlign w:val="bottom"/>
            <w:hideMark/>
          </w:tcPr>
          <w:p w14:paraId="68D2D8D7"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QLD</w:t>
            </w:r>
          </w:p>
        </w:tc>
        <w:tc>
          <w:tcPr>
            <w:tcW w:w="977" w:type="pct"/>
            <w:shd w:val="clear" w:color="auto" w:fill="auto"/>
            <w:vAlign w:val="bottom"/>
            <w:hideMark/>
          </w:tcPr>
          <w:p w14:paraId="7BD5AFEE"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617</w:t>
            </w:r>
          </w:p>
        </w:tc>
        <w:tc>
          <w:tcPr>
            <w:tcW w:w="865" w:type="pct"/>
            <w:shd w:val="clear" w:color="auto" w:fill="auto"/>
            <w:vAlign w:val="bottom"/>
            <w:hideMark/>
          </w:tcPr>
          <w:p w14:paraId="4FCB3904"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4.90%</w:t>
            </w:r>
          </w:p>
        </w:tc>
        <w:tc>
          <w:tcPr>
            <w:tcW w:w="1182" w:type="pct"/>
            <w:shd w:val="clear" w:color="auto" w:fill="auto"/>
            <w:vAlign w:val="bottom"/>
            <w:hideMark/>
          </w:tcPr>
          <w:p w14:paraId="42573C86"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28.80%</w:t>
            </w:r>
          </w:p>
        </w:tc>
        <w:tc>
          <w:tcPr>
            <w:tcW w:w="1544" w:type="pct"/>
            <w:shd w:val="clear" w:color="auto" w:fill="auto"/>
            <w:vAlign w:val="bottom"/>
            <w:hideMark/>
          </w:tcPr>
          <w:p w14:paraId="27B9B400"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11.50%</w:t>
            </w:r>
          </w:p>
        </w:tc>
      </w:tr>
      <w:tr w:rsidR="00C30067" w:rsidRPr="00FD70B5" w14:paraId="7D341148" w14:textId="77777777" w:rsidTr="0010570C">
        <w:trPr>
          <w:trHeight w:val="290"/>
        </w:trPr>
        <w:tc>
          <w:tcPr>
            <w:tcW w:w="431" w:type="pct"/>
            <w:shd w:val="clear" w:color="auto" w:fill="auto"/>
            <w:vAlign w:val="bottom"/>
            <w:hideMark/>
          </w:tcPr>
          <w:p w14:paraId="6DA933CF"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ACT</w:t>
            </w:r>
          </w:p>
        </w:tc>
        <w:tc>
          <w:tcPr>
            <w:tcW w:w="977" w:type="pct"/>
            <w:shd w:val="clear" w:color="auto" w:fill="auto"/>
            <w:vAlign w:val="bottom"/>
            <w:hideMark/>
          </w:tcPr>
          <w:p w14:paraId="0F35868F"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249</w:t>
            </w:r>
          </w:p>
        </w:tc>
        <w:tc>
          <w:tcPr>
            <w:tcW w:w="865" w:type="pct"/>
            <w:shd w:val="clear" w:color="auto" w:fill="auto"/>
            <w:vAlign w:val="bottom"/>
            <w:hideMark/>
          </w:tcPr>
          <w:p w14:paraId="1377E741"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4.80%</w:t>
            </w:r>
          </w:p>
        </w:tc>
        <w:tc>
          <w:tcPr>
            <w:tcW w:w="1182" w:type="pct"/>
            <w:shd w:val="clear" w:color="auto" w:fill="auto"/>
            <w:vAlign w:val="bottom"/>
            <w:hideMark/>
          </w:tcPr>
          <w:p w14:paraId="79EF7124"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32.10%</w:t>
            </w:r>
          </w:p>
        </w:tc>
        <w:tc>
          <w:tcPr>
            <w:tcW w:w="1544" w:type="pct"/>
            <w:shd w:val="clear" w:color="auto" w:fill="auto"/>
            <w:vAlign w:val="bottom"/>
            <w:hideMark/>
          </w:tcPr>
          <w:p w14:paraId="71D46BAF"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7.60%</w:t>
            </w:r>
          </w:p>
        </w:tc>
      </w:tr>
      <w:tr w:rsidR="00C30067" w:rsidRPr="00FD70B5" w14:paraId="685A2E82" w14:textId="77777777" w:rsidTr="0010570C">
        <w:trPr>
          <w:trHeight w:val="290"/>
        </w:trPr>
        <w:tc>
          <w:tcPr>
            <w:tcW w:w="431" w:type="pct"/>
            <w:shd w:val="clear" w:color="auto" w:fill="auto"/>
            <w:vAlign w:val="bottom"/>
            <w:hideMark/>
          </w:tcPr>
          <w:p w14:paraId="5187E8F9"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VIC</w:t>
            </w:r>
          </w:p>
        </w:tc>
        <w:tc>
          <w:tcPr>
            <w:tcW w:w="977" w:type="pct"/>
            <w:shd w:val="clear" w:color="auto" w:fill="auto"/>
            <w:vAlign w:val="bottom"/>
            <w:hideMark/>
          </w:tcPr>
          <w:p w14:paraId="66016EFF"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372</w:t>
            </w:r>
          </w:p>
        </w:tc>
        <w:tc>
          <w:tcPr>
            <w:tcW w:w="865" w:type="pct"/>
            <w:shd w:val="clear" w:color="auto" w:fill="auto"/>
            <w:vAlign w:val="bottom"/>
            <w:hideMark/>
          </w:tcPr>
          <w:p w14:paraId="600C24F8"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3.00%</w:t>
            </w:r>
          </w:p>
        </w:tc>
        <w:tc>
          <w:tcPr>
            <w:tcW w:w="1182" w:type="pct"/>
            <w:shd w:val="clear" w:color="auto" w:fill="auto"/>
            <w:vAlign w:val="bottom"/>
            <w:hideMark/>
          </w:tcPr>
          <w:p w14:paraId="4CF3335B"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39.00%</w:t>
            </w:r>
          </w:p>
        </w:tc>
        <w:tc>
          <w:tcPr>
            <w:tcW w:w="1544" w:type="pct"/>
            <w:shd w:val="clear" w:color="auto" w:fill="auto"/>
            <w:vAlign w:val="bottom"/>
            <w:hideMark/>
          </w:tcPr>
          <w:p w14:paraId="29060E2A"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12.10%</w:t>
            </w:r>
          </w:p>
        </w:tc>
      </w:tr>
      <w:tr w:rsidR="00C30067" w:rsidRPr="00FD70B5" w14:paraId="070603BE" w14:textId="77777777" w:rsidTr="0010570C">
        <w:trPr>
          <w:trHeight w:val="290"/>
        </w:trPr>
        <w:tc>
          <w:tcPr>
            <w:tcW w:w="431" w:type="pct"/>
            <w:shd w:val="clear" w:color="auto" w:fill="auto"/>
            <w:vAlign w:val="bottom"/>
            <w:hideMark/>
          </w:tcPr>
          <w:p w14:paraId="66B7157B"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NSW</w:t>
            </w:r>
          </w:p>
        </w:tc>
        <w:tc>
          <w:tcPr>
            <w:tcW w:w="977" w:type="pct"/>
            <w:shd w:val="clear" w:color="auto" w:fill="auto"/>
            <w:vAlign w:val="bottom"/>
            <w:hideMark/>
          </w:tcPr>
          <w:p w14:paraId="18BFEAE0"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811</w:t>
            </w:r>
          </w:p>
        </w:tc>
        <w:tc>
          <w:tcPr>
            <w:tcW w:w="865" w:type="pct"/>
            <w:shd w:val="clear" w:color="auto" w:fill="auto"/>
            <w:vAlign w:val="bottom"/>
            <w:hideMark/>
          </w:tcPr>
          <w:p w14:paraId="15A24907"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2.60%</w:t>
            </w:r>
          </w:p>
        </w:tc>
        <w:tc>
          <w:tcPr>
            <w:tcW w:w="1182" w:type="pct"/>
            <w:shd w:val="clear" w:color="auto" w:fill="auto"/>
            <w:vAlign w:val="bottom"/>
            <w:hideMark/>
          </w:tcPr>
          <w:p w14:paraId="0DD8471F"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28.70%</w:t>
            </w:r>
          </w:p>
        </w:tc>
        <w:tc>
          <w:tcPr>
            <w:tcW w:w="1544" w:type="pct"/>
            <w:shd w:val="clear" w:color="auto" w:fill="auto"/>
            <w:vAlign w:val="bottom"/>
            <w:hideMark/>
          </w:tcPr>
          <w:p w14:paraId="3D2D1EDE"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12.30%</w:t>
            </w:r>
          </w:p>
        </w:tc>
      </w:tr>
      <w:tr w:rsidR="00C30067" w:rsidRPr="00FD70B5" w14:paraId="613086E8" w14:textId="77777777" w:rsidTr="0010570C">
        <w:trPr>
          <w:trHeight w:val="290"/>
        </w:trPr>
        <w:tc>
          <w:tcPr>
            <w:tcW w:w="431" w:type="pct"/>
            <w:shd w:val="clear" w:color="auto" w:fill="auto"/>
            <w:vAlign w:val="bottom"/>
            <w:hideMark/>
          </w:tcPr>
          <w:p w14:paraId="0CCA4261"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VIC</w:t>
            </w:r>
          </w:p>
        </w:tc>
        <w:tc>
          <w:tcPr>
            <w:tcW w:w="977" w:type="pct"/>
            <w:shd w:val="clear" w:color="auto" w:fill="auto"/>
            <w:vAlign w:val="bottom"/>
            <w:hideMark/>
          </w:tcPr>
          <w:p w14:paraId="4661391D"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849</w:t>
            </w:r>
          </w:p>
        </w:tc>
        <w:tc>
          <w:tcPr>
            <w:tcW w:w="865" w:type="pct"/>
            <w:shd w:val="clear" w:color="auto" w:fill="auto"/>
            <w:vAlign w:val="bottom"/>
            <w:hideMark/>
          </w:tcPr>
          <w:p w14:paraId="1AD8D804"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2.50%</w:t>
            </w:r>
          </w:p>
        </w:tc>
        <w:tc>
          <w:tcPr>
            <w:tcW w:w="1182" w:type="pct"/>
            <w:shd w:val="clear" w:color="auto" w:fill="auto"/>
            <w:vAlign w:val="bottom"/>
            <w:hideMark/>
          </w:tcPr>
          <w:p w14:paraId="0BE3DA10"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37.60%</w:t>
            </w:r>
          </w:p>
        </w:tc>
        <w:tc>
          <w:tcPr>
            <w:tcW w:w="1544" w:type="pct"/>
            <w:shd w:val="clear" w:color="auto" w:fill="auto"/>
            <w:vAlign w:val="bottom"/>
            <w:hideMark/>
          </w:tcPr>
          <w:p w14:paraId="3F314BAA"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8.50%</w:t>
            </w:r>
          </w:p>
        </w:tc>
      </w:tr>
      <w:tr w:rsidR="00C30067" w:rsidRPr="00FD70B5" w14:paraId="3585913E" w14:textId="77777777" w:rsidTr="0010570C">
        <w:trPr>
          <w:trHeight w:val="290"/>
        </w:trPr>
        <w:tc>
          <w:tcPr>
            <w:tcW w:w="431" w:type="pct"/>
            <w:shd w:val="clear" w:color="auto" w:fill="auto"/>
            <w:vAlign w:val="bottom"/>
            <w:hideMark/>
          </w:tcPr>
          <w:p w14:paraId="1DB45D6E"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VIC</w:t>
            </w:r>
          </w:p>
        </w:tc>
        <w:tc>
          <w:tcPr>
            <w:tcW w:w="977" w:type="pct"/>
            <w:shd w:val="clear" w:color="auto" w:fill="auto"/>
            <w:vAlign w:val="bottom"/>
            <w:hideMark/>
          </w:tcPr>
          <w:p w14:paraId="2B711510"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681</w:t>
            </w:r>
          </w:p>
        </w:tc>
        <w:tc>
          <w:tcPr>
            <w:tcW w:w="865" w:type="pct"/>
            <w:shd w:val="clear" w:color="auto" w:fill="auto"/>
            <w:vAlign w:val="bottom"/>
            <w:hideMark/>
          </w:tcPr>
          <w:p w14:paraId="2C41C0F5"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1.50%</w:t>
            </w:r>
          </w:p>
        </w:tc>
        <w:tc>
          <w:tcPr>
            <w:tcW w:w="1182" w:type="pct"/>
            <w:shd w:val="clear" w:color="auto" w:fill="auto"/>
            <w:vAlign w:val="bottom"/>
            <w:hideMark/>
          </w:tcPr>
          <w:p w14:paraId="71944F0B"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43.00%</w:t>
            </w:r>
          </w:p>
        </w:tc>
        <w:tc>
          <w:tcPr>
            <w:tcW w:w="1544" w:type="pct"/>
            <w:shd w:val="clear" w:color="auto" w:fill="auto"/>
            <w:vAlign w:val="bottom"/>
            <w:hideMark/>
          </w:tcPr>
          <w:p w14:paraId="61A9433E"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8.40%</w:t>
            </w:r>
          </w:p>
        </w:tc>
      </w:tr>
      <w:tr w:rsidR="00C30067" w:rsidRPr="00FD70B5" w14:paraId="7116B14C" w14:textId="77777777" w:rsidTr="0010570C">
        <w:trPr>
          <w:trHeight w:val="290"/>
        </w:trPr>
        <w:tc>
          <w:tcPr>
            <w:tcW w:w="431" w:type="pct"/>
            <w:shd w:val="clear" w:color="auto" w:fill="auto"/>
            <w:vAlign w:val="bottom"/>
            <w:hideMark/>
          </w:tcPr>
          <w:p w14:paraId="6021CAB1"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VIC</w:t>
            </w:r>
          </w:p>
        </w:tc>
        <w:tc>
          <w:tcPr>
            <w:tcW w:w="977" w:type="pct"/>
            <w:shd w:val="clear" w:color="auto" w:fill="auto"/>
            <w:vAlign w:val="bottom"/>
            <w:hideMark/>
          </w:tcPr>
          <w:p w14:paraId="0B69D9F8"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347</w:t>
            </w:r>
          </w:p>
        </w:tc>
        <w:tc>
          <w:tcPr>
            <w:tcW w:w="865" w:type="pct"/>
            <w:shd w:val="clear" w:color="auto" w:fill="auto"/>
            <w:vAlign w:val="bottom"/>
            <w:hideMark/>
          </w:tcPr>
          <w:p w14:paraId="76DBC79F"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1.20%</w:t>
            </w:r>
          </w:p>
        </w:tc>
        <w:tc>
          <w:tcPr>
            <w:tcW w:w="1182" w:type="pct"/>
            <w:shd w:val="clear" w:color="auto" w:fill="auto"/>
            <w:vAlign w:val="bottom"/>
            <w:hideMark/>
          </w:tcPr>
          <w:p w14:paraId="6886185E"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36.90%</w:t>
            </w:r>
          </w:p>
        </w:tc>
        <w:tc>
          <w:tcPr>
            <w:tcW w:w="1544" w:type="pct"/>
            <w:shd w:val="clear" w:color="auto" w:fill="auto"/>
            <w:vAlign w:val="bottom"/>
            <w:hideMark/>
          </w:tcPr>
          <w:p w14:paraId="7B61C6DB"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9.20%</w:t>
            </w:r>
          </w:p>
        </w:tc>
      </w:tr>
      <w:tr w:rsidR="00C30067" w:rsidRPr="00FD70B5" w14:paraId="03F1B1AA" w14:textId="77777777" w:rsidTr="0010570C">
        <w:trPr>
          <w:trHeight w:val="290"/>
        </w:trPr>
        <w:tc>
          <w:tcPr>
            <w:tcW w:w="431" w:type="pct"/>
            <w:shd w:val="clear" w:color="auto" w:fill="auto"/>
            <w:vAlign w:val="bottom"/>
            <w:hideMark/>
          </w:tcPr>
          <w:p w14:paraId="0E9CA6A0"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NSW</w:t>
            </w:r>
          </w:p>
        </w:tc>
        <w:tc>
          <w:tcPr>
            <w:tcW w:w="977" w:type="pct"/>
            <w:shd w:val="clear" w:color="auto" w:fill="auto"/>
            <w:vAlign w:val="bottom"/>
            <w:hideMark/>
          </w:tcPr>
          <w:p w14:paraId="2AB0FEE6"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248</w:t>
            </w:r>
          </w:p>
        </w:tc>
        <w:tc>
          <w:tcPr>
            <w:tcW w:w="865" w:type="pct"/>
            <w:shd w:val="clear" w:color="auto" w:fill="auto"/>
            <w:vAlign w:val="bottom"/>
            <w:hideMark/>
          </w:tcPr>
          <w:p w14:paraId="632F8EED"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1.20%</w:t>
            </w:r>
          </w:p>
        </w:tc>
        <w:tc>
          <w:tcPr>
            <w:tcW w:w="1182" w:type="pct"/>
            <w:shd w:val="clear" w:color="auto" w:fill="auto"/>
            <w:vAlign w:val="bottom"/>
            <w:hideMark/>
          </w:tcPr>
          <w:p w14:paraId="328AFDFA"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50.80%</w:t>
            </w:r>
          </w:p>
        </w:tc>
        <w:tc>
          <w:tcPr>
            <w:tcW w:w="1544" w:type="pct"/>
            <w:shd w:val="clear" w:color="auto" w:fill="auto"/>
            <w:vAlign w:val="bottom"/>
            <w:hideMark/>
          </w:tcPr>
          <w:p w14:paraId="193E3E88"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7.70%</w:t>
            </w:r>
          </w:p>
        </w:tc>
      </w:tr>
      <w:tr w:rsidR="00C30067" w:rsidRPr="00FD70B5" w14:paraId="1450F746" w14:textId="77777777" w:rsidTr="0010570C">
        <w:trPr>
          <w:trHeight w:val="300"/>
        </w:trPr>
        <w:tc>
          <w:tcPr>
            <w:tcW w:w="431" w:type="pct"/>
            <w:shd w:val="clear" w:color="auto" w:fill="auto"/>
            <w:vAlign w:val="bottom"/>
            <w:hideMark/>
          </w:tcPr>
          <w:p w14:paraId="6A397A75" w14:textId="77777777" w:rsidR="00C30067" w:rsidRPr="004938CA" w:rsidRDefault="00C30067" w:rsidP="0082626C">
            <w:pPr>
              <w:widowControl/>
              <w:autoSpaceDE/>
              <w:autoSpaceDN/>
              <w:adjustRightInd/>
              <w:spacing w:before="40" w:after="40"/>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NSW</w:t>
            </w:r>
          </w:p>
        </w:tc>
        <w:tc>
          <w:tcPr>
            <w:tcW w:w="977" w:type="pct"/>
            <w:shd w:val="clear" w:color="auto" w:fill="auto"/>
            <w:vAlign w:val="bottom"/>
            <w:hideMark/>
          </w:tcPr>
          <w:p w14:paraId="3A1BC115"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538</w:t>
            </w:r>
          </w:p>
        </w:tc>
        <w:tc>
          <w:tcPr>
            <w:tcW w:w="865" w:type="pct"/>
            <w:shd w:val="clear" w:color="auto" w:fill="auto"/>
            <w:vAlign w:val="bottom"/>
            <w:hideMark/>
          </w:tcPr>
          <w:p w14:paraId="55CB0FA7"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1.10%</w:t>
            </w:r>
          </w:p>
        </w:tc>
        <w:tc>
          <w:tcPr>
            <w:tcW w:w="1182" w:type="pct"/>
            <w:shd w:val="clear" w:color="auto" w:fill="auto"/>
            <w:vAlign w:val="bottom"/>
            <w:hideMark/>
          </w:tcPr>
          <w:p w14:paraId="6A246F61"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31.20%</w:t>
            </w:r>
          </w:p>
        </w:tc>
        <w:tc>
          <w:tcPr>
            <w:tcW w:w="1544" w:type="pct"/>
            <w:shd w:val="clear" w:color="auto" w:fill="auto"/>
            <w:vAlign w:val="bottom"/>
            <w:hideMark/>
          </w:tcPr>
          <w:p w14:paraId="12D1C3CB" w14:textId="77777777" w:rsidR="00C30067" w:rsidRPr="004938CA" w:rsidRDefault="00C30067" w:rsidP="0082626C">
            <w:pPr>
              <w:widowControl/>
              <w:autoSpaceDE/>
              <w:autoSpaceDN/>
              <w:adjustRightInd/>
              <w:spacing w:before="40" w:after="40"/>
              <w:jc w:val="center"/>
              <w:rPr>
                <w:rFonts w:asciiTheme="minorHAnsi" w:hAnsiTheme="minorHAnsi" w:cstheme="minorHAnsi"/>
                <w:color w:val="000000"/>
                <w:szCs w:val="18"/>
                <w:lang w:eastAsia="en-AU"/>
              </w:rPr>
            </w:pPr>
            <w:r w:rsidRPr="004938CA">
              <w:rPr>
                <w:rFonts w:asciiTheme="minorHAnsi" w:hAnsiTheme="minorHAnsi" w:cstheme="minorHAnsi"/>
                <w:color w:val="000000"/>
                <w:szCs w:val="18"/>
                <w:lang w:eastAsia="en-AU"/>
              </w:rPr>
              <w:t>10.60%</w:t>
            </w:r>
          </w:p>
        </w:tc>
      </w:tr>
    </w:tbl>
    <w:p w14:paraId="012AF893" w14:textId="77777777" w:rsidR="00C30067" w:rsidRDefault="00E632AF" w:rsidP="00C30067">
      <w:pPr>
        <w:tabs>
          <w:tab w:val="num" w:pos="720"/>
        </w:tabs>
        <w:spacing w:before="240" w:after="120"/>
        <w:rPr>
          <w:rFonts w:asciiTheme="minorHAnsi" w:hAnsiTheme="minorHAnsi" w:cstheme="minorHAnsi"/>
          <w:sz w:val="24"/>
          <w:szCs w:val="22"/>
          <w:lang w:val="en-GB"/>
        </w:rPr>
      </w:pPr>
      <w:r>
        <w:rPr>
          <w:rFonts w:asciiTheme="minorHAnsi" w:hAnsiTheme="minorHAnsi" w:cstheme="minorHAnsi"/>
          <w:sz w:val="24"/>
          <w:szCs w:val="22"/>
          <w:lang w:val="en-GB"/>
        </w:rPr>
        <w:t>Lawton</w:t>
      </w:r>
      <w:r w:rsidR="00C30067">
        <w:rPr>
          <w:rFonts w:asciiTheme="minorHAnsi" w:hAnsiTheme="minorHAnsi" w:cstheme="minorHAnsi"/>
          <w:sz w:val="24"/>
          <w:szCs w:val="22"/>
          <w:lang w:val="en-GB"/>
        </w:rPr>
        <w:t>, et al reported that when Aboriginal and Torres Strait Islander</w:t>
      </w:r>
      <w:r w:rsidR="00C30067" w:rsidRPr="00C40D7B">
        <w:rPr>
          <w:rFonts w:asciiTheme="minorHAnsi" w:hAnsiTheme="minorHAnsi" w:cstheme="minorHAnsi"/>
          <w:sz w:val="24"/>
          <w:szCs w:val="22"/>
          <w:lang w:val="en-GB"/>
        </w:rPr>
        <w:t xml:space="preserve"> patients understand the potential advantages of kidney transplantation and all else is equal</w:t>
      </w:r>
      <w:r w:rsidR="00C30067">
        <w:rPr>
          <w:rFonts w:asciiTheme="minorHAnsi" w:hAnsiTheme="minorHAnsi" w:cstheme="minorHAnsi"/>
          <w:sz w:val="24"/>
          <w:szCs w:val="22"/>
          <w:lang w:val="en-GB"/>
        </w:rPr>
        <w:t>, they still</w:t>
      </w:r>
      <w:r w:rsidR="00C30067" w:rsidRPr="00C40D7B">
        <w:rPr>
          <w:rFonts w:asciiTheme="minorHAnsi" w:hAnsiTheme="minorHAnsi" w:cstheme="minorHAnsi"/>
          <w:sz w:val="24"/>
          <w:szCs w:val="22"/>
          <w:lang w:val="en-GB"/>
        </w:rPr>
        <w:t xml:space="preserve"> have a quarter </w:t>
      </w:r>
      <w:r w:rsidR="00C30067">
        <w:rPr>
          <w:rFonts w:asciiTheme="minorHAnsi" w:hAnsiTheme="minorHAnsi" w:cstheme="minorHAnsi"/>
          <w:sz w:val="24"/>
          <w:szCs w:val="22"/>
          <w:lang w:val="en-GB"/>
        </w:rPr>
        <w:t xml:space="preserve">of </w:t>
      </w:r>
      <w:r w:rsidR="00C30067" w:rsidRPr="00C40D7B">
        <w:rPr>
          <w:rFonts w:asciiTheme="minorHAnsi" w:hAnsiTheme="minorHAnsi" w:cstheme="minorHAnsi"/>
          <w:sz w:val="24"/>
          <w:szCs w:val="22"/>
          <w:lang w:val="en-GB"/>
        </w:rPr>
        <w:t>the chance of non-Indigenous patients of receiving a kidney transplant</w:t>
      </w:r>
      <w:r w:rsidR="00C30067">
        <w:rPr>
          <w:rFonts w:asciiTheme="minorHAnsi" w:hAnsiTheme="minorHAnsi" w:cstheme="minorHAnsi"/>
          <w:sz w:val="24"/>
          <w:szCs w:val="22"/>
          <w:lang w:val="en-GB"/>
        </w:rPr>
        <w:t>.</w:t>
      </w:r>
      <w:r w:rsidR="00C30067" w:rsidRPr="00A015CE">
        <w:rPr>
          <w:rStyle w:val="FootnoteReference"/>
          <w:rFonts w:asciiTheme="minorHAnsi" w:hAnsiTheme="minorHAnsi" w:cstheme="minorHAnsi"/>
          <w:szCs w:val="18"/>
          <w:lang w:val="en-GB"/>
        </w:rPr>
        <w:footnoteReference w:id="89"/>
      </w:r>
      <w:r w:rsidR="00C30067">
        <w:rPr>
          <w:rFonts w:asciiTheme="minorHAnsi" w:hAnsiTheme="minorHAnsi" w:cstheme="minorHAnsi"/>
          <w:sz w:val="24"/>
          <w:szCs w:val="22"/>
          <w:lang w:val="en-GB"/>
        </w:rPr>
        <w:t xml:space="preserve"> This is supported by a number of research papers which indicate that</w:t>
      </w:r>
      <w:r w:rsidR="00C30067" w:rsidRPr="00F37D51">
        <w:rPr>
          <w:rFonts w:asciiTheme="minorHAnsi" w:hAnsiTheme="minorHAnsi" w:cstheme="minorHAnsi"/>
          <w:sz w:val="24"/>
          <w:szCs w:val="22"/>
          <w:lang w:val="en-GB"/>
        </w:rPr>
        <w:t xml:space="preserve"> </w:t>
      </w:r>
      <w:r w:rsidR="00C30067" w:rsidRPr="00E82962">
        <w:rPr>
          <w:rFonts w:asciiTheme="minorHAnsi" w:hAnsiTheme="minorHAnsi" w:cstheme="minorHAnsi"/>
          <w:sz w:val="24"/>
          <w:szCs w:val="22"/>
          <w:lang w:val="en-GB"/>
        </w:rPr>
        <w:t xml:space="preserve">there are disparities in wait listing and transplantation </w:t>
      </w:r>
      <w:r w:rsidR="00C30067">
        <w:rPr>
          <w:rFonts w:asciiTheme="minorHAnsi" w:hAnsiTheme="minorHAnsi" w:cstheme="minorHAnsi"/>
          <w:sz w:val="24"/>
          <w:szCs w:val="22"/>
          <w:lang w:val="en-GB"/>
        </w:rPr>
        <w:t>of Aboriginal and Torres Strait Islander people compared to non-Indigenous people</w:t>
      </w:r>
      <w:r w:rsidR="00C30067" w:rsidRPr="00E82962">
        <w:rPr>
          <w:rFonts w:asciiTheme="minorHAnsi" w:hAnsiTheme="minorHAnsi" w:cstheme="minorHAnsi"/>
          <w:sz w:val="24"/>
          <w:szCs w:val="22"/>
          <w:lang w:val="en-GB"/>
        </w:rPr>
        <w:t>, beyond those explained by measured comorbidities.</w:t>
      </w:r>
      <w:r w:rsidR="00C30067" w:rsidRPr="00E82962">
        <w:rPr>
          <w:rStyle w:val="FootnoteReference"/>
          <w:rFonts w:asciiTheme="minorHAnsi" w:hAnsiTheme="minorHAnsi" w:cstheme="minorHAnsi"/>
          <w:lang w:val="en-GB"/>
        </w:rPr>
        <w:footnoteReference w:id="90"/>
      </w:r>
      <w:r w:rsidR="00C30067" w:rsidRPr="00E82962">
        <w:rPr>
          <w:rFonts w:asciiTheme="minorHAnsi" w:hAnsiTheme="minorHAnsi" w:cstheme="minorHAnsi"/>
          <w:sz w:val="24"/>
          <w:szCs w:val="22"/>
          <w:lang w:val="en-GB"/>
        </w:rPr>
        <w:t xml:space="preserve"> </w:t>
      </w:r>
    </w:p>
    <w:p w14:paraId="688EBF18" w14:textId="77777777" w:rsidR="00C30067" w:rsidRPr="00F37D51" w:rsidRDefault="00C30067"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The Review found that barriers to wait listing of Aboriginal and Torres Strait Islander people included time between commencing dialysis and assessment for wait listing, </w:t>
      </w:r>
      <w:r w:rsidRPr="00C40D7B">
        <w:rPr>
          <w:rFonts w:asciiTheme="minorHAnsi" w:hAnsiTheme="minorHAnsi" w:cstheme="minorHAnsi"/>
          <w:sz w:val="24"/>
          <w:szCs w:val="22"/>
          <w:lang w:val="en-GB"/>
        </w:rPr>
        <w:t>concerns among kidney specialists about poorer outcomes</w:t>
      </w:r>
      <w:r>
        <w:rPr>
          <w:rFonts w:asciiTheme="minorHAnsi" w:hAnsiTheme="minorHAnsi" w:cstheme="minorHAnsi"/>
          <w:sz w:val="24"/>
          <w:szCs w:val="22"/>
          <w:lang w:val="en-GB"/>
        </w:rPr>
        <w:t>, real or perceived discrimination and obtaining informed consent.</w:t>
      </w:r>
      <w:r w:rsidRPr="00A015CE">
        <w:rPr>
          <w:rStyle w:val="FootnoteReference"/>
          <w:rFonts w:asciiTheme="minorHAnsi" w:hAnsiTheme="minorHAnsi" w:cstheme="minorHAnsi"/>
          <w:szCs w:val="18"/>
          <w:lang w:val="en-GB"/>
        </w:rPr>
        <w:footnoteReference w:id="91"/>
      </w:r>
      <w:r>
        <w:rPr>
          <w:rFonts w:asciiTheme="minorHAnsi" w:hAnsiTheme="minorHAnsi" w:cstheme="minorHAnsi"/>
          <w:sz w:val="24"/>
          <w:szCs w:val="22"/>
          <w:lang w:val="en-GB"/>
        </w:rPr>
        <w:t xml:space="preserve"> The Review </w:t>
      </w:r>
      <w:r w:rsidR="004E18C4">
        <w:rPr>
          <w:rFonts w:asciiTheme="minorHAnsi" w:hAnsiTheme="minorHAnsi" w:cstheme="minorHAnsi"/>
          <w:sz w:val="24"/>
          <w:szCs w:val="22"/>
          <w:lang w:val="en-GB"/>
        </w:rPr>
        <w:t xml:space="preserve">also </w:t>
      </w:r>
      <w:r>
        <w:rPr>
          <w:rFonts w:asciiTheme="minorHAnsi" w:hAnsiTheme="minorHAnsi" w:cstheme="minorHAnsi"/>
          <w:sz w:val="24"/>
          <w:szCs w:val="22"/>
          <w:lang w:val="en-GB"/>
        </w:rPr>
        <w:t>found that additional barriers</w:t>
      </w:r>
      <w:r w:rsidR="004E18C4">
        <w:rPr>
          <w:rFonts w:asciiTheme="minorHAnsi" w:hAnsiTheme="minorHAnsi" w:cstheme="minorHAnsi"/>
          <w:sz w:val="24"/>
          <w:szCs w:val="22"/>
          <w:lang w:val="en-GB"/>
        </w:rPr>
        <w:t xml:space="preserve"> reported by stakeholders</w:t>
      </w:r>
      <w:r>
        <w:rPr>
          <w:rFonts w:asciiTheme="minorHAnsi" w:hAnsiTheme="minorHAnsi" w:cstheme="minorHAnsi"/>
          <w:sz w:val="24"/>
          <w:szCs w:val="22"/>
          <w:lang w:val="en-GB"/>
        </w:rPr>
        <w:t xml:space="preserve"> included access to health care services, health literacy and in some cases cultural beliefs. </w:t>
      </w:r>
    </w:p>
    <w:p w14:paraId="4745F58E" w14:textId="77777777" w:rsidR="00C30067" w:rsidRDefault="00C30067" w:rsidP="00C30067">
      <w:pPr>
        <w:tabs>
          <w:tab w:val="num" w:pos="720"/>
        </w:tabs>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Although barriers are significant, they were </w:t>
      </w:r>
      <w:r>
        <w:rPr>
          <w:rFonts w:asciiTheme="minorHAnsi" w:hAnsiTheme="minorHAnsi" w:cstheme="minorHAnsi"/>
          <w:sz w:val="24"/>
          <w:szCs w:val="22"/>
          <w:lang w:val="en-GB"/>
        </w:rPr>
        <w:t xml:space="preserve">not </w:t>
      </w:r>
      <w:r w:rsidRPr="00F37D51">
        <w:rPr>
          <w:rFonts w:asciiTheme="minorHAnsi" w:hAnsiTheme="minorHAnsi" w:cstheme="minorHAnsi"/>
          <w:sz w:val="24"/>
          <w:szCs w:val="22"/>
          <w:lang w:val="en-GB"/>
        </w:rPr>
        <w:t>described as insurmountable</w:t>
      </w:r>
      <w:r>
        <w:rPr>
          <w:rFonts w:asciiTheme="minorHAnsi" w:hAnsiTheme="minorHAnsi" w:cstheme="minorHAnsi"/>
          <w:sz w:val="24"/>
          <w:szCs w:val="22"/>
          <w:lang w:val="en-GB"/>
        </w:rPr>
        <w:t xml:space="preserve"> by key stakeholders in the Review. Barriers can be overcome through </w:t>
      </w:r>
      <w:r w:rsidRPr="00F37D51">
        <w:rPr>
          <w:rFonts w:asciiTheme="minorHAnsi" w:hAnsiTheme="minorHAnsi" w:cstheme="minorHAnsi"/>
          <w:sz w:val="24"/>
          <w:szCs w:val="22"/>
          <w:lang w:val="en-GB"/>
        </w:rPr>
        <w:t xml:space="preserve">collaboration with </w:t>
      </w:r>
      <w:r>
        <w:rPr>
          <w:rFonts w:asciiTheme="minorHAnsi" w:hAnsiTheme="minorHAnsi" w:cstheme="minorHAnsi"/>
          <w:sz w:val="24"/>
          <w:szCs w:val="22"/>
          <w:lang w:val="en-GB"/>
        </w:rPr>
        <w:t>Aboriginal and Torres Strait Islander</w:t>
      </w:r>
      <w:r w:rsidRPr="00F37D51">
        <w:rPr>
          <w:rFonts w:asciiTheme="minorHAnsi" w:hAnsiTheme="minorHAnsi" w:cstheme="minorHAnsi"/>
          <w:sz w:val="24"/>
          <w:szCs w:val="22"/>
          <w:lang w:val="en-GB"/>
        </w:rPr>
        <w:t xml:space="preserve"> communities and their leadership </w:t>
      </w:r>
      <w:r w:rsidR="004E18C4">
        <w:rPr>
          <w:rFonts w:asciiTheme="minorHAnsi" w:hAnsiTheme="minorHAnsi" w:cstheme="minorHAnsi"/>
          <w:sz w:val="24"/>
          <w:szCs w:val="22"/>
          <w:lang w:val="en-GB"/>
        </w:rPr>
        <w:t>co-design</w:t>
      </w:r>
      <w:r w:rsidRPr="00F37D51">
        <w:rPr>
          <w:rFonts w:asciiTheme="minorHAnsi" w:hAnsiTheme="minorHAnsi" w:cstheme="minorHAnsi"/>
          <w:sz w:val="24"/>
          <w:szCs w:val="22"/>
          <w:lang w:val="en-GB"/>
        </w:rPr>
        <w:t xml:space="preserve"> strategies to</w:t>
      </w:r>
      <w:r>
        <w:rPr>
          <w:rFonts w:asciiTheme="minorHAnsi" w:hAnsiTheme="minorHAnsi" w:cstheme="minorHAnsi"/>
          <w:sz w:val="24"/>
          <w:szCs w:val="22"/>
          <w:lang w:val="en-GB"/>
        </w:rPr>
        <w:t xml:space="preserve"> address the issues</w:t>
      </w:r>
      <w:r w:rsidRPr="00F37D51">
        <w:rPr>
          <w:rFonts w:asciiTheme="minorHAnsi" w:hAnsiTheme="minorHAnsi" w:cstheme="minorHAnsi"/>
          <w:sz w:val="24"/>
          <w:szCs w:val="22"/>
          <w:lang w:val="en-GB"/>
        </w:rPr>
        <w:t xml:space="preserve">. </w:t>
      </w:r>
      <w:r>
        <w:rPr>
          <w:rFonts w:asciiTheme="minorHAnsi" w:hAnsiTheme="minorHAnsi" w:cstheme="minorHAnsi"/>
          <w:sz w:val="24"/>
          <w:szCs w:val="22"/>
          <w:lang w:val="en-GB"/>
        </w:rPr>
        <w:t>The Review found that it is timely that</w:t>
      </w:r>
      <w:r w:rsidR="004E5EBD">
        <w:rPr>
          <w:rFonts w:asciiTheme="minorHAnsi" w:hAnsiTheme="minorHAnsi" w:cstheme="minorHAnsi"/>
          <w:sz w:val="24"/>
          <w:szCs w:val="22"/>
          <w:lang w:val="en-GB"/>
        </w:rPr>
        <w:t xml:space="preserve"> the</w:t>
      </w:r>
      <w:r>
        <w:rPr>
          <w:rFonts w:asciiTheme="minorHAnsi" w:hAnsiTheme="minorHAnsi" w:cstheme="minorHAnsi"/>
          <w:sz w:val="24"/>
          <w:szCs w:val="22"/>
          <w:lang w:val="en-GB"/>
        </w:rPr>
        <w:t xml:space="preserve"> TSANZ undertake the </w:t>
      </w:r>
      <w:r w:rsidR="004E18C4">
        <w:rPr>
          <w:rFonts w:asciiTheme="minorHAnsi" w:hAnsiTheme="minorHAnsi" w:cstheme="minorHAnsi"/>
          <w:sz w:val="24"/>
          <w:szCs w:val="22"/>
          <w:lang w:val="en-GB"/>
        </w:rPr>
        <w:t xml:space="preserve">project </w:t>
      </w:r>
      <w:r>
        <w:rPr>
          <w:rFonts w:asciiTheme="minorHAnsi" w:hAnsiTheme="minorHAnsi" w:cstheme="minorHAnsi"/>
          <w:sz w:val="24"/>
          <w:szCs w:val="22"/>
          <w:lang w:val="en-GB"/>
        </w:rPr>
        <w:t>to address inequities of access and outcomes in transplantation experienced by Aboriginal and Torres Strait Islander people</w:t>
      </w:r>
      <w:r w:rsidRPr="00F37D51">
        <w:rPr>
          <w:rFonts w:asciiTheme="minorHAnsi" w:hAnsiTheme="minorHAnsi" w:cstheme="minorHAnsi"/>
          <w:sz w:val="24"/>
          <w:szCs w:val="22"/>
          <w:lang w:val="en-GB"/>
        </w:rPr>
        <w:t>.</w:t>
      </w:r>
      <w:r>
        <w:rPr>
          <w:rFonts w:asciiTheme="minorHAnsi" w:hAnsiTheme="minorHAnsi" w:cstheme="minorHAnsi"/>
          <w:sz w:val="24"/>
          <w:szCs w:val="22"/>
          <w:lang w:val="en-GB"/>
        </w:rPr>
        <w:t xml:space="preserve"> </w:t>
      </w:r>
    </w:p>
    <w:p w14:paraId="61EA14DC" w14:textId="77777777" w:rsidR="00C70508" w:rsidRDefault="00C70508" w:rsidP="00C30067">
      <w:pPr>
        <w:tabs>
          <w:tab w:val="num" w:pos="720"/>
        </w:tabs>
        <w:spacing w:after="120"/>
        <w:rPr>
          <w:rFonts w:asciiTheme="minorHAnsi" w:hAnsiTheme="minorHAnsi" w:cstheme="minorHAnsi"/>
          <w:color w:val="7F7F7F" w:themeColor="text1" w:themeTint="80"/>
          <w:sz w:val="24"/>
          <w:szCs w:val="22"/>
          <w:lang w:val="en-GB"/>
        </w:rPr>
      </w:pPr>
      <w:r>
        <w:rPr>
          <w:rFonts w:asciiTheme="minorHAnsi" w:hAnsiTheme="minorHAnsi" w:cstheme="minorHAnsi"/>
          <w:sz w:val="24"/>
          <w:szCs w:val="22"/>
          <w:lang w:val="en-GB"/>
        </w:rPr>
        <w:t>Regular reporting of the performance of the kidney transplantation waiting list, including the number of Aboriginal and Torres Strait Islander people on the waiting list</w:t>
      </w:r>
      <w:r w:rsidR="0032615B">
        <w:rPr>
          <w:rFonts w:asciiTheme="minorHAnsi" w:hAnsiTheme="minorHAnsi" w:cstheme="minorHAnsi"/>
          <w:sz w:val="24"/>
          <w:szCs w:val="22"/>
          <w:lang w:val="en-GB"/>
        </w:rPr>
        <w:t>,</w:t>
      </w:r>
      <w:r>
        <w:rPr>
          <w:rFonts w:asciiTheme="minorHAnsi" w:hAnsiTheme="minorHAnsi" w:cstheme="minorHAnsi"/>
          <w:sz w:val="24"/>
          <w:szCs w:val="22"/>
          <w:lang w:val="en-GB"/>
        </w:rPr>
        <w:t xml:space="preserve"> would provide</w:t>
      </w:r>
      <w:r w:rsidR="008F341A">
        <w:rPr>
          <w:rFonts w:asciiTheme="minorHAnsi" w:hAnsiTheme="minorHAnsi" w:cstheme="minorHAnsi"/>
          <w:sz w:val="24"/>
          <w:szCs w:val="22"/>
          <w:lang w:val="en-GB"/>
        </w:rPr>
        <w:t>: (1) improved</w:t>
      </w:r>
      <w:r>
        <w:rPr>
          <w:rFonts w:asciiTheme="minorHAnsi" w:hAnsiTheme="minorHAnsi" w:cstheme="minorHAnsi"/>
          <w:sz w:val="24"/>
          <w:szCs w:val="22"/>
          <w:lang w:val="en-GB"/>
        </w:rPr>
        <w:t xml:space="preserve"> visibility of access</w:t>
      </w:r>
      <w:r w:rsidR="008F341A">
        <w:rPr>
          <w:rFonts w:asciiTheme="minorHAnsi" w:hAnsiTheme="minorHAnsi" w:cstheme="minorHAnsi"/>
          <w:sz w:val="24"/>
          <w:szCs w:val="22"/>
          <w:lang w:val="en-GB"/>
        </w:rPr>
        <w:t>; (2)</w:t>
      </w:r>
      <w:r>
        <w:rPr>
          <w:rFonts w:asciiTheme="minorHAnsi" w:hAnsiTheme="minorHAnsi" w:cstheme="minorHAnsi"/>
          <w:sz w:val="24"/>
          <w:szCs w:val="22"/>
          <w:lang w:val="en-GB"/>
        </w:rPr>
        <w:t xml:space="preserve"> improve</w:t>
      </w:r>
      <w:r w:rsidR="008F341A">
        <w:rPr>
          <w:rFonts w:asciiTheme="minorHAnsi" w:hAnsiTheme="minorHAnsi" w:cstheme="minorHAnsi"/>
          <w:sz w:val="24"/>
          <w:szCs w:val="22"/>
          <w:lang w:val="en-GB"/>
        </w:rPr>
        <w:t xml:space="preserve"> the</w:t>
      </w:r>
      <w:r>
        <w:rPr>
          <w:rFonts w:asciiTheme="minorHAnsi" w:hAnsiTheme="minorHAnsi" w:cstheme="minorHAnsi"/>
          <w:sz w:val="24"/>
          <w:szCs w:val="22"/>
          <w:lang w:val="en-GB"/>
        </w:rPr>
        <w:t xml:space="preserve"> focus on the issue nationally</w:t>
      </w:r>
      <w:r w:rsidR="008F341A">
        <w:rPr>
          <w:rFonts w:asciiTheme="minorHAnsi" w:hAnsiTheme="minorHAnsi" w:cstheme="minorHAnsi"/>
          <w:sz w:val="24"/>
          <w:szCs w:val="22"/>
          <w:lang w:val="en-GB"/>
        </w:rPr>
        <w:t>;</w:t>
      </w:r>
      <w:r>
        <w:rPr>
          <w:rFonts w:asciiTheme="minorHAnsi" w:hAnsiTheme="minorHAnsi" w:cstheme="minorHAnsi"/>
          <w:sz w:val="24"/>
          <w:szCs w:val="22"/>
          <w:lang w:val="en-GB"/>
        </w:rPr>
        <w:t xml:space="preserve"> and</w:t>
      </w:r>
      <w:r w:rsidR="008F341A">
        <w:rPr>
          <w:rFonts w:asciiTheme="minorHAnsi" w:hAnsiTheme="minorHAnsi" w:cstheme="minorHAnsi"/>
          <w:sz w:val="24"/>
          <w:szCs w:val="22"/>
          <w:lang w:val="en-GB"/>
        </w:rPr>
        <w:t xml:space="preserve"> (3)</w:t>
      </w:r>
      <w:r>
        <w:rPr>
          <w:rFonts w:asciiTheme="minorHAnsi" w:hAnsiTheme="minorHAnsi" w:cstheme="minorHAnsi"/>
          <w:sz w:val="24"/>
          <w:szCs w:val="22"/>
          <w:lang w:val="en-GB"/>
        </w:rPr>
        <w:t xml:space="preserve"> a basis for measuring performance. </w:t>
      </w:r>
    </w:p>
    <w:p w14:paraId="6C2F38AD" w14:textId="77777777" w:rsidR="00C30067" w:rsidRDefault="00C30067" w:rsidP="00C30067">
      <w:pPr>
        <w:tabs>
          <w:tab w:val="num" w:pos="720"/>
        </w:tabs>
        <w:spacing w:after="120"/>
        <w:rPr>
          <w:rFonts w:asciiTheme="minorHAnsi" w:hAnsiTheme="minorHAnsi" w:cstheme="minorHAnsi"/>
          <w:color w:val="7F7F7F" w:themeColor="text1" w:themeTint="80"/>
          <w:sz w:val="24"/>
          <w:szCs w:val="22"/>
          <w:lang w:val="en-GB"/>
        </w:rPr>
      </w:pPr>
      <w:r>
        <w:rPr>
          <w:rFonts w:asciiTheme="minorHAnsi" w:hAnsiTheme="minorHAnsi" w:cstheme="minorHAnsi"/>
          <w:color w:val="7F7F7F" w:themeColor="text1" w:themeTint="80"/>
          <w:sz w:val="24"/>
          <w:szCs w:val="22"/>
          <w:lang w:val="en-GB"/>
        </w:rPr>
        <w:t>Access to assessment for Australians located in rural, regional and remote locations</w:t>
      </w:r>
    </w:p>
    <w:p w14:paraId="6A9E2F3E" w14:textId="77777777" w:rsidR="001D2769" w:rsidRPr="00545923" w:rsidRDefault="001D2769" w:rsidP="001D2769">
      <w:pPr>
        <w:tabs>
          <w:tab w:val="num" w:pos="720"/>
        </w:tabs>
        <w:spacing w:after="120"/>
        <w:rPr>
          <w:rFonts w:asciiTheme="minorHAnsi" w:hAnsiTheme="minorHAnsi" w:cstheme="minorHAnsi"/>
          <w:sz w:val="24"/>
          <w:szCs w:val="22"/>
          <w:lang w:val="en-GB"/>
        </w:rPr>
      </w:pPr>
      <w:r w:rsidRPr="00EF2596">
        <w:rPr>
          <w:rFonts w:asciiTheme="minorHAnsi" w:hAnsiTheme="minorHAnsi" w:cstheme="minorHAnsi"/>
          <w:sz w:val="24"/>
          <w:szCs w:val="22"/>
          <w:lang w:val="en-GB"/>
        </w:rPr>
        <w:t>The Review found that unlike assessment for non-renal organs, a considerable portion of the assessment</w:t>
      </w:r>
      <w:r w:rsidR="0056669A">
        <w:rPr>
          <w:rFonts w:asciiTheme="minorHAnsi" w:hAnsiTheme="minorHAnsi" w:cstheme="minorHAnsi"/>
          <w:sz w:val="24"/>
          <w:szCs w:val="22"/>
          <w:lang w:val="en-GB"/>
        </w:rPr>
        <w:t xml:space="preserve"> </w:t>
      </w:r>
      <w:r w:rsidR="0056669A" w:rsidRPr="00545923">
        <w:rPr>
          <w:rFonts w:asciiTheme="minorHAnsi" w:hAnsiTheme="minorHAnsi" w:cstheme="minorHAnsi"/>
          <w:sz w:val="24"/>
          <w:szCs w:val="22"/>
          <w:lang w:val="en-GB"/>
        </w:rPr>
        <w:t>process</w:t>
      </w:r>
      <w:r w:rsidR="00EF2596" w:rsidRPr="00545923">
        <w:rPr>
          <w:rFonts w:asciiTheme="minorHAnsi" w:hAnsiTheme="minorHAnsi" w:cstheme="minorHAnsi"/>
          <w:sz w:val="24"/>
          <w:szCs w:val="22"/>
          <w:lang w:val="en-GB"/>
        </w:rPr>
        <w:t xml:space="preserve"> (or ‘work up’)</w:t>
      </w:r>
      <w:r w:rsidRPr="00545923">
        <w:rPr>
          <w:rFonts w:asciiTheme="minorHAnsi" w:hAnsiTheme="minorHAnsi" w:cstheme="minorHAnsi"/>
          <w:sz w:val="24"/>
          <w:szCs w:val="22"/>
          <w:lang w:val="en-GB"/>
        </w:rPr>
        <w:t xml:space="preserve"> for a kidney transplantation can take place close to the potential recipient’s local residence. This is due </w:t>
      </w:r>
      <w:r w:rsidR="00412646" w:rsidRPr="00545923">
        <w:rPr>
          <w:rFonts w:asciiTheme="minorHAnsi" w:hAnsiTheme="minorHAnsi" w:cstheme="minorHAnsi"/>
          <w:sz w:val="24"/>
          <w:szCs w:val="22"/>
          <w:lang w:val="en-GB"/>
        </w:rPr>
        <w:t xml:space="preserve">to </w:t>
      </w:r>
      <w:r w:rsidRPr="00545923">
        <w:rPr>
          <w:rFonts w:asciiTheme="minorHAnsi" w:hAnsiTheme="minorHAnsi" w:cstheme="minorHAnsi"/>
          <w:sz w:val="24"/>
          <w:szCs w:val="22"/>
          <w:lang w:val="en-GB"/>
        </w:rPr>
        <w:t xml:space="preserve">the capability and capacity of renal and general medical services in non-tertiary settings. Where assessment took place in the potential recipient’s local area, and this was outside of a metropolitan area, assessment was often assisted by outreach clinics run by transplant physicians or by </w:t>
      </w:r>
      <w:r w:rsidR="00EF2596" w:rsidRPr="00545923">
        <w:rPr>
          <w:rFonts w:asciiTheme="minorHAnsi" w:hAnsiTheme="minorHAnsi" w:cstheme="minorHAnsi"/>
          <w:sz w:val="24"/>
          <w:szCs w:val="22"/>
          <w:lang w:val="en-GB"/>
        </w:rPr>
        <w:t xml:space="preserve">specialist </w:t>
      </w:r>
      <w:r w:rsidRPr="00545923">
        <w:rPr>
          <w:rFonts w:asciiTheme="minorHAnsi" w:hAnsiTheme="minorHAnsi" w:cstheme="minorHAnsi"/>
          <w:sz w:val="24"/>
          <w:szCs w:val="22"/>
          <w:lang w:val="en-GB"/>
        </w:rPr>
        <w:t xml:space="preserve">physicians that have been trained within the state-based transplantation unit. In all other cases, assessment for kidney transplantation will take place at the transplantation unit.  </w:t>
      </w:r>
    </w:p>
    <w:p w14:paraId="51875B07" w14:textId="77777777" w:rsidR="001D2769" w:rsidRPr="00EF2596" w:rsidRDefault="001D2769" w:rsidP="001D2769">
      <w:pPr>
        <w:tabs>
          <w:tab w:val="num" w:pos="720"/>
        </w:tabs>
        <w:spacing w:after="120"/>
        <w:rPr>
          <w:rFonts w:asciiTheme="minorHAnsi" w:hAnsiTheme="minorHAnsi" w:cstheme="minorHAnsi"/>
          <w:sz w:val="24"/>
          <w:szCs w:val="22"/>
          <w:lang w:val="en-GB"/>
        </w:rPr>
      </w:pPr>
      <w:r w:rsidRPr="00545923">
        <w:rPr>
          <w:rFonts w:asciiTheme="minorHAnsi" w:hAnsiTheme="minorHAnsi" w:cstheme="minorHAnsi"/>
          <w:sz w:val="24"/>
          <w:szCs w:val="22"/>
          <w:lang w:val="en-GB"/>
        </w:rPr>
        <w:t>As discussed previously, access to local assessment for kidney transplantation (through both outreach clinics and trained physicians in assessment) was reported to improve access for rural and remote recipients. However, the Review found that outreach clinics were not in place consistently across all renal transplantation programs. In some states and territories access to assessment was predominately available</w:t>
      </w:r>
      <w:r w:rsidR="009B12CB">
        <w:rPr>
          <w:rFonts w:asciiTheme="minorHAnsi" w:hAnsiTheme="minorHAnsi" w:cstheme="minorHAnsi"/>
          <w:sz w:val="24"/>
          <w:szCs w:val="22"/>
          <w:lang w:val="en-GB"/>
        </w:rPr>
        <w:t xml:space="preserve"> </w:t>
      </w:r>
      <w:r w:rsidRPr="00545923">
        <w:rPr>
          <w:rFonts w:asciiTheme="minorHAnsi" w:hAnsiTheme="minorHAnsi" w:cstheme="minorHAnsi"/>
          <w:sz w:val="24"/>
          <w:szCs w:val="22"/>
          <w:lang w:val="en-GB"/>
        </w:rPr>
        <w:t>in large urban centres</w:t>
      </w:r>
      <w:r w:rsidR="009B12CB">
        <w:rPr>
          <w:rFonts w:asciiTheme="minorHAnsi" w:hAnsiTheme="minorHAnsi" w:cstheme="minorHAnsi"/>
          <w:sz w:val="24"/>
          <w:szCs w:val="22"/>
          <w:lang w:val="en-GB"/>
        </w:rPr>
        <w:t xml:space="preserve"> t</w:t>
      </w:r>
      <w:r w:rsidR="0056669A" w:rsidRPr="00545923">
        <w:rPr>
          <w:rFonts w:asciiTheme="minorHAnsi" w:hAnsiTheme="minorHAnsi" w:cstheme="minorHAnsi"/>
          <w:sz w:val="24"/>
          <w:szCs w:val="22"/>
          <w:lang w:val="en-GB"/>
        </w:rPr>
        <w:t>h</w:t>
      </w:r>
      <w:r w:rsidR="00EF2596" w:rsidRPr="00545923">
        <w:rPr>
          <w:rFonts w:asciiTheme="minorHAnsi" w:hAnsiTheme="minorHAnsi" w:cstheme="minorHAnsi"/>
          <w:sz w:val="24"/>
          <w:szCs w:val="22"/>
          <w:lang w:val="en-GB"/>
        </w:rPr>
        <w:t>us</w:t>
      </w:r>
      <w:r w:rsidRPr="00EF2596">
        <w:rPr>
          <w:rFonts w:asciiTheme="minorHAnsi" w:hAnsiTheme="minorHAnsi" w:cstheme="minorHAnsi"/>
          <w:sz w:val="24"/>
          <w:szCs w:val="22"/>
          <w:lang w:val="en-GB"/>
        </w:rPr>
        <w:t xml:space="preserve"> creating inequities across the jurisdiction.</w:t>
      </w:r>
    </w:p>
    <w:p w14:paraId="50BBFEE6" w14:textId="2C63E4F5" w:rsidR="00DF34B8" w:rsidRDefault="001D2769" w:rsidP="001D2769">
      <w:pPr>
        <w:tabs>
          <w:tab w:val="num" w:pos="720"/>
        </w:tabs>
        <w:spacing w:after="120"/>
        <w:rPr>
          <w:rFonts w:asciiTheme="minorHAnsi" w:hAnsiTheme="minorHAnsi" w:cstheme="minorHAnsi"/>
          <w:sz w:val="24"/>
          <w:szCs w:val="22"/>
          <w:lang w:val="en-GB"/>
        </w:rPr>
      </w:pPr>
      <w:r w:rsidRPr="00EF2596">
        <w:rPr>
          <w:rFonts w:asciiTheme="minorHAnsi" w:hAnsiTheme="minorHAnsi" w:cstheme="minorHAnsi"/>
          <w:sz w:val="24"/>
          <w:szCs w:val="22"/>
          <w:lang w:val="en-GB"/>
        </w:rPr>
        <w:t xml:space="preserve">The Review found that Australians living in rural and remote regions had the highest demand for transplantation nationally, however were </w:t>
      </w:r>
      <w:r w:rsidR="006C7984">
        <w:rPr>
          <w:rFonts w:asciiTheme="minorHAnsi" w:hAnsiTheme="minorHAnsi" w:cstheme="minorHAnsi"/>
          <w:sz w:val="24"/>
          <w:szCs w:val="22"/>
          <w:lang w:val="en-GB"/>
        </w:rPr>
        <w:t>less likely to be referred and assessed for transplantation and were less likely to be wait listed</w:t>
      </w:r>
      <w:r w:rsidRPr="00EF2596">
        <w:rPr>
          <w:rFonts w:asciiTheme="minorHAnsi" w:hAnsiTheme="minorHAnsi" w:cstheme="minorHAnsi"/>
          <w:sz w:val="24"/>
          <w:szCs w:val="22"/>
          <w:lang w:val="en-GB"/>
        </w:rPr>
        <w:t xml:space="preserve"> than those living in metropolitan and inner regional areas. In 2016, 90 per</w:t>
      </w:r>
      <w:r w:rsidR="0056669A">
        <w:rPr>
          <w:rFonts w:asciiTheme="minorHAnsi" w:hAnsiTheme="minorHAnsi" w:cstheme="minorHAnsi"/>
          <w:sz w:val="24"/>
          <w:szCs w:val="22"/>
          <w:lang w:val="en-GB"/>
        </w:rPr>
        <w:t xml:space="preserve"> </w:t>
      </w:r>
      <w:r w:rsidRPr="00EF2596">
        <w:rPr>
          <w:rFonts w:asciiTheme="minorHAnsi" w:hAnsiTheme="minorHAnsi" w:cstheme="minorHAnsi"/>
          <w:sz w:val="24"/>
          <w:szCs w:val="22"/>
          <w:lang w:val="en-GB"/>
        </w:rPr>
        <w:t>cent of patients listed on the kidney waiting list resided in either metropolitan or inner regional areas.</w:t>
      </w:r>
      <w:r w:rsidRPr="003E6F1F">
        <w:rPr>
          <w:rFonts w:asciiTheme="minorHAnsi" w:hAnsiTheme="minorHAnsi"/>
          <w:szCs w:val="18"/>
          <w:vertAlign w:val="superscript"/>
        </w:rPr>
        <w:footnoteReference w:id="92"/>
      </w:r>
      <w:r w:rsidRPr="00BD1C04">
        <w:rPr>
          <w:rFonts w:asciiTheme="minorHAnsi" w:hAnsiTheme="minorHAnsi" w:cstheme="minorHAnsi"/>
          <w:sz w:val="18"/>
          <w:szCs w:val="18"/>
          <w:vertAlign w:val="superscript"/>
          <w:lang w:val="en-GB"/>
        </w:rPr>
        <w:t xml:space="preserve"> </w:t>
      </w:r>
      <w:r w:rsidR="006C7984">
        <w:rPr>
          <w:rFonts w:asciiTheme="minorHAnsi" w:hAnsiTheme="minorHAnsi" w:cstheme="minorHAnsi"/>
          <w:sz w:val="18"/>
          <w:szCs w:val="18"/>
          <w:vertAlign w:val="superscript"/>
          <w:lang w:val="en-GB"/>
        </w:rPr>
        <w:t xml:space="preserve"> </w:t>
      </w:r>
      <w:r w:rsidR="006C7984" w:rsidRPr="006C7984">
        <w:rPr>
          <w:rFonts w:asciiTheme="minorHAnsi" w:hAnsiTheme="minorHAnsi" w:cstheme="minorHAnsi"/>
          <w:sz w:val="24"/>
          <w:szCs w:val="22"/>
          <w:lang w:val="en-GB"/>
        </w:rPr>
        <w:t>However, the</w:t>
      </w:r>
      <w:r w:rsidRPr="00EF2596">
        <w:rPr>
          <w:rFonts w:asciiTheme="minorHAnsi" w:hAnsiTheme="minorHAnsi" w:cstheme="minorHAnsi"/>
          <w:sz w:val="24"/>
          <w:szCs w:val="22"/>
          <w:lang w:val="en-GB"/>
        </w:rPr>
        <w:t xml:space="preserve"> Review found that </w:t>
      </w:r>
      <w:r w:rsidR="006C7984">
        <w:rPr>
          <w:rFonts w:asciiTheme="minorHAnsi" w:hAnsiTheme="minorHAnsi" w:cstheme="minorHAnsi"/>
          <w:sz w:val="24"/>
          <w:szCs w:val="22"/>
          <w:lang w:val="en-GB"/>
        </w:rPr>
        <w:t>a greater proportion of the population were on dialysis in rural and remote</w:t>
      </w:r>
      <w:r w:rsidR="00EC0F9B">
        <w:rPr>
          <w:rFonts w:asciiTheme="minorHAnsi" w:hAnsiTheme="minorHAnsi" w:cstheme="minorHAnsi"/>
          <w:sz w:val="24"/>
          <w:szCs w:val="22"/>
          <w:lang w:val="en-GB"/>
        </w:rPr>
        <w:t xml:space="preserve"> regions</w:t>
      </w:r>
      <w:r w:rsidR="00203727">
        <w:rPr>
          <w:rFonts w:asciiTheme="minorHAnsi" w:hAnsiTheme="minorHAnsi" w:cstheme="minorHAnsi"/>
          <w:sz w:val="24"/>
          <w:szCs w:val="22"/>
          <w:lang w:val="en-GB"/>
        </w:rPr>
        <w:t>, indicating a greater need for transplantation.</w:t>
      </w:r>
      <w:r w:rsidR="006C7984">
        <w:rPr>
          <w:rFonts w:asciiTheme="minorHAnsi" w:hAnsiTheme="minorHAnsi" w:cstheme="minorHAnsi"/>
          <w:sz w:val="24"/>
          <w:szCs w:val="22"/>
          <w:lang w:val="en-GB"/>
        </w:rPr>
        <w:t xml:space="preserve"> </w:t>
      </w:r>
      <w:r w:rsidR="00203727">
        <w:rPr>
          <w:rFonts w:asciiTheme="minorHAnsi" w:hAnsiTheme="minorHAnsi" w:cstheme="minorHAnsi"/>
          <w:sz w:val="24"/>
          <w:szCs w:val="22"/>
          <w:lang w:val="en-GB"/>
        </w:rPr>
        <w:fldChar w:fldCharType="begin"/>
      </w:r>
      <w:r w:rsidR="00203727">
        <w:rPr>
          <w:rFonts w:asciiTheme="minorHAnsi" w:hAnsiTheme="minorHAnsi" w:cstheme="minorHAnsi"/>
          <w:sz w:val="24"/>
          <w:szCs w:val="22"/>
          <w:lang w:val="en-GB"/>
        </w:rPr>
        <w:instrText xml:space="preserve"> REF _Ref529777695 \h  \* MERGEFORMAT </w:instrText>
      </w:r>
      <w:r w:rsidR="00203727">
        <w:rPr>
          <w:rFonts w:asciiTheme="minorHAnsi" w:hAnsiTheme="minorHAnsi" w:cstheme="minorHAnsi"/>
          <w:sz w:val="24"/>
          <w:szCs w:val="22"/>
          <w:lang w:val="en-GB"/>
        </w:rPr>
      </w:r>
      <w:r w:rsidR="00203727">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Table 9</w:t>
      </w:r>
      <w:r w:rsidR="00203727">
        <w:rPr>
          <w:rFonts w:asciiTheme="minorHAnsi" w:hAnsiTheme="minorHAnsi" w:cstheme="minorHAnsi"/>
          <w:sz w:val="24"/>
          <w:szCs w:val="22"/>
          <w:lang w:val="en-GB"/>
        </w:rPr>
        <w:fldChar w:fldCharType="end"/>
      </w:r>
      <w:r w:rsidRPr="00EF2596">
        <w:rPr>
          <w:rFonts w:asciiTheme="minorHAnsi" w:hAnsiTheme="minorHAnsi" w:cstheme="minorHAnsi"/>
          <w:sz w:val="24"/>
          <w:szCs w:val="22"/>
          <w:lang w:val="en-GB"/>
        </w:rPr>
        <w:t xml:space="preserve"> highlights that the proportion of the population on dialysis is higher in remote and very remote Australia</w:t>
      </w:r>
      <w:r w:rsidR="0056669A">
        <w:rPr>
          <w:rFonts w:asciiTheme="minorHAnsi" w:hAnsiTheme="minorHAnsi" w:cstheme="minorHAnsi"/>
          <w:sz w:val="24"/>
          <w:szCs w:val="22"/>
          <w:lang w:val="en-GB"/>
        </w:rPr>
        <w:t>;</w:t>
      </w:r>
      <w:r w:rsidRPr="00EF2596">
        <w:rPr>
          <w:rFonts w:asciiTheme="minorHAnsi" w:hAnsiTheme="minorHAnsi" w:cstheme="minorHAnsi"/>
          <w:sz w:val="24"/>
          <w:szCs w:val="22"/>
          <w:lang w:val="en-GB"/>
        </w:rPr>
        <w:t xml:space="preserve"> </w:t>
      </w:r>
      <w:r w:rsidR="006C3F97" w:rsidRPr="00EF2596">
        <w:rPr>
          <w:rFonts w:asciiTheme="minorHAnsi" w:hAnsiTheme="minorHAnsi" w:cstheme="minorHAnsi"/>
          <w:sz w:val="24"/>
          <w:szCs w:val="22"/>
          <w:lang w:val="en-GB"/>
        </w:rPr>
        <w:t>however,</w:t>
      </w:r>
      <w:r w:rsidRPr="00EF2596">
        <w:rPr>
          <w:rFonts w:asciiTheme="minorHAnsi" w:hAnsiTheme="minorHAnsi" w:cstheme="minorHAnsi"/>
          <w:sz w:val="24"/>
          <w:szCs w:val="22"/>
          <w:lang w:val="en-GB"/>
        </w:rPr>
        <w:t xml:space="preserve"> the transplantation rate for patients on dialysis is </w:t>
      </w:r>
      <w:r w:rsidRPr="00545923">
        <w:rPr>
          <w:rFonts w:asciiTheme="minorHAnsi" w:hAnsiTheme="minorHAnsi" w:cstheme="minorHAnsi"/>
          <w:sz w:val="24"/>
          <w:szCs w:val="22"/>
          <w:lang w:val="en-GB"/>
        </w:rPr>
        <w:t>considerably lower</w:t>
      </w:r>
      <w:r w:rsidR="00EF2596" w:rsidRPr="00545923">
        <w:rPr>
          <w:rFonts w:asciiTheme="minorHAnsi" w:hAnsiTheme="minorHAnsi" w:cstheme="minorHAnsi"/>
          <w:sz w:val="24"/>
          <w:szCs w:val="22"/>
          <w:lang w:val="en-GB"/>
        </w:rPr>
        <w:t xml:space="preserve"> in these regions</w:t>
      </w:r>
      <w:r w:rsidRPr="00545923">
        <w:rPr>
          <w:rFonts w:asciiTheme="minorHAnsi" w:hAnsiTheme="minorHAnsi" w:cstheme="minorHAnsi"/>
          <w:sz w:val="24"/>
          <w:szCs w:val="22"/>
          <w:lang w:val="en-GB"/>
        </w:rPr>
        <w:t xml:space="preserve">. </w:t>
      </w:r>
    </w:p>
    <w:p w14:paraId="008CE993" w14:textId="77777777" w:rsidR="001D2769" w:rsidRPr="00545923" w:rsidRDefault="00203727" w:rsidP="00EF2596">
      <w:pPr>
        <w:pStyle w:val="Caption"/>
        <w:spacing w:after="120"/>
        <w:rPr>
          <w:rFonts w:asciiTheme="minorHAnsi" w:hAnsiTheme="minorHAnsi" w:cstheme="minorHAnsi"/>
          <w:b w:val="0"/>
          <w:color w:val="808080"/>
          <w:sz w:val="20"/>
        </w:rPr>
      </w:pPr>
      <w:bookmarkStart w:id="604" w:name="_Ref529777695"/>
      <w:r w:rsidRPr="00545923">
        <w:rPr>
          <w:rFonts w:asciiTheme="minorHAnsi" w:hAnsiTheme="minorHAnsi" w:cstheme="minorHAnsi"/>
          <w:b w:val="0"/>
          <w:color w:val="808080"/>
          <w:sz w:val="20"/>
        </w:rPr>
        <w:t xml:space="preserve">Table </w:t>
      </w:r>
      <w:r w:rsidRPr="00545923">
        <w:rPr>
          <w:rFonts w:asciiTheme="minorHAnsi" w:hAnsiTheme="minorHAnsi" w:cstheme="minorHAnsi"/>
          <w:b w:val="0"/>
          <w:color w:val="808080"/>
          <w:sz w:val="20"/>
        </w:rPr>
        <w:fldChar w:fldCharType="begin"/>
      </w:r>
      <w:r w:rsidRPr="00545923">
        <w:rPr>
          <w:rFonts w:asciiTheme="minorHAnsi" w:hAnsiTheme="minorHAnsi" w:cstheme="minorHAnsi"/>
          <w:b w:val="0"/>
          <w:color w:val="808080"/>
          <w:sz w:val="20"/>
        </w:rPr>
        <w:instrText xml:space="preserve"> SEQ Table \* ARABIC </w:instrText>
      </w:r>
      <w:r w:rsidRPr="00545923">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9</w:t>
      </w:r>
      <w:r w:rsidRPr="00545923">
        <w:rPr>
          <w:rFonts w:asciiTheme="minorHAnsi" w:hAnsiTheme="minorHAnsi" w:cstheme="minorHAnsi"/>
          <w:b w:val="0"/>
          <w:color w:val="808080"/>
          <w:sz w:val="20"/>
        </w:rPr>
        <w:fldChar w:fldCharType="end"/>
      </w:r>
      <w:bookmarkEnd w:id="604"/>
      <w:r w:rsidR="001D2769" w:rsidRPr="00545923">
        <w:rPr>
          <w:rFonts w:asciiTheme="minorHAnsi" w:hAnsiTheme="minorHAnsi" w:cstheme="minorHAnsi"/>
          <w:b w:val="0"/>
          <w:color w:val="808080"/>
          <w:sz w:val="20"/>
        </w:rPr>
        <w:t>: Number of patients on dialysis and number of patients</w:t>
      </w:r>
      <w:r w:rsidR="00EF2596" w:rsidRPr="00545923">
        <w:rPr>
          <w:rFonts w:asciiTheme="minorHAnsi" w:hAnsiTheme="minorHAnsi" w:cstheme="minorHAnsi"/>
          <w:b w:val="0"/>
          <w:color w:val="808080"/>
          <w:sz w:val="20"/>
        </w:rPr>
        <w:t xml:space="preserve"> undergoing kidney transplantation</w:t>
      </w:r>
      <w:r w:rsidR="001D2769" w:rsidRPr="00545923">
        <w:rPr>
          <w:rFonts w:asciiTheme="minorHAnsi" w:hAnsiTheme="minorHAnsi" w:cstheme="minorHAnsi"/>
          <w:b w:val="0"/>
          <w:color w:val="808080"/>
          <w:sz w:val="20"/>
        </w:rPr>
        <w:t xml:space="preserve"> in 2016 as a proportion of the population and proportion of dialysis patients, SOURCE: </w:t>
      </w:r>
      <w:r w:rsidR="00AD08DD">
        <w:rPr>
          <w:rFonts w:asciiTheme="minorHAnsi" w:hAnsiTheme="minorHAnsi" w:cstheme="minorHAnsi"/>
          <w:b w:val="0"/>
          <w:color w:val="808080"/>
          <w:sz w:val="20"/>
        </w:rPr>
        <w:t>ANZDATA</w:t>
      </w:r>
      <w:r w:rsidR="00602560" w:rsidRPr="00F526D8">
        <w:rPr>
          <w:rStyle w:val="FootnoteReference"/>
          <w:rFonts w:asciiTheme="minorHAnsi" w:hAnsiTheme="minorHAnsi" w:cstheme="minorHAnsi"/>
          <w:b w:val="0"/>
          <w:color w:val="808080"/>
        </w:rPr>
        <w:footnoteReference w:id="93"/>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4A0" w:firstRow="1" w:lastRow="0" w:firstColumn="1" w:lastColumn="0" w:noHBand="0" w:noVBand="1"/>
      </w:tblPr>
      <w:tblGrid>
        <w:gridCol w:w="2571"/>
        <w:gridCol w:w="1407"/>
        <w:gridCol w:w="1407"/>
        <w:gridCol w:w="1406"/>
        <w:gridCol w:w="1406"/>
        <w:gridCol w:w="1408"/>
      </w:tblGrid>
      <w:tr w:rsidR="00256860" w:rsidRPr="00545923" w14:paraId="10B53F44" w14:textId="77777777" w:rsidTr="003A517E">
        <w:trPr>
          <w:trHeight w:val="20"/>
        </w:trPr>
        <w:tc>
          <w:tcPr>
            <w:tcW w:w="1337" w:type="pct"/>
            <w:shd w:val="clear" w:color="auto" w:fill="595959" w:themeFill="text1" w:themeFillTint="A6"/>
            <w:tcMar>
              <w:top w:w="10" w:type="dxa"/>
              <w:left w:w="10" w:type="dxa"/>
              <w:bottom w:w="0" w:type="dxa"/>
              <w:right w:w="10" w:type="dxa"/>
            </w:tcMar>
            <w:vAlign w:val="center"/>
            <w:hideMark/>
          </w:tcPr>
          <w:p w14:paraId="38E949DA" w14:textId="77777777" w:rsidR="00256860" w:rsidRPr="00545923" w:rsidRDefault="00256860" w:rsidP="002B47F0">
            <w:pPr>
              <w:widowControl/>
              <w:autoSpaceDE/>
              <w:autoSpaceDN/>
              <w:adjustRightInd/>
              <w:spacing w:before="40" w:after="40"/>
              <w:rPr>
                <w:rFonts w:asciiTheme="minorHAnsi" w:hAnsiTheme="minorHAnsi" w:cstheme="minorHAnsi"/>
              </w:rPr>
            </w:pPr>
          </w:p>
        </w:tc>
        <w:tc>
          <w:tcPr>
            <w:tcW w:w="732" w:type="pct"/>
            <w:shd w:val="clear" w:color="auto" w:fill="595959" w:themeFill="text1" w:themeFillTint="A6"/>
            <w:tcMar>
              <w:top w:w="10" w:type="dxa"/>
              <w:left w:w="10" w:type="dxa"/>
              <w:bottom w:w="0" w:type="dxa"/>
              <w:right w:w="10" w:type="dxa"/>
            </w:tcMar>
            <w:vAlign w:val="center"/>
            <w:hideMark/>
          </w:tcPr>
          <w:p w14:paraId="68C2F26E" w14:textId="77777777" w:rsidR="00256860" w:rsidRPr="00545923" w:rsidRDefault="00256860" w:rsidP="002B47F0">
            <w:pPr>
              <w:spacing w:before="40" w:after="40"/>
              <w:jc w:val="center"/>
              <w:rPr>
                <w:rFonts w:asciiTheme="minorHAnsi" w:eastAsiaTheme="minorHAnsi" w:hAnsiTheme="minorHAnsi" w:cstheme="minorHAnsi"/>
                <w:b/>
                <w:bCs/>
                <w:color w:val="FFFFFF"/>
              </w:rPr>
            </w:pPr>
            <w:r w:rsidRPr="00545923">
              <w:rPr>
                <w:rFonts w:asciiTheme="minorHAnsi" w:hAnsiTheme="minorHAnsi" w:cstheme="minorHAnsi"/>
                <w:b/>
                <w:bCs/>
                <w:color w:val="FFFFFF"/>
              </w:rPr>
              <w:t>Major cities</w:t>
            </w:r>
          </w:p>
        </w:tc>
        <w:tc>
          <w:tcPr>
            <w:tcW w:w="732" w:type="pct"/>
            <w:shd w:val="clear" w:color="auto" w:fill="595959" w:themeFill="text1" w:themeFillTint="A6"/>
            <w:tcMar>
              <w:top w:w="10" w:type="dxa"/>
              <w:left w:w="10" w:type="dxa"/>
              <w:bottom w:w="0" w:type="dxa"/>
              <w:right w:w="10" w:type="dxa"/>
            </w:tcMar>
            <w:vAlign w:val="center"/>
            <w:hideMark/>
          </w:tcPr>
          <w:p w14:paraId="19DB6125" w14:textId="77777777" w:rsidR="00256860" w:rsidRPr="00545923" w:rsidRDefault="00256860" w:rsidP="002B47F0">
            <w:pPr>
              <w:spacing w:before="40" w:after="40"/>
              <w:jc w:val="center"/>
              <w:rPr>
                <w:rFonts w:asciiTheme="minorHAnsi" w:hAnsiTheme="minorHAnsi" w:cstheme="minorHAnsi"/>
                <w:b/>
                <w:bCs/>
                <w:color w:val="FFFFFF"/>
              </w:rPr>
            </w:pPr>
            <w:r w:rsidRPr="00545923">
              <w:rPr>
                <w:rFonts w:asciiTheme="minorHAnsi" w:hAnsiTheme="minorHAnsi" w:cstheme="minorHAnsi"/>
                <w:b/>
                <w:bCs/>
                <w:color w:val="FFFFFF"/>
              </w:rPr>
              <w:t>Inner regional</w:t>
            </w:r>
          </w:p>
        </w:tc>
        <w:tc>
          <w:tcPr>
            <w:tcW w:w="732" w:type="pct"/>
            <w:shd w:val="clear" w:color="auto" w:fill="595959" w:themeFill="text1" w:themeFillTint="A6"/>
            <w:tcMar>
              <w:top w:w="10" w:type="dxa"/>
              <w:left w:w="10" w:type="dxa"/>
              <w:bottom w:w="0" w:type="dxa"/>
              <w:right w:w="10" w:type="dxa"/>
            </w:tcMar>
            <w:vAlign w:val="center"/>
            <w:hideMark/>
          </w:tcPr>
          <w:p w14:paraId="102A9399" w14:textId="77777777" w:rsidR="00256860" w:rsidRPr="00545923" w:rsidRDefault="00256860" w:rsidP="002B47F0">
            <w:pPr>
              <w:spacing w:before="40" w:after="40"/>
              <w:jc w:val="center"/>
              <w:rPr>
                <w:rFonts w:asciiTheme="minorHAnsi" w:hAnsiTheme="minorHAnsi" w:cstheme="minorHAnsi"/>
                <w:b/>
                <w:bCs/>
                <w:color w:val="FFFFFF"/>
              </w:rPr>
            </w:pPr>
            <w:r w:rsidRPr="00545923">
              <w:rPr>
                <w:rFonts w:asciiTheme="minorHAnsi" w:hAnsiTheme="minorHAnsi" w:cstheme="minorHAnsi"/>
                <w:b/>
                <w:bCs/>
                <w:color w:val="FFFFFF"/>
              </w:rPr>
              <w:t>Outer regional</w:t>
            </w:r>
          </w:p>
        </w:tc>
        <w:tc>
          <w:tcPr>
            <w:tcW w:w="732" w:type="pct"/>
            <w:shd w:val="clear" w:color="auto" w:fill="595959" w:themeFill="text1" w:themeFillTint="A6"/>
            <w:tcMar>
              <w:top w:w="10" w:type="dxa"/>
              <w:left w:w="10" w:type="dxa"/>
              <w:bottom w:w="0" w:type="dxa"/>
              <w:right w:w="10" w:type="dxa"/>
            </w:tcMar>
            <w:vAlign w:val="center"/>
            <w:hideMark/>
          </w:tcPr>
          <w:p w14:paraId="4C6D0F2D" w14:textId="77777777" w:rsidR="00256860" w:rsidRPr="00545923" w:rsidRDefault="00256860" w:rsidP="002B47F0">
            <w:pPr>
              <w:spacing w:before="40" w:after="40"/>
              <w:jc w:val="center"/>
              <w:rPr>
                <w:rFonts w:asciiTheme="minorHAnsi" w:hAnsiTheme="minorHAnsi" w:cstheme="minorHAnsi"/>
                <w:b/>
                <w:bCs/>
                <w:color w:val="FFFFFF"/>
              </w:rPr>
            </w:pPr>
            <w:r w:rsidRPr="00545923">
              <w:rPr>
                <w:rFonts w:asciiTheme="minorHAnsi" w:hAnsiTheme="minorHAnsi" w:cstheme="minorHAnsi"/>
                <w:b/>
                <w:bCs/>
                <w:color w:val="FFFFFF"/>
              </w:rPr>
              <w:t>Remote</w:t>
            </w:r>
          </w:p>
        </w:tc>
        <w:tc>
          <w:tcPr>
            <w:tcW w:w="733" w:type="pct"/>
            <w:shd w:val="clear" w:color="auto" w:fill="595959" w:themeFill="text1" w:themeFillTint="A6"/>
            <w:tcMar>
              <w:top w:w="10" w:type="dxa"/>
              <w:left w:w="10" w:type="dxa"/>
              <w:bottom w:w="0" w:type="dxa"/>
              <w:right w:w="10" w:type="dxa"/>
            </w:tcMar>
            <w:vAlign w:val="center"/>
            <w:hideMark/>
          </w:tcPr>
          <w:p w14:paraId="0EEC0CD7" w14:textId="77777777" w:rsidR="00256860" w:rsidRPr="00545923" w:rsidRDefault="00256860" w:rsidP="002B47F0">
            <w:pPr>
              <w:spacing w:before="40" w:after="40"/>
              <w:jc w:val="center"/>
              <w:rPr>
                <w:rFonts w:asciiTheme="minorHAnsi" w:hAnsiTheme="minorHAnsi" w:cstheme="minorHAnsi"/>
                <w:b/>
                <w:bCs/>
                <w:color w:val="FFFFFF"/>
              </w:rPr>
            </w:pPr>
            <w:r w:rsidRPr="00545923">
              <w:rPr>
                <w:rFonts w:asciiTheme="minorHAnsi" w:hAnsiTheme="minorHAnsi" w:cstheme="minorHAnsi"/>
                <w:b/>
                <w:bCs/>
                <w:color w:val="FFFFFF"/>
              </w:rPr>
              <w:t>Very remote</w:t>
            </w:r>
          </w:p>
        </w:tc>
      </w:tr>
      <w:tr w:rsidR="00256860" w:rsidRPr="00545923" w14:paraId="459A0D2A" w14:textId="77777777" w:rsidTr="003A517E">
        <w:trPr>
          <w:trHeight w:val="20"/>
        </w:trPr>
        <w:tc>
          <w:tcPr>
            <w:tcW w:w="1337" w:type="pct"/>
            <w:tcMar>
              <w:top w:w="10" w:type="dxa"/>
              <w:left w:w="10" w:type="dxa"/>
              <w:bottom w:w="0" w:type="dxa"/>
              <w:right w:w="10" w:type="dxa"/>
            </w:tcMar>
            <w:vAlign w:val="center"/>
            <w:hideMark/>
          </w:tcPr>
          <w:p w14:paraId="1448DF29" w14:textId="77777777" w:rsidR="00256860" w:rsidRPr="00545923" w:rsidRDefault="00256860" w:rsidP="00AE3ED1">
            <w:pPr>
              <w:spacing w:before="40" w:after="40"/>
              <w:rPr>
                <w:rFonts w:asciiTheme="minorHAnsi" w:hAnsiTheme="minorHAnsi" w:cstheme="minorHAnsi"/>
                <w:b/>
                <w:bCs/>
                <w:color w:val="FFFFFF"/>
              </w:rPr>
            </w:pPr>
            <w:r w:rsidRPr="00545923">
              <w:rPr>
                <w:rFonts w:asciiTheme="minorHAnsi" w:hAnsiTheme="minorHAnsi" w:cstheme="minorHAnsi"/>
              </w:rPr>
              <w:t>Population in 2016</w:t>
            </w:r>
          </w:p>
        </w:tc>
        <w:tc>
          <w:tcPr>
            <w:tcW w:w="732" w:type="pct"/>
            <w:tcMar>
              <w:top w:w="10" w:type="dxa"/>
              <w:left w:w="10" w:type="dxa"/>
              <w:bottom w:w="0" w:type="dxa"/>
              <w:right w:w="10" w:type="dxa"/>
            </w:tcMar>
            <w:vAlign w:val="center"/>
            <w:hideMark/>
          </w:tcPr>
          <w:p w14:paraId="4AA5D800" w14:textId="77777777" w:rsidR="00256860" w:rsidRPr="00545923" w:rsidRDefault="00256860" w:rsidP="002B47F0">
            <w:pPr>
              <w:spacing w:before="40" w:after="40"/>
              <w:jc w:val="center"/>
              <w:rPr>
                <w:rFonts w:asciiTheme="minorHAnsi" w:hAnsiTheme="minorHAnsi" w:cstheme="minorHAnsi"/>
                <w:b/>
                <w:bCs/>
                <w:color w:val="FFFFFF"/>
              </w:rPr>
            </w:pPr>
            <w:r w:rsidRPr="00545923">
              <w:rPr>
                <w:rFonts w:asciiTheme="minorHAnsi" w:hAnsiTheme="minorHAnsi" w:cstheme="minorHAnsi"/>
              </w:rPr>
              <w:t>16,634,069</w:t>
            </w:r>
          </w:p>
        </w:tc>
        <w:tc>
          <w:tcPr>
            <w:tcW w:w="732" w:type="pct"/>
            <w:tcMar>
              <w:top w:w="10" w:type="dxa"/>
              <w:left w:w="10" w:type="dxa"/>
              <w:bottom w:w="0" w:type="dxa"/>
              <w:right w:w="10" w:type="dxa"/>
            </w:tcMar>
            <w:vAlign w:val="center"/>
            <w:hideMark/>
          </w:tcPr>
          <w:p w14:paraId="575C4301" w14:textId="77777777" w:rsidR="00256860" w:rsidRPr="00545923" w:rsidRDefault="00256860" w:rsidP="002B47F0">
            <w:pPr>
              <w:spacing w:before="40" w:after="40"/>
              <w:jc w:val="center"/>
              <w:rPr>
                <w:rFonts w:asciiTheme="minorHAnsi" w:hAnsiTheme="minorHAnsi" w:cstheme="minorHAnsi"/>
                <w:b/>
                <w:bCs/>
                <w:color w:val="FFFFFF"/>
              </w:rPr>
            </w:pPr>
            <w:r w:rsidRPr="00545923">
              <w:rPr>
                <w:rFonts w:asciiTheme="minorHAnsi" w:hAnsiTheme="minorHAnsi" w:cstheme="minorHAnsi"/>
              </w:rPr>
              <w:t>4,254,984</w:t>
            </w:r>
          </w:p>
        </w:tc>
        <w:tc>
          <w:tcPr>
            <w:tcW w:w="732" w:type="pct"/>
            <w:tcMar>
              <w:top w:w="10" w:type="dxa"/>
              <w:left w:w="10" w:type="dxa"/>
              <w:bottom w:w="0" w:type="dxa"/>
              <w:right w:w="10" w:type="dxa"/>
            </w:tcMar>
            <w:vAlign w:val="center"/>
            <w:hideMark/>
          </w:tcPr>
          <w:p w14:paraId="09835063" w14:textId="77777777" w:rsidR="00256860" w:rsidRPr="00545923" w:rsidRDefault="00256860" w:rsidP="002B47F0">
            <w:pPr>
              <w:spacing w:before="40" w:after="40"/>
              <w:jc w:val="center"/>
              <w:rPr>
                <w:rFonts w:asciiTheme="minorHAnsi" w:hAnsiTheme="minorHAnsi" w:cstheme="minorHAnsi"/>
                <w:b/>
                <w:bCs/>
                <w:color w:val="FFFFFF"/>
              </w:rPr>
            </w:pPr>
            <w:r w:rsidRPr="00545923">
              <w:rPr>
                <w:rFonts w:asciiTheme="minorHAnsi" w:hAnsiTheme="minorHAnsi" w:cstheme="minorHAnsi"/>
              </w:rPr>
              <w:t>1,992,704</w:t>
            </w:r>
          </w:p>
        </w:tc>
        <w:tc>
          <w:tcPr>
            <w:tcW w:w="732" w:type="pct"/>
            <w:tcMar>
              <w:top w:w="10" w:type="dxa"/>
              <w:left w:w="10" w:type="dxa"/>
              <w:bottom w:w="0" w:type="dxa"/>
              <w:right w:w="10" w:type="dxa"/>
            </w:tcMar>
            <w:vAlign w:val="center"/>
            <w:hideMark/>
          </w:tcPr>
          <w:p w14:paraId="0DAFA356" w14:textId="77777777" w:rsidR="00256860" w:rsidRPr="00545923" w:rsidRDefault="00256860" w:rsidP="002B47F0">
            <w:pPr>
              <w:spacing w:before="40" w:after="40"/>
              <w:jc w:val="center"/>
              <w:rPr>
                <w:rFonts w:asciiTheme="minorHAnsi" w:hAnsiTheme="minorHAnsi" w:cstheme="minorHAnsi"/>
                <w:b/>
                <w:bCs/>
                <w:color w:val="FFFFFF"/>
              </w:rPr>
            </w:pPr>
            <w:r w:rsidRPr="00545923">
              <w:rPr>
                <w:rFonts w:asciiTheme="minorHAnsi" w:hAnsiTheme="minorHAnsi" w:cstheme="minorHAnsi"/>
              </w:rPr>
              <w:t>282,892</w:t>
            </w:r>
          </w:p>
        </w:tc>
        <w:tc>
          <w:tcPr>
            <w:tcW w:w="733" w:type="pct"/>
            <w:tcMar>
              <w:top w:w="10" w:type="dxa"/>
              <w:left w:w="10" w:type="dxa"/>
              <w:bottom w:w="0" w:type="dxa"/>
              <w:right w:w="10" w:type="dxa"/>
            </w:tcMar>
            <w:vAlign w:val="center"/>
            <w:hideMark/>
          </w:tcPr>
          <w:p w14:paraId="2619C4A7" w14:textId="77777777" w:rsidR="00256860" w:rsidRPr="00545923" w:rsidRDefault="00256860" w:rsidP="002B47F0">
            <w:pPr>
              <w:spacing w:before="40" w:after="40"/>
              <w:jc w:val="center"/>
              <w:rPr>
                <w:rFonts w:asciiTheme="minorHAnsi" w:hAnsiTheme="minorHAnsi" w:cstheme="minorHAnsi"/>
                <w:b/>
                <w:bCs/>
                <w:color w:val="FFFFFF"/>
              </w:rPr>
            </w:pPr>
            <w:r w:rsidRPr="00545923">
              <w:rPr>
                <w:rFonts w:asciiTheme="minorHAnsi" w:hAnsiTheme="minorHAnsi" w:cstheme="minorHAnsi"/>
              </w:rPr>
              <w:t>186,328</w:t>
            </w:r>
          </w:p>
        </w:tc>
      </w:tr>
      <w:tr w:rsidR="00256860" w:rsidRPr="00545923" w14:paraId="72E7C79A" w14:textId="77777777" w:rsidTr="003A517E">
        <w:trPr>
          <w:trHeight w:val="20"/>
        </w:trPr>
        <w:tc>
          <w:tcPr>
            <w:tcW w:w="1337" w:type="pct"/>
            <w:tcMar>
              <w:top w:w="10" w:type="dxa"/>
              <w:left w:w="10" w:type="dxa"/>
              <w:bottom w:w="0" w:type="dxa"/>
              <w:right w:w="10" w:type="dxa"/>
            </w:tcMar>
            <w:vAlign w:val="center"/>
            <w:hideMark/>
          </w:tcPr>
          <w:p w14:paraId="41F7DD93" w14:textId="77777777" w:rsidR="00256860" w:rsidRPr="00545923" w:rsidRDefault="00256860" w:rsidP="00AE3ED1">
            <w:pPr>
              <w:spacing w:before="40" w:after="40"/>
              <w:rPr>
                <w:rFonts w:asciiTheme="minorHAnsi" w:hAnsiTheme="minorHAnsi" w:cstheme="minorHAnsi"/>
              </w:rPr>
            </w:pPr>
            <w:r w:rsidRPr="00545923">
              <w:rPr>
                <w:rFonts w:asciiTheme="minorHAnsi" w:hAnsiTheme="minorHAnsi" w:cstheme="minorHAnsi"/>
              </w:rPr>
              <w:t>Number of patients on dialysis in 2016</w:t>
            </w:r>
          </w:p>
        </w:tc>
        <w:tc>
          <w:tcPr>
            <w:tcW w:w="732" w:type="pct"/>
            <w:tcMar>
              <w:top w:w="10" w:type="dxa"/>
              <w:left w:w="10" w:type="dxa"/>
              <w:bottom w:w="0" w:type="dxa"/>
              <w:right w:w="10" w:type="dxa"/>
            </w:tcMar>
            <w:vAlign w:val="center"/>
            <w:hideMark/>
          </w:tcPr>
          <w:p w14:paraId="5CFC17A8" w14:textId="77777777" w:rsidR="00256860" w:rsidRPr="00545923" w:rsidRDefault="00256860" w:rsidP="002B47F0">
            <w:pPr>
              <w:spacing w:before="40" w:after="40"/>
              <w:jc w:val="center"/>
              <w:rPr>
                <w:rFonts w:asciiTheme="minorHAnsi" w:hAnsiTheme="minorHAnsi" w:cstheme="minorHAnsi"/>
              </w:rPr>
            </w:pPr>
            <w:r w:rsidRPr="00545923">
              <w:rPr>
                <w:rFonts w:asciiTheme="minorHAnsi" w:hAnsiTheme="minorHAnsi" w:cstheme="minorHAnsi"/>
              </w:rPr>
              <w:t>9,272</w:t>
            </w:r>
          </w:p>
        </w:tc>
        <w:tc>
          <w:tcPr>
            <w:tcW w:w="732" w:type="pct"/>
            <w:tcMar>
              <w:top w:w="10" w:type="dxa"/>
              <w:left w:w="10" w:type="dxa"/>
              <w:bottom w:w="0" w:type="dxa"/>
              <w:right w:w="10" w:type="dxa"/>
            </w:tcMar>
            <w:vAlign w:val="center"/>
            <w:hideMark/>
          </w:tcPr>
          <w:p w14:paraId="4E247E44" w14:textId="77777777" w:rsidR="00256860" w:rsidRPr="00545923" w:rsidRDefault="00256860" w:rsidP="002B47F0">
            <w:pPr>
              <w:spacing w:before="40" w:after="40"/>
              <w:jc w:val="center"/>
              <w:rPr>
                <w:rFonts w:asciiTheme="minorHAnsi" w:hAnsiTheme="minorHAnsi" w:cstheme="minorHAnsi"/>
              </w:rPr>
            </w:pPr>
            <w:r w:rsidRPr="00545923">
              <w:rPr>
                <w:rFonts w:asciiTheme="minorHAnsi" w:hAnsiTheme="minorHAnsi" w:cstheme="minorHAnsi"/>
              </w:rPr>
              <w:t>1,748</w:t>
            </w:r>
          </w:p>
        </w:tc>
        <w:tc>
          <w:tcPr>
            <w:tcW w:w="732" w:type="pct"/>
            <w:tcMar>
              <w:top w:w="10" w:type="dxa"/>
              <w:left w:w="10" w:type="dxa"/>
              <w:bottom w:w="0" w:type="dxa"/>
              <w:right w:w="10" w:type="dxa"/>
            </w:tcMar>
            <w:vAlign w:val="center"/>
            <w:hideMark/>
          </w:tcPr>
          <w:p w14:paraId="690CE8AB" w14:textId="77777777" w:rsidR="00256860" w:rsidRPr="00545923" w:rsidRDefault="00256860" w:rsidP="002B47F0">
            <w:pPr>
              <w:spacing w:before="40" w:after="40"/>
              <w:jc w:val="center"/>
              <w:rPr>
                <w:rFonts w:asciiTheme="minorHAnsi" w:hAnsiTheme="minorHAnsi" w:cstheme="minorHAnsi"/>
              </w:rPr>
            </w:pPr>
            <w:r w:rsidRPr="00545923">
              <w:rPr>
                <w:rFonts w:asciiTheme="minorHAnsi" w:hAnsiTheme="minorHAnsi" w:cstheme="minorHAnsi"/>
              </w:rPr>
              <w:t>1,067</w:t>
            </w:r>
          </w:p>
        </w:tc>
        <w:tc>
          <w:tcPr>
            <w:tcW w:w="732" w:type="pct"/>
            <w:tcMar>
              <w:top w:w="10" w:type="dxa"/>
              <w:left w:w="10" w:type="dxa"/>
              <w:bottom w:w="0" w:type="dxa"/>
              <w:right w:w="10" w:type="dxa"/>
            </w:tcMar>
            <w:vAlign w:val="center"/>
            <w:hideMark/>
          </w:tcPr>
          <w:p w14:paraId="2F46CC87" w14:textId="77777777" w:rsidR="00256860" w:rsidRPr="00545923" w:rsidRDefault="00256860" w:rsidP="002B47F0">
            <w:pPr>
              <w:spacing w:before="40" w:after="40"/>
              <w:jc w:val="center"/>
              <w:rPr>
                <w:rFonts w:asciiTheme="minorHAnsi" w:hAnsiTheme="minorHAnsi" w:cstheme="minorHAnsi"/>
              </w:rPr>
            </w:pPr>
            <w:r w:rsidRPr="00545923">
              <w:rPr>
                <w:rFonts w:asciiTheme="minorHAnsi" w:hAnsiTheme="minorHAnsi" w:cstheme="minorHAnsi"/>
              </w:rPr>
              <w:t>470</w:t>
            </w:r>
          </w:p>
        </w:tc>
        <w:tc>
          <w:tcPr>
            <w:tcW w:w="733" w:type="pct"/>
            <w:tcMar>
              <w:top w:w="10" w:type="dxa"/>
              <w:left w:w="10" w:type="dxa"/>
              <w:bottom w:w="0" w:type="dxa"/>
              <w:right w:w="10" w:type="dxa"/>
            </w:tcMar>
            <w:vAlign w:val="center"/>
            <w:hideMark/>
          </w:tcPr>
          <w:p w14:paraId="4A2119CE" w14:textId="77777777" w:rsidR="00256860" w:rsidRPr="00545923" w:rsidRDefault="00256860" w:rsidP="002B47F0">
            <w:pPr>
              <w:spacing w:before="40" w:after="40"/>
              <w:jc w:val="center"/>
              <w:rPr>
                <w:rFonts w:asciiTheme="minorHAnsi" w:hAnsiTheme="minorHAnsi" w:cstheme="minorHAnsi"/>
              </w:rPr>
            </w:pPr>
            <w:r w:rsidRPr="00545923">
              <w:rPr>
                <w:rFonts w:asciiTheme="minorHAnsi" w:hAnsiTheme="minorHAnsi" w:cstheme="minorHAnsi"/>
              </w:rPr>
              <w:t>149</w:t>
            </w:r>
          </w:p>
        </w:tc>
      </w:tr>
      <w:tr w:rsidR="00256860" w:rsidRPr="00545923" w14:paraId="635CFBBB" w14:textId="77777777" w:rsidTr="003A517E">
        <w:trPr>
          <w:trHeight w:val="20"/>
        </w:trPr>
        <w:tc>
          <w:tcPr>
            <w:tcW w:w="1337" w:type="pct"/>
            <w:tcMar>
              <w:top w:w="10" w:type="dxa"/>
              <w:left w:w="10" w:type="dxa"/>
              <w:bottom w:w="0" w:type="dxa"/>
              <w:right w:w="10" w:type="dxa"/>
            </w:tcMar>
            <w:vAlign w:val="center"/>
            <w:hideMark/>
          </w:tcPr>
          <w:p w14:paraId="40E161FF" w14:textId="77777777" w:rsidR="00256860" w:rsidRPr="00545923" w:rsidRDefault="00256860" w:rsidP="00AE3ED1">
            <w:pPr>
              <w:spacing w:before="40" w:after="40"/>
              <w:rPr>
                <w:rFonts w:asciiTheme="minorHAnsi" w:hAnsiTheme="minorHAnsi" w:cstheme="minorHAnsi"/>
              </w:rPr>
            </w:pPr>
            <w:r w:rsidRPr="00545923">
              <w:rPr>
                <w:rFonts w:asciiTheme="minorHAnsi" w:hAnsiTheme="minorHAnsi" w:cstheme="minorHAnsi"/>
              </w:rPr>
              <w:t xml:space="preserve">Number of </w:t>
            </w:r>
            <w:r w:rsidR="00EF2596" w:rsidRPr="00545923">
              <w:rPr>
                <w:rFonts w:asciiTheme="minorHAnsi" w:hAnsiTheme="minorHAnsi" w:cstheme="minorHAnsi"/>
              </w:rPr>
              <w:t xml:space="preserve">kidney </w:t>
            </w:r>
            <w:r w:rsidRPr="00545923">
              <w:rPr>
                <w:rFonts w:asciiTheme="minorHAnsi" w:hAnsiTheme="minorHAnsi" w:cstheme="minorHAnsi"/>
              </w:rPr>
              <w:t>transplants in 2016</w:t>
            </w:r>
          </w:p>
        </w:tc>
        <w:tc>
          <w:tcPr>
            <w:tcW w:w="732" w:type="pct"/>
            <w:tcMar>
              <w:top w:w="10" w:type="dxa"/>
              <w:left w:w="10" w:type="dxa"/>
              <w:bottom w:w="0" w:type="dxa"/>
              <w:right w:w="10" w:type="dxa"/>
            </w:tcMar>
            <w:vAlign w:val="center"/>
            <w:hideMark/>
          </w:tcPr>
          <w:p w14:paraId="217941A4" w14:textId="77777777" w:rsidR="00256860" w:rsidRPr="00545923" w:rsidRDefault="00256860" w:rsidP="002B47F0">
            <w:pPr>
              <w:spacing w:before="40" w:after="40"/>
              <w:jc w:val="center"/>
              <w:rPr>
                <w:rFonts w:asciiTheme="minorHAnsi" w:hAnsiTheme="minorHAnsi" w:cstheme="minorHAnsi"/>
              </w:rPr>
            </w:pPr>
            <w:r w:rsidRPr="00545923">
              <w:rPr>
                <w:rFonts w:asciiTheme="minorHAnsi" w:hAnsiTheme="minorHAnsi" w:cstheme="minorHAnsi"/>
              </w:rPr>
              <w:t>765</w:t>
            </w:r>
          </w:p>
        </w:tc>
        <w:tc>
          <w:tcPr>
            <w:tcW w:w="732" w:type="pct"/>
            <w:tcMar>
              <w:top w:w="10" w:type="dxa"/>
              <w:left w:w="10" w:type="dxa"/>
              <w:bottom w:w="0" w:type="dxa"/>
              <w:right w:w="10" w:type="dxa"/>
            </w:tcMar>
            <w:vAlign w:val="center"/>
            <w:hideMark/>
          </w:tcPr>
          <w:p w14:paraId="43D7E76D" w14:textId="77777777" w:rsidR="00256860" w:rsidRPr="00545923" w:rsidRDefault="00256860" w:rsidP="002B47F0">
            <w:pPr>
              <w:spacing w:before="40" w:after="40"/>
              <w:jc w:val="center"/>
              <w:rPr>
                <w:rFonts w:asciiTheme="minorHAnsi" w:hAnsiTheme="minorHAnsi" w:cstheme="minorHAnsi"/>
              </w:rPr>
            </w:pPr>
            <w:r w:rsidRPr="00545923">
              <w:rPr>
                <w:rFonts w:asciiTheme="minorHAnsi" w:hAnsiTheme="minorHAnsi" w:cstheme="minorHAnsi"/>
              </w:rPr>
              <w:t>198</w:t>
            </w:r>
          </w:p>
        </w:tc>
        <w:tc>
          <w:tcPr>
            <w:tcW w:w="732" w:type="pct"/>
            <w:tcMar>
              <w:top w:w="10" w:type="dxa"/>
              <w:left w:w="10" w:type="dxa"/>
              <w:bottom w:w="0" w:type="dxa"/>
              <w:right w:w="10" w:type="dxa"/>
            </w:tcMar>
            <w:vAlign w:val="center"/>
            <w:hideMark/>
          </w:tcPr>
          <w:p w14:paraId="4CD618F0" w14:textId="77777777" w:rsidR="00256860" w:rsidRPr="00545923" w:rsidRDefault="00256860" w:rsidP="002B47F0">
            <w:pPr>
              <w:spacing w:before="40" w:after="40"/>
              <w:jc w:val="center"/>
              <w:rPr>
                <w:rFonts w:asciiTheme="minorHAnsi" w:hAnsiTheme="minorHAnsi" w:cstheme="minorHAnsi"/>
              </w:rPr>
            </w:pPr>
            <w:r w:rsidRPr="00545923">
              <w:rPr>
                <w:rFonts w:asciiTheme="minorHAnsi" w:hAnsiTheme="minorHAnsi" w:cstheme="minorHAnsi"/>
              </w:rPr>
              <w:t>91</w:t>
            </w:r>
          </w:p>
        </w:tc>
        <w:tc>
          <w:tcPr>
            <w:tcW w:w="732" w:type="pct"/>
            <w:tcMar>
              <w:top w:w="10" w:type="dxa"/>
              <w:left w:w="10" w:type="dxa"/>
              <w:bottom w:w="0" w:type="dxa"/>
              <w:right w:w="10" w:type="dxa"/>
            </w:tcMar>
            <w:vAlign w:val="center"/>
            <w:hideMark/>
          </w:tcPr>
          <w:p w14:paraId="4C878EF2" w14:textId="77777777" w:rsidR="00256860" w:rsidRPr="00545923" w:rsidRDefault="00256860" w:rsidP="002B47F0">
            <w:pPr>
              <w:spacing w:before="40" w:after="40"/>
              <w:jc w:val="center"/>
              <w:rPr>
                <w:rFonts w:asciiTheme="minorHAnsi" w:hAnsiTheme="minorHAnsi" w:cstheme="minorHAnsi"/>
              </w:rPr>
            </w:pPr>
            <w:r w:rsidRPr="00545923">
              <w:rPr>
                <w:rFonts w:asciiTheme="minorHAnsi" w:hAnsiTheme="minorHAnsi" w:cstheme="minorHAnsi"/>
              </w:rPr>
              <w:t>12</w:t>
            </w:r>
          </w:p>
        </w:tc>
        <w:tc>
          <w:tcPr>
            <w:tcW w:w="733" w:type="pct"/>
            <w:tcMar>
              <w:top w:w="10" w:type="dxa"/>
              <w:left w:w="10" w:type="dxa"/>
              <w:bottom w:w="0" w:type="dxa"/>
              <w:right w:w="10" w:type="dxa"/>
            </w:tcMar>
            <w:vAlign w:val="center"/>
            <w:hideMark/>
          </w:tcPr>
          <w:p w14:paraId="0783B900" w14:textId="77777777" w:rsidR="00256860" w:rsidRPr="00545923" w:rsidRDefault="00256860" w:rsidP="002B47F0">
            <w:pPr>
              <w:spacing w:before="40" w:after="40"/>
              <w:jc w:val="center"/>
              <w:rPr>
                <w:rFonts w:asciiTheme="minorHAnsi" w:hAnsiTheme="minorHAnsi" w:cstheme="minorHAnsi"/>
              </w:rPr>
            </w:pPr>
            <w:r w:rsidRPr="00545923">
              <w:rPr>
                <w:rFonts w:asciiTheme="minorHAnsi" w:hAnsiTheme="minorHAnsi" w:cstheme="minorHAnsi"/>
              </w:rPr>
              <w:t>8</w:t>
            </w:r>
          </w:p>
        </w:tc>
      </w:tr>
      <w:tr w:rsidR="00256860" w:rsidRPr="009F53C5" w14:paraId="4EF71C42" w14:textId="77777777" w:rsidTr="003A517E">
        <w:trPr>
          <w:trHeight w:val="20"/>
        </w:trPr>
        <w:tc>
          <w:tcPr>
            <w:tcW w:w="1337" w:type="pct"/>
            <w:tcMar>
              <w:top w:w="10" w:type="dxa"/>
              <w:left w:w="10" w:type="dxa"/>
              <w:bottom w:w="0" w:type="dxa"/>
              <w:right w:w="10" w:type="dxa"/>
            </w:tcMar>
            <w:vAlign w:val="center"/>
            <w:hideMark/>
          </w:tcPr>
          <w:p w14:paraId="013220C2" w14:textId="77777777" w:rsidR="00256860" w:rsidRPr="00545923" w:rsidRDefault="00256860" w:rsidP="00AE3ED1">
            <w:pPr>
              <w:spacing w:before="40" w:after="40"/>
              <w:rPr>
                <w:rFonts w:asciiTheme="minorHAnsi" w:hAnsiTheme="minorHAnsi" w:cstheme="minorHAnsi"/>
              </w:rPr>
            </w:pPr>
            <w:r w:rsidRPr="00545923">
              <w:rPr>
                <w:rFonts w:asciiTheme="minorHAnsi" w:hAnsiTheme="minorHAnsi" w:cstheme="minorHAnsi"/>
              </w:rPr>
              <w:t xml:space="preserve">Proportion of dialysis patients transplanted in 2016 </w:t>
            </w:r>
          </w:p>
        </w:tc>
        <w:tc>
          <w:tcPr>
            <w:tcW w:w="732" w:type="pct"/>
            <w:tcMar>
              <w:top w:w="10" w:type="dxa"/>
              <w:left w:w="10" w:type="dxa"/>
              <w:bottom w:w="0" w:type="dxa"/>
              <w:right w:w="10" w:type="dxa"/>
            </w:tcMar>
            <w:vAlign w:val="center"/>
            <w:hideMark/>
          </w:tcPr>
          <w:p w14:paraId="7B1F748F" w14:textId="77777777" w:rsidR="00256860" w:rsidRPr="00545923" w:rsidRDefault="00256860" w:rsidP="002B47F0">
            <w:pPr>
              <w:spacing w:before="40" w:after="40"/>
              <w:jc w:val="center"/>
              <w:rPr>
                <w:rFonts w:asciiTheme="minorHAnsi" w:hAnsiTheme="minorHAnsi" w:cstheme="minorHAnsi"/>
              </w:rPr>
            </w:pPr>
            <w:r w:rsidRPr="00545923">
              <w:rPr>
                <w:rFonts w:asciiTheme="minorHAnsi" w:hAnsiTheme="minorHAnsi" w:cstheme="minorHAnsi"/>
              </w:rPr>
              <w:t>8.25%</w:t>
            </w:r>
          </w:p>
        </w:tc>
        <w:tc>
          <w:tcPr>
            <w:tcW w:w="732" w:type="pct"/>
            <w:tcMar>
              <w:top w:w="10" w:type="dxa"/>
              <w:left w:w="10" w:type="dxa"/>
              <w:bottom w:w="0" w:type="dxa"/>
              <w:right w:w="10" w:type="dxa"/>
            </w:tcMar>
            <w:vAlign w:val="center"/>
            <w:hideMark/>
          </w:tcPr>
          <w:p w14:paraId="00C79A19" w14:textId="77777777" w:rsidR="00256860" w:rsidRPr="00545923" w:rsidRDefault="00256860" w:rsidP="002B47F0">
            <w:pPr>
              <w:spacing w:before="40" w:after="40"/>
              <w:jc w:val="center"/>
              <w:rPr>
                <w:rFonts w:asciiTheme="minorHAnsi" w:hAnsiTheme="minorHAnsi" w:cstheme="minorHAnsi"/>
              </w:rPr>
            </w:pPr>
            <w:r w:rsidRPr="00545923">
              <w:rPr>
                <w:rFonts w:asciiTheme="minorHAnsi" w:hAnsiTheme="minorHAnsi" w:cstheme="minorHAnsi"/>
              </w:rPr>
              <w:t>11.33%</w:t>
            </w:r>
          </w:p>
        </w:tc>
        <w:tc>
          <w:tcPr>
            <w:tcW w:w="732" w:type="pct"/>
            <w:tcMar>
              <w:top w:w="10" w:type="dxa"/>
              <w:left w:w="10" w:type="dxa"/>
              <w:bottom w:w="0" w:type="dxa"/>
              <w:right w:w="10" w:type="dxa"/>
            </w:tcMar>
            <w:vAlign w:val="center"/>
            <w:hideMark/>
          </w:tcPr>
          <w:p w14:paraId="046F71C0" w14:textId="77777777" w:rsidR="00256860" w:rsidRPr="00545923" w:rsidRDefault="00256860" w:rsidP="002B47F0">
            <w:pPr>
              <w:spacing w:before="40" w:after="40"/>
              <w:jc w:val="center"/>
              <w:rPr>
                <w:rFonts w:asciiTheme="minorHAnsi" w:hAnsiTheme="minorHAnsi" w:cstheme="minorHAnsi"/>
              </w:rPr>
            </w:pPr>
            <w:r w:rsidRPr="00545923">
              <w:rPr>
                <w:rFonts w:asciiTheme="minorHAnsi" w:hAnsiTheme="minorHAnsi" w:cstheme="minorHAnsi"/>
              </w:rPr>
              <w:t>8.53%</w:t>
            </w:r>
          </w:p>
        </w:tc>
        <w:tc>
          <w:tcPr>
            <w:tcW w:w="732" w:type="pct"/>
            <w:tcMar>
              <w:top w:w="10" w:type="dxa"/>
              <w:left w:w="10" w:type="dxa"/>
              <w:bottom w:w="0" w:type="dxa"/>
              <w:right w:w="10" w:type="dxa"/>
            </w:tcMar>
            <w:vAlign w:val="center"/>
            <w:hideMark/>
          </w:tcPr>
          <w:p w14:paraId="426B7CDC" w14:textId="77777777" w:rsidR="00256860" w:rsidRPr="00545923" w:rsidRDefault="00256860" w:rsidP="002B47F0">
            <w:pPr>
              <w:spacing w:before="40" w:after="40"/>
              <w:jc w:val="center"/>
              <w:rPr>
                <w:rFonts w:asciiTheme="minorHAnsi" w:hAnsiTheme="minorHAnsi" w:cstheme="minorHAnsi"/>
              </w:rPr>
            </w:pPr>
            <w:r w:rsidRPr="00545923">
              <w:rPr>
                <w:rFonts w:asciiTheme="minorHAnsi" w:hAnsiTheme="minorHAnsi" w:cstheme="minorHAnsi"/>
              </w:rPr>
              <w:t>2.13%</w:t>
            </w:r>
          </w:p>
        </w:tc>
        <w:tc>
          <w:tcPr>
            <w:tcW w:w="733" w:type="pct"/>
            <w:tcMar>
              <w:top w:w="10" w:type="dxa"/>
              <w:left w:w="10" w:type="dxa"/>
              <w:bottom w:w="0" w:type="dxa"/>
              <w:right w:w="10" w:type="dxa"/>
            </w:tcMar>
            <w:vAlign w:val="center"/>
            <w:hideMark/>
          </w:tcPr>
          <w:p w14:paraId="30A1EC68" w14:textId="77777777" w:rsidR="00256860" w:rsidRPr="00EF2596" w:rsidRDefault="00256860" w:rsidP="002B47F0">
            <w:pPr>
              <w:spacing w:before="40" w:after="40"/>
              <w:jc w:val="center"/>
              <w:rPr>
                <w:rFonts w:asciiTheme="minorHAnsi" w:hAnsiTheme="minorHAnsi" w:cstheme="minorHAnsi"/>
              </w:rPr>
            </w:pPr>
            <w:r w:rsidRPr="00545923">
              <w:rPr>
                <w:rFonts w:asciiTheme="minorHAnsi" w:hAnsiTheme="minorHAnsi" w:cstheme="minorHAnsi"/>
              </w:rPr>
              <w:t>5.37%</w:t>
            </w:r>
          </w:p>
        </w:tc>
      </w:tr>
    </w:tbl>
    <w:p w14:paraId="7903FEF1" w14:textId="405CCC8B" w:rsidR="00AD0DDA" w:rsidRDefault="005A5F65" w:rsidP="00C75FAB">
      <w:pPr>
        <w:tabs>
          <w:tab w:val="num" w:pos="720"/>
        </w:tabs>
        <w:spacing w:before="120" w:after="120"/>
        <w:rPr>
          <w:rFonts w:asciiTheme="minorHAnsi" w:hAnsiTheme="minorHAnsi" w:cstheme="minorHAnsi"/>
          <w:sz w:val="24"/>
          <w:szCs w:val="22"/>
          <w:lang w:val="en-GB"/>
        </w:rPr>
      </w:pPr>
      <w:r>
        <w:rPr>
          <w:rFonts w:asciiTheme="minorHAnsi" w:hAnsiTheme="minorHAnsi" w:cstheme="minorHAnsi"/>
          <w:sz w:val="24"/>
          <w:szCs w:val="22"/>
          <w:lang w:val="en-GB"/>
        </w:rPr>
        <w:t xml:space="preserve">As illustrated in </w:t>
      </w:r>
      <w:r w:rsidR="00F30C35">
        <w:rPr>
          <w:rFonts w:asciiTheme="minorHAnsi" w:hAnsiTheme="minorHAnsi" w:cstheme="minorHAnsi"/>
          <w:sz w:val="24"/>
          <w:szCs w:val="22"/>
          <w:lang w:val="en-GB"/>
        </w:rPr>
        <w:fldChar w:fldCharType="begin"/>
      </w:r>
      <w:r w:rsidR="00F30C35">
        <w:rPr>
          <w:rFonts w:asciiTheme="minorHAnsi" w:hAnsiTheme="minorHAnsi" w:cstheme="minorHAnsi"/>
          <w:sz w:val="24"/>
          <w:szCs w:val="22"/>
          <w:lang w:val="en-GB"/>
        </w:rPr>
        <w:instrText xml:space="preserve"> REF _Ref531945440 \h  \* MERGEFORMAT </w:instrText>
      </w:r>
      <w:r w:rsidR="00F30C35">
        <w:rPr>
          <w:rFonts w:asciiTheme="minorHAnsi" w:hAnsiTheme="minorHAnsi" w:cstheme="minorHAnsi"/>
          <w:sz w:val="24"/>
          <w:szCs w:val="22"/>
          <w:lang w:val="en-GB"/>
        </w:rPr>
      </w:r>
      <w:r w:rsidR="00F30C35">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Figure 15</w:t>
      </w:r>
      <w:r w:rsidR="00F30C35">
        <w:rPr>
          <w:rFonts w:asciiTheme="minorHAnsi" w:hAnsiTheme="minorHAnsi" w:cstheme="minorHAnsi"/>
          <w:sz w:val="24"/>
          <w:szCs w:val="22"/>
          <w:lang w:val="en-GB"/>
        </w:rPr>
        <w:fldChar w:fldCharType="end"/>
      </w:r>
      <w:r w:rsidRPr="0068318F">
        <w:rPr>
          <w:rFonts w:asciiTheme="minorHAnsi" w:hAnsiTheme="minorHAnsi" w:cstheme="minorHAnsi"/>
          <w:sz w:val="24"/>
          <w:szCs w:val="22"/>
          <w:lang w:val="en-GB"/>
        </w:rPr>
        <w:t xml:space="preserve"> and </w:t>
      </w:r>
      <w:r w:rsidR="00AD08DD">
        <w:rPr>
          <w:rFonts w:asciiTheme="minorHAnsi" w:hAnsiTheme="minorHAnsi" w:cstheme="minorHAnsi"/>
          <w:sz w:val="24"/>
          <w:szCs w:val="22"/>
          <w:lang w:val="en-GB"/>
        </w:rPr>
        <w:t>Table 10</w:t>
      </w:r>
      <w:r w:rsidR="001D2769" w:rsidRPr="00EF2596">
        <w:rPr>
          <w:rFonts w:asciiTheme="minorHAnsi" w:hAnsiTheme="minorHAnsi" w:cstheme="minorHAnsi"/>
          <w:sz w:val="24"/>
          <w:szCs w:val="22"/>
          <w:lang w:val="en-GB"/>
        </w:rPr>
        <w:t xml:space="preserve">, the Review found that the proportion of dialysis patients transplanted in metropolitan and inner regional areas has increased </w:t>
      </w:r>
      <w:r>
        <w:rPr>
          <w:rFonts w:asciiTheme="minorHAnsi" w:hAnsiTheme="minorHAnsi" w:cstheme="minorHAnsi"/>
          <w:sz w:val="24"/>
          <w:szCs w:val="22"/>
          <w:lang w:val="en-GB"/>
        </w:rPr>
        <w:t>overall</w:t>
      </w:r>
      <w:r w:rsidR="001D2769" w:rsidRPr="00EF2596">
        <w:rPr>
          <w:rFonts w:asciiTheme="minorHAnsi" w:hAnsiTheme="minorHAnsi" w:cstheme="minorHAnsi"/>
          <w:sz w:val="24"/>
          <w:szCs w:val="22"/>
          <w:lang w:val="en-GB"/>
        </w:rPr>
        <w:t xml:space="preserve"> from 2013 </w:t>
      </w:r>
      <w:r w:rsidR="000F0DDF">
        <w:rPr>
          <w:rFonts w:asciiTheme="minorHAnsi" w:hAnsiTheme="minorHAnsi" w:cstheme="minorHAnsi"/>
          <w:sz w:val="24"/>
          <w:szCs w:val="22"/>
          <w:lang w:val="en-GB"/>
        </w:rPr>
        <w:t xml:space="preserve">to </w:t>
      </w:r>
      <w:r w:rsidR="001D2769" w:rsidRPr="00EF2596">
        <w:rPr>
          <w:rFonts w:asciiTheme="minorHAnsi" w:hAnsiTheme="minorHAnsi" w:cstheme="minorHAnsi"/>
          <w:sz w:val="24"/>
          <w:szCs w:val="22"/>
          <w:lang w:val="en-GB"/>
        </w:rPr>
        <w:t>2016</w:t>
      </w:r>
      <w:r w:rsidR="000F0DDF">
        <w:rPr>
          <w:rFonts w:asciiTheme="minorHAnsi" w:hAnsiTheme="minorHAnsi" w:cstheme="minorHAnsi"/>
          <w:sz w:val="24"/>
          <w:szCs w:val="22"/>
          <w:lang w:val="en-GB"/>
        </w:rPr>
        <w:t xml:space="preserve">. By contrast, </w:t>
      </w:r>
      <w:r w:rsidR="001D2769" w:rsidRPr="00EF2596">
        <w:rPr>
          <w:rFonts w:asciiTheme="minorHAnsi" w:hAnsiTheme="minorHAnsi" w:cstheme="minorHAnsi"/>
          <w:sz w:val="24"/>
          <w:szCs w:val="22"/>
          <w:lang w:val="en-GB"/>
        </w:rPr>
        <w:t xml:space="preserve">the transplantation rate has declined in </w:t>
      </w:r>
      <w:r>
        <w:rPr>
          <w:rFonts w:asciiTheme="minorHAnsi" w:hAnsiTheme="minorHAnsi" w:cstheme="minorHAnsi"/>
          <w:sz w:val="24"/>
          <w:szCs w:val="22"/>
          <w:lang w:val="en-GB"/>
        </w:rPr>
        <w:t xml:space="preserve">remote </w:t>
      </w:r>
      <w:r w:rsidR="001D2769" w:rsidRPr="00EF2596">
        <w:rPr>
          <w:rFonts w:asciiTheme="minorHAnsi" w:hAnsiTheme="minorHAnsi" w:cstheme="minorHAnsi"/>
          <w:sz w:val="24"/>
          <w:szCs w:val="22"/>
          <w:lang w:val="en-GB"/>
        </w:rPr>
        <w:t xml:space="preserve">areas </w:t>
      </w:r>
      <w:r w:rsidR="000F0DDF">
        <w:rPr>
          <w:rFonts w:asciiTheme="minorHAnsi" w:hAnsiTheme="minorHAnsi" w:cstheme="minorHAnsi"/>
          <w:sz w:val="24"/>
          <w:szCs w:val="22"/>
          <w:lang w:val="en-GB"/>
        </w:rPr>
        <w:t>over</w:t>
      </w:r>
      <w:r w:rsidR="001D2769" w:rsidRPr="00EF2596">
        <w:rPr>
          <w:rFonts w:asciiTheme="minorHAnsi" w:hAnsiTheme="minorHAnsi" w:cstheme="minorHAnsi"/>
          <w:sz w:val="24"/>
          <w:szCs w:val="22"/>
          <w:lang w:val="en-GB"/>
        </w:rPr>
        <w:t xml:space="preserve"> </w:t>
      </w:r>
      <w:r w:rsidR="00203727" w:rsidRPr="00203727">
        <w:rPr>
          <w:rFonts w:asciiTheme="minorHAnsi" w:hAnsiTheme="minorHAnsi" w:cstheme="minorHAnsi"/>
          <w:sz w:val="24"/>
          <w:szCs w:val="22"/>
          <w:lang w:val="en-GB"/>
        </w:rPr>
        <w:t>the same time period</w:t>
      </w:r>
      <w:r w:rsidRPr="005A5F65">
        <w:rPr>
          <w:rFonts w:asciiTheme="minorHAnsi" w:hAnsiTheme="minorHAnsi" w:cstheme="minorHAnsi"/>
          <w:sz w:val="24"/>
          <w:szCs w:val="22"/>
          <w:lang w:val="en-GB"/>
        </w:rPr>
        <w:t>. Further, t</w:t>
      </w:r>
      <w:r w:rsidR="001D2769" w:rsidRPr="00EF2596">
        <w:rPr>
          <w:rFonts w:asciiTheme="minorHAnsi" w:hAnsiTheme="minorHAnsi" w:cstheme="minorHAnsi"/>
          <w:sz w:val="24"/>
          <w:szCs w:val="22"/>
          <w:lang w:val="en-GB"/>
        </w:rPr>
        <w:t xml:space="preserve">he Review </w:t>
      </w:r>
      <w:r w:rsidRPr="005A5F65">
        <w:rPr>
          <w:rFonts w:asciiTheme="minorHAnsi" w:hAnsiTheme="minorHAnsi" w:cstheme="minorHAnsi"/>
          <w:sz w:val="24"/>
          <w:szCs w:val="22"/>
          <w:lang w:val="en-GB"/>
        </w:rPr>
        <w:t>found that there has been</w:t>
      </w:r>
      <w:r w:rsidR="001D2769" w:rsidRPr="00EF2596">
        <w:rPr>
          <w:rFonts w:asciiTheme="minorHAnsi" w:hAnsiTheme="minorHAnsi" w:cstheme="minorHAnsi"/>
          <w:sz w:val="24"/>
          <w:szCs w:val="22"/>
          <w:lang w:val="en-GB"/>
        </w:rPr>
        <w:t xml:space="preserve"> </w:t>
      </w:r>
      <w:r w:rsidR="000F0DDF">
        <w:rPr>
          <w:rFonts w:asciiTheme="minorHAnsi" w:hAnsiTheme="minorHAnsi" w:cstheme="minorHAnsi"/>
          <w:sz w:val="24"/>
          <w:szCs w:val="22"/>
          <w:lang w:val="en-GB"/>
        </w:rPr>
        <w:t xml:space="preserve">a </w:t>
      </w:r>
      <w:r w:rsidR="001D2769" w:rsidRPr="00EF2596">
        <w:rPr>
          <w:rFonts w:asciiTheme="minorHAnsi" w:hAnsiTheme="minorHAnsi" w:cstheme="minorHAnsi"/>
          <w:sz w:val="24"/>
          <w:szCs w:val="22"/>
          <w:lang w:val="en-GB"/>
        </w:rPr>
        <w:t>growth in dialysis patients between 2013 and 2016</w:t>
      </w:r>
      <w:r>
        <w:rPr>
          <w:rFonts w:asciiTheme="minorHAnsi" w:hAnsiTheme="minorHAnsi" w:cstheme="minorHAnsi"/>
          <w:sz w:val="24"/>
          <w:szCs w:val="22"/>
          <w:lang w:val="en-GB"/>
        </w:rPr>
        <w:t>, yet</w:t>
      </w:r>
      <w:r w:rsidR="001D2769" w:rsidRPr="00EF2596">
        <w:rPr>
          <w:rFonts w:asciiTheme="minorHAnsi" w:hAnsiTheme="minorHAnsi" w:cstheme="minorHAnsi"/>
          <w:sz w:val="24"/>
          <w:szCs w:val="22"/>
          <w:lang w:val="en-GB"/>
        </w:rPr>
        <w:t xml:space="preserve"> the gr</w:t>
      </w:r>
      <w:r w:rsidRPr="005A5F65">
        <w:rPr>
          <w:rFonts w:asciiTheme="minorHAnsi" w:hAnsiTheme="minorHAnsi" w:cstheme="minorHAnsi"/>
          <w:sz w:val="24"/>
          <w:szCs w:val="22"/>
          <w:lang w:val="en-GB"/>
        </w:rPr>
        <w:t>owth rate for transplantation has been</w:t>
      </w:r>
      <w:r w:rsidR="001D2769" w:rsidRPr="00EF2596">
        <w:rPr>
          <w:rFonts w:asciiTheme="minorHAnsi" w:hAnsiTheme="minorHAnsi" w:cstheme="minorHAnsi"/>
          <w:sz w:val="24"/>
          <w:szCs w:val="22"/>
          <w:lang w:val="en-GB"/>
        </w:rPr>
        <w:t xml:space="preserve"> inconsistent and variable. </w:t>
      </w:r>
      <w:r w:rsidRPr="005A5F65">
        <w:rPr>
          <w:rFonts w:asciiTheme="minorHAnsi" w:hAnsiTheme="minorHAnsi" w:cstheme="minorHAnsi"/>
          <w:sz w:val="24"/>
          <w:szCs w:val="22"/>
          <w:lang w:val="en-GB"/>
        </w:rPr>
        <w:t xml:space="preserve">As demonstrated </w:t>
      </w:r>
      <w:r w:rsidRPr="00953C05">
        <w:rPr>
          <w:rFonts w:asciiTheme="minorHAnsi" w:hAnsiTheme="minorHAnsi" w:cstheme="minorHAnsi"/>
          <w:sz w:val="24"/>
          <w:szCs w:val="22"/>
          <w:lang w:val="en-GB"/>
        </w:rPr>
        <w:t xml:space="preserve">in </w:t>
      </w:r>
      <w:r w:rsidRPr="00953C05">
        <w:rPr>
          <w:rFonts w:asciiTheme="minorHAnsi" w:hAnsiTheme="minorHAnsi" w:cstheme="minorHAnsi"/>
          <w:sz w:val="24"/>
          <w:szCs w:val="22"/>
          <w:lang w:val="en-GB"/>
        </w:rPr>
        <w:fldChar w:fldCharType="begin"/>
      </w:r>
      <w:r w:rsidRPr="00953C05">
        <w:rPr>
          <w:rFonts w:asciiTheme="minorHAnsi" w:hAnsiTheme="minorHAnsi" w:cstheme="minorHAnsi"/>
          <w:sz w:val="24"/>
          <w:szCs w:val="22"/>
          <w:lang w:val="en-GB"/>
        </w:rPr>
        <w:instrText xml:space="preserve"> REF _Ref529778571 \h  \* MERGEFORMAT </w:instrText>
      </w:r>
      <w:r w:rsidRPr="00953C05">
        <w:rPr>
          <w:rFonts w:asciiTheme="minorHAnsi" w:hAnsiTheme="minorHAnsi" w:cstheme="minorHAnsi"/>
          <w:sz w:val="24"/>
          <w:szCs w:val="22"/>
          <w:lang w:val="en-GB"/>
        </w:rPr>
      </w:r>
      <w:r w:rsidRPr="00953C05">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Table 11</w:t>
      </w:r>
      <w:r w:rsidRPr="00953C05">
        <w:rPr>
          <w:rFonts w:asciiTheme="minorHAnsi" w:hAnsiTheme="minorHAnsi" w:cstheme="minorHAnsi"/>
          <w:sz w:val="24"/>
          <w:szCs w:val="22"/>
          <w:lang w:val="en-GB"/>
        </w:rPr>
        <w:fldChar w:fldCharType="end"/>
      </w:r>
      <w:r w:rsidRPr="00953C05">
        <w:rPr>
          <w:rFonts w:asciiTheme="minorHAnsi" w:hAnsiTheme="minorHAnsi" w:cstheme="minorHAnsi"/>
          <w:sz w:val="24"/>
          <w:szCs w:val="22"/>
          <w:lang w:val="en-GB"/>
        </w:rPr>
        <w:t xml:space="preserve"> and </w:t>
      </w:r>
      <w:r w:rsidR="00B47838">
        <w:rPr>
          <w:rFonts w:asciiTheme="minorHAnsi" w:hAnsiTheme="minorHAnsi" w:cstheme="minorHAnsi"/>
          <w:sz w:val="24"/>
          <w:szCs w:val="22"/>
          <w:lang w:val="en-GB"/>
        </w:rPr>
        <w:t>Table 12</w:t>
      </w:r>
      <w:r w:rsidR="001D2769" w:rsidRPr="00953C05">
        <w:rPr>
          <w:rFonts w:asciiTheme="minorHAnsi" w:hAnsiTheme="minorHAnsi" w:cstheme="minorHAnsi"/>
          <w:sz w:val="24"/>
          <w:szCs w:val="22"/>
          <w:lang w:val="en-GB"/>
        </w:rPr>
        <w:t xml:space="preserve"> the</w:t>
      </w:r>
      <w:r w:rsidR="001D2769" w:rsidRPr="00EF2596">
        <w:rPr>
          <w:rFonts w:asciiTheme="minorHAnsi" w:hAnsiTheme="minorHAnsi" w:cstheme="minorHAnsi"/>
          <w:sz w:val="24"/>
          <w:szCs w:val="22"/>
          <w:lang w:val="en-GB"/>
        </w:rPr>
        <w:t xml:space="preserve"> year</w:t>
      </w:r>
      <w:r w:rsidR="000F0DDF">
        <w:rPr>
          <w:rFonts w:asciiTheme="minorHAnsi" w:hAnsiTheme="minorHAnsi" w:cstheme="minorHAnsi"/>
          <w:sz w:val="24"/>
          <w:szCs w:val="22"/>
          <w:lang w:val="en-GB"/>
        </w:rPr>
        <w:t>-</w:t>
      </w:r>
      <w:r w:rsidR="001D2769" w:rsidRPr="00EF2596">
        <w:rPr>
          <w:rFonts w:asciiTheme="minorHAnsi" w:hAnsiTheme="minorHAnsi" w:cstheme="minorHAnsi"/>
          <w:sz w:val="24"/>
          <w:szCs w:val="22"/>
          <w:lang w:val="en-GB"/>
        </w:rPr>
        <w:t>on</w:t>
      </w:r>
      <w:r w:rsidR="000F0DDF">
        <w:rPr>
          <w:rFonts w:asciiTheme="minorHAnsi" w:hAnsiTheme="minorHAnsi" w:cstheme="minorHAnsi"/>
          <w:sz w:val="24"/>
          <w:szCs w:val="22"/>
          <w:lang w:val="en-GB"/>
        </w:rPr>
        <w:t>-</w:t>
      </w:r>
      <w:r w:rsidR="001D2769" w:rsidRPr="00EF2596">
        <w:rPr>
          <w:rFonts w:asciiTheme="minorHAnsi" w:hAnsiTheme="minorHAnsi" w:cstheme="minorHAnsi"/>
          <w:sz w:val="24"/>
          <w:szCs w:val="22"/>
          <w:lang w:val="en-GB"/>
        </w:rPr>
        <w:t>year growth for dialysis and transplantation from 2013 to 2016</w:t>
      </w:r>
      <w:r>
        <w:rPr>
          <w:rFonts w:asciiTheme="minorHAnsi" w:hAnsiTheme="minorHAnsi" w:cstheme="minorHAnsi"/>
          <w:sz w:val="24"/>
          <w:szCs w:val="22"/>
          <w:lang w:val="en-GB"/>
        </w:rPr>
        <w:t xml:space="preserve"> has not been proportionate, illustrating an increasing unmet demand across inner and outer regional areas</w:t>
      </w:r>
      <w:r w:rsidR="00C40AF1">
        <w:rPr>
          <w:rFonts w:asciiTheme="minorHAnsi" w:hAnsiTheme="minorHAnsi" w:cstheme="minorHAnsi"/>
          <w:sz w:val="24"/>
          <w:szCs w:val="22"/>
          <w:lang w:val="en-GB"/>
        </w:rPr>
        <w:t>,</w:t>
      </w:r>
      <w:r>
        <w:rPr>
          <w:rFonts w:asciiTheme="minorHAnsi" w:hAnsiTheme="minorHAnsi" w:cstheme="minorHAnsi"/>
          <w:sz w:val="24"/>
          <w:szCs w:val="22"/>
          <w:lang w:val="en-GB"/>
        </w:rPr>
        <w:t xml:space="preserve"> as well as remote and very remote areas.</w:t>
      </w:r>
      <w:r w:rsidR="001D2769" w:rsidRPr="00EF2596">
        <w:rPr>
          <w:rFonts w:asciiTheme="minorHAnsi" w:hAnsiTheme="minorHAnsi" w:cstheme="minorHAnsi"/>
          <w:sz w:val="24"/>
          <w:szCs w:val="22"/>
          <w:lang w:val="en-GB"/>
        </w:rPr>
        <w:t xml:space="preserve"> A national strategy is required to enable an increase </w:t>
      </w:r>
      <w:r w:rsidR="00C40AF1">
        <w:rPr>
          <w:rFonts w:asciiTheme="minorHAnsi" w:hAnsiTheme="minorHAnsi" w:cstheme="minorHAnsi"/>
          <w:sz w:val="24"/>
          <w:szCs w:val="22"/>
          <w:lang w:val="en-GB"/>
        </w:rPr>
        <w:t>in</w:t>
      </w:r>
      <w:r w:rsidR="001D2769" w:rsidRPr="00EF2596">
        <w:rPr>
          <w:rFonts w:asciiTheme="minorHAnsi" w:hAnsiTheme="minorHAnsi" w:cstheme="minorHAnsi"/>
          <w:sz w:val="24"/>
          <w:szCs w:val="22"/>
          <w:lang w:val="en-GB"/>
        </w:rPr>
        <w:t xml:space="preserve"> transplantation rates in rural and remote Australia to account for the increasing demand for transplantation in the future. </w:t>
      </w:r>
      <w:bookmarkStart w:id="605" w:name="_Ref529777881"/>
    </w:p>
    <w:p w14:paraId="29586421" w14:textId="77777777" w:rsidR="001D2769" w:rsidRPr="00AD0DDA" w:rsidRDefault="00203727" w:rsidP="007C1C9B">
      <w:pPr>
        <w:keepNext/>
        <w:keepLines/>
        <w:tabs>
          <w:tab w:val="num" w:pos="720"/>
        </w:tabs>
        <w:spacing w:before="120" w:after="120"/>
        <w:rPr>
          <w:rFonts w:asciiTheme="minorHAnsi" w:hAnsiTheme="minorHAnsi" w:cstheme="minorHAnsi"/>
          <w:color w:val="808080"/>
        </w:rPr>
      </w:pPr>
      <w:bookmarkStart w:id="606" w:name="_Ref531945440"/>
      <w:r w:rsidRPr="00AD0DDA">
        <w:rPr>
          <w:rFonts w:asciiTheme="minorHAnsi" w:hAnsiTheme="minorHAnsi" w:cstheme="minorHAnsi"/>
          <w:bCs/>
          <w:color w:val="808080"/>
        </w:rPr>
        <w:t xml:space="preserve">Figure </w:t>
      </w:r>
      <w:r w:rsidRPr="00AD0DDA">
        <w:rPr>
          <w:rFonts w:asciiTheme="minorHAnsi" w:hAnsiTheme="minorHAnsi" w:cstheme="minorHAnsi"/>
          <w:bCs/>
          <w:color w:val="808080"/>
        </w:rPr>
        <w:fldChar w:fldCharType="begin"/>
      </w:r>
      <w:r w:rsidRPr="00AD0DDA">
        <w:rPr>
          <w:rFonts w:asciiTheme="minorHAnsi" w:hAnsiTheme="minorHAnsi" w:cstheme="minorHAnsi"/>
          <w:bCs/>
          <w:color w:val="808080"/>
        </w:rPr>
        <w:instrText xml:space="preserve"> SEQ Figure \* ARABIC </w:instrText>
      </w:r>
      <w:r w:rsidRPr="00AD0DDA">
        <w:rPr>
          <w:rFonts w:asciiTheme="minorHAnsi" w:hAnsiTheme="minorHAnsi" w:cstheme="minorHAnsi"/>
          <w:bCs/>
          <w:color w:val="808080"/>
        </w:rPr>
        <w:fldChar w:fldCharType="separate"/>
      </w:r>
      <w:r w:rsidR="00A04048">
        <w:rPr>
          <w:rFonts w:asciiTheme="minorHAnsi" w:hAnsiTheme="minorHAnsi" w:cstheme="minorHAnsi"/>
          <w:bCs/>
          <w:noProof/>
          <w:color w:val="808080"/>
        </w:rPr>
        <w:t>15</w:t>
      </w:r>
      <w:r w:rsidRPr="00AD0DDA">
        <w:rPr>
          <w:rFonts w:asciiTheme="minorHAnsi" w:hAnsiTheme="minorHAnsi" w:cstheme="minorHAnsi"/>
          <w:bCs/>
          <w:color w:val="808080"/>
        </w:rPr>
        <w:fldChar w:fldCharType="end"/>
      </w:r>
      <w:bookmarkEnd w:id="605"/>
      <w:bookmarkEnd w:id="606"/>
      <w:r w:rsidR="001D2769" w:rsidRPr="00AD0DDA">
        <w:rPr>
          <w:rFonts w:asciiTheme="minorHAnsi" w:hAnsiTheme="minorHAnsi" w:cstheme="minorHAnsi"/>
          <w:bCs/>
          <w:color w:val="808080"/>
        </w:rPr>
        <w:t xml:space="preserve">: National proportion of dialysis patients that were transplanted during 2013 – 2016 by remoteness categories, SOURCE: </w:t>
      </w:r>
      <w:r w:rsidR="00AD08DD" w:rsidRPr="00AD0DDA">
        <w:rPr>
          <w:rFonts w:asciiTheme="minorHAnsi" w:hAnsiTheme="minorHAnsi" w:cstheme="minorHAnsi"/>
          <w:bCs/>
          <w:color w:val="808080" w:themeColor="background1" w:themeShade="80"/>
        </w:rPr>
        <w:t>ANZDATA</w:t>
      </w:r>
      <w:r w:rsidR="00CE5FC6" w:rsidRPr="00AD0DDA">
        <w:rPr>
          <w:rFonts w:asciiTheme="minorHAnsi" w:hAnsiTheme="minorHAnsi"/>
          <w:color w:val="808080" w:themeColor="background1" w:themeShade="80"/>
          <w:vertAlign w:val="superscript"/>
        </w:rPr>
        <w:footnoteReference w:id="94"/>
      </w:r>
    </w:p>
    <w:p w14:paraId="3F061424" w14:textId="77777777" w:rsidR="001D2769" w:rsidRPr="00EF2596" w:rsidRDefault="002565CF" w:rsidP="007C1C9B">
      <w:pPr>
        <w:keepNext/>
        <w:keepLines/>
        <w:tabs>
          <w:tab w:val="num" w:pos="720"/>
        </w:tabs>
        <w:spacing w:after="120"/>
        <w:rPr>
          <w:rFonts w:asciiTheme="minorHAnsi" w:hAnsiTheme="minorHAnsi" w:cstheme="minorHAnsi"/>
          <w:szCs w:val="22"/>
          <w:lang w:val="en-GB"/>
        </w:rPr>
      </w:pPr>
      <w:r w:rsidRPr="002565CF">
        <w:rPr>
          <w:noProof/>
          <w:lang w:eastAsia="en-AU"/>
        </w:rPr>
        <w:drawing>
          <wp:inline distT="0" distB="0" distL="0" distR="0" wp14:anchorId="21474A3D" wp14:editId="4B51FCA5">
            <wp:extent cx="5828306" cy="2945682"/>
            <wp:effectExtent l="0" t="0" r="0" b="0"/>
            <wp:docPr id="4097" name="Picture 4097" descr="Figure 15 is a line graph showing the National proportion of dialysis patients that were transplanted during 2013 – 2016 by remoteness categ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6568" cy="2954912"/>
                    </a:xfrm>
                    <a:prstGeom prst="rect">
                      <a:avLst/>
                    </a:prstGeom>
                    <a:noFill/>
                    <a:ln>
                      <a:noFill/>
                    </a:ln>
                  </pic:spPr>
                </pic:pic>
              </a:graphicData>
            </a:graphic>
          </wp:inline>
        </w:drawing>
      </w:r>
    </w:p>
    <w:p w14:paraId="0D2E56DE" w14:textId="77777777" w:rsidR="001D2769" w:rsidRPr="00EF2596" w:rsidRDefault="00203727" w:rsidP="003A517E">
      <w:pPr>
        <w:pStyle w:val="Caption"/>
        <w:spacing w:after="120"/>
        <w:rPr>
          <w:rFonts w:asciiTheme="minorHAnsi" w:hAnsiTheme="minorHAnsi" w:cstheme="minorHAnsi"/>
          <w:color w:val="808080"/>
          <w:sz w:val="20"/>
        </w:rPr>
      </w:pPr>
      <w:bookmarkStart w:id="607" w:name="_Ref529778034"/>
      <w:r w:rsidRPr="00EF2596">
        <w:rPr>
          <w:rFonts w:asciiTheme="minorHAnsi" w:hAnsiTheme="minorHAnsi" w:cstheme="minorHAnsi"/>
          <w:b w:val="0"/>
          <w:color w:val="808080"/>
          <w:sz w:val="20"/>
        </w:rPr>
        <w:t xml:space="preserve">Table </w:t>
      </w:r>
      <w:r w:rsidRPr="00EF2596">
        <w:rPr>
          <w:rFonts w:asciiTheme="minorHAnsi" w:hAnsiTheme="minorHAnsi" w:cstheme="minorHAnsi"/>
          <w:b w:val="0"/>
          <w:color w:val="808080"/>
          <w:sz w:val="20"/>
        </w:rPr>
        <w:fldChar w:fldCharType="begin"/>
      </w:r>
      <w:r w:rsidRPr="00EF2596">
        <w:rPr>
          <w:rFonts w:asciiTheme="minorHAnsi" w:hAnsiTheme="minorHAnsi" w:cstheme="minorHAnsi"/>
          <w:b w:val="0"/>
          <w:color w:val="808080"/>
          <w:sz w:val="20"/>
        </w:rPr>
        <w:instrText xml:space="preserve"> SEQ Table \* ARABIC </w:instrText>
      </w:r>
      <w:r w:rsidRPr="00EF2596">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10</w:t>
      </w:r>
      <w:r w:rsidRPr="00EF2596">
        <w:rPr>
          <w:rFonts w:asciiTheme="minorHAnsi" w:hAnsiTheme="minorHAnsi" w:cstheme="minorHAnsi"/>
          <w:b w:val="0"/>
          <w:color w:val="808080"/>
          <w:sz w:val="20"/>
        </w:rPr>
        <w:fldChar w:fldCharType="end"/>
      </w:r>
      <w:bookmarkEnd w:id="607"/>
      <w:r w:rsidR="001D2769" w:rsidRPr="00EF2596">
        <w:rPr>
          <w:rFonts w:asciiTheme="minorHAnsi" w:hAnsiTheme="minorHAnsi" w:cstheme="minorHAnsi"/>
          <w:b w:val="0"/>
          <w:color w:val="808080"/>
          <w:sz w:val="20"/>
        </w:rPr>
        <w:t xml:space="preserve">: National proportion of dialysis patients that were transplanted during 2013 – 2016 by remoteness categories, SOURCE: </w:t>
      </w:r>
      <w:r w:rsidR="00AD08DD">
        <w:rPr>
          <w:rFonts w:asciiTheme="minorHAnsi" w:hAnsiTheme="minorHAnsi" w:cstheme="minorHAnsi"/>
          <w:b w:val="0"/>
          <w:color w:val="808080"/>
          <w:sz w:val="20"/>
        </w:rPr>
        <w:t>ANZDATA</w:t>
      </w:r>
      <w:r w:rsidR="001D2769" w:rsidRPr="00EF2596">
        <w:rPr>
          <w:rStyle w:val="FootnoteReference"/>
          <w:rFonts w:cstheme="minorHAnsi"/>
          <w:b w:val="0"/>
          <w:color w:val="808080"/>
        </w:rPr>
        <w:footnoteReference w:id="95"/>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600" w:firstRow="0" w:lastRow="0" w:firstColumn="0" w:lastColumn="0" w:noHBand="1" w:noVBand="1"/>
        <w:tblDescription w:val="Table 10 is a list of National proportion of dialysis patients that were transplanted during 2013 – 2016 by remoteness categories. This table contains 6 heading columns: column 1. year, 2. major cities, 3. inner regional, 4. outer regional, 5. remote and 6. very remote."/>
      </w:tblPr>
      <w:tblGrid>
        <w:gridCol w:w="1601"/>
        <w:gridCol w:w="1601"/>
        <w:gridCol w:w="1601"/>
        <w:gridCol w:w="1601"/>
        <w:gridCol w:w="1601"/>
        <w:gridCol w:w="1600"/>
      </w:tblGrid>
      <w:tr w:rsidR="001D2769" w:rsidRPr="001D2769" w14:paraId="6462FE29" w14:textId="77777777" w:rsidTr="008E083E">
        <w:trPr>
          <w:trHeight w:val="20"/>
          <w:jc w:val="center"/>
        </w:trPr>
        <w:tc>
          <w:tcPr>
            <w:tcW w:w="833" w:type="pct"/>
            <w:shd w:val="clear" w:color="auto" w:fill="595959" w:themeFill="text1" w:themeFillTint="A6"/>
            <w:tcMar>
              <w:top w:w="10" w:type="dxa"/>
              <w:left w:w="10" w:type="dxa"/>
              <w:bottom w:w="0" w:type="dxa"/>
              <w:right w:w="10" w:type="dxa"/>
            </w:tcMar>
            <w:vAlign w:val="bottom"/>
            <w:hideMark/>
          </w:tcPr>
          <w:p w14:paraId="45C74BDA" w14:textId="77777777" w:rsidR="001D2769" w:rsidRPr="00EF2596" w:rsidRDefault="006F704B" w:rsidP="003A517E">
            <w:pPr>
              <w:tabs>
                <w:tab w:val="num" w:pos="720"/>
              </w:tabs>
              <w:spacing w:before="40" w:after="40"/>
              <w:ind w:left="125"/>
              <w:rPr>
                <w:rFonts w:asciiTheme="minorHAnsi" w:hAnsiTheme="minorHAnsi" w:cstheme="minorHAnsi"/>
                <w:b/>
                <w:color w:val="FFFFFF" w:themeColor="background1"/>
                <w:szCs w:val="22"/>
              </w:rPr>
            </w:pPr>
            <w:r>
              <w:rPr>
                <w:rFonts w:asciiTheme="minorHAnsi" w:hAnsiTheme="minorHAnsi" w:cstheme="minorHAnsi"/>
                <w:b/>
                <w:color w:val="FFFFFF" w:themeColor="background1"/>
                <w:szCs w:val="22"/>
              </w:rPr>
              <w:t xml:space="preserve">Year </w:t>
            </w:r>
          </w:p>
        </w:tc>
        <w:tc>
          <w:tcPr>
            <w:tcW w:w="833" w:type="pct"/>
            <w:shd w:val="clear" w:color="auto" w:fill="595959" w:themeFill="text1" w:themeFillTint="A6"/>
            <w:tcMar>
              <w:top w:w="10" w:type="dxa"/>
              <w:left w:w="10" w:type="dxa"/>
              <w:bottom w:w="0" w:type="dxa"/>
              <w:right w:w="10" w:type="dxa"/>
            </w:tcMar>
            <w:vAlign w:val="bottom"/>
            <w:hideMark/>
          </w:tcPr>
          <w:p w14:paraId="09B5D5CC" w14:textId="77777777" w:rsidR="001D2769" w:rsidRPr="00EF2596" w:rsidRDefault="001D2769" w:rsidP="008E083E">
            <w:pPr>
              <w:tabs>
                <w:tab w:val="num" w:pos="720"/>
              </w:tabs>
              <w:spacing w:before="40" w:after="40"/>
              <w:jc w:val="center"/>
              <w:rPr>
                <w:rFonts w:asciiTheme="minorHAnsi" w:hAnsiTheme="minorHAnsi" w:cstheme="minorHAnsi"/>
                <w:b/>
                <w:color w:val="FFFFFF" w:themeColor="background1"/>
                <w:szCs w:val="22"/>
              </w:rPr>
            </w:pPr>
            <w:r w:rsidRPr="00EF2596">
              <w:rPr>
                <w:rFonts w:asciiTheme="minorHAnsi" w:hAnsiTheme="minorHAnsi" w:cstheme="minorHAnsi"/>
                <w:b/>
                <w:color w:val="FFFFFF" w:themeColor="background1"/>
                <w:szCs w:val="22"/>
              </w:rPr>
              <w:t>Major cities</w:t>
            </w:r>
          </w:p>
        </w:tc>
        <w:tc>
          <w:tcPr>
            <w:tcW w:w="833" w:type="pct"/>
            <w:shd w:val="clear" w:color="auto" w:fill="595959" w:themeFill="text1" w:themeFillTint="A6"/>
            <w:tcMar>
              <w:top w:w="10" w:type="dxa"/>
              <w:left w:w="10" w:type="dxa"/>
              <w:bottom w:w="0" w:type="dxa"/>
              <w:right w:w="10" w:type="dxa"/>
            </w:tcMar>
            <w:vAlign w:val="bottom"/>
            <w:hideMark/>
          </w:tcPr>
          <w:p w14:paraId="1FD7A04B" w14:textId="77777777" w:rsidR="001D2769" w:rsidRPr="00EF2596" w:rsidRDefault="001D2769" w:rsidP="008E083E">
            <w:pPr>
              <w:tabs>
                <w:tab w:val="num" w:pos="720"/>
              </w:tabs>
              <w:spacing w:before="40" w:after="40"/>
              <w:jc w:val="center"/>
              <w:rPr>
                <w:rFonts w:asciiTheme="minorHAnsi" w:hAnsiTheme="minorHAnsi" w:cstheme="minorHAnsi"/>
                <w:b/>
                <w:color w:val="FFFFFF" w:themeColor="background1"/>
                <w:szCs w:val="22"/>
              </w:rPr>
            </w:pPr>
            <w:r w:rsidRPr="00EF2596">
              <w:rPr>
                <w:rFonts w:asciiTheme="minorHAnsi" w:hAnsiTheme="minorHAnsi" w:cstheme="minorHAnsi"/>
                <w:b/>
                <w:color w:val="FFFFFF" w:themeColor="background1"/>
                <w:szCs w:val="22"/>
              </w:rPr>
              <w:t>Inner regional</w:t>
            </w:r>
          </w:p>
        </w:tc>
        <w:tc>
          <w:tcPr>
            <w:tcW w:w="833" w:type="pct"/>
            <w:shd w:val="clear" w:color="auto" w:fill="595959" w:themeFill="text1" w:themeFillTint="A6"/>
            <w:tcMar>
              <w:top w:w="10" w:type="dxa"/>
              <w:left w:w="10" w:type="dxa"/>
              <w:bottom w:w="0" w:type="dxa"/>
              <w:right w:w="10" w:type="dxa"/>
            </w:tcMar>
            <w:vAlign w:val="bottom"/>
            <w:hideMark/>
          </w:tcPr>
          <w:p w14:paraId="2E2D2507" w14:textId="77777777" w:rsidR="001D2769" w:rsidRPr="00EF2596" w:rsidRDefault="001D2769" w:rsidP="008E083E">
            <w:pPr>
              <w:tabs>
                <w:tab w:val="num" w:pos="720"/>
              </w:tabs>
              <w:spacing w:before="40" w:after="40"/>
              <w:jc w:val="center"/>
              <w:rPr>
                <w:rFonts w:asciiTheme="minorHAnsi" w:hAnsiTheme="minorHAnsi" w:cstheme="minorHAnsi"/>
                <w:b/>
                <w:color w:val="FFFFFF" w:themeColor="background1"/>
                <w:szCs w:val="22"/>
              </w:rPr>
            </w:pPr>
            <w:r w:rsidRPr="00EF2596">
              <w:rPr>
                <w:rFonts w:asciiTheme="minorHAnsi" w:hAnsiTheme="minorHAnsi" w:cstheme="minorHAnsi"/>
                <w:b/>
                <w:color w:val="FFFFFF" w:themeColor="background1"/>
                <w:szCs w:val="22"/>
              </w:rPr>
              <w:t>Outer regional</w:t>
            </w:r>
          </w:p>
        </w:tc>
        <w:tc>
          <w:tcPr>
            <w:tcW w:w="833" w:type="pct"/>
            <w:shd w:val="clear" w:color="auto" w:fill="595959" w:themeFill="text1" w:themeFillTint="A6"/>
            <w:tcMar>
              <w:top w:w="10" w:type="dxa"/>
              <w:left w:w="10" w:type="dxa"/>
              <w:bottom w:w="0" w:type="dxa"/>
              <w:right w:w="10" w:type="dxa"/>
            </w:tcMar>
            <w:vAlign w:val="bottom"/>
            <w:hideMark/>
          </w:tcPr>
          <w:p w14:paraId="14F257D6" w14:textId="77777777" w:rsidR="001D2769" w:rsidRPr="00EF2596" w:rsidRDefault="001D2769" w:rsidP="008E083E">
            <w:pPr>
              <w:tabs>
                <w:tab w:val="num" w:pos="720"/>
              </w:tabs>
              <w:spacing w:before="40" w:after="40"/>
              <w:jc w:val="center"/>
              <w:rPr>
                <w:rFonts w:asciiTheme="minorHAnsi" w:hAnsiTheme="minorHAnsi" w:cstheme="minorHAnsi"/>
                <w:b/>
                <w:color w:val="FFFFFF" w:themeColor="background1"/>
                <w:szCs w:val="22"/>
              </w:rPr>
            </w:pPr>
            <w:r w:rsidRPr="00EF2596">
              <w:rPr>
                <w:rFonts w:asciiTheme="minorHAnsi" w:hAnsiTheme="minorHAnsi" w:cstheme="minorHAnsi"/>
                <w:b/>
                <w:color w:val="FFFFFF" w:themeColor="background1"/>
                <w:szCs w:val="22"/>
              </w:rPr>
              <w:t>Remote</w:t>
            </w:r>
          </w:p>
        </w:tc>
        <w:tc>
          <w:tcPr>
            <w:tcW w:w="833" w:type="pct"/>
            <w:shd w:val="clear" w:color="auto" w:fill="595959" w:themeFill="text1" w:themeFillTint="A6"/>
            <w:tcMar>
              <w:top w:w="10" w:type="dxa"/>
              <w:left w:w="10" w:type="dxa"/>
              <w:bottom w:w="0" w:type="dxa"/>
              <w:right w:w="10" w:type="dxa"/>
            </w:tcMar>
            <w:vAlign w:val="bottom"/>
            <w:hideMark/>
          </w:tcPr>
          <w:p w14:paraId="30205B80" w14:textId="77777777" w:rsidR="001D2769" w:rsidRPr="00EF2596" w:rsidRDefault="00636B36" w:rsidP="008E083E">
            <w:pPr>
              <w:tabs>
                <w:tab w:val="num" w:pos="720"/>
              </w:tabs>
              <w:spacing w:before="40" w:after="40"/>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szCs w:val="22"/>
              </w:rPr>
              <w:t>V</w:t>
            </w:r>
            <w:r w:rsidR="001D2769" w:rsidRPr="00EF2596">
              <w:rPr>
                <w:rFonts w:asciiTheme="minorHAnsi" w:hAnsiTheme="minorHAnsi" w:cstheme="minorHAnsi"/>
                <w:b/>
                <w:color w:val="FFFFFF" w:themeColor="background1"/>
                <w:szCs w:val="22"/>
              </w:rPr>
              <w:t>ery remote</w:t>
            </w:r>
          </w:p>
        </w:tc>
      </w:tr>
      <w:tr w:rsidR="001D2769" w:rsidRPr="001D2769" w14:paraId="4037BA1F" w14:textId="77777777" w:rsidTr="008E083E">
        <w:trPr>
          <w:trHeight w:val="20"/>
          <w:jc w:val="center"/>
        </w:trPr>
        <w:tc>
          <w:tcPr>
            <w:tcW w:w="833" w:type="pct"/>
            <w:shd w:val="clear" w:color="auto" w:fill="auto"/>
            <w:tcMar>
              <w:top w:w="10" w:type="dxa"/>
              <w:left w:w="10" w:type="dxa"/>
              <w:bottom w:w="0" w:type="dxa"/>
              <w:right w:w="10" w:type="dxa"/>
            </w:tcMar>
            <w:vAlign w:val="bottom"/>
            <w:hideMark/>
          </w:tcPr>
          <w:p w14:paraId="44BD61BB" w14:textId="77777777" w:rsidR="001D2769" w:rsidRPr="00EF2596" w:rsidRDefault="001D2769" w:rsidP="003A517E">
            <w:pPr>
              <w:tabs>
                <w:tab w:val="num" w:pos="720"/>
              </w:tabs>
              <w:spacing w:before="40" w:after="40"/>
              <w:ind w:left="125"/>
              <w:rPr>
                <w:rFonts w:asciiTheme="minorHAnsi" w:hAnsiTheme="minorHAnsi" w:cstheme="minorHAnsi"/>
                <w:szCs w:val="22"/>
              </w:rPr>
            </w:pPr>
            <w:r w:rsidRPr="00EF2596">
              <w:rPr>
                <w:rFonts w:asciiTheme="minorHAnsi" w:hAnsiTheme="minorHAnsi" w:cstheme="minorHAnsi"/>
                <w:szCs w:val="22"/>
              </w:rPr>
              <w:t>2013</w:t>
            </w:r>
          </w:p>
        </w:tc>
        <w:tc>
          <w:tcPr>
            <w:tcW w:w="833" w:type="pct"/>
            <w:shd w:val="clear" w:color="auto" w:fill="auto"/>
            <w:tcMar>
              <w:top w:w="10" w:type="dxa"/>
              <w:left w:w="10" w:type="dxa"/>
              <w:bottom w:w="0" w:type="dxa"/>
              <w:right w:w="10" w:type="dxa"/>
            </w:tcMar>
            <w:vAlign w:val="bottom"/>
            <w:hideMark/>
          </w:tcPr>
          <w:p w14:paraId="305B1FEC"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7.10%</w:t>
            </w:r>
          </w:p>
        </w:tc>
        <w:tc>
          <w:tcPr>
            <w:tcW w:w="833" w:type="pct"/>
            <w:shd w:val="clear" w:color="auto" w:fill="auto"/>
            <w:tcMar>
              <w:top w:w="10" w:type="dxa"/>
              <w:left w:w="10" w:type="dxa"/>
              <w:bottom w:w="0" w:type="dxa"/>
              <w:right w:w="10" w:type="dxa"/>
            </w:tcMar>
            <w:vAlign w:val="bottom"/>
            <w:hideMark/>
          </w:tcPr>
          <w:p w14:paraId="32E4642C"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9.30%</w:t>
            </w:r>
          </w:p>
        </w:tc>
        <w:tc>
          <w:tcPr>
            <w:tcW w:w="833" w:type="pct"/>
            <w:shd w:val="clear" w:color="auto" w:fill="auto"/>
            <w:tcMar>
              <w:top w:w="10" w:type="dxa"/>
              <w:left w:w="10" w:type="dxa"/>
              <w:bottom w:w="0" w:type="dxa"/>
              <w:right w:w="10" w:type="dxa"/>
            </w:tcMar>
            <w:vAlign w:val="bottom"/>
            <w:hideMark/>
          </w:tcPr>
          <w:p w14:paraId="7EE3B1BD"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7.80%</w:t>
            </w:r>
          </w:p>
        </w:tc>
        <w:tc>
          <w:tcPr>
            <w:tcW w:w="833" w:type="pct"/>
            <w:shd w:val="clear" w:color="auto" w:fill="auto"/>
            <w:tcMar>
              <w:top w:w="10" w:type="dxa"/>
              <w:left w:w="10" w:type="dxa"/>
              <w:bottom w:w="0" w:type="dxa"/>
              <w:right w:w="10" w:type="dxa"/>
            </w:tcMar>
            <w:vAlign w:val="bottom"/>
            <w:hideMark/>
          </w:tcPr>
          <w:p w14:paraId="0026A3FD"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3.48%</w:t>
            </w:r>
          </w:p>
        </w:tc>
        <w:tc>
          <w:tcPr>
            <w:tcW w:w="833" w:type="pct"/>
            <w:shd w:val="clear" w:color="auto" w:fill="auto"/>
            <w:tcMar>
              <w:top w:w="10" w:type="dxa"/>
              <w:left w:w="10" w:type="dxa"/>
              <w:bottom w:w="0" w:type="dxa"/>
              <w:right w:w="10" w:type="dxa"/>
            </w:tcMar>
            <w:vAlign w:val="bottom"/>
            <w:hideMark/>
          </w:tcPr>
          <w:p w14:paraId="656DCBFE"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5.75%</w:t>
            </w:r>
          </w:p>
        </w:tc>
      </w:tr>
      <w:tr w:rsidR="001D2769" w:rsidRPr="001D2769" w14:paraId="3A3446C4" w14:textId="77777777" w:rsidTr="008E083E">
        <w:trPr>
          <w:trHeight w:val="20"/>
          <w:jc w:val="center"/>
        </w:trPr>
        <w:tc>
          <w:tcPr>
            <w:tcW w:w="833" w:type="pct"/>
            <w:shd w:val="clear" w:color="auto" w:fill="auto"/>
            <w:tcMar>
              <w:top w:w="10" w:type="dxa"/>
              <w:left w:w="10" w:type="dxa"/>
              <w:bottom w:w="0" w:type="dxa"/>
              <w:right w:w="10" w:type="dxa"/>
            </w:tcMar>
            <w:vAlign w:val="bottom"/>
            <w:hideMark/>
          </w:tcPr>
          <w:p w14:paraId="34EC203D" w14:textId="77777777" w:rsidR="001D2769" w:rsidRPr="00EF2596" w:rsidRDefault="001D2769" w:rsidP="003A517E">
            <w:pPr>
              <w:tabs>
                <w:tab w:val="num" w:pos="720"/>
              </w:tabs>
              <w:spacing w:before="40" w:after="40"/>
              <w:ind w:left="125"/>
              <w:rPr>
                <w:rFonts w:asciiTheme="minorHAnsi" w:hAnsiTheme="minorHAnsi" w:cstheme="minorHAnsi"/>
                <w:szCs w:val="22"/>
              </w:rPr>
            </w:pPr>
            <w:r w:rsidRPr="00EF2596">
              <w:rPr>
                <w:rFonts w:asciiTheme="minorHAnsi" w:hAnsiTheme="minorHAnsi" w:cstheme="minorHAnsi"/>
                <w:szCs w:val="22"/>
              </w:rPr>
              <w:t>2014</w:t>
            </w:r>
          </w:p>
        </w:tc>
        <w:tc>
          <w:tcPr>
            <w:tcW w:w="833" w:type="pct"/>
            <w:shd w:val="clear" w:color="auto" w:fill="auto"/>
            <w:tcMar>
              <w:top w:w="10" w:type="dxa"/>
              <w:left w:w="10" w:type="dxa"/>
              <w:bottom w:w="0" w:type="dxa"/>
              <w:right w:w="10" w:type="dxa"/>
            </w:tcMar>
            <w:vAlign w:val="bottom"/>
            <w:hideMark/>
          </w:tcPr>
          <w:p w14:paraId="619D89FE"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7.00%</w:t>
            </w:r>
          </w:p>
        </w:tc>
        <w:tc>
          <w:tcPr>
            <w:tcW w:w="833" w:type="pct"/>
            <w:shd w:val="clear" w:color="auto" w:fill="auto"/>
            <w:tcMar>
              <w:top w:w="10" w:type="dxa"/>
              <w:left w:w="10" w:type="dxa"/>
              <w:bottom w:w="0" w:type="dxa"/>
              <w:right w:w="10" w:type="dxa"/>
            </w:tcMar>
            <w:vAlign w:val="bottom"/>
            <w:hideMark/>
          </w:tcPr>
          <w:p w14:paraId="73C3BA33"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10.30%</w:t>
            </w:r>
          </w:p>
        </w:tc>
        <w:tc>
          <w:tcPr>
            <w:tcW w:w="833" w:type="pct"/>
            <w:shd w:val="clear" w:color="auto" w:fill="auto"/>
            <w:tcMar>
              <w:top w:w="10" w:type="dxa"/>
              <w:left w:w="10" w:type="dxa"/>
              <w:bottom w:w="0" w:type="dxa"/>
              <w:right w:w="10" w:type="dxa"/>
            </w:tcMar>
            <w:vAlign w:val="bottom"/>
            <w:hideMark/>
          </w:tcPr>
          <w:p w14:paraId="36CB2A11"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6.98%</w:t>
            </w:r>
          </w:p>
        </w:tc>
        <w:tc>
          <w:tcPr>
            <w:tcW w:w="833" w:type="pct"/>
            <w:shd w:val="clear" w:color="auto" w:fill="auto"/>
            <w:tcMar>
              <w:top w:w="10" w:type="dxa"/>
              <w:left w:w="10" w:type="dxa"/>
              <w:bottom w:w="0" w:type="dxa"/>
              <w:right w:w="10" w:type="dxa"/>
            </w:tcMar>
            <w:vAlign w:val="bottom"/>
            <w:hideMark/>
          </w:tcPr>
          <w:p w14:paraId="2B19AB9D"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3.11%</w:t>
            </w:r>
          </w:p>
        </w:tc>
        <w:tc>
          <w:tcPr>
            <w:tcW w:w="833" w:type="pct"/>
            <w:shd w:val="clear" w:color="auto" w:fill="auto"/>
            <w:tcMar>
              <w:top w:w="10" w:type="dxa"/>
              <w:left w:w="10" w:type="dxa"/>
              <w:bottom w:w="0" w:type="dxa"/>
              <w:right w:w="10" w:type="dxa"/>
            </w:tcMar>
            <w:vAlign w:val="bottom"/>
            <w:hideMark/>
          </w:tcPr>
          <w:p w14:paraId="12D96CEC"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1.89%</w:t>
            </w:r>
          </w:p>
        </w:tc>
      </w:tr>
      <w:tr w:rsidR="001D2769" w:rsidRPr="001D2769" w14:paraId="424E43B3" w14:textId="77777777" w:rsidTr="008E083E">
        <w:trPr>
          <w:trHeight w:val="20"/>
          <w:jc w:val="center"/>
        </w:trPr>
        <w:tc>
          <w:tcPr>
            <w:tcW w:w="833" w:type="pct"/>
            <w:shd w:val="clear" w:color="auto" w:fill="auto"/>
            <w:tcMar>
              <w:top w:w="10" w:type="dxa"/>
              <w:left w:w="10" w:type="dxa"/>
              <w:bottom w:w="0" w:type="dxa"/>
              <w:right w:w="10" w:type="dxa"/>
            </w:tcMar>
            <w:vAlign w:val="bottom"/>
            <w:hideMark/>
          </w:tcPr>
          <w:p w14:paraId="028BAD6A" w14:textId="77777777" w:rsidR="001D2769" w:rsidRPr="00EF2596" w:rsidRDefault="001D2769" w:rsidP="003A517E">
            <w:pPr>
              <w:tabs>
                <w:tab w:val="num" w:pos="720"/>
              </w:tabs>
              <w:spacing w:before="40" w:after="40"/>
              <w:ind w:left="125"/>
              <w:rPr>
                <w:rFonts w:asciiTheme="minorHAnsi" w:hAnsiTheme="minorHAnsi" w:cstheme="minorHAnsi"/>
                <w:szCs w:val="22"/>
              </w:rPr>
            </w:pPr>
            <w:r w:rsidRPr="00EF2596">
              <w:rPr>
                <w:rFonts w:asciiTheme="minorHAnsi" w:hAnsiTheme="minorHAnsi" w:cstheme="minorHAnsi"/>
                <w:szCs w:val="22"/>
              </w:rPr>
              <w:t>2015</w:t>
            </w:r>
          </w:p>
        </w:tc>
        <w:tc>
          <w:tcPr>
            <w:tcW w:w="833" w:type="pct"/>
            <w:shd w:val="clear" w:color="auto" w:fill="auto"/>
            <w:tcMar>
              <w:top w:w="10" w:type="dxa"/>
              <w:left w:w="10" w:type="dxa"/>
              <w:bottom w:w="0" w:type="dxa"/>
              <w:right w:w="10" w:type="dxa"/>
            </w:tcMar>
            <w:vAlign w:val="bottom"/>
            <w:hideMark/>
          </w:tcPr>
          <w:p w14:paraId="438877AD"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7.70%</w:t>
            </w:r>
          </w:p>
        </w:tc>
        <w:tc>
          <w:tcPr>
            <w:tcW w:w="833" w:type="pct"/>
            <w:shd w:val="clear" w:color="auto" w:fill="auto"/>
            <w:tcMar>
              <w:top w:w="10" w:type="dxa"/>
              <w:left w:w="10" w:type="dxa"/>
              <w:bottom w:w="0" w:type="dxa"/>
              <w:right w:w="10" w:type="dxa"/>
            </w:tcMar>
            <w:vAlign w:val="bottom"/>
            <w:hideMark/>
          </w:tcPr>
          <w:p w14:paraId="6563FC38"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8.70%</w:t>
            </w:r>
          </w:p>
        </w:tc>
        <w:tc>
          <w:tcPr>
            <w:tcW w:w="833" w:type="pct"/>
            <w:shd w:val="clear" w:color="auto" w:fill="auto"/>
            <w:tcMar>
              <w:top w:w="10" w:type="dxa"/>
              <w:left w:w="10" w:type="dxa"/>
              <w:bottom w:w="0" w:type="dxa"/>
              <w:right w:w="10" w:type="dxa"/>
            </w:tcMar>
            <w:vAlign w:val="bottom"/>
            <w:hideMark/>
          </w:tcPr>
          <w:p w14:paraId="47CFCF0E"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5.73%</w:t>
            </w:r>
          </w:p>
        </w:tc>
        <w:tc>
          <w:tcPr>
            <w:tcW w:w="833" w:type="pct"/>
            <w:shd w:val="clear" w:color="auto" w:fill="auto"/>
            <w:tcMar>
              <w:top w:w="10" w:type="dxa"/>
              <w:left w:w="10" w:type="dxa"/>
              <w:bottom w:w="0" w:type="dxa"/>
              <w:right w:w="10" w:type="dxa"/>
            </w:tcMar>
            <w:vAlign w:val="bottom"/>
            <w:hideMark/>
          </w:tcPr>
          <w:p w14:paraId="0A471658"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2.02%</w:t>
            </w:r>
          </w:p>
        </w:tc>
        <w:tc>
          <w:tcPr>
            <w:tcW w:w="833" w:type="pct"/>
            <w:shd w:val="clear" w:color="auto" w:fill="auto"/>
            <w:tcMar>
              <w:top w:w="10" w:type="dxa"/>
              <w:left w:w="10" w:type="dxa"/>
              <w:bottom w:w="0" w:type="dxa"/>
              <w:right w:w="10" w:type="dxa"/>
            </w:tcMar>
            <w:vAlign w:val="bottom"/>
            <w:hideMark/>
          </w:tcPr>
          <w:p w14:paraId="6430E1AB"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3.03%</w:t>
            </w:r>
          </w:p>
        </w:tc>
      </w:tr>
      <w:tr w:rsidR="001D2769" w:rsidRPr="001D2769" w14:paraId="26B96E84" w14:textId="77777777" w:rsidTr="008E083E">
        <w:trPr>
          <w:trHeight w:val="20"/>
          <w:jc w:val="center"/>
        </w:trPr>
        <w:tc>
          <w:tcPr>
            <w:tcW w:w="833" w:type="pct"/>
            <w:shd w:val="clear" w:color="auto" w:fill="auto"/>
            <w:tcMar>
              <w:top w:w="10" w:type="dxa"/>
              <w:left w:w="10" w:type="dxa"/>
              <w:bottom w:w="0" w:type="dxa"/>
              <w:right w:w="10" w:type="dxa"/>
            </w:tcMar>
            <w:vAlign w:val="bottom"/>
            <w:hideMark/>
          </w:tcPr>
          <w:p w14:paraId="4F87F70E" w14:textId="77777777" w:rsidR="001D2769" w:rsidRPr="00EF2596" w:rsidRDefault="001D2769" w:rsidP="003A517E">
            <w:pPr>
              <w:tabs>
                <w:tab w:val="num" w:pos="720"/>
              </w:tabs>
              <w:spacing w:before="40" w:after="40"/>
              <w:ind w:left="125"/>
              <w:rPr>
                <w:rFonts w:asciiTheme="minorHAnsi" w:hAnsiTheme="minorHAnsi" w:cstheme="minorHAnsi"/>
                <w:szCs w:val="22"/>
              </w:rPr>
            </w:pPr>
            <w:r w:rsidRPr="00EF2596">
              <w:rPr>
                <w:rFonts w:asciiTheme="minorHAnsi" w:hAnsiTheme="minorHAnsi" w:cstheme="minorHAnsi"/>
                <w:szCs w:val="22"/>
              </w:rPr>
              <w:t>2016</w:t>
            </w:r>
          </w:p>
        </w:tc>
        <w:tc>
          <w:tcPr>
            <w:tcW w:w="833" w:type="pct"/>
            <w:shd w:val="clear" w:color="auto" w:fill="auto"/>
            <w:tcMar>
              <w:top w:w="10" w:type="dxa"/>
              <w:left w:w="10" w:type="dxa"/>
              <w:bottom w:w="0" w:type="dxa"/>
              <w:right w:w="10" w:type="dxa"/>
            </w:tcMar>
            <w:vAlign w:val="bottom"/>
            <w:hideMark/>
          </w:tcPr>
          <w:p w14:paraId="2E1DA370"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8.30%</w:t>
            </w:r>
          </w:p>
        </w:tc>
        <w:tc>
          <w:tcPr>
            <w:tcW w:w="833" w:type="pct"/>
            <w:shd w:val="clear" w:color="auto" w:fill="auto"/>
            <w:tcMar>
              <w:top w:w="10" w:type="dxa"/>
              <w:left w:w="10" w:type="dxa"/>
              <w:bottom w:w="0" w:type="dxa"/>
              <w:right w:w="10" w:type="dxa"/>
            </w:tcMar>
            <w:vAlign w:val="bottom"/>
            <w:hideMark/>
          </w:tcPr>
          <w:p w14:paraId="4213C0E0"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11.30%</w:t>
            </w:r>
          </w:p>
        </w:tc>
        <w:tc>
          <w:tcPr>
            <w:tcW w:w="833" w:type="pct"/>
            <w:shd w:val="clear" w:color="auto" w:fill="auto"/>
            <w:tcMar>
              <w:top w:w="10" w:type="dxa"/>
              <w:left w:w="10" w:type="dxa"/>
              <w:bottom w:w="0" w:type="dxa"/>
              <w:right w:w="10" w:type="dxa"/>
            </w:tcMar>
            <w:vAlign w:val="bottom"/>
            <w:hideMark/>
          </w:tcPr>
          <w:p w14:paraId="0ADB2C44"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8.53%</w:t>
            </w:r>
          </w:p>
        </w:tc>
        <w:tc>
          <w:tcPr>
            <w:tcW w:w="833" w:type="pct"/>
            <w:shd w:val="clear" w:color="auto" w:fill="auto"/>
            <w:tcMar>
              <w:top w:w="10" w:type="dxa"/>
              <w:left w:w="10" w:type="dxa"/>
              <w:bottom w:w="0" w:type="dxa"/>
              <w:right w:w="10" w:type="dxa"/>
            </w:tcMar>
            <w:vAlign w:val="bottom"/>
            <w:hideMark/>
          </w:tcPr>
          <w:p w14:paraId="153DECD8"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2.13%</w:t>
            </w:r>
          </w:p>
        </w:tc>
        <w:tc>
          <w:tcPr>
            <w:tcW w:w="833" w:type="pct"/>
            <w:shd w:val="clear" w:color="auto" w:fill="auto"/>
            <w:tcMar>
              <w:top w:w="10" w:type="dxa"/>
              <w:left w:w="10" w:type="dxa"/>
              <w:bottom w:w="0" w:type="dxa"/>
              <w:right w:w="10" w:type="dxa"/>
            </w:tcMar>
            <w:vAlign w:val="bottom"/>
            <w:hideMark/>
          </w:tcPr>
          <w:p w14:paraId="03B3E088" w14:textId="77777777" w:rsidR="001D2769" w:rsidRPr="00EF2596" w:rsidRDefault="001D2769" w:rsidP="008E083E">
            <w:pPr>
              <w:tabs>
                <w:tab w:val="num" w:pos="720"/>
              </w:tabs>
              <w:spacing w:before="40" w:after="40"/>
              <w:jc w:val="center"/>
              <w:rPr>
                <w:rFonts w:asciiTheme="minorHAnsi" w:hAnsiTheme="minorHAnsi" w:cstheme="minorHAnsi"/>
                <w:szCs w:val="22"/>
              </w:rPr>
            </w:pPr>
            <w:r w:rsidRPr="00EF2596">
              <w:rPr>
                <w:rFonts w:asciiTheme="minorHAnsi" w:hAnsiTheme="minorHAnsi" w:cstheme="minorHAnsi"/>
                <w:szCs w:val="22"/>
              </w:rPr>
              <w:t>5.37%</w:t>
            </w:r>
          </w:p>
        </w:tc>
      </w:tr>
    </w:tbl>
    <w:p w14:paraId="32D17EC4" w14:textId="77777777" w:rsidR="001D2769" w:rsidRPr="00EF2596" w:rsidRDefault="00203727" w:rsidP="003A517E">
      <w:pPr>
        <w:pStyle w:val="Caption"/>
        <w:keepNext/>
        <w:keepLines/>
        <w:spacing w:before="240" w:after="120"/>
        <w:rPr>
          <w:rFonts w:asciiTheme="minorHAnsi" w:hAnsiTheme="minorHAnsi" w:cstheme="minorHAnsi"/>
          <w:b w:val="0"/>
          <w:color w:val="808080"/>
          <w:sz w:val="20"/>
        </w:rPr>
      </w:pPr>
      <w:bookmarkStart w:id="608" w:name="_Ref529778571"/>
      <w:r w:rsidRPr="00EF2596">
        <w:rPr>
          <w:rFonts w:asciiTheme="minorHAnsi" w:hAnsiTheme="minorHAnsi" w:cstheme="minorHAnsi"/>
          <w:b w:val="0"/>
          <w:color w:val="808080"/>
          <w:sz w:val="20"/>
        </w:rPr>
        <w:t xml:space="preserve">Table </w:t>
      </w:r>
      <w:r w:rsidRPr="00EF2596">
        <w:rPr>
          <w:rFonts w:asciiTheme="minorHAnsi" w:hAnsiTheme="minorHAnsi" w:cstheme="minorHAnsi"/>
          <w:b w:val="0"/>
          <w:color w:val="808080"/>
          <w:sz w:val="20"/>
        </w:rPr>
        <w:fldChar w:fldCharType="begin"/>
      </w:r>
      <w:r w:rsidRPr="00EF2596">
        <w:rPr>
          <w:rFonts w:asciiTheme="minorHAnsi" w:hAnsiTheme="minorHAnsi" w:cstheme="minorHAnsi"/>
          <w:b w:val="0"/>
          <w:color w:val="808080"/>
          <w:sz w:val="20"/>
        </w:rPr>
        <w:instrText xml:space="preserve"> SEQ Table \* ARABIC </w:instrText>
      </w:r>
      <w:r w:rsidRPr="00EF2596">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11</w:t>
      </w:r>
      <w:r w:rsidRPr="00EF2596">
        <w:rPr>
          <w:rFonts w:asciiTheme="minorHAnsi" w:hAnsiTheme="minorHAnsi" w:cstheme="minorHAnsi"/>
          <w:b w:val="0"/>
          <w:color w:val="808080"/>
          <w:sz w:val="20"/>
        </w:rPr>
        <w:fldChar w:fldCharType="end"/>
      </w:r>
      <w:bookmarkEnd w:id="608"/>
      <w:r w:rsidR="001D2769" w:rsidRPr="00EF2596">
        <w:rPr>
          <w:rFonts w:asciiTheme="minorHAnsi" w:hAnsiTheme="minorHAnsi" w:cstheme="minorHAnsi"/>
          <w:b w:val="0"/>
          <w:color w:val="808080"/>
          <w:sz w:val="20"/>
        </w:rPr>
        <w:t xml:space="preserve">: Year on year growth for number of dialysis patients from 2013 – 2016, SOURCE: </w:t>
      </w:r>
      <w:r w:rsidR="00AD08DD">
        <w:rPr>
          <w:rFonts w:asciiTheme="minorHAnsi" w:hAnsiTheme="minorHAnsi" w:cstheme="minorHAnsi"/>
          <w:b w:val="0"/>
          <w:color w:val="808080"/>
          <w:sz w:val="20"/>
        </w:rPr>
        <w:t>ANZDATA</w:t>
      </w:r>
      <w:r w:rsidR="00CE5FC6">
        <w:rPr>
          <w:rStyle w:val="FootnoteReference"/>
          <w:rFonts w:cstheme="minorHAnsi"/>
          <w:b w:val="0"/>
          <w:color w:val="808080"/>
        </w:rPr>
        <w:footnoteReference w:id="96"/>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600" w:firstRow="0" w:lastRow="0" w:firstColumn="0" w:lastColumn="0" w:noHBand="1" w:noVBand="1"/>
        <w:tblDescription w:val="Table 11 is a list of year on year growth for number of dialysis patients from 2013 – 2016. This table contains 6 heading columns: column 1. year, 2. major cities, 3. inner regional, 4. outer regional, 5. remote and 6. very remote."/>
      </w:tblPr>
      <w:tblGrid>
        <w:gridCol w:w="1607"/>
        <w:gridCol w:w="1598"/>
        <w:gridCol w:w="1600"/>
        <w:gridCol w:w="1600"/>
        <w:gridCol w:w="1600"/>
        <w:gridCol w:w="1600"/>
      </w:tblGrid>
      <w:tr w:rsidR="001D2769" w:rsidRPr="001D2769" w14:paraId="2D05A9BE" w14:textId="77777777" w:rsidTr="008E083E">
        <w:trPr>
          <w:trHeight w:val="20"/>
        </w:trPr>
        <w:tc>
          <w:tcPr>
            <w:tcW w:w="836" w:type="pct"/>
            <w:shd w:val="clear" w:color="auto" w:fill="595959" w:themeFill="text1" w:themeFillTint="A6"/>
            <w:tcMar>
              <w:top w:w="10" w:type="dxa"/>
              <w:left w:w="10" w:type="dxa"/>
              <w:bottom w:w="0" w:type="dxa"/>
              <w:right w:w="10" w:type="dxa"/>
            </w:tcMar>
            <w:vAlign w:val="center"/>
            <w:hideMark/>
          </w:tcPr>
          <w:p w14:paraId="29F9039D" w14:textId="77777777" w:rsidR="001D2769" w:rsidRPr="00EF2596" w:rsidRDefault="006F704B" w:rsidP="003A517E">
            <w:pPr>
              <w:tabs>
                <w:tab w:val="num" w:pos="720"/>
              </w:tabs>
              <w:spacing w:before="40" w:after="40"/>
              <w:ind w:left="125"/>
              <w:rPr>
                <w:rFonts w:asciiTheme="minorHAnsi" w:hAnsiTheme="minorHAnsi" w:cstheme="minorHAnsi"/>
                <w:color w:val="FFFFFF" w:themeColor="background1"/>
              </w:rPr>
            </w:pPr>
            <w:r>
              <w:rPr>
                <w:rFonts w:asciiTheme="minorHAnsi" w:hAnsiTheme="minorHAnsi" w:cstheme="minorHAnsi"/>
                <w:b/>
                <w:color w:val="FFFFFF" w:themeColor="background1"/>
                <w:szCs w:val="22"/>
              </w:rPr>
              <w:t>Year</w:t>
            </w:r>
          </w:p>
        </w:tc>
        <w:tc>
          <w:tcPr>
            <w:tcW w:w="832" w:type="pct"/>
            <w:shd w:val="clear" w:color="auto" w:fill="595959" w:themeFill="text1" w:themeFillTint="A6"/>
            <w:tcMar>
              <w:top w:w="10" w:type="dxa"/>
              <w:left w:w="10" w:type="dxa"/>
              <w:bottom w:w="0" w:type="dxa"/>
              <w:right w:w="10" w:type="dxa"/>
            </w:tcMar>
            <w:vAlign w:val="center"/>
            <w:hideMark/>
          </w:tcPr>
          <w:p w14:paraId="510C72C7" w14:textId="77777777" w:rsidR="001D2769" w:rsidRPr="00EF2596" w:rsidRDefault="001D2769" w:rsidP="008E083E">
            <w:pPr>
              <w:pStyle w:val="Caption"/>
              <w:keepNext/>
              <w:keepLines/>
              <w:spacing w:before="40" w:after="40"/>
              <w:jc w:val="center"/>
              <w:rPr>
                <w:rFonts w:asciiTheme="minorHAnsi" w:hAnsiTheme="minorHAnsi" w:cstheme="minorHAnsi"/>
                <w:color w:val="FFFFFF" w:themeColor="background1"/>
                <w:sz w:val="20"/>
              </w:rPr>
            </w:pPr>
            <w:r w:rsidRPr="00EF2596">
              <w:rPr>
                <w:rFonts w:asciiTheme="minorHAnsi" w:hAnsiTheme="minorHAnsi" w:cstheme="minorHAnsi"/>
                <w:color w:val="FFFFFF" w:themeColor="background1"/>
                <w:sz w:val="20"/>
              </w:rPr>
              <w:t>Major city</w:t>
            </w:r>
          </w:p>
        </w:tc>
        <w:tc>
          <w:tcPr>
            <w:tcW w:w="833" w:type="pct"/>
            <w:shd w:val="clear" w:color="auto" w:fill="595959" w:themeFill="text1" w:themeFillTint="A6"/>
            <w:tcMar>
              <w:top w:w="10" w:type="dxa"/>
              <w:left w:w="10" w:type="dxa"/>
              <w:bottom w:w="0" w:type="dxa"/>
              <w:right w:w="10" w:type="dxa"/>
            </w:tcMar>
            <w:vAlign w:val="center"/>
            <w:hideMark/>
          </w:tcPr>
          <w:p w14:paraId="659C26D7" w14:textId="77777777" w:rsidR="001D2769" w:rsidRPr="00EF2596" w:rsidRDefault="00203727" w:rsidP="008E083E">
            <w:pPr>
              <w:pStyle w:val="Caption"/>
              <w:keepNext/>
              <w:keepLines/>
              <w:spacing w:before="40" w:after="40"/>
              <w:jc w:val="center"/>
              <w:rPr>
                <w:rFonts w:asciiTheme="minorHAnsi" w:hAnsiTheme="minorHAnsi" w:cstheme="minorHAnsi"/>
                <w:color w:val="FFFFFF" w:themeColor="background1"/>
                <w:sz w:val="20"/>
              </w:rPr>
            </w:pPr>
            <w:r w:rsidRPr="00203727">
              <w:rPr>
                <w:rFonts w:asciiTheme="minorHAnsi" w:hAnsiTheme="minorHAnsi" w:cstheme="minorHAnsi"/>
                <w:color w:val="FFFFFF" w:themeColor="background1"/>
                <w:sz w:val="20"/>
              </w:rPr>
              <w:t>I</w:t>
            </w:r>
            <w:r w:rsidR="001D2769" w:rsidRPr="00EF2596">
              <w:rPr>
                <w:rFonts w:asciiTheme="minorHAnsi" w:hAnsiTheme="minorHAnsi" w:cstheme="minorHAnsi"/>
                <w:color w:val="FFFFFF" w:themeColor="background1"/>
                <w:sz w:val="20"/>
              </w:rPr>
              <w:t>nner regional</w:t>
            </w:r>
          </w:p>
        </w:tc>
        <w:tc>
          <w:tcPr>
            <w:tcW w:w="833" w:type="pct"/>
            <w:shd w:val="clear" w:color="auto" w:fill="595959" w:themeFill="text1" w:themeFillTint="A6"/>
            <w:tcMar>
              <w:top w:w="10" w:type="dxa"/>
              <w:left w:w="10" w:type="dxa"/>
              <w:bottom w:w="0" w:type="dxa"/>
              <w:right w:w="10" w:type="dxa"/>
            </w:tcMar>
            <w:vAlign w:val="center"/>
            <w:hideMark/>
          </w:tcPr>
          <w:p w14:paraId="328AEB2F" w14:textId="77777777" w:rsidR="001D2769" w:rsidRPr="00EF2596" w:rsidRDefault="00203727" w:rsidP="008E083E">
            <w:pPr>
              <w:pStyle w:val="Caption"/>
              <w:keepNext/>
              <w:keepLines/>
              <w:spacing w:before="40" w:after="40"/>
              <w:jc w:val="center"/>
              <w:rPr>
                <w:rFonts w:asciiTheme="minorHAnsi" w:hAnsiTheme="minorHAnsi" w:cstheme="minorHAnsi"/>
                <w:color w:val="FFFFFF" w:themeColor="background1"/>
                <w:sz w:val="20"/>
              </w:rPr>
            </w:pPr>
            <w:r w:rsidRPr="00203727">
              <w:rPr>
                <w:rFonts w:asciiTheme="minorHAnsi" w:hAnsiTheme="minorHAnsi" w:cstheme="minorHAnsi"/>
                <w:color w:val="FFFFFF" w:themeColor="background1"/>
                <w:sz w:val="20"/>
              </w:rPr>
              <w:t>O</w:t>
            </w:r>
            <w:r w:rsidR="001D2769" w:rsidRPr="00EF2596">
              <w:rPr>
                <w:rFonts w:asciiTheme="minorHAnsi" w:hAnsiTheme="minorHAnsi" w:cstheme="minorHAnsi"/>
                <w:color w:val="FFFFFF" w:themeColor="background1"/>
                <w:sz w:val="20"/>
              </w:rPr>
              <w:t>uter regional</w:t>
            </w:r>
          </w:p>
        </w:tc>
        <w:tc>
          <w:tcPr>
            <w:tcW w:w="833" w:type="pct"/>
            <w:shd w:val="clear" w:color="auto" w:fill="595959" w:themeFill="text1" w:themeFillTint="A6"/>
            <w:tcMar>
              <w:top w:w="10" w:type="dxa"/>
              <w:left w:w="10" w:type="dxa"/>
              <w:bottom w:w="0" w:type="dxa"/>
              <w:right w:w="10" w:type="dxa"/>
            </w:tcMar>
            <w:vAlign w:val="center"/>
            <w:hideMark/>
          </w:tcPr>
          <w:p w14:paraId="166D4531" w14:textId="77777777" w:rsidR="001D2769" w:rsidRPr="00EF2596" w:rsidRDefault="00203727" w:rsidP="008E083E">
            <w:pPr>
              <w:pStyle w:val="Caption"/>
              <w:keepNext/>
              <w:keepLines/>
              <w:spacing w:before="40" w:after="40"/>
              <w:jc w:val="center"/>
              <w:rPr>
                <w:rFonts w:asciiTheme="minorHAnsi" w:hAnsiTheme="minorHAnsi" w:cstheme="minorHAnsi"/>
                <w:color w:val="FFFFFF" w:themeColor="background1"/>
                <w:sz w:val="20"/>
              </w:rPr>
            </w:pPr>
            <w:r w:rsidRPr="00203727">
              <w:rPr>
                <w:rFonts w:asciiTheme="minorHAnsi" w:hAnsiTheme="minorHAnsi" w:cstheme="minorHAnsi"/>
                <w:color w:val="FFFFFF" w:themeColor="background1"/>
                <w:sz w:val="20"/>
              </w:rPr>
              <w:t>R</w:t>
            </w:r>
            <w:r w:rsidR="001D2769" w:rsidRPr="00EF2596">
              <w:rPr>
                <w:rFonts w:asciiTheme="minorHAnsi" w:hAnsiTheme="minorHAnsi" w:cstheme="minorHAnsi"/>
                <w:color w:val="FFFFFF" w:themeColor="background1"/>
                <w:sz w:val="20"/>
              </w:rPr>
              <w:t>emote</w:t>
            </w:r>
          </w:p>
        </w:tc>
        <w:tc>
          <w:tcPr>
            <w:tcW w:w="833" w:type="pct"/>
            <w:shd w:val="clear" w:color="auto" w:fill="595959" w:themeFill="text1" w:themeFillTint="A6"/>
            <w:tcMar>
              <w:top w:w="10" w:type="dxa"/>
              <w:left w:w="10" w:type="dxa"/>
              <w:bottom w:w="0" w:type="dxa"/>
              <w:right w:w="10" w:type="dxa"/>
            </w:tcMar>
            <w:vAlign w:val="center"/>
            <w:hideMark/>
          </w:tcPr>
          <w:p w14:paraId="7904177A" w14:textId="77777777" w:rsidR="001D2769" w:rsidRPr="00EF2596" w:rsidRDefault="00203727" w:rsidP="008E083E">
            <w:pPr>
              <w:pStyle w:val="Caption"/>
              <w:keepNext/>
              <w:keepLines/>
              <w:spacing w:before="40" w:after="40"/>
              <w:jc w:val="center"/>
              <w:rPr>
                <w:rFonts w:asciiTheme="minorHAnsi" w:hAnsiTheme="minorHAnsi" w:cstheme="minorHAnsi"/>
                <w:color w:val="FFFFFF" w:themeColor="background1"/>
                <w:sz w:val="20"/>
              </w:rPr>
            </w:pPr>
            <w:r w:rsidRPr="00203727">
              <w:rPr>
                <w:rFonts w:asciiTheme="minorHAnsi" w:hAnsiTheme="minorHAnsi" w:cstheme="minorHAnsi"/>
                <w:color w:val="FFFFFF" w:themeColor="background1"/>
                <w:sz w:val="20"/>
              </w:rPr>
              <w:t>V</w:t>
            </w:r>
            <w:r w:rsidR="001D2769" w:rsidRPr="00EF2596">
              <w:rPr>
                <w:rFonts w:asciiTheme="minorHAnsi" w:hAnsiTheme="minorHAnsi" w:cstheme="minorHAnsi"/>
                <w:color w:val="FFFFFF" w:themeColor="background1"/>
                <w:sz w:val="20"/>
              </w:rPr>
              <w:t>ery remote</w:t>
            </w:r>
          </w:p>
        </w:tc>
      </w:tr>
      <w:tr w:rsidR="001D2769" w:rsidRPr="001D2769" w14:paraId="4E1B8253" w14:textId="77777777" w:rsidTr="008E083E">
        <w:trPr>
          <w:trHeight w:val="20"/>
        </w:trPr>
        <w:tc>
          <w:tcPr>
            <w:tcW w:w="836" w:type="pct"/>
            <w:shd w:val="clear" w:color="auto" w:fill="FFFFFF" w:themeFill="background1"/>
            <w:tcMar>
              <w:top w:w="10" w:type="dxa"/>
              <w:left w:w="10" w:type="dxa"/>
              <w:bottom w:w="0" w:type="dxa"/>
              <w:right w:w="10" w:type="dxa"/>
            </w:tcMar>
            <w:vAlign w:val="center"/>
            <w:hideMark/>
          </w:tcPr>
          <w:p w14:paraId="4D4DB2C4" w14:textId="77777777" w:rsidR="001D2769" w:rsidRPr="00EF2596" w:rsidRDefault="001D2769" w:rsidP="008E083E">
            <w:pPr>
              <w:pStyle w:val="Caption"/>
              <w:keepNext/>
              <w:keepLines/>
              <w:spacing w:before="40" w:after="40"/>
              <w:ind w:left="127"/>
              <w:rPr>
                <w:rFonts w:asciiTheme="minorHAnsi" w:hAnsiTheme="minorHAnsi" w:cstheme="minorHAnsi"/>
                <w:b w:val="0"/>
                <w:color w:val="auto"/>
                <w:sz w:val="20"/>
              </w:rPr>
            </w:pPr>
            <w:r w:rsidRPr="00EF2596">
              <w:rPr>
                <w:rFonts w:asciiTheme="minorHAnsi" w:hAnsiTheme="minorHAnsi" w:cstheme="minorHAnsi"/>
                <w:b w:val="0"/>
                <w:color w:val="auto"/>
                <w:sz w:val="20"/>
              </w:rPr>
              <w:t>2014</w:t>
            </w:r>
          </w:p>
        </w:tc>
        <w:tc>
          <w:tcPr>
            <w:tcW w:w="832" w:type="pct"/>
            <w:shd w:val="clear" w:color="auto" w:fill="auto"/>
            <w:tcMar>
              <w:top w:w="10" w:type="dxa"/>
              <w:left w:w="10" w:type="dxa"/>
              <w:bottom w:w="0" w:type="dxa"/>
              <w:right w:w="10" w:type="dxa"/>
            </w:tcMar>
            <w:vAlign w:val="center"/>
            <w:hideMark/>
          </w:tcPr>
          <w:p w14:paraId="38CFF3C0" w14:textId="77777777" w:rsidR="001D2769" w:rsidRPr="00274F3C" w:rsidRDefault="001D2769" w:rsidP="008E083E">
            <w:pPr>
              <w:pStyle w:val="Caption"/>
              <w:keepNext/>
              <w:keepLines/>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102%</w:t>
            </w:r>
          </w:p>
        </w:tc>
        <w:tc>
          <w:tcPr>
            <w:tcW w:w="833" w:type="pct"/>
            <w:shd w:val="clear" w:color="auto" w:fill="auto"/>
            <w:tcMar>
              <w:top w:w="10" w:type="dxa"/>
              <w:left w:w="10" w:type="dxa"/>
              <w:bottom w:w="0" w:type="dxa"/>
              <w:right w:w="10" w:type="dxa"/>
            </w:tcMar>
            <w:vAlign w:val="center"/>
            <w:hideMark/>
          </w:tcPr>
          <w:p w14:paraId="1CC6F1D5" w14:textId="77777777" w:rsidR="001D2769" w:rsidRPr="00274F3C" w:rsidRDefault="001D2769" w:rsidP="008E083E">
            <w:pPr>
              <w:pStyle w:val="Caption"/>
              <w:keepNext/>
              <w:keepLines/>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107%</w:t>
            </w:r>
          </w:p>
        </w:tc>
        <w:tc>
          <w:tcPr>
            <w:tcW w:w="833" w:type="pct"/>
            <w:shd w:val="clear" w:color="auto" w:fill="auto"/>
            <w:tcMar>
              <w:top w:w="10" w:type="dxa"/>
              <w:left w:w="10" w:type="dxa"/>
              <w:bottom w:w="0" w:type="dxa"/>
              <w:right w:w="10" w:type="dxa"/>
            </w:tcMar>
            <w:vAlign w:val="center"/>
            <w:hideMark/>
          </w:tcPr>
          <w:p w14:paraId="17382D22" w14:textId="77777777" w:rsidR="001D2769" w:rsidRPr="00274F3C" w:rsidRDefault="001D2769" w:rsidP="008E083E">
            <w:pPr>
              <w:pStyle w:val="Caption"/>
              <w:keepNext/>
              <w:keepLines/>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107%</w:t>
            </w:r>
          </w:p>
        </w:tc>
        <w:tc>
          <w:tcPr>
            <w:tcW w:w="833" w:type="pct"/>
            <w:shd w:val="clear" w:color="auto" w:fill="auto"/>
            <w:tcMar>
              <w:top w:w="10" w:type="dxa"/>
              <w:left w:w="10" w:type="dxa"/>
              <w:bottom w:w="0" w:type="dxa"/>
              <w:right w:w="10" w:type="dxa"/>
            </w:tcMar>
            <w:vAlign w:val="center"/>
            <w:hideMark/>
          </w:tcPr>
          <w:p w14:paraId="61282008" w14:textId="77777777" w:rsidR="001D2769" w:rsidRPr="00274F3C" w:rsidRDefault="001D2769" w:rsidP="008E083E">
            <w:pPr>
              <w:pStyle w:val="Caption"/>
              <w:keepNext/>
              <w:keepLines/>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112%</w:t>
            </w:r>
          </w:p>
        </w:tc>
        <w:tc>
          <w:tcPr>
            <w:tcW w:w="833" w:type="pct"/>
            <w:shd w:val="clear" w:color="auto" w:fill="auto"/>
            <w:tcMar>
              <w:top w:w="10" w:type="dxa"/>
              <w:left w:w="10" w:type="dxa"/>
              <w:bottom w:w="0" w:type="dxa"/>
              <w:right w:w="10" w:type="dxa"/>
            </w:tcMar>
            <w:vAlign w:val="center"/>
            <w:hideMark/>
          </w:tcPr>
          <w:p w14:paraId="5B61B2F7" w14:textId="77777777" w:rsidR="001D2769" w:rsidRPr="00274F3C" w:rsidRDefault="001D2769" w:rsidP="008E083E">
            <w:pPr>
              <w:pStyle w:val="Caption"/>
              <w:keepNext/>
              <w:keepLines/>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122%</w:t>
            </w:r>
          </w:p>
        </w:tc>
      </w:tr>
      <w:tr w:rsidR="001D2769" w:rsidRPr="001D2769" w14:paraId="65BF11C3" w14:textId="77777777" w:rsidTr="008E083E">
        <w:trPr>
          <w:trHeight w:val="20"/>
        </w:trPr>
        <w:tc>
          <w:tcPr>
            <w:tcW w:w="836" w:type="pct"/>
            <w:shd w:val="clear" w:color="auto" w:fill="FFFFFF" w:themeFill="background1"/>
            <w:tcMar>
              <w:top w:w="10" w:type="dxa"/>
              <w:left w:w="10" w:type="dxa"/>
              <w:bottom w:w="0" w:type="dxa"/>
              <w:right w:w="10" w:type="dxa"/>
            </w:tcMar>
            <w:vAlign w:val="center"/>
            <w:hideMark/>
          </w:tcPr>
          <w:p w14:paraId="106386C4" w14:textId="77777777" w:rsidR="001D2769" w:rsidRPr="00EF2596" w:rsidRDefault="001D2769" w:rsidP="008E083E">
            <w:pPr>
              <w:pStyle w:val="Caption"/>
              <w:keepNext/>
              <w:keepLines/>
              <w:spacing w:before="40" w:after="40"/>
              <w:ind w:left="127"/>
              <w:rPr>
                <w:rFonts w:asciiTheme="minorHAnsi" w:hAnsiTheme="minorHAnsi" w:cstheme="minorHAnsi"/>
                <w:b w:val="0"/>
                <w:color w:val="auto"/>
                <w:sz w:val="20"/>
              </w:rPr>
            </w:pPr>
            <w:r w:rsidRPr="00EF2596">
              <w:rPr>
                <w:rFonts w:asciiTheme="minorHAnsi" w:hAnsiTheme="minorHAnsi" w:cstheme="minorHAnsi"/>
                <w:b w:val="0"/>
                <w:color w:val="auto"/>
                <w:sz w:val="20"/>
              </w:rPr>
              <w:t>2015</w:t>
            </w:r>
          </w:p>
        </w:tc>
        <w:tc>
          <w:tcPr>
            <w:tcW w:w="832" w:type="pct"/>
            <w:shd w:val="clear" w:color="auto" w:fill="auto"/>
            <w:tcMar>
              <w:top w:w="10" w:type="dxa"/>
              <w:left w:w="10" w:type="dxa"/>
              <w:bottom w:w="0" w:type="dxa"/>
              <w:right w:w="10" w:type="dxa"/>
            </w:tcMar>
            <w:vAlign w:val="center"/>
            <w:hideMark/>
          </w:tcPr>
          <w:p w14:paraId="5535D429" w14:textId="77777777" w:rsidR="001D2769" w:rsidRPr="00274F3C" w:rsidRDefault="001D2769" w:rsidP="008E083E">
            <w:pPr>
              <w:pStyle w:val="Caption"/>
              <w:keepNext/>
              <w:keepLines/>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101%</w:t>
            </w:r>
          </w:p>
        </w:tc>
        <w:tc>
          <w:tcPr>
            <w:tcW w:w="833" w:type="pct"/>
            <w:shd w:val="clear" w:color="auto" w:fill="auto"/>
            <w:tcMar>
              <w:top w:w="10" w:type="dxa"/>
              <w:left w:w="10" w:type="dxa"/>
              <w:bottom w:w="0" w:type="dxa"/>
              <w:right w:w="10" w:type="dxa"/>
            </w:tcMar>
            <w:vAlign w:val="center"/>
            <w:hideMark/>
          </w:tcPr>
          <w:p w14:paraId="0D190343" w14:textId="77777777" w:rsidR="001D2769" w:rsidRPr="00274F3C" w:rsidRDefault="001D2769" w:rsidP="008E083E">
            <w:pPr>
              <w:pStyle w:val="Caption"/>
              <w:keepNext/>
              <w:keepLines/>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103%</w:t>
            </w:r>
          </w:p>
        </w:tc>
        <w:tc>
          <w:tcPr>
            <w:tcW w:w="833" w:type="pct"/>
            <w:shd w:val="clear" w:color="auto" w:fill="auto"/>
            <w:tcMar>
              <w:top w:w="10" w:type="dxa"/>
              <w:left w:w="10" w:type="dxa"/>
              <w:bottom w:w="0" w:type="dxa"/>
              <w:right w:w="10" w:type="dxa"/>
            </w:tcMar>
            <w:vAlign w:val="center"/>
            <w:hideMark/>
          </w:tcPr>
          <w:p w14:paraId="139ED711" w14:textId="77777777" w:rsidR="001D2769" w:rsidRPr="00274F3C" w:rsidRDefault="001D2769" w:rsidP="008E083E">
            <w:pPr>
              <w:pStyle w:val="Caption"/>
              <w:keepNext/>
              <w:keepLines/>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108%</w:t>
            </w:r>
          </w:p>
        </w:tc>
        <w:tc>
          <w:tcPr>
            <w:tcW w:w="833" w:type="pct"/>
            <w:shd w:val="clear" w:color="auto" w:fill="auto"/>
            <w:tcMar>
              <w:top w:w="10" w:type="dxa"/>
              <w:left w:w="10" w:type="dxa"/>
              <w:bottom w:w="0" w:type="dxa"/>
              <w:right w:w="10" w:type="dxa"/>
            </w:tcMar>
            <w:vAlign w:val="center"/>
            <w:hideMark/>
          </w:tcPr>
          <w:p w14:paraId="4FAD63B8" w14:textId="77777777" w:rsidR="001D2769" w:rsidRPr="00274F3C" w:rsidRDefault="001D2769" w:rsidP="008E083E">
            <w:pPr>
              <w:pStyle w:val="Caption"/>
              <w:keepNext/>
              <w:keepLines/>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116%</w:t>
            </w:r>
          </w:p>
        </w:tc>
        <w:tc>
          <w:tcPr>
            <w:tcW w:w="833" w:type="pct"/>
            <w:shd w:val="clear" w:color="auto" w:fill="auto"/>
            <w:tcMar>
              <w:top w:w="10" w:type="dxa"/>
              <w:left w:w="10" w:type="dxa"/>
              <w:bottom w:w="0" w:type="dxa"/>
              <w:right w:w="10" w:type="dxa"/>
            </w:tcMar>
            <w:vAlign w:val="center"/>
            <w:hideMark/>
          </w:tcPr>
          <w:p w14:paraId="49D75AB1" w14:textId="77777777" w:rsidR="001D2769" w:rsidRPr="00274F3C" w:rsidRDefault="001D2769" w:rsidP="008E083E">
            <w:pPr>
              <w:pStyle w:val="Caption"/>
              <w:keepNext/>
              <w:keepLines/>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125%</w:t>
            </w:r>
          </w:p>
        </w:tc>
      </w:tr>
      <w:tr w:rsidR="001D2769" w:rsidRPr="001D2769" w14:paraId="07E765BF" w14:textId="77777777" w:rsidTr="008E083E">
        <w:trPr>
          <w:trHeight w:val="20"/>
        </w:trPr>
        <w:tc>
          <w:tcPr>
            <w:tcW w:w="836" w:type="pct"/>
            <w:shd w:val="clear" w:color="auto" w:fill="FFFFFF" w:themeFill="background1"/>
            <w:tcMar>
              <w:top w:w="10" w:type="dxa"/>
              <w:left w:w="10" w:type="dxa"/>
              <w:bottom w:w="0" w:type="dxa"/>
              <w:right w:w="10" w:type="dxa"/>
            </w:tcMar>
            <w:vAlign w:val="center"/>
            <w:hideMark/>
          </w:tcPr>
          <w:p w14:paraId="6E196165" w14:textId="77777777" w:rsidR="001D2769" w:rsidRPr="00EF2596" w:rsidRDefault="001D2769" w:rsidP="008E083E">
            <w:pPr>
              <w:pStyle w:val="Caption"/>
              <w:keepNext/>
              <w:keepLines/>
              <w:spacing w:before="40" w:after="40"/>
              <w:ind w:left="127"/>
              <w:rPr>
                <w:rFonts w:asciiTheme="minorHAnsi" w:hAnsiTheme="minorHAnsi" w:cstheme="minorHAnsi"/>
                <w:b w:val="0"/>
                <w:color w:val="auto"/>
                <w:sz w:val="20"/>
              </w:rPr>
            </w:pPr>
            <w:r w:rsidRPr="00EF2596">
              <w:rPr>
                <w:rFonts w:asciiTheme="minorHAnsi" w:hAnsiTheme="minorHAnsi" w:cstheme="minorHAnsi"/>
                <w:b w:val="0"/>
                <w:color w:val="auto"/>
                <w:sz w:val="20"/>
              </w:rPr>
              <w:t>2016</w:t>
            </w:r>
          </w:p>
        </w:tc>
        <w:tc>
          <w:tcPr>
            <w:tcW w:w="832" w:type="pct"/>
            <w:shd w:val="clear" w:color="auto" w:fill="auto"/>
            <w:tcMar>
              <w:top w:w="10" w:type="dxa"/>
              <w:left w:w="10" w:type="dxa"/>
              <w:bottom w:w="0" w:type="dxa"/>
              <w:right w:w="10" w:type="dxa"/>
            </w:tcMar>
            <w:vAlign w:val="center"/>
            <w:hideMark/>
          </w:tcPr>
          <w:p w14:paraId="5EBA4DAF" w14:textId="77777777" w:rsidR="001D2769" w:rsidRPr="00274F3C" w:rsidRDefault="001D2769" w:rsidP="008E083E">
            <w:pPr>
              <w:pStyle w:val="Caption"/>
              <w:keepNext/>
              <w:keepLines/>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101%</w:t>
            </w:r>
          </w:p>
        </w:tc>
        <w:tc>
          <w:tcPr>
            <w:tcW w:w="833" w:type="pct"/>
            <w:shd w:val="clear" w:color="auto" w:fill="auto"/>
            <w:tcMar>
              <w:top w:w="10" w:type="dxa"/>
              <w:left w:w="10" w:type="dxa"/>
              <w:bottom w:w="0" w:type="dxa"/>
              <w:right w:w="10" w:type="dxa"/>
            </w:tcMar>
            <w:vAlign w:val="center"/>
            <w:hideMark/>
          </w:tcPr>
          <w:p w14:paraId="2C43254A" w14:textId="77777777" w:rsidR="001D2769" w:rsidRPr="00274F3C" w:rsidRDefault="001D2769" w:rsidP="008E083E">
            <w:pPr>
              <w:pStyle w:val="Caption"/>
              <w:keepNext/>
              <w:keepLines/>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99%</w:t>
            </w:r>
          </w:p>
        </w:tc>
        <w:tc>
          <w:tcPr>
            <w:tcW w:w="833" w:type="pct"/>
            <w:shd w:val="clear" w:color="auto" w:fill="auto"/>
            <w:tcMar>
              <w:top w:w="10" w:type="dxa"/>
              <w:left w:w="10" w:type="dxa"/>
              <w:bottom w:w="0" w:type="dxa"/>
              <w:right w:w="10" w:type="dxa"/>
            </w:tcMar>
            <w:vAlign w:val="center"/>
            <w:hideMark/>
          </w:tcPr>
          <w:p w14:paraId="26FA653F" w14:textId="77777777" w:rsidR="001D2769" w:rsidRPr="00274F3C" w:rsidRDefault="001D2769" w:rsidP="008E083E">
            <w:pPr>
              <w:pStyle w:val="Caption"/>
              <w:keepNext/>
              <w:keepLines/>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100%</w:t>
            </w:r>
          </w:p>
        </w:tc>
        <w:tc>
          <w:tcPr>
            <w:tcW w:w="833" w:type="pct"/>
            <w:shd w:val="clear" w:color="auto" w:fill="auto"/>
            <w:tcMar>
              <w:top w:w="10" w:type="dxa"/>
              <w:left w:w="10" w:type="dxa"/>
              <w:bottom w:w="0" w:type="dxa"/>
              <w:right w:w="10" w:type="dxa"/>
            </w:tcMar>
            <w:vAlign w:val="center"/>
            <w:hideMark/>
          </w:tcPr>
          <w:p w14:paraId="6F0AE1CC" w14:textId="77777777" w:rsidR="001D2769" w:rsidRPr="00274F3C" w:rsidRDefault="001D2769" w:rsidP="008E083E">
            <w:pPr>
              <w:pStyle w:val="Caption"/>
              <w:keepNext/>
              <w:keepLines/>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105%</w:t>
            </w:r>
          </w:p>
        </w:tc>
        <w:tc>
          <w:tcPr>
            <w:tcW w:w="833" w:type="pct"/>
            <w:shd w:val="clear" w:color="auto" w:fill="auto"/>
            <w:tcMar>
              <w:top w:w="10" w:type="dxa"/>
              <w:left w:w="10" w:type="dxa"/>
              <w:bottom w:w="0" w:type="dxa"/>
              <w:right w:w="10" w:type="dxa"/>
            </w:tcMar>
            <w:vAlign w:val="center"/>
            <w:hideMark/>
          </w:tcPr>
          <w:p w14:paraId="0F854CFE" w14:textId="77777777" w:rsidR="001D2769" w:rsidRPr="00274F3C" w:rsidRDefault="001D2769" w:rsidP="008E083E">
            <w:pPr>
              <w:pStyle w:val="Caption"/>
              <w:keepNext/>
              <w:keepLines/>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113%</w:t>
            </w:r>
          </w:p>
        </w:tc>
      </w:tr>
    </w:tbl>
    <w:p w14:paraId="44D8305C" w14:textId="6DA1934E" w:rsidR="006C3F97" w:rsidRDefault="006C3F97" w:rsidP="00EF2596">
      <w:pPr>
        <w:pStyle w:val="Caption"/>
        <w:spacing w:before="240" w:after="120"/>
        <w:rPr>
          <w:rFonts w:asciiTheme="minorHAnsi" w:hAnsiTheme="minorHAnsi" w:cstheme="minorHAnsi"/>
          <w:b w:val="0"/>
          <w:color w:val="808080"/>
          <w:sz w:val="20"/>
        </w:rPr>
      </w:pPr>
      <w:bookmarkStart w:id="609" w:name="_Ref529778574"/>
    </w:p>
    <w:p w14:paraId="6A9CF96A" w14:textId="77777777" w:rsidR="006C3F97" w:rsidRDefault="006C3F97">
      <w:pPr>
        <w:widowControl/>
        <w:autoSpaceDE/>
        <w:autoSpaceDN/>
        <w:adjustRightInd/>
        <w:spacing w:after="200" w:line="276" w:lineRule="auto"/>
        <w:rPr>
          <w:rFonts w:asciiTheme="minorHAnsi" w:hAnsiTheme="minorHAnsi" w:cstheme="minorHAnsi"/>
          <w:bCs/>
          <w:color w:val="808080"/>
          <w:szCs w:val="18"/>
        </w:rPr>
      </w:pPr>
      <w:r>
        <w:rPr>
          <w:rFonts w:asciiTheme="minorHAnsi" w:hAnsiTheme="minorHAnsi" w:cstheme="minorHAnsi"/>
          <w:b/>
          <w:color w:val="808080"/>
        </w:rPr>
        <w:br w:type="page"/>
      </w:r>
    </w:p>
    <w:p w14:paraId="53371013" w14:textId="77777777" w:rsidR="001D2769" w:rsidRPr="00EF2596" w:rsidRDefault="00203727" w:rsidP="00EF2596">
      <w:pPr>
        <w:pStyle w:val="Caption"/>
        <w:spacing w:before="240" w:after="120"/>
        <w:rPr>
          <w:rFonts w:asciiTheme="minorHAnsi" w:hAnsiTheme="minorHAnsi" w:cstheme="minorHAnsi"/>
          <w:color w:val="808080"/>
          <w:sz w:val="20"/>
        </w:rPr>
      </w:pPr>
      <w:r w:rsidRPr="00EF2596">
        <w:rPr>
          <w:rFonts w:asciiTheme="minorHAnsi" w:hAnsiTheme="minorHAnsi" w:cstheme="minorHAnsi"/>
          <w:b w:val="0"/>
          <w:color w:val="808080"/>
          <w:sz w:val="20"/>
        </w:rPr>
        <w:t xml:space="preserve">Table </w:t>
      </w:r>
      <w:r w:rsidRPr="00EF2596">
        <w:rPr>
          <w:rFonts w:asciiTheme="minorHAnsi" w:hAnsiTheme="minorHAnsi" w:cstheme="minorHAnsi"/>
          <w:b w:val="0"/>
          <w:color w:val="808080"/>
          <w:sz w:val="20"/>
        </w:rPr>
        <w:fldChar w:fldCharType="begin"/>
      </w:r>
      <w:r w:rsidRPr="00EF2596">
        <w:rPr>
          <w:rFonts w:asciiTheme="minorHAnsi" w:hAnsiTheme="minorHAnsi" w:cstheme="minorHAnsi"/>
          <w:b w:val="0"/>
          <w:color w:val="808080"/>
          <w:sz w:val="20"/>
        </w:rPr>
        <w:instrText xml:space="preserve"> SEQ Table \* ARABIC </w:instrText>
      </w:r>
      <w:r w:rsidRPr="00EF2596">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12</w:t>
      </w:r>
      <w:r w:rsidRPr="00EF2596">
        <w:rPr>
          <w:rFonts w:asciiTheme="minorHAnsi" w:hAnsiTheme="minorHAnsi" w:cstheme="minorHAnsi"/>
          <w:b w:val="0"/>
          <w:color w:val="808080"/>
          <w:sz w:val="20"/>
        </w:rPr>
        <w:fldChar w:fldCharType="end"/>
      </w:r>
      <w:bookmarkEnd w:id="609"/>
      <w:r w:rsidR="001D2769" w:rsidRPr="00EF2596">
        <w:rPr>
          <w:rFonts w:asciiTheme="minorHAnsi" w:hAnsiTheme="minorHAnsi" w:cstheme="minorHAnsi"/>
          <w:b w:val="0"/>
          <w:color w:val="808080"/>
          <w:sz w:val="20"/>
        </w:rPr>
        <w:t xml:space="preserve">: Year on year growth for number of patients on dialysis that are transplanted from 2013 – 2016, SOURCE: </w:t>
      </w:r>
      <w:r w:rsidR="00AD08DD">
        <w:rPr>
          <w:rFonts w:asciiTheme="minorHAnsi" w:hAnsiTheme="minorHAnsi" w:cstheme="minorHAnsi"/>
          <w:b w:val="0"/>
          <w:color w:val="808080"/>
          <w:sz w:val="20"/>
        </w:rPr>
        <w:t>ANZDATA</w:t>
      </w:r>
      <w:r w:rsidR="00CE5FC6">
        <w:rPr>
          <w:rStyle w:val="FootnoteReference"/>
          <w:rFonts w:cstheme="minorHAnsi"/>
          <w:b w:val="0"/>
          <w:color w:val="808080"/>
        </w:rPr>
        <w:footnoteReference w:id="97"/>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600" w:firstRow="0" w:lastRow="0" w:firstColumn="0" w:lastColumn="0" w:noHBand="1" w:noVBand="1"/>
        <w:tblDescription w:val="Table 12 is a list year on year growth for number of patients on dialysis that are transplanted from 2013-2016.  This table contains 6 heading columns: column 1. year, 2. major cities, 3. inner regional, 4. outer regional, 5. remote and 6. very remote."/>
      </w:tblPr>
      <w:tblGrid>
        <w:gridCol w:w="1607"/>
        <w:gridCol w:w="1598"/>
        <w:gridCol w:w="1600"/>
        <w:gridCol w:w="1600"/>
        <w:gridCol w:w="1600"/>
        <w:gridCol w:w="1600"/>
      </w:tblGrid>
      <w:tr w:rsidR="001D2769" w:rsidRPr="001D2769" w14:paraId="3AA3FA40" w14:textId="77777777" w:rsidTr="008E083E">
        <w:trPr>
          <w:trHeight w:val="20"/>
        </w:trPr>
        <w:tc>
          <w:tcPr>
            <w:tcW w:w="836" w:type="pct"/>
            <w:shd w:val="clear" w:color="auto" w:fill="595959" w:themeFill="text1" w:themeFillTint="A6"/>
            <w:tcMar>
              <w:top w:w="10" w:type="dxa"/>
              <w:left w:w="10" w:type="dxa"/>
              <w:bottom w:w="0" w:type="dxa"/>
              <w:right w:w="10" w:type="dxa"/>
            </w:tcMar>
            <w:vAlign w:val="center"/>
            <w:hideMark/>
          </w:tcPr>
          <w:p w14:paraId="027091E2" w14:textId="77777777" w:rsidR="001D2769" w:rsidRPr="00EF2596" w:rsidRDefault="006F704B" w:rsidP="003A517E">
            <w:pPr>
              <w:tabs>
                <w:tab w:val="num" w:pos="720"/>
              </w:tabs>
              <w:spacing w:before="40" w:after="40"/>
              <w:ind w:left="125"/>
              <w:rPr>
                <w:rFonts w:asciiTheme="minorHAnsi" w:hAnsiTheme="minorHAnsi" w:cstheme="minorHAnsi"/>
                <w:color w:val="FFFFFF" w:themeColor="background1"/>
              </w:rPr>
            </w:pPr>
            <w:r w:rsidRPr="003A517E">
              <w:rPr>
                <w:rFonts w:asciiTheme="minorHAnsi" w:hAnsiTheme="minorHAnsi" w:cstheme="minorHAnsi"/>
                <w:b/>
                <w:color w:val="FFFFFF" w:themeColor="background1"/>
                <w:szCs w:val="22"/>
              </w:rPr>
              <w:t xml:space="preserve">Year </w:t>
            </w:r>
          </w:p>
        </w:tc>
        <w:tc>
          <w:tcPr>
            <w:tcW w:w="832" w:type="pct"/>
            <w:shd w:val="clear" w:color="auto" w:fill="595959" w:themeFill="text1" w:themeFillTint="A6"/>
            <w:tcMar>
              <w:top w:w="10" w:type="dxa"/>
              <w:left w:w="10" w:type="dxa"/>
              <w:bottom w:w="0" w:type="dxa"/>
              <w:right w:w="10" w:type="dxa"/>
            </w:tcMar>
            <w:vAlign w:val="center"/>
            <w:hideMark/>
          </w:tcPr>
          <w:p w14:paraId="33992A93" w14:textId="77777777" w:rsidR="001D2769" w:rsidRPr="00EF2596" w:rsidRDefault="001D2769" w:rsidP="008E083E">
            <w:pPr>
              <w:pStyle w:val="Caption"/>
              <w:spacing w:before="40" w:after="40"/>
              <w:jc w:val="center"/>
              <w:rPr>
                <w:rFonts w:asciiTheme="minorHAnsi" w:hAnsiTheme="minorHAnsi" w:cstheme="minorHAnsi"/>
                <w:color w:val="FFFFFF" w:themeColor="background1"/>
                <w:sz w:val="20"/>
              </w:rPr>
            </w:pPr>
            <w:r w:rsidRPr="00EF2596">
              <w:rPr>
                <w:rFonts w:asciiTheme="minorHAnsi" w:hAnsiTheme="minorHAnsi" w:cstheme="minorHAnsi"/>
                <w:color w:val="FFFFFF" w:themeColor="background1"/>
                <w:sz w:val="20"/>
              </w:rPr>
              <w:t>Major city</w:t>
            </w:r>
          </w:p>
        </w:tc>
        <w:tc>
          <w:tcPr>
            <w:tcW w:w="833" w:type="pct"/>
            <w:shd w:val="clear" w:color="auto" w:fill="595959" w:themeFill="text1" w:themeFillTint="A6"/>
            <w:tcMar>
              <w:top w:w="10" w:type="dxa"/>
              <w:left w:w="10" w:type="dxa"/>
              <w:bottom w:w="0" w:type="dxa"/>
              <w:right w:w="10" w:type="dxa"/>
            </w:tcMar>
            <w:vAlign w:val="center"/>
            <w:hideMark/>
          </w:tcPr>
          <w:p w14:paraId="160307F9" w14:textId="77777777" w:rsidR="001D2769" w:rsidRPr="00EF2596" w:rsidRDefault="00636B36" w:rsidP="008E083E">
            <w:pPr>
              <w:pStyle w:val="Caption"/>
              <w:spacing w:before="40" w:after="4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I</w:t>
            </w:r>
            <w:r w:rsidR="001D2769" w:rsidRPr="00EF2596">
              <w:rPr>
                <w:rFonts w:asciiTheme="minorHAnsi" w:hAnsiTheme="minorHAnsi" w:cstheme="minorHAnsi"/>
                <w:color w:val="FFFFFF" w:themeColor="background1"/>
                <w:sz w:val="20"/>
              </w:rPr>
              <w:t>nner regional</w:t>
            </w:r>
          </w:p>
        </w:tc>
        <w:tc>
          <w:tcPr>
            <w:tcW w:w="833" w:type="pct"/>
            <w:shd w:val="clear" w:color="auto" w:fill="595959" w:themeFill="text1" w:themeFillTint="A6"/>
            <w:tcMar>
              <w:top w:w="10" w:type="dxa"/>
              <w:left w:w="10" w:type="dxa"/>
              <w:bottom w:w="0" w:type="dxa"/>
              <w:right w:w="10" w:type="dxa"/>
            </w:tcMar>
            <w:vAlign w:val="center"/>
            <w:hideMark/>
          </w:tcPr>
          <w:p w14:paraId="0D559947" w14:textId="77777777" w:rsidR="001D2769" w:rsidRPr="00EF2596" w:rsidRDefault="00636B36" w:rsidP="008E083E">
            <w:pPr>
              <w:pStyle w:val="Caption"/>
              <w:spacing w:before="40" w:after="4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O</w:t>
            </w:r>
            <w:r w:rsidR="001D2769" w:rsidRPr="00EF2596">
              <w:rPr>
                <w:rFonts w:asciiTheme="minorHAnsi" w:hAnsiTheme="minorHAnsi" w:cstheme="minorHAnsi"/>
                <w:color w:val="FFFFFF" w:themeColor="background1"/>
                <w:sz w:val="20"/>
              </w:rPr>
              <w:t>uter regional</w:t>
            </w:r>
          </w:p>
        </w:tc>
        <w:tc>
          <w:tcPr>
            <w:tcW w:w="833" w:type="pct"/>
            <w:shd w:val="clear" w:color="auto" w:fill="595959" w:themeFill="text1" w:themeFillTint="A6"/>
            <w:tcMar>
              <w:top w:w="10" w:type="dxa"/>
              <w:left w:w="10" w:type="dxa"/>
              <w:bottom w:w="0" w:type="dxa"/>
              <w:right w:w="10" w:type="dxa"/>
            </w:tcMar>
            <w:vAlign w:val="center"/>
            <w:hideMark/>
          </w:tcPr>
          <w:p w14:paraId="27E5E6A7" w14:textId="77777777" w:rsidR="001D2769" w:rsidRPr="00EF2596" w:rsidRDefault="00636B36" w:rsidP="008E083E">
            <w:pPr>
              <w:pStyle w:val="Caption"/>
              <w:spacing w:before="40" w:after="4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R</w:t>
            </w:r>
            <w:r w:rsidR="001D2769" w:rsidRPr="00EF2596">
              <w:rPr>
                <w:rFonts w:asciiTheme="minorHAnsi" w:hAnsiTheme="minorHAnsi" w:cstheme="minorHAnsi"/>
                <w:color w:val="FFFFFF" w:themeColor="background1"/>
                <w:sz w:val="20"/>
              </w:rPr>
              <w:t>emote</w:t>
            </w:r>
          </w:p>
        </w:tc>
        <w:tc>
          <w:tcPr>
            <w:tcW w:w="833" w:type="pct"/>
            <w:shd w:val="clear" w:color="auto" w:fill="595959" w:themeFill="text1" w:themeFillTint="A6"/>
            <w:tcMar>
              <w:top w:w="10" w:type="dxa"/>
              <w:left w:w="10" w:type="dxa"/>
              <w:bottom w:w="0" w:type="dxa"/>
              <w:right w:w="10" w:type="dxa"/>
            </w:tcMar>
            <w:vAlign w:val="center"/>
            <w:hideMark/>
          </w:tcPr>
          <w:p w14:paraId="39CE4E70" w14:textId="77777777" w:rsidR="001D2769" w:rsidRPr="00EF2596" w:rsidRDefault="00636B36" w:rsidP="008E083E">
            <w:pPr>
              <w:pStyle w:val="Caption"/>
              <w:spacing w:before="40" w:after="4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V</w:t>
            </w:r>
            <w:r w:rsidR="001D2769" w:rsidRPr="00EF2596">
              <w:rPr>
                <w:rFonts w:asciiTheme="minorHAnsi" w:hAnsiTheme="minorHAnsi" w:cstheme="minorHAnsi"/>
                <w:color w:val="FFFFFF" w:themeColor="background1"/>
                <w:sz w:val="20"/>
              </w:rPr>
              <w:t>ery remote</w:t>
            </w:r>
          </w:p>
        </w:tc>
      </w:tr>
      <w:tr w:rsidR="001D2769" w:rsidRPr="001D2769" w14:paraId="63FDC2B6" w14:textId="77777777" w:rsidTr="008E083E">
        <w:trPr>
          <w:trHeight w:val="20"/>
        </w:trPr>
        <w:tc>
          <w:tcPr>
            <w:tcW w:w="836" w:type="pct"/>
            <w:shd w:val="clear" w:color="auto" w:fill="auto"/>
            <w:tcMar>
              <w:top w:w="10" w:type="dxa"/>
              <w:left w:w="10" w:type="dxa"/>
              <w:bottom w:w="0" w:type="dxa"/>
              <w:right w:w="10" w:type="dxa"/>
            </w:tcMar>
            <w:vAlign w:val="center"/>
            <w:hideMark/>
          </w:tcPr>
          <w:p w14:paraId="3FC441BE" w14:textId="77777777" w:rsidR="001D2769" w:rsidRPr="00EF2596" w:rsidRDefault="001D2769" w:rsidP="008E083E">
            <w:pPr>
              <w:pStyle w:val="Caption"/>
              <w:spacing w:before="40" w:after="40"/>
              <w:ind w:left="127"/>
              <w:rPr>
                <w:rFonts w:asciiTheme="minorHAnsi" w:hAnsiTheme="minorHAnsi" w:cstheme="minorHAnsi"/>
                <w:b w:val="0"/>
                <w:color w:val="auto"/>
                <w:sz w:val="20"/>
              </w:rPr>
            </w:pPr>
            <w:r w:rsidRPr="00EF2596">
              <w:rPr>
                <w:rFonts w:asciiTheme="minorHAnsi" w:hAnsiTheme="minorHAnsi" w:cstheme="minorHAnsi"/>
                <w:b w:val="0"/>
                <w:color w:val="auto"/>
                <w:sz w:val="20"/>
              </w:rPr>
              <w:t>2014</w:t>
            </w:r>
          </w:p>
        </w:tc>
        <w:tc>
          <w:tcPr>
            <w:tcW w:w="832" w:type="pct"/>
            <w:shd w:val="clear" w:color="auto" w:fill="auto"/>
            <w:tcMar>
              <w:top w:w="10" w:type="dxa"/>
              <w:left w:w="10" w:type="dxa"/>
              <w:bottom w:w="0" w:type="dxa"/>
              <w:right w:w="10" w:type="dxa"/>
            </w:tcMar>
            <w:vAlign w:val="center"/>
            <w:hideMark/>
          </w:tcPr>
          <w:p w14:paraId="671ADD5A" w14:textId="77777777" w:rsidR="001D2769" w:rsidRPr="00274F3C" w:rsidRDefault="001D2769" w:rsidP="008E083E">
            <w:pPr>
              <w:pStyle w:val="Caption"/>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100%</w:t>
            </w:r>
          </w:p>
        </w:tc>
        <w:tc>
          <w:tcPr>
            <w:tcW w:w="833" w:type="pct"/>
            <w:shd w:val="clear" w:color="auto" w:fill="auto"/>
            <w:tcMar>
              <w:top w:w="10" w:type="dxa"/>
              <w:left w:w="10" w:type="dxa"/>
              <w:bottom w:w="0" w:type="dxa"/>
              <w:right w:w="10" w:type="dxa"/>
            </w:tcMar>
            <w:vAlign w:val="center"/>
            <w:hideMark/>
          </w:tcPr>
          <w:p w14:paraId="0CAAC2E7" w14:textId="77777777" w:rsidR="001D2769" w:rsidRPr="00274F3C" w:rsidRDefault="001D2769" w:rsidP="008E083E">
            <w:pPr>
              <w:pStyle w:val="Caption"/>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119%</w:t>
            </w:r>
          </w:p>
        </w:tc>
        <w:tc>
          <w:tcPr>
            <w:tcW w:w="833" w:type="pct"/>
            <w:shd w:val="clear" w:color="auto" w:fill="auto"/>
            <w:tcMar>
              <w:top w:w="10" w:type="dxa"/>
              <w:left w:w="10" w:type="dxa"/>
              <w:bottom w:w="0" w:type="dxa"/>
              <w:right w:w="10" w:type="dxa"/>
            </w:tcMar>
            <w:vAlign w:val="center"/>
            <w:hideMark/>
          </w:tcPr>
          <w:p w14:paraId="0E03DF67" w14:textId="77777777" w:rsidR="001D2769" w:rsidRPr="00274F3C" w:rsidRDefault="001D2769" w:rsidP="008E083E">
            <w:pPr>
              <w:pStyle w:val="Caption"/>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96%</w:t>
            </w:r>
          </w:p>
        </w:tc>
        <w:tc>
          <w:tcPr>
            <w:tcW w:w="833" w:type="pct"/>
            <w:shd w:val="clear" w:color="auto" w:fill="auto"/>
            <w:tcMar>
              <w:top w:w="10" w:type="dxa"/>
              <w:left w:w="10" w:type="dxa"/>
              <w:bottom w:w="0" w:type="dxa"/>
              <w:right w:w="10" w:type="dxa"/>
            </w:tcMar>
            <w:vAlign w:val="center"/>
            <w:hideMark/>
          </w:tcPr>
          <w:p w14:paraId="459E30D5" w14:textId="77777777" w:rsidR="001D2769" w:rsidRPr="00274F3C" w:rsidRDefault="001D2769" w:rsidP="008E083E">
            <w:pPr>
              <w:pStyle w:val="Caption"/>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100%</w:t>
            </w:r>
          </w:p>
        </w:tc>
        <w:tc>
          <w:tcPr>
            <w:tcW w:w="833" w:type="pct"/>
            <w:shd w:val="clear" w:color="auto" w:fill="auto"/>
            <w:tcMar>
              <w:top w:w="10" w:type="dxa"/>
              <w:left w:w="10" w:type="dxa"/>
              <w:bottom w:w="0" w:type="dxa"/>
              <w:right w:w="10" w:type="dxa"/>
            </w:tcMar>
            <w:vAlign w:val="center"/>
            <w:hideMark/>
          </w:tcPr>
          <w:p w14:paraId="60C440FB" w14:textId="77777777" w:rsidR="001D2769" w:rsidRPr="00274F3C" w:rsidRDefault="001D2769" w:rsidP="008E083E">
            <w:pPr>
              <w:pStyle w:val="Caption"/>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40%</w:t>
            </w:r>
          </w:p>
        </w:tc>
      </w:tr>
      <w:tr w:rsidR="001D2769" w:rsidRPr="001D2769" w14:paraId="0FC86AE8" w14:textId="77777777" w:rsidTr="008E083E">
        <w:trPr>
          <w:trHeight w:val="20"/>
        </w:trPr>
        <w:tc>
          <w:tcPr>
            <w:tcW w:w="836" w:type="pct"/>
            <w:shd w:val="clear" w:color="auto" w:fill="auto"/>
            <w:tcMar>
              <w:top w:w="10" w:type="dxa"/>
              <w:left w:w="10" w:type="dxa"/>
              <w:bottom w:w="0" w:type="dxa"/>
              <w:right w:w="10" w:type="dxa"/>
            </w:tcMar>
            <w:vAlign w:val="center"/>
            <w:hideMark/>
          </w:tcPr>
          <w:p w14:paraId="19239EAE" w14:textId="77777777" w:rsidR="001D2769" w:rsidRPr="00EF2596" w:rsidRDefault="001D2769" w:rsidP="008E083E">
            <w:pPr>
              <w:pStyle w:val="Caption"/>
              <w:spacing w:before="40" w:after="40"/>
              <w:ind w:left="127"/>
              <w:rPr>
                <w:rFonts w:asciiTheme="minorHAnsi" w:hAnsiTheme="minorHAnsi" w:cstheme="minorHAnsi"/>
                <w:b w:val="0"/>
                <w:color w:val="auto"/>
                <w:sz w:val="20"/>
              </w:rPr>
            </w:pPr>
            <w:r w:rsidRPr="00EF2596">
              <w:rPr>
                <w:rFonts w:asciiTheme="minorHAnsi" w:hAnsiTheme="minorHAnsi" w:cstheme="minorHAnsi"/>
                <w:b w:val="0"/>
                <w:color w:val="auto"/>
                <w:sz w:val="20"/>
              </w:rPr>
              <w:t>2015</w:t>
            </w:r>
          </w:p>
        </w:tc>
        <w:tc>
          <w:tcPr>
            <w:tcW w:w="832" w:type="pct"/>
            <w:shd w:val="clear" w:color="auto" w:fill="auto"/>
            <w:tcMar>
              <w:top w:w="10" w:type="dxa"/>
              <w:left w:w="10" w:type="dxa"/>
              <w:bottom w:w="0" w:type="dxa"/>
              <w:right w:w="10" w:type="dxa"/>
            </w:tcMar>
            <w:vAlign w:val="center"/>
            <w:hideMark/>
          </w:tcPr>
          <w:p w14:paraId="068B3588" w14:textId="77777777" w:rsidR="001D2769" w:rsidRPr="00274F3C" w:rsidRDefault="001D2769" w:rsidP="008E083E">
            <w:pPr>
              <w:pStyle w:val="Caption"/>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111%</w:t>
            </w:r>
          </w:p>
        </w:tc>
        <w:tc>
          <w:tcPr>
            <w:tcW w:w="833" w:type="pct"/>
            <w:shd w:val="clear" w:color="auto" w:fill="auto"/>
            <w:tcMar>
              <w:top w:w="10" w:type="dxa"/>
              <w:left w:w="10" w:type="dxa"/>
              <w:bottom w:w="0" w:type="dxa"/>
              <w:right w:w="10" w:type="dxa"/>
            </w:tcMar>
            <w:vAlign w:val="center"/>
            <w:hideMark/>
          </w:tcPr>
          <w:p w14:paraId="25915E5A" w14:textId="77777777" w:rsidR="001D2769" w:rsidRPr="00274F3C" w:rsidRDefault="001D2769" w:rsidP="008E083E">
            <w:pPr>
              <w:pStyle w:val="Caption"/>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88%</w:t>
            </w:r>
          </w:p>
        </w:tc>
        <w:tc>
          <w:tcPr>
            <w:tcW w:w="833" w:type="pct"/>
            <w:shd w:val="clear" w:color="auto" w:fill="auto"/>
            <w:tcMar>
              <w:top w:w="10" w:type="dxa"/>
              <w:left w:w="10" w:type="dxa"/>
              <w:bottom w:w="0" w:type="dxa"/>
              <w:right w:w="10" w:type="dxa"/>
            </w:tcMar>
            <w:vAlign w:val="center"/>
            <w:hideMark/>
          </w:tcPr>
          <w:p w14:paraId="54DD6229" w14:textId="77777777" w:rsidR="001D2769" w:rsidRPr="00274F3C" w:rsidRDefault="001D2769" w:rsidP="008E083E">
            <w:pPr>
              <w:pStyle w:val="Caption"/>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88%</w:t>
            </w:r>
          </w:p>
        </w:tc>
        <w:tc>
          <w:tcPr>
            <w:tcW w:w="833" w:type="pct"/>
            <w:shd w:val="clear" w:color="auto" w:fill="auto"/>
            <w:tcMar>
              <w:top w:w="10" w:type="dxa"/>
              <w:left w:w="10" w:type="dxa"/>
              <w:bottom w:w="0" w:type="dxa"/>
              <w:right w:w="10" w:type="dxa"/>
            </w:tcMar>
            <w:vAlign w:val="center"/>
            <w:hideMark/>
          </w:tcPr>
          <w:p w14:paraId="4C0B92F7" w14:textId="77777777" w:rsidR="001D2769" w:rsidRPr="00274F3C" w:rsidRDefault="001D2769" w:rsidP="008E083E">
            <w:pPr>
              <w:pStyle w:val="Caption"/>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75%</w:t>
            </w:r>
          </w:p>
        </w:tc>
        <w:tc>
          <w:tcPr>
            <w:tcW w:w="833" w:type="pct"/>
            <w:shd w:val="clear" w:color="auto" w:fill="auto"/>
            <w:tcMar>
              <w:top w:w="10" w:type="dxa"/>
              <w:left w:w="10" w:type="dxa"/>
              <w:bottom w:w="0" w:type="dxa"/>
              <w:right w:w="10" w:type="dxa"/>
            </w:tcMar>
            <w:vAlign w:val="center"/>
            <w:hideMark/>
          </w:tcPr>
          <w:p w14:paraId="7311DFED" w14:textId="77777777" w:rsidR="001D2769" w:rsidRPr="00274F3C" w:rsidRDefault="001D2769" w:rsidP="008E083E">
            <w:pPr>
              <w:pStyle w:val="Caption"/>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200%</w:t>
            </w:r>
          </w:p>
        </w:tc>
      </w:tr>
      <w:tr w:rsidR="001D2769" w:rsidRPr="00173ACF" w14:paraId="65BB5811" w14:textId="77777777" w:rsidTr="008E083E">
        <w:trPr>
          <w:trHeight w:val="20"/>
        </w:trPr>
        <w:tc>
          <w:tcPr>
            <w:tcW w:w="836" w:type="pct"/>
            <w:shd w:val="clear" w:color="auto" w:fill="auto"/>
            <w:tcMar>
              <w:top w:w="10" w:type="dxa"/>
              <w:left w:w="10" w:type="dxa"/>
              <w:bottom w:w="0" w:type="dxa"/>
              <w:right w:w="10" w:type="dxa"/>
            </w:tcMar>
            <w:vAlign w:val="center"/>
            <w:hideMark/>
          </w:tcPr>
          <w:p w14:paraId="16B9F7A9" w14:textId="77777777" w:rsidR="001D2769" w:rsidRPr="00EF2596" w:rsidRDefault="001D2769" w:rsidP="008E083E">
            <w:pPr>
              <w:pStyle w:val="Caption"/>
              <w:spacing w:before="40" w:after="40"/>
              <w:ind w:left="127"/>
              <w:rPr>
                <w:rFonts w:asciiTheme="minorHAnsi" w:hAnsiTheme="minorHAnsi" w:cstheme="minorHAnsi"/>
                <w:b w:val="0"/>
                <w:color w:val="auto"/>
                <w:sz w:val="20"/>
              </w:rPr>
            </w:pPr>
            <w:r w:rsidRPr="00EF2596">
              <w:rPr>
                <w:rFonts w:asciiTheme="minorHAnsi" w:hAnsiTheme="minorHAnsi" w:cstheme="minorHAnsi"/>
                <w:b w:val="0"/>
                <w:color w:val="auto"/>
                <w:sz w:val="20"/>
              </w:rPr>
              <w:t>2016</w:t>
            </w:r>
          </w:p>
        </w:tc>
        <w:tc>
          <w:tcPr>
            <w:tcW w:w="832" w:type="pct"/>
            <w:shd w:val="clear" w:color="auto" w:fill="auto"/>
            <w:tcMar>
              <w:top w:w="10" w:type="dxa"/>
              <w:left w:w="10" w:type="dxa"/>
              <w:bottom w:w="0" w:type="dxa"/>
              <w:right w:w="10" w:type="dxa"/>
            </w:tcMar>
            <w:vAlign w:val="center"/>
            <w:hideMark/>
          </w:tcPr>
          <w:p w14:paraId="775EDCC4" w14:textId="77777777" w:rsidR="001D2769" w:rsidRPr="00274F3C" w:rsidRDefault="001D2769" w:rsidP="008E083E">
            <w:pPr>
              <w:pStyle w:val="Caption"/>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108%</w:t>
            </w:r>
          </w:p>
        </w:tc>
        <w:tc>
          <w:tcPr>
            <w:tcW w:w="833" w:type="pct"/>
            <w:shd w:val="clear" w:color="auto" w:fill="auto"/>
            <w:tcMar>
              <w:top w:w="10" w:type="dxa"/>
              <w:left w:w="10" w:type="dxa"/>
              <w:bottom w:w="0" w:type="dxa"/>
              <w:right w:w="10" w:type="dxa"/>
            </w:tcMar>
            <w:vAlign w:val="center"/>
            <w:hideMark/>
          </w:tcPr>
          <w:p w14:paraId="0D484B42" w14:textId="77777777" w:rsidR="001D2769" w:rsidRPr="00274F3C" w:rsidRDefault="001D2769" w:rsidP="008E083E">
            <w:pPr>
              <w:pStyle w:val="Caption"/>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129%</w:t>
            </w:r>
          </w:p>
        </w:tc>
        <w:tc>
          <w:tcPr>
            <w:tcW w:w="833" w:type="pct"/>
            <w:shd w:val="clear" w:color="auto" w:fill="auto"/>
            <w:tcMar>
              <w:top w:w="10" w:type="dxa"/>
              <w:left w:w="10" w:type="dxa"/>
              <w:bottom w:w="0" w:type="dxa"/>
              <w:right w:w="10" w:type="dxa"/>
            </w:tcMar>
            <w:vAlign w:val="center"/>
            <w:hideMark/>
          </w:tcPr>
          <w:p w14:paraId="297BE6CA" w14:textId="77777777" w:rsidR="001D2769" w:rsidRPr="00274F3C" w:rsidRDefault="001D2769" w:rsidP="008E083E">
            <w:pPr>
              <w:pStyle w:val="Caption"/>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149%</w:t>
            </w:r>
          </w:p>
        </w:tc>
        <w:tc>
          <w:tcPr>
            <w:tcW w:w="833" w:type="pct"/>
            <w:shd w:val="clear" w:color="auto" w:fill="auto"/>
            <w:tcMar>
              <w:top w:w="10" w:type="dxa"/>
              <w:left w:w="10" w:type="dxa"/>
              <w:bottom w:w="0" w:type="dxa"/>
              <w:right w:w="10" w:type="dxa"/>
            </w:tcMar>
            <w:vAlign w:val="center"/>
            <w:hideMark/>
          </w:tcPr>
          <w:p w14:paraId="1151959F" w14:textId="77777777" w:rsidR="001D2769" w:rsidRPr="00274F3C" w:rsidRDefault="001D2769" w:rsidP="008E083E">
            <w:pPr>
              <w:pStyle w:val="Caption"/>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111%</w:t>
            </w:r>
          </w:p>
        </w:tc>
        <w:tc>
          <w:tcPr>
            <w:tcW w:w="833" w:type="pct"/>
            <w:shd w:val="clear" w:color="auto" w:fill="auto"/>
            <w:tcMar>
              <w:top w:w="10" w:type="dxa"/>
              <w:left w:w="10" w:type="dxa"/>
              <w:bottom w:w="0" w:type="dxa"/>
              <w:right w:w="10" w:type="dxa"/>
            </w:tcMar>
            <w:vAlign w:val="center"/>
            <w:hideMark/>
          </w:tcPr>
          <w:p w14:paraId="01E5BE1F" w14:textId="77777777" w:rsidR="001D2769" w:rsidRPr="00274F3C" w:rsidRDefault="001D2769" w:rsidP="008E083E">
            <w:pPr>
              <w:pStyle w:val="Caption"/>
              <w:spacing w:before="40" w:after="40"/>
              <w:jc w:val="center"/>
              <w:rPr>
                <w:rFonts w:asciiTheme="minorHAnsi" w:hAnsiTheme="minorHAnsi" w:cstheme="minorHAnsi"/>
                <w:b w:val="0"/>
                <w:color w:val="auto"/>
                <w:sz w:val="20"/>
              </w:rPr>
            </w:pPr>
            <w:r w:rsidRPr="00274F3C">
              <w:rPr>
                <w:rFonts w:asciiTheme="minorHAnsi" w:hAnsiTheme="minorHAnsi" w:cstheme="minorHAnsi"/>
                <w:b w:val="0"/>
                <w:color w:val="auto"/>
                <w:sz w:val="20"/>
              </w:rPr>
              <w:t>200%</w:t>
            </w:r>
          </w:p>
        </w:tc>
      </w:tr>
    </w:tbl>
    <w:p w14:paraId="5F2E75D8" w14:textId="77777777" w:rsidR="004616C9" w:rsidRDefault="004616C9" w:rsidP="00EF2596">
      <w:pPr>
        <w:tabs>
          <w:tab w:val="num" w:pos="720"/>
        </w:tabs>
        <w:spacing w:before="240" w:after="120"/>
        <w:rPr>
          <w:rFonts w:asciiTheme="minorHAnsi" w:hAnsiTheme="minorHAnsi" w:cstheme="minorHAnsi"/>
          <w:color w:val="7F7F7F" w:themeColor="text1" w:themeTint="80"/>
          <w:sz w:val="24"/>
          <w:szCs w:val="22"/>
          <w:lang w:val="en-GB"/>
        </w:rPr>
      </w:pPr>
      <w:r>
        <w:rPr>
          <w:rFonts w:asciiTheme="minorHAnsi" w:hAnsiTheme="minorHAnsi" w:cstheme="minorHAnsi"/>
          <w:color w:val="7F7F7F" w:themeColor="text1" w:themeTint="80"/>
          <w:sz w:val="24"/>
          <w:szCs w:val="22"/>
          <w:lang w:val="en-GB"/>
        </w:rPr>
        <w:t>Access to assessment for culturally and linguistically diverse populations</w:t>
      </w:r>
    </w:p>
    <w:p w14:paraId="146BBF01" w14:textId="77777777" w:rsidR="00E075BE" w:rsidRPr="00EF2596" w:rsidRDefault="004616C9" w:rsidP="00C30067">
      <w:pPr>
        <w:tabs>
          <w:tab w:val="num" w:pos="720"/>
        </w:tabs>
        <w:spacing w:after="120"/>
        <w:rPr>
          <w:rFonts w:asciiTheme="minorHAnsi" w:hAnsiTheme="minorHAnsi" w:cstheme="minorHAnsi"/>
          <w:sz w:val="24"/>
          <w:szCs w:val="22"/>
          <w:lang w:val="en-GB"/>
        </w:rPr>
      </w:pPr>
      <w:r w:rsidRPr="00EF2596">
        <w:rPr>
          <w:rFonts w:asciiTheme="minorHAnsi" w:hAnsiTheme="minorHAnsi" w:cstheme="minorHAnsi"/>
          <w:sz w:val="24"/>
          <w:szCs w:val="22"/>
          <w:lang w:val="en-GB"/>
        </w:rPr>
        <w:t>The Review noted that</w:t>
      </w:r>
      <w:r w:rsidR="00273538">
        <w:rPr>
          <w:rFonts w:asciiTheme="minorHAnsi" w:hAnsiTheme="minorHAnsi" w:cstheme="minorHAnsi"/>
          <w:sz w:val="24"/>
          <w:szCs w:val="22"/>
          <w:lang w:val="en-GB"/>
        </w:rPr>
        <w:t xml:space="preserve"> it was reported that</w:t>
      </w:r>
      <w:r w:rsidRPr="00EF2596">
        <w:rPr>
          <w:rFonts w:asciiTheme="minorHAnsi" w:hAnsiTheme="minorHAnsi" w:cstheme="minorHAnsi"/>
          <w:sz w:val="24"/>
          <w:szCs w:val="22"/>
          <w:lang w:val="en-GB"/>
        </w:rPr>
        <w:t xml:space="preserve"> culturally and linguistically diverse populations </w:t>
      </w:r>
      <w:r w:rsidR="000E57E9">
        <w:rPr>
          <w:rFonts w:asciiTheme="minorHAnsi" w:hAnsiTheme="minorHAnsi" w:cstheme="minorHAnsi"/>
          <w:sz w:val="24"/>
          <w:szCs w:val="22"/>
          <w:lang w:val="en-GB"/>
        </w:rPr>
        <w:t>can</w:t>
      </w:r>
      <w:r w:rsidRPr="00EF2596">
        <w:rPr>
          <w:rFonts w:asciiTheme="minorHAnsi" w:hAnsiTheme="minorHAnsi" w:cstheme="minorHAnsi"/>
          <w:sz w:val="24"/>
          <w:szCs w:val="22"/>
          <w:lang w:val="en-GB"/>
        </w:rPr>
        <w:t xml:space="preserve"> experience barriers to </w:t>
      </w:r>
      <w:r w:rsidR="005F288B" w:rsidRPr="00EF2596">
        <w:rPr>
          <w:rFonts w:asciiTheme="minorHAnsi" w:hAnsiTheme="minorHAnsi" w:cstheme="minorHAnsi"/>
          <w:sz w:val="24"/>
          <w:szCs w:val="22"/>
          <w:lang w:val="en-GB"/>
        </w:rPr>
        <w:t>access</w:t>
      </w:r>
      <w:r w:rsidR="00C40AF1">
        <w:rPr>
          <w:rFonts w:asciiTheme="minorHAnsi" w:hAnsiTheme="minorHAnsi" w:cstheme="minorHAnsi"/>
          <w:sz w:val="24"/>
          <w:szCs w:val="22"/>
          <w:lang w:val="en-GB"/>
        </w:rPr>
        <w:t>ing</w:t>
      </w:r>
      <w:r w:rsidR="005F288B" w:rsidRPr="00EF2596">
        <w:rPr>
          <w:rFonts w:asciiTheme="minorHAnsi" w:hAnsiTheme="minorHAnsi" w:cstheme="minorHAnsi"/>
          <w:sz w:val="24"/>
          <w:szCs w:val="22"/>
          <w:lang w:val="en-GB"/>
        </w:rPr>
        <w:t xml:space="preserve"> transplantation</w:t>
      </w:r>
      <w:r w:rsidR="000E57E9">
        <w:rPr>
          <w:rFonts w:asciiTheme="minorHAnsi" w:hAnsiTheme="minorHAnsi" w:cstheme="minorHAnsi"/>
          <w:sz w:val="24"/>
          <w:szCs w:val="22"/>
          <w:lang w:val="en-GB"/>
        </w:rPr>
        <w:t>. This is due t</w:t>
      </w:r>
      <w:r w:rsidR="005F288B" w:rsidRPr="00EF2596">
        <w:rPr>
          <w:rFonts w:asciiTheme="minorHAnsi" w:hAnsiTheme="minorHAnsi" w:cstheme="minorHAnsi"/>
          <w:sz w:val="24"/>
          <w:szCs w:val="22"/>
          <w:lang w:val="en-GB"/>
        </w:rPr>
        <w:t>o factors such as access to appropriate assessment and understanding the benefits of transplantation for end-stage organ disease. However, data w</w:t>
      </w:r>
      <w:r w:rsidR="000E57E9">
        <w:rPr>
          <w:rFonts w:asciiTheme="minorHAnsi" w:hAnsiTheme="minorHAnsi" w:cstheme="minorHAnsi"/>
          <w:sz w:val="24"/>
          <w:szCs w:val="22"/>
          <w:lang w:val="en-GB"/>
        </w:rPr>
        <w:t>ere</w:t>
      </w:r>
      <w:r w:rsidR="005F288B" w:rsidRPr="00EF2596">
        <w:rPr>
          <w:rFonts w:asciiTheme="minorHAnsi" w:hAnsiTheme="minorHAnsi" w:cstheme="minorHAnsi"/>
          <w:sz w:val="24"/>
          <w:szCs w:val="22"/>
          <w:lang w:val="en-GB"/>
        </w:rPr>
        <w:t xml:space="preserve"> not available to </w:t>
      </w:r>
      <w:r w:rsidR="000E57E9">
        <w:rPr>
          <w:rFonts w:asciiTheme="minorHAnsi" w:hAnsiTheme="minorHAnsi" w:cstheme="minorHAnsi"/>
          <w:sz w:val="24"/>
          <w:szCs w:val="22"/>
          <w:lang w:val="en-GB"/>
        </w:rPr>
        <w:t xml:space="preserve">adequately </w:t>
      </w:r>
      <w:r w:rsidR="005F288B" w:rsidRPr="00EF2596">
        <w:rPr>
          <w:rFonts w:asciiTheme="minorHAnsi" w:hAnsiTheme="minorHAnsi" w:cstheme="minorHAnsi"/>
          <w:sz w:val="24"/>
          <w:szCs w:val="22"/>
          <w:lang w:val="en-GB"/>
        </w:rPr>
        <w:t>determine the</w:t>
      </w:r>
      <w:r w:rsidR="00C40AF1">
        <w:rPr>
          <w:rFonts w:asciiTheme="minorHAnsi" w:hAnsiTheme="minorHAnsi" w:cstheme="minorHAnsi"/>
          <w:sz w:val="24"/>
          <w:szCs w:val="22"/>
          <w:lang w:val="en-GB"/>
        </w:rPr>
        <w:t xml:space="preserve"> extent of issues of</w:t>
      </w:r>
      <w:r w:rsidR="005F288B" w:rsidRPr="00EF2596">
        <w:rPr>
          <w:rFonts w:asciiTheme="minorHAnsi" w:hAnsiTheme="minorHAnsi" w:cstheme="minorHAnsi"/>
          <w:sz w:val="24"/>
          <w:szCs w:val="22"/>
          <w:lang w:val="en-GB"/>
        </w:rPr>
        <w:t xml:space="preserve"> </w:t>
      </w:r>
      <w:r w:rsidR="00C40AF1">
        <w:rPr>
          <w:rFonts w:asciiTheme="minorHAnsi" w:hAnsiTheme="minorHAnsi" w:cstheme="minorHAnsi"/>
          <w:sz w:val="24"/>
          <w:szCs w:val="22"/>
          <w:lang w:val="en-GB"/>
        </w:rPr>
        <w:t>in</w:t>
      </w:r>
      <w:r w:rsidR="005F288B" w:rsidRPr="00EF2596">
        <w:rPr>
          <w:rFonts w:asciiTheme="minorHAnsi" w:hAnsiTheme="minorHAnsi" w:cstheme="minorHAnsi"/>
          <w:sz w:val="24"/>
          <w:szCs w:val="22"/>
          <w:lang w:val="en-GB"/>
        </w:rPr>
        <w:t>equity.</w:t>
      </w:r>
      <w:r w:rsidRPr="00EF2596">
        <w:rPr>
          <w:rFonts w:asciiTheme="minorHAnsi" w:hAnsiTheme="minorHAnsi" w:cstheme="minorHAnsi"/>
          <w:sz w:val="24"/>
          <w:szCs w:val="22"/>
          <w:lang w:val="en-GB"/>
        </w:rPr>
        <w:t xml:space="preserve"> </w:t>
      </w:r>
    </w:p>
    <w:p w14:paraId="048B538C" w14:textId="77777777" w:rsidR="00C30067" w:rsidRPr="00BC180C" w:rsidRDefault="00C30067" w:rsidP="00C30067">
      <w:pPr>
        <w:tabs>
          <w:tab w:val="num" w:pos="720"/>
        </w:tabs>
        <w:spacing w:after="120"/>
        <w:rPr>
          <w:rFonts w:asciiTheme="minorHAnsi" w:hAnsiTheme="minorHAnsi" w:cstheme="minorHAnsi"/>
          <w:color w:val="7F7F7F" w:themeColor="text1" w:themeTint="80"/>
          <w:sz w:val="24"/>
          <w:szCs w:val="22"/>
          <w:lang w:val="en-GB"/>
        </w:rPr>
      </w:pPr>
      <w:r w:rsidRPr="00266A77">
        <w:rPr>
          <w:rFonts w:asciiTheme="minorHAnsi" w:hAnsiTheme="minorHAnsi" w:cstheme="minorHAnsi"/>
          <w:color w:val="7F7F7F" w:themeColor="text1" w:themeTint="80"/>
          <w:sz w:val="24"/>
          <w:szCs w:val="22"/>
          <w:lang w:val="en-GB"/>
        </w:rPr>
        <w:t>Wait</w:t>
      </w:r>
      <w:r>
        <w:rPr>
          <w:rFonts w:asciiTheme="minorHAnsi" w:hAnsiTheme="minorHAnsi" w:cstheme="minorHAnsi"/>
          <w:color w:val="7F7F7F" w:themeColor="text1" w:themeTint="80"/>
          <w:sz w:val="24"/>
          <w:szCs w:val="22"/>
          <w:lang w:val="en-GB"/>
        </w:rPr>
        <w:t xml:space="preserve">ing list management </w:t>
      </w:r>
      <w:r w:rsidRPr="004938CA">
        <w:rPr>
          <w:rFonts w:asciiTheme="minorHAnsi" w:hAnsiTheme="minorHAnsi" w:cstheme="minorHAnsi"/>
          <w:color w:val="7F7F7F" w:themeColor="text1" w:themeTint="80"/>
          <w:sz w:val="24"/>
          <w:szCs w:val="22"/>
          <w:lang w:val="en-GB"/>
        </w:rPr>
        <w:t xml:space="preserve">for </w:t>
      </w:r>
      <w:r w:rsidR="004E18C4">
        <w:rPr>
          <w:rFonts w:asciiTheme="minorHAnsi" w:hAnsiTheme="minorHAnsi" w:cstheme="minorHAnsi"/>
          <w:color w:val="7F7F7F" w:themeColor="text1" w:themeTint="80"/>
          <w:sz w:val="24"/>
          <w:szCs w:val="22"/>
          <w:lang w:val="en-GB"/>
        </w:rPr>
        <w:t>donated cadaveric kidneys</w:t>
      </w:r>
      <w:r>
        <w:rPr>
          <w:rFonts w:asciiTheme="minorHAnsi" w:hAnsiTheme="minorHAnsi" w:cstheme="minorHAnsi"/>
          <w:color w:val="7F7F7F" w:themeColor="text1" w:themeTint="80"/>
          <w:sz w:val="24"/>
          <w:szCs w:val="22"/>
          <w:lang w:val="en-GB"/>
        </w:rPr>
        <w:t xml:space="preserve"> </w:t>
      </w:r>
    </w:p>
    <w:p w14:paraId="7010CE97" w14:textId="431FBAFA" w:rsidR="00C30067" w:rsidRDefault="00C30067"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The Review found that the </w:t>
      </w:r>
      <w:r w:rsidRPr="00F12842">
        <w:rPr>
          <w:rFonts w:asciiTheme="minorHAnsi" w:hAnsiTheme="minorHAnsi" w:cstheme="minorHAnsi"/>
          <w:sz w:val="24"/>
          <w:szCs w:val="22"/>
          <w:lang w:val="en-GB"/>
        </w:rPr>
        <w:t>management of the kidney</w:t>
      </w:r>
      <w:r w:rsidR="00DE47D3">
        <w:rPr>
          <w:rFonts w:asciiTheme="minorHAnsi" w:hAnsiTheme="minorHAnsi" w:cstheme="minorHAnsi"/>
          <w:sz w:val="24"/>
          <w:szCs w:val="22"/>
          <w:lang w:val="en-GB"/>
        </w:rPr>
        <w:t xml:space="preserve"> transplantation</w:t>
      </w:r>
      <w:r w:rsidRPr="00F12842">
        <w:rPr>
          <w:rFonts w:asciiTheme="minorHAnsi" w:hAnsiTheme="minorHAnsi" w:cstheme="minorHAnsi"/>
          <w:sz w:val="24"/>
          <w:szCs w:val="22"/>
          <w:lang w:val="en-GB"/>
        </w:rPr>
        <w:t xml:space="preserve"> waiting list </w:t>
      </w:r>
      <w:r>
        <w:rPr>
          <w:rFonts w:asciiTheme="minorHAnsi" w:hAnsiTheme="minorHAnsi" w:cstheme="minorHAnsi"/>
          <w:sz w:val="24"/>
          <w:szCs w:val="22"/>
          <w:lang w:val="en-GB"/>
        </w:rPr>
        <w:t xml:space="preserve">variable </w:t>
      </w:r>
      <w:r w:rsidRPr="00F12842">
        <w:rPr>
          <w:rFonts w:asciiTheme="minorHAnsi" w:hAnsiTheme="minorHAnsi" w:cstheme="minorHAnsi"/>
          <w:sz w:val="24"/>
          <w:szCs w:val="22"/>
          <w:lang w:val="en-GB"/>
        </w:rPr>
        <w:t xml:space="preserve">between </w:t>
      </w:r>
      <w:r w:rsidR="005F453A">
        <w:rPr>
          <w:rFonts w:asciiTheme="minorHAnsi" w:hAnsiTheme="minorHAnsi" w:cstheme="minorHAnsi"/>
          <w:sz w:val="24"/>
          <w:szCs w:val="22"/>
          <w:lang w:val="en-GB"/>
        </w:rPr>
        <w:t>rural and remote areas</w:t>
      </w:r>
      <w:r w:rsidR="00273538">
        <w:rPr>
          <w:rFonts w:asciiTheme="minorHAnsi" w:hAnsiTheme="minorHAnsi" w:cstheme="minorHAnsi"/>
          <w:sz w:val="24"/>
          <w:szCs w:val="22"/>
          <w:lang w:val="en-GB"/>
        </w:rPr>
        <w:t>,</w:t>
      </w:r>
      <w:r w:rsidR="005F453A">
        <w:rPr>
          <w:rFonts w:asciiTheme="minorHAnsi" w:hAnsiTheme="minorHAnsi" w:cstheme="minorHAnsi"/>
          <w:sz w:val="24"/>
          <w:szCs w:val="22"/>
          <w:lang w:val="en-GB"/>
        </w:rPr>
        <w:t xml:space="preserve"> between </w:t>
      </w:r>
      <w:r>
        <w:rPr>
          <w:rFonts w:asciiTheme="minorHAnsi" w:hAnsiTheme="minorHAnsi" w:cstheme="minorHAnsi"/>
          <w:sz w:val="24"/>
          <w:szCs w:val="22"/>
          <w:lang w:val="en-GB"/>
        </w:rPr>
        <w:t>jurisdictions</w:t>
      </w:r>
      <w:r w:rsidR="004E18C4">
        <w:rPr>
          <w:rFonts w:asciiTheme="minorHAnsi" w:hAnsiTheme="minorHAnsi" w:cstheme="minorHAnsi"/>
          <w:sz w:val="24"/>
          <w:szCs w:val="22"/>
          <w:lang w:val="en-GB"/>
        </w:rPr>
        <w:t xml:space="preserve"> and between renal transplantation units within jurisdictions</w:t>
      </w:r>
      <w:r w:rsidRPr="00F12842">
        <w:rPr>
          <w:rFonts w:asciiTheme="minorHAnsi" w:hAnsiTheme="minorHAnsi" w:cstheme="minorHAnsi"/>
          <w:sz w:val="24"/>
          <w:szCs w:val="22"/>
          <w:lang w:val="en-GB"/>
        </w:rPr>
        <w:t>.</w:t>
      </w:r>
      <w:r w:rsidR="000C430E">
        <w:rPr>
          <w:rFonts w:asciiTheme="minorHAnsi" w:hAnsiTheme="minorHAnsi" w:cstheme="minorHAnsi"/>
          <w:sz w:val="24"/>
          <w:szCs w:val="22"/>
          <w:lang w:val="en-GB"/>
        </w:rPr>
        <w:t xml:space="preserve"> </w:t>
      </w:r>
      <w:r w:rsidR="00364065">
        <w:rPr>
          <w:rFonts w:asciiTheme="minorHAnsi" w:hAnsiTheme="minorHAnsi" w:cstheme="minorHAnsi"/>
          <w:sz w:val="24"/>
          <w:szCs w:val="22"/>
          <w:lang w:val="en-GB"/>
        </w:rPr>
        <w:fldChar w:fldCharType="begin"/>
      </w:r>
      <w:r w:rsidR="00364065">
        <w:rPr>
          <w:rFonts w:asciiTheme="minorHAnsi" w:hAnsiTheme="minorHAnsi" w:cstheme="minorHAnsi"/>
          <w:sz w:val="24"/>
          <w:szCs w:val="22"/>
          <w:lang w:val="en-GB"/>
        </w:rPr>
        <w:instrText xml:space="preserve"> REF _Ref527639617 \h  \* MERGEFORMAT </w:instrText>
      </w:r>
      <w:r w:rsidR="00364065">
        <w:rPr>
          <w:rFonts w:asciiTheme="minorHAnsi" w:hAnsiTheme="minorHAnsi" w:cstheme="minorHAnsi"/>
          <w:sz w:val="24"/>
          <w:szCs w:val="22"/>
          <w:lang w:val="en-GB"/>
        </w:rPr>
      </w:r>
      <w:r w:rsidR="00364065">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Figure 16</w:t>
      </w:r>
      <w:r w:rsidR="00364065">
        <w:rPr>
          <w:rFonts w:asciiTheme="minorHAnsi" w:hAnsiTheme="minorHAnsi" w:cstheme="minorHAnsi"/>
          <w:sz w:val="24"/>
          <w:szCs w:val="22"/>
          <w:lang w:val="en-GB"/>
        </w:rPr>
        <w:fldChar w:fldCharType="end"/>
      </w:r>
      <w:r w:rsidR="004E18C4">
        <w:rPr>
          <w:rFonts w:asciiTheme="minorHAnsi" w:hAnsiTheme="minorHAnsi" w:cstheme="minorHAnsi"/>
          <w:sz w:val="24"/>
          <w:szCs w:val="22"/>
          <w:lang w:val="en-GB"/>
        </w:rPr>
        <w:t xml:space="preserve"> </w:t>
      </w:r>
      <w:r w:rsidR="000C430E">
        <w:rPr>
          <w:rFonts w:asciiTheme="minorHAnsi" w:hAnsiTheme="minorHAnsi" w:cstheme="minorHAnsi"/>
          <w:sz w:val="24"/>
          <w:szCs w:val="22"/>
          <w:lang w:val="en-GB"/>
        </w:rPr>
        <w:t>illustrates</w:t>
      </w:r>
      <w:r w:rsidR="004E18C4">
        <w:rPr>
          <w:rFonts w:asciiTheme="minorHAnsi" w:hAnsiTheme="minorHAnsi" w:cstheme="minorHAnsi"/>
          <w:sz w:val="24"/>
          <w:szCs w:val="22"/>
          <w:lang w:val="en-GB"/>
        </w:rPr>
        <w:t xml:space="preserve"> that the number of patients on dialysis is increasing nationally</w:t>
      </w:r>
      <w:r w:rsidR="000C430E">
        <w:rPr>
          <w:rFonts w:asciiTheme="minorHAnsi" w:hAnsiTheme="minorHAnsi" w:cstheme="minorHAnsi"/>
          <w:sz w:val="24"/>
          <w:szCs w:val="22"/>
          <w:lang w:val="en-GB"/>
        </w:rPr>
        <w:t>, however</w:t>
      </w:r>
      <w:r w:rsidR="004E18C4">
        <w:rPr>
          <w:rFonts w:asciiTheme="minorHAnsi" w:hAnsiTheme="minorHAnsi" w:cstheme="minorHAnsi"/>
          <w:sz w:val="24"/>
          <w:szCs w:val="22"/>
          <w:lang w:val="en-GB"/>
        </w:rPr>
        <w:t xml:space="preserve"> the number of patients waiting for kidney transplantation is slowly declining. This raises questions as to whether the rate of accession to the waiting list is sufficient to meet demand. </w:t>
      </w:r>
    </w:p>
    <w:p w14:paraId="4FD2618D" w14:textId="77777777" w:rsidR="00C30067" w:rsidRDefault="00C30067" w:rsidP="00C30067">
      <w:pPr>
        <w:pStyle w:val="Caption"/>
        <w:keepNext/>
        <w:widowControl/>
        <w:spacing w:after="120"/>
        <w:rPr>
          <w:rFonts w:asciiTheme="minorHAnsi" w:hAnsiTheme="minorHAnsi" w:cstheme="minorHAnsi"/>
          <w:b w:val="0"/>
          <w:color w:val="808080"/>
          <w:sz w:val="20"/>
        </w:rPr>
      </w:pPr>
      <w:bookmarkStart w:id="610" w:name="_Ref527639617"/>
      <w:bookmarkStart w:id="611" w:name="_Ref527625333"/>
      <w:r w:rsidRPr="005F5BB1">
        <w:rPr>
          <w:rFonts w:asciiTheme="minorHAnsi" w:hAnsiTheme="minorHAnsi" w:cstheme="minorHAnsi"/>
          <w:b w:val="0"/>
          <w:color w:val="808080"/>
          <w:sz w:val="20"/>
        </w:rPr>
        <w:t xml:space="preserve">Figure </w:t>
      </w:r>
      <w:r w:rsidR="006624EC">
        <w:rPr>
          <w:rFonts w:asciiTheme="minorHAnsi" w:hAnsiTheme="minorHAnsi" w:cstheme="minorHAnsi"/>
          <w:b w:val="0"/>
          <w:color w:val="808080"/>
          <w:sz w:val="20"/>
        </w:rPr>
        <w:fldChar w:fldCharType="begin"/>
      </w:r>
      <w:r w:rsidR="006624EC">
        <w:rPr>
          <w:rFonts w:asciiTheme="minorHAnsi" w:hAnsiTheme="minorHAnsi" w:cstheme="minorHAnsi"/>
          <w:b w:val="0"/>
          <w:color w:val="808080"/>
          <w:sz w:val="20"/>
        </w:rPr>
        <w:instrText xml:space="preserve"> SEQ Figure \* ARABIC </w:instrText>
      </w:r>
      <w:r w:rsidR="006624EC">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16</w:t>
      </w:r>
      <w:r w:rsidR="006624EC">
        <w:rPr>
          <w:rFonts w:asciiTheme="minorHAnsi" w:hAnsiTheme="minorHAnsi" w:cstheme="minorHAnsi"/>
          <w:b w:val="0"/>
          <w:color w:val="808080"/>
          <w:sz w:val="20"/>
        </w:rPr>
        <w:fldChar w:fldCharType="end"/>
      </w:r>
      <w:bookmarkEnd w:id="610"/>
      <w:bookmarkEnd w:id="611"/>
      <w:r w:rsidRPr="005F5BB1">
        <w:rPr>
          <w:rFonts w:asciiTheme="minorHAnsi" w:hAnsiTheme="minorHAnsi" w:cstheme="minorHAnsi"/>
          <w:b w:val="0"/>
          <w:color w:val="808080"/>
          <w:sz w:val="20"/>
        </w:rPr>
        <w:t xml:space="preserve">: Number of patients on </w:t>
      </w:r>
      <w:r>
        <w:rPr>
          <w:rFonts w:asciiTheme="minorHAnsi" w:hAnsiTheme="minorHAnsi" w:cstheme="minorHAnsi"/>
          <w:b w:val="0"/>
          <w:color w:val="808080"/>
          <w:sz w:val="20"/>
        </w:rPr>
        <w:t xml:space="preserve">the </w:t>
      </w:r>
      <w:r w:rsidRPr="005F5BB1">
        <w:rPr>
          <w:rFonts w:asciiTheme="minorHAnsi" w:hAnsiTheme="minorHAnsi" w:cstheme="minorHAnsi"/>
          <w:b w:val="0"/>
          <w:color w:val="808080"/>
          <w:sz w:val="20"/>
        </w:rPr>
        <w:t xml:space="preserve">kidney waiting list </w:t>
      </w:r>
      <w:r>
        <w:rPr>
          <w:rFonts w:asciiTheme="minorHAnsi" w:hAnsiTheme="minorHAnsi" w:cstheme="minorHAnsi"/>
          <w:b w:val="0"/>
          <w:color w:val="808080"/>
          <w:sz w:val="20"/>
        </w:rPr>
        <w:t>compared to the</w:t>
      </w:r>
      <w:r w:rsidRPr="005F5BB1">
        <w:rPr>
          <w:rFonts w:asciiTheme="minorHAnsi" w:hAnsiTheme="minorHAnsi" w:cstheme="minorHAnsi"/>
          <w:b w:val="0"/>
          <w:color w:val="808080"/>
          <w:sz w:val="20"/>
        </w:rPr>
        <w:t xml:space="preserve"> number of patients on dialysis 2008 </w:t>
      </w:r>
      <w:r w:rsidR="00EB4BC3">
        <w:rPr>
          <w:rFonts w:asciiTheme="minorHAnsi" w:hAnsiTheme="minorHAnsi" w:cstheme="minorHAnsi"/>
          <w:b w:val="0"/>
          <w:color w:val="808080"/>
          <w:sz w:val="20"/>
        </w:rPr>
        <w:t xml:space="preserve">– 2016, SOURCE: </w:t>
      </w:r>
      <w:r w:rsidR="00CE5FC6">
        <w:rPr>
          <w:rFonts w:asciiTheme="minorHAnsi" w:hAnsiTheme="minorHAnsi" w:cstheme="minorHAnsi"/>
          <w:b w:val="0"/>
          <w:color w:val="808080"/>
          <w:sz w:val="20"/>
        </w:rPr>
        <w:t>ANZDATA</w:t>
      </w:r>
      <w:r w:rsidR="00CE5FC6">
        <w:rPr>
          <w:rStyle w:val="FootnoteReference"/>
          <w:rFonts w:cstheme="minorHAnsi"/>
          <w:b w:val="0"/>
          <w:color w:val="808080"/>
        </w:rPr>
        <w:footnoteReference w:id="98"/>
      </w:r>
    </w:p>
    <w:p w14:paraId="54F5513D" w14:textId="77777777" w:rsidR="00094BBC" w:rsidRDefault="007760D5" w:rsidP="00C30067">
      <w:pPr>
        <w:tabs>
          <w:tab w:val="num" w:pos="720"/>
        </w:tabs>
        <w:spacing w:after="120"/>
        <w:rPr>
          <w:rFonts w:asciiTheme="minorHAnsi" w:hAnsiTheme="minorHAnsi" w:cstheme="minorHAnsi"/>
          <w:sz w:val="24"/>
          <w:szCs w:val="22"/>
          <w:lang w:val="en-GB"/>
        </w:rPr>
      </w:pPr>
      <w:r w:rsidRPr="007760D5">
        <w:rPr>
          <w:noProof/>
          <w:lang w:eastAsia="en-AU"/>
        </w:rPr>
        <w:drawing>
          <wp:inline distT="0" distB="0" distL="0" distR="0" wp14:anchorId="29BBC6D4" wp14:editId="52A78119">
            <wp:extent cx="5542059" cy="2836569"/>
            <wp:effectExtent l="0" t="0" r="0" b="0"/>
            <wp:docPr id="4100" name="Picture 4100" descr="Figure 16 is a line graph comparing the Number of patients on the kidney waiting list compared to the number of patients on dialysis 2008 –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3115" cy="2842228"/>
                    </a:xfrm>
                    <a:prstGeom prst="rect">
                      <a:avLst/>
                    </a:prstGeom>
                    <a:noFill/>
                    <a:ln>
                      <a:noFill/>
                    </a:ln>
                  </pic:spPr>
                </pic:pic>
              </a:graphicData>
            </a:graphic>
          </wp:inline>
        </w:drawing>
      </w:r>
    </w:p>
    <w:p w14:paraId="623A6407" w14:textId="77777777" w:rsidR="00C30067" w:rsidRDefault="00C30067"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At the end of 2016, 7.5 per cent of patients on dialysis in Australia were wait listed for transplantation, compared to 15.5 per cent of patients on dialysis in Spain being wait listed.</w:t>
      </w:r>
      <w:r>
        <w:rPr>
          <w:rStyle w:val="FootnoteReference"/>
          <w:rFonts w:cstheme="minorHAnsi"/>
          <w:lang w:val="en-GB"/>
        </w:rPr>
        <w:footnoteReference w:id="99"/>
      </w:r>
      <w:r>
        <w:rPr>
          <w:rFonts w:asciiTheme="minorHAnsi" w:hAnsiTheme="minorHAnsi" w:cstheme="minorHAnsi"/>
          <w:sz w:val="24"/>
          <w:szCs w:val="22"/>
          <w:lang w:val="en-GB"/>
        </w:rPr>
        <w:t xml:space="preserve"> This </w:t>
      </w:r>
      <w:r w:rsidR="004E18C4">
        <w:rPr>
          <w:rFonts w:asciiTheme="minorHAnsi" w:hAnsiTheme="minorHAnsi" w:cstheme="minorHAnsi"/>
          <w:sz w:val="24"/>
          <w:szCs w:val="22"/>
          <w:lang w:val="en-GB"/>
        </w:rPr>
        <w:t xml:space="preserve">further suggests </w:t>
      </w:r>
      <w:r>
        <w:rPr>
          <w:rFonts w:asciiTheme="minorHAnsi" w:hAnsiTheme="minorHAnsi" w:cstheme="minorHAnsi"/>
          <w:sz w:val="24"/>
          <w:szCs w:val="22"/>
          <w:lang w:val="en-GB"/>
        </w:rPr>
        <w:t xml:space="preserve">that Australia has not kept up with </w:t>
      </w:r>
      <w:r w:rsidR="004E18C4">
        <w:rPr>
          <w:rFonts w:asciiTheme="minorHAnsi" w:hAnsiTheme="minorHAnsi" w:cstheme="minorHAnsi"/>
          <w:sz w:val="24"/>
          <w:szCs w:val="22"/>
          <w:lang w:val="en-GB"/>
        </w:rPr>
        <w:t>demand</w:t>
      </w:r>
      <w:r w:rsidR="000C430E">
        <w:rPr>
          <w:rFonts w:asciiTheme="minorHAnsi" w:hAnsiTheme="minorHAnsi" w:cstheme="minorHAnsi"/>
          <w:sz w:val="24"/>
          <w:szCs w:val="22"/>
          <w:lang w:val="en-GB"/>
        </w:rPr>
        <w:t xml:space="preserve"> </w:t>
      </w:r>
      <w:r>
        <w:rPr>
          <w:rFonts w:asciiTheme="minorHAnsi" w:hAnsiTheme="minorHAnsi" w:cstheme="minorHAnsi"/>
          <w:sz w:val="24"/>
          <w:szCs w:val="22"/>
          <w:lang w:val="en-GB"/>
        </w:rPr>
        <w:t xml:space="preserve">for </w:t>
      </w:r>
      <w:r w:rsidR="004E18C4">
        <w:rPr>
          <w:rFonts w:asciiTheme="minorHAnsi" w:hAnsiTheme="minorHAnsi" w:cstheme="minorHAnsi"/>
          <w:sz w:val="24"/>
          <w:szCs w:val="22"/>
          <w:lang w:val="en-GB"/>
        </w:rPr>
        <w:t>kidney transplantation.</w:t>
      </w:r>
    </w:p>
    <w:p w14:paraId="751C5CB2" w14:textId="3354D16D" w:rsidR="00C30067" w:rsidRDefault="00C30067"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As </w:t>
      </w:r>
      <w:r w:rsidR="000C430E">
        <w:rPr>
          <w:rFonts w:asciiTheme="minorHAnsi" w:hAnsiTheme="minorHAnsi" w:cstheme="minorHAnsi"/>
          <w:sz w:val="24"/>
          <w:szCs w:val="22"/>
          <w:lang w:val="en-GB"/>
        </w:rPr>
        <w:t>demonstrated in</w:t>
      </w:r>
      <w:r>
        <w:rPr>
          <w:rFonts w:asciiTheme="minorHAnsi" w:hAnsiTheme="minorHAnsi" w:cstheme="minorHAnsi"/>
          <w:sz w:val="24"/>
          <w:szCs w:val="22"/>
          <w:lang w:val="en-GB"/>
        </w:rPr>
        <w:t xml:space="preserve"> </w:t>
      </w:r>
      <w:r>
        <w:rPr>
          <w:rFonts w:asciiTheme="minorHAnsi" w:hAnsiTheme="minorHAnsi" w:cstheme="minorHAnsi"/>
          <w:sz w:val="24"/>
          <w:szCs w:val="22"/>
          <w:lang w:val="en-GB"/>
        </w:rPr>
        <w:fldChar w:fldCharType="begin"/>
      </w:r>
      <w:r>
        <w:rPr>
          <w:rFonts w:asciiTheme="minorHAnsi" w:hAnsiTheme="minorHAnsi" w:cstheme="minorHAnsi"/>
          <w:sz w:val="24"/>
          <w:szCs w:val="22"/>
          <w:lang w:val="en-GB"/>
        </w:rPr>
        <w:instrText xml:space="preserve"> REF _Ref527557353 \h  \* MERGEFORMAT </w:instrText>
      </w:r>
      <w:r>
        <w:rPr>
          <w:rFonts w:asciiTheme="minorHAnsi" w:hAnsiTheme="minorHAnsi" w:cstheme="minorHAnsi"/>
          <w:sz w:val="24"/>
          <w:szCs w:val="22"/>
          <w:lang w:val="en-GB"/>
        </w:rPr>
      </w:r>
      <w:r>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Table 13</w:t>
      </w:r>
      <w:r>
        <w:rPr>
          <w:rFonts w:asciiTheme="minorHAnsi" w:hAnsiTheme="minorHAnsi" w:cstheme="minorHAnsi"/>
          <w:sz w:val="24"/>
          <w:szCs w:val="22"/>
          <w:lang w:val="en-GB"/>
        </w:rPr>
        <w:fldChar w:fldCharType="end"/>
      </w:r>
      <w:r>
        <w:rPr>
          <w:rFonts w:asciiTheme="minorHAnsi" w:hAnsiTheme="minorHAnsi" w:cstheme="minorHAnsi"/>
          <w:sz w:val="24"/>
          <w:szCs w:val="22"/>
          <w:lang w:val="en-GB"/>
        </w:rPr>
        <w:t xml:space="preserve"> there is large variation in the number of potential recipients wait listed between NSW and Victoria compared to Queensland, South Australia and Western Australia. </w:t>
      </w:r>
    </w:p>
    <w:p w14:paraId="5C1D180A" w14:textId="77777777" w:rsidR="00C30067" w:rsidRPr="004938CA" w:rsidRDefault="00C30067" w:rsidP="00C30067">
      <w:pPr>
        <w:pStyle w:val="Caption"/>
        <w:keepNext/>
        <w:widowControl/>
        <w:spacing w:after="120"/>
        <w:rPr>
          <w:rFonts w:asciiTheme="minorHAnsi" w:hAnsiTheme="minorHAnsi" w:cstheme="minorHAnsi"/>
          <w:b w:val="0"/>
          <w:color w:val="808080"/>
          <w:sz w:val="20"/>
        </w:rPr>
      </w:pPr>
      <w:bookmarkStart w:id="612" w:name="_Ref527557353"/>
      <w:r w:rsidRPr="004938CA">
        <w:rPr>
          <w:rFonts w:asciiTheme="minorHAnsi" w:hAnsiTheme="minorHAnsi" w:cstheme="minorHAnsi"/>
          <w:b w:val="0"/>
          <w:color w:val="808080"/>
          <w:sz w:val="20"/>
        </w:rPr>
        <w:t xml:space="preserve">Table </w:t>
      </w:r>
      <w:r w:rsidRPr="004938CA">
        <w:rPr>
          <w:rFonts w:asciiTheme="minorHAnsi" w:hAnsiTheme="minorHAnsi" w:cstheme="minorHAnsi"/>
          <w:b w:val="0"/>
          <w:color w:val="808080"/>
          <w:sz w:val="20"/>
        </w:rPr>
        <w:fldChar w:fldCharType="begin"/>
      </w:r>
      <w:r w:rsidRPr="004938CA">
        <w:rPr>
          <w:rFonts w:asciiTheme="minorHAnsi" w:hAnsiTheme="minorHAnsi" w:cstheme="minorHAnsi"/>
          <w:b w:val="0"/>
          <w:color w:val="808080"/>
          <w:sz w:val="20"/>
        </w:rPr>
        <w:instrText xml:space="preserve"> SEQ Table \* ARABIC </w:instrText>
      </w:r>
      <w:r w:rsidRPr="004938CA">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13</w:t>
      </w:r>
      <w:r w:rsidRPr="004938CA">
        <w:rPr>
          <w:rFonts w:asciiTheme="minorHAnsi" w:hAnsiTheme="minorHAnsi" w:cstheme="minorHAnsi"/>
          <w:b w:val="0"/>
          <w:color w:val="808080"/>
          <w:sz w:val="20"/>
        </w:rPr>
        <w:fldChar w:fldCharType="end"/>
      </w:r>
      <w:bookmarkEnd w:id="612"/>
      <w:r w:rsidRPr="004938CA">
        <w:rPr>
          <w:rFonts w:asciiTheme="minorHAnsi" w:hAnsiTheme="minorHAnsi" w:cstheme="minorHAnsi"/>
          <w:b w:val="0"/>
          <w:color w:val="808080"/>
          <w:sz w:val="20"/>
        </w:rPr>
        <w:t xml:space="preserve">: Kidney waiting </w:t>
      </w:r>
      <w:r w:rsidRPr="00B91EB3">
        <w:rPr>
          <w:rFonts w:asciiTheme="minorHAnsi" w:hAnsiTheme="minorHAnsi" w:cstheme="minorHAnsi"/>
          <w:b w:val="0"/>
          <w:color w:val="808080"/>
          <w:sz w:val="20"/>
        </w:rPr>
        <w:t>list</w:t>
      </w:r>
      <w:r w:rsidR="00EB4BC3">
        <w:rPr>
          <w:rFonts w:asciiTheme="minorHAnsi" w:hAnsiTheme="minorHAnsi" w:cstheme="minorHAnsi"/>
          <w:b w:val="0"/>
          <w:color w:val="808080"/>
          <w:sz w:val="20"/>
        </w:rPr>
        <w:t xml:space="preserve"> data 2016, SOURCE:</w:t>
      </w:r>
      <w:r w:rsidRPr="004938CA">
        <w:rPr>
          <w:rFonts w:asciiTheme="minorHAnsi" w:hAnsiTheme="minorHAnsi" w:cstheme="minorHAnsi"/>
          <w:b w:val="0"/>
          <w:color w:val="808080"/>
          <w:sz w:val="20"/>
        </w:rPr>
        <w:t xml:space="preserve"> </w:t>
      </w:r>
      <w:r w:rsidR="00AD08DD">
        <w:rPr>
          <w:rFonts w:asciiTheme="minorHAnsi" w:hAnsiTheme="minorHAnsi" w:cstheme="minorHAnsi"/>
          <w:b w:val="0"/>
          <w:color w:val="808080"/>
          <w:sz w:val="20"/>
        </w:rPr>
        <w:t>ANZDATA</w:t>
      </w:r>
      <w:r w:rsidR="00BD1C04">
        <w:rPr>
          <w:rStyle w:val="FootnoteReference"/>
          <w:rFonts w:cstheme="minorHAnsi"/>
          <w:b w:val="0"/>
          <w:color w:val="808080"/>
        </w:rPr>
        <w:footnoteReference w:id="100"/>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600" w:firstRow="0" w:lastRow="0" w:firstColumn="0" w:lastColumn="0" w:noHBand="1" w:noVBand="1"/>
        <w:tblDescription w:val="Table 13 os a waiting list data for kidneys in 2016. This table contains 6 heading columns: column 1 blank 2 through to column 9 are the states and territories and column 10. Totals."/>
      </w:tblPr>
      <w:tblGrid>
        <w:gridCol w:w="2779"/>
        <w:gridCol w:w="756"/>
        <w:gridCol w:w="761"/>
        <w:gridCol w:w="761"/>
        <w:gridCol w:w="761"/>
        <w:gridCol w:w="761"/>
        <w:gridCol w:w="761"/>
        <w:gridCol w:w="761"/>
        <w:gridCol w:w="761"/>
        <w:gridCol w:w="743"/>
      </w:tblGrid>
      <w:tr w:rsidR="00C30067" w:rsidRPr="00FD70B5" w14:paraId="67D0C6F2" w14:textId="77777777" w:rsidTr="008E083E">
        <w:trPr>
          <w:trHeight w:val="332"/>
          <w:tblHeader/>
        </w:trPr>
        <w:tc>
          <w:tcPr>
            <w:tcW w:w="1447" w:type="pct"/>
            <w:shd w:val="clear" w:color="auto" w:fill="595959" w:themeFill="text1" w:themeFillTint="A6"/>
            <w:tcMar>
              <w:top w:w="9" w:type="dxa"/>
              <w:left w:w="9" w:type="dxa"/>
              <w:bottom w:w="0" w:type="dxa"/>
              <w:right w:w="9" w:type="dxa"/>
            </w:tcMar>
            <w:vAlign w:val="bottom"/>
            <w:hideMark/>
          </w:tcPr>
          <w:p w14:paraId="63302FBE" w14:textId="77777777" w:rsidR="00C30067" w:rsidRPr="004938CA" w:rsidRDefault="00C30067" w:rsidP="0082626C">
            <w:pPr>
              <w:tabs>
                <w:tab w:val="num" w:pos="720"/>
              </w:tabs>
              <w:spacing w:before="40" w:after="40"/>
              <w:jc w:val="center"/>
              <w:rPr>
                <w:rFonts w:asciiTheme="minorHAnsi" w:hAnsiTheme="minorHAnsi" w:cstheme="minorHAnsi"/>
              </w:rPr>
            </w:pPr>
          </w:p>
        </w:tc>
        <w:tc>
          <w:tcPr>
            <w:tcW w:w="394" w:type="pct"/>
            <w:shd w:val="clear" w:color="auto" w:fill="595959" w:themeFill="text1" w:themeFillTint="A6"/>
            <w:tcMar>
              <w:top w:w="9" w:type="dxa"/>
              <w:left w:w="9" w:type="dxa"/>
              <w:bottom w:w="0" w:type="dxa"/>
              <w:right w:w="9" w:type="dxa"/>
            </w:tcMar>
            <w:hideMark/>
          </w:tcPr>
          <w:p w14:paraId="4AA46C62" w14:textId="77777777" w:rsidR="00C30067" w:rsidRPr="004938CA" w:rsidRDefault="00C30067" w:rsidP="0082626C">
            <w:pPr>
              <w:tabs>
                <w:tab w:val="num" w:pos="720"/>
              </w:tabs>
              <w:spacing w:before="40" w:after="40"/>
              <w:jc w:val="center"/>
              <w:rPr>
                <w:rFonts w:asciiTheme="minorHAnsi" w:hAnsiTheme="minorHAnsi" w:cstheme="minorHAnsi"/>
                <w:b/>
                <w:color w:val="FFFFFF" w:themeColor="background1"/>
              </w:rPr>
            </w:pPr>
            <w:r w:rsidRPr="004938CA">
              <w:rPr>
                <w:rFonts w:asciiTheme="minorHAnsi" w:hAnsiTheme="minorHAnsi" w:cstheme="minorHAnsi"/>
                <w:b/>
                <w:color w:val="FFFFFF" w:themeColor="background1"/>
              </w:rPr>
              <w:t>NSW</w:t>
            </w:r>
          </w:p>
        </w:tc>
        <w:tc>
          <w:tcPr>
            <w:tcW w:w="396" w:type="pct"/>
            <w:shd w:val="clear" w:color="auto" w:fill="595959" w:themeFill="text1" w:themeFillTint="A6"/>
            <w:tcMar>
              <w:top w:w="9" w:type="dxa"/>
              <w:left w:w="9" w:type="dxa"/>
              <w:bottom w:w="0" w:type="dxa"/>
              <w:right w:w="9" w:type="dxa"/>
            </w:tcMar>
            <w:hideMark/>
          </w:tcPr>
          <w:p w14:paraId="20DEB5B5" w14:textId="77777777" w:rsidR="00C30067" w:rsidRPr="004938CA" w:rsidRDefault="00C30067" w:rsidP="0082626C">
            <w:pPr>
              <w:tabs>
                <w:tab w:val="num" w:pos="720"/>
              </w:tabs>
              <w:spacing w:before="40" w:after="40"/>
              <w:jc w:val="center"/>
              <w:rPr>
                <w:rFonts w:asciiTheme="minorHAnsi" w:hAnsiTheme="minorHAnsi" w:cstheme="minorHAnsi"/>
                <w:b/>
                <w:color w:val="FFFFFF" w:themeColor="background1"/>
              </w:rPr>
            </w:pPr>
            <w:r w:rsidRPr="004938CA">
              <w:rPr>
                <w:rFonts w:asciiTheme="minorHAnsi" w:hAnsiTheme="minorHAnsi" w:cstheme="minorHAnsi"/>
                <w:b/>
                <w:color w:val="FFFFFF" w:themeColor="background1"/>
              </w:rPr>
              <w:t>VIC</w:t>
            </w:r>
          </w:p>
        </w:tc>
        <w:tc>
          <w:tcPr>
            <w:tcW w:w="396" w:type="pct"/>
            <w:shd w:val="clear" w:color="auto" w:fill="595959" w:themeFill="text1" w:themeFillTint="A6"/>
            <w:tcMar>
              <w:top w:w="9" w:type="dxa"/>
              <w:left w:w="9" w:type="dxa"/>
              <w:bottom w:w="0" w:type="dxa"/>
              <w:right w:w="9" w:type="dxa"/>
            </w:tcMar>
            <w:hideMark/>
          </w:tcPr>
          <w:p w14:paraId="1AEDACE2" w14:textId="77777777" w:rsidR="00C30067" w:rsidRPr="004938CA" w:rsidRDefault="00C30067" w:rsidP="0082626C">
            <w:pPr>
              <w:tabs>
                <w:tab w:val="num" w:pos="720"/>
              </w:tabs>
              <w:spacing w:before="40" w:after="40"/>
              <w:jc w:val="center"/>
              <w:rPr>
                <w:rFonts w:asciiTheme="minorHAnsi" w:hAnsiTheme="minorHAnsi" w:cstheme="minorHAnsi"/>
                <w:b/>
                <w:color w:val="FFFFFF" w:themeColor="background1"/>
              </w:rPr>
            </w:pPr>
            <w:r w:rsidRPr="004938CA">
              <w:rPr>
                <w:rFonts w:asciiTheme="minorHAnsi" w:hAnsiTheme="minorHAnsi" w:cstheme="minorHAnsi"/>
                <w:b/>
                <w:color w:val="FFFFFF" w:themeColor="background1"/>
              </w:rPr>
              <w:t>QLD</w:t>
            </w:r>
          </w:p>
        </w:tc>
        <w:tc>
          <w:tcPr>
            <w:tcW w:w="396" w:type="pct"/>
            <w:shd w:val="clear" w:color="auto" w:fill="595959" w:themeFill="text1" w:themeFillTint="A6"/>
            <w:tcMar>
              <w:top w:w="9" w:type="dxa"/>
              <w:left w:w="9" w:type="dxa"/>
              <w:bottom w:w="0" w:type="dxa"/>
              <w:right w:w="9" w:type="dxa"/>
            </w:tcMar>
            <w:hideMark/>
          </w:tcPr>
          <w:p w14:paraId="2B0E228F" w14:textId="77777777" w:rsidR="00C30067" w:rsidRPr="004938CA" w:rsidRDefault="00C30067" w:rsidP="0082626C">
            <w:pPr>
              <w:tabs>
                <w:tab w:val="num" w:pos="720"/>
              </w:tabs>
              <w:spacing w:before="40" w:after="40"/>
              <w:jc w:val="center"/>
              <w:rPr>
                <w:rFonts w:asciiTheme="minorHAnsi" w:hAnsiTheme="minorHAnsi" w:cstheme="minorHAnsi"/>
                <w:b/>
                <w:color w:val="FFFFFF" w:themeColor="background1"/>
              </w:rPr>
            </w:pPr>
            <w:r w:rsidRPr="004938CA">
              <w:rPr>
                <w:rFonts w:asciiTheme="minorHAnsi" w:hAnsiTheme="minorHAnsi" w:cstheme="minorHAnsi"/>
                <w:b/>
                <w:color w:val="FFFFFF" w:themeColor="background1"/>
              </w:rPr>
              <w:t>SA/NT</w:t>
            </w:r>
          </w:p>
        </w:tc>
        <w:tc>
          <w:tcPr>
            <w:tcW w:w="396" w:type="pct"/>
            <w:shd w:val="clear" w:color="auto" w:fill="595959" w:themeFill="text1" w:themeFillTint="A6"/>
          </w:tcPr>
          <w:p w14:paraId="5850943A" w14:textId="77777777" w:rsidR="00C30067" w:rsidRPr="004938CA" w:rsidRDefault="00C30067" w:rsidP="0082626C">
            <w:pPr>
              <w:tabs>
                <w:tab w:val="num" w:pos="720"/>
              </w:tabs>
              <w:spacing w:before="40" w:after="40"/>
              <w:jc w:val="center"/>
              <w:rPr>
                <w:rFonts w:asciiTheme="minorHAnsi" w:hAnsiTheme="minorHAnsi" w:cstheme="minorHAnsi"/>
                <w:b/>
                <w:color w:val="FFFFFF" w:themeColor="background1"/>
              </w:rPr>
            </w:pPr>
            <w:r w:rsidRPr="004938CA">
              <w:rPr>
                <w:rFonts w:asciiTheme="minorHAnsi" w:hAnsiTheme="minorHAnsi" w:cstheme="minorHAnsi"/>
                <w:b/>
                <w:color w:val="FFFFFF" w:themeColor="background1"/>
              </w:rPr>
              <w:t>WA</w:t>
            </w:r>
          </w:p>
        </w:tc>
        <w:tc>
          <w:tcPr>
            <w:tcW w:w="396" w:type="pct"/>
            <w:shd w:val="clear" w:color="auto" w:fill="595959" w:themeFill="text1" w:themeFillTint="A6"/>
          </w:tcPr>
          <w:p w14:paraId="26534B77" w14:textId="77777777" w:rsidR="00C30067" w:rsidRPr="004938CA" w:rsidRDefault="00C30067" w:rsidP="0082626C">
            <w:pPr>
              <w:tabs>
                <w:tab w:val="num" w:pos="720"/>
              </w:tabs>
              <w:spacing w:before="40" w:after="40"/>
              <w:jc w:val="center"/>
              <w:rPr>
                <w:rFonts w:asciiTheme="minorHAnsi" w:hAnsiTheme="minorHAnsi" w:cstheme="minorHAnsi"/>
                <w:b/>
                <w:color w:val="FFFFFF" w:themeColor="background1"/>
              </w:rPr>
            </w:pPr>
            <w:r w:rsidRPr="004938CA">
              <w:rPr>
                <w:rFonts w:asciiTheme="minorHAnsi" w:hAnsiTheme="minorHAnsi" w:cstheme="minorHAnsi"/>
                <w:b/>
                <w:color w:val="FFFFFF" w:themeColor="background1"/>
              </w:rPr>
              <w:t>Tas</w:t>
            </w:r>
          </w:p>
        </w:tc>
        <w:tc>
          <w:tcPr>
            <w:tcW w:w="396" w:type="pct"/>
            <w:shd w:val="clear" w:color="auto" w:fill="595959" w:themeFill="text1" w:themeFillTint="A6"/>
            <w:tcMar>
              <w:top w:w="9" w:type="dxa"/>
              <w:left w:w="9" w:type="dxa"/>
              <w:bottom w:w="0" w:type="dxa"/>
              <w:right w:w="9" w:type="dxa"/>
            </w:tcMar>
            <w:hideMark/>
          </w:tcPr>
          <w:p w14:paraId="6482D843" w14:textId="77777777" w:rsidR="00C30067" w:rsidRPr="004938CA" w:rsidRDefault="00C30067" w:rsidP="0082626C">
            <w:pPr>
              <w:tabs>
                <w:tab w:val="num" w:pos="720"/>
              </w:tabs>
              <w:spacing w:before="40" w:after="40"/>
              <w:jc w:val="center"/>
              <w:rPr>
                <w:rFonts w:asciiTheme="minorHAnsi" w:hAnsiTheme="minorHAnsi" w:cstheme="minorHAnsi"/>
                <w:b/>
                <w:color w:val="FFFFFF" w:themeColor="background1"/>
              </w:rPr>
            </w:pPr>
            <w:r w:rsidRPr="004938CA">
              <w:rPr>
                <w:rFonts w:asciiTheme="minorHAnsi" w:hAnsiTheme="minorHAnsi" w:cstheme="minorHAnsi"/>
                <w:b/>
                <w:color w:val="FFFFFF" w:themeColor="background1"/>
              </w:rPr>
              <w:t>NT</w:t>
            </w:r>
          </w:p>
        </w:tc>
        <w:tc>
          <w:tcPr>
            <w:tcW w:w="396" w:type="pct"/>
            <w:shd w:val="clear" w:color="auto" w:fill="595959" w:themeFill="text1" w:themeFillTint="A6"/>
          </w:tcPr>
          <w:p w14:paraId="0AAF7FD9" w14:textId="77777777" w:rsidR="00C30067" w:rsidRPr="004938CA" w:rsidRDefault="00C30067" w:rsidP="0082626C">
            <w:pPr>
              <w:tabs>
                <w:tab w:val="num" w:pos="720"/>
              </w:tabs>
              <w:spacing w:before="40" w:after="40"/>
              <w:jc w:val="center"/>
              <w:rPr>
                <w:rFonts w:asciiTheme="minorHAnsi" w:hAnsiTheme="minorHAnsi" w:cstheme="minorHAnsi"/>
                <w:b/>
                <w:color w:val="FFFFFF" w:themeColor="background1"/>
              </w:rPr>
            </w:pPr>
            <w:r w:rsidRPr="004938CA">
              <w:rPr>
                <w:rFonts w:asciiTheme="minorHAnsi" w:hAnsiTheme="minorHAnsi" w:cstheme="minorHAnsi"/>
                <w:b/>
                <w:color w:val="FFFFFF" w:themeColor="background1"/>
              </w:rPr>
              <w:t>ACT</w:t>
            </w:r>
          </w:p>
        </w:tc>
        <w:tc>
          <w:tcPr>
            <w:tcW w:w="388" w:type="pct"/>
            <w:shd w:val="clear" w:color="auto" w:fill="595959" w:themeFill="text1" w:themeFillTint="A6"/>
            <w:tcMar>
              <w:top w:w="9" w:type="dxa"/>
              <w:left w:w="9" w:type="dxa"/>
              <w:bottom w:w="0" w:type="dxa"/>
              <w:right w:w="9" w:type="dxa"/>
            </w:tcMar>
            <w:hideMark/>
          </w:tcPr>
          <w:p w14:paraId="09C864D4" w14:textId="77777777" w:rsidR="00C30067" w:rsidRPr="004938CA" w:rsidRDefault="00C30067" w:rsidP="0082626C">
            <w:pPr>
              <w:tabs>
                <w:tab w:val="num" w:pos="720"/>
              </w:tabs>
              <w:spacing w:before="40" w:after="40"/>
              <w:jc w:val="center"/>
              <w:rPr>
                <w:rFonts w:asciiTheme="minorHAnsi" w:hAnsiTheme="minorHAnsi" w:cstheme="minorHAnsi"/>
                <w:b/>
                <w:color w:val="FFFFFF" w:themeColor="background1"/>
              </w:rPr>
            </w:pPr>
            <w:r w:rsidRPr="004938CA">
              <w:rPr>
                <w:rFonts w:asciiTheme="minorHAnsi" w:hAnsiTheme="minorHAnsi" w:cstheme="minorHAnsi"/>
                <w:b/>
                <w:color w:val="FFFFFF" w:themeColor="background1"/>
              </w:rPr>
              <w:t>Total</w:t>
            </w:r>
          </w:p>
        </w:tc>
      </w:tr>
      <w:tr w:rsidR="00C30067" w:rsidRPr="00FD70B5" w14:paraId="563F6E05" w14:textId="77777777" w:rsidTr="008E083E">
        <w:trPr>
          <w:trHeight w:val="332"/>
        </w:trPr>
        <w:tc>
          <w:tcPr>
            <w:tcW w:w="1447" w:type="pct"/>
            <w:shd w:val="clear" w:color="auto" w:fill="auto"/>
            <w:tcMar>
              <w:top w:w="9" w:type="dxa"/>
              <w:left w:w="9" w:type="dxa"/>
              <w:bottom w:w="0" w:type="dxa"/>
              <w:right w:w="9" w:type="dxa"/>
            </w:tcMar>
            <w:vAlign w:val="bottom"/>
          </w:tcPr>
          <w:p w14:paraId="4F6D1904" w14:textId="77777777" w:rsidR="00C30067" w:rsidRPr="004938CA" w:rsidRDefault="00C30067" w:rsidP="0082626C">
            <w:pPr>
              <w:widowControl/>
              <w:autoSpaceDE/>
              <w:autoSpaceDN/>
              <w:adjustRightInd/>
              <w:spacing w:before="40" w:after="40"/>
              <w:ind w:left="128"/>
              <w:textAlignment w:val="bottom"/>
              <w:rPr>
                <w:rFonts w:ascii="Calibri" w:hAnsi="Calibri" w:cs="Calibri"/>
                <w:color w:val="000000"/>
                <w:kern w:val="24"/>
                <w:szCs w:val="18"/>
                <w:lang w:eastAsia="en-AU"/>
              </w:rPr>
            </w:pPr>
            <w:r w:rsidRPr="004938CA">
              <w:rPr>
                <w:rFonts w:ascii="Calibri" w:hAnsi="Calibri" w:cs="Calibri"/>
                <w:color w:val="000000"/>
                <w:kern w:val="24"/>
                <w:szCs w:val="18"/>
                <w:lang w:eastAsia="en-AU"/>
              </w:rPr>
              <w:t>Number of patients on dialysis at 31 Dec 2016</w:t>
            </w:r>
          </w:p>
        </w:tc>
        <w:tc>
          <w:tcPr>
            <w:tcW w:w="394" w:type="pct"/>
            <w:shd w:val="clear" w:color="auto" w:fill="auto"/>
            <w:tcMar>
              <w:top w:w="9" w:type="dxa"/>
              <w:left w:w="9" w:type="dxa"/>
              <w:bottom w:w="0" w:type="dxa"/>
              <w:right w:w="9" w:type="dxa"/>
            </w:tcMar>
          </w:tcPr>
          <w:p w14:paraId="276585E5" w14:textId="77777777" w:rsidR="00C30067" w:rsidRPr="004938CA" w:rsidRDefault="00C30067" w:rsidP="0082626C">
            <w:pPr>
              <w:tabs>
                <w:tab w:val="num" w:pos="720"/>
              </w:tabs>
              <w:spacing w:before="40" w:after="40"/>
              <w:jc w:val="center"/>
              <w:rPr>
                <w:rFonts w:asciiTheme="minorHAnsi" w:hAnsiTheme="minorHAnsi" w:cstheme="minorHAnsi"/>
                <w:b/>
              </w:rPr>
            </w:pPr>
            <w:r w:rsidRPr="004938CA">
              <w:rPr>
                <w:rFonts w:asciiTheme="minorHAnsi" w:hAnsiTheme="minorHAnsi" w:cstheme="minorHAnsi"/>
              </w:rPr>
              <w:t>3,987</w:t>
            </w:r>
          </w:p>
        </w:tc>
        <w:tc>
          <w:tcPr>
            <w:tcW w:w="396" w:type="pct"/>
            <w:shd w:val="clear" w:color="auto" w:fill="auto"/>
            <w:tcMar>
              <w:top w:w="9" w:type="dxa"/>
              <w:left w:w="9" w:type="dxa"/>
              <w:bottom w:w="0" w:type="dxa"/>
              <w:right w:w="9" w:type="dxa"/>
            </w:tcMar>
          </w:tcPr>
          <w:p w14:paraId="7CCE7B0E" w14:textId="77777777" w:rsidR="00C30067" w:rsidRPr="004938CA" w:rsidRDefault="00C30067" w:rsidP="0082626C">
            <w:pPr>
              <w:tabs>
                <w:tab w:val="num" w:pos="720"/>
              </w:tabs>
              <w:spacing w:before="40" w:after="40"/>
              <w:jc w:val="center"/>
              <w:rPr>
                <w:rFonts w:asciiTheme="minorHAnsi" w:hAnsiTheme="minorHAnsi" w:cstheme="minorHAnsi"/>
                <w:b/>
              </w:rPr>
            </w:pPr>
            <w:r w:rsidRPr="004938CA">
              <w:rPr>
                <w:rFonts w:asciiTheme="minorHAnsi" w:hAnsiTheme="minorHAnsi" w:cstheme="minorHAnsi"/>
              </w:rPr>
              <w:t>3,040</w:t>
            </w:r>
          </w:p>
        </w:tc>
        <w:tc>
          <w:tcPr>
            <w:tcW w:w="396" w:type="pct"/>
            <w:shd w:val="clear" w:color="auto" w:fill="auto"/>
            <w:tcMar>
              <w:top w:w="9" w:type="dxa"/>
              <w:left w:w="9" w:type="dxa"/>
              <w:bottom w:w="0" w:type="dxa"/>
              <w:right w:w="9" w:type="dxa"/>
            </w:tcMar>
          </w:tcPr>
          <w:p w14:paraId="1853B243" w14:textId="77777777" w:rsidR="00C30067" w:rsidRPr="004938CA" w:rsidRDefault="00C30067" w:rsidP="0082626C">
            <w:pPr>
              <w:tabs>
                <w:tab w:val="num" w:pos="720"/>
              </w:tabs>
              <w:spacing w:before="40" w:after="40"/>
              <w:jc w:val="center"/>
              <w:rPr>
                <w:rFonts w:asciiTheme="minorHAnsi" w:hAnsiTheme="minorHAnsi" w:cstheme="minorHAnsi"/>
                <w:b/>
              </w:rPr>
            </w:pPr>
            <w:r w:rsidRPr="004938CA">
              <w:rPr>
                <w:rFonts w:asciiTheme="minorHAnsi" w:hAnsiTheme="minorHAnsi" w:cstheme="minorHAnsi"/>
              </w:rPr>
              <w:t>2,376</w:t>
            </w:r>
          </w:p>
        </w:tc>
        <w:tc>
          <w:tcPr>
            <w:tcW w:w="396" w:type="pct"/>
            <w:shd w:val="clear" w:color="auto" w:fill="auto"/>
            <w:tcMar>
              <w:top w:w="9" w:type="dxa"/>
              <w:left w:w="9" w:type="dxa"/>
              <w:bottom w:w="0" w:type="dxa"/>
              <w:right w:w="9" w:type="dxa"/>
            </w:tcMar>
          </w:tcPr>
          <w:p w14:paraId="5DEA76A6" w14:textId="77777777" w:rsidR="00C30067" w:rsidRPr="004938CA" w:rsidRDefault="00C30067" w:rsidP="0082626C">
            <w:pPr>
              <w:tabs>
                <w:tab w:val="num" w:pos="720"/>
              </w:tabs>
              <w:spacing w:before="40" w:after="40"/>
              <w:jc w:val="center"/>
              <w:rPr>
                <w:rFonts w:asciiTheme="minorHAnsi" w:hAnsiTheme="minorHAnsi" w:cstheme="minorHAnsi"/>
                <w:b/>
              </w:rPr>
            </w:pPr>
            <w:r w:rsidRPr="004938CA">
              <w:rPr>
                <w:rFonts w:asciiTheme="minorHAnsi" w:hAnsiTheme="minorHAnsi" w:cstheme="minorHAnsi"/>
              </w:rPr>
              <w:t>806</w:t>
            </w:r>
          </w:p>
        </w:tc>
        <w:tc>
          <w:tcPr>
            <w:tcW w:w="396" w:type="pct"/>
            <w:shd w:val="clear" w:color="auto" w:fill="auto"/>
          </w:tcPr>
          <w:p w14:paraId="06D6B4FF" w14:textId="77777777" w:rsidR="00C30067" w:rsidRPr="004938CA" w:rsidRDefault="00C30067" w:rsidP="0082626C">
            <w:pPr>
              <w:tabs>
                <w:tab w:val="num" w:pos="720"/>
              </w:tabs>
              <w:spacing w:before="40" w:after="40"/>
              <w:jc w:val="center"/>
              <w:rPr>
                <w:rFonts w:asciiTheme="minorHAnsi" w:hAnsiTheme="minorHAnsi" w:cstheme="minorHAnsi"/>
                <w:b/>
              </w:rPr>
            </w:pPr>
            <w:r w:rsidRPr="004938CA">
              <w:rPr>
                <w:rFonts w:asciiTheme="minorHAnsi" w:hAnsiTheme="minorHAnsi" w:cstheme="minorHAnsi"/>
              </w:rPr>
              <w:t>1,345</w:t>
            </w:r>
          </w:p>
        </w:tc>
        <w:tc>
          <w:tcPr>
            <w:tcW w:w="396" w:type="pct"/>
            <w:shd w:val="clear" w:color="auto" w:fill="auto"/>
          </w:tcPr>
          <w:p w14:paraId="75EA4352" w14:textId="77777777" w:rsidR="00C30067" w:rsidRPr="004938CA" w:rsidRDefault="00C30067" w:rsidP="0082626C">
            <w:pPr>
              <w:tabs>
                <w:tab w:val="num" w:pos="720"/>
              </w:tabs>
              <w:spacing w:before="40" w:after="40"/>
              <w:jc w:val="center"/>
              <w:rPr>
                <w:rFonts w:asciiTheme="minorHAnsi" w:hAnsiTheme="minorHAnsi" w:cstheme="minorHAnsi"/>
                <w:b/>
              </w:rPr>
            </w:pPr>
            <w:r w:rsidRPr="004938CA">
              <w:rPr>
                <w:rFonts w:asciiTheme="minorHAnsi" w:hAnsiTheme="minorHAnsi" w:cstheme="minorHAnsi"/>
              </w:rPr>
              <w:t>229</w:t>
            </w:r>
          </w:p>
        </w:tc>
        <w:tc>
          <w:tcPr>
            <w:tcW w:w="396" w:type="pct"/>
            <w:shd w:val="clear" w:color="auto" w:fill="auto"/>
            <w:tcMar>
              <w:top w:w="9" w:type="dxa"/>
              <w:left w:w="9" w:type="dxa"/>
              <w:bottom w:w="0" w:type="dxa"/>
              <w:right w:w="9" w:type="dxa"/>
            </w:tcMar>
          </w:tcPr>
          <w:p w14:paraId="372592D5" w14:textId="77777777" w:rsidR="00C30067" w:rsidRPr="004938CA" w:rsidRDefault="00C30067" w:rsidP="0082626C">
            <w:pPr>
              <w:tabs>
                <w:tab w:val="num" w:pos="720"/>
              </w:tabs>
              <w:spacing w:before="40" w:after="40"/>
              <w:jc w:val="center"/>
              <w:rPr>
                <w:rFonts w:asciiTheme="minorHAnsi" w:hAnsiTheme="minorHAnsi" w:cstheme="minorHAnsi"/>
                <w:b/>
              </w:rPr>
            </w:pPr>
            <w:r w:rsidRPr="004938CA">
              <w:rPr>
                <w:rFonts w:asciiTheme="minorHAnsi" w:hAnsiTheme="minorHAnsi" w:cstheme="minorHAnsi"/>
              </w:rPr>
              <w:t>636</w:t>
            </w:r>
          </w:p>
        </w:tc>
        <w:tc>
          <w:tcPr>
            <w:tcW w:w="396" w:type="pct"/>
            <w:shd w:val="clear" w:color="auto" w:fill="auto"/>
          </w:tcPr>
          <w:p w14:paraId="377EBA8A" w14:textId="77777777" w:rsidR="00C30067" w:rsidRPr="004938CA" w:rsidRDefault="00C30067" w:rsidP="0082626C">
            <w:pPr>
              <w:tabs>
                <w:tab w:val="num" w:pos="720"/>
              </w:tabs>
              <w:spacing w:before="40" w:after="40"/>
              <w:jc w:val="center"/>
              <w:rPr>
                <w:rFonts w:asciiTheme="minorHAnsi" w:hAnsiTheme="minorHAnsi" w:cstheme="minorHAnsi"/>
                <w:b/>
              </w:rPr>
            </w:pPr>
            <w:r w:rsidRPr="004938CA">
              <w:rPr>
                <w:rFonts w:asciiTheme="minorHAnsi" w:hAnsiTheme="minorHAnsi" w:cstheme="minorHAnsi"/>
              </w:rPr>
              <w:t>287</w:t>
            </w:r>
          </w:p>
        </w:tc>
        <w:tc>
          <w:tcPr>
            <w:tcW w:w="388" w:type="pct"/>
            <w:shd w:val="clear" w:color="auto" w:fill="auto"/>
            <w:tcMar>
              <w:top w:w="9" w:type="dxa"/>
              <w:left w:w="9" w:type="dxa"/>
              <w:bottom w:w="0" w:type="dxa"/>
              <w:right w:w="9" w:type="dxa"/>
            </w:tcMar>
          </w:tcPr>
          <w:p w14:paraId="13C70CB6" w14:textId="77777777" w:rsidR="00C30067" w:rsidRPr="004938CA" w:rsidRDefault="00C30067" w:rsidP="0082626C">
            <w:pPr>
              <w:tabs>
                <w:tab w:val="num" w:pos="720"/>
              </w:tabs>
              <w:spacing w:before="40" w:after="40"/>
              <w:jc w:val="center"/>
              <w:rPr>
                <w:rFonts w:asciiTheme="minorHAnsi" w:hAnsiTheme="minorHAnsi" w:cstheme="minorHAnsi"/>
                <w:b/>
              </w:rPr>
            </w:pPr>
            <w:r w:rsidRPr="004938CA">
              <w:rPr>
                <w:rFonts w:asciiTheme="minorHAnsi" w:hAnsiTheme="minorHAnsi" w:cstheme="minorHAnsi"/>
              </w:rPr>
              <w:t>12,706</w:t>
            </w:r>
          </w:p>
        </w:tc>
      </w:tr>
      <w:tr w:rsidR="00C30067" w:rsidRPr="00FD70B5" w14:paraId="0A7A07C1" w14:textId="77777777" w:rsidTr="008E083E">
        <w:trPr>
          <w:trHeight w:val="350"/>
        </w:trPr>
        <w:tc>
          <w:tcPr>
            <w:tcW w:w="1447" w:type="pct"/>
            <w:shd w:val="clear" w:color="auto" w:fill="auto"/>
            <w:tcMar>
              <w:top w:w="9" w:type="dxa"/>
              <w:left w:w="9" w:type="dxa"/>
              <w:bottom w:w="0" w:type="dxa"/>
              <w:right w:w="9" w:type="dxa"/>
            </w:tcMar>
            <w:vAlign w:val="bottom"/>
            <w:hideMark/>
          </w:tcPr>
          <w:p w14:paraId="5A6C8FBB" w14:textId="77777777" w:rsidR="00C30067" w:rsidRPr="004938CA" w:rsidRDefault="00C30067" w:rsidP="0082626C">
            <w:pPr>
              <w:widowControl/>
              <w:autoSpaceDE/>
              <w:autoSpaceDN/>
              <w:adjustRightInd/>
              <w:spacing w:before="40" w:after="40"/>
              <w:ind w:left="128"/>
              <w:textAlignment w:val="bottom"/>
              <w:rPr>
                <w:rFonts w:ascii="Calibri" w:hAnsi="Calibri" w:cs="Calibri"/>
                <w:color w:val="000000"/>
                <w:kern w:val="24"/>
                <w:szCs w:val="18"/>
                <w:lang w:eastAsia="en-AU"/>
              </w:rPr>
            </w:pPr>
            <w:r w:rsidRPr="004938CA">
              <w:rPr>
                <w:rFonts w:ascii="Calibri" w:hAnsi="Calibri" w:cs="Calibri"/>
                <w:color w:val="000000"/>
                <w:kern w:val="24"/>
                <w:szCs w:val="18"/>
                <w:lang w:eastAsia="en-AU"/>
              </w:rPr>
              <w:t>Number of active patients on waitlist at end of 2016</w:t>
            </w:r>
          </w:p>
        </w:tc>
        <w:tc>
          <w:tcPr>
            <w:tcW w:w="394" w:type="pct"/>
            <w:shd w:val="clear" w:color="auto" w:fill="auto"/>
            <w:tcMar>
              <w:top w:w="9" w:type="dxa"/>
              <w:left w:w="9" w:type="dxa"/>
              <w:bottom w:w="0" w:type="dxa"/>
              <w:right w:w="9" w:type="dxa"/>
            </w:tcMar>
            <w:hideMark/>
          </w:tcPr>
          <w:p w14:paraId="11D2D194" w14:textId="77777777" w:rsidR="00C30067" w:rsidRPr="004938CA" w:rsidRDefault="00C30067" w:rsidP="0082626C">
            <w:pPr>
              <w:tabs>
                <w:tab w:val="num" w:pos="720"/>
              </w:tabs>
              <w:spacing w:before="40" w:after="40"/>
              <w:jc w:val="center"/>
              <w:rPr>
                <w:rFonts w:asciiTheme="minorHAnsi" w:hAnsiTheme="minorHAnsi" w:cstheme="minorHAnsi"/>
              </w:rPr>
            </w:pPr>
            <w:r w:rsidRPr="004938CA">
              <w:rPr>
                <w:rFonts w:asciiTheme="minorHAnsi" w:hAnsiTheme="minorHAnsi" w:cstheme="minorHAnsi"/>
              </w:rPr>
              <w:t>360</w:t>
            </w:r>
          </w:p>
        </w:tc>
        <w:tc>
          <w:tcPr>
            <w:tcW w:w="396" w:type="pct"/>
            <w:shd w:val="clear" w:color="auto" w:fill="auto"/>
            <w:tcMar>
              <w:top w:w="9" w:type="dxa"/>
              <w:left w:w="9" w:type="dxa"/>
              <w:bottom w:w="0" w:type="dxa"/>
              <w:right w:w="9" w:type="dxa"/>
            </w:tcMar>
            <w:hideMark/>
          </w:tcPr>
          <w:p w14:paraId="5FBEC9AB" w14:textId="77777777" w:rsidR="00C30067" w:rsidRPr="004938CA" w:rsidRDefault="00C30067" w:rsidP="0082626C">
            <w:pPr>
              <w:tabs>
                <w:tab w:val="num" w:pos="720"/>
              </w:tabs>
              <w:spacing w:before="40" w:after="40"/>
              <w:jc w:val="center"/>
              <w:rPr>
                <w:rFonts w:asciiTheme="minorHAnsi" w:hAnsiTheme="minorHAnsi" w:cstheme="minorHAnsi"/>
              </w:rPr>
            </w:pPr>
            <w:r w:rsidRPr="004938CA">
              <w:rPr>
                <w:rFonts w:asciiTheme="minorHAnsi" w:hAnsiTheme="minorHAnsi" w:cstheme="minorHAnsi"/>
              </w:rPr>
              <w:t>383</w:t>
            </w:r>
          </w:p>
        </w:tc>
        <w:tc>
          <w:tcPr>
            <w:tcW w:w="396" w:type="pct"/>
            <w:shd w:val="clear" w:color="auto" w:fill="auto"/>
            <w:tcMar>
              <w:top w:w="9" w:type="dxa"/>
              <w:left w:w="9" w:type="dxa"/>
              <w:bottom w:w="0" w:type="dxa"/>
              <w:right w:w="9" w:type="dxa"/>
            </w:tcMar>
            <w:hideMark/>
          </w:tcPr>
          <w:p w14:paraId="354B9A16" w14:textId="77777777" w:rsidR="00C30067" w:rsidRPr="004938CA" w:rsidRDefault="00C30067" w:rsidP="0082626C">
            <w:pPr>
              <w:tabs>
                <w:tab w:val="num" w:pos="720"/>
              </w:tabs>
              <w:spacing w:before="40" w:after="40"/>
              <w:jc w:val="center"/>
              <w:rPr>
                <w:rFonts w:asciiTheme="minorHAnsi" w:hAnsiTheme="minorHAnsi" w:cstheme="minorHAnsi"/>
              </w:rPr>
            </w:pPr>
            <w:r w:rsidRPr="004938CA">
              <w:rPr>
                <w:rFonts w:asciiTheme="minorHAnsi" w:hAnsiTheme="minorHAnsi" w:cstheme="minorHAnsi"/>
              </w:rPr>
              <w:t>103</w:t>
            </w:r>
          </w:p>
        </w:tc>
        <w:tc>
          <w:tcPr>
            <w:tcW w:w="396" w:type="pct"/>
            <w:shd w:val="clear" w:color="auto" w:fill="auto"/>
            <w:tcMar>
              <w:top w:w="9" w:type="dxa"/>
              <w:left w:w="9" w:type="dxa"/>
              <w:bottom w:w="0" w:type="dxa"/>
              <w:right w:w="9" w:type="dxa"/>
            </w:tcMar>
            <w:hideMark/>
          </w:tcPr>
          <w:p w14:paraId="30630639" w14:textId="77777777" w:rsidR="00C30067" w:rsidRPr="004938CA" w:rsidRDefault="00C30067" w:rsidP="0082626C">
            <w:pPr>
              <w:tabs>
                <w:tab w:val="num" w:pos="720"/>
              </w:tabs>
              <w:spacing w:before="40" w:after="40"/>
              <w:jc w:val="center"/>
              <w:rPr>
                <w:rFonts w:asciiTheme="minorHAnsi" w:hAnsiTheme="minorHAnsi" w:cstheme="minorHAnsi"/>
              </w:rPr>
            </w:pPr>
            <w:r w:rsidRPr="004938CA">
              <w:rPr>
                <w:rFonts w:asciiTheme="minorHAnsi" w:hAnsiTheme="minorHAnsi" w:cstheme="minorHAnsi"/>
              </w:rPr>
              <w:t>62</w:t>
            </w:r>
          </w:p>
        </w:tc>
        <w:tc>
          <w:tcPr>
            <w:tcW w:w="396" w:type="pct"/>
            <w:shd w:val="clear" w:color="auto" w:fill="auto"/>
          </w:tcPr>
          <w:p w14:paraId="61F29671" w14:textId="77777777" w:rsidR="00C30067" w:rsidRPr="004938CA" w:rsidRDefault="00C30067" w:rsidP="0082626C">
            <w:pPr>
              <w:tabs>
                <w:tab w:val="num" w:pos="720"/>
              </w:tabs>
              <w:spacing w:before="40" w:after="40"/>
              <w:jc w:val="center"/>
              <w:rPr>
                <w:rFonts w:asciiTheme="minorHAnsi" w:hAnsiTheme="minorHAnsi" w:cstheme="minorHAnsi"/>
              </w:rPr>
            </w:pPr>
            <w:r w:rsidRPr="004938CA">
              <w:rPr>
                <w:rFonts w:asciiTheme="minorHAnsi" w:hAnsiTheme="minorHAnsi" w:cstheme="minorHAnsi"/>
              </w:rPr>
              <w:t>40</w:t>
            </w:r>
          </w:p>
        </w:tc>
        <w:tc>
          <w:tcPr>
            <w:tcW w:w="396" w:type="pct"/>
            <w:shd w:val="clear" w:color="auto" w:fill="auto"/>
          </w:tcPr>
          <w:p w14:paraId="32824FCF" w14:textId="77777777" w:rsidR="00C30067" w:rsidRPr="004938CA" w:rsidRDefault="00C30067" w:rsidP="0082626C">
            <w:pPr>
              <w:tabs>
                <w:tab w:val="num" w:pos="720"/>
              </w:tabs>
              <w:spacing w:before="40" w:after="40"/>
              <w:jc w:val="center"/>
              <w:rPr>
                <w:rFonts w:asciiTheme="minorHAnsi" w:hAnsiTheme="minorHAnsi" w:cstheme="minorHAnsi"/>
              </w:rPr>
            </w:pPr>
          </w:p>
        </w:tc>
        <w:tc>
          <w:tcPr>
            <w:tcW w:w="396" w:type="pct"/>
            <w:shd w:val="clear" w:color="auto" w:fill="auto"/>
            <w:tcMar>
              <w:top w:w="9" w:type="dxa"/>
              <w:left w:w="9" w:type="dxa"/>
              <w:bottom w:w="0" w:type="dxa"/>
              <w:right w:w="9" w:type="dxa"/>
            </w:tcMar>
            <w:hideMark/>
          </w:tcPr>
          <w:p w14:paraId="4C3C7B1C" w14:textId="77777777" w:rsidR="00C30067" w:rsidRPr="004938CA" w:rsidRDefault="00C30067" w:rsidP="0082626C">
            <w:pPr>
              <w:tabs>
                <w:tab w:val="num" w:pos="720"/>
              </w:tabs>
              <w:spacing w:before="40" w:after="40"/>
              <w:jc w:val="center"/>
              <w:rPr>
                <w:rFonts w:asciiTheme="minorHAnsi" w:hAnsiTheme="minorHAnsi" w:cstheme="minorHAnsi"/>
              </w:rPr>
            </w:pPr>
          </w:p>
        </w:tc>
        <w:tc>
          <w:tcPr>
            <w:tcW w:w="396" w:type="pct"/>
            <w:shd w:val="clear" w:color="auto" w:fill="auto"/>
          </w:tcPr>
          <w:p w14:paraId="474BC2E1" w14:textId="77777777" w:rsidR="00C30067" w:rsidRPr="004938CA" w:rsidRDefault="00C30067" w:rsidP="0082626C">
            <w:pPr>
              <w:keepNext/>
              <w:tabs>
                <w:tab w:val="num" w:pos="720"/>
              </w:tabs>
              <w:spacing w:before="40" w:after="40"/>
              <w:jc w:val="center"/>
              <w:rPr>
                <w:rFonts w:asciiTheme="minorHAnsi" w:hAnsiTheme="minorHAnsi" w:cstheme="minorHAnsi"/>
              </w:rPr>
            </w:pPr>
          </w:p>
        </w:tc>
        <w:tc>
          <w:tcPr>
            <w:tcW w:w="388" w:type="pct"/>
            <w:shd w:val="clear" w:color="auto" w:fill="auto"/>
            <w:tcMar>
              <w:top w:w="9" w:type="dxa"/>
              <w:left w:w="9" w:type="dxa"/>
              <w:bottom w:w="0" w:type="dxa"/>
              <w:right w:w="9" w:type="dxa"/>
            </w:tcMar>
            <w:hideMark/>
          </w:tcPr>
          <w:p w14:paraId="4080062F" w14:textId="77777777" w:rsidR="00C30067" w:rsidRPr="004938CA" w:rsidRDefault="00C30067" w:rsidP="0082626C">
            <w:pPr>
              <w:keepNext/>
              <w:tabs>
                <w:tab w:val="num" w:pos="720"/>
              </w:tabs>
              <w:spacing w:before="40" w:after="40"/>
              <w:jc w:val="center"/>
              <w:rPr>
                <w:rFonts w:asciiTheme="minorHAnsi" w:hAnsiTheme="minorHAnsi" w:cstheme="minorHAnsi"/>
              </w:rPr>
            </w:pPr>
            <w:r w:rsidRPr="004938CA">
              <w:rPr>
                <w:rFonts w:asciiTheme="minorHAnsi" w:hAnsiTheme="minorHAnsi" w:cstheme="minorHAnsi"/>
              </w:rPr>
              <w:t>948</w:t>
            </w:r>
          </w:p>
        </w:tc>
      </w:tr>
      <w:tr w:rsidR="00C30067" w:rsidRPr="003A563B" w14:paraId="4716B8E6" w14:textId="77777777" w:rsidTr="008E083E">
        <w:trPr>
          <w:trHeight w:val="350"/>
        </w:trPr>
        <w:tc>
          <w:tcPr>
            <w:tcW w:w="1447" w:type="pct"/>
            <w:shd w:val="clear" w:color="auto" w:fill="auto"/>
            <w:tcMar>
              <w:top w:w="9" w:type="dxa"/>
              <w:left w:w="9" w:type="dxa"/>
              <w:bottom w:w="0" w:type="dxa"/>
              <w:right w:w="9" w:type="dxa"/>
            </w:tcMar>
            <w:vAlign w:val="bottom"/>
          </w:tcPr>
          <w:p w14:paraId="06881FF4" w14:textId="77777777" w:rsidR="00C30067" w:rsidRPr="00FC0FD7" w:rsidRDefault="00C30067" w:rsidP="0082626C">
            <w:pPr>
              <w:widowControl/>
              <w:autoSpaceDE/>
              <w:autoSpaceDN/>
              <w:adjustRightInd/>
              <w:spacing w:before="40" w:after="40"/>
              <w:ind w:left="128"/>
              <w:textAlignment w:val="bottom"/>
              <w:rPr>
                <w:rFonts w:ascii="Calibri" w:hAnsi="Calibri" w:cs="Calibri"/>
                <w:color w:val="000000"/>
                <w:kern w:val="24"/>
                <w:szCs w:val="18"/>
                <w:lang w:eastAsia="en-AU"/>
              </w:rPr>
            </w:pPr>
            <w:r w:rsidRPr="00FC0FD7">
              <w:rPr>
                <w:rFonts w:ascii="Calibri" w:hAnsi="Calibri" w:cs="Calibri"/>
                <w:color w:val="000000"/>
                <w:kern w:val="24"/>
                <w:szCs w:val="18"/>
                <w:lang w:eastAsia="en-AU"/>
              </w:rPr>
              <w:t>Waiting list as</w:t>
            </w:r>
            <w:r w:rsidR="00D72901">
              <w:rPr>
                <w:rFonts w:ascii="Calibri" w:hAnsi="Calibri" w:cs="Calibri"/>
                <w:color w:val="000000"/>
                <w:kern w:val="24"/>
                <w:szCs w:val="18"/>
                <w:lang w:eastAsia="en-AU"/>
              </w:rPr>
              <w:t xml:space="preserve"> proportion</w:t>
            </w:r>
            <w:r w:rsidRPr="00FC0FD7">
              <w:rPr>
                <w:rFonts w:ascii="Calibri" w:hAnsi="Calibri" w:cs="Calibri"/>
                <w:color w:val="000000"/>
                <w:kern w:val="24"/>
                <w:szCs w:val="18"/>
                <w:lang w:eastAsia="en-AU"/>
              </w:rPr>
              <w:t xml:space="preserve"> of</w:t>
            </w:r>
            <w:r w:rsidR="00793E35" w:rsidRPr="00FC0FD7">
              <w:rPr>
                <w:rFonts w:ascii="Calibri" w:hAnsi="Calibri" w:cs="Calibri"/>
                <w:color w:val="000000"/>
                <w:kern w:val="24"/>
                <w:szCs w:val="18"/>
                <w:lang w:eastAsia="en-AU"/>
              </w:rPr>
              <w:t xml:space="preserve"> total number of patients on</w:t>
            </w:r>
            <w:r w:rsidRPr="00FC0FD7">
              <w:rPr>
                <w:rFonts w:ascii="Calibri" w:hAnsi="Calibri" w:cs="Calibri"/>
                <w:color w:val="000000"/>
                <w:kern w:val="24"/>
                <w:szCs w:val="18"/>
                <w:lang w:eastAsia="en-AU"/>
              </w:rPr>
              <w:t xml:space="preserve"> dialysis</w:t>
            </w:r>
          </w:p>
        </w:tc>
        <w:tc>
          <w:tcPr>
            <w:tcW w:w="394" w:type="pct"/>
            <w:shd w:val="clear" w:color="auto" w:fill="auto"/>
            <w:tcMar>
              <w:top w:w="9" w:type="dxa"/>
              <w:left w:w="9" w:type="dxa"/>
              <w:bottom w:w="0" w:type="dxa"/>
              <w:right w:w="9" w:type="dxa"/>
            </w:tcMar>
          </w:tcPr>
          <w:p w14:paraId="2F3E86E5" w14:textId="77777777" w:rsidR="00C30067" w:rsidRPr="00EF2596" w:rsidRDefault="00C30067" w:rsidP="0082626C">
            <w:pPr>
              <w:tabs>
                <w:tab w:val="num" w:pos="720"/>
              </w:tabs>
              <w:spacing w:before="40" w:after="40"/>
              <w:jc w:val="center"/>
              <w:rPr>
                <w:rFonts w:ascii="Calibri" w:hAnsi="Calibri" w:cs="Calibri"/>
                <w:color w:val="000000"/>
                <w:kern w:val="24"/>
                <w:szCs w:val="18"/>
                <w:lang w:eastAsia="en-AU"/>
              </w:rPr>
            </w:pPr>
            <w:r w:rsidRPr="00EF2596">
              <w:rPr>
                <w:rFonts w:ascii="Calibri" w:hAnsi="Calibri" w:cs="Calibri"/>
                <w:color w:val="000000"/>
                <w:kern w:val="24"/>
                <w:szCs w:val="18"/>
                <w:lang w:eastAsia="en-AU"/>
              </w:rPr>
              <w:t>8.4%</w:t>
            </w:r>
          </w:p>
        </w:tc>
        <w:tc>
          <w:tcPr>
            <w:tcW w:w="396" w:type="pct"/>
            <w:shd w:val="clear" w:color="auto" w:fill="auto"/>
            <w:tcMar>
              <w:top w:w="9" w:type="dxa"/>
              <w:left w:w="9" w:type="dxa"/>
              <w:bottom w:w="0" w:type="dxa"/>
              <w:right w:w="9" w:type="dxa"/>
            </w:tcMar>
          </w:tcPr>
          <w:p w14:paraId="0CC9BBF6" w14:textId="77777777" w:rsidR="00C30067" w:rsidRPr="00EF2596" w:rsidRDefault="00C30067" w:rsidP="0082626C">
            <w:pPr>
              <w:tabs>
                <w:tab w:val="num" w:pos="720"/>
              </w:tabs>
              <w:spacing w:before="40" w:after="40"/>
              <w:jc w:val="center"/>
              <w:rPr>
                <w:rFonts w:ascii="Calibri" w:hAnsi="Calibri" w:cs="Calibri"/>
                <w:color w:val="000000"/>
                <w:kern w:val="24"/>
                <w:szCs w:val="18"/>
                <w:lang w:eastAsia="en-AU"/>
              </w:rPr>
            </w:pPr>
            <w:r w:rsidRPr="00EF2596">
              <w:rPr>
                <w:rFonts w:ascii="Calibri" w:hAnsi="Calibri" w:cs="Calibri"/>
                <w:color w:val="000000"/>
                <w:kern w:val="24"/>
                <w:szCs w:val="18"/>
                <w:lang w:eastAsia="en-AU"/>
              </w:rPr>
              <w:t>11.7%</w:t>
            </w:r>
          </w:p>
        </w:tc>
        <w:tc>
          <w:tcPr>
            <w:tcW w:w="396" w:type="pct"/>
            <w:shd w:val="clear" w:color="auto" w:fill="auto"/>
            <w:tcMar>
              <w:top w:w="9" w:type="dxa"/>
              <w:left w:w="9" w:type="dxa"/>
              <w:bottom w:w="0" w:type="dxa"/>
              <w:right w:w="9" w:type="dxa"/>
            </w:tcMar>
          </w:tcPr>
          <w:p w14:paraId="323C8BC2" w14:textId="77777777" w:rsidR="00C30067" w:rsidRPr="00EF2596" w:rsidRDefault="00C30067" w:rsidP="0082626C">
            <w:pPr>
              <w:tabs>
                <w:tab w:val="num" w:pos="720"/>
              </w:tabs>
              <w:spacing w:before="40" w:after="40"/>
              <w:jc w:val="center"/>
              <w:rPr>
                <w:rFonts w:ascii="Calibri" w:hAnsi="Calibri" w:cs="Calibri"/>
                <w:color w:val="000000"/>
                <w:kern w:val="24"/>
                <w:szCs w:val="18"/>
                <w:lang w:eastAsia="en-AU"/>
              </w:rPr>
            </w:pPr>
            <w:r w:rsidRPr="00EF2596">
              <w:rPr>
                <w:rFonts w:ascii="Calibri" w:hAnsi="Calibri" w:cs="Calibri"/>
                <w:color w:val="000000"/>
                <w:kern w:val="24"/>
                <w:szCs w:val="18"/>
                <w:lang w:eastAsia="en-AU"/>
              </w:rPr>
              <w:t>4.3%</w:t>
            </w:r>
          </w:p>
        </w:tc>
        <w:tc>
          <w:tcPr>
            <w:tcW w:w="396" w:type="pct"/>
            <w:shd w:val="clear" w:color="auto" w:fill="auto"/>
            <w:tcMar>
              <w:top w:w="9" w:type="dxa"/>
              <w:left w:w="9" w:type="dxa"/>
              <w:bottom w:w="0" w:type="dxa"/>
              <w:right w:w="9" w:type="dxa"/>
            </w:tcMar>
          </w:tcPr>
          <w:p w14:paraId="57CA5E94" w14:textId="77777777" w:rsidR="00C30067" w:rsidRPr="00EF2596" w:rsidRDefault="00C30067" w:rsidP="0082626C">
            <w:pPr>
              <w:tabs>
                <w:tab w:val="num" w:pos="720"/>
              </w:tabs>
              <w:spacing w:before="40" w:after="40"/>
              <w:jc w:val="center"/>
              <w:rPr>
                <w:rFonts w:ascii="Calibri" w:hAnsi="Calibri" w:cs="Calibri"/>
                <w:color w:val="000000"/>
                <w:kern w:val="24"/>
                <w:szCs w:val="18"/>
                <w:lang w:eastAsia="en-AU"/>
              </w:rPr>
            </w:pPr>
            <w:r w:rsidRPr="00EF2596">
              <w:rPr>
                <w:rFonts w:ascii="Calibri" w:hAnsi="Calibri" w:cs="Calibri"/>
                <w:color w:val="000000"/>
                <w:kern w:val="24"/>
                <w:szCs w:val="18"/>
                <w:lang w:eastAsia="en-AU"/>
              </w:rPr>
              <w:t>4.3%</w:t>
            </w:r>
          </w:p>
        </w:tc>
        <w:tc>
          <w:tcPr>
            <w:tcW w:w="396" w:type="pct"/>
            <w:shd w:val="clear" w:color="auto" w:fill="auto"/>
          </w:tcPr>
          <w:p w14:paraId="099B2A16" w14:textId="77777777" w:rsidR="00C30067" w:rsidRPr="00EF2596" w:rsidRDefault="00C30067" w:rsidP="0082626C">
            <w:pPr>
              <w:tabs>
                <w:tab w:val="num" w:pos="720"/>
              </w:tabs>
              <w:spacing w:before="40" w:after="40"/>
              <w:jc w:val="center"/>
              <w:rPr>
                <w:rFonts w:ascii="Calibri" w:hAnsi="Calibri" w:cs="Calibri"/>
                <w:color w:val="000000"/>
                <w:kern w:val="24"/>
                <w:szCs w:val="18"/>
                <w:lang w:eastAsia="en-AU"/>
              </w:rPr>
            </w:pPr>
            <w:r w:rsidRPr="00EF2596">
              <w:rPr>
                <w:rFonts w:ascii="Calibri" w:hAnsi="Calibri" w:cs="Calibri"/>
                <w:color w:val="000000"/>
                <w:kern w:val="24"/>
                <w:szCs w:val="18"/>
                <w:lang w:eastAsia="en-AU"/>
              </w:rPr>
              <w:t>3.0%</w:t>
            </w:r>
          </w:p>
        </w:tc>
        <w:tc>
          <w:tcPr>
            <w:tcW w:w="396" w:type="pct"/>
            <w:shd w:val="clear" w:color="auto" w:fill="auto"/>
          </w:tcPr>
          <w:p w14:paraId="20AA4B10" w14:textId="77777777" w:rsidR="00C30067" w:rsidRPr="00EF2596" w:rsidRDefault="00C30067" w:rsidP="0082626C">
            <w:pPr>
              <w:tabs>
                <w:tab w:val="num" w:pos="720"/>
              </w:tabs>
              <w:spacing w:before="40" w:after="40"/>
              <w:jc w:val="center"/>
              <w:rPr>
                <w:rFonts w:ascii="Calibri" w:hAnsi="Calibri" w:cs="Calibri"/>
                <w:color w:val="000000"/>
                <w:kern w:val="24"/>
                <w:szCs w:val="18"/>
                <w:lang w:eastAsia="en-AU"/>
              </w:rPr>
            </w:pPr>
            <w:r w:rsidRPr="00EF2596">
              <w:rPr>
                <w:rFonts w:ascii="Calibri" w:hAnsi="Calibri" w:cs="Calibri"/>
                <w:color w:val="000000"/>
                <w:kern w:val="24"/>
                <w:szCs w:val="18"/>
                <w:lang w:eastAsia="en-AU"/>
              </w:rPr>
              <w:t>-</w:t>
            </w:r>
          </w:p>
        </w:tc>
        <w:tc>
          <w:tcPr>
            <w:tcW w:w="396" w:type="pct"/>
            <w:shd w:val="clear" w:color="auto" w:fill="auto"/>
            <w:tcMar>
              <w:top w:w="9" w:type="dxa"/>
              <w:left w:w="9" w:type="dxa"/>
              <w:bottom w:w="0" w:type="dxa"/>
              <w:right w:w="9" w:type="dxa"/>
            </w:tcMar>
          </w:tcPr>
          <w:p w14:paraId="400E59B6" w14:textId="77777777" w:rsidR="00C30067" w:rsidRPr="00EF2596" w:rsidDel="00D00D5B" w:rsidRDefault="00C30067" w:rsidP="0082626C">
            <w:pPr>
              <w:tabs>
                <w:tab w:val="num" w:pos="720"/>
              </w:tabs>
              <w:spacing w:before="40" w:after="40"/>
              <w:jc w:val="center"/>
              <w:rPr>
                <w:rFonts w:ascii="Calibri" w:hAnsi="Calibri" w:cs="Calibri"/>
                <w:color w:val="000000"/>
                <w:kern w:val="24"/>
                <w:szCs w:val="18"/>
                <w:lang w:eastAsia="en-AU"/>
              </w:rPr>
            </w:pPr>
            <w:r w:rsidRPr="00EF2596">
              <w:rPr>
                <w:rFonts w:ascii="Calibri" w:hAnsi="Calibri" w:cs="Calibri"/>
                <w:color w:val="000000"/>
                <w:kern w:val="24"/>
                <w:szCs w:val="18"/>
                <w:lang w:eastAsia="en-AU"/>
              </w:rPr>
              <w:t>-</w:t>
            </w:r>
          </w:p>
        </w:tc>
        <w:tc>
          <w:tcPr>
            <w:tcW w:w="396" w:type="pct"/>
            <w:shd w:val="clear" w:color="auto" w:fill="auto"/>
          </w:tcPr>
          <w:p w14:paraId="01947E1A" w14:textId="77777777" w:rsidR="00C30067" w:rsidRPr="00EF2596" w:rsidRDefault="00C30067" w:rsidP="0082626C">
            <w:pPr>
              <w:keepNext/>
              <w:tabs>
                <w:tab w:val="num" w:pos="720"/>
              </w:tabs>
              <w:spacing w:before="40" w:after="40"/>
              <w:jc w:val="center"/>
              <w:rPr>
                <w:rFonts w:ascii="Calibri" w:hAnsi="Calibri" w:cs="Calibri"/>
                <w:color w:val="000000"/>
                <w:kern w:val="24"/>
                <w:szCs w:val="18"/>
                <w:lang w:eastAsia="en-AU"/>
              </w:rPr>
            </w:pPr>
            <w:r w:rsidRPr="00EF2596">
              <w:rPr>
                <w:rFonts w:ascii="Calibri" w:hAnsi="Calibri" w:cs="Calibri"/>
                <w:color w:val="000000"/>
                <w:kern w:val="24"/>
                <w:szCs w:val="18"/>
                <w:lang w:eastAsia="en-AU"/>
              </w:rPr>
              <w:t>-</w:t>
            </w:r>
          </w:p>
        </w:tc>
        <w:tc>
          <w:tcPr>
            <w:tcW w:w="388" w:type="pct"/>
            <w:shd w:val="clear" w:color="auto" w:fill="auto"/>
            <w:tcMar>
              <w:top w:w="9" w:type="dxa"/>
              <w:left w:w="9" w:type="dxa"/>
              <w:bottom w:w="0" w:type="dxa"/>
              <w:right w:w="9" w:type="dxa"/>
            </w:tcMar>
          </w:tcPr>
          <w:p w14:paraId="38B65CE6" w14:textId="77777777" w:rsidR="00C30067" w:rsidRPr="00EF2596" w:rsidRDefault="00C30067" w:rsidP="0082626C">
            <w:pPr>
              <w:keepNext/>
              <w:tabs>
                <w:tab w:val="num" w:pos="720"/>
              </w:tabs>
              <w:spacing w:before="40" w:after="40"/>
              <w:jc w:val="center"/>
              <w:rPr>
                <w:rFonts w:ascii="Calibri" w:hAnsi="Calibri" w:cs="Calibri"/>
                <w:color w:val="000000"/>
                <w:kern w:val="24"/>
                <w:szCs w:val="18"/>
                <w:lang w:eastAsia="en-AU"/>
              </w:rPr>
            </w:pPr>
            <w:r w:rsidRPr="00EF2596">
              <w:rPr>
                <w:rFonts w:ascii="Calibri" w:hAnsi="Calibri" w:cs="Calibri"/>
                <w:color w:val="000000"/>
                <w:kern w:val="24"/>
                <w:szCs w:val="18"/>
                <w:lang w:eastAsia="en-AU"/>
              </w:rPr>
              <w:t>7.5%</w:t>
            </w:r>
          </w:p>
        </w:tc>
      </w:tr>
    </w:tbl>
    <w:p w14:paraId="4DC03096" w14:textId="57F31CCF" w:rsidR="00C30067" w:rsidRDefault="00C30067" w:rsidP="00EF2596">
      <w:pPr>
        <w:tabs>
          <w:tab w:val="num" w:pos="720"/>
        </w:tabs>
        <w:spacing w:before="240" w:after="120"/>
        <w:rPr>
          <w:rFonts w:asciiTheme="minorHAnsi" w:hAnsiTheme="minorHAnsi" w:cstheme="minorHAnsi"/>
          <w:sz w:val="24"/>
          <w:szCs w:val="22"/>
          <w:lang w:val="en-GB"/>
        </w:rPr>
      </w:pPr>
      <w:r w:rsidRPr="00BB3DAD">
        <w:rPr>
          <w:rFonts w:asciiTheme="minorHAnsi" w:hAnsiTheme="minorHAnsi" w:cstheme="minorHAnsi"/>
          <w:sz w:val="24"/>
          <w:szCs w:val="22"/>
          <w:lang w:val="en-GB"/>
        </w:rPr>
        <w:t>This is particularly of concern when 11.7 per cent of dialysis patients in Victoria were listed on the ren</w:t>
      </w:r>
      <w:r w:rsidRPr="00434786">
        <w:rPr>
          <w:rFonts w:asciiTheme="minorHAnsi" w:hAnsiTheme="minorHAnsi" w:cstheme="minorHAnsi"/>
          <w:sz w:val="24"/>
          <w:szCs w:val="22"/>
          <w:lang w:val="en-GB"/>
        </w:rPr>
        <w:t>al waiting list, whereas only 3 per cent of dialysis patients in Western Australia were wait listed.</w:t>
      </w:r>
      <w:r w:rsidR="00514783">
        <w:rPr>
          <w:rStyle w:val="FootnoteReference"/>
          <w:rFonts w:cstheme="minorHAnsi"/>
          <w:lang w:val="en-GB"/>
        </w:rPr>
        <w:footnoteReference w:id="101"/>
      </w:r>
      <w:r w:rsidRPr="00434786">
        <w:rPr>
          <w:rFonts w:asciiTheme="minorHAnsi" w:hAnsiTheme="minorHAnsi" w:cstheme="minorHAnsi"/>
          <w:sz w:val="24"/>
          <w:szCs w:val="22"/>
          <w:lang w:val="en-GB"/>
        </w:rPr>
        <w:t xml:space="preserve"> Further,</w:t>
      </w:r>
      <w:r w:rsidRPr="004938CA">
        <w:rPr>
          <w:rFonts w:asciiTheme="minorHAnsi" w:hAnsiTheme="minorHAnsi" w:cstheme="minorHAnsi"/>
          <w:sz w:val="24"/>
          <w:szCs w:val="22"/>
          <w:lang w:val="en-GB"/>
        </w:rPr>
        <w:t xml:space="preserve"> </w:t>
      </w:r>
      <w:r>
        <w:rPr>
          <w:rFonts w:asciiTheme="minorHAnsi" w:hAnsiTheme="minorHAnsi" w:cstheme="minorHAnsi"/>
          <w:sz w:val="24"/>
          <w:szCs w:val="22"/>
          <w:lang w:val="en-GB"/>
        </w:rPr>
        <w:fldChar w:fldCharType="begin"/>
      </w:r>
      <w:r>
        <w:rPr>
          <w:rFonts w:asciiTheme="minorHAnsi" w:hAnsiTheme="minorHAnsi" w:cstheme="minorHAnsi"/>
          <w:sz w:val="24"/>
          <w:szCs w:val="22"/>
          <w:lang w:val="en-GB"/>
        </w:rPr>
        <w:instrText xml:space="preserve"> REF _Ref527557385 \h  \* MERGEFORMAT </w:instrText>
      </w:r>
      <w:r>
        <w:rPr>
          <w:rFonts w:asciiTheme="minorHAnsi" w:hAnsiTheme="minorHAnsi" w:cstheme="minorHAnsi"/>
          <w:sz w:val="24"/>
          <w:szCs w:val="22"/>
          <w:lang w:val="en-GB"/>
        </w:rPr>
      </w:r>
      <w:r>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Table 14</w:t>
      </w:r>
      <w:r>
        <w:rPr>
          <w:rFonts w:asciiTheme="minorHAnsi" w:hAnsiTheme="minorHAnsi" w:cstheme="minorHAnsi"/>
          <w:sz w:val="24"/>
          <w:szCs w:val="22"/>
          <w:lang w:val="en-GB"/>
        </w:rPr>
        <w:fldChar w:fldCharType="end"/>
      </w:r>
      <w:r w:rsidRPr="00434786">
        <w:rPr>
          <w:rFonts w:asciiTheme="minorHAnsi" w:hAnsiTheme="minorHAnsi" w:cstheme="minorHAnsi"/>
          <w:sz w:val="24"/>
          <w:szCs w:val="22"/>
          <w:lang w:val="en-GB"/>
        </w:rPr>
        <w:t xml:space="preserve"> </w:t>
      </w:r>
      <w:r w:rsidR="00793E35">
        <w:rPr>
          <w:rFonts w:asciiTheme="minorHAnsi" w:hAnsiTheme="minorHAnsi" w:cstheme="minorHAnsi"/>
          <w:sz w:val="24"/>
          <w:szCs w:val="22"/>
          <w:lang w:val="en-GB"/>
        </w:rPr>
        <w:t>demonstrates</w:t>
      </w:r>
      <w:r w:rsidR="00793E35" w:rsidRPr="00434786">
        <w:rPr>
          <w:rFonts w:asciiTheme="minorHAnsi" w:hAnsiTheme="minorHAnsi" w:cstheme="minorHAnsi"/>
          <w:sz w:val="24"/>
          <w:szCs w:val="22"/>
          <w:lang w:val="en-GB"/>
        </w:rPr>
        <w:t xml:space="preserve"> </w:t>
      </w:r>
      <w:r w:rsidRPr="00434786">
        <w:rPr>
          <w:rFonts w:asciiTheme="minorHAnsi" w:hAnsiTheme="minorHAnsi" w:cstheme="minorHAnsi"/>
          <w:sz w:val="24"/>
          <w:szCs w:val="22"/>
          <w:lang w:val="en-GB"/>
        </w:rPr>
        <w:t>that Western Australia has more potential recipients on the waiting list that have previously received a transplant than those who have not.</w:t>
      </w:r>
      <w:r w:rsidRPr="004938CA" w:rsidDel="001B7995">
        <w:rPr>
          <w:rFonts w:asciiTheme="minorHAnsi" w:hAnsiTheme="minorHAnsi" w:cstheme="minorHAnsi"/>
          <w:sz w:val="24"/>
          <w:szCs w:val="22"/>
          <w:lang w:val="en-GB"/>
        </w:rPr>
        <w:t xml:space="preserve"> </w:t>
      </w:r>
    </w:p>
    <w:p w14:paraId="760753AD" w14:textId="77777777" w:rsidR="00C30067" w:rsidRPr="004938CA" w:rsidRDefault="00C30067" w:rsidP="00C30067">
      <w:pPr>
        <w:pStyle w:val="Caption"/>
        <w:spacing w:before="120" w:after="120"/>
        <w:rPr>
          <w:rFonts w:asciiTheme="minorHAnsi" w:hAnsiTheme="minorHAnsi" w:cstheme="minorHAnsi"/>
          <w:b w:val="0"/>
          <w:color w:val="808080"/>
          <w:sz w:val="20"/>
        </w:rPr>
      </w:pPr>
      <w:bookmarkStart w:id="613" w:name="_Ref527557385"/>
      <w:r w:rsidRPr="004938CA">
        <w:rPr>
          <w:rFonts w:asciiTheme="minorHAnsi" w:hAnsiTheme="minorHAnsi" w:cstheme="minorHAnsi"/>
          <w:b w:val="0"/>
          <w:color w:val="808080"/>
          <w:sz w:val="20"/>
        </w:rPr>
        <w:t xml:space="preserve">Table </w:t>
      </w:r>
      <w:r w:rsidRPr="004938CA">
        <w:rPr>
          <w:rFonts w:asciiTheme="minorHAnsi" w:hAnsiTheme="minorHAnsi" w:cstheme="minorHAnsi"/>
          <w:b w:val="0"/>
          <w:color w:val="808080"/>
          <w:sz w:val="20"/>
        </w:rPr>
        <w:fldChar w:fldCharType="begin"/>
      </w:r>
      <w:r w:rsidRPr="004938CA">
        <w:rPr>
          <w:rFonts w:asciiTheme="minorHAnsi" w:hAnsiTheme="minorHAnsi" w:cstheme="minorHAnsi"/>
          <w:b w:val="0"/>
          <w:color w:val="808080"/>
          <w:sz w:val="20"/>
        </w:rPr>
        <w:instrText xml:space="preserve"> SEQ Table \* ARABIC </w:instrText>
      </w:r>
      <w:r w:rsidRPr="004938CA">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14</w:t>
      </w:r>
      <w:r w:rsidRPr="004938CA">
        <w:rPr>
          <w:rFonts w:asciiTheme="minorHAnsi" w:hAnsiTheme="minorHAnsi" w:cstheme="minorHAnsi"/>
          <w:b w:val="0"/>
          <w:color w:val="808080"/>
          <w:sz w:val="20"/>
        </w:rPr>
        <w:fldChar w:fldCharType="end"/>
      </w:r>
      <w:bookmarkEnd w:id="613"/>
      <w:r w:rsidRPr="004938CA">
        <w:rPr>
          <w:rFonts w:asciiTheme="minorHAnsi" w:hAnsiTheme="minorHAnsi" w:cstheme="minorHAnsi"/>
          <w:b w:val="0"/>
          <w:color w:val="808080"/>
          <w:sz w:val="20"/>
        </w:rPr>
        <w:t>: State and territory breakdown of patients on the renal waiting list with no previous transplant versus one or more</w:t>
      </w:r>
      <w:r w:rsidR="00EB4BC3">
        <w:rPr>
          <w:rFonts w:asciiTheme="minorHAnsi" w:hAnsiTheme="minorHAnsi" w:cstheme="minorHAnsi"/>
          <w:b w:val="0"/>
          <w:color w:val="808080"/>
          <w:sz w:val="20"/>
        </w:rPr>
        <w:t>, SOURCE: NOMS</w:t>
      </w:r>
      <w:r w:rsidR="00BD1C04">
        <w:rPr>
          <w:rStyle w:val="FootnoteReference"/>
          <w:rFonts w:cstheme="minorHAnsi"/>
          <w:b w:val="0"/>
          <w:color w:val="808080"/>
        </w:rPr>
        <w:footnoteReference w:id="102"/>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State and territory breakdown of patients on the renal waiting lists. Northern Territory, Tasmania and the Australian Capital Territory have zero patients on the renal waiting list. New South Wales has three hundred and sixteen patients on the waiting list with no previous transplants and sixty two patients on the waiting list who've had at least one previous transplant. Victoria has two hundred and sixty four patients on the waiting lists with no previous experience and ninety eight patients who've had at least one previous transplant. Queenland have seventy four people on the waiting list with no previous transplant, and thirty five people with at least one previous transplant. South Australia have seventy two patients on the waitlist with no previous transplant and eighteen with at least one previous transplant. Western Australia have twenty patients on the waitlist with no previous transplant and twenty nine with at least one previous transplant."/>
      </w:tblPr>
      <w:tblGrid>
        <w:gridCol w:w="1413"/>
        <w:gridCol w:w="4040"/>
        <w:gridCol w:w="4040"/>
      </w:tblGrid>
      <w:tr w:rsidR="00C30067" w:rsidRPr="00434786" w14:paraId="0A7A31F1" w14:textId="77777777" w:rsidTr="00AE3ED1">
        <w:trPr>
          <w:tblHeader/>
        </w:trPr>
        <w:tc>
          <w:tcPr>
            <w:tcW w:w="1413" w:type="dxa"/>
            <w:shd w:val="clear" w:color="auto" w:fill="595959" w:themeFill="text1" w:themeFillTint="A6"/>
          </w:tcPr>
          <w:p w14:paraId="1222060B" w14:textId="77777777" w:rsidR="00C30067" w:rsidRPr="004938CA" w:rsidRDefault="00C30067" w:rsidP="008E083E">
            <w:pPr>
              <w:widowControl/>
              <w:autoSpaceDE/>
              <w:autoSpaceDN/>
              <w:adjustRightInd/>
              <w:spacing w:before="40" w:after="40"/>
              <w:textAlignment w:val="bottom"/>
              <w:rPr>
                <w:rFonts w:ascii="Calibri" w:hAnsi="Calibri" w:cs="Calibri"/>
                <w:b/>
                <w:bCs/>
                <w:color w:val="FFFFFF" w:themeColor="background1"/>
                <w:kern w:val="24"/>
                <w:szCs w:val="18"/>
                <w:lang w:eastAsia="en-AU"/>
              </w:rPr>
            </w:pPr>
            <w:r w:rsidRPr="004938CA">
              <w:rPr>
                <w:rFonts w:ascii="Calibri" w:hAnsi="Calibri" w:cs="Calibri"/>
                <w:b/>
                <w:bCs/>
                <w:color w:val="FFFFFF" w:themeColor="background1"/>
                <w:kern w:val="24"/>
                <w:szCs w:val="18"/>
                <w:lang w:eastAsia="en-AU"/>
              </w:rPr>
              <w:t>State</w:t>
            </w:r>
          </w:p>
        </w:tc>
        <w:tc>
          <w:tcPr>
            <w:tcW w:w="4040" w:type="dxa"/>
            <w:shd w:val="clear" w:color="auto" w:fill="595959" w:themeFill="text1" w:themeFillTint="A6"/>
          </w:tcPr>
          <w:p w14:paraId="3E4E8094" w14:textId="77777777" w:rsidR="00C30067" w:rsidRPr="004938CA" w:rsidRDefault="00C30067" w:rsidP="008E083E">
            <w:pPr>
              <w:widowControl/>
              <w:autoSpaceDE/>
              <w:autoSpaceDN/>
              <w:adjustRightInd/>
              <w:spacing w:before="40" w:after="40"/>
              <w:jc w:val="center"/>
              <w:textAlignment w:val="bottom"/>
              <w:rPr>
                <w:rFonts w:ascii="Calibri" w:hAnsi="Calibri" w:cs="Calibri"/>
                <w:b/>
                <w:bCs/>
                <w:color w:val="FFFFFF" w:themeColor="background1"/>
                <w:kern w:val="24"/>
                <w:szCs w:val="18"/>
                <w:lang w:eastAsia="en-AU"/>
              </w:rPr>
            </w:pPr>
            <w:r w:rsidRPr="004938CA">
              <w:rPr>
                <w:rFonts w:ascii="Calibri" w:hAnsi="Calibri" w:cs="Calibri"/>
                <w:b/>
                <w:bCs/>
                <w:color w:val="FFFFFF" w:themeColor="background1"/>
                <w:kern w:val="24"/>
                <w:szCs w:val="18"/>
                <w:lang w:eastAsia="en-AU"/>
              </w:rPr>
              <w:t>Total patients on the waiting list with no previous transplant</w:t>
            </w:r>
          </w:p>
        </w:tc>
        <w:tc>
          <w:tcPr>
            <w:tcW w:w="4040" w:type="dxa"/>
            <w:shd w:val="clear" w:color="auto" w:fill="595959" w:themeFill="text1" w:themeFillTint="A6"/>
          </w:tcPr>
          <w:p w14:paraId="64A78A86" w14:textId="77777777" w:rsidR="00C30067" w:rsidRPr="004938CA" w:rsidRDefault="00C30067" w:rsidP="008E083E">
            <w:pPr>
              <w:widowControl/>
              <w:autoSpaceDE/>
              <w:autoSpaceDN/>
              <w:adjustRightInd/>
              <w:spacing w:before="40" w:after="40"/>
              <w:jc w:val="center"/>
              <w:textAlignment w:val="bottom"/>
              <w:rPr>
                <w:rFonts w:ascii="Calibri" w:hAnsi="Calibri" w:cs="Calibri"/>
                <w:b/>
                <w:bCs/>
                <w:color w:val="FFFFFF" w:themeColor="background1"/>
                <w:kern w:val="24"/>
                <w:szCs w:val="18"/>
                <w:lang w:eastAsia="en-AU"/>
              </w:rPr>
            </w:pPr>
            <w:r w:rsidRPr="004938CA">
              <w:rPr>
                <w:rFonts w:ascii="Calibri" w:hAnsi="Calibri" w:cs="Calibri"/>
                <w:b/>
                <w:bCs/>
                <w:color w:val="FFFFFF" w:themeColor="background1"/>
                <w:kern w:val="24"/>
                <w:szCs w:val="18"/>
                <w:lang w:eastAsia="en-AU"/>
              </w:rPr>
              <w:t>Total patients on the waiting list with 1 or more previous transplant</w:t>
            </w:r>
          </w:p>
        </w:tc>
      </w:tr>
      <w:tr w:rsidR="00C30067" w:rsidRPr="00434786" w14:paraId="21F884DB" w14:textId="77777777" w:rsidTr="00AE3ED1">
        <w:tc>
          <w:tcPr>
            <w:tcW w:w="1413" w:type="dxa"/>
          </w:tcPr>
          <w:p w14:paraId="0CDA9650" w14:textId="77777777" w:rsidR="00C30067" w:rsidRPr="004938CA" w:rsidRDefault="00C30067" w:rsidP="008E083E">
            <w:pPr>
              <w:widowControl/>
              <w:autoSpaceDE/>
              <w:autoSpaceDN/>
              <w:adjustRightInd/>
              <w:spacing w:before="40" w:after="40"/>
              <w:textAlignment w:val="bottom"/>
              <w:rPr>
                <w:rFonts w:ascii="Calibri" w:hAnsi="Calibri" w:cs="Calibri"/>
                <w:b/>
                <w:bCs/>
                <w:color w:val="000000"/>
                <w:kern w:val="24"/>
                <w:szCs w:val="18"/>
                <w:lang w:eastAsia="en-AU"/>
              </w:rPr>
            </w:pPr>
            <w:r w:rsidRPr="004938CA">
              <w:rPr>
                <w:rFonts w:ascii="Calibri" w:hAnsi="Calibri" w:cs="Calibri"/>
                <w:color w:val="000000"/>
                <w:kern w:val="24"/>
                <w:szCs w:val="18"/>
                <w:lang w:eastAsia="en-AU"/>
              </w:rPr>
              <w:t>NT</w:t>
            </w:r>
          </w:p>
        </w:tc>
        <w:tc>
          <w:tcPr>
            <w:tcW w:w="4040" w:type="dxa"/>
          </w:tcPr>
          <w:p w14:paraId="38C53189" w14:textId="0F5345C0" w:rsidR="00C30067" w:rsidRPr="004938CA" w:rsidRDefault="00B46F66" w:rsidP="008E083E">
            <w:pPr>
              <w:widowControl/>
              <w:autoSpaceDE/>
              <w:autoSpaceDN/>
              <w:adjustRightInd/>
              <w:spacing w:before="40" w:after="40"/>
              <w:jc w:val="center"/>
              <w:textAlignment w:val="bottom"/>
              <w:rPr>
                <w:rFonts w:ascii="Calibri" w:hAnsi="Calibri" w:cs="Calibri"/>
                <w:bCs/>
                <w:color w:val="000000"/>
                <w:kern w:val="24"/>
                <w:szCs w:val="18"/>
                <w:lang w:eastAsia="en-AU"/>
              </w:rPr>
            </w:pPr>
            <w:r>
              <w:rPr>
                <w:rFonts w:ascii="Calibri" w:hAnsi="Calibri" w:cs="Calibri"/>
                <w:bCs/>
                <w:color w:val="000000"/>
                <w:kern w:val="24"/>
                <w:szCs w:val="18"/>
                <w:lang w:eastAsia="en-AU"/>
              </w:rPr>
              <w:t>0</w:t>
            </w:r>
          </w:p>
        </w:tc>
        <w:tc>
          <w:tcPr>
            <w:tcW w:w="4040" w:type="dxa"/>
          </w:tcPr>
          <w:p w14:paraId="000A30A3" w14:textId="08A799D1" w:rsidR="00C30067" w:rsidRPr="004938CA" w:rsidRDefault="00B46F66" w:rsidP="008E083E">
            <w:pPr>
              <w:widowControl/>
              <w:autoSpaceDE/>
              <w:autoSpaceDN/>
              <w:adjustRightInd/>
              <w:spacing w:before="40" w:after="40"/>
              <w:jc w:val="center"/>
              <w:textAlignment w:val="bottom"/>
              <w:rPr>
                <w:rFonts w:ascii="Calibri" w:hAnsi="Calibri" w:cs="Calibri"/>
                <w:bCs/>
                <w:color w:val="000000"/>
                <w:kern w:val="24"/>
                <w:szCs w:val="18"/>
                <w:lang w:eastAsia="en-AU"/>
              </w:rPr>
            </w:pPr>
            <w:r>
              <w:rPr>
                <w:rFonts w:ascii="Calibri" w:hAnsi="Calibri" w:cs="Calibri"/>
                <w:bCs/>
                <w:color w:val="000000"/>
                <w:kern w:val="24"/>
                <w:szCs w:val="18"/>
                <w:lang w:eastAsia="en-AU"/>
              </w:rPr>
              <w:t>0</w:t>
            </w:r>
          </w:p>
        </w:tc>
      </w:tr>
      <w:tr w:rsidR="00C30067" w:rsidRPr="00434786" w14:paraId="33E40201" w14:textId="77777777" w:rsidTr="00AE3ED1">
        <w:tc>
          <w:tcPr>
            <w:tcW w:w="1413" w:type="dxa"/>
          </w:tcPr>
          <w:p w14:paraId="560D7C68" w14:textId="77777777" w:rsidR="00C30067" w:rsidRPr="004938CA" w:rsidRDefault="00C30067" w:rsidP="008E083E">
            <w:pPr>
              <w:widowControl/>
              <w:autoSpaceDE/>
              <w:autoSpaceDN/>
              <w:adjustRightInd/>
              <w:spacing w:before="40" w:after="40"/>
              <w:textAlignment w:val="bottom"/>
              <w:rPr>
                <w:rFonts w:ascii="Calibri" w:hAnsi="Calibri" w:cs="Calibri"/>
                <w:b/>
                <w:bCs/>
                <w:color w:val="000000"/>
                <w:kern w:val="24"/>
                <w:szCs w:val="18"/>
                <w:lang w:eastAsia="en-AU"/>
              </w:rPr>
            </w:pPr>
            <w:r w:rsidRPr="004938CA">
              <w:rPr>
                <w:rFonts w:ascii="Calibri" w:hAnsi="Calibri" w:cs="Calibri"/>
                <w:color w:val="000000"/>
                <w:kern w:val="24"/>
                <w:szCs w:val="18"/>
                <w:lang w:eastAsia="en-AU"/>
              </w:rPr>
              <w:t>NSW</w:t>
            </w:r>
          </w:p>
        </w:tc>
        <w:tc>
          <w:tcPr>
            <w:tcW w:w="4040" w:type="dxa"/>
          </w:tcPr>
          <w:p w14:paraId="5E6A87C2" w14:textId="77777777" w:rsidR="00C30067" w:rsidRPr="004938CA" w:rsidRDefault="00C30067" w:rsidP="008E083E">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316</w:t>
            </w:r>
          </w:p>
        </w:tc>
        <w:tc>
          <w:tcPr>
            <w:tcW w:w="4040" w:type="dxa"/>
          </w:tcPr>
          <w:p w14:paraId="37E6FF7C" w14:textId="77777777" w:rsidR="00C30067" w:rsidRPr="004938CA" w:rsidRDefault="00C30067" w:rsidP="008E083E">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62</w:t>
            </w:r>
          </w:p>
        </w:tc>
      </w:tr>
      <w:tr w:rsidR="00C30067" w:rsidRPr="00434786" w14:paraId="3966E3CC" w14:textId="77777777" w:rsidTr="00AE3ED1">
        <w:tc>
          <w:tcPr>
            <w:tcW w:w="1413" w:type="dxa"/>
          </w:tcPr>
          <w:p w14:paraId="4D2D9E8E" w14:textId="77777777" w:rsidR="00C30067" w:rsidRPr="004938CA" w:rsidRDefault="00C30067" w:rsidP="008E083E">
            <w:pPr>
              <w:widowControl/>
              <w:autoSpaceDE/>
              <w:autoSpaceDN/>
              <w:adjustRightInd/>
              <w:spacing w:before="40" w:after="40"/>
              <w:textAlignment w:val="bottom"/>
              <w:rPr>
                <w:rFonts w:ascii="Calibri" w:hAnsi="Calibri" w:cs="Calibri"/>
                <w:color w:val="000000"/>
                <w:kern w:val="24"/>
                <w:szCs w:val="18"/>
                <w:lang w:eastAsia="en-AU"/>
              </w:rPr>
            </w:pPr>
            <w:r w:rsidRPr="004938CA">
              <w:rPr>
                <w:rFonts w:ascii="Calibri" w:hAnsi="Calibri" w:cs="Calibri"/>
                <w:color w:val="000000"/>
                <w:kern w:val="24"/>
                <w:szCs w:val="18"/>
                <w:lang w:eastAsia="en-AU"/>
              </w:rPr>
              <w:t>VIC</w:t>
            </w:r>
          </w:p>
        </w:tc>
        <w:tc>
          <w:tcPr>
            <w:tcW w:w="4040" w:type="dxa"/>
          </w:tcPr>
          <w:p w14:paraId="6A287E48" w14:textId="77777777" w:rsidR="00C30067" w:rsidRPr="004938CA" w:rsidRDefault="00C30067" w:rsidP="008E083E">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264</w:t>
            </w:r>
          </w:p>
        </w:tc>
        <w:tc>
          <w:tcPr>
            <w:tcW w:w="4040" w:type="dxa"/>
          </w:tcPr>
          <w:p w14:paraId="2E81820C" w14:textId="77777777" w:rsidR="00C30067" w:rsidRPr="004938CA" w:rsidRDefault="00C30067" w:rsidP="008E083E">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98</w:t>
            </w:r>
          </w:p>
        </w:tc>
      </w:tr>
      <w:tr w:rsidR="00C30067" w:rsidRPr="00434786" w14:paraId="078E3F0D" w14:textId="77777777" w:rsidTr="00AE3ED1">
        <w:tc>
          <w:tcPr>
            <w:tcW w:w="1413" w:type="dxa"/>
          </w:tcPr>
          <w:p w14:paraId="3B3DCFFE" w14:textId="77777777" w:rsidR="00C30067" w:rsidRPr="004938CA" w:rsidRDefault="00C30067" w:rsidP="008E083E">
            <w:pPr>
              <w:widowControl/>
              <w:autoSpaceDE/>
              <w:autoSpaceDN/>
              <w:adjustRightInd/>
              <w:spacing w:before="40" w:after="40"/>
              <w:textAlignment w:val="bottom"/>
              <w:rPr>
                <w:rFonts w:ascii="Calibri" w:hAnsi="Calibri" w:cs="Calibri"/>
                <w:color w:val="000000"/>
                <w:kern w:val="24"/>
                <w:szCs w:val="18"/>
                <w:lang w:eastAsia="en-AU"/>
              </w:rPr>
            </w:pPr>
            <w:r w:rsidRPr="004938CA">
              <w:rPr>
                <w:rFonts w:ascii="Calibri" w:hAnsi="Calibri" w:cs="Calibri"/>
                <w:color w:val="000000"/>
                <w:kern w:val="24"/>
                <w:szCs w:val="18"/>
                <w:lang w:eastAsia="en-AU"/>
              </w:rPr>
              <w:t>QLD</w:t>
            </w:r>
          </w:p>
        </w:tc>
        <w:tc>
          <w:tcPr>
            <w:tcW w:w="4040" w:type="dxa"/>
          </w:tcPr>
          <w:p w14:paraId="4D6116AB" w14:textId="77777777" w:rsidR="00C30067" w:rsidRPr="004938CA" w:rsidRDefault="00C30067" w:rsidP="008E083E">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74</w:t>
            </w:r>
          </w:p>
        </w:tc>
        <w:tc>
          <w:tcPr>
            <w:tcW w:w="4040" w:type="dxa"/>
          </w:tcPr>
          <w:p w14:paraId="20AF7E55" w14:textId="77777777" w:rsidR="00C30067" w:rsidRPr="004938CA" w:rsidRDefault="00C30067" w:rsidP="008E083E">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35</w:t>
            </w:r>
          </w:p>
        </w:tc>
      </w:tr>
      <w:tr w:rsidR="00C30067" w:rsidRPr="00434786" w14:paraId="0511C2AB" w14:textId="77777777" w:rsidTr="00AE3ED1">
        <w:tc>
          <w:tcPr>
            <w:tcW w:w="1413" w:type="dxa"/>
          </w:tcPr>
          <w:p w14:paraId="771583BA" w14:textId="77777777" w:rsidR="00C30067" w:rsidRPr="004938CA" w:rsidRDefault="00C30067" w:rsidP="008E083E">
            <w:pPr>
              <w:widowControl/>
              <w:autoSpaceDE/>
              <w:autoSpaceDN/>
              <w:adjustRightInd/>
              <w:spacing w:before="40" w:after="40"/>
              <w:textAlignment w:val="bottom"/>
              <w:rPr>
                <w:rFonts w:ascii="Calibri" w:hAnsi="Calibri" w:cs="Calibri"/>
                <w:color w:val="000000"/>
                <w:kern w:val="24"/>
                <w:szCs w:val="18"/>
                <w:lang w:eastAsia="en-AU"/>
              </w:rPr>
            </w:pPr>
            <w:r w:rsidRPr="004938CA">
              <w:rPr>
                <w:rFonts w:ascii="Calibri" w:hAnsi="Calibri" w:cs="Calibri"/>
                <w:color w:val="000000"/>
                <w:kern w:val="24"/>
                <w:szCs w:val="18"/>
                <w:lang w:eastAsia="en-AU"/>
              </w:rPr>
              <w:t>SA</w:t>
            </w:r>
          </w:p>
        </w:tc>
        <w:tc>
          <w:tcPr>
            <w:tcW w:w="4040" w:type="dxa"/>
          </w:tcPr>
          <w:p w14:paraId="0F6B64A5" w14:textId="77777777" w:rsidR="00C30067" w:rsidRPr="004938CA" w:rsidRDefault="00C30067" w:rsidP="008E083E">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72</w:t>
            </w:r>
          </w:p>
        </w:tc>
        <w:tc>
          <w:tcPr>
            <w:tcW w:w="4040" w:type="dxa"/>
          </w:tcPr>
          <w:p w14:paraId="2600BAFA" w14:textId="77777777" w:rsidR="00C30067" w:rsidRPr="004938CA" w:rsidRDefault="00C30067" w:rsidP="008E083E">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18</w:t>
            </w:r>
          </w:p>
        </w:tc>
      </w:tr>
      <w:tr w:rsidR="00C30067" w:rsidRPr="00434786" w14:paraId="69791F2F" w14:textId="77777777" w:rsidTr="00AE3ED1">
        <w:tc>
          <w:tcPr>
            <w:tcW w:w="1413" w:type="dxa"/>
          </w:tcPr>
          <w:p w14:paraId="1565D64B" w14:textId="77777777" w:rsidR="00C30067" w:rsidRPr="004938CA" w:rsidRDefault="00C30067" w:rsidP="008E083E">
            <w:pPr>
              <w:widowControl/>
              <w:autoSpaceDE/>
              <w:autoSpaceDN/>
              <w:adjustRightInd/>
              <w:spacing w:before="40" w:after="40"/>
              <w:textAlignment w:val="bottom"/>
              <w:rPr>
                <w:rFonts w:ascii="Calibri" w:hAnsi="Calibri" w:cs="Calibri"/>
                <w:color w:val="000000"/>
                <w:kern w:val="24"/>
                <w:szCs w:val="18"/>
                <w:lang w:eastAsia="en-AU"/>
              </w:rPr>
            </w:pPr>
            <w:r w:rsidRPr="004938CA">
              <w:rPr>
                <w:rFonts w:ascii="Calibri" w:hAnsi="Calibri" w:cs="Calibri"/>
                <w:color w:val="000000"/>
                <w:kern w:val="24"/>
                <w:szCs w:val="18"/>
                <w:lang w:eastAsia="en-AU"/>
              </w:rPr>
              <w:t>WA</w:t>
            </w:r>
          </w:p>
        </w:tc>
        <w:tc>
          <w:tcPr>
            <w:tcW w:w="4040" w:type="dxa"/>
          </w:tcPr>
          <w:p w14:paraId="7EDAA940" w14:textId="77777777" w:rsidR="00C30067" w:rsidRPr="004938CA" w:rsidRDefault="00C30067" w:rsidP="008E083E">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20</w:t>
            </w:r>
          </w:p>
        </w:tc>
        <w:tc>
          <w:tcPr>
            <w:tcW w:w="4040" w:type="dxa"/>
          </w:tcPr>
          <w:p w14:paraId="259BEA52" w14:textId="77777777" w:rsidR="00C30067" w:rsidRPr="004938CA" w:rsidRDefault="00C30067" w:rsidP="008E083E">
            <w:pPr>
              <w:widowControl/>
              <w:autoSpaceDE/>
              <w:autoSpaceDN/>
              <w:adjustRightInd/>
              <w:spacing w:before="40" w:after="40"/>
              <w:jc w:val="center"/>
              <w:textAlignment w:val="bottom"/>
              <w:rPr>
                <w:rFonts w:ascii="Calibri" w:hAnsi="Calibri" w:cs="Calibri"/>
                <w:bCs/>
                <w:color w:val="000000"/>
                <w:kern w:val="24"/>
                <w:szCs w:val="18"/>
                <w:lang w:eastAsia="en-AU"/>
              </w:rPr>
            </w:pPr>
            <w:r w:rsidRPr="004938CA">
              <w:rPr>
                <w:rFonts w:ascii="Calibri" w:hAnsi="Calibri" w:cs="Calibri"/>
                <w:bCs/>
                <w:color w:val="000000"/>
                <w:kern w:val="24"/>
                <w:szCs w:val="18"/>
                <w:lang w:eastAsia="en-AU"/>
              </w:rPr>
              <w:t>29</w:t>
            </w:r>
          </w:p>
        </w:tc>
      </w:tr>
      <w:tr w:rsidR="00C30067" w:rsidRPr="00434786" w14:paraId="5CF77467" w14:textId="77777777" w:rsidTr="00AE3ED1">
        <w:tc>
          <w:tcPr>
            <w:tcW w:w="1413" w:type="dxa"/>
          </w:tcPr>
          <w:p w14:paraId="66AE2E48" w14:textId="77777777" w:rsidR="00C30067" w:rsidRPr="004938CA" w:rsidRDefault="00C30067" w:rsidP="008E083E">
            <w:pPr>
              <w:widowControl/>
              <w:autoSpaceDE/>
              <w:autoSpaceDN/>
              <w:adjustRightInd/>
              <w:spacing w:before="40" w:after="40"/>
              <w:textAlignment w:val="bottom"/>
              <w:rPr>
                <w:rFonts w:ascii="Calibri" w:hAnsi="Calibri" w:cs="Calibri"/>
                <w:color w:val="000000"/>
                <w:kern w:val="24"/>
                <w:szCs w:val="18"/>
                <w:lang w:eastAsia="en-AU"/>
              </w:rPr>
            </w:pPr>
            <w:r w:rsidRPr="004938CA">
              <w:rPr>
                <w:rFonts w:ascii="Calibri" w:hAnsi="Calibri" w:cs="Calibri"/>
                <w:color w:val="000000"/>
                <w:kern w:val="24"/>
                <w:szCs w:val="18"/>
                <w:lang w:eastAsia="en-AU"/>
              </w:rPr>
              <w:t>TAS</w:t>
            </w:r>
          </w:p>
        </w:tc>
        <w:tc>
          <w:tcPr>
            <w:tcW w:w="4040" w:type="dxa"/>
          </w:tcPr>
          <w:p w14:paraId="433262B0" w14:textId="20C489D8" w:rsidR="00C30067" w:rsidRPr="004938CA" w:rsidRDefault="00B46F66" w:rsidP="008E083E">
            <w:pPr>
              <w:widowControl/>
              <w:autoSpaceDE/>
              <w:autoSpaceDN/>
              <w:adjustRightInd/>
              <w:spacing w:before="40" w:after="40"/>
              <w:jc w:val="center"/>
              <w:textAlignment w:val="bottom"/>
              <w:rPr>
                <w:rFonts w:ascii="Calibri" w:hAnsi="Calibri" w:cs="Calibri"/>
                <w:bCs/>
                <w:color w:val="000000"/>
                <w:kern w:val="24"/>
                <w:szCs w:val="18"/>
                <w:lang w:eastAsia="en-AU"/>
              </w:rPr>
            </w:pPr>
            <w:r>
              <w:rPr>
                <w:rFonts w:ascii="Calibri" w:hAnsi="Calibri" w:cs="Calibri"/>
                <w:bCs/>
                <w:color w:val="000000"/>
                <w:kern w:val="24"/>
                <w:szCs w:val="18"/>
                <w:lang w:eastAsia="en-AU"/>
              </w:rPr>
              <w:t>0</w:t>
            </w:r>
          </w:p>
        </w:tc>
        <w:tc>
          <w:tcPr>
            <w:tcW w:w="4040" w:type="dxa"/>
          </w:tcPr>
          <w:p w14:paraId="7F00CE4E" w14:textId="2EE8EFAC" w:rsidR="00C30067" w:rsidRPr="004938CA" w:rsidRDefault="00B46F66" w:rsidP="008E083E">
            <w:pPr>
              <w:widowControl/>
              <w:autoSpaceDE/>
              <w:autoSpaceDN/>
              <w:adjustRightInd/>
              <w:spacing w:before="40" w:after="40"/>
              <w:jc w:val="center"/>
              <w:textAlignment w:val="bottom"/>
              <w:rPr>
                <w:rFonts w:ascii="Calibri" w:hAnsi="Calibri" w:cs="Calibri"/>
                <w:bCs/>
                <w:color w:val="000000"/>
                <w:kern w:val="24"/>
                <w:szCs w:val="18"/>
                <w:lang w:eastAsia="en-AU"/>
              </w:rPr>
            </w:pPr>
            <w:r>
              <w:rPr>
                <w:rFonts w:ascii="Calibri" w:hAnsi="Calibri" w:cs="Calibri"/>
                <w:bCs/>
                <w:color w:val="000000"/>
                <w:kern w:val="24"/>
                <w:szCs w:val="18"/>
                <w:lang w:eastAsia="en-AU"/>
              </w:rPr>
              <w:t>0</w:t>
            </w:r>
          </w:p>
        </w:tc>
      </w:tr>
      <w:tr w:rsidR="00C30067" w:rsidRPr="00434786" w14:paraId="630B6444" w14:textId="77777777" w:rsidTr="00AE3ED1">
        <w:tc>
          <w:tcPr>
            <w:tcW w:w="1413" w:type="dxa"/>
          </w:tcPr>
          <w:p w14:paraId="1C398D2E" w14:textId="77777777" w:rsidR="00C30067" w:rsidRPr="004938CA" w:rsidRDefault="00C30067" w:rsidP="008E083E">
            <w:pPr>
              <w:widowControl/>
              <w:autoSpaceDE/>
              <w:autoSpaceDN/>
              <w:adjustRightInd/>
              <w:spacing w:before="40" w:after="40"/>
              <w:textAlignment w:val="bottom"/>
              <w:rPr>
                <w:rFonts w:ascii="Calibri" w:hAnsi="Calibri" w:cs="Calibri"/>
                <w:color w:val="000000"/>
                <w:kern w:val="24"/>
                <w:szCs w:val="18"/>
                <w:lang w:eastAsia="en-AU"/>
              </w:rPr>
            </w:pPr>
            <w:r w:rsidRPr="004938CA">
              <w:rPr>
                <w:rFonts w:ascii="Calibri" w:hAnsi="Calibri" w:cs="Calibri"/>
                <w:color w:val="000000"/>
                <w:kern w:val="24"/>
                <w:szCs w:val="18"/>
                <w:lang w:eastAsia="en-AU"/>
              </w:rPr>
              <w:t>ACT</w:t>
            </w:r>
          </w:p>
        </w:tc>
        <w:tc>
          <w:tcPr>
            <w:tcW w:w="4040" w:type="dxa"/>
          </w:tcPr>
          <w:p w14:paraId="66E9D78E" w14:textId="393F68E9" w:rsidR="00C30067" w:rsidRPr="004938CA" w:rsidRDefault="00B46F66" w:rsidP="008E083E">
            <w:pPr>
              <w:widowControl/>
              <w:autoSpaceDE/>
              <w:autoSpaceDN/>
              <w:adjustRightInd/>
              <w:spacing w:before="40" w:after="40"/>
              <w:jc w:val="center"/>
              <w:textAlignment w:val="bottom"/>
              <w:rPr>
                <w:rFonts w:ascii="Calibri" w:hAnsi="Calibri" w:cs="Calibri"/>
                <w:bCs/>
                <w:color w:val="000000"/>
                <w:kern w:val="24"/>
                <w:szCs w:val="18"/>
                <w:lang w:eastAsia="en-AU"/>
              </w:rPr>
            </w:pPr>
            <w:r>
              <w:rPr>
                <w:rFonts w:ascii="Calibri" w:hAnsi="Calibri" w:cs="Calibri"/>
                <w:bCs/>
                <w:color w:val="000000"/>
                <w:kern w:val="24"/>
                <w:szCs w:val="18"/>
                <w:lang w:eastAsia="en-AU"/>
              </w:rPr>
              <w:t>0</w:t>
            </w:r>
          </w:p>
        </w:tc>
        <w:tc>
          <w:tcPr>
            <w:tcW w:w="4040" w:type="dxa"/>
          </w:tcPr>
          <w:p w14:paraId="33FF451E" w14:textId="50A87ACD" w:rsidR="00C30067" w:rsidRPr="004938CA" w:rsidRDefault="00B46F66" w:rsidP="008E083E">
            <w:pPr>
              <w:widowControl/>
              <w:autoSpaceDE/>
              <w:autoSpaceDN/>
              <w:adjustRightInd/>
              <w:spacing w:before="40" w:after="40"/>
              <w:jc w:val="center"/>
              <w:textAlignment w:val="bottom"/>
              <w:rPr>
                <w:rFonts w:ascii="Calibri" w:hAnsi="Calibri" w:cs="Calibri"/>
                <w:bCs/>
                <w:color w:val="000000"/>
                <w:kern w:val="24"/>
                <w:szCs w:val="18"/>
                <w:lang w:eastAsia="en-AU"/>
              </w:rPr>
            </w:pPr>
            <w:r>
              <w:rPr>
                <w:rFonts w:ascii="Calibri" w:hAnsi="Calibri" w:cs="Calibri"/>
                <w:bCs/>
                <w:color w:val="000000"/>
                <w:kern w:val="24"/>
                <w:szCs w:val="18"/>
                <w:lang w:eastAsia="en-AU"/>
              </w:rPr>
              <w:t>0</w:t>
            </w:r>
          </w:p>
        </w:tc>
      </w:tr>
    </w:tbl>
    <w:p w14:paraId="471272C6" w14:textId="77777777" w:rsidR="00C30067" w:rsidRPr="00266A77" w:rsidRDefault="00C30067" w:rsidP="00C30067">
      <w:pPr>
        <w:tabs>
          <w:tab w:val="num" w:pos="720"/>
        </w:tabs>
        <w:spacing w:before="240" w:after="120"/>
        <w:rPr>
          <w:rFonts w:asciiTheme="minorHAnsi" w:hAnsiTheme="minorHAnsi" w:cstheme="minorHAnsi"/>
          <w:i/>
          <w:color w:val="808080" w:themeColor="background1" w:themeShade="80"/>
          <w:sz w:val="26"/>
          <w:szCs w:val="26"/>
        </w:rPr>
      </w:pPr>
      <w:r>
        <w:rPr>
          <w:rFonts w:asciiTheme="minorHAnsi" w:hAnsiTheme="minorHAnsi" w:cstheme="minorHAnsi"/>
          <w:i/>
          <w:color w:val="808080" w:themeColor="background1" w:themeShade="80"/>
          <w:sz w:val="26"/>
          <w:szCs w:val="26"/>
        </w:rPr>
        <w:t>Summary of k</w:t>
      </w:r>
      <w:r w:rsidRPr="00266A77">
        <w:rPr>
          <w:rFonts w:asciiTheme="minorHAnsi" w:hAnsiTheme="minorHAnsi" w:cstheme="minorHAnsi"/>
          <w:i/>
          <w:color w:val="808080" w:themeColor="background1" w:themeShade="80"/>
          <w:sz w:val="26"/>
          <w:szCs w:val="26"/>
        </w:rPr>
        <w:t>ey findings</w:t>
      </w:r>
    </w:p>
    <w:p w14:paraId="29C9E940" w14:textId="77777777" w:rsidR="00C30067" w:rsidRDefault="00C30067" w:rsidP="00C30067">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The assessment processes and waiting list management utilised b</w:t>
      </w:r>
      <w:r>
        <w:rPr>
          <w:rFonts w:asciiTheme="minorHAnsi" w:hAnsiTheme="minorHAnsi" w:cstheme="minorHAnsi"/>
          <w:sz w:val="24"/>
          <w:szCs w:val="22"/>
          <w:lang w:val="en-GB"/>
        </w:rPr>
        <w:t>y renal</w:t>
      </w:r>
      <w:r w:rsidRPr="00F37D51">
        <w:rPr>
          <w:rFonts w:asciiTheme="minorHAnsi" w:hAnsiTheme="minorHAnsi" w:cstheme="minorHAnsi"/>
          <w:sz w:val="24"/>
          <w:szCs w:val="22"/>
          <w:lang w:val="en-GB"/>
        </w:rPr>
        <w:t xml:space="preserve"> transplantation programs throughout Australia </w:t>
      </w:r>
      <w:r>
        <w:rPr>
          <w:rFonts w:asciiTheme="minorHAnsi" w:hAnsiTheme="minorHAnsi" w:cstheme="minorHAnsi"/>
          <w:sz w:val="24"/>
          <w:szCs w:val="22"/>
          <w:lang w:val="en-GB"/>
        </w:rPr>
        <w:t xml:space="preserve">vary greatly, resulting in </w:t>
      </w:r>
      <w:r w:rsidR="00793E35">
        <w:rPr>
          <w:rFonts w:asciiTheme="minorHAnsi" w:hAnsiTheme="minorHAnsi" w:cstheme="minorHAnsi"/>
          <w:sz w:val="24"/>
          <w:szCs w:val="22"/>
          <w:lang w:val="en-GB"/>
        </w:rPr>
        <w:t xml:space="preserve">variable performance </w:t>
      </w:r>
      <w:r>
        <w:rPr>
          <w:rFonts w:asciiTheme="minorHAnsi" w:hAnsiTheme="minorHAnsi" w:cstheme="minorHAnsi"/>
          <w:sz w:val="24"/>
          <w:szCs w:val="22"/>
          <w:lang w:val="en-GB"/>
        </w:rPr>
        <w:t xml:space="preserve">and inequity. </w:t>
      </w:r>
    </w:p>
    <w:p w14:paraId="4206157D" w14:textId="77777777" w:rsidR="00C30067" w:rsidRDefault="00C30067" w:rsidP="0010570C">
      <w:pPr>
        <w:numPr>
          <w:ilvl w:val="0"/>
          <w:numId w:val="18"/>
        </w:numPr>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 xml:space="preserve">This is primarily due to </w:t>
      </w:r>
      <w:r w:rsidRPr="00F37D51">
        <w:rPr>
          <w:rFonts w:asciiTheme="minorHAnsi" w:hAnsiTheme="minorHAnsi" w:cstheme="minorHAnsi"/>
          <w:sz w:val="24"/>
          <w:szCs w:val="22"/>
          <w:lang w:val="en-GB"/>
        </w:rPr>
        <w:t>widespread variability in</w:t>
      </w:r>
      <w:r>
        <w:rPr>
          <w:rFonts w:asciiTheme="minorHAnsi" w:hAnsiTheme="minorHAnsi" w:cstheme="minorHAnsi"/>
          <w:sz w:val="24"/>
          <w:szCs w:val="22"/>
          <w:lang w:val="en-GB"/>
        </w:rPr>
        <w:t>: (1)</w:t>
      </w:r>
      <w:r w:rsidRPr="00F37D51">
        <w:rPr>
          <w:rFonts w:asciiTheme="minorHAnsi" w:hAnsiTheme="minorHAnsi" w:cstheme="minorHAnsi"/>
          <w:sz w:val="24"/>
          <w:szCs w:val="22"/>
          <w:lang w:val="en-GB"/>
        </w:rPr>
        <w:t xml:space="preserve"> the use of </w:t>
      </w:r>
      <w:r w:rsidR="00793E35">
        <w:rPr>
          <w:rFonts w:asciiTheme="minorHAnsi" w:hAnsiTheme="minorHAnsi" w:cstheme="minorHAnsi"/>
          <w:sz w:val="24"/>
          <w:szCs w:val="22"/>
          <w:lang w:val="en-GB"/>
        </w:rPr>
        <w:t xml:space="preserve">the </w:t>
      </w:r>
      <w:r w:rsidRPr="00F37D51">
        <w:rPr>
          <w:rFonts w:asciiTheme="minorHAnsi" w:hAnsiTheme="minorHAnsi" w:cstheme="minorHAnsi"/>
          <w:sz w:val="24"/>
          <w:szCs w:val="22"/>
          <w:lang w:val="en-GB"/>
        </w:rPr>
        <w:t xml:space="preserve">assessment criteria </w:t>
      </w:r>
      <w:r>
        <w:rPr>
          <w:rFonts w:asciiTheme="minorHAnsi" w:hAnsiTheme="minorHAnsi" w:cstheme="minorHAnsi"/>
          <w:sz w:val="24"/>
          <w:szCs w:val="22"/>
          <w:lang w:val="en-GB"/>
        </w:rPr>
        <w:t>used to</w:t>
      </w:r>
      <w:r w:rsidRPr="00F37D51">
        <w:rPr>
          <w:rFonts w:asciiTheme="minorHAnsi" w:hAnsiTheme="minorHAnsi" w:cstheme="minorHAnsi"/>
          <w:sz w:val="24"/>
          <w:szCs w:val="22"/>
          <w:lang w:val="en-GB"/>
        </w:rPr>
        <w:t xml:space="preserve"> assess potential kidney transplant recipients</w:t>
      </w:r>
      <w:r>
        <w:rPr>
          <w:rFonts w:asciiTheme="minorHAnsi" w:hAnsiTheme="minorHAnsi" w:cstheme="minorHAnsi"/>
          <w:sz w:val="24"/>
          <w:szCs w:val="22"/>
          <w:lang w:val="en-GB"/>
        </w:rPr>
        <w:t>; and (2)</w:t>
      </w:r>
      <w:r w:rsidRPr="00F37D51">
        <w:rPr>
          <w:rFonts w:asciiTheme="minorHAnsi" w:hAnsiTheme="minorHAnsi" w:cstheme="minorHAnsi"/>
          <w:sz w:val="24"/>
          <w:szCs w:val="22"/>
          <w:lang w:val="en-GB"/>
        </w:rPr>
        <w:t xml:space="preserve"> the process used to manage patients on the </w:t>
      </w:r>
      <w:r>
        <w:rPr>
          <w:rFonts w:asciiTheme="minorHAnsi" w:hAnsiTheme="minorHAnsi" w:cstheme="minorHAnsi"/>
          <w:sz w:val="24"/>
          <w:szCs w:val="22"/>
          <w:lang w:val="en-GB"/>
        </w:rPr>
        <w:t xml:space="preserve">kidney </w:t>
      </w:r>
      <w:r w:rsidR="00E634FA">
        <w:rPr>
          <w:rFonts w:asciiTheme="minorHAnsi" w:hAnsiTheme="minorHAnsi" w:cstheme="minorHAnsi"/>
          <w:sz w:val="24"/>
          <w:szCs w:val="22"/>
          <w:lang w:val="en-GB"/>
        </w:rPr>
        <w:t>transplantation waiting list</w:t>
      </w:r>
      <w:r>
        <w:rPr>
          <w:rFonts w:asciiTheme="minorHAnsi" w:hAnsiTheme="minorHAnsi" w:cstheme="minorHAnsi"/>
          <w:sz w:val="24"/>
          <w:szCs w:val="22"/>
          <w:lang w:val="en-GB"/>
        </w:rPr>
        <w:t xml:space="preserve">.  </w:t>
      </w:r>
    </w:p>
    <w:p w14:paraId="7E73430F" w14:textId="77777777" w:rsidR="00343A14" w:rsidRDefault="00C30067" w:rsidP="0010570C">
      <w:pPr>
        <w:numPr>
          <w:ilvl w:val="0"/>
          <w:numId w:val="18"/>
        </w:numPr>
        <w:spacing w:after="120"/>
        <w:ind w:left="357" w:hanging="357"/>
        <w:contextualSpacing/>
        <w:rPr>
          <w:rFonts w:asciiTheme="minorHAnsi" w:hAnsiTheme="minorHAnsi" w:cstheme="minorHAnsi"/>
          <w:sz w:val="24"/>
          <w:szCs w:val="22"/>
          <w:lang w:val="en-GB"/>
        </w:rPr>
      </w:pPr>
      <w:r w:rsidRPr="00343A14">
        <w:rPr>
          <w:rFonts w:asciiTheme="minorHAnsi" w:hAnsiTheme="minorHAnsi" w:cstheme="minorHAnsi"/>
          <w:sz w:val="24"/>
          <w:szCs w:val="22"/>
          <w:lang w:val="en-GB"/>
        </w:rPr>
        <w:t>There is widespread variability in wait</w:t>
      </w:r>
      <w:r w:rsidR="00595193">
        <w:rPr>
          <w:rFonts w:asciiTheme="minorHAnsi" w:hAnsiTheme="minorHAnsi" w:cstheme="minorHAnsi"/>
          <w:sz w:val="24"/>
          <w:szCs w:val="22"/>
          <w:lang w:val="en-GB"/>
        </w:rPr>
        <w:t>ing list practices for</w:t>
      </w:r>
      <w:r w:rsidRPr="00343A14">
        <w:rPr>
          <w:rFonts w:asciiTheme="minorHAnsi" w:hAnsiTheme="minorHAnsi" w:cstheme="minorHAnsi"/>
          <w:sz w:val="24"/>
          <w:szCs w:val="22"/>
          <w:lang w:val="en-GB"/>
        </w:rPr>
        <w:t xml:space="preserve"> people receiving dialysis across Australia and the gap is widening.</w:t>
      </w:r>
      <w:r w:rsidR="00346424">
        <w:rPr>
          <w:rFonts w:asciiTheme="minorHAnsi" w:hAnsiTheme="minorHAnsi" w:cstheme="minorHAnsi"/>
          <w:sz w:val="24"/>
          <w:szCs w:val="22"/>
          <w:lang w:val="en-GB"/>
        </w:rPr>
        <w:t xml:space="preserve"> This is particularly apparent </w:t>
      </w:r>
      <w:r w:rsidR="00C40AF1">
        <w:rPr>
          <w:rFonts w:asciiTheme="minorHAnsi" w:hAnsiTheme="minorHAnsi" w:cstheme="minorHAnsi"/>
          <w:sz w:val="24"/>
          <w:szCs w:val="22"/>
          <w:lang w:val="en-GB"/>
        </w:rPr>
        <w:t xml:space="preserve">for </w:t>
      </w:r>
      <w:r w:rsidR="00346424">
        <w:rPr>
          <w:rFonts w:asciiTheme="minorHAnsi" w:hAnsiTheme="minorHAnsi" w:cstheme="minorHAnsi"/>
          <w:sz w:val="24"/>
          <w:szCs w:val="22"/>
          <w:lang w:val="en-GB"/>
        </w:rPr>
        <w:t>Australians living in rural and remote locations</w:t>
      </w:r>
      <w:r w:rsidR="005F288B">
        <w:rPr>
          <w:rFonts w:asciiTheme="minorHAnsi" w:hAnsiTheme="minorHAnsi" w:cstheme="minorHAnsi"/>
          <w:sz w:val="24"/>
          <w:szCs w:val="22"/>
          <w:lang w:val="en-GB"/>
        </w:rPr>
        <w:t xml:space="preserve"> and </w:t>
      </w:r>
      <w:r w:rsidR="009E41B8">
        <w:rPr>
          <w:rFonts w:asciiTheme="minorHAnsi" w:hAnsiTheme="minorHAnsi" w:cstheme="minorHAnsi"/>
          <w:sz w:val="24"/>
          <w:szCs w:val="22"/>
          <w:lang w:val="en-GB"/>
        </w:rPr>
        <w:t>was reported</w:t>
      </w:r>
      <w:r w:rsidR="00EF2596">
        <w:rPr>
          <w:rFonts w:asciiTheme="minorHAnsi" w:hAnsiTheme="minorHAnsi" w:cstheme="minorHAnsi"/>
          <w:sz w:val="24"/>
          <w:szCs w:val="22"/>
          <w:lang w:val="en-GB"/>
        </w:rPr>
        <w:t xml:space="preserve"> by clinical stakeholders</w:t>
      </w:r>
      <w:r w:rsidR="009E41B8">
        <w:rPr>
          <w:rFonts w:asciiTheme="minorHAnsi" w:hAnsiTheme="minorHAnsi" w:cstheme="minorHAnsi"/>
          <w:sz w:val="24"/>
          <w:szCs w:val="22"/>
          <w:lang w:val="en-GB"/>
        </w:rPr>
        <w:t xml:space="preserve"> to be</w:t>
      </w:r>
      <w:r w:rsidR="005F288B">
        <w:rPr>
          <w:rFonts w:asciiTheme="minorHAnsi" w:hAnsiTheme="minorHAnsi" w:cstheme="minorHAnsi"/>
          <w:sz w:val="24"/>
          <w:szCs w:val="22"/>
          <w:lang w:val="en-GB"/>
        </w:rPr>
        <w:t xml:space="preserve"> an issue in culturally and linguistically diverse populations.</w:t>
      </w:r>
    </w:p>
    <w:p w14:paraId="26E090CF" w14:textId="77777777" w:rsidR="00343A14" w:rsidRPr="00343A14" w:rsidRDefault="00343A14" w:rsidP="0010570C">
      <w:pPr>
        <w:numPr>
          <w:ilvl w:val="0"/>
          <w:numId w:val="18"/>
        </w:numPr>
        <w:spacing w:after="120"/>
        <w:ind w:left="357" w:hanging="357"/>
        <w:contextualSpacing/>
        <w:rPr>
          <w:rFonts w:asciiTheme="minorHAnsi" w:hAnsiTheme="minorHAnsi" w:cstheme="minorHAnsi"/>
          <w:sz w:val="24"/>
          <w:szCs w:val="22"/>
          <w:lang w:val="en-GB"/>
        </w:rPr>
      </w:pPr>
      <w:r w:rsidRPr="00343A14">
        <w:rPr>
          <w:rFonts w:asciiTheme="minorHAnsi" w:hAnsiTheme="minorHAnsi" w:cstheme="minorHAnsi"/>
          <w:sz w:val="24"/>
          <w:szCs w:val="22"/>
          <w:lang w:val="en-GB"/>
        </w:rPr>
        <w:t xml:space="preserve">Inequity is particularly experienced by Aboriginal and Torres Strait Islander people due to a number of inherent barriers that require further review and attention. These barriers to transplantation have been noted by Lawton, et al to be challenging, however are not insurmountable. An inability to overcome these impediments will continue to limit kidney transplantation in Aboriginal and Torres Strait Islander Australians. </w:t>
      </w:r>
    </w:p>
    <w:p w14:paraId="10202081" w14:textId="77777777" w:rsidR="00343A14" w:rsidRDefault="00C30067" w:rsidP="0010570C">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There is no</w:t>
      </w:r>
      <w:r>
        <w:rPr>
          <w:rFonts w:asciiTheme="minorHAnsi" w:hAnsiTheme="minorHAnsi" w:cstheme="minorHAnsi"/>
          <w:sz w:val="24"/>
          <w:szCs w:val="22"/>
          <w:lang w:val="en-GB"/>
        </w:rPr>
        <w:t xml:space="preserve"> nationally agreed </w:t>
      </w:r>
      <w:r w:rsidRPr="00F37D51">
        <w:rPr>
          <w:rFonts w:asciiTheme="minorHAnsi" w:hAnsiTheme="minorHAnsi" w:cstheme="minorHAnsi"/>
          <w:sz w:val="24"/>
          <w:szCs w:val="22"/>
          <w:lang w:val="en-GB"/>
        </w:rPr>
        <w:t xml:space="preserve">formal process for patients to obtain a second opinion if they are declined for kidney transplantation. </w:t>
      </w:r>
    </w:p>
    <w:p w14:paraId="3B8BBD65" w14:textId="77777777" w:rsidR="00C30067" w:rsidRPr="004938CA" w:rsidRDefault="00C30067" w:rsidP="00C30067">
      <w:pPr>
        <w:tabs>
          <w:tab w:val="num" w:pos="720"/>
        </w:tabs>
        <w:spacing w:after="120"/>
        <w:rPr>
          <w:rFonts w:asciiTheme="minorHAnsi" w:hAnsiTheme="minorHAnsi" w:cstheme="minorHAnsi"/>
          <w:i/>
          <w:color w:val="808080" w:themeColor="background1" w:themeShade="80"/>
          <w:sz w:val="26"/>
          <w:szCs w:val="26"/>
        </w:rPr>
      </w:pPr>
      <w:r w:rsidRPr="004938CA">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eight is that the OTA, through the TSANZ, commission a clinical review of the application of the Clinical Guidelines for kidney transplantation across all kidney transplantation units in Australia to assess the extent of variability in the use of these guidelines. Recommendation nine is that based on findings from the above mentioned clinical review, a national policy for the management of kidney transplantation waiting lists is to be agreed. It should seek to improve inequities in access to waiting lists and implement best practice waiting list management. Recommendation ten is that the OTA, through collaboration with transplantation units, should publish the performance parameters for the management of kidney transplantation waiting lists annually in a clearly accessible form for the public. This includes the number of people and the proportion of Aboriginal and Torres Strait Islander and culturally and linguistically diverse people on dialysis on waiting lists to enable assessment of access to kidney transplantation for these groups. Recommendation eleven is that all patients on long-term dialysis programs should be informed by their treating medical specialist of the possibility of transplantation and their compliance with the waiting list acceptance criteria. Recommendation 12 is that all kidney transplantation programs should implement formal outreach arrangements with rural dialysis units as a condition of funding within the state or territory. These rural outreach arrangements must include a clearly defined pathway to kidney transplantation for rural residents, including specifically designed pathways for Aboriginal and Torres Strait Islander people, as well as a commitment to ‘work up’ a potential kidney transplantation recipient as close to their place of residence as possible. Recommendation thirteen is that all kidney transplantation programs should implement formal arrangements with Aboriginal Community Controlled Health Organisations to increase the understanding of transplantation as a possibility for Aboriginal and Torres Strait Islander patients on dialysis. Recommendation fourteen is that all dialysis units should have formal arrangements in place with a kidney transplantation program for the assessment of dialysis patients for possible kidney transplantation. Recommendation fifteen is that all kidney transplantation programs should implement a formal process for the provision of a second opinion to potential transplant recipients who are determined to be ineligible for transplantation. "/>
      </w:tblPr>
      <w:tblGrid>
        <w:gridCol w:w="2268"/>
        <w:gridCol w:w="7479"/>
      </w:tblGrid>
      <w:tr w:rsidR="00DE363C" w:rsidRPr="00F37D51" w14:paraId="4E948C1B" w14:textId="77777777" w:rsidTr="00AE3ED1">
        <w:trPr>
          <w:tblHeader/>
        </w:trPr>
        <w:tc>
          <w:tcPr>
            <w:tcW w:w="2268" w:type="dxa"/>
            <w:shd w:val="clear" w:color="auto" w:fill="595959" w:themeFill="text1" w:themeFillTint="A6"/>
          </w:tcPr>
          <w:p w14:paraId="6215E3C5" w14:textId="6A7BE13D" w:rsidR="00DE363C" w:rsidRPr="00AE3ED1" w:rsidRDefault="00DE363C" w:rsidP="00AE3ED1">
            <w:pPr>
              <w:spacing w:after="120"/>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Recommendation</w:t>
            </w:r>
          </w:p>
        </w:tc>
        <w:tc>
          <w:tcPr>
            <w:tcW w:w="7479" w:type="dxa"/>
            <w:shd w:val="clear" w:color="auto" w:fill="595959" w:themeFill="text1" w:themeFillTint="A6"/>
          </w:tcPr>
          <w:p w14:paraId="7CCFE517" w14:textId="2D7CC80A" w:rsidR="00DE363C" w:rsidRPr="00AE3ED1" w:rsidRDefault="00DE363C" w:rsidP="00AE3ED1">
            <w:pPr>
              <w:spacing w:after="120"/>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Description</w:t>
            </w:r>
          </w:p>
        </w:tc>
      </w:tr>
      <w:tr w:rsidR="00C30067" w:rsidRPr="00F37D51" w14:paraId="0DE4866E" w14:textId="77777777" w:rsidTr="00AE3ED1">
        <w:tc>
          <w:tcPr>
            <w:tcW w:w="2268" w:type="dxa"/>
          </w:tcPr>
          <w:p w14:paraId="7AED9EEF" w14:textId="77777777" w:rsidR="00C30067" w:rsidRPr="00F37D51" w:rsidRDefault="002A27FE" w:rsidP="00AE3ED1">
            <w:pPr>
              <w:spacing w:after="120"/>
              <w:rPr>
                <w:rFonts w:asciiTheme="minorHAnsi" w:hAnsiTheme="minorHAnsi" w:cstheme="minorHAnsi"/>
                <w:b/>
                <w:sz w:val="24"/>
                <w:szCs w:val="22"/>
                <w:lang w:val="en-GB"/>
              </w:rPr>
            </w:pPr>
            <w:r>
              <w:rPr>
                <w:rFonts w:asciiTheme="minorHAnsi" w:hAnsiTheme="minorHAnsi" w:cstheme="minorHAnsi"/>
                <w:b/>
                <w:sz w:val="24"/>
                <w:szCs w:val="22"/>
                <w:lang w:val="en-GB"/>
              </w:rPr>
              <w:t xml:space="preserve">Recommendation </w:t>
            </w:r>
            <w:r w:rsidR="00AD0DDA">
              <w:rPr>
                <w:rFonts w:asciiTheme="minorHAnsi" w:hAnsiTheme="minorHAnsi" w:cstheme="minorHAnsi"/>
                <w:b/>
                <w:sz w:val="24"/>
                <w:szCs w:val="22"/>
                <w:lang w:val="en-GB"/>
              </w:rPr>
              <w:t>8</w:t>
            </w:r>
          </w:p>
        </w:tc>
        <w:tc>
          <w:tcPr>
            <w:tcW w:w="7479" w:type="dxa"/>
          </w:tcPr>
          <w:p w14:paraId="08F72F76" w14:textId="77777777" w:rsidR="00C30067" w:rsidRPr="00545923" w:rsidRDefault="00C30067" w:rsidP="00AE3ED1">
            <w:pPr>
              <w:spacing w:after="120"/>
              <w:rPr>
                <w:rFonts w:asciiTheme="minorHAnsi" w:hAnsiTheme="minorHAnsi" w:cstheme="minorHAnsi"/>
                <w:sz w:val="24"/>
                <w:szCs w:val="22"/>
                <w:lang w:val="en-GB"/>
              </w:rPr>
            </w:pPr>
            <w:r w:rsidRPr="00545923">
              <w:rPr>
                <w:rFonts w:asciiTheme="minorHAnsi" w:hAnsiTheme="minorHAnsi" w:cstheme="minorHAnsi"/>
                <w:sz w:val="24"/>
                <w:szCs w:val="22"/>
                <w:lang w:val="en-GB"/>
              </w:rPr>
              <w:t>The</w:t>
            </w:r>
            <w:r w:rsidR="00343A14" w:rsidRPr="00545923">
              <w:rPr>
                <w:rFonts w:asciiTheme="minorHAnsi" w:hAnsiTheme="minorHAnsi" w:cstheme="minorHAnsi"/>
                <w:sz w:val="24"/>
                <w:szCs w:val="22"/>
                <w:lang w:val="en-GB"/>
              </w:rPr>
              <w:t xml:space="preserve"> OTA</w:t>
            </w:r>
            <w:r w:rsidR="00534642" w:rsidRPr="00545923">
              <w:rPr>
                <w:rFonts w:asciiTheme="minorHAnsi" w:hAnsiTheme="minorHAnsi" w:cstheme="minorHAnsi"/>
                <w:sz w:val="24"/>
                <w:szCs w:val="22"/>
                <w:lang w:val="en-GB"/>
              </w:rPr>
              <w:t>,</w:t>
            </w:r>
            <w:r w:rsidRPr="00545923">
              <w:rPr>
                <w:rFonts w:asciiTheme="minorHAnsi" w:hAnsiTheme="minorHAnsi" w:cstheme="minorHAnsi"/>
                <w:sz w:val="24"/>
                <w:szCs w:val="22"/>
                <w:lang w:val="en-GB"/>
              </w:rPr>
              <w:t xml:space="preserve"> </w:t>
            </w:r>
            <w:r w:rsidR="00B220D9" w:rsidRPr="00545923">
              <w:rPr>
                <w:rFonts w:asciiTheme="minorHAnsi" w:hAnsiTheme="minorHAnsi" w:cstheme="minorHAnsi"/>
                <w:sz w:val="24"/>
                <w:szCs w:val="22"/>
                <w:lang w:val="en-GB"/>
              </w:rPr>
              <w:t>through</w:t>
            </w:r>
            <w:r w:rsidR="00534642" w:rsidRPr="00545923">
              <w:rPr>
                <w:rFonts w:asciiTheme="minorHAnsi" w:hAnsiTheme="minorHAnsi" w:cstheme="minorHAnsi"/>
                <w:sz w:val="24"/>
                <w:szCs w:val="22"/>
                <w:lang w:val="en-GB"/>
              </w:rPr>
              <w:t xml:space="preserve"> the</w:t>
            </w:r>
            <w:r w:rsidR="00B220D9" w:rsidRPr="00545923">
              <w:rPr>
                <w:rFonts w:asciiTheme="minorHAnsi" w:hAnsiTheme="minorHAnsi" w:cstheme="minorHAnsi"/>
                <w:sz w:val="24"/>
                <w:szCs w:val="22"/>
                <w:lang w:val="en-GB"/>
              </w:rPr>
              <w:t xml:space="preserve"> TSANZ</w:t>
            </w:r>
            <w:r w:rsidR="00534642" w:rsidRPr="00545923">
              <w:rPr>
                <w:rFonts w:asciiTheme="minorHAnsi" w:hAnsiTheme="minorHAnsi" w:cstheme="minorHAnsi"/>
                <w:sz w:val="24"/>
                <w:szCs w:val="22"/>
                <w:lang w:val="en-GB"/>
              </w:rPr>
              <w:t>,</w:t>
            </w:r>
            <w:r w:rsidR="00B220D9" w:rsidRPr="00545923">
              <w:rPr>
                <w:rFonts w:asciiTheme="minorHAnsi" w:hAnsiTheme="minorHAnsi" w:cstheme="minorHAnsi"/>
                <w:sz w:val="24"/>
                <w:szCs w:val="22"/>
                <w:lang w:val="en-GB"/>
              </w:rPr>
              <w:t xml:space="preserve"> </w:t>
            </w:r>
            <w:r w:rsidRPr="00545923">
              <w:rPr>
                <w:rFonts w:asciiTheme="minorHAnsi" w:hAnsiTheme="minorHAnsi" w:cstheme="minorHAnsi"/>
                <w:sz w:val="24"/>
                <w:szCs w:val="22"/>
                <w:lang w:val="en-GB"/>
              </w:rPr>
              <w:t xml:space="preserve">commission a </w:t>
            </w:r>
            <w:r w:rsidR="00C70508" w:rsidRPr="00545923">
              <w:rPr>
                <w:rFonts w:asciiTheme="minorHAnsi" w:hAnsiTheme="minorHAnsi" w:cstheme="minorHAnsi"/>
                <w:sz w:val="24"/>
                <w:szCs w:val="22"/>
                <w:lang w:val="en-GB"/>
              </w:rPr>
              <w:t xml:space="preserve">clinical </w:t>
            </w:r>
            <w:r w:rsidR="00B220D9" w:rsidRPr="00545923">
              <w:rPr>
                <w:rFonts w:asciiTheme="minorHAnsi" w:hAnsiTheme="minorHAnsi" w:cstheme="minorHAnsi"/>
                <w:sz w:val="24"/>
                <w:szCs w:val="22"/>
                <w:lang w:val="en-GB"/>
              </w:rPr>
              <w:t>review</w:t>
            </w:r>
            <w:r w:rsidRPr="00545923">
              <w:rPr>
                <w:rFonts w:asciiTheme="minorHAnsi" w:hAnsiTheme="minorHAnsi" w:cstheme="minorHAnsi"/>
                <w:sz w:val="24"/>
                <w:szCs w:val="22"/>
                <w:lang w:val="en-GB"/>
              </w:rPr>
              <w:t xml:space="preserve"> of the application of the Clinical Guidelines for kidney transplantation across all kidney transplantation units in Australia</w:t>
            </w:r>
            <w:r w:rsidR="00787644" w:rsidRPr="00545923">
              <w:rPr>
                <w:rFonts w:asciiTheme="minorHAnsi" w:hAnsiTheme="minorHAnsi" w:cstheme="minorHAnsi"/>
                <w:sz w:val="24"/>
                <w:szCs w:val="22"/>
                <w:lang w:val="en-GB"/>
              </w:rPr>
              <w:t xml:space="preserve"> to </w:t>
            </w:r>
            <w:r w:rsidR="00C32315" w:rsidRPr="00545923">
              <w:rPr>
                <w:rFonts w:asciiTheme="minorHAnsi" w:hAnsiTheme="minorHAnsi" w:cstheme="minorHAnsi"/>
                <w:sz w:val="24"/>
                <w:szCs w:val="22"/>
                <w:lang w:val="en-GB"/>
              </w:rPr>
              <w:t>assess the extent of</w:t>
            </w:r>
            <w:r w:rsidR="00787644" w:rsidRPr="00545923">
              <w:rPr>
                <w:rFonts w:asciiTheme="minorHAnsi" w:hAnsiTheme="minorHAnsi" w:cstheme="minorHAnsi"/>
                <w:sz w:val="24"/>
                <w:szCs w:val="22"/>
                <w:lang w:val="en-GB"/>
              </w:rPr>
              <w:t xml:space="preserve"> variability in the use of the</w:t>
            </w:r>
            <w:r w:rsidR="00534642" w:rsidRPr="00545923">
              <w:rPr>
                <w:rFonts w:asciiTheme="minorHAnsi" w:hAnsiTheme="minorHAnsi" w:cstheme="minorHAnsi"/>
                <w:sz w:val="24"/>
                <w:szCs w:val="22"/>
                <w:lang w:val="en-GB"/>
              </w:rPr>
              <w:t>se</w:t>
            </w:r>
            <w:r w:rsidR="00787644" w:rsidRPr="00545923">
              <w:rPr>
                <w:rFonts w:asciiTheme="minorHAnsi" w:hAnsiTheme="minorHAnsi" w:cstheme="minorHAnsi"/>
                <w:sz w:val="24"/>
                <w:szCs w:val="22"/>
                <w:lang w:val="en-GB"/>
              </w:rPr>
              <w:t xml:space="preserve"> </w:t>
            </w:r>
            <w:r w:rsidR="00534642" w:rsidRPr="00545923">
              <w:rPr>
                <w:rFonts w:asciiTheme="minorHAnsi" w:hAnsiTheme="minorHAnsi" w:cstheme="minorHAnsi"/>
                <w:sz w:val="24"/>
                <w:szCs w:val="22"/>
                <w:lang w:val="en-GB"/>
              </w:rPr>
              <w:t>g</w:t>
            </w:r>
            <w:r w:rsidR="00787644" w:rsidRPr="00545923">
              <w:rPr>
                <w:rFonts w:asciiTheme="minorHAnsi" w:hAnsiTheme="minorHAnsi" w:cstheme="minorHAnsi"/>
                <w:sz w:val="24"/>
                <w:szCs w:val="22"/>
                <w:lang w:val="en-GB"/>
              </w:rPr>
              <w:t>uidelines</w:t>
            </w:r>
            <w:r w:rsidRPr="00545923">
              <w:rPr>
                <w:rFonts w:asciiTheme="minorHAnsi" w:hAnsiTheme="minorHAnsi" w:cstheme="minorHAnsi"/>
                <w:sz w:val="24"/>
                <w:szCs w:val="22"/>
                <w:lang w:val="en-GB"/>
              </w:rPr>
              <w:t>.</w:t>
            </w:r>
          </w:p>
        </w:tc>
      </w:tr>
      <w:tr w:rsidR="00233482" w:rsidRPr="00F37D51" w14:paraId="5ECFB48C" w14:textId="77777777" w:rsidTr="00AE3ED1">
        <w:tc>
          <w:tcPr>
            <w:tcW w:w="2268" w:type="dxa"/>
          </w:tcPr>
          <w:p w14:paraId="1305E528" w14:textId="77777777" w:rsidR="00233482" w:rsidRDefault="00233482" w:rsidP="00AE3ED1">
            <w:pPr>
              <w:spacing w:after="120"/>
              <w:rPr>
                <w:rFonts w:asciiTheme="minorHAnsi" w:hAnsiTheme="minorHAnsi" w:cstheme="minorHAnsi"/>
                <w:b/>
                <w:sz w:val="24"/>
                <w:szCs w:val="22"/>
                <w:lang w:val="en-GB"/>
              </w:rPr>
            </w:pPr>
            <w:r>
              <w:rPr>
                <w:rFonts w:asciiTheme="minorHAnsi" w:hAnsiTheme="minorHAnsi" w:cstheme="minorHAnsi"/>
                <w:b/>
                <w:sz w:val="24"/>
                <w:szCs w:val="22"/>
                <w:lang w:val="en-GB"/>
              </w:rPr>
              <w:t xml:space="preserve">Recommendation </w:t>
            </w:r>
            <w:r w:rsidR="00AD0DDA">
              <w:rPr>
                <w:rFonts w:asciiTheme="minorHAnsi" w:hAnsiTheme="minorHAnsi" w:cstheme="minorHAnsi"/>
                <w:b/>
                <w:sz w:val="24"/>
                <w:szCs w:val="22"/>
                <w:lang w:val="en-GB"/>
              </w:rPr>
              <w:t>9</w:t>
            </w:r>
          </w:p>
        </w:tc>
        <w:tc>
          <w:tcPr>
            <w:tcW w:w="7479" w:type="dxa"/>
          </w:tcPr>
          <w:p w14:paraId="6434F609" w14:textId="77777777" w:rsidR="00233482" w:rsidRPr="00545923" w:rsidRDefault="00233482" w:rsidP="00AE3ED1">
            <w:pPr>
              <w:spacing w:after="120"/>
              <w:rPr>
                <w:rFonts w:asciiTheme="minorHAnsi" w:hAnsiTheme="minorHAnsi" w:cstheme="minorHAnsi"/>
                <w:sz w:val="24"/>
                <w:szCs w:val="22"/>
                <w:lang w:val="en-GB"/>
              </w:rPr>
            </w:pPr>
            <w:r w:rsidRPr="00545923">
              <w:rPr>
                <w:rFonts w:asciiTheme="minorHAnsi" w:hAnsiTheme="minorHAnsi" w:cstheme="minorHAnsi"/>
                <w:sz w:val="24"/>
                <w:szCs w:val="22"/>
                <w:lang w:val="en-GB"/>
              </w:rPr>
              <w:t>Based on findings from the above mentioned clinical review, a national policy for the management of kidney transplantation waiting lists is to be agreed. It should seek to improve inequities in access to waiting lists and implement best practice waiting list management.</w:t>
            </w:r>
          </w:p>
        </w:tc>
      </w:tr>
      <w:tr w:rsidR="00C30067" w:rsidRPr="00F37D51" w14:paraId="5BAD210E" w14:textId="77777777" w:rsidTr="00AE3ED1">
        <w:tc>
          <w:tcPr>
            <w:tcW w:w="2268" w:type="dxa"/>
          </w:tcPr>
          <w:p w14:paraId="614E53AC" w14:textId="77777777" w:rsidR="00C30067" w:rsidRPr="00F37D51" w:rsidRDefault="00C30067" w:rsidP="00AE3ED1">
            <w:pPr>
              <w:spacing w:after="120"/>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sidR="009B7F7E">
              <w:rPr>
                <w:rFonts w:asciiTheme="minorHAnsi" w:hAnsiTheme="minorHAnsi" w:cstheme="minorHAnsi"/>
                <w:b/>
                <w:sz w:val="24"/>
                <w:szCs w:val="22"/>
                <w:lang w:val="en-GB"/>
              </w:rPr>
              <w:t>1</w:t>
            </w:r>
            <w:r w:rsidR="00AD0DDA">
              <w:rPr>
                <w:rFonts w:asciiTheme="minorHAnsi" w:hAnsiTheme="minorHAnsi" w:cstheme="minorHAnsi"/>
                <w:b/>
                <w:sz w:val="24"/>
                <w:szCs w:val="22"/>
                <w:lang w:val="en-GB"/>
              </w:rPr>
              <w:t>0</w:t>
            </w:r>
          </w:p>
        </w:tc>
        <w:tc>
          <w:tcPr>
            <w:tcW w:w="7479" w:type="dxa"/>
          </w:tcPr>
          <w:p w14:paraId="14ECCE25" w14:textId="77777777" w:rsidR="00793E35" w:rsidRPr="00545923" w:rsidRDefault="00233482" w:rsidP="00AE3ED1">
            <w:pPr>
              <w:spacing w:after="120"/>
              <w:rPr>
                <w:rFonts w:asciiTheme="minorHAnsi" w:hAnsiTheme="minorHAnsi" w:cstheme="minorHAnsi"/>
                <w:sz w:val="24"/>
                <w:szCs w:val="22"/>
                <w:lang w:val="en-GB"/>
              </w:rPr>
            </w:pPr>
            <w:r w:rsidRPr="00545923">
              <w:rPr>
                <w:rFonts w:asciiTheme="minorHAnsi" w:hAnsiTheme="minorHAnsi" w:cstheme="minorHAnsi"/>
                <w:sz w:val="24"/>
                <w:szCs w:val="22"/>
                <w:lang w:val="en-GB"/>
              </w:rPr>
              <w:t>The OTA, through collaboration with transplantation units, should publish the p</w:t>
            </w:r>
            <w:r w:rsidR="00C30067" w:rsidRPr="00545923">
              <w:rPr>
                <w:rFonts w:asciiTheme="minorHAnsi" w:hAnsiTheme="minorHAnsi" w:cstheme="minorHAnsi"/>
                <w:sz w:val="24"/>
                <w:szCs w:val="22"/>
                <w:lang w:val="en-GB"/>
              </w:rPr>
              <w:t>erformance parameters for the management of kidney transplantation waiting lists annually</w:t>
            </w:r>
            <w:r w:rsidR="00793E35" w:rsidRPr="00545923">
              <w:rPr>
                <w:rFonts w:asciiTheme="minorHAnsi" w:hAnsiTheme="minorHAnsi" w:cstheme="minorHAnsi"/>
                <w:sz w:val="24"/>
                <w:szCs w:val="22"/>
                <w:lang w:val="en-GB"/>
              </w:rPr>
              <w:t xml:space="preserve"> in a clearly accessible form for the public</w:t>
            </w:r>
            <w:r w:rsidR="005912F1" w:rsidRPr="00545923">
              <w:rPr>
                <w:rFonts w:asciiTheme="minorHAnsi" w:hAnsiTheme="minorHAnsi" w:cstheme="minorHAnsi"/>
                <w:sz w:val="24"/>
                <w:szCs w:val="22"/>
                <w:lang w:val="en-GB"/>
              </w:rPr>
              <w:t xml:space="preserve">. This includes </w:t>
            </w:r>
            <w:r w:rsidR="00C30067" w:rsidRPr="00545923">
              <w:rPr>
                <w:rFonts w:asciiTheme="minorHAnsi" w:hAnsiTheme="minorHAnsi" w:cstheme="minorHAnsi"/>
                <w:sz w:val="24"/>
                <w:szCs w:val="22"/>
                <w:lang w:val="en-GB"/>
              </w:rPr>
              <w:t>the number</w:t>
            </w:r>
            <w:r w:rsidR="005912F1" w:rsidRPr="00545923">
              <w:rPr>
                <w:rFonts w:asciiTheme="minorHAnsi" w:hAnsiTheme="minorHAnsi" w:cstheme="minorHAnsi"/>
                <w:sz w:val="24"/>
                <w:szCs w:val="22"/>
                <w:lang w:val="en-GB"/>
              </w:rPr>
              <w:t xml:space="preserve"> of</w:t>
            </w:r>
            <w:r w:rsidR="00C30067" w:rsidRPr="00545923">
              <w:rPr>
                <w:rFonts w:asciiTheme="minorHAnsi" w:hAnsiTheme="minorHAnsi" w:cstheme="minorHAnsi"/>
                <w:sz w:val="24"/>
                <w:szCs w:val="22"/>
                <w:lang w:val="en-GB"/>
              </w:rPr>
              <w:t xml:space="preserve"> people</w:t>
            </w:r>
            <w:r w:rsidR="00A36192" w:rsidRPr="00545923">
              <w:rPr>
                <w:rFonts w:asciiTheme="minorHAnsi" w:hAnsiTheme="minorHAnsi" w:cstheme="minorHAnsi"/>
                <w:sz w:val="24"/>
                <w:szCs w:val="22"/>
                <w:lang w:val="en-GB"/>
              </w:rPr>
              <w:t xml:space="preserve"> and the proportion of Aboriginal and Torres Strait Islander and culturally and linguistically diverse people </w:t>
            </w:r>
            <w:r w:rsidR="00C30067" w:rsidRPr="00545923">
              <w:rPr>
                <w:rFonts w:asciiTheme="minorHAnsi" w:hAnsiTheme="minorHAnsi" w:cstheme="minorHAnsi"/>
                <w:sz w:val="24"/>
                <w:szCs w:val="22"/>
                <w:lang w:val="en-GB"/>
              </w:rPr>
              <w:t>on dialysis</w:t>
            </w:r>
            <w:r w:rsidR="005912F1" w:rsidRPr="00545923">
              <w:rPr>
                <w:rFonts w:asciiTheme="minorHAnsi" w:hAnsiTheme="minorHAnsi" w:cstheme="minorHAnsi"/>
                <w:sz w:val="24"/>
                <w:szCs w:val="22"/>
                <w:lang w:val="en-GB"/>
              </w:rPr>
              <w:t xml:space="preserve"> </w:t>
            </w:r>
            <w:r w:rsidR="00C30067" w:rsidRPr="00545923">
              <w:rPr>
                <w:rFonts w:asciiTheme="minorHAnsi" w:hAnsiTheme="minorHAnsi" w:cstheme="minorHAnsi"/>
                <w:sz w:val="24"/>
                <w:szCs w:val="22"/>
                <w:lang w:val="en-GB"/>
              </w:rPr>
              <w:t>on waiting lists</w:t>
            </w:r>
            <w:r w:rsidR="006E4B2A" w:rsidRPr="00545923">
              <w:rPr>
                <w:rFonts w:asciiTheme="minorHAnsi" w:hAnsiTheme="minorHAnsi" w:cstheme="minorHAnsi"/>
                <w:sz w:val="24"/>
                <w:szCs w:val="22"/>
                <w:lang w:val="en-GB"/>
              </w:rPr>
              <w:t xml:space="preserve"> to enable </w:t>
            </w:r>
            <w:r w:rsidR="00C32315" w:rsidRPr="00545923">
              <w:rPr>
                <w:rFonts w:asciiTheme="minorHAnsi" w:hAnsiTheme="minorHAnsi" w:cstheme="minorHAnsi"/>
                <w:sz w:val="24"/>
                <w:szCs w:val="22"/>
                <w:lang w:val="en-GB"/>
              </w:rPr>
              <w:t xml:space="preserve">assessment of access to kidney transplantation for these groups. </w:t>
            </w:r>
          </w:p>
        </w:tc>
      </w:tr>
      <w:tr w:rsidR="00C30067" w:rsidRPr="00F37D51" w14:paraId="30E1FD0A" w14:textId="77777777" w:rsidTr="00AE3ED1">
        <w:tc>
          <w:tcPr>
            <w:tcW w:w="2268" w:type="dxa"/>
          </w:tcPr>
          <w:p w14:paraId="1BD9F818" w14:textId="77777777" w:rsidR="00C30067" w:rsidRPr="00F37D51" w:rsidRDefault="00C30067" w:rsidP="00AE3ED1">
            <w:pPr>
              <w:spacing w:after="120"/>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Pr>
                <w:rFonts w:asciiTheme="minorHAnsi" w:hAnsiTheme="minorHAnsi" w:cstheme="minorHAnsi"/>
                <w:b/>
                <w:sz w:val="24"/>
                <w:szCs w:val="22"/>
                <w:lang w:val="en-GB"/>
              </w:rPr>
              <w:t>1</w:t>
            </w:r>
            <w:r w:rsidR="00AD0DDA">
              <w:rPr>
                <w:rFonts w:asciiTheme="minorHAnsi" w:hAnsiTheme="minorHAnsi" w:cstheme="minorHAnsi"/>
                <w:b/>
                <w:sz w:val="24"/>
                <w:szCs w:val="22"/>
                <w:lang w:val="en-GB"/>
              </w:rPr>
              <w:t>1</w:t>
            </w:r>
          </w:p>
        </w:tc>
        <w:tc>
          <w:tcPr>
            <w:tcW w:w="7479" w:type="dxa"/>
          </w:tcPr>
          <w:p w14:paraId="140F7AAD" w14:textId="77777777" w:rsidR="00C30067" w:rsidRPr="00545923" w:rsidRDefault="00C30067" w:rsidP="00AE3ED1">
            <w:pPr>
              <w:spacing w:after="120"/>
              <w:rPr>
                <w:rFonts w:asciiTheme="minorHAnsi" w:hAnsiTheme="minorHAnsi" w:cstheme="minorHAnsi"/>
                <w:sz w:val="24"/>
                <w:szCs w:val="22"/>
                <w:lang w:val="en-GB"/>
              </w:rPr>
            </w:pPr>
            <w:r w:rsidRPr="00545923">
              <w:rPr>
                <w:rFonts w:asciiTheme="minorHAnsi" w:hAnsiTheme="minorHAnsi" w:cstheme="minorHAnsi"/>
                <w:sz w:val="24"/>
                <w:szCs w:val="22"/>
                <w:lang w:val="en-GB"/>
              </w:rPr>
              <w:t>All patients on long</w:t>
            </w:r>
            <w:r w:rsidR="00E632AF" w:rsidRPr="00545923">
              <w:rPr>
                <w:rFonts w:asciiTheme="minorHAnsi" w:hAnsiTheme="minorHAnsi" w:cstheme="minorHAnsi"/>
                <w:sz w:val="24"/>
                <w:szCs w:val="22"/>
                <w:lang w:val="en-GB"/>
              </w:rPr>
              <w:t>-</w:t>
            </w:r>
            <w:r w:rsidRPr="00545923">
              <w:rPr>
                <w:rFonts w:asciiTheme="minorHAnsi" w:hAnsiTheme="minorHAnsi" w:cstheme="minorHAnsi"/>
                <w:sz w:val="24"/>
                <w:szCs w:val="22"/>
                <w:lang w:val="en-GB"/>
              </w:rPr>
              <w:t>term dialysis programs should be informed</w:t>
            </w:r>
            <w:r w:rsidR="00A36192" w:rsidRPr="00545923">
              <w:rPr>
                <w:rFonts w:asciiTheme="minorHAnsi" w:hAnsiTheme="minorHAnsi" w:cstheme="minorHAnsi"/>
                <w:sz w:val="24"/>
                <w:szCs w:val="22"/>
                <w:lang w:val="en-GB"/>
              </w:rPr>
              <w:t xml:space="preserve"> by their treating </w:t>
            </w:r>
            <w:r w:rsidR="00C32315" w:rsidRPr="00545923">
              <w:rPr>
                <w:rFonts w:asciiTheme="minorHAnsi" w:hAnsiTheme="minorHAnsi" w:cstheme="minorHAnsi"/>
                <w:sz w:val="24"/>
                <w:szCs w:val="22"/>
                <w:lang w:val="en-GB"/>
              </w:rPr>
              <w:t>medical specialist</w:t>
            </w:r>
            <w:r w:rsidRPr="00545923">
              <w:rPr>
                <w:rFonts w:asciiTheme="minorHAnsi" w:hAnsiTheme="minorHAnsi" w:cstheme="minorHAnsi"/>
                <w:sz w:val="24"/>
                <w:szCs w:val="22"/>
                <w:lang w:val="en-GB"/>
              </w:rPr>
              <w:t xml:space="preserve"> of the possibility of transplantation and their compliance with the waiting list acceptance criteria.</w:t>
            </w:r>
            <w:r w:rsidR="00A13F59" w:rsidRPr="00545923">
              <w:rPr>
                <w:rFonts w:asciiTheme="minorHAnsi" w:hAnsiTheme="minorHAnsi" w:cstheme="minorHAnsi"/>
                <w:sz w:val="24"/>
                <w:szCs w:val="22"/>
                <w:lang w:val="en-GB"/>
              </w:rPr>
              <w:t xml:space="preserve"> </w:t>
            </w:r>
          </w:p>
        </w:tc>
      </w:tr>
      <w:tr w:rsidR="00C30067" w:rsidRPr="00F37D51" w14:paraId="45F19C37" w14:textId="77777777" w:rsidTr="00AE3ED1">
        <w:tc>
          <w:tcPr>
            <w:tcW w:w="2268" w:type="dxa"/>
          </w:tcPr>
          <w:p w14:paraId="68B53954" w14:textId="77777777" w:rsidR="00C30067" w:rsidRPr="00F37D51" w:rsidRDefault="00C30067" w:rsidP="00AE3ED1">
            <w:pPr>
              <w:spacing w:after="120"/>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Pr>
                <w:rFonts w:asciiTheme="minorHAnsi" w:hAnsiTheme="minorHAnsi" w:cstheme="minorHAnsi"/>
                <w:b/>
                <w:sz w:val="24"/>
                <w:szCs w:val="22"/>
                <w:lang w:val="en-GB"/>
              </w:rPr>
              <w:t>1</w:t>
            </w:r>
            <w:r w:rsidR="00AD0DDA">
              <w:rPr>
                <w:rFonts w:asciiTheme="minorHAnsi" w:hAnsiTheme="minorHAnsi" w:cstheme="minorHAnsi"/>
                <w:b/>
                <w:sz w:val="24"/>
                <w:szCs w:val="22"/>
                <w:lang w:val="en-GB"/>
              </w:rPr>
              <w:t>2</w:t>
            </w:r>
          </w:p>
        </w:tc>
        <w:tc>
          <w:tcPr>
            <w:tcW w:w="7479" w:type="dxa"/>
          </w:tcPr>
          <w:p w14:paraId="0B653D69" w14:textId="77777777" w:rsidR="00C30067" w:rsidRPr="00545923" w:rsidRDefault="00C30067" w:rsidP="00AE3ED1">
            <w:pPr>
              <w:spacing w:after="120"/>
              <w:rPr>
                <w:rFonts w:asciiTheme="minorHAnsi" w:hAnsiTheme="minorHAnsi" w:cstheme="minorHAnsi"/>
                <w:sz w:val="24"/>
                <w:szCs w:val="22"/>
                <w:lang w:val="en-GB"/>
              </w:rPr>
            </w:pPr>
            <w:r w:rsidRPr="00545923">
              <w:rPr>
                <w:rFonts w:asciiTheme="minorHAnsi" w:hAnsiTheme="minorHAnsi" w:cstheme="minorHAnsi"/>
                <w:sz w:val="24"/>
                <w:szCs w:val="22"/>
                <w:lang w:val="en-GB"/>
              </w:rPr>
              <w:t xml:space="preserve">All kidney transplantation programs </w:t>
            </w:r>
            <w:r w:rsidR="00C32315" w:rsidRPr="00545923">
              <w:rPr>
                <w:rFonts w:asciiTheme="minorHAnsi" w:hAnsiTheme="minorHAnsi" w:cstheme="minorHAnsi"/>
                <w:sz w:val="24"/>
                <w:szCs w:val="22"/>
                <w:lang w:val="en-GB"/>
              </w:rPr>
              <w:t>should</w:t>
            </w:r>
            <w:r w:rsidRPr="00545923">
              <w:rPr>
                <w:rFonts w:asciiTheme="minorHAnsi" w:hAnsiTheme="minorHAnsi" w:cstheme="minorHAnsi"/>
                <w:sz w:val="24"/>
                <w:szCs w:val="22"/>
                <w:lang w:val="en-GB"/>
              </w:rPr>
              <w:t xml:space="preserve"> implement formal outreach arrangements with rural dialysis units as a condition of funding within the state or territory. These rural outreach arrangements must include a clearly defined pathway to kidney transplantation for rural residents, including specifically designed pathways for Aboriginal and Torres Strait Islander people</w:t>
            </w:r>
            <w:r w:rsidR="00343A14" w:rsidRPr="00545923">
              <w:rPr>
                <w:rFonts w:asciiTheme="minorHAnsi" w:hAnsiTheme="minorHAnsi" w:cstheme="minorHAnsi"/>
                <w:sz w:val="24"/>
                <w:szCs w:val="22"/>
                <w:lang w:val="en-GB"/>
              </w:rPr>
              <w:t>, a</w:t>
            </w:r>
            <w:r w:rsidRPr="00545923">
              <w:rPr>
                <w:rFonts w:asciiTheme="minorHAnsi" w:hAnsiTheme="minorHAnsi" w:cstheme="minorHAnsi"/>
                <w:sz w:val="24"/>
                <w:szCs w:val="22"/>
                <w:lang w:val="en-GB"/>
              </w:rPr>
              <w:t xml:space="preserve">s well as a commitment to </w:t>
            </w:r>
            <w:r w:rsidR="00233482" w:rsidRPr="00545923">
              <w:rPr>
                <w:rFonts w:asciiTheme="minorHAnsi" w:hAnsiTheme="minorHAnsi" w:cstheme="minorHAnsi"/>
                <w:sz w:val="24"/>
                <w:szCs w:val="22"/>
                <w:lang w:val="en-GB"/>
              </w:rPr>
              <w:t>‘</w:t>
            </w:r>
            <w:r w:rsidRPr="00545923">
              <w:rPr>
                <w:rFonts w:asciiTheme="minorHAnsi" w:hAnsiTheme="minorHAnsi" w:cstheme="minorHAnsi"/>
                <w:sz w:val="24"/>
                <w:szCs w:val="22"/>
                <w:lang w:val="en-GB"/>
              </w:rPr>
              <w:t>work up</w:t>
            </w:r>
            <w:r w:rsidR="00233482" w:rsidRPr="00545923">
              <w:rPr>
                <w:rFonts w:asciiTheme="minorHAnsi" w:hAnsiTheme="minorHAnsi" w:cstheme="minorHAnsi"/>
                <w:sz w:val="24"/>
                <w:szCs w:val="22"/>
                <w:lang w:val="en-GB"/>
              </w:rPr>
              <w:t>’</w:t>
            </w:r>
            <w:r w:rsidRPr="00545923">
              <w:rPr>
                <w:rFonts w:asciiTheme="minorHAnsi" w:hAnsiTheme="minorHAnsi" w:cstheme="minorHAnsi"/>
                <w:sz w:val="24"/>
                <w:szCs w:val="22"/>
                <w:lang w:val="en-GB"/>
              </w:rPr>
              <w:t xml:space="preserve"> a potential kidney transplantation recipient as close to their place of residence as possible.</w:t>
            </w:r>
          </w:p>
        </w:tc>
      </w:tr>
      <w:tr w:rsidR="00C30067" w:rsidRPr="00F37D51" w14:paraId="507D7870" w14:textId="77777777" w:rsidTr="00AE3ED1">
        <w:tc>
          <w:tcPr>
            <w:tcW w:w="2268" w:type="dxa"/>
          </w:tcPr>
          <w:p w14:paraId="6102D739" w14:textId="77777777" w:rsidR="00C30067" w:rsidRPr="00F37D51" w:rsidRDefault="00C30067" w:rsidP="00AE3ED1">
            <w:pPr>
              <w:spacing w:after="120"/>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sidR="002A27FE">
              <w:rPr>
                <w:rFonts w:asciiTheme="minorHAnsi" w:hAnsiTheme="minorHAnsi" w:cstheme="minorHAnsi"/>
                <w:b/>
                <w:sz w:val="24"/>
                <w:szCs w:val="22"/>
                <w:lang w:val="en-GB"/>
              </w:rPr>
              <w:t>1</w:t>
            </w:r>
            <w:r w:rsidR="00AD0DDA">
              <w:rPr>
                <w:rFonts w:asciiTheme="minorHAnsi" w:hAnsiTheme="minorHAnsi" w:cstheme="minorHAnsi"/>
                <w:b/>
                <w:sz w:val="24"/>
                <w:szCs w:val="22"/>
                <w:lang w:val="en-GB"/>
              </w:rPr>
              <w:t>3</w:t>
            </w:r>
          </w:p>
        </w:tc>
        <w:tc>
          <w:tcPr>
            <w:tcW w:w="7479" w:type="dxa"/>
          </w:tcPr>
          <w:p w14:paraId="45079F77" w14:textId="77777777" w:rsidR="00C30067" w:rsidRPr="00545923" w:rsidRDefault="00C30067" w:rsidP="00AE3ED1">
            <w:pPr>
              <w:spacing w:after="120"/>
              <w:rPr>
                <w:rFonts w:asciiTheme="minorHAnsi" w:hAnsiTheme="minorHAnsi" w:cstheme="minorHAnsi"/>
                <w:sz w:val="24"/>
                <w:szCs w:val="22"/>
                <w:lang w:val="en-GB"/>
              </w:rPr>
            </w:pPr>
            <w:r w:rsidRPr="00545923">
              <w:rPr>
                <w:rFonts w:asciiTheme="minorHAnsi" w:hAnsiTheme="minorHAnsi" w:cstheme="minorHAnsi"/>
                <w:sz w:val="24"/>
                <w:szCs w:val="22"/>
                <w:lang w:val="en-GB"/>
              </w:rPr>
              <w:t xml:space="preserve">All kidney transplantation programs </w:t>
            </w:r>
            <w:r w:rsidR="00C32315" w:rsidRPr="00545923">
              <w:rPr>
                <w:rFonts w:asciiTheme="minorHAnsi" w:hAnsiTheme="minorHAnsi" w:cstheme="minorHAnsi"/>
                <w:sz w:val="24"/>
                <w:szCs w:val="22"/>
                <w:lang w:val="en-GB"/>
              </w:rPr>
              <w:t>should</w:t>
            </w:r>
            <w:r w:rsidRPr="00545923">
              <w:rPr>
                <w:rFonts w:asciiTheme="minorHAnsi" w:hAnsiTheme="minorHAnsi" w:cstheme="minorHAnsi"/>
                <w:sz w:val="24"/>
                <w:szCs w:val="22"/>
                <w:lang w:val="en-GB"/>
              </w:rPr>
              <w:t xml:space="preserve"> implement formal arrangements with Aboriginal </w:t>
            </w:r>
            <w:r w:rsidR="00564D80">
              <w:rPr>
                <w:rFonts w:asciiTheme="minorHAnsi" w:hAnsiTheme="minorHAnsi" w:cstheme="minorHAnsi"/>
                <w:sz w:val="24"/>
                <w:szCs w:val="22"/>
                <w:lang w:val="en-GB"/>
              </w:rPr>
              <w:t>C</w:t>
            </w:r>
            <w:r w:rsidRPr="00545923">
              <w:rPr>
                <w:rFonts w:asciiTheme="minorHAnsi" w:hAnsiTheme="minorHAnsi" w:cstheme="minorHAnsi"/>
                <w:sz w:val="24"/>
                <w:szCs w:val="22"/>
                <w:lang w:val="en-GB"/>
              </w:rPr>
              <w:t>ommunity</w:t>
            </w:r>
            <w:r w:rsidR="00564D80">
              <w:rPr>
                <w:rFonts w:asciiTheme="minorHAnsi" w:hAnsiTheme="minorHAnsi" w:cstheme="minorHAnsi"/>
                <w:sz w:val="24"/>
                <w:szCs w:val="22"/>
                <w:lang w:val="en-GB"/>
              </w:rPr>
              <w:t xml:space="preserve"> Controlled</w:t>
            </w:r>
            <w:r w:rsidRPr="00545923">
              <w:rPr>
                <w:rFonts w:asciiTheme="minorHAnsi" w:hAnsiTheme="minorHAnsi" w:cstheme="minorHAnsi"/>
                <w:sz w:val="24"/>
                <w:szCs w:val="22"/>
                <w:lang w:val="en-GB"/>
              </w:rPr>
              <w:t xml:space="preserve"> </w:t>
            </w:r>
            <w:r w:rsidR="00564D80">
              <w:rPr>
                <w:rFonts w:asciiTheme="minorHAnsi" w:hAnsiTheme="minorHAnsi" w:cstheme="minorHAnsi"/>
                <w:sz w:val="24"/>
                <w:szCs w:val="22"/>
                <w:lang w:val="en-GB"/>
              </w:rPr>
              <w:t>H</w:t>
            </w:r>
            <w:r w:rsidRPr="00545923">
              <w:rPr>
                <w:rFonts w:asciiTheme="minorHAnsi" w:hAnsiTheme="minorHAnsi" w:cstheme="minorHAnsi"/>
                <w:sz w:val="24"/>
                <w:szCs w:val="22"/>
                <w:lang w:val="en-GB"/>
              </w:rPr>
              <w:t xml:space="preserve">ealth </w:t>
            </w:r>
            <w:r w:rsidR="00564D80">
              <w:rPr>
                <w:rFonts w:asciiTheme="minorHAnsi" w:hAnsiTheme="minorHAnsi" w:cstheme="minorHAnsi"/>
                <w:sz w:val="24"/>
                <w:szCs w:val="22"/>
                <w:lang w:val="en-GB"/>
              </w:rPr>
              <w:t>O</w:t>
            </w:r>
            <w:r w:rsidRPr="00545923">
              <w:rPr>
                <w:rFonts w:asciiTheme="minorHAnsi" w:hAnsiTheme="minorHAnsi" w:cstheme="minorHAnsi"/>
                <w:sz w:val="24"/>
                <w:szCs w:val="22"/>
                <w:lang w:val="en-GB"/>
              </w:rPr>
              <w:t xml:space="preserve">rganisations to increase the understanding of transplantation as a possibility for </w:t>
            </w:r>
            <w:r w:rsidR="00793E35" w:rsidRPr="00545923">
              <w:rPr>
                <w:rFonts w:asciiTheme="minorHAnsi" w:hAnsiTheme="minorHAnsi" w:cstheme="minorHAnsi"/>
                <w:sz w:val="24"/>
                <w:szCs w:val="22"/>
                <w:lang w:val="en-GB"/>
              </w:rPr>
              <w:t xml:space="preserve">Aboriginal and Torres Strait Islander </w:t>
            </w:r>
            <w:r w:rsidRPr="00545923">
              <w:rPr>
                <w:rFonts w:asciiTheme="minorHAnsi" w:hAnsiTheme="minorHAnsi" w:cstheme="minorHAnsi"/>
                <w:sz w:val="24"/>
                <w:szCs w:val="22"/>
                <w:lang w:val="en-GB"/>
              </w:rPr>
              <w:t>patients on dialysis.</w:t>
            </w:r>
          </w:p>
        </w:tc>
      </w:tr>
      <w:tr w:rsidR="00C30067" w:rsidRPr="00F37D51" w14:paraId="5EEB2756" w14:textId="77777777" w:rsidTr="00AE3ED1">
        <w:tc>
          <w:tcPr>
            <w:tcW w:w="2268" w:type="dxa"/>
          </w:tcPr>
          <w:p w14:paraId="78824337" w14:textId="77777777" w:rsidR="00C30067" w:rsidRPr="00F37D51" w:rsidRDefault="00C30067" w:rsidP="00AE3ED1">
            <w:pPr>
              <w:spacing w:after="120"/>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sidR="002A27FE">
              <w:rPr>
                <w:rFonts w:asciiTheme="minorHAnsi" w:hAnsiTheme="minorHAnsi" w:cstheme="minorHAnsi"/>
                <w:b/>
                <w:sz w:val="24"/>
                <w:szCs w:val="22"/>
                <w:lang w:val="en-GB"/>
              </w:rPr>
              <w:t>1</w:t>
            </w:r>
            <w:r w:rsidR="00AD0DDA">
              <w:rPr>
                <w:rFonts w:asciiTheme="minorHAnsi" w:hAnsiTheme="minorHAnsi" w:cstheme="minorHAnsi"/>
                <w:b/>
                <w:sz w:val="24"/>
                <w:szCs w:val="22"/>
                <w:lang w:val="en-GB"/>
              </w:rPr>
              <w:t>4</w:t>
            </w:r>
          </w:p>
        </w:tc>
        <w:tc>
          <w:tcPr>
            <w:tcW w:w="7479" w:type="dxa"/>
          </w:tcPr>
          <w:p w14:paraId="38598FB7" w14:textId="77777777" w:rsidR="00793E35" w:rsidRPr="00545923" w:rsidRDefault="00C30067" w:rsidP="00AE3ED1">
            <w:pPr>
              <w:spacing w:after="120"/>
              <w:rPr>
                <w:rFonts w:asciiTheme="minorHAnsi" w:hAnsiTheme="minorHAnsi" w:cstheme="minorHAnsi"/>
                <w:sz w:val="24"/>
                <w:szCs w:val="22"/>
                <w:lang w:val="en-GB"/>
              </w:rPr>
            </w:pPr>
            <w:r w:rsidRPr="00545923">
              <w:rPr>
                <w:rFonts w:asciiTheme="minorHAnsi" w:hAnsiTheme="minorHAnsi" w:cstheme="minorHAnsi"/>
                <w:sz w:val="24"/>
                <w:szCs w:val="22"/>
                <w:lang w:val="en-GB"/>
              </w:rPr>
              <w:t xml:space="preserve">All dialysis units </w:t>
            </w:r>
            <w:r w:rsidR="00C32315" w:rsidRPr="00545923">
              <w:rPr>
                <w:rFonts w:asciiTheme="minorHAnsi" w:hAnsiTheme="minorHAnsi" w:cstheme="minorHAnsi"/>
                <w:sz w:val="24"/>
                <w:szCs w:val="22"/>
                <w:lang w:val="en-GB"/>
              </w:rPr>
              <w:t xml:space="preserve">should </w:t>
            </w:r>
            <w:r w:rsidRPr="00545923">
              <w:rPr>
                <w:rFonts w:asciiTheme="minorHAnsi" w:hAnsiTheme="minorHAnsi" w:cstheme="minorHAnsi"/>
                <w:sz w:val="24"/>
                <w:szCs w:val="22"/>
                <w:lang w:val="en-GB"/>
              </w:rPr>
              <w:t>have formal arrangements in place with a kidney transplantation program for the assessment of dialysis patients for possible kidney transplantation.</w:t>
            </w:r>
            <w:r w:rsidR="00D721E2" w:rsidRPr="00545923" w:rsidDel="00D721E2">
              <w:rPr>
                <w:rFonts w:asciiTheme="minorHAnsi" w:hAnsiTheme="minorHAnsi" w:cstheme="minorHAnsi"/>
                <w:sz w:val="24"/>
                <w:szCs w:val="22"/>
                <w:lang w:val="en-GB"/>
              </w:rPr>
              <w:t xml:space="preserve"> </w:t>
            </w:r>
          </w:p>
        </w:tc>
      </w:tr>
      <w:tr w:rsidR="00DE47D3" w:rsidRPr="00F37D51" w14:paraId="7498399C" w14:textId="77777777" w:rsidTr="00AE3ED1">
        <w:tc>
          <w:tcPr>
            <w:tcW w:w="2268" w:type="dxa"/>
          </w:tcPr>
          <w:p w14:paraId="7E50EF7F" w14:textId="77777777" w:rsidR="00DE47D3" w:rsidRPr="00F37D51" w:rsidRDefault="00DE47D3" w:rsidP="00AE3ED1">
            <w:pPr>
              <w:spacing w:after="120"/>
              <w:rPr>
                <w:rFonts w:asciiTheme="minorHAnsi" w:hAnsiTheme="minorHAnsi" w:cstheme="minorHAnsi"/>
                <w:b/>
                <w:sz w:val="24"/>
                <w:szCs w:val="22"/>
                <w:lang w:val="en-GB"/>
              </w:rPr>
            </w:pPr>
            <w:r>
              <w:rPr>
                <w:rFonts w:asciiTheme="minorHAnsi" w:hAnsiTheme="minorHAnsi" w:cstheme="minorHAnsi"/>
                <w:b/>
                <w:sz w:val="24"/>
                <w:szCs w:val="22"/>
                <w:lang w:val="en-GB"/>
              </w:rPr>
              <w:t>Recommendation 1</w:t>
            </w:r>
            <w:r w:rsidR="00AD0DDA">
              <w:rPr>
                <w:rFonts w:asciiTheme="minorHAnsi" w:hAnsiTheme="minorHAnsi" w:cstheme="minorHAnsi"/>
                <w:b/>
                <w:sz w:val="24"/>
                <w:szCs w:val="22"/>
                <w:lang w:val="en-GB"/>
              </w:rPr>
              <w:t>5</w:t>
            </w:r>
          </w:p>
        </w:tc>
        <w:tc>
          <w:tcPr>
            <w:tcW w:w="7479" w:type="dxa"/>
          </w:tcPr>
          <w:p w14:paraId="0200D280" w14:textId="2712EA2C" w:rsidR="007C1C9B" w:rsidRPr="00545923" w:rsidRDefault="00DE47D3" w:rsidP="00AE3ED1">
            <w:pPr>
              <w:spacing w:after="120"/>
              <w:rPr>
                <w:rFonts w:asciiTheme="minorHAnsi" w:hAnsiTheme="minorHAnsi" w:cstheme="minorHAnsi"/>
                <w:sz w:val="24"/>
                <w:szCs w:val="22"/>
                <w:lang w:val="en-GB"/>
              </w:rPr>
            </w:pPr>
            <w:r w:rsidRPr="00545923">
              <w:rPr>
                <w:rFonts w:asciiTheme="minorHAnsi" w:hAnsiTheme="minorHAnsi" w:cstheme="minorHAnsi"/>
                <w:sz w:val="24"/>
                <w:szCs w:val="22"/>
                <w:lang w:val="en-GB"/>
              </w:rPr>
              <w:t xml:space="preserve">All kidney </w:t>
            </w:r>
            <w:r w:rsidR="00647282" w:rsidRPr="00545923">
              <w:rPr>
                <w:rFonts w:asciiTheme="minorHAnsi" w:hAnsiTheme="minorHAnsi" w:cstheme="minorHAnsi"/>
                <w:sz w:val="24"/>
                <w:szCs w:val="22"/>
                <w:lang w:val="en-GB"/>
              </w:rPr>
              <w:t>transplantation programs</w:t>
            </w:r>
            <w:r w:rsidRPr="00545923">
              <w:rPr>
                <w:rFonts w:asciiTheme="minorHAnsi" w:hAnsiTheme="minorHAnsi" w:cstheme="minorHAnsi"/>
                <w:sz w:val="24"/>
                <w:szCs w:val="22"/>
                <w:lang w:val="en-GB"/>
              </w:rPr>
              <w:t xml:space="preserve"> </w:t>
            </w:r>
            <w:r w:rsidR="00C32315" w:rsidRPr="00545923">
              <w:rPr>
                <w:rFonts w:asciiTheme="minorHAnsi" w:hAnsiTheme="minorHAnsi" w:cstheme="minorHAnsi"/>
                <w:sz w:val="24"/>
                <w:szCs w:val="22"/>
                <w:lang w:val="en-GB"/>
              </w:rPr>
              <w:t>should</w:t>
            </w:r>
            <w:r w:rsidRPr="00545923">
              <w:rPr>
                <w:rFonts w:asciiTheme="minorHAnsi" w:hAnsiTheme="minorHAnsi" w:cstheme="minorHAnsi"/>
                <w:sz w:val="24"/>
                <w:szCs w:val="22"/>
                <w:lang w:val="en-GB"/>
              </w:rPr>
              <w:t xml:space="preserve"> implement a formal process for the provision of a second opinion to potential transplant recipients who are determined to be ineligible for transplantation. </w:t>
            </w:r>
          </w:p>
        </w:tc>
      </w:tr>
    </w:tbl>
    <w:p w14:paraId="11B1841D" w14:textId="77777777" w:rsidR="007C1C9B" w:rsidRDefault="007C1C9B" w:rsidP="00C30067">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614" w:name="_Ref527624433"/>
      <w:bookmarkStart w:id="615" w:name="_Ref531269689"/>
      <w:r>
        <w:rPr>
          <w:rFonts w:asciiTheme="minorHAnsi" w:hAnsiTheme="minorHAnsi" w:cstheme="minorHAnsi"/>
          <w:b w:val="0"/>
          <w:color w:val="7F7F7F" w:themeColor="text1" w:themeTint="80"/>
          <w:sz w:val="30"/>
          <w:szCs w:val="30"/>
        </w:rPr>
        <w:br w:type="page"/>
      </w:r>
    </w:p>
    <w:p w14:paraId="0EE70FF6" w14:textId="72FA919F" w:rsidR="00C30067" w:rsidRDefault="00C30067" w:rsidP="00C30067">
      <w:pPr>
        <w:pStyle w:val="Heading3"/>
        <w:tabs>
          <w:tab w:val="clear" w:pos="1843"/>
          <w:tab w:val="num" w:pos="1559"/>
        </w:tabs>
        <w:ind w:left="992" w:hanging="992"/>
        <w:rPr>
          <w:rFonts w:asciiTheme="minorHAnsi" w:hAnsiTheme="minorHAnsi" w:cstheme="minorHAnsi"/>
          <w:b w:val="0"/>
          <w:color w:val="7F7F7F" w:themeColor="text1" w:themeTint="80"/>
          <w:sz w:val="30"/>
          <w:szCs w:val="30"/>
        </w:rPr>
      </w:pPr>
      <w:r w:rsidRPr="004938CA">
        <w:rPr>
          <w:rFonts w:asciiTheme="minorHAnsi" w:hAnsiTheme="minorHAnsi" w:cstheme="minorHAnsi"/>
          <w:b w:val="0"/>
          <w:color w:val="7F7F7F" w:themeColor="text1" w:themeTint="80"/>
          <w:sz w:val="30"/>
          <w:szCs w:val="30"/>
        </w:rPr>
        <w:t xml:space="preserve">Potential </w:t>
      </w:r>
      <w:r w:rsidR="00793E35">
        <w:rPr>
          <w:rFonts w:asciiTheme="minorHAnsi" w:hAnsiTheme="minorHAnsi" w:cstheme="minorHAnsi"/>
          <w:b w:val="0"/>
          <w:color w:val="7F7F7F" w:themeColor="text1" w:themeTint="80"/>
          <w:sz w:val="30"/>
          <w:szCs w:val="30"/>
        </w:rPr>
        <w:t xml:space="preserve">transplantation </w:t>
      </w:r>
      <w:r w:rsidRPr="004938CA">
        <w:rPr>
          <w:rFonts w:asciiTheme="minorHAnsi" w:hAnsiTheme="minorHAnsi" w:cstheme="minorHAnsi"/>
          <w:b w:val="0"/>
          <w:color w:val="7F7F7F" w:themeColor="text1" w:themeTint="80"/>
          <w:sz w:val="30"/>
          <w:szCs w:val="30"/>
        </w:rPr>
        <w:t xml:space="preserve">recipient </w:t>
      </w:r>
      <w:bookmarkEnd w:id="614"/>
      <w:r w:rsidR="00E075BE">
        <w:rPr>
          <w:rFonts w:asciiTheme="minorHAnsi" w:hAnsiTheme="minorHAnsi" w:cstheme="minorHAnsi"/>
          <w:b w:val="0"/>
          <w:color w:val="7F7F7F" w:themeColor="text1" w:themeTint="80"/>
          <w:sz w:val="30"/>
          <w:szCs w:val="30"/>
        </w:rPr>
        <w:t>experience</w:t>
      </w:r>
      <w:bookmarkEnd w:id="615"/>
      <w:r w:rsidR="00E075BE">
        <w:rPr>
          <w:rFonts w:asciiTheme="minorHAnsi" w:hAnsiTheme="minorHAnsi" w:cstheme="minorHAnsi"/>
          <w:b w:val="0"/>
          <w:color w:val="7F7F7F" w:themeColor="text1" w:themeTint="80"/>
          <w:sz w:val="30"/>
          <w:szCs w:val="30"/>
        </w:rPr>
        <w:t xml:space="preserve"> </w:t>
      </w:r>
    </w:p>
    <w:p w14:paraId="515C0557" w14:textId="77777777" w:rsidR="00E075BE" w:rsidRPr="00DC5DF0" w:rsidRDefault="00E075BE" w:rsidP="00EF2596">
      <w:pPr>
        <w:tabs>
          <w:tab w:val="num" w:pos="720"/>
        </w:tabs>
        <w:spacing w:after="120"/>
        <w:rPr>
          <w:rFonts w:asciiTheme="minorHAnsi" w:hAnsiTheme="minorHAnsi" w:cstheme="minorHAnsi"/>
          <w:color w:val="7F7F7F" w:themeColor="text1" w:themeTint="80"/>
          <w:szCs w:val="22"/>
        </w:rPr>
      </w:pPr>
      <w:r w:rsidRPr="00EF2596">
        <w:rPr>
          <w:rFonts w:asciiTheme="minorHAnsi" w:hAnsiTheme="minorHAnsi" w:cstheme="minorHAnsi"/>
          <w:color w:val="7F7F7F" w:themeColor="text1" w:themeTint="80"/>
          <w:sz w:val="24"/>
          <w:szCs w:val="22"/>
          <w:lang w:val="en-GB"/>
        </w:rPr>
        <w:t>Accession on the waiting list</w:t>
      </w:r>
    </w:p>
    <w:p w14:paraId="5245C48E" w14:textId="1BAE58DA" w:rsidR="00DF34B8" w:rsidRDefault="0057759A" w:rsidP="00EF2596">
      <w:pPr>
        <w:spacing w:after="120"/>
        <w:rPr>
          <w:rFonts w:asciiTheme="minorHAnsi" w:hAnsiTheme="minorHAnsi" w:cstheme="minorHAnsi"/>
          <w:sz w:val="24"/>
          <w:szCs w:val="22"/>
          <w:lang w:val="en-GB"/>
        </w:rPr>
      </w:pPr>
      <w:r w:rsidRPr="00EF2596">
        <w:rPr>
          <w:rFonts w:asciiTheme="minorHAnsi" w:hAnsiTheme="minorHAnsi" w:cstheme="minorHAnsi"/>
          <w:sz w:val="24"/>
          <w:szCs w:val="22"/>
          <w:lang w:val="en-GB"/>
        </w:rPr>
        <w:t>The Review found that waiting list information is not currently published or made readily available to potential recipients on the waiting list.</w:t>
      </w:r>
      <w:r w:rsidR="00D711B9">
        <w:rPr>
          <w:rFonts w:asciiTheme="minorHAnsi" w:hAnsiTheme="minorHAnsi" w:cstheme="minorHAnsi"/>
          <w:sz w:val="24"/>
          <w:szCs w:val="22"/>
          <w:lang w:val="en-GB"/>
        </w:rPr>
        <w:t xml:space="preserve"> Notwithstanding the many factors that are </w:t>
      </w:r>
      <w:r w:rsidR="00B46F66">
        <w:rPr>
          <w:rFonts w:asciiTheme="minorHAnsi" w:hAnsiTheme="minorHAnsi" w:cstheme="minorHAnsi"/>
          <w:sz w:val="24"/>
          <w:szCs w:val="22"/>
          <w:lang w:val="en-GB"/>
        </w:rPr>
        <w:t>considered</w:t>
      </w:r>
      <w:r w:rsidR="00D711B9">
        <w:rPr>
          <w:rFonts w:asciiTheme="minorHAnsi" w:hAnsiTheme="minorHAnsi" w:cstheme="minorHAnsi"/>
          <w:sz w:val="24"/>
          <w:szCs w:val="22"/>
          <w:lang w:val="en-GB"/>
        </w:rPr>
        <w:t xml:space="preserve"> in the management of transplantation waiting lists,</w:t>
      </w:r>
      <w:r w:rsidRPr="00EF2596">
        <w:rPr>
          <w:rFonts w:asciiTheme="minorHAnsi" w:hAnsiTheme="minorHAnsi" w:cstheme="minorHAnsi"/>
          <w:sz w:val="24"/>
          <w:szCs w:val="22"/>
          <w:lang w:val="en-GB"/>
        </w:rPr>
        <w:t xml:space="preserve"> </w:t>
      </w:r>
      <w:r w:rsidR="00D711B9">
        <w:rPr>
          <w:rFonts w:asciiTheme="minorHAnsi" w:hAnsiTheme="minorHAnsi" w:cstheme="minorHAnsi"/>
          <w:sz w:val="24"/>
          <w:szCs w:val="22"/>
          <w:lang w:val="en-GB"/>
        </w:rPr>
        <w:t>i</w:t>
      </w:r>
      <w:r w:rsidRPr="00EF2596">
        <w:rPr>
          <w:rFonts w:asciiTheme="minorHAnsi" w:hAnsiTheme="minorHAnsi" w:cstheme="minorHAnsi"/>
          <w:sz w:val="24"/>
          <w:szCs w:val="22"/>
          <w:lang w:val="en-GB"/>
        </w:rPr>
        <w:t xml:space="preserve">t was found that patients on a waiting list were </w:t>
      </w:r>
      <w:r w:rsidR="00B220D9" w:rsidRPr="00EF2596">
        <w:rPr>
          <w:rFonts w:asciiTheme="minorHAnsi" w:hAnsiTheme="minorHAnsi" w:cstheme="minorHAnsi"/>
          <w:sz w:val="24"/>
          <w:szCs w:val="22"/>
          <w:lang w:val="en-GB"/>
        </w:rPr>
        <w:t xml:space="preserve">often unaware of </w:t>
      </w:r>
      <w:r w:rsidRPr="00EF2596">
        <w:rPr>
          <w:rFonts w:asciiTheme="minorHAnsi" w:hAnsiTheme="minorHAnsi" w:cstheme="minorHAnsi"/>
          <w:sz w:val="24"/>
          <w:szCs w:val="22"/>
          <w:lang w:val="en-GB"/>
        </w:rPr>
        <w:t>their position or rank on the list</w:t>
      </w:r>
      <w:r w:rsidR="00D711B9">
        <w:rPr>
          <w:rFonts w:asciiTheme="minorHAnsi" w:hAnsiTheme="minorHAnsi" w:cstheme="minorHAnsi"/>
          <w:sz w:val="24"/>
          <w:szCs w:val="22"/>
          <w:lang w:val="en-GB"/>
        </w:rPr>
        <w:t xml:space="preserve"> or how the waiting list is managed</w:t>
      </w:r>
      <w:r w:rsidRPr="00EF2596">
        <w:rPr>
          <w:rFonts w:asciiTheme="minorHAnsi" w:hAnsiTheme="minorHAnsi" w:cstheme="minorHAnsi"/>
          <w:sz w:val="24"/>
          <w:szCs w:val="22"/>
          <w:lang w:val="en-GB"/>
        </w:rPr>
        <w:t xml:space="preserve">. The Review notes that a pilot </w:t>
      </w:r>
      <w:r w:rsidR="008A2204" w:rsidRPr="00EF2596">
        <w:rPr>
          <w:rFonts w:asciiTheme="minorHAnsi" w:hAnsiTheme="minorHAnsi" w:cstheme="minorHAnsi"/>
          <w:sz w:val="24"/>
          <w:szCs w:val="22"/>
          <w:lang w:val="en-GB"/>
        </w:rPr>
        <w:t>program</w:t>
      </w:r>
      <w:r w:rsidRPr="00EF2596">
        <w:rPr>
          <w:rFonts w:asciiTheme="minorHAnsi" w:hAnsiTheme="minorHAnsi" w:cstheme="minorHAnsi"/>
          <w:sz w:val="24"/>
          <w:szCs w:val="22"/>
          <w:lang w:val="en-GB"/>
        </w:rPr>
        <w:t xml:space="preserve"> to improve patient oversight of the waiting list is planned</w:t>
      </w:r>
      <w:r w:rsidR="00B220D9" w:rsidRPr="00EF2596">
        <w:rPr>
          <w:rFonts w:asciiTheme="minorHAnsi" w:hAnsiTheme="minorHAnsi" w:cstheme="minorHAnsi"/>
          <w:sz w:val="24"/>
          <w:szCs w:val="22"/>
          <w:lang w:val="en-GB"/>
        </w:rPr>
        <w:t xml:space="preserve"> in Victoria.</w:t>
      </w:r>
      <w:r w:rsidRPr="00EF2596">
        <w:rPr>
          <w:rFonts w:asciiTheme="minorHAnsi" w:hAnsiTheme="minorHAnsi" w:cstheme="minorHAnsi"/>
          <w:sz w:val="24"/>
          <w:szCs w:val="22"/>
          <w:lang w:val="en-GB"/>
        </w:rPr>
        <w:t xml:space="preserve"> The p</w:t>
      </w:r>
      <w:r w:rsidR="005912F1">
        <w:rPr>
          <w:rFonts w:asciiTheme="minorHAnsi" w:hAnsiTheme="minorHAnsi" w:cstheme="minorHAnsi"/>
          <w:sz w:val="24"/>
          <w:szCs w:val="22"/>
          <w:lang w:val="en-GB"/>
        </w:rPr>
        <w:t xml:space="preserve">ilot </w:t>
      </w:r>
      <w:r w:rsidRPr="00EF2596">
        <w:rPr>
          <w:rFonts w:asciiTheme="minorHAnsi" w:hAnsiTheme="minorHAnsi" w:cstheme="minorHAnsi"/>
          <w:sz w:val="24"/>
          <w:szCs w:val="22"/>
          <w:lang w:val="en-GB"/>
        </w:rPr>
        <w:t>will aim to</w:t>
      </w:r>
      <w:r w:rsidR="008A2204" w:rsidRPr="00EF2596">
        <w:rPr>
          <w:rFonts w:asciiTheme="minorHAnsi" w:hAnsiTheme="minorHAnsi" w:cstheme="minorHAnsi"/>
          <w:sz w:val="24"/>
          <w:szCs w:val="22"/>
          <w:lang w:val="en-GB"/>
        </w:rPr>
        <w:t xml:space="preserve"> improve </w:t>
      </w:r>
      <w:r w:rsidR="005912F1">
        <w:rPr>
          <w:rFonts w:asciiTheme="minorHAnsi" w:hAnsiTheme="minorHAnsi" w:cstheme="minorHAnsi"/>
          <w:sz w:val="24"/>
          <w:szCs w:val="22"/>
          <w:lang w:val="en-GB"/>
        </w:rPr>
        <w:t>a</w:t>
      </w:r>
      <w:r w:rsidR="008A2204" w:rsidRPr="00EF2596">
        <w:rPr>
          <w:rFonts w:asciiTheme="minorHAnsi" w:hAnsiTheme="minorHAnsi" w:cstheme="minorHAnsi"/>
          <w:sz w:val="24"/>
          <w:szCs w:val="22"/>
          <w:lang w:val="en-GB"/>
        </w:rPr>
        <w:t xml:space="preserve"> </w:t>
      </w:r>
      <w:r w:rsidR="00F30C35" w:rsidRPr="00EF2596">
        <w:rPr>
          <w:rFonts w:asciiTheme="minorHAnsi" w:hAnsiTheme="minorHAnsi" w:cstheme="minorHAnsi"/>
          <w:sz w:val="24"/>
          <w:szCs w:val="22"/>
          <w:lang w:val="en-GB"/>
        </w:rPr>
        <w:t>patient’s</w:t>
      </w:r>
      <w:r w:rsidR="008A2204" w:rsidRPr="00EF2596">
        <w:rPr>
          <w:rFonts w:asciiTheme="minorHAnsi" w:hAnsiTheme="minorHAnsi" w:cstheme="minorHAnsi"/>
          <w:sz w:val="24"/>
          <w:szCs w:val="22"/>
          <w:lang w:val="en-GB"/>
        </w:rPr>
        <w:t xml:space="preserve"> visibility by</w:t>
      </w:r>
      <w:r w:rsidR="00B220D9" w:rsidRPr="00EF2596">
        <w:rPr>
          <w:rFonts w:asciiTheme="minorHAnsi" w:hAnsiTheme="minorHAnsi" w:cstheme="minorHAnsi"/>
          <w:sz w:val="24"/>
          <w:szCs w:val="22"/>
          <w:lang w:val="en-GB"/>
        </w:rPr>
        <w:t xml:space="preserve"> providing digital access to their </w:t>
      </w:r>
      <w:r w:rsidR="008A2204" w:rsidRPr="00EF2596">
        <w:rPr>
          <w:rFonts w:asciiTheme="minorHAnsi" w:hAnsiTheme="minorHAnsi" w:cstheme="minorHAnsi"/>
          <w:sz w:val="24"/>
          <w:szCs w:val="22"/>
          <w:lang w:val="en-GB"/>
        </w:rPr>
        <w:t xml:space="preserve">assessment outcomes and position on the </w:t>
      </w:r>
      <w:r w:rsidRPr="00EF2596">
        <w:rPr>
          <w:rFonts w:asciiTheme="minorHAnsi" w:hAnsiTheme="minorHAnsi" w:cstheme="minorHAnsi"/>
          <w:sz w:val="24"/>
          <w:szCs w:val="22"/>
          <w:lang w:val="en-GB"/>
        </w:rPr>
        <w:t>waiting list</w:t>
      </w:r>
      <w:r w:rsidR="008A2204" w:rsidRPr="00EF2596">
        <w:rPr>
          <w:rFonts w:asciiTheme="minorHAnsi" w:hAnsiTheme="minorHAnsi" w:cstheme="minorHAnsi"/>
          <w:sz w:val="24"/>
          <w:szCs w:val="22"/>
          <w:lang w:val="en-GB"/>
        </w:rPr>
        <w:t>.</w:t>
      </w:r>
      <w:r w:rsidR="00B220D9" w:rsidRPr="00EF2596">
        <w:rPr>
          <w:rFonts w:asciiTheme="minorHAnsi" w:hAnsiTheme="minorHAnsi" w:cstheme="minorHAnsi"/>
          <w:sz w:val="24"/>
          <w:szCs w:val="22"/>
          <w:lang w:val="en-GB"/>
        </w:rPr>
        <w:t xml:space="preserve"> Enhancing clinical visibility</w:t>
      </w:r>
      <w:r w:rsidR="005912F1">
        <w:rPr>
          <w:rFonts w:asciiTheme="minorHAnsi" w:hAnsiTheme="minorHAnsi" w:cstheme="minorHAnsi"/>
          <w:sz w:val="24"/>
          <w:szCs w:val="22"/>
          <w:lang w:val="en-GB"/>
        </w:rPr>
        <w:t xml:space="preserve"> is</w:t>
      </w:r>
      <w:r w:rsidR="00B220D9" w:rsidRPr="00EF2596">
        <w:rPr>
          <w:rFonts w:asciiTheme="minorHAnsi" w:hAnsiTheme="minorHAnsi" w:cstheme="minorHAnsi"/>
          <w:sz w:val="24"/>
          <w:szCs w:val="22"/>
          <w:lang w:val="en-GB"/>
        </w:rPr>
        <w:t xml:space="preserve"> </w:t>
      </w:r>
      <w:r w:rsidR="005912F1">
        <w:rPr>
          <w:rFonts w:asciiTheme="minorHAnsi" w:hAnsiTheme="minorHAnsi" w:cstheme="minorHAnsi"/>
          <w:sz w:val="24"/>
          <w:szCs w:val="22"/>
          <w:lang w:val="en-GB"/>
        </w:rPr>
        <w:t>also</w:t>
      </w:r>
      <w:r w:rsidR="00B220D9" w:rsidRPr="00EF2596">
        <w:rPr>
          <w:rFonts w:asciiTheme="minorHAnsi" w:hAnsiTheme="minorHAnsi" w:cstheme="minorHAnsi"/>
          <w:sz w:val="24"/>
          <w:szCs w:val="22"/>
          <w:lang w:val="en-GB"/>
        </w:rPr>
        <w:t xml:space="preserve"> planned. A feature of the OrganMatch clinician portal will allow clinical staff </w:t>
      </w:r>
      <w:r w:rsidR="005912F1">
        <w:rPr>
          <w:rFonts w:asciiTheme="minorHAnsi" w:hAnsiTheme="minorHAnsi" w:cstheme="minorHAnsi"/>
          <w:sz w:val="24"/>
          <w:szCs w:val="22"/>
          <w:lang w:val="en-GB"/>
        </w:rPr>
        <w:t>improved</w:t>
      </w:r>
      <w:r w:rsidR="00B220D9" w:rsidRPr="00EF2596">
        <w:rPr>
          <w:rFonts w:asciiTheme="minorHAnsi" w:hAnsiTheme="minorHAnsi" w:cstheme="minorHAnsi"/>
          <w:sz w:val="24"/>
          <w:szCs w:val="22"/>
          <w:lang w:val="en-GB"/>
        </w:rPr>
        <w:t xml:space="preserve"> access to patient outcomes of matching and patient ranking on the list.</w:t>
      </w:r>
      <w:r w:rsidR="00B220D9">
        <w:rPr>
          <w:rFonts w:asciiTheme="minorHAnsi" w:hAnsiTheme="minorHAnsi" w:cstheme="minorHAnsi"/>
          <w:sz w:val="24"/>
          <w:szCs w:val="22"/>
          <w:lang w:val="en-GB"/>
        </w:rPr>
        <w:t xml:space="preserve"> </w:t>
      </w:r>
    </w:p>
    <w:p w14:paraId="5CF852DF" w14:textId="77777777" w:rsidR="00E075BE" w:rsidRPr="00EF2596" w:rsidRDefault="00E075BE" w:rsidP="00FC0683">
      <w:pPr>
        <w:tabs>
          <w:tab w:val="num" w:pos="720"/>
        </w:tabs>
        <w:spacing w:after="120"/>
        <w:rPr>
          <w:rFonts w:asciiTheme="minorHAnsi" w:hAnsiTheme="minorHAnsi" w:cstheme="minorHAnsi"/>
          <w:color w:val="7F7F7F" w:themeColor="text1" w:themeTint="80"/>
          <w:sz w:val="24"/>
          <w:szCs w:val="22"/>
        </w:rPr>
      </w:pPr>
      <w:r w:rsidRPr="00EF2596">
        <w:rPr>
          <w:rFonts w:asciiTheme="minorHAnsi" w:hAnsiTheme="minorHAnsi" w:cstheme="minorHAnsi"/>
          <w:color w:val="7F7F7F" w:themeColor="text1" w:themeTint="80"/>
          <w:sz w:val="24"/>
          <w:szCs w:val="22"/>
          <w:lang w:val="en-GB"/>
        </w:rPr>
        <w:t xml:space="preserve">Education and consent </w:t>
      </w:r>
    </w:p>
    <w:p w14:paraId="2181633A" w14:textId="066E0E1B" w:rsidR="00C30067" w:rsidRDefault="00C30067" w:rsidP="00AE3ED1">
      <w:pPr>
        <w:tabs>
          <w:tab w:val="num" w:pos="720"/>
        </w:tabs>
        <w:spacing w:before="120" w:after="120"/>
        <w:rPr>
          <w:rFonts w:asciiTheme="minorHAnsi" w:hAnsiTheme="minorHAnsi" w:cstheme="minorHAnsi"/>
          <w:sz w:val="24"/>
          <w:szCs w:val="22"/>
          <w:lang w:val="en-GB"/>
        </w:rPr>
      </w:pPr>
      <w:r>
        <w:rPr>
          <w:rFonts w:asciiTheme="minorHAnsi" w:hAnsiTheme="minorHAnsi" w:cstheme="minorHAnsi"/>
          <w:sz w:val="24"/>
          <w:szCs w:val="22"/>
          <w:lang w:val="en-GB"/>
        </w:rPr>
        <w:t xml:space="preserve">The Review found that while the </w:t>
      </w:r>
      <w:r w:rsidR="00A36192">
        <w:rPr>
          <w:rFonts w:asciiTheme="minorHAnsi" w:hAnsiTheme="minorHAnsi" w:cstheme="minorHAnsi"/>
          <w:sz w:val="24"/>
          <w:szCs w:val="22"/>
          <w:lang w:val="en-GB"/>
        </w:rPr>
        <w:t>Clinical G</w:t>
      </w:r>
      <w:r>
        <w:rPr>
          <w:rFonts w:asciiTheme="minorHAnsi" w:hAnsiTheme="minorHAnsi" w:cstheme="minorHAnsi"/>
          <w:sz w:val="24"/>
          <w:szCs w:val="22"/>
          <w:lang w:val="en-GB"/>
        </w:rPr>
        <w:t>uidelines stipulate that patient education is to occur at the time of wait listing, different units have different approaches to education and consent of potential recipients. Some units reported that at this point in the process, potential recipients should understand and provide initial consent regarding the types of organs and level of risk that they will accept. This would then be recorded and final consent would be collected during the acceptance and process (see Section</w:t>
      </w:r>
      <w:r w:rsidR="003259BB">
        <w:rPr>
          <w:rFonts w:asciiTheme="minorHAnsi" w:hAnsiTheme="minorHAnsi" w:cstheme="minorHAnsi"/>
          <w:sz w:val="24"/>
          <w:szCs w:val="22"/>
          <w:lang w:val="en-GB"/>
        </w:rPr>
        <w:t xml:space="preserve"> 6.5</w:t>
      </w:r>
      <w:r>
        <w:rPr>
          <w:rFonts w:asciiTheme="minorHAnsi" w:hAnsiTheme="minorHAnsi" w:cstheme="minorHAnsi"/>
          <w:sz w:val="24"/>
          <w:szCs w:val="22"/>
          <w:lang w:val="en-GB"/>
        </w:rPr>
        <w:t xml:space="preserve">). However, this approach was not uniform across units and resulted in different consenting processes across the country. </w:t>
      </w:r>
    </w:p>
    <w:p w14:paraId="42314983" w14:textId="77777777" w:rsidR="00A84091" w:rsidRPr="00D930F7" w:rsidRDefault="00A84091" w:rsidP="00AE3ED1">
      <w:pPr>
        <w:shd w:val="clear" w:color="auto" w:fill="DCEFF4"/>
        <w:tabs>
          <w:tab w:val="num" w:pos="720"/>
        </w:tabs>
        <w:spacing w:before="120" w:after="120"/>
        <w:rPr>
          <w:rFonts w:asciiTheme="minorHAnsi" w:hAnsiTheme="minorHAnsi" w:cstheme="minorHAnsi"/>
          <w:b/>
          <w:sz w:val="22"/>
          <w:szCs w:val="22"/>
          <w:lang w:val="en-GB"/>
        </w:rPr>
      </w:pPr>
      <w:r w:rsidRPr="00D930F7">
        <w:rPr>
          <w:rFonts w:asciiTheme="minorHAnsi" w:hAnsiTheme="minorHAnsi" w:cstheme="minorHAnsi"/>
          <w:b/>
          <w:sz w:val="22"/>
          <w:szCs w:val="22"/>
          <w:lang w:val="en-GB"/>
        </w:rPr>
        <w:t xml:space="preserve">Potential transplant recipient education </w:t>
      </w:r>
    </w:p>
    <w:p w14:paraId="77DDF6C3" w14:textId="77777777" w:rsidR="00A84091" w:rsidRPr="00AE3ED1" w:rsidRDefault="00A84091" w:rsidP="00AE3ED1">
      <w:pPr>
        <w:shd w:val="clear" w:color="auto" w:fill="DCEFF4"/>
        <w:tabs>
          <w:tab w:val="num" w:pos="720"/>
        </w:tabs>
        <w:spacing w:before="120" w:after="120"/>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The provision of education is critical in allowing potential transplant recipients to make an informed decision in relation to transplantation. This includes informing the potential recipient of the risks, benefits and what may happen if the procedure does not go ahead. Support and counselling services should also be provided as part of this process. </w:t>
      </w:r>
    </w:p>
    <w:p w14:paraId="0BFC129B" w14:textId="19507E52" w:rsidR="00A84091" w:rsidRPr="00AE3ED1" w:rsidRDefault="00A84091" w:rsidP="00AE3ED1">
      <w:pPr>
        <w:shd w:val="clear" w:color="auto" w:fill="DCEFF4"/>
        <w:tabs>
          <w:tab w:val="num" w:pos="720"/>
        </w:tabs>
        <w:spacing w:before="120" w:after="120"/>
        <w:rPr>
          <w:rFonts w:asciiTheme="minorHAnsi" w:hAnsiTheme="minorHAnsi" w:cstheme="minorHAnsi"/>
          <w:sz w:val="22"/>
          <w:szCs w:val="22"/>
          <w:lang w:val="en-GB"/>
        </w:rPr>
      </w:pPr>
      <w:r w:rsidRPr="00AE3ED1">
        <w:rPr>
          <w:rFonts w:asciiTheme="minorHAnsi" w:hAnsiTheme="minorHAnsi" w:cstheme="minorHAnsi"/>
          <w:sz w:val="22"/>
          <w:szCs w:val="22"/>
          <w:lang w:val="en-GB"/>
        </w:rPr>
        <w:t>The acceptability of donor organs that may pose an element of risk should be discussed with both the potential recipient and their carer at the time of wait listing, rather than at the time of the organ offer. This allows for an informed consent without the time pressures associated with the organ offer process. This conversation should introduce the idea and discuss the risks and acceptability of organs from extended criteria donors. For example, the introduction of new and safe antiviral therapy for Hepatitis C infections now permits the possible use of an organ from a Hepatitis C infected donor into a recipient without Hepatitis C infection. This discussion is critical so that each person can consider their options and ultimately provide informed consent if they choose to proceed.</w:t>
      </w:r>
    </w:p>
    <w:p w14:paraId="7BC86EA6" w14:textId="77777777" w:rsidR="00C30067" w:rsidRDefault="00C30067" w:rsidP="00C30067">
      <w:pPr>
        <w:tabs>
          <w:tab w:val="num" w:pos="720"/>
        </w:tabs>
        <w:spacing w:before="240"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Summary of key findings</w:t>
      </w:r>
    </w:p>
    <w:p w14:paraId="5349DA8D" w14:textId="53B85BE7" w:rsidR="00CB7AAB" w:rsidRPr="006E4B2A" w:rsidRDefault="00CB7AAB" w:rsidP="00C30067">
      <w:pPr>
        <w:numPr>
          <w:ilvl w:val="0"/>
          <w:numId w:val="18"/>
        </w:numPr>
        <w:spacing w:after="120"/>
        <w:ind w:left="357" w:hanging="357"/>
        <w:rPr>
          <w:rFonts w:asciiTheme="minorHAnsi" w:hAnsiTheme="minorHAnsi" w:cstheme="minorHAnsi"/>
          <w:sz w:val="24"/>
          <w:szCs w:val="22"/>
          <w:lang w:val="en-GB"/>
        </w:rPr>
      </w:pPr>
      <w:r w:rsidRPr="006E4B2A">
        <w:rPr>
          <w:rFonts w:asciiTheme="minorHAnsi" w:hAnsiTheme="minorHAnsi" w:cstheme="minorHAnsi"/>
          <w:sz w:val="24"/>
          <w:szCs w:val="22"/>
          <w:lang w:val="en-GB"/>
        </w:rPr>
        <w:t xml:space="preserve">A potential recipient’s visibility and oversight of their position or rank on the waiting list is currently </w:t>
      </w:r>
      <w:r w:rsidRPr="00EF2596">
        <w:rPr>
          <w:rFonts w:asciiTheme="minorHAnsi" w:hAnsiTheme="minorHAnsi" w:cstheme="minorHAnsi"/>
          <w:sz w:val="24"/>
          <w:szCs w:val="22"/>
          <w:lang w:val="en-GB"/>
        </w:rPr>
        <w:t>limited</w:t>
      </w:r>
      <w:r w:rsidR="005912F1">
        <w:rPr>
          <w:rFonts w:asciiTheme="minorHAnsi" w:hAnsiTheme="minorHAnsi" w:cstheme="minorHAnsi"/>
          <w:sz w:val="24"/>
          <w:szCs w:val="22"/>
          <w:lang w:val="en-GB"/>
        </w:rPr>
        <w:t>. H</w:t>
      </w:r>
      <w:r w:rsidRPr="00EF2596">
        <w:rPr>
          <w:rFonts w:asciiTheme="minorHAnsi" w:hAnsiTheme="minorHAnsi" w:cstheme="minorHAnsi"/>
          <w:sz w:val="24"/>
          <w:szCs w:val="22"/>
          <w:lang w:val="en-GB"/>
        </w:rPr>
        <w:t>owever,</w:t>
      </w:r>
      <w:r w:rsidR="005912F1">
        <w:rPr>
          <w:rFonts w:asciiTheme="minorHAnsi" w:hAnsiTheme="minorHAnsi" w:cstheme="minorHAnsi"/>
          <w:sz w:val="24"/>
          <w:szCs w:val="22"/>
          <w:lang w:val="en-GB"/>
        </w:rPr>
        <w:t xml:space="preserve"> this</w:t>
      </w:r>
      <w:r w:rsidRPr="00EF2596">
        <w:rPr>
          <w:rFonts w:asciiTheme="minorHAnsi" w:hAnsiTheme="minorHAnsi" w:cstheme="minorHAnsi"/>
          <w:sz w:val="24"/>
          <w:szCs w:val="22"/>
          <w:lang w:val="en-GB"/>
        </w:rPr>
        <w:t xml:space="preserve"> is likely to be improved as </w:t>
      </w:r>
      <w:r w:rsidR="005912F1">
        <w:rPr>
          <w:rFonts w:asciiTheme="minorHAnsi" w:hAnsiTheme="minorHAnsi" w:cstheme="minorHAnsi"/>
          <w:sz w:val="24"/>
          <w:szCs w:val="22"/>
          <w:lang w:val="en-GB"/>
        </w:rPr>
        <w:t>planned strategies and systems</w:t>
      </w:r>
      <w:r w:rsidRPr="00EF2596">
        <w:rPr>
          <w:rFonts w:asciiTheme="minorHAnsi" w:hAnsiTheme="minorHAnsi" w:cstheme="minorHAnsi"/>
          <w:sz w:val="24"/>
          <w:szCs w:val="22"/>
          <w:lang w:val="en-GB"/>
        </w:rPr>
        <w:t xml:space="preserve"> are implemented.</w:t>
      </w:r>
    </w:p>
    <w:p w14:paraId="535243FD" w14:textId="69426915" w:rsidR="007C1C9B" w:rsidRDefault="00C30067" w:rsidP="00C30067">
      <w:pPr>
        <w:numPr>
          <w:ilvl w:val="0"/>
          <w:numId w:val="18"/>
        </w:numPr>
        <w:spacing w:after="120"/>
        <w:ind w:left="357" w:hanging="357"/>
        <w:rPr>
          <w:rFonts w:asciiTheme="minorHAnsi" w:hAnsiTheme="minorHAnsi" w:cstheme="minorHAnsi"/>
          <w:sz w:val="24"/>
          <w:szCs w:val="22"/>
          <w:lang w:val="en-GB"/>
        </w:rPr>
      </w:pPr>
      <w:r>
        <w:rPr>
          <w:rFonts w:asciiTheme="minorHAnsi" w:hAnsiTheme="minorHAnsi" w:cstheme="minorHAnsi"/>
          <w:sz w:val="24"/>
          <w:szCs w:val="22"/>
          <w:lang w:val="en-GB"/>
        </w:rPr>
        <w:t>There is currently no consistent approach to the education and consent of patients across Australia.</w:t>
      </w:r>
      <w:r w:rsidR="007C1C9B">
        <w:rPr>
          <w:rFonts w:asciiTheme="minorHAnsi" w:hAnsiTheme="minorHAnsi" w:cstheme="minorHAnsi"/>
          <w:sz w:val="24"/>
          <w:szCs w:val="22"/>
          <w:lang w:val="en-GB"/>
        </w:rPr>
        <w:br w:type="page"/>
      </w:r>
    </w:p>
    <w:p w14:paraId="06096FF0" w14:textId="77777777" w:rsidR="00FC0683" w:rsidRDefault="00C30067" w:rsidP="00C30067">
      <w:pPr>
        <w:tabs>
          <w:tab w:val="num" w:pos="720"/>
        </w:tabs>
        <w:spacing w:before="240" w:after="120"/>
        <w:rPr>
          <w:rFonts w:asciiTheme="minorHAnsi" w:hAnsiTheme="minorHAnsi" w:cstheme="minorHAnsi"/>
          <w:i/>
          <w:color w:val="808080" w:themeColor="background1" w:themeShade="80"/>
          <w:sz w:val="26"/>
          <w:szCs w:val="26"/>
        </w:rPr>
      </w:pPr>
      <w:r w:rsidRPr="00AD321E">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sixteen is that the OTA through the TSANZ review the information provided to all potential recipients of organ transplantation to improve the understanding of the range of options that may arise if suitable donated organs are identified."/>
      </w:tblPr>
      <w:tblGrid>
        <w:gridCol w:w="2268"/>
        <w:gridCol w:w="7479"/>
      </w:tblGrid>
      <w:tr w:rsidR="00FC0683" w:rsidRPr="00BC331F" w14:paraId="30326CDC" w14:textId="77777777" w:rsidTr="007135E8">
        <w:trPr>
          <w:tblHeader/>
        </w:trPr>
        <w:tc>
          <w:tcPr>
            <w:tcW w:w="2268" w:type="dxa"/>
            <w:shd w:val="clear" w:color="auto" w:fill="595959" w:themeFill="text1" w:themeFillTint="A6"/>
          </w:tcPr>
          <w:p w14:paraId="2D48A119" w14:textId="77777777" w:rsidR="00FC0683" w:rsidRPr="00BC331F" w:rsidRDefault="00FC0683" w:rsidP="007135E8">
            <w:pPr>
              <w:spacing w:after="120"/>
              <w:rPr>
                <w:rFonts w:asciiTheme="minorHAnsi" w:hAnsiTheme="minorHAnsi" w:cstheme="minorHAnsi"/>
                <w:b/>
                <w:color w:val="FFFFFF" w:themeColor="background1"/>
                <w:sz w:val="24"/>
                <w:szCs w:val="22"/>
                <w:lang w:val="en-GB"/>
              </w:rPr>
            </w:pPr>
            <w:r w:rsidRPr="00BC331F">
              <w:rPr>
                <w:rFonts w:asciiTheme="minorHAnsi" w:hAnsiTheme="minorHAnsi" w:cstheme="minorHAnsi"/>
                <w:b/>
                <w:color w:val="FFFFFF" w:themeColor="background1"/>
                <w:sz w:val="24"/>
                <w:szCs w:val="22"/>
                <w:lang w:val="en-GB"/>
              </w:rPr>
              <w:t>Recommendation</w:t>
            </w:r>
          </w:p>
        </w:tc>
        <w:tc>
          <w:tcPr>
            <w:tcW w:w="7479" w:type="dxa"/>
            <w:shd w:val="clear" w:color="auto" w:fill="595959" w:themeFill="text1" w:themeFillTint="A6"/>
          </w:tcPr>
          <w:p w14:paraId="56590570" w14:textId="77777777" w:rsidR="00FC0683" w:rsidRPr="00BC331F" w:rsidRDefault="00FC0683" w:rsidP="007135E8">
            <w:pPr>
              <w:spacing w:after="120"/>
              <w:rPr>
                <w:rFonts w:asciiTheme="minorHAnsi" w:hAnsiTheme="minorHAnsi" w:cstheme="minorHAnsi"/>
                <w:b/>
                <w:color w:val="FFFFFF" w:themeColor="background1"/>
                <w:sz w:val="24"/>
                <w:szCs w:val="22"/>
                <w:lang w:val="en-GB"/>
              </w:rPr>
            </w:pPr>
            <w:r w:rsidRPr="00BC331F">
              <w:rPr>
                <w:rFonts w:asciiTheme="minorHAnsi" w:hAnsiTheme="minorHAnsi" w:cstheme="minorHAnsi"/>
                <w:b/>
                <w:color w:val="FFFFFF" w:themeColor="background1"/>
                <w:sz w:val="24"/>
                <w:szCs w:val="22"/>
                <w:lang w:val="en-GB"/>
              </w:rPr>
              <w:t>Description</w:t>
            </w:r>
          </w:p>
        </w:tc>
      </w:tr>
      <w:tr w:rsidR="00FC0683" w:rsidRPr="00545923" w14:paraId="18281332" w14:textId="77777777" w:rsidTr="007135E8">
        <w:tc>
          <w:tcPr>
            <w:tcW w:w="2268" w:type="dxa"/>
          </w:tcPr>
          <w:p w14:paraId="1986FF3A" w14:textId="69062727" w:rsidR="00FC0683" w:rsidRPr="00F37D51" w:rsidRDefault="00FC0683" w:rsidP="00FC0683">
            <w:pPr>
              <w:spacing w:after="120"/>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Pr>
                <w:rFonts w:asciiTheme="minorHAnsi" w:hAnsiTheme="minorHAnsi" w:cstheme="minorHAnsi"/>
                <w:b/>
                <w:sz w:val="24"/>
                <w:szCs w:val="22"/>
                <w:lang w:val="en-GB"/>
              </w:rPr>
              <w:t>16</w:t>
            </w:r>
          </w:p>
        </w:tc>
        <w:tc>
          <w:tcPr>
            <w:tcW w:w="7479" w:type="dxa"/>
          </w:tcPr>
          <w:p w14:paraId="6AFA1C99" w14:textId="2C18F775" w:rsidR="00FC0683" w:rsidRPr="00545923" w:rsidRDefault="00FC0683" w:rsidP="00FC0683">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The OTA </w:t>
            </w:r>
            <w:r w:rsidRPr="00545923">
              <w:rPr>
                <w:rFonts w:asciiTheme="minorHAnsi" w:hAnsiTheme="minorHAnsi" w:cstheme="minorHAnsi"/>
                <w:sz w:val="24"/>
                <w:szCs w:val="22"/>
                <w:lang w:val="en-GB"/>
              </w:rPr>
              <w:t>through the TSANZ</w:t>
            </w:r>
            <w:r>
              <w:rPr>
                <w:rFonts w:asciiTheme="minorHAnsi" w:hAnsiTheme="minorHAnsi" w:cstheme="minorHAnsi"/>
                <w:sz w:val="24"/>
                <w:szCs w:val="22"/>
                <w:lang w:val="en-GB"/>
              </w:rPr>
              <w:t xml:space="preserve"> review the information provided to all potential recipients of organ transplantation to improve the understanding of the range of options that may arise if suitable donated organs are identified.</w:t>
            </w:r>
          </w:p>
        </w:tc>
      </w:tr>
    </w:tbl>
    <w:p w14:paraId="570B1655" w14:textId="77777777" w:rsidR="00C30067" w:rsidRDefault="00C30067" w:rsidP="00C30067">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616" w:name="_Toc532301694"/>
      <w:r>
        <w:rPr>
          <w:rFonts w:asciiTheme="minorHAnsi" w:hAnsiTheme="minorHAnsi" w:cstheme="minorHAnsi"/>
          <w:iCs/>
          <w:color w:val="7F7F7F" w:themeColor="text1" w:themeTint="80"/>
          <w:sz w:val="36"/>
          <w:szCs w:val="30"/>
        </w:rPr>
        <w:t>Element 2: Deceased</w:t>
      </w:r>
      <w:r w:rsidR="00793E35">
        <w:rPr>
          <w:rFonts w:asciiTheme="minorHAnsi" w:hAnsiTheme="minorHAnsi" w:cstheme="minorHAnsi"/>
          <w:iCs/>
          <w:color w:val="7F7F7F" w:themeColor="text1" w:themeTint="80"/>
          <w:sz w:val="36"/>
          <w:szCs w:val="30"/>
        </w:rPr>
        <w:t xml:space="preserve"> donor organ</w:t>
      </w:r>
      <w:r>
        <w:rPr>
          <w:rFonts w:asciiTheme="minorHAnsi" w:hAnsiTheme="minorHAnsi" w:cstheme="minorHAnsi"/>
          <w:iCs/>
          <w:color w:val="7F7F7F" w:themeColor="text1" w:themeTint="80"/>
          <w:sz w:val="36"/>
          <w:szCs w:val="30"/>
        </w:rPr>
        <w:t xml:space="preserve"> donation</w:t>
      </w:r>
      <w:bookmarkEnd w:id="616"/>
    </w:p>
    <w:p w14:paraId="5F649D2F" w14:textId="77777777" w:rsidR="00A13F59" w:rsidRDefault="00A13F59" w:rsidP="00A13F59">
      <w:pPr>
        <w:spacing w:after="120"/>
        <w:rPr>
          <w:rFonts w:asciiTheme="minorHAnsi" w:hAnsiTheme="minorHAnsi" w:cstheme="minorHAnsi"/>
          <w:sz w:val="24"/>
          <w:szCs w:val="22"/>
          <w:lang w:val="en-GB"/>
        </w:rPr>
      </w:pPr>
      <w:r>
        <w:rPr>
          <w:rFonts w:asciiTheme="minorHAnsi" w:hAnsiTheme="minorHAnsi" w:cstheme="minorHAnsi"/>
          <w:sz w:val="24"/>
          <w:szCs w:val="22"/>
          <w:lang w:val="en-GB"/>
        </w:rPr>
        <w:t>For element 2, the findings of the Review relate to:</w:t>
      </w:r>
    </w:p>
    <w:p w14:paraId="31EEF9E7" w14:textId="77777777" w:rsidR="00A13F59" w:rsidRDefault="00A13F59" w:rsidP="00A13F59">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 xml:space="preserve">Australia’s organ donation performance </w:t>
      </w:r>
      <w:r w:rsidRPr="00937DEE">
        <w:rPr>
          <w:rFonts w:asciiTheme="minorHAnsi" w:hAnsiTheme="minorHAnsi" w:cstheme="minorHAnsi"/>
          <w:sz w:val="24"/>
          <w:szCs w:val="22"/>
          <w:lang w:val="en-GB"/>
        </w:rPr>
        <w:t>(Section</w:t>
      </w:r>
      <w:r w:rsidR="00AD0DDA">
        <w:rPr>
          <w:rFonts w:asciiTheme="minorHAnsi" w:hAnsiTheme="minorHAnsi" w:cstheme="minorHAnsi"/>
          <w:sz w:val="24"/>
          <w:szCs w:val="22"/>
          <w:lang w:val="en-GB"/>
        </w:rPr>
        <w:t xml:space="preserve"> </w:t>
      </w:r>
      <w:r w:rsidR="00942415">
        <w:rPr>
          <w:rFonts w:asciiTheme="minorHAnsi" w:hAnsiTheme="minorHAnsi" w:cstheme="minorHAnsi"/>
          <w:sz w:val="24"/>
          <w:szCs w:val="22"/>
          <w:lang w:val="en-GB"/>
        </w:rPr>
        <w:fldChar w:fldCharType="begin"/>
      </w:r>
      <w:r w:rsidR="00942415">
        <w:rPr>
          <w:rFonts w:asciiTheme="minorHAnsi" w:hAnsiTheme="minorHAnsi" w:cstheme="minorHAnsi"/>
          <w:sz w:val="24"/>
          <w:szCs w:val="22"/>
          <w:lang w:val="en-GB"/>
        </w:rPr>
        <w:instrText xml:space="preserve"> REF _Ref527625815 \r \h </w:instrText>
      </w:r>
      <w:r w:rsidR="00942415">
        <w:rPr>
          <w:rFonts w:asciiTheme="minorHAnsi" w:hAnsiTheme="minorHAnsi" w:cstheme="minorHAnsi"/>
          <w:sz w:val="24"/>
          <w:szCs w:val="22"/>
          <w:lang w:val="en-GB"/>
        </w:rPr>
      </w:r>
      <w:r w:rsidR="00942415">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6.2.1</w:t>
      </w:r>
      <w:r w:rsidR="00942415">
        <w:rPr>
          <w:rFonts w:asciiTheme="minorHAnsi" w:hAnsiTheme="minorHAnsi" w:cstheme="minorHAnsi"/>
          <w:sz w:val="24"/>
          <w:szCs w:val="22"/>
          <w:lang w:val="en-GB"/>
        </w:rPr>
        <w:fldChar w:fldCharType="end"/>
      </w:r>
      <w:r w:rsidRPr="00937DEE">
        <w:rPr>
          <w:rFonts w:asciiTheme="minorHAnsi" w:hAnsiTheme="minorHAnsi" w:cstheme="minorHAnsi"/>
          <w:sz w:val="24"/>
          <w:szCs w:val="22"/>
          <w:lang w:val="en-GB"/>
        </w:rPr>
        <w:t>)</w:t>
      </w:r>
    </w:p>
    <w:p w14:paraId="37F5E6FD" w14:textId="77777777" w:rsidR="00A13F59" w:rsidRDefault="00A13F59" w:rsidP="00A13F59">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 xml:space="preserve">Projected organ donation performance </w:t>
      </w:r>
      <w:r w:rsidRPr="00937DEE">
        <w:rPr>
          <w:rFonts w:asciiTheme="minorHAnsi" w:hAnsiTheme="minorHAnsi" w:cstheme="minorHAnsi"/>
          <w:sz w:val="24"/>
          <w:szCs w:val="22"/>
          <w:lang w:val="en-GB"/>
        </w:rPr>
        <w:t>(Section</w:t>
      </w:r>
      <w:r w:rsidR="00AD0DDA">
        <w:rPr>
          <w:rFonts w:asciiTheme="minorHAnsi" w:hAnsiTheme="minorHAnsi" w:cstheme="minorHAnsi"/>
          <w:sz w:val="24"/>
          <w:szCs w:val="22"/>
          <w:lang w:val="en-GB"/>
        </w:rPr>
        <w:t xml:space="preserve"> </w:t>
      </w:r>
      <w:r w:rsidR="00942415">
        <w:rPr>
          <w:rFonts w:asciiTheme="minorHAnsi" w:hAnsiTheme="minorHAnsi" w:cstheme="minorHAnsi"/>
          <w:sz w:val="24"/>
          <w:szCs w:val="22"/>
          <w:lang w:val="en-GB"/>
        </w:rPr>
        <w:fldChar w:fldCharType="begin"/>
      </w:r>
      <w:r w:rsidR="00942415">
        <w:rPr>
          <w:rFonts w:asciiTheme="minorHAnsi" w:hAnsiTheme="minorHAnsi" w:cstheme="minorHAnsi"/>
          <w:sz w:val="24"/>
          <w:szCs w:val="22"/>
          <w:lang w:val="en-GB"/>
        </w:rPr>
        <w:instrText xml:space="preserve"> REF _Ref527625820 \r \h </w:instrText>
      </w:r>
      <w:r w:rsidR="00942415">
        <w:rPr>
          <w:rFonts w:asciiTheme="minorHAnsi" w:hAnsiTheme="minorHAnsi" w:cstheme="minorHAnsi"/>
          <w:sz w:val="24"/>
          <w:szCs w:val="22"/>
          <w:lang w:val="en-GB"/>
        </w:rPr>
      </w:r>
      <w:r w:rsidR="00942415">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6.2.2</w:t>
      </w:r>
      <w:r w:rsidR="00942415">
        <w:rPr>
          <w:rFonts w:asciiTheme="minorHAnsi" w:hAnsiTheme="minorHAnsi" w:cstheme="minorHAnsi"/>
          <w:sz w:val="24"/>
          <w:szCs w:val="22"/>
          <w:lang w:val="en-GB"/>
        </w:rPr>
        <w:fldChar w:fldCharType="end"/>
      </w:r>
      <w:r w:rsidRPr="00937DEE">
        <w:rPr>
          <w:rFonts w:asciiTheme="minorHAnsi" w:hAnsiTheme="minorHAnsi" w:cstheme="minorHAnsi"/>
          <w:sz w:val="24"/>
          <w:szCs w:val="22"/>
          <w:lang w:val="en-GB"/>
        </w:rPr>
        <w:t>)</w:t>
      </w:r>
    </w:p>
    <w:p w14:paraId="6FAB4A1B" w14:textId="77777777" w:rsidR="00A13F59" w:rsidRDefault="00A13F59" w:rsidP="00A13F59">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 xml:space="preserve">Aboriginal and Torres Strait Islander and non-European donation rates </w:t>
      </w:r>
      <w:r w:rsidRPr="00937DEE">
        <w:rPr>
          <w:rFonts w:asciiTheme="minorHAnsi" w:hAnsiTheme="minorHAnsi" w:cstheme="minorHAnsi"/>
          <w:sz w:val="24"/>
          <w:szCs w:val="22"/>
          <w:lang w:val="en-GB"/>
        </w:rPr>
        <w:t>(Section</w:t>
      </w:r>
      <w:r w:rsidR="00AD0DDA">
        <w:rPr>
          <w:rFonts w:asciiTheme="minorHAnsi" w:hAnsiTheme="minorHAnsi" w:cstheme="minorHAnsi"/>
          <w:sz w:val="24"/>
          <w:szCs w:val="22"/>
          <w:lang w:val="en-GB"/>
        </w:rPr>
        <w:t xml:space="preserve"> </w:t>
      </w:r>
      <w:r w:rsidR="00942415">
        <w:rPr>
          <w:rFonts w:asciiTheme="minorHAnsi" w:hAnsiTheme="minorHAnsi" w:cstheme="minorHAnsi"/>
          <w:sz w:val="24"/>
          <w:szCs w:val="22"/>
          <w:lang w:val="en-GB"/>
        </w:rPr>
        <w:fldChar w:fldCharType="begin"/>
      </w:r>
      <w:r w:rsidR="00942415">
        <w:rPr>
          <w:rFonts w:asciiTheme="minorHAnsi" w:hAnsiTheme="minorHAnsi" w:cstheme="minorHAnsi"/>
          <w:sz w:val="24"/>
          <w:szCs w:val="22"/>
          <w:lang w:val="en-GB"/>
        </w:rPr>
        <w:instrText xml:space="preserve"> REF _Ref527625825 \r \h </w:instrText>
      </w:r>
      <w:r w:rsidR="00942415">
        <w:rPr>
          <w:rFonts w:asciiTheme="minorHAnsi" w:hAnsiTheme="minorHAnsi" w:cstheme="minorHAnsi"/>
          <w:sz w:val="24"/>
          <w:szCs w:val="22"/>
          <w:lang w:val="en-GB"/>
        </w:rPr>
      </w:r>
      <w:r w:rsidR="00942415">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6.2.3</w:t>
      </w:r>
      <w:r w:rsidR="00942415">
        <w:rPr>
          <w:rFonts w:asciiTheme="minorHAnsi" w:hAnsiTheme="minorHAnsi" w:cstheme="minorHAnsi"/>
          <w:sz w:val="24"/>
          <w:szCs w:val="22"/>
          <w:lang w:val="en-GB"/>
        </w:rPr>
        <w:fldChar w:fldCharType="end"/>
      </w:r>
      <w:r w:rsidRPr="00937DEE">
        <w:rPr>
          <w:rFonts w:asciiTheme="minorHAnsi" w:hAnsiTheme="minorHAnsi" w:cstheme="minorHAnsi"/>
          <w:sz w:val="24"/>
          <w:szCs w:val="22"/>
          <w:lang w:val="en-GB"/>
        </w:rPr>
        <w:t>)</w:t>
      </w:r>
    </w:p>
    <w:p w14:paraId="1946D19E" w14:textId="77777777" w:rsidR="00A13F59" w:rsidRDefault="00A13F59" w:rsidP="00A13F59">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rPr>
        <w:t>Donor assessment and donated organ acceptance</w:t>
      </w:r>
      <w:r w:rsidRPr="00937DEE">
        <w:rPr>
          <w:rFonts w:asciiTheme="minorHAnsi" w:hAnsiTheme="minorHAnsi" w:cstheme="minorHAnsi"/>
          <w:sz w:val="24"/>
          <w:szCs w:val="22"/>
        </w:rPr>
        <w:t xml:space="preserve"> </w:t>
      </w:r>
      <w:r w:rsidRPr="00937DEE">
        <w:rPr>
          <w:rFonts w:asciiTheme="minorHAnsi" w:hAnsiTheme="minorHAnsi" w:cstheme="minorHAnsi"/>
          <w:sz w:val="24"/>
          <w:szCs w:val="22"/>
          <w:lang w:val="en-GB"/>
        </w:rPr>
        <w:t>(Section</w:t>
      </w:r>
      <w:r w:rsidR="00AD0DDA">
        <w:rPr>
          <w:rFonts w:asciiTheme="minorHAnsi" w:hAnsiTheme="minorHAnsi" w:cstheme="minorHAnsi"/>
          <w:sz w:val="24"/>
          <w:szCs w:val="22"/>
          <w:lang w:val="en-GB"/>
        </w:rPr>
        <w:t xml:space="preserve"> </w:t>
      </w:r>
      <w:r w:rsidR="00942415">
        <w:rPr>
          <w:rFonts w:asciiTheme="minorHAnsi" w:hAnsiTheme="minorHAnsi" w:cstheme="minorHAnsi"/>
          <w:sz w:val="24"/>
          <w:szCs w:val="22"/>
          <w:lang w:val="en-GB"/>
        </w:rPr>
        <w:fldChar w:fldCharType="begin"/>
      </w:r>
      <w:r w:rsidR="00942415">
        <w:rPr>
          <w:rFonts w:asciiTheme="minorHAnsi" w:hAnsiTheme="minorHAnsi" w:cstheme="minorHAnsi"/>
          <w:sz w:val="24"/>
          <w:szCs w:val="22"/>
          <w:lang w:val="en-GB"/>
        </w:rPr>
        <w:instrText xml:space="preserve"> REF _Ref527625829 \r \h </w:instrText>
      </w:r>
      <w:r w:rsidR="00942415">
        <w:rPr>
          <w:rFonts w:asciiTheme="minorHAnsi" w:hAnsiTheme="minorHAnsi" w:cstheme="minorHAnsi"/>
          <w:sz w:val="24"/>
          <w:szCs w:val="22"/>
          <w:lang w:val="en-GB"/>
        </w:rPr>
      </w:r>
      <w:r w:rsidR="00942415">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6.2.4</w:t>
      </w:r>
      <w:r w:rsidR="00942415">
        <w:rPr>
          <w:rFonts w:asciiTheme="minorHAnsi" w:hAnsiTheme="minorHAnsi" w:cstheme="minorHAnsi"/>
          <w:sz w:val="24"/>
          <w:szCs w:val="22"/>
          <w:lang w:val="en-GB"/>
        </w:rPr>
        <w:fldChar w:fldCharType="end"/>
      </w:r>
      <w:r w:rsidRPr="00937DEE">
        <w:rPr>
          <w:rFonts w:asciiTheme="minorHAnsi" w:hAnsiTheme="minorHAnsi" w:cstheme="minorHAnsi"/>
          <w:sz w:val="24"/>
          <w:szCs w:val="22"/>
          <w:lang w:val="en-GB"/>
        </w:rPr>
        <w:t>)</w:t>
      </w:r>
    </w:p>
    <w:p w14:paraId="4CE44BC7" w14:textId="440BE61F" w:rsidR="00A13F59" w:rsidRDefault="00A13F59" w:rsidP="00A13F59">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The Australian Organ Donor Register (</w:t>
      </w:r>
      <w:r w:rsidRPr="00937DEE">
        <w:rPr>
          <w:rFonts w:asciiTheme="minorHAnsi" w:hAnsiTheme="minorHAnsi" w:cstheme="minorHAnsi"/>
          <w:sz w:val="24"/>
          <w:szCs w:val="22"/>
          <w:lang w:val="en-GB"/>
        </w:rPr>
        <w:t>Section</w:t>
      </w:r>
      <w:r w:rsidR="00FC0683">
        <w:rPr>
          <w:rFonts w:asciiTheme="minorHAnsi" w:hAnsiTheme="minorHAnsi" w:cstheme="minorHAnsi"/>
          <w:sz w:val="24"/>
          <w:szCs w:val="22"/>
          <w:lang w:val="en-GB"/>
        </w:rPr>
        <w:t xml:space="preserve"> 6.2.5</w:t>
      </w:r>
      <w:r w:rsidRPr="00937DEE">
        <w:rPr>
          <w:rFonts w:asciiTheme="minorHAnsi" w:hAnsiTheme="minorHAnsi" w:cstheme="minorHAnsi"/>
          <w:sz w:val="24"/>
          <w:szCs w:val="22"/>
          <w:lang w:val="en-GB"/>
        </w:rPr>
        <w:t>)</w:t>
      </w:r>
    </w:p>
    <w:p w14:paraId="6D3BDFAA" w14:textId="77777777" w:rsidR="00A13F59" w:rsidRPr="00937DEE" w:rsidRDefault="00A13F59" w:rsidP="00A13F59">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The Donor family experience (</w:t>
      </w:r>
      <w:r w:rsidRPr="00937DEE">
        <w:rPr>
          <w:rFonts w:asciiTheme="minorHAnsi" w:hAnsiTheme="minorHAnsi" w:cstheme="minorHAnsi"/>
          <w:sz w:val="24"/>
          <w:szCs w:val="22"/>
          <w:lang w:val="en-GB"/>
        </w:rPr>
        <w:t>Section</w:t>
      </w:r>
      <w:r w:rsidR="00AD0DDA">
        <w:rPr>
          <w:rFonts w:asciiTheme="minorHAnsi" w:hAnsiTheme="minorHAnsi" w:cstheme="minorHAnsi"/>
          <w:sz w:val="24"/>
          <w:szCs w:val="22"/>
          <w:lang w:val="en-GB"/>
        </w:rPr>
        <w:t xml:space="preserve"> </w:t>
      </w:r>
      <w:r w:rsidR="00942415">
        <w:rPr>
          <w:rFonts w:asciiTheme="minorHAnsi" w:hAnsiTheme="minorHAnsi" w:cstheme="minorHAnsi"/>
          <w:sz w:val="24"/>
          <w:szCs w:val="22"/>
          <w:lang w:val="en-GB"/>
        </w:rPr>
        <w:fldChar w:fldCharType="begin"/>
      </w:r>
      <w:r w:rsidR="00942415">
        <w:rPr>
          <w:rFonts w:asciiTheme="minorHAnsi" w:hAnsiTheme="minorHAnsi" w:cstheme="minorHAnsi"/>
          <w:sz w:val="24"/>
          <w:szCs w:val="22"/>
          <w:lang w:val="en-GB"/>
        </w:rPr>
        <w:instrText xml:space="preserve"> REF _Ref527625843 \r \h </w:instrText>
      </w:r>
      <w:r w:rsidR="00942415">
        <w:rPr>
          <w:rFonts w:asciiTheme="minorHAnsi" w:hAnsiTheme="minorHAnsi" w:cstheme="minorHAnsi"/>
          <w:sz w:val="24"/>
          <w:szCs w:val="22"/>
          <w:lang w:val="en-GB"/>
        </w:rPr>
      </w:r>
      <w:r w:rsidR="00942415">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6.2.6</w:t>
      </w:r>
      <w:r w:rsidR="00942415">
        <w:rPr>
          <w:rFonts w:asciiTheme="minorHAnsi" w:hAnsiTheme="minorHAnsi" w:cstheme="minorHAnsi"/>
          <w:sz w:val="24"/>
          <w:szCs w:val="22"/>
          <w:lang w:val="en-GB"/>
        </w:rPr>
        <w:fldChar w:fldCharType="end"/>
      </w:r>
      <w:r w:rsidRPr="00937DEE">
        <w:rPr>
          <w:rFonts w:asciiTheme="minorHAnsi" w:hAnsiTheme="minorHAnsi" w:cstheme="minorHAnsi"/>
          <w:sz w:val="24"/>
          <w:szCs w:val="22"/>
          <w:lang w:val="en-GB"/>
        </w:rPr>
        <w:t>)</w:t>
      </w:r>
      <w:r w:rsidR="009E1D7B">
        <w:rPr>
          <w:rFonts w:asciiTheme="minorHAnsi" w:hAnsiTheme="minorHAnsi" w:cstheme="minorHAnsi"/>
          <w:sz w:val="24"/>
          <w:szCs w:val="22"/>
          <w:lang w:val="en-GB"/>
        </w:rPr>
        <w:t>.</w:t>
      </w:r>
    </w:p>
    <w:p w14:paraId="2D007CD0" w14:textId="77777777" w:rsidR="00C30067" w:rsidRPr="00266A77" w:rsidRDefault="00C30067" w:rsidP="00C30067">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617" w:name="_Ref527625815"/>
      <w:r w:rsidRPr="00266A77">
        <w:rPr>
          <w:rFonts w:asciiTheme="minorHAnsi" w:hAnsiTheme="minorHAnsi" w:cstheme="minorHAnsi"/>
          <w:b w:val="0"/>
          <w:color w:val="7F7F7F" w:themeColor="text1" w:themeTint="80"/>
          <w:sz w:val="30"/>
          <w:szCs w:val="30"/>
        </w:rPr>
        <w:t xml:space="preserve">Australia’s </w:t>
      </w:r>
      <w:r>
        <w:rPr>
          <w:rFonts w:asciiTheme="minorHAnsi" w:hAnsiTheme="minorHAnsi" w:cstheme="minorHAnsi"/>
          <w:b w:val="0"/>
          <w:color w:val="7F7F7F" w:themeColor="text1" w:themeTint="80"/>
          <w:sz w:val="30"/>
          <w:szCs w:val="30"/>
        </w:rPr>
        <w:t>o</w:t>
      </w:r>
      <w:r w:rsidRPr="00266A77">
        <w:rPr>
          <w:rFonts w:asciiTheme="minorHAnsi" w:hAnsiTheme="minorHAnsi" w:cstheme="minorHAnsi"/>
          <w:b w:val="0"/>
          <w:color w:val="7F7F7F" w:themeColor="text1" w:themeTint="80"/>
          <w:sz w:val="30"/>
          <w:szCs w:val="30"/>
        </w:rPr>
        <w:t xml:space="preserve">rgan </w:t>
      </w:r>
      <w:r>
        <w:rPr>
          <w:rFonts w:asciiTheme="minorHAnsi" w:hAnsiTheme="minorHAnsi" w:cstheme="minorHAnsi"/>
          <w:b w:val="0"/>
          <w:color w:val="7F7F7F" w:themeColor="text1" w:themeTint="80"/>
          <w:sz w:val="30"/>
          <w:szCs w:val="30"/>
        </w:rPr>
        <w:t>d</w:t>
      </w:r>
      <w:r w:rsidRPr="00266A77">
        <w:rPr>
          <w:rFonts w:asciiTheme="minorHAnsi" w:hAnsiTheme="minorHAnsi" w:cstheme="minorHAnsi"/>
          <w:b w:val="0"/>
          <w:color w:val="7F7F7F" w:themeColor="text1" w:themeTint="80"/>
          <w:sz w:val="30"/>
          <w:szCs w:val="30"/>
        </w:rPr>
        <w:t xml:space="preserve">onation </w:t>
      </w:r>
      <w:r>
        <w:rPr>
          <w:rFonts w:asciiTheme="minorHAnsi" w:hAnsiTheme="minorHAnsi" w:cstheme="minorHAnsi"/>
          <w:b w:val="0"/>
          <w:color w:val="7F7F7F" w:themeColor="text1" w:themeTint="80"/>
          <w:sz w:val="30"/>
          <w:szCs w:val="30"/>
        </w:rPr>
        <w:t>p</w:t>
      </w:r>
      <w:r w:rsidRPr="00266A77">
        <w:rPr>
          <w:rFonts w:asciiTheme="minorHAnsi" w:hAnsiTheme="minorHAnsi" w:cstheme="minorHAnsi"/>
          <w:b w:val="0"/>
          <w:color w:val="7F7F7F" w:themeColor="text1" w:themeTint="80"/>
          <w:sz w:val="30"/>
          <w:szCs w:val="30"/>
        </w:rPr>
        <w:t>erformance</w:t>
      </w:r>
      <w:bookmarkEnd w:id="617"/>
      <w:r w:rsidRPr="00266A77">
        <w:rPr>
          <w:rFonts w:asciiTheme="minorHAnsi" w:hAnsiTheme="minorHAnsi" w:cstheme="minorHAnsi"/>
          <w:b w:val="0"/>
          <w:color w:val="7F7F7F" w:themeColor="text1" w:themeTint="80"/>
          <w:sz w:val="30"/>
          <w:szCs w:val="30"/>
        </w:rPr>
        <w:t xml:space="preserve"> </w:t>
      </w:r>
      <w:r w:rsidRPr="00266A77">
        <w:rPr>
          <w:rFonts w:asciiTheme="minorHAnsi" w:hAnsiTheme="minorHAnsi" w:cstheme="minorHAnsi"/>
          <w:b w:val="0"/>
          <w:color w:val="7F7F7F" w:themeColor="text1" w:themeTint="80"/>
          <w:sz w:val="30"/>
          <w:szCs w:val="30"/>
        </w:rPr>
        <w:tab/>
      </w:r>
    </w:p>
    <w:p w14:paraId="06C0FB60" w14:textId="77777777" w:rsidR="00C30067" w:rsidRPr="00266A77" w:rsidRDefault="00C30067" w:rsidP="00C30067">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Discussion of findings</w:t>
      </w:r>
    </w:p>
    <w:p w14:paraId="3478541D" w14:textId="77777777" w:rsidR="00C30067" w:rsidRDefault="00C30067" w:rsidP="00C30067">
      <w:pPr>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As described in </w:t>
      </w:r>
      <w:r w:rsidRPr="0010570C">
        <w:rPr>
          <w:rFonts w:asciiTheme="minorHAnsi" w:hAnsiTheme="minorHAnsi" w:cstheme="minorHAnsi"/>
          <w:sz w:val="24"/>
          <w:szCs w:val="22"/>
          <w:lang w:val="en-GB"/>
        </w:rPr>
        <w:t>Section</w:t>
      </w:r>
      <w:r w:rsidR="003259BB">
        <w:rPr>
          <w:rFonts w:asciiTheme="minorHAnsi" w:hAnsiTheme="minorHAnsi" w:cstheme="minorHAnsi"/>
          <w:sz w:val="24"/>
          <w:szCs w:val="22"/>
          <w:lang w:val="en-GB"/>
        </w:rPr>
        <w:t xml:space="preserve"> </w:t>
      </w:r>
      <w:r w:rsidR="00942415">
        <w:rPr>
          <w:rFonts w:asciiTheme="minorHAnsi" w:hAnsiTheme="minorHAnsi" w:cstheme="minorHAnsi"/>
          <w:sz w:val="24"/>
          <w:szCs w:val="22"/>
          <w:lang w:val="en-GB"/>
        </w:rPr>
        <w:fldChar w:fldCharType="begin"/>
      </w:r>
      <w:r w:rsidR="00942415">
        <w:rPr>
          <w:rFonts w:asciiTheme="minorHAnsi" w:hAnsiTheme="minorHAnsi" w:cstheme="minorHAnsi"/>
          <w:sz w:val="24"/>
          <w:szCs w:val="22"/>
          <w:lang w:val="en-GB"/>
        </w:rPr>
        <w:instrText xml:space="preserve"> REF _Ref531269991 \r \h </w:instrText>
      </w:r>
      <w:r w:rsidR="00942415">
        <w:rPr>
          <w:rFonts w:asciiTheme="minorHAnsi" w:hAnsiTheme="minorHAnsi" w:cstheme="minorHAnsi"/>
          <w:sz w:val="24"/>
          <w:szCs w:val="22"/>
          <w:lang w:val="en-GB"/>
        </w:rPr>
      </w:r>
      <w:r w:rsidR="00942415">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2.1</w:t>
      </w:r>
      <w:r w:rsidR="00942415">
        <w:rPr>
          <w:rFonts w:asciiTheme="minorHAnsi" w:hAnsiTheme="minorHAnsi" w:cstheme="minorHAnsi"/>
          <w:sz w:val="24"/>
          <w:szCs w:val="22"/>
          <w:lang w:val="en-GB"/>
        </w:rPr>
        <w:fldChar w:fldCharType="end"/>
      </w:r>
      <w:r w:rsidRPr="002F2CC0">
        <w:rPr>
          <w:rFonts w:asciiTheme="minorHAnsi" w:hAnsiTheme="minorHAnsi" w:cstheme="minorHAnsi"/>
          <w:sz w:val="24"/>
          <w:szCs w:val="22"/>
          <w:lang w:val="en-GB"/>
        </w:rPr>
        <w:t xml:space="preserve">, the Australian Government’s national reform program has aimed to </w:t>
      </w:r>
      <w:r w:rsidRPr="008C6050">
        <w:rPr>
          <w:rFonts w:asciiTheme="minorHAnsi" w:hAnsiTheme="minorHAnsi" w:cstheme="minorHAnsi"/>
          <w:sz w:val="24"/>
          <w:szCs w:val="22"/>
          <w:lang w:val="en-GB"/>
        </w:rPr>
        <w:t>establish a</w:t>
      </w:r>
      <w:r w:rsidRPr="000734A7">
        <w:rPr>
          <w:rFonts w:asciiTheme="minorHAnsi" w:hAnsiTheme="minorHAnsi" w:cstheme="minorHAnsi"/>
          <w:sz w:val="24"/>
          <w:szCs w:val="22"/>
          <w:lang w:val="en-GB"/>
        </w:rPr>
        <w:t xml:space="preserve"> world’s best</w:t>
      </w:r>
      <w:r w:rsidRPr="00F37D51">
        <w:rPr>
          <w:rFonts w:asciiTheme="minorHAnsi" w:hAnsiTheme="minorHAnsi" w:cstheme="minorHAnsi"/>
          <w:sz w:val="24"/>
          <w:szCs w:val="22"/>
          <w:lang w:val="en-GB"/>
        </w:rPr>
        <w:t xml:space="preserve"> practice approach for organ and tissue donation </w:t>
      </w:r>
      <w:r>
        <w:rPr>
          <w:rFonts w:asciiTheme="minorHAnsi" w:hAnsiTheme="minorHAnsi" w:cstheme="minorHAnsi"/>
          <w:sz w:val="24"/>
          <w:szCs w:val="22"/>
          <w:lang w:val="en-GB"/>
        </w:rPr>
        <w:t>for</w:t>
      </w:r>
      <w:r w:rsidRPr="00F37D51">
        <w:rPr>
          <w:rFonts w:asciiTheme="minorHAnsi" w:hAnsiTheme="minorHAnsi" w:cstheme="minorHAnsi"/>
          <w:sz w:val="24"/>
          <w:szCs w:val="22"/>
          <w:lang w:val="en-GB"/>
        </w:rPr>
        <w:t xml:space="preserve"> transplantation</w:t>
      </w:r>
      <w:r>
        <w:rPr>
          <w:rFonts w:asciiTheme="minorHAnsi" w:hAnsiTheme="minorHAnsi" w:cstheme="minorHAnsi"/>
          <w:sz w:val="24"/>
          <w:szCs w:val="22"/>
          <w:lang w:val="en-GB"/>
        </w:rPr>
        <w:t xml:space="preserve"> for Australia. T</w:t>
      </w:r>
      <w:r w:rsidRPr="00F37D51">
        <w:rPr>
          <w:rFonts w:asciiTheme="minorHAnsi" w:hAnsiTheme="minorHAnsi" w:cstheme="minorHAnsi"/>
          <w:sz w:val="24"/>
          <w:szCs w:val="22"/>
          <w:lang w:val="en-GB"/>
        </w:rPr>
        <w:t xml:space="preserve">he </w:t>
      </w:r>
      <w:r>
        <w:rPr>
          <w:rFonts w:asciiTheme="minorHAnsi" w:hAnsiTheme="minorHAnsi" w:cstheme="minorHAnsi"/>
          <w:sz w:val="24"/>
          <w:szCs w:val="22"/>
          <w:lang w:val="en-GB"/>
        </w:rPr>
        <w:t>progress</w:t>
      </w:r>
      <w:r w:rsidRPr="00F37D51">
        <w:rPr>
          <w:rFonts w:asciiTheme="minorHAnsi" w:hAnsiTheme="minorHAnsi" w:cstheme="minorHAnsi"/>
          <w:sz w:val="24"/>
          <w:szCs w:val="22"/>
          <w:lang w:val="en-GB"/>
        </w:rPr>
        <w:t xml:space="preserve"> of this reform, particularly </w:t>
      </w:r>
      <w:r>
        <w:rPr>
          <w:rFonts w:asciiTheme="minorHAnsi" w:hAnsiTheme="minorHAnsi" w:cstheme="minorHAnsi"/>
          <w:sz w:val="24"/>
          <w:szCs w:val="22"/>
          <w:lang w:val="en-GB"/>
        </w:rPr>
        <w:t>in</w:t>
      </w:r>
      <w:r w:rsidRPr="00F37D51">
        <w:rPr>
          <w:rFonts w:asciiTheme="minorHAnsi" w:hAnsiTheme="minorHAnsi" w:cstheme="minorHAnsi"/>
          <w:sz w:val="24"/>
          <w:szCs w:val="22"/>
          <w:lang w:val="en-GB"/>
        </w:rPr>
        <w:t xml:space="preserve"> donation rates</w:t>
      </w:r>
      <w:r>
        <w:rPr>
          <w:rFonts w:asciiTheme="minorHAnsi" w:hAnsiTheme="minorHAnsi" w:cstheme="minorHAnsi"/>
          <w:sz w:val="24"/>
          <w:szCs w:val="22"/>
          <w:lang w:val="en-GB"/>
        </w:rPr>
        <w:t>,</w:t>
      </w:r>
      <w:r w:rsidRPr="00F37D51">
        <w:rPr>
          <w:rFonts w:asciiTheme="minorHAnsi" w:hAnsiTheme="minorHAnsi" w:cstheme="minorHAnsi"/>
          <w:sz w:val="24"/>
          <w:szCs w:val="22"/>
          <w:lang w:val="en-GB"/>
        </w:rPr>
        <w:t xml:space="preserve"> was </w:t>
      </w:r>
      <w:r>
        <w:rPr>
          <w:rFonts w:asciiTheme="minorHAnsi" w:hAnsiTheme="minorHAnsi" w:cstheme="minorHAnsi"/>
          <w:sz w:val="24"/>
          <w:szCs w:val="22"/>
          <w:lang w:val="en-GB"/>
        </w:rPr>
        <w:t xml:space="preserve">initially </w:t>
      </w:r>
      <w:r w:rsidRPr="00F37D51">
        <w:rPr>
          <w:rFonts w:asciiTheme="minorHAnsi" w:hAnsiTheme="minorHAnsi" w:cstheme="minorHAnsi"/>
          <w:sz w:val="24"/>
          <w:szCs w:val="22"/>
          <w:lang w:val="en-GB"/>
        </w:rPr>
        <w:t xml:space="preserve">described in the </w:t>
      </w:r>
      <w:r>
        <w:rPr>
          <w:rFonts w:asciiTheme="minorHAnsi" w:hAnsiTheme="minorHAnsi" w:cstheme="minorHAnsi"/>
          <w:sz w:val="24"/>
          <w:szCs w:val="22"/>
          <w:lang w:val="en-GB"/>
        </w:rPr>
        <w:t>2015 Review.</w:t>
      </w:r>
      <w:r w:rsidRPr="0031386F">
        <w:rPr>
          <w:rStyle w:val="FootnoteReference"/>
          <w:rFonts w:asciiTheme="minorHAnsi" w:hAnsiTheme="minorHAnsi" w:cstheme="minorHAnsi"/>
          <w:sz w:val="20"/>
          <w:lang w:val="en-GB"/>
        </w:rPr>
        <w:footnoteReference w:id="103"/>
      </w:r>
      <w:r>
        <w:rPr>
          <w:rFonts w:asciiTheme="minorHAnsi" w:hAnsiTheme="minorHAnsi" w:cstheme="minorHAnsi"/>
          <w:sz w:val="24"/>
          <w:szCs w:val="22"/>
          <w:lang w:val="en-GB"/>
        </w:rPr>
        <w:t xml:space="preserve"> Through </w:t>
      </w:r>
      <w:r w:rsidR="00793E35">
        <w:rPr>
          <w:rFonts w:asciiTheme="minorHAnsi" w:hAnsiTheme="minorHAnsi" w:cstheme="minorHAnsi"/>
          <w:sz w:val="24"/>
          <w:szCs w:val="22"/>
          <w:lang w:val="en-GB"/>
        </w:rPr>
        <w:t xml:space="preserve">observing </w:t>
      </w:r>
      <w:r>
        <w:rPr>
          <w:rFonts w:asciiTheme="minorHAnsi" w:hAnsiTheme="minorHAnsi" w:cstheme="minorHAnsi"/>
          <w:sz w:val="24"/>
          <w:szCs w:val="22"/>
          <w:lang w:val="en-GB"/>
        </w:rPr>
        <w:t xml:space="preserve">best practice systems </w:t>
      </w:r>
      <w:r w:rsidR="00A13F59">
        <w:rPr>
          <w:rFonts w:asciiTheme="minorHAnsi" w:hAnsiTheme="minorHAnsi" w:cstheme="minorHAnsi"/>
          <w:sz w:val="24"/>
          <w:szCs w:val="22"/>
          <w:lang w:val="en-GB"/>
        </w:rPr>
        <w:t>(</w:t>
      </w:r>
      <w:r>
        <w:rPr>
          <w:rFonts w:asciiTheme="minorHAnsi" w:hAnsiTheme="minorHAnsi" w:cstheme="minorHAnsi"/>
          <w:sz w:val="24"/>
          <w:szCs w:val="22"/>
          <w:lang w:val="en-GB"/>
        </w:rPr>
        <w:t>such as Spain, Portugal and Croatia</w:t>
      </w:r>
      <w:r w:rsidR="00A13F59">
        <w:rPr>
          <w:rFonts w:asciiTheme="minorHAnsi" w:hAnsiTheme="minorHAnsi" w:cstheme="minorHAnsi"/>
          <w:sz w:val="24"/>
          <w:szCs w:val="22"/>
          <w:lang w:val="en-GB"/>
        </w:rPr>
        <w:t>)</w:t>
      </w:r>
      <w:r>
        <w:rPr>
          <w:rFonts w:asciiTheme="minorHAnsi" w:hAnsiTheme="minorHAnsi" w:cstheme="minorHAnsi"/>
          <w:sz w:val="24"/>
          <w:szCs w:val="22"/>
          <w:lang w:val="en-GB"/>
        </w:rPr>
        <w:t xml:space="preserve"> and implementing the key strategies and structures that have been demonstrated to influence donation rates, Australia has continued to experience growth in organ donation performance.</w:t>
      </w:r>
      <w:r w:rsidRPr="00F2569F">
        <w:rPr>
          <w:rStyle w:val="FootnoteReference"/>
          <w:rFonts w:asciiTheme="minorHAnsi" w:hAnsiTheme="minorHAnsi" w:cstheme="minorHAnsi"/>
          <w:szCs w:val="18"/>
          <w:lang w:val="en-GB"/>
        </w:rPr>
        <w:t xml:space="preserve"> </w:t>
      </w:r>
      <w:r w:rsidRPr="004938CA">
        <w:rPr>
          <w:rStyle w:val="FootnoteReference"/>
          <w:rFonts w:asciiTheme="minorHAnsi" w:hAnsiTheme="minorHAnsi" w:cstheme="minorHAnsi"/>
          <w:szCs w:val="18"/>
          <w:lang w:val="en-GB"/>
        </w:rPr>
        <w:footnoteReference w:id="104"/>
      </w:r>
      <w:r w:rsidRPr="004938CA">
        <w:rPr>
          <w:rFonts w:asciiTheme="minorHAnsi" w:hAnsiTheme="minorHAnsi" w:cstheme="minorHAnsi"/>
          <w:sz w:val="18"/>
          <w:szCs w:val="18"/>
          <w:lang w:val="en-GB"/>
        </w:rPr>
        <w:t xml:space="preserve"> </w:t>
      </w:r>
      <w:r>
        <w:rPr>
          <w:rFonts w:asciiTheme="minorHAnsi" w:hAnsiTheme="minorHAnsi" w:cstheme="minorHAnsi"/>
          <w:sz w:val="24"/>
          <w:szCs w:val="22"/>
          <w:lang w:val="en-GB"/>
        </w:rPr>
        <w:t xml:space="preserve"> </w:t>
      </w:r>
    </w:p>
    <w:p w14:paraId="073FA5E5" w14:textId="77777777" w:rsidR="00C30067" w:rsidRDefault="00C30067" w:rsidP="00C30067">
      <w:pPr>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Aust</w:t>
      </w:r>
      <w:r>
        <w:rPr>
          <w:rFonts w:asciiTheme="minorHAnsi" w:hAnsiTheme="minorHAnsi" w:cstheme="minorHAnsi"/>
          <w:sz w:val="24"/>
          <w:szCs w:val="22"/>
          <w:lang w:val="en-GB"/>
        </w:rPr>
        <w:t>ralia’s donation rate has continued to</w:t>
      </w:r>
      <w:r w:rsidRPr="00F37D51">
        <w:rPr>
          <w:rFonts w:asciiTheme="minorHAnsi" w:hAnsiTheme="minorHAnsi" w:cstheme="minorHAnsi"/>
          <w:sz w:val="24"/>
          <w:szCs w:val="22"/>
          <w:lang w:val="en-GB"/>
        </w:rPr>
        <w:t xml:space="preserve"> improve</w:t>
      </w:r>
      <w:r>
        <w:rPr>
          <w:rFonts w:asciiTheme="minorHAnsi" w:hAnsiTheme="minorHAnsi" w:cstheme="minorHAnsi"/>
          <w:sz w:val="24"/>
          <w:szCs w:val="22"/>
          <w:lang w:val="en-GB"/>
        </w:rPr>
        <w:t xml:space="preserve"> since the 2015 Review. There were 510 deceased organ donors in 2017</w:t>
      </w:r>
      <w:r w:rsidRPr="00F37D51">
        <w:rPr>
          <w:rFonts w:asciiTheme="minorHAnsi" w:hAnsiTheme="minorHAnsi" w:cstheme="minorHAnsi"/>
          <w:sz w:val="24"/>
          <w:szCs w:val="22"/>
          <w:lang w:val="en-GB"/>
        </w:rPr>
        <w:t xml:space="preserve">, </w:t>
      </w:r>
      <w:r>
        <w:rPr>
          <w:rFonts w:asciiTheme="minorHAnsi" w:hAnsiTheme="minorHAnsi" w:cstheme="minorHAnsi"/>
          <w:sz w:val="24"/>
          <w:szCs w:val="22"/>
          <w:lang w:val="en-GB"/>
        </w:rPr>
        <w:t>representing</w:t>
      </w:r>
      <w:r w:rsidRPr="00F37D51">
        <w:rPr>
          <w:rFonts w:asciiTheme="minorHAnsi" w:hAnsiTheme="minorHAnsi" w:cstheme="minorHAnsi"/>
          <w:sz w:val="24"/>
          <w:szCs w:val="22"/>
          <w:lang w:val="en-GB"/>
        </w:rPr>
        <w:t xml:space="preserve"> an increase of </w:t>
      </w:r>
      <w:r>
        <w:rPr>
          <w:rFonts w:asciiTheme="minorHAnsi" w:hAnsiTheme="minorHAnsi" w:cstheme="minorHAnsi"/>
          <w:sz w:val="24"/>
          <w:szCs w:val="22"/>
          <w:lang w:val="en-GB"/>
        </w:rPr>
        <w:t>17 per cent</w:t>
      </w:r>
      <w:r w:rsidRPr="00F37D51">
        <w:rPr>
          <w:rFonts w:asciiTheme="minorHAnsi" w:hAnsiTheme="minorHAnsi" w:cstheme="minorHAnsi"/>
          <w:sz w:val="24"/>
          <w:szCs w:val="22"/>
          <w:lang w:val="en-GB"/>
        </w:rPr>
        <w:t xml:space="preserve"> since 2015</w:t>
      </w:r>
      <w:r w:rsidRPr="004938CA">
        <w:rPr>
          <w:rFonts w:asciiTheme="minorHAnsi" w:hAnsiTheme="minorHAnsi" w:cstheme="minorHAnsi"/>
          <w:sz w:val="24"/>
          <w:szCs w:val="22"/>
          <w:lang w:val="en-GB"/>
        </w:rPr>
        <w:t>.</w:t>
      </w:r>
      <w:r w:rsidRPr="004938CA">
        <w:rPr>
          <w:rStyle w:val="FootnoteReference"/>
          <w:rFonts w:asciiTheme="minorHAnsi" w:hAnsiTheme="minorHAnsi" w:cstheme="minorHAnsi"/>
          <w:sz w:val="20"/>
          <w:lang w:val="en-GB"/>
        </w:rPr>
        <w:footnoteReference w:id="105"/>
      </w:r>
      <w:r w:rsidRPr="004938CA">
        <w:rPr>
          <w:rFonts w:asciiTheme="minorHAnsi" w:hAnsiTheme="minorHAnsi" w:cstheme="minorHAnsi"/>
          <w:sz w:val="24"/>
          <w:szCs w:val="22"/>
          <w:lang w:val="en-GB"/>
        </w:rPr>
        <w:t xml:space="preserve"> </w:t>
      </w:r>
      <w:r>
        <w:rPr>
          <w:rFonts w:asciiTheme="minorHAnsi" w:hAnsiTheme="minorHAnsi" w:cstheme="minorHAnsi"/>
          <w:sz w:val="24"/>
          <w:szCs w:val="22"/>
          <w:lang w:val="en-GB"/>
        </w:rPr>
        <w:t xml:space="preserve">Further, </w:t>
      </w:r>
      <w:r w:rsidRPr="004938CA">
        <w:rPr>
          <w:rFonts w:asciiTheme="minorHAnsi" w:hAnsiTheme="minorHAnsi" w:cstheme="minorHAnsi"/>
          <w:sz w:val="24"/>
          <w:szCs w:val="22"/>
          <w:lang w:val="en-GB"/>
        </w:rPr>
        <w:t>Australia’s rate of donation was 20.8 dpmp</w:t>
      </w:r>
      <w:r>
        <w:rPr>
          <w:rFonts w:asciiTheme="minorHAnsi" w:hAnsiTheme="minorHAnsi" w:cstheme="minorHAnsi"/>
          <w:sz w:val="24"/>
          <w:szCs w:val="22"/>
          <w:lang w:val="en-GB"/>
        </w:rPr>
        <w:t xml:space="preserve"> in 2017 (compared to the target of 25 dpmp in 2018). This represents a </w:t>
      </w:r>
      <w:r w:rsidRPr="004938CA">
        <w:rPr>
          <w:rFonts w:asciiTheme="minorHAnsi" w:hAnsiTheme="minorHAnsi" w:cstheme="minorHAnsi"/>
          <w:sz w:val="24"/>
          <w:szCs w:val="22"/>
          <w:lang w:val="en-GB"/>
        </w:rPr>
        <w:t>15 per cent growth</w:t>
      </w:r>
      <w:r>
        <w:rPr>
          <w:rFonts w:asciiTheme="minorHAnsi" w:hAnsiTheme="minorHAnsi" w:cstheme="minorHAnsi"/>
          <w:sz w:val="24"/>
          <w:szCs w:val="22"/>
          <w:lang w:val="en-GB"/>
        </w:rPr>
        <w:t xml:space="preserve"> </w:t>
      </w:r>
      <w:r w:rsidRPr="00105407">
        <w:rPr>
          <w:rFonts w:asciiTheme="minorHAnsi" w:hAnsiTheme="minorHAnsi" w:cstheme="minorHAnsi"/>
          <w:sz w:val="24"/>
          <w:szCs w:val="22"/>
          <w:lang w:val="en-GB"/>
        </w:rPr>
        <w:t>in dpmp</w:t>
      </w:r>
      <w:r w:rsidRPr="004938CA">
        <w:rPr>
          <w:rFonts w:asciiTheme="minorHAnsi" w:hAnsiTheme="minorHAnsi" w:cstheme="minorHAnsi"/>
          <w:sz w:val="24"/>
          <w:szCs w:val="22"/>
          <w:lang w:val="en-GB"/>
        </w:rPr>
        <w:t xml:space="preserve"> from 2015 and</w:t>
      </w:r>
      <w:r>
        <w:rPr>
          <w:rFonts w:asciiTheme="minorHAnsi" w:hAnsiTheme="minorHAnsi" w:cstheme="minorHAnsi"/>
          <w:sz w:val="24"/>
          <w:szCs w:val="22"/>
          <w:lang w:val="en-GB"/>
        </w:rPr>
        <w:t xml:space="preserve"> an</w:t>
      </w:r>
      <w:r w:rsidRPr="004938CA">
        <w:rPr>
          <w:rFonts w:asciiTheme="minorHAnsi" w:hAnsiTheme="minorHAnsi" w:cstheme="minorHAnsi"/>
          <w:sz w:val="24"/>
          <w:szCs w:val="22"/>
          <w:lang w:val="en-GB"/>
        </w:rPr>
        <w:t xml:space="preserve"> 82 per cent increase since 2009.</w:t>
      </w:r>
      <w:r w:rsidRPr="004938CA">
        <w:rPr>
          <w:rStyle w:val="FootnoteReference"/>
          <w:rFonts w:asciiTheme="minorHAnsi" w:hAnsiTheme="minorHAnsi" w:cstheme="minorHAnsi"/>
          <w:sz w:val="20"/>
          <w:lang w:val="en-GB"/>
        </w:rPr>
        <w:footnoteReference w:id="106"/>
      </w:r>
      <w:r w:rsidRPr="004938CA">
        <w:rPr>
          <w:rFonts w:asciiTheme="minorHAnsi" w:hAnsiTheme="minorHAnsi" w:cstheme="minorHAnsi"/>
          <w:sz w:val="24"/>
          <w:szCs w:val="22"/>
          <w:lang w:val="en-GB"/>
        </w:rPr>
        <w:t xml:space="preserve"> </w:t>
      </w:r>
    </w:p>
    <w:p w14:paraId="2FCBEF00" w14:textId="17880D07" w:rsidR="00C30067" w:rsidRPr="004938CA" w:rsidRDefault="00C30067" w:rsidP="00C30067">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The Review found that there </w:t>
      </w:r>
      <w:r w:rsidR="00B46F66">
        <w:rPr>
          <w:rFonts w:asciiTheme="minorHAnsi" w:hAnsiTheme="minorHAnsi" w:cstheme="minorHAnsi"/>
          <w:sz w:val="24"/>
          <w:szCs w:val="22"/>
          <w:lang w:val="en-GB"/>
        </w:rPr>
        <w:t>was</w:t>
      </w:r>
      <w:r>
        <w:rPr>
          <w:rFonts w:asciiTheme="minorHAnsi" w:hAnsiTheme="minorHAnsi" w:cstheme="minorHAnsi"/>
          <w:sz w:val="24"/>
          <w:szCs w:val="22"/>
          <w:lang w:val="en-GB"/>
        </w:rPr>
        <w:t xml:space="preserve"> a combination of factors that contributed to the improved donation rates over the past decade. This included strategies that aim to improve the utility of organs previously considered not medically suitable (see </w:t>
      </w:r>
      <w:r w:rsidRPr="0010570C">
        <w:rPr>
          <w:rFonts w:asciiTheme="minorHAnsi" w:hAnsiTheme="minorHAnsi" w:cstheme="minorHAnsi"/>
          <w:sz w:val="24"/>
          <w:szCs w:val="22"/>
          <w:lang w:val="en-GB"/>
        </w:rPr>
        <w:t>Section</w:t>
      </w:r>
      <w:r w:rsidR="00AD0DDA">
        <w:rPr>
          <w:rFonts w:asciiTheme="minorHAnsi" w:hAnsiTheme="minorHAnsi" w:cstheme="minorHAnsi"/>
          <w:sz w:val="24"/>
          <w:szCs w:val="22"/>
          <w:lang w:val="en-GB"/>
        </w:rPr>
        <w:t xml:space="preserve"> </w:t>
      </w:r>
      <w:r w:rsidR="00942415">
        <w:rPr>
          <w:rFonts w:asciiTheme="minorHAnsi" w:hAnsiTheme="minorHAnsi" w:cstheme="minorHAnsi"/>
          <w:sz w:val="24"/>
          <w:szCs w:val="22"/>
          <w:lang w:val="en-GB"/>
        </w:rPr>
        <w:fldChar w:fldCharType="begin"/>
      </w:r>
      <w:r w:rsidR="00942415">
        <w:rPr>
          <w:rFonts w:asciiTheme="minorHAnsi" w:hAnsiTheme="minorHAnsi" w:cstheme="minorHAnsi"/>
          <w:sz w:val="24"/>
          <w:szCs w:val="22"/>
          <w:lang w:val="en-GB"/>
        </w:rPr>
        <w:instrText xml:space="preserve"> REF _Ref527625815 \r \h </w:instrText>
      </w:r>
      <w:r w:rsidR="00942415">
        <w:rPr>
          <w:rFonts w:asciiTheme="minorHAnsi" w:hAnsiTheme="minorHAnsi" w:cstheme="minorHAnsi"/>
          <w:sz w:val="24"/>
          <w:szCs w:val="22"/>
          <w:lang w:val="en-GB"/>
        </w:rPr>
      </w:r>
      <w:r w:rsidR="00942415">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6.2.1</w:t>
      </w:r>
      <w:r w:rsidR="00942415">
        <w:rPr>
          <w:rFonts w:asciiTheme="minorHAnsi" w:hAnsiTheme="minorHAnsi" w:cstheme="minorHAnsi"/>
          <w:sz w:val="24"/>
          <w:szCs w:val="22"/>
          <w:lang w:val="en-GB"/>
        </w:rPr>
        <w:fldChar w:fldCharType="end"/>
      </w:r>
      <w:r>
        <w:rPr>
          <w:rFonts w:asciiTheme="minorHAnsi" w:hAnsiTheme="minorHAnsi" w:cstheme="minorHAnsi"/>
          <w:sz w:val="24"/>
          <w:szCs w:val="22"/>
          <w:lang w:val="en-GB"/>
        </w:rPr>
        <w:t xml:space="preserve">) and improved efficiency and effectiveness of the donation process. However, Australia still lags behind other countries in donation performance, as outlined in </w:t>
      </w:r>
      <w:r w:rsidR="000F6B35">
        <w:rPr>
          <w:rFonts w:asciiTheme="minorHAnsi" w:hAnsiTheme="minorHAnsi" w:cstheme="minorHAnsi"/>
          <w:sz w:val="24"/>
          <w:szCs w:val="22"/>
          <w:lang w:val="en-GB"/>
        </w:rPr>
        <w:fldChar w:fldCharType="begin"/>
      </w:r>
      <w:r w:rsidR="000F6B35">
        <w:rPr>
          <w:rFonts w:asciiTheme="minorHAnsi" w:hAnsiTheme="minorHAnsi" w:cstheme="minorHAnsi"/>
          <w:sz w:val="24"/>
          <w:szCs w:val="22"/>
          <w:lang w:val="en-GB"/>
        </w:rPr>
        <w:instrText xml:space="preserve"> REF _Ref527639713 \h  \* MERGEFORMAT </w:instrText>
      </w:r>
      <w:r w:rsidR="000F6B35">
        <w:rPr>
          <w:rFonts w:asciiTheme="minorHAnsi" w:hAnsiTheme="minorHAnsi" w:cstheme="minorHAnsi"/>
          <w:sz w:val="24"/>
          <w:szCs w:val="22"/>
          <w:lang w:val="en-GB"/>
        </w:rPr>
      </w:r>
      <w:r w:rsidR="000F6B35">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Figure 17</w:t>
      </w:r>
      <w:r w:rsidR="000F6B35">
        <w:rPr>
          <w:rFonts w:asciiTheme="minorHAnsi" w:hAnsiTheme="minorHAnsi" w:cstheme="minorHAnsi"/>
          <w:sz w:val="24"/>
          <w:szCs w:val="22"/>
          <w:lang w:val="en-GB"/>
        </w:rPr>
        <w:fldChar w:fldCharType="end"/>
      </w:r>
      <w:r>
        <w:rPr>
          <w:rFonts w:asciiTheme="minorHAnsi" w:hAnsiTheme="minorHAnsi" w:cstheme="minorHAnsi"/>
          <w:sz w:val="24"/>
          <w:szCs w:val="22"/>
          <w:lang w:val="en-GB"/>
        </w:rPr>
        <w:t xml:space="preserve">. </w:t>
      </w:r>
    </w:p>
    <w:p w14:paraId="3D9C9E4E" w14:textId="77777777" w:rsidR="00C30067" w:rsidRPr="005F5BB1" w:rsidRDefault="00C30067" w:rsidP="00C30067">
      <w:pPr>
        <w:pStyle w:val="Caption"/>
        <w:keepNext/>
        <w:widowControl/>
        <w:spacing w:after="120"/>
        <w:rPr>
          <w:rFonts w:asciiTheme="minorHAnsi" w:hAnsiTheme="minorHAnsi" w:cstheme="minorHAnsi"/>
          <w:b w:val="0"/>
          <w:color w:val="808080"/>
          <w:sz w:val="20"/>
        </w:rPr>
      </w:pPr>
      <w:bookmarkStart w:id="618" w:name="_Ref527639713"/>
      <w:bookmarkStart w:id="619" w:name="_Ref527625945"/>
      <w:r w:rsidRPr="005F5BB1">
        <w:rPr>
          <w:rFonts w:asciiTheme="minorHAnsi" w:hAnsiTheme="minorHAnsi" w:cstheme="minorHAnsi"/>
          <w:b w:val="0"/>
          <w:color w:val="808080"/>
          <w:sz w:val="20"/>
        </w:rPr>
        <w:t xml:space="preserve">Figure </w:t>
      </w:r>
      <w:r w:rsidR="006624EC">
        <w:rPr>
          <w:rFonts w:asciiTheme="minorHAnsi" w:hAnsiTheme="minorHAnsi" w:cstheme="minorHAnsi"/>
          <w:b w:val="0"/>
          <w:color w:val="808080"/>
          <w:sz w:val="20"/>
        </w:rPr>
        <w:fldChar w:fldCharType="begin"/>
      </w:r>
      <w:r w:rsidR="006624EC">
        <w:rPr>
          <w:rFonts w:asciiTheme="minorHAnsi" w:hAnsiTheme="minorHAnsi" w:cstheme="minorHAnsi"/>
          <w:b w:val="0"/>
          <w:color w:val="808080"/>
          <w:sz w:val="20"/>
        </w:rPr>
        <w:instrText xml:space="preserve"> SEQ Figure \* ARABIC </w:instrText>
      </w:r>
      <w:r w:rsidR="006624EC">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17</w:t>
      </w:r>
      <w:r w:rsidR="006624EC">
        <w:rPr>
          <w:rFonts w:asciiTheme="minorHAnsi" w:hAnsiTheme="minorHAnsi" w:cstheme="minorHAnsi"/>
          <w:b w:val="0"/>
          <w:color w:val="808080"/>
          <w:sz w:val="20"/>
        </w:rPr>
        <w:fldChar w:fldCharType="end"/>
      </w:r>
      <w:bookmarkEnd w:id="618"/>
      <w:bookmarkEnd w:id="619"/>
      <w:r w:rsidRPr="005F5BB1">
        <w:rPr>
          <w:rFonts w:asciiTheme="minorHAnsi" w:hAnsiTheme="minorHAnsi" w:cstheme="minorHAnsi"/>
          <w:b w:val="0"/>
          <w:color w:val="808080"/>
          <w:sz w:val="20"/>
        </w:rPr>
        <w:t>: Top 20 World Wide Actual Deceased Donors 2017 (</w:t>
      </w:r>
      <w:r>
        <w:rPr>
          <w:rFonts w:asciiTheme="minorHAnsi" w:hAnsiTheme="minorHAnsi" w:cstheme="minorHAnsi"/>
          <w:b w:val="0"/>
          <w:color w:val="808080"/>
          <w:sz w:val="20"/>
        </w:rPr>
        <w:t>d</w:t>
      </w:r>
      <w:r w:rsidRPr="005F5BB1">
        <w:rPr>
          <w:rFonts w:asciiTheme="minorHAnsi" w:hAnsiTheme="minorHAnsi" w:cstheme="minorHAnsi"/>
          <w:b w:val="0"/>
          <w:color w:val="808080"/>
          <w:sz w:val="20"/>
        </w:rPr>
        <w:t>pmp)</w:t>
      </w:r>
      <w:r w:rsidR="00665835">
        <w:rPr>
          <w:rFonts w:asciiTheme="minorHAnsi" w:hAnsiTheme="minorHAnsi" w:cstheme="minorHAnsi"/>
          <w:b w:val="0"/>
          <w:color w:val="808080"/>
          <w:sz w:val="20"/>
        </w:rPr>
        <w:t>, SOURCE: IROD</w:t>
      </w:r>
      <w:r w:rsidR="00C2213F">
        <w:rPr>
          <w:rFonts w:asciiTheme="minorHAnsi" w:hAnsiTheme="minorHAnsi" w:cstheme="minorHAnsi"/>
          <w:b w:val="0"/>
          <w:color w:val="808080"/>
          <w:sz w:val="20"/>
        </w:rPr>
        <w:t>a</w:t>
      </w:r>
      <w:r w:rsidR="00665835">
        <w:rPr>
          <w:rFonts w:asciiTheme="minorHAnsi" w:hAnsiTheme="minorHAnsi" w:cstheme="minorHAnsi"/>
          <w:b w:val="0"/>
          <w:color w:val="808080"/>
          <w:sz w:val="20"/>
        </w:rPr>
        <w:t xml:space="preserve">T </w:t>
      </w:r>
      <w:r>
        <w:rPr>
          <w:rStyle w:val="FootnoteReference"/>
          <w:rFonts w:cstheme="minorHAnsi"/>
          <w:b w:val="0"/>
          <w:color w:val="808080"/>
        </w:rPr>
        <w:footnoteReference w:id="107"/>
      </w:r>
      <w:r w:rsidRPr="005F5BB1">
        <w:rPr>
          <w:rFonts w:asciiTheme="minorHAnsi" w:hAnsiTheme="minorHAnsi" w:cstheme="minorHAnsi"/>
          <w:b w:val="0"/>
          <w:color w:val="808080"/>
          <w:sz w:val="20"/>
        </w:rPr>
        <w:t xml:space="preserve"> </w:t>
      </w:r>
    </w:p>
    <w:p w14:paraId="3C71DEDE" w14:textId="5968903F" w:rsidR="00C30067" w:rsidRDefault="00FC0683" w:rsidP="00C30067">
      <w:pPr>
        <w:spacing w:after="120"/>
        <w:rPr>
          <w:rFonts w:asciiTheme="minorHAnsi" w:hAnsiTheme="minorHAnsi" w:cstheme="minorHAnsi"/>
          <w:sz w:val="24"/>
          <w:szCs w:val="22"/>
          <w:lang w:val="en-GB"/>
        </w:rPr>
      </w:pPr>
      <w:r w:rsidRPr="00FC0683">
        <w:rPr>
          <w:noProof/>
          <w:lang w:eastAsia="en-AU"/>
        </w:rPr>
        <w:drawing>
          <wp:inline distT="0" distB="0" distL="0" distR="0" wp14:anchorId="3A9FB8CF" wp14:editId="5B46948F">
            <wp:extent cx="5932805" cy="5210175"/>
            <wp:effectExtent l="0" t="0" r="0" b="9525"/>
            <wp:docPr id="2055" name="Picture 2055" descr="Figure 17 is a bar graph describing the top 20 countries in terms of actual deceased donors (dpmp) in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2805" cy="5210175"/>
                    </a:xfrm>
                    <a:prstGeom prst="rect">
                      <a:avLst/>
                    </a:prstGeom>
                    <a:noFill/>
                    <a:ln>
                      <a:noFill/>
                    </a:ln>
                  </pic:spPr>
                </pic:pic>
              </a:graphicData>
            </a:graphic>
          </wp:inline>
        </w:drawing>
      </w:r>
      <w:r w:rsidR="00C30067">
        <w:rPr>
          <w:rFonts w:asciiTheme="minorHAnsi" w:hAnsiTheme="minorHAnsi" w:cstheme="minorHAnsi"/>
          <w:sz w:val="24"/>
          <w:szCs w:val="22"/>
          <w:lang w:val="en-GB"/>
        </w:rPr>
        <w:t xml:space="preserve"> </w:t>
      </w:r>
    </w:p>
    <w:p w14:paraId="777FBDE4" w14:textId="77777777" w:rsidR="00C30067" w:rsidRDefault="00C30067" w:rsidP="00C30067">
      <w:pPr>
        <w:spacing w:after="120"/>
        <w:rPr>
          <w:rFonts w:asciiTheme="minorHAnsi" w:hAnsiTheme="minorHAnsi" w:cstheme="minorHAnsi"/>
          <w:sz w:val="24"/>
          <w:szCs w:val="22"/>
          <w:lang w:val="en-GB"/>
        </w:rPr>
      </w:pPr>
      <w:r w:rsidRPr="004938CA">
        <w:rPr>
          <w:rFonts w:asciiTheme="minorHAnsi" w:hAnsiTheme="minorHAnsi" w:cstheme="minorHAnsi"/>
          <w:sz w:val="24"/>
          <w:szCs w:val="22"/>
          <w:lang w:val="en-GB"/>
        </w:rPr>
        <w:t>According to the International Registry in Organ Donation and Transplantation, Australia was ranked 16</w:t>
      </w:r>
      <w:r w:rsidRPr="004938CA">
        <w:rPr>
          <w:rFonts w:asciiTheme="minorHAnsi" w:hAnsiTheme="minorHAnsi" w:cstheme="minorHAnsi"/>
          <w:sz w:val="24"/>
          <w:szCs w:val="22"/>
          <w:vertAlign w:val="superscript"/>
          <w:lang w:val="en-GB"/>
        </w:rPr>
        <w:t>th</w:t>
      </w:r>
      <w:r w:rsidRPr="004938CA">
        <w:rPr>
          <w:rFonts w:asciiTheme="minorHAnsi" w:hAnsiTheme="minorHAnsi" w:cstheme="minorHAnsi"/>
          <w:sz w:val="24"/>
          <w:szCs w:val="22"/>
          <w:lang w:val="en-GB"/>
        </w:rPr>
        <w:t xml:space="preserve"> in the world in 2017</w:t>
      </w:r>
      <w:r>
        <w:rPr>
          <w:rFonts w:asciiTheme="minorHAnsi" w:hAnsiTheme="minorHAnsi" w:cstheme="minorHAnsi"/>
          <w:sz w:val="24"/>
          <w:szCs w:val="22"/>
          <w:lang w:val="en-GB"/>
        </w:rPr>
        <w:t xml:space="preserve"> based on donation rates</w:t>
      </w:r>
      <w:r w:rsidRPr="004938CA">
        <w:rPr>
          <w:rFonts w:asciiTheme="minorHAnsi" w:hAnsiTheme="minorHAnsi" w:cstheme="minorHAnsi"/>
          <w:sz w:val="24"/>
          <w:szCs w:val="22"/>
          <w:lang w:val="en-GB"/>
        </w:rPr>
        <w:t xml:space="preserve">. </w:t>
      </w:r>
      <w:r>
        <w:rPr>
          <w:rFonts w:asciiTheme="minorHAnsi" w:hAnsiTheme="minorHAnsi" w:cstheme="minorHAnsi"/>
          <w:sz w:val="24"/>
          <w:szCs w:val="22"/>
          <w:lang w:val="en-GB"/>
        </w:rPr>
        <w:t xml:space="preserve">Although Australia has </w:t>
      </w:r>
      <w:r w:rsidR="00793E35">
        <w:rPr>
          <w:rFonts w:asciiTheme="minorHAnsi" w:hAnsiTheme="minorHAnsi" w:cstheme="minorHAnsi"/>
          <w:sz w:val="24"/>
          <w:szCs w:val="22"/>
          <w:lang w:val="en-GB"/>
        </w:rPr>
        <w:t xml:space="preserve">a higher </w:t>
      </w:r>
      <w:r>
        <w:rPr>
          <w:rFonts w:asciiTheme="minorHAnsi" w:hAnsiTheme="minorHAnsi" w:cstheme="minorHAnsi"/>
          <w:sz w:val="24"/>
          <w:szCs w:val="22"/>
          <w:lang w:val="en-GB"/>
        </w:rPr>
        <w:t>growth in donation</w:t>
      </w:r>
      <w:r w:rsidR="00793E35">
        <w:rPr>
          <w:rFonts w:asciiTheme="minorHAnsi" w:hAnsiTheme="minorHAnsi" w:cstheme="minorHAnsi"/>
          <w:sz w:val="24"/>
          <w:szCs w:val="22"/>
          <w:lang w:val="en-GB"/>
        </w:rPr>
        <w:t xml:space="preserve"> rates</w:t>
      </w:r>
      <w:r w:rsidR="00A13F59">
        <w:rPr>
          <w:rFonts w:asciiTheme="minorHAnsi" w:hAnsiTheme="minorHAnsi" w:cstheme="minorHAnsi"/>
          <w:sz w:val="24"/>
          <w:szCs w:val="22"/>
          <w:lang w:val="en-GB"/>
        </w:rPr>
        <w:t>, when</w:t>
      </w:r>
      <w:r>
        <w:rPr>
          <w:rFonts w:asciiTheme="minorHAnsi" w:hAnsiTheme="minorHAnsi" w:cstheme="minorHAnsi"/>
          <w:sz w:val="24"/>
          <w:szCs w:val="22"/>
          <w:lang w:val="en-GB"/>
        </w:rPr>
        <w:t xml:space="preserve"> compared to Spain </w:t>
      </w:r>
      <w:r w:rsidR="00A13F59">
        <w:rPr>
          <w:rFonts w:asciiTheme="minorHAnsi" w:hAnsiTheme="minorHAnsi" w:cstheme="minorHAnsi"/>
          <w:sz w:val="24"/>
          <w:szCs w:val="22"/>
          <w:lang w:val="en-GB"/>
        </w:rPr>
        <w:t>(</w:t>
      </w:r>
      <w:r>
        <w:rPr>
          <w:rFonts w:asciiTheme="minorHAnsi" w:hAnsiTheme="minorHAnsi" w:cstheme="minorHAnsi"/>
          <w:sz w:val="24"/>
          <w:szCs w:val="22"/>
          <w:lang w:val="en-GB"/>
        </w:rPr>
        <w:t>when it was at the same stage of reform</w:t>
      </w:r>
      <w:r w:rsidR="00A13F59">
        <w:rPr>
          <w:rFonts w:asciiTheme="minorHAnsi" w:hAnsiTheme="minorHAnsi" w:cstheme="minorHAnsi"/>
          <w:sz w:val="24"/>
          <w:szCs w:val="22"/>
          <w:lang w:val="en-GB"/>
        </w:rPr>
        <w:t>)</w:t>
      </w:r>
      <w:r>
        <w:rPr>
          <w:rFonts w:asciiTheme="minorHAnsi" w:hAnsiTheme="minorHAnsi" w:cstheme="minorHAnsi"/>
          <w:sz w:val="24"/>
          <w:szCs w:val="22"/>
          <w:lang w:val="en-GB"/>
        </w:rPr>
        <w:t xml:space="preserve"> the Review found that there were a number of factors that currently inhibit Australia’s potential to achieve best practice in organ donation including variability in state and territory and hospital</w:t>
      </w:r>
      <w:r w:rsidR="00793E35">
        <w:rPr>
          <w:rFonts w:asciiTheme="minorHAnsi" w:hAnsiTheme="minorHAnsi" w:cstheme="minorHAnsi"/>
          <w:sz w:val="24"/>
          <w:szCs w:val="22"/>
          <w:lang w:val="en-GB"/>
        </w:rPr>
        <w:t xml:space="preserve"> organ donation</w:t>
      </w:r>
      <w:r>
        <w:rPr>
          <w:rFonts w:asciiTheme="minorHAnsi" w:hAnsiTheme="minorHAnsi" w:cstheme="minorHAnsi"/>
          <w:sz w:val="24"/>
          <w:szCs w:val="22"/>
          <w:lang w:val="en-GB"/>
        </w:rPr>
        <w:t xml:space="preserve"> performance</w:t>
      </w:r>
      <w:r w:rsidRPr="001271F5">
        <w:rPr>
          <w:rFonts w:asciiTheme="minorHAnsi" w:hAnsiTheme="minorHAnsi" w:cstheme="minorHAnsi"/>
          <w:sz w:val="24"/>
          <w:szCs w:val="22"/>
          <w:lang w:val="en-GB"/>
        </w:rPr>
        <w:t>.</w:t>
      </w:r>
      <w:r w:rsidRPr="00447661">
        <w:rPr>
          <w:rFonts w:asciiTheme="minorHAnsi" w:hAnsiTheme="minorHAnsi" w:cstheme="minorHAnsi"/>
          <w:sz w:val="18"/>
          <w:szCs w:val="22"/>
          <w:vertAlign w:val="superscript"/>
          <w:lang w:val="en-GB"/>
        </w:rPr>
        <w:footnoteReference w:id="108"/>
      </w:r>
      <w:r w:rsidRPr="001271F5">
        <w:rPr>
          <w:rFonts w:asciiTheme="minorHAnsi" w:hAnsiTheme="minorHAnsi" w:cstheme="minorHAnsi"/>
          <w:sz w:val="24"/>
          <w:szCs w:val="22"/>
          <w:lang w:val="en-GB"/>
        </w:rPr>
        <w:t xml:space="preserve"> </w:t>
      </w:r>
    </w:p>
    <w:p w14:paraId="7AA4CC76" w14:textId="3CF1DACD" w:rsidR="00C30067" w:rsidRPr="004938CA" w:rsidRDefault="00C30067" w:rsidP="00C30067">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As illustrated in </w:t>
      </w:r>
      <w:r w:rsidR="000F6B35">
        <w:rPr>
          <w:rFonts w:asciiTheme="minorHAnsi" w:hAnsiTheme="minorHAnsi" w:cstheme="minorHAnsi"/>
          <w:sz w:val="24"/>
          <w:szCs w:val="22"/>
          <w:lang w:val="en-GB"/>
        </w:rPr>
        <w:fldChar w:fldCharType="begin"/>
      </w:r>
      <w:r w:rsidR="000F6B35">
        <w:rPr>
          <w:rFonts w:asciiTheme="minorHAnsi" w:hAnsiTheme="minorHAnsi" w:cstheme="minorHAnsi"/>
          <w:sz w:val="24"/>
          <w:szCs w:val="22"/>
          <w:lang w:val="en-GB"/>
        </w:rPr>
        <w:instrText xml:space="preserve"> REF _Ref527639731 \h  \* MERGEFORMAT </w:instrText>
      </w:r>
      <w:r w:rsidR="000F6B35">
        <w:rPr>
          <w:rFonts w:asciiTheme="minorHAnsi" w:hAnsiTheme="minorHAnsi" w:cstheme="minorHAnsi"/>
          <w:sz w:val="24"/>
          <w:szCs w:val="22"/>
          <w:lang w:val="en-GB"/>
        </w:rPr>
      </w:r>
      <w:r w:rsidR="000F6B35">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Figure 18</w:t>
      </w:r>
      <w:r w:rsidR="000F6B35">
        <w:rPr>
          <w:rFonts w:asciiTheme="minorHAnsi" w:hAnsiTheme="minorHAnsi" w:cstheme="minorHAnsi"/>
          <w:sz w:val="24"/>
          <w:szCs w:val="22"/>
          <w:lang w:val="en-GB"/>
        </w:rPr>
        <w:fldChar w:fldCharType="end"/>
      </w:r>
      <w:r>
        <w:rPr>
          <w:rFonts w:asciiTheme="minorHAnsi" w:hAnsiTheme="minorHAnsi" w:cstheme="minorHAnsi"/>
          <w:sz w:val="24"/>
          <w:szCs w:val="22"/>
          <w:lang w:val="en-GB"/>
        </w:rPr>
        <w:t>, donation</w:t>
      </w:r>
      <w:r w:rsidRPr="004938CA">
        <w:rPr>
          <w:rFonts w:asciiTheme="minorHAnsi" w:hAnsiTheme="minorHAnsi" w:cstheme="minorHAnsi"/>
          <w:sz w:val="24"/>
          <w:szCs w:val="22"/>
          <w:lang w:val="en-GB"/>
        </w:rPr>
        <w:t xml:space="preserve"> performance </w:t>
      </w:r>
      <w:r>
        <w:rPr>
          <w:rFonts w:asciiTheme="minorHAnsi" w:hAnsiTheme="minorHAnsi" w:cstheme="minorHAnsi"/>
          <w:sz w:val="24"/>
          <w:szCs w:val="22"/>
          <w:lang w:val="en-GB"/>
        </w:rPr>
        <w:t xml:space="preserve">varies greatly between states and territories. The states with the highest growth in donation since 2008 were </w:t>
      </w:r>
      <w:r w:rsidRPr="004938CA">
        <w:rPr>
          <w:rFonts w:asciiTheme="minorHAnsi" w:hAnsiTheme="minorHAnsi" w:cstheme="minorHAnsi"/>
          <w:sz w:val="24"/>
          <w:szCs w:val="22"/>
          <w:lang w:val="en-GB"/>
        </w:rPr>
        <w:t>New South Wales</w:t>
      </w:r>
      <w:r>
        <w:rPr>
          <w:rFonts w:asciiTheme="minorHAnsi" w:hAnsiTheme="minorHAnsi" w:cstheme="minorHAnsi"/>
          <w:sz w:val="24"/>
          <w:szCs w:val="22"/>
          <w:lang w:val="en-GB"/>
        </w:rPr>
        <w:t xml:space="preserve"> (</w:t>
      </w:r>
      <w:r w:rsidRPr="00105407">
        <w:rPr>
          <w:rFonts w:asciiTheme="minorHAnsi" w:hAnsiTheme="minorHAnsi" w:cstheme="minorHAnsi"/>
          <w:sz w:val="24"/>
          <w:szCs w:val="22"/>
          <w:lang w:val="en-GB"/>
        </w:rPr>
        <w:t>237 per cent</w:t>
      </w:r>
      <w:r>
        <w:rPr>
          <w:rFonts w:asciiTheme="minorHAnsi" w:hAnsiTheme="minorHAnsi" w:cstheme="minorHAnsi"/>
          <w:sz w:val="24"/>
          <w:szCs w:val="22"/>
          <w:lang w:val="en-GB"/>
        </w:rPr>
        <w:t xml:space="preserve"> increase)</w:t>
      </w:r>
      <w:r w:rsidRPr="004938CA">
        <w:rPr>
          <w:rFonts w:asciiTheme="minorHAnsi" w:hAnsiTheme="minorHAnsi" w:cstheme="minorHAnsi"/>
          <w:sz w:val="24"/>
          <w:szCs w:val="22"/>
          <w:lang w:val="en-GB"/>
        </w:rPr>
        <w:t xml:space="preserve"> and Victoria</w:t>
      </w:r>
      <w:r>
        <w:rPr>
          <w:rFonts w:asciiTheme="minorHAnsi" w:hAnsiTheme="minorHAnsi" w:cstheme="minorHAnsi"/>
          <w:sz w:val="24"/>
          <w:szCs w:val="22"/>
          <w:lang w:val="en-GB"/>
        </w:rPr>
        <w:t xml:space="preserve"> (</w:t>
      </w:r>
      <w:r w:rsidRPr="00105407">
        <w:rPr>
          <w:rFonts w:asciiTheme="minorHAnsi" w:hAnsiTheme="minorHAnsi" w:cstheme="minorHAnsi"/>
          <w:sz w:val="24"/>
          <w:szCs w:val="22"/>
          <w:lang w:val="en-GB"/>
        </w:rPr>
        <w:t xml:space="preserve">221 per cent </w:t>
      </w:r>
      <w:r>
        <w:rPr>
          <w:rFonts w:asciiTheme="minorHAnsi" w:hAnsiTheme="minorHAnsi" w:cstheme="minorHAnsi"/>
          <w:sz w:val="24"/>
          <w:szCs w:val="22"/>
          <w:lang w:val="en-GB"/>
        </w:rPr>
        <w:t>increase)</w:t>
      </w:r>
      <w:r w:rsidRPr="004938CA">
        <w:rPr>
          <w:rFonts w:asciiTheme="minorHAnsi" w:hAnsiTheme="minorHAnsi" w:cstheme="minorHAnsi"/>
          <w:sz w:val="24"/>
          <w:szCs w:val="22"/>
          <w:lang w:val="en-GB"/>
        </w:rPr>
        <w:t>. In contrast, South Australia’s donation performance experienced a negative growth of 26 per cent.</w:t>
      </w:r>
      <w:r>
        <w:rPr>
          <w:rFonts w:asciiTheme="minorHAnsi" w:hAnsiTheme="minorHAnsi" w:cstheme="minorHAnsi"/>
          <w:sz w:val="24"/>
          <w:szCs w:val="22"/>
          <w:lang w:val="en-GB"/>
        </w:rPr>
        <w:t xml:space="preserve"> </w:t>
      </w:r>
    </w:p>
    <w:p w14:paraId="1F44B5CB" w14:textId="77777777" w:rsidR="00C30067" w:rsidRPr="00BF220F" w:rsidRDefault="00C30067" w:rsidP="00C30067">
      <w:pPr>
        <w:pStyle w:val="Caption"/>
        <w:keepNext/>
        <w:widowControl/>
        <w:spacing w:after="120"/>
        <w:rPr>
          <w:color w:val="auto"/>
          <w:sz w:val="16"/>
        </w:rPr>
      </w:pPr>
      <w:bookmarkStart w:id="620" w:name="_Ref527639731"/>
      <w:bookmarkStart w:id="621" w:name="_Ref527557489"/>
      <w:r w:rsidRPr="005F5BB1">
        <w:rPr>
          <w:rFonts w:asciiTheme="minorHAnsi" w:hAnsiTheme="minorHAnsi" w:cstheme="minorHAnsi"/>
          <w:b w:val="0"/>
          <w:color w:val="808080"/>
          <w:sz w:val="20"/>
        </w:rPr>
        <w:t xml:space="preserve">Figure </w:t>
      </w:r>
      <w:r w:rsidR="006624EC">
        <w:rPr>
          <w:rFonts w:asciiTheme="minorHAnsi" w:hAnsiTheme="minorHAnsi" w:cstheme="minorHAnsi"/>
          <w:b w:val="0"/>
          <w:color w:val="808080"/>
          <w:sz w:val="20"/>
        </w:rPr>
        <w:fldChar w:fldCharType="begin"/>
      </w:r>
      <w:r w:rsidR="006624EC">
        <w:rPr>
          <w:rFonts w:asciiTheme="minorHAnsi" w:hAnsiTheme="minorHAnsi" w:cstheme="minorHAnsi"/>
          <w:b w:val="0"/>
          <w:color w:val="808080"/>
          <w:sz w:val="20"/>
        </w:rPr>
        <w:instrText xml:space="preserve"> SEQ Figure \* ARABIC </w:instrText>
      </w:r>
      <w:r w:rsidR="006624EC">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18</w:t>
      </w:r>
      <w:r w:rsidR="006624EC">
        <w:rPr>
          <w:rFonts w:asciiTheme="minorHAnsi" w:hAnsiTheme="minorHAnsi" w:cstheme="minorHAnsi"/>
          <w:b w:val="0"/>
          <w:color w:val="808080"/>
          <w:sz w:val="20"/>
        </w:rPr>
        <w:fldChar w:fldCharType="end"/>
      </w:r>
      <w:bookmarkEnd w:id="620"/>
      <w:bookmarkEnd w:id="621"/>
      <w:r w:rsidRPr="005F5BB1">
        <w:rPr>
          <w:rFonts w:asciiTheme="minorHAnsi" w:hAnsiTheme="minorHAnsi" w:cstheme="minorHAnsi"/>
          <w:b w:val="0"/>
          <w:color w:val="808080"/>
          <w:sz w:val="20"/>
        </w:rPr>
        <w:t xml:space="preserve">: Donation performance numbers 2008 - 2017 by </w:t>
      </w:r>
      <w:r>
        <w:rPr>
          <w:rFonts w:asciiTheme="minorHAnsi" w:hAnsiTheme="minorHAnsi" w:cstheme="minorHAnsi"/>
          <w:b w:val="0"/>
          <w:color w:val="808080"/>
          <w:sz w:val="20"/>
        </w:rPr>
        <w:t>s</w:t>
      </w:r>
      <w:r w:rsidRPr="005F5BB1">
        <w:rPr>
          <w:rFonts w:asciiTheme="minorHAnsi" w:hAnsiTheme="minorHAnsi" w:cstheme="minorHAnsi"/>
          <w:b w:val="0"/>
          <w:color w:val="808080"/>
          <w:sz w:val="20"/>
        </w:rPr>
        <w:t>tate and territory</w:t>
      </w:r>
      <w:r w:rsidR="007A0C20">
        <w:rPr>
          <w:rFonts w:asciiTheme="minorHAnsi" w:hAnsiTheme="minorHAnsi" w:cstheme="minorHAnsi"/>
          <w:b w:val="0"/>
          <w:color w:val="808080"/>
          <w:sz w:val="20"/>
        </w:rPr>
        <w:t>, SOURCE: ANZOD</w:t>
      </w:r>
      <w:r w:rsidR="00C2213F">
        <w:rPr>
          <w:rStyle w:val="FootnoteReference"/>
          <w:rFonts w:cstheme="minorHAnsi"/>
          <w:b w:val="0"/>
          <w:color w:val="808080"/>
        </w:rPr>
        <w:footnoteReference w:id="109"/>
      </w:r>
    </w:p>
    <w:p w14:paraId="29FEE804" w14:textId="77777777" w:rsidR="00C30067" w:rsidRDefault="007279D6" w:rsidP="00C30067">
      <w:pPr>
        <w:spacing w:after="120"/>
        <w:rPr>
          <w:rFonts w:asciiTheme="minorHAnsi" w:hAnsiTheme="minorHAnsi" w:cstheme="minorHAnsi"/>
          <w:sz w:val="24"/>
          <w:szCs w:val="22"/>
          <w:lang w:val="en-GB"/>
        </w:rPr>
      </w:pPr>
      <w:r w:rsidRPr="007279D6">
        <w:rPr>
          <w:noProof/>
          <w:lang w:eastAsia="en-AU"/>
        </w:rPr>
        <w:drawing>
          <wp:inline distT="0" distB="0" distL="0" distR="0" wp14:anchorId="1D28EA76" wp14:editId="19FB92A1">
            <wp:extent cx="6105525" cy="3096311"/>
            <wp:effectExtent l="0" t="0" r="0" b="8890"/>
            <wp:docPr id="4110" name="Picture 4110" descr="Figure 18 is a line graph showing Australias donation performance numbers between 2008 and 2017, by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5525" cy="3096311"/>
                    </a:xfrm>
                    <a:prstGeom prst="rect">
                      <a:avLst/>
                    </a:prstGeom>
                    <a:noFill/>
                    <a:ln>
                      <a:noFill/>
                    </a:ln>
                  </pic:spPr>
                </pic:pic>
              </a:graphicData>
            </a:graphic>
          </wp:inline>
        </w:drawing>
      </w:r>
    </w:p>
    <w:p w14:paraId="3317AEEE" w14:textId="77777777" w:rsidR="00C30067" w:rsidRDefault="00C30067" w:rsidP="00C30067">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The Review found that the inconsistency of donation rates and donation performance across states and territories is </w:t>
      </w:r>
      <w:r w:rsidRPr="002F2CC0">
        <w:rPr>
          <w:rFonts w:asciiTheme="minorHAnsi" w:hAnsiTheme="minorHAnsi" w:cstheme="minorHAnsi"/>
          <w:sz w:val="24"/>
          <w:szCs w:val="22"/>
          <w:lang w:val="en-GB"/>
        </w:rPr>
        <w:t xml:space="preserve">stark and </w:t>
      </w:r>
      <w:r w:rsidR="002F2CC0" w:rsidRPr="0010570C">
        <w:rPr>
          <w:rFonts w:asciiTheme="minorHAnsi" w:hAnsiTheme="minorHAnsi" w:cstheme="minorHAnsi"/>
          <w:sz w:val="24"/>
          <w:szCs w:val="22"/>
          <w:lang w:val="en-GB"/>
        </w:rPr>
        <w:t>compounded</w:t>
      </w:r>
      <w:r w:rsidR="00B11579" w:rsidRPr="002F2CC0">
        <w:rPr>
          <w:rFonts w:asciiTheme="minorHAnsi" w:hAnsiTheme="minorHAnsi" w:cstheme="minorHAnsi"/>
          <w:sz w:val="24"/>
          <w:szCs w:val="22"/>
          <w:lang w:val="en-GB"/>
        </w:rPr>
        <w:t xml:space="preserve"> </w:t>
      </w:r>
      <w:r w:rsidRPr="002F2CC0">
        <w:rPr>
          <w:rFonts w:asciiTheme="minorHAnsi" w:hAnsiTheme="minorHAnsi" w:cstheme="minorHAnsi"/>
          <w:sz w:val="24"/>
          <w:szCs w:val="22"/>
          <w:lang w:val="en-GB"/>
        </w:rPr>
        <w:t>by inconsistency</w:t>
      </w:r>
      <w:r>
        <w:rPr>
          <w:rFonts w:asciiTheme="minorHAnsi" w:hAnsiTheme="minorHAnsi" w:cstheme="minorHAnsi"/>
          <w:sz w:val="24"/>
          <w:szCs w:val="22"/>
          <w:lang w:val="en-GB"/>
        </w:rPr>
        <w:t xml:space="preserve"> in donation rates across hospitals. </w:t>
      </w:r>
    </w:p>
    <w:p w14:paraId="2E9EB342" w14:textId="2563CB0F" w:rsidR="00D70D09" w:rsidRDefault="000F6B35" w:rsidP="00C30067">
      <w:pPr>
        <w:spacing w:after="120"/>
        <w:rPr>
          <w:rFonts w:asciiTheme="minorHAnsi" w:hAnsiTheme="minorHAnsi" w:cstheme="minorHAnsi"/>
          <w:sz w:val="24"/>
          <w:szCs w:val="22"/>
          <w:lang w:val="en-GB"/>
        </w:rPr>
      </w:pPr>
      <w:r>
        <w:rPr>
          <w:rFonts w:asciiTheme="minorHAnsi" w:hAnsiTheme="minorHAnsi" w:cstheme="minorHAnsi"/>
          <w:sz w:val="24"/>
          <w:szCs w:val="22"/>
          <w:lang w:val="en-GB"/>
        </w:rPr>
        <w:fldChar w:fldCharType="begin"/>
      </w:r>
      <w:r>
        <w:rPr>
          <w:rFonts w:asciiTheme="minorHAnsi" w:hAnsiTheme="minorHAnsi" w:cstheme="minorHAnsi"/>
          <w:sz w:val="24"/>
          <w:szCs w:val="22"/>
          <w:lang w:val="en-GB"/>
        </w:rPr>
        <w:instrText xml:space="preserve"> REF _Ref527639748 \h  \* MERGEFORMAT </w:instrText>
      </w:r>
      <w:r>
        <w:rPr>
          <w:rFonts w:asciiTheme="minorHAnsi" w:hAnsiTheme="minorHAnsi" w:cstheme="minorHAnsi"/>
          <w:sz w:val="24"/>
          <w:szCs w:val="22"/>
          <w:lang w:val="en-GB"/>
        </w:rPr>
      </w:r>
      <w:r>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Figure 19</w:t>
      </w:r>
      <w:r>
        <w:rPr>
          <w:rFonts w:asciiTheme="minorHAnsi" w:hAnsiTheme="minorHAnsi" w:cstheme="minorHAnsi"/>
          <w:sz w:val="24"/>
          <w:szCs w:val="22"/>
          <w:lang w:val="en-GB"/>
        </w:rPr>
        <w:fldChar w:fldCharType="end"/>
      </w:r>
      <w:r>
        <w:rPr>
          <w:rFonts w:asciiTheme="minorHAnsi" w:hAnsiTheme="minorHAnsi" w:cstheme="minorHAnsi"/>
          <w:sz w:val="24"/>
          <w:szCs w:val="22"/>
          <w:lang w:val="en-GB"/>
        </w:rPr>
        <w:t xml:space="preserve"> </w:t>
      </w:r>
      <w:r w:rsidR="00A13F59">
        <w:rPr>
          <w:rFonts w:asciiTheme="minorHAnsi" w:hAnsiTheme="minorHAnsi" w:cstheme="minorHAnsi"/>
          <w:sz w:val="24"/>
          <w:szCs w:val="22"/>
          <w:lang w:val="en-GB"/>
        </w:rPr>
        <w:t>d</w:t>
      </w:r>
      <w:r w:rsidR="00C30067">
        <w:rPr>
          <w:rFonts w:asciiTheme="minorHAnsi" w:hAnsiTheme="minorHAnsi" w:cstheme="minorHAnsi"/>
          <w:sz w:val="24"/>
          <w:szCs w:val="22"/>
          <w:lang w:val="en-GB"/>
        </w:rPr>
        <w:t xml:space="preserve">emonstrates that there are certain major hospitals which maintain comparatively low </w:t>
      </w:r>
      <w:r w:rsidR="00B11579">
        <w:rPr>
          <w:rFonts w:asciiTheme="minorHAnsi" w:hAnsiTheme="minorHAnsi" w:cstheme="minorHAnsi"/>
          <w:sz w:val="24"/>
          <w:szCs w:val="22"/>
          <w:lang w:val="en-GB"/>
        </w:rPr>
        <w:t xml:space="preserve">organ </w:t>
      </w:r>
      <w:r w:rsidR="00C30067">
        <w:rPr>
          <w:rFonts w:asciiTheme="minorHAnsi" w:hAnsiTheme="minorHAnsi" w:cstheme="minorHAnsi"/>
          <w:sz w:val="24"/>
          <w:szCs w:val="22"/>
          <w:lang w:val="en-GB"/>
        </w:rPr>
        <w:t>donation rates</w:t>
      </w:r>
      <w:r w:rsidR="00B11579">
        <w:rPr>
          <w:rFonts w:asciiTheme="minorHAnsi" w:hAnsiTheme="minorHAnsi" w:cstheme="minorHAnsi"/>
          <w:sz w:val="24"/>
          <w:szCs w:val="22"/>
          <w:lang w:val="en-GB"/>
        </w:rPr>
        <w:t>. For the purposes of comparison, only the larger hospitals</w:t>
      </w:r>
      <w:r w:rsidR="002F2CC0">
        <w:rPr>
          <w:rFonts w:asciiTheme="minorHAnsi" w:hAnsiTheme="minorHAnsi" w:cstheme="minorHAnsi"/>
          <w:sz w:val="24"/>
          <w:szCs w:val="22"/>
          <w:lang w:val="en-GB"/>
        </w:rPr>
        <w:t xml:space="preserve"> in Australia</w:t>
      </w:r>
      <w:r w:rsidR="00B11579">
        <w:rPr>
          <w:rFonts w:asciiTheme="minorHAnsi" w:hAnsiTheme="minorHAnsi" w:cstheme="minorHAnsi"/>
          <w:sz w:val="24"/>
          <w:szCs w:val="22"/>
          <w:lang w:val="en-GB"/>
        </w:rPr>
        <w:t xml:space="preserve"> </w:t>
      </w:r>
      <w:r w:rsidR="00C30067">
        <w:rPr>
          <w:rFonts w:asciiTheme="minorHAnsi" w:hAnsiTheme="minorHAnsi" w:cstheme="minorHAnsi"/>
          <w:sz w:val="24"/>
          <w:szCs w:val="22"/>
          <w:lang w:val="en-GB"/>
        </w:rPr>
        <w:t>(based on</w:t>
      </w:r>
      <w:r w:rsidR="003E5F25">
        <w:rPr>
          <w:rFonts w:asciiTheme="minorHAnsi" w:hAnsiTheme="minorHAnsi" w:cstheme="minorHAnsi"/>
          <w:sz w:val="24"/>
          <w:szCs w:val="22"/>
          <w:lang w:val="en-GB"/>
        </w:rPr>
        <w:t xml:space="preserve"> total hospital activity as measured by the</w:t>
      </w:r>
      <w:r w:rsidR="00C30067">
        <w:rPr>
          <w:rFonts w:asciiTheme="minorHAnsi" w:hAnsiTheme="minorHAnsi" w:cstheme="minorHAnsi"/>
          <w:sz w:val="24"/>
          <w:szCs w:val="22"/>
          <w:lang w:val="en-GB"/>
        </w:rPr>
        <w:t xml:space="preserve"> </w:t>
      </w:r>
      <w:r w:rsidR="00B11579">
        <w:rPr>
          <w:rFonts w:asciiTheme="minorHAnsi" w:hAnsiTheme="minorHAnsi" w:cstheme="minorHAnsi"/>
          <w:sz w:val="24"/>
          <w:szCs w:val="22"/>
          <w:lang w:val="en-GB"/>
        </w:rPr>
        <w:t xml:space="preserve">total </w:t>
      </w:r>
      <w:r w:rsidR="008F57A9" w:rsidRPr="00F37D51">
        <w:rPr>
          <w:rFonts w:asciiTheme="minorHAnsi" w:hAnsiTheme="minorHAnsi" w:cstheme="minorHAnsi"/>
          <w:sz w:val="24"/>
          <w:szCs w:val="22"/>
          <w:lang w:val="en-GB"/>
        </w:rPr>
        <w:t>N</w:t>
      </w:r>
      <w:r w:rsidR="008F57A9">
        <w:rPr>
          <w:rFonts w:asciiTheme="minorHAnsi" w:hAnsiTheme="minorHAnsi" w:cstheme="minorHAnsi"/>
          <w:sz w:val="24"/>
          <w:szCs w:val="22"/>
          <w:lang w:val="en-GB"/>
        </w:rPr>
        <w:t xml:space="preserve">ational </w:t>
      </w:r>
      <w:r w:rsidR="008F57A9" w:rsidRPr="00F37D51">
        <w:rPr>
          <w:rFonts w:asciiTheme="minorHAnsi" w:hAnsiTheme="minorHAnsi" w:cstheme="minorHAnsi"/>
          <w:sz w:val="24"/>
          <w:szCs w:val="22"/>
          <w:lang w:val="en-GB"/>
        </w:rPr>
        <w:t>W</w:t>
      </w:r>
      <w:r w:rsidR="008F57A9">
        <w:rPr>
          <w:rFonts w:asciiTheme="minorHAnsi" w:hAnsiTheme="minorHAnsi" w:cstheme="minorHAnsi"/>
          <w:sz w:val="24"/>
          <w:szCs w:val="22"/>
          <w:lang w:val="en-GB"/>
        </w:rPr>
        <w:t xml:space="preserve">eighted </w:t>
      </w:r>
      <w:r w:rsidR="008F57A9" w:rsidRPr="00F37D51">
        <w:rPr>
          <w:rFonts w:asciiTheme="minorHAnsi" w:hAnsiTheme="minorHAnsi" w:cstheme="minorHAnsi"/>
          <w:sz w:val="24"/>
          <w:szCs w:val="22"/>
          <w:lang w:val="en-GB"/>
        </w:rPr>
        <w:t>A</w:t>
      </w:r>
      <w:r w:rsidR="008F57A9">
        <w:rPr>
          <w:rFonts w:asciiTheme="minorHAnsi" w:hAnsiTheme="minorHAnsi" w:cstheme="minorHAnsi"/>
          <w:sz w:val="24"/>
          <w:szCs w:val="22"/>
          <w:lang w:val="en-GB"/>
        </w:rPr>
        <w:t xml:space="preserve">ctivity </w:t>
      </w:r>
      <w:r w:rsidR="008F57A9" w:rsidRPr="00F37D51">
        <w:rPr>
          <w:rFonts w:asciiTheme="minorHAnsi" w:hAnsiTheme="minorHAnsi" w:cstheme="minorHAnsi"/>
          <w:sz w:val="24"/>
          <w:szCs w:val="22"/>
          <w:lang w:val="en-GB"/>
        </w:rPr>
        <w:t>U</w:t>
      </w:r>
      <w:r w:rsidR="008F57A9">
        <w:rPr>
          <w:rFonts w:asciiTheme="minorHAnsi" w:hAnsiTheme="minorHAnsi" w:cstheme="minorHAnsi"/>
          <w:sz w:val="24"/>
          <w:szCs w:val="22"/>
          <w:lang w:val="en-GB"/>
        </w:rPr>
        <w:t>nit</w:t>
      </w:r>
      <w:r w:rsidR="00D711B9">
        <w:rPr>
          <w:rFonts w:asciiTheme="minorHAnsi" w:hAnsiTheme="minorHAnsi" w:cstheme="minorHAnsi"/>
          <w:sz w:val="24"/>
          <w:szCs w:val="22"/>
          <w:lang w:val="en-GB"/>
        </w:rPr>
        <w:t>s</w:t>
      </w:r>
      <w:r w:rsidR="00C2213F">
        <w:rPr>
          <w:rFonts w:asciiTheme="minorHAnsi" w:hAnsiTheme="minorHAnsi" w:cstheme="minorHAnsi"/>
          <w:sz w:val="24"/>
          <w:szCs w:val="22"/>
          <w:lang w:val="en-GB"/>
        </w:rPr>
        <w:t xml:space="preserve"> (NWAU)</w:t>
      </w:r>
      <w:r w:rsidR="008F57A9">
        <w:rPr>
          <w:rFonts w:asciiTheme="minorHAnsi" w:hAnsiTheme="minorHAnsi" w:cstheme="minorHAnsi"/>
          <w:sz w:val="24"/>
          <w:szCs w:val="22"/>
          <w:lang w:val="en-GB"/>
        </w:rPr>
        <w:t xml:space="preserve"> </w:t>
      </w:r>
      <w:r w:rsidR="00B11579">
        <w:rPr>
          <w:rFonts w:asciiTheme="minorHAnsi" w:hAnsiTheme="minorHAnsi" w:cstheme="minorHAnsi"/>
          <w:sz w:val="24"/>
          <w:szCs w:val="22"/>
          <w:lang w:val="en-GB"/>
        </w:rPr>
        <w:t>per annum</w:t>
      </w:r>
      <w:r w:rsidR="00C30067">
        <w:rPr>
          <w:rFonts w:asciiTheme="minorHAnsi" w:hAnsiTheme="minorHAnsi" w:cstheme="minorHAnsi"/>
          <w:sz w:val="24"/>
          <w:szCs w:val="22"/>
          <w:lang w:val="en-GB"/>
        </w:rPr>
        <w:t xml:space="preserve">) </w:t>
      </w:r>
      <w:r w:rsidR="00B11579">
        <w:rPr>
          <w:rFonts w:asciiTheme="minorHAnsi" w:hAnsiTheme="minorHAnsi" w:cstheme="minorHAnsi"/>
          <w:sz w:val="24"/>
          <w:szCs w:val="22"/>
          <w:lang w:val="en-GB"/>
        </w:rPr>
        <w:t>are included in this figure</w:t>
      </w:r>
      <w:r w:rsidR="00C30067">
        <w:rPr>
          <w:rFonts w:asciiTheme="minorHAnsi" w:hAnsiTheme="minorHAnsi" w:cstheme="minorHAnsi"/>
          <w:sz w:val="24"/>
          <w:szCs w:val="22"/>
          <w:lang w:val="en-GB"/>
        </w:rPr>
        <w:t xml:space="preserve">. </w:t>
      </w:r>
    </w:p>
    <w:p w14:paraId="3D94C88C" w14:textId="77777777" w:rsidR="009219C5" w:rsidRDefault="009219C5">
      <w:pPr>
        <w:widowControl/>
        <w:autoSpaceDE/>
        <w:autoSpaceDN/>
        <w:adjustRightInd/>
        <w:spacing w:after="200" w:line="276" w:lineRule="auto"/>
        <w:rPr>
          <w:rFonts w:asciiTheme="minorHAnsi" w:hAnsiTheme="minorHAnsi" w:cstheme="minorHAnsi"/>
          <w:bCs/>
          <w:color w:val="808080"/>
          <w:szCs w:val="18"/>
        </w:rPr>
      </w:pPr>
      <w:bookmarkStart w:id="622" w:name="_Ref527639748"/>
      <w:bookmarkStart w:id="623" w:name="_Ref527626054"/>
      <w:r>
        <w:rPr>
          <w:rFonts w:asciiTheme="minorHAnsi" w:hAnsiTheme="minorHAnsi" w:cstheme="minorHAnsi"/>
          <w:b/>
          <w:color w:val="808080"/>
        </w:rPr>
        <w:br w:type="page"/>
      </w:r>
    </w:p>
    <w:p w14:paraId="2297CA9C" w14:textId="7369D171" w:rsidR="00C30067" w:rsidRPr="00A32088" w:rsidRDefault="00C30067" w:rsidP="00C30067">
      <w:pPr>
        <w:pStyle w:val="Caption"/>
        <w:keepNext/>
        <w:widowControl/>
        <w:spacing w:after="120"/>
        <w:rPr>
          <w:rFonts w:asciiTheme="minorHAnsi" w:hAnsiTheme="minorHAnsi" w:cstheme="minorHAnsi"/>
          <w:b w:val="0"/>
          <w:color w:val="808080"/>
          <w:sz w:val="20"/>
        </w:rPr>
      </w:pPr>
      <w:r w:rsidRPr="005F5BB1">
        <w:rPr>
          <w:rFonts w:asciiTheme="minorHAnsi" w:hAnsiTheme="minorHAnsi" w:cstheme="minorHAnsi"/>
          <w:b w:val="0"/>
          <w:color w:val="808080"/>
          <w:sz w:val="20"/>
        </w:rPr>
        <w:t xml:space="preserve">Figure </w:t>
      </w:r>
      <w:r w:rsidR="006624EC">
        <w:rPr>
          <w:rFonts w:asciiTheme="minorHAnsi" w:hAnsiTheme="minorHAnsi" w:cstheme="minorHAnsi"/>
          <w:b w:val="0"/>
          <w:color w:val="808080"/>
          <w:sz w:val="20"/>
        </w:rPr>
        <w:fldChar w:fldCharType="begin"/>
      </w:r>
      <w:r w:rsidR="006624EC">
        <w:rPr>
          <w:rFonts w:asciiTheme="minorHAnsi" w:hAnsiTheme="minorHAnsi" w:cstheme="minorHAnsi"/>
          <w:b w:val="0"/>
          <w:color w:val="808080"/>
          <w:sz w:val="20"/>
        </w:rPr>
        <w:instrText xml:space="preserve"> SEQ Figure \* ARABIC </w:instrText>
      </w:r>
      <w:r w:rsidR="006624EC">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19</w:t>
      </w:r>
      <w:r w:rsidR="006624EC">
        <w:rPr>
          <w:rFonts w:asciiTheme="minorHAnsi" w:hAnsiTheme="minorHAnsi" w:cstheme="minorHAnsi"/>
          <w:b w:val="0"/>
          <w:color w:val="808080"/>
          <w:sz w:val="20"/>
        </w:rPr>
        <w:fldChar w:fldCharType="end"/>
      </w:r>
      <w:bookmarkEnd w:id="622"/>
      <w:bookmarkEnd w:id="623"/>
      <w:r w:rsidRPr="005F5BB1">
        <w:rPr>
          <w:rFonts w:asciiTheme="minorHAnsi" w:hAnsiTheme="minorHAnsi" w:cstheme="minorHAnsi"/>
          <w:b w:val="0"/>
          <w:color w:val="808080"/>
          <w:sz w:val="20"/>
        </w:rPr>
        <w:t xml:space="preserve">: Deceased </w:t>
      </w:r>
      <w:r>
        <w:rPr>
          <w:rFonts w:asciiTheme="minorHAnsi" w:hAnsiTheme="minorHAnsi" w:cstheme="minorHAnsi"/>
          <w:b w:val="0"/>
          <w:color w:val="808080"/>
          <w:sz w:val="20"/>
        </w:rPr>
        <w:t>d</w:t>
      </w:r>
      <w:r w:rsidRPr="005F5BB1">
        <w:rPr>
          <w:rFonts w:asciiTheme="minorHAnsi" w:hAnsiTheme="minorHAnsi" w:cstheme="minorHAnsi"/>
          <w:b w:val="0"/>
          <w:color w:val="808080"/>
          <w:sz w:val="20"/>
        </w:rPr>
        <w:t>onors</w:t>
      </w:r>
      <w:r>
        <w:rPr>
          <w:rFonts w:asciiTheme="minorHAnsi" w:hAnsiTheme="minorHAnsi" w:cstheme="minorHAnsi"/>
          <w:b w:val="0"/>
          <w:color w:val="808080"/>
          <w:sz w:val="20"/>
        </w:rPr>
        <w:t xml:space="preserve"> in</w:t>
      </w:r>
      <w:r w:rsidRPr="005F5BB1">
        <w:rPr>
          <w:rFonts w:asciiTheme="minorHAnsi" w:hAnsiTheme="minorHAnsi" w:cstheme="minorHAnsi"/>
          <w:b w:val="0"/>
          <w:color w:val="808080"/>
          <w:sz w:val="20"/>
        </w:rPr>
        <w:t xml:space="preserve"> 2017 of </w:t>
      </w:r>
      <w:r>
        <w:rPr>
          <w:rFonts w:asciiTheme="minorHAnsi" w:hAnsiTheme="minorHAnsi" w:cstheme="minorHAnsi"/>
          <w:b w:val="0"/>
          <w:color w:val="808080"/>
          <w:sz w:val="20"/>
        </w:rPr>
        <w:t>t</w:t>
      </w:r>
      <w:r w:rsidRPr="005F5BB1">
        <w:rPr>
          <w:rFonts w:asciiTheme="minorHAnsi" w:hAnsiTheme="minorHAnsi" w:cstheme="minorHAnsi"/>
          <w:b w:val="0"/>
          <w:color w:val="808080"/>
          <w:sz w:val="20"/>
        </w:rPr>
        <w:t xml:space="preserve">op 32 </w:t>
      </w:r>
      <w:r>
        <w:rPr>
          <w:rFonts w:asciiTheme="minorHAnsi" w:hAnsiTheme="minorHAnsi" w:cstheme="minorHAnsi"/>
          <w:b w:val="0"/>
          <w:color w:val="808080"/>
          <w:sz w:val="20"/>
        </w:rPr>
        <w:t>h</w:t>
      </w:r>
      <w:r w:rsidRPr="005F5BB1">
        <w:rPr>
          <w:rFonts w:asciiTheme="minorHAnsi" w:hAnsiTheme="minorHAnsi" w:cstheme="minorHAnsi"/>
          <w:b w:val="0"/>
          <w:color w:val="808080"/>
          <w:sz w:val="20"/>
        </w:rPr>
        <w:t>ospitals</w:t>
      </w:r>
      <w:r w:rsidR="007A0C20">
        <w:rPr>
          <w:rFonts w:asciiTheme="minorHAnsi" w:hAnsiTheme="minorHAnsi" w:cstheme="minorHAnsi"/>
          <w:b w:val="0"/>
          <w:color w:val="808080"/>
          <w:sz w:val="20"/>
        </w:rPr>
        <w:t xml:space="preserve">, SOURCE: </w:t>
      </w:r>
      <w:r w:rsidR="00C2213F">
        <w:rPr>
          <w:rFonts w:asciiTheme="minorHAnsi" w:hAnsiTheme="minorHAnsi" w:cstheme="minorHAnsi"/>
          <w:b w:val="0"/>
          <w:color w:val="808080"/>
          <w:sz w:val="20"/>
        </w:rPr>
        <w:t>ANZOD</w:t>
      </w:r>
      <w:r w:rsidRPr="004938CA">
        <w:rPr>
          <w:rStyle w:val="FootnoteReference"/>
          <w:rFonts w:asciiTheme="minorHAnsi" w:hAnsiTheme="minorHAnsi" w:cstheme="minorHAnsi"/>
          <w:b w:val="0"/>
          <w:color w:val="808080"/>
        </w:rPr>
        <w:footnoteReference w:id="110"/>
      </w:r>
    </w:p>
    <w:p w14:paraId="3444940C" w14:textId="1B729E66" w:rsidR="004A0821" w:rsidRDefault="00A5661C" w:rsidP="00C30067">
      <w:pPr>
        <w:spacing w:after="120"/>
        <w:rPr>
          <w:rFonts w:asciiTheme="minorHAnsi" w:hAnsiTheme="minorHAnsi" w:cstheme="minorHAnsi"/>
          <w:sz w:val="24"/>
          <w:szCs w:val="22"/>
          <w:lang w:val="en-GB"/>
        </w:rPr>
      </w:pPr>
      <w:r w:rsidRPr="00A5661C">
        <w:rPr>
          <w:rFonts w:asciiTheme="minorHAnsi" w:hAnsiTheme="minorHAnsi" w:cstheme="minorHAnsi"/>
          <w:sz w:val="24"/>
          <w:szCs w:val="22"/>
          <w:lang w:val="en-GB"/>
        </w:rPr>
        <w:t xml:space="preserve"> </w:t>
      </w:r>
      <w:r w:rsidRPr="00A5661C">
        <w:rPr>
          <w:noProof/>
          <w:lang w:eastAsia="en-AU"/>
        </w:rPr>
        <w:drawing>
          <wp:inline distT="0" distB="0" distL="0" distR="0" wp14:anchorId="5641F59A" wp14:editId="564B045A">
            <wp:extent cx="6105525" cy="3153591"/>
            <wp:effectExtent l="0" t="0" r="0" b="8890"/>
            <wp:docPr id="2056" name="Picture 2056" descr="Figure 19 is a bar chart showing th numer of deceased donors of the top 32 hospitals in Austrlia in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5525" cy="3153591"/>
                    </a:xfrm>
                    <a:prstGeom prst="rect">
                      <a:avLst/>
                    </a:prstGeom>
                    <a:noFill/>
                    <a:ln>
                      <a:noFill/>
                    </a:ln>
                  </pic:spPr>
                </pic:pic>
              </a:graphicData>
            </a:graphic>
          </wp:inline>
        </w:drawing>
      </w:r>
    </w:p>
    <w:p w14:paraId="45F04DE0" w14:textId="77777777" w:rsidR="00B642A1" w:rsidRDefault="00B642A1" w:rsidP="004A0821">
      <w:pPr>
        <w:spacing w:after="120"/>
        <w:rPr>
          <w:rFonts w:asciiTheme="minorHAnsi" w:hAnsiTheme="minorHAnsi" w:cstheme="minorHAnsi"/>
          <w:sz w:val="24"/>
          <w:szCs w:val="22"/>
          <w:lang w:val="en-GB"/>
        </w:rPr>
      </w:pPr>
      <w:r>
        <w:rPr>
          <w:rFonts w:asciiTheme="minorHAnsi" w:hAnsiTheme="minorHAnsi" w:cstheme="minorHAnsi"/>
          <w:sz w:val="24"/>
          <w:szCs w:val="22"/>
          <w:lang w:val="en-GB"/>
        </w:rPr>
        <w:t>Although there are a small number of hospitals across Australia close to reaching best practice levels in donation, the</w:t>
      </w:r>
      <w:r w:rsidRPr="004938CA">
        <w:rPr>
          <w:rFonts w:asciiTheme="minorHAnsi" w:hAnsiTheme="minorHAnsi" w:cstheme="minorHAnsi"/>
          <w:sz w:val="24"/>
          <w:szCs w:val="22"/>
          <w:lang w:val="en-GB"/>
        </w:rPr>
        <w:t xml:space="preserve"> inconsistency in donation rates across </w:t>
      </w:r>
      <w:r>
        <w:rPr>
          <w:rFonts w:asciiTheme="minorHAnsi" w:hAnsiTheme="minorHAnsi" w:cstheme="minorHAnsi"/>
          <w:sz w:val="24"/>
          <w:szCs w:val="22"/>
          <w:lang w:val="en-GB"/>
        </w:rPr>
        <w:t xml:space="preserve">hospitals </w:t>
      </w:r>
      <w:r w:rsidRPr="004938CA">
        <w:rPr>
          <w:rFonts w:asciiTheme="minorHAnsi" w:hAnsiTheme="minorHAnsi" w:cstheme="minorHAnsi"/>
          <w:sz w:val="24"/>
          <w:szCs w:val="22"/>
          <w:lang w:val="en-GB"/>
        </w:rPr>
        <w:t>currently limits Australia’s potential to provide life-saving transplants equitably across Australia.</w:t>
      </w:r>
    </w:p>
    <w:p w14:paraId="2EE86916" w14:textId="77777777" w:rsidR="00B642A1" w:rsidRDefault="00B642A1" w:rsidP="004A0821">
      <w:pPr>
        <w:spacing w:after="120"/>
        <w:rPr>
          <w:rFonts w:asciiTheme="minorHAnsi" w:hAnsiTheme="minorHAnsi" w:cstheme="minorHAnsi"/>
          <w:sz w:val="24"/>
          <w:szCs w:val="22"/>
          <w:lang w:val="en-GB"/>
        </w:rPr>
      </w:pPr>
      <w:r>
        <w:rPr>
          <w:rFonts w:asciiTheme="minorHAnsi" w:hAnsiTheme="minorHAnsi" w:cstheme="minorHAnsi"/>
          <w:sz w:val="24"/>
          <w:szCs w:val="22"/>
          <w:lang w:val="en-GB"/>
        </w:rPr>
        <w:t>The Review found that current systems to do not effectively enable public monitoring of the target through nationally published performance reports. Although some reports are published on hospital performance against the targets nationally, the usability and accessibility could be improved to enable effective benchmarking and access to the reports.</w:t>
      </w:r>
    </w:p>
    <w:p w14:paraId="25143B40" w14:textId="77777777" w:rsidR="004A0821" w:rsidRDefault="004A0821" w:rsidP="004A0821">
      <w:pPr>
        <w:spacing w:after="120"/>
        <w:rPr>
          <w:rFonts w:asciiTheme="minorHAnsi" w:hAnsiTheme="minorHAnsi" w:cstheme="minorHAnsi"/>
          <w:sz w:val="24"/>
          <w:szCs w:val="22"/>
          <w:lang w:val="en-GB"/>
        </w:rPr>
      </w:pPr>
      <w:r w:rsidRPr="00EF2596">
        <w:rPr>
          <w:rFonts w:asciiTheme="minorHAnsi" w:hAnsiTheme="minorHAnsi" w:cstheme="minorHAnsi"/>
          <w:sz w:val="24"/>
          <w:szCs w:val="22"/>
          <w:lang w:val="en-GB"/>
        </w:rPr>
        <w:t>The Review found that whil</w:t>
      </w:r>
      <w:r w:rsidR="006E4B2A" w:rsidRPr="00EF2596">
        <w:rPr>
          <w:rFonts w:asciiTheme="minorHAnsi" w:hAnsiTheme="minorHAnsi" w:cstheme="minorHAnsi"/>
          <w:sz w:val="24"/>
          <w:szCs w:val="22"/>
          <w:lang w:val="en-GB"/>
        </w:rPr>
        <w:t>e</w:t>
      </w:r>
      <w:r w:rsidRPr="00EF2596">
        <w:rPr>
          <w:rFonts w:asciiTheme="minorHAnsi" w:hAnsiTheme="minorHAnsi" w:cstheme="minorHAnsi"/>
          <w:sz w:val="24"/>
          <w:szCs w:val="22"/>
          <w:lang w:val="en-GB"/>
        </w:rPr>
        <w:t xml:space="preserve"> there are benefits to the publication of donation performance by hospitals, there were divided opinions among stakeholders as to how this data would be received and used. Some stakeholders </w:t>
      </w:r>
      <w:r w:rsidR="00F04A6D">
        <w:rPr>
          <w:rFonts w:asciiTheme="minorHAnsi" w:hAnsiTheme="minorHAnsi" w:cstheme="minorHAnsi"/>
          <w:sz w:val="24"/>
          <w:szCs w:val="22"/>
          <w:lang w:val="en-GB"/>
        </w:rPr>
        <w:t>were</w:t>
      </w:r>
      <w:r w:rsidRPr="00EF2596">
        <w:rPr>
          <w:rFonts w:asciiTheme="minorHAnsi" w:hAnsiTheme="minorHAnsi" w:cstheme="minorHAnsi"/>
          <w:sz w:val="24"/>
          <w:szCs w:val="22"/>
          <w:lang w:val="en-GB"/>
        </w:rPr>
        <w:t xml:space="preserve"> concern</w:t>
      </w:r>
      <w:r w:rsidR="00F04A6D">
        <w:rPr>
          <w:rFonts w:asciiTheme="minorHAnsi" w:hAnsiTheme="minorHAnsi" w:cstheme="minorHAnsi"/>
          <w:sz w:val="24"/>
          <w:szCs w:val="22"/>
          <w:lang w:val="en-GB"/>
        </w:rPr>
        <w:t>ed</w:t>
      </w:r>
      <w:r w:rsidRPr="00EF2596">
        <w:rPr>
          <w:rFonts w:asciiTheme="minorHAnsi" w:hAnsiTheme="minorHAnsi" w:cstheme="minorHAnsi"/>
          <w:sz w:val="24"/>
          <w:szCs w:val="22"/>
          <w:lang w:val="en-GB"/>
        </w:rPr>
        <w:t xml:space="preserve"> that the variable nature of each hospital </w:t>
      </w:r>
      <w:r w:rsidR="0063492B">
        <w:rPr>
          <w:rFonts w:asciiTheme="minorHAnsi" w:hAnsiTheme="minorHAnsi" w:cstheme="minorHAnsi"/>
          <w:sz w:val="24"/>
          <w:szCs w:val="22"/>
          <w:lang w:val="en-GB"/>
        </w:rPr>
        <w:t>(e.g. size, case</w:t>
      </w:r>
      <w:r w:rsidR="00903464">
        <w:rPr>
          <w:rFonts w:asciiTheme="minorHAnsi" w:hAnsiTheme="minorHAnsi" w:cstheme="minorHAnsi"/>
          <w:sz w:val="24"/>
          <w:szCs w:val="22"/>
          <w:lang w:val="en-GB"/>
        </w:rPr>
        <w:t xml:space="preserve"> </w:t>
      </w:r>
      <w:r w:rsidR="0063492B">
        <w:rPr>
          <w:rFonts w:asciiTheme="minorHAnsi" w:hAnsiTheme="minorHAnsi" w:cstheme="minorHAnsi"/>
          <w:sz w:val="24"/>
          <w:szCs w:val="22"/>
          <w:lang w:val="en-GB"/>
        </w:rPr>
        <w:t>mix</w:t>
      </w:r>
      <w:r w:rsidR="00D711B9">
        <w:rPr>
          <w:rFonts w:asciiTheme="minorHAnsi" w:hAnsiTheme="minorHAnsi" w:cstheme="minorHAnsi"/>
          <w:sz w:val="24"/>
          <w:szCs w:val="22"/>
          <w:lang w:val="en-GB"/>
        </w:rPr>
        <w:t>, ethnic mix of the local community,</w:t>
      </w:r>
      <w:r w:rsidR="0063492B">
        <w:rPr>
          <w:rFonts w:asciiTheme="minorHAnsi" w:hAnsiTheme="minorHAnsi" w:cstheme="minorHAnsi"/>
          <w:sz w:val="24"/>
          <w:szCs w:val="22"/>
          <w:lang w:val="en-GB"/>
        </w:rPr>
        <w:t xml:space="preserve"> etc.) would impact performance data and </w:t>
      </w:r>
      <w:r w:rsidR="006E4B2A" w:rsidRPr="00EF2596">
        <w:rPr>
          <w:rFonts w:asciiTheme="minorHAnsi" w:hAnsiTheme="minorHAnsi" w:cstheme="minorHAnsi"/>
          <w:sz w:val="24"/>
          <w:szCs w:val="22"/>
          <w:lang w:val="en-GB"/>
        </w:rPr>
        <w:t>may not be a meaningful illustration of performance</w:t>
      </w:r>
      <w:r w:rsidR="009E1D7B">
        <w:rPr>
          <w:rFonts w:asciiTheme="minorHAnsi" w:hAnsiTheme="minorHAnsi" w:cstheme="minorHAnsi"/>
          <w:sz w:val="24"/>
          <w:szCs w:val="22"/>
          <w:lang w:val="en-GB"/>
        </w:rPr>
        <w:t>. Some stakeholders reported that</w:t>
      </w:r>
      <w:r w:rsidR="00F04A6D">
        <w:rPr>
          <w:rFonts w:asciiTheme="minorHAnsi" w:hAnsiTheme="minorHAnsi" w:cstheme="minorHAnsi"/>
          <w:sz w:val="24"/>
          <w:szCs w:val="22"/>
          <w:lang w:val="en-GB"/>
        </w:rPr>
        <w:t xml:space="preserve"> performance requires broader consideration of the </w:t>
      </w:r>
      <w:r w:rsidR="009E1D7B">
        <w:rPr>
          <w:rFonts w:asciiTheme="minorHAnsi" w:hAnsiTheme="minorHAnsi" w:cstheme="minorHAnsi"/>
          <w:sz w:val="24"/>
          <w:szCs w:val="22"/>
          <w:lang w:val="en-GB"/>
        </w:rPr>
        <w:t>parameter</w:t>
      </w:r>
      <w:r w:rsidR="00F04A6D">
        <w:rPr>
          <w:rFonts w:asciiTheme="minorHAnsi" w:hAnsiTheme="minorHAnsi" w:cstheme="minorHAnsi"/>
          <w:sz w:val="24"/>
          <w:szCs w:val="22"/>
          <w:lang w:val="en-GB"/>
        </w:rPr>
        <w:t>s</w:t>
      </w:r>
      <w:r w:rsidR="009E1D7B">
        <w:rPr>
          <w:rFonts w:asciiTheme="minorHAnsi" w:hAnsiTheme="minorHAnsi" w:cstheme="minorHAnsi"/>
          <w:sz w:val="24"/>
          <w:szCs w:val="22"/>
          <w:lang w:val="en-GB"/>
        </w:rPr>
        <w:t xml:space="preserve"> </w:t>
      </w:r>
      <w:r w:rsidR="0063492B">
        <w:rPr>
          <w:rFonts w:asciiTheme="minorHAnsi" w:hAnsiTheme="minorHAnsi" w:cstheme="minorHAnsi"/>
          <w:sz w:val="24"/>
          <w:szCs w:val="22"/>
          <w:lang w:val="en-GB"/>
        </w:rPr>
        <w:t xml:space="preserve">for </w:t>
      </w:r>
      <w:r w:rsidR="009E1D7B">
        <w:rPr>
          <w:rFonts w:asciiTheme="minorHAnsi" w:hAnsiTheme="minorHAnsi" w:cstheme="minorHAnsi"/>
          <w:sz w:val="24"/>
          <w:szCs w:val="22"/>
          <w:lang w:val="en-GB"/>
        </w:rPr>
        <w:t>reporting</w:t>
      </w:r>
      <w:r w:rsidR="00F04A6D">
        <w:rPr>
          <w:rFonts w:asciiTheme="minorHAnsi" w:hAnsiTheme="minorHAnsi" w:cstheme="minorHAnsi"/>
          <w:sz w:val="24"/>
          <w:szCs w:val="22"/>
          <w:lang w:val="en-GB"/>
        </w:rPr>
        <w:t>, for example</w:t>
      </w:r>
      <w:r w:rsidR="006E4B2A" w:rsidRPr="00EF2596">
        <w:rPr>
          <w:rFonts w:asciiTheme="minorHAnsi" w:hAnsiTheme="minorHAnsi" w:cstheme="minorHAnsi"/>
          <w:sz w:val="24"/>
          <w:szCs w:val="22"/>
          <w:lang w:val="en-GB"/>
        </w:rPr>
        <w:t xml:space="preserve"> the number of end of life conversations that occurred with a trained specialist. Those in favour of publishing hospital </w:t>
      </w:r>
      <w:r w:rsidR="00F04A6D">
        <w:rPr>
          <w:rFonts w:asciiTheme="minorHAnsi" w:hAnsiTheme="minorHAnsi" w:cstheme="minorHAnsi"/>
          <w:sz w:val="24"/>
          <w:szCs w:val="22"/>
          <w:lang w:val="en-GB"/>
        </w:rPr>
        <w:t xml:space="preserve">donation </w:t>
      </w:r>
      <w:r w:rsidR="006E4B2A" w:rsidRPr="00EF2596">
        <w:rPr>
          <w:rFonts w:asciiTheme="minorHAnsi" w:hAnsiTheme="minorHAnsi" w:cstheme="minorHAnsi"/>
          <w:sz w:val="24"/>
          <w:szCs w:val="22"/>
          <w:lang w:val="en-GB"/>
        </w:rPr>
        <w:t xml:space="preserve">performance believed greater transparency would enable greater </w:t>
      </w:r>
      <w:r w:rsidR="00A36192">
        <w:rPr>
          <w:rFonts w:asciiTheme="minorHAnsi" w:hAnsiTheme="minorHAnsi" w:cstheme="minorHAnsi"/>
          <w:sz w:val="24"/>
          <w:szCs w:val="22"/>
          <w:lang w:val="en-GB"/>
        </w:rPr>
        <w:t>understanding of national performance</w:t>
      </w:r>
      <w:r w:rsidR="00B642A1" w:rsidRPr="00EF2596">
        <w:rPr>
          <w:rFonts w:asciiTheme="minorHAnsi" w:hAnsiTheme="minorHAnsi" w:cstheme="minorHAnsi"/>
          <w:sz w:val="24"/>
          <w:szCs w:val="22"/>
          <w:lang w:val="en-GB"/>
        </w:rPr>
        <w:t xml:space="preserve"> and </w:t>
      </w:r>
      <w:r w:rsidR="006E4B2A" w:rsidRPr="00EF2596">
        <w:rPr>
          <w:rFonts w:asciiTheme="minorHAnsi" w:hAnsiTheme="minorHAnsi" w:cstheme="minorHAnsi"/>
          <w:sz w:val="24"/>
          <w:szCs w:val="22"/>
          <w:lang w:val="en-GB"/>
        </w:rPr>
        <w:t xml:space="preserve">benchmarking </w:t>
      </w:r>
      <w:r w:rsidR="00B642A1" w:rsidRPr="00EF2596">
        <w:rPr>
          <w:rFonts w:asciiTheme="minorHAnsi" w:hAnsiTheme="minorHAnsi" w:cstheme="minorHAnsi"/>
          <w:sz w:val="24"/>
          <w:szCs w:val="22"/>
          <w:lang w:val="en-GB"/>
        </w:rPr>
        <w:t>to encourage improvement.</w:t>
      </w:r>
      <w:r w:rsidRPr="00EF2596">
        <w:rPr>
          <w:rFonts w:asciiTheme="minorHAnsi" w:hAnsiTheme="minorHAnsi" w:cstheme="minorHAnsi"/>
          <w:sz w:val="24"/>
          <w:szCs w:val="22"/>
          <w:lang w:val="en-GB"/>
        </w:rPr>
        <w:t xml:space="preserve"> </w:t>
      </w:r>
    </w:p>
    <w:p w14:paraId="1431B9F4" w14:textId="77777777" w:rsidR="00D426CF" w:rsidRDefault="00C30067" w:rsidP="005B73A9">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In order to address inconsistency in donation rates in </w:t>
      </w:r>
      <w:r w:rsidRPr="004938CA">
        <w:rPr>
          <w:rFonts w:asciiTheme="minorHAnsi" w:hAnsiTheme="minorHAnsi" w:cstheme="minorHAnsi"/>
          <w:sz w:val="24"/>
          <w:szCs w:val="22"/>
          <w:lang w:val="en-GB"/>
        </w:rPr>
        <w:t>Spain</w:t>
      </w:r>
      <w:r>
        <w:rPr>
          <w:rFonts w:asciiTheme="minorHAnsi" w:hAnsiTheme="minorHAnsi" w:cstheme="minorHAnsi"/>
          <w:sz w:val="24"/>
          <w:szCs w:val="22"/>
          <w:lang w:val="en-GB"/>
        </w:rPr>
        <w:t xml:space="preserve">, the </w:t>
      </w:r>
      <w:r w:rsidRPr="0031747F">
        <w:rPr>
          <w:rFonts w:asciiTheme="minorHAnsi" w:hAnsiTheme="minorHAnsi" w:cstheme="minorHAnsi"/>
          <w:i/>
          <w:sz w:val="24"/>
          <w:szCs w:val="24"/>
          <w:lang w:val="en-GB"/>
        </w:rPr>
        <w:t>Organizacion Nacional de Trasplantes</w:t>
      </w:r>
      <w:r w:rsidRPr="00612034">
        <w:rPr>
          <w:rFonts w:asciiTheme="minorHAnsi" w:hAnsiTheme="minorHAnsi" w:cstheme="minorHAnsi"/>
          <w:sz w:val="24"/>
          <w:szCs w:val="24"/>
          <w:lang w:val="en-GB"/>
        </w:rPr>
        <w:t xml:space="preserve"> </w:t>
      </w:r>
      <w:r w:rsidRPr="00E43E2B">
        <w:rPr>
          <w:rFonts w:asciiTheme="minorHAnsi" w:hAnsiTheme="minorHAnsi" w:cstheme="minorHAnsi"/>
          <w:sz w:val="24"/>
          <w:szCs w:val="22"/>
          <w:lang w:val="en-GB"/>
        </w:rPr>
        <w:t xml:space="preserve">implemented a </w:t>
      </w:r>
      <w:r>
        <w:rPr>
          <w:rFonts w:asciiTheme="minorHAnsi" w:hAnsiTheme="minorHAnsi" w:cstheme="minorHAnsi"/>
          <w:sz w:val="24"/>
          <w:szCs w:val="22"/>
          <w:lang w:val="en-GB"/>
        </w:rPr>
        <w:t>‘</w:t>
      </w:r>
      <w:r w:rsidRPr="00E43E2B">
        <w:rPr>
          <w:rFonts w:asciiTheme="minorHAnsi" w:hAnsiTheme="minorHAnsi" w:cstheme="minorHAnsi"/>
          <w:sz w:val="24"/>
          <w:szCs w:val="22"/>
          <w:lang w:val="en-GB"/>
        </w:rPr>
        <w:t>40 dpmp Plan</w:t>
      </w:r>
      <w:r>
        <w:rPr>
          <w:rFonts w:asciiTheme="minorHAnsi" w:hAnsiTheme="minorHAnsi" w:cstheme="minorHAnsi"/>
          <w:sz w:val="24"/>
          <w:szCs w:val="22"/>
          <w:lang w:val="en-GB"/>
        </w:rPr>
        <w:t>’</w:t>
      </w:r>
      <w:r w:rsidR="00F04A6D">
        <w:rPr>
          <w:rFonts w:asciiTheme="minorHAnsi" w:hAnsiTheme="minorHAnsi" w:cstheme="minorHAnsi"/>
          <w:sz w:val="24"/>
          <w:szCs w:val="22"/>
          <w:lang w:val="en-GB"/>
        </w:rPr>
        <w:t xml:space="preserve">. It </w:t>
      </w:r>
      <w:r>
        <w:rPr>
          <w:rFonts w:asciiTheme="minorHAnsi" w:hAnsiTheme="minorHAnsi" w:cstheme="minorHAnsi"/>
          <w:sz w:val="24"/>
          <w:szCs w:val="22"/>
          <w:lang w:val="en-GB"/>
        </w:rPr>
        <w:t>set out the strategies for the achievement of the target</w:t>
      </w:r>
      <w:r w:rsidR="00F04A6D">
        <w:rPr>
          <w:rFonts w:asciiTheme="minorHAnsi" w:hAnsiTheme="minorHAnsi" w:cstheme="minorHAnsi"/>
          <w:sz w:val="24"/>
          <w:szCs w:val="22"/>
          <w:lang w:val="en-GB"/>
        </w:rPr>
        <w:t>, which they have since achieved</w:t>
      </w:r>
      <w:r>
        <w:rPr>
          <w:rFonts w:asciiTheme="minorHAnsi" w:hAnsiTheme="minorHAnsi" w:cstheme="minorHAnsi"/>
          <w:sz w:val="24"/>
          <w:szCs w:val="22"/>
          <w:lang w:val="en-GB"/>
        </w:rPr>
        <w:t>.</w:t>
      </w:r>
      <w:r>
        <w:rPr>
          <w:rStyle w:val="FootnoteReference"/>
          <w:rFonts w:cstheme="minorHAnsi"/>
          <w:lang w:val="en-GB"/>
        </w:rPr>
        <w:footnoteReference w:id="111"/>
      </w:r>
      <w:r>
        <w:rPr>
          <w:rFonts w:asciiTheme="minorHAnsi" w:hAnsiTheme="minorHAnsi" w:cstheme="minorHAnsi"/>
          <w:sz w:val="24"/>
          <w:szCs w:val="22"/>
          <w:lang w:val="en-GB"/>
        </w:rPr>
        <w:t xml:space="preserve"> </w:t>
      </w:r>
      <w:r w:rsidR="00B642A1">
        <w:rPr>
          <w:rFonts w:asciiTheme="minorHAnsi" w:hAnsiTheme="minorHAnsi" w:cstheme="minorHAnsi"/>
          <w:sz w:val="24"/>
          <w:szCs w:val="22"/>
          <w:lang w:val="en-GB"/>
        </w:rPr>
        <w:t xml:space="preserve">As part of </w:t>
      </w:r>
      <w:r>
        <w:rPr>
          <w:rFonts w:asciiTheme="minorHAnsi" w:hAnsiTheme="minorHAnsi" w:cstheme="minorHAnsi"/>
          <w:sz w:val="24"/>
          <w:szCs w:val="22"/>
          <w:lang w:val="en-GB"/>
        </w:rPr>
        <w:t>Australia</w:t>
      </w:r>
      <w:r w:rsidR="00B642A1">
        <w:rPr>
          <w:rFonts w:asciiTheme="minorHAnsi" w:hAnsiTheme="minorHAnsi" w:cstheme="minorHAnsi"/>
          <w:sz w:val="24"/>
          <w:szCs w:val="22"/>
          <w:lang w:val="en-GB"/>
        </w:rPr>
        <w:t>’s strategy to improve donation rates</w:t>
      </w:r>
      <w:r w:rsidR="00F04A6D">
        <w:rPr>
          <w:rFonts w:asciiTheme="minorHAnsi" w:hAnsiTheme="minorHAnsi" w:cstheme="minorHAnsi"/>
          <w:sz w:val="24"/>
          <w:szCs w:val="22"/>
          <w:lang w:val="en-GB"/>
        </w:rPr>
        <w:t>,</w:t>
      </w:r>
      <w:r w:rsidR="00B642A1">
        <w:rPr>
          <w:rFonts w:asciiTheme="minorHAnsi" w:hAnsiTheme="minorHAnsi" w:cstheme="minorHAnsi"/>
          <w:sz w:val="24"/>
          <w:szCs w:val="22"/>
          <w:lang w:val="en-GB"/>
        </w:rPr>
        <w:t xml:space="preserve"> a target </w:t>
      </w:r>
      <w:r w:rsidRPr="00E43E2B">
        <w:rPr>
          <w:rFonts w:asciiTheme="minorHAnsi" w:hAnsiTheme="minorHAnsi" w:cstheme="minorHAnsi"/>
          <w:sz w:val="24"/>
          <w:szCs w:val="22"/>
          <w:lang w:val="en-GB"/>
        </w:rPr>
        <w:t>was set for 25 dpmp</w:t>
      </w:r>
      <w:r>
        <w:rPr>
          <w:rFonts w:asciiTheme="minorHAnsi" w:hAnsiTheme="minorHAnsi" w:cstheme="minorHAnsi"/>
          <w:sz w:val="24"/>
          <w:szCs w:val="22"/>
          <w:lang w:val="en-GB"/>
        </w:rPr>
        <w:t xml:space="preserve"> based on modelling </w:t>
      </w:r>
      <w:r w:rsidR="0084734A">
        <w:rPr>
          <w:rFonts w:asciiTheme="minorHAnsi" w:hAnsiTheme="minorHAnsi" w:cstheme="minorHAnsi"/>
          <w:sz w:val="24"/>
          <w:szCs w:val="22"/>
          <w:lang w:val="en-GB"/>
        </w:rPr>
        <w:t xml:space="preserve">undertaken by the OTA, </w:t>
      </w:r>
      <w:r>
        <w:rPr>
          <w:rFonts w:asciiTheme="minorHAnsi" w:hAnsiTheme="minorHAnsi" w:cstheme="minorHAnsi"/>
          <w:sz w:val="24"/>
          <w:szCs w:val="22"/>
          <w:lang w:val="en-GB"/>
        </w:rPr>
        <w:t>which was agreed by</w:t>
      </w:r>
      <w:r w:rsidR="00A13F59">
        <w:rPr>
          <w:rFonts w:asciiTheme="minorHAnsi" w:hAnsiTheme="minorHAnsi" w:cstheme="minorHAnsi"/>
          <w:sz w:val="24"/>
          <w:szCs w:val="22"/>
          <w:lang w:val="en-GB"/>
        </w:rPr>
        <w:t xml:space="preserve"> the</w:t>
      </w:r>
      <w:r>
        <w:rPr>
          <w:rFonts w:asciiTheme="minorHAnsi" w:hAnsiTheme="minorHAnsi" w:cstheme="minorHAnsi"/>
          <w:sz w:val="24"/>
          <w:szCs w:val="22"/>
          <w:lang w:val="en-GB"/>
        </w:rPr>
        <w:t xml:space="preserve"> COAG Health Council</w:t>
      </w:r>
      <w:r w:rsidRPr="00E43E2B">
        <w:rPr>
          <w:rFonts w:asciiTheme="minorHAnsi" w:hAnsiTheme="minorHAnsi" w:cstheme="minorHAnsi"/>
          <w:sz w:val="24"/>
          <w:szCs w:val="22"/>
          <w:lang w:val="en-GB"/>
        </w:rPr>
        <w:t xml:space="preserve">. </w:t>
      </w:r>
      <w:r w:rsidR="00DB4CBD">
        <w:rPr>
          <w:rFonts w:asciiTheme="minorHAnsi" w:hAnsiTheme="minorHAnsi" w:cstheme="minorHAnsi"/>
          <w:sz w:val="24"/>
          <w:szCs w:val="22"/>
          <w:lang w:val="en-GB"/>
        </w:rPr>
        <w:t xml:space="preserve">However, it does not consider </w:t>
      </w:r>
      <w:r w:rsidR="00F04A6D">
        <w:rPr>
          <w:rFonts w:asciiTheme="minorHAnsi" w:hAnsiTheme="minorHAnsi" w:cstheme="minorHAnsi"/>
          <w:sz w:val="24"/>
          <w:szCs w:val="22"/>
          <w:lang w:val="en-GB"/>
        </w:rPr>
        <w:t xml:space="preserve">the </w:t>
      </w:r>
      <w:r w:rsidR="00D711B9">
        <w:rPr>
          <w:rFonts w:asciiTheme="minorHAnsi" w:hAnsiTheme="minorHAnsi" w:cstheme="minorHAnsi"/>
          <w:sz w:val="24"/>
          <w:szCs w:val="22"/>
          <w:lang w:val="en-GB"/>
        </w:rPr>
        <w:t>prevalence</w:t>
      </w:r>
      <w:r w:rsidR="00830C15">
        <w:rPr>
          <w:rFonts w:asciiTheme="minorHAnsi" w:hAnsiTheme="minorHAnsi" w:cstheme="minorHAnsi"/>
          <w:sz w:val="24"/>
          <w:szCs w:val="22"/>
          <w:lang w:val="en-GB"/>
        </w:rPr>
        <w:t xml:space="preserve"> of end-stage organ disease in Australia and the</w:t>
      </w:r>
      <w:r w:rsidR="00D426CF">
        <w:rPr>
          <w:rFonts w:asciiTheme="minorHAnsi" w:hAnsiTheme="minorHAnsi" w:cstheme="minorHAnsi"/>
          <w:sz w:val="24"/>
          <w:szCs w:val="22"/>
          <w:lang w:val="en-GB"/>
        </w:rPr>
        <w:t>refore</w:t>
      </w:r>
      <w:r w:rsidR="00830C15">
        <w:rPr>
          <w:rFonts w:asciiTheme="minorHAnsi" w:hAnsiTheme="minorHAnsi" w:cstheme="minorHAnsi"/>
          <w:sz w:val="24"/>
          <w:szCs w:val="22"/>
          <w:lang w:val="en-GB"/>
        </w:rPr>
        <w:t xml:space="preserve"> </w:t>
      </w:r>
      <w:r w:rsidR="00D711B9">
        <w:rPr>
          <w:rFonts w:asciiTheme="minorHAnsi" w:hAnsiTheme="minorHAnsi" w:cstheme="minorHAnsi"/>
          <w:sz w:val="24"/>
          <w:szCs w:val="22"/>
          <w:lang w:val="en-GB"/>
        </w:rPr>
        <w:t xml:space="preserve">the </w:t>
      </w:r>
      <w:r w:rsidR="00DB4CBD">
        <w:rPr>
          <w:rFonts w:asciiTheme="minorHAnsi" w:hAnsiTheme="minorHAnsi" w:cstheme="minorHAnsi"/>
          <w:sz w:val="24"/>
          <w:szCs w:val="22"/>
          <w:lang w:val="en-GB"/>
        </w:rPr>
        <w:t>demand for transplantation</w:t>
      </w:r>
      <w:r w:rsidR="00D426CF">
        <w:rPr>
          <w:rFonts w:asciiTheme="minorHAnsi" w:hAnsiTheme="minorHAnsi" w:cstheme="minorHAnsi"/>
          <w:sz w:val="24"/>
          <w:szCs w:val="22"/>
          <w:lang w:val="en-GB"/>
        </w:rPr>
        <w:t xml:space="preserve">. </w:t>
      </w:r>
      <w:r w:rsidR="00F04A6D">
        <w:rPr>
          <w:rFonts w:asciiTheme="minorHAnsi" w:hAnsiTheme="minorHAnsi" w:cstheme="minorHAnsi"/>
          <w:sz w:val="24"/>
          <w:szCs w:val="22"/>
          <w:lang w:val="en-GB"/>
        </w:rPr>
        <w:t>A</w:t>
      </w:r>
      <w:r w:rsidR="00DB4CBD" w:rsidRPr="00EA6D08">
        <w:rPr>
          <w:rFonts w:asciiTheme="minorHAnsi" w:hAnsiTheme="minorHAnsi" w:cstheme="minorHAnsi"/>
          <w:sz w:val="24"/>
          <w:szCs w:val="22"/>
          <w:lang w:val="en-GB"/>
        </w:rPr>
        <w:t xml:space="preserve">s a result, achievement of the target may not necessarily indicate </w:t>
      </w:r>
      <w:r w:rsidR="00D426CF">
        <w:rPr>
          <w:rFonts w:asciiTheme="minorHAnsi" w:hAnsiTheme="minorHAnsi" w:cstheme="minorHAnsi"/>
          <w:sz w:val="24"/>
          <w:szCs w:val="22"/>
          <w:lang w:val="en-GB"/>
        </w:rPr>
        <w:t>the effective management of end-stage organ disease</w:t>
      </w:r>
      <w:r w:rsidR="00D711B9">
        <w:rPr>
          <w:rFonts w:asciiTheme="minorHAnsi" w:hAnsiTheme="minorHAnsi" w:cstheme="minorHAnsi"/>
          <w:sz w:val="24"/>
          <w:szCs w:val="22"/>
          <w:lang w:val="en-GB"/>
        </w:rPr>
        <w:t xml:space="preserve"> across the entire Australian population</w:t>
      </w:r>
      <w:r w:rsidR="00DB4CBD" w:rsidRPr="00EA6D08">
        <w:rPr>
          <w:rFonts w:asciiTheme="minorHAnsi" w:hAnsiTheme="minorHAnsi" w:cstheme="minorHAnsi"/>
          <w:sz w:val="24"/>
          <w:szCs w:val="22"/>
          <w:lang w:val="en-GB"/>
        </w:rPr>
        <w:t>.</w:t>
      </w:r>
      <w:r w:rsidR="00DB4CBD" w:rsidRPr="00F37D51">
        <w:rPr>
          <w:rFonts w:asciiTheme="minorHAnsi" w:hAnsiTheme="minorHAnsi" w:cstheme="minorHAnsi"/>
          <w:sz w:val="24"/>
          <w:szCs w:val="22"/>
          <w:lang w:val="en-GB"/>
        </w:rPr>
        <w:t xml:space="preserve"> </w:t>
      </w:r>
    </w:p>
    <w:p w14:paraId="52B785DA" w14:textId="77777777" w:rsidR="00B642A1" w:rsidRPr="00F37D51" w:rsidRDefault="00D426CF">
      <w:pPr>
        <w:spacing w:after="120"/>
        <w:rPr>
          <w:rFonts w:asciiTheme="minorHAnsi" w:hAnsiTheme="minorHAnsi" w:cstheme="minorHAnsi"/>
          <w:sz w:val="24"/>
          <w:szCs w:val="22"/>
          <w:lang w:val="en-GB"/>
        </w:rPr>
      </w:pPr>
      <w:r w:rsidRPr="00D426CF">
        <w:rPr>
          <w:rFonts w:asciiTheme="minorHAnsi" w:hAnsiTheme="minorHAnsi" w:cstheme="minorHAnsi"/>
          <w:sz w:val="24"/>
          <w:szCs w:val="22"/>
          <w:lang w:val="en-GB"/>
        </w:rPr>
        <w:t>Clinicians noted that although demand will always exceed supply, a consideration of demand is necessary to inform objectives</w:t>
      </w:r>
      <w:r>
        <w:rPr>
          <w:rFonts w:asciiTheme="minorHAnsi" w:hAnsiTheme="minorHAnsi" w:cstheme="minorHAnsi"/>
          <w:sz w:val="24"/>
          <w:szCs w:val="22"/>
          <w:lang w:val="en-GB"/>
        </w:rPr>
        <w:t xml:space="preserve"> of the donation program in Australian</w:t>
      </w:r>
      <w:r w:rsidRPr="00D426CF">
        <w:rPr>
          <w:rFonts w:asciiTheme="minorHAnsi" w:hAnsiTheme="minorHAnsi" w:cstheme="minorHAnsi"/>
          <w:sz w:val="24"/>
          <w:szCs w:val="22"/>
          <w:lang w:val="en-GB"/>
        </w:rPr>
        <w:t xml:space="preserve"> and </w:t>
      </w:r>
      <w:r w:rsidR="00D711B9">
        <w:rPr>
          <w:rFonts w:asciiTheme="minorHAnsi" w:hAnsiTheme="minorHAnsi" w:cstheme="minorHAnsi"/>
          <w:sz w:val="24"/>
          <w:szCs w:val="22"/>
          <w:lang w:val="en-GB"/>
        </w:rPr>
        <w:t>encourage continued</w:t>
      </w:r>
      <w:r w:rsidRPr="00D426CF">
        <w:rPr>
          <w:rFonts w:asciiTheme="minorHAnsi" w:hAnsiTheme="minorHAnsi" w:cstheme="minorHAnsi"/>
          <w:sz w:val="24"/>
          <w:szCs w:val="22"/>
          <w:lang w:val="en-GB"/>
        </w:rPr>
        <w:t xml:space="preserve"> growth</w:t>
      </w:r>
      <w:r w:rsidR="00D711B9">
        <w:rPr>
          <w:rFonts w:asciiTheme="minorHAnsi" w:hAnsiTheme="minorHAnsi" w:cstheme="minorHAnsi"/>
          <w:sz w:val="24"/>
          <w:szCs w:val="22"/>
          <w:lang w:val="en-GB"/>
        </w:rPr>
        <w:t xml:space="preserve"> in organ donation</w:t>
      </w:r>
      <w:r w:rsidRPr="00D426CF">
        <w:rPr>
          <w:rFonts w:asciiTheme="minorHAnsi" w:hAnsiTheme="minorHAnsi" w:cstheme="minorHAnsi"/>
          <w:sz w:val="24"/>
          <w:szCs w:val="22"/>
          <w:lang w:val="en-GB"/>
        </w:rPr>
        <w:t xml:space="preserve">. </w:t>
      </w:r>
      <w:r w:rsidR="00B642A1">
        <w:rPr>
          <w:rFonts w:asciiTheme="minorHAnsi" w:hAnsiTheme="minorHAnsi" w:cstheme="minorHAnsi"/>
          <w:sz w:val="24"/>
          <w:szCs w:val="22"/>
          <w:lang w:val="en-GB"/>
        </w:rPr>
        <w:t>In order to effectively plan services to enable improvement across the system, the Australian Government needs to understand total demand for organ transplantation</w:t>
      </w:r>
      <w:r w:rsidR="00830C15">
        <w:rPr>
          <w:rFonts w:asciiTheme="minorHAnsi" w:hAnsiTheme="minorHAnsi" w:cstheme="minorHAnsi"/>
          <w:sz w:val="24"/>
          <w:szCs w:val="22"/>
          <w:lang w:val="en-GB"/>
        </w:rPr>
        <w:t xml:space="preserve"> and this</w:t>
      </w:r>
      <w:r w:rsidR="00B642A1">
        <w:rPr>
          <w:rFonts w:asciiTheme="minorHAnsi" w:hAnsiTheme="minorHAnsi" w:cstheme="minorHAnsi"/>
          <w:sz w:val="24"/>
          <w:szCs w:val="22"/>
          <w:lang w:val="en-GB"/>
        </w:rPr>
        <w:t xml:space="preserve"> would require an epidemiological study on </w:t>
      </w:r>
      <w:r w:rsidR="00D711B9">
        <w:rPr>
          <w:rFonts w:asciiTheme="minorHAnsi" w:hAnsiTheme="minorHAnsi" w:cstheme="minorHAnsi"/>
          <w:sz w:val="24"/>
          <w:szCs w:val="22"/>
          <w:lang w:val="en-GB"/>
        </w:rPr>
        <w:t xml:space="preserve">the prevalence of </w:t>
      </w:r>
      <w:r w:rsidR="00B642A1">
        <w:rPr>
          <w:rFonts w:asciiTheme="minorHAnsi" w:hAnsiTheme="minorHAnsi" w:cstheme="minorHAnsi"/>
          <w:sz w:val="24"/>
          <w:szCs w:val="22"/>
          <w:lang w:val="en-GB"/>
        </w:rPr>
        <w:t>end</w:t>
      </w:r>
      <w:r w:rsidR="00F04A6D">
        <w:rPr>
          <w:rFonts w:asciiTheme="minorHAnsi" w:hAnsiTheme="minorHAnsi" w:cstheme="minorHAnsi"/>
          <w:sz w:val="24"/>
          <w:szCs w:val="22"/>
          <w:lang w:val="en-GB"/>
        </w:rPr>
        <w:t>-</w:t>
      </w:r>
      <w:r w:rsidR="00B642A1">
        <w:rPr>
          <w:rFonts w:asciiTheme="minorHAnsi" w:hAnsiTheme="minorHAnsi" w:cstheme="minorHAnsi"/>
          <w:sz w:val="24"/>
          <w:szCs w:val="22"/>
          <w:lang w:val="en-GB"/>
        </w:rPr>
        <w:t>stage organ disease</w:t>
      </w:r>
      <w:r w:rsidR="00D711B9">
        <w:rPr>
          <w:rFonts w:asciiTheme="minorHAnsi" w:hAnsiTheme="minorHAnsi" w:cstheme="minorHAnsi"/>
          <w:sz w:val="24"/>
          <w:szCs w:val="22"/>
          <w:lang w:val="en-GB"/>
        </w:rPr>
        <w:t xml:space="preserve"> amenable to organ transplantation</w:t>
      </w:r>
      <w:r w:rsidR="00B642A1">
        <w:rPr>
          <w:rFonts w:asciiTheme="minorHAnsi" w:hAnsiTheme="minorHAnsi" w:cstheme="minorHAnsi"/>
          <w:sz w:val="24"/>
          <w:szCs w:val="22"/>
          <w:lang w:val="en-GB"/>
        </w:rPr>
        <w:t>.</w:t>
      </w:r>
    </w:p>
    <w:p w14:paraId="6596EF95" w14:textId="77777777" w:rsidR="00C30067" w:rsidRPr="00266A77" w:rsidRDefault="00C30067" w:rsidP="00C30067">
      <w:pPr>
        <w:tabs>
          <w:tab w:val="num" w:pos="720"/>
        </w:tabs>
        <w:spacing w:after="120"/>
        <w:rPr>
          <w:rFonts w:asciiTheme="minorHAnsi" w:hAnsiTheme="minorHAnsi" w:cstheme="minorHAnsi"/>
          <w:i/>
          <w:color w:val="808080" w:themeColor="background1" w:themeShade="80"/>
          <w:sz w:val="26"/>
          <w:szCs w:val="26"/>
        </w:rPr>
      </w:pPr>
      <w:r>
        <w:rPr>
          <w:rFonts w:asciiTheme="minorHAnsi" w:hAnsiTheme="minorHAnsi" w:cstheme="minorHAnsi"/>
          <w:i/>
          <w:color w:val="808080" w:themeColor="background1" w:themeShade="80"/>
          <w:sz w:val="26"/>
          <w:szCs w:val="26"/>
        </w:rPr>
        <w:t>Summary of k</w:t>
      </w:r>
      <w:r w:rsidRPr="00266A77">
        <w:rPr>
          <w:rFonts w:asciiTheme="minorHAnsi" w:hAnsiTheme="minorHAnsi" w:cstheme="minorHAnsi"/>
          <w:i/>
          <w:color w:val="808080" w:themeColor="background1" w:themeShade="80"/>
          <w:sz w:val="26"/>
          <w:szCs w:val="26"/>
        </w:rPr>
        <w:t>ey findings</w:t>
      </w:r>
    </w:p>
    <w:p w14:paraId="6A721CD7" w14:textId="77777777" w:rsidR="00C30067" w:rsidRPr="00F37D51" w:rsidRDefault="00C30067" w:rsidP="00C30067">
      <w:pPr>
        <w:numPr>
          <w:ilvl w:val="0"/>
          <w:numId w:val="18"/>
        </w:numPr>
        <w:tabs>
          <w:tab w:val="num" w:pos="720"/>
        </w:tabs>
        <w:spacing w:after="120"/>
        <w:ind w:left="357" w:hanging="357"/>
        <w:rPr>
          <w:rFonts w:asciiTheme="minorHAnsi" w:hAnsiTheme="minorHAnsi" w:cstheme="minorHAnsi"/>
          <w:sz w:val="24"/>
          <w:szCs w:val="22"/>
          <w:lang w:val="en-GB"/>
        </w:rPr>
      </w:pPr>
      <w:r>
        <w:rPr>
          <w:rFonts w:asciiTheme="minorHAnsi" w:hAnsiTheme="minorHAnsi" w:cstheme="minorHAnsi"/>
          <w:sz w:val="24"/>
          <w:szCs w:val="22"/>
          <w:lang w:val="en-GB"/>
        </w:rPr>
        <w:t xml:space="preserve">Since 2015, </w:t>
      </w:r>
      <w:r w:rsidRPr="00F37D51">
        <w:rPr>
          <w:rFonts w:asciiTheme="minorHAnsi" w:hAnsiTheme="minorHAnsi" w:cstheme="minorHAnsi"/>
          <w:sz w:val="24"/>
          <w:szCs w:val="22"/>
          <w:lang w:val="en-GB"/>
        </w:rPr>
        <w:t>organ donation</w:t>
      </w:r>
      <w:r>
        <w:rPr>
          <w:rFonts w:asciiTheme="minorHAnsi" w:hAnsiTheme="minorHAnsi" w:cstheme="minorHAnsi"/>
          <w:sz w:val="24"/>
          <w:szCs w:val="22"/>
          <w:lang w:val="en-GB"/>
        </w:rPr>
        <w:t xml:space="preserve"> in Australia</w:t>
      </w:r>
      <w:r w:rsidRPr="00F37D51">
        <w:rPr>
          <w:rFonts w:asciiTheme="minorHAnsi" w:hAnsiTheme="minorHAnsi" w:cstheme="minorHAnsi"/>
          <w:sz w:val="24"/>
          <w:szCs w:val="22"/>
          <w:lang w:val="en-GB"/>
        </w:rPr>
        <w:t xml:space="preserve"> has increased by 17 per cent</w:t>
      </w:r>
      <w:r>
        <w:rPr>
          <w:rFonts w:asciiTheme="minorHAnsi" w:hAnsiTheme="minorHAnsi" w:cstheme="minorHAnsi"/>
          <w:sz w:val="24"/>
          <w:szCs w:val="22"/>
          <w:lang w:val="en-GB"/>
        </w:rPr>
        <w:t xml:space="preserve"> and the rate of</w:t>
      </w:r>
      <w:r w:rsidRPr="00F37D51">
        <w:rPr>
          <w:rFonts w:asciiTheme="minorHAnsi" w:hAnsiTheme="minorHAnsi" w:cstheme="minorHAnsi"/>
          <w:sz w:val="24"/>
          <w:szCs w:val="22"/>
          <w:lang w:val="en-GB"/>
        </w:rPr>
        <w:t xml:space="preserve"> organ donation </w:t>
      </w:r>
      <w:r>
        <w:rPr>
          <w:rFonts w:asciiTheme="minorHAnsi" w:hAnsiTheme="minorHAnsi" w:cstheme="minorHAnsi"/>
          <w:sz w:val="24"/>
          <w:szCs w:val="22"/>
          <w:lang w:val="en-GB"/>
        </w:rPr>
        <w:t>was</w:t>
      </w:r>
      <w:r w:rsidRPr="00F37D51">
        <w:rPr>
          <w:rFonts w:asciiTheme="minorHAnsi" w:hAnsiTheme="minorHAnsi" w:cstheme="minorHAnsi"/>
          <w:sz w:val="24"/>
          <w:szCs w:val="22"/>
          <w:lang w:val="en-GB"/>
        </w:rPr>
        <w:t xml:space="preserve"> 20.8 d</w:t>
      </w:r>
      <w:r>
        <w:rPr>
          <w:rFonts w:asciiTheme="minorHAnsi" w:hAnsiTheme="minorHAnsi" w:cstheme="minorHAnsi"/>
          <w:sz w:val="24"/>
          <w:szCs w:val="22"/>
          <w:lang w:val="en-GB"/>
        </w:rPr>
        <w:t xml:space="preserve">pmp in 2017 (compared to the target of 25 dpmp </w:t>
      </w:r>
      <w:r w:rsidR="00F04A6D">
        <w:rPr>
          <w:rFonts w:asciiTheme="minorHAnsi" w:hAnsiTheme="minorHAnsi" w:cstheme="minorHAnsi"/>
          <w:sz w:val="24"/>
          <w:szCs w:val="22"/>
          <w:lang w:val="en-GB"/>
        </w:rPr>
        <w:t>in</w:t>
      </w:r>
      <w:r>
        <w:rPr>
          <w:rFonts w:asciiTheme="minorHAnsi" w:hAnsiTheme="minorHAnsi" w:cstheme="minorHAnsi"/>
          <w:sz w:val="24"/>
          <w:szCs w:val="22"/>
          <w:lang w:val="en-GB"/>
        </w:rPr>
        <w:t xml:space="preserve"> 2018)</w:t>
      </w:r>
      <w:r w:rsidRPr="00F37D51">
        <w:rPr>
          <w:rFonts w:asciiTheme="minorHAnsi" w:hAnsiTheme="minorHAnsi" w:cstheme="minorHAnsi"/>
          <w:sz w:val="24"/>
          <w:szCs w:val="22"/>
          <w:lang w:val="en-GB"/>
        </w:rPr>
        <w:t xml:space="preserve">. </w:t>
      </w:r>
    </w:p>
    <w:p w14:paraId="36C94BA8" w14:textId="77777777" w:rsidR="00C30067" w:rsidRDefault="00C30067" w:rsidP="00C30067">
      <w:pPr>
        <w:numPr>
          <w:ilvl w:val="0"/>
          <w:numId w:val="18"/>
        </w:numPr>
        <w:tabs>
          <w:tab w:val="num" w:pos="720"/>
        </w:tabs>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The national </w:t>
      </w:r>
      <w:r>
        <w:rPr>
          <w:rFonts w:asciiTheme="minorHAnsi" w:hAnsiTheme="minorHAnsi" w:cstheme="minorHAnsi"/>
          <w:sz w:val="24"/>
          <w:szCs w:val="22"/>
          <w:lang w:val="en-GB"/>
        </w:rPr>
        <w:t xml:space="preserve">organ donation </w:t>
      </w:r>
      <w:r w:rsidRPr="00F37D51">
        <w:rPr>
          <w:rFonts w:asciiTheme="minorHAnsi" w:hAnsiTheme="minorHAnsi" w:cstheme="minorHAnsi"/>
          <w:sz w:val="24"/>
          <w:szCs w:val="22"/>
          <w:lang w:val="en-GB"/>
        </w:rPr>
        <w:t>target of 25 d</w:t>
      </w:r>
      <w:r>
        <w:rPr>
          <w:rFonts w:asciiTheme="minorHAnsi" w:hAnsiTheme="minorHAnsi" w:cstheme="minorHAnsi"/>
          <w:sz w:val="24"/>
          <w:szCs w:val="22"/>
          <w:lang w:val="en-GB"/>
        </w:rPr>
        <w:t>p</w:t>
      </w:r>
      <w:r w:rsidRPr="00F37D51">
        <w:rPr>
          <w:rFonts w:asciiTheme="minorHAnsi" w:hAnsiTheme="minorHAnsi" w:cstheme="minorHAnsi"/>
          <w:sz w:val="24"/>
          <w:szCs w:val="22"/>
          <w:lang w:val="en-GB"/>
        </w:rPr>
        <w:t>mp has been set</w:t>
      </w:r>
      <w:r>
        <w:rPr>
          <w:rFonts w:asciiTheme="minorHAnsi" w:hAnsiTheme="minorHAnsi" w:cstheme="minorHAnsi"/>
          <w:sz w:val="24"/>
          <w:szCs w:val="22"/>
          <w:lang w:val="en-GB"/>
        </w:rPr>
        <w:t xml:space="preserve"> based on modelling and currently the demand in every state is reported to be much higher than possible donation rates</w:t>
      </w:r>
      <w:r w:rsidRPr="00F37D51">
        <w:rPr>
          <w:rFonts w:asciiTheme="minorHAnsi" w:hAnsiTheme="minorHAnsi" w:cstheme="minorHAnsi"/>
          <w:sz w:val="24"/>
          <w:szCs w:val="22"/>
          <w:lang w:val="en-GB"/>
        </w:rPr>
        <w:t>.</w:t>
      </w:r>
    </w:p>
    <w:p w14:paraId="636846EB" w14:textId="77777777" w:rsidR="00C30067" w:rsidRPr="00F37D51" w:rsidRDefault="00C30067" w:rsidP="00C30067">
      <w:pPr>
        <w:numPr>
          <w:ilvl w:val="0"/>
          <w:numId w:val="18"/>
        </w:numPr>
        <w:tabs>
          <w:tab w:val="num" w:pos="720"/>
        </w:tabs>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The total </w:t>
      </w:r>
      <w:r>
        <w:rPr>
          <w:rFonts w:asciiTheme="minorHAnsi" w:hAnsiTheme="minorHAnsi" w:cstheme="minorHAnsi"/>
          <w:sz w:val="24"/>
          <w:szCs w:val="22"/>
          <w:lang w:val="en-GB"/>
        </w:rPr>
        <w:t xml:space="preserve">national </w:t>
      </w:r>
      <w:r w:rsidRPr="00F37D51">
        <w:rPr>
          <w:rFonts w:asciiTheme="minorHAnsi" w:hAnsiTheme="minorHAnsi" w:cstheme="minorHAnsi"/>
          <w:sz w:val="24"/>
          <w:szCs w:val="22"/>
          <w:lang w:val="en-GB"/>
        </w:rPr>
        <w:t xml:space="preserve">demand for organ </w:t>
      </w:r>
      <w:r>
        <w:rPr>
          <w:rFonts w:asciiTheme="minorHAnsi" w:hAnsiTheme="minorHAnsi" w:cstheme="minorHAnsi"/>
          <w:sz w:val="24"/>
          <w:szCs w:val="22"/>
          <w:lang w:val="en-GB"/>
        </w:rPr>
        <w:t xml:space="preserve">transplantation </w:t>
      </w:r>
      <w:r w:rsidRPr="00F37D51">
        <w:rPr>
          <w:rFonts w:asciiTheme="minorHAnsi" w:hAnsiTheme="minorHAnsi" w:cstheme="minorHAnsi"/>
          <w:sz w:val="24"/>
          <w:szCs w:val="22"/>
          <w:lang w:val="en-GB"/>
        </w:rPr>
        <w:t>is not known at this time.</w:t>
      </w:r>
    </w:p>
    <w:p w14:paraId="32758BE0" w14:textId="77777777" w:rsidR="00C30067" w:rsidRPr="00713F0A" w:rsidRDefault="00C30067" w:rsidP="00C30067">
      <w:pPr>
        <w:numPr>
          <w:ilvl w:val="0"/>
          <w:numId w:val="18"/>
        </w:numPr>
        <w:tabs>
          <w:tab w:val="num" w:pos="720"/>
        </w:tabs>
        <w:spacing w:after="120"/>
        <w:ind w:left="357" w:hanging="357"/>
        <w:rPr>
          <w:rFonts w:asciiTheme="minorHAnsi" w:hAnsiTheme="minorHAnsi" w:cstheme="minorHAnsi"/>
          <w:sz w:val="24"/>
          <w:szCs w:val="22"/>
          <w:lang w:val="en-GB"/>
        </w:rPr>
      </w:pPr>
      <w:r>
        <w:rPr>
          <w:rFonts w:asciiTheme="minorHAnsi" w:hAnsiTheme="minorHAnsi" w:cstheme="minorHAnsi"/>
          <w:sz w:val="24"/>
          <w:szCs w:val="22"/>
          <w:lang w:val="en-GB"/>
        </w:rPr>
        <w:t>D</w:t>
      </w:r>
      <w:r w:rsidRPr="00F37D51">
        <w:rPr>
          <w:rFonts w:asciiTheme="minorHAnsi" w:hAnsiTheme="minorHAnsi" w:cstheme="minorHAnsi"/>
          <w:sz w:val="24"/>
          <w:szCs w:val="22"/>
          <w:lang w:val="en-GB"/>
        </w:rPr>
        <w:t xml:space="preserve">onation performance continues to vary considerably by </w:t>
      </w:r>
      <w:r>
        <w:rPr>
          <w:rFonts w:asciiTheme="minorHAnsi" w:hAnsiTheme="minorHAnsi" w:cstheme="minorHAnsi"/>
          <w:sz w:val="24"/>
          <w:szCs w:val="22"/>
          <w:lang w:val="en-GB"/>
        </w:rPr>
        <w:t>state and territory and by hospital</w:t>
      </w:r>
      <w:r w:rsidR="0063492B">
        <w:rPr>
          <w:rFonts w:asciiTheme="minorHAnsi" w:hAnsiTheme="minorHAnsi" w:cstheme="minorHAnsi"/>
          <w:sz w:val="24"/>
          <w:szCs w:val="22"/>
          <w:lang w:val="en-GB"/>
        </w:rPr>
        <w:t>. H</w:t>
      </w:r>
      <w:r w:rsidR="00475918">
        <w:rPr>
          <w:rFonts w:asciiTheme="minorHAnsi" w:hAnsiTheme="minorHAnsi" w:cstheme="minorHAnsi"/>
          <w:sz w:val="24"/>
          <w:szCs w:val="22"/>
          <w:lang w:val="en-GB"/>
        </w:rPr>
        <w:t xml:space="preserve">owever, donation performance is not currently </w:t>
      </w:r>
      <w:r w:rsidR="00D711B9">
        <w:rPr>
          <w:rFonts w:asciiTheme="minorHAnsi" w:hAnsiTheme="minorHAnsi" w:cstheme="minorHAnsi"/>
          <w:sz w:val="24"/>
          <w:szCs w:val="22"/>
          <w:lang w:val="en-GB"/>
        </w:rPr>
        <w:t xml:space="preserve">accessibly </w:t>
      </w:r>
      <w:r w:rsidR="00475918">
        <w:rPr>
          <w:rFonts w:asciiTheme="minorHAnsi" w:hAnsiTheme="minorHAnsi" w:cstheme="minorHAnsi"/>
          <w:sz w:val="24"/>
          <w:szCs w:val="22"/>
          <w:lang w:val="en-GB"/>
        </w:rPr>
        <w:t>published</w:t>
      </w:r>
      <w:r w:rsidR="0063492B">
        <w:rPr>
          <w:rFonts w:asciiTheme="minorHAnsi" w:hAnsiTheme="minorHAnsi" w:cstheme="minorHAnsi"/>
          <w:sz w:val="24"/>
          <w:szCs w:val="22"/>
          <w:lang w:val="en-GB"/>
        </w:rPr>
        <w:t xml:space="preserve"> to</w:t>
      </w:r>
      <w:r w:rsidR="00475918">
        <w:rPr>
          <w:rFonts w:asciiTheme="minorHAnsi" w:hAnsiTheme="minorHAnsi" w:cstheme="minorHAnsi"/>
          <w:sz w:val="24"/>
          <w:szCs w:val="22"/>
          <w:lang w:val="en-GB"/>
        </w:rPr>
        <w:t xml:space="preserve"> </w:t>
      </w:r>
      <w:r w:rsidR="0063492B">
        <w:rPr>
          <w:rFonts w:asciiTheme="minorHAnsi" w:hAnsiTheme="minorHAnsi" w:cstheme="minorHAnsi"/>
          <w:sz w:val="24"/>
          <w:szCs w:val="22"/>
          <w:lang w:val="en-GB"/>
        </w:rPr>
        <w:t xml:space="preserve">provide </w:t>
      </w:r>
      <w:r w:rsidR="00475918">
        <w:rPr>
          <w:rFonts w:asciiTheme="minorHAnsi" w:hAnsiTheme="minorHAnsi" w:cstheme="minorHAnsi"/>
          <w:sz w:val="24"/>
          <w:szCs w:val="22"/>
          <w:lang w:val="en-GB"/>
        </w:rPr>
        <w:t xml:space="preserve">transparency </w:t>
      </w:r>
      <w:r w:rsidR="0063492B">
        <w:rPr>
          <w:rFonts w:asciiTheme="minorHAnsi" w:hAnsiTheme="minorHAnsi" w:cstheme="minorHAnsi"/>
          <w:sz w:val="24"/>
          <w:szCs w:val="22"/>
          <w:lang w:val="en-GB"/>
        </w:rPr>
        <w:t xml:space="preserve">of </w:t>
      </w:r>
      <w:r w:rsidR="00475918">
        <w:rPr>
          <w:rFonts w:asciiTheme="minorHAnsi" w:hAnsiTheme="minorHAnsi" w:cstheme="minorHAnsi"/>
          <w:sz w:val="24"/>
          <w:szCs w:val="22"/>
          <w:lang w:val="en-GB"/>
        </w:rPr>
        <w:t>donation performance</w:t>
      </w:r>
      <w:r w:rsidRPr="00F37D51">
        <w:rPr>
          <w:rFonts w:asciiTheme="minorHAnsi" w:hAnsiTheme="minorHAnsi" w:cstheme="minorHAnsi"/>
          <w:sz w:val="24"/>
          <w:szCs w:val="22"/>
          <w:lang w:val="en-GB"/>
        </w:rPr>
        <w:t>.</w:t>
      </w:r>
    </w:p>
    <w:p w14:paraId="6283D66E" w14:textId="77777777" w:rsidR="00C30067" w:rsidRPr="00266A77" w:rsidRDefault="00C30067" w:rsidP="00C30067">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seventeen is that an epidemiological study into demand for organ transplantation in Australia to better understand the organ donation rates required to meet demand should be commissioned by the Australian Government. Recommendation eighteen is that based on the findings from the above study, the COAG Health Council should review the national organ donation target to ensure that donation strategies are designed to meet the expected demand for organ transplantation. Recommendation nineteen is that the donation performance by each hospital with a total inpatient activity of over 20,000 National Weighted Activity Units (NWAU) per annum annually should be published on the DonateLife website in an easily accessible and user-friendly format to assist in identifying variability in performance and enabling benchmarking to more effectively manage hospital performance."/>
      </w:tblPr>
      <w:tblGrid>
        <w:gridCol w:w="2268"/>
        <w:gridCol w:w="7479"/>
      </w:tblGrid>
      <w:tr w:rsidR="00C31175" w:rsidRPr="00DC1007" w14:paraId="06EEDF8F" w14:textId="77777777" w:rsidTr="00AE3ED1">
        <w:trPr>
          <w:tblHeader/>
        </w:trPr>
        <w:tc>
          <w:tcPr>
            <w:tcW w:w="2268" w:type="dxa"/>
            <w:shd w:val="clear" w:color="auto" w:fill="595959" w:themeFill="text1" w:themeFillTint="A6"/>
          </w:tcPr>
          <w:p w14:paraId="0947242E" w14:textId="6C3E2DDC" w:rsidR="00C31175" w:rsidRPr="00AE3ED1" w:rsidRDefault="00C31175" w:rsidP="00AE3ED1">
            <w:pPr>
              <w:spacing w:after="120"/>
              <w:ind w:right="-321"/>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Recommendation</w:t>
            </w:r>
          </w:p>
        </w:tc>
        <w:tc>
          <w:tcPr>
            <w:tcW w:w="7479" w:type="dxa"/>
            <w:shd w:val="clear" w:color="auto" w:fill="595959" w:themeFill="text1" w:themeFillTint="A6"/>
          </w:tcPr>
          <w:p w14:paraId="0943BE79" w14:textId="5EF7AB1E" w:rsidR="00C31175" w:rsidRPr="00AE3ED1" w:rsidRDefault="00C31175" w:rsidP="00AE3ED1">
            <w:pPr>
              <w:spacing w:after="120"/>
              <w:ind w:right="-142"/>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Description</w:t>
            </w:r>
          </w:p>
        </w:tc>
      </w:tr>
      <w:tr w:rsidR="00C30067" w:rsidRPr="00DC1007" w14:paraId="0A5E1139" w14:textId="77777777" w:rsidTr="00AE3ED1">
        <w:tc>
          <w:tcPr>
            <w:tcW w:w="2268" w:type="dxa"/>
          </w:tcPr>
          <w:p w14:paraId="76C633CB" w14:textId="77777777" w:rsidR="00C30067" w:rsidRPr="00F37D51" w:rsidRDefault="00C30067" w:rsidP="00AE3ED1">
            <w:pPr>
              <w:spacing w:after="120"/>
              <w:ind w:right="-321"/>
              <w:rPr>
                <w:rFonts w:asciiTheme="minorHAnsi" w:hAnsiTheme="minorHAnsi" w:cstheme="minorHAnsi"/>
                <w:b/>
                <w:sz w:val="24"/>
                <w:szCs w:val="22"/>
                <w:lang w:val="en-GB"/>
              </w:rPr>
            </w:pPr>
            <w:r w:rsidRPr="00F37D51">
              <w:rPr>
                <w:rFonts w:asciiTheme="minorHAnsi" w:hAnsiTheme="minorHAnsi" w:cstheme="minorHAnsi"/>
                <w:b/>
                <w:sz w:val="24"/>
                <w:szCs w:val="22"/>
                <w:lang w:val="en-GB"/>
              </w:rPr>
              <w:t>Recommendation 1</w:t>
            </w:r>
            <w:r w:rsidR="00713FEE">
              <w:rPr>
                <w:rFonts w:asciiTheme="minorHAnsi" w:hAnsiTheme="minorHAnsi" w:cstheme="minorHAnsi"/>
                <w:b/>
                <w:sz w:val="24"/>
                <w:szCs w:val="22"/>
                <w:lang w:val="en-GB"/>
              </w:rPr>
              <w:t>7</w:t>
            </w:r>
          </w:p>
        </w:tc>
        <w:tc>
          <w:tcPr>
            <w:tcW w:w="7479" w:type="dxa"/>
          </w:tcPr>
          <w:p w14:paraId="2CBDD9ED" w14:textId="77777777" w:rsidR="00C30067" w:rsidRPr="00F37D51" w:rsidRDefault="00C30067" w:rsidP="00AE3ED1">
            <w:pPr>
              <w:spacing w:after="120"/>
              <w:ind w:right="-142"/>
              <w:rPr>
                <w:rFonts w:asciiTheme="minorHAnsi" w:hAnsiTheme="minorHAnsi" w:cstheme="minorHAnsi"/>
                <w:sz w:val="24"/>
                <w:szCs w:val="22"/>
                <w:lang w:val="en-GB"/>
              </w:rPr>
            </w:pPr>
            <w:r>
              <w:rPr>
                <w:rFonts w:asciiTheme="minorHAnsi" w:hAnsiTheme="minorHAnsi" w:cstheme="minorHAnsi"/>
                <w:sz w:val="24"/>
                <w:szCs w:val="22"/>
                <w:lang w:val="en-GB"/>
              </w:rPr>
              <w:t>A</w:t>
            </w:r>
            <w:r w:rsidRPr="00F37D51">
              <w:rPr>
                <w:rFonts w:asciiTheme="minorHAnsi" w:hAnsiTheme="minorHAnsi" w:cstheme="minorHAnsi"/>
                <w:sz w:val="24"/>
                <w:szCs w:val="22"/>
                <w:lang w:val="en-GB"/>
              </w:rPr>
              <w:t xml:space="preserve">n epidemiological study into demand for organ transplantation in Australia to better understand the </w:t>
            </w:r>
            <w:r>
              <w:rPr>
                <w:rFonts w:asciiTheme="minorHAnsi" w:hAnsiTheme="minorHAnsi" w:cstheme="minorHAnsi"/>
                <w:sz w:val="24"/>
                <w:szCs w:val="22"/>
                <w:lang w:val="en-GB"/>
              </w:rPr>
              <w:t xml:space="preserve">organ </w:t>
            </w:r>
            <w:r w:rsidRPr="00F37D51">
              <w:rPr>
                <w:rFonts w:asciiTheme="minorHAnsi" w:hAnsiTheme="minorHAnsi" w:cstheme="minorHAnsi"/>
                <w:sz w:val="24"/>
                <w:szCs w:val="22"/>
                <w:lang w:val="en-GB"/>
              </w:rPr>
              <w:t>donation rates required to meet demand</w:t>
            </w:r>
            <w:r>
              <w:rPr>
                <w:rFonts w:asciiTheme="minorHAnsi" w:hAnsiTheme="minorHAnsi" w:cstheme="minorHAnsi"/>
                <w:sz w:val="24"/>
                <w:szCs w:val="22"/>
                <w:lang w:val="en-GB"/>
              </w:rPr>
              <w:t xml:space="preserve"> should be commissioned</w:t>
            </w:r>
            <w:r w:rsidR="00C32315">
              <w:rPr>
                <w:rFonts w:asciiTheme="minorHAnsi" w:hAnsiTheme="minorHAnsi" w:cstheme="minorHAnsi"/>
                <w:sz w:val="24"/>
                <w:szCs w:val="22"/>
                <w:lang w:val="en-GB"/>
              </w:rPr>
              <w:t xml:space="preserve"> by the Australian Government</w:t>
            </w:r>
            <w:r w:rsidRPr="00F37D51">
              <w:rPr>
                <w:rFonts w:asciiTheme="minorHAnsi" w:hAnsiTheme="minorHAnsi" w:cstheme="minorHAnsi"/>
                <w:sz w:val="24"/>
                <w:szCs w:val="22"/>
                <w:lang w:val="en-GB"/>
              </w:rPr>
              <w:t>.</w:t>
            </w:r>
          </w:p>
        </w:tc>
      </w:tr>
      <w:tr w:rsidR="00C30067" w:rsidRPr="00DC1007" w14:paraId="117ABF0C" w14:textId="77777777" w:rsidTr="00AE3ED1">
        <w:tc>
          <w:tcPr>
            <w:tcW w:w="2268" w:type="dxa"/>
          </w:tcPr>
          <w:p w14:paraId="55C76D0E" w14:textId="77777777" w:rsidR="00C30067" w:rsidRPr="00F37D51" w:rsidRDefault="00C30067" w:rsidP="00AE3ED1">
            <w:pPr>
              <w:spacing w:after="120"/>
              <w:ind w:right="-321"/>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Pr>
                <w:rFonts w:asciiTheme="minorHAnsi" w:hAnsiTheme="minorHAnsi" w:cstheme="minorHAnsi"/>
                <w:b/>
                <w:sz w:val="24"/>
                <w:szCs w:val="22"/>
                <w:lang w:val="en-GB"/>
              </w:rPr>
              <w:t>1</w:t>
            </w:r>
            <w:r w:rsidR="00713FEE">
              <w:rPr>
                <w:rFonts w:asciiTheme="minorHAnsi" w:hAnsiTheme="minorHAnsi" w:cstheme="minorHAnsi"/>
                <w:b/>
                <w:sz w:val="24"/>
                <w:szCs w:val="22"/>
                <w:lang w:val="en-GB"/>
              </w:rPr>
              <w:t>8</w:t>
            </w:r>
          </w:p>
        </w:tc>
        <w:tc>
          <w:tcPr>
            <w:tcW w:w="7479" w:type="dxa"/>
          </w:tcPr>
          <w:p w14:paraId="5EAF9883" w14:textId="77777777" w:rsidR="00C30067" w:rsidRPr="00545923" w:rsidRDefault="00C30067" w:rsidP="00AE3ED1">
            <w:pPr>
              <w:spacing w:after="120"/>
              <w:ind w:right="-142"/>
              <w:rPr>
                <w:rFonts w:asciiTheme="minorHAnsi" w:hAnsiTheme="minorHAnsi" w:cstheme="minorHAnsi"/>
                <w:sz w:val="24"/>
                <w:szCs w:val="22"/>
                <w:lang w:val="en-GB"/>
              </w:rPr>
            </w:pPr>
            <w:r w:rsidRPr="00545923">
              <w:rPr>
                <w:rFonts w:asciiTheme="minorHAnsi" w:hAnsiTheme="minorHAnsi" w:cstheme="minorHAnsi"/>
                <w:sz w:val="24"/>
                <w:szCs w:val="22"/>
                <w:lang w:val="en-GB"/>
              </w:rPr>
              <w:t xml:space="preserve">Based on the findings from the above study, </w:t>
            </w:r>
            <w:r w:rsidR="00B45325" w:rsidRPr="00545923">
              <w:rPr>
                <w:rFonts w:asciiTheme="minorHAnsi" w:hAnsiTheme="minorHAnsi" w:cstheme="minorHAnsi"/>
                <w:sz w:val="24"/>
                <w:szCs w:val="22"/>
                <w:lang w:val="en-GB"/>
              </w:rPr>
              <w:t xml:space="preserve">the </w:t>
            </w:r>
            <w:r w:rsidRPr="00545923">
              <w:rPr>
                <w:rFonts w:asciiTheme="minorHAnsi" w:hAnsiTheme="minorHAnsi" w:cstheme="minorHAnsi"/>
                <w:sz w:val="24"/>
                <w:szCs w:val="22"/>
                <w:lang w:val="en-GB"/>
              </w:rPr>
              <w:t xml:space="preserve">COAG Health Council should review the national organ donation target to ensure that donation </w:t>
            </w:r>
            <w:r w:rsidR="00C32315" w:rsidRPr="00545923">
              <w:rPr>
                <w:rFonts w:asciiTheme="minorHAnsi" w:hAnsiTheme="minorHAnsi" w:cstheme="minorHAnsi"/>
                <w:sz w:val="24"/>
                <w:szCs w:val="22"/>
                <w:lang w:val="en-GB"/>
              </w:rPr>
              <w:t>strategies are design</w:t>
            </w:r>
            <w:r w:rsidR="00DA108D" w:rsidRPr="00545923">
              <w:rPr>
                <w:rFonts w:asciiTheme="minorHAnsi" w:hAnsiTheme="minorHAnsi" w:cstheme="minorHAnsi"/>
                <w:sz w:val="24"/>
                <w:szCs w:val="22"/>
                <w:lang w:val="en-GB"/>
              </w:rPr>
              <w:t>ed</w:t>
            </w:r>
            <w:r w:rsidR="00C32315" w:rsidRPr="00545923">
              <w:rPr>
                <w:rFonts w:asciiTheme="minorHAnsi" w:hAnsiTheme="minorHAnsi" w:cstheme="minorHAnsi"/>
                <w:sz w:val="24"/>
                <w:szCs w:val="22"/>
                <w:lang w:val="en-GB"/>
              </w:rPr>
              <w:t xml:space="preserve"> to meet</w:t>
            </w:r>
            <w:r w:rsidRPr="00545923">
              <w:rPr>
                <w:rFonts w:asciiTheme="minorHAnsi" w:hAnsiTheme="minorHAnsi" w:cstheme="minorHAnsi"/>
                <w:sz w:val="24"/>
                <w:szCs w:val="22"/>
                <w:lang w:val="en-GB"/>
              </w:rPr>
              <w:t xml:space="preserve"> the expected demand for organ transplantation.</w:t>
            </w:r>
            <w:r w:rsidR="00D46C4E" w:rsidRPr="00545923">
              <w:rPr>
                <w:rFonts w:asciiTheme="minorHAnsi" w:hAnsiTheme="minorHAnsi" w:cstheme="minorHAnsi"/>
                <w:sz w:val="24"/>
                <w:szCs w:val="22"/>
                <w:lang w:val="en-GB"/>
              </w:rPr>
              <w:t xml:space="preserve"> </w:t>
            </w:r>
          </w:p>
        </w:tc>
      </w:tr>
      <w:tr w:rsidR="00C30067" w:rsidRPr="00DC1007" w14:paraId="6694AFD1" w14:textId="77777777" w:rsidTr="00AE3ED1">
        <w:tc>
          <w:tcPr>
            <w:tcW w:w="2268" w:type="dxa"/>
          </w:tcPr>
          <w:p w14:paraId="2CFFE097" w14:textId="77777777" w:rsidR="00C30067" w:rsidRPr="00F37D51" w:rsidRDefault="00C30067" w:rsidP="00AE3ED1">
            <w:pPr>
              <w:spacing w:after="120"/>
              <w:ind w:right="-321"/>
              <w:rPr>
                <w:rFonts w:asciiTheme="minorHAnsi" w:hAnsiTheme="minorHAnsi" w:cstheme="minorHAnsi"/>
                <w:b/>
                <w:sz w:val="24"/>
                <w:szCs w:val="22"/>
                <w:lang w:val="en-GB"/>
              </w:rPr>
            </w:pPr>
            <w:r>
              <w:rPr>
                <w:rFonts w:asciiTheme="minorHAnsi" w:hAnsiTheme="minorHAnsi" w:cstheme="minorHAnsi"/>
                <w:b/>
                <w:sz w:val="24"/>
                <w:szCs w:val="22"/>
                <w:lang w:val="en-GB"/>
              </w:rPr>
              <w:t xml:space="preserve">Recommendation </w:t>
            </w:r>
            <w:r w:rsidR="00713FEE">
              <w:rPr>
                <w:rFonts w:asciiTheme="minorHAnsi" w:hAnsiTheme="minorHAnsi" w:cstheme="minorHAnsi"/>
                <w:b/>
                <w:sz w:val="24"/>
                <w:szCs w:val="22"/>
                <w:lang w:val="en-GB"/>
              </w:rPr>
              <w:t>19</w:t>
            </w:r>
          </w:p>
        </w:tc>
        <w:tc>
          <w:tcPr>
            <w:tcW w:w="7479" w:type="dxa"/>
          </w:tcPr>
          <w:p w14:paraId="606A3C35" w14:textId="17337CE8" w:rsidR="00713FEE" w:rsidRPr="00545923" w:rsidRDefault="00C30067" w:rsidP="00AE3ED1">
            <w:pPr>
              <w:spacing w:after="120"/>
              <w:ind w:right="-142"/>
              <w:rPr>
                <w:rFonts w:asciiTheme="minorHAnsi" w:hAnsiTheme="minorHAnsi" w:cstheme="minorHAnsi"/>
                <w:sz w:val="24"/>
                <w:szCs w:val="22"/>
                <w:lang w:val="en-GB"/>
              </w:rPr>
            </w:pPr>
            <w:r w:rsidRPr="00545923">
              <w:rPr>
                <w:rFonts w:asciiTheme="minorHAnsi" w:hAnsiTheme="minorHAnsi" w:cstheme="minorHAnsi"/>
                <w:sz w:val="24"/>
                <w:szCs w:val="22"/>
                <w:lang w:val="en-GB"/>
              </w:rPr>
              <w:t>The donation performance by each hospital with a total inpatient activity of over 20,000 National Weighted Activity Unit</w:t>
            </w:r>
            <w:r w:rsidR="00C32315" w:rsidRPr="00545923">
              <w:rPr>
                <w:rFonts w:asciiTheme="minorHAnsi" w:hAnsiTheme="minorHAnsi" w:cstheme="minorHAnsi"/>
                <w:sz w:val="24"/>
                <w:szCs w:val="22"/>
                <w:lang w:val="en-GB"/>
              </w:rPr>
              <w:t>s</w:t>
            </w:r>
            <w:r w:rsidRPr="00545923">
              <w:rPr>
                <w:rFonts w:asciiTheme="minorHAnsi" w:hAnsiTheme="minorHAnsi" w:cstheme="minorHAnsi"/>
                <w:sz w:val="24"/>
                <w:szCs w:val="22"/>
                <w:lang w:val="en-GB"/>
              </w:rPr>
              <w:t xml:space="preserve"> </w:t>
            </w:r>
            <w:r w:rsidR="000103FF">
              <w:rPr>
                <w:rFonts w:asciiTheme="minorHAnsi" w:hAnsiTheme="minorHAnsi" w:cstheme="minorHAnsi"/>
                <w:sz w:val="24"/>
                <w:szCs w:val="22"/>
                <w:lang w:val="en-GB"/>
              </w:rPr>
              <w:t xml:space="preserve">(NWAU) </w:t>
            </w:r>
            <w:r w:rsidRPr="00545923">
              <w:rPr>
                <w:rFonts w:asciiTheme="minorHAnsi" w:hAnsiTheme="minorHAnsi" w:cstheme="minorHAnsi"/>
                <w:sz w:val="24"/>
                <w:szCs w:val="22"/>
                <w:lang w:val="en-GB"/>
              </w:rPr>
              <w:t>per annum annually should be published on the DonateLife website in an easily accessible and user-friendly format to assist in identifying variability in performance and enabling benchmarking to more effectively manage hospital performance.</w:t>
            </w:r>
            <w:r w:rsidR="00D72901">
              <w:rPr>
                <w:rStyle w:val="FootnoteReference"/>
                <w:rFonts w:cstheme="minorHAnsi"/>
                <w:lang w:val="en-GB"/>
              </w:rPr>
              <w:footnoteReference w:id="112"/>
            </w:r>
          </w:p>
        </w:tc>
      </w:tr>
    </w:tbl>
    <w:p w14:paraId="7129DAB6" w14:textId="77777777" w:rsidR="00C30067" w:rsidRPr="00BF220F" w:rsidRDefault="00C30067" w:rsidP="00C30067">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624" w:name="_Ref527625820"/>
      <w:r w:rsidRPr="00BF220F">
        <w:rPr>
          <w:rFonts w:asciiTheme="minorHAnsi" w:hAnsiTheme="minorHAnsi" w:cstheme="minorHAnsi"/>
          <w:b w:val="0"/>
          <w:color w:val="7F7F7F" w:themeColor="text1" w:themeTint="80"/>
          <w:sz w:val="30"/>
          <w:szCs w:val="30"/>
        </w:rPr>
        <w:t>Projected organ donation performance</w:t>
      </w:r>
      <w:bookmarkEnd w:id="624"/>
    </w:p>
    <w:p w14:paraId="6DB866A2" w14:textId="77777777" w:rsidR="00C30067" w:rsidRPr="00BF220F" w:rsidRDefault="00C30067" w:rsidP="00C30067">
      <w:pPr>
        <w:tabs>
          <w:tab w:val="num" w:pos="720"/>
        </w:tabs>
        <w:spacing w:after="120"/>
        <w:rPr>
          <w:rFonts w:asciiTheme="minorHAnsi" w:hAnsiTheme="minorHAnsi" w:cstheme="minorHAnsi"/>
          <w:i/>
          <w:color w:val="808080" w:themeColor="background1" w:themeShade="80"/>
          <w:sz w:val="26"/>
          <w:szCs w:val="26"/>
        </w:rPr>
      </w:pPr>
      <w:r w:rsidRPr="00BF220F">
        <w:rPr>
          <w:rFonts w:asciiTheme="minorHAnsi" w:hAnsiTheme="minorHAnsi" w:cstheme="minorHAnsi"/>
          <w:i/>
          <w:color w:val="808080" w:themeColor="background1" w:themeShade="80"/>
          <w:sz w:val="26"/>
          <w:szCs w:val="26"/>
        </w:rPr>
        <w:t>Discussion of findings</w:t>
      </w:r>
    </w:p>
    <w:p w14:paraId="5646520E" w14:textId="2589F9D9" w:rsidR="00C30067" w:rsidRDefault="00C30067" w:rsidP="00C30067">
      <w:pPr>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The positive growth experienced in organ donation performance is predicted to continue towards 2025. The rate of national growth from 2008 and 2017 was </w:t>
      </w:r>
      <w:r w:rsidR="0084734A">
        <w:rPr>
          <w:rFonts w:asciiTheme="minorHAnsi" w:hAnsiTheme="minorHAnsi" w:cstheme="minorHAnsi"/>
          <w:sz w:val="24"/>
          <w:szCs w:val="24"/>
          <w:lang w:val="en-GB"/>
        </w:rPr>
        <w:t>1</w:t>
      </w:r>
      <w:r>
        <w:rPr>
          <w:rFonts w:asciiTheme="minorHAnsi" w:hAnsiTheme="minorHAnsi" w:cstheme="minorHAnsi"/>
          <w:sz w:val="24"/>
          <w:szCs w:val="24"/>
          <w:lang w:val="en-GB"/>
        </w:rPr>
        <w:t>57 per cent.</w:t>
      </w:r>
      <w:r>
        <w:rPr>
          <w:rStyle w:val="FootnoteReference"/>
          <w:rFonts w:cstheme="minorHAnsi"/>
          <w:lang w:val="en-GB"/>
        </w:rPr>
        <w:footnoteReference w:id="113"/>
      </w:r>
      <w:r>
        <w:rPr>
          <w:rFonts w:asciiTheme="minorHAnsi" w:hAnsiTheme="minorHAnsi" w:cstheme="minorHAnsi"/>
          <w:sz w:val="24"/>
          <w:szCs w:val="24"/>
          <w:lang w:val="en-GB"/>
        </w:rPr>
        <w:t xml:space="preserve"> As outlined in </w:t>
      </w:r>
      <w:r>
        <w:rPr>
          <w:rFonts w:asciiTheme="minorHAnsi" w:hAnsiTheme="minorHAnsi" w:cstheme="minorHAnsi"/>
          <w:sz w:val="24"/>
          <w:szCs w:val="24"/>
          <w:lang w:val="en-GB"/>
        </w:rPr>
        <w:fldChar w:fldCharType="begin"/>
      </w:r>
      <w:r>
        <w:rPr>
          <w:rFonts w:asciiTheme="minorHAnsi" w:hAnsiTheme="minorHAnsi" w:cstheme="minorHAnsi"/>
          <w:sz w:val="24"/>
          <w:szCs w:val="24"/>
          <w:lang w:val="en-GB"/>
        </w:rPr>
        <w:instrText xml:space="preserve"> REF _Ref527545731 \h  \* MERGEFORMAT </w:instrText>
      </w:r>
      <w:r>
        <w:rPr>
          <w:rFonts w:asciiTheme="minorHAnsi" w:hAnsiTheme="minorHAnsi" w:cstheme="minorHAnsi"/>
          <w:sz w:val="24"/>
          <w:szCs w:val="24"/>
          <w:lang w:val="en-GB"/>
        </w:rPr>
      </w:r>
      <w:r>
        <w:rPr>
          <w:rFonts w:asciiTheme="minorHAnsi" w:hAnsiTheme="minorHAnsi" w:cstheme="minorHAnsi"/>
          <w:sz w:val="24"/>
          <w:szCs w:val="24"/>
          <w:lang w:val="en-GB"/>
        </w:rPr>
        <w:fldChar w:fldCharType="separate"/>
      </w:r>
      <w:r w:rsidR="00A04048" w:rsidRPr="00C75FAB">
        <w:rPr>
          <w:rFonts w:asciiTheme="minorHAnsi" w:hAnsiTheme="minorHAnsi" w:cstheme="minorHAnsi"/>
          <w:sz w:val="24"/>
          <w:szCs w:val="24"/>
          <w:lang w:val="en-GB"/>
        </w:rPr>
        <w:t>Table 15</w:t>
      </w:r>
      <w:r>
        <w:rPr>
          <w:rFonts w:asciiTheme="minorHAnsi" w:hAnsiTheme="minorHAnsi" w:cstheme="minorHAnsi"/>
          <w:sz w:val="24"/>
          <w:szCs w:val="24"/>
          <w:lang w:val="en-GB"/>
        </w:rPr>
        <w:fldChar w:fldCharType="end"/>
      </w:r>
      <w:r>
        <w:rPr>
          <w:rFonts w:asciiTheme="minorHAnsi" w:hAnsiTheme="minorHAnsi" w:cstheme="minorHAnsi"/>
          <w:sz w:val="24"/>
          <w:szCs w:val="24"/>
          <w:lang w:val="en-GB"/>
        </w:rPr>
        <w:t xml:space="preserve">, if donation performance followed the trajectory of 257 per cent growth from 2007 – 2017, Australia is expected to achieve a dpmp of 27.1 by 2025. This projection assumes that the population continues to grow at 1.6 per cent each year, and no downstream resourcing (in retrieval and transplantation) limits growth. This expected growth has been accounted for in the </w:t>
      </w:r>
      <w:r w:rsidRPr="00A33214">
        <w:rPr>
          <w:rFonts w:asciiTheme="minorHAnsi" w:hAnsiTheme="minorHAnsi" w:cstheme="minorHAnsi"/>
          <w:i/>
          <w:sz w:val="24"/>
          <w:szCs w:val="24"/>
          <w:lang w:val="en-GB"/>
        </w:rPr>
        <w:t>OTA Strategic Plan 2018-2019: Progressing Australian organ and tissue donation and transplantation to 2021</w:t>
      </w:r>
      <w:r>
        <w:rPr>
          <w:rFonts w:asciiTheme="minorHAnsi" w:hAnsiTheme="minorHAnsi" w:cstheme="minorHAnsi"/>
          <w:sz w:val="24"/>
          <w:szCs w:val="24"/>
          <w:lang w:val="en-GB"/>
        </w:rPr>
        <w:t>, through the objectives to optimise donation opportunities and enhance systems to support donation and transplantation.</w:t>
      </w:r>
      <w:r>
        <w:rPr>
          <w:rStyle w:val="FootnoteReference"/>
          <w:rFonts w:cstheme="minorHAnsi"/>
          <w:lang w:val="en-GB"/>
        </w:rPr>
        <w:footnoteReference w:id="114"/>
      </w:r>
      <w:r>
        <w:rPr>
          <w:rFonts w:asciiTheme="minorHAnsi" w:hAnsiTheme="minorHAnsi" w:cstheme="minorHAnsi"/>
          <w:sz w:val="24"/>
          <w:szCs w:val="24"/>
          <w:lang w:val="en-GB"/>
        </w:rPr>
        <w:t xml:space="preserve"> </w:t>
      </w:r>
    </w:p>
    <w:p w14:paraId="62C6D101" w14:textId="77777777" w:rsidR="00C30067" w:rsidRPr="004938CA" w:rsidRDefault="00C30067" w:rsidP="00C30067">
      <w:pPr>
        <w:pStyle w:val="Caption"/>
        <w:keepNext/>
        <w:widowControl/>
        <w:spacing w:after="120"/>
        <w:rPr>
          <w:rFonts w:asciiTheme="minorHAnsi" w:hAnsiTheme="minorHAnsi" w:cstheme="minorHAnsi"/>
          <w:color w:val="808080"/>
        </w:rPr>
      </w:pPr>
      <w:bookmarkStart w:id="625" w:name="_Ref527545731"/>
      <w:r w:rsidRPr="004938CA">
        <w:rPr>
          <w:rFonts w:asciiTheme="minorHAnsi" w:hAnsiTheme="minorHAnsi" w:cstheme="minorHAnsi"/>
          <w:b w:val="0"/>
          <w:color w:val="808080"/>
          <w:sz w:val="20"/>
        </w:rPr>
        <w:t xml:space="preserve">Table </w:t>
      </w:r>
      <w:r w:rsidRPr="004938CA">
        <w:rPr>
          <w:rFonts w:asciiTheme="minorHAnsi" w:hAnsiTheme="minorHAnsi" w:cstheme="minorHAnsi"/>
          <w:b w:val="0"/>
          <w:color w:val="808080"/>
          <w:sz w:val="20"/>
        </w:rPr>
        <w:fldChar w:fldCharType="begin"/>
      </w:r>
      <w:r w:rsidRPr="004938CA">
        <w:rPr>
          <w:rFonts w:asciiTheme="minorHAnsi" w:hAnsiTheme="minorHAnsi" w:cstheme="minorHAnsi"/>
          <w:b w:val="0"/>
          <w:color w:val="808080"/>
          <w:sz w:val="20"/>
        </w:rPr>
        <w:instrText xml:space="preserve"> SEQ Table \* ARABIC </w:instrText>
      </w:r>
      <w:r w:rsidRPr="004938CA">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15</w:t>
      </w:r>
      <w:r w:rsidRPr="004938CA">
        <w:rPr>
          <w:rFonts w:asciiTheme="minorHAnsi" w:hAnsiTheme="minorHAnsi" w:cstheme="minorHAnsi"/>
          <w:b w:val="0"/>
          <w:color w:val="808080"/>
          <w:sz w:val="20"/>
        </w:rPr>
        <w:fldChar w:fldCharType="end"/>
      </w:r>
      <w:bookmarkEnd w:id="625"/>
      <w:r w:rsidRPr="004938CA">
        <w:rPr>
          <w:rFonts w:asciiTheme="minorHAnsi" w:hAnsiTheme="minorHAnsi" w:cstheme="minorHAnsi"/>
          <w:b w:val="0"/>
          <w:color w:val="808080"/>
          <w:sz w:val="20"/>
        </w:rPr>
        <w:t xml:space="preserve">: </w:t>
      </w:r>
      <w:r w:rsidRPr="0079441C">
        <w:rPr>
          <w:rFonts w:asciiTheme="minorHAnsi" w:hAnsiTheme="minorHAnsi" w:cstheme="minorHAnsi"/>
          <w:b w:val="0"/>
          <w:color w:val="808080"/>
          <w:sz w:val="20"/>
        </w:rPr>
        <w:t>Forward projections for organ donation</w:t>
      </w:r>
      <w:r>
        <w:rPr>
          <w:rFonts w:asciiTheme="minorHAnsi" w:hAnsiTheme="minorHAnsi" w:cstheme="minorHAnsi"/>
          <w:b w:val="0"/>
          <w:color w:val="808080"/>
          <w:sz w:val="20"/>
        </w:rPr>
        <w:t xml:space="preserve"> performance</w:t>
      </w:r>
      <w:r w:rsidR="007A0C20">
        <w:rPr>
          <w:rFonts w:asciiTheme="minorHAnsi" w:hAnsiTheme="minorHAnsi" w:cstheme="minorHAnsi"/>
          <w:b w:val="0"/>
          <w:color w:val="808080"/>
          <w:sz w:val="20"/>
        </w:rPr>
        <w:t xml:space="preserve">, SOURCE: </w:t>
      </w:r>
      <w:r w:rsidR="0084734A">
        <w:rPr>
          <w:rFonts w:asciiTheme="minorHAnsi" w:hAnsiTheme="minorHAnsi" w:cstheme="minorHAnsi"/>
          <w:b w:val="0"/>
          <w:color w:val="808080"/>
          <w:sz w:val="20"/>
        </w:rPr>
        <w:t>The OTA</w:t>
      </w:r>
      <w:r w:rsidR="0084734A">
        <w:rPr>
          <w:rStyle w:val="FootnoteReference"/>
          <w:rFonts w:cstheme="minorHAnsi"/>
          <w:b w:val="0"/>
          <w:color w:val="808080"/>
        </w:rPr>
        <w:footnoteReference w:id="115"/>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600" w:firstRow="0" w:lastRow="0" w:firstColumn="0" w:lastColumn="0" w:noHBand="1" w:noVBand="1"/>
      </w:tblPr>
      <w:tblGrid>
        <w:gridCol w:w="854"/>
        <w:gridCol w:w="459"/>
        <w:gridCol w:w="461"/>
        <w:gridCol w:w="461"/>
        <w:gridCol w:w="461"/>
        <w:gridCol w:w="461"/>
        <w:gridCol w:w="461"/>
        <w:gridCol w:w="461"/>
        <w:gridCol w:w="461"/>
        <w:gridCol w:w="461"/>
        <w:gridCol w:w="461"/>
        <w:gridCol w:w="461"/>
        <w:gridCol w:w="461"/>
        <w:gridCol w:w="461"/>
        <w:gridCol w:w="461"/>
        <w:gridCol w:w="461"/>
        <w:gridCol w:w="461"/>
        <w:gridCol w:w="461"/>
        <w:gridCol w:w="461"/>
        <w:gridCol w:w="455"/>
      </w:tblGrid>
      <w:tr w:rsidR="00BF4892" w:rsidRPr="008E083E" w14:paraId="2CE449DB" w14:textId="77777777" w:rsidTr="008E083E">
        <w:trPr>
          <w:trHeight w:val="332"/>
          <w:tblHeader/>
        </w:trPr>
        <w:tc>
          <w:tcPr>
            <w:tcW w:w="444" w:type="pct"/>
            <w:shd w:val="clear" w:color="auto" w:fill="595959" w:themeFill="text1" w:themeFillTint="A6"/>
            <w:tcMar>
              <w:top w:w="9" w:type="dxa"/>
              <w:left w:w="9" w:type="dxa"/>
              <w:bottom w:w="0" w:type="dxa"/>
              <w:right w:w="9" w:type="dxa"/>
            </w:tcMar>
            <w:vAlign w:val="bottom"/>
            <w:hideMark/>
          </w:tcPr>
          <w:p w14:paraId="004CFF1D"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p>
        </w:tc>
        <w:tc>
          <w:tcPr>
            <w:tcW w:w="239" w:type="pct"/>
            <w:shd w:val="clear" w:color="auto" w:fill="595959" w:themeFill="text1" w:themeFillTint="A6"/>
            <w:tcMar>
              <w:top w:w="9" w:type="dxa"/>
              <w:left w:w="9" w:type="dxa"/>
              <w:bottom w:w="0" w:type="dxa"/>
              <w:right w:w="9" w:type="dxa"/>
            </w:tcMar>
            <w:hideMark/>
          </w:tcPr>
          <w:p w14:paraId="24E3B6A8"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2007</w:t>
            </w:r>
          </w:p>
        </w:tc>
        <w:tc>
          <w:tcPr>
            <w:tcW w:w="240" w:type="pct"/>
            <w:shd w:val="clear" w:color="auto" w:fill="595959" w:themeFill="text1" w:themeFillTint="A6"/>
            <w:tcMar>
              <w:top w:w="9" w:type="dxa"/>
              <w:left w:w="9" w:type="dxa"/>
              <w:bottom w:w="0" w:type="dxa"/>
              <w:right w:w="9" w:type="dxa"/>
            </w:tcMar>
            <w:hideMark/>
          </w:tcPr>
          <w:p w14:paraId="4EE30A92"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2008</w:t>
            </w:r>
          </w:p>
        </w:tc>
        <w:tc>
          <w:tcPr>
            <w:tcW w:w="240" w:type="pct"/>
            <w:shd w:val="clear" w:color="auto" w:fill="595959" w:themeFill="text1" w:themeFillTint="A6"/>
            <w:tcMar>
              <w:top w:w="9" w:type="dxa"/>
              <w:left w:w="9" w:type="dxa"/>
              <w:bottom w:w="0" w:type="dxa"/>
              <w:right w:w="9" w:type="dxa"/>
            </w:tcMar>
            <w:hideMark/>
          </w:tcPr>
          <w:p w14:paraId="77196C76"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2009</w:t>
            </w:r>
          </w:p>
        </w:tc>
        <w:tc>
          <w:tcPr>
            <w:tcW w:w="240" w:type="pct"/>
            <w:shd w:val="clear" w:color="auto" w:fill="595959" w:themeFill="text1" w:themeFillTint="A6"/>
            <w:tcMar>
              <w:top w:w="9" w:type="dxa"/>
              <w:left w:w="9" w:type="dxa"/>
              <w:bottom w:w="0" w:type="dxa"/>
              <w:right w:w="9" w:type="dxa"/>
            </w:tcMar>
            <w:hideMark/>
          </w:tcPr>
          <w:p w14:paraId="2562DA83"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2010</w:t>
            </w:r>
          </w:p>
        </w:tc>
        <w:tc>
          <w:tcPr>
            <w:tcW w:w="240" w:type="pct"/>
            <w:shd w:val="clear" w:color="auto" w:fill="595959" w:themeFill="text1" w:themeFillTint="A6"/>
            <w:tcMar>
              <w:top w:w="9" w:type="dxa"/>
              <w:left w:w="9" w:type="dxa"/>
              <w:bottom w:w="0" w:type="dxa"/>
              <w:right w:w="9" w:type="dxa"/>
            </w:tcMar>
            <w:hideMark/>
          </w:tcPr>
          <w:p w14:paraId="5C659FF1"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2011</w:t>
            </w:r>
          </w:p>
        </w:tc>
        <w:tc>
          <w:tcPr>
            <w:tcW w:w="240" w:type="pct"/>
            <w:shd w:val="clear" w:color="auto" w:fill="595959" w:themeFill="text1" w:themeFillTint="A6"/>
            <w:tcMar>
              <w:top w:w="9" w:type="dxa"/>
              <w:left w:w="9" w:type="dxa"/>
              <w:bottom w:w="0" w:type="dxa"/>
              <w:right w:w="9" w:type="dxa"/>
            </w:tcMar>
            <w:hideMark/>
          </w:tcPr>
          <w:p w14:paraId="41B5BDE9"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2012</w:t>
            </w:r>
          </w:p>
        </w:tc>
        <w:tc>
          <w:tcPr>
            <w:tcW w:w="240" w:type="pct"/>
            <w:shd w:val="clear" w:color="auto" w:fill="595959" w:themeFill="text1" w:themeFillTint="A6"/>
            <w:tcMar>
              <w:top w:w="9" w:type="dxa"/>
              <w:left w:w="9" w:type="dxa"/>
              <w:bottom w:w="0" w:type="dxa"/>
              <w:right w:w="9" w:type="dxa"/>
            </w:tcMar>
            <w:hideMark/>
          </w:tcPr>
          <w:p w14:paraId="744379EB"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2013</w:t>
            </w:r>
          </w:p>
        </w:tc>
        <w:tc>
          <w:tcPr>
            <w:tcW w:w="240" w:type="pct"/>
            <w:shd w:val="clear" w:color="auto" w:fill="595959" w:themeFill="text1" w:themeFillTint="A6"/>
            <w:tcMar>
              <w:top w:w="9" w:type="dxa"/>
              <w:left w:w="9" w:type="dxa"/>
              <w:bottom w:w="0" w:type="dxa"/>
              <w:right w:w="9" w:type="dxa"/>
            </w:tcMar>
            <w:hideMark/>
          </w:tcPr>
          <w:p w14:paraId="5BA92A40"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2014</w:t>
            </w:r>
          </w:p>
        </w:tc>
        <w:tc>
          <w:tcPr>
            <w:tcW w:w="240" w:type="pct"/>
            <w:shd w:val="clear" w:color="auto" w:fill="595959" w:themeFill="text1" w:themeFillTint="A6"/>
            <w:tcMar>
              <w:top w:w="9" w:type="dxa"/>
              <w:left w:w="9" w:type="dxa"/>
              <w:bottom w:w="0" w:type="dxa"/>
              <w:right w:w="9" w:type="dxa"/>
            </w:tcMar>
            <w:hideMark/>
          </w:tcPr>
          <w:p w14:paraId="03C6B916"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2015</w:t>
            </w:r>
          </w:p>
        </w:tc>
        <w:tc>
          <w:tcPr>
            <w:tcW w:w="240" w:type="pct"/>
            <w:shd w:val="clear" w:color="auto" w:fill="595959" w:themeFill="text1" w:themeFillTint="A6"/>
          </w:tcPr>
          <w:p w14:paraId="79B740AE"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2016</w:t>
            </w:r>
          </w:p>
        </w:tc>
        <w:tc>
          <w:tcPr>
            <w:tcW w:w="240" w:type="pct"/>
            <w:shd w:val="clear" w:color="auto" w:fill="595959" w:themeFill="text1" w:themeFillTint="A6"/>
          </w:tcPr>
          <w:p w14:paraId="06393C30"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2017</w:t>
            </w:r>
          </w:p>
        </w:tc>
        <w:tc>
          <w:tcPr>
            <w:tcW w:w="240" w:type="pct"/>
            <w:shd w:val="clear" w:color="auto" w:fill="595959" w:themeFill="text1" w:themeFillTint="A6"/>
          </w:tcPr>
          <w:p w14:paraId="5CC6C358"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2018</w:t>
            </w:r>
          </w:p>
        </w:tc>
        <w:tc>
          <w:tcPr>
            <w:tcW w:w="240" w:type="pct"/>
            <w:shd w:val="clear" w:color="auto" w:fill="595959" w:themeFill="text1" w:themeFillTint="A6"/>
          </w:tcPr>
          <w:p w14:paraId="5040F2DD"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2019</w:t>
            </w:r>
          </w:p>
        </w:tc>
        <w:tc>
          <w:tcPr>
            <w:tcW w:w="240" w:type="pct"/>
            <w:shd w:val="clear" w:color="auto" w:fill="595959" w:themeFill="text1" w:themeFillTint="A6"/>
          </w:tcPr>
          <w:p w14:paraId="66B1F7B4"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2020</w:t>
            </w:r>
          </w:p>
        </w:tc>
        <w:tc>
          <w:tcPr>
            <w:tcW w:w="240" w:type="pct"/>
            <w:shd w:val="clear" w:color="auto" w:fill="595959" w:themeFill="text1" w:themeFillTint="A6"/>
          </w:tcPr>
          <w:p w14:paraId="5478920D"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2021</w:t>
            </w:r>
          </w:p>
        </w:tc>
        <w:tc>
          <w:tcPr>
            <w:tcW w:w="240" w:type="pct"/>
            <w:shd w:val="clear" w:color="auto" w:fill="595959" w:themeFill="text1" w:themeFillTint="A6"/>
          </w:tcPr>
          <w:p w14:paraId="3087D883"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2022</w:t>
            </w:r>
          </w:p>
        </w:tc>
        <w:tc>
          <w:tcPr>
            <w:tcW w:w="240" w:type="pct"/>
            <w:shd w:val="clear" w:color="auto" w:fill="595959" w:themeFill="text1" w:themeFillTint="A6"/>
          </w:tcPr>
          <w:p w14:paraId="6689E09F"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2023</w:t>
            </w:r>
          </w:p>
        </w:tc>
        <w:tc>
          <w:tcPr>
            <w:tcW w:w="240" w:type="pct"/>
            <w:shd w:val="clear" w:color="auto" w:fill="595959" w:themeFill="text1" w:themeFillTint="A6"/>
          </w:tcPr>
          <w:p w14:paraId="527B1518"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2024</w:t>
            </w:r>
          </w:p>
        </w:tc>
        <w:tc>
          <w:tcPr>
            <w:tcW w:w="238" w:type="pct"/>
            <w:shd w:val="clear" w:color="auto" w:fill="595959" w:themeFill="text1" w:themeFillTint="A6"/>
          </w:tcPr>
          <w:p w14:paraId="56E511AF" w14:textId="77777777" w:rsidR="00C30067" w:rsidRPr="008E083E" w:rsidRDefault="00C30067" w:rsidP="009219C5">
            <w:pPr>
              <w:tabs>
                <w:tab w:val="num" w:pos="720"/>
              </w:tabs>
              <w:spacing w:beforeLines="40" w:before="96" w:afterLines="40" w:after="96"/>
              <w:jc w:val="center"/>
              <w:rPr>
                <w:rFonts w:asciiTheme="minorHAnsi" w:hAnsiTheme="minorHAnsi" w:cstheme="minorHAnsi"/>
                <w:b/>
                <w:color w:val="FFFFFF" w:themeColor="background1"/>
                <w:sz w:val="18"/>
                <w:szCs w:val="18"/>
              </w:rPr>
            </w:pPr>
            <w:r w:rsidRPr="008E083E">
              <w:rPr>
                <w:rFonts w:asciiTheme="minorHAnsi" w:hAnsiTheme="minorHAnsi" w:cstheme="minorHAnsi"/>
                <w:b/>
                <w:color w:val="FFFFFF" w:themeColor="background1"/>
                <w:sz w:val="18"/>
                <w:szCs w:val="18"/>
              </w:rPr>
              <w:t>2025</w:t>
            </w:r>
          </w:p>
        </w:tc>
      </w:tr>
      <w:tr w:rsidR="00C30067" w:rsidRPr="008E083E" w14:paraId="12D7F9C9" w14:textId="77777777" w:rsidTr="008E083E">
        <w:trPr>
          <w:trHeight w:val="281"/>
        </w:trPr>
        <w:tc>
          <w:tcPr>
            <w:tcW w:w="444" w:type="pct"/>
            <w:shd w:val="clear" w:color="auto" w:fill="FFFFFF" w:themeFill="background1"/>
            <w:tcMar>
              <w:top w:w="9" w:type="dxa"/>
              <w:left w:w="9" w:type="dxa"/>
              <w:bottom w:w="0" w:type="dxa"/>
              <w:right w:w="9" w:type="dxa"/>
            </w:tcMar>
            <w:vAlign w:val="bottom"/>
            <w:hideMark/>
          </w:tcPr>
          <w:p w14:paraId="4CF223E2" w14:textId="2D4B9F8F" w:rsidR="00C30067" w:rsidRPr="008E083E" w:rsidRDefault="00C30067" w:rsidP="00AE3ED1">
            <w:pPr>
              <w:tabs>
                <w:tab w:val="num" w:pos="720"/>
              </w:tabs>
              <w:spacing w:beforeLines="40" w:before="96" w:afterLines="40" w:after="96"/>
              <w:rPr>
                <w:rFonts w:asciiTheme="minorHAnsi" w:hAnsiTheme="minorHAnsi" w:cstheme="minorHAnsi"/>
                <w:sz w:val="18"/>
                <w:szCs w:val="18"/>
              </w:rPr>
            </w:pPr>
            <w:r w:rsidRPr="008E083E">
              <w:rPr>
                <w:rFonts w:asciiTheme="minorHAnsi" w:hAnsiTheme="minorHAnsi" w:cstheme="minorHAnsi"/>
                <w:sz w:val="18"/>
                <w:szCs w:val="18"/>
              </w:rPr>
              <w:t xml:space="preserve">Number </w:t>
            </w:r>
            <w:r w:rsidR="009219C5">
              <w:rPr>
                <w:rFonts w:asciiTheme="minorHAnsi" w:hAnsiTheme="minorHAnsi" w:cstheme="minorHAnsi"/>
                <w:sz w:val="18"/>
                <w:szCs w:val="18"/>
              </w:rPr>
              <w:t>of d</w:t>
            </w:r>
            <w:r w:rsidR="009219C5" w:rsidRPr="008E083E">
              <w:rPr>
                <w:rFonts w:asciiTheme="minorHAnsi" w:hAnsiTheme="minorHAnsi" w:cstheme="minorHAnsi"/>
                <w:sz w:val="18"/>
                <w:szCs w:val="18"/>
              </w:rPr>
              <w:t>onors</w:t>
            </w:r>
          </w:p>
        </w:tc>
        <w:tc>
          <w:tcPr>
            <w:tcW w:w="239" w:type="pct"/>
            <w:shd w:val="clear" w:color="auto" w:fill="FFFFFF" w:themeFill="background1"/>
            <w:tcMar>
              <w:top w:w="9" w:type="dxa"/>
              <w:left w:w="9" w:type="dxa"/>
              <w:bottom w:w="0" w:type="dxa"/>
              <w:right w:w="9" w:type="dxa"/>
            </w:tcMar>
            <w:hideMark/>
          </w:tcPr>
          <w:p w14:paraId="00578054"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198</w:t>
            </w:r>
          </w:p>
        </w:tc>
        <w:tc>
          <w:tcPr>
            <w:tcW w:w="240" w:type="pct"/>
            <w:shd w:val="clear" w:color="auto" w:fill="FFFFFF" w:themeFill="background1"/>
            <w:tcMar>
              <w:top w:w="9" w:type="dxa"/>
              <w:left w:w="9" w:type="dxa"/>
              <w:bottom w:w="0" w:type="dxa"/>
              <w:right w:w="9" w:type="dxa"/>
            </w:tcMar>
            <w:hideMark/>
          </w:tcPr>
          <w:p w14:paraId="37E2C738"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229.1</w:t>
            </w:r>
          </w:p>
        </w:tc>
        <w:tc>
          <w:tcPr>
            <w:tcW w:w="240" w:type="pct"/>
            <w:shd w:val="clear" w:color="auto" w:fill="FFFFFF" w:themeFill="background1"/>
            <w:tcMar>
              <w:top w:w="9" w:type="dxa"/>
              <w:left w:w="9" w:type="dxa"/>
              <w:bottom w:w="0" w:type="dxa"/>
              <w:right w:w="9" w:type="dxa"/>
            </w:tcMar>
            <w:hideMark/>
          </w:tcPr>
          <w:p w14:paraId="12018BBC"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260.2</w:t>
            </w:r>
          </w:p>
        </w:tc>
        <w:tc>
          <w:tcPr>
            <w:tcW w:w="240" w:type="pct"/>
            <w:shd w:val="clear" w:color="auto" w:fill="FFFFFF" w:themeFill="background1"/>
            <w:tcMar>
              <w:top w:w="9" w:type="dxa"/>
              <w:left w:w="9" w:type="dxa"/>
              <w:bottom w:w="0" w:type="dxa"/>
              <w:right w:w="9" w:type="dxa"/>
            </w:tcMar>
            <w:hideMark/>
          </w:tcPr>
          <w:p w14:paraId="605A6BBC"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291.3</w:t>
            </w:r>
          </w:p>
        </w:tc>
        <w:tc>
          <w:tcPr>
            <w:tcW w:w="240" w:type="pct"/>
            <w:shd w:val="clear" w:color="auto" w:fill="FFFFFF" w:themeFill="background1"/>
            <w:tcMar>
              <w:top w:w="9" w:type="dxa"/>
              <w:left w:w="9" w:type="dxa"/>
              <w:bottom w:w="0" w:type="dxa"/>
              <w:right w:w="9" w:type="dxa"/>
            </w:tcMar>
            <w:hideMark/>
          </w:tcPr>
          <w:p w14:paraId="07E3ED3B"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322.3</w:t>
            </w:r>
          </w:p>
        </w:tc>
        <w:tc>
          <w:tcPr>
            <w:tcW w:w="240" w:type="pct"/>
            <w:shd w:val="clear" w:color="auto" w:fill="FFFFFF" w:themeFill="background1"/>
            <w:tcMar>
              <w:top w:w="9" w:type="dxa"/>
              <w:left w:w="9" w:type="dxa"/>
              <w:bottom w:w="0" w:type="dxa"/>
              <w:right w:w="9" w:type="dxa"/>
            </w:tcMar>
            <w:hideMark/>
          </w:tcPr>
          <w:p w14:paraId="4E10B36B"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353.4</w:t>
            </w:r>
          </w:p>
        </w:tc>
        <w:tc>
          <w:tcPr>
            <w:tcW w:w="240" w:type="pct"/>
            <w:shd w:val="clear" w:color="auto" w:fill="FFFFFF" w:themeFill="background1"/>
            <w:tcMar>
              <w:top w:w="9" w:type="dxa"/>
              <w:left w:w="9" w:type="dxa"/>
              <w:bottom w:w="0" w:type="dxa"/>
              <w:right w:w="9" w:type="dxa"/>
            </w:tcMar>
            <w:hideMark/>
          </w:tcPr>
          <w:p w14:paraId="71BFF88B"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384.5</w:t>
            </w:r>
          </w:p>
        </w:tc>
        <w:tc>
          <w:tcPr>
            <w:tcW w:w="240" w:type="pct"/>
            <w:shd w:val="clear" w:color="auto" w:fill="FFFFFF" w:themeFill="background1"/>
            <w:tcMar>
              <w:top w:w="9" w:type="dxa"/>
              <w:left w:w="9" w:type="dxa"/>
              <w:bottom w:w="0" w:type="dxa"/>
              <w:right w:w="9" w:type="dxa"/>
            </w:tcMar>
            <w:hideMark/>
          </w:tcPr>
          <w:p w14:paraId="6CAEE32E"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415.6</w:t>
            </w:r>
          </w:p>
        </w:tc>
        <w:tc>
          <w:tcPr>
            <w:tcW w:w="240" w:type="pct"/>
            <w:shd w:val="clear" w:color="auto" w:fill="FFFFFF" w:themeFill="background1"/>
            <w:tcMar>
              <w:top w:w="9" w:type="dxa"/>
              <w:left w:w="9" w:type="dxa"/>
              <w:bottom w:w="0" w:type="dxa"/>
              <w:right w:w="9" w:type="dxa"/>
            </w:tcMar>
            <w:hideMark/>
          </w:tcPr>
          <w:p w14:paraId="0C4E5121"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446.7</w:t>
            </w:r>
          </w:p>
        </w:tc>
        <w:tc>
          <w:tcPr>
            <w:tcW w:w="240" w:type="pct"/>
            <w:shd w:val="clear" w:color="auto" w:fill="FFFFFF" w:themeFill="background1"/>
          </w:tcPr>
          <w:p w14:paraId="338B0461"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477.8</w:t>
            </w:r>
          </w:p>
        </w:tc>
        <w:tc>
          <w:tcPr>
            <w:tcW w:w="240" w:type="pct"/>
            <w:shd w:val="clear" w:color="auto" w:fill="FFFFFF" w:themeFill="background1"/>
          </w:tcPr>
          <w:p w14:paraId="7733C936"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508.9</w:t>
            </w:r>
          </w:p>
        </w:tc>
        <w:tc>
          <w:tcPr>
            <w:tcW w:w="240" w:type="pct"/>
            <w:shd w:val="clear" w:color="auto" w:fill="FFFFFF" w:themeFill="background1"/>
          </w:tcPr>
          <w:p w14:paraId="18BB23DE"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539.9</w:t>
            </w:r>
          </w:p>
        </w:tc>
        <w:tc>
          <w:tcPr>
            <w:tcW w:w="240" w:type="pct"/>
            <w:shd w:val="clear" w:color="auto" w:fill="FFFFFF" w:themeFill="background1"/>
          </w:tcPr>
          <w:p w14:paraId="5E5BA9E1"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571</w:t>
            </w:r>
          </w:p>
        </w:tc>
        <w:tc>
          <w:tcPr>
            <w:tcW w:w="240" w:type="pct"/>
            <w:shd w:val="clear" w:color="auto" w:fill="FFFFFF" w:themeFill="background1"/>
          </w:tcPr>
          <w:p w14:paraId="7D90F959"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602.1</w:t>
            </w:r>
          </w:p>
        </w:tc>
        <w:tc>
          <w:tcPr>
            <w:tcW w:w="240" w:type="pct"/>
            <w:shd w:val="clear" w:color="auto" w:fill="FFFFFF" w:themeFill="background1"/>
          </w:tcPr>
          <w:p w14:paraId="3DBAB8A7"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633.2</w:t>
            </w:r>
          </w:p>
        </w:tc>
        <w:tc>
          <w:tcPr>
            <w:tcW w:w="240" w:type="pct"/>
            <w:shd w:val="clear" w:color="auto" w:fill="FFFFFF" w:themeFill="background1"/>
          </w:tcPr>
          <w:p w14:paraId="3F4AB91B"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664.3</w:t>
            </w:r>
          </w:p>
        </w:tc>
        <w:tc>
          <w:tcPr>
            <w:tcW w:w="240" w:type="pct"/>
            <w:shd w:val="clear" w:color="auto" w:fill="FFFFFF" w:themeFill="background1"/>
          </w:tcPr>
          <w:p w14:paraId="30AC23DD"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695.4</w:t>
            </w:r>
          </w:p>
        </w:tc>
        <w:tc>
          <w:tcPr>
            <w:tcW w:w="240" w:type="pct"/>
            <w:shd w:val="clear" w:color="auto" w:fill="FFFFFF" w:themeFill="background1"/>
          </w:tcPr>
          <w:p w14:paraId="56E8B412"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726.5</w:t>
            </w:r>
          </w:p>
        </w:tc>
        <w:tc>
          <w:tcPr>
            <w:tcW w:w="238" w:type="pct"/>
            <w:shd w:val="clear" w:color="auto" w:fill="FFFFFF" w:themeFill="background1"/>
          </w:tcPr>
          <w:p w14:paraId="3850E7C3"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757.5</w:t>
            </w:r>
          </w:p>
        </w:tc>
      </w:tr>
      <w:tr w:rsidR="00C30067" w:rsidRPr="008E083E" w14:paraId="3ACDFE63" w14:textId="77777777" w:rsidTr="008E083E">
        <w:trPr>
          <w:trHeight w:val="350"/>
        </w:trPr>
        <w:tc>
          <w:tcPr>
            <w:tcW w:w="444" w:type="pct"/>
            <w:shd w:val="clear" w:color="auto" w:fill="FFFFFF" w:themeFill="background1"/>
            <w:tcMar>
              <w:top w:w="9" w:type="dxa"/>
              <w:left w:w="9" w:type="dxa"/>
              <w:bottom w:w="0" w:type="dxa"/>
              <w:right w:w="9" w:type="dxa"/>
            </w:tcMar>
            <w:vAlign w:val="bottom"/>
            <w:hideMark/>
          </w:tcPr>
          <w:p w14:paraId="0296549D" w14:textId="77777777" w:rsidR="00C30067" w:rsidRPr="008E083E" w:rsidRDefault="00C30067" w:rsidP="00AE3ED1">
            <w:pPr>
              <w:tabs>
                <w:tab w:val="num" w:pos="720"/>
              </w:tabs>
              <w:spacing w:beforeLines="40" w:before="96" w:afterLines="40" w:after="96"/>
              <w:rPr>
                <w:rFonts w:asciiTheme="minorHAnsi" w:hAnsiTheme="minorHAnsi" w:cstheme="minorHAnsi"/>
                <w:sz w:val="18"/>
                <w:szCs w:val="18"/>
              </w:rPr>
            </w:pPr>
            <w:r w:rsidRPr="008E083E">
              <w:rPr>
                <w:rFonts w:asciiTheme="minorHAnsi" w:hAnsiTheme="minorHAnsi" w:cstheme="minorHAnsi"/>
                <w:sz w:val="18"/>
                <w:szCs w:val="18"/>
              </w:rPr>
              <w:t xml:space="preserve">Population @ 1.6% Growth (m) </w:t>
            </w:r>
          </w:p>
        </w:tc>
        <w:tc>
          <w:tcPr>
            <w:tcW w:w="239" w:type="pct"/>
            <w:shd w:val="clear" w:color="auto" w:fill="FFFFFF" w:themeFill="background1"/>
            <w:tcMar>
              <w:top w:w="9" w:type="dxa"/>
              <w:left w:w="9" w:type="dxa"/>
              <w:bottom w:w="0" w:type="dxa"/>
              <w:right w:w="9" w:type="dxa"/>
            </w:tcMar>
            <w:hideMark/>
          </w:tcPr>
          <w:p w14:paraId="5C38AE2D"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Mar>
              <w:top w:w="9" w:type="dxa"/>
              <w:left w:w="9" w:type="dxa"/>
              <w:bottom w:w="0" w:type="dxa"/>
              <w:right w:w="9" w:type="dxa"/>
            </w:tcMar>
            <w:hideMark/>
          </w:tcPr>
          <w:p w14:paraId="057ED576"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Mar>
              <w:top w:w="9" w:type="dxa"/>
              <w:left w:w="9" w:type="dxa"/>
              <w:bottom w:w="0" w:type="dxa"/>
              <w:right w:w="9" w:type="dxa"/>
            </w:tcMar>
            <w:hideMark/>
          </w:tcPr>
          <w:p w14:paraId="6DCFC391"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Mar>
              <w:top w:w="9" w:type="dxa"/>
              <w:left w:w="9" w:type="dxa"/>
              <w:bottom w:w="0" w:type="dxa"/>
              <w:right w:w="9" w:type="dxa"/>
            </w:tcMar>
            <w:hideMark/>
          </w:tcPr>
          <w:p w14:paraId="568E7840"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Mar>
              <w:top w:w="9" w:type="dxa"/>
              <w:left w:w="9" w:type="dxa"/>
              <w:bottom w:w="0" w:type="dxa"/>
              <w:right w:w="9" w:type="dxa"/>
            </w:tcMar>
            <w:hideMark/>
          </w:tcPr>
          <w:p w14:paraId="32A822B7"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Mar>
              <w:top w:w="9" w:type="dxa"/>
              <w:left w:w="9" w:type="dxa"/>
              <w:bottom w:w="0" w:type="dxa"/>
              <w:right w:w="9" w:type="dxa"/>
            </w:tcMar>
            <w:hideMark/>
          </w:tcPr>
          <w:p w14:paraId="77489CCB"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Mar>
              <w:top w:w="9" w:type="dxa"/>
              <w:left w:w="9" w:type="dxa"/>
              <w:bottom w:w="0" w:type="dxa"/>
              <w:right w:w="9" w:type="dxa"/>
            </w:tcMar>
            <w:hideMark/>
          </w:tcPr>
          <w:p w14:paraId="37B4218A"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Mar>
              <w:top w:w="9" w:type="dxa"/>
              <w:left w:w="9" w:type="dxa"/>
              <w:bottom w:w="0" w:type="dxa"/>
              <w:right w:w="9" w:type="dxa"/>
            </w:tcMar>
            <w:hideMark/>
          </w:tcPr>
          <w:p w14:paraId="14778679"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Mar>
              <w:top w:w="9" w:type="dxa"/>
              <w:left w:w="9" w:type="dxa"/>
              <w:bottom w:w="0" w:type="dxa"/>
              <w:right w:w="9" w:type="dxa"/>
            </w:tcMar>
            <w:hideMark/>
          </w:tcPr>
          <w:p w14:paraId="486E938B"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Pr>
          <w:p w14:paraId="551F0F31"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Pr>
          <w:p w14:paraId="2396A085"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24.6</w:t>
            </w:r>
          </w:p>
        </w:tc>
        <w:tc>
          <w:tcPr>
            <w:tcW w:w="240" w:type="pct"/>
            <w:shd w:val="clear" w:color="auto" w:fill="FFFFFF" w:themeFill="background1"/>
          </w:tcPr>
          <w:p w14:paraId="6498E05C"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25</w:t>
            </w:r>
          </w:p>
        </w:tc>
        <w:tc>
          <w:tcPr>
            <w:tcW w:w="240" w:type="pct"/>
            <w:shd w:val="clear" w:color="auto" w:fill="FFFFFF" w:themeFill="background1"/>
          </w:tcPr>
          <w:p w14:paraId="57E425A7"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25.4</w:t>
            </w:r>
          </w:p>
        </w:tc>
        <w:tc>
          <w:tcPr>
            <w:tcW w:w="240" w:type="pct"/>
            <w:shd w:val="clear" w:color="auto" w:fill="FFFFFF" w:themeFill="background1"/>
          </w:tcPr>
          <w:p w14:paraId="668557A6"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25.8</w:t>
            </w:r>
          </w:p>
        </w:tc>
        <w:tc>
          <w:tcPr>
            <w:tcW w:w="240" w:type="pct"/>
            <w:shd w:val="clear" w:color="auto" w:fill="FFFFFF" w:themeFill="background1"/>
          </w:tcPr>
          <w:p w14:paraId="24806F4C"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26.2</w:t>
            </w:r>
          </w:p>
        </w:tc>
        <w:tc>
          <w:tcPr>
            <w:tcW w:w="240" w:type="pct"/>
            <w:shd w:val="clear" w:color="auto" w:fill="FFFFFF" w:themeFill="background1"/>
          </w:tcPr>
          <w:p w14:paraId="6E3A70FA"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26.6</w:t>
            </w:r>
          </w:p>
        </w:tc>
        <w:tc>
          <w:tcPr>
            <w:tcW w:w="240" w:type="pct"/>
            <w:shd w:val="clear" w:color="auto" w:fill="FFFFFF" w:themeFill="background1"/>
          </w:tcPr>
          <w:p w14:paraId="530D13C4"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27.1</w:t>
            </w:r>
          </w:p>
        </w:tc>
        <w:tc>
          <w:tcPr>
            <w:tcW w:w="240" w:type="pct"/>
            <w:shd w:val="clear" w:color="auto" w:fill="FFFFFF" w:themeFill="background1"/>
          </w:tcPr>
          <w:p w14:paraId="37BC243D"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27.5</w:t>
            </w:r>
          </w:p>
        </w:tc>
        <w:tc>
          <w:tcPr>
            <w:tcW w:w="238" w:type="pct"/>
            <w:shd w:val="clear" w:color="auto" w:fill="FFFFFF" w:themeFill="background1"/>
          </w:tcPr>
          <w:p w14:paraId="47C7106D"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27.9</w:t>
            </w:r>
          </w:p>
        </w:tc>
      </w:tr>
      <w:tr w:rsidR="00C30067" w:rsidRPr="008E083E" w14:paraId="037B4741" w14:textId="77777777" w:rsidTr="008E083E">
        <w:trPr>
          <w:trHeight w:val="350"/>
        </w:trPr>
        <w:tc>
          <w:tcPr>
            <w:tcW w:w="444" w:type="pct"/>
            <w:shd w:val="clear" w:color="auto" w:fill="FFFFFF" w:themeFill="background1"/>
            <w:tcMar>
              <w:top w:w="9" w:type="dxa"/>
              <w:left w:w="9" w:type="dxa"/>
              <w:bottom w:w="0" w:type="dxa"/>
              <w:right w:w="9" w:type="dxa"/>
            </w:tcMar>
            <w:vAlign w:val="bottom"/>
          </w:tcPr>
          <w:p w14:paraId="0BA4FF2C" w14:textId="77777777" w:rsidR="00C30067" w:rsidRPr="008E083E" w:rsidRDefault="00C30067" w:rsidP="00AE3ED1">
            <w:pPr>
              <w:tabs>
                <w:tab w:val="num" w:pos="720"/>
              </w:tabs>
              <w:spacing w:beforeLines="40" w:before="96" w:afterLines="40" w:after="96"/>
              <w:rPr>
                <w:rFonts w:asciiTheme="minorHAnsi" w:hAnsiTheme="minorHAnsi" w:cstheme="minorHAnsi"/>
                <w:sz w:val="18"/>
                <w:szCs w:val="18"/>
              </w:rPr>
            </w:pPr>
            <w:r w:rsidRPr="008E083E">
              <w:rPr>
                <w:rFonts w:asciiTheme="minorHAnsi" w:hAnsiTheme="minorHAnsi" w:cstheme="minorHAnsi"/>
                <w:sz w:val="18"/>
                <w:szCs w:val="18"/>
              </w:rPr>
              <w:t>DPMP</w:t>
            </w:r>
          </w:p>
        </w:tc>
        <w:tc>
          <w:tcPr>
            <w:tcW w:w="239" w:type="pct"/>
            <w:shd w:val="clear" w:color="auto" w:fill="FFFFFF" w:themeFill="background1"/>
            <w:tcMar>
              <w:top w:w="9" w:type="dxa"/>
              <w:left w:w="9" w:type="dxa"/>
              <w:bottom w:w="0" w:type="dxa"/>
              <w:right w:w="9" w:type="dxa"/>
            </w:tcMar>
          </w:tcPr>
          <w:p w14:paraId="53DE0157"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Mar>
              <w:top w:w="9" w:type="dxa"/>
              <w:left w:w="9" w:type="dxa"/>
              <w:bottom w:w="0" w:type="dxa"/>
              <w:right w:w="9" w:type="dxa"/>
            </w:tcMar>
          </w:tcPr>
          <w:p w14:paraId="06E655F4"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Mar>
              <w:top w:w="9" w:type="dxa"/>
              <w:left w:w="9" w:type="dxa"/>
              <w:bottom w:w="0" w:type="dxa"/>
              <w:right w:w="9" w:type="dxa"/>
            </w:tcMar>
          </w:tcPr>
          <w:p w14:paraId="4D7C21F8"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Mar>
              <w:top w:w="9" w:type="dxa"/>
              <w:left w:w="9" w:type="dxa"/>
              <w:bottom w:w="0" w:type="dxa"/>
              <w:right w:w="9" w:type="dxa"/>
            </w:tcMar>
          </w:tcPr>
          <w:p w14:paraId="2E300701"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Mar>
              <w:top w:w="9" w:type="dxa"/>
              <w:left w:w="9" w:type="dxa"/>
              <w:bottom w:w="0" w:type="dxa"/>
              <w:right w:w="9" w:type="dxa"/>
            </w:tcMar>
          </w:tcPr>
          <w:p w14:paraId="03897806"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Mar>
              <w:top w:w="9" w:type="dxa"/>
              <w:left w:w="9" w:type="dxa"/>
              <w:bottom w:w="0" w:type="dxa"/>
              <w:right w:w="9" w:type="dxa"/>
            </w:tcMar>
          </w:tcPr>
          <w:p w14:paraId="4BCE3CAB"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Mar>
              <w:top w:w="9" w:type="dxa"/>
              <w:left w:w="9" w:type="dxa"/>
              <w:bottom w:w="0" w:type="dxa"/>
              <w:right w:w="9" w:type="dxa"/>
            </w:tcMar>
          </w:tcPr>
          <w:p w14:paraId="41FA58B1"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Mar>
              <w:top w:w="9" w:type="dxa"/>
              <w:left w:w="9" w:type="dxa"/>
              <w:bottom w:w="0" w:type="dxa"/>
              <w:right w:w="9" w:type="dxa"/>
            </w:tcMar>
          </w:tcPr>
          <w:p w14:paraId="3C295FB5" w14:textId="77777777" w:rsidR="00C30067" w:rsidRPr="008E083E" w:rsidRDefault="00C30067" w:rsidP="009219C5">
            <w:pPr>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Mar>
              <w:top w:w="9" w:type="dxa"/>
              <w:left w:w="9" w:type="dxa"/>
              <w:bottom w:w="0" w:type="dxa"/>
              <w:right w:w="9" w:type="dxa"/>
            </w:tcMar>
          </w:tcPr>
          <w:p w14:paraId="1A4981B1"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Pr>
          <w:p w14:paraId="11011C1A"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w:t>
            </w:r>
          </w:p>
        </w:tc>
        <w:tc>
          <w:tcPr>
            <w:tcW w:w="240" w:type="pct"/>
            <w:shd w:val="clear" w:color="auto" w:fill="FFFFFF" w:themeFill="background1"/>
          </w:tcPr>
          <w:p w14:paraId="729FB8C8"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20.7</w:t>
            </w:r>
          </w:p>
        </w:tc>
        <w:tc>
          <w:tcPr>
            <w:tcW w:w="240" w:type="pct"/>
            <w:shd w:val="clear" w:color="auto" w:fill="FFFFFF" w:themeFill="background1"/>
          </w:tcPr>
          <w:p w14:paraId="7480B85B"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21.6</w:t>
            </w:r>
          </w:p>
        </w:tc>
        <w:tc>
          <w:tcPr>
            <w:tcW w:w="240" w:type="pct"/>
            <w:shd w:val="clear" w:color="auto" w:fill="FFFFFF" w:themeFill="background1"/>
          </w:tcPr>
          <w:p w14:paraId="092D63E3"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22.5</w:t>
            </w:r>
          </w:p>
        </w:tc>
        <w:tc>
          <w:tcPr>
            <w:tcW w:w="240" w:type="pct"/>
            <w:shd w:val="clear" w:color="auto" w:fill="FFFFFF" w:themeFill="background1"/>
          </w:tcPr>
          <w:p w14:paraId="2D5DB370"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23.3</w:t>
            </w:r>
          </w:p>
        </w:tc>
        <w:tc>
          <w:tcPr>
            <w:tcW w:w="240" w:type="pct"/>
            <w:shd w:val="clear" w:color="auto" w:fill="FFFFFF" w:themeFill="background1"/>
          </w:tcPr>
          <w:p w14:paraId="7EB99D76"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24.2</w:t>
            </w:r>
          </w:p>
        </w:tc>
        <w:tc>
          <w:tcPr>
            <w:tcW w:w="240" w:type="pct"/>
            <w:shd w:val="clear" w:color="auto" w:fill="FFFFFF" w:themeFill="background1"/>
          </w:tcPr>
          <w:p w14:paraId="31DAA68A"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24.9</w:t>
            </w:r>
          </w:p>
        </w:tc>
        <w:tc>
          <w:tcPr>
            <w:tcW w:w="240" w:type="pct"/>
            <w:shd w:val="clear" w:color="auto" w:fill="FFFFFF" w:themeFill="background1"/>
          </w:tcPr>
          <w:p w14:paraId="2C33BA8D"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25.7</w:t>
            </w:r>
          </w:p>
        </w:tc>
        <w:tc>
          <w:tcPr>
            <w:tcW w:w="240" w:type="pct"/>
            <w:shd w:val="clear" w:color="auto" w:fill="FFFFFF" w:themeFill="background1"/>
          </w:tcPr>
          <w:p w14:paraId="57887276"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26.4</w:t>
            </w:r>
          </w:p>
        </w:tc>
        <w:tc>
          <w:tcPr>
            <w:tcW w:w="238" w:type="pct"/>
            <w:shd w:val="clear" w:color="auto" w:fill="FFFFFF" w:themeFill="background1"/>
          </w:tcPr>
          <w:p w14:paraId="289BFE66" w14:textId="77777777" w:rsidR="00C30067" w:rsidRPr="008E083E" w:rsidRDefault="00C30067" w:rsidP="009219C5">
            <w:pPr>
              <w:keepNext/>
              <w:tabs>
                <w:tab w:val="num" w:pos="720"/>
              </w:tabs>
              <w:spacing w:beforeLines="40" w:before="96" w:afterLines="40" w:after="96"/>
              <w:jc w:val="center"/>
              <w:rPr>
                <w:rFonts w:asciiTheme="minorHAnsi" w:hAnsiTheme="minorHAnsi" w:cstheme="minorHAnsi"/>
                <w:sz w:val="18"/>
                <w:szCs w:val="18"/>
              </w:rPr>
            </w:pPr>
            <w:r w:rsidRPr="008E083E">
              <w:rPr>
                <w:rFonts w:asciiTheme="minorHAnsi" w:hAnsiTheme="minorHAnsi" w:cstheme="minorHAnsi"/>
                <w:sz w:val="18"/>
                <w:szCs w:val="18"/>
              </w:rPr>
              <w:t>27.1</w:t>
            </w:r>
          </w:p>
        </w:tc>
      </w:tr>
    </w:tbl>
    <w:p w14:paraId="2B6944EF" w14:textId="77777777" w:rsidR="00C30067" w:rsidRDefault="00DB4CBD" w:rsidP="00C30067">
      <w:pPr>
        <w:spacing w:before="240" w:after="120"/>
        <w:rPr>
          <w:rFonts w:asciiTheme="minorHAnsi" w:hAnsiTheme="minorHAnsi" w:cstheme="minorHAnsi"/>
          <w:sz w:val="24"/>
          <w:szCs w:val="24"/>
          <w:lang w:val="en-GB"/>
        </w:rPr>
      </w:pPr>
      <w:r>
        <w:rPr>
          <w:rFonts w:asciiTheme="minorHAnsi" w:hAnsiTheme="minorHAnsi" w:cstheme="minorHAnsi"/>
          <w:sz w:val="24"/>
          <w:szCs w:val="24"/>
          <w:lang w:val="en-GB"/>
        </w:rPr>
        <w:t>For</w:t>
      </w:r>
      <w:r w:rsidR="00C30067" w:rsidRPr="004938CA">
        <w:rPr>
          <w:rFonts w:asciiTheme="minorHAnsi" w:hAnsiTheme="minorHAnsi" w:cstheme="minorHAnsi"/>
          <w:sz w:val="24"/>
          <w:szCs w:val="24"/>
          <w:lang w:val="en-GB"/>
        </w:rPr>
        <w:t xml:space="preserve"> organ donation rates </w:t>
      </w:r>
      <w:r w:rsidR="0063492B">
        <w:rPr>
          <w:rFonts w:asciiTheme="minorHAnsi" w:hAnsiTheme="minorHAnsi" w:cstheme="minorHAnsi"/>
          <w:sz w:val="24"/>
          <w:szCs w:val="24"/>
          <w:lang w:val="en-GB"/>
        </w:rPr>
        <w:t xml:space="preserve">to </w:t>
      </w:r>
      <w:r w:rsidR="00C30067" w:rsidRPr="004938CA">
        <w:rPr>
          <w:rFonts w:asciiTheme="minorHAnsi" w:hAnsiTheme="minorHAnsi" w:cstheme="minorHAnsi"/>
          <w:sz w:val="24"/>
          <w:szCs w:val="24"/>
          <w:lang w:val="en-GB"/>
        </w:rPr>
        <w:t>continue to improve, consideration of the resources required to maintain donation rates at that level is required. Further, the resources required in downstream services</w:t>
      </w:r>
      <w:r w:rsidR="0063492B">
        <w:rPr>
          <w:rFonts w:asciiTheme="minorHAnsi" w:hAnsiTheme="minorHAnsi" w:cstheme="minorHAnsi"/>
          <w:sz w:val="24"/>
          <w:szCs w:val="24"/>
          <w:lang w:val="en-GB"/>
        </w:rPr>
        <w:t>,</w:t>
      </w:r>
      <w:r w:rsidR="00C30067" w:rsidRPr="004938CA">
        <w:rPr>
          <w:rFonts w:asciiTheme="minorHAnsi" w:hAnsiTheme="minorHAnsi" w:cstheme="minorHAnsi"/>
          <w:sz w:val="24"/>
          <w:szCs w:val="24"/>
          <w:lang w:val="en-GB"/>
        </w:rPr>
        <w:t xml:space="preserve"> such as retrieval and transplantation</w:t>
      </w:r>
      <w:r w:rsidR="0063492B">
        <w:rPr>
          <w:rFonts w:asciiTheme="minorHAnsi" w:hAnsiTheme="minorHAnsi" w:cstheme="minorHAnsi"/>
          <w:sz w:val="24"/>
          <w:szCs w:val="24"/>
          <w:lang w:val="en-GB"/>
        </w:rPr>
        <w:t>,</w:t>
      </w:r>
      <w:r w:rsidR="00C30067">
        <w:rPr>
          <w:rFonts w:asciiTheme="minorHAnsi" w:hAnsiTheme="minorHAnsi" w:cstheme="minorHAnsi"/>
          <w:sz w:val="24"/>
          <w:szCs w:val="24"/>
          <w:lang w:val="en-GB"/>
        </w:rPr>
        <w:t xml:space="preserve"> also needs to be considered</w:t>
      </w:r>
      <w:r w:rsidR="00C30067" w:rsidRPr="004938CA">
        <w:rPr>
          <w:rFonts w:asciiTheme="minorHAnsi" w:hAnsiTheme="minorHAnsi" w:cstheme="minorHAnsi"/>
          <w:sz w:val="24"/>
          <w:szCs w:val="24"/>
          <w:lang w:val="en-GB"/>
        </w:rPr>
        <w:t xml:space="preserve">. The </w:t>
      </w:r>
      <w:r w:rsidR="00C30067">
        <w:rPr>
          <w:rFonts w:asciiTheme="minorHAnsi" w:hAnsiTheme="minorHAnsi" w:cstheme="minorHAnsi"/>
          <w:sz w:val="24"/>
          <w:szCs w:val="24"/>
          <w:lang w:val="en-GB"/>
        </w:rPr>
        <w:t>R</w:t>
      </w:r>
      <w:r w:rsidR="00C30067" w:rsidRPr="004938CA">
        <w:rPr>
          <w:rFonts w:asciiTheme="minorHAnsi" w:hAnsiTheme="minorHAnsi" w:cstheme="minorHAnsi"/>
          <w:sz w:val="24"/>
          <w:szCs w:val="24"/>
          <w:lang w:val="en-GB"/>
        </w:rPr>
        <w:t>eview found that</w:t>
      </w:r>
      <w:r w:rsidR="00C30067" w:rsidRPr="00A015CE">
        <w:rPr>
          <w:rFonts w:asciiTheme="minorHAnsi" w:hAnsiTheme="minorHAnsi" w:cstheme="minorHAnsi"/>
          <w:sz w:val="24"/>
          <w:szCs w:val="24"/>
          <w:lang w:val="en-GB"/>
        </w:rPr>
        <w:t xml:space="preserve"> recent increas</w:t>
      </w:r>
      <w:r w:rsidR="00C30067">
        <w:rPr>
          <w:rFonts w:asciiTheme="minorHAnsi" w:hAnsiTheme="minorHAnsi" w:cstheme="minorHAnsi"/>
          <w:sz w:val="24"/>
          <w:szCs w:val="24"/>
          <w:lang w:val="en-GB"/>
        </w:rPr>
        <w:t xml:space="preserve">es in organ donation rates across Australia have had a marked impact on resourcing of the system and needs to be </w:t>
      </w:r>
      <w:r w:rsidR="0002011E">
        <w:rPr>
          <w:rFonts w:asciiTheme="minorHAnsi" w:hAnsiTheme="minorHAnsi" w:cstheme="minorHAnsi"/>
          <w:sz w:val="24"/>
          <w:szCs w:val="24"/>
          <w:lang w:val="en-GB"/>
        </w:rPr>
        <w:t xml:space="preserve">carefully managed </w:t>
      </w:r>
      <w:r w:rsidR="0002011E" w:rsidRPr="0002011E">
        <w:rPr>
          <w:rFonts w:asciiTheme="minorHAnsi" w:hAnsiTheme="minorHAnsi" w:cstheme="minorHAnsi"/>
          <w:sz w:val="24"/>
          <w:szCs w:val="24"/>
          <w:lang w:val="en-GB"/>
        </w:rPr>
        <w:t>going forward,</w:t>
      </w:r>
      <w:r w:rsidR="00C30067" w:rsidRPr="0002011E">
        <w:rPr>
          <w:rFonts w:asciiTheme="minorHAnsi" w:hAnsiTheme="minorHAnsi" w:cstheme="minorHAnsi"/>
          <w:sz w:val="24"/>
          <w:szCs w:val="24"/>
          <w:lang w:val="en-GB"/>
        </w:rPr>
        <w:t xml:space="preserve"> </w:t>
      </w:r>
      <w:r w:rsidR="0002011E" w:rsidRPr="0002011E">
        <w:rPr>
          <w:rFonts w:asciiTheme="minorHAnsi" w:hAnsiTheme="minorHAnsi" w:cstheme="minorHAnsi"/>
          <w:sz w:val="24"/>
          <w:szCs w:val="24"/>
          <w:lang w:val="en-GB"/>
        </w:rPr>
        <w:t>s</w:t>
      </w:r>
      <w:r w:rsidR="00C30067" w:rsidRPr="0002011E">
        <w:rPr>
          <w:rFonts w:asciiTheme="minorHAnsi" w:hAnsiTheme="minorHAnsi" w:cstheme="minorHAnsi"/>
          <w:sz w:val="24"/>
          <w:szCs w:val="24"/>
          <w:lang w:val="en-GB"/>
        </w:rPr>
        <w:t>ee Section</w:t>
      </w:r>
      <w:r w:rsidR="003259BB">
        <w:rPr>
          <w:rFonts w:asciiTheme="minorHAnsi" w:hAnsiTheme="minorHAnsi" w:cstheme="minorHAnsi"/>
          <w:sz w:val="24"/>
          <w:szCs w:val="24"/>
          <w:lang w:val="en-GB"/>
        </w:rPr>
        <w:t xml:space="preserve"> 6.6</w:t>
      </w:r>
      <w:r w:rsidR="00C30067" w:rsidRPr="0002011E">
        <w:rPr>
          <w:rFonts w:asciiTheme="minorHAnsi" w:hAnsiTheme="minorHAnsi" w:cstheme="minorHAnsi"/>
          <w:sz w:val="24"/>
          <w:szCs w:val="24"/>
          <w:lang w:val="en-GB"/>
        </w:rPr>
        <w:t>.</w:t>
      </w:r>
    </w:p>
    <w:p w14:paraId="008640C5" w14:textId="77777777" w:rsidR="00C30067" w:rsidRPr="00266A77" w:rsidRDefault="00C30067" w:rsidP="00C30067">
      <w:pPr>
        <w:tabs>
          <w:tab w:val="num" w:pos="720"/>
        </w:tabs>
        <w:spacing w:after="120"/>
        <w:rPr>
          <w:rFonts w:asciiTheme="minorHAnsi" w:hAnsiTheme="minorHAnsi" w:cstheme="minorHAnsi"/>
          <w:i/>
          <w:color w:val="808080" w:themeColor="background1" w:themeShade="80"/>
          <w:sz w:val="26"/>
          <w:szCs w:val="26"/>
        </w:rPr>
      </w:pPr>
      <w:r>
        <w:rPr>
          <w:rFonts w:asciiTheme="minorHAnsi" w:hAnsiTheme="minorHAnsi" w:cstheme="minorHAnsi"/>
          <w:i/>
          <w:color w:val="808080" w:themeColor="background1" w:themeShade="80"/>
          <w:sz w:val="26"/>
          <w:szCs w:val="26"/>
        </w:rPr>
        <w:t>Summary of k</w:t>
      </w:r>
      <w:r w:rsidRPr="00266A77">
        <w:rPr>
          <w:rFonts w:asciiTheme="minorHAnsi" w:hAnsiTheme="minorHAnsi" w:cstheme="minorHAnsi"/>
          <w:i/>
          <w:color w:val="808080" w:themeColor="background1" w:themeShade="80"/>
          <w:sz w:val="26"/>
          <w:szCs w:val="26"/>
        </w:rPr>
        <w:t>ey findings</w:t>
      </w:r>
    </w:p>
    <w:p w14:paraId="396F8508" w14:textId="77777777" w:rsidR="00C30067" w:rsidRPr="00A015CE" w:rsidRDefault="00C30067" w:rsidP="00C30067">
      <w:pPr>
        <w:numPr>
          <w:ilvl w:val="0"/>
          <w:numId w:val="18"/>
        </w:numPr>
        <w:spacing w:after="120"/>
        <w:ind w:left="357" w:hanging="357"/>
        <w:rPr>
          <w:rFonts w:asciiTheme="minorHAnsi" w:hAnsiTheme="minorHAnsi" w:cstheme="minorHAnsi"/>
          <w:sz w:val="24"/>
          <w:szCs w:val="22"/>
          <w:lang w:val="en-GB"/>
        </w:rPr>
      </w:pPr>
      <w:r>
        <w:rPr>
          <w:rFonts w:asciiTheme="minorHAnsi" w:hAnsiTheme="minorHAnsi" w:cstheme="minorHAnsi"/>
          <w:sz w:val="24"/>
          <w:szCs w:val="24"/>
          <w:lang w:val="en-GB"/>
        </w:rPr>
        <w:t>The positive growth experienced in organ donation performance is predicted to continue with p</w:t>
      </w:r>
      <w:r>
        <w:rPr>
          <w:rFonts w:asciiTheme="minorHAnsi" w:hAnsiTheme="minorHAnsi" w:cstheme="minorHAnsi"/>
          <w:sz w:val="24"/>
          <w:szCs w:val="22"/>
          <w:lang w:val="en-GB"/>
        </w:rPr>
        <w:t xml:space="preserve">rojections of organ donation rates indicating that </w:t>
      </w:r>
      <w:r>
        <w:rPr>
          <w:rFonts w:asciiTheme="minorHAnsi" w:hAnsiTheme="minorHAnsi" w:cstheme="minorHAnsi"/>
          <w:sz w:val="24"/>
          <w:szCs w:val="24"/>
          <w:lang w:val="en-GB"/>
        </w:rPr>
        <w:t>a dpmp of 27.1 will be achieved in 2025.</w:t>
      </w:r>
    </w:p>
    <w:p w14:paraId="064F57FB" w14:textId="4F9F4221" w:rsidR="00C30067" w:rsidRPr="00713FEE" w:rsidRDefault="00C30067" w:rsidP="00C30067">
      <w:pPr>
        <w:numPr>
          <w:ilvl w:val="0"/>
          <w:numId w:val="18"/>
        </w:numPr>
        <w:spacing w:after="120"/>
        <w:ind w:left="357" w:hanging="357"/>
        <w:rPr>
          <w:rFonts w:asciiTheme="minorHAnsi" w:hAnsiTheme="minorHAnsi" w:cstheme="minorHAnsi"/>
          <w:sz w:val="24"/>
          <w:szCs w:val="22"/>
          <w:lang w:val="en-GB"/>
        </w:rPr>
      </w:pPr>
      <w:r>
        <w:rPr>
          <w:rFonts w:asciiTheme="minorHAnsi" w:hAnsiTheme="minorHAnsi" w:cstheme="minorHAnsi"/>
          <w:sz w:val="24"/>
          <w:szCs w:val="24"/>
          <w:lang w:val="en-GB"/>
        </w:rPr>
        <w:t>Consideration of resourcing of the system going forward is required in order to continue to drive organ donation performance as well as manage resourcing pressures downstream</w:t>
      </w:r>
      <w:r w:rsidR="001747E8">
        <w:rPr>
          <w:rFonts w:asciiTheme="minorHAnsi" w:hAnsiTheme="minorHAnsi" w:cstheme="minorHAnsi"/>
          <w:sz w:val="24"/>
          <w:szCs w:val="24"/>
          <w:lang w:val="en-GB"/>
        </w:rPr>
        <w:t>.</w:t>
      </w:r>
    </w:p>
    <w:p w14:paraId="5CC8EF41" w14:textId="77777777" w:rsidR="00086190" w:rsidRDefault="00086190" w:rsidP="00C30067">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626" w:name="_Ref527625825"/>
      <w:r>
        <w:rPr>
          <w:rFonts w:asciiTheme="minorHAnsi" w:hAnsiTheme="minorHAnsi" w:cstheme="minorHAnsi"/>
          <w:b w:val="0"/>
          <w:color w:val="7F7F7F" w:themeColor="text1" w:themeTint="80"/>
          <w:sz w:val="30"/>
          <w:szCs w:val="30"/>
        </w:rPr>
        <w:br w:type="page"/>
      </w:r>
    </w:p>
    <w:p w14:paraId="2F72D83E" w14:textId="06A75733" w:rsidR="00C30067" w:rsidRPr="00266A77" w:rsidRDefault="00C30067" w:rsidP="00C30067">
      <w:pPr>
        <w:pStyle w:val="Heading3"/>
        <w:tabs>
          <w:tab w:val="clear" w:pos="1843"/>
          <w:tab w:val="num" w:pos="1559"/>
        </w:tabs>
        <w:ind w:left="992" w:hanging="992"/>
        <w:rPr>
          <w:rFonts w:asciiTheme="minorHAnsi" w:hAnsiTheme="minorHAnsi" w:cstheme="minorHAnsi"/>
          <w:b w:val="0"/>
          <w:color w:val="7F7F7F" w:themeColor="text1" w:themeTint="80"/>
          <w:sz w:val="30"/>
          <w:szCs w:val="30"/>
        </w:rPr>
      </w:pPr>
      <w:r w:rsidRPr="00F12842">
        <w:rPr>
          <w:rFonts w:asciiTheme="minorHAnsi" w:hAnsiTheme="minorHAnsi" w:cstheme="minorHAnsi"/>
          <w:b w:val="0"/>
          <w:color w:val="7F7F7F" w:themeColor="text1" w:themeTint="80"/>
          <w:sz w:val="30"/>
          <w:szCs w:val="30"/>
        </w:rPr>
        <w:t>A</w:t>
      </w:r>
      <w:r w:rsidRPr="00266A77">
        <w:rPr>
          <w:rFonts w:asciiTheme="minorHAnsi" w:hAnsiTheme="minorHAnsi" w:cstheme="minorHAnsi"/>
          <w:b w:val="0"/>
          <w:color w:val="7F7F7F" w:themeColor="text1" w:themeTint="80"/>
          <w:sz w:val="30"/>
          <w:szCs w:val="30"/>
        </w:rPr>
        <w:t xml:space="preserve">boriginal and Torres Strait Islander </w:t>
      </w:r>
      <w:r>
        <w:rPr>
          <w:rFonts w:asciiTheme="minorHAnsi" w:hAnsiTheme="minorHAnsi" w:cstheme="minorHAnsi"/>
          <w:b w:val="0"/>
          <w:color w:val="7F7F7F" w:themeColor="text1" w:themeTint="80"/>
          <w:sz w:val="30"/>
          <w:szCs w:val="30"/>
        </w:rPr>
        <w:t>and non-European d</w:t>
      </w:r>
      <w:r w:rsidRPr="00266A77">
        <w:rPr>
          <w:rFonts w:asciiTheme="minorHAnsi" w:hAnsiTheme="minorHAnsi" w:cstheme="minorHAnsi"/>
          <w:b w:val="0"/>
          <w:color w:val="7F7F7F" w:themeColor="text1" w:themeTint="80"/>
          <w:sz w:val="30"/>
          <w:szCs w:val="30"/>
        </w:rPr>
        <w:t xml:space="preserve">onation </w:t>
      </w:r>
      <w:r>
        <w:rPr>
          <w:rFonts w:asciiTheme="minorHAnsi" w:hAnsiTheme="minorHAnsi" w:cstheme="minorHAnsi"/>
          <w:b w:val="0"/>
          <w:color w:val="7F7F7F" w:themeColor="text1" w:themeTint="80"/>
          <w:sz w:val="30"/>
          <w:szCs w:val="30"/>
        </w:rPr>
        <w:t>r</w:t>
      </w:r>
      <w:r w:rsidRPr="00266A77">
        <w:rPr>
          <w:rFonts w:asciiTheme="minorHAnsi" w:hAnsiTheme="minorHAnsi" w:cstheme="minorHAnsi"/>
          <w:b w:val="0"/>
          <w:color w:val="7F7F7F" w:themeColor="text1" w:themeTint="80"/>
          <w:sz w:val="30"/>
          <w:szCs w:val="30"/>
        </w:rPr>
        <w:t>ates</w:t>
      </w:r>
      <w:bookmarkEnd w:id="626"/>
    </w:p>
    <w:p w14:paraId="63DE9A7D" w14:textId="77777777" w:rsidR="00C30067" w:rsidRPr="00266A77" w:rsidRDefault="00C30067" w:rsidP="00C30067">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Discussion of findings</w:t>
      </w:r>
    </w:p>
    <w:p w14:paraId="6DD990B0" w14:textId="3942C36A" w:rsidR="00C30067" w:rsidRPr="00274F3C" w:rsidRDefault="00A13F59" w:rsidP="003A517E">
      <w:pPr>
        <w:pStyle w:val="NormalWeb"/>
        <w:spacing w:after="120" w:afterAutospacing="0"/>
        <w:rPr>
          <w:rFonts w:asciiTheme="minorHAnsi" w:hAnsiTheme="minorHAnsi" w:cstheme="minorHAnsi"/>
          <w:b/>
          <w:sz w:val="24"/>
          <w:szCs w:val="22"/>
          <w:highlight w:val="cyan"/>
          <w:lang w:val="en-GB"/>
        </w:rPr>
      </w:pPr>
      <w:r>
        <w:rPr>
          <w:rFonts w:asciiTheme="minorHAnsi" w:hAnsiTheme="minorHAnsi" w:cstheme="minorHAnsi"/>
          <w:sz w:val="24"/>
          <w:szCs w:val="22"/>
          <w:lang w:val="en-GB"/>
        </w:rPr>
        <w:t>I</w:t>
      </w:r>
      <w:r w:rsidR="00C30067">
        <w:rPr>
          <w:rFonts w:asciiTheme="minorHAnsi" w:hAnsiTheme="minorHAnsi" w:cstheme="minorHAnsi"/>
          <w:sz w:val="24"/>
          <w:szCs w:val="22"/>
          <w:lang w:val="en-GB"/>
        </w:rPr>
        <w:t>n</w:t>
      </w:r>
      <w:r w:rsidR="00C30067" w:rsidRPr="00F37D51">
        <w:rPr>
          <w:rFonts w:asciiTheme="minorHAnsi" w:hAnsiTheme="minorHAnsi" w:cstheme="minorHAnsi"/>
          <w:sz w:val="24"/>
          <w:szCs w:val="22"/>
          <w:lang w:val="en-GB"/>
        </w:rPr>
        <w:t xml:space="preserve"> 201</w:t>
      </w:r>
      <w:r w:rsidR="007E5575">
        <w:rPr>
          <w:rFonts w:asciiTheme="minorHAnsi" w:hAnsiTheme="minorHAnsi" w:cstheme="minorHAnsi"/>
          <w:sz w:val="24"/>
          <w:szCs w:val="22"/>
          <w:lang w:val="en-GB"/>
        </w:rPr>
        <w:t>7</w:t>
      </w:r>
      <w:r w:rsidR="00C30067" w:rsidRPr="00F37D51">
        <w:rPr>
          <w:rFonts w:asciiTheme="minorHAnsi" w:hAnsiTheme="minorHAnsi" w:cstheme="minorHAnsi"/>
          <w:sz w:val="24"/>
          <w:szCs w:val="22"/>
          <w:lang w:val="en-GB"/>
        </w:rPr>
        <w:t xml:space="preserve"> there were </w:t>
      </w:r>
      <w:r w:rsidR="007E5575">
        <w:rPr>
          <w:rFonts w:asciiTheme="minorHAnsi" w:hAnsiTheme="minorHAnsi" w:cstheme="minorHAnsi"/>
          <w:sz w:val="24"/>
          <w:szCs w:val="22"/>
          <w:lang w:val="en-GB"/>
        </w:rPr>
        <w:t>12</w:t>
      </w:r>
      <w:r w:rsidR="00C30067" w:rsidRPr="00F37D51">
        <w:rPr>
          <w:rFonts w:asciiTheme="minorHAnsi" w:hAnsiTheme="minorHAnsi" w:cstheme="minorHAnsi"/>
          <w:sz w:val="24"/>
          <w:szCs w:val="22"/>
          <w:lang w:val="en-GB"/>
        </w:rPr>
        <w:t xml:space="preserve"> organ donations from Aboriginal and Torres Strait Islander </w:t>
      </w:r>
      <w:r w:rsidR="00C30067">
        <w:rPr>
          <w:rFonts w:asciiTheme="minorHAnsi" w:hAnsiTheme="minorHAnsi" w:cstheme="minorHAnsi"/>
          <w:sz w:val="24"/>
          <w:szCs w:val="22"/>
          <w:lang w:val="en-GB"/>
        </w:rPr>
        <w:t>people, representing</w:t>
      </w:r>
      <w:r w:rsidR="00C30067" w:rsidRPr="00F37D51">
        <w:rPr>
          <w:rFonts w:asciiTheme="minorHAnsi" w:hAnsiTheme="minorHAnsi" w:cstheme="minorHAnsi"/>
          <w:sz w:val="24"/>
          <w:szCs w:val="22"/>
          <w:lang w:val="en-GB"/>
        </w:rPr>
        <w:t xml:space="preserve"> </w:t>
      </w:r>
      <w:r w:rsidR="007E5575">
        <w:rPr>
          <w:rFonts w:asciiTheme="minorHAnsi" w:hAnsiTheme="minorHAnsi" w:cstheme="minorHAnsi"/>
          <w:sz w:val="24"/>
          <w:szCs w:val="22"/>
          <w:lang w:val="en-GB"/>
        </w:rPr>
        <w:t>2.4</w:t>
      </w:r>
      <w:r w:rsidR="00C30067">
        <w:rPr>
          <w:rFonts w:asciiTheme="minorHAnsi" w:hAnsiTheme="minorHAnsi" w:cstheme="minorHAnsi"/>
          <w:sz w:val="24"/>
          <w:szCs w:val="22"/>
          <w:lang w:val="en-GB"/>
        </w:rPr>
        <w:t xml:space="preserve"> per cent</w:t>
      </w:r>
      <w:r w:rsidR="00C30067" w:rsidRPr="00F37D51">
        <w:rPr>
          <w:rFonts w:asciiTheme="minorHAnsi" w:hAnsiTheme="minorHAnsi" w:cstheme="minorHAnsi"/>
          <w:sz w:val="24"/>
          <w:szCs w:val="22"/>
          <w:lang w:val="en-GB"/>
        </w:rPr>
        <w:t xml:space="preserve"> of total donations in Australia</w:t>
      </w:r>
      <w:r>
        <w:rPr>
          <w:rFonts w:asciiTheme="minorHAnsi" w:hAnsiTheme="minorHAnsi" w:cstheme="minorHAnsi"/>
          <w:sz w:val="24"/>
          <w:szCs w:val="22"/>
          <w:lang w:val="en-GB"/>
        </w:rPr>
        <w:t xml:space="preserve"> (</w:t>
      </w:r>
      <w:r w:rsidRPr="00953C05">
        <w:rPr>
          <w:rFonts w:asciiTheme="minorHAnsi" w:hAnsiTheme="minorHAnsi" w:cstheme="minorHAnsi"/>
          <w:sz w:val="24"/>
          <w:szCs w:val="22"/>
          <w:lang w:val="en-GB"/>
        </w:rPr>
        <w:t xml:space="preserve">see </w:t>
      </w:r>
      <w:r w:rsidRPr="00953C05">
        <w:rPr>
          <w:rFonts w:asciiTheme="minorHAnsi" w:hAnsiTheme="minorHAnsi" w:cstheme="minorHAnsi"/>
          <w:sz w:val="24"/>
          <w:szCs w:val="22"/>
          <w:lang w:val="en-GB"/>
        </w:rPr>
        <w:fldChar w:fldCharType="begin"/>
      </w:r>
      <w:r w:rsidRPr="00953C05">
        <w:rPr>
          <w:rFonts w:asciiTheme="minorHAnsi" w:hAnsiTheme="minorHAnsi" w:cstheme="minorHAnsi"/>
          <w:sz w:val="24"/>
          <w:szCs w:val="22"/>
          <w:lang w:val="en-GB"/>
        </w:rPr>
        <w:instrText xml:space="preserve"> REF _Ref527557548 \h  \* MERGEFORMAT </w:instrText>
      </w:r>
      <w:r w:rsidRPr="00953C05">
        <w:rPr>
          <w:rFonts w:asciiTheme="minorHAnsi" w:hAnsiTheme="minorHAnsi" w:cstheme="minorHAnsi"/>
          <w:sz w:val="24"/>
          <w:szCs w:val="22"/>
          <w:lang w:val="en-GB"/>
        </w:rPr>
      </w:r>
      <w:r w:rsidRPr="00953C05">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Table 16</w:t>
      </w:r>
      <w:r w:rsidRPr="00953C05">
        <w:rPr>
          <w:rFonts w:asciiTheme="minorHAnsi" w:hAnsiTheme="minorHAnsi" w:cstheme="minorHAnsi"/>
          <w:sz w:val="24"/>
          <w:szCs w:val="22"/>
          <w:lang w:val="en-GB"/>
        </w:rPr>
        <w:fldChar w:fldCharType="end"/>
      </w:r>
      <w:r w:rsidRPr="007E785C">
        <w:rPr>
          <w:rFonts w:asciiTheme="minorHAnsi" w:hAnsiTheme="minorHAnsi" w:cstheme="minorHAnsi"/>
          <w:sz w:val="24"/>
          <w:szCs w:val="22"/>
          <w:lang w:val="en-GB"/>
        </w:rPr>
        <w:t>)</w:t>
      </w:r>
      <w:r w:rsidR="00C30067" w:rsidRPr="007E785C">
        <w:rPr>
          <w:rFonts w:asciiTheme="minorHAnsi" w:hAnsiTheme="minorHAnsi" w:cstheme="minorHAnsi"/>
          <w:sz w:val="24"/>
          <w:szCs w:val="22"/>
          <w:lang w:val="en-GB"/>
        </w:rPr>
        <w:t>.</w:t>
      </w:r>
      <w:r w:rsidR="00C30067" w:rsidRPr="007E785C">
        <w:rPr>
          <w:rStyle w:val="FootnoteReference"/>
          <w:rFonts w:asciiTheme="minorHAnsi" w:hAnsiTheme="minorHAnsi" w:cstheme="minorHAnsi"/>
          <w:sz w:val="20"/>
          <w:lang w:val="en-GB"/>
        </w:rPr>
        <w:footnoteReference w:id="116"/>
      </w:r>
      <w:r w:rsidR="00C30067" w:rsidRPr="007E785C">
        <w:rPr>
          <w:rFonts w:asciiTheme="minorHAnsi" w:hAnsiTheme="minorHAnsi" w:cstheme="minorHAnsi"/>
          <w:sz w:val="24"/>
          <w:szCs w:val="22"/>
          <w:lang w:val="en-GB"/>
        </w:rPr>
        <w:t xml:space="preserve"> </w:t>
      </w:r>
    </w:p>
    <w:p w14:paraId="4E90A3A0" w14:textId="77777777" w:rsidR="00C30067" w:rsidRPr="005F5BB1" w:rsidRDefault="00C30067" w:rsidP="00C30067">
      <w:pPr>
        <w:pStyle w:val="Caption"/>
        <w:keepNext/>
        <w:widowControl/>
        <w:spacing w:after="120"/>
        <w:rPr>
          <w:rFonts w:asciiTheme="minorHAnsi" w:hAnsiTheme="minorHAnsi" w:cstheme="minorHAnsi"/>
          <w:b w:val="0"/>
          <w:color w:val="808080"/>
          <w:sz w:val="20"/>
        </w:rPr>
      </w:pPr>
      <w:bookmarkStart w:id="627" w:name="_Ref527557548"/>
      <w:r w:rsidRPr="005F5BB1">
        <w:rPr>
          <w:rFonts w:asciiTheme="minorHAnsi" w:hAnsiTheme="minorHAnsi" w:cstheme="minorHAnsi"/>
          <w:b w:val="0"/>
          <w:color w:val="808080"/>
          <w:sz w:val="20"/>
        </w:rPr>
        <w:t xml:space="preserve">Table </w:t>
      </w:r>
      <w:r w:rsidRPr="005F5BB1">
        <w:rPr>
          <w:rFonts w:asciiTheme="minorHAnsi" w:hAnsiTheme="minorHAnsi" w:cstheme="minorHAnsi"/>
          <w:b w:val="0"/>
          <w:color w:val="808080"/>
          <w:sz w:val="20"/>
        </w:rPr>
        <w:fldChar w:fldCharType="begin"/>
      </w:r>
      <w:r w:rsidRPr="005F5BB1">
        <w:rPr>
          <w:rFonts w:asciiTheme="minorHAnsi" w:hAnsiTheme="minorHAnsi" w:cstheme="minorHAnsi"/>
          <w:b w:val="0"/>
          <w:color w:val="808080"/>
          <w:sz w:val="20"/>
        </w:rPr>
        <w:instrText xml:space="preserve"> SEQ Table \* ARABIC </w:instrText>
      </w:r>
      <w:r w:rsidRPr="005F5BB1">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16</w:t>
      </w:r>
      <w:r w:rsidRPr="005F5BB1">
        <w:rPr>
          <w:rFonts w:asciiTheme="minorHAnsi" w:hAnsiTheme="minorHAnsi" w:cstheme="minorHAnsi"/>
          <w:b w:val="0"/>
          <w:color w:val="808080"/>
          <w:sz w:val="20"/>
        </w:rPr>
        <w:fldChar w:fldCharType="end"/>
      </w:r>
      <w:bookmarkEnd w:id="627"/>
      <w:r w:rsidRPr="005F5BB1">
        <w:rPr>
          <w:rFonts w:asciiTheme="minorHAnsi" w:hAnsiTheme="minorHAnsi" w:cstheme="minorHAnsi"/>
          <w:b w:val="0"/>
          <w:color w:val="808080"/>
          <w:sz w:val="20"/>
        </w:rPr>
        <w:t xml:space="preserve">: </w:t>
      </w:r>
      <w:r>
        <w:rPr>
          <w:rFonts w:asciiTheme="minorHAnsi" w:hAnsiTheme="minorHAnsi" w:cstheme="minorHAnsi"/>
          <w:b w:val="0"/>
          <w:color w:val="808080"/>
          <w:sz w:val="20"/>
        </w:rPr>
        <w:t>Aboriginal and Torres Strait Islander organ donors per population</w:t>
      </w:r>
      <w:r w:rsidR="007A0C20">
        <w:rPr>
          <w:rFonts w:asciiTheme="minorHAnsi" w:hAnsiTheme="minorHAnsi" w:cstheme="minorHAnsi"/>
          <w:b w:val="0"/>
          <w:color w:val="808080"/>
          <w:sz w:val="20"/>
        </w:rPr>
        <w:t>, SOURCE: ANZOD</w:t>
      </w:r>
    </w:p>
    <w:tbl>
      <w:tblPr>
        <w:tblW w:w="8568" w:type="dxa"/>
        <w:tblInd w:w="-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848"/>
        <w:gridCol w:w="960"/>
        <w:gridCol w:w="960"/>
        <w:gridCol w:w="960"/>
        <w:gridCol w:w="960"/>
        <w:gridCol w:w="960"/>
        <w:gridCol w:w="960"/>
        <w:gridCol w:w="960"/>
      </w:tblGrid>
      <w:tr w:rsidR="00C30067" w:rsidRPr="00713F0A" w14:paraId="1C1026A5" w14:textId="77777777" w:rsidTr="00AE3ED1">
        <w:trPr>
          <w:trHeight w:val="290"/>
          <w:tblHeader/>
        </w:trPr>
        <w:tc>
          <w:tcPr>
            <w:tcW w:w="1848" w:type="dxa"/>
            <w:shd w:val="clear" w:color="auto" w:fill="595959" w:themeFill="text1" w:themeFillTint="A6"/>
            <w:noWrap/>
            <w:vAlign w:val="center"/>
            <w:hideMark/>
          </w:tcPr>
          <w:p w14:paraId="1DE21C5A" w14:textId="77777777" w:rsidR="00C30067" w:rsidRPr="004938CA" w:rsidRDefault="00C30067" w:rsidP="008E083E">
            <w:pPr>
              <w:widowControl/>
              <w:autoSpaceDE/>
              <w:autoSpaceDN/>
              <w:adjustRightInd/>
              <w:spacing w:before="40" w:after="40"/>
              <w:rPr>
                <w:rFonts w:ascii="Calibri" w:hAnsi="Calibri" w:cs="Calibri"/>
                <w:color w:val="000000"/>
                <w:szCs w:val="22"/>
                <w:lang w:eastAsia="en-AU"/>
              </w:rPr>
            </w:pPr>
            <w:r w:rsidRPr="004938CA">
              <w:rPr>
                <w:rFonts w:ascii="Calibri" w:hAnsi="Calibri" w:cs="Calibri"/>
                <w:color w:val="000000"/>
                <w:szCs w:val="22"/>
                <w:lang w:eastAsia="en-AU"/>
              </w:rPr>
              <w:t> </w:t>
            </w:r>
          </w:p>
        </w:tc>
        <w:tc>
          <w:tcPr>
            <w:tcW w:w="960" w:type="dxa"/>
            <w:shd w:val="clear" w:color="auto" w:fill="595959" w:themeFill="text1" w:themeFillTint="A6"/>
            <w:noWrap/>
            <w:vAlign w:val="center"/>
            <w:hideMark/>
          </w:tcPr>
          <w:p w14:paraId="06665967" w14:textId="77777777" w:rsidR="00C30067" w:rsidRPr="004938CA" w:rsidRDefault="00C30067" w:rsidP="008E083E">
            <w:pPr>
              <w:widowControl/>
              <w:autoSpaceDE/>
              <w:autoSpaceDN/>
              <w:adjustRightInd/>
              <w:spacing w:before="40" w:after="40"/>
              <w:jc w:val="center"/>
              <w:rPr>
                <w:rFonts w:ascii="Calibri" w:hAnsi="Calibri" w:cs="Calibri"/>
                <w:b/>
                <w:bCs/>
                <w:color w:val="FFFFFF" w:themeColor="background1"/>
                <w:szCs w:val="22"/>
                <w:lang w:eastAsia="en-AU"/>
              </w:rPr>
            </w:pPr>
            <w:r w:rsidRPr="004938CA">
              <w:rPr>
                <w:rFonts w:ascii="Calibri" w:hAnsi="Calibri" w:cs="Calibri"/>
                <w:b/>
                <w:bCs/>
                <w:color w:val="FFFFFF" w:themeColor="background1"/>
                <w:szCs w:val="22"/>
                <w:lang w:eastAsia="en-AU"/>
              </w:rPr>
              <w:t>2011</w:t>
            </w:r>
          </w:p>
        </w:tc>
        <w:tc>
          <w:tcPr>
            <w:tcW w:w="960" w:type="dxa"/>
            <w:shd w:val="clear" w:color="auto" w:fill="595959" w:themeFill="text1" w:themeFillTint="A6"/>
            <w:noWrap/>
            <w:vAlign w:val="center"/>
            <w:hideMark/>
          </w:tcPr>
          <w:p w14:paraId="1F807A72" w14:textId="77777777" w:rsidR="00C30067" w:rsidRPr="004938CA" w:rsidRDefault="00C30067" w:rsidP="008E083E">
            <w:pPr>
              <w:widowControl/>
              <w:autoSpaceDE/>
              <w:autoSpaceDN/>
              <w:adjustRightInd/>
              <w:spacing w:before="40" w:after="40"/>
              <w:jc w:val="center"/>
              <w:rPr>
                <w:rFonts w:ascii="Calibri" w:hAnsi="Calibri" w:cs="Calibri"/>
                <w:b/>
                <w:bCs/>
                <w:color w:val="FFFFFF" w:themeColor="background1"/>
                <w:szCs w:val="22"/>
                <w:lang w:eastAsia="en-AU"/>
              </w:rPr>
            </w:pPr>
            <w:r w:rsidRPr="004938CA">
              <w:rPr>
                <w:rFonts w:ascii="Calibri" w:hAnsi="Calibri" w:cs="Calibri"/>
                <w:b/>
                <w:bCs/>
                <w:color w:val="FFFFFF" w:themeColor="background1"/>
                <w:szCs w:val="22"/>
                <w:lang w:eastAsia="en-AU"/>
              </w:rPr>
              <w:t>2012</w:t>
            </w:r>
          </w:p>
        </w:tc>
        <w:tc>
          <w:tcPr>
            <w:tcW w:w="960" w:type="dxa"/>
            <w:shd w:val="clear" w:color="auto" w:fill="595959" w:themeFill="text1" w:themeFillTint="A6"/>
            <w:noWrap/>
            <w:vAlign w:val="center"/>
            <w:hideMark/>
          </w:tcPr>
          <w:p w14:paraId="1EE61978" w14:textId="77777777" w:rsidR="00C30067" w:rsidRPr="004938CA" w:rsidRDefault="00C30067" w:rsidP="008E083E">
            <w:pPr>
              <w:widowControl/>
              <w:autoSpaceDE/>
              <w:autoSpaceDN/>
              <w:adjustRightInd/>
              <w:spacing w:before="40" w:after="40"/>
              <w:jc w:val="center"/>
              <w:rPr>
                <w:rFonts w:ascii="Calibri" w:hAnsi="Calibri" w:cs="Calibri"/>
                <w:b/>
                <w:bCs/>
                <w:color w:val="FFFFFF" w:themeColor="background1"/>
                <w:szCs w:val="22"/>
                <w:lang w:eastAsia="en-AU"/>
              </w:rPr>
            </w:pPr>
            <w:r w:rsidRPr="004938CA">
              <w:rPr>
                <w:rFonts w:ascii="Calibri" w:hAnsi="Calibri" w:cs="Calibri"/>
                <w:b/>
                <w:bCs/>
                <w:color w:val="FFFFFF" w:themeColor="background1"/>
                <w:szCs w:val="22"/>
                <w:lang w:eastAsia="en-AU"/>
              </w:rPr>
              <w:t>2013</w:t>
            </w:r>
          </w:p>
        </w:tc>
        <w:tc>
          <w:tcPr>
            <w:tcW w:w="960" w:type="dxa"/>
            <w:shd w:val="clear" w:color="auto" w:fill="595959" w:themeFill="text1" w:themeFillTint="A6"/>
            <w:noWrap/>
            <w:vAlign w:val="center"/>
            <w:hideMark/>
          </w:tcPr>
          <w:p w14:paraId="7C6BD0F4" w14:textId="77777777" w:rsidR="00C30067" w:rsidRPr="004938CA" w:rsidRDefault="00C30067" w:rsidP="008E083E">
            <w:pPr>
              <w:widowControl/>
              <w:autoSpaceDE/>
              <w:autoSpaceDN/>
              <w:adjustRightInd/>
              <w:spacing w:before="40" w:after="40"/>
              <w:jc w:val="center"/>
              <w:rPr>
                <w:rFonts w:ascii="Calibri" w:hAnsi="Calibri" w:cs="Calibri"/>
                <w:b/>
                <w:bCs/>
                <w:color w:val="FFFFFF" w:themeColor="background1"/>
                <w:szCs w:val="22"/>
                <w:lang w:eastAsia="en-AU"/>
              </w:rPr>
            </w:pPr>
            <w:r w:rsidRPr="004938CA">
              <w:rPr>
                <w:rFonts w:ascii="Calibri" w:hAnsi="Calibri" w:cs="Calibri"/>
                <w:b/>
                <w:bCs/>
                <w:color w:val="FFFFFF" w:themeColor="background1"/>
                <w:szCs w:val="22"/>
                <w:lang w:eastAsia="en-AU"/>
              </w:rPr>
              <w:t>2014</w:t>
            </w:r>
          </w:p>
        </w:tc>
        <w:tc>
          <w:tcPr>
            <w:tcW w:w="960" w:type="dxa"/>
            <w:shd w:val="clear" w:color="auto" w:fill="595959" w:themeFill="text1" w:themeFillTint="A6"/>
            <w:noWrap/>
            <w:vAlign w:val="center"/>
            <w:hideMark/>
          </w:tcPr>
          <w:p w14:paraId="4F3C21F7" w14:textId="77777777" w:rsidR="00C30067" w:rsidRPr="004938CA" w:rsidRDefault="00C30067" w:rsidP="008E083E">
            <w:pPr>
              <w:widowControl/>
              <w:autoSpaceDE/>
              <w:autoSpaceDN/>
              <w:adjustRightInd/>
              <w:spacing w:before="40" w:after="40"/>
              <w:jc w:val="center"/>
              <w:rPr>
                <w:rFonts w:ascii="Calibri" w:hAnsi="Calibri" w:cs="Calibri"/>
                <w:b/>
                <w:bCs/>
                <w:color w:val="FFFFFF" w:themeColor="background1"/>
                <w:szCs w:val="22"/>
                <w:lang w:eastAsia="en-AU"/>
              </w:rPr>
            </w:pPr>
            <w:r w:rsidRPr="004938CA">
              <w:rPr>
                <w:rFonts w:ascii="Calibri" w:hAnsi="Calibri" w:cs="Calibri"/>
                <w:b/>
                <w:bCs/>
                <w:color w:val="FFFFFF" w:themeColor="background1"/>
                <w:szCs w:val="22"/>
                <w:lang w:eastAsia="en-AU"/>
              </w:rPr>
              <w:t>2015</w:t>
            </w:r>
          </w:p>
        </w:tc>
        <w:tc>
          <w:tcPr>
            <w:tcW w:w="960" w:type="dxa"/>
            <w:shd w:val="clear" w:color="auto" w:fill="595959" w:themeFill="text1" w:themeFillTint="A6"/>
            <w:noWrap/>
            <w:vAlign w:val="center"/>
            <w:hideMark/>
          </w:tcPr>
          <w:p w14:paraId="50EFEE5A" w14:textId="77777777" w:rsidR="00C30067" w:rsidRPr="004938CA" w:rsidRDefault="00C30067" w:rsidP="008E083E">
            <w:pPr>
              <w:widowControl/>
              <w:autoSpaceDE/>
              <w:autoSpaceDN/>
              <w:adjustRightInd/>
              <w:spacing w:before="40" w:after="40"/>
              <w:jc w:val="center"/>
              <w:rPr>
                <w:rFonts w:ascii="Calibri" w:hAnsi="Calibri" w:cs="Calibri"/>
                <w:b/>
                <w:bCs/>
                <w:color w:val="FFFFFF" w:themeColor="background1"/>
                <w:szCs w:val="22"/>
                <w:lang w:eastAsia="en-AU"/>
              </w:rPr>
            </w:pPr>
            <w:r w:rsidRPr="004938CA">
              <w:rPr>
                <w:rFonts w:ascii="Calibri" w:hAnsi="Calibri" w:cs="Calibri"/>
                <w:b/>
                <w:bCs/>
                <w:color w:val="FFFFFF" w:themeColor="background1"/>
                <w:szCs w:val="22"/>
                <w:lang w:eastAsia="en-AU"/>
              </w:rPr>
              <w:t>2016</w:t>
            </w:r>
          </w:p>
        </w:tc>
        <w:tc>
          <w:tcPr>
            <w:tcW w:w="960" w:type="dxa"/>
            <w:shd w:val="clear" w:color="auto" w:fill="595959" w:themeFill="text1" w:themeFillTint="A6"/>
            <w:noWrap/>
            <w:vAlign w:val="center"/>
            <w:hideMark/>
          </w:tcPr>
          <w:p w14:paraId="1F97C292" w14:textId="77777777" w:rsidR="00C30067" w:rsidRPr="004938CA" w:rsidRDefault="00C30067" w:rsidP="008E083E">
            <w:pPr>
              <w:widowControl/>
              <w:autoSpaceDE/>
              <w:autoSpaceDN/>
              <w:adjustRightInd/>
              <w:spacing w:before="40" w:after="40"/>
              <w:jc w:val="center"/>
              <w:rPr>
                <w:rFonts w:ascii="Calibri" w:hAnsi="Calibri" w:cs="Calibri"/>
                <w:b/>
                <w:bCs/>
                <w:color w:val="FFFFFF" w:themeColor="background1"/>
                <w:szCs w:val="22"/>
                <w:lang w:eastAsia="en-AU"/>
              </w:rPr>
            </w:pPr>
            <w:r w:rsidRPr="004938CA">
              <w:rPr>
                <w:rFonts w:ascii="Calibri" w:hAnsi="Calibri" w:cs="Calibri"/>
                <w:b/>
                <w:bCs/>
                <w:color w:val="FFFFFF" w:themeColor="background1"/>
                <w:szCs w:val="22"/>
                <w:lang w:eastAsia="en-AU"/>
              </w:rPr>
              <w:t>2017</w:t>
            </w:r>
          </w:p>
        </w:tc>
      </w:tr>
      <w:tr w:rsidR="00C30067" w:rsidRPr="00713F0A" w14:paraId="6BBCBC06" w14:textId="77777777" w:rsidTr="008E083E">
        <w:trPr>
          <w:trHeight w:val="290"/>
        </w:trPr>
        <w:tc>
          <w:tcPr>
            <w:tcW w:w="1848" w:type="dxa"/>
            <w:shd w:val="clear" w:color="auto" w:fill="auto"/>
            <w:noWrap/>
            <w:vAlign w:val="center"/>
            <w:hideMark/>
          </w:tcPr>
          <w:p w14:paraId="32A745FC" w14:textId="77777777" w:rsidR="00C30067" w:rsidRPr="004938CA" w:rsidRDefault="00D72901" w:rsidP="008E083E">
            <w:pPr>
              <w:widowControl/>
              <w:autoSpaceDE/>
              <w:autoSpaceDN/>
              <w:adjustRightInd/>
              <w:spacing w:before="40" w:after="40"/>
              <w:rPr>
                <w:rFonts w:ascii="Calibri" w:hAnsi="Calibri" w:cs="Calibri"/>
                <w:bCs/>
                <w:color w:val="000000" w:themeColor="text1"/>
                <w:szCs w:val="22"/>
                <w:lang w:eastAsia="en-AU"/>
              </w:rPr>
            </w:pPr>
            <w:r>
              <w:rPr>
                <w:rFonts w:ascii="Calibri" w:hAnsi="Calibri" w:cs="Calibri"/>
                <w:bCs/>
                <w:color w:val="000000" w:themeColor="text1"/>
                <w:szCs w:val="22"/>
                <w:lang w:eastAsia="en-AU"/>
              </w:rPr>
              <w:t>Proportion</w:t>
            </w:r>
            <w:r w:rsidR="00C30067" w:rsidRPr="004938CA">
              <w:rPr>
                <w:rFonts w:ascii="Calibri" w:hAnsi="Calibri" w:cs="Calibri"/>
                <w:bCs/>
                <w:color w:val="000000" w:themeColor="text1"/>
                <w:szCs w:val="22"/>
                <w:lang w:eastAsia="en-AU"/>
              </w:rPr>
              <w:t xml:space="preserve"> of </w:t>
            </w:r>
            <w:r w:rsidR="00C30067">
              <w:rPr>
                <w:rFonts w:ascii="Calibri" w:hAnsi="Calibri" w:cs="Calibri"/>
                <w:bCs/>
                <w:color w:val="000000" w:themeColor="text1"/>
                <w:szCs w:val="22"/>
                <w:lang w:eastAsia="en-AU"/>
              </w:rPr>
              <w:t>p</w:t>
            </w:r>
            <w:r w:rsidR="00C30067" w:rsidRPr="004938CA">
              <w:rPr>
                <w:rFonts w:ascii="Calibri" w:hAnsi="Calibri" w:cs="Calibri"/>
                <w:bCs/>
                <w:color w:val="000000" w:themeColor="text1"/>
                <w:szCs w:val="22"/>
                <w:lang w:eastAsia="en-AU"/>
              </w:rPr>
              <w:t>opulation</w:t>
            </w:r>
          </w:p>
        </w:tc>
        <w:tc>
          <w:tcPr>
            <w:tcW w:w="960" w:type="dxa"/>
            <w:shd w:val="clear" w:color="auto" w:fill="auto"/>
            <w:noWrap/>
            <w:vAlign w:val="center"/>
            <w:hideMark/>
          </w:tcPr>
          <w:p w14:paraId="5634974F"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sidRPr="004938CA">
              <w:rPr>
                <w:rFonts w:ascii="Calibri" w:hAnsi="Calibri" w:cs="Calibri"/>
                <w:color w:val="000000"/>
                <w:szCs w:val="22"/>
                <w:lang w:eastAsia="en-AU"/>
              </w:rPr>
              <w:t>2.5%</w:t>
            </w:r>
          </w:p>
        </w:tc>
        <w:tc>
          <w:tcPr>
            <w:tcW w:w="960" w:type="dxa"/>
            <w:shd w:val="clear" w:color="auto" w:fill="auto"/>
            <w:noWrap/>
            <w:vAlign w:val="center"/>
            <w:hideMark/>
          </w:tcPr>
          <w:p w14:paraId="3A9D8578"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Pr>
                <w:rFonts w:ascii="Calibri" w:hAnsi="Calibri" w:cs="Calibri"/>
                <w:color w:val="000000"/>
                <w:szCs w:val="22"/>
                <w:lang w:eastAsia="en-AU"/>
              </w:rPr>
              <w:t>-</w:t>
            </w:r>
          </w:p>
        </w:tc>
        <w:tc>
          <w:tcPr>
            <w:tcW w:w="960" w:type="dxa"/>
            <w:shd w:val="clear" w:color="auto" w:fill="auto"/>
            <w:noWrap/>
            <w:vAlign w:val="center"/>
            <w:hideMark/>
          </w:tcPr>
          <w:p w14:paraId="48162948" w14:textId="77777777" w:rsidR="00C30067" w:rsidRPr="00713F0A" w:rsidRDefault="00C30067" w:rsidP="008E083E">
            <w:pPr>
              <w:widowControl/>
              <w:autoSpaceDE/>
              <w:autoSpaceDN/>
              <w:adjustRightInd/>
              <w:spacing w:before="40" w:after="40"/>
              <w:jc w:val="center"/>
              <w:rPr>
                <w:rFonts w:ascii="Times New Roman" w:hAnsi="Times New Roman"/>
                <w:lang w:eastAsia="en-AU"/>
              </w:rPr>
            </w:pPr>
            <w:r>
              <w:rPr>
                <w:rFonts w:ascii="Times New Roman" w:hAnsi="Times New Roman"/>
                <w:lang w:eastAsia="en-AU"/>
              </w:rPr>
              <w:t>-</w:t>
            </w:r>
          </w:p>
        </w:tc>
        <w:tc>
          <w:tcPr>
            <w:tcW w:w="960" w:type="dxa"/>
            <w:shd w:val="clear" w:color="auto" w:fill="auto"/>
            <w:noWrap/>
            <w:vAlign w:val="center"/>
            <w:hideMark/>
          </w:tcPr>
          <w:p w14:paraId="153A7D16" w14:textId="77777777" w:rsidR="00C30067" w:rsidRPr="00713F0A" w:rsidRDefault="00C30067" w:rsidP="008E083E">
            <w:pPr>
              <w:widowControl/>
              <w:autoSpaceDE/>
              <w:autoSpaceDN/>
              <w:adjustRightInd/>
              <w:spacing w:before="40" w:after="40"/>
              <w:jc w:val="center"/>
              <w:rPr>
                <w:rFonts w:ascii="Times New Roman" w:hAnsi="Times New Roman"/>
                <w:lang w:eastAsia="en-AU"/>
              </w:rPr>
            </w:pPr>
            <w:r>
              <w:rPr>
                <w:rFonts w:ascii="Times New Roman" w:hAnsi="Times New Roman"/>
                <w:lang w:eastAsia="en-AU"/>
              </w:rPr>
              <w:t>-</w:t>
            </w:r>
          </w:p>
        </w:tc>
        <w:tc>
          <w:tcPr>
            <w:tcW w:w="960" w:type="dxa"/>
            <w:shd w:val="clear" w:color="auto" w:fill="auto"/>
            <w:noWrap/>
            <w:vAlign w:val="center"/>
            <w:hideMark/>
          </w:tcPr>
          <w:p w14:paraId="7FDD64DE" w14:textId="77777777" w:rsidR="00C30067" w:rsidRPr="00713F0A" w:rsidRDefault="00C30067" w:rsidP="008E083E">
            <w:pPr>
              <w:widowControl/>
              <w:autoSpaceDE/>
              <w:autoSpaceDN/>
              <w:adjustRightInd/>
              <w:spacing w:before="40" w:after="40"/>
              <w:jc w:val="center"/>
              <w:rPr>
                <w:rFonts w:ascii="Times New Roman" w:hAnsi="Times New Roman"/>
                <w:lang w:eastAsia="en-AU"/>
              </w:rPr>
            </w:pPr>
            <w:r>
              <w:rPr>
                <w:rFonts w:ascii="Times New Roman" w:hAnsi="Times New Roman"/>
                <w:lang w:eastAsia="en-AU"/>
              </w:rPr>
              <w:t>-</w:t>
            </w:r>
          </w:p>
        </w:tc>
        <w:tc>
          <w:tcPr>
            <w:tcW w:w="960" w:type="dxa"/>
            <w:shd w:val="clear" w:color="auto" w:fill="auto"/>
            <w:noWrap/>
            <w:vAlign w:val="center"/>
            <w:hideMark/>
          </w:tcPr>
          <w:p w14:paraId="6B739B79"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sidRPr="004938CA">
              <w:rPr>
                <w:rFonts w:ascii="Calibri" w:hAnsi="Calibri" w:cs="Calibri"/>
                <w:color w:val="000000"/>
                <w:szCs w:val="22"/>
                <w:lang w:eastAsia="en-AU"/>
              </w:rPr>
              <w:t>2.8%</w:t>
            </w:r>
          </w:p>
        </w:tc>
        <w:tc>
          <w:tcPr>
            <w:tcW w:w="960" w:type="dxa"/>
            <w:shd w:val="clear" w:color="auto" w:fill="auto"/>
            <w:noWrap/>
            <w:vAlign w:val="center"/>
            <w:hideMark/>
          </w:tcPr>
          <w:p w14:paraId="4D20507D"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Pr>
                <w:rFonts w:ascii="Calibri" w:hAnsi="Calibri" w:cs="Calibri"/>
                <w:color w:val="000000"/>
                <w:szCs w:val="22"/>
                <w:lang w:eastAsia="en-AU"/>
              </w:rPr>
              <w:t>-</w:t>
            </w:r>
          </w:p>
        </w:tc>
      </w:tr>
      <w:tr w:rsidR="00C30067" w:rsidRPr="00713F0A" w14:paraId="4A2856DE" w14:textId="77777777" w:rsidTr="008E083E">
        <w:trPr>
          <w:trHeight w:val="290"/>
        </w:trPr>
        <w:tc>
          <w:tcPr>
            <w:tcW w:w="1848" w:type="dxa"/>
            <w:shd w:val="clear" w:color="auto" w:fill="auto"/>
            <w:noWrap/>
            <w:vAlign w:val="center"/>
            <w:hideMark/>
          </w:tcPr>
          <w:p w14:paraId="4286329B" w14:textId="77777777" w:rsidR="00C30067" w:rsidRPr="004938CA" w:rsidRDefault="00C30067" w:rsidP="008E083E">
            <w:pPr>
              <w:widowControl/>
              <w:autoSpaceDE/>
              <w:autoSpaceDN/>
              <w:adjustRightInd/>
              <w:spacing w:before="40" w:after="40"/>
              <w:rPr>
                <w:rFonts w:ascii="Calibri" w:hAnsi="Calibri" w:cs="Calibri"/>
                <w:bCs/>
                <w:color w:val="000000" w:themeColor="text1"/>
                <w:szCs w:val="22"/>
                <w:lang w:eastAsia="en-AU"/>
              </w:rPr>
            </w:pPr>
            <w:r w:rsidRPr="004938CA">
              <w:rPr>
                <w:rFonts w:ascii="Calibri" w:hAnsi="Calibri" w:cs="Calibri"/>
                <w:bCs/>
                <w:color w:val="000000" w:themeColor="text1"/>
                <w:szCs w:val="22"/>
                <w:lang w:eastAsia="en-AU"/>
              </w:rPr>
              <w:t>N</w:t>
            </w:r>
            <w:r>
              <w:rPr>
                <w:rFonts w:ascii="Calibri" w:hAnsi="Calibri" w:cs="Calibri"/>
                <w:bCs/>
                <w:color w:val="000000" w:themeColor="text1"/>
                <w:szCs w:val="22"/>
                <w:lang w:eastAsia="en-AU"/>
              </w:rPr>
              <w:t>umber</w:t>
            </w:r>
            <w:r w:rsidRPr="004938CA">
              <w:rPr>
                <w:rFonts w:ascii="Calibri" w:hAnsi="Calibri" w:cs="Calibri"/>
                <w:bCs/>
                <w:color w:val="000000" w:themeColor="text1"/>
                <w:szCs w:val="22"/>
                <w:lang w:eastAsia="en-AU"/>
              </w:rPr>
              <w:t xml:space="preserve"> of </w:t>
            </w:r>
            <w:r>
              <w:rPr>
                <w:rFonts w:ascii="Calibri" w:hAnsi="Calibri" w:cs="Calibri"/>
                <w:bCs/>
                <w:color w:val="000000" w:themeColor="text1"/>
                <w:szCs w:val="22"/>
                <w:lang w:eastAsia="en-AU"/>
              </w:rPr>
              <w:t>d</w:t>
            </w:r>
            <w:r w:rsidRPr="004938CA">
              <w:rPr>
                <w:rFonts w:ascii="Calibri" w:hAnsi="Calibri" w:cs="Calibri"/>
                <w:bCs/>
                <w:color w:val="000000" w:themeColor="text1"/>
                <w:szCs w:val="22"/>
                <w:lang w:eastAsia="en-AU"/>
              </w:rPr>
              <w:t>onors</w:t>
            </w:r>
          </w:p>
        </w:tc>
        <w:tc>
          <w:tcPr>
            <w:tcW w:w="960" w:type="dxa"/>
            <w:shd w:val="clear" w:color="auto" w:fill="auto"/>
            <w:noWrap/>
            <w:vAlign w:val="center"/>
            <w:hideMark/>
          </w:tcPr>
          <w:p w14:paraId="31504B09"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sidRPr="004938CA">
              <w:rPr>
                <w:rFonts w:ascii="Calibri" w:hAnsi="Calibri" w:cs="Calibri"/>
                <w:color w:val="000000"/>
                <w:szCs w:val="22"/>
                <w:lang w:eastAsia="en-AU"/>
              </w:rPr>
              <w:t>3</w:t>
            </w:r>
          </w:p>
        </w:tc>
        <w:tc>
          <w:tcPr>
            <w:tcW w:w="960" w:type="dxa"/>
            <w:shd w:val="clear" w:color="auto" w:fill="auto"/>
            <w:noWrap/>
            <w:vAlign w:val="center"/>
            <w:hideMark/>
          </w:tcPr>
          <w:p w14:paraId="705B733B"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sidRPr="004938CA">
              <w:rPr>
                <w:rFonts w:ascii="Calibri" w:hAnsi="Calibri" w:cs="Calibri"/>
                <w:color w:val="000000"/>
                <w:szCs w:val="22"/>
                <w:lang w:eastAsia="en-AU"/>
              </w:rPr>
              <w:t>4</w:t>
            </w:r>
          </w:p>
        </w:tc>
        <w:tc>
          <w:tcPr>
            <w:tcW w:w="960" w:type="dxa"/>
            <w:shd w:val="clear" w:color="auto" w:fill="auto"/>
            <w:noWrap/>
            <w:vAlign w:val="center"/>
            <w:hideMark/>
          </w:tcPr>
          <w:p w14:paraId="7F608BE6"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sidRPr="004938CA">
              <w:rPr>
                <w:rFonts w:ascii="Calibri" w:hAnsi="Calibri" w:cs="Calibri"/>
                <w:color w:val="000000"/>
                <w:szCs w:val="22"/>
                <w:lang w:eastAsia="en-AU"/>
              </w:rPr>
              <w:t>8</w:t>
            </w:r>
          </w:p>
        </w:tc>
        <w:tc>
          <w:tcPr>
            <w:tcW w:w="960" w:type="dxa"/>
            <w:shd w:val="clear" w:color="auto" w:fill="auto"/>
            <w:noWrap/>
            <w:vAlign w:val="center"/>
            <w:hideMark/>
          </w:tcPr>
          <w:p w14:paraId="35E4054B"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sidRPr="004938CA">
              <w:rPr>
                <w:rFonts w:ascii="Calibri" w:hAnsi="Calibri" w:cs="Calibri"/>
                <w:color w:val="000000"/>
                <w:szCs w:val="22"/>
                <w:lang w:eastAsia="en-AU"/>
              </w:rPr>
              <w:t>7</w:t>
            </w:r>
          </w:p>
        </w:tc>
        <w:tc>
          <w:tcPr>
            <w:tcW w:w="960" w:type="dxa"/>
            <w:shd w:val="clear" w:color="auto" w:fill="auto"/>
            <w:noWrap/>
            <w:vAlign w:val="center"/>
            <w:hideMark/>
          </w:tcPr>
          <w:p w14:paraId="07ABE923"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sidRPr="004938CA">
              <w:rPr>
                <w:rFonts w:ascii="Calibri" w:hAnsi="Calibri" w:cs="Calibri"/>
                <w:color w:val="000000"/>
                <w:szCs w:val="22"/>
                <w:lang w:eastAsia="en-AU"/>
              </w:rPr>
              <w:t>11</w:t>
            </w:r>
          </w:p>
        </w:tc>
        <w:tc>
          <w:tcPr>
            <w:tcW w:w="960" w:type="dxa"/>
            <w:shd w:val="clear" w:color="auto" w:fill="auto"/>
            <w:noWrap/>
            <w:vAlign w:val="center"/>
            <w:hideMark/>
          </w:tcPr>
          <w:p w14:paraId="691BA3DA"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sidRPr="004938CA">
              <w:rPr>
                <w:rFonts w:ascii="Calibri" w:hAnsi="Calibri" w:cs="Calibri"/>
                <w:color w:val="000000"/>
                <w:szCs w:val="22"/>
                <w:lang w:eastAsia="en-AU"/>
              </w:rPr>
              <w:t>20</w:t>
            </w:r>
          </w:p>
        </w:tc>
        <w:tc>
          <w:tcPr>
            <w:tcW w:w="960" w:type="dxa"/>
            <w:shd w:val="clear" w:color="auto" w:fill="auto"/>
            <w:noWrap/>
            <w:vAlign w:val="center"/>
            <w:hideMark/>
          </w:tcPr>
          <w:p w14:paraId="6469CE9D"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sidRPr="004938CA">
              <w:rPr>
                <w:rFonts w:ascii="Calibri" w:hAnsi="Calibri" w:cs="Calibri"/>
                <w:color w:val="000000"/>
                <w:szCs w:val="22"/>
                <w:lang w:eastAsia="en-AU"/>
              </w:rPr>
              <w:t>12</w:t>
            </w:r>
          </w:p>
        </w:tc>
      </w:tr>
      <w:tr w:rsidR="00C30067" w:rsidRPr="00713F0A" w14:paraId="50E291A8" w14:textId="77777777" w:rsidTr="008E083E">
        <w:trPr>
          <w:trHeight w:val="290"/>
        </w:trPr>
        <w:tc>
          <w:tcPr>
            <w:tcW w:w="1848" w:type="dxa"/>
            <w:shd w:val="clear" w:color="auto" w:fill="auto"/>
            <w:noWrap/>
            <w:vAlign w:val="center"/>
            <w:hideMark/>
          </w:tcPr>
          <w:p w14:paraId="089969D4" w14:textId="77777777" w:rsidR="00C30067" w:rsidRPr="004938CA" w:rsidRDefault="00D72901" w:rsidP="008E083E">
            <w:pPr>
              <w:widowControl/>
              <w:autoSpaceDE/>
              <w:autoSpaceDN/>
              <w:adjustRightInd/>
              <w:spacing w:before="40" w:after="40"/>
              <w:rPr>
                <w:rFonts w:ascii="Calibri" w:hAnsi="Calibri" w:cs="Calibri"/>
                <w:bCs/>
                <w:color w:val="000000" w:themeColor="text1"/>
                <w:szCs w:val="22"/>
                <w:lang w:eastAsia="en-AU"/>
              </w:rPr>
            </w:pPr>
            <w:r>
              <w:rPr>
                <w:rFonts w:ascii="Calibri" w:hAnsi="Calibri" w:cs="Calibri"/>
                <w:bCs/>
                <w:color w:val="000000" w:themeColor="text1"/>
                <w:szCs w:val="22"/>
                <w:lang w:eastAsia="en-AU"/>
              </w:rPr>
              <w:t>Proportion</w:t>
            </w:r>
            <w:r w:rsidR="00C30067" w:rsidRPr="004938CA">
              <w:rPr>
                <w:rFonts w:ascii="Calibri" w:hAnsi="Calibri" w:cs="Calibri"/>
                <w:bCs/>
                <w:color w:val="000000" w:themeColor="text1"/>
                <w:szCs w:val="22"/>
                <w:lang w:eastAsia="en-AU"/>
              </w:rPr>
              <w:t xml:space="preserve"> of </w:t>
            </w:r>
            <w:r w:rsidR="00C30067">
              <w:rPr>
                <w:rFonts w:ascii="Calibri" w:hAnsi="Calibri" w:cs="Calibri"/>
                <w:bCs/>
                <w:color w:val="000000" w:themeColor="text1"/>
                <w:szCs w:val="22"/>
                <w:lang w:eastAsia="en-AU"/>
              </w:rPr>
              <w:t>d</w:t>
            </w:r>
            <w:r w:rsidR="00C30067" w:rsidRPr="004938CA">
              <w:rPr>
                <w:rFonts w:ascii="Calibri" w:hAnsi="Calibri" w:cs="Calibri"/>
                <w:bCs/>
                <w:color w:val="000000" w:themeColor="text1"/>
                <w:szCs w:val="22"/>
                <w:lang w:eastAsia="en-AU"/>
              </w:rPr>
              <w:t>onors</w:t>
            </w:r>
          </w:p>
        </w:tc>
        <w:tc>
          <w:tcPr>
            <w:tcW w:w="960" w:type="dxa"/>
            <w:shd w:val="clear" w:color="auto" w:fill="auto"/>
            <w:noWrap/>
            <w:vAlign w:val="center"/>
            <w:hideMark/>
          </w:tcPr>
          <w:p w14:paraId="007DA211"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sidRPr="004938CA">
              <w:rPr>
                <w:rFonts w:ascii="Calibri" w:hAnsi="Calibri" w:cs="Calibri"/>
                <w:color w:val="000000"/>
                <w:szCs w:val="22"/>
                <w:lang w:eastAsia="en-AU"/>
              </w:rPr>
              <w:t>0.9%</w:t>
            </w:r>
          </w:p>
        </w:tc>
        <w:tc>
          <w:tcPr>
            <w:tcW w:w="960" w:type="dxa"/>
            <w:shd w:val="clear" w:color="auto" w:fill="auto"/>
            <w:noWrap/>
            <w:vAlign w:val="center"/>
            <w:hideMark/>
          </w:tcPr>
          <w:p w14:paraId="6EBF148E"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sidRPr="004938CA">
              <w:rPr>
                <w:rFonts w:ascii="Calibri" w:hAnsi="Calibri" w:cs="Calibri"/>
                <w:color w:val="000000"/>
                <w:szCs w:val="22"/>
                <w:lang w:eastAsia="en-AU"/>
              </w:rPr>
              <w:t>1.1%</w:t>
            </w:r>
          </w:p>
        </w:tc>
        <w:tc>
          <w:tcPr>
            <w:tcW w:w="960" w:type="dxa"/>
            <w:shd w:val="clear" w:color="auto" w:fill="auto"/>
            <w:noWrap/>
            <w:vAlign w:val="center"/>
            <w:hideMark/>
          </w:tcPr>
          <w:p w14:paraId="33847623"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sidRPr="004938CA">
              <w:rPr>
                <w:rFonts w:ascii="Calibri" w:hAnsi="Calibri" w:cs="Calibri"/>
                <w:color w:val="000000"/>
                <w:szCs w:val="22"/>
                <w:lang w:eastAsia="en-AU"/>
              </w:rPr>
              <w:t>2.0%</w:t>
            </w:r>
          </w:p>
        </w:tc>
        <w:tc>
          <w:tcPr>
            <w:tcW w:w="960" w:type="dxa"/>
            <w:shd w:val="clear" w:color="auto" w:fill="auto"/>
            <w:noWrap/>
            <w:vAlign w:val="center"/>
            <w:hideMark/>
          </w:tcPr>
          <w:p w14:paraId="7BB4E6F7"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sidRPr="004938CA">
              <w:rPr>
                <w:rFonts w:ascii="Calibri" w:hAnsi="Calibri" w:cs="Calibri"/>
                <w:color w:val="000000"/>
                <w:szCs w:val="22"/>
                <w:lang w:eastAsia="en-AU"/>
              </w:rPr>
              <w:t>1.9%</w:t>
            </w:r>
          </w:p>
        </w:tc>
        <w:tc>
          <w:tcPr>
            <w:tcW w:w="960" w:type="dxa"/>
            <w:shd w:val="clear" w:color="auto" w:fill="auto"/>
            <w:noWrap/>
            <w:vAlign w:val="center"/>
            <w:hideMark/>
          </w:tcPr>
          <w:p w14:paraId="660D9228"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sidRPr="004938CA">
              <w:rPr>
                <w:rFonts w:ascii="Calibri" w:hAnsi="Calibri" w:cs="Calibri"/>
                <w:color w:val="000000"/>
                <w:szCs w:val="22"/>
                <w:lang w:eastAsia="en-AU"/>
              </w:rPr>
              <w:t>2.5%</w:t>
            </w:r>
          </w:p>
        </w:tc>
        <w:tc>
          <w:tcPr>
            <w:tcW w:w="960" w:type="dxa"/>
            <w:shd w:val="clear" w:color="auto" w:fill="auto"/>
            <w:noWrap/>
            <w:vAlign w:val="center"/>
            <w:hideMark/>
          </w:tcPr>
          <w:p w14:paraId="31ACEF42"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sidRPr="004938CA">
              <w:rPr>
                <w:rFonts w:ascii="Calibri" w:hAnsi="Calibri" w:cs="Calibri"/>
                <w:color w:val="000000"/>
                <w:szCs w:val="22"/>
                <w:lang w:eastAsia="en-AU"/>
              </w:rPr>
              <w:t>4.0%</w:t>
            </w:r>
          </w:p>
        </w:tc>
        <w:tc>
          <w:tcPr>
            <w:tcW w:w="960" w:type="dxa"/>
            <w:shd w:val="clear" w:color="auto" w:fill="auto"/>
            <w:noWrap/>
            <w:vAlign w:val="center"/>
            <w:hideMark/>
          </w:tcPr>
          <w:p w14:paraId="526391F0" w14:textId="77777777" w:rsidR="00C30067" w:rsidRPr="004938CA" w:rsidRDefault="00C30067" w:rsidP="008E083E">
            <w:pPr>
              <w:widowControl/>
              <w:autoSpaceDE/>
              <w:autoSpaceDN/>
              <w:adjustRightInd/>
              <w:spacing w:before="40" w:after="40"/>
              <w:jc w:val="center"/>
              <w:rPr>
                <w:rFonts w:ascii="Calibri" w:hAnsi="Calibri" w:cs="Calibri"/>
                <w:color w:val="000000"/>
                <w:szCs w:val="22"/>
                <w:lang w:eastAsia="en-AU"/>
              </w:rPr>
            </w:pPr>
            <w:r w:rsidRPr="004938CA">
              <w:rPr>
                <w:rFonts w:ascii="Calibri" w:hAnsi="Calibri" w:cs="Calibri"/>
                <w:color w:val="000000"/>
                <w:szCs w:val="22"/>
                <w:lang w:eastAsia="en-AU"/>
              </w:rPr>
              <w:t>2.4%</w:t>
            </w:r>
          </w:p>
        </w:tc>
      </w:tr>
    </w:tbl>
    <w:p w14:paraId="1C023F0D" w14:textId="50DEF826" w:rsidR="00D04243" w:rsidRDefault="00097917" w:rsidP="00C30067">
      <w:pPr>
        <w:pStyle w:val="NormalWeb"/>
        <w:spacing w:before="240" w:beforeAutospacing="0" w:after="120" w:afterAutospacing="0"/>
        <w:rPr>
          <w:rFonts w:asciiTheme="minorHAnsi" w:hAnsiTheme="minorHAnsi" w:cstheme="minorHAnsi"/>
          <w:sz w:val="24"/>
          <w:szCs w:val="22"/>
          <w:lang w:val="en-GB"/>
        </w:rPr>
      </w:pPr>
      <w:r w:rsidRPr="00713FEE">
        <w:rPr>
          <w:rFonts w:asciiTheme="minorHAnsi" w:hAnsiTheme="minorHAnsi" w:cstheme="minorHAnsi"/>
          <w:sz w:val="24"/>
          <w:szCs w:val="22"/>
          <w:lang w:val="en-GB"/>
        </w:rPr>
        <w:t xml:space="preserve">The Review found that this is partly influenced by family consent to donation rates, with the current family consent rate for deceased donation in Aboriginal and Torres Strait Islander people being approximately </w:t>
      </w:r>
      <w:r w:rsidR="00897E3F" w:rsidRPr="00713FEE">
        <w:rPr>
          <w:rFonts w:asciiTheme="minorHAnsi" w:hAnsiTheme="minorHAnsi" w:cstheme="minorHAnsi"/>
          <w:sz w:val="24"/>
          <w:szCs w:val="22"/>
          <w:lang w:val="en-GB"/>
        </w:rPr>
        <w:t>20</w:t>
      </w:r>
      <w:r w:rsidRPr="00713FEE">
        <w:rPr>
          <w:rFonts w:asciiTheme="minorHAnsi" w:hAnsiTheme="minorHAnsi" w:cstheme="minorHAnsi"/>
          <w:sz w:val="24"/>
          <w:szCs w:val="22"/>
          <w:lang w:val="en-GB"/>
        </w:rPr>
        <w:t xml:space="preserve"> per cent, compared to </w:t>
      </w:r>
      <w:r w:rsidR="00897E3F" w:rsidRPr="00713FEE">
        <w:rPr>
          <w:rFonts w:asciiTheme="minorHAnsi" w:hAnsiTheme="minorHAnsi" w:cstheme="minorHAnsi"/>
          <w:sz w:val="24"/>
          <w:szCs w:val="22"/>
          <w:lang w:val="en-GB"/>
        </w:rPr>
        <w:t>6</w:t>
      </w:r>
      <w:r w:rsidR="007E785C">
        <w:rPr>
          <w:rFonts w:asciiTheme="minorHAnsi" w:hAnsiTheme="minorHAnsi" w:cstheme="minorHAnsi"/>
          <w:sz w:val="24"/>
          <w:szCs w:val="22"/>
          <w:lang w:val="en-GB"/>
        </w:rPr>
        <w:t>7</w:t>
      </w:r>
      <w:r w:rsidRPr="00713FEE">
        <w:rPr>
          <w:rFonts w:asciiTheme="minorHAnsi" w:hAnsiTheme="minorHAnsi" w:cstheme="minorHAnsi"/>
          <w:sz w:val="24"/>
          <w:szCs w:val="22"/>
          <w:lang w:val="en-GB"/>
        </w:rPr>
        <w:t xml:space="preserve"> per cent for non-Aboriginal and Torres Strait Islander people.</w:t>
      </w:r>
      <w:r w:rsidRPr="00713FEE">
        <w:rPr>
          <w:rStyle w:val="FootnoteReference"/>
          <w:rFonts w:cstheme="minorHAnsi"/>
          <w:lang w:val="en-GB"/>
        </w:rPr>
        <w:footnoteReference w:id="117"/>
      </w:r>
      <w:r w:rsidRPr="00713FEE">
        <w:rPr>
          <w:rFonts w:asciiTheme="minorHAnsi" w:hAnsiTheme="minorHAnsi" w:cstheme="minorHAnsi"/>
          <w:sz w:val="24"/>
          <w:szCs w:val="22"/>
          <w:lang w:val="en-GB"/>
        </w:rPr>
        <w:t xml:space="preserve"> </w:t>
      </w:r>
      <w:r w:rsidRPr="007E785C">
        <w:rPr>
          <w:rFonts w:asciiTheme="minorHAnsi" w:hAnsiTheme="minorHAnsi" w:cstheme="minorHAnsi"/>
          <w:sz w:val="24"/>
          <w:szCs w:val="22"/>
          <w:lang w:val="en-GB"/>
        </w:rPr>
        <w:t>Considering that Aboriginal and Torres Strait Islander people account for approximately nine per cent of people commencing kidney dialysis each year and have a higher demand for organ transplantation treatment,</w:t>
      </w:r>
      <w:r w:rsidRPr="007E785C">
        <w:rPr>
          <w:rStyle w:val="FootnoteReference"/>
          <w:rFonts w:cstheme="minorHAnsi"/>
          <w:lang w:val="en-GB"/>
        </w:rPr>
        <w:footnoteReference w:id="118"/>
      </w:r>
      <w:r w:rsidRPr="007E785C">
        <w:rPr>
          <w:rFonts w:asciiTheme="minorHAnsi" w:hAnsiTheme="minorHAnsi" w:cstheme="minorHAnsi"/>
          <w:sz w:val="24"/>
          <w:szCs w:val="22"/>
          <w:lang w:val="en-GB"/>
        </w:rPr>
        <w:t xml:space="preserve"> it was found that it is important that Aboriginal and Torres Strait Islander donation rates continue to increase in order to </w:t>
      </w:r>
      <w:r w:rsidR="00BB28B4" w:rsidRPr="007E785C">
        <w:rPr>
          <w:rFonts w:asciiTheme="minorHAnsi" w:hAnsiTheme="minorHAnsi" w:cstheme="minorHAnsi"/>
          <w:sz w:val="24"/>
          <w:szCs w:val="22"/>
          <w:lang w:val="en-GB"/>
        </w:rPr>
        <w:t xml:space="preserve">improve the diversity of HLA genetics in the donor pool and </w:t>
      </w:r>
      <w:r w:rsidRPr="007B311E">
        <w:rPr>
          <w:rFonts w:asciiTheme="minorHAnsi" w:hAnsiTheme="minorHAnsi" w:cstheme="minorHAnsi"/>
          <w:sz w:val="24"/>
          <w:szCs w:val="22"/>
          <w:lang w:val="en-GB"/>
        </w:rPr>
        <w:t>facilitate</w:t>
      </w:r>
      <w:r w:rsidR="001D6C00" w:rsidRPr="001C6178">
        <w:rPr>
          <w:rFonts w:asciiTheme="minorHAnsi" w:hAnsiTheme="minorHAnsi" w:cstheme="minorHAnsi"/>
          <w:sz w:val="24"/>
          <w:szCs w:val="22"/>
          <w:lang w:val="en-GB"/>
        </w:rPr>
        <w:t xml:space="preserve"> improv</w:t>
      </w:r>
      <w:r w:rsidR="001D6C00" w:rsidRPr="00E3042C">
        <w:rPr>
          <w:rFonts w:asciiTheme="minorHAnsi" w:hAnsiTheme="minorHAnsi" w:cstheme="minorHAnsi"/>
          <w:sz w:val="24"/>
          <w:szCs w:val="22"/>
          <w:lang w:val="en-GB"/>
        </w:rPr>
        <w:t>ed organ matching in the current organ matching algorithm, as explaine</w:t>
      </w:r>
      <w:r w:rsidR="00713FEE">
        <w:rPr>
          <w:rFonts w:asciiTheme="minorHAnsi" w:hAnsiTheme="minorHAnsi" w:cstheme="minorHAnsi"/>
          <w:sz w:val="24"/>
          <w:szCs w:val="22"/>
          <w:lang w:val="en-GB"/>
        </w:rPr>
        <w:t xml:space="preserve">d in </w:t>
      </w:r>
      <w:r w:rsidR="00713FEE">
        <w:rPr>
          <w:rFonts w:asciiTheme="minorHAnsi" w:hAnsiTheme="minorHAnsi" w:cstheme="minorHAnsi"/>
          <w:i/>
          <w:sz w:val="24"/>
          <w:szCs w:val="22"/>
          <w:lang w:val="en-GB"/>
        </w:rPr>
        <w:t xml:space="preserve">HLA </w:t>
      </w:r>
      <w:r w:rsidR="001124A6">
        <w:rPr>
          <w:rFonts w:asciiTheme="minorHAnsi" w:hAnsiTheme="minorHAnsi" w:cstheme="minorHAnsi"/>
          <w:i/>
          <w:sz w:val="24"/>
          <w:szCs w:val="22"/>
          <w:lang w:val="en-GB"/>
        </w:rPr>
        <w:t>compatibility</w:t>
      </w:r>
      <w:r w:rsidR="00713FEE">
        <w:rPr>
          <w:rFonts w:asciiTheme="minorHAnsi" w:hAnsiTheme="minorHAnsi" w:cstheme="minorHAnsi"/>
          <w:i/>
          <w:sz w:val="24"/>
          <w:szCs w:val="22"/>
          <w:lang w:val="en-GB"/>
        </w:rPr>
        <w:t xml:space="preserve"> in NOMS</w:t>
      </w:r>
      <w:r w:rsidR="001D6C00" w:rsidRPr="00E3042C">
        <w:rPr>
          <w:rFonts w:asciiTheme="minorHAnsi" w:hAnsiTheme="minorHAnsi" w:cstheme="minorHAnsi"/>
          <w:sz w:val="24"/>
          <w:szCs w:val="22"/>
          <w:lang w:val="en-GB"/>
        </w:rPr>
        <w:t>.</w:t>
      </w:r>
    </w:p>
    <w:p w14:paraId="7B886F2D" w14:textId="77777777" w:rsidR="006B20CF" w:rsidRPr="00D930F7" w:rsidRDefault="006B20CF" w:rsidP="00AE3ED1">
      <w:pPr>
        <w:pStyle w:val="NormalWeb"/>
        <w:shd w:val="clear" w:color="auto" w:fill="DCEFF4"/>
        <w:spacing w:before="0" w:beforeAutospacing="0" w:after="120" w:afterAutospacing="0"/>
        <w:rPr>
          <w:rFonts w:asciiTheme="minorHAnsi" w:hAnsiTheme="minorHAnsi" w:cstheme="minorHAnsi"/>
          <w:b/>
          <w:sz w:val="22"/>
          <w:szCs w:val="22"/>
          <w:lang w:val="en-GB"/>
        </w:rPr>
      </w:pPr>
      <w:r w:rsidRPr="00D930F7">
        <w:rPr>
          <w:rFonts w:asciiTheme="minorHAnsi" w:hAnsiTheme="minorHAnsi" w:cstheme="minorHAnsi"/>
          <w:b/>
          <w:sz w:val="22"/>
          <w:szCs w:val="22"/>
          <w:lang w:val="en-GB"/>
        </w:rPr>
        <w:t xml:space="preserve">Human leukocyte antigen (HLA) compatibility in NOMS  </w:t>
      </w:r>
    </w:p>
    <w:p w14:paraId="3C1E18D2" w14:textId="77777777" w:rsidR="006B20CF" w:rsidRPr="00AE3ED1" w:rsidRDefault="006B20CF" w:rsidP="00AE3ED1">
      <w:pPr>
        <w:pStyle w:val="NormalWeb"/>
        <w:shd w:val="clear" w:color="auto" w:fill="DCEFF4"/>
        <w:spacing w:before="0" w:beforeAutospacing="0" w:after="0" w:afterAutospacing="0"/>
        <w:rPr>
          <w:rFonts w:asciiTheme="minorHAnsi" w:hAnsiTheme="minorHAnsi" w:cstheme="minorHAnsi"/>
          <w:sz w:val="22"/>
          <w:szCs w:val="22"/>
          <w:lang w:val="en-GB"/>
        </w:rPr>
      </w:pPr>
      <w:r w:rsidRPr="00AE3ED1">
        <w:rPr>
          <w:rFonts w:asciiTheme="minorHAnsi" w:hAnsiTheme="minorHAnsi" w:cstheme="minorHAnsi"/>
          <w:sz w:val="22"/>
          <w:szCs w:val="22"/>
          <w:lang w:val="en-GB"/>
        </w:rPr>
        <w:t>The current allocation system, known as the NOMS, places a heavy emphasis on immunology when matching potential recipients to organs in the potential organ donor pool. This connection is determined mainly on HLA compatibility. The HLA gene is unique for each individual, however clinicians reported that individuals within the same community or population have a higher chance of being HLA compatible.</w:t>
      </w:r>
    </w:p>
    <w:p w14:paraId="14E2AE49" w14:textId="69AAF359" w:rsidR="006B20CF" w:rsidRPr="00AE3ED1" w:rsidRDefault="006B20CF" w:rsidP="00AE3ED1">
      <w:pPr>
        <w:pStyle w:val="NormalWeb"/>
        <w:shd w:val="clear" w:color="auto" w:fill="DCEFF4"/>
        <w:spacing w:before="240" w:beforeAutospacing="0" w:after="120" w:afterAutospacing="0"/>
        <w:rPr>
          <w:rFonts w:asciiTheme="minorHAnsi" w:hAnsiTheme="minorHAnsi" w:cstheme="minorHAnsi"/>
          <w:sz w:val="22"/>
          <w:szCs w:val="22"/>
          <w:lang w:val="en-GB"/>
        </w:rPr>
      </w:pPr>
      <w:r w:rsidRPr="00AE3ED1">
        <w:rPr>
          <w:rFonts w:asciiTheme="minorHAnsi" w:hAnsiTheme="minorHAnsi" w:cstheme="minorHAnsi"/>
          <w:sz w:val="22"/>
          <w:szCs w:val="22"/>
          <w:lang w:val="en-GB"/>
        </w:rPr>
        <w:t>HLA matching in transplantation is difficult to achieve as there is great HLA gene diversity across different populations. Common HLA can be common across all populations and thus can facilitate matching across populations. However, there are a small number of common HLA overall. Patients from populations with smaller numbers in the Australian community will not have the same probability of finding a match within the allocation algorithms as their HLA diversity will be under represented in the donor pool. Patients who are Aboriginal and Torres Strait Islander, Asian or African may have HLA types that are not as common in the current donor pool which consistent predominantly of donors of European descent and therefore, may find it more difficult to find a match.</w:t>
      </w:r>
    </w:p>
    <w:p w14:paraId="1D398F58" w14:textId="32A94918" w:rsidR="00C30067" w:rsidRDefault="00C30067" w:rsidP="00C30067">
      <w:pPr>
        <w:pStyle w:val="NormalWeb"/>
        <w:spacing w:before="0" w:beforeAutospacing="0" w:after="120" w:afterAutospacing="0"/>
        <w:rPr>
          <w:rFonts w:asciiTheme="minorHAnsi" w:hAnsiTheme="minorHAnsi" w:cstheme="minorHAnsi"/>
          <w:sz w:val="24"/>
          <w:szCs w:val="22"/>
          <w:lang w:val="en-GB"/>
        </w:rPr>
      </w:pPr>
      <w:r w:rsidRPr="00F37D51">
        <w:rPr>
          <w:rFonts w:asciiTheme="minorHAnsi" w:hAnsiTheme="minorHAnsi" w:cstheme="minorHAnsi"/>
          <w:sz w:val="24"/>
          <w:szCs w:val="22"/>
          <w:lang w:val="en-GB"/>
        </w:rPr>
        <w:t>As reported by the Australian Institute of Health and Welfare,</w:t>
      </w:r>
      <w:r w:rsidRPr="00F37D51">
        <w:rPr>
          <w:sz w:val="22"/>
        </w:rPr>
        <w:t xml:space="preserve"> </w:t>
      </w:r>
      <w:r>
        <w:rPr>
          <w:rFonts w:asciiTheme="minorHAnsi" w:hAnsiTheme="minorHAnsi" w:cstheme="minorHAnsi"/>
          <w:sz w:val="24"/>
          <w:szCs w:val="22"/>
          <w:lang w:val="en-GB"/>
        </w:rPr>
        <w:t>Aboriginal and Torres Strait Islander</w:t>
      </w:r>
      <w:r w:rsidRPr="00F37D51">
        <w:rPr>
          <w:rFonts w:asciiTheme="minorHAnsi" w:hAnsiTheme="minorHAnsi" w:cstheme="minorHAnsi"/>
          <w:sz w:val="24"/>
          <w:szCs w:val="22"/>
          <w:lang w:val="en-GB"/>
        </w:rPr>
        <w:t xml:space="preserve"> </w:t>
      </w:r>
      <w:r>
        <w:rPr>
          <w:rFonts w:asciiTheme="minorHAnsi" w:hAnsiTheme="minorHAnsi" w:cstheme="minorHAnsi"/>
          <w:sz w:val="24"/>
          <w:szCs w:val="22"/>
          <w:lang w:val="en-GB"/>
        </w:rPr>
        <w:t xml:space="preserve">people </w:t>
      </w:r>
      <w:r w:rsidRPr="00F37D51">
        <w:rPr>
          <w:rFonts w:asciiTheme="minorHAnsi" w:hAnsiTheme="minorHAnsi" w:cstheme="minorHAnsi"/>
          <w:sz w:val="24"/>
          <w:szCs w:val="22"/>
          <w:lang w:val="en-GB"/>
        </w:rPr>
        <w:t>experience widespread socioeconomic disadvantage and health inequality in comparison to non-Indigenous Australians.</w:t>
      </w:r>
      <w:r w:rsidRPr="00704BE3">
        <w:rPr>
          <w:rStyle w:val="FootnoteReference"/>
          <w:rFonts w:asciiTheme="minorHAnsi" w:hAnsiTheme="minorHAnsi" w:cstheme="minorHAnsi"/>
          <w:sz w:val="20"/>
          <w:lang w:val="en-GB"/>
        </w:rPr>
        <w:footnoteReference w:id="119"/>
      </w:r>
      <w:r w:rsidRPr="00F37D51">
        <w:rPr>
          <w:rFonts w:asciiTheme="minorHAnsi" w:hAnsiTheme="minorHAnsi" w:cstheme="minorHAnsi"/>
          <w:sz w:val="24"/>
          <w:szCs w:val="22"/>
          <w:lang w:val="en-GB"/>
        </w:rPr>
        <w:t xml:space="preserve"> For example, Aboriginal and Torres Strait Islander people are twice as likely</w:t>
      </w:r>
      <w:r w:rsidR="008255C9">
        <w:rPr>
          <w:rFonts w:asciiTheme="minorHAnsi" w:hAnsiTheme="minorHAnsi" w:cstheme="minorHAnsi"/>
          <w:sz w:val="24"/>
          <w:szCs w:val="22"/>
          <w:lang w:val="en-GB"/>
        </w:rPr>
        <w:t xml:space="preserve"> to</w:t>
      </w:r>
      <w:r w:rsidRPr="00F37D51">
        <w:rPr>
          <w:rFonts w:asciiTheme="minorHAnsi" w:hAnsiTheme="minorHAnsi" w:cstheme="minorHAnsi"/>
          <w:sz w:val="24"/>
          <w:szCs w:val="22"/>
          <w:lang w:val="en-GB"/>
        </w:rPr>
        <w:t xml:space="preserve"> </w:t>
      </w:r>
      <w:r w:rsidR="00892A49">
        <w:rPr>
          <w:rFonts w:asciiTheme="minorHAnsi" w:hAnsiTheme="minorHAnsi" w:cstheme="minorHAnsi"/>
          <w:sz w:val="24"/>
          <w:szCs w:val="22"/>
          <w:lang w:val="en-GB"/>
        </w:rPr>
        <w:t>live with</w:t>
      </w:r>
      <w:r w:rsidRPr="00F37D51">
        <w:rPr>
          <w:rFonts w:asciiTheme="minorHAnsi" w:hAnsiTheme="minorHAnsi" w:cstheme="minorHAnsi"/>
          <w:sz w:val="24"/>
          <w:szCs w:val="22"/>
          <w:lang w:val="en-GB"/>
        </w:rPr>
        <w:t xml:space="preserve"> signs of chronic kidney disease. Due to </w:t>
      </w:r>
      <w:r w:rsidR="00A13F59">
        <w:rPr>
          <w:rFonts w:asciiTheme="minorHAnsi" w:hAnsiTheme="minorHAnsi" w:cstheme="minorHAnsi"/>
          <w:sz w:val="24"/>
          <w:szCs w:val="22"/>
          <w:lang w:val="en-GB"/>
        </w:rPr>
        <w:t xml:space="preserve">generally </w:t>
      </w:r>
      <w:r w:rsidRPr="00F37D51">
        <w:rPr>
          <w:rFonts w:asciiTheme="minorHAnsi" w:hAnsiTheme="minorHAnsi" w:cstheme="minorHAnsi"/>
          <w:sz w:val="24"/>
          <w:szCs w:val="22"/>
          <w:lang w:val="en-GB"/>
        </w:rPr>
        <w:t xml:space="preserve">poorer overall health, many Aboriginal and Torres Strait Islander people may be precluded from </w:t>
      </w:r>
      <w:r>
        <w:rPr>
          <w:rFonts w:asciiTheme="minorHAnsi" w:hAnsiTheme="minorHAnsi" w:cstheme="minorHAnsi"/>
          <w:sz w:val="24"/>
          <w:szCs w:val="22"/>
          <w:lang w:val="en-GB"/>
        </w:rPr>
        <w:t xml:space="preserve">organ donation </w:t>
      </w:r>
      <w:r w:rsidRPr="00F37D51">
        <w:rPr>
          <w:rFonts w:asciiTheme="minorHAnsi" w:hAnsiTheme="minorHAnsi" w:cstheme="minorHAnsi"/>
          <w:sz w:val="24"/>
          <w:szCs w:val="22"/>
          <w:lang w:val="en-GB"/>
        </w:rPr>
        <w:t>even if they wished to</w:t>
      </w:r>
      <w:r w:rsidR="00892A49">
        <w:rPr>
          <w:rFonts w:asciiTheme="minorHAnsi" w:hAnsiTheme="minorHAnsi" w:cstheme="minorHAnsi"/>
          <w:sz w:val="24"/>
          <w:szCs w:val="22"/>
          <w:lang w:val="en-GB"/>
        </w:rPr>
        <w:t xml:space="preserve"> opt for transplantation</w:t>
      </w:r>
      <w:r w:rsidRPr="00F37D51">
        <w:rPr>
          <w:rFonts w:asciiTheme="minorHAnsi" w:hAnsiTheme="minorHAnsi" w:cstheme="minorHAnsi"/>
          <w:sz w:val="24"/>
          <w:szCs w:val="22"/>
          <w:lang w:val="en-GB"/>
        </w:rPr>
        <w:t xml:space="preserve">. </w:t>
      </w:r>
      <w:r>
        <w:rPr>
          <w:rFonts w:asciiTheme="minorHAnsi" w:hAnsiTheme="minorHAnsi" w:cstheme="minorHAnsi"/>
          <w:sz w:val="24"/>
          <w:szCs w:val="22"/>
          <w:lang w:val="en-GB"/>
        </w:rPr>
        <w:t xml:space="preserve">The Review found that the overall </w:t>
      </w:r>
      <w:r w:rsidRPr="00F37D51">
        <w:rPr>
          <w:rFonts w:asciiTheme="minorHAnsi" w:hAnsiTheme="minorHAnsi" w:cstheme="minorHAnsi"/>
          <w:sz w:val="24"/>
          <w:szCs w:val="22"/>
          <w:lang w:val="en-GB"/>
        </w:rPr>
        <w:t>health experienced by Aboriginal and Torres Strait Islander people</w:t>
      </w:r>
      <w:r>
        <w:rPr>
          <w:rFonts w:asciiTheme="minorHAnsi" w:hAnsiTheme="minorHAnsi" w:cstheme="minorHAnsi"/>
          <w:sz w:val="24"/>
          <w:szCs w:val="22"/>
          <w:lang w:val="en-GB"/>
        </w:rPr>
        <w:t>,</w:t>
      </w:r>
      <w:r w:rsidRPr="00F37D51">
        <w:rPr>
          <w:rFonts w:asciiTheme="minorHAnsi" w:hAnsiTheme="minorHAnsi" w:cstheme="minorHAnsi"/>
          <w:sz w:val="24"/>
          <w:szCs w:val="22"/>
          <w:lang w:val="en-GB"/>
        </w:rPr>
        <w:t xml:space="preserve"> as well as the health literacy of health services and individuals in relation to organ donation</w:t>
      </w:r>
      <w:r>
        <w:rPr>
          <w:rFonts w:asciiTheme="minorHAnsi" w:hAnsiTheme="minorHAnsi" w:cstheme="minorHAnsi"/>
          <w:sz w:val="24"/>
          <w:szCs w:val="22"/>
          <w:lang w:val="en-GB"/>
        </w:rPr>
        <w:t xml:space="preserve"> were barriers to organ donation. Key stakeholders within the Aboriginal and Torres Strait Islander community</w:t>
      </w:r>
      <w:r w:rsidR="0033250B">
        <w:rPr>
          <w:rFonts w:asciiTheme="minorHAnsi" w:hAnsiTheme="minorHAnsi" w:cstheme="minorHAnsi"/>
          <w:sz w:val="24"/>
          <w:szCs w:val="22"/>
          <w:lang w:val="en-GB"/>
        </w:rPr>
        <w:t xml:space="preserve"> pointed to a study aimed at understanding the Indigenous Australian patient’s understanding of chronic kidney disease. This study demonstrated</w:t>
      </w:r>
      <w:r w:rsidR="00D66A5D">
        <w:rPr>
          <w:rFonts w:asciiTheme="minorHAnsi" w:hAnsiTheme="minorHAnsi" w:cstheme="minorHAnsi"/>
          <w:sz w:val="24"/>
          <w:szCs w:val="22"/>
          <w:lang w:val="en-GB"/>
        </w:rPr>
        <w:t xml:space="preserve"> that Aboriginal and Torres Strait Islander people are interested in transplantation but feel poorly informed and confused about their options.</w:t>
      </w:r>
      <w:r w:rsidR="00D66A5D">
        <w:rPr>
          <w:rStyle w:val="FootnoteReference"/>
          <w:rFonts w:cstheme="minorHAnsi"/>
          <w:lang w:val="en-GB"/>
        </w:rPr>
        <w:footnoteReference w:id="120"/>
      </w:r>
      <w:r w:rsidR="00D66A5D">
        <w:rPr>
          <w:rFonts w:asciiTheme="minorHAnsi" w:hAnsiTheme="minorHAnsi" w:cstheme="minorHAnsi"/>
          <w:sz w:val="24"/>
          <w:szCs w:val="22"/>
          <w:lang w:val="en-GB"/>
        </w:rPr>
        <w:t xml:space="preserve"> They</w:t>
      </w:r>
      <w:r>
        <w:rPr>
          <w:rFonts w:asciiTheme="minorHAnsi" w:hAnsiTheme="minorHAnsi" w:cstheme="minorHAnsi"/>
          <w:sz w:val="24"/>
          <w:szCs w:val="22"/>
          <w:lang w:val="en-GB"/>
        </w:rPr>
        <w:t xml:space="preserve"> also revealed that differences in cultural beliefs and lifestyles contributed to low d</w:t>
      </w:r>
      <w:r w:rsidR="007A0C20">
        <w:rPr>
          <w:rFonts w:asciiTheme="minorHAnsi" w:hAnsiTheme="minorHAnsi" w:cstheme="minorHAnsi"/>
          <w:sz w:val="24"/>
          <w:szCs w:val="22"/>
          <w:lang w:val="en-GB"/>
        </w:rPr>
        <w:t>onation rates.</w:t>
      </w:r>
      <w:r w:rsidR="00892A49">
        <w:rPr>
          <w:rFonts w:asciiTheme="minorHAnsi" w:hAnsiTheme="minorHAnsi" w:cstheme="minorHAnsi"/>
          <w:sz w:val="24"/>
          <w:szCs w:val="22"/>
          <w:lang w:val="en-GB"/>
        </w:rPr>
        <w:t xml:space="preserve"> These vary from community to community and amongst individuals within a community, thus emphasising the importance Aboriginal and Torres Strait Islander community leadership in improving organ donation rates among Aboriginal and Torres Strait Islander people. </w:t>
      </w:r>
    </w:p>
    <w:p w14:paraId="443CF098" w14:textId="4934EB2B" w:rsidR="00C30067" w:rsidRDefault="00C30067" w:rsidP="00C30067">
      <w:pPr>
        <w:pStyle w:val="NormalWeb"/>
        <w:spacing w:before="0" w:beforeAutospacing="0" w:after="120" w:afterAutospacing="0"/>
        <w:rPr>
          <w:rFonts w:asciiTheme="minorHAnsi" w:hAnsiTheme="minorHAnsi" w:cstheme="minorHAnsi"/>
          <w:sz w:val="24"/>
          <w:szCs w:val="22"/>
          <w:lang w:val="en-GB"/>
        </w:rPr>
      </w:pPr>
      <w:r>
        <w:rPr>
          <w:rFonts w:asciiTheme="minorHAnsi" w:hAnsiTheme="minorHAnsi" w:cstheme="minorHAnsi"/>
          <w:sz w:val="24"/>
          <w:szCs w:val="22"/>
          <w:lang w:val="en-GB"/>
        </w:rPr>
        <w:t>C</w:t>
      </w:r>
      <w:r w:rsidRPr="00F37D51">
        <w:rPr>
          <w:rFonts w:asciiTheme="minorHAnsi" w:hAnsiTheme="minorHAnsi" w:cstheme="minorHAnsi"/>
          <w:sz w:val="24"/>
          <w:szCs w:val="22"/>
          <w:lang w:val="en-GB"/>
        </w:rPr>
        <w:t xml:space="preserve">ommunication and integration between </w:t>
      </w:r>
      <w:r>
        <w:rPr>
          <w:rFonts w:asciiTheme="minorHAnsi" w:hAnsiTheme="minorHAnsi" w:cstheme="minorHAnsi"/>
          <w:sz w:val="24"/>
          <w:szCs w:val="22"/>
          <w:lang w:val="en-GB"/>
        </w:rPr>
        <w:t xml:space="preserve">the OTA, the </w:t>
      </w:r>
      <w:r w:rsidRPr="00F37D51">
        <w:rPr>
          <w:rFonts w:asciiTheme="minorHAnsi" w:hAnsiTheme="minorHAnsi" w:cstheme="minorHAnsi"/>
          <w:sz w:val="24"/>
          <w:szCs w:val="22"/>
          <w:lang w:val="en-GB"/>
        </w:rPr>
        <w:t>DonateLife</w:t>
      </w:r>
      <w:r>
        <w:rPr>
          <w:rFonts w:asciiTheme="minorHAnsi" w:hAnsiTheme="minorHAnsi" w:cstheme="minorHAnsi"/>
          <w:sz w:val="24"/>
          <w:szCs w:val="22"/>
          <w:lang w:val="en-GB"/>
        </w:rPr>
        <w:t xml:space="preserve"> network,</w:t>
      </w:r>
      <w:r w:rsidRPr="00F37D51">
        <w:rPr>
          <w:rFonts w:asciiTheme="minorHAnsi" w:hAnsiTheme="minorHAnsi" w:cstheme="minorHAnsi"/>
          <w:sz w:val="24"/>
          <w:szCs w:val="22"/>
          <w:lang w:val="en-GB"/>
        </w:rPr>
        <w:t xml:space="preserve"> Aboriginal and Torres Strait Islander health services and the community </w:t>
      </w:r>
      <w:r>
        <w:rPr>
          <w:rFonts w:asciiTheme="minorHAnsi" w:hAnsiTheme="minorHAnsi" w:cstheme="minorHAnsi"/>
          <w:sz w:val="24"/>
          <w:szCs w:val="22"/>
          <w:lang w:val="en-GB"/>
        </w:rPr>
        <w:t>are</w:t>
      </w:r>
      <w:r w:rsidRPr="00F37D51">
        <w:rPr>
          <w:rFonts w:asciiTheme="minorHAnsi" w:hAnsiTheme="minorHAnsi" w:cstheme="minorHAnsi"/>
          <w:sz w:val="24"/>
          <w:szCs w:val="22"/>
          <w:lang w:val="en-GB"/>
        </w:rPr>
        <w:t xml:space="preserve"> often ad hoc resulting in </w:t>
      </w:r>
      <w:r>
        <w:rPr>
          <w:rFonts w:asciiTheme="minorHAnsi" w:hAnsiTheme="minorHAnsi" w:cstheme="minorHAnsi"/>
          <w:sz w:val="24"/>
          <w:szCs w:val="22"/>
          <w:lang w:val="en-GB"/>
        </w:rPr>
        <w:t xml:space="preserve">a more limited </w:t>
      </w:r>
      <w:r w:rsidRPr="00F37D51">
        <w:rPr>
          <w:rFonts w:asciiTheme="minorHAnsi" w:hAnsiTheme="minorHAnsi" w:cstheme="minorHAnsi"/>
          <w:sz w:val="24"/>
          <w:szCs w:val="22"/>
          <w:lang w:val="en-GB"/>
        </w:rPr>
        <w:t>understanding of the donation process</w:t>
      </w:r>
      <w:r>
        <w:rPr>
          <w:rFonts w:asciiTheme="minorHAnsi" w:hAnsiTheme="minorHAnsi" w:cstheme="minorHAnsi"/>
          <w:sz w:val="24"/>
          <w:szCs w:val="22"/>
          <w:lang w:val="en-GB"/>
        </w:rPr>
        <w:t xml:space="preserve">. </w:t>
      </w:r>
      <w:r w:rsidRPr="00F12842">
        <w:rPr>
          <w:rFonts w:asciiTheme="minorHAnsi" w:hAnsiTheme="minorHAnsi" w:cstheme="minorHAnsi"/>
          <w:sz w:val="24"/>
          <w:szCs w:val="22"/>
          <w:lang w:val="en-GB"/>
        </w:rPr>
        <w:t xml:space="preserve">A study published by the International Society of Nephrology likened the issues in Australia with that of Canada, as both countries have high rates of chronic kidney disease </w:t>
      </w:r>
      <w:r>
        <w:rPr>
          <w:rFonts w:asciiTheme="minorHAnsi" w:hAnsiTheme="minorHAnsi" w:cstheme="minorHAnsi"/>
          <w:sz w:val="24"/>
          <w:szCs w:val="22"/>
          <w:lang w:val="en-GB"/>
        </w:rPr>
        <w:t>and</w:t>
      </w:r>
      <w:r w:rsidRPr="00F12842">
        <w:rPr>
          <w:rFonts w:asciiTheme="minorHAnsi" w:hAnsiTheme="minorHAnsi" w:cstheme="minorHAnsi"/>
          <w:sz w:val="24"/>
          <w:szCs w:val="22"/>
          <w:lang w:val="en-GB"/>
        </w:rPr>
        <w:t xml:space="preserve"> poor access to effective therapies.</w:t>
      </w:r>
      <w:r w:rsidRPr="00F12842">
        <w:rPr>
          <w:rStyle w:val="FootnoteReference"/>
          <w:rFonts w:cstheme="minorHAnsi"/>
          <w:lang w:val="en-GB"/>
        </w:rPr>
        <w:footnoteReference w:id="121"/>
      </w:r>
      <w:r>
        <w:rPr>
          <w:rFonts w:asciiTheme="minorHAnsi" w:hAnsiTheme="minorHAnsi" w:cstheme="minorHAnsi"/>
          <w:sz w:val="24"/>
          <w:szCs w:val="22"/>
          <w:lang w:val="en-GB"/>
        </w:rPr>
        <w:t xml:space="preserve"> Canadian representatives were consulted as part of the Review’s consultation process, which revealed </w:t>
      </w:r>
      <w:r w:rsidRPr="00F12842">
        <w:rPr>
          <w:rFonts w:asciiTheme="minorHAnsi" w:hAnsiTheme="minorHAnsi" w:cstheme="minorHAnsi"/>
          <w:sz w:val="24"/>
          <w:szCs w:val="22"/>
          <w:lang w:val="en-GB"/>
        </w:rPr>
        <w:t>t</w:t>
      </w:r>
      <w:r>
        <w:rPr>
          <w:rFonts w:asciiTheme="minorHAnsi" w:hAnsiTheme="minorHAnsi" w:cstheme="minorHAnsi"/>
          <w:sz w:val="24"/>
          <w:szCs w:val="22"/>
          <w:lang w:val="en-GB"/>
        </w:rPr>
        <w:t>hat</w:t>
      </w:r>
      <w:r w:rsidRPr="00F12842">
        <w:rPr>
          <w:rFonts w:asciiTheme="minorHAnsi" w:hAnsiTheme="minorHAnsi" w:cstheme="minorHAnsi"/>
          <w:sz w:val="24"/>
          <w:szCs w:val="22"/>
          <w:lang w:val="en-GB"/>
        </w:rPr>
        <w:t xml:space="preserve"> education and flexibility were key to overcoming the barriers that faced the Indigenous population in Canada.</w:t>
      </w:r>
    </w:p>
    <w:p w14:paraId="70E6D7F3" w14:textId="77777777" w:rsidR="0059239D" w:rsidRDefault="00C30067"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Further details of the barriers experienced by Aboriginal and Torres Strait Islander people and effective methodologies for overcoming these barriers need to be investigated and defined further</w:t>
      </w:r>
      <w:r w:rsidR="00325A60">
        <w:rPr>
          <w:rFonts w:asciiTheme="minorHAnsi" w:hAnsiTheme="minorHAnsi" w:cstheme="minorHAnsi"/>
          <w:sz w:val="24"/>
          <w:szCs w:val="22"/>
          <w:lang w:val="en-GB"/>
        </w:rPr>
        <w:t xml:space="preserve">. </w:t>
      </w:r>
      <w:r w:rsidR="00FC428F" w:rsidRPr="008E5691">
        <w:rPr>
          <w:rFonts w:asciiTheme="minorHAnsi" w:hAnsiTheme="minorHAnsi" w:cstheme="minorHAnsi"/>
          <w:sz w:val="24"/>
          <w:szCs w:val="22"/>
          <w:lang w:val="en-GB"/>
        </w:rPr>
        <w:t>This may be achieved through the study</w:t>
      </w:r>
      <w:r w:rsidR="0063492B">
        <w:rPr>
          <w:rFonts w:asciiTheme="minorHAnsi" w:hAnsiTheme="minorHAnsi" w:cstheme="minorHAnsi"/>
          <w:sz w:val="24"/>
          <w:szCs w:val="22"/>
          <w:lang w:val="en-GB"/>
        </w:rPr>
        <w:t xml:space="preserve"> being</w:t>
      </w:r>
      <w:r w:rsidR="00FC428F" w:rsidRPr="008E5691">
        <w:rPr>
          <w:rFonts w:asciiTheme="minorHAnsi" w:hAnsiTheme="minorHAnsi" w:cstheme="minorHAnsi"/>
          <w:sz w:val="24"/>
          <w:szCs w:val="22"/>
          <w:lang w:val="en-GB"/>
        </w:rPr>
        <w:t xml:space="preserve"> undertaken by the T</w:t>
      </w:r>
      <w:r w:rsidR="0086702B">
        <w:rPr>
          <w:rFonts w:asciiTheme="minorHAnsi" w:hAnsiTheme="minorHAnsi" w:cstheme="minorHAnsi"/>
          <w:sz w:val="24"/>
          <w:szCs w:val="22"/>
          <w:lang w:val="en-GB"/>
        </w:rPr>
        <w:t>S</w:t>
      </w:r>
      <w:r w:rsidR="0063492B">
        <w:rPr>
          <w:rFonts w:asciiTheme="minorHAnsi" w:hAnsiTheme="minorHAnsi" w:cstheme="minorHAnsi"/>
          <w:sz w:val="24"/>
          <w:szCs w:val="22"/>
          <w:lang w:val="en-GB"/>
        </w:rPr>
        <w:t>ANZ</w:t>
      </w:r>
      <w:r w:rsidR="00FC428F" w:rsidRPr="008E5691">
        <w:rPr>
          <w:rFonts w:asciiTheme="minorHAnsi" w:hAnsiTheme="minorHAnsi" w:cstheme="minorHAnsi"/>
          <w:sz w:val="24"/>
          <w:szCs w:val="22"/>
          <w:lang w:val="en-GB"/>
        </w:rPr>
        <w:t xml:space="preserve">, </w:t>
      </w:r>
      <w:r w:rsidR="00FC428F" w:rsidRPr="008F304B">
        <w:rPr>
          <w:rFonts w:asciiTheme="minorHAnsi" w:hAnsiTheme="minorHAnsi" w:cstheme="minorHAnsi"/>
          <w:i/>
          <w:sz w:val="24"/>
          <w:szCs w:val="22"/>
          <w:lang w:val="en-GB"/>
        </w:rPr>
        <w:t>Improving access to and outcomes of kidney transplantation for Aboriginal and Torres Strait Islander people</w:t>
      </w:r>
      <w:r w:rsidR="00FC428F" w:rsidRPr="005F288B">
        <w:rPr>
          <w:rFonts w:asciiTheme="minorHAnsi" w:hAnsiTheme="minorHAnsi" w:cstheme="minorHAnsi"/>
          <w:sz w:val="24"/>
          <w:szCs w:val="22"/>
          <w:lang w:val="en-GB"/>
        </w:rPr>
        <w:t xml:space="preserve"> </w:t>
      </w:r>
      <w:r w:rsidR="0063492B">
        <w:rPr>
          <w:rFonts w:asciiTheme="minorHAnsi" w:hAnsiTheme="minorHAnsi" w:cstheme="minorHAnsi"/>
          <w:sz w:val="24"/>
          <w:szCs w:val="22"/>
          <w:lang w:val="en-GB"/>
        </w:rPr>
        <w:t xml:space="preserve">and </w:t>
      </w:r>
      <w:r w:rsidR="00FC428F" w:rsidRPr="005F288B">
        <w:rPr>
          <w:rFonts w:asciiTheme="minorHAnsi" w:hAnsiTheme="minorHAnsi" w:cstheme="minorHAnsi"/>
          <w:sz w:val="24"/>
          <w:szCs w:val="22"/>
          <w:lang w:val="en-GB"/>
        </w:rPr>
        <w:t xml:space="preserve">due to be completed in 2019. </w:t>
      </w:r>
      <w:r w:rsidR="00FC428F" w:rsidRPr="00EF2596">
        <w:rPr>
          <w:rFonts w:asciiTheme="minorHAnsi" w:hAnsiTheme="minorHAnsi" w:cstheme="minorHAnsi"/>
          <w:sz w:val="24"/>
          <w:szCs w:val="22"/>
          <w:lang w:val="en-GB"/>
        </w:rPr>
        <w:t xml:space="preserve">It was also announced on 25 October 2018, that </w:t>
      </w:r>
      <w:r w:rsidR="00325A60" w:rsidRPr="008E5691">
        <w:rPr>
          <w:rFonts w:asciiTheme="minorHAnsi" w:hAnsiTheme="minorHAnsi" w:cstheme="minorHAnsi"/>
          <w:sz w:val="24"/>
          <w:szCs w:val="22"/>
          <w:lang w:val="en-GB"/>
        </w:rPr>
        <w:t>Kidney Health Australia</w:t>
      </w:r>
      <w:r w:rsidR="00FC428F" w:rsidRPr="008E5691">
        <w:rPr>
          <w:rFonts w:asciiTheme="minorHAnsi" w:hAnsiTheme="minorHAnsi" w:cstheme="minorHAnsi"/>
          <w:sz w:val="24"/>
          <w:szCs w:val="22"/>
          <w:lang w:val="en-GB"/>
        </w:rPr>
        <w:t xml:space="preserve"> has </w:t>
      </w:r>
      <w:r w:rsidR="00325A60" w:rsidRPr="008E5691">
        <w:rPr>
          <w:rFonts w:asciiTheme="minorHAnsi" w:hAnsiTheme="minorHAnsi" w:cstheme="minorHAnsi"/>
          <w:sz w:val="24"/>
          <w:szCs w:val="22"/>
          <w:lang w:val="en-GB"/>
        </w:rPr>
        <w:t xml:space="preserve">been allocated $300,000 in </w:t>
      </w:r>
      <w:r w:rsidR="00A36192">
        <w:rPr>
          <w:rFonts w:asciiTheme="minorHAnsi" w:hAnsiTheme="minorHAnsi" w:cstheme="minorHAnsi"/>
          <w:sz w:val="24"/>
          <w:szCs w:val="22"/>
          <w:lang w:val="en-GB"/>
        </w:rPr>
        <w:t xml:space="preserve">Australian </w:t>
      </w:r>
      <w:r w:rsidR="00325A60" w:rsidRPr="008E5691">
        <w:rPr>
          <w:rFonts w:asciiTheme="minorHAnsi" w:hAnsiTheme="minorHAnsi" w:cstheme="minorHAnsi"/>
          <w:sz w:val="24"/>
          <w:szCs w:val="22"/>
          <w:lang w:val="en-GB"/>
        </w:rPr>
        <w:t>Government funding</w:t>
      </w:r>
      <w:r w:rsidR="00FC428F" w:rsidRPr="008F304B">
        <w:rPr>
          <w:rFonts w:asciiTheme="minorHAnsi" w:hAnsiTheme="minorHAnsi" w:cstheme="minorHAnsi"/>
          <w:sz w:val="24"/>
          <w:szCs w:val="22"/>
          <w:lang w:val="en-GB"/>
        </w:rPr>
        <w:t xml:space="preserve"> </w:t>
      </w:r>
      <w:r w:rsidR="00325A60" w:rsidRPr="005F288B">
        <w:rPr>
          <w:rFonts w:asciiTheme="minorHAnsi" w:hAnsiTheme="minorHAnsi" w:cstheme="minorHAnsi"/>
          <w:sz w:val="24"/>
          <w:szCs w:val="22"/>
          <w:lang w:val="en-GB"/>
        </w:rPr>
        <w:t xml:space="preserve">to conduct national consultations </w:t>
      </w:r>
      <w:r w:rsidR="00FC428F" w:rsidRPr="005F288B">
        <w:rPr>
          <w:rFonts w:asciiTheme="minorHAnsi" w:hAnsiTheme="minorHAnsi" w:cstheme="minorHAnsi"/>
          <w:sz w:val="24"/>
          <w:szCs w:val="22"/>
          <w:lang w:val="en-GB"/>
        </w:rPr>
        <w:t>that will</w:t>
      </w:r>
      <w:r w:rsidR="00325A60" w:rsidRPr="005F288B">
        <w:rPr>
          <w:rFonts w:asciiTheme="minorHAnsi" w:hAnsiTheme="minorHAnsi" w:cstheme="minorHAnsi"/>
          <w:sz w:val="24"/>
          <w:szCs w:val="22"/>
          <w:lang w:val="en-GB"/>
        </w:rPr>
        <w:t xml:space="preserve"> inform the </w:t>
      </w:r>
      <w:r w:rsidR="00FC428F" w:rsidRPr="005F288B">
        <w:rPr>
          <w:rFonts w:asciiTheme="minorHAnsi" w:hAnsiTheme="minorHAnsi" w:cstheme="minorHAnsi"/>
          <w:sz w:val="24"/>
          <w:szCs w:val="22"/>
          <w:lang w:val="en-GB"/>
        </w:rPr>
        <w:t>drafting</w:t>
      </w:r>
      <w:r w:rsidR="00325A60" w:rsidRPr="005F288B">
        <w:rPr>
          <w:rFonts w:asciiTheme="minorHAnsi" w:hAnsiTheme="minorHAnsi" w:cstheme="minorHAnsi"/>
          <w:sz w:val="24"/>
          <w:szCs w:val="22"/>
          <w:lang w:val="en-GB"/>
        </w:rPr>
        <w:t xml:space="preserve"> of the </w:t>
      </w:r>
      <w:r w:rsidR="00325A60" w:rsidRPr="005A7E57">
        <w:rPr>
          <w:rFonts w:asciiTheme="minorHAnsi" w:hAnsiTheme="minorHAnsi" w:cstheme="minorHAnsi"/>
          <w:i/>
          <w:sz w:val="24"/>
          <w:szCs w:val="22"/>
          <w:lang w:val="en-GB"/>
        </w:rPr>
        <w:t xml:space="preserve">Caring for </w:t>
      </w:r>
      <w:r w:rsidR="0084734A">
        <w:rPr>
          <w:rFonts w:asciiTheme="minorHAnsi" w:hAnsiTheme="minorHAnsi" w:cstheme="minorHAnsi"/>
          <w:i/>
          <w:sz w:val="24"/>
          <w:szCs w:val="22"/>
          <w:lang w:val="en-GB"/>
        </w:rPr>
        <w:t>Australians</w:t>
      </w:r>
      <w:r w:rsidR="0084734A" w:rsidRPr="005A7E57">
        <w:rPr>
          <w:rFonts w:asciiTheme="minorHAnsi" w:hAnsiTheme="minorHAnsi" w:cstheme="minorHAnsi"/>
          <w:i/>
          <w:sz w:val="24"/>
          <w:szCs w:val="22"/>
          <w:lang w:val="en-GB"/>
        </w:rPr>
        <w:t xml:space="preserve"> </w:t>
      </w:r>
      <w:r w:rsidR="00325A60" w:rsidRPr="005A7E57">
        <w:rPr>
          <w:rFonts w:asciiTheme="minorHAnsi" w:hAnsiTheme="minorHAnsi" w:cstheme="minorHAnsi"/>
          <w:i/>
          <w:sz w:val="24"/>
          <w:szCs w:val="22"/>
          <w:lang w:val="en-GB"/>
        </w:rPr>
        <w:t>with Renal Impairment Indigenous Guidelines</w:t>
      </w:r>
      <w:r w:rsidR="00FC428F" w:rsidRPr="00EF2596">
        <w:rPr>
          <w:rFonts w:asciiTheme="minorHAnsi" w:hAnsiTheme="minorHAnsi" w:cstheme="minorHAnsi"/>
          <w:i/>
          <w:sz w:val="24"/>
          <w:szCs w:val="22"/>
          <w:lang w:val="en-GB"/>
        </w:rPr>
        <w:t xml:space="preserve">. </w:t>
      </w:r>
      <w:r w:rsidR="00FC428F" w:rsidRPr="00EF2596">
        <w:rPr>
          <w:rFonts w:asciiTheme="minorHAnsi" w:hAnsiTheme="minorHAnsi" w:cstheme="minorHAnsi"/>
          <w:sz w:val="24"/>
          <w:szCs w:val="22"/>
          <w:lang w:val="en-GB"/>
        </w:rPr>
        <w:t xml:space="preserve">These 20 consultations, will ensure </w:t>
      </w:r>
      <w:r w:rsidR="00325A60" w:rsidRPr="008E5691">
        <w:rPr>
          <w:rFonts w:asciiTheme="minorHAnsi" w:hAnsiTheme="minorHAnsi" w:cstheme="minorHAnsi"/>
          <w:sz w:val="24"/>
          <w:szCs w:val="22"/>
          <w:lang w:val="en-GB"/>
        </w:rPr>
        <w:t xml:space="preserve">that Aboriginal and Torres Strait Islander people </w:t>
      </w:r>
      <w:r w:rsidR="00FC428F" w:rsidRPr="008E5691">
        <w:rPr>
          <w:rFonts w:asciiTheme="minorHAnsi" w:hAnsiTheme="minorHAnsi" w:cstheme="minorHAnsi"/>
          <w:sz w:val="24"/>
          <w:szCs w:val="22"/>
          <w:lang w:val="en-GB"/>
        </w:rPr>
        <w:t xml:space="preserve">play </w:t>
      </w:r>
      <w:r w:rsidR="00325A60" w:rsidRPr="008E5691">
        <w:rPr>
          <w:rFonts w:asciiTheme="minorHAnsi" w:hAnsiTheme="minorHAnsi" w:cstheme="minorHAnsi"/>
          <w:sz w:val="24"/>
          <w:szCs w:val="22"/>
          <w:lang w:val="en-GB"/>
        </w:rPr>
        <w:t xml:space="preserve">a fundamental role in developing the </w:t>
      </w:r>
      <w:r w:rsidR="00FC428F" w:rsidRPr="008E5691">
        <w:rPr>
          <w:rFonts w:asciiTheme="minorHAnsi" w:hAnsiTheme="minorHAnsi" w:cstheme="minorHAnsi"/>
          <w:sz w:val="24"/>
          <w:szCs w:val="22"/>
          <w:lang w:val="en-GB"/>
        </w:rPr>
        <w:t>guidelines</w:t>
      </w:r>
      <w:r w:rsidR="00325A60" w:rsidRPr="008E5691">
        <w:rPr>
          <w:rFonts w:asciiTheme="minorHAnsi" w:hAnsiTheme="minorHAnsi" w:cstheme="minorHAnsi"/>
          <w:sz w:val="24"/>
          <w:szCs w:val="22"/>
          <w:lang w:val="en-GB"/>
        </w:rPr>
        <w:t xml:space="preserve"> to improve Aboriginal and Torres Strait Islander kidney patient outcomes.</w:t>
      </w:r>
      <w:r w:rsidR="00FC428F">
        <w:rPr>
          <w:rFonts w:asciiTheme="minorHAnsi" w:hAnsiTheme="minorHAnsi" w:cstheme="minorHAnsi"/>
          <w:sz w:val="24"/>
          <w:szCs w:val="22"/>
          <w:lang w:val="en-GB"/>
        </w:rPr>
        <w:t xml:space="preserve"> </w:t>
      </w:r>
    </w:p>
    <w:p w14:paraId="62F77239" w14:textId="514F86B8" w:rsidR="005D05DC" w:rsidRDefault="005D05DC"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The Review also found that o</w:t>
      </w:r>
      <w:r w:rsidR="00C30067" w:rsidRPr="00F12842">
        <w:rPr>
          <w:rFonts w:asciiTheme="minorHAnsi" w:hAnsiTheme="minorHAnsi" w:cstheme="minorHAnsi"/>
          <w:sz w:val="24"/>
          <w:szCs w:val="22"/>
          <w:lang w:val="en-GB"/>
        </w:rPr>
        <w:t>rgan donation is limited in the non-European population</w:t>
      </w:r>
      <w:r w:rsidR="00772F2B">
        <w:rPr>
          <w:rFonts w:asciiTheme="minorHAnsi" w:hAnsiTheme="minorHAnsi" w:cstheme="minorHAnsi"/>
          <w:sz w:val="24"/>
          <w:szCs w:val="22"/>
          <w:lang w:val="en-GB"/>
        </w:rPr>
        <w:t xml:space="preserve">. </w:t>
      </w:r>
      <w:r w:rsidR="00772F2B">
        <w:rPr>
          <w:rFonts w:asciiTheme="minorHAnsi" w:hAnsiTheme="minorHAnsi" w:cstheme="minorHAnsi"/>
          <w:sz w:val="24"/>
          <w:szCs w:val="22"/>
          <w:lang w:val="en-GB"/>
        </w:rPr>
        <w:fldChar w:fldCharType="begin"/>
      </w:r>
      <w:r w:rsidR="00772F2B">
        <w:rPr>
          <w:rFonts w:asciiTheme="minorHAnsi" w:hAnsiTheme="minorHAnsi" w:cstheme="minorHAnsi"/>
          <w:sz w:val="24"/>
          <w:szCs w:val="22"/>
          <w:lang w:val="en-GB"/>
        </w:rPr>
        <w:instrText xml:space="preserve"> REF _Ref529792490 \h  \* MERGEFORMAT </w:instrText>
      </w:r>
      <w:r w:rsidR="00772F2B">
        <w:rPr>
          <w:rFonts w:asciiTheme="minorHAnsi" w:hAnsiTheme="minorHAnsi" w:cstheme="minorHAnsi"/>
          <w:sz w:val="24"/>
          <w:szCs w:val="22"/>
          <w:lang w:val="en-GB"/>
        </w:rPr>
      </w:r>
      <w:r w:rsidR="00772F2B">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Table 17</w:t>
      </w:r>
      <w:r w:rsidR="00772F2B">
        <w:rPr>
          <w:rFonts w:asciiTheme="minorHAnsi" w:hAnsiTheme="minorHAnsi" w:cstheme="minorHAnsi"/>
          <w:sz w:val="24"/>
          <w:szCs w:val="22"/>
          <w:lang w:val="en-GB"/>
        </w:rPr>
        <w:fldChar w:fldCharType="end"/>
      </w:r>
      <w:r>
        <w:rPr>
          <w:rFonts w:asciiTheme="minorHAnsi" w:hAnsiTheme="minorHAnsi" w:cstheme="minorHAnsi"/>
          <w:sz w:val="24"/>
          <w:szCs w:val="22"/>
          <w:lang w:val="en-GB"/>
        </w:rPr>
        <w:t xml:space="preserve"> illustrates donation rates in the non-European population in 2016. </w:t>
      </w:r>
    </w:p>
    <w:p w14:paraId="665BFC91" w14:textId="4D80119D" w:rsidR="00772F2B" w:rsidRPr="00EF2596" w:rsidRDefault="00772F2B" w:rsidP="007C1C9B">
      <w:pPr>
        <w:keepNext/>
        <w:keepLines/>
        <w:tabs>
          <w:tab w:val="num" w:pos="720"/>
        </w:tabs>
        <w:spacing w:after="120"/>
        <w:rPr>
          <w:rFonts w:asciiTheme="minorHAnsi" w:hAnsiTheme="minorHAnsi" w:cstheme="minorHAnsi"/>
          <w:color w:val="808080"/>
        </w:rPr>
      </w:pPr>
      <w:bookmarkStart w:id="628" w:name="_Ref529792490"/>
      <w:r w:rsidRPr="00EF2596">
        <w:rPr>
          <w:rFonts w:asciiTheme="minorHAnsi" w:hAnsiTheme="minorHAnsi" w:cstheme="minorHAnsi"/>
          <w:b/>
          <w:color w:val="808080"/>
        </w:rPr>
        <w:t xml:space="preserve">Table </w:t>
      </w:r>
      <w:r w:rsidRPr="00EF2596">
        <w:rPr>
          <w:rFonts w:asciiTheme="minorHAnsi" w:hAnsiTheme="minorHAnsi" w:cstheme="minorHAnsi"/>
          <w:b/>
          <w:color w:val="808080"/>
        </w:rPr>
        <w:fldChar w:fldCharType="begin"/>
      </w:r>
      <w:r w:rsidRPr="00EF2596">
        <w:rPr>
          <w:rFonts w:asciiTheme="minorHAnsi" w:hAnsiTheme="minorHAnsi" w:cstheme="minorHAnsi"/>
          <w:b/>
          <w:color w:val="808080"/>
        </w:rPr>
        <w:instrText xml:space="preserve"> SEQ Table \* ARABIC </w:instrText>
      </w:r>
      <w:r w:rsidRPr="00EF2596">
        <w:rPr>
          <w:rFonts w:asciiTheme="minorHAnsi" w:hAnsiTheme="minorHAnsi" w:cstheme="minorHAnsi"/>
          <w:b/>
          <w:color w:val="808080"/>
        </w:rPr>
        <w:fldChar w:fldCharType="separate"/>
      </w:r>
      <w:r w:rsidR="00A04048">
        <w:rPr>
          <w:rFonts w:asciiTheme="minorHAnsi" w:hAnsiTheme="minorHAnsi" w:cstheme="minorHAnsi"/>
          <w:b/>
          <w:noProof/>
          <w:color w:val="808080"/>
        </w:rPr>
        <w:t>17</w:t>
      </w:r>
      <w:r w:rsidRPr="00EF2596">
        <w:rPr>
          <w:rFonts w:asciiTheme="minorHAnsi" w:hAnsiTheme="minorHAnsi" w:cstheme="minorHAnsi"/>
          <w:b/>
          <w:color w:val="808080"/>
        </w:rPr>
        <w:fldChar w:fldCharType="end"/>
      </w:r>
      <w:bookmarkEnd w:id="628"/>
      <w:r w:rsidRPr="00EF2596">
        <w:rPr>
          <w:rFonts w:asciiTheme="minorHAnsi" w:hAnsiTheme="minorHAnsi" w:cstheme="minorHAnsi"/>
          <w:b/>
          <w:color w:val="808080"/>
        </w:rPr>
        <w:t xml:space="preserve">: Donation rates </w:t>
      </w:r>
      <w:r>
        <w:rPr>
          <w:rFonts w:asciiTheme="minorHAnsi" w:hAnsiTheme="minorHAnsi" w:cstheme="minorHAnsi"/>
          <w:b/>
          <w:color w:val="808080"/>
        </w:rPr>
        <w:t>in</w:t>
      </w:r>
      <w:r w:rsidRPr="00EF2596">
        <w:rPr>
          <w:rFonts w:asciiTheme="minorHAnsi" w:hAnsiTheme="minorHAnsi" w:cstheme="minorHAnsi"/>
          <w:b/>
          <w:color w:val="808080"/>
        </w:rPr>
        <w:t xml:space="preserve"> non-European populations in Australia</w:t>
      </w:r>
      <w:r w:rsidR="005A7E57">
        <w:rPr>
          <w:rFonts w:asciiTheme="minorHAnsi" w:hAnsiTheme="minorHAnsi" w:cstheme="minorHAnsi"/>
          <w:b/>
          <w:color w:val="808080"/>
        </w:rPr>
        <w:t>, 2016. SOURCE: ANZOD</w:t>
      </w:r>
    </w:p>
    <w:tbl>
      <w:tblPr>
        <w:tblW w:w="9361" w:type="dxa"/>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77"/>
        <w:gridCol w:w="2842"/>
        <w:gridCol w:w="2842"/>
      </w:tblGrid>
      <w:tr w:rsidR="00642C32" w:rsidRPr="00713F0A" w14:paraId="19523E7A" w14:textId="77777777" w:rsidTr="00EF2596">
        <w:trPr>
          <w:trHeight w:val="256"/>
          <w:tblHeader/>
        </w:trPr>
        <w:tc>
          <w:tcPr>
            <w:tcW w:w="3677" w:type="dxa"/>
            <w:shd w:val="clear" w:color="auto" w:fill="595959" w:themeFill="text1" w:themeFillTint="A6"/>
            <w:noWrap/>
            <w:vAlign w:val="center"/>
            <w:hideMark/>
          </w:tcPr>
          <w:p w14:paraId="71F52695" w14:textId="77777777" w:rsidR="00642C32" w:rsidRPr="004938CA" w:rsidRDefault="00642C32" w:rsidP="007C1C9B">
            <w:pPr>
              <w:keepNext/>
              <w:keepLines/>
              <w:autoSpaceDE/>
              <w:autoSpaceDN/>
              <w:adjustRightInd/>
              <w:spacing w:before="40" w:after="40"/>
              <w:rPr>
                <w:rFonts w:ascii="Calibri" w:hAnsi="Calibri" w:cs="Calibri"/>
                <w:color w:val="000000"/>
                <w:szCs w:val="22"/>
                <w:lang w:eastAsia="en-AU"/>
              </w:rPr>
            </w:pPr>
            <w:r w:rsidRPr="00EF2596">
              <w:rPr>
                <w:rFonts w:ascii="Calibri" w:hAnsi="Calibri" w:cs="Calibri"/>
                <w:b/>
                <w:bCs/>
                <w:color w:val="FFFFFF" w:themeColor="background1"/>
                <w:szCs w:val="22"/>
                <w:lang w:eastAsia="en-AU"/>
              </w:rPr>
              <w:t>Ethnicity</w:t>
            </w:r>
          </w:p>
        </w:tc>
        <w:tc>
          <w:tcPr>
            <w:tcW w:w="2842" w:type="dxa"/>
            <w:shd w:val="clear" w:color="auto" w:fill="595959" w:themeFill="text1" w:themeFillTint="A6"/>
            <w:noWrap/>
            <w:vAlign w:val="center"/>
            <w:hideMark/>
          </w:tcPr>
          <w:p w14:paraId="64D60F26" w14:textId="77777777" w:rsidR="00642C32" w:rsidRPr="004938CA" w:rsidRDefault="00642C32" w:rsidP="007C1C9B">
            <w:pPr>
              <w:keepNext/>
              <w:keepLines/>
              <w:autoSpaceDE/>
              <w:autoSpaceDN/>
              <w:adjustRightInd/>
              <w:spacing w:before="40" w:after="40"/>
              <w:jc w:val="center"/>
              <w:rPr>
                <w:rFonts w:ascii="Calibri" w:hAnsi="Calibri" w:cs="Calibri"/>
                <w:b/>
                <w:bCs/>
                <w:color w:val="FFFFFF" w:themeColor="background1"/>
                <w:szCs w:val="22"/>
                <w:lang w:eastAsia="en-AU"/>
              </w:rPr>
            </w:pPr>
            <w:r>
              <w:rPr>
                <w:rFonts w:ascii="Calibri" w:hAnsi="Calibri" w:cs="Calibri"/>
                <w:b/>
                <w:bCs/>
                <w:color w:val="FFFFFF" w:themeColor="background1"/>
                <w:szCs w:val="22"/>
                <w:lang w:eastAsia="en-AU"/>
              </w:rPr>
              <w:t>Total donations</w:t>
            </w:r>
          </w:p>
        </w:tc>
        <w:tc>
          <w:tcPr>
            <w:tcW w:w="2842" w:type="dxa"/>
            <w:shd w:val="clear" w:color="auto" w:fill="595959" w:themeFill="text1" w:themeFillTint="A6"/>
          </w:tcPr>
          <w:p w14:paraId="031009BD" w14:textId="77777777" w:rsidR="00642C32" w:rsidRDefault="00642C32" w:rsidP="007C1C9B">
            <w:pPr>
              <w:keepNext/>
              <w:keepLines/>
              <w:autoSpaceDE/>
              <w:autoSpaceDN/>
              <w:adjustRightInd/>
              <w:spacing w:before="40" w:after="40"/>
              <w:jc w:val="center"/>
              <w:rPr>
                <w:rFonts w:ascii="Calibri" w:hAnsi="Calibri" w:cs="Calibri"/>
                <w:b/>
                <w:bCs/>
                <w:color w:val="FFFFFF" w:themeColor="background1"/>
                <w:szCs w:val="22"/>
                <w:lang w:eastAsia="en-AU"/>
              </w:rPr>
            </w:pPr>
            <w:r>
              <w:rPr>
                <w:rFonts w:ascii="Calibri" w:hAnsi="Calibri" w:cs="Calibri"/>
                <w:b/>
                <w:bCs/>
                <w:color w:val="FFFFFF" w:themeColor="background1"/>
                <w:szCs w:val="22"/>
                <w:lang w:eastAsia="en-AU"/>
              </w:rPr>
              <w:t>Proportion of total donations</w:t>
            </w:r>
          </w:p>
        </w:tc>
      </w:tr>
      <w:tr w:rsidR="00642C32" w:rsidRPr="00713F0A" w14:paraId="04E1A15A" w14:textId="77777777" w:rsidTr="00EF2596">
        <w:trPr>
          <w:trHeight w:val="256"/>
        </w:trPr>
        <w:tc>
          <w:tcPr>
            <w:tcW w:w="3677" w:type="dxa"/>
            <w:shd w:val="clear" w:color="auto" w:fill="auto"/>
            <w:noWrap/>
            <w:vAlign w:val="center"/>
          </w:tcPr>
          <w:p w14:paraId="03338540" w14:textId="77777777" w:rsidR="00642C32" w:rsidRPr="004938CA" w:rsidRDefault="00642C32" w:rsidP="007C1C9B">
            <w:pPr>
              <w:keepNext/>
              <w:keepLines/>
              <w:autoSpaceDE/>
              <w:autoSpaceDN/>
              <w:adjustRightInd/>
              <w:spacing w:before="40" w:after="40"/>
              <w:rPr>
                <w:rFonts w:ascii="Calibri" w:hAnsi="Calibri" w:cs="Calibri"/>
                <w:bCs/>
                <w:color w:val="000000" w:themeColor="text1"/>
                <w:szCs w:val="22"/>
                <w:lang w:eastAsia="en-AU"/>
              </w:rPr>
            </w:pPr>
            <w:r>
              <w:rPr>
                <w:rFonts w:ascii="Calibri" w:hAnsi="Calibri" w:cs="Calibri"/>
                <w:bCs/>
                <w:color w:val="000000" w:themeColor="text1"/>
                <w:szCs w:val="22"/>
                <w:lang w:eastAsia="en-AU"/>
              </w:rPr>
              <w:t>New Zealand European</w:t>
            </w:r>
          </w:p>
        </w:tc>
        <w:tc>
          <w:tcPr>
            <w:tcW w:w="2842" w:type="dxa"/>
            <w:shd w:val="clear" w:color="auto" w:fill="auto"/>
            <w:noWrap/>
            <w:vAlign w:val="center"/>
          </w:tcPr>
          <w:p w14:paraId="6A8B91D5" w14:textId="77777777" w:rsidR="00642C32" w:rsidRPr="004938CA" w:rsidRDefault="00642C32" w:rsidP="007C1C9B">
            <w:pPr>
              <w:keepNext/>
              <w:keepLines/>
              <w:autoSpaceDE/>
              <w:autoSpaceDN/>
              <w:adjustRightInd/>
              <w:spacing w:before="40" w:after="40"/>
              <w:jc w:val="center"/>
              <w:rPr>
                <w:rFonts w:ascii="Calibri" w:hAnsi="Calibri" w:cs="Calibri"/>
                <w:color w:val="000000"/>
                <w:szCs w:val="22"/>
                <w:lang w:eastAsia="en-AU"/>
              </w:rPr>
            </w:pPr>
            <w:r>
              <w:rPr>
                <w:rFonts w:ascii="Calibri" w:hAnsi="Calibri" w:cs="Calibri"/>
                <w:color w:val="000000"/>
                <w:szCs w:val="22"/>
                <w:lang w:eastAsia="en-AU"/>
              </w:rPr>
              <w:t>4</w:t>
            </w:r>
          </w:p>
        </w:tc>
        <w:tc>
          <w:tcPr>
            <w:tcW w:w="2842" w:type="dxa"/>
          </w:tcPr>
          <w:p w14:paraId="07669152" w14:textId="77777777" w:rsidR="00642C32" w:rsidRPr="004938CA" w:rsidRDefault="00642C32" w:rsidP="007C1C9B">
            <w:pPr>
              <w:keepNext/>
              <w:keepLines/>
              <w:autoSpaceDE/>
              <w:autoSpaceDN/>
              <w:adjustRightInd/>
              <w:spacing w:before="40" w:after="40"/>
              <w:jc w:val="center"/>
              <w:rPr>
                <w:rFonts w:ascii="Calibri" w:hAnsi="Calibri" w:cs="Calibri"/>
                <w:color w:val="000000"/>
                <w:szCs w:val="22"/>
                <w:lang w:eastAsia="en-AU"/>
              </w:rPr>
            </w:pPr>
            <w:r>
              <w:rPr>
                <w:rFonts w:ascii="Calibri" w:hAnsi="Calibri" w:cs="Calibri"/>
                <w:color w:val="000000"/>
                <w:szCs w:val="22"/>
                <w:lang w:eastAsia="en-AU"/>
              </w:rPr>
              <w:t>1%</w:t>
            </w:r>
          </w:p>
        </w:tc>
      </w:tr>
      <w:tr w:rsidR="00642C32" w:rsidRPr="00713F0A" w14:paraId="1DCD8F4E" w14:textId="77777777" w:rsidTr="00EF2596">
        <w:trPr>
          <w:trHeight w:val="256"/>
        </w:trPr>
        <w:tc>
          <w:tcPr>
            <w:tcW w:w="3677" w:type="dxa"/>
            <w:shd w:val="clear" w:color="auto" w:fill="auto"/>
            <w:noWrap/>
            <w:vAlign w:val="center"/>
          </w:tcPr>
          <w:p w14:paraId="5EF7B3C3" w14:textId="77777777" w:rsidR="00642C32" w:rsidRPr="004938CA" w:rsidRDefault="00642C32" w:rsidP="007C1C9B">
            <w:pPr>
              <w:keepNext/>
              <w:keepLines/>
              <w:autoSpaceDE/>
              <w:autoSpaceDN/>
              <w:adjustRightInd/>
              <w:spacing w:before="40" w:after="40"/>
              <w:rPr>
                <w:rFonts w:ascii="Calibri" w:hAnsi="Calibri" w:cs="Calibri"/>
                <w:bCs/>
                <w:color w:val="000000" w:themeColor="text1"/>
                <w:szCs w:val="22"/>
                <w:lang w:eastAsia="en-AU"/>
              </w:rPr>
            </w:pPr>
            <w:r>
              <w:rPr>
                <w:rFonts w:ascii="Calibri" w:hAnsi="Calibri" w:cs="Calibri"/>
                <w:bCs/>
                <w:color w:val="000000" w:themeColor="text1"/>
                <w:szCs w:val="22"/>
                <w:lang w:eastAsia="en-AU"/>
              </w:rPr>
              <w:t>New Zealand Maori</w:t>
            </w:r>
          </w:p>
        </w:tc>
        <w:tc>
          <w:tcPr>
            <w:tcW w:w="2842" w:type="dxa"/>
            <w:shd w:val="clear" w:color="auto" w:fill="auto"/>
            <w:noWrap/>
            <w:vAlign w:val="center"/>
          </w:tcPr>
          <w:p w14:paraId="5FB83746" w14:textId="77777777" w:rsidR="00642C32" w:rsidRPr="004938CA" w:rsidRDefault="00642C32" w:rsidP="007C1C9B">
            <w:pPr>
              <w:keepNext/>
              <w:keepLines/>
              <w:autoSpaceDE/>
              <w:autoSpaceDN/>
              <w:adjustRightInd/>
              <w:spacing w:before="40" w:after="40"/>
              <w:jc w:val="center"/>
              <w:rPr>
                <w:rFonts w:ascii="Calibri" w:hAnsi="Calibri" w:cs="Calibri"/>
                <w:color w:val="000000"/>
                <w:szCs w:val="22"/>
                <w:lang w:eastAsia="en-AU"/>
              </w:rPr>
            </w:pPr>
            <w:r>
              <w:rPr>
                <w:rFonts w:ascii="Calibri" w:hAnsi="Calibri" w:cs="Calibri"/>
                <w:color w:val="000000"/>
                <w:szCs w:val="22"/>
                <w:lang w:eastAsia="en-AU"/>
              </w:rPr>
              <w:t>5</w:t>
            </w:r>
          </w:p>
        </w:tc>
        <w:tc>
          <w:tcPr>
            <w:tcW w:w="2842" w:type="dxa"/>
          </w:tcPr>
          <w:p w14:paraId="392D66CD" w14:textId="77777777" w:rsidR="00642C32" w:rsidRPr="004938CA" w:rsidRDefault="00642C32" w:rsidP="007C1C9B">
            <w:pPr>
              <w:keepNext/>
              <w:keepLines/>
              <w:autoSpaceDE/>
              <w:autoSpaceDN/>
              <w:adjustRightInd/>
              <w:spacing w:before="40" w:after="40"/>
              <w:jc w:val="center"/>
              <w:rPr>
                <w:rFonts w:ascii="Calibri" w:hAnsi="Calibri" w:cs="Calibri"/>
                <w:color w:val="000000"/>
                <w:szCs w:val="22"/>
                <w:lang w:eastAsia="en-AU"/>
              </w:rPr>
            </w:pPr>
            <w:r>
              <w:rPr>
                <w:rFonts w:ascii="Calibri" w:hAnsi="Calibri" w:cs="Calibri"/>
                <w:color w:val="000000"/>
                <w:szCs w:val="22"/>
                <w:lang w:eastAsia="en-AU"/>
              </w:rPr>
              <w:t>1%</w:t>
            </w:r>
          </w:p>
        </w:tc>
      </w:tr>
      <w:tr w:rsidR="00642C32" w:rsidRPr="00713F0A" w14:paraId="021B2712" w14:textId="77777777" w:rsidTr="00EF2596">
        <w:trPr>
          <w:trHeight w:val="256"/>
        </w:trPr>
        <w:tc>
          <w:tcPr>
            <w:tcW w:w="3677" w:type="dxa"/>
            <w:shd w:val="clear" w:color="auto" w:fill="auto"/>
            <w:noWrap/>
            <w:vAlign w:val="center"/>
          </w:tcPr>
          <w:p w14:paraId="71FF6C17" w14:textId="77777777" w:rsidR="00642C32" w:rsidRPr="004938CA" w:rsidRDefault="00642C32" w:rsidP="007C1C9B">
            <w:pPr>
              <w:keepNext/>
              <w:keepLines/>
              <w:autoSpaceDE/>
              <w:autoSpaceDN/>
              <w:adjustRightInd/>
              <w:spacing w:before="40" w:after="40"/>
              <w:rPr>
                <w:rFonts w:ascii="Calibri" w:hAnsi="Calibri" w:cs="Calibri"/>
                <w:bCs/>
                <w:color w:val="000000" w:themeColor="text1"/>
                <w:szCs w:val="22"/>
                <w:lang w:eastAsia="en-AU"/>
              </w:rPr>
            </w:pPr>
            <w:r>
              <w:rPr>
                <w:rFonts w:ascii="Calibri" w:hAnsi="Calibri" w:cs="Calibri"/>
                <w:bCs/>
                <w:color w:val="000000" w:themeColor="text1"/>
                <w:szCs w:val="22"/>
                <w:lang w:eastAsia="en-AU"/>
              </w:rPr>
              <w:t>Pacific Islander</w:t>
            </w:r>
          </w:p>
        </w:tc>
        <w:tc>
          <w:tcPr>
            <w:tcW w:w="2842" w:type="dxa"/>
            <w:shd w:val="clear" w:color="auto" w:fill="auto"/>
            <w:noWrap/>
            <w:vAlign w:val="center"/>
          </w:tcPr>
          <w:p w14:paraId="6EE29681" w14:textId="77777777" w:rsidR="00642C32" w:rsidRPr="004938CA" w:rsidRDefault="00642C32" w:rsidP="007C1C9B">
            <w:pPr>
              <w:keepNext/>
              <w:keepLines/>
              <w:autoSpaceDE/>
              <w:autoSpaceDN/>
              <w:adjustRightInd/>
              <w:spacing w:before="40" w:after="40"/>
              <w:jc w:val="center"/>
              <w:rPr>
                <w:rFonts w:ascii="Calibri" w:hAnsi="Calibri" w:cs="Calibri"/>
                <w:color w:val="000000"/>
                <w:szCs w:val="22"/>
                <w:lang w:eastAsia="en-AU"/>
              </w:rPr>
            </w:pPr>
            <w:r>
              <w:rPr>
                <w:rFonts w:ascii="Calibri" w:hAnsi="Calibri" w:cs="Calibri"/>
                <w:color w:val="000000"/>
                <w:szCs w:val="22"/>
                <w:lang w:eastAsia="en-AU"/>
              </w:rPr>
              <w:t>3</w:t>
            </w:r>
          </w:p>
        </w:tc>
        <w:tc>
          <w:tcPr>
            <w:tcW w:w="2842" w:type="dxa"/>
          </w:tcPr>
          <w:p w14:paraId="05B4BF4A" w14:textId="77777777" w:rsidR="00642C32" w:rsidRPr="004938CA" w:rsidRDefault="00642C32" w:rsidP="007C1C9B">
            <w:pPr>
              <w:keepNext/>
              <w:keepLines/>
              <w:autoSpaceDE/>
              <w:autoSpaceDN/>
              <w:adjustRightInd/>
              <w:spacing w:before="40" w:after="40"/>
              <w:jc w:val="center"/>
              <w:rPr>
                <w:rFonts w:ascii="Calibri" w:hAnsi="Calibri" w:cs="Calibri"/>
                <w:color w:val="000000"/>
                <w:szCs w:val="22"/>
                <w:lang w:eastAsia="en-AU"/>
              </w:rPr>
            </w:pPr>
            <w:r>
              <w:rPr>
                <w:rFonts w:ascii="Calibri" w:hAnsi="Calibri" w:cs="Calibri"/>
                <w:color w:val="000000"/>
                <w:szCs w:val="22"/>
                <w:lang w:eastAsia="en-AU"/>
              </w:rPr>
              <w:t>1%</w:t>
            </w:r>
          </w:p>
        </w:tc>
      </w:tr>
      <w:tr w:rsidR="00642C32" w:rsidRPr="00713F0A" w14:paraId="17F0281D" w14:textId="77777777" w:rsidTr="00EF2596">
        <w:trPr>
          <w:trHeight w:val="256"/>
        </w:trPr>
        <w:tc>
          <w:tcPr>
            <w:tcW w:w="3677" w:type="dxa"/>
            <w:shd w:val="clear" w:color="auto" w:fill="auto"/>
            <w:noWrap/>
            <w:vAlign w:val="center"/>
          </w:tcPr>
          <w:p w14:paraId="66B67EF4" w14:textId="77777777" w:rsidR="00642C32" w:rsidRPr="004938CA" w:rsidRDefault="00642C32" w:rsidP="007C1C9B">
            <w:pPr>
              <w:keepNext/>
              <w:keepLines/>
              <w:autoSpaceDE/>
              <w:autoSpaceDN/>
              <w:adjustRightInd/>
              <w:spacing w:before="40" w:after="40"/>
              <w:rPr>
                <w:rFonts w:ascii="Calibri" w:hAnsi="Calibri" w:cs="Calibri"/>
                <w:bCs/>
                <w:color w:val="000000" w:themeColor="text1"/>
                <w:szCs w:val="22"/>
                <w:lang w:eastAsia="en-AU"/>
              </w:rPr>
            </w:pPr>
            <w:r>
              <w:rPr>
                <w:rFonts w:ascii="Calibri" w:hAnsi="Calibri" w:cs="Calibri"/>
                <w:bCs/>
                <w:color w:val="000000" w:themeColor="text1"/>
                <w:szCs w:val="22"/>
                <w:lang w:eastAsia="en-AU"/>
              </w:rPr>
              <w:t>North African and Middle Eastern</w:t>
            </w:r>
          </w:p>
        </w:tc>
        <w:tc>
          <w:tcPr>
            <w:tcW w:w="2842" w:type="dxa"/>
            <w:shd w:val="clear" w:color="auto" w:fill="auto"/>
            <w:noWrap/>
            <w:vAlign w:val="center"/>
          </w:tcPr>
          <w:p w14:paraId="0231574D" w14:textId="77777777" w:rsidR="00642C32" w:rsidRPr="004938CA" w:rsidRDefault="00642C32" w:rsidP="007C1C9B">
            <w:pPr>
              <w:keepNext/>
              <w:keepLines/>
              <w:autoSpaceDE/>
              <w:autoSpaceDN/>
              <w:adjustRightInd/>
              <w:spacing w:before="40" w:after="40"/>
              <w:jc w:val="center"/>
              <w:rPr>
                <w:rFonts w:ascii="Calibri" w:hAnsi="Calibri" w:cs="Calibri"/>
                <w:color w:val="000000"/>
                <w:szCs w:val="22"/>
                <w:lang w:eastAsia="en-AU"/>
              </w:rPr>
            </w:pPr>
            <w:r>
              <w:rPr>
                <w:rFonts w:ascii="Calibri" w:hAnsi="Calibri" w:cs="Calibri"/>
                <w:color w:val="000000"/>
                <w:szCs w:val="22"/>
                <w:lang w:eastAsia="en-AU"/>
              </w:rPr>
              <w:t>2</w:t>
            </w:r>
          </w:p>
        </w:tc>
        <w:tc>
          <w:tcPr>
            <w:tcW w:w="2842" w:type="dxa"/>
          </w:tcPr>
          <w:p w14:paraId="39EEC45E" w14:textId="77777777" w:rsidR="00642C32" w:rsidRPr="004938CA" w:rsidRDefault="00642C32" w:rsidP="007C1C9B">
            <w:pPr>
              <w:keepNext/>
              <w:keepLines/>
              <w:autoSpaceDE/>
              <w:autoSpaceDN/>
              <w:adjustRightInd/>
              <w:spacing w:before="40" w:after="40"/>
              <w:jc w:val="center"/>
              <w:rPr>
                <w:rFonts w:ascii="Calibri" w:hAnsi="Calibri" w:cs="Calibri"/>
                <w:color w:val="000000"/>
                <w:szCs w:val="22"/>
                <w:lang w:eastAsia="en-AU"/>
              </w:rPr>
            </w:pPr>
            <w:r>
              <w:rPr>
                <w:rFonts w:ascii="Calibri" w:hAnsi="Calibri" w:cs="Calibri"/>
                <w:color w:val="000000"/>
                <w:szCs w:val="22"/>
                <w:lang w:eastAsia="en-AU"/>
              </w:rPr>
              <w:t>0%</w:t>
            </w:r>
          </w:p>
        </w:tc>
      </w:tr>
      <w:tr w:rsidR="00642C32" w:rsidRPr="00713F0A" w14:paraId="6111CEBD" w14:textId="77777777" w:rsidTr="00EF2596">
        <w:trPr>
          <w:trHeight w:val="256"/>
        </w:trPr>
        <w:tc>
          <w:tcPr>
            <w:tcW w:w="3677" w:type="dxa"/>
            <w:shd w:val="clear" w:color="auto" w:fill="auto"/>
            <w:noWrap/>
            <w:vAlign w:val="center"/>
          </w:tcPr>
          <w:p w14:paraId="733FA278" w14:textId="77777777" w:rsidR="00642C32" w:rsidRPr="004938CA" w:rsidRDefault="00642C32" w:rsidP="007C1C9B">
            <w:pPr>
              <w:keepNext/>
              <w:keepLines/>
              <w:autoSpaceDE/>
              <w:autoSpaceDN/>
              <w:adjustRightInd/>
              <w:spacing w:before="40" w:after="40"/>
              <w:rPr>
                <w:rFonts w:ascii="Calibri" w:hAnsi="Calibri" w:cs="Calibri"/>
                <w:bCs/>
                <w:color w:val="000000" w:themeColor="text1"/>
                <w:szCs w:val="22"/>
                <w:lang w:eastAsia="en-AU"/>
              </w:rPr>
            </w:pPr>
            <w:r>
              <w:rPr>
                <w:rFonts w:ascii="Calibri" w:hAnsi="Calibri" w:cs="Calibri"/>
                <w:bCs/>
                <w:color w:val="000000" w:themeColor="text1"/>
                <w:szCs w:val="22"/>
                <w:lang w:eastAsia="en-AU"/>
              </w:rPr>
              <w:t>Asian</w:t>
            </w:r>
          </w:p>
        </w:tc>
        <w:tc>
          <w:tcPr>
            <w:tcW w:w="2842" w:type="dxa"/>
            <w:shd w:val="clear" w:color="auto" w:fill="auto"/>
            <w:noWrap/>
            <w:vAlign w:val="center"/>
          </w:tcPr>
          <w:p w14:paraId="6B48CFCD" w14:textId="77777777" w:rsidR="00642C32" w:rsidRPr="004938CA" w:rsidRDefault="00642C32" w:rsidP="007C1C9B">
            <w:pPr>
              <w:keepNext/>
              <w:keepLines/>
              <w:autoSpaceDE/>
              <w:autoSpaceDN/>
              <w:adjustRightInd/>
              <w:spacing w:before="40" w:after="40"/>
              <w:jc w:val="center"/>
              <w:rPr>
                <w:rFonts w:ascii="Calibri" w:hAnsi="Calibri" w:cs="Calibri"/>
                <w:color w:val="000000"/>
                <w:szCs w:val="22"/>
                <w:lang w:eastAsia="en-AU"/>
              </w:rPr>
            </w:pPr>
            <w:r>
              <w:rPr>
                <w:rFonts w:ascii="Calibri" w:hAnsi="Calibri" w:cs="Calibri"/>
                <w:color w:val="000000"/>
                <w:szCs w:val="22"/>
                <w:lang w:eastAsia="en-AU"/>
              </w:rPr>
              <w:t>34</w:t>
            </w:r>
          </w:p>
        </w:tc>
        <w:tc>
          <w:tcPr>
            <w:tcW w:w="2842" w:type="dxa"/>
          </w:tcPr>
          <w:p w14:paraId="6358CF33" w14:textId="77777777" w:rsidR="00642C32" w:rsidRPr="004938CA" w:rsidRDefault="00642C32" w:rsidP="007C1C9B">
            <w:pPr>
              <w:keepNext/>
              <w:keepLines/>
              <w:autoSpaceDE/>
              <w:autoSpaceDN/>
              <w:adjustRightInd/>
              <w:spacing w:before="40" w:after="40"/>
              <w:jc w:val="center"/>
              <w:rPr>
                <w:rFonts w:ascii="Calibri" w:hAnsi="Calibri" w:cs="Calibri"/>
                <w:color w:val="000000"/>
                <w:szCs w:val="22"/>
                <w:lang w:eastAsia="en-AU"/>
              </w:rPr>
            </w:pPr>
            <w:r>
              <w:rPr>
                <w:rFonts w:ascii="Calibri" w:hAnsi="Calibri" w:cs="Calibri"/>
                <w:color w:val="000000"/>
                <w:szCs w:val="22"/>
                <w:lang w:eastAsia="en-AU"/>
              </w:rPr>
              <w:t>7%</w:t>
            </w:r>
          </w:p>
        </w:tc>
      </w:tr>
      <w:tr w:rsidR="00642C32" w:rsidRPr="00713F0A" w14:paraId="4F2CCE17" w14:textId="77777777" w:rsidTr="00EF2596">
        <w:trPr>
          <w:trHeight w:val="256"/>
        </w:trPr>
        <w:tc>
          <w:tcPr>
            <w:tcW w:w="3677" w:type="dxa"/>
            <w:shd w:val="clear" w:color="auto" w:fill="auto"/>
            <w:noWrap/>
            <w:vAlign w:val="center"/>
          </w:tcPr>
          <w:p w14:paraId="03350221" w14:textId="77777777" w:rsidR="00642C32" w:rsidRPr="004938CA" w:rsidRDefault="00642C32" w:rsidP="007C1C9B">
            <w:pPr>
              <w:keepNext/>
              <w:keepLines/>
              <w:autoSpaceDE/>
              <w:autoSpaceDN/>
              <w:adjustRightInd/>
              <w:spacing w:before="40" w:after="40"/>
              <w:rPr>
                <w:rFonts w:ascii="Calibri" w:hAnsi="Calibri" w:cs="Calibri"/>
                <w:bCs/>
                <w:color w:val="000000" w:themeColor="text1"/>
                <w:szCs w:val="22"/>
                <w:lang w:eastAsia="en-AU"/>
              </w:rPr>
            </w:pPr>
            <w:r>
              <w:rPr>
                <w:rFonts w:ascii="Calibri" w:hAnsi="Calibri" w:cs="Calibri"/>
                <w:bCs/>
                <w:color w:val="000000" w:themeColor="text1"/>
                <w:szCs w:val="22"/>
                <w:lang w:eastAsia="en-AU"/>
              </w:rPr>
              <w:t>American</w:t>
            </w:r>
          </w:p>
        </w:tc>
        <w:tc>
          <w:tcPr>
            <w:tcW w:w="2842" w:type="dxa"/>
            <w:shd w:val="clear" w:color="auto" w:fill="auto"/>
            <w:noWrap/>
            <w:vAlign w:val="center"/>
          </w:tcPr>
          <w:p w14:paraId="239F5AD2" w14:textId="77777777" w:rsidR="00642C32" w:rsidRPr="004938CA" w:rsidRDefault="00642C32" w:rsidP="007C1C9B">
            <w:pPr>
              <w:keepNext/>
              <w:keepLines/>
              <w:autoSpaceDE/>
              <w:autoSpaceDN/>
              <w:adjustRightInd/>
              <w:spacing w:before="40" w:after="40"/>
              <w:jc w:val="center"/>
              <w:rPr>
                <w:rFonts w:ascii="Calibri" w:hAnsi="Calibri" w:cs="Calibri"/>
                <w:color w:val="000000"/>
                <w:szCs w:val="22"/>
                <w:lang w:eastAsia="en-AU"/>
              </w:rPr>
            </w:pPr>
            <w:r>
              <w:rPr>
                <w:rFonts w:ascii="Calibri" w:hAnsi="Calibri" w:cs="Calibri"/>
                <w:color w:val="000000"/>
                <w:szCs w:val="22"/>
                <w:lang w:eastAsia="en-AU"/>
              </w:rPr>
              <w:t>4</w:t>
            </w:r>
          </w:p>
        </w:tc>
        <w:tc>
          <w:tcPr>
            <w:tcW w:w="2842" w:type="dxa"/>
          </w:tcPr>
          <w:p w14:paraId="336BF1ED" w14:textId="77777777" w:rsidR="00642C32" w:rsidRPr="004938CA" w:rsidRDefault="00642C32" w:rsidP="007C1C9B">
            <w:pPr>
              <w:keepNext/>
              <w:keepLines/>
              <w:autoSpaceDE/>
              <w:autoSpaceDN/>
              <w:adjustRightInd/>
              <w:spacing w:before="40" w:after="40"/>
              <w:jc w:val="center"/>
              <w:rPr>
                <w:rFonts w:ascii="Calibri" w:hAnsi="Calibri" w:cs="Calibri"/>
                <w:color w:val="000000"/>
                <w:szCs w:val="22"/>
                <w:lang w:eastAsia="en-AU"/>
              </w:rPr>
            </w:pPr>
            <w:r>
              <w:rPr>
                <w:rFonts w:ascii="Calibri" w:hAnsi="Calibri" w:cs="Calibri"/>
                <w:color w:val="000000"/>
                <w:szCs w:val="22"/>
                <w:lang w:eastAsia="en-AU"/>
              </w:rPr>
              <w:t>1%</w:t>
            </w:r>
          </w:p>
        </w:tc>
      </w:tr>
      <w:tr w:rsidR="00642C32" w:rsidRPr="00713F0A" w14:paraId="34A2C793" w14:textId="77777777" w:rsidTr="00EF2596">
        <w:trPr>
          <w:trHeight w:val="256"/>
        </w:trPr>
        <w:tc>
          <w:tcPr>
            <w:tcW w:w="3677" w:type="dxa"/>
            <w:shd w:val="clear" w:color="auto" w:fill="auto"/>
            <w:noWrap/>
            <w:vAlign w:val="center"/>
          </w:tcPr>
          <w:p w14:paraId="04EB1CA7" w14:textId="77777777" w:rsidR="00642C32" w:rsidRDefault="00642C32" w:rsidP="007C1C9B">
            <w:pPr>
              <w:keepNext/>
              <w:keepLines/>
              <w:autoSpaceDE/>
              <w:autoSpaceDN/>
              <w:adjustRightInd/>
              <w:spacing w:before="40" w:after="40"/>
              <w:rPr>
                <w:rFonts w:ascii="Calibri" w:hAnsi="Calibri" w:cs="Calibri"/>
                <w:bCs/>
                <w:color w:val="000000" w:themeColor="text1"/>
                <w:szCs w:val="22"/>
                <w:lang w:eastAsia="en-AU"/>
              </w:rPr>
            </w:pPr>
            <w:r>
              <w:rPr>
                <w:rFonts w:ascii="Calibri" w:hAnsi="Calibri" w:cs="Calibri"/>
                <w:bCs/>
                <w:color w:val="000000" w:themeColor="text1"/>
                <w:szCs w:val="22"/>
                <w:lang w:eastAsia="en-AU"/>
              </w:rPr>
              <w:t>Sub-Saharan African</w:t>
            </w:r>
          </w:p>
        </w:tc>
        <w:tc>
          <w:tcPr>
            <w:tcW w:w="2842" w:type="dxa"/>
            <w:shd w:val="clear" w:color="auto" w:fill="auto"/>
            <w:noWrap/>
            <w:vAlign w:val="center"/>
          </w:tcPr>
          <w:p w14:paraId="4AB6F368" w14:textId="77777777" w:rsidR="00642C32" w:rsidRPr="004938CA" w:rsidRDefault="00642C32" w:rsidP="007C1C9B">
            <w:pPr>
              <w:keepNext/>
              <w:keepLines/>
              <w:autoSpaceDE/>
              <w:autoSpaceDN/>
              <w:adjustRightInd/>
              <w:spacing w:before="40" w:after="40"/>
              <w:jc w:val="center"/>
              <w:rPr>
                <w:rFonts w:ascii="Calibri" w:hAnsi="Calibri" w:cs="Calibri"/>
                <w:color w:val="000000"/>
                <w:szCs w:val="22"/>
                <w:lang w:eastAsia="en-AU"/>
              </w:rPr>
            </w:pPr>
            <w:r>
              <w:rPr>
                <w:rFonts w:ascii="Calibri" w:hAnsi="Calibri" w:cs="Calibri"/>
                <w:color w:val="000000"/>
                <w:szCs w:val="22"/>
                <w:lang w:eastAsia="en-AU"/>
              </w:rPr>
              <w:t>3</w:t>
            </w:r>
          </w:p>
        </w:tc>
        <w:tc>
          <w:tcPr>
            <w:tcW w:w="2842" w:type="dxa"/>
          </w:tcPr>
          <w:p w14:paraId="67A4B438" w14:textId="77777777" w:rsidR="00642C32" w:rsidRPr="004938CA" w:rsidRDefault="00642C32" w:rsidP="007C1C9B">
            <w:pPr>
              <w:keepNext/>
              <w:keepLines/>
              <w:autoSpaceDE/>
              <w:autoSpaceDN/>
              <w:adjustRightInd/>
              <w:spacing w:before="40" w:after="40"/>
              <w:jc w:val="center"/>
              <w:rPr>
                <w:rFonts w:ascii="Calibri" w:hAnsi="Calibri" w:cs="Calibri"/>
                <w:color w:val="000000"/>
                <w:szCs w:val="22"/>
                <w:lang w:eastAsia="en-AU"/>
              </w:rPr>
            </w:pPr>
            <w:r>
              <w:rPr>
                <w:rFonts w:ascii="Calibri" w:hAnsi="Calibri" w:cs="Calibri"/>
                <w:color w:val="000000"/>
                <w:szCs w:val="22"/>
                <w:lang w:eastAsia="en-AU"/>
              </w:rPr>
              <w:t>1%</w:t>
            </w:r>
          </w:p>
        </w:tc>
      </w:tr>
    </w:tbl>
    <w:p w14:paraId="63CF1636" w14:textId="0E2EAFA2" w:rsidR="00DB4CBD" w:rsidRDefault="0084734A" w:rsidP="00EF2596">
      <w:pPr>
        <w:tabs>
          <w:tab w:val="num" w:pos="720"/>
        </w:tabs>
        <w:spacing w:before="120" w:after="120"/>
        <w:rPr>
          <w:rFonts w:asciiTheme="minorHAnsi" w:hAnsiTheme="minorHAnsi" w:cstheme="minorHAnsi"/>
          <w:sz w:val="24"/>
          <w:szCs w:val="22"/>
          <w:lang w:val="en-GB"/>
        </w:rPr>
      </w:pPr>
      <w:r>
        <w:rPr>
          <w:rFonts w:asciiTheme="minorHAnsi" w:hAnsiTheme="minorHAnsi" w:cstheme="minorHAnsi"/>
          <w:sz w:val="24"/>
          <w:szCs w:val="22"/>
          <w:lang w:val="en-GB"/>
        </w:rPr>
        <w:t>In 2016, 26 per cent of the Australian populatio</w:t>
      </w:r>
      <w:r w:rsidR="0059239D">
        <w:rPr>
          <w:rFonts w:asciiTheme="minorHAnsi" w:hAnsiTheme="minorHAnsi" w:cstheme="minorHAnsi"/>
          <w:sz w:val="24"/>
          <w:szCs w:val="22"/>
          <w:lang w:val="en-GB"/>
        </w:rPr>
        <w:t>n (</w:t>
      </w:r>
      <w:r>
        <w:rPr>
          <w:rFonts w:asciiTheme="minorHAnsi" w:hAnsiTheme="minorHAnsi" w:cstheme="minorHAnsi"/>
          <w:sz w:val="24"/>
          <w:szCs w:val="22"/>
          <w:lang w:val="en-GB"/>
        </w:rPr>
        <w:t xml:space="preserve">approximately 6.1 million people), identified as having </w:t>
      </w:r>
      <w:r w:rsidR="009219C5">
        <w:rPr>
          <w:rFonts w:asciiTheme="minorHAnsi" w:hAnsiTheme="minorHAnsi" w:cstheme="minorHAnsi"/>
          <w:sz w:val="24"/>
          <w:szCs w:val="22"/>
          <w:lang w:val="en-GB"/>
        </w:rPr>
        <w:t>been</w:t>
      </w:r>
      <w:r>
        <w:rPr>
          <w:rFonts w:asciiTheme="minorHAnsi" w:hAnsiTheme="minorHAnsi" w:cstheme="minorHAnsi"/>
          <w:sz w:val="24"/>
          <w:szCs w:val="22"/>
          <w:lang w:val="en-GB"/>
        </w:rPr>
        <w:t xml:space="preserve"> born overseas</w:t>
      </w:r>
      <w:r w:rsidR="00642C32">
        <w:rPr>
          <w:rFonts w:asciiTheme="minorHAnsi" w:hAnsiTheme="minorHAnsi" w:cstheme="minorHAnsi"/>
          <w:sz w:val="24"/>
          <w:szCs w:val="22"/>
          <w:lang w:val="en-GB"/>
        </w:rPr>
        <w:t>, it is</w:t>
      </w:r>
      <w:r w:rsidR="006855D9">
        <w:rPr>
          <w:rFonts w:asciiTheme="minorHAnsi" w:hAnsiTheme="minorHAnsi" w:cstheme="minorHAnsi"/>
          <w:sz w:val="24"/>
          <w:szCs w:val="22"/>
          <w:lang w:val="en-GB"/>
        </w:rPr>
        <w:t xml:space="preserve"> evident from </w:t>
      </w:r>
      <w:r w:rsidR="008D58C9">
        <w:rPr>
          <w:rFonts w:asciiTheme="minorHAnsi" w:hAnsiTheme="minorHAnsi" w:cstheme="minorHAnsi"/>
          <w:sz w:val="24"/>
          <w:szCs w:val="22"/>
          <w:lang w:val="en-GB"/>
        </w:rPr>
        <w:fldChar w:fldCharType="begin"/>
      </w:r>
      <w:r w:rsidR="008D58C9">
        <w:rPr>
          <w:rFonts w:asciiTheme="minorHAnsi" w:hAnsiTheme="minorHAnsi" w:cstheme="minorHAnsi"/>
          <w:sz w:val="24"/>
          <w:szCs w:val="22"/>
          <w:lang w:val="en-GB"/>
        </w:rPr>
        <w:instrText xml:space="preserve"> REF _Ref529792490 \h  \* MERGEFORMAT </w:instrText>
      </w:r>
      <w:r w:rsidR="008D58C9">
        <w:rPr>
          <w:rFonts w:asciiTheme="minorHAnsi" w:hAnsiTheme="minorHAnsi" w:cstheme="minorHAnsi"/>
          <w:sz w:val="24"/>
          <w:szCs w:val="22"/>
          <w:lang w:val="en-GB"/>
        </w:rPr>
      </w:r>
      <w:r w:rsidR="008D58C9">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Table 17</w:t>
      </w:r>
      <w:r w:rsidR="008D58C9">
        <w:rPr>
          <w:rFonts w:asciiTheme="minorHAnsi" w:hAnsiTheme="minorHAnsi" w:cstheme="minorHAnsi"/>
          <w:sz w:val="24"/>
          <w:szCs w:val="22"/>
          <w:lang w:val="en-GB"/>
        </w:rPr>
        <w:fldChar w:fldCharType="end"/>
      </w:r>
      <w:r w:rsidR="008D58C9">
        <w:rPr>
          <w:rFonts w:asciiTheme="minorHAnsi" w:hAnsiTheme="minorHAnsi" w:cstheme="minorHAnsi"/>
          <w:sz w:val="24"/>
          <w:szCs w:val="22"/>
          <w:lang w:val="en-GB"/>
        </w:rPr>
        <w:t xml:space="preserve"> </w:t>
      </w:r>
      <w:r w:rsidR="000A6A33">
        <w:rPr>
          <w:rFonts w:asciiTheme="minorHAnsi" w:hAnsiTheme="minorHAnsi" w:cstheme="minorHAnsi"/>
          <w:sz w:val="24"/>
          <w:szCs w:val="22"/>
          <w:lang w:val="en-GB"/>
        </w:rPr>
        <w:t>that</w:t>
      </w:r>
      <w:r w:rsidR="006855D9">
        <w:rPr>
          <w:rFonts w:asciiTheme="minorHAnsi" w:hAnsiTheme="minorHAnsi" w:cstheme="minorHAnsi"/>
          <w:sz w:val="24"/>
          <w:szCs w:val="22"/>
          <w:lang w:val="en-GB"/>
        </w:rPr>
        <w:t xml:space="preserve"> non-European populations contribute a much lower proportion of donated organs than Australian and European populations.</w:t>
      </w:r>
      <w:r w:rsidR="00642C32" w:rsidRPr="00EF2596">
        <w:rPr>
          <w:rStyle w:val="FootnoteReference"/>
          <w:rFonts w:asciiTheme="minorHAnsi" w:hAnsiTheme="minorHAnsi" w:cstheme="minorHAnsi"/>
          <w:lang w:val="en-GB"/>
        </w:rPr>
        <w:footnoteReference w:id="122"/>
      </w:r>
      <w:r w:rsidR="006855D9">
        <w:rPr>
          <w:rFonts w:asciiTheme="minorHAnsi" w:hAnsiTheme="minorHAnsi" w:cstheme="minorHAnsi"/>
          <w:sz w:val="24"/>
          <w:szCs w:val="22"/>
          <w:lang w:val="en-GB"/>
        </w:rPr>
        <w:t xml:space="preserve"> </w:t>
      </w:r>
      <w:r w:rsidR="00DB4CBD">
        <w:rPr>
          <w:rFonts w:asciiTheme="minorHAnsi" w:hAnsiTheme="minorHAnsi" w:cstheme="minorHAnsi"/>
          <w:sz w:val="24"/>
          <w:szCs w:val="22"/>
          <w:lang w:val="en-GB"/>
        </w:rPr>
        <w:t>If donation rates are to continue to improve, careful consideration is required of barriers preventing certain demographics from consenting to organ donation.</w:t>
      </w:r>
    </w:p>
    <w:p w14:paraId="1A93FE38" w14:textId="77777777" w:rsidR="00C30067" w:rsidRPr="00266A77" w:rsidRDefault="00C30067" w:rsidP="00C30067">
      <w:pPr>
        <w:tabs>
          <w:tab w:val="num" w:pos="720"/>
        </w:tabs>
        <w:spacing w:after="120"/>
        <w:rPr>
          <w:rFonts w:asciiTheme="minorHAnsi" w:hAnsiTheme="minorHAnsi" w:cstheme="minorHAnsi"/>
          <w:i/>
          <w:color w:val="808080" w:themeColor="background1" w:themeShade="80"/>
          <w:sz w:val="26"/>
          <w:szCs w:val="26"/>
        </w:rPr>
      </w:pPr>
      <w:r>
        <w:rPr>
          <w:rFonts w:asciiTheme="minorHAnsi" w:hAnsiTheme="minorHAnsi" w:cstheme="minorHAnsi"/>
          <w:i/>
          <w:color w:val="808080" w:themeColor="background1" w:themeShade="80"/>
          <w:sz w:val="26"/>
          <w:szCs w:val="26"/>
        </w:rPr>
        <w:t>Summary of k</w:t>
      </w:r>
      <w:r w:rsidRPr="00266A77">
        <w:rPr>
          <w:rFonts w:asciiTheme="minorHAnsi" w:hAnsiTheme="minorHAnsi" w:cstheme="minorHAnsi"/>
          <w:i/>
          <w:color w:val="808080" w:themeColor="background1" w:themeShade="80"/>
          <w:sz w:val="26"/>
          <w:szCs w:val="26"/>
        </w:rPr>
        <w:t>ey findings</w:t>
      </w:r>
    </w:p>
    <w:p w14:paraId="3A8C73B3" w14:textId="3014999E" w:rsidR="00C30067" w:rsidRPr="00F37D51" w:rsidRDefault="00C30067" w:rsidP="00C30067">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In 2016, Aboriginal and Torres Strait Islander organ donations made up </w:t>
      </w:r>
      <w:r w:rsidR="006855D9">
        <w:rPr>
          <w:rFonts w:asciiTheme="minorHAnsi" w:hAnsiTheme="minorHAnsi" w:cstheme="minorHAnsi"/>
          <w:sz w:val="24"/>
          <w:szCs w:val="22"/>
          <w:lang w:val="en-GB"/>
        </w:rPr>
        <w:t>2.4</w:t>
      </w:r>
      <w:r>
        <w:rPr>
          <w:rFonts w:asciiTheme="minorHAnsi" w:hAnsiTheme="minorHAnsi" w:cstheme="minorHAnsi"/>
          <w:sz w:val="24"/>
          <w:szCs w:val="22"/>
          <w:lang w:val="en-GB"/>
        </w:rPr>
        <w:t xml:space="preserve"> per cent</w:t>
      </w:r>
      <w:r w:rsidRPr="00F37D51">
        <w:rPr>
          <w:rFonts w:asciiTheme="minorHAnsi" w:hAnsiTheme="minorHAnsi" w:cstheme="minorHAnsi"/>
          <w:sz w:val="24"/>
          <w:szCs w:val="22"/>
          <w:lang w:val="en-GB"/>
        </w:rPr>
        <w:t xml:space="preserve"> of total </w:t>
      </w:r>
      <w:r>
        <w:rPr>
          <w:rFonts w:asciiTheme="minorHAnsi" w:hAnsiTheme="minorHAnsi" w:cstheme="minorHAnsi"/>
          <w:sz w:val="24"/>
          <w:szCs w:val="22"/>
          <w:lang w:val="en-GB"/>
        </w:rPr>
        <w:t xml:space="preserve">organ </w:t>
      </w:r>
      <w:r w:rsidRPr="00F37D51">
        <w:rPr>
          <w:rFonts w:asciiTheme="minorHAnsi" w:hAnsiTheme="minorHAnsi" w:cstheme="minorHAnsi"/>
          <w:sz w:val="24"/>
          <w:szCs w:val="22"/>
          <w:lang w:val="en-GB"/>
        </w:rPr>
        <w:t>donations in Australia</w:t>
      </w:r>
      <w:r w:rsidR="00FB2924">
        <w:rPr>
          <w:rFonts w:asciiTheme="minorHAnsi" w:hAnsiTheme="minorHAnsi" w:cstheme="minorHAnsi"/>
          <w:sz w:val="24"/>
          <w:szCs w:val="22"/>
          <w:lang w:val="en-GB"/>
        </w:rPr>
        <w:t xml:space="preserve">. </w:t>
      </w:r>
      <w:r w:rsidR="009219C5">
        <w:rPr>
          <w:rFonts w:asciiTheme="minorHAnsi" w:hAnsiTheme="minorHAnsi" w:cstheme="minorHAnsi"/>
          <w:sz w:val="24"/>
          <w:szCs w:val="22"/>
          <w:lang w:val="en-GB"/>
        </w:rPr>
        <w:t>However,</w:t>
      </w:r>
      <w:r w:rsidR="00FB2924">
        <w:rPr>
          <w:rFonts w:asciiTheme="minorHAnsi" w:hAnsiTheme="minorHAnsi" w:cstheme="minorHAnsi"/>
          <w:sz w:val="24"/>
          <w:szCs w:val="22"/>
          <w:lang w:val="en-GB"/>
        </w:rPr>
        <w:t xml:space="preserve"> 9 per cent of the Aboriginal and Torres Strait Islander population were on dialysis.</w:t>
      </w:r>
    </w:p>
    <w:p w14:paraId="393F6D33" w14:textId="77777777" w:rsidR="00C30067" w:rsidRDefault="00C30067" w:rsidP="00C30067">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Key reasons for low donation rates include poorer overall health</w:t>
      </w:r>
      <w:r>
        <w:rPr>
          <w:rFonts w:asciiTheme="minorHAnsi" w:hAnsiTheme="minorHAnsi" w:cstheme="minorHAnsi"/>
          <w:sz w:val="24"/>
          <w:szCs w:val="22"/>
          <w:lang w:val="en-GB"/>
        </w:rPr>
        <w:t xml:space="preserve"> precluding donation</w:t>
      </w:r>
      <w:r w:rsidRPr="00F37D51">
        <w:rPr>
          <w:rFonts w:asciiTheme="minorHAnsi" w:hAnsiTheme="minorHAnsi" w:cstheme="minorHAnsi"/>
          <w:sz w:val="24"/>
          <w:szCs w:val="22"/>
          <w:lang w:val="en-GB"/>
        </w:rPr>
        <w:t>, health literacy of donation among health services</w:t>
      </w:r>
      <w:r w:rsidR="00892A49">
        <w:rPr>
          <w:rFonts w:asciiTheme="minorHAnsi" w:hAnsiTheme="minorHAnsi" w:cstheme="minorHAnsi"/>
          <w:sz w:val="24"/>
          <w:szCs w:val="22"/>
          <w:lang w:val="en-GB"/>
        </w:rPr>
        <w:t>, remote residence</w:t>
      </w:r>
      <w:r w:rsidRPr="00F37D51">
        <w:rPr>
          <w:rFonts w:asciiTheme="minorHAnsi" w:hAnsiTheme="minorHAnsi" w:cstheme="minorHAnsi"/>
          <w:sz w:val="24"/>
          <w:szCs w:val="22"/>
          <w:lang w:val="en-GB"/>
        </w:rPr>
        <w:t xml:space="preserve"> and community and cultural beliefs and ways of life.</w:t>
      </w:r>
    </w:p>
    <w:p w14:paraId="514D08D4" w14:textId="77777777" w:rsidR="00C30067" w:rsidRPr="00F37D51" w:rsidRDefault="00C30067" w:rsidP="00C30067">
      <w:pPr>
        <w:numPr>
          <w:ilvl w:val="0"/>
          <w:numId w:val="18"/>
        </w:numPr>
        <w:spacing w:after="120"/>
        <w:ind w:left="357" w:hanging="357"/>
        <w:rPr>
          <w:rFonts w:asciiTheme="minorHAnsi" w:hAnsiTheme="minorHAnsi" w:cstheme="minorHAnsi"/>
          <w:sz w:val="24"/>
          <w:szCs w:val="22"/>
          <w:lang w:val="en-GB"/>
        </w:rPr>
      </w:pPr>
      <w:r w:rsidRPr="00F12842">
        <w:rPr>
          <w:rFonts w:asciiTheme="minorHAnsi" w:hAnsiTheme="minorHAnsi" w:cstheme="minorHAnsi"/>
          <w:sz w:val="24"/>
          <w:szCs w:val="22"/>
          <w:lang w:val="en-GB"/>
        </w:rPr>
        <w:t>Organ donation is limited in the non-European population.</w:t>
      </w:r>
    </w:p>
    <w:p w14:paraId="13589BEA" w14:textId="77777777" w:rsidR="00C30067" w:rsidRDefault="00C30067" w:rsidP="00C30067">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twenty is that as part of the development of the future national strategy for the retrieval and transplantation system, the Australian Government working in partnership with states and territories should develop a national Aboriginal and Torres Strait Islander and culturally and linguistically diverse population’s organ donation strategy to improve donation rates in these groups. It should be based on the findings from this Review, and the work of the TSANZ (the Improving access to and outcomes of kidney transplantation for Aboriginal and Torres Strait Islander people project). The strategy should be developed in collaboration with the National Aboriginal Community Controlled Health Organisation, its affiliates and the states and territories. Recommendation twenty one is that an advisory group of key stakeholders should be established as part of the strategy development to provide oversight and input into Aboriginal and Torres Strait Islander issues relating to organ donation."/>
      </w:tblPr>
      <w:tblGrid>
        <w:gridCol w:w="2268"/>
        <w:gridCol w:w="7479"/>
      </w:tblGrid>
      <w:tr w:rsidR="00C31175" w:rsidRPr="00DC1007" w14:paraId="64793CC4" w14:textId="77777777" w:rsidTr="00AE3ED1">
        <w:trPr>
          <w:tblHeader/>
        </w:trPr>
        <w:tc>
          <w:tcPr>
            <w:tcW w:w="2268" w:type="dxa"/>
            <w:shd w:val="clear" w:color="auto" w:fill="595959" w:themeFill="text1" w:themeFillTint="A6"/>
          </w:tcPr>
          <w:p w14:paraId="6087A56F" w14:textId="3F85F6FE" w:rsidR="00C31175" w:rsidRPr="00AE3ED1" w:rsidRDefault="00C31175" w:rsidP="00AE3ED1">
            <w:pPr>
              <w:spacing w:after="120"/>
              <w:ind w:right="-321"/>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 xml:space="preserve">Recommendation </w:t>
            </w:r>
          </w:p>
        </w:tc>
        <w:tc>
          <w:tcPr>
            <w:tcW w:w="7479" w:type="dxa"/>
            <w:shd w:val="clear" w:color="auto" w:fill="595959" w:themeFill="text1" w:themeFillTint="A6"/>
          </w:tcPr>
          <w:p w14:paraId="4EE28E48" w14:textId="2111F442" w:rsidR="00C31175" w:rsidRPr="00AE3ED1" w:rsidRDefault="00C31175" w:rsidP="00AE3ED1">
            <w:pPr>
              <w:spacing w:after="120"/>
              <w:ind w:right="-142"/>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Description</w:t>
            </w:r>
          </w:p>
        </w:tc>
      </w:tr>
      <w:tr w:rsidR="00C30067" w:rsidRPr="00DC1007" w14:paraId="6987FEDA" w14:textId="77777777" w:rsidTr="00AE3ED1">
        <w:tc>
          <w:tcPr>
            <w:tcW w:w="2268" w:type="dxa"/>
          </w:tcPr>
          <w:p w14:paraId="49620CE4" w14:textId="77777777" w:rsidR="00C30067" w:rsidRPr="00F37D51" w:rsidRDefault="00C30067" w:rsidP="00AE3ED1">
            <w:pPr>
              <w:spacing w:after="120"/>
              <w:ind w:right="-321"/>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sidR="0055366A">
              <w:rPr>
                <w:rFonts w:asciiTheme="minorHAnsi" w:hAnsiTheme="minorHAnsi" w:cstheme="minorHAnsi"/>
                <w:b/>
                <w:sz w:val="24"/>
                <w:szCs w:val="22"/>
                <w:lang w:val="en-GB"/>
              </w:rPr>
              <w:t>2</w:t>
            </w:r>
            <w:r w:rsidR="0059239D">
              <w:rPr>
                <w:rFonts w:asciiTheme="minorHAnsi" w:hAnsiTheme="minorHAnsi" w:cstheme="minorHAnsi"/>
                <w:b/>
                <w:sz w:val="24"/>
                <w:szCs w:val="22"/>
                <w:lang w:val="en-GB"/>
              </w:rPr>
              <w:t>0</w:t>
            </w:r>
          </w:p>
        </w:tc>
        <w:tc>
          <w:tcPr>
            <w:tcW w:w="7479" w:type="dxa"/>
          </w:tcPr>
          <w:p w14:paraId="51955919" w14:textId="77777777" w:rsidR="00C30067" w:rsidRPr="00F37D51" w:rsidRDefault="00C30067" w:rsidP="00AE3ED1">
            <w:pPr>
              <w:spacing w:after="120"/>
              <w:ind w:right="-142"/>
              <w:rPr>
                <w:rFonts w:asciiTheme="minorHAnsi" w:hAnsiTheme="minorHAnsi" w:cstheme="minorHAnsi"/>
                <w:sz w:val="24"/>
                <w:szCs w:val="22"/>
                <w:lang w:val="en-GB"/>
              </w:rPr>
            </w:pPr>
            <w:r>
              <w:rPr>
                <w:rFonts w:asciiTheme="minorHAnsi" w:hAnsiTheme="minorHAnsi" w:cstheme="minorHAnsi"/>
                <w:sz w:val="24"/>
                <w:szCs w:val="22"/>
                <w:lang w:val="en-GB"/>
              </w:rPr>
              <w:t>A</w:t>
            </w:r>
            <w:r w:rsidR="00DA108D">
              <w:rPr>
                <w:rFonts w:asciiTheme="minorHAnsi" w:hAnsiTheme="minorHAnsi" w:cstheme="minorHAnsi"/>
                <w:sz w:val="24"/>
                <w:szCs w:val="22"/>
                <w:lang w:val="en-GB"/>
              </w:rPr>
              <w:t xml:space="preserve">s part of the development of the </w:t>
            </w:r>
            <w:r w:rsidR="00BB340D">
              <w:rPr>
                <w:rFonts w:asciiTheme="minorHAnsi" w:hAnsiTheme="minorHAnsi" w:cstheme="minorHAnsi"/>
                <w:sz w:val="24"/>
                <w:szCs w:val="22"/>
                <w:lang w:val="en-GB"/>
              </w:rPr>
              <w:t xml:space="preserve">future national strategy for the retrieval and transplantation system, the </w:t>
            </w:r>
            <w:r w:rsidR="00BB340D">
              <w:rPr>
                <w:rFonts w:asciiTheme="minorHAnsi" w:hAnsiTheme="minorHAnsi" w:cstheme="minorHAnsi"/>
                <w:sz w:val="24"/>
                <w:szCs w:val="24"/>
                <w:lang w:val="en-GB"/>
              </w:rPr>
              <w:t xml:space="preserve">Australian Government </w:t>
            </w:r>
            <w:r w:rsidR="0084734A">
              <w:rPr>
                <w:rFonts w:asciiTheme="minorHAnsi" w:hAnsiTheme="minorHAnsi" w:cstheme="minorHAnsi"/>
                <w:sz w:val="24"/>
                <w:szCs w:val="24"/>
                <w:lang w:val="en-GB"/>
              </w:rPr>
              <w:t>working in partnership with states and territories</w:t>
            </w:r>
            <w:r w:rsidR="00BB340D">
              <w:rPr>
                <w:rFonts w:asciiTheme="minorHAnsi" w:hAnsiTheme="minorHAnsi" w:cstheme="minorHAnsi"/>
                <w:sz w:val="24"/>
                <w:szCs w:val="24"/>
                <w:lang w:val="en-GB"/>
              </w:rPr>
              <w:t xml:space="preserve"> should develop a </w:t>
            </w:r>
            <w:r w:rsidRPr="00F37D51">
              <w:rPr>
                <w:rFonts w:asciiTheme="minorHAnsi" w:hAnsiTheme="minorHAnsi" w:cstheme="minorHAnsi"/>
                <w:sz w:val="24"/>
                <w:szCs w:val="22"/>
                <w:lang w:val="en-GB"/>
              </w:rPr>
              <w:t xml:space="preserve">national </w:t>
            </w:r>
            <w:r>
              <w:rPr>
                <w:rFonts w:asciiTheme="minorHAnsi" w:hAnsiTheme="minorHAnsi" w:cstheme="minorHAnsi"/>
                <w:sz w:val="24"/>
                <w:szCs w:val="22"/>
                <w:lang w:val="en-GB"/>
              </w:rPr>
              <w:t>Aboriginal and Torres Strait Islander</w:t>
            </w:r>
            <w:r w:rsidRPr="00F37D51">
              <w:rPr>
                <w:rFonts w:asciiTheme="minorHAnsi" w:hAnsiTheme="minorHAnsi" w:cstheme="minorHAnsi"/>
                <w:sz w:val="24"/>
                <w:szCs w:val="22"/>
                <w:lang w:val="en-GB"/>
              </w:rPr>
              <w:t xml:space="preserve"> </w:t>
            </w:r>
            <w:r w:rsidR="006855D9">
              <w:rPr>
                <w:rFonts w:asciiTheme="minorHAnsi" w:hAnsiTheme="minorHAnsi" w:cstheme="minorHAnsi"/>
                <w:sz w:val="24"/>
                <w:szCs w:val="22"/>
                <w:lang w:val="en-GB"/>
              </w:rPr>
              <w:t xml:space="preserve">and </w:t>
            </w:r>
            <w:r w:rsidR="00A36192">
              <w:rPr>
                <w:rFonts w:asciiTheme="minorHAnsi" w:hAnsiTheme="minorHAnsi" w:cstheme="minorHAnsi"/>
                <w:sz w:val="24"/>
                <w:szCs w:val="22"/>
                <w:lang w:val="en-GB"/>
              </w:rPr>
              <w:t>c</w:t>
            </w:r>
            <w:r w:rsidR="006855D9">
              <w:rPr>
                <w:rFonts w:asciiTheme="minorHAnsi" w:hAnsiTheme="minorHAnsi" w:cstheme="minorHAnsi"/>
                <w:sz w:val="24"/>
                <w:szCs w:val="22"/>
                <w:lang w:val="en-GB"/>
              </w:rPr>
              <w:t xml:space="preserve">ulturally and </w:t>
            </w:r>
            <w:r w:rsidR="00A36192">
              <w:rPr>
                <w:rFonts w:asciiTheme="minorHAnsi" w:hAnsiTheme="minorHAnsi" w:cstheme="minorHAnsi"/>
                <w:sz w:val="24"/>
                <w:szCs w:val="22"/>
                <w:lang w:val="en-GB"/>
              </w:rPr>
              <w:t>l</w:t>
            </w:r>
            <w:r w:rsidR="006855D9">
              <w:rPr>
                <w:rFonts w:asciiTheme="minorHAnsi" w:hAnsiTheme="minorHAnsi" w:cstheme="minorHAnsi"/>
                <w:sz w:val="24"/>
                <w:szCs w:val="22"/>
                <w:lang w:val="en-GB"/>
              </w:rPr>
              <w:t xml:space="preserve">inguistically </w:t>
            </w:r>
            <w:r w:rsidR="00A36192">
              <w:rPr>
                <w:rFonts w:asciiTheme="minorHAnsi" w:hAnsiTheme="minorHAnsi" w:cstheme="minorHAnsi"/>
                <w:sz w:val="24"/>
                <w:szCs w:val="22"/>
                <w:lang w:val="en-GB"/>
              </w:rPr>
              <w:t>d</w:t>
            </w:r>
            <w:r w:rsidR="006855D9">
              <w:rPr>
                <w:rFonts w:asciiTheme="minorHAnsi" w:hAnsiTheme="minorHAnsi" w:cstheme="minorHAnsi"/>
                <w:sz w:val="24"/>
                <w:szCs w:val="22"/>
                <w:lang w:val="en-GB"/>
              </w:rPr>
              <w:t xml:space="preserve">iverse </w:t>
            </w:r>
            <w:r w:rsidR="000A6A33">
              <w:rPr>
                <w:rFonts w:asciiTheme="minorHAnsi" w:hAnsiTheme="minorHAnsi" w:cstheme="minorHAnsi"/>
                <w:sz w:val="24"/>
                <w:szCs w:val="22"/>
                <w:lang w:val="en-GB"/>
              </w:rPr>
              <w:t>population’s</w:t>
            </w:r>
            <w:r w:rsidR="006855D9">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 xml:space="preserve">organ donation strategy </w:t>
            </w:r>
            <w:r w:rsidR="000A6A33" w:rsidRPr="00F37D51">
              <w:rPr>
                <w:rFonts w:asciiTheme="minorHAnsi" w:hAnsiTheme="minorHAnsi" w:cstheme="minorHAnsi"/>
                <w:sz w:val="24"/>
                <w:szCs w:val="22"/>
                <w:lang w:val="en-GB"/>
              </w:rPr>
              <w:t>to improve donation rates</w:t>
            </w:r>
            <w:r w:rsidR="000A6A33">
              <w:rPr>
                <w:rFonts w:asciiTheme="minorHAnsi" w:hAnsiTheme="minorHAnsi" w:cstheme="minorHAnsi"/>
                <w:sz w:val="24"/>
                <w:szCs w:val="22"/>
                <w:lang w:val="en-GB"/>
              </w:rPr>
              <w:t xml:space="preserve"> in these groups. It should be </w:t>
            </w:r>
            <w:r>
              <w:rPr>
                <w:rFonts w:asciiTheme="minorHAnsi" w:hAnsiTheme="minorHAnsi" w:cstheme="minorHAnsi"/>
                <w:sz w:val="24"/>
                <w:szCs w:val="22"/>
                <w:lang w:val="en-GB"/>
              </w:rPr>
              <w:t>based on the findings from this Review</w:t>
            </w:r>
            <w:r w:rsidR="0084734A">
              <w:rPr>
                <w:rFonts w:asciiTheme="minorHAnsi" w:hAnsiTheme="minorHAnsi" w:cstheme="minorHAnsi"/>
                <w:sz w:val="24"/>
                <w:szCs w:val="22"/>
                <w:lang w:val="en-GB"/>
              </w:rPr>
              <w:t>,</w:t>
            </w:r>
            <w:r>
              <w:rPr>
                <w:rFonts w:asciiTheme="minorHAnsi" w:hAnsiTheme="minorHAnsi" w:cstheme="minorHAnsi"/>
                <w:sz w:val="24"/>
                <w:szCs w:val="22"/>
                <w:lang w:val="en-GB"/>
              </w:rPr>
              <w:t xml:space="preserve"> </w:t>
            </w:r>
            <w:r w:rsidR="00244F12">
              <w:rPr>
                <w:rFonts w:asciiTheme="minorHAnsi" w:hAnsiTheme="minorHAnsi" w:cstheme="minorHAnsi"/>
                <w:sz w:val="24"/>
                <w:szCs w:val="22"/>
                <w:lang w:val="en-GB"/>
              </w:rPr>
              <w:t>and the</w:t>
            </w:r>
            <w:r>
              <w:rPr>
                <w:rFonts w:asciiTheme="minorHAnsi" w:hAnsiTheme="minorHAnsi" w:cstheme="minorHAnsi"/>
                <w:sz w:val="24"/>
                <w:szCs w:val="22"/>
                <w:lang w:val="en-GB"/>
              </w:rPr>
              <w:t xml:space="preserve"> work of </w:t>
            </w:r>
            <w:r w:rsidR="000B07FB">
              <w:rPr>
                <w:rFonts w:asciiTheme="minorHAnsi" w:hAnsiTheme="minorHAnsi" w:cstheme="minorHAnsi"/>
                <w:sz w:val="24"/>
                <w:szCs w:val="22"/>
                <w:lang w:val="en-GB"/>
              </w:rPr>
              <w:t xml:space="preserve">the </w:t>
            </w:r>
            <w:r>
              <w:rPr>
                <w:rFonts w:asciiTheme="minorHAnsi" w:hAnsiTheme="minorHAnsi" w:cstheme="minorHAnsi"/>
                <w:sz w:val="24"/>
                <w:szCs w:val="22"/>
                <w:lang w:val="en-GB"/>
              </w:rPr>
              <w:t>TSANZ</w:t>
            </w:r>
            <w:r w:rsidR="008E5691">
              <w:rPr>
                <w:rFonts w:asciiTheme="minorHAnsi" w:hAnsiTheme="minorHAnsi" w:cstheme="minorHAnsi"/>
                <w:sz w:val="24"/>
                <w:szCs w:val="22"/>
                <w:lang w:val="en-GB"/>
              </w:rPr>
              <w:t xml:space="preserve"> </w:t>
            </w:r>
            <w:r w:rsidR="000A6A33">
              <w:rPr>
                <w:rFonts w:asciiTheme="minorHAnsi" w:hAnsiTheme="minorHAnsi" w:cstheme="minorHAnsi"/>
                <w:sz w:val="24"/>
                <w:szCs w:val="22"/>
                <w:lang w:val="en-GB"/>
              </w:rPr>
              <w:t>(</w:t>
            </w:r>
            <w:r w:rsidR="008E5691">
              <w:rPr>
                <w:rFonts w:asciiTheme="minorHAnsi" w:hAnsiTheme="minorHAnsi" w:cstheme="minorHAnsi"/>
                <w:sz w:val="24"/>
                <w:szCs w:val="22"/>
                <w:lang w:val="en-GB"/>
              </w:rPr>
              <w:t xml:space="preserve">the </w:t>
            </w:r>
            <w:r w:rsidR="008E5691" w:rsidRPr="0068318F">
              <w:rPr>
                <w:rFonts w:asciiTheme="minorHAnsi" w:hAnsiTheme="minorHAnsi" w:cstheme="minorHAnsi"/>
                <w:i/>
                <w:sz w:val="24"/>
                <w:szCs w:val="22"/>
                <w:lang w:val="en-GB"/>
              </w:rPr>
              <w:t>Improving access to and outcomes of kidney transplantation for Aboriginal and Torres Strait Islander people</w:t>
            </w:r>
            <w:r w:rsidR="008E5691">
              <w:rPr>
                <w:rFonts w:asciiTheme="minorHAnsi" w:hAnsiTheme="minorHAnsi" w:cstheme="minorHAnsi"/>
                <w:i/>
                <w:sz w:val="24"/>
                <w:szCs w:val="22"/>
                <w:lang w:val="en-GB"/>
              </w:rPr>
              <w:t xml:space="preserve"> </w:t>
            </w:r>
            <w:r w:rsidR="008E5691" w:rsidRPr="00EF2596">
              <w:rPr>
                <w:rFonts w:asciiTheme="minorHAnsi" w:hAnsiTheme="minorHAnsi" w:cstheme="minorHAnsi"/>
                <w:sz w:val="24"/>
                <w:szCs w:val="22"/>
                <w:lang w:val="en-GB"/>
              </w:rPr>
              <w:t>project</w:t>
            </w:r>
            <w:r w:rsidR="000A6A33">
              <w:rPr>
                <w:rFonts w:asciiTheme="minorHAnsi" w:hAnsiTheme="minorHAnsi" w:cstheme="minorHAnsi"/>
                <w:sz w:val="24"/>
                <w:szCs w:val="22"/>
                <w:lang w:val="en-GB"/>
              </w:rPr>
              <w:t>)</w:t>
            </w:r>
            <w:r>
              <w:rPr>
                <w:rFonts w:asciiTheme="minorHAnsi" w:hAnsiTheme="minorHAnsi" w:cstheme="minorHAnsi"/>
                <w:sz w:val="24"/>
                <w:szCs w:val="22"/>
                <w:lang w:val="en-GB"/>
              </w:rPr>
              <w:t xml:space="preserve">. The strategy should be developed </w:t>
            </w:r>
            <w:r w:rsidRPr="00F37D51">
              <w:rPr>
                <w:rFonts w:asciiTheme="minorHAnsi" w:hAnsiTheme="minorHAnsi" w:cstheme="minorHAnsi"/>
                <w:sz w:val="24"/>
                <w:szCs w:val="22"/>
                <w:lang w:val="en-GB"/>
              </w:rPr>
              <w:t xml:space="preserve">in collaboration with </w:t>
            </w:r>
            <w:r w:rsidR="000A6A33">
              <w:rPr>
                <w:rFonts w:asciiTheme="minorHAnsi" w:hAnsiTheme="minorHAnsi" w:cstheme="minorHAnsi"/>
                <w:sz w:val="24"/>
                <w:szCs w:val="22"/>
                <w:lang w:val="en-GB"/>
              </w:rPr>
              <w:t xml:space="preserve">the </w:t>
            </w:r>
            <w:r w:rsidRPr="00F37D51">
              <w:rPr>
                <w:rFonts w:asciiTheme="minorHAnsi" w:hAnsiTheme="minorHAnsi" w:cstheme="minorHAnsi"/>
                <w:sz w:val="24"/>
                <w:szCs w:val="22"/>
                <w:lang w:val="en-GB"/>
              </w:rPr>
              <w:t>N</w:t>
            </w:r>
            <w:r>
              <w:rPr>
                <w:rFonts w:asciiTheme="minorHAnsi" w:hAnsiTheme="minorHAnsi" w:cstheme="minorHAnsi"/>
                <w:sz w:val="24"/>
                <w:szCs w:val="22"/>
                <w:lang w:val="en-GB"/>
              </w:rPr>
              <w:t xml:space="preserve">ational </w:t>
            </w:r>
            <w:r w:rsidRPr="00F37D51">
              <w:rPr>
                <w:rFonts w:asciiTheme="minorHAnsi" w:hAnsiTheme="minorHAnsi" w:cstheme="minorHAnsi"/>
                <w:sz w:val="24"/>
                <w:szCs w:val="22"/>
                <w:lang w:val="en-GB"/>
              </w:rPr>
              <w:t>A</w:t>
            </w:r>
            <w:r>
              <w:rPr>
                <w:rFonts w:asciiTheme="minorHAnsi" w:hAnsiTheme="minorHAnsi" w:cstheme="minorHAnsi"/>
                <w:sz w:val="24"/>
                <w:szCs w:val="22"/>
                <w:lang w:val="en-GB"/>
              </w:rPr>
              <w:t xml:space="preserve">boriginal </w:t>
            </w:r>
            <w:r w:rsidRPr="00F37D51">
              <w:rPr>
                <w:rFonts w:asciiTheme="minorHAnsi" w:hAnsiTheme="minorHAnsi" w:cstheme="minorHAnsi"/>
                <w:sz w:val="24"/>
                <w:szCs w:val="22"/>
                <w:lang w:val="en-GB"/>
              </w:rPr>
              <w:t>C</w:t>
            </w:r>
            <w:r>
              <w:rPr>
                <w:rFonts w:asciiTheme="minorHAnsi" w:hAnsiTheme="minorHAnsi" w:cstheme="minorHAnsi"/>
                <w:sz w:val="24"/>
                <w:szCs w:val="22"/>
                <w:lang w:val="en-GB"/>
              </w:rPr>
              <w:t xml:space="preserve">ommunity </w:t>
            </w:r>
            <w:r w:rsidRPr="00F37D51">
              <w:rPr>
                <w:rFonts w:asciiTheme="minorHAnsi" w:hAnsiTheme="minorHAnsi" w:cstheme="minorHAnsi"/>
                <w:sz w:val="24"/>
                <w:szCs w:val="22"/>
                <w:lang w:val="en-GB"/>
              </w:rPr>
              <w:t>C</w:t>
            </w:r>
            <w:r>
              <w:rPr>
                <w:rFonts w:asciiTheme="minorHAnsi" w:hAnsiTheme="minorHAnsi" w:cstheme="minorHAnsi"/>
                <w:sz w:val="24"/>
                <w:szCs w:val="22"/>
                <w:lang w:val="en-GB"/>
              </w:rPr>
              <w:t xml:space="preserve">ontrolled </w:t>
            </w:r>
            <w:r w:rsidRPr="00F37D51">
              <w:rPr>
                <w:rFonts w:asciiTheme="minorHAnsi" w:hAnsiTheme="minorHAnsi" w:cstheme="minorHAnsi"/>
                <w:sz w:val="24"/>
                <w:szCs w:val="22"/>
                <w:lang w:val="en-GB"/>
              </w:rPr>
              <w:t>H</w:t>
            </w:r>
            <w:r>
              <w:rPr>
                <w:rFonts w:asciiTheme="minorHAnsi" w:hAnsiTheme="minorHAnsi" w:cstheme="minorHAnsi"/>
                <w:sz w:val="24"/>
                <w:szCs w:val="22"/>
                <w:lang w:val="en-GB"/>
              </w:rPr>
              <w:t xml:space="preserve">ealth </w:t>
            </w:r>
            <w:r w:rsidRPr="00F37D51">
              <w:rPr>
                <w:rFonts w:asciiTheme="minorHAnsi" w:hAnsiTheme="minorHAnsi" w:cstheme="minorHAnsi"/>
                <w:sz w:val="24"/>
                <w:szCs w:val="22"/>
                <w:lang w:val="en-GB"/>
              </w:rPr>
              <w:t>O</w:t>
            </w:r>
            <w:r>
              <w:rPr>
                <w:rFonts w:asciiTheme="minorHAnsi" w:hAnsiTheme="minorHAnsi" w:cstheme="minorHAnsi"/>
                <w:sz w:val="24"/>
                <w:szCs w:val="22"/>
                <w:lang w:val="en-GB"/>
              </w:rPr>
              <w:t>rganisation</w:t>
            </w:r>
            <w:r w:rsidR="000A6A33">
              <w:rPr>
                <w:rFonts w:asciiTheme="minorHAnsi" w:hAnsiTheme="minorHAnsi" w:cstheme="minorHAnsi"/>
                <w:sz w:val="24"/>
                <w:szCs w:val="22"/>
                <w:lang w:val="en-GB"/>
              </w:rPr>
              <w:t>,</w:t>
            </w:r>
            <w:r>
              <w:rPr>
                <w:rFonts w:asciiTheme="minorHAnsi" w:hAnsiTheme="minorHAnsi" w:cstheme="minorHAnsi"/>
                <w:sz w:val="24"/>
                <w:szCs w:val="22"/>
                <w:lang w:val="en-GB"/>
              </w:rPr>
              <w:t xml:space="preserve"> its affiliates</w:t>
            </w:r>
            <w:r w:rsidRPr="00F37D51">
              <w:rPr>
                <w:rFonts w:asciiTheme="minorHAnsi" w:hAnsiTheme="minorHAnsi" w:cstheme="minorHAnsi"/>
                <w:sz w:val="24"/>
                <w:szCs w:val="22"/>
                <w:lang w:val="en-GB"/>
              </w:rPr>
              <w:t xml:space="preserve"> and the states and territories.</w:t>
            </w:r>
          </w:p>
        </w:tc>
      </w:tr>
      <w:tr w:rsidR="008D682C" w:rsidRPr="00DC1007" w14:paraId="2A980F09" w14:textId="77777777" w:rsidTr="00AE3ED1">
        <w:tc>
          <w:tcPr>
            <w:tcW w:w="2268" w:type="dxa"/>
          </w:tcPr>
          <w:p w14:paraId="2148EB2E" w14:textId="77777777" w:rsidR="008D682C" w:rsidRPr="00F37D51" w:rsidRDefault="008D682C" w:rsidP="00AE3ED1">
            <w:pPr>
              <w:spacing w:after="120"/>
              <w:ind w:right="-321"/>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Pr>
                <w:rFonts w:asciiTheme="minorHAnsi" w:hAnsiTheme="minorHAnsi" w:cstheme="minorHAnsi"/>
                <w:b/>
                <w:sz w:val="24"/>
                <w:szCs w:val="22"/>
                <w:lang w:val="en-GB"/>
              </w:rPr>
              <w:t>2</w:t>
            </w:r>
            <w:r w:rsidR="0059239D">
              <w:rPr>
                <w:rFonts w:asciiTheme="minorHAnsi" w:hAnsiTheme="minorHAnsi" w:cstheme="minorHAnsi"/>
                <w:b/>
                <w:sz w:val="24"/>
                <w:szCs w:val="22"/>
                <w:lang w:val="en-GB"/>
              </w:rPr>
              <w:t>1</w:t>
            </w:r>
          </w:p>
        </w:tc>
        <w:tc>
          <w:tcPr>
            <w:tcW w:w="7479" w:type="dxa"/>
          </w:tcPr>
          <w:p w14:paraId="05731277" w14:textId="77777777" w:rsidR="008D682C" w:rsidRPr="00F37D51" w:rsidRDefault="008D682C" w:rsidP="00AE3ED1">
            <w:pPr>
              <w:spacing w:after="120"/>
              <w:ind w:right="-142"/>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An advisory group </w:t>
            </w:r>
            <w:r>
              <w:rPr>
                <w:rFonts w:asciiTheme="minorHAnsi" w:hAnsiTheme="minorHAnsi" w:cstheme="minorHAnsi"/>
                <w:sz w:val="24"/>
                <w:szCs w:val="22"/>
                <w:lang w:val="en-GB"/>
              </w:rPr>
              <w:t xml:space="preserve">of key stakeholders </w:t>
            </w:r>
            <w:r w:rsidRPr="00F37D51">
              <w:rPr>
                <w:rFonts w:asciiTheme="minorHAnsi" w:hAnsiTheme="minorHAnsi" w:cstheme="minorHAnsi"/>
                <w:sz w:val="24"/>
                <w:szCs w:val="22"/>
                <w:lang w:val="en-GB"/>
              </w:rPr>
              <w:t xml:space="preserve">should be established as part of the strategy </w:t>
            </w:r>
            <w:r w:rsidR="00BB340D">
              <w:rPr>
                <w:rFonts w:asciiTheme="minorHAnsi" w:hAnsiTheme="minorHAnsi" w:cstheme="minorHAnsi"/>
                <w:sz w:val="24"/>
                <w:szCs w:val="22"/>
                <w:lang w:val="en-GB"/>
              </w:rPr>
              <w:t xml:space="preserve">development </w:t>
            </w:r>
            <w:r w:rsidRPr="00F37D51">
              <w:rPr>
                <w:rFonts w:asciiTheme="minorHAnsi" w:hAnsiTheme="minorHAnsi" w:cstheme="minorHAnsi"/>
                <w:sz w:val="24"/>
                <w:szCs w:val="22"/>
                <w:lang w:val="en-GB"/>
              </w:rPr>
              <w:t>to provide oversight and input into Aboriginal and Torres Strait Islander issues</w:t>
            </w:r>
            <w:r w:rsidR="000A6A33">
              <w:rPr>
                <w:rFonts w:asciiTheme="minorHAnsi" w:hAnsiTheme="minorHAnsi" w:cstheme="minorHAnsi"/>
                <w:sz w:val="24"/>
                <w:szCs w:val="22"/>
                <w:lang w:val="en-GB"/>
              </w:rPr>
              <w:t xml:space="preserve"> relating to organ donation</w:t>
            </w:r>
            <w:r w:rsidRPr="00F37D51">
              <w:rPr>
                <w:rFonts w:asciiTheme="minorHAnsi" w:hAnsiTheme="minorHAnsi" w:cstheme="minorHAnsi"/>
                <w:sz w:val="24"/>
                <w:szCs w:val="22"/>
                <w:lang w:val="en-GB"/>
              </w:rPr>
              <w:t>.</w:t>
            </w:r>
          </w:p>
        </w:tc>
      </w:tr>
    </w:tbl>
    <w:p w14:paraId="2685A1C4" w14:textId="77777777" w:rsidR="00C30067" w:rsidRPr="00266A77" w:rsidRDefault="00C30067" w:rsidP="00C30067">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629" w:name="_Ref527625829"/>
      <w:r w:rsidRPr="00266A77">
        <w:rPr>
          <w:rFonts w:asciiTheme="minorHAnsi" w:hAnsiTheme="minorHAnsi" w:cstheme="minorHAnsi"/>
          <w:b w:val="0"/>
          <w:color w:val="7F7F7F" w:themeColor="text1" w:themeTint="80"/>
          <w:sz w:val="30"/>
          <w:szCs w:val="30"/>
        </w:rPr>
        <w:t xml:space="preserve">Donor </w:t>
      </w:r>
      <w:r>
        <w:rPr>
          <w:rFonts w:asciiTheme="minorHAnsi" w:hAnsiTheme="minorHAnsi" w:cstheme="minorHAnsi"/>
          <w:b w:val="0"/>
          <w:color w:val="7F7F7F" w:themeColor="text1" w:themeTint="80"/>
          <w:sz w:val="30"/>
          <w:szCs w:val="30"/>
        </w:rPr>
        <w:t>a</w:t>
      </w:r>
      <w:r w:rsidRPr="00266A77">
        <w:rPr>
          <w:rFonts w:asciiTheme="minorHAnsi" w:hAnsiTheme="minorHAnsi" w:cstheme="minorHAnsi"/>
          <w:b w:val="0"/>
          <w:color w:val="7F7F7F" w:themeColor="text1" w:themeTint="80"/>
          <w:sz w:val="30"/>
          <w:szCs w:val="30"/>
        </w:rPr>
        <w:t>ssessment</w:t>
      </w:r>
      <w:r>
        <w:rPr>
          <w:rFonts w:asciiTheme="minorHAnsi" w:hAnsiTheme="minorHAnsi" w:cstheme="minorHAnsi"/>
          <w:b w:val="0"/>
          <w:color w:val="7F7F7F" w:themeColor="text1" w:themeTint="80"/>
          <w:sz w:val="30"/>
          <w:szCs w:val="30"/>
        </w:rPr>
        <w:t xml:space="preserve"> and donated organ acceptance</w:t>
      </w:r>
      <w:bookmarkEnd w:id="629"/>
    </w:p>
    <w:p w14:paraId="6F9B9958" w14:textId="77777777" w:rsidR="00C30067" w:rsidRPr="004938CA" w:rsidRDefault="00C30067" w:rsidP="00C30067">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Discussion of findings</w:t>
      </w:r>
    </w:p>
    <w:p w14:paraId="3F56A733" w14:textId="0427B01E" w:rsidR="00C30067" w:rsidRDefault="00C30067" w:rsidP="00C30067">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In order to increase the number of donated organs, advancement of </w:t>
      </w:r>
      <w:r w:rsidRPr="00F37D51">
        <w:rPr>
          <w:rFonts w:asciiTheme="minorHAnsi" w:hAnsiTheme="minorHAnsi" w:cstheme="minorHAnsi"/>
          <w:sz w:val="24"/>
          <w:szCs w:val="22"/>
          <w:lang w:val="en-GB"/>
        </w:rPr>
        <w:t>techniques, technology and care</w:t>
      </w:r>
      <w:r>
        <w:rPr>
          <w:rFonts w:asciiTheme="minorHAnsi" w:hAnsiTheme="minorHAnsi" w:cstheme="minorHAnsi"/>
          <w:sz w:val="24"/>
          <w:szCs w:val="22"/>
          <w:lang w:val="en-GB"/>
        </w:rPr>
        <w:t xml:space="preserve"> has been a key feature of organ donation reform internationally. Specifically, in the achievement of 40 dpmp, Spain have</w:t>
      </w:r>
      <w:r w:rsidR="000734A7">
        <w:rPr>
          <w:rFonts w:asciiTheme="minorHAnsi" w:hAnsiTheme="minorHAnsi" w:cstheme="minorHAnsi"/>
          <w:sz w:val="24"/>
          <w:szCs w:val="22"/>
          <w:lang w:val="en-GB"/>
        </w:rPr>
        <w:t>:</w:t>
      </w:r>
      <w:r>
        <w:rPr>
          <w:rFonts w:asciiTheme="minorHAnsi" w:hAnsiTheme="minorHAnsi" w:cstheme="minorHAnsi"/>
          <w:sz w:val="24"/>
          <w:szCs w:val="22"/>
          <w:lang w:val="en-GB"/>
        </w:rPr>
        <w:t xml:space="preserve"> </w:t>
      </w:r>
      <w:r w:rsidR="000734A7">
        <w:rPr>
          <w:rFonts w:asciiTheme="minorHAnsi" w:hAnsiTheme="minorHAnsi" w:cstheme="minorHAnsi"/>
          <w:sz w:val="24"/>
          <w:szCs w:val="22"/>
          <w:lang w:val="en-GB"/>
        </w:rPr>
        <w:t xml:space="preserve">(1) </w:t>
      </w:r>
      <w:r>
        <w:rPr>
          <w:rFonts w:asciiTheme="minorHAnsi" w:hAnsiTheme="minorHAnsi" w:cstheme="minorHAnsi"/>
          <w:sz w:val="24"/>
          <w:szCs w:val="22"/>
          <w:lang w:val="en-GB"/>
        </w:rPr>
        <w:t xml:space="preserve">promoted </w:t>
      </w:r>
      <w:r w:rsidRPr="00F623FF">
        <w:rPr>
          <w:rFonts w:asciiTheme="minorHAnsi" w:hAnsiTheme="minorHAnsi" w:cstheme="minorHAnsi"/>
          <w:sz w:val="24"/>
          <w:szCs w:val="22"/>
          <w:lang w:val="en-GB"/>
        </w:rPr>
        <w:t>the early identiﬁcation</w:t>
      </w:r>
      <w:r>
        <w:rPr>
          <w:rFonts w:asciiTheme="minorHAnsi" w:hAnsiTheme="minorHAnsi" w:cstheme="minorHAnsi"/>
          <w:sz w:val="24"/>
          <w:szCs w:val="22"/>
          <w:lang w:val="en-GB"/>
        </w:rPr>
        <w:t xml:space="preserve"> and referral of possible organ </w:t>
      </w:r>
      <w:r w:rsidRPr="00F623FF">
        <w:rPr>
          <w:rFonts w:asciiTheme="minorHAnsi" w:hAnsiTheme="minorHAnsi" w:cstheme="minorHAnsi"/>
          <w:sz w:val="24"/>
          <w:szCs w:val="22"/>
          <w:lang w:val="en-GB"/>
        </w:rPr>
        <w:t>donors from outside of th</w:t>
      </w:r>
      <w:r>
        <w:rPr>
          <w:rFonts w:asciiTheme="minorHAnsi" w:hAnsiTheme="minorHAnsi" w:cstheme="minorHAnsi"/>
          <w:sz w:val="24"/>
          <w:szCs w:val="22"/>
          <w:lang w:val="en-GB"/>
        </w:rPr>
        <w:t>e ICU to consider elective non-</w:t>
      </w:r>
      <w:r w:rsidRPr="00F623FF">
        <w:rPr>
          <w:rFonts w:asciiTheme="minorHAnsi" w:hAnsiTheme="minorHAnsi" w:cstheme="minorHAnsi"/>
          <w:sz w:val="24"/>
          <w:szCs w:val="22"/>
          <w:lang w:val="en-GB"/>
        </w:rPr>
        <w:t>therapeutic intensive car</w:t>
      </w:r>
      <w:r>
        <w:rPr>
          <w:rFonts w:asciiTheme="minorHAnsi" w:hAnsiTheme="minorHAnsi" w:cstheme="minorHAnsi"/>
          <w:sz w:val="24"/>
          <w:szCs w:val="22"/>
          <w:lang w:val="en-GB"/>
        </w:rPr>
        <w:t xml:space="preserve">e and incorporate the option of </w:t>
      </w:r>
      <w:r w:rsidRPr="00F623FF">
        <w:rPr>
          <w:rFonts w:asciiTheme="minorHAnsi" w:hAnsiTheme="minorHAnsi" w:cstheme="minorHAnsi"/>
          <w:sz w:val="24"/>
          <w:szCs w:val="22"/>
          <w:lang w:val="en-GB"/>
        </w:rPr>
        <w:t>organ donation into end-of-li</w:t>
      </w:r>
      <w:r>
        <w:rPr>
          <w:rFonts w:asciiTheme="minorHAnsi" w:hAnsiTheme="minorHAnsi" w:cstheme="minorHAnsi"/>
          <w:sz w:val="24"/>
          <w:szCs w:val="22"/>
          <w:lang w:val="en-GB"/>
        </w:rPr>
        <w:t xml:space="preserve">fe care; </w:t>
      </w:r>
      <w:r w:rsidR="000734A7">
        <w:rPr>
          <w:rFonts w:asciiTheme="minorHAnsi" w:hAnsiTheme="minorHAnsi" w:cstheme="minorHAnsi"/>
          <w:sz w:val="24"/>
          <w:szCs w:val="22"/>
          <w:lang w:val="en-GB"/>
        </w:rPr>
        <w:t xml:space="preserve">(2) </w:t>
      </w:r>
      <w:r>
        <w:rPr>
          <w:rFonts w:asciiTheme="minorHAnsi" w:hAnsiTheme="minorHAnsi" w:cstheme="minorHAnsi"/>
          <w:sz w:val="24"/>
          <w:szCs w:val="22"/>
          <w:lang w:val="en-GB"/>
        </w:rPr>
        <w:t xml:space="preserve">fostered the use of </w:t>
      </w:r>
      <w:r w:rsidRPr="00F623FF">
        <w:rPr>
          <w:rFonts w:asciiTheme="minorHAnsi" w:hAnsiTheme="minorHAnsi" w:cstheme="minorHAnsi"/>
          <w:sz w:val="24"/>
          <w:szCs w:val="22"/>
          <w:lang w:val="en-GB"/>
        </w:rPr>
        <w:t>expanded and nonstandard</w:t>
      </w:r>
      <w:r>
        <w:rPr>
          <w:rFonts w:asciiTheme="minorHAnsi" w:hAnsiTheme="minorHAnsi" w:cstheme="minorHAnsi"/>
          <w:sz w:val="24"/>
          <w:szCs w:val="22"/>
          <w:lang w:val="en-GB"/>
        </w:rPr>
        <w:t xml:space="preserve"> risk donors; and </w:t>
      </w:r>
      <w:r w:rsidR="000734A7">
        <w:rPr>
          <w:rFonts w:asciiTheme="minorHAnsi" w:hAnsiTheme="minorHAnsi" w:cstheme="minorHAnsi"/>
          <w:sz w:val="24"/>
          <w:szCs w:val="22"/>
          <w:lang w:val="en-GB"/>
        </w:rPr>
        <w:t xml:space="preserve">(3) </w:t>
      </w:r>
      <w:r>
        <w:rPr>
          <w:rFonts w:asciiTheme="minorHAnsi" w:hAnsiTheme="minorHAnsi" w:cstheme="minorHAnsi"/>
          <w:sz w:val="24"/>
          <w:szCs w:val="22"/>
          <w:lang w:val="en-GB"/>
        </w:rPr>
        <w:t xml:space="preserve">developed </w:t>
      </w:r>
      <w:r w:rsidRPr="00F623FF">
        <w:rPr>
          <w:rFonts w:asciiTheme="minorHAnsi" w:hAnsiTheme="minorHAnsi" w:cstheme="minorHAnsi"/>
          <w:sz w:val="24"/>
          <w:szCs w:val="22"/>
          <w:lang w:val="en-GB"/>
        </w:rPr>
        <w:t>the framework for the practice of DCD.</w:t>
      </w:r>
      <w:r>
        <w:rPr>
          <w:rStyle w:val="FootnoteReference"/>
          <w:rFonts w:cstheme="minorHAnsi"/>
          <w:lang w:val="en-GB"/>
        </w:rPr>
        <w:footnoteReference w:id="123"/>
      </w:r>
      <w:r>
        <w:rPr>
          <w:rFonts w:asciiTheme="minorHAnsi" w:hAnsiTheme="minorHAnsi" w:cstheme="minorHAnsi"/>
          <w:sz w:val="24"/>
          <w:szCs w:val="22"/>
          <w:lang w:val="en-GB"/>
        </w:rPr>
        <w:t xml:space="preserve"> These advancements have resulted in the expansion of the potential donor pool leading to an increase of donations overall. </w:t>
      </w:r>
    </w:p>
    <w:p w14:paraId="7A592E75" w14:textId="77777777" w:rsidR="00C30067" w:rsidRDefault="00C30067" w:rsidP="00C30067">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The Review found that improvement in Australia’s organ donation performance has been impacted by techniques that optimise the use of expanded and nonstandard risk donors and improve </w:t>
      </w:r>
      <w:r w:rsidR="00092158">
        <w:rPr>
          <w:rFonts w:asciiTheme="minorHAnsi" w:hAnsiTheme="minorHAnsi" w:cstheme="minorHAnsi"/>
          <w:sz w:val="24"/>
          <w:szCs w:val="22"/>
          <w:lang w:val="en-GB"/>
        </w:rPr>
        <w:t>transplantation outcomes</w:t>
      </w:r>
      <w:r>
        <w:rPr>
          <w:rFonts w:asciiTheme="minorHAnsi" w:hAnsiTheme="minorHAnsi" w:cstheme="minorHAnsi"/>
          <w:sz w:val="24"/>
          <w:szCs w:val="22"/>
          <w:lang w:val="en-GB"/>
        </w:rPr>
        <w:t xml:space="preserve"> as well as improved practices in the identification of potential donors (DCD and DBD). However, the </w:t>
      </w:r>
      <w:r w:rsidR="00E632AF">
        <w:rPr>
          <w:rFonts w:asciiTheme="minorHAnsi" w:hAnsiTheme="minorHAnsi" w:cstheme="minorHAnsi"/>
          <w:sz w:val="24"/>
          <w:szCs w:val="22"/>
          <w:lang w:val="en-GB"/>
        </w:rPr>
        <w:t>R</w:t>
      </w:r>
      <w:r>
        <w:rPr>
          <w:rFonts w:asciiTheme="minorHAnsi" w:hAnsiTheme="minorHAnsi" w:cstheme="minorHAnsi"/>
          <w:sz w:val="24"/>
          <w:szCs w:val="22"/>
          <w:lang w:val="en-GB"/>
        </w:rPr>
        <w:t xml:space="preserve">eview found that practices were not uniform across Australia. </w:t>
      </w:r>
    </w:p>
    <w:p w14:paraId="4A584407" w14:textId="77777777" w:rsidR="00C30067" w:rsidRDefault="003259BB" w:rsidP="00C30067">
      <w:pPr>
        <w:spacing w:after="120"/>
        <w:rPr>
          <w:rFonts w:asciiTheme="minorHAnsi" w:hAnsiTheme="minorHAnsi" w:cstheme="minorHAnsi"/>
          <w:sz w:val="24"/>
          <w:szCs w:val="22"/>
          <w:lang w:val="en-GB"/>
        </w:rPr>
      </w:pPr>
      <w:r>
        <w:rPr>
          <w:rFonts w:asciiTheme="minorHAnsi" w:hAnsiTheme="minorHAnsi" w:cstheme="minorHAnsi"/>
          <w:sz w:val="24"/>
          <w:szCs w:val="22"/>
          <w:lang w:val="en-GB"/>
        </w:rPr>
        <w:t>As discussed in S</w:t>
      </w:r>
      <w:r w:rsidR="00C30067">
        <w:rPr>
          <w:rFonts w:asciiTheme="minorHAnsi" w:hAnsiTheme="minorHAnsi" w:cstheme="minorHAnsi"/>
          <w:sz w:val="24"/>
          <w:szCs w:val="22"/>
          <w:lang w:val="en-GB"/>
        </w:rPr>
        <w:t xml:space="preserve">ection </w:t>
      </w:r>
      <w:r>
        <w:rPr>
          <w:rFonts w:asciiTheme="minorHAnsi" w:hAnsiTheme="minorHAnsi" w:cstheme="minorHAnsi"/>
          <w:sz w:val="24"/>
          <w:szCs w:val="22"/>
          <w:lang w:val="en-GB"/>
        </w:rPr>
        <w:t>6.2</w:t>
      </w:r>
      <w:r w:rsidR="00C30067">
        <w:rPr>
          <w:rFonts w:asciiTheme="minorHAnsi" w:hAnsiTheme="minorHAnsi" w:cstheme="minorHAnsi"/>
          <w:sz w:val="24"/>
          <w:szCs w:val="22"/>
          <w:lang w:val="en-GB"/>
        </w:rPr>
        <w:t xml:space="preserve">.1, </w:t>
      </w:r>
      <w:r w:rsidR="00C30067" w:rsidRPr="00F37D51">
        <w:rPr>
          <w:rFonts w:asciiTheme="minorHAnsi" w:hAnsiTheme="minorHAnsi" w:cstheme="minorHAnsi"/>
          <w:sz w:val="24"/>
          <w:szCs w:val="22"/>
          <w:lang w:val="en-GB"/>
        </w:rPr>
        <w:t>Aust</w:t>
      </w:r>
      <w:r w:rsidR="00C30067">
        <w:rPr>
          <w:rFonts w:asciiTheme="minorHAnsi" w:hAnsiTheme="minorHAnsi" w:cstheme="minorHAnsi"/>
          <w:sz w:val="24"/>
          <w:szCs w:val="22"/>
          <w:lang w:val="en-GB"/>
        </w:rPr>
        <w:t>ralia’s donation rate has continued to</w:t>
      </w:r>
      <w:r w:rsidR="00C30067" w:rsidRPr="00F37D51">
        <w:rPr>
          <w:rFonts w:asciiTheme="minorHAnsi" w:hAnsiTheme="minorHAnsi" w:cstheme="minorHAnsi"/>
          <w:sz w:val="24"/>
          <w:szCs w:val="22"/>
          <w:lang w:val="en-GB"/>
        </w:rPr>
        <w:t xml:space="preserve"> improve</w:t>
      </w:r>
      <w:r w:rsidR="00C30067">
        <w:rPr>
          <w:rFonts w:asciiTheme="minorHAnsi" w:hAnsiTheme="minorHAnsi" w:cstheme="minorHAnsi"/>
          <w:sz w:val="24"/>
          <w:szCs w:val="22"/>
          <w:lang w:val="en-GB"/>
        </w:rPr>
        <w:t xml:space="preserve"> since the 2015 Review with 510 deceased organ donors in 2017</w:t>
      </w:r>
      <w:r w:rsidR="00C30067" w:rsidRPr="00F37D51">
        <w:rPr>
          <w:rFonts w:asciiTheme="minorHAnsi" w:hAnsiTheme="minorHAnsi" w:cstheme="minorHAnsi"/>
          <w:sz w:val="24"/>
          <w:szCs w:val="22"/>
          <w:lang w:val="en-GB"/>
        </w:rPr>
        <w:t xml:space="preserve">, </w:t>
      </w:r>
      <w:r w:rsidR="00C30067" w:rsidRPr="00A32088">
        <w:rPr>
          <w:rFonts w:asciiTheme="minorHAnsi" w:hAnsiTheme="minorHAnsi" w:cstheme="minorHAnsi"/>
          <w:sz w:val="24"/>
          <w:szCs w:val="22"/>
          <w:lang w:val="en-GB"/>
        </w:rPr>
        <w:t>representing an increase of 17 per cent since 2015.</w:t>
      </w:r>
      <w:r w:rsidR="00C30067" w:rsidRPr="00A32088">
        <w:rPr>
          <w:rStyle w:val="FootnoteReference"/>
          <w:rFonts w:asciiTheme="minorHAnsi" w:hAnsiTheme="minorHAnsi" w:cstheme="minorHAnsi"/>
          <w:sz w:val="20"/>
          <w:lang w:val="en-GB"/>
        </w:rPr>
        <w:footnoteReference w:id="124"/>
      </w:r>
      <w:r w:rsidR="00C30067" w:rsidRPr="00A32088">
        <w:rPr>
          <w:rFonts w:asciiTheme="minorHAnsi" w:hAnsiTheme="minorHAnsi" w:cstheme="minorHAnsi"/>
          <w:sz w:val="24"/>
          <w:szCs w:val="22"/>
          <w:lang w:val="en-GB"/>
        </w:rPr>
        <w:t xml:space="preserve"> This was found to be a direct impact of the extended consideration of </w:t>
      </w:r>
      <w:r w:rsidR="00C30067" w:rsidRPr="004938CA">
        <w:rPr>
          <w:rFonts w:asciiTheme="minorHAnsi" w:hAnsiTheme="minorHAnsi" w:cstheme="minorHAnsi"/>
          <w:sz w:val="24"/>
          <w:szCs w:val="22"/>
          <w:lang w:val="en-GB"/>
        </w:rPr>
        <w:t>organs that were previously considered not suitable for donation. This has come about from improved techniques to optimise the use of organs. Further, donation techniques and practices have specialised enabling the use of organs that were considered too old or lower quality. Expanding the donor pool naturally results in a higher number of donations.</w:t>
      </w:r>
    </w:p>
    <w:p w14:paraId="37368E65" w14:textId="4AF8D7C0" w:rsidR="002F3B2D" w:rsidRDefault="00B63197" w:rsidP="00777678">
      <w:pPr>
        <w:pStyle w:val="Caption"/>
        <w:keepNext/>
        <w:widowControl/>
        <w:spacing w:after="120"/>
        <w:rPr>
          <w:rFonts w:asciiTheme="minorHAnsi" w:hAnsiTheme="minorHAnsi" w:cstheme="minorHAnsi"/>
          <w:b w:val="0"/>
          <w:bCs w:val="0"/>
          <w:color w:val="auto"/>
          <w:sz w:val="24"/>
          <w:szCs w:val="22"/>
          <w:lang w:val="en-GB"/>
        </w:rPr>
      </w:pPr>
      <w:r w:rsidRPr="003E6F1F">
        <w:rPr>
          <w:rFonts w:asciiTheme="minorHAnsi" w:hAnsiTheme="minorHAnsi" w:cstheme="minorHAnsi"/>
          <w:b w:val="0"/>
          <w:bCs w:val="0"/>
          <w:color w:val="auto"/>
          <w:sz w:val="24"/>
          <w:szCs w:val="22"/>
          <w:lang w:val="en-GB"/>
        </w:rPr>
        <w:t>While organ donation has increased as a whole, the Review found that there is variability in the assessment and acceptance of organs for donatio</w:t>
      </w:r>
      <w:r w:rsidRPr="00B63197">
        <w:rPr>
          <w:rFonts w:asciiTheme="minorHAnsi" w:hAnsiTheme="minorHAnsi" w:cstheme="minorHAnsi"/>
          <w:b w:val="0"/>
          <w:bCs w:val="0"/>
          <w:color w:val="auto"/>
          <w:sz w:val="24"/>
          <w:szCs w:val="22"/>
          <w:lang w:val="en-GB"/>
        </w:rPr>
        <w:t xml:space="preserve">n between jurisdictions. </w:t>
      </w:r>
      <w:r w:rsidR="000A4180">
        <w:rPr>
          <w:rFonts w:asciiTheme="minorHAnsi" w:hAnsiTheme="minorHAnsi" w:cstheme="minorHAnsi"/>
          <w:b w:val="0"/>
          <w:bCs w:val="0"/>
          <w:color w:val="auto"/>
          <w:sz w:val="24"/>
          <w:szCs w:val="22"/>
          <w:lang w:val="en-GB"/>
        </w:rPr>
        <w:t xml:space="preserve">Table 18 </w:t>
      </w:r>
      <w:r w:rsidRPr="003E6F1F">
        <w:rPr>
          <w:rFonts w:asciiTheme="minorHAnsi" w:hAnsiTheme="minorHAnsi" w:cstheme="minorHAnsi"/>
          <w:b w:val="0"/>
          <w:bCs w:val="0"/>
          <w:color w:val="auto"/>
          <w:sz w:val="24"/>
          <w:szCs w:val="22"/>
          <w:lang w:val="en-GB"/>
        </w:rPr>
        <w:t>highlights data from the 2017 DonateLife Audit, which demonstrates the jurisdictional variation in the proportion</w:t>
      </w:r>
      <w:r w:rsidR="002F3B2D">
        <w:rPr>
          <w:rFonts w:asciiTheme="minorHAnsi" w:hAnsiTheme="minorHAnsi" w:cstheme="minorHAnsi"/>
          <w:b w:val="0"/>
          <w:bCs w:val="0"/>
          <w:color w:val="auto"/>
          <w:sz w:val="24"/>
          <w:szCs w:val="22"/>
          <w:lang w:val="en-GB"/>
        </w:rPr>
        <w:t xml:space="preserve"> </w:t>
      </w:r>
      <w:r w:rsidRPr="003E6F1F">
        <w:rPr>
          <w:rFonts w:asciiTheme="minorHAnsi" w:hAnsiTheme="minorHAnsi" w:cstheme="minorHAnsi"/>
          <w:b w:val="0"/>
          <w:bCs w:val="0"/>
          <w:color w:val="auto"/>
          <w:sz w:val="24"/>
          <w:szCs w:val="22"/>
          <w:lang w:val="en-GB"/>
        </w:rPr>
        <w:t xml:space="preserve">of cases where potential donors were assessed as not medically suitable for donation prior to </w:t>
      </w:r>
      <w:bookmarkStart w:id="630" w:name="_Ref527557579"/>
      <w:r w:rsidR="002F3B2D">
        <w:rPr>
          <w:rFonts w:asciiTheme="minorHAnsi" w:hAnsiTheme="minorHAnsi" w:cstheme="minorHAnsi"/>
          <w:b w:val="0"/>
          <w:bCs w:val="0"/>
          <w:color w:val="auto"/>
          <w:sz w:val="24"/>
          <w:szCs w:val="22"/>
          <w:lang w:val="en-GB"/>
        </w:rPr>
        <w:t xml:space="preserve">family discussion occurring. </w:t>
      </w:r>
    </w:p>
    <w:p w14:paraId="2CC9EF51" w14:textId="77777777" w:rsidR="00C30067" w:rsidRPr="002F3B2D" w:rsidRDefault="00C30067" w:rsidP="00C30067">
      <w:pPr>
        <w:pStyle w:val="Caption"/>
        <w:keepNext/>
        <w:widowControl/>
        <w:spacing w:after="120"/>
        <w:rPr>
          <w:rFonts w:asciiTheme="minorHAnsi" w:hAnsiTheme="minorHAnsi" w:cstheme="minorHAnsi"/>
          <w:sz w:val="24"/>
          <w:szCs w:val="22"/>
          <w:lang w:val="en-GB"/>
        </w:rPr>
      </w:pPr>
      <w:bookmarkStart w:id="631" w:name="_Ref531945899"/>
      <w:r w:rsidRPr="005B73A9">
        <w:rPr>
          <w:rFonts w:asciiTheme="minorHAnsi" w:hAnsiTheme="minorHAnsi" w:cstheme="minorHAnsi"/>
          <w:b w:val="0"/>
          <w:color w:val="808080"/>
          <w:sz w:val="20"/>
        </w:rPr>
        <w:t xml:space="preserve">Table </w:t>
      </w:r>
      <w:r w:rsidRPr="00BA0450">
        <w:rPr>
          <w:rFonts w:asciiTheme="minorHAnsi" w:hAnsiTheme="minorHAnsi" w:cstheme="minorHAnsi"/>
          <w:b w:val="0"/>
          <w:color w:val="808080"/>
          <w:sz w:val="20"/>
        </w:rPr>
        <w:fldChar w:fldCharType="begin"/>
      </w:r>
      <w:r w:rsidRPr="009F53C5">
        <w:rPr>
          <w:rFonts w:asciiTheme="minorHAnsi" w:hAnsiTheme="minorHAnsi" w:cstheme="minorHAnsi"/>
          <w:b w:val="0"/>
          <w:color w:val="808080"/>
          <w:sz w:val="20"/>
        </w:rPr>
        <w:instrText xml:space="preserve"> SEQ Table \* ARABIC </w:instrText>
      </w:r>
      <w:r w:rsidRPr="00BA0450">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18</w:t>
      </w:r>
      <w:r w:rsidRPr="00BA0450">
        <w:rPr>
          <w:rFonts w:asciiTheme="minorHAnsi" w:hAnsiTheme="minorHAnsi" w:cstheme="minorHAnsi"/>
          <w:b w:val="0"/>
          <w:color w:val="808080"/>
          <w:sz w:val="20"/>
        </w:rPr>
        <w:fldChar w:fldCharType="end"/>
      </w:r>
      <w:bookmarkEnd w:id="630"/>
      <w:bookmarkEnd w:id="631"/>
      <w:r w:rsidRPr="009F53C5">
        <w:rPr>
          <w:rFonts w:asciiTheme="minorHAnsi" w:hAnsiTheme="minorHAnsi" w:cstheme="minorHAnsi"/>
          <w:b w:val="0"/>
          <w:color w:val="808080"/>
          <w:sz w:val="20"/>
        </w:rPr>
        <w:t xml:space="preserve">: </w:t>
      </w:r>
      <w:r w:rsidR="00B63197">
        <w:rPr>
          <w:rFonts w:asciiTheme="minorHAnsi" w:hAnsiTheme="minorHAnsi" w:cstheme="minorHAnsi"/>
          <w:b w:val="0"/>
          <w:color w:val="808080"/>
          <w:sz w:val="20"/>
        </w:rPr>
        <w:t>Proportion and number of</w:t>
      </w:r>
      <w:r w:rsidR="00B63197" w:rsidRPr="009F53C5">
        <w:rPr>
          <w:rFonts w:asciiTheme="minorHAnsi" w:hAnsiTheme="minorHAnsi" w:cstheme="minorHAnsi"/>
          <w:b w:val="0"/>
          <w:color w:val="808080"/>
          <w:sz w:val="20"/>
        </w:rPr>
        <w:t xml:space="preserve"> </w:t>
      </w:r>
      <w:r w:rsidRPr="009F53C5">
        <w:rPr>
          <w:rFonts w:asciiTheme="minorHAnsi" w:hAnsiTheme="minorHAnsi" w:cstheme="minorHAnsi"/>
          <w:b w:val="0"/>
          <w:color w:val="808080"/>
          <w:sz w:val="20"/>
        </w:rPr>
        <w:t xml:space="preserve">potential donors that </w:t>
      </w:r>
      <w:r w:rsidR="00B63197">
        <w:rPr>
          <w:rFonts w:asciiTheme="minorHAnsi" w:hAnsiTheme="minorHAnsi" w:cstheme="minorHAnsi"/>
          <w:b w:val="0"/>
          <w:color w:val="808080"/>
          <w:sz w:val="20"/>
        </w:rPr>
        <w:t>did not proceed</w:t>
      </w:r>
      <w:r w:rsidR="00B63197" w:rsidRPr="009F53C5">
        <w:rPr>
          <w:rFonts w:asciiTheme="minorHAnsi" w:hAnsiTheme="minorHAnsi" w:cstheme="minorHAnsi"/>
          <w:b w:val="0"/>
          <w:color w:val="808080"/>
          <w:sz w:val="20"/>
        </w:rPr>
        <w:t xml:space="preserve"> </w:t>
      </w:r>
      <w:r w:rsidRPr="009F53C5">
        <w:rPr>
          <w:rFonts w:asciiTheme="minorHAnsi" w:hAnsiTheme="minorHAnsi" w:cstheme="minorHAnsi"/>
          <w:b w:val="0"/>
          <w:color w:val="808080"/>
          <w:sz w:val="20"/>
        </w:rPr>
        <w:t xml:space="preserve">to family discussions </w:t>
      </w:r>
      <w:r w:rsidR="00B63197">
        <w:rPr>
          <w:rFonts w:asciiTheme="minorHAnsi" w:hAnsiTheme="minorHAnsi" w:cstheme="minorHAnsi"/>
          <w:b w:val="0"/>
          <w:color w:val="808080"/>
          <w:sz w:val="20"/>
        </w:rPr>
        <w:t xml:space="preserve">as assessed </w:t>
      </w:r>
      <w:r w:rsidR="007A0C20" w:rsidRPr="009F53C5">
        <w:rPr>
          <w:rFonts w:asciiTheme="minorHAnsi" w:hAnsiTheme="minorHAnsi" w:cstheme="minorHAnsi"/>
          <w:b w:val="0"/>
          <w:color w:val="808080"/>
          <w:sz w:val="20"/>
        </w:rPr>
        <w:t>not medically suitable, SOURCE</w:t>
      </w:r>
      <w:r w:rsidRPr="009F53C5">
        <w:rPr>
          <w:rFonts w:asciiTheme="minorHAnsi" w:hAnsiTheme="minorHAnsi" w:cstheme="minorHAnsi"/>
          <w:b w:val="0"/>
          <w:color w:val="808080"/>
          <w:sz w:val="20"/>
        </w:rPr>
        <w:t xml:space="preserve">: </w:t>
      </w:r>
      <w:r w:rsidR="00347EB9">
        <w:rPr>
          <w:rFonts w:asciiTheme="minorHAnsi" w:hAnsiTheme="minorHAnsi" w:cstheme="minorHAnsi"/>
          <w:b w:val="0"/>
          <w:color w:val="808080"/>
          <w:sz w:val="20"/>
        </w:rPr>
        <w:t>The OTA</w:t>
      </w:r>
      <w:r w:rsidR="00B63197">
        <w:rPr>
          <w:rStyle w:val="FootnoteReference"/>
          <w:rFonts w:cstheme="minorHAnsi"/>
          <w:b w:val="0"/>
          <w:color w:val="808080"/>
        </w:rPr>
        <w:footnoteReference w:id="125"/>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196"/>
        <w:gridCol w:w="698"/>
        <w:gridCol w:w="697"/>
        <w:gridCol w:w="697"/>
        <w:gridCol w:w="697"/>
        <w:gridCol w:w="697"/>
        <w:gridCol w:w="697"/>
        <w:gridCol w:w="697"/>
        <w:gridCol w:w="697"/>
        <w:gridCol w:w="832"/>
      </w:tblGrid>
      <w:tr w:rsidR="00B63197" w:rsidRPr="009219C5" w14:paraId="5DCC3D14" w14:textId="77777777" w:rsidTr="003C252D">
        <w:trPr>
          <w:trHeight w:val="580"/>
          <w:tblHeader/>
        </w:trPr>
        <w:tc>
          <w:tcPr>
            <w:tcW w:w="16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95959" w:themeFill="text1" w:themeFillTint="A6"/>
            <w:vAlign w:val="center"/>
          </w:tcPr>
          <w:p w14:paraId="59EEAF12" w14:textId="77777777" w:rsidR="00B63197" w:rsidRPr="00AE3ED1" w:rsidRDefault="00B63197" w:rsidP="009219C5">
            <w:pPr>
              <w:spacing w:before="40" w:after="40"/>
              <w:rPr>
                <w:rFonts w:asciiTheme="minorHAnsi" w:hAnsiTheme="minorHAnsi" w:cstheme="minorHAnsi"/>
                <w:b/>
                <w:color w:val="FFFFFF" w:themeColor="background1"/>
                <w:szCs w:val="18"/>
                <w:lang w:eastAsia="en-AU"/>
              </w:rPr>
            </w:pP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95959" w:themeFill="text1" w:themeFillTint="A6"/>
            <w:noWrap/>
            <w:vAlign w:val="center"/>
          </w:tcPr>
          <w:p w14:paraId="34BF2BAB" w14:textId="77777777" w:rsidR="00B63197" w:rsidRPr="00AE3ED1" w:rsidRDefault="00B63197" w:rsidP="00AE3ED1">
            <w:pPr>
              <w:spacing w:before="40" w:after="40"/>
              <w:jc w:val="center"/>
              <w:rPr>
                <w:rFonts w:asciiTheme="minorHAnsi" w:hAnsiTheme="minorHAnsi" w:cstheme="minorHAnsi"/>
                <w:b/>
                <w:color w:val="FFFFFF" w:themeColor="background1"/>
                <w:szCs w:val="18"/>
                <w:lang w:eastAsia="en-AU"/>
              </w:rPr>
            </w:pPr>
            <w:r w:rsidRPr="00AE3ED1">
              <w:rPr>
                <w:rFonts w:asciiTheme="minorHAnsi" w:hAnsiTheme="minorHAnsi" w:cstheme="minorHAnsi"/>
                <w:b/>
                <w:color w:val="FFFFFF" w:themeColor="background1"/>
                <w:szCs w:val="18"/>
                <w:lang w:eastAsia="en-AU"/>
              </w:rPr>
              <w:t>NSW</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95959" w:themeFill="text1" w:themeFillTint="A6"/>
            <w:noWrap/>
            <w:vAlign w:val="center"/>
          </w:tcPr>
          <w:p w14:paraId="24FB08B4" w14:textId="77777777" w:rsidR="00B63197" w:rsidRPr="00AE3ED1" w:rsidRDefault="00B63197" w:rsidP="00AE3ED1">
            <w:pPr>
              <w:spacing w:before="40" w:after="40"/>
              <w:jc w:val="center"/>
              <w:rPr>
                <w:rFonts w:asciiTheme="minorHAnsi" w:hAnsiTheme="minorHAnsi" w:cstheme="minorHAnsi"/>
                <w:b/>
                <w:color w:val="FFFFFF" w:themeColor="background1"/>
                <w:szCs w:val="18"/>
                <w:lang w:eastAsia="en-AU"/>
              </w:rPr>
            </w:pPr>
            <w:r w:rsidRPr="00AE3ED1">
              <w:rPr>
                <w:rFonts w:asciiTheme="minorHAnsi" w:hAnsiTheme="minorHAnsi" w:cstheme="minorHAnsi"/>
                <w:b/>
                <w:color w:val="FFFFFF" w:themeColor="background1"/>
                <w:szCs w:val="18"/>
                <w:lang w:eastAsia="en-AU"/>
              </w:rPr>
              <w:t>VIC</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95959" w:themeFill="text1" w:themeFillTint="A6"/>
            <w:noWrap/>
            <w:vAlign w:val="center"/>
          </w:tcPr>
          <w:p w14:paraId="4D89A31A" w14:textId="77777777" w:rsidR="00B63197" w:rsidRPr="00AE3ED1" w:rsidRDefault="00B63197" w:rsidP="00AE3ED1">
            <w:pPr>
              <w:spacing w:before="40" w:after="40"/>
              <w:jc w:val="center"/>
              <w:rPr>
                <w:rFonts w:asciiTheme="minorHAnsi" w:hAnsiTheme="minorHAnsi" w:cstheme="minorHAnsi"/>
                <w:b/>
                <w:color w:val="FFFFFF" w:themeColor="background1"/>
                <w:szCs w:val="18"/>
                <w:lang w:eastAsia="en-AU"/>
              </w:rPr>
            </w:pPr>
            <w:r w:rsidRPr="00AE3ED1">
              <w:rPr>
                <w:rFonts w:asciiTheme="minorHAnsi" w:hAnsiTheme="minorHAnsi" w:cstheme="minorHAnsi"/>
                <w:b/>
                <w:color w:val="FFFFFF" w:themeColor="background1"/>
                <w:szCs w:val="18"/>
                <w:lang w:eastAsia="en-AU"/>
              </w:rPr>
              <w:t>QLD</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95959" w:themeFill="text1" w:themeFillTint="A6"/>
            <w:noWrap/>
            <w:vAlign w:val="center"/>
          </w:tcPr>
          <w:p w14:paraId="344301C0" w14:textId="77777777" w:rsidR="00B63197" w:rsidRPr="00AE3ED1" w:rsidRDefault="00B63197" w:rsidP="00AE3ED1">
            <w:pPr>
              <w:spacing w:before="40" w:after="40"/>
              <w:jc w:val="center"/>
              <w:rPr>
                <w:rFonts w:asciiTheme="minorHAnsi" w:hAnsiTheme="minorHAnsi" w:cstheme="minorHAnsi"/>
                <w:b/>
                <w:color w:val="FFFFFF" w:themeColor="background1"/>
                <w:szCs w:val="18"/>
                <w:lang w:eastAsia="en-AU"/>
              </w:rPr>
            </w:pPr>
            <w:r w:rsidRPr="00AE3ED1">
              <w:rPr>
                <w:rFonts w:asciiTheme="minorHAnsi" w:hAnsiTheme="minorHAnsi" w:cstheme="minorHAnsi"/>
                <w:b/>
                <w:color w:val="FFFFFF" w:themeColor="background1"/>
                <w:szCs w:val="18"/>
                <w:lang w:eastAsia="en-AU"/>
              </w:rPr>
              <w:t>SA</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95959" w:themeFill="text1" w:themeFillTint="A6"/>
            <w:noWrap/>
            <w:vAlign w:val="center"/>
          </w:tcPr>
          <w:p w14:paraId="09A6EC68" w14:textId="77777777" w:rsidR="00B63197" w:rsidRPr="00AE3ED1" w:rsidRDefault="00B63197" w:rsidP="00AE3ED1">
            <w:pPr>
              <w:spacing w:before="40" w:after="40"/>
              <w:jc w:val="center"/>
              <w:rPr>
                <w:rFonts w:asciiTheme="minorHAnsi" w:hAnsiTheme="minorHAnsi" w:cstheme="minorHAnsi"/>
                <w:b/>
                <w:color w:val="FFFFFF" w:themeColor="background1"/>
                <w:szCs w:val="18"/>
                <w:lang w:eastAsia="en-AU"/>
              </w:rPr>
            </w:pPr>
            <w:r w:rsidRPr="00AE3ED1">
              <w:rPr>
                <w:rFonts w:asciiTheme="minorHAnsi" w:hAnsiTheme="minorHAnsi" w:cstheme="minorHAnsi"/>
                <w:b/>
                <w:color w:val="FFFFFF" w:themeColor="background1"/>
                <w:szCs w:val="18"/>
                <w:lang w:eastAsia="en-AU"/>
              </w:rPr>
              <w:t>WA</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95959" w:themeFill="text1" w:themeFillTint="A6"/>
            <w:noWrap/>
            <w:vAlign w:val="center"/>
          </w:tcPr>
          <w:p w14:paraId="63C81A76" w14:textId="77777777" w:rsidR="00B63197" w:rsidRPr="00AE3ED1" w:rsidRDefault="00B63197" w:rsidP="00AE3ED1">
            <w:pPr>
              <w:spacing w:before="40" w:after="40"/>
              <w:jc w:val="center"/>
              <w:rPr>
                <w:rFonts w:asciiTheme="minorHAnsi" w:hAnsiTheme="minorHAnsi" w:cstheme="minorHAnsi"/>
                <w:b/>
                <w:color w:val="FFFFFF" w:themeColor="background1"/>
                <w:szCs w:val="18"/>
                <w:lang w:eastAsia="en-AU"/>
              </w:rPr>
            </w:pPr>
            <w:r w:rsidRPr="00AE3ED1">
              <w:rPr>
                <w:rFonts w:asciiTheme="minorHAnsi" w:hAnsiTheme="minorHAnsi" w:cstheme="minorHAnsi"/>
                <w:b/>
                <w:color w:val="FFFFFF" w:themeColor="background1"/>
                <w:szCs w:val="18"/>
                <w:lang w:eastAsia="en-AU"/>
              </w:rPr>
              <w:t>TAS</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95959" w:themeFill="text1" w:themeFillTint="A6"/>
            <w:noWrap/>
            <w:vAlign w:val="center"/>
          </w:tcPr>
          <w:p w14:paraId="0EAC020D" w14:textId="77777777" w:rsidR="00B63197" w:rsidRPr="00AE3ED1" w:rsidRDefault="00B63197" w:rsidP="00AE3ED1">
            <w:pPr>
              <w:spacing w:before="40" w:after="40"/>
              <w:jc w:val="center"/>
              <w:rPr>
                <w:rFonts w:asciiTheme="minorHAnsi" w:hAnsiTheme="minorHAnsi" w:cstheme="minorHAnsi"/>
                <w:b/>
                <w:color w:val="FFFFFF" w:themeColor="background1"/>
                <w:szCs w:val="18"/>
                <w:lang w:eastAsia="en-AU"/>
              </w:rPr>
            </w:pPr>
            <w:r w:rsidRPr="00AE3ED1">
              <w:rPr>
                <w:rFonts w:asciiTheme="minorHAnsi" w:hAnsiTheme="minorHAnsi" w:cstheme="minorHAnsi"/>
                <w:b/>
                <w:color w:val="FFFFFF" w:themeColor="background1"/>
                <w:szCs w:val="18"/>
                <w:lang w:eastAsia="en-AU"/>
              </w:rPr>
              <w:t>NT</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95959" w:themeFill="text1" w:themeFillTint="A6"/>
            <w:noWrap/>
            <w:vAlign w:val="center"/>
          </w:tcPr>
          <w:p w14:paraId="77D776C0" w14:textId="77777777" w:rsidR="00B63197" w:rsidRPr="00AE3ED1" w:rsidRDefault="00B63197" w:rsidP="00AE3ED1">
            <w:pPr>
              <w:spacing w:before="40" w:after="40"/>
              <w:jc w:val="center"/>
              <w:rPr>
                <w:rFonts w:asciiTheme="minorHAnsi" w:hAnsiTheme="minorHAnsi" w:cstheme="minorHAnsi"/>
                <w:b/>
                <w:color w:val="FFFFFF" w:themeColor="background1"/>
                <w:szCs w:val="18"/>
                <w:lang w:eastAsia="en-AU"/>
              </w:rPr>
            </w:pPr>
            <w:r w:rsidRPr="00AE3ED1">
              <w:rPr>
                <w:rFonts w:asciiTheme="minorHAnsi" w:hAnsiTheme="minorHAnsi" w:cstheme="minorHAnsi"/>
                <w:b/>
                <w:color w:val="FFFFFF" w:themeColor="background1"/>
                <w:szCs w:val="18"/>
                <w:lang w:eastAsia="en-AU"/>
              </w:rPr>
              <w:t>ACT</w:t>
            </w:r>
          </w:p>
        </w:tc>
        <w:tc>
          <w:tcPr>
            <w:tcW w:w="4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95959" w:themeFill="text1" w:themeFillTint="A6"/>
            <w:noWrap/>
            <w:vAlign w:val="center"/>
          </w:tcPr>
          <w:p w14:paraId="1FF38F46" w14:textId="77777777" w:rsidR="00B63197" w:rsidRPr="00AE3ED1" w:rsidRDefault="00B63197" w:rsidP="00AE3ED1">
            <w:pPr>
              <w:spacing w:before="40" w:after="40"/>
              <w:jc w:val="center"/>
              <w:rPr>
                <w:rFonts w:asciiTheme="minorHAnsi" w:hAnsiTheme="minorHAnsi" w:cstheme="minorHAnsi"/>
                <w:b/>
                <w:color w:val="FFFFFF" w:themeColor="background1"/>
                <w:szCs w:val="18"/>
                <w:lang w:eastAsia="en-AU"/>
              </w:rPr>
            </w:pPr>
            <w:r w:rsidRPr="00AE3ED1">
              <w:rPr>
                <w:rFonts w:asciiTheme="minorHAnsi" w:hAnsiTheme="minorHAnsi" w:cstheme="minorHAnsi"/>
                <w:b/>
                <w:color w:val="FFFFFF" w:themeColor="background1"/>
                <w:szCs w:val="18"/>
                <w:lang w:eastAsia="en-AU"/>
              </w:rPr>
              <w:t>Total</w:t>
            </w:r>
          </w:p>
        </w:tc>
      </w:tr>
      <w:tr w:rsidR="00B63197" w:rsidRPr="009219C5" w14:paraId="54E63C27" w14:textId="77777777" w:rsidTr="003C252D">
        <w:trPr>
          <w:trHeight w:val="580"/>
          <w:tblHeader/>
        </w:trPr>
        <w:tc>
          <w:tcPr>
            <w:tcW w:w="16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F50217F" w14:textId="77777777" w:rsidR="00B63197" w:rsidRPr="00AE3ED1" w:rsidRDefault="00B63197" w:rsidP="009219C5">
            <w:pPr>
              <w:spacing w:before="40" w:after="40"/>
              <w:rPr>
                <w:rFonts w:asciiTheme="minorHAnsi" w:hAnsiTheme="minorHAnsi" w:cstheme="minorHAnsi"/>
                <w:szCs w:val="18"/>
                <w:lang w:eastAsia="en-AU"/>
              </w:rPr>
            </w:pPr>
            <w:r w:rsidRPr="00AE3ED1">
              <w:rPr>
                <w:rFonts w:asciiTheme="minorHAnsi" w:hAnsiTheme="minorHAnsi" w:cstheme="minorHAnsi"/>
                <w:szCs w:val="18"/>
                <w:lang w:eastAsia="en-AU"/>
              </w:rPr>
              <w:t>Potential donors</w:t>
            </w:r>
            <w:r w:rsidR="00EA3FD5" w:rsidRPr="00AE3ED1">
              <w:rPr>
                <w:rStyle w:val="FootnoteReference"/>
                <w:rFonts w:asciiTheme="minorHAnsi" w:hAnsiTheme="minorHAnsi" w:cstheme="minorHAnsi"/>
                <w:sz w:val="20"/>
                <w:szCs w:val="18"/>
                <w:lang w:eastAsia="en-AU"/>
              </w:rPr>
              <w:footnoteReference w:id="126"/>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4022014B"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471</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3987355"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423</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A8D82F5"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371</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1E5CD3D"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96</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47FF8E01"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188</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1F784F8"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39</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FB4F84E"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26</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CA6BCD9"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56</w:t>
            </w:r>
          </w:p>
        </w:tc>
        <w:tc>
          <w:tcPr>
            <w:tcW w:w="4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3A7BC0F"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1670</w:t>
            </w:r>
          </w:p>
        </w:tc>
      </w:tr>
      <w:tr w:rsidR="00B63197" w:rsidRPr="009219C5" w14:paraId="16CF85A6" w14:textId="77777777" w:rsidTr="003C252D">
        <w:trPr>
          <w:trHeight w:val="580"/>
          <w:tblHeader/>
        </w:trPr>
        <w:tc>
          <w:tcPr>
            <w:tcW w:w="16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F9E808F" w14:textId="77777777" w:rsidR="00B63197" w:rsidRPr="00AE3ED1" w:rsidRDefault="00B63197" w:rsidP="009219C5">
            <w:pPr>
              <w:spacing w:before="40" w:after="40"/>
              <w:rPr>
                <w:rFonts w:asciiTheme="minorHAnsi" w:hAnsiTheme="minorHAnsi" w:cstheme="minorHAnsi"/>
                <w:szCs w:val="18"/>
                <w:lang w:eastAsia="en-AU"/>
              </w:rPr>
            </w:pPr>
            <w:r w:rsidRPr="00AE3ED1">
              <w:rPr>
                <w:rFonts w:asciiTheme="minorHAnsi" w:hAnsiTheme="minorHAnsi" w:cstheme="minorHAnsi"/>
                <w:szCs w:val="18"/>
                <w:lang w:eastAsia="en-AU"/>
              </w:rPr>
              <w:t>Proportion of potential donors where donation was requested</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EB6A001"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62%</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F2506BA"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76%</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A7FE889"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59%</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80896E1"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73%</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4C90F7AD"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75%</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07A7BB1"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69%</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5E818F5"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35%</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41238F5"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64%</w:t>
            </w:r>
          </w:p>
        </w:tc>
        <w:tc>
          <w:tcPr>
            <w:tcW w:w="4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A1FF38E" w14:textId="21560BFB" w:rsidR="00B63197" w:rsidRPr="00AE3ED1" w:rsidRDefault="006B20CF" w:rsidP="00AE3ED1">
            <w:pPr>
              <w:spacing w:before="40" w:after="40"/>
              <w:jc w:val="center"/>
              <w:rPr>
                <w:rFonts w:asciiTheme="minorHAnsi" w:hAnsiTheme="minorHAnsi" w:cstheme="minorHAnsi"/>
                <w:szCs w:val="18"/>
                <w:lang w:eastAsia="en-AU"/>
              </w:rPr>
            </w:pPr>
            <w:r>
              <w:rPr>
                <w:rFonts w:asciiTheme="minorHAnsi" w:hAnsiTheme="minorHAnsi" w:cstheme="minorHAnsi"/>
                <w:szCs w:val="18"/>
                <w:lang w:eastAsia="en-AU"/>
              </w:rPr>
              <w:t>n/a</w:t>
            </w:r>
          </w:p>
        </w:tc>
      </w:tr>
      <w:tr w:rsidR="00B63197" w:rsidRPr="009219C5" w14:paraId="3D0393D7" w14:textId="77777777" w:rsidTr="003C252D">
        <w:trPr>
          <w:trHeight w:val="580"/>
          <w:tblHeader/>
        </w:trPr>
        <w:tc>
          <w:tcPr>
            <w:tcW w:w="16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246FCD5" w14:textId="77777777" w:rsidR="00B63197" w:rsidRPr="00AE3ED1" w:rsidRDefault="00B63197" w:rsidP="009219C5">
            <w:pPr>
              <w:spacing w:before="40" w:after="40"/>
              <w:rPr>
                <w:rFonts w:asciiTheme="minorHAnsi" w:hAnsiTheme="minorHAnsi" w:cstheme="minorHAnsi"/>
                <w:szCs w:val="18"/>
                <w:lang w:eastAsia="en-AU"/>
              </w:rPr>
            </w:pPr>
            <w:r w:rsidRPr="00AE3ED1">
              <w:rPr>
                <w:rFonts w:asciiTheme="minorHAnsi" w:hAnsiTheme="minorHAnsi" w:cstheme="minorHAnsi"/>
                <w:szCs w:val="18"/>
                <w:lang w:eastAsia="en-AU"/>
              </w:rPr>
              <w:t>Number of potential donors where donation was not requested – assessed as not medically suitable prior to family discussion</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85E54D0"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51</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5E89CD0"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33</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47D48498"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62</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EEF9B6D"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9</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92A8722"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9</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F8ED15C"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2</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5027E20"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6</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BAD8B4F"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7</w:t>
            </w:r>
          </w:p>
        </w:tc>
        <w:tc>
          <w:tcPr>
            <w:tcW w:w="4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BC62EF0"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179</w:t>
            </w:r>
          </w:p>
        </w:tc>
      </w:tr>
      <w:tr w:rsidR="00B63197" w:rsidRPr="009219C5" w14:paraId="13BCCDD2" w14:textId="77777777" w:rsidTr="003C252D">
        <w:trPr>
          <w:trHeight w:val="580"/>
          <w:tblHeader/>
        </w:trPr>
        <w:tc>
          <w:tcPr>
            <w:tcW w:w="16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D4B7319" w14:textId="77777777" w:rsidR="00B63197" w:rsidRPr="00AE3ED1" w:rsidRDefault="00B63197" w:rsidP="009219C5">
            <w:pPr>
              <w:spacing w:before="40" w:after="40"/>
              <w:rPr>
                <w:rFonts w:asciiTheme="minorHAnsi" w:hAnsiTheme="minorHAnsi" w:cstheme="minorHAnsi"/>
                <w:szCs w:val="18"/>
                <w:lang w:eastAsia="en-AU"/>
              </w:rPr>
            </w:pPr>
            <w:r w:rsidRPr="00AE3ED1">
              <w:rPr>
                <w:rFonts w:asciiTheme="minorHAnsi" w:hAnsiTheme="minorHAnsi" w:cstheme="minorHAnsi"/>
                <w:szCs w:val="18"/>
                <w:lang w:eastAsia="en-AU"/>
              </w:rPr>
              <w:t>Proportion of potential donors where donation was not requested – assessed as not medically suitable prior to family discussion</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28B77AC"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11%</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B7AE96A"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8%</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5593883"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17%</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AD9CB7C"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9%</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0604257"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5%</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7DDEBD5"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5%</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7AD1754"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23%</w:t>
            </w:r>
          </w:p>
        </w:tc>
        <w:tc>
          <w:tcPr>
            <w:tcW w:w="3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664E043" w14:textId="77777777" w:rsidR="00B63197" w:rsidRPr="00AE3ED1" w:rsidRDefault="00B63197" w:rsidP="00AE3ED1">
            <w:pPr>
              <w:spacing w:before="40" w:after="40"/>
              <w:jc w:val="center"/>
              <w:rPr>
                <w:rFonts w:asciiTheme="minorHAnsi" w:hAnsiTheme="minorHAnsi" w:cstheme="minorHAnsi"/>
                <w:szCs w:val="18"/>
                <w:lang w:eastAsia="en-AU"/>
              </w:rPr>
            </w:pPr>
            <w:r w:rsidRPr="00AE3ED1">
              <w:rPr>
                <w:rFonts w:asciiTheme="minorHAnsi" w:hAnsiTheme="minorHAnsi" w:cstheme="minorHAnsi"/>
                <w:szCs w:val="18"/>
                <w:lang w:eastAsia="en-AU"/>
              </w:rPr>
              <w:t>13%</w:t>
            </w:r>
          </w:p>
        </w:tc>
        <w:tc>
          <w:tcPr>
            <w:tcW w:w="4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6FC2FA7" w14:textId="7D165DE4" w:rsidR="00B63197" w:rsidRPr="00AE3ED1" w:rsidRDefault="006B20CF" w:rsidP="00AE3ED1">
            <w:pPr>
              <w:spacing w:before="40" w:after="40"/>
              <w:jc w:val="center"/>
              <w:rPr>
                <w:rFonts w:asciiTheme="minorHAnsi" w:hAnsiTheme="minorHAnsi" w:cstheme="minorHAnsi"/>
                <w:szCs w:val="18"/>
                <w:lang w:eastAsia="en-AU"/>
              </w:rPr>
            </w:pPr>
            <w:r>
              <w:rPr>
                <w:rFonts w:asciiTheme="minorHAnsi" w:hAnsiTheme="minorHAnsi" w:cstheme="minorHAnsi"/>
                <w:szCs w:val="18"/>
                <w:lang w:eastAsia="en-AU"/>
              </w:rPr>
              <w:t>n/a</w:t>
            </w:r>
          </w:p>
        </w:tc>
      </w:tr>
    </w:tbl>
    <w:p w14:paraId="172DA806" w14:textId="77777777" w:rsidR="0059239D" w:rsidRDefault="00B63197" w:rsidP="0060077A">
      <w:pPr>
        <w:spacing w:before="240" w:after="120"/>
        <w:rPr>
          <w:rFonts w:asciiTheme="minorHAnsi" w:hAnsiTheme="minorHAnsi" w:cstheme="minorHAnsi"/>
          <w:sz w:val="24"/>
          <w:szCs w:val="22"/>
          <w:lang w:val="en-GB"/>
        </w:rPr>
      </w:pPr>
      <w:r w:rsidRPr="006F704B">
        <w:rPr>
          <w:rFonts w:asciiTheme="minorHAnsi" w:hAnsiTheme="minorHAnsi" w:cstheme="minorHAnsi"/>
          <w:sz w:val="24"/>
          <w:szCs w:val="22"/>
          <w:lang w:val="en-GB"/>
        </w:rPr>
        <w:t>In 2017, there were 179 potential donors in Australia that did not proceed to discussion with the donor’s family because they were accessed as not medically suitable for organ</w:t>
      </w:r>
      <w:r w:rsidR="0060077A">
        <w:rPr>
          <w:rFonts w:asciiTheme="minorHAnsi" w:hAnsiTheme="minorHAnsi" w:cstheme="minorHAnsi"/>
          <w:sz w:val="24"/>
          <w:szCs w:val="22"/>
          <w:lang w:val="en-GB"/>
        </w:rPr>
        <w:t xml:space="preserve"> </w:t>
      </w:r>
      <w:r w:rsidRPr="006F704B">
        <w:rPr>
          <w:rFonts w:asciiTheme="minorHAnsi" w:hAnsiTheme="minorHAnsi" w:cstheme="minorHAnsi"/>
          <w:sz w:val="24"/>
          <w:szCs w:val="22"/>
          <w:lang w:val="en-GB"/>
        </w:rPr>
        <w:t>donation.</w:t>
      </w:r>
      <w:r w:rsidRPr="003A517E">
        <w:rPr>
          <w:rStyle w:val="FootnoteReference"/>
          <w:rFonts w:asciiTheme="minorHAnsi" w:hAnsiTheme="minorHAnsi" w:cstheme="minorHAnsi"/>
          <w:sz w:val="20"/>
          <w:szCs w:val="22"/>
          <w:lang w:val="en-GB"/>
        </w:rPr>
        <w:footnoteReference w:id="127"/>
      </w:r>
      <w:r w:rsidRPr="006F704B">
        <w:rPr>
          <w:rFonts w:asciiTheme="minorHAnsi" w:hAnsiTheme="minorHAnsi" w:cstheme="minorHAnsi"/>
          <w:sz w:val="24"/>
          <w:szCs w:val="22"/>
          <w:lang w:val="en-GB"/>
        </w:rPr>
        <w:t xml:space="preserve"> In 2017, the Northern Territory and Queensland had the highest proportion of potential donors assessed as not medically suitable, with 25 per cent and 17 per cent respectively. In contrast</w:t>
      </w:r>
      <w:r>
        <w:rPr>
          <w:rFonts w:asciiTheme="minorHAnsi" w:hAnsiTheme="minorHAnsi" w:cstheme="minorHAnsi"/>
          <w:sz w:val="24"/>
          <w:szCs w:val="22"/>
          <w:lang w:val="en-GB"/>
        </w:rPr>
        <w:t xml:space="preserve">, only eight per cent of potential donors in Victoria were </w:t>
      </w:r>
      <w:r w:rsidR="0060077A">
        <w:rPr>
          <w:rFonts w:asciiTheme="minorHAnsi" w:hAnsiTheme="minorHAnsi" w:cstheme="minorHAnsi"/>
          <w:sz w:val="24"/>
          <w:szCs w:val="22"/>
          <w:lang w:val="en-GB"/>
        </w:rPr>
        <w:t xml:space="preserve">deemed not medically suitable. </w:t>
      </w:r>
    </w:p>
    <w:p w14:paraId="4D93AF11" w14:textId="77777777" w:rsidR="00B63197" w:rsidRDefault="00B63197" w:rsidP="00C30067">
      <w:pPr>
        <w:spacing w:after="120"/>
        <w:rPr>
          <w:rFonts w:asciiTheme="minorHAnsi" w:hAnsiTheme="minorHAnsi" w:cstheme="minorHAnsi"/>
          <w:sz w:val="24"/>
          <w:szCs w:val="22"/>
          <w:lang w:val="en-GB"/>
        </w:rPr>
      </w:pPr>
      <w:r w:rsidRPr="004938CA">
        <w:rPr>
          <w:rFonts w:asciiTheme="minorHAnsi" w:hAnsiTheme="minorHAnsi" w:cstheme="minorHAnsi"/>
          <w:sz w:val="24"/>
          <w:szCs w:val="22"/>
          <w:lang w:val="en-GB"/>
        </w:rPr>
        <w:t xml:space="preserve">The volume </w:t>
      </w:r>
      <w:r>
        <w:rPr>
          <w:rFonts w:asciiTheme="minorHAnsi" w:hAnsiTheme="minorHAnsi" w:cstheme="minorHAnsi"/>
          <w:sz w:val="24"/>
          <w:szCs w:val="22"/>
          <w:lang w:val="en-GB"/>
        </w:rPr>
        <w:t>of</w:t>
      </w:r>
      <w:r w:rsidRPr="004938CA">
        <w:rPr>
          <w:rFonts w:asciiTheme="minorHAnsi" w:hAnsiTheme="minorHAnsi" w:cstheme="minorHAnsi"/>
          <w:sz w:val="24"/>
          <w:szCs w:val="22"/>
          <w:lang w:val="en-GB"/>
        </w:rPr>
        <w:t xml:space="preserve"> potential donors </w:t>
      </w:r>
      <w:r>
        <w:rPr>
          <w:rFonts w:asciiTheme="minorHAnsi" w:hAnsiTheme="minorHAnsi" w:cstheme="minorHAnsi"/>
          <w:sz w:val="24"/>
          <w:szCs w:val="22"/>
          <w:lang w:val="en-GB"/>
        </w:rPr>
        <w:t xml:space="preserve">that </w:t>
      </w:r>
      <w:r w:rsidRPr="004938CA">
        <w:rPr>
          <w:rFonts w:asciiTheme="minorHAnsi" w:hAnsiTheme="minorHAnsi" w:cstheme="minorHAnsi"/>
          <w:sz w:val="24"/>
          <w:szCs w:val="22"/>
          <w:lang w:val="en-GB"/>
        </w:rPr>
        <w:t>are deemed not medically suitable is indicative of the</w:t>
      </w:r>
      <w:r>
        <w:rPr>
          <w:rFonts w:asciiTheme="minorHAnsi" w:hAnsiTheme="minorHAnsi" w:cstheme="minorHAnsi"/>
          <w:sz w:val="24"/>
          <w:szCs w:val="22"/>
          <w:lang w:val="en-GB"/>
        </w:rPr>
        <w:t xml:space="preserve"> variability in advancement of donation and transplantation techniques and the</w:t>
      </w:r>
      <w:r w:rsidRPr="004938CA">
        <w:rPr>
          <w:rFonts w:asciiTheme="minorHAnsi" w:hAnsiTheme="minorHAnsi" w:cstheme="minorHAnsi"/>
          <w:sz w:val="24"/>
          <w:szCs w:val="22"/>
          <w:lang w:val="en-GB"/>
        </w:rPr>
        <w:t xml:space="preserve"> stringen</w:t>
      </w:r>
      <w:r>
        <w:rPr>
          <w:rFonts w:asciiTheme="minorHAnsi" w:hAnsiTheme="minorHAnsi" w:cstheme="minorHAnsi"/>
          <w:sz w:val="24"/>
          <w:szCs w:val="22"/>
          <w:lang w:val="en-GB"/>
        </w:rPr>
        <w:t>cy of acceptance criteria applied in</w:t>
      </w:r>
      <w:r w:rsidRPr="004938CA">
        <w:rPr>
          <w:rFonts w:asciiTheme="minorHAnsi" w:hAnsiTheme="minorHAnsi" w:cstheme="minorHAnsi"/>
          <w:sz w:val="24"/>
          <w:szCs w:val="22"/>
          <w:lang w:val="en-GB"/>
        </w:rPr>
        <w:t xml:space="preserve"> each state and territory</w:t>
      </w:r>
      <w:r>
        <w:rPr>
          <w:rFonts w:asciiTheme="minorHAnsi" w:hAnsiTheme="minorHAnsi" w:cstheme="minorHAnsi"/>
          <w:sz w:val="24"/>
          <w:szCs w:val="22"/>
          <w:lang w:val="en-GB"/>
        </w:rPr>
        <w:t xml:space="preserve">, particularly for kidney transplantation. This supports the anecdotal evidence that Victoria has a much larger risk appetite and less conservative approach to the use of the acceptance criteria, particularly in relation to the larger jurisdictions, New South Wales and Queensland. </w:t>
      </w:r>
    </w:p>
    <w:p w14:paraId="35B0048E" w14:textId="77777777" w:rsidR="00C30067" w:rsidRDefault="00C30067" w:rsidP="00C30067">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However, the Review found that </w:t>
      </w:r>
      <w:r w:rsidR="00F46F81">
        <w:rPr>
          <w:rFonts w:asciiTheme="minorHAnsi" w:hAnsiTheme="minorHAnsi" w:cstheme="minorHAnsi"/>
          <w:sz w:val="24"/>
          <w:szCs w:val="22"/>
          <w:lang w:val="en-GB"/>
        </w:rPr>
        <w:t xml:space="preserve">current </w:t>
      </w:r>
      <w:r w:rsidR="000103FF">
        <w:rPr>
          <w:rFonts w:asciiTheme="minorHAnsi" w:hAnsiTheme="minorHAnsi" w:cstheme="minorHAnsi"/>
          <w:sz w:val="24"/>
          <w:szCs w:val="22"/>
          <w:lang w:val="en-GB"/>
        </w:rPr>
        <w:t>C</w:t>
      </w:r>
      <w:r>
        <w:rPr>
          <w:rFonts w:asciiTheme="minorHAnsi" w:hAnsiTheme="minorHAnsi" w:cstheme="minorHAnsi"/>
          <w:sz w:val="24"/>
          <w:szCs w:val="22"/>
          <w:lang w:val="en-GB"/>
        </w:rPr>
        <w:t xml:space="preserve">linical </w:t>
      </w:r>
      <w:r w:rsidR="000103FF">
        <w:rPr>
          <w:rFonts w:asciiTheme="minorHAnsi" w:hAnsiTheme="minorHAnsi" w:cstheme="minorHAnsi"/>
          <w:sz w:val="24"/>
          <w:szCs w:val="22"/>
          <w:lang w:val="en-GB"/>
        </w:rPr>
        <w:t>G</w:t>
      </w:r>
      <w:r>
        <w:rPr>
          <w:rFonts w:asciiTheme="minorHAnsi" w:hAnsiTheme="minorHAnsi" w:cstheme="minorHAnsi"/>
          <w:sz w:val="24"/>
          <w:szCs w:val="22"/>
          <w:lang w:val="en-GB"/>
        </w:rPr>
        <w:t>uidelines may not take into consideration the additional assessments required in expanding the criteria for potential organ donors. For example</w:t>
      </w:r>
      <w:r w:rsidRPr="00F37D51">
        <w:rPr>
          <w:rFonts w:asciiTheme="minorHAnsi" w:hAnsiTheme="minorHAnsi" w:cstheme="minorHAnsi"/>
          <w:sz w:val="24"/>
          <w:szCs w:val="22"/>
          <w:lang w:val="en-GB"/>
        </w:rPr>
        <w:t xml:space="preserve">, the rise of donors who have been exposed to multi-resistant bacteria has meant that additional assessments </w:t>
      </w:r>
      <w:r w:rsidR="00F46F81">
        <w:rPr>
          <w:rFonts w:asciiTheme="minorHAnsi" w:hAnsiTheme="minorHAnsi" w:cstheme="minorHAnsi"/>
          <w:sz w:val="24"/>
          <w:szCs w:val="22"/>
          <w:lang w:val="en-GB"/>
        </w:rPr>
        <w:t>are required</w:t>
      </w:r>
      <w:r w:rsidRPr="00F37D51">
        <w:rPr>
          <w:rFonts w:asciiTheme="minorHAnsi" w:hAnsiTheme="minorHAnsi" w:cstheme="minorHAnsi"/>
          <w:sz w:val="24"/>
          <w:szCs w:val="22"/>
          <w:lang w:val="en-GB"/>
        </w:rPr>
        <w:t xml:space="preserve"> in order to confirm the acceptability of potential organs and this has added additional time and cost to the assessment process.</w:t>
      </w:r>
      <w:r>
        <w:rPr>
          <w:rFonts w:asciiTheme="minorHAnsi" w:hAnsiTheme="minorHAnsi" w:cstheme="minorHAnsi"/>
          <w:sz w:val="24"/>
          <w:szCs w:val="22"/>
          <w:lang w:val="en-GB"/>
        </w:rPr>
        <w:t xml:space="preserve"> </w:t>
      </w:r>
    </w:p>
    <w:p w14:paraId="3CAB8C36" w14:textId="1DB9D8C6" w:rsidR="00C30067" w:rsidRDefault="00C30067" w:rsidP="00C30067">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Like Spain, Australia also has in place structures that assist in the </w:t>
      </w:r>
      <w:r w:rsidRPr="00F623FF">
        <w:rPr>
          <w:rFonts w:asciiTheme="minorHAnsi" w:hAnsiTheme="minorHAnsi" w:cstheme="minorHAnsi"/>
          <w:sz w:val="24"/>
          <w:szCs w:val="22"/>
          <w:lang w:val="en-GB"/>
        </w:rPr>
        <w:t>early identiﬁcation</w:t>
      </w:r>
      <w:r>
        <w:rPr>
          <w:rFonts w:asciiTheme="minorHAnsi" w:hAnsiTheme="minorHAnsi" w:cstheme="minorHAnsi"/>
          <w:sz w:val="24"/>
          <w:szCs w:val="22"/>
          <w:lang w:val="en-GB"/>
        </w:rPr>
        <w:t xml:space="preserve"> and referral of possible organ </w:t>
      </w:r>
      <w:r w:rsidRPr="00F623FF">
        <w:rPr>
          <w:rFonts w:asciiTheme="minorHAnsi" w:hAnsiTheme="minorHAnsi" w:cstheme="minorHAnsi"/>
          <w:sz w:val="24"/>
          <w:szCs w:val="22"/>
          <w:lang w:val="en-GB"/>
        </w:rPr>
        <w:t>donors from outside of th</w:t>
      </w:r>
      <w:r>
        <w:rPr>
          <w:rFonts w:asciiTheme="minorHAnsi" w:hAnsiTheme="minorHAnsi" w:cstheme="minorHAnsi"/>
          <w:sz w:val="24"/>
          <w:szCs w:val="22"/>
          <w:lang w:val="en-GB"/>
        </w:rPr>
        <w:t>e ICU to consider elective non-</w:t>
      </w:r>
      <w:r w:rsidRPr="00F623FF">
        <w:rPr>
          <w:rFonts w:asciiTheme="minorHAnsi" w:hAnsiTheme="minorHAnsi" w:cstheme="minorHAnsi"/>
          <w:sz w:val="24"/>
          <w:szCs w:val="22"/>
          <w:lang w:val="en-GB"/>
        </w:rPr>
        <w:t>therapeutic intensive car</w:t>
      </w:r>
      <w:r>
        <w:rPr>
          <w:rFonts w:asciiTheme="minorHAnsi" w:hAnsiTheme="minorHAnsi" w:cstheme="minorHAnsi"/>
          <w:sz w:val="24"/>
          <w:szCs w:val="22"/>
          <w:lang w:val="en-GB"/>
        </w:rPr>
        <w:t xml:space="preserve">e and incorporate the option of </w:t>
      </w:r>
      <w:r w:rsidRPr="00F623FF">
        <w:rPr>
          <w:rFonts w:asciiTheme="minorHAnsi" w:hAnsiTheme="minorHAnsi" w:cstheme="minorHAnsi"/>
          <w:sz w:val="24"/>
          <w:szCs w:val="22"/>
          <w:lang w:val="en-GB"/>
        </w:rPr>
        <w:t>organ donation into end-of-li</w:t>
      </w:r>
      <w:r>
        <w:rPr>
          <w:rFonts w:asciiTheme="minorHAnsi" w:hAnsiTheme="minorHAnsi" w:cstheme="minorHAnsi"/>
          <w:sz w:val="24"/>
          <w:szCs w:val="22"/>
          <w:lang w:val="en-GB"/>
        </w:rPr>
        <w:t xml:space="preserve">fe care. Legislation in each state and territory provide the boundaries on how these discussions, referrals and end-of-life care may take place prior to death and donation. However, the Review found that legislation varies between states and territories, enabling some </w:t>
      </w:r>
      <w:r w:rsidR="00A45FCD">
        <w:rPr>
          <w:rFonts w:asciiTheme="minorHAnsi" w:hAnsiTheme="minorHAnsi" w:cstheme="minorHAnsi"/>
          <w:sz w:val="24"/>
          <w:szCs w:val="22"/>
          <w:lang w:val="en-GB"/>
        </w:rPr>
        <w:t xml:space="preserve">jurisdictions </w:t>
      </w:r>
      <w:r>
        <w:rPr>
          <w:rFonts w:asciiTheme="minorHAnsi" w:hAnsiTheme="minorHAnsi" w:cstheme="minorHAnsi"/>
          <w:sz w:val="24"/>
          <w:szCs w:val="22"/>
          <w:lang w:val="en-GB"/>
        </w:rPr>
        <w:t>to commence the pathway to donation with potential donors more easily than others.</w:t>
      </w:r>
    </w:p>
    <w:p w14:paraId="12132E3D" w14:textId="77777777" w:rsidR="006B20CF" w:rsidRPr="00D930F7" w:rsidRDefault="006B20CF" w:rsidP="00AE3ED1">
      <w:pPr>
        <w:shd w:val="clear" w:color="auto" w:fill="DCEFF4"/>
        <w:spacing w:after="120"/>
        <w:rPr>
          <w:rFonts w:asciiTheme="minorHAnsi" w:hAnsiTheme="minorHAnsi" w:cstheme="minorHAnsi"/>
          <w:b/>
          <w:sz w:val="22"/>
          <w:szCs w:val="22"/>
          <w:lang w:val="en-GB"/>
        </w:rPr>
      </w:pPr>
      <w:r w:rsidRPr="00D930F7">
        <w:rPr>
          <w:rFonts w:asciiTheme="minorHAnsi" w:hAnsiTheme="minorHAnsi" w:cstheme="minorHAnsi"/>
          <w:b/>
          <w:sz w:val="22"/>
          <w:szCs w:val="22"/>
          <w:lang w:val="en-GB"/>
        </w:rPr>
        <w:t>Variability in ante mortem intervention for DCD organ donation and its effect on successful organ transplantation</w:t>
      </w:r>
    </w:p>
    <w:p w14:paraId="04E18B8B" w14:textId="77777777" w:rsidR="006B20CF" w:rsidRPr="00AE3ED1" w:rsidRDefault="006B20CF" w:rsidP="00AE3ED1">
      <w:pPr>
        <w:shd w:val="clear" w:color="auto" w:fill="DCEFF4"/>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Ante mortem interventions for DCD are treatments that are given to a patient before their death, which are not necessarily for the benefit of the patient’s health. The purpose of ante mortem treatment is to improve the quality and function of the donated organ for transplantation.</w:t>
      </w:r>
    </w:p>
    <w:p w14:paraId="5BB2FB82" w14:textId="77777777" w:rsidR="006B20CF" w:rsidRPr="00AE3ED1" w:rsidRDefault="006B20CF" w:rsidP="00AE3ED1">
      <w:pPr>
        <w:shd w:val="clear" w:color="auto" w:fill="DCEFF4"/>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Legislation governing ante mortem intervention varies between the jurisdictions, and as a result, the quality of organs and donation outcomes also vary across jurisdictions. </w:t>
      </w:r>
    </w:p>
    <w:p w14:paraId="7C6783EA" w14:textId="77777777" w:rsidR="006B20CF" w:rsidRPr="00AE3ED1" w:rsidRDefault="006B20CF" w:rsidP="00AE3ED1">
      <w:pPr>
        <w:shd w:val="clear" w:color="auto" w:fill="DCEFF4"/>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Using New South Wales and Victoria as an example:</w:t>
      </w:r>
    </w:p>
    <w:p w14:paraId="2A3C921C" w14:textId="1E76DF83" w:rsidR="006B20CF" w:rsidRPr="00AE3ED1" w:rsidRDefault="006B20CF" w:rsidP="00AE3ED1">
      <w:pPr>
        <w:numPr>
          <w:ilvl w:val="0"/>
          <w:numId w:val="18"/>
        </w:numPr>
        <w:shd w:val="clear" w:color="auto" w:fill="DCEFF4"/>
        <w:spacing w:after="120"/>
        <w:ind w:left="357" w:hanging="357"/>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The Guardianship Act 1987 (NSW) only permits the next of kin’s consent to treatment as valid where the treatment is carried out for the purpose of promoting and maintaining the health and well-being of the patient. </w:t>
      </w:r>
    </w:p>
    <w:p w14:paraId="70BDF770" w14:textId="53446040" w:rsidR="006B20CF" w:rsidRPr="00AE3ED1" w:rsidRDefault="006B20CF" w:rsidP="00AE3ED1">
      <w:pPr>
        <w:numPr>
          <w:ilvl w:val="0"/>
          <w:numId w:val="18"/>
        </w:numPr>
        <w:shd w:val="clear" w:color="auto" w:fill="DCEFF4"/>
        <w:spacing w:after="120"/>
        <w:ind w:left="357" w:hanging="357"/>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In Victoria, the Guardianship and Administration Act 1986 (VIC) varies slightly, taking into consideration the ‘best interests’ of the patient when determining consent for the administration of treatment. The use of ‘best interests’ in Victorian legislation leaves a wider scope for interpretation. As such, Victorian clinical staff classify the use of ante mortem intervention to be in a patient’s best interest as it respects and aligns with their wish to be an organ donor. </w:t>
      </w:r>
    </w:p>
    <w:p w14:paraId="711DE6A6" w14:textId="42CA7787" w:rsidR="006B20CF" w:rsidRPr="00AE3ED1" w:rsidRDefault="006B20CF" w:rsidP="00AE3ED1">
      <w:pPr>
        <w:shd w:val="clear" w:color="auto" w:fill="DCEFF4"/>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In 2017, there was 32 DCD donations from New South Wales, whereas the numbers in Victoria were almost doubled, with 62 DCD donations.</w:t>
      </w:r>
    </w:p>
    <w:p w14:paraId="1C2EB82E" w14:textId="77777777" w:rsidR="00C30067" w:rsidRPr="00F37D51" w:rsidRDefault="00C30067" w:rsidP="00447661">
      <w:pPr>
        <w:tabs>
          <w:tab w:val="num" w:pos="720"/>
        </w:tabs>
        <w:spacing w:before="240" w:after="120"/>
        <w:rPr>
          <w:rFonts w:asciiTheme="minorHAnsi" w:hAnsiTheme="minorHAnsi" w:cstheme="minorHAnsi"/>
          <w:i/>
          <w:color w:val="808080" w:themeColor="background1" w:themeShade="80"/>
          <w:sz w:val="24"/>
          <w:szCs w:val="22"/>
        </w:rPr>
      </w:pPr>
      <w:r>
        <w:rPr>
          <w:rFonts w:asciiTheme="minorHAnsi" w:hAnsiTheme="minorHAnsi" w:cstheme="minorHAnsi"/>
          <w:i/>
          <w:color w:val="808080" w:themeColor="background1" w:themeShade="80"/>
          <w:sz w:val="26"/>
          <w:szCs w:val="26"/>
        </w:rPr>
        <w:t>Summary of k</w:t>
      </w:r>
      <w:r w:rsidRPr="00A77149">
        <w:rPr>
          <w:rFonts w:asciiTheme="minorHAnsi" w:hAnsiTheme="minorHAnsi" w:cstheme="minorHAnsi"/>
          <w:i/>
          <w:color w:val="808080" w:themeColor="background1" w:themeShade="80"/>
          <w:sz w:val="26"/>
          <w:szCs w:val="26"/>
        </w:rPr>
        <w:t>ey findings</w:t>
      </w:r>
      <w:r w:rsidRPr="00F37D51">
        <w:rPr>
          <w:rFonts w:asciiTheme="minorHAnsi" w:hAnsiTheme="minorHAnsi" w:cstheme="minorHAnsi"/>
          <w:i/>
          <w:color w:val="808080" w:themeColor="background1" w:themeShade="80"/>
          <w:sz w:val="24"/>
          <w:szCs w:val="22"/>
        </w:rPr>
        <w:t xml:space="preserve"> </w:t>
      </w:r>
    </w:p>
    <w:p w14:paraId="475C77E7" w14:textId="77777777" w:rsidR="00C30067" w:rsidRPr="00F37D51" w:rsidRDefault="00C30067" w:rsidP="00C30067">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Advances in transplantation care have underpinned a broadening of the acceptability of donated organs suitable for transplantation</w:t>
      </w:r>
      <w:r>
        <w:rPr>
          <w:rFonts w:asciiTheme="minorHAnsi" w:hAnsiTheme="minorHAnsi" w:cstheme="minorHAnsi"/>
          <w:sz w:val="24"/>
          <w:szCs w:val="22"/>
          <w:lang w:val="en-GB"/>
        </w:rPr>
        <w:t>, however</w:t>
      </w:r>
      <w:r w:rsidRPr="00F37D51">
        <w:rPr>
          <w:rFonts w:asciiTheme="minorHAnsi" w:hAnsiTheme="minorHAnsi" w:cstheme="minorHAnsi"/>
          <w:sz w:val="24"/>
          <w:szCs w:val="22"/>
          <w:lang w:val="en-GB"/>
        </w:rPr>
        <w:t xml:space="preserve"> this has led to some inconsistency of clinical practice in the acceptance of some organs</w:t>
      </w:r>
      <w:r>
        <w:rPr>
          <w:rFonts w:asciiTheme="minorHAnsi" w:hAnsiTheme="minorHAnsi" w:cstheme="minorHAnsi"/>
          <w:sz w:val="24"/>
          <w:szCs w:val="22"/>
          <w:lang w:val="en-GB"/>
        </w:rPr>
        <w:t>.</w:t>
      </w:r>
    </w:p>
    <w:p w14:paraId="4170C5CA" w14:textId="77777777" w:rsidR="00C30067" w:rsidRPr="00F37D51" w:rsidRDefault="00C30067" w:rsidP="00C30067">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There is an increasing number of donors who have been exposed to multi-resistant bacteria prior to donation and require additional testing to ensure that the recipient is not exposed.</w:t>
      </w:r>
    </w:p>
    <w:p w14:paraId="1E60AD4D" w14:textId="77777777" w:rsidR="00C30067" w:rsidRPr="00266A77" w:rsidRDefault="00C30067" w:rsidP="00C30067">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twenty two is that the OTA through the TSANZ, should undertake a review and revision of the national standards for donor organ assessment and medical suitability of donors."/>
      </w:tblPr>
      <w:tblGrid>
        <w:gridCol w:w="2268"/>
        <w:gridCol w:w="7479"/>
      </w:tblGrid>
      <w:tr w:rsidR="00C31175" w:rsidRPr="00DC1007" w14:paraId="17B862AA" w14:textId="77777777" w:rsidTr="00AE3ED1">
        <w:trPr>
          <w:tblHeader/>
        </w:trPr>
        <w:tc>
          <w:tcPr>
            <w:tcW w:w="2268" w:type="dxa"/>
            <w:shd w:val="clear" w:color="auto" w:fill="595959" w:themeFill="text1" w:themeFillTint="A6"/>
          </w:tcPr>
          <w:p w14:paraId="56CAB8CF" w14:textId="34F289C5" w:rsidR="00C31175" w:rsidRPr="00AE3ED1" w:rsidRDefault="00C31175" w:rsidP="00AE3ED1">
            <w:pPr>
              <w:spacing w:after="120"/>
              <w:ind w:right="-321"/>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Recommendation</w:t>
            </w:r>
          </w:p>
        </w:tc>
        <w:tc>
          <w:tcPr>
            <w:tcW w:w="7479" w:type="dxa"/>
            <w:shd w:val="clear" w:color="auto" w:fill="595959" w:themeFill="text1" w:themeFillTint="A6"/>
          </w:tcPr>
          <w:p w14:paraId="3A20CF2A" w14:textId="4A36460A" w:rsidR="00C31175" w:rsidRPr="00AE3ED1" w:rsidRDefault="00C31175" w:rsidP="00AE3ED1">
            <w:pPr>
              <w:spacing w:after="120"/>
              <w:ind w:right="-142"/>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Description</w:t>
            </w:r>
          </w:p>
        </w:tc>
      </w:tr>
      <w:tr w:rsidR="00C30067" w:rsidRPr="00DC1007" w14:paraId="34BD3582" w14:textId="77777777" w:rsidTr="00AE3ED1">
        <w:tc>
          <w:tcPr>
            <w:tcW w:w="2268" w:type="dxa"/>
          </w:tcPr>
          <w:p w14:paraId="7DE5316B" w14:textId="77777777" w:rsidR="00C30067" w:rsidRPr="00F37D51" w:rsidRDefault="00C30067" w:rsidP="00AE3ED1">
            <w:pPr>
              <w:spacing w:after="120"/>
              <w:ind w:right="-321"/>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Pr>
                <w:rFonts w:asciiTheme="minorHAnsi" w:hAnsiTheme="minorHAnsi" w:cstheme="minorHAnsi"/>
                <w:b/>
                <w:sz w:val="24"/>
                <w:szCs w:val="22"/>
                <w:lang w:val="en-GB"/>
              </w:rPr>
              <w:t>2</w:t>
            </w:r>
            <w:r w:rsidR="0059239D">
              <w:rPr>
                <w:rFonts w:asciiTheme="minorHAnsi" w:hAnsiTheme="minorHAnsi" w:cstheme="minorHAnsi"/>
                <w:b/>
                <w:sz w:val="24"/>
                <w:szCs w:val="22"/>
                <w:lang w:val="en-GB"/>
              </w:rPr>
              <w:t>2</w:t>
            </w:r>
          </w:p>
        </w:tc>
        <w:tc>
          <w:tcPr>
            <w:tcW w:w="7479" w:type="dxa"/>
          </w:tcPr>
          <w:p w14:paraId="516BEF03" w14:textId="789A1F07" w:rsidR="008D514B" w:rsidRPr="00F37D51" w:rsidRDefault="000B07FB" w:rsidP="00AE3ED1">
            <w:pPr>
              <w:spacing w:after="120"/>
              <w:ind w:right="-142"/>
              <w:rPr>
                <w:rFonts w:asciiTheme="minorHAnsi" w:hAnsiTheme="minorHAnsi" w:cstheme="minorHAnsi"/>
                <w:sz w:val="24"/>
                <w:szCs w:val="22"/>
                <w:lang w:val="en-GB"/>
              </w:rPr>
            </w:pPr>
            <w:r>
              <w:rPr>
                <w:rFonts w:asciiTheme="minorHAnsi" w:hAnsiTheme="minorHAnsi" w:cstheme="minorHAnsi"/>
                <w:sz w:val="24"/>
                <w:szCs w:val="22"/>
                <w:lang w:val="en-GB"/>
              </w:rPr>
              <w:t xml:space="preserve">The </w:t>
            </w:r>
            <w:r w:rsidR="00C32315">
              <w:rPr>
                <w:rFonts w:asciiTheme="minorHAnsi" w:hAnsiTheme="minorHAnsi" w:cstheme="minorHAnsi"/>
                <w:sz w:val="24"/>
                <w:szCs w:val="22"/>
                <w:lang w:val="en-GB"/>
              </w:rPr>
              <w:t>OTA through the TSANZ</w:t>
            </w:r>
            <w:r w:rsidR="00C30067" w:rsidRPr="00F37D51">
              <w:rPr>
                <w:rFonts w:asciiTheme="minorHAnsi" w:hAnsiTheme="minorHAnsi" w:cstheme="minorHAnsi"/>
                <w:sz w:val="24"/>
                <w:szCs w:val="22"/>
                <w:lang w:val="en-GB"/>
              </w:rPr>
              <w:t>, should undertake a review and revision of the national standards for donor organ assessment</w:t>
            </w:r>
            <w:r w:rsidR="00C30067">
              <w:rPr>
                <w:rFonts w:asciiTheme="minorHAnsi" w:hAnsiTheme="minorHAnsi" w:cstheme="minorHAnsi"/>
                <w:sz w:val="24"/>
                <w:szCs w:val="22"/>
                <w:lang w:val="en-GB"/>
              </w:rPr>
              <w:t xml:space="preserve"> and medical suitability</w:t>
            </w:r>
            <w:r w:rsidR="00C30067" w:rsidRPr="00F37D51">
              <w:rPr>
                <w:rFonts w:asciiTheme="minorHAnsi" w:hAnsiTheme="minorHAnsi" w:cstheme="minorHAnsi"/>
                <w:sz w:val="24"/>
                <w:szCs w:val="22"/>
                <w:lang w:val="en-GB"/>
              </w:rPr>
              <w:t xml:space="preserve"> </w:t>
            </w:r>
            <w:r w:rsidR="00F46F81">
              <w:rPr>
                <w:rFonts w:asciiTheme="minorHAnsi" w:hAnsiTheme="minorHAnsi" w:cstheme="minorHAnsi"/>
                <w:sz w:val="24"/>
                <w:szCs w:val="22"/>
                <w:lang w:val="en-GB"/>
              </w:rPr>
              <w:t>of donors.</w:t>
            </w:r>
          </w:p>
        </w:tc>
      </w:tr>
    </w:tbl>
    <w:p w14:paraId="59BA99E3" w14:textId="248FF135" w:rsidR="00C30067" w:rsidRPr="00266A77" w:rsidRDefault="00C30067" w:rsidP="00C30067">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632" w:name="_Ref527625836"/>
      <w:r w:rsidRPr="00266A77">
        <w:rPr>
          <w:rFonts w:asciiTheme="minorHAnsi" w:hAnsiTheme="minorHAnsi" w:cstheme="minorHAnsi"/>
          <w:b w:val="0"/>
          <w:color w:val="7F7F7F" w:themeColor="text1" w:themeTint="80"/>
          <w:sz w:val="30"/>
          <w:szCs w:val="30"/>
        </w:rPr>
        <w:t>The Australian Organ Donor Register</w:t>
      </w:r>
      <w:bookmarkEnd w:id="632"/>
    </w:p>
    <w:p w14:paraId="66AE7540" w14:textId="77777777" w:rsidR="00C30067" w:rsidRPr="00266A77" w:rsidRDefault="00C30067" w:rsidP="00C30067">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Discussion of findings</w:t>
      </w:r>
    </w:p>
    <w:p w14:paraId="4DD505A5" w14:textId="77777777" w:rsidR="005649BA" w:rsidRDefault="00C30067" w:rsidP="005649BA">
      <w:pPr>
        <w:spacing w:after="120"/>
        <w:rPr>
          <w:rFonts w:asciiTheme="minorHAnsi" w:hAnsiTheme="minorHAnsi" w:cstheme="minorHAnsi"/>
          <w:sz w:val="24"/>
          <w:szCs w:val="22"/>
          <w:lang w:val="en-GB"/>
        </w:rPr>
      </w:pPr>
      <w:r w:rsidRPr="005F5BB1">
        <w:rPr>
          <w:rFonts w:asciiTheme="minorHAnsi" w:hAnsiTheme="minorHAnsi" w:cstheme="minorHAnsi"/>
          <w:sz w:val="24"/>
          <w:szCs w:val="22"/>
          <w:lang w:val="en-GB"/>
        </w:rPr>
        <w:t>The A</w:t>
      </w:r>
      <w:r>
        <w:rPr>
          <w:rFonts w:asciiTheme="minorHAnsi" w:hAnsiTheme="minorHAnsi" w:cstheme="minorHAnsi"/>
          <w:sz w:val="24"/>
          <w:szCs w:val="22"/>
          <w:lang w:val="en-GB"/>
        </w:rPr>
        <w:t>ustralian Organ Donor Register (AODR)</w:t>
      </w:r>
      <w:r w:rsidRPr="005F5BB1">
        <w:rPr>
          <w:rFonts w:asciiTheme="minorHAnsi" w:hAnsiTheme="minorHAnsi" w:cstheme="minorHAnsi"/>
          <w:sz w:val="24"/>
          <w:szCs w:val="22"/>
          <w:lang w:val="en-GB"/>
        </w:rPr>
        <w:t xml:space="preserve"> is the only national register for </w:t>
      </w:r>
      <w:r>
        <w:rPr>
          <w:rFonts w:asciiTheme="minorHAnsi" w:hAnsiTheme="minorHAnsi" w:cstheme="minorHAnsi"/>
          <w:sz w:val="24"/>
          <w:szCs w:val="22"/>
          <w:lang w:val="en-GB"/>
        </w:rPr>
        <w:t>Australians</w:t>
      </w:r>
      <w:r w:rsidRPr="005F5BB1">
        <w:rPr>
          <w:rFonts w:asciiTheme="minorHAnsi" w:hAnsiTheme="minorHAnsi" w:cstheme="minorHAnsi"/>
          <w:sz w:val="24"/>
          <w:szCs w:val="22"/>
          <w:lang w:val="en-GB"/>
        </w:rPr>
        <w:t xml:space="preserve"> to record their decision about becoming an organ and tissue donor for transplantation after death.</w:t>
      </w:r>
      <w:r w:rsidR="005649BA">
        <w:rPr>
          <w:rFonts w:asciiTheme="minorHAnsi" w:hAnsiTheme="minorHAnsi" w:cstheme="minorHAnsi"/>
          <w:sz w:val="24"/>
          <w:szCs w:val="22"/>
          <w:lang w:val="en-GB"/>
        </w:rPr>
        <w:t xml:space="preserve"> </w:t>
      </w:r>
      <w:r w:rsidR="0084734A">
        <w:rPr>
          <w:rFonts w:asciiTheme="minorHAnsi" w:hAnsiTheme="minorHAnsi" w:cstheme="minorHAnsi"/>
          <w:sz w:val="24"/>
          <w:szCs w:val="22"/>
          <w:lang w:val="en-GB"/>
        </w:rPr>
        <w:t>In</w:t>
      </w:r>
      <w:r w:rsidR="005649BA" w:rsidRPr="005649BA">
        <w:rPr>
          <w:rFonts w:asciiTheme="minorHAnsi" w:hAnsiTheme="minorHAnsi" w:cstheme="minorHAnsi"/>
          <w:sz w:val="24"/>
          <w:szCs w:val="22"/>
          <w:lang w:val="en-GB"/>
        </w:rPr>
        <w:t xml:space="preserve"> 2004–05, the Australian Heal</w:t>
      </w:r>
      <w:r w:rsidR="005649BA">
        <w:rPr>
          <w:rFonts w:asciiTheme="minorHAnsi" w:hAnsiTheme="minorHAnsi" w:cstheme="minorHAnsi"/>
          <w:sz w:val="24"/>
          <w:szCs w:val="22"/>
          <w:lang w:val="en-GB"/>
        </w:rPr>
        <w:t xml:space="preserve">th Ministers’ Conference </w:t>
      </w:r>
      <w:r w:rsidR="0084734A">
        <w:rPr>
          <w:rFonts w:asciiTheme="minorHAnsi" w:hAnsiTheme="minorHAnsi" w:cstheme="minorHAnsi"/>
          <w:sz w:val="24"/>
          <w:szCs w:val="22"/>
          <w:lang w:val="en-GB"/>
        </w:rPr>
        <w:t>agreed</w:t>
      </w:r>
      <w:r w:rsidR="0084734A" w:rsidRPr="005649BA">
        <w:rPr>
          <w:rFonts w:asciiTheme="minorHAnsi" w:hAnsiTheme="minorHAnsi" w:cstheme="minorHAnsi"/>
          <w:sz w:val="24"/>
          <w:szCs w:val="22"/>
          <w:lang w:val="en-GB"/>
        </w:rPr>
        <w:t xml:space="preserve"> </w:t>
      </w:r>
      <w:r w:rsidR="005649BA" w:rsidRPr="005649BA">
        <w:rPr>
          <w:rFonts w:asciiTheme="minorHAnsi" w:hAnsiTheme="minorHAnsi" w:cstheme="minorHAnsi"/>
          <w:sz w:val="24"/>
          <w:szCs w:val="22"/>
          <w:lang w:val="en-GB"/>
        </w:rPr>
        <w:t>that the</w:t>
      </w:r>
      <w:r w:rsidR="005649BA">
        <w:rPr>
          <w:rFonts w:asciiTheme="minorHAnsi" w:hAnsiTheme="minorHAnsi" w:cstheme="minorHAnsi"/>
          <w:sz w:val="24"/>
          <w:szCs w:val="22"/>
          <w:lang w:val="en-GB"/>
        </w:rPr>
        <w:t xml:space="preserve"> </w:t>
      </w:r>
      <w:r w:rsidR="005649BA" w:rsidRPr="005649BA">
        <w:rPr>
          <w:rFonts w:asciiTheme="minorHAnsi" w:hAnsiTheme="minorHAnsi" w:cstheme="minorHAnsi"/>
          <w:sz w:val="24"/>
          <w:szCs w:val="22"/>
          <w:lang w:val="en-GB"/>
        </w:rPr>
        <w:t>AODR would be changed from a register of intent to a register of consent. The stated aim of</w:t>
      </w:r>
      <w:r w:rsidR="005649BA">
        <w:rPr>
          <w:rFonts w:asciiTheme="minorHAnsi" w:hAnsiTheme="minorHAnsi" w:cstheme="minorHAnsi"/>
          <w:sz w:val="24"/>
          <w:szCs w:val="22"/>
          <w:lang w:val="en-GB"/>
        </w:rPr>
        <w:t xml:space="preserve"> </w:t>
      </w:r>
      <w:r w:rsidR="005649BA" w:rsidRPr="005649BA">
        <w:rPr>
          <w:rFonts w:asciiTheme="minorHAnsi" w:hAnsiTheme="minorHAnsi" w:cstheme="minorHAnsi"/>
          <w:sz w:val="24"/>
          <w:szCs w:val="22"/>
          <w:lang w:val="en-GB"/>
        </w:rPr>
        <w:t>this change was ‘to ensure that the known wishes of the deceased, whether consenting or</w:t>
      </w:r>
      <w:r w:rsidR="005649BA">
        <w:rPr>
          <w:rFonts w:asciiTheme="minorHAnsi" w:hAnsiTheme="minorHAnsi" w:cstheme="minorHAnsi"/>
          <w:sz w:val="24"/>
          <w:szCs w:val="22"/>
          <w:lang w:val="en-GB"/>
        </w:rPr>
        <w:t xml:space="preserve"> </w:t>
      </w:r>
      <w:r w:rsidR="005649BA" w:rsidRPr="005649BA">
        <w:rPr>
          <w:rFonts w:asciiTheme="minorHAnsi" w:hAnsiTheme="minorHAnsi" w:cstheme="minorHAnsi"/>
          <w:sz w:val="24"/>
          <w:szCs w:val="22"/>
          <w:lang w:val="en-GB"/>
        </w:rPr>
        <w:t>objecting, are respected and followed through’</w:t>
      </w:r>
      <w:r w:rsidR="005649BA">
        <w:rPr>
          <w:rFonts w:asciiTheme="minorHAnsi" w:hAnsiTheme="minorHAnsi" w:cstheme="minorHAnsi"/>
          <w:sz w:val="24"/>
          <w:szCs w:val="22"/>
          <w:lang w:val="en-GB"/>
        </w:rPr>
        <w:t>.</w:t>
      </w:r>
      <w:r w:rsidR="005649BA">
        <w:rPr>
          <w:rStyle w:val="FootnoteReference"/>
          <w:rFonts w:cstheme="minorHAnsi"/>
          <w:lang w:val="en-GB"/>
        </w:rPr>
        <w:footnoteReference w:id="128"/>
      </w:r>
    </w:p>
    <w:p w14:paraId="00466C47" w14:textId="019C0F32" w:rsidR="00C30067" w:rsidRDefault="00C30067" w:rsidP="00C30067">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In July 2018, South Australia (68 per cent) and Tasmania (48 per cent) had the highest proportion of their population registered on the AODR. The Northern Territory (12 per cent) and Victoria (24 per cent) had the lowest number registered. </w:t>
      </w:r>
      <w:r>
        <w:rPr>
          <w:rFonts w:asciiTheme="minorHAnsi" w:hAnsiTheme="minorHAnsi" w:cstheme="minorHAnsi"/>
          <w:sz w:val="24"/>
          <w:szCs w:val="22"/>
          <w:lang w:val="en-GB"/>
        </w:rPr>
        <w:fldChar w:fldCharType="begin"/>
      </w:r>
      <w:r>
        <w:rPr>
          <w:rFonts w:asciiTheme="minorHAnsi" w:hAnsiTheme="minorHAnsi" w:cstheme="minorHAnsi"/>
          <w:sz w:val="24"/>
          <w:szCs w:val="22"/>
          <w:lang w:val="en-GB"/>
        </w:rPr>
        <w:instrText xml:space="preserve"> REF _Ref527547373 \h  \* MERGEFORMAT </w:instrText>
      </w:r>
      <w:r>
        <w:rPr>
          <w:rFonts w:asciiTheme="minorHAnsi" w:hAnsiTheme="minorHAnsi" w:cstheme="minorHAnsi"/>
          <w:sz w:val="24"/>
          <w:szCs w:val="22"/>
          <w:lang w:val="en-GB"/>
        </w:rPr>
      </w:r>
      <w:r>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Table 19</w:t>
      </w:r>
      <w:r>
        <w:rPr>
          <w:rFonts w:asciiTheme="minorHAnsi" w:hAnsiTheme="minorHAnsi" w:cstheme="minorHAnsi"/>
          <w:sz w:val="24"/>
          <w:szCs w:val="22"/>
          <w:lang w:val="en-GB"/>
        </w:rPr>
        <w:fldChar w:fldCharType="end"/>
      </w:r>
      <w:r>
        <w:rPr>
          <w:rFonts w:asciiTheme="minorHAnsi" w:hAnsiTheme="minorHAnsi" w:cstheme="minorHAnsi"/>
          <w:sz w:val="24"/>
          <w:szCs w:val="22"/>
          <w:lang w:val="en-GB"/>
        </w:rPr>
        <w:t xml:space="preserve"> </w:t>
      </w:r>
      <w:r w:rsidR="000734A7">
        <w:rPr>
          <w:rFonts w:asciiTheme="minorHAnsi" w:hAnsiTheme="minorHAnsi" w:cstheme="minorHAnsi"/>
          <w:sz w:val="24"/>
          <w:szCs w:val="22"/>
          <w:lang w:val="en-GB"/>
        </w:rPr>
        <w:t>demonstrates</w:t>
      </w:r>
      <w:r>
        <w:rPr>
          <w:rFonts w:asciiTheme="minorHAnsi" w:hAnsiTheme="minorHAnsi" w:cstheme="minorHAnsi"/>
          <w:sz w:val="24"/>
          <w:szCs w:val="22"/>
          <w:lang w:val="en-GB"/>
        </w:rPr>
        <w:t xml:space="preserve"> the number of registrations on the AODR by state and territory, as at July 2018. Figures include both intent and valid consent registrations. </w:t>
      </w:r>
    </w:p>
    <w:p w14:paraId="28B49166" w14:textId="77777777" w:rsidR="00C30067" w:rsidRPr="004938CA" w:rsidRDefault="00C30067" w:rsidP="00C30067">
      <w:pPr>
        <w:pStyle w:val="Caption"/>
        <w:keepNext/>
        <w:widowControl/>
        <w:spacing w:after="120"/>
        <w:rPr>
          <w:rFonts w:asciiTheme="minorHAnsi" w:hAnsiTheme="minorHAnsi" w:cstheme="minorHAnsi"/>
          <w:b w:val="0"/>
          <w:color w:val="808080"/>
          <w:sz w:val="20"/>
        </w:rPr>
      </w:pPr>
      <w:bookmarkStart w:id="633" w:name="_Ref527547373"/>
      <w:r w:rsidRPr="004938CA">
        <w:rPr>
          <w:rFonts w:asciiTheme="minorHAnsi" w:hAnsiTheme="minorHAnsi" w:cstheme="minorHAnsi"/>
          <w:b w:val="0"/>
          <w:color w:val="808080"/>
          <w:sz w:val="20"/>
        </w:rPr>
        <w:t xml:space="preserve">Table </w:t>
      </w:r>
      <w:r w:rsidRPr="004938CA">
        <w:rPr>
          <w:rFonts w:asciiTheme="minorHAnsi" w:hAnsiTheme="minorHAnsi" w:cstheme="minorHAnsi"/>
          <w:b w:val="0"/>
          <w:color w:val="808080"/>
          <w:sz w:val="20"/>
        </w:rPr>
        <w:fldChar w:fldCharType="begin"/>
      </w:r>
      <w:r w:rsidRPr="004938CA">
        <w:rPr>
          <w:rFonts w:asciiTheme="minorHAnsi" w:hAnsiTheme="minorHAnsi" w:cstheme="minorHAnsi"/>
          <w:b w:val="0"/>
          <w:color w:val="808080"/>
          <w:sz w:val="20"/>
        </w:rPr>
        <w:instrText xml:space="preserve"> SEQ Table \* ARABIC </w:instrText>
      </w:r>
      <w:r w:rsidRPr="004938CA">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19</w:t>
      </w:r>
      <w:r w:rsidRPr="004938CA">
        <w:rPr>
          <w:rFonts w:asciiTheme="minorHAnsi" w:hAnsiTheme="minorHAnsi" w:cstheme="minorHAnsi"/>
          <w:b w:val="0"/>
          <w:color w:val="808080"/>
          <w:sz w:val="20"/>
        </w:rPr>
        <w:fldChar w:fldCharType="end"/>
      </w:r>
      <w:bookmarkEnd w:id="633"/>
      <w:r w:rsidRPr="004938CA">
        <w:rPr>
          <w:rFonts w:asciiTheme="minorHAnsi" w:hAnsiTheme="minorHAnsi" w:cstheme="minorHAnsi"/>
          <w:b w:val="0"/>
          <w:color w:val="808080"/>
          <w:sz w:val="20"/>
        </w:rPr>
        <w:t>: AODR</w:t>
      </w:r>
      <w:r w:rsidR="007A0C20">
        <w:rPr>
          <w:rFonts w:asciiTheme="minorHAnsi" w:hAnsiTheme="minorHAnsi" w:cstheme="minorHAnsi"/>
          <w:b w:val="0"/>
          <w:color w:val="808080"/>
          <w:sz w:val="20"/>
        </w:rPr>
        <w:t xml:space="preserve"> Registrations July 2018, SOURCE</w:t>
      </w:r>
      <w:r w:rsidRPr="004938CA">
        <w:rPr>
          <w:rFonts w:asciiTheme="minorHAnsi" w:hAnsiTheme="minorHAnsi" w:cstheme="minorHAnsi"/>
          <w:b w:val="0"/>
          <w:color w:val="808080"/>
          <w:sz w:val="20"/>
        </w:rPr>
        <w:t xml:space="preserve">: </w:t>
      </w:r>
      <w:r w:rsidR="008C7E73">
        <w:rPr>
          <w:rFonts w:asciiTheme="minorHAnsi" w:hAnsiTheme="minorHAnsi" w:cstheme="minorHAnsi"/>
          <w:b w:val="0"/>
          <w:color w:val="808080"/>
          <w:sz w:val="20"/>
        </w:rPr>
        <w:t xml:space="preserve">Australian Government </w:t>
      </w:r>
      <w:r w:rsidRPr="004938CA">
        <w:rPr>
          <w:rFonts w:asciiTheme="minorHAnsi" w:hAnsiTheme="minorHAnsi" w:cstheme="minorHAnsi"/>
          <w:b w:val="0"/>
          <w:color w:val="808080"/>
          <w:sz w:val="20"/>
        </w:rPr>
        <w:t xml:space="preserve">Department of Human </w:t>
      </w:r>
      <w:r w:rsidRPr="003A517E">
        <w:rPr>
          <w:rFonts w:asciiTheme="minorHAnsi" w:hAnsiTheme="minorHAnsi" w:cstheme="minorHAnsi"/>
          <w:b w:val="0"/>
          <w:color w:val="7F7F7F" w:themeColor="text1" w:themeTint="80"/>
          <w:sz w:val="20"/>
        </w:rPr>
        <w:t>Services</w:t>
      </w:r>
      <w:r w:rsidR="00347EB9" w:rsidRPr="003A517E">
        <w:rPr>
          <w:rStyle w:val="FootnoteReference"/>
          <w:rFonts w:cstheme="minorHAnsi"/>
          <w:color w:val="7F7F7F" w:themeColor="text1" w:themeTint="80"/>
          <w:lang w:val="en-GB"/>
        </w:rPr>
        <w:footnoteReference w:id="129"/>
      </w:r>
    </w:p>
    <w:tbl>
      <w:tblPr>
        <w:tblW w:w="4822"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130"/>
        <w:gridCol w:w="3968"/>
        <w:gridCol w:w="1701"/>
        <w:gridCol w:w="2464"/>
      </w:tblGrid>
      <w:tr w:rsidR="00C30067" w:rsidRPr="008E083E" w14:paraId="2DD49628" w14:textId="77777777" w:rsidTr="008E083E">
        <w:trPr>
          <w:trHeight w:val="711"/>
          <w:tblHeader/>
        </w:trPr>
        <w:tc>
          <w:tcPr>
            <w:tcW w:w="610" w:type="pct"/>
            <w:shd w:val="clear" w:color="auto" w:fill="595959" w:themeFill="text1" w:themeFillTint="A6"/>
            <w:noWrap/>
            <w:vAlign w:val="center"/>
            <w:hideMark/>
          </w:tcPr>
          <w:p w14:paraId="323AB2F9" w14:textId="77777777" w:rsidR="00C30067" w:rsidRPr="008E083E" w:rsidRDefault="00C30067" w:rsidP="00F526D8">
            <w:pPr>
              <w:widowControl/>
              <w:autoSpaceDE/>
              <w:autoSpaceDN/>
              <w:adjustRightInd/>
              <w:spacing w:before="60" w:after="60"/>
              <w:rPr>
                <w:rFonts w:asciiTheme="minorHAnsi" w:hAnsiTheme="minorHAnsi" w:cstheme="minorHAnsi"/>
                <w:b/>
                <w:bCs/>
                <w:color w:val="FFFFFF" w:themeColor="background1"/>
                <w:lang w:eastAsia="en-AU"/>
              </w:rPr>
            </w:pPr>
            <w:r w:rsidRPr="008E083E">
              <w:rPr>
                <w:rFonts w:asciiTheme="minorHAnsi" w:hAnsiTheme="minorHAnsi" w:cstheme="minorHAnsi"/>
                <w:b/>
                <w:bCs/>
                <w:color w:val="FFFFFF" w:themeColor="background1"/>
                <w:lang w:eastAsia="en-AU"/>
              </w:rPr>
              <w:t>State  </w:t>
            </w:r>
          </w:p>
        </w:tc>
        <w:tc>
          <w:tcPr>
            <w:tcW w:w="2142" w:type="pct"/>
            <w:shd w:val="clear" w:color="auto" w:fill="595959" w:themeFill="text1" w:themeFillTint="A6"/>
            <w:vAlign w:val="center"/>
            <w:hideMark/>
          </w:tcPr>
          <w:p w14:paraId="10F0D62C" w14:textId="77777777" w:rsidR="00C30067" w:rsidRPr="008E083E" w:rsidRDefault="00C30067" w:rsidP="00F526D8">
            <w:pPr>
              <w:widowControl/>
              <w:autoSpaceDE/>
              <w:autoSpaceDN/>
              <w:adjustRightInd/>
              <w:spacing w:before="60" w:after="60"/>
              <w:jc w:val="center"/>
              <w:rPr>
                <w:rFonts w:asciiTheme="minorHAnsi" w:hAnsiTheme="minorHAnsi" w:cstheme="minorHAnsi"/>
                <w:b/>
                <w:color w:val="FFFFFF" w:themeColor="background1"/>
                <w:lang w:eastAsia="en-AU"/>
              </w:rPr>
            </w:pPr>
            <w:r w:rsidRPr="008E083E">
              <w:rPr>
                <w:rFonts w:asciiTheme="minorHAnsi" w:hAnsiTheme="minorHAnsi" w:cstheme="minorHAnsi"/>
                <w:b/>
                <w:color w:val="FFFFFF" w:themeColor="background1"/>
                <w:lang w:eastAsia="en-AU"/>
              </w:rPr>
              <w:t xml:space="preserve">Total number of Registrations </w:t>
            </w:r>
            <w:r w:rsidRPr="008E083E">
              <w:rPr>
                <w:rFonts w:asciiTheme="minorHAnsi" w:hAnsiTheme="minorHAnsi" w:cstheme="minorHAnsi"/>
                <w:b/>
                <w:color w:val="FFFFFF" w:themeColor="background1"/>
                <w:lang w:eastAsia="en-AU"/>
              </w:rPr>
              <w:br/>
            </w:r>
            <w:r w:rsidRPr="008E083E">
              <w:rPr>
                <w:rFonts w:asciiTheme="minorHAnsi" w:hAnsiTheme="minorHAnsi" w:cstheme="minorHAnsi"/>
                <w:color w:val="FFFFFF" w:themeColor="background1"/>
                <w:lang w:eastAsia="en-AU"/>
              </w:rPr>
              <w:t>*includes intent and valid consent registrations</w:t>
            </w:r>
          </w:p>
        </w:tc>
        <w:tc>
          <w:tcPr>
            <w:tcW w:w="918" w:type="pct"/>
            <w:shd w:val="clear" w:color="auto" w:fill="595959" w:themeFill="text1" w:themeFillTint="A6"/>
            <w:noWrap/>
            <w:vAlign w:val="center"/>
            <w:hideMark/>
          </w:tcPr>
          <w:p w14:paraId="0255160D" w14:textId="77777777" w:rsidR="00C30067" w:rsidRPr="008E083E" w:rsidRDefault="00C30067" w:rsidP="00F526D8">
            <w:pPr>
              <w:widowControl/>
              <w:autoSpaceDE/>
              <w:autoSpaceDN/>
              <w:adjustRightInd/>
              <w:spacing w:before="60" w:after="60"/>
              <w:jc w:val="center"/>
              <w:rPr>
                <w:rFonts w:asciiTheme="minorHAnsi" w:hAnsiTheme="minorHAnsi" w:cstheme="minorHAnsi"/>
                <w:b/>
                <w:color w:val="FFFFFF" w:themeColor="background1"/>
                <w:lang w:eastAsia="en-AU"/>
              </w:rPr>
            </w:pPr>
            <w:r w:rsidRPr="008E083E">
              <w:rPr>
                <w:rFonts w:asciiTheme="minorHAnsi" w:hAnsiTheme="minorHAnsi" w:cstheme="minorHAnsi"/>
                <w:b/>
                <w:color w:val="FFFFFF" w:themeColor="background1"/>
                <w:lang w:eastAsia="en-AU"/>
              </w:rPr>
              <w:t>Population</w:t>
            </w:r>
          </w:p>
        </w:tc>
        <w:tc>
          <w:tcPr>
            <w:tcW w:w="1330" w:type="pct"/>
            <w:shd w:val="clear" w:color="auto" w:fill="595959" w:themeFill="text1" w:themeFillTint="A6"/>
            <w:noWrap/>
            <w:vAlign w:val="center"/>
            <w:hideMark/>
          </w:tcPr>
          <w:p w14:paraId="153BAFD1" w14:textId="77777777" w:rsidR="00C30067" w:rsidRPr="008E083E" w:rsidRDefault="00C30067" w:rsidP="00F526D8">
            <w:pPr>
              <w:widowControl/>
              <w:autoSpaceDE/>
              <w:autoSpaceDN/>
              <w:adjustRightInd/>
              <w:spacing w:before="60" w:after="60"/>
              <w:jc w:val="center"/>
              <w:rPr>
                <w:rFonts w:asciiTheme="minorHAnsi" w:hAnsiTheme="minorHAnsi" w:cstheme="minorHAnsi"/>
                <w:b/>
                <w:color w:val="FFFFFF" w:themeColor="background1"/>
                <w:lang w:eastAsia="en-AU"/>
              </w:rPr>
            </w:pPr>
            <w:r w:rsidRPr="008E083E">
              <w:rPr>
                <w:rFonts w:asciiTheme="minorHAnsi" w:hAnsiTheme="minorHAnsi" w:cstheme="minorHAnsi"/>
                <w:b/>
                <w:color w:val="FFFFFF" w:themeColor="background1"/>
                <w:lang w:eastAsia="en-AU"/>
              </w:rPr>
              <w:t>Percentage of population registered on AODR</w:t>
            </w:r>
          </w:p>
        </w:tc>
      </w:tr>
      <w:tr w:rsidR="00C30067" w:rsidRPr="008E083E" w14:paraId="1F011F73" w14:textId="77777777" w:rsidTr="008E083E">
        <w:trPr>
          <w:trHeight w:val="290"/>
        </w:trPr>
        <w:tc>
          <w:tcPr>
            <w:tcW w:w="610" w:type="pct"/>
            <w:shd w:val="clear" w:color="auto" w:fill="auto"/>
            <w:noWrap/>
            <w:vAlign w:val="center"/>
            <w:hideMark/>
          </w:tcPr>
          <w:p w14:paraId="4F9153F9" w14:textId="77777777" w:rsidR="00C30067" w:rsidRPr="008E083E" w:rsidRDefault="00C30067" w:rsidP="00F526D8">
            <w:pPr>
              <w:widowControl/>
              <w:autoSpaceDE/>
              <w:autoSpaceDN/>
              <w:adjustRightInd/>
              <w:spacing w:before="60" w:after="60"/>
              <w:rPr>
                <w:rFonts w:asciiTheme="minorHAnsi" w:hAnsiTheme="minorHAnsi" w:cstheme="minorHAnsi"/>
                <w:bCs/>
                <w:color w:val="000000" w:themeColor="text1"/>
                <w:lang w:eastAsia="en-AU"/>
              </w:rPr>
            </w:pPr>
            <w:r w:rsidRPr="008E083E">
              <w:rPr>
                <w:rFonts w:asciiTheme="minorHAnsi" w:hAnsiTheme="minorHAnsi" w:cstheme="minorHAnsi"/>
                <w:bCs/>
                <w:color w:val="000000" w:themeColor="text1"/>
                <w:lang w:eastAsia="en-AU"/>
              </w:rPr>
              <w:t>SA</w:t>
            </w:r>
          </w:p>
        </w:tc>
        <w:tc>
          <w:tcPr>
            <w:tcW w:w="2142" w:type="pct"/>
            <w:shd w:val="clear" w:color="auto" w:fill="auto"/>
            <w:noWrap/>
            <w:vAlign w:val="center"/>
            <w:hideMark/>
          </w:tcPr>
          <w:p w14:paraId="154F5053"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952,197</w:t>
            </w:r>
          </w:p>
        </w:tc>
        <w:tc>
          <w:tcPr>
            <w:tcW w:w="918" w:type="pct"/>
            <w:shd w:val="clear" w:color="auto" w:fill="auto"/>
            <w:noWrap/>
            <w:vAlign w:val="center"/>
            <w:hideMark/>
          </w:tcPr>
          <w:p w14:paraId="1EC943F7"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1,398,432</w:t>
            </w:r>
          </w:p>
        </w:tc>
        <w:tc>
          <w:tcPr>
            <w:tcW w:w="1330" w:type="pct"/>
            <w:shd w:val="clear" w:color="auto" w:fill="auto"/>
            <w:noWrap/>
            <w:vAlign w:val="center"/>
            <w:hideMark/>
          </w:tcPr>
          <w:p w14:paraId="2A411CF8"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68%</w:t>
            </w:r>
          </w:p>
        </w:tc>
      </w:tr>
      <w:tr w:rsidR="00C30067" w:rsidRPr="008E083E" w14:paraId="7C3959D9" w14:textId="77777777" w:rsidTr="008E083E">
        <w:trPr>
          <w:trHeight w:val="290"/>
        </w:trPr>
        <w:tc>
          <w:tcPr>
            <w:tcW w:w="610" w:type="pct"/>
            <w:shd w:val="clear" w:color="auto" w:fill="auto"/>
            <w:noWrap/>
            <w:vAlign w:val="center"/>
            <w:hideMark/>
          </w:tcPr>
          <w:p w14:paraId="092051F4" w14:textId="77777777" w:rsidR="00C30067" w:rsidRPr="008E083E" w:rsidRDefault="00C30067" w:rsidP="00F526D8">
            <w:pPr>
              <w:widowControl/>
              <w:autoSpaceDE/>
              <w:autoSpaceDN/>
              <w:adjustRightInd/>
              <w:spacing w:before="60" w:after="60"/>
              <w:rPr>
                <w:rFonts w:asciiTheme="minorHAnsi" w:hAnsiTheme="minorHAnsi" w:cstheme="minorHAnsi"/>
                <w:bCs/>
                <w:color w:val="000000" w:themeColor="text1"/>
                <w:lang w:eastAsia="en-AU"/>
              </w:rPr>
            </w:pPr>
            <w:r w:rsidRPr="008E083E">
              <w:rPr>
                <w:rFonts w:asciiTheme="minorHAnsi" w:hAnsiTheme="minorHAnsi" w:cstheme="minorHAnsi"/>
                <w:bCs/>
                <w:color w:val="000000" w:themeColor="text1"/>
                <w:lang w:eastAsia="en-AU"/>
              </w:rPr>
              <w:t>TAS</w:t>
            </w:r>
          </w:p>
        </w:tc>
        <w:tc>
          <w:tcPr>
            <w:tcW w:w="2142" w:type="pct"/>
            <w:shd w:val="clear" w:color="auto" w:fill="auto"/>
            <w:noWrap/>
            <w:vAlign w:val="center"/>
            <w:hideMark/>
          </w:tcPr>
          <w:p w14:paraId="37F4A295"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203,672</w:t>
            </w:r>
          </w:p>
        </w:tc>
        <w:tc>
          <w:tcPr>
            <w:tcW w:w="918" w:type="pct"/>
            <w:shd w:val="clear" w:color="auto" w:fill="auto"/>
            <w:noWrap/>
            <w:vAlign w:val="center"/>
            <w:hideMark/>
          </w:tcPr>
          <w:p w14:paraId="3F0DF6A9"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421,161</w:t>
            </w:r>
          </w:p>
        </w:tc>
        <w:tc>
          <w:tcPr>
            <w:tcW w:w="1330" w:type="pct"/>
            <w:shd w:val="clear" w:color="auto" w:fill="auto"/>
            <w:noWrap/>
            <w:vAlign w:val="center"/>
            <w:hideMark/>
          </w:tcPr>
          <w:p w14:paraId="15BC84A5"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48%</w:t>
            </w:r>
          </w:p>
        </w:tc>
      </w:tr>
      <w:tr w:rsidR="00C30067" w:rsidRPr="008E083E" w14:paraId="56B3A3B7" w14:textId="77777777" w:rsidTr="008E083E">
        <w:trPr>
          <w:trHeight w:val="290"/>
        </w:trPr>
        <w:tc>
          <w:tcPr>
            <w:tcW w:w="610" w:type="pct"/>
            <w:shd w:val="clear" w:color="auto" w:fill="auto"/>
            <w:noWrap/>
            <w:vAlign w:val="center"/>
            <w:hideMark/>
          </w:tcPr>
          <w:p w14:paraId="3F38C49B" w14:textId="77777777" w:rsidR="00C30067" w:rsidRPr="008E083E" w:rsidRDefault="00C30067" w:rsidP="00F526D8">
            <w:pPr>
              <w:widowControl/>
              <w:autoSpaceDE/>
              <w:autoSpaceDN/>
              <w:adjustRightInd/>
              <w:spacing w:before="60" w:after="60"/>
              <w:rPr>
                <w:rFonts w:asciiTheme="minorHAnsi" w:hAnsiTheme="minorHAnsi" w:cstheme="minorHAnsi"/>
                <w:bCs/>
                <w:color w:val="000000" w:themeColor="text1"/>
                <w:lang w:eastAsia="en-AU"/>
              </w:rPr>
            </w:pPr>
            <w:r w:rsidRPr="008E083E">
              <w:rPr>
                <w:rFonts w:asciiTheme="minorHAnsi" w:hAnsiTheme="minorHAnsi" w:cstheme="minorHAnsi"/>
                <w:bCs/>
                <w:color w:val="000000" w:themeColor="text1"/>
                <w:lang w:eastAsia="en-AU"/>
              </w:rPr>
              <w:t>NSW</w:t>
            </w:r>
          </w:p>
        </w:tc>
        <w:tc>
          <w:tcPr>
            <w:tcW w:w="2142" w:type="pct"/>
            <w:shd w:val="clear" w:color="auto" w:fill="auto"/>
            <w:noWrap/>
            <w:vAlign w:val="center"/>
            <w:hideMark/>
          </w:tcPr>
          <w:p w14:paraId="7FDB4200"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2,488,080</w:t>
            </w:r>
          </w:p>
        </w:tc>
        <w:tc>
          <w:tcPr>
            <w:tcW w:w="918" w:type="pct"/>
            <w:shd w:val="clear" w:color="auto" w:fill="auto"/>
            <w:noWrap/>
            <w:vAlign w:val="center"/>
            <w:hideMark/>
          </w:tcPr>
          <w:p w14:paraId="197FF615"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6,306,543</w:t>
            </w:r>
          </w:p>
        </w:tc>
        <w:tc>
          <w:tcPr>
            <w:tcW w:w="1330" w:type="pct"/>
            <w:shd w:val="clear" w:color="auto" w:fill="auto"/>
            <w:noWrap/>
            <w:vAlign w:val="center"/>
            <w:hideMark/>
          </w:tcPr>
          <w:p w14:paraId="5D1055AD"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39%</w:t>
            </w:r>
          </w:p>
        </w:tc>
      </w:tr>
      <w:tr w:rsidR="00C30067" w:rsidRPr="008E083E" w14:paraId="3D4798E7" w14:textId="77777777" w:rsidTr="008E083E">
        <w:trPr>
          <w:trHeight w:val="290"/>
        </w:trPr>
        <w:tc>
          <w:tcPr>
            <w:tcW w:w="610" w:type="pct"/>
            <w:shd w:val="clear" w:color="auto" w:fill="auto"/>
            <w:noWrap/>
            <w:vAlign w:val="center"/>
            <w:hideMark/>
          </w:tcPr>
          <w:p w14:paraId="449C8377" w14:textId="77777777" w:rsidR="00C30067" w:rsidRPr="008E083E" w:rsidRDefault="00C30067" w:rsidP="00F526D8">
            <w:pPr>
              <w:widowControl/>
              <w:autoSpaceDE/>
              <w:autoSpaceDN/>
              <w:adjustRightInd/>
              <w:spacing w:before="60" w:after="60"/>
              <w:rPr>
                <w:rFonts w:asciiTheme="minorHAnsi" w:hAnsiTheme="minorHAnsi" w:cstheme="minorHAnsi"/>
                <w:bCs/>
                <w:color w:val="000000" w:themeColor="text1"/>
                <w:lang w:eastAsia="en-AU"/>
              </w:rPr>
            </w:pPr>
            <w:r w:rsidRPr="008E083E">
              <w:rPr>
                <w:rFonts w:asciiTheme="minorHAnsi" w:hAnsiTheme="minorHAnsi" w:cstheme="minorHAnsi"/>
                <w:bCs/>
                <w:color w:val="000000" w:themeColor="text1"/>
                <w:lang w:eastAsia="en-AU"/>
              </w:rPr>
              <w:t>WA</w:t>
            </w:r>
          </w:p>
        </w:tc>
        <w:tc>
          <w:tcPr>
            <w:tcW w:w="2142" w:type="pct"/>
            <w:shd w:val="clear" w:color="auto" w:fill="auto"/>
            <w:noWrap/>
            <w:vAlign w:val="center"/>
            <w:hideMark/>
          </w:tcPr>
          <w:p w14:paraId="436C39DB"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755,000</w:t>
            </w:r>
          </w:p>
        </w:tc>
        <w:tc>
          <w:tcPr>
            <w:tcW w:w="918" w:type="pct"/>
            <w:shd w:val="clear" w:color="auto" w:fill="auto"/>
            <w:noWrap/>
            <w:vAlign w:val="center"/>
            <w:hideMark/>
          </w:tcPr>
          <w:p w14:paraId="29F4674B"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2,048,146</w:t>
            </w:r>
          </w:p>
        </w:tc>
        <w:tc>
          <w:tcPr>
            <w:tcW w:w="1330" w:type="pct"/>
            <w:shd w:val="clear" w:color="auto" w:fill="auto"/>
            <w:noWrap/>
            <w:vAlign w:val="center"/>
            <w:hideMark/>
          </w:tcPr>
          <w:p w14:paraId="202B6ED5"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37%</w:t>
            </w:r>
          </w:p>
        </w:tc>
      </w:tr>
      <w:tr w:rsidR="00C30067" w:rsidRPr="008E083E" w14:paraId="25A41E97" w14:textId="77777777" w:rsidTr="008E083E">
        <w:trPr>
          <w:trHeight w:val="290"/>
        </w:trPr>
        <w:tc>
          <w:tcPr>
            <w:tcW w:w="610" w:type="pct"/>
            <w:shd w:val="clear" w:color="auto" w:fill="auto"/>
            <w:noWrap/>
            <w:vAlign w:val="center"/>
            <w:hideMark/>
          </w:tcPr>
          <w:p w14:paraId="7EC1A03E" w14:textId="77777777" w:rsidR="00C30067" w:rsidRPr="008E083E" w:rsidRDefault="00C30067" w:rsidP="00F526D8">
            <w:pPr>
              <w:widowControl/>
              <w:autoSpaceDE/>
              <w:autoSpaceDN/>
              <w:adjustRightInd/>
              <w:spacing w:before="60" w:after="60"/>
              <w:rPr>
                <w:rFonts w:asciiTheme="minorHAnsi" w:hAnsiTheme="minorHAnsi" w:cstheme="minorHAnsi"/>
                <w:bCs/>
                <w:color w:val="000000" w:themeColor="text1"/>
                <w:lang w:eastAsia="en-AU"/>
              </w:rPr>
            </w:pPr>
            <w:r w:rsidRPr="008E083E">
              <w:rPr>
                <w:rFonts w:asciiTheme="minorHAnsi" w:hAnsiTheme="minorHAnsi" w:cstheme="minorHAnsi"/>
                <w:bCs/>
                <w:color w:val="000000" w:themeColor="text1"/>
                <w:lang w:eastAsia="en-AU"/>
              </w:rPr>
              <w:t>QLD</w:t>
            </w:r>
          </w:p>
        </w:tc>
        <w:tc>
          <w:tcPr>
            <w:tcW w:w="2142" w:type="pct"/>
            <w:shd w:val="clear" w:color="auto" w:fill="auto"/>
            <w:noWrap/>
            <w:vAlign w:val="center"/>
            <w:hideMark/>
          </w:tcPr>
          <w:p w14:paraId="652D71EB"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1,081,621</w:t>
            </w:r>
          </w:p>
        </w:tc>
        <w:tc>
          <w:tcPr>
            <w:tcW w:w="918" w:type="pct"/>
            <w:shd w:val="clear" w:color="auto" w:fill="auto"/>
            <w:noWrap/>
            <w:vAlign w:val="center"/>
            <w:hideMark/>
          </w:tcPr>
          <w:p w14:paraId="1B7826E8"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3,900,648</w:t>
            </w:r>
          </w:p>
        </w:tc>
        <w:tc>
          <w:tcPr>
            <w:tcW w:w="1330" w:type="pct"/>
            <w:shd w:val="clear" w:color="auto" w:fill="auto"/>
            <w:noWrap/>
            <w:vAlign w:val="center"/>
            <w:hideMark/>
          </w:tcPr>
          <w:p w14:paraId="6B794049"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28%</w:t>
            </w:r>
          </w:p>
        </w:tc>
      </w:tr>
      <w:tr w:rsidR="00C30067" w:rsidRPr="008E083E" w14:paraId="76D8846E" w14:textId="77777777" w:rsidTr="008E083E">
        <w:trPr>
          <w:trHeight w:val="290"/>
        </w:trPr>
        <w:tc>
          <w:tcPr>
            <w:tcW w:w="610" w:type="pct"/>
            <w:shd w:val="clear" w:color="auto" w:fill="auto"/>
            <w:noWrap/>
            <w:vAlign w:val="center"/>
            <w:hideMark/>
          </w:tcPr>
          <w:p w14:paraId="24365A41" w14:textId="77777777" w:rsidR="00C30067" w:rsidRPr="008E083E" w:rsidRDefault="00C30067" w:rsidP="00F526D8">
            <w:pPr>
              <w:widowControl/>
              <w:autoSpaceDE/>
              <w:autoSpaceDN/>
              <w:adjustRightInd/>
              <w:spacing w:before="60" w:after="60"/>
              <w:rPr>
                <w:rFonts w:asciiTheme="minorHAnsi" w:hAnsiTheme="minorHAnsi" w:cstheme="minorHAnsi"/>
                <w:bCs/>
                <w:color w:val="000000" w:themeColor="text1"/>
                <w:lang w:eastAsia="en-AU"/>
              </w:rPr>
            </w:pPr>
            <w:r w:rsidRPr="008E083E">
              <w:rPr>
                <w:rFonts w:asciiTheme="minorHAnsi" w:hAnsiTheme="minorHAnsi" w:cstheme="minorHAnsi"/>
                <w:bCs/>
                <w:color w:val="000000" w:themeColor="text1"/>
                <w:lang w:eastAsia="en-AU"/>
              </w:rPr>
              <w:t>ACT</w:t>
            </w:r>
          </w:p>
        </w:tc>
        <w:tc>
          <w:tcPr>
            <w:tcW w:w="2142" w:type="pct"/>
            <w:shd w:val="clear" w:color="auto" w:fill="auto"/>
            <w:noWrap/>
            <w:vAlign w:val="center"/>
            <w:hideMark/>
          </w:tcPr>
          <w:p w14:paraId="54312975"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77,225</w:t>
            </w:r>
          </w:p>
        </w:tc>
        <w:tc>
          <w:tcPr>
            <w:tcW w:w="918" w:type="pct"/>
            <w:shd w:val="clear" w:color="auto" w:fill="auto"/>
            <w:noWrap/>
            <w:vAlign w:val="center"/>
            <w:hideMark/>
          </w:tcPr>
          <w:p w14:paraId="7D105008"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327,755</w:t>
            </w:r>
          </w:p>
        </w:tc>
        <w:tc>
          <w:tcPr>
            <w:tcW w:w="1330" w:type="pct"/>
            <w:shd w:val="clear" w:color="auto" w:fill="auto"/>
            <w:noWrap/>
            <w:vAlign w:val="center"/>
            <w:hideMark/>
          </w:tcPr>
          <w:p w14:paraId="75DB3DA3"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24%</w:t>
            </w:r>
          </w:p>
        </w:tc>
      </w:tr>
      <w:tr w:rsidR="00C30067" w:rsidRPr="008E083E" w14:paraId="726781D9" w14:textId="77777777" w:rsidTr="008E083E">
        <w:trPr>
          <w:trHeight w:val="290"/>
        </w:trPr>
        <w:tc>
          <w:tcPr>
            <w:tcW w:w="610" w:type="pct"/>
            <w:shd w:val="clear" w:color="auto" w:fill="auto"/>
            <w:noWrap/>
            <w:vAlign w:val="center"/>
            <w:hideMark/>
          </w:tcPr>
          <w:p w14:paraId="6B5D77A7" w14:textId="77777777" w:rsidR="00C30067" w:rsidRPr="008E083E" w:rsidRDefault="00C30067" w:rsidP="00F526D8">
            <w:pPr>
              <w:widowControl/>
              <w:autoSpaceDE/>
              <w:autoSpaceDN/>
              <w:adjustRightInd/>
              <w:spacing w:before="60" w:after="60"/>
              <w:rPr>
                <w:rFonts w:asciiTheme="minorHAnsi" w:hAnsiTheme="minorHAnsi" w:cstheme="minorHAnsi"/>
                <w:bCs/>
                <w:color w:val="000000" w:themeColor="text1"/>
                <w:lang w:eastAsia="en-AU"/>
              </w:rPr>
            </w:pPr>
            <w:r w:rsidRPr="008E083E">
              <w:rPr>
                <w:rFonts w:asciiTheme="minorHAnsi" w:hAnsiTheme="minorHAnsi" w:cstheme="minorHAnsi"/>
                <w:bCs/>
                <w:color w:val="000000" w:themeColor="text1"/>
                <w:lang w:eastAsia="en-AU"/>
              </w:rPr>
              <w:t>VIC</w:t>
            </w:r>
          </w:p>
        </w:tc>
        <w:tc>
          <w:tcPr>
            <w:tcW w:w="2142" w:type="pct"/>
            <w:shd w:val="clear" w:color="auto" w:fill="auto"/>
            <w:noWrap/>
            <w:vAlign w:val="center"/>
            <w:hideMark/>
          </w:tcPr>
          <w:p w14:paraId="7BC44012"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1,002,723</w:t>
            </w:r>
          </w:p>
        </w:tc>
        <w:tc>
          <w:tcPr>
            <w:tcW w:w="918" w:type="pct"/>
            <w:shd w:val="clear" w:color="auto" w:fill="auto"/>
            <w:noWrap/>
            <w:vAlign w:val="center"/>
            <w:hideMark/>
          </w:tcPr>
          <w:p w14:paraId="32DADCDD"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5,087,214</w:t>
            </w:r>
          </w:p>
        </w:tc>
        <w:tc>
          <w:tcPr>
            <w:tcW w:w="1330" w:type="pct"/>
            <w:shd w:val="clear" w:color="auto" w:fill="auto"/>
            <w:noWrap/>
            <w:vAlign w:val="center"/>
            <w:hideMark/>
          </w:tcPr>
          <w:p w14:paraId="1157DA89"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20%</w:t>
            </w:r>
          </w:p>
        </w:tc>
      </w:tr>
      <w:tr w:rsidR="00C30067" w:rsidRPr="008E083E" w14:paraId="444E8BCE" w14:textId="77777777" w:rsidTr="008E083E">
        <w:trPr>
          <w:trHeight w:val="290"/>
        </w:trPr>
        <w:tc>
          <w:tcPr>
            <w:tcW w:w="610" w:type="pct"/>
            <w:shd w:val="clear" w:color="auto" w:fill="auto"/>
            <w:noWrap/>
            <w:vAlign w:val="center"/>
            <w:hideMark/>
          </w:tcPr>
          <w:p w14:paraId="07ED57FF" w14:textId="77777777" w:rsidR="00C30067" w:rsidRPr="008E083E" w:rsidRDefault="00C30067" w:rsidP="00F526D8">
            <w:pPr>
              <w:widowControl/>
              <w:autoSpaceDE/>
              <w:autoSpaceDN/>
              <w:adjustRightInd/>
              <w:spacing w:before="60" w:after="60"/>
              <w:rPr>
                <w:rFonts w:asciiTheme="minorHAnsi" w:hAnsiTheme="minorHAnsi" w:cstheme="minorHAnsi"/>
                <w:bCs/>
                <w:color w:val="000000" w:themeColor="text1"/>
                <w:lang w:eastAsia="en-AU"/>
              </w:rPr>
            </w:pPr>
            <w:r w:rsidRPr="008E083E">
              <w:rPr>
                <w:rFonts w:asciiTheme="minorHAnsi" w:hAnsiTheme="minorHAnsi" w:cstheme="minorHAnsi"/>
                <w:bCs/>
                <w:color w:val="000000" w:themeColor="text1"/>
                <w:lang w:eastAsia="en-AU"/>
              </w:rPr>
              <w:t>NT</w:t>
            </w:r>
          </w:p>
        </w:tc>
        <w:tc>
          <w:tcPr>
            <w:tcW w:w="2142" w:type="pct"/>
            <w:shd w:val="clear" w:color="auto" w:fill="auto"/>
            <w:noWrap/>
            <w:vAlign w:val="center"/>
            <w:hideMark/>
          </w:tcPr>
          <w:p w14:paraId="37559659"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23,446</w:t>
            </w:r>
          </w:p>
        </w:tc>
        <w:tc>
          <w:tcPr>
            <w:tcW w:w="918" w:type="pct"/>
            <w:shd w:val="clear" w:color="auto" w:fill="auto"/>
            <w:noWrap/>
            <w:vAlign w:val="center"/>
            <w:hideMark/>
          </w:tcPr>
          <w:p w14:paraId="69759D76"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189,222</w:t>
            </w:r>
          </w:p>
        </w:tc>
        <w:tc>
          <w:tcPr>
            <w:tcW w:w="1330" w:type="pct"/>
            <w:shd w:val="clear" w:color="auto" w:fill="auto"/>
            <w:noWrap/>
            <w:vAlign w:val="center"/>
            <w:hideMark/>
          </w:tcPr>
          <w:p w14:paraId="60269C7F"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12%</w:t>
            </w:r>
          </w:p>
        </w:tc>
      </w:tr>
      <w:tr w:rsidR="00C30067" w:rsidRPr="008E083E" w14:paraId="10AF692B" w14:textId="77777777" w:rsidTr="008E083E">
        <w:trPr>
          <w:trHeight w:val="290"/>
        </w:trPr>
        <w:tc>
          <w:tcPr>
            <w:tcW w:w="610" w:type="pct"/>
            <w:shd w:val="clear" w:color="auto" w:fill="auto"/>
            <w:noWrap/>
            <w:vAlign w:val="center"/>
            <w:hideMark/>
          </w:tcPr>
          <w:p w14:paraId="1456253F" w14:textId="77777777" w:rsidR="00C30067" w:rsidRPr="008E083E" w:rsidRDefault="00C30067" w:rsidP="00F526D8">
            <w:pPr>
              <w:widowControl/>
              <w:autoSpaceDE/>
              <w:autoSpaceDN/>
              <w:adjustRightInd/>
              <w:spacing w:before="60" w:after="60"/>
              <w:rPr>
                <w:rFonts w:asciiTheme="minorHAnsi" w:hAnsiTheme="minorHAnsi" w:cstheme="minorHAnsi"/>
                <w:bCs/>
                <w:color w:val="000000" w:themeColor="text1"/>
                <w:lang w:eastAsia="en-AU"/>
              </w:rPr>
            </w:pPr>
            <w:r w:rsidRPr="008E083E">
              <w:rPr>
                <w:rFonts w:asciiTheme="minorHAnsi" w:hAnsiTheme="minorHAnsi" w:cstheme="minorHAnsi"/>
                <w:bCs/>
                <w:color w:val="000000" w:themeColor="text1"/>
                <w:lang w:eastAsia="en-AU"/>
              </w:rPr>
              <w:t xml:space="preserve">Total </w:t>
            </w:r>
          </w:p>
        </w:tc>
        <w:tc>
          <w:tcPr>
            <w:tcW w:w="2142" w:type="pct"/>
            <w:shd w:val="clear" w:color="auto" w:fill="auto"/>
            <w:noWrap/>
            <w:vAlign w:val="center"/>
            <w:hideMark/>
          </w:tcPr>
          <w:p w14:paraId="47DF9955"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6,583,964</w:t>
            </w:r>
          </w:p>
        </w:tc>
        <w:tc>
          <w:tcPr>
            <w:tcW w:w="918" w:type="pct"/>
            <w:shd w:val="clear" w:color="auto" w:fill="auto"/>
            <w:noWrap/>
            <w:vAlign w:val="center"/>
            <w:hideMark/>
          </w:tcPr>
          <w:p w14:paraId="680A3B9A"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19,679,121</w:t>
            </w:r>
          </w:p>
        </w:tc>
        <w:tc>
          <w:tcPr>
            <w:tcW w:w="1330" w:type="pct"/>
            <w:shd w:val="clear" w:color="auto" w:fill="auto"/>
            <w:noWrap/>
            <w:vAlign w:val="center"/>
            <w:hideMark/>
          </w:tcPr>
          <w:p w14:paraId="6B9D6819" w14:textId="77777777" w:rsidR="00C30067" w:rsidRPr="008E083E" w:rsidRDefault="00C30067" w:rsidP="00F526D8">
            <w:pPr>
              <w:widowControl/>
              <w:autoSpaceDE/>
              <w:autoSpaceDN/>
              <w:adjustRightInd/>
              <w:spacing w:before="60" w:after="60"/>
              <w:jc w:val="center"/>
              <w:rPr>
                <w:rFonts w:asciiTheme="minorHAnsi" w:hAnsiTheme="minorHAnsi" w:cstheme="minorHAnsi"/>
                <w:color w:val="000000"/>
                <w:lang w:eastAsia="en-AU"/>
              </w:rPr>
            </w:pPr>
            <w:r w:rsidRPr="008E083E">
              <w:rPr>
                <w:rFonts w:asciiTheme="minorHAnsi" w:hAnsiTheme="minorHAnsi" w:cstheme="minorHAnsi"/>
                <w:color w:val="000000"/>
                <w:lang w:eastAsia="en-AU"/>
              </w:rPr>
              <w:t>33%</w:t>
            </w:r>
          </w:p>
        </w:tc>
      </w:tr>
    </w:tbl>
    <w:p w14:paraId="34624142" w14:textId="77777777" w:rsidR="00C30067" w:rsidRDefault="00C30067" w:rsidP="00C30067">
      <w:pPr>
        <w:spacing w:before="240" w:after="120"/>
        <w:rPr>
          <w:rFonts w:asciiTheme="minorHAnsi" w:hAnsiTheme="minorHAnsi" w:cstheme="minorHAnsi"/>
          <w:sz w:val="24"/>
          <w:szCs w:val="22"/>
          <w:lang w:val="en-GB"/>
        </w:rPr>
      </w:pPr>
      <w:r w:rsidRPr="00F12842">
        <w:rPr>
          <w:rFonts w:asciiTheme="minorHAnsi" w:hAnsiTheme="minorHAnsi" w:cstheme="minorHAnsi"/>
          <w:sz w:val="24"/>
          <w:szCs w:val="22"/>
          <w:lang w:val="en-GB"/>
        </w:rPr>
        <w:t xml:space="preserve">South Australia continues to be the jurisdiction with the highest proportion of their population registered as organ donors. </w:t>
      </w:r>
      <w:r w:rsidR="00B34CA7">
        <w:rPr>
          <w:rFonts w:asciiTheme="minorHAnsi" w:hAnsiTheme="minorHAnsi" w:cstheme="minorHAnsi"/>
          <w:sz w:val="24"/>
          <w:szCs w:val="22"/>
          <w:lang w:val="en-GB"/>
        </w:rPr>
        <w:t>E</w:t>
      </w:r>
      <w:r>
        <w:rPr>
          <w:rFonts w:asciiTheme="minorHAnsi" w:hAnsiTheme="minorHAnsi" w:cstheme="minorHAnsi"/>
          <w:sz w:val="24"/>
          <w:szCs w:val="22"/>
          <w:lang w:val="en-GB"/>
        </w:rPr>
        <w:t>vidence suggests that the registration rates have</w:t>
      </w:r>
      <w:r w:rsidRPr="00F12842">
        <w:rPr>
          <w:rFonts w:asciiTheme="minorHAnsi" w:hAnsiTheme="minorHAnsi" w:cstheme="minorHAnsi"/>
          <w:sz w:val="24"/>
          <w:szCs w:val="22"/>
          <w:lang w:val="en-GB"/>
        </w:rPr>
        <w:t xml:space="preserve"> been greatly assisted by the continued use of the drivers’ licensing legacy system.</w:t>
      </w:r>
      <w:r w:rsidRPr="00F12842">
        <w:rPr>
          <w:rStyle w:val="FootnoteReference"/>
          <w:rFonts w:asciiTheme="minorHAnsi" w:hAnsiTheme="minorHAnsi" w:cstheme="minorHAnsi"/>
          <w:sz w:val="20"/>
          <w:lang w:val="en-GB"/>
        </w:rPr>
        <w:footnoteReference w:id="130"/>
      </w:r>
      <w:r w:rsidRPr="00F12842">
        <w:rPr>
          <w:rFonts w:asciiTheme="minorHAnsi" w:hAnsiTheme="minorHAnsi" w:cstheme="minorHAnsi"/>
          <w:sz w:val="24"/>
          <w:szCs w:val="22"/>
          <w:lang w:val="en-GB"/>
        </w:rPr>
        <w:t xml:space="preserve"> </w:t>
      </w:r>
      <w:r w:rsidR="00B723FC">
        <w:rPr>
          <w:rFonts w:asciiTheme="minorHAnsi" w:hAnsiTheme="minorHAnsi" w:cstheme="minorHAnsi"/>
          <w:sz w:val="24"/>
          <w:szCs w:val="22"/>
          <w:lang w:val="en-GB"/>
        </w:rPr>
        <w:t>Some stakeholders consulted in the Review highlighted the effectiveness of the licensing system in registering organ donation intent</w:t>
      </w:r>
      <w:r w:rsidR="00A36192">
        <w:rPr>
          <w:rFonts w:asciiTheme="minorHAnsi" w:hAnsiTheme="minorHAnsi" w:cstheme="minorHAnsi"/>
          <w:sz w:val="24"/>
          <w:szCs w:val="22"/>
          <w:lang w:val="en-GB"/>
        </w:rPr>
        <w:t xml:space="preserve"> compared to other </w:t>
      </w:r>
      <w:r w:rsidR="00A45FCD">
        <w:rPr>
          <w:rFonts w:asciiTheme="minorHAnsi" w:hAnsiTheme="minorHAnsi" w:cstheme="minorHAnsi"/>
          <w:sz w:val="24"/>
          <w:szCs w:val="22"/>
          <w:lang w:val="en-GB"/>
        </w:rPr>
        <w:t>jurisdictions</w:t>
      </w:r>
      <w:r w:rsidR="00A36192">
        <w:rPr>
          <w:rFonts w:asciiTheme="minorHAnsi" w:hAnsiTheme="minorHAnsi" w:cstheme="minorHAnsi"/>
          <w:sz w:val="24"/>
          <w:szCs w:val="22"/>
          <w:lang w:val="en-GB"/>
        </w:rPr>
        <w:t xml:space="preserve"> which rely on the AODR only</w:t>
      </w:r>
      <w:r w:rsidR="00B723FC">
        <w:rPr>
          <w:rFonts w:asciiTheme="minorHAnsi" w:hAnsiTheme="minorHAnsi" w:cstheme="minorHAnsi"/>
          <w:sz w:val="24"/>
          <w:szCs w:val="22"/>
          <w:lang w:val="en-GB"/>
        </w:rPr>
        <w:t>.</w:t>
      </w:r>
    </w:p>
    <w:p w14:paraId="386E4204" w14:textId="042B86C1" w:rsidR="00C30067" w:rsidRPr="00C65748" w:rsidRDefault="00C30067"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The Review found that there was debate as to whether the AODR should record</w:t>
      </w:r>
      <w:r w:rsidR="00F46F81">
        <w:rPr>
          <w:rFonts w:asciiTheme="minorHAnsi" w:hAnsiTheme="minorHAnsi" w:cstheme="minorHAnsi"/>
          <w:sz w:val="24"/>
          <w:szCs w:val="22"/>
          <w:lang w:val="en-GB"/>
        </w:rPr>
        <w:t xml:space="preserve"> potential donor</w:t>
      </w:r>
      <w:r>
        <w:rPr>
          <w:rFonts w:asciiTheme="minorHAnsi" w:hAnsiTheme="minorHAnsi" w:cstheme="minorHAnsi"/>
          <w:sz w:val="24"/>
          <w:szCs w:val="22"/>
          <w:lang w:val="en-GB"/>
        </w:rPr>
        <w:t xml:space="preserve"> intent or consent. The </w:t>
      </w:r>
      <w:r w:rsidR="00276398">
        <w:rPr>
          <w:rFonts w:asciiTheme="minorHAnsi" w:hAnsiTheme="minorHAnsi" w:cstheme="minorHAnsi"/>
          <w:sz w:val="24"/>
          <w:szCs w:val="22"/>
          <w:lang w:val="en-GB"/>
        </w:rPr>
        <w:t xml:space="preserve">AODR </w:t>
      </w:r>
      <w:r w:rsidR="001D6C00">
        <w:rPr>
          <w:rFonts w:asciiTheme="minorHAnsi" w:hAnsiTheme="minorHAnsi" w:cstheme="minorHAnsi"/>
          <w:sz w:val="24"/>
          <w:szCs w:val="22"/>
          <w:lang w:val="en-GB"/>
        </w:rPr>
        <w:t xml:space="preserve">registration </w:t>
      </w:r>
      <w:r>
        <w:rPr>
          <w:rFonts w:asciiTheme="minorHAnsi" w:hAnsiTheme="minorHAnsi" w:cstheme="minorHAnsi"/>
          <w:sz w:val="24"/>
          <w:szCs w:val="22"/>
          <w:lang w:val="en-GB"/>
        </w:rPr>
        <w:t xml:space="preserve">is currently considered as consent, and the legal requirements prescribed must be satisfied to permit organ donation. Critics of the </w:t>
      </w:r>
      <w:r w:rsidR="00276398">
        <w:rPr>
          <w:rFonts w:asciiTheme="minorHAnsi" w:hAnsiTheme="minorHAnsi" w:cstheme="minorHAnsi"/>
          <w:sz w:val="24"/>
          <w:szCs w:val="22"/>
          <w:lang w:val="en-GB"/>
        </w:rPr>
        <w:t xml:space="preserve">AODR </w:t>
      </w:r>
      <w:r>
        <w:rPr>
          <w:rFonts w:asciiTheme="minorHAnsi" w:hAnsiTheme="minorHAnsi" w:cstheme="minorHAnsi"/>
          <w:sz w:val="24"/>
          <w:szCs w:val="22"/>
          <w:lang w:val="en-GB"/>
        </w:rPr>
        <w:t>put forward</w:t>
      </w:r>
      <w:r w:rsidRPr="00F12842">
        <w:rPr>
          <w:rFonts w:asciiTheme="minorHAnsi" w:hAnsiTheme="minorHAnsi" w:cstheme="minorHAnsi"/>
          <w:sz w:val="24"/>
          <w:szCs w:val="22"/>
          <w:lang w:val="en-GB"/>
        </w:rPr>
        <w:t xml:space="preserve"> that the </w:t>
      </w:r>
      <w:r w:rsidR="00276398">
        <w:rPr>
          <w:rFonts w:asciiTheme="minorHAnsi" w:hAnsiTheme="minorHAnsi" w:cstheme="minorHAnsi"/>
          <w:sz w:val="24"/>
          <w:szCs w:val="22"/>
          <w:lang w:val="en-GB"/>
        </w:rPr>
        <w:t>AODR</w:t>
      </w:r>
      <w:r w:rsidR="00276398" w:rsidRPr="00F12842">
        <w:rPr>
          <w:rFonts w:asciiTheme="minorHAnsi" w:hAnsiTheme="minorHAnsi" w:cstheme="minorHAnsi"/>
          <w:sz w:val="24"/>
          <w:szCs w:val="22"/>
          <w:lang w:val="en-GB"/>
        </w:rPr>
        <w:t xml:space="preserve">’s </w:t>
      </w:r>
      <w:r w:rsidR="00F46F81">
        <w:rPr>
          <w:rFonts w:asciiTheme="minorHAnsi" w:hAnsiTheme="minorHAnsi" w:cstheme="minorHAnsi"/>
          <w:sz w:val="24"/>
          <w:szCs w:val="22"/>
          <w:lang w:val="en-GB"/>
        </w:rPr>
        <w:t>potential bedside</w:t>
      </w:r>
      <w:r w:rsidR="00F46F81" w:rsidRPr="00F12842">
        <w:rPr>
          <w:rFonts w:asciiTheme="minorHAnsi" w:hAnsiTheme="minorHAnsi" w:cstheme="minorHAnsi"/>
          <w:sz w:val="24"/>
          <w:szCs w:val="22"/>
          <w:lang w:val="en-GB"/>
        </w:rPr>
        <w:t xml:space="preserve"> </w:t>
      </w:r>
      <w:r w:rsidRPr="00F12842">
        <w:rPr>
          <w:rFonts w:asciiTheme="minorHAnsi" w:hAnsiTheme="minorHAnsi" w:cstheme="minorHAnsi"/>
          <w:sz w:val="24"/>
          <w:szCs w:val="22"/>
          <w:lang w:val="en-GB"/>
        </w:rPr>
        <w:t>function has become an indication of intent to donate</w:t>
      </w:r>
      <w:r>
        <w:rPr>
          <w:rFonts w:asciiTheme="minorHAnsi" w:hAnsiTheme="minorHAnsi" w:cstheme="minorHAnsi"/>
          <w:sz w:val="24"/>
          <w:szCs w:val="22"/>
          <w:lang w:val="en-GB"/>
        </w:rPr>
        <w:t>,</w:t>
      </w:r>
      <w:r w:rsidRPr="00F12842">
        <w:rPr>
          <w:rFonts w:asciiTheme="minorHAnsi" w:hAnsiTheme="minorHAnsi" w:cstheme="minorHAnsi"/>
          <w:sz w:val="24"/>
          <w:szCs w:val="22"/>
          <w:lang w:val="en-GB"/>
        </w:rPr>
        <w:t xml:space="preserve"> </w:t>
      </w:r>
      <w:r>
        <w:rPr>
          <w:rFonts w:asciiTheme="minorHAnsi" w:hAnsiTheme="minorHAnsi" w:cstheme="minorHAnsi"/>
          <w:sz w:val="24"/>
          <w:szCs w:val="22"/>
          <w:lang w:val="en-GB"/>
        </w:rPr>
        <w:t xml:space="preserve">rather than consent, </w:t>
      </w:r>
      <w:r w:rsidRPr="00F12842">
        <w:rPr>
          <w:rFonts w:asciiTheme="minorHAnsi" w:hAnsiTheme="minorHAnsi" w:cstheme="minorHAnsi"/>
          <w:sz w:val="24"/>
          <w:szCs w:val="22"/>
          <w:lang w:val="en-GB"/>
        </w:rPr>
        <w:t xml:space="preserve">as in </w:t>
      </w:r>
      <w:r w:rsidR="00F46F81">
        <w:rPr>
          <w:rFonts w:asciiTheme="minorHAnsi" w:hAnsiTheme="minorHAnsi" w:cstheme="minorHAnsi"/>
          <w:sz w:val="24"/>
          <w:szCs w:val="22"/>
          <w:lang w:val="en-GB"/>
        </w:rPr>
        <w:t>nearly all</w:t>
      </w:r>
      <w:r w:rsidR="00F46F81" w:rsidRPr="00F12842">
        <w:rPr>
          <w:rFonts w:asciiTheme="minorHAnsi" w:hAnsiTheme="minorHAnsi" w:cstheme="minorHAnsi"/>
          <w:sz w:val="24"/>
          <w:szCs w:val="22"/>
          <w:lang w:val="en-GB"/>
        </w:rPr>
        <w:t xml:space="preserve"> </w:t>
      </w:r>
      <w:r w:rsidRPr="00F12842">
        <w:rPr>
          <w:rFonts w:asciiTheme="minorHAnsi" w:hAnsiTheme="minorHAnsi" w:cstheme="minorHAnsi"/>
          <w:sz w:val="24"/>
          <w:szCs w:val="22"/>
          <w:lang w:val="en-GB"/>
        </w:rPr>
        <w:t xml:space="preserve">cases a consent process is undertaken with the donor’s family before donation proceeds. A survey conducted by Kidney Health Australia into consumer </w:t>
      </w:r>
      <w:r w:rsidRPr="00C65748">
        <w:rPr>
          <w:rFonts w:asciiTheme="minorHAnsi" w:hAnsiTheme="minorHAnsi" w:cstheme="minorHAnsi"/>
          <w:sz w:val="24"/>
          <w:szCs w:val="22"/>
          <w:lang w:val="en-GB"/>
        </w:rPr>
        <w:t>perceptions of organ donation and transplantation found that supporting a</w:t>
      </w:r>
      <w:r w:rsidR="00660C2C" w:rsidRPr="00C65748">
        <w:rPr>
          <w:rFonts w:asciiTheme="minorHAnsi" w:hAnsiTheme="minorHAnsi" w:cstheme="minorHAnsi"/>
          <w:sz w:val="24"/>
          <w:szCs w:val="22"/>
          <w:lang w:val="en-GB"/>
        </w:rPr>
        <w:t>n individual’s</w:t>
      </w:r>
      <w:r w:rsidRPr="00C65748">
        <w:rPr>
          <w:rFonts w:asciiTheme="minorHAnsi" w:hAnsiTheme="minorHAnsi" w:cstheme="minorHAnsi"/>
          <w:sz w:val="24"/>
          <w:szCs w:val="22"/>
          <w:lang w:val="en-GB"/>
        </w:rPr>
        <w:t xml:space="preserve"> pre-arranged </w:t>
      </w:r>
      <w:r w:rsidR="00F46F81" w:rsidRPr="00C65748">
        <w:rPr>
          <w:rFonts w:asciiTheme="minorHAnsi" w:hAnsiTheme="minorHAnsi" w:cstheme="minorHAnsi"/>
          <w:sz w:val="24"/>
          <w:szCs w:val="22"/>
          <w:lang w:val="en-GB"/>
        </w:rPr>
        <w:t xml:space="preserve">intentions </w:t>
      </w:r>
      <w:r w:rsidRPr="00C65748">
        <w:rPr>
          <w:rFonts w:asciiTheme="minorHAnsi" w:hAnsiTheme="minorHAnsi" w:cstheme="minorHAnsi"/>
          <w:sz w:val="24"/>
          <w:szCs w:val="22"/>
          <w:lang w:val="en-GB"/>
        </w:rPr>
        <w:t>to donate, even if the family is not in agreement at the time of donation, should be the priority focus in Australia</w:t>
      </w:r>
      <w:r w:rsidR="00F46F81" w:rsidRPr="00C65748">
        <w:rPr>
          <w:rFonts w:asciiTheme="minorHAnsi" w:hAnsiTheme="minorHAnsi" w:cstheme="minorHAnsi"/>
          <w:sz w:val="24"/>
          <w:szCs w:val="22"/>
          <w:lang w:val="en-GB"/>
        </w:rPr>
        <w:t xml:space="preserve"> for organ donation registration</w:t>
      </w:r>
      <w:r w:rsidRPr="00C65748">
        <w:rPr>
          <w:rFonts w:asciiTheme="minorHAnsi" w:hAnsiTheme="minorHAnsi" w:cstheme="minorHAnsi"/>
          <w:sz w:val="24"/>
          <w:szCs w:val="22"/>
          <w:lang w:val="en-GB"/>
        </w:rPr>
        <w:t>.</w:t>
      </w:r>
      <w:r w:rsidRPr="003A517E">
        <w:rPr>
          <w:rStyle w:val="FootnoteReference"/>
          <w:rFonts w:asciiTheme="minorHAnsi" w:hAnsiTheme="minorHAnsi" w:cstheme="minorHAnsi"/>
          <w:lang w:val="en-GB"/>
        </w:rPr>
        <w:footnoteReference w:id="131"/>
      </w:r>
    </w:p>
    <w:p w14:paraId="78E76067" w14:textId="77777777" w:rsidR="00C30067" w:rsidRPr="00C65748" w:rsidRDefault="00C30067" w:rsidP="00C30067">
      <w:pPr>
        <w:spacing w:after="120"/>
        <w:rPr>
          <w:rFonts w:asciiTheme="minorHAnsi" w:hAnsiTheme="minorHAnsi" w:cstheme="minorHAnsi"/>
          <w:sz w:val="24"/>
          <w:szCs w:val="22"/>
          <w:lang w:val="en-GB"/>
        </w:rPr>
      </w:pPr>
      <w:r w:rsidRPr="00C65748">
        <w:rPr>
          <w:rFonts w:asciiTheme="minorHAnsi" w:hAnsiTheme="minorHAnsi" w:cstheme="minorHAnsi"/>
          <w:sz w:val="24"/>
          <w:szCs w:val="22"/>
          <w:lang w:val="en-GB"/>
        </w:rPr>
        <w:t xml:space="preserve">Nevertheless, users of the </w:t>
      </w:r>
      <w:r w:rsidR="00276398" w:rsidRPr="00C65748">
        <w:rPr>
          <w:rFonts w:asciiTheme="minorHAnsi" w:hAnsiTheme="minorHAnsi" w:cstheme="minorHAnsi"/>
          <w:sz w:val="24"/>
          <w:szCs w:val="22"/>
          <w:lang w:val="en-GB"/>
        </w:rPr>
        <w:t xml:space="preserve">AODR </w:t>
      </w:r>
      <w:r w:rsidRPr="00C65748">
        <w:rPr>
          <w:rFonts w:asciiTheme="minorHAnsi" w:hAnsiTheme="minorHAnsi" w:cstheme="minorHAnsi"/>
          <w:sz w:val="24"/>
          <w:szCs w:val="22"/>
          <w:lang w:val="en-GB"/>
        </w:rPr>
        <w:t>indicated that</w:t>
      </w:r>
      <w:r w:rsidR="007B7131" w:rsidRPr="00C65748">
        <w:rPr>
          <w:rFonts w:asciiTheme="minorHAnsi" w:hAnsiTheme="minorHAnsi" w:cstheme="minorHAnsi"/>
          <w:sz w:val="24"/>
          <w:szCs w:val="22"/>
          <w:lang w:val="en-GB"/>
        </w:rPr>
        <w:t xml:space="preserve"> the DonateLife pathway for registration improved accessibility and the </w:t>
      </w:r>
      <w:r w:rsidR="00276398" w:rsidRPr="00C65748">
        <w:rPr>
          <w:rFonts w:asciiTheme="minorHAnsi" w:hAnsiTheme="minorHAnsi" w:cstheme="minorHAnsi"/>
          <w:sz w:val="24"/>
          <w:szCs w:val="22"/>
          <w:lang w:val="en-GB"/>
        </w:rPr>
        <w:t xml:space="preserve">AODR </w:t>
      </w:r>
      <w:r w:rsidRPr="00C65748">
        <w:rPr>
          <w:rFonts w:asciiTheme="minorHAnsi" w:hAnsiTheme="minorHAnsi" w:cstheme="minorHAnsi"/>
          <w:sz w:val="24"/>
          <w:szCs w:val="22"/>
          <w:lang w:val="en-GB"/>
        </w:rPr>
        <w:t>was easy to use</w:t>
      </w:r>
      <w:r w:rsidR="007B7131" w:rsidRPr="00C65748">
        <w:rPr>
          <w:rFonts w:asciiTheme="minorHAnsi" w:hAnsiTheme="minorHAnsi" w:cstheme="minorHAnsi"/>
          <w:sz w:val="24"/>
          <w:szCs w:val="22"/>
          <w:lang w:val="en-GB"/>
        </w:rPr>
        <w:t>. Further, d</w:t>
      </w:r>
      <w:r w:rsidRPr="00C65748">
        <w:rPr>
          <w:rFonts w:asciiTheme="minorHAnsi" w:hAnsiTheme="minorHAnsi" w:cstheme="minorHAnsi"/>
          <w:sz w:val="24"/>
          <w:szCs w:val="22"/>
          <w:lang w:val="en-GB"/>
        </w:rPr>
        <w:t xml:space="preserve">onor coordinators reported that it was helpful for checking donor consent and understanding donor intentions across the country. Donor coordinators also reported that it was particularly helpful to understand the donor’s status on the </w:t>
      </w:r>
      <w:r w:rsidR="00276398" w:rsidRPr="00C65748">
        <w:rPr>
          <w:rFonts w:asciiTheme="minorHAnsi" w:hAnsiTheme="minorHAnsi" w:cstheme="minorHAnsi"/>
          <w:sz w:val="24"/>
          <w:szCs w:val="22"/>
          <w:lang w:val="en-GB"/>
        </w:rPr>
        <w:t xml:space="preserve">AODR </w:t>
      </w:r>
      <w:r w:rsidRPr="00C65748">
        <w:rPr>
          <w:rFonts w:asciiTheme="minorHAnsi" w:hAnsiTheme="minorHAnsi" w:cstheme="minorHAnsi"/>
          <w:sz w:val="24"/>
          <w:szCs w:val="22"/>
          <w:lang w:val="en-GB"/>
        </w:rPr>
        <w:t>before approaching a conversation with their families. Across all DonateLife Network hospitals</w:t>
      </w:r>
      <w:r w:rsidR="00660C2C" w:rsidRPr="00C65748">
        <w:rPr>
          <w:rFonts w:asciiTheme="minorHAnsi" w:hAnsiTheme="minorHAnsi" w:cstheme="minorHAnsi"/>
          <w:sz w:val="24"/>
          <w:szCs w:val="22"/>
          <w:lang w:val="en-GB"/>
        </w:rPr>
        <w:t>,</w:t>
      </w:r>
      <w:r w:rsidRPr="00C65748">
        <w:rPr>
          <w:rFonts w:asciiTheme="minorHAnsi" w:hAnsiTheme="minorHAnsi" w:cstheme="minorHAnsi"/>
          <w:sz w:val="24"/>
          <w:szCs w:val="22"/>
          <w:lang w:val="en-GB"/>
        </w:rPr>
        <w:t xml:space="preserve"> it was found that the family consent rate increased from 60 per cent to 93 per cent where the donor was registered on the AODR</w:t>
      </w:r>
      <w:r w:rsidR="00660C2C" w:rsidRPr="00C65748">
        <w:rPr>
          <w:rFonts w:asciiTheme="minorHAnsi" w:hAnsiTheme="minorHAnsi" w:cstheme="minorHAnsi"/>
          <w:sz w:val="24"/>
          <w:szCs w:val="22"/>
          <w:lang w:val="en-GB"/>
        </w:rPr>
        <w:t>,</w:t>
      </w:r>
      <w:r w:rsidR="00F46F81" w:rsidRPr="00C65748">
        <w:rPr>
          <w:rFonts w:asciiTheme="minorHAnsi" w:hAnsiTheme="minorHAnsi" w:cstheme="minorHAnsi"/>
          <w:sz w:val="24"/>
          <w:szCs w:val="22"/>
          <w:lang w:val="en-GB"/>
        </w:rPr>
        <w:t xml:space="preserve"> compared to situations where the potential donor’s intentions were not registered</w:t>
      </w:r>
      <w:r w:rsidR="00660C2C" w:rsidRPr="00C65748">
        <w:rPr>
          <w:rFonts w:asciiTheme="minorHAnsi" w:hAnsiTheme="minorHAnsi" w:cstheme="minorHAnsi"/>
          <w:sz w:val="24"/>
          <w:szCs w:val="22"/>
          <w:lang w:val="en-GB"/>
        </w:rPr>
        <w:t>, between January and June 2018</w:t>
      </w:r>
      <w:r w:rsidRPr="00C65748">
        <w:rPr>
          <w:rFonts w:asciiTheme="minorHAnsi" w:hAnsiTheme="minorHAnsi" w:cstheme="minorHAnsi"/>
          <w:sz w:val="24"/>
          <w:szCs w:val="22"/>
          <w:lang w:val="en-GB"/>
        </w:rPr>
        <w:t>.</w:t>
      </w:r>
      <w:r w:rsidRPr="003A517E">
        <w:rPr>
          <w:rStyle w:val="FootnoteReference"/>
          <w:rFonts w:asciiTheme="minorHAnsi" w:hAnsiTheme="minorHAnsi" w:cstheme="minorHAnsi"/>
          <w:lang w:val="en-GB"/>
        </w:rPr>
        <w:footnoteReference w:id="132"/>
      </w:r>
      <w:r w:rsidRPr="00C65748">
        <w:rPr>
          <w:rFonts w:asciiTheme="minorHAnsi" w:hAnsiTheme="minorHAnsi" w:cstheme="minorHAnsi"/>
          <w:sz w:val="24"/>
          <w:szCs w:val="22"/>
          <w:lang w:val="en-GB"/>
        </w:rPr>
        <w:t xml:space="preserve">  </w:t>
      </w:r>
    </w:p>
    <w:p w14:paraId="5F6A3E29" w14:textId="54DE187B" w:rsidR="00C30067" w:rsidRPr="00C65748" w:rsidRDefault="00C30067" w:rsidP="00C30067">
      <w:pPr>
        <w:spacing w:after="120"/>
        <w:rPr>
          <w:rFonts w:asciiTheme="minorHAnsi" w:hAnsiTheme="minorHAnsi" w:cstheme="minorHAnsi"/>
          <w:sz w:val="24"/>
          <w:szCs w:val="22"/>
          <w:lang w:val="en-GB"/>
        </w:rPr>
      </w:pPr>
      <w:r w:rsidRPr="00C65748">
        <w:rPr>
          <w:rFonts w:asciiTheme="minorHAnsi" w:hAnsiTheme="minorHAnsi" w:cstheme="minorHAnsi"/>
          <w:sz w:val="24"/>
          <w:szCs w:val="22"/>
          <w:lang w:val="en-GB"/>
        </w:rPr>
        <w:t xml:space="preserve">Whilst the national </w:t>
      </w:r>
      <w:r w:rsidR="00F46F81" w:rsidRPr="00C65748">
        <w:rPr>
          <w:rFonts w:asciiTheme="minorHAnsi" w:hAnsiTheme="minorHAnsi" w:cstheme="minorHAnsi"/>
          <w:sz w:val="24"/>
          <w:szCs w:val="22"/>
          <w:lang w:val="en-GB"/>
        </w:rPr>
        <w:t>numbers of</w:t>
      </w:r>
      <w:r w:rsidRPr="00C65748">
        <w:rPr>
          <w:rFonts w:asciiTheme="minorHAnsi" w:hAnsiTheme="minorHAnsi" w:cstheme="minorHAnsi"/>
          <w:sz w:val="24"/>
          <w:szCs w:val="22"/>
          <w:lang w:val="en-GB"/>
        </w:rPr>
        <w:t xml:space="preserve"> registration</w:t>
      </w:r>
      <w:r w:rsidR="00FB2924" w:rsidRPr="00C65748">
        <w:rPr>
          <w:rFonts w:asciiTheme="minorHAnsi" w:hAnsiTheme="minorHAnsi" w:cstheme="minorHAnsi"/>
          <w:sz w:val="24"/>
          <w:szCs w:val="22"/>
          <w:lang w:val="en-GB"/>
        </w:rPr>
        <w:t>s</w:t>
      </w:r>
      <w:r w:rsidRPr="00C65748">
        <w:rPr>
          <w:rFonts w:asciiTheme="minorHAnsi" w:hAnsiTheme="minorHAnsi" w:cstheme="minorHAnsi"/>
          <w:sz w:val="24"/>
          <w:szCs w:val="22"/>
          <w:lang w:val="en-GB"/>
        </w:rPr>
        <w:t xml:space="preserve"> </w:t>
      </w:r>
      <w:r w:rsidR="00086190" w:rsidRPr="00C65748">
        <w:rPr>
          <w:rFonts w:asciiTheme="minorHAnsi" w:hAnsiTheme="minorHAnsi" w:cstheme="minorHAnsi"/>
          <w:sz w:val="24"/>
          <w:szCs w:val="22"/>
          <w:lang w:val="en-GB"/>
        </w:rPr>
        <w:t>have</w:t>
      </w:r>
      <w:r w:rsidRPr="00C65748">
        <w:rPr>
          <w:rFonts w:asciiTheme="minorHAnsi" w:hAnsiTheme="minorHAnsi" w:cstheme="minorHAnsi"/>
          <w:sz w:val="24"/>
          <w:szCs w:val="22"/>
          <w:lang w:val="en-GB"/>
        </w:rPr>
        <w:t xml:space="preserve"> increased since 2017, the </w:t>
      </w:r>
      <w:r w:rsidR="00F46F81" w:rsidRPr="00C65748">
        <w:rPr>
          <w:rFonts w:asciiTheme="minorHAnsi" w:hAnsiTheme="minorHAnsi" w:cstheme="minorHAnsi"/>
          <w:sz w:val="24"/>
          <w:szCs w:val="22"/>
          <w:lang w:val="en-GB"/>
        </w:rPr>
        <w:t xml:space="preserve">proportion </w:t>
      </w:r>
      <w:r w:rsidRPr="00C65748">
        <w:rPr>
          <w:rFonts w:asciiTheme="minorHAnsi" w:hAnsiTheme="minorHAnsi" w:cstheme="minorHAnsi"/>
          <w:sz w:val="24"/>
          <w:szCs w:val="22"/>
          <w:lang w:val="en-GB"/>
        </w:rPr>
        <w:t xml:space="preserve">of </w:t>
      </w:r>
      <w:r w:rsidR="00B34CA7">
        <w:rPr>
          <w:rFonts w:asciiTheme="minorHAnsi" w:hAnsiTheme="minorHAnsi" w:cstheme="minorHAnsi"/>
          <w:sz w:val="24"/>
          <w:szCs w:val="22"/>
          <w:lang w:val="en-GB"/>
        </w:rPr>
        <w:t>new</w:t>
      </w:r>
      <w:r w:rsidR="00B34CA7" w:rsidRPr="00C65748">
        <w:rPr>
          <w:rFonts w:asciiTheme="minorHAnsi" w:hAnsiTheme="minorHAnsi" w:cstheme="minorHAnsi"/>
          <w:sz w:val="24"/>
          <w:szCs w:val="22"/>
          <w:lang w:val="en-GB"/>
        </w:rPr>
        <w:t xml:space="preserve"> </w:t>
      </w:r>
      <w:r w:rsidR="00B34CA7">
        <w:rPr>
          <w:rFonts w:asciiTheme="minorHAnsi" w:hAnsiTheme="minorHAnsi" w:cstheme="minorHAnsi"/>
          <w:sz w:val="24"/>
          <w:szCs w:val="22"/>
          <w:lang w:val="en-GB"/>
        </w:rPr>
        <w:t>registrations</w:t>
      </w:r>
      <w:r w:rsidR="00B34CA7" w:rsidRPr="00C65748">
        <w:rPr>
          <w:rFonts w:asciiTheme="minorHAnsi" w:hAnsiTheme="minorHAnsi" w:cstheme="minorHAnsi"/>
          <w:sz w:val="24"/>
          <w:szCs w:val="22"/>
          <w:lang w:val="en-GB"/>
        </w:rPr>
        <w:t xml:space="preserve"> </w:t>
      </w:r>
      <w:r w:rsidRPr="00C65748">
        <w:rPr>
          <w:rFonts w:asciiTheme="minorHAnsi" w:hAnsiTheme="minorHAnsi" w:cstheme="minorHAnsi"/>
          <w:sz w:val="24"/>
          <w:szCs w:val="22"/>
          <w:lang w:val="en-GB"/>
        </w:rPr>
        <w:t xml:space="preserve">on the AODR from 2008 </w:t>
      </w:r>
      <w:r w:rsidR="00660C2C" w:rsidRPr="00C65748">
        <w:rPr>
          <w:rFonts w:asciiTheme="minorHAnsi" w:hAnsiTheme="minorHAnsi" w:cstheme="minorHAnsi"/>
          <w:sz w:val="24"/>
          <w:szCs w:val="22"/>
          <w:lang w:val="en-GB"/>
        </w:rPr>
        <w:t>to</w:t>
      </w:r>
      <w:r w:rsidRPr="00C65748">
        <w:rPr>
          <w:rFonts w:asciiTheme="minorHAnsi" w:hAnsiTheme="minorHAnsi" w:cstheme="minorHAnsi"/>
          <w:sz w:val="24"/>
          <w:szCs w:val="22"/>
          <w:lang w:val="en-GB"/>
        </w:rPr>
        <w:t xml:space="preserve"> 2017 has remained stagnant at around </w:t>
      </w:r>
      <w:r w:rsidR="00B723FC" w:rsidRPr="00C65748">
        <w:rPr>
          <w:rFonts w:asciiTheme="minorHAnsi" w:hAnsiTheme="minorHAnsi" w:cstheme="minorHAnsi"/>
          <w:sz w:val="24"/>
          <w:szCs w:val="22"/>
          <w:lang w:val="en-GB"/>
        </w:rPr>
        <w:t>32</w:t>
      </w:r>
      <w:r w:rsidRPr="00C65748">
        <w:rPr>
          <w:rFonts w:asciiTheme="minorHAnsi" w:hAnsiTheme="minorHAnsi" w:cstheme="minorHAnsi"/>
          <w:sz w:val="24"/>
          <w:szCs w:val="22"/>
          <w:lang w:val="en-GB"/>
        </w:rPr>
        <w:t xml:space="preserve"> per cent of the total Australian population.</w:t>
      </w:r>
      <w:r w:rsidR="00B723FC" w:rsidRPr="003A517E">
        <w:rPr>
          <w:rStyle w:val="FootnoteReference"/>
          <w:rFonts w:asciiTheme="minorHAnsi" w:hAnsiTheme="minorHAnsi" w:cstheme="minorHAnsi"/>
          <w:lang w:val="en-GB"/>
        </w:rPr>
        <w:footnoteReference w:id="133"/>
      </w:r>
      <w:r w:rsidRPr="00C65748">
        <w:rPr>
          <w:rFonts w:asciiTheme="minorHAnsi" w:hAnsiTheme="minorHAnsi" w:cstheme="minorHAnsi"/>
          <w:sz w:val="24"/>
          <w:szCs w:val="22"/>
          <w:lang w:val="en-GB"/>
        </w:rPr>
        <w:t xml:space="preserve"> </w:t>
      </w:r>
      <w:r w:rsidR="000F6B35" w:rsidRPr="003A517E">
        <w:rPr>
          <w:rFonts w:asciiTheme="minorHAnsi" w:hAnsiTheme="minorHAnsi" w:cstheme="minorHAnsi"/>
          <w:sz w:val="24"/>
          <w:szCs w:val="22"/>
          <w:lang w:val="en-GB"/>
        </w:rPr>
        <w:fldChar w:fldCharType="begin"/>
      </w:r>
      <w:r w:rsidR="000F6B35" w:rsidRPr="00C65748">
        <w:rPr>
          <w:rFonts w:asciiTheme="minorHAnsi" w:hAnsiTheme="minorHAnsi" w:cstheme="minorHAnsi"/>
          <w:sz w:val="24"/>
          <w:szCs w:val="22"/>
          <w:lang w:val="en-GB"/>
        </w:rPr>
        <w:instrText xml:space="preserve"> REF _Ref527639991 \h  \* MERGEFORMAT </w:instrText>
      </w:r>
      <w:r w:rsidR="000F6B35" w:rsidRPr="003A517E">
        <w:rPr>
          <w:rFonts w:asciiTheme="minorHAnsi" w:hAnsiTheme="minorHAnsi" w:cstheme="minorHAnsi"/>
          <w:sz w:val="24"/>
          <w:szCs w:val="22"/>
          <w:lang w:val="en-GB"/>
        </w:rPr>
      </w:r>
      <w:r w:rsidR="000F6B35" w:rsidRPr="003A517E">
        <w:rPr>
          <w:rFonts w:asciiTheme="minorHAnsi" w:hAnsiTheme="minorHAnsi" w:cstheme="minorHAnsi"/>
          <w:sz w:val="24"/>
          <w:szCs w:val="22"/>
          <w:lang w:val="en-GB"/>
        </w:rPr>
        <w:fldChar w:fldCharType="separate"/>
      </w:r>
      <w:r w:rsidR="00A04048" w:rsidRPr="00C75FAB">
        <w:rPr>
          <w:rFonts w:asciiTheme="minorHAnsi" w:hAnsiTheme="minorHAnsi" w:cstheme="minorHAnsi"/>
          <w:sz w:val="24"/>
          <w:szCs w:val="22"/>
          <w:lang w:val="en-GB"/>
        </w:rPr>
        <w:t>Figure 20</w:t>
      </w:r>
      <w:r w:rsidR="000F6B35" w:rsidRPr="003A517E">
        <w:rPr>
          <w:rFonts w:asciiTheme="minorHAnsi" w:hAnsiTheme="minorHAnsi" w:cstheme="minorHAnsi"/>
          <w:sz w:val="24"/>
          <w:szCs w:val="22"/>
          <w:lang w:val="en-GB"/>
        </w:rPr>
        <w:fldChar w:fldCharType="end"/>
      </w:r>
      <w:r w:rsidRPr="00C65748">
        <w:rPr>
          <w:rFonts w:asciiTheme="minorHAnsi" w:hAnsiTheme="minorHAnsi" w:cstheme="minorHAnsi"/>
          <w:sz w:val="24"/>
          <w:szCs w:val="22"/>
          <w:lang w:val="en-GB"/>
        </w:rPr>
        <w:t xml:space="preserve"> </w:t>
      </w:r>
      <w:r w:rsidR="004B474A" w:rsidRPr="00C65748">
        <w:rPr>
          <w:rFonts w:asciiTheme="minorHAnsi" w:hAnsiTheme="minorHAnsi" w:cstheme="minorHAnsi"/>
          <w:sz w:val="24"/>
          <w:szCs w:val="22"/>
          <w:lang w:val="en-GB"/>
        </w:rPr>
        <w:t>highlights</w:t>
      </w:r>
      <w:r w:rsidRPr="00C65748">
        <w:rPr>
          <w:rFonts w:asciiTheme="minorHAnsi" w:hAnsiTheme="minorHAnsi" w:cstheme="minorHAnsi"/>
          <w:sz w:val="24"/>
          <w:szCs w:val="22"/>
          <w:lang w:val="en-GB"/>
        </w:rPr>
        <w:t xml:space="preserve"> the percentage of the Australian population registered on the AODR from 2008 </w:t>
      </w:r>
      <w:r w:rsidR="00660C2C" w:rsidRPr="00C65748">
        <w:rPr>
          <w:rFonts w:asciiTheme="minorHAnsi" w:hAnsiTheme="minorHAnsi" w:cstheme="minorHAnsi"/>
          <w:sz w:val="24"/>
          <w:szCs w:val="22"/>
          <w:lang w:val="en-GB"/>
        </w:rPr>
        <w:t>to</w:t>
      </w:r>
      <w:r w:rsidRPr="00C65748">
        <w:rPr>
          <w:rFonts w:asciiTheme="minorHAnsi" w:hAnsiTheme="minorHAnsi" w:cstheme="minorHAnsi"/>
          <w:sz w:val="24"/>
          <w:szCs w:val="22"/>
          <w:lang w:val="en-GB"/>
        </w:rPr>
        <w:t xml:space="preserve"> 2017. Critics of the AODR expressed the view that the current </w:t>
      </w:r>
      <w:r w:rsidR="00F46F81" w:rsidRPr="00C65748">
        <w:rPr>
          <w:rFonts w:asciiTheme="minorHAnsi" w:hAnsiTheme="minorHAnsi" w:cstheme="minorHAnsi"/>
          <w:sz w:val="24"/>
          <w:szCs w:val="22"/>
          <w:lang w:val="en-GB"/>
        </w:rPr>
        <w:t xml:space="preserve">identification protocols and the consequent entry requirements to the </w:t>
      </w:r>
      <w:r w:rsidR="00276398" w:rsidRPr="00C65748">
        <w:rPr>
          <w:rFonts w:asciiTheme="minorHAnsi" w:hAnsiTheme="minorHAnsi" w:cstheme="minorHAnsi"/>
          <w:sz w:val="24"/>
          <w:szCs w:val="22"/>
          <w:lang w:val="en-GB"/>
        </w:rPr>
        <w:t xml:space="preserve">AODR </w:t>
      </w:r>
      <w:r w:rsidR="00F46F81" w:rsidRPr="00C65748">
        <w:rPr>
          <w:rFonts w:asciiTheme="minorHAnsi" w:hAnsiTheme="minorHAnsi" w:cstheme="minorHAnsi"/>
          <w:sz w:val="24"/>
          <w:szCs w:val="22"/>
          <w:lang w:val="en-GB"/>
        </w:rPr>
        <w:t>for potential donors</w:t>
      </w:r>
      <w:r w:rsidR="00660C2C" w:rsidRPr="00C65748">
        <w:rPr>
          <w:rFonts w:asciiTheme="minorHAnsi" w:hAnsiTheme="minorHAnsi" w:cstheme="minorHAnsi"/>
          <w:sz w:val="24"/>
          <w:szCs w:val="22"/>
          <w:lang w:val="en-GB"/>
        </w:rPr>
        <w:t xml:space="preserve"> </w:t>
      </w:r>
      <w:r w:rsidRPr="00C65748">
        <w:rPr>
          <w:rFonts w:asciiTheme="minorHAnsi" w:hAnsiTheme="minorHAnsi" w:cstheme="minorHAnsi"/>
          <w:sz w:val="24"/>
          <w:szCs w:val="22"/>
          <w:lang w:val="en-GB"/>
        </w:rPr>
        <w:t xml:space="preserve">limits the potential of the </w:t>
      </w:r>
      <w:r w:rsidR="00276398" w:rsidRPr="00C65748">
        <w:rPr>
          <w:rFonts w:asciiTheme="minorHAnsi" w:hAnsiTheme="minorHAnsi" w:cstheme="minorHAnsi"/>
          <w:sz w:val="24"/>
          <w:szCs w:val="22"/>
          <w:lang w:val="en-GB"/>
        </w:rPr>
        <w:t>registry</w:t>
      </w:r>
      <w:r w:rsidRPr="00C65748">
        <w:rPr>
          <w:rFonts w:asciiTheme="minorHAnsi" w:hAnsiTheme="minorHAnsi" w:cstheme="minorHAnsi"/>
          <w:sz w:val="24"/>
          <w:szCs w:val="22"/>
          <w:lang w:val="en-GB"/>
        </w:rPr>
        <w:t>, particularly if it is a register of intent rather than consent, resulting in a low return on investment.</w:t>
      </w:r>
    </w:p>
    <w:p w14:paraId="09DF96B8" w14:textId="5E1CFF7E" w:rsidR="002E2ECE" w:rsidRPr="003A517E" w:rsidRDefault="00C30067" w:rsidP="00FC0FD7">
      <w:pPr>
        <w:pStyle w:val="Caption"/>
        <w:keepNext/>
        <w:widowControl/>
        <w:spacing w:after="120"/>
        <w:rPr>
          <w:rFonts w:asciiTheme="minorHAnsi" w:hAnsiTheme="minorHAnsi" w:cstheme="minorHAnsi"/>
          <w:noProof/>
          <w:sz w:val="20"/>
          <w:szCs w:val="20"/>
          <w:lang w:eastAsia="en-AU"/>
        </w:rPr>
      </w:pPr>
      <w:bookmarkStart w:id="634" w:name="_Ref527639991"/>
      <w:r w:rsidRPr="003A517E">
        <w:rPr>
          <w:rFonts w:asciiTheme="minorHAnsi" w:hAnsiTheme="minorHAnsi" w:cstheme="minorHAnsi"/>
          <w:b w:val="0"/>
          <w:color w:val="808080"/>
          <w:sz w:val="20"/>
          <w:szCs w:val="20"/>
        </w:rPr>
        <w:t xml:space="preserve">Figure </w:t>
      </w:r>
      <w:r w:rsidR="006624EC" w:rsidRPr="003A517E">
        <w:rPr>
          <w:rFonts w:asciiTheme="minorHAnsi" w:hAnsiTheme="minorHAnsi" w:cstheme="minorHAnsi"/>
          <w:b w:val="0"/>
          <w:color w:val="808080"/>
          <w:sz w:val="20"/>
          <w:szCs w:val="20"/>
        </w:rPr>
        <w:fldChar w:fldCharType="begin"/>
      </w:r>
      <w:r w:rsidR="006624EC" w:rsidRPr="003A517E">
        <w:rPr>
          <w:rFonts w:asciiTheme="minorHAnsi" w:hAnsiTheme="minorHAnsi" w:cstheme="minorHAnsi"/>
          <w:b w:val="0"/>
          <w:color w:val="808080"/>
          <w:sz w:val="20"/>
          <w:szCs w:val="20"/>
        </w:rPr>
        <w:instrText xml:space="preserve"> SEQ Figure \* ARABIC </w:instrText>
      </w:r>
      <w:r w:rsidR="006624EC" w:rsidRPr="003A517E">
        <w:rPr>
          <w:rFonts w:asciiTheme="minorHAnsi" w:hAnsiTheme="minorHAnsi" w:cstheme="minorHAnsi"/>
          <w:b w:val="0"/>
          <w:color w:val="808080"/>
          <w:sz w:val="20"/>
          <w:szCs w:val="20"/>
        </w:rPr>
        <w:fldChar w:fldCharType="separate"/>
      </w:r>
      <w:r w:rsidR="00A04048">
        <w:rPr>
          <w:rFonts w:asciiTheme="minorHAnsi" w:hAnsiTheme="minorHAnsi" w:cstheme="minorHAnsi"/>
          <w:b w:val="0"/>
          <w:noProof/>
          <w:color w:val="808080"/>
          <w:sz w:val="20"/>
          <w:szCs w:val="20"/>
        </w:rPr>
        <w:t>20</w:t>
      </w:r>
      <w:r w:rsidR="006624EC" w:rsidRPr="003A517E">
        <w:rPr>
          <w:rFonts w:asciiTheme="minorHAnsi" w:hAnsiTheme="minorHAnsi" w:cstheme="minorHAnsi"/>
          <w:b w:val="0"/>
          <w:color w:val="808080"/>
          <w:sz w:val="20"/>
          <w:szCs w:val="20"/>
        </w:rPr>
        <w:fldChar w:fldCharType="end"/>
      </w:r>
      <w:bookmarkEnd w:id="634"/>
      <w:r w:rsidRPr="003A517E">
        <w:rPr>
          <w:rFonts w:asciiTheme="minorHAnsi" w:hAnsiTheme="minorHAnsi" w:cstheme="minorHAnsi"/>
          <w:b w:val="0"/>
          <w:color w:val="808080"/>
          <w:sz w:val="20"/>
          <w:szCs w:val="20"/>
        </w:rPr>
        <w:t xml:space="preserve">: </w:t>
      </w:r>
      <w:r w:rsidR="00B723FC" w:rsidRPr="003A517E">
        <w:rPr>
          <w:rFonts w:asciiTheme="minorHAnsi" w:hAnsiTheme="minorHAnsi" w:cstheme="minorHAnsi"/>
          <w:b w:val="0"/>
          <w:color w:val="808080"/>
          <w:sz w:val="20"/>
          <w:szCs w:val="20"/>
        </w:rPr>
        <w:t xml:space="preserve">Proportion of eligible Australian population registered on AODR from 2007 – 2017, SOURCE: </w:t>
      </w:r>
      <w:r w:rsidR="008C7E73" w:rsidRPr="003A517E">
        <w:rPr>
          <w:rFonts w:asciiTheme="minorHAnsi" w:hAnsiTheme="minorHAnsi" w:cstheme="minorHAnsi"/>
          <w:b w:val="0"/>
          <w:color w:val="808080"/>
          <w:sz w:val="20"/>
          <w:szCs w:val="20"/>
        </w:rPr>
        <w:t xml:space="preserve">Australian Government </w:t>
      </w:r>
      <w:r w:rsidR="00B723FC" w:rsidRPr="003A517E">
        <w:rPr>
          <w:rFonts w:asciiTheme="minorHAnsi" w:hAnsiTheme="minorHAnsi" w:cstheme="minorHAnsi"/>
          <w:b w:val="0"/>
          <w:color w:val="808080"/>
          <w:sz w:val="20"/>
          <w:szCs w:val="20"/>
        </w:rPr>
        <w:t>Department of Human Service and Australian Bureau of Statistics</w:t>
      </w:r>
      <w:r w:rsidR="0084734A">
        <w:rPr>
          <w:rStyle w:val="FootnoteReference"/>
          <w:rFonts w:cstheme="minorHAnsi"/>
          <w:b w:val="0"/>
          <w:color w:val="808080"/>
        </w:rPr>
        <w:footnoteReference w:id="134"/>
      </w:r>
      <w:r w:rsidR="00B723FC" w:rsidRPr="003A517E" w:rsidDel="00B723FC">
        <w:rPr>
          <w:rFonts w:asciiTheme="minorHAnsi" w:hAnsiTheme="minorHAnsi" w:cstheme="minorHAnsi"/>
          <w:b w:val="0"/>
          <w:color w:val="808080"/>
          <w:sz w:val="20"/>
          <w:szCs w:val="20"/>
        </w:rPr>
        <w:t xml:space="preserve"> </w:t>
      </w:r>
    </w:p>
    <w:p w14:paraId="61A5D2EE" w14:textId="77777777" w:rsidR="00C30067" w:rsidRDefault="007760D5" w:rsidP="00FC0FD7">
      <w:pPr>
        <w:pStyle w:val="Caption"/>
        <w:keepNext/>
        <w:widowControl/>
        <w:spacing w:after="120"/>
        <w:rPr>
          <w:rFonts w:asciiTheme="minorHAnsi" w:hAnsiTheme="minorHAnsi" w:cstheme="minorHAnsi"/>
          <w:sz w:val="24"/>
          <w:szCs w:val="22"/>
          <w:lang w:val="en-GB"/>
        </w:rPr>
      </w:pPr>
      <w:r w:rsidRPr="007760D5">
        <w:rPr>
          <w:rFonts w:asciiTheme="minorHAnsi" w:hAnsiTheme="minorHAnsi" w:cstheme="minorHAnsi"/>
          <w:sz w:val="24"/>
          <w:szCs w:val="22"/>
          <w:lang w:val="en-GB"/>
        </w:rPr>
        <w:t xml:space="preserve"> </w:t>
      </w:r>
      <w:r w:rsidRPr="007760D5">
        <w:rPr>
          <w:noProof/>
          <w:lang w:eastAsia="en-AU"/>
        </w:rPr>
        <w:drawing>
          <wp:inline distT="0" distB="0" distL="0" distR="0" wp14:anchorId="10456D49" wp14:editId="14182495">
            <wp:extent cx="5721350" cy="2927092"/>
            <wp:effectExtent l="0" t="0" r="0" b="0"/>
            <wp:docPr id="4101" name="Picture 4101" descr="Figure 20 is a line graph showing the proportion of eligible Australian population registered on the AODR from 2007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2953" cy="2927912"/>
                    </a:xfrm>
                    <a:prstGeom prst="rect">
                      <a:avLst/>
                    </a:prstGeom>
                    <a:noFill/>
                    <a:ln>
                      <a:noFill/>
                    </a:ln>
                  </pic:spPr>
                </pic:pic>
              </a:graphicData>
            </a:graphic>
          </wp:inline>
        </w:drawing>
      </w:r>
    </w:p>
    <w:p w14:paraId="3199D63E" w14:textId="77777777" w:rsidR="00B723FC" w:rsidRDefault="00B723FC" w:rsidP="00B723FC">
      <w:pPr>
        <w:spacing w:after="120"/>
      </w:pPr>
      <w:r>
        <w:rPr>
          <w:rFonts w:asciiTheme="minorHAnsi" w:hAnsiTheme="minorHAnsi" w:cstheme="minorHAnsi"/>
          <w:sz w:val="24"/>
          <w:szCs w:val="22"/>
          <w:lang w:val="en-GB"/>
        </w:rPr>
        <w:t xml:space="preserve">As noted above, Victoria has the second lowest percentage of registrations on the AODR. Nevertheless, </w:t>
      </w:r>
      <w:r w:rsidR="002E2ECE">
        <w:rPr>
          <w:rFonts w:asciiTheme="minorHAnsi" w:hAnsiTheme="minorHAnsi" w:cstheme="minorHAnsi"/>
          <w:sz w:val="24"/>
          <w:szCs w:val="22"/>
          <w:lang w:val="en-GB"/>
        </w:rPr>
        <w:t xml:space="preserve">in 2017 </w:t>
      </w:r>
      <w:r>
        <w:rPr>
          <w:rFonts w:asciiTheme="minorHAnsi" w:hAnsiTheme="minorHAnsi" w:cstheme="minorHAnsi"/>
          <w:sz w:val="24"/>
          <w:szCs w:val="22"/>
          <w:lang w:val="en-GB"/>
        </w:rPr>
        <w:t xml:space="preserve">Victoria achieved the highest dpmp rate of 23.4, with the highest number of deceased organ donors. </w:t>
      </w:r>
      <w:r w:rsidRPr="00F12842">
        <w:rPr>
          <w:rFonts w:asciiTheme="minorHAnsi" w:hAnsiTheme="minorHAnsi" w:cstheme="minorHAnsi"/>
          <w:sz w:val="24"/>
          <w:szCs w:val="22"/>
          <w:lang w:val="en-GB"/>
        </w:rPr>
        <w:t xml:space="preserve">Further, critics have highlighted that availability of </w:t>
      </w:r>
      <w:r>
        <w:rPr>
          <w:rFonts w:asciiTheme="minorHAnsi" w:hAnsiTheme="minorHAnsi" w:cstheme="minorHAnsi"/>
          <w:sz w:val="24"/>
          <w:szCs w:val="22"/>
          <w:lang w:val="en-GB"/>
        </w:rPr>
        <w:t xml:space="preserve">aggregated </w:t>
      </w:r>
      <w:r w:rsidRPr="00F12842">
        <w:rPr>
          <w:rFonts w:asciiTheme="minorHAnsi" w:hAnsiTheme="minorHAnsi" w:cstheme="minorHAnsi"/>
          <w:sz w:val="24"/>
          <w:szCs w:val="22"/>
          <w:lang w:val="en-GB"/>
        </w:rPr>
        <w:t xml:space="preserve">data from the </w:t>
      </w:r>
      <w:r w:rsidR="00276398">
        <w:rPr>
          <w:rFonts w:asciiTheme="minorHAnsi" w:hAnsiTheme="minorHAnsi" w:cstheme="minorHAnsi"/>
          <w:sz w:val="24"/>
          <w:szCs w:val="22"/>
          <w:lang w:val="en-GB"/>
        </w:rPr>
        <w:t>AODR</w:t>
      </w:r>
      <w:r w:rsidRPr="00F12842">
        <w:rPr>
          <w:rFonts w:asciiTheme="minorHAnsi" w:hAnsiTheme="minorHAnsi" w:cstheme="minorHAnsi"/>
          <w:sz w:val="24"/>
          <w:szCs w:val="22"/>
          <w:lang w:val="en-GB"/>
        </w:rPr>
        <w:t xml:space="preserve"> is limited and </w:t>
      </w:r>
      <w:r>
        <w:rPr>
          <w:rFonts w:asciiTheme="minorHAnsi" w:hAnsiTheme="minorHAnsi" w:cstheme="minorHAnsi"/>
          <w:sz w:val="24"/>
          <w:szCs w:val="22"/>
          <w:lang w:val="en-GB"/>
        </w:rPr>
        <w:t xml:space="preserve">is </w:t>
      </w:r>
      <w:r w:rsidRPr="00F12842">
        <w:rPr>
          <w:rFonts w:asciiTheme="minorHAnsi" w:hAnsiTheme="minorHAnsi" w:cstheme="minorHAnsi"/>
          <w:sz w:val="24"/>
          <w:szCs w:val="22"/>
          <w:lang w:val="en-GB"/>
        </w:rPr>
        <w:t xml:space="preserve">not currently useful </w:t>
      </w:r>
      <w:r>
        <w:rPr>
          <w:rFonts w:asciiTheme="minorHAnsi" w:hAnsiTheme="minorHAnsi" w:cstheme="minorHAnsi"/>
          <w:sz w:val="24"/>
          <w:szCs w:val="22"/>
          <w:lang w:val="en-GB"/>
        </w:rPr>
        <w:t xml:space="preserve">in order </w:t>
      </w:r>
      <w:r w:rsidRPr="00F12842">
        <w:rPr>
          <w:rFonts w:asciiTheme="minorHAnsi" w:hAnsiTheme="minorHAnsi" w:cstheme="minorHAnsi"/>
          <w:sz w:val="24"/>
          <w:szCs w:val="22"/>
          <w:lang w:val="en-GB"/>
        </w:rPr>
        <w:t xml:space="preserve">to inform decision making and investment. For example, the current data from the </w:t>
      </w:r>
      <w:r w:rsidR="00276398">
        <w:rPr>
          <w:rFonts w:asciiTheme="minorHAnsi" w:hAnsiTheme="minorHAnsi" w:cstheme="minorHAnsi"/>
          <w:sz w:val="24"/>
          <w:szCs w:val="22"/>
          <w:lang w:val="en-GB"/>
        </w:rPr>
        <w:t>AODR</w:t>
      </w:r>
      <w:r w:rsidRPr="00F12842">
        <w:rPr>
          <w:rFonts w:asciiTheme="minorHAnsi" w:hAnsiTheme="minorHAnsi" w:cstheme="minorHAnsi"/>
          <w:sz w:val="24"/>
          <w:szCs w:val="22"/>
          <w:lang w:val="en-GB"/>
        </w:rPr>
        <w:t xml:space="preserve"> does not provide detail on the demographic groups accessing the register.</w:t>
      </w:r>
    </w:p>
    <w:p w14:paraId="75BCE3EF" w14:textId="77777777" w:rsidR="005D0FA0" w:rsidRDefault="00C30067" w:rsidP="00C30067">
      <w:pPr>
        <w:spacing w:after="120"/>
        <w:rPr>
          <w:rFonts w:asciiTheme="minorHAnsi" w:hAnsiTheme="minorHAnsi" w:cstheme="minorHAnsi"/>
          <w:sz w:val="24"/>
          <w:szCs w:val="22"/>
          <w:lang w:val="en-GB"/>
        </w:rPr>
      </w:pPr>
      <w:r w:rsidRPr="00F12842">
        <w:rPr>
          <w:rFonts w:asciiTheme="minorHAnsi" w:hAnsiTheme="minorHAnsi" w:cstheme="minorHAnsi"/>
          <w:sz w:val="24"/>
          <w:szCs w:val="22"/>
          <w:lang w:val="en-GB"/>
        </w:rPr>
        <w:t xml:space="preserve">The Review found that despite investment to create a register that </w:t>
      </w:r>
      <w:r w:rsidR="00F46F81">
        <w:rPr>
          <w:rFonts w:asciiTheme="minorHAnsi" w:hAnsiTheme="minorHAnsi" w:cstheme="minorHAnsi"/>
          <w:sz w:val="24"/>
          <w:szCs w:val="22"/>
          <w:lang w:val="en-GB"/>
        </w:rPr>
        <w:t>is intended to increase</w:t>
      </w:r>
      <w:r w:rsidRPr="00F12842">
        <w:rPr>
          <w:rFonts w:asciiTheme="minorHAnsi" w:hAnsiTheme="minorHAnsi" w:cstheme="minorHAnsi"/>
          <w:sz w:val="24"/>
          <w:szCs w:val="22"/>
          <w:lang w:val="en-GB"/>
        </w:rPr>
        <w:t xml:space="preserve"> donations, the current functionality and accessibility </w:t>
      </w:r>
      <w:r w:rsidR="00600C3B">
        <w:rPr>
          <w:rFonts w:asciiTheme="minorHAnsi" w:hAnsiTheme="minorHAnsi" w:cstheme="minorHAnsi"/>
          <w:sz w:val="24"/>
          <w:szCs w:val="22"/>
          <w:lang w:val="en-GB"/>
        </w:rPr>
        <w:t>impair</w:t>
      </w:r>
      <w:r w:rsidR="00660C2C">
        <w:rPr>
          <w:rFonts w:asciiTheme="minorHAnsi" w:hAnsiTheme="minorHAnsi" w:cstheme="minorHAnsi"/>
          <w:sz w:val="24"/>
          <w:szCs w:val="22"/>
          <w:lang w:val="en-GB"/>
        </w:rPr>
        <w:t>s</w:t>
      </w:r>
      <w:r w:rsidR="00600C3B">
        <w:rPr>
          <w:rFonts w:asciiTheme="minorHAnsi" w:hAnsiTheme="minorHAnsi" w:cstheme="minorHAnsi"/>
          <w:sz w:val="24"/>
          <w:szCs w:val="22"/>
          <w:lang w:val="en-GB"/>
        </w:rPr>
        <w:t xml:space="preserve"> the attainment of</w:t>
      </w:r>
      <w:r w:rsidRPr="00F12842">
        <w:rPr>
          <w:rFonts w:asciiTheme="minorHAnsi" w:hAnsiTheme="minorHAnsi" w:cstheme="minorHAnsi"/>
          <w:sz w:val="24"/>
          <w:szCs w:val="22"/>
          <w:lang w:val="en-GB"/>
        </w:rPr>
        <w:t xml:space="preserve"> this objective.</w:t>
      </w:r>
      <w:r>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Consideration of</w:t>
      </w:r>
      <w:r>
        <w:rPr>
          <w:rFonts w:asciiTheme="minorHAnsi" w:hAnsiTheme="minorHAnsi" w:cstheme="minorHAnsi"/>
          <w:sz w:val="24"/>
          <w:szCs w:val="22"/>
          <w:lang w:val="en-GB"/>
        </w:rPr>
        <w:t xml:space="preserve"> other ways that potential donors can register their intent and consent may be useful.</w:t>
      </w:r>
      <w:r w:rsidR="00600C3B">
        <w:rPr>
          <w:rFonts w:asciiTheme="minorHAnsi" w:hAnsiTheme="minorHAnsi" w:cstheme="minorHAnsi"/>
          <w:sz w:val="24"/>
          <w:szCs w:val="22"/>
          <w:lang w:val="en-GB"/>
        </w:rPr>
        <w:t xml:space="preserve"> Furthermore,</w:t>
      </w:r>
      <w:r w:rsidR="005D0FA0">
        <w:rPr>
          <w:rFonts w:asciiTheme="minorHAnsi" w:hAnsiTheme="minorHAnsi" w:cstheme="minorHAnsi"/>
          <w:sz w:val="24"/>
          <w:szCs w:val="22"/>
          <w:lang w:val="en-GB"/>
        </w:rPr>
        <w:t xml:space="preserve"> consideration of</w:t>
      </w:r>
      <w:r w:rsidR="00600C3B">
        <w:rPr>
          <w:rFonts w:asciiTheme="minorHAnsi" w:hAnsiTheme="minorHAnsi" w:cstheme="minorHAnsi"/>
          <w:sz w:val="24"/>
          <w:szCs w:val="22"/>
          <w:lang w:val="en-GB"/>
        </w:rPr>
        <w:t xml:space="preserve"> shifting the focus of the</w:t>
      </w:r>
      <w:r w:rsidR="00276398">
        <w:rPr>
          <w:rFonts w:asciiTheme="minorHAnsi" w:hAnsiTheme="minorHAnsi" w:cstheme="minorHAnsi"/>
          <w:sz w:val="24"/>
          <w:szCs w:val="22"/>
          <w:lang w:val="en-GB"/>
        </w:rPr>
        <w:t xml:space="preserve"> AODR</w:t>
      </w:r>
      <w:r w:rsidR="00600C3B">
        <w:rPr>
          <w:rFonts w:asciiTheme="minorHAnsi" w:hAnsiTheme="minorHAnsi" w:cstheme="minorHAnsi"/>
          <w:sz w:val="24"/>
          <w:szCs w:val="22"/>
          <w:lang w:val="en-GB"/>
        </w:rPr>
        <w:t xml:space="preserve"> from potential donor consent to potential donor intent </w:t>
      </w:r>
      <w:r w:rsidR="005D0FA0">
        <w:rPr>
          <w:rFonts w:asciiTheme="minorHAnsi" w:hAnsiTheme="minorHAnsi" w:cstheme="minorHAnsi"/>
          <w:sz w:val="24"/>
          <w:szCs w:val="22"/>
          <w:lang w:val="en-GB"/>
        </w:rPr>
        <w:t>may be worthwhile in</w:t>
      </w:r>
      <w:r w:rsidR="00600C3B">
        <w:rPr>
          <w:rFonts w:asciiTheme="minorHAnsi" w:hAnsiTheme="minorHAnsi" w:cstheme="minorHAnsi"/>
          <w:sz w:val="24"/>
          <w:szCs w:val="22"/>
          <w:lang w:val="en-GB"/>
        </w:rPr>
        <w:t xml:space="preserve"> reduc</w:t>
      </w:r>
      <w:r w:rsidR="005D0FA0">
        <w:rPr>
          <w:rFonts w:asciiTheme="minorHAnsi" w:hAnsiTheme="minorHAnsi" w:cstheme="minorHAnsi"/>
          <w:sz w:val="24"/>
          <w:szCs w:val="22"/>
          <w:lang w:val="en-GB"/>
        </w:rPr>
        <w:t>ing</w:t>
      </w:r>
      <w:r w:rsidR="00600C3B">
        <w:rPr>
          <w:rFonts w:asciiTheme="minorHAnsi" w:hAnsiTheme="minorHAnsi" w:cstheme="minorHAnsi"/>
          <w:sz w:val="24"/>
          <w:szCs w:val="22"/>
          <w:lang w:val="en-GB"/>
        </w:rPr>
        <w:t xml:space="preserve"> the requirement for complex identification protocol, and thus increase the accessibility and ease of </w:t>
      </w:r>
      <w:r w:rsidR="00660C2C">
        <w:rPr>
          <w:rFonts w:asciiTheme="minorHAnsi" w:hAnsiTheme="minorHAnsi" w:cstheme="minorHAnsi"/>
          <w:sz w:val="24"/>
          <w:szCs w:val="22"/>
          <w:lang w:val="en-GB"/>
        </w:rPr>
        <w:t xml:space="preserve">the </w:t>
      </w:r>
      <w:r w:rsidR="00600C3B">
        <w:rPr>
          <w:rFonts w:asciiTheme="minorHAnsi" w:hAnsiTheme="minorHAnsi" w:cstheme="minorHAnsi"/>
          <w:sz w:val="24"/>
          <w:szCs w:val="22"/>
          <w:lang w:val="en-GB"/>
        </w:rPr>
        <w:t>use of potential donor registration.</w:t>
      </w:r>
      <w:r>
        <w:rPr>
          <w:rFonts w:asciiTheme="minorHAnsi" w:hAnsiTheme="minorHAnsi" w:cstheme="minorHAnsi"/>
          <w:sz w:val="24"/>
          <w:szCs w:val="22"/>
          <w:lang w:val="en-GB"/>
        </w:rPr>
        <w:t xml:space="preserve"> </w:t>
      </w:r>
      <w:r w:rsidR="005D0FA0">
        <w:rPr>
          <w:rFonts w:asciiTheme="minorHAnsi" w:hAnsiTheme="minorHAnsi" w:cstheme="minorHAnsi"/>
          <w:sz w:val="24"/>
          <w:szCs w:val="22"/>
          <w:lang w:val="en-GB"/>
        </w:rPr>
        <w:t xml:space="preserve">In shifting the AODR from a register of intent rather than consent, alternative pathways for registration may be considered such as </w:t>
      </w:r>
      <w:r w:rsidR="005B73A9">
        <w:rPr>
          <w:rFonts w:asciiTheme="minorHAnsi" w:hAnsiTheme="minorHAnsi" w:cstheme="minorHAnsi"/>
          <w:sz w:val="24"/>
          <w:szCs w:val="22"/>
          <w:lang w:val="en-GB"/>
        </w:rPr>
        <w:t xml:space="preserve">linking with the </w:t>
      </w:r>
      <w:r w:rsidR="00091391">
        <w:rPr>
          <w:rFonts w:asciiTheme="minorHAnsi" w:hAnsiTheme="minorHAnsi" w:cstheme="minorHAnsi"/>
          <w:sz w:val="24"/>
          <w:szCs w:val="22"/>
          <w:lang w:val="en-GB"/>
        </w:rPr>
        <w:t>driver’s licens</w:t>
      </w:r>
      <w:r w:rsidR="005B73A9" w:rsidRPr="00763E59">
        <w:rPr>
          <w:rFonts w:asciiTheme="minorHAnsi" w:hAnsiTheme="minorHAnsi" w:cstheme="minorHAnsi"/>
          <w:sz w:val="24"/>
          <w:szCs w:val="22"/>
          <w:lang w:val="en-GB"/>
        </w:rPr>
        <w:t>e based</w:t>
      </w:r>
      <w:r w:rsidR="005B73A9">
        <w:rPr>
          <w:rFonts w:asciiTheme="minorHAnsi" w:hAnsiTheme="minorHAnsi" w:cstheme="minorHAnsi"/>
          <w:sz w:val="24"/>
          <w:szCs w:val="22"/>
          <w:lang w:val="en-GB"/>
        </w:rPr>
        <w:t xml:space="preserve"> system and</w:t>
      </w:r>
      <w:r>
        <w:rPr>
          <w:rFonts w:asciiTheme="minorHAnsi" w:hAnsiTheme="minorHAnsi" w:cstheme="minorHAnsi"/>
          <w:sz w:val="24"/>
          <w:szCs w:val="22"/>
          <w:lang w:val="en-GB"/>
        </w:rPr>
        <w:t xml:space="preserve"> social media platforms may</w:t>
      </w:r>
      <w:r w:rsidR="005D0FA0">
        <w:rPr>
          <w:rFonts w:asciiTheme="minorHAnsi" w:hAnsiTheme="minorHAnsi" w:cstheme="minorHAnsi"/>
          <w:sz w:val="24"/>
          <w:szCs w:val="22"/>
          <w:lang w:val="en-GB"/>
        </w:rPr>
        <w:t xml:space="preserve"> be utilised to</w:t>
      </w:r>
      <w:r>
        <w:rPr>
          <w:rFonts w:asciiTheme="minorHAnsi" w:hAnsiTheme="minorHAnsi" w:cstheme="minorHAnsi"/>
          <w:sz w:val="24"/>
          <w:szCs w:val="22"/>
          <w:lang w:val="en-GB"/>
        </w:rPr>
        <w:t xml:space="preserve"> improve the reach of the </w:t>
      </w:r>
      <w:r w:rsidR="00276398">
        <w:rPr>
          <w:rFonts w:asciiTheme="minorHAnsi" w:hAnsiTheme="minorHAnsi" w:cstheme="minorHAnsi"/>
          <w:sz w:val="24"/>
          <w:szCs w:val="22"/>
          <w:lang w:val="en-GB"/>
        </w:rPr>
        <w:t xml:space="preserve">AODR </w:t>
      </w:r>
      <w:r>
        <w:rPr>
          <w:rFonts w:asciiTheme="minorHAnsi" w:hAnsiTheme="minorHAnsi" w:cstheme="minorHAnsi"/>
          <w:sz w:val="24"/>
          <w:szCs w:val="22"/>
          <w:lang w:val="en-GB"/>
        </w:rPr>
        <w:t>and streamline</w:t>
      </w:r>
      <w:r w:rsidR="005D0FA0">
        <w:rPr>
          <w:rFonts w:asciiTheme="minorHAnsi" w:hAnsiTheme="minorHAnsi" w:cstheme="minorHAnsi"/>
          <w:sz w:val="24"/>
          <w:szCs w:val="22"/>
          <w:lang w:val="en-GB"/>
        </w:rPr>
        <w:t xml:space="preserve"> the</w:t>
      </w:r>
      <w:r>
        <w:rPr>
          <w:rFonts w:asciiTheme="minorHAnsi" w:hAnsiTheme="minorHAnsi" w:cstheme="minorHAnsi"/>
          <w:sz w:val="24"/>
          <w:szCs w:val="22"/>
          <w:lang w:val="en-GB"/>
        </w:rPr>
        <w:t xml:space="preserve"> process for potential donor</w:t>
      </w:r>
      <w:r w:rsidR="005D0FA0">
        <w:rPr>
          <w:rFonts w:asciiTheme="minorHAnsi" w:hAnsiTheme="minorHAnsi" w:cstheme="minorHAnsi"/>
          <w:sz w:val="24"/>
          <w:szCs w:val="22"/>
          <w:lang w:val="en-GB"/>
        </w:rPr>
        <w:t xml:space="preserve"> registration</w:t>
      </w:r>
      <w:r w:rsidRPr="00F37D51">
        <w:rPr>
          <w:rFonts w:asciiTheme="minorHAnsi" w:hAnsiTheme="minorHAnsi" w:cstheme="minorHAnsi"/>
          <w:sz w:val="24"/>
          <w:szCs w:val="22"/>
          <w:lang w:val="en-GB"/>
        </w:rPr>
        <w:t xml:space="preserve">.  </w:t>
      </w:r>
    </w:p>
    <w:p w14:paraId="6A8138BD" w14:textId="77777777" w:rsidR="00C30067" w:rsidRDefault="00D426CF" w:rsidP="00C30067">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Finally, collection of data on the demographics that register on the </w:t>
      </w:r>
      <w:r w:rsidR="00D76FD9">
        <w:rPr>
          <w:rFonts w:asciiTheme="minorHAnsi" w:hAnsiTheme="minorHAnsi" w:cstheme="minorHAnsi"/>
          <w:sz w:val="24"/>
          <w:szCs w:val="22"/>
          <w:lang w:val="en-GB"/>
        </w:rPr>
        <w:t xml:space="preserve">AODR may be useful to identify strategies to improve registrations and donation rates. For example, data on Aboriginal and Torres Strait Islander and culturally and linguistically diverse </w:t>
      </w:r>
      <w:r w:rsidR="00723E8C">
        <w:rPr>
          <w:rFonts w:asciiTheme="minorHAnsi" w:hAnsiTheme="minorHAnsi" w:cstheme="minorHAnsi"/>
          <w:sz w:val="24"/>
          <w:szCs w:val="22"/>
          <w:lang w:val="en-GB"/>
        </w:rPr>
        <w:t>population’s</w:t>
      </w:r>
      <w:r w:rsidR="00D76FD9">
        <w:rPr>
          <w:rFonts w:asciiTheme="minorHAnsi" w:hAnsiTheme="minorHAnsi" w:cstheme="minorHAnsi"/>
          <w:sz w:val="24"/>
          <w:szCs w:val="22"/>
          <w:lang w:val="en-GB"/>
        </w:rPr>
        <w:t xml:space="preserve"> registrations are not currently collected yet these groups currently donate at lower rates than other populations groups. </w:t>
      </w:r>
    </w:p>
    <w:p w14:paraId="7F615E14" w14:textId="77777777" w:rsidR="00C30067" w:rsidRPr="00266A77" w:rsidRDefault="00C30067" w:rsidP="00C30067">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Summary of key findings</w:t>
      </w:r>
    </w:p>
    <w:p w14:paraId="556321B8" w14:textId="77777777" w:rsidR="005649BA" w:rsidRDefault="005649BA" w:rsidP="00C30067">
      <w:pPr>
        <w:numPr>
          <w:ilvl w:val="0"/>
          <w:numId w:val="18"/>
        </w:numPr>
        <w:spacing w:after="120"/>
        <w:rPr>
          <w:rFonts w:asciiTheme="minorHAnsi" w:hAnsiTheme="minorHAnsi" w:cstheme="minorHAnsi"/>
          <w:sz w:val="24"/>
          <w:szCs w:val="22"/>
          <w:lang w:val="en-GB"/>
        </w:rPr>
      </w:pPr>
      <w:r>
        <w:rPr>
          <w:rFonts w:asciiTheme="minorHAnsi" w:hAnsiTheme="minorHAnsi" w:cstheme="minorHAnsi"/>
          <w:sz w:val="24"/>
          <w:szCs w:val="22"/>
          <w:lang w:val="en-GB"/>
        </w:rPr>
        <w:t>The AODR was established initially as a register for intent, however</w:t>
      </w:r>
      <w:r w:rsidRPr="005649BA">
        <w:rPr>
          <w:rFonts w:asciiTheme="minorHAnsi" w:hAnsiTheme="minorHAnsi" w:cstheme="minorHAnsi"/>
          <w:sz w:val="24"/>
          <w:szCs w:val="22"/>
          <w:lang w:val="en-GB"/>
        </w:rPr>
        <w:t xml:space="preserve"> the Australian Heal</w:t>
      </w:r>
      <w:r>
        <w:rPr>
          <w:rFonts w:asciiTheme="minorHAnsi" w:hAnsiTheme="minorHAnsi" w:cstheme="minorHAnsi"/>
          <w:sz w:val="24"/>
          <w:szCs w:val="22"/>
          <w:lang w:val="en-GB"/>
        </w:rPr>
        <w:t xml:space="preserve">th Ministers’ Conference </w:t>
      </w:r>
      <w:r w:rsidR="00B34CA7">
        <w:rPr>
          <w:rFonts w:asciiTheme="minorHAnsi" w:hAnsiTheme="minorHAnsi" w:cstheme="minorHAnsi"/>
          <w:sz w:val="24"/>
          <w:szCs w:val="22"/>
          <w:lang w:val="en-GB"/>
        </w:rPr>
        <w:t xml:space="preserve">agreed </w:t>
      </w:r>
      <w:r>
        <w:rPr>
          <w:rFonts w:asciiTheme="minorHAnsi" w:hAnsiTheme="minorHAnsi" w:cstheme="minorHAnsi"/>
          <w:sz w:val="24"/>
          <w:szCs w:val="22"/>
          <w:lang w:val="en-GB"/>
        </w:rPr>
        <w:t>in 2005</w:t>
      </w:r>
      <w:r w:rsidRPr="005649BA">
        <w:rPr>
          <w:rFonts w:asciiTheme="minorHAnsi" w:hAnsiTheme="minorHAnsi" w:cstheme="minorHAnsi"/>
          <w:sz w:val="24"/>
          <w:szCs w:val="22"/>
          <w:lang w:val="en-GB"/>
        </w:rPr>
        <w:t xml:space="preserve"> that the</w:t>
      </w:r>
      <w:r>
        <w:rPr>
          <w:rFonts w:asciiTheme="minorHAnsi" w:hAnsiTheme="minorHAnsi" w:cstheme="minorHAnsi"/>
          <w:sz w:val="24"/>
          <w:szCs w:val="22"/>
          <w:lang w:val="en-GB"/>
        </w:rPr>
        <w:t xml:space="preserve"> </w:t>
      </w:r>
      <w:r w:rsidRPr="005649BA">
        <w:rPr>
          <w:rFonts w:asciiTheme="minorHAnsi" w:hAnsiTheme="minorHAnsi" w:cstheme="minorHAnsi"/>
          <w:sz w:val="24"/>
          <w:szCs w:val="22"/>
          <w:lang w:val="en-GB"/>
        </w:rPr>
        <w:t>AODR would be changed to a register of consent</w:t>
      </w:r>
      <w:r>
        <w:rPr>
          <w:rFonts w:asciiTheme="minorHAnsi" w:hAnsiTheme="minorHAnsi" w:cstheme="minorHAnsi"/>
          <w:sz w:val="24"/>
          <w:szCs w:val="22"/>
          <w:lang w:val="en-GB"/>
        </w:rPr>
        <w:t>.</w:t>
      </w:r>
    </w:p>
    <w:p w14:paraId="571184CE" w14:textId="77777777" w:rsidR="00C30067" w:rsidRPr="00F37D51" w:rsidRDefault="00C30067" w:rsidP="00C30067">
      <w:pPr>
        <w:numPr>
          <w:ilvl w:val="0"/>
          <w:numId w:val="18"/>
        </w:numPr>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The concept of registering</w:t>
      </w:r>
      <w:r>
        <w:rPr>
          <w:rFonts w:asciiTheme="minorHAnsi" w:hAnsiTheme="minorHAnsi" w:cstheme="minorHAnsi"/>
          <w:sz w:val="24"/>
          <w:szCs w:val="22"/>
          <w:lang w:val="en-GB"/>
        </w:rPr>
        <w:t xml:space="preserve"> a person’s </w:t>
      </w:r>
      <w:r w:rsidRPr="003C6E06">
        <w:rPr>
          <w:rFonts w:asciiTheme="minorHAnsi" w:hAnsiTheme="minorHAnsi" w:cstheme="minorHAnsi"/>
          <w:sz w:val="24"/>
          <w:szCs w:val="22"/>
          <w:lang w:val="en-GB"/>
        </w:rPr>
        <w:t>decision about becoming an organ donor for transplantation after death</w:t>
      </w:r>
      <w:r>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is considered useful by most key stakeholders.</w:t>
      </w:r>
    </w:p>
    <w:p w14:paraId="5620C16E" w14:textId="77777777" w:rsidR="00C30067" w:rsidRPr="00F37D51" w:rsidRDefault="00C30067" w:rsidP="00C30067">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The AODR remains a useful system for recording the </w:t>
      </w:r>
      <w:r>
        <w:rPr>
          <w:rFonts w:asciiTheme="minorHAnsi" w:hAnsiTheme="minorHAnsi" w:cstheme="minorHAnsi"/>
          <w:sz w:val="24"/>
          <w:szCs w:val="22"/>
          <w:lang w:val="en-GB"/>
        </w:rPr>
        <w:t xml:space="preserve">consent </w:t>
      </w:r>
      <w:r w:rsidRPr="00F37D51">
        <w:rPr>
          <w:rFonts w:asciiTheme="minorHAnsi" w:hAnsiTheme="minorHAnsi" w:cstheme="minorHAnsi"/>
          <w:sz w:val="24"/>
          <w:szCs w:val="22"/>
          <w:lang w:val="en-GB"/>
        </w:rPr>
        <w:t>of potential donor</w:t>
      </w:r>
      <w:r>
        <w:rPr>
          <w:rFonts w:asciiTheme="minorHAnsi" w:hAnsiTheme="minorHAnsi" w:cstheme="minorHAnsi"/>
          <w:sz w:val="24"/>
          <w:szCs w:val="22"/>
          <w:lang w:val="en-GB"/>
        </w:rPr>
        <w:t xml:space="preserve">s, </w:t>
      </w:r>
      <w:r w:rsidRPr="00F37D51">
        <w:rPr>
          <w:rFonts w:asciiTheme="minorHAnsi" w:hAnsiTheme="minorHAnsi" w:cstheme="minorHAnsi"/>
          <w:sz w:val="24"/>
          <w:szCs w:val="22"/>
          <w:lang w:val="en-GB"/>
        </w:rPr>
        <w:t xml:space="preserve">however the </w:t>
      </w:r>
      <w:r>
        <w:rPr>
          <w:rFonts w:asciiTheme="minorHAnsi" w:hAnsiTheme="minorHAnsi" w:cstheme="minorHAnsi"/>
          <w:sz w:val="24"/>
          <w:szCs w:val="22"/>
          <w:lang w:val="en-GB"/>
        </w:rPr>
        <w:t>accessibility</w:t>
      </w:r>
      <w:r w:rsidR="00600C3B">
        <w:rPr>
          <w:rFonts w:asciiTheme="minorHAnsi" w:hAnsiTheme="minorHAnsi" w:cstheme="minorHAnsi"/>
          <w:sz w:val="24"/>
          <w:szCs w:val="22"/>
          <w:lang w:val="en-GB"/>
        </w:rPr>
        <w:t xml:space="preserve"> for potential donors</w:t>
      </w:r>
      <w:r>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is currently limited.</w:t>
      </w:r>
    </w:p>
    <w:p w14:paraId="41A976B2" w14:textId="77777777" w:rsidR="00C30067" w:rsidRPr="00F37D51" w:rsidRDefault="00C30067" w:rsidP="00C30067">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The </w:t>
      </w:r>
      <w:r w:rsidR="00600C3B">
        <w:rPr>
          <w:rFonts w:asciiTheme="minorHAnsi" w:hAnsiTheme="minorHAnsi" w:cstheme="minorHAnsi"/>
          <w:sz w:val="24"/>
          <w:szCs w:val="22"/>
          <w:lang w:val="en-GB"/>
        </w:rPr>
        <w:t xml:space="preserve">aggregated </w:t>
      </w:r>
      <w:r w:rsidRPr="00F37D51">
        <w:rPr>
          <w:rFonts w:asciiTheme="minorHAnsi" w:hAnsiTheme="minorHAnsi" w:cstheme="minorHAnsi"/>
          <w:sz w:val="24"/>
          <w:szCs w:val="22"/>
          <w:lang w:val="en-GB"/>
        </w:rPr>
        <w:t>data and reporting from the AODR is limited and does not include detail such as the use of the AODR by minority groups</w:t>
      </w:r>
      <w:r>
        <w:rPr>
          <w:rFonts w:asciiTheme="minorHAnsi" w:hAnsiTheme="minorHAnsi" w:cstheme="minorHAnsi"/>
          <w:sz w:val="24"/>
          <w:szCs w:val="22"/>
          <w:lang w:val="en-GB"/>
        </w:rPr>
        <w:t>.</w:t>
      </w:r>
    </w:p>
    <w:p w14:paraId="1D3B6D6C" w14:textId="77777777" w:rsidR="00C30067" w:rsidRPr="00F37D51" w:rsidRDefault="00600C3B" w:rsidP="00C30067">
      <w:pPr>
        <w:numPr>
          <w:ilvl w:val="0"/>
          <w:numId w:val="18"/>
        </w:numPr>
        <w:spacing w:after="120"/>
        <w:ind w:left="357" w:hanging="357"/>
        <w:rPr>
          <w:rFonts w:asciiTheme="minorHAnsi" w:hAnsiTheme="minorHAnsi" w:cstheme="minorHAnsi"/>
          <w:sz w:val="24"/>
          <w:szCs w:val="22"/>
          <w:lang w:val="en-GB"/>
        </w:rPr>
      </w:pPr>
      <w:r>
        <w:rPr>
          <w:rFonts w:asciiTheme="minorHAnsi" w:hAnsiTheme="minorHAnsi" w:cstheme="minorHAnsi"/>
          <w:sz w:val="24"/>
          <w:szCs w:val="22"/>
          <w:lang w:val="en-GB"/>
        </w:rPr>
        <w:t>The difficulty of the process of r</w:t>
      </w:r>
      <w:r w:rsidR="00C30067" w:rsidRPr="00F37D51">
        <w:rPr>
          <w:rFonts w:asciiTheme="minorHAnsi" w:hAnsiTheme="minorHAnsi" w:cstheme="minorHAnsi"/>
          <w:sz w:val="24"/>
          <w:szCs w:val="22"/>
          <w:lang w:val="en-GB"/>
        </w:rPr>
        <w:t xml:space="preserve">egistration through the current channels limits the potential to lift the prevalence of registration. </w:t>
      </w:r>
    </w:p>
    <w:p w14:paraId="0BE18B26" w14:textId="77777777" w:rsidR="00C30067" w:rsidRPr="00266A77" w:rsidRDefault="00C30067" w:rsidP="00C30067">
      <w:pPr>
        <w:numPr>
          <w:ilvl w:val="0"/>
          <w:numId w:val="18"/>
        </w:numPr>
        <w:spacing w:after="120"/>
        <w:ind w:left="357" w:hanging="357"/>
        <w:rPr>
          <w:rFonts w:asciiTheme="minorHAnsi" w:hAnsiTheme="minorHAnsi" w:cstheme="minorHAnsi"/>
          <w:sz w:val="24"/>
          <w:szCs w:val="22"/>
          <w:lang w:val="en-GB"/>
        </w:rPr>
      </w:pPr>
      <w:r w:rsidRPr="00763E59">
        <w:rPr>
          <w:rFonts w:asciiTheme="minorHAnsi" w:hAnsiTheme="minorHAnsi" w:cstheme="minorHAnsi"/>
          <w:sz w:val="24"/>
          <w:szCs w:val="22"/>
          <w:lang w:val="en-GB"/>
        </w:rPr>
        <w:t>South Australia continues to be the jurisdiction with the highest proportion of their population registered</w:t>
      </w:r>
      <w:r>
        <w:rPr>
          <w:rFonts w:asciiTheme="minorHAnsi" w:hAnsiTheme="minorHAnsi" w:cstheme="minorHAnsi"/>
          <w:sz w:val="24"/>
          <w:szCs w:val="22"/>
          <w:lang w:val="en-GB"/>
        </w:rPr>
        <w:t>, however</w:t>
      </w:r>
      <w:r w:rsidRPr="00763E59">
        <w:rPr>
          <w:rFonts w:asciiTheme="minorHAnsi" w:hAnsiTheme="minorHAnsi" w:cstheme="minorHAnsi"/>
          <w:sz w:val="24"/>
          <w:szCs w:val="22"/>
          <w:lang w:val="en-GB"/>
        </w:rPr>
        <w:t xml:space="preserve"> the current links between the S</w:t>
      </w:r>
      <w:r>
        <w:rPr>
          <w:rFonts w:asciiTheme="minorHAnsi" w:hAnsiTheme="minorHAnsi" w:cstheme="minorHAnsi"/>
          <w:sz w:val="24"/>
          <w:szCs w:val="22"/>
          <w:lang w:val="en-GB"/>
        </w:rPr>
        <w:t xml:space="preserve">outh </w:t>
      </w:r>
      <w:r w:rsidRPr="00763E59">
        <w:rPr>
          <w:rFonts w:asciiTheme="minorHAnsi" w:hAnsiTheme="minorHAnsi" w:cstheme="minorHAnsi"/>
          <w:sz w:val="24"/>
          <w:szCs w:val="22"/>
          <w:lang w:val="en-GB"/>
        </w:rPr>
        <w:t>A</w:t>
      </w:r>
      <w:r>
        <w:rPr>
          <w:rFonts w:asciiTheme="minorHAnsi" w:hAnsiTheme="minorHAnsi" w:cstheme="minorHAnsi"/>
          <w:sz w:val="24"/>
          <w:szCs w:val="22"/>
          <w:lang w:val="en-GB"/>
        </w:rPr>
        <w:t>ustralian</w:t>
      </w:r>
      <w:r w:rsidR="00091391">
        <w:rPr>
          <w:rFonts w:asciiTheme="minorHAnsi" w:hAnsiTheme="minorHAnsi" w:cstheme="minorHAnsi"/>
          <w:sz w:val="24"/>
          <w:szCs w:val="22"/>
          <w:lang w:val="en-GB"/>
        </w:rPr>
        <w:t xml:space="preserve"> driver’s licens</w:t>
      </w:r>
      <w:r w:rsidRPr="00763E59">
        <w:rPr>
          <w:rFonts w:asciiTheme="minorHAnsi" w:hAnsiTheme="minorHAnsi" w:cstheme="minorHAnsi"/>
          <w:sz w:val="24"/>
          <w:szCs w:val="22"/>
          <w:lang w:val="en-GB"/>
        </w:rPr>
        <w:t>e based scheme and the AODR remain problematic.</w:t>
      </w:r>
    </w:p>
    <w:p w14:paraId="025B0BA0" w14:textId="77777777" w:rsidR="00086190" w:rsidRDefault="00086190" w:rsidP="00C30067">
      <w:pPr>
        <w:widowControl/>
        <w:autoSpaceDE/>
        <w:autoSpaceDN/>
        <w:adjustRightInd/>
        <w:spacing w:after="200" w:line="276" w:lineRule="auto"/>
        <w:rPr>
          <w:rFonts w:asciiTheme="minorHAnsi" w:hAnsiTheme="minorHAnsi" w:cstheme="minorHAnsi"/>
          <w:i/>
          <w:color w:val="808080" w:themeColor="background1" w:themeShade="80"/>
          <w:sz w:val="26"/>
          <w:szCs w:val="26"/>
        </w:rPr>
      </w:pPr>
      <w:r>
        <w:rPr>
          <w:rFonts w:asciiTheme="minorHAnsi" w:hAnsiTheme="minorHAnsi" w:cstheme="minorHAnsi"/>
          <w:i/>
          <w:color w:val="808080" w:themeColor="background1" w:themeShade="80"/>
          <w:sz w:val="26"/>
          <w:szCs w:val="26"/>
        </w:rPr>
        <w:br w:type="page"/>
      </w:r>
    </w:p>
    <w:p w14:paraId="66A3EC25" w14:textId="1D8E979C" w:rsidR="00C30067" w:rsidRPr="00266A77" w:rsidRDefault="00C30067" w:rsidP="00C30067">
      <w:pPr>
        <w:widowControl/>
        <w:autoSpaceDE/>
        <w:autoSpaceDN/>
        <w:adjustRightInd/>
        <w:spacing w:after="200" w:line="276" w:lineRule="auto"/>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twenty three is that all key stakeholders should consider the AODR as the primary focus for the registration of an individual’s decision about becoming an organ donor for transplantation after death across Australia. The focus should shift from the AODR being a record of donor consent to a record of donor intent. In doing so, consideration should be given to previous arrangements, including the driver’s license based system, and the decision of the Australian Health Ministers’ Conference regarding its purpose. Recommendation twenty four is that the Australian Government should design and implement strategies to improve the number of registrations on the AODR, in particular for Aboriginal and Torres Strait Islander people and other groups of non-European heritage and data should be captured on the use of the AODR by different demographics in the Australian population in order to inform strategies to improve registration rates. Recommendation twenty five is that the strategies to improve the AODR registrations should be broadened to include links to social media and other entry portals. This will enable greater visibility and accessibility of the AODR. "/>
      </w:tblPr>
      <w:tblGrid>
        <w:gridCol w:w="2410"/>
        <w:gridCol w:w="7337"/>
      </w:tblGrid>
      <w:tr w:rsidR="00C31175" w:rsidRPr="00DC1007" w14:paraId="125B7340" w14:textId="77777777" w:rsidTr="00AE3ED1">
        <w:trPr>
          <w:cantSplit/>
          <w:tblHeader/>
        </w:trPr>
        <w:tc>
          <w:tcPr>
            <w:tcW w:w="2410" w:type="dxa"/>
            <w:shd w:val="clear" w:color="auto" w:fill="595959" w:themeFill="text1" w:themeFillTint="A6"/>
          </w:tcPr>
          <w:p w14:paraId="69399CD0" w14:textId="69437177" w:rsidR="00C31175" w:rsidRPr="00AE3ED1" w:rsidRDefault="00C31175" w:rsidP="00AE3ED1">
            <w:pPr>
              <w:spacing w:after="120"/>
              <w:ind w:right="-321"/>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 xml:space="preserve">Recommendation </w:t>
            </w:r>
          </w:p>
        </w:tc>
        <w:tc>
          <w:tcPr>
            <w:tcW w:w="7337" w:type="dxa"/>
            <w:shd w:val="clear" w:color="auto" w:fill="595959" w:themeFill="text1" w:themeFillTint="A6"/>
          </w:tcPr>
          <w:p w14:paraId="6241D37E" w14:textId="69CD28C9" w:rsidR="00C31175" w:rsidRPr="00AE3ED1" w:rsidRDefault="00C31175" w:rsidP="00AE3ED1">
            <w:pPr>
              <w:spacing w:after="120"/>
              <w:ind w:right="-142"/>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Description</w:t>
            </w:r>
          </w:p>
        </w:tc>
      </w:tr>
      <w:tr w:rsidR="00C30067" w:rsidRPr="00DC1007" w14:paraId="435DD64C" w14:textId="77777777" w:rsidTr="00AE3ED1">
        <w:trPr>
          <w:cantSplit/>
        </w:trPr>
        <w:tc>
          <w:tcPr>
            <w:tcW w:w="2410" w:type="dxa"/>
          </w:tcPr>
          <w:p w14:paraId="39A74240" w14:textId="77777777" w:rsidR="00C30067" w:rsidRPr="00F37D51" w:rsidRDefault="00C30067" w:rsidP="00AE3ED1">
            <w:pPr>
              <w:spacing w:after="120"/>
              <w:ind w:right="-321"/>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sidR="002A27FE">
              <w:rPr>
                <w:rFonts w:asciiTheme="minorHAnsi" w:hAnsiTheme="minorHAnsi" w:cstheme="minorHAnsi"/>
                <w:b/>
                <w:sz w:val="24"/>
                <w:szCs w:val="22"/>
                <w:lang w:val="en-GB"/>
              </w:rPr>
              <w:t>2</w:t>
            </w:r>
            <w:r w:rsidR="0059239D">
              <w:rPr>
                <w:rFonts w:asciiTheme="minorHAnsi" w:hAnsiTheme="minorHAnsi" w:cstheme="minorHAnsi"/>
                <w:b/>
                <w:sz w:val="24"/>
                <w:szCs w:val="22"/>
                <w:lang w:val="en-GB"/>
              </w:rPr>
              <w:t>3</w:t>
            </w:r>
          </w:p>
        </w:tc>
        <w:tc>
          <w:tcPr>
            <w:tcW w:w="7337" w:type="dxa"/>
          </w:tcPr>
          <w:p w14:paraId="60A55FEC" w14:textId="77777777" w:rsidR="00C30067" w:rsidRPr="00F37D51" w:rsidRDefault="00C30067" w:rsidP="00AE3ED1">
            <w:pPr>
              <w:spacing w:after="120"/>
              <w:ind w:right="-142"/>
              <w:rPr>
                <w:rFonts w:asciiTheme="minorHAnsi" w:hAnsiTheme="minorHAnsi" w:cstheme="minorHAnsi"/>
                <w:sz w:val="24"/>
                <w:szCs w:val="22"/>
                <w:lang w:val="en-GB"/>
              </w:rPr>
            </w:pPr>
            <w:r w:rsidRPr="00F37D51">
              <w:rPr>
                <w:rFonts w:asciiTheme="minorHAnsi" w:hAnsiTheme="minorHAnsi" w:cstheme="minorHAnsi"/>
                <w:sz w:val="24"/>
                <w:szCs w:val="22"/>
                <w:lang w:val="en-GB"/>
              </w:rPr>
              <w:t>All key stakeholder</w:t>
            </w:r>
            <w:r>
              <w:rPr>
                <w:rFonts w:asciiTheme="minorHAnsi" w:hAnsiTheme="minorHAnsi" w:cstheme="minorHAnsi"/>
                <w:sz w:val="24"/>
                <w:szCs w:val="22"/>
                <w:lang w:val="en-GB"/>
              </w:rPr>
              <w:t>s</w:t>
            </w:r>
            <w:r w:rsidRPr="00F37D51">
              <w:rPr>
                <w:rFonts w:asciiTheme="minorHAnsi" w:hAnsiTheme="minorHAnsi" w:cstheme="minorHAnsi"/>
                <w:sz w:val="24"/>
                <w:szCs w:val="22"/>
                <w:lang w:val="en-GB"/>
              </w:rPr>
              <w:t xml:space="preserve"> should consider the AODR as the primary focus for the registration </w:t>
            </w:r>
            <w:r>
              <w:rPr>
                <w:rFonts w:asciiTheme="minorHAnsi" w:hAnsiTheme="minorHAnsi" w:cstheme="minorHAnsi"/>
                <w:sz w:val="24"/>
                <w:szCs w:val="22"/>
                <w:lang w:val="en-GB"/>
              </w:rPr>
              <w:t>of an individual’s</w:t>
            </w:r>
            <w:r w:rsidRPr="003C6E06">
              <w:rPr>
                <w:rFonts w:asciiTheme="minorHAnsi" w:hAnsiTheme="minorHAnsi" w:cstheme="minorHAnsi"/>
                <w:sz w:val="24"/>
                <w:szCs w:val="22"/>
                <w:lang w:val="en-GB"/>
              </w:rPr>
              <w:t xml:space="preserve"> decision about becoming an organ donor for transplantation after death</w:t>
            </w:r>
            <w:r>
              <w:rPr>
                <w:rFonts w:asciiTheme="minorHAnsi" w:hAnsiTheme="minorHAnsi" w:cstheme="minorHAnsi"/>
                <w:sz w:val="24"/>
                <w:szCs w:val="22"/>
                <w:lang w:val="en-GB"/>
              </w:rPr>
              <w:t xml:space="preserve"> across Australia. The focus should shift from the AODR being a record of donor consent to a record of donor intent. </w:t>
            </w:r>
            <w:r w:rsidR="002E2ECE">
              <w:rPr>
                <w:rFonts w:asciiTheme="minorHAnsi" w:hAnsiTheme="minorHAnsi" w:cstheme="minorHAnsi"/>
                <w:sz w:val="24"/>
                <w:szCs w:val="22"/>
                <w:lang w:val="en-GB"/>
              </w:rPr>
              <w:t xml:space="preserve">In doing so, consideration should be given to previous arrangements, including the </w:t>
            </w:r>
            <w:r w:rsidR="00091391">
              <w:rPr>
                <w:rFonts w:asciiTheme="minorHAnsi" w:hAnsiTheme="minorHAnsi" w:cstheme="minorHAnsi"/>
                <w:sz w:val="24"/>
                <w:szCs w:val="22"/>
                <w:lang w:val="en-GB"/>
              </w:rPr>
              <w:t>driver’s licens</w:t>
            </w:r>
            <w:r w:rsidR="002E2ECE" w:rsidRPr="00763E59">
              <w:rPr>
                <w:rFonts w:asciiTheme="minorHAnsi" w:hAnsiTheme="minorHAnsi" w:cstheme="minorHAnsi"/>
                <w:sz w:val="24"/>
                <w:szCs w:val="22"/>
                <w:lang w:val="en-GB"/>
              </w:rPr>
              <w:t>e based</w:t>
            </w:r>
            <w:r w:rsidR="002E2ECE">
              <w:rPr>
                <w:rFonts w:asciiTheme="minorHAnsi" w:hAnsiTheme="minorHAnsi" w:cstheme="minorHAnsi"/>
                <w:sz w:val="24"/>
                <w:szCs w:val="22"/>
                <w:lang w:val="en-GB"/>
              </w:rPr>
              <w:t xml:space="preserve"> system</w:t>
            </w:r>
            <w:r w:rsidR="005649BA">
              <w:rPr>
                <w:rFonts w:asciiTheme="minorHAnsi" w:hAnsiTheme="minorHAnsi" w:cstheme="minorHAnsi"/>
                <w:sz w:val="24"/>
                <w:szCs w:val="22"/>
                <w:lang w:val="en-GB"/>
              </w:rPr>
              <w:t>, and the decision of the</w:t>
            </w:r>
            <w:r w:rsidR="002E2ECE">
              <w:rPr>
                <w:rFonts w:asciiTheme="minorHAnsi" w:hAnsiTheme="minorHAnsi" w:cstheme="minorHAnsi"/>
                <w:sz w:val="24"/>
                <w:szCs w:val="22"/>
                <w:lang w:val="en-GB"/>
              </w:rPr>
              <w:t xml:space="preserve"> </w:t>
            </w:r>
            <w:r w:rsidR="005649BA" w:rsidRPr="005649BA">
              <w:rPr>
                <w:rFonts w:asciiTheme="minorHAnsi" w:hAnsiTheme="minorHAnsi" w:cstheme="minorHAnsi"/>
                <w:sz w:val="24"/>
                <w:szCs w:val="22"/>
                <w:lang w:val="en-GB"/>
              </w:rPr>
              <w:t>Australian Heal</w:t>
            </w:r>
            <w:r w:rsidR="005649BA">
              <w:rPr>
                <w:rFonts w:asciiTheme="minorHAnsi" w:hAnsiTheme="minorHAnsi" w:cstheme="minorHAnsi"/>
                <w:sz w:val="24"/>
                <w:szCs w:val="22"/>
                <w:lang w:val="en-GB"/>
              </w:rPr>
              <w:t>th Ministers’ Conference regarding its purpose.</w:t>
            </w:r>
          </w:p>
        </w:tc>
      </w:tr>
      <w:tr w:rsidR="00C30067" w:rsidRPr="00DC1007" w14:paraId="5039A37F" w14:textId="77777777" w:rsidTr="00AE3ED1">
        <w:trPr>
          <w:cantSplit/>
        </w:trPr>
        <w:tc>
          <w:tcPr>
            <w:tcW w:w="2410" w:type="dxa"/>
          </w:tcPr>
          <w:p w14:paraId="01F2FB3A" w14:textId="77777777" w:rsidR="00C30067" w:rsidRPr="00F37D51" w:rsidRDefault="00C30067" w:rsidP="00AE3ED1">
            <w:pPr>
              <w:spacing w:after="120"/>
              <w:ind w:right="-321"/>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Pr>
                <w:rFonts w:asciiTheme="minorHAnsi" w:hAnsiTheme="minorHAnsi" w:cstheme="minorHAnsi"/>
                <w:b/>
                <w:sz w:val="24"/>
                <w:szCs w:val="22"/>
                <w:lang w:val="en-GB"/>
              </w:rPr>
              <w:t>2</w:t>
            </w:r>
            <w:r w:rsidR="0059239D">
              <w:rPr>
                <w:rFonts w:asciiTheme="minorHAnsi" w:hAnsiTheme="minorHAnsi" w:cstheme="minorHAnsi"/>
                <w:b/>
                <w:sz w:val="24"/>
                <w:szCs w:val="22"/>
                <w:lang w:val="en-GB"/>
              </w:rPr>
              <w:t>4</w:t>
            </w:r>
          </w:p>
        </w:tc>
        <w:tc>
          <w:tcPr>
            <w:tcW w:w="7337" w:type="dxa"/>
          </w:tcPr>
          <w:p w14:paraId="619C9CD6" w14:textId="47951C6C" w:rsidR="00600C3B" w:rsidRPr="00F37D51" w:rsidRDefault="00C30067" w:rsidP="00AE3ED1">
            <w:pPr>
              <w:spacing w:after="120"/>
              <w:ind w:right="-142"/>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The </w:t>
            </w:r>
            <w:r w:rsidR="00B34CA7">
              <w:rPr>
                <w:rFonts w:asciiTheme="minorHAnsi" w:hAnsiTheme="minorHAnsi" w:cstheme="minorHAnsi"/>
                <w:sz w:val="24"/>
                <w:szCs w:val="22"/>
                <w:lang w:val="en-GB"/>
              </w:rPr>
              <w:t>Australian Government</w:t>
            </w:r>
            <w:r w:rsidR="00B34CA7" w:rsidRPr="00F37D51">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 xml:space="preserve">should design and implement </w:t>
            </w:r>
            <w:r>
              <w:rPr>
                <w:rFonts w:asciiTheme="minorHAnsi" w:hAnsiTheme="minorHAnsi" w:cstheme="minorHAnsi"/>
                <w:sz w:val="24"/>
                <w:szCs w:val="22"/>
                <w:lang w:val="en-GB"/>
              </w:rPr>
              <w:t>s</w:t>
            </w:r>
            <w:r w:rsidRPr="00F37D51">
              <w:rPr>
                <w:rFonts w:asciiTheme="minorHAnsi" w:hAnsiTheme="minorHAnsi" w:cstheme="minorHAnsi"/>
                <w:sz w:val="24"/>
                <w:szCs w:val="22"/>
                <w:lang w:val="en-GB"/>
              </w:rPr>
              <w:t xml:space="preserve">trategies to improve the </w:t>
            </w:r>
            <w:r>
              <w:rPr>
                <w:rFonts w:asciiTheme="minorHAnsi" w:hAnsiTheme="minorHAnsi" w:cstheme="minorHAnsi"/>
                <w:sz w:val="24"/>
                <w:szCs w:val="22"/>
                <w:lang w:val="en-GB"/>
              </w:rPr>
              <w:t xml:space="preserve">number of </w:t>
            </w:r>
            <w:r w:rsidRPr="00F37D51">
              <w:rPr>
                <w:rFonts w:asciiTheme="minorHAnsi" w:hAnsiTheme="minorHAnsi" w:cstheme="minorHAnsi"/>
                <w:sz w:val="24"/>
                <w:szCs w:val="22"/>
                <w:lang w:val="en-GB"/>
              </w:rPr>
              <w:t>registration</w:t>
            </w:r>
            <w:r>
              <w:rPr>
                <w:rFonts w:asciiTheme="minorHAnsi" w:hAnsiTheme="minorHAnsi" w:cstheme="minorHAnsi"/>
                <w:sz w:val="24"/>
                <w:szCs w:val="22"/>
                <w:lang w:val="en-GB"/>
              </w:rPr>
              <w:t>s on the AODR, in particular for Aboriginal and Torres Strait Islander</w:t>
            </w:r>
            <w:r w:rsidRPr="00F37D51">
              <w:rPr>
                <w:rFonts w:asciiTheme="minorHAnsi" w:hAnsiTheme="minorHAnsi" w:cstheme="minorHAnsi"/>
                <w:sz w:val="24"/>
                <w:szCs w:val="22"/>
                <w:lang w:val="en-GB"/>
              </w:rPr>
              <w:t xml:space="preserve"> </w:t>
            </w:r>
            <w:r>
              <w:rPr>
                <w:rFonts w:asciiTheme="minorHAnsi" w:hAnsiTheme="minorHAnsi" w:cstheme="minorHAnsi"/>
                <w:sz w:val="24"/>
                <w:szCs w:val="22"/>
                <w:lang w:val="en-GB"/>
              </w:rPr>
              <w:t xml:space="preserve">people </w:t>
            </w:r>
            <w:r w:rsidRPr="00F37D51">
              <w:rPr>
                <w:rFonts w:asciiTheme="minorHAnsi" w:hAnsiTheme="minorHAnsi" w:cstheme="minorHAnsi"/>
                <w:sz w:val="24"/>
                <w:szCs w:val="22"/>
                <w:lang w:val="en-GB"/>
              </w:rPr>
              <w:t xml:space="preserve">and other </w:t>
            </w:r>
            <w:r w:rsidR="00BB566A">
              <w:rPr>
                <w:rFonts w:asciiTheme="minorHAnsi" w:hAnsiTheme="minorHAnsi" w:cstheme="minorHAnsi"/>
                <w:sz w:val="24"/>
                <w:szCs w:val="22"/>
                <w:lang w:val="en-GB"/>
              </w:rPr>
              <w:t>groups of non-European heritage</w:t>
            </w:r>
            <w:r w:rsidR="003C4070">
              <w:rPr>
                <w:rFonts w:asciiTheme="minorHAnsi" w:hAnsiTheme="minorHAnsi" w:cstheme="minorHAnsi"/>
                <w:sz w:val="24"/>
                <w:szCs w:val="22"/>
                <w:lang w:val="en-GB"/>
              </w:rPr>
              <w:t xml:space="preserve"> and d</w:t>
            </w:r>
            <w:r w:rsidR="00163D99" w:rsidRPr="007E785C">
              <w:rPr>
                <w:rFonts w:asciiTheme="minorHAnsi" w:hAnsiTheme="minorHAnsi" w:cstheme="minorHAnsi"/>
                <w:sz w:val="24"/>
                <w:szCs w:val="22"/>
                <w:lang w:val="en-GB"/>
              </w:rPr>
              <w:t>ata should be captured on the use of the AODR by different demographics in the Australian population in order to inform strategies to improve registration rates.</w:t>
            </w:r>
          </w:p>
        </w:tc>
      </w:tr>
      <w:tr w:rsidR="00C30067" w:rsidRPr="00DC1007" w14:paraId="0D8A7AA3" w14:textId="77777777" w:rsidTr="00AE3ED1">
        <w:trPr>
          <w:cantSplit/>
        </w:trPr>
        <w:tc>
          <w:tcPr>
            <w:tcW w:w="2410" w:type="dxa"/>
          </w:tcPr>
          <w:p w14:paraId="4E42233E" w14:textId="77777777" w:rsidR="00C30067" w:rsidRPr="00F37D51" w:rsidRDefault="00C30067" w:rsidP="00AE3ED1">
            <w:pPr>
              <w:spacing w:after="120"/>
              <w:ind w:right="-321"/>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Pr>
                <w:rFonts w:asciiTheme="minorHAnsi" w:hAnsiTheme="minorHAnsi" w:cstheme="minorHAnsi"/>
                <w:b/>
                <w:sz w:val="24"/>
                <w:szCs w:val="22"/>
                <w:lang w:val="en-GB"/>
              </w:rPr>
              <w:t>2</w:t>
            </w:r>
            <w:r w:rsidR="0059239D">
              <w:rPr>
                <w:rFonts w:asciiTheme="minorHAnsi" w:hAnsiTheme="minorHAnsi" w:cstheme="minorHAnsi"/>
                <w:b/>
                <w:sz w:val="24"/>
                <w:szCs w:val="22"/>
                <w:lang w:val="en-GB"/>
              </w:rPr>
              <w:t>5</w:t>
            </w:r>
          </w:p>
        </w:tc>
        <w:tc>
          <w:tcPr>
            <w:tcW w:w="7337" w:type="dxa"/>
          </w:tcPr>
          <w:p w14:paraId="34AA8A5A" w14:textId="5BB1D6AA" w:rsidR="0059239D" w:rsidRPr="00F37D51" w:rsidRDefault="00C30067" w:rsidP="00AE3ED1">
            <w:pPr>
              <w:spacing w:after="120"/>
              <w:ind w:right="-142"/>
              <w:rPr>
                <w:rFonts w:asciiTheme="minorHAnsi" w:hAnsiTheme="minorHAnsi" w:cstheme="minorHAnsi"/>
                <w:sz w:val="24"/>
                <w:szCs w:val="22"/>
                <w:lang w:val="en-GB"/>
              </w:rPr>
            </w:pPr>
            <w:r w:rsidRPr="00F37D51">
              <w:rPr>
                <w:rFonts w:asciiTheme="minorHAnsi" w:hAnsiTheme="minorHAnsi" w:cstheme="minorHAnsi"/>
                <w:sz w:val="24"/>
                <w:szCs w:val="22"/>
                <w:lang w:val="en-GB"/>
              </w:rPr>
              <w:t>The</w:t>
            </w:r>
            <w:r>
              <w:rPr>
                <w:rFonts w:asciiTheme="minorHAnsi" w:hAnsiTheme="minorHAnsi" w:cstheme="minorHAnsi"/>
                <w:sz w:val="24"/>
                <w:szCs w:val="22"/>
                <w:lang w:val="en-GB"/>
              </w:rPr>
              <w:t xml:space="preserve"> strategies to improve</w:t>
            </w:r>
            <w:r w:rsidR="005649BA">
              <w:rPr>
                <w:rFonts w:asciiTheme="minorHAnsi" w:hAnsiTheme="minorHAnsi" w:cstheme="minorHAnsi"/>
                <w:sz w:val="24"/>
                <w:szCs w:val="22"/>
                <w:lang w:val="en-GB"/>
              </w:rPr>
              <w:t xml:space="preserve"> the</w:t>
            </w:r>
            <w:r w:rsidRPr="00F37D51">
              <w:rPr>
                <w:rFonts w:asciiTheme="minorHAnsi" w:hAnsiTheme="minorHAnsi" w:cstheme="minorHAnsi"/>
                <w:sz w:val="24"/>
                <w:szCs w:val="22"/>
                <w:lang w:val="en-GB"/>
              </w:rPr>
              <w:t xml:space="preserve"> AODR </w:t>
            </w:r>
            <w:r>
              <w:rPr>
                <w:rFonts w:asciiTheme="minorHAnsi" w:hAnsiTheme="minorHAnsi" w:cstheme="minorHAnsi"/>
                <w:sz w:val="24"/>
                <w:szCs w:val="22"/>
                <w:lang w:val="en-GB"/>
              </w:rPr>
              <w:t xml:space="preserve">registrations </w:t>
            </w:r>
            <w:r w:rsidRPr="00F37D51">
              <w:rPr>
                <w:rFonts w:asciiTheme="minorHAnsi" w:hAnsiTheme="minorHAnsi" w:cstheme="minorHAnsi"/>
                <w:sz w:val="24"/>
                <w:szCs w:val="22"/>
                <w:lang w:val="en-GB"/>
              </w:rPr>
              <w:t>should be broadened to include links to social media and other entry portals. This will enable greater visibility</w:t>
            </w:r>
            <w:r w:rsidR="00600C3B">
              <w:rPr>
                <w:rFonts w:asciiTheme="minorHAnsi" w:hAnsiTheme="minorHAnsi" w:cstheme="minorHAnsi"/>
                <w:sz w:val="24"/>
                <w:szCs w:val="22"/>
                <w:lang w:val="en-GB"/>
              </w:rPr>
              <w:t xml:space="preserve"> and </w:t>
            </w:r>
            <w:r w:rsidR="00422006">
              <w:rPr>
                <w:rFonts w:asciiTheme="minorHAnsi" w:hAnsiTheme="minorHAnsi" w:cstheme="minorHAnsi"/>
                <w:sz w:val="24"/>
                <w:szCs w:val="22"/>
                <w:lang w:val="en-GB"/>
              </w:rPr>
              <w:t>accessibility</w:t>
            </w:r>
            <w:r w:rsidRPr="00F37D51">
              <w:rPr>
                <w:rFonts w:asciiTheme="minorHAnsi" w:hAnsiTheme="minorHAnsi" w:cstheme="minorHAnsi"/>
                <w:sz w:val="24"/>
                <w:szCs w:val="22"/>
                <w:lang w:val="en-GB"/>
              </w:rPr>
              <w:t xml:space="preserve"> of the AODR</w:t>
            </w:r>
            <w:r>
              <w:rPr>
                <w:rFonts w:asciiTheme="minorHAnsi" w:hAnsiTheme="minorHAnsi" w:cstheme="minorHAnsi"/>
                <w:sz w:val="24"/>
                <w:szCs w:val="22"/>
                <w:lang w:val="en-GB"/>
              </w:rPr>
              <w:t>.</w:t>
            </w:r>
            <w:r w:rsidR="0037739A">
              <w:rPr>
                <w:rFonts w:asciiTheme="minorHAnsi" w:hAnsiTheme="minorHAnsi" w:cstheme="minorHAnsi"/>
                <w:sz w:val="24"/>
                <w:szCs w:val="22"/>
                <w:lang w:val="en-GB"/>
              </w:rPr>
              <w:t xml:space="preserve"> </w:t>
            </w:r>
          </w:p>
        </w:tc>
      </w:tr>
    </w:tbl>
    <w:p w14:paraId="148F6DD3" w14:textId="77777777" w:rsidR="00C30067" w:rsidRPr="00266A77" w:rsidRDefault="00C30067" w:rsidP="00C30067">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635" w:name="_Ref527625843"/>
      <w:r w:rsidRPr="00266A77">
        <w:rPr>
          <w:rFonts w:asciiTheme="minorHAnsi" w:hAnsiTheme="minorHAnsi" w:cstheme="minorHAnsi"/>
          <w:b w:val="0"/>
          <w:color w:val="7F7F7F" w:themeColor="text1" w:themeTint="80"/>
          <w:sz w:val="30"/>
          <w:szCs w:val="30"/>
        </w:rPr>
        <w:t>The donor family experience</w:t>
      </w:r>
      <w:bookmarkEnd w:id="635"/>
    </w:p>
    <w:p w14:paraId="5D74EA61" w14:textId="77777777" w:rsidR="00C30067" w:rsidRPr="00266A77" w:rsidRDefault="00C30067" w:rsidP="00C30067">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Discussion of findings</w:t>
      </w:r>
    </w:p>
    <w:p w14:paraId="695063F4" w14:textId="3CC7586D" w:rsidR="00C30067" w:rsidRPr="00F12842" w:rsidRDefault="00C30067" w:rsidP="00C30067">
      <w:pPr>
        <w:tabs>
          <w:tab w:val="num" w:pos="720"/>
        </w:tabs>
        <w:spacing w:after="120"/>
        <w:rPr>
          <w:rFonts w:asciiTheme="minorHAnsi" w:hAnsiTheme="minorHAnsi" w:cstheme="minorHAnsi"/>
          <w:sz w:val="24"/>
          <w:szCs w:val="22"/>
          <w:lang w:val="en-GB"/>
        </w:rPr>
      </w:pPr>
      <w:r w:rsidRPr="00F12842">
        <w:rPr>
          <w:rFonts w:asciiTheme="minorHAnsi" w:hAnsiTheme="minorHAnsi" w:cstheme="minorHAnsi"/>
          <w:sz w:val="24"/>
          <w:szCs w:val="22"/>
          <w:lang w:val="en-GB"/>
        </w:rPr>
        <w:t xml:space="preserve">As </w:t>
      </w:r>
      <w:r>
        <w:rPr>
          <w:rFonts w:asciiTheme="minorHAnsi" w:hAnsiTheme="minorHAnsi" w:cstheme="minorHAnsi"/>
          <w:sz w:val="24"/>
          <w:szCs w:val="22"/>
          <w:lang w:val="en-GB"/>
        </w:rPr>
        <w:t xml:space="preserve">described </w:t>
      </w:r>
      <w:r w:rsidRPr="00F12842">
        <w:rPr>
          <w:rFonts w:asciiTheme="minorHAnsi" w:hAnsiTheme="minorHAnsi" w:cstheme="minorHAnsi"/>
          <w:sz w:val="24"/>
          <w:szCs w:val="22"/>
          <w:lang w:val="en-GB"/>
        </w:rPr>
        <w:t>in Section</w:t>
      </w:r>
      <w:r w:rsidR="003259BB">
        <w:rPr>
          <w:rFonts w:asciiTheme="minorHAnsi" w:hAnsiTheme="minorHAnsi" w:cstheme="minorHAnsi"/>
          <w:sz w:val="24"/>
          <w:szCs w:val="22"/>
          <w:lang w:val="en-GB"/>
        </w:rPr>
        <w:t xml:space="preserve"> </w:t>
      </w:r>
      <w:r w:rsidR="0059239D">
        <w:rPr>
          <w:rFonts w:asciiTheme="minorHAnsi" w:hAnsiTheme="minorHAnsi" w:cstheme="minorHAnsi"/>
          <w:sz w:val="24"/>
          <w:szCs w:val="22"/>
          <w:lang w:val="en-GB"/>
        </w:rPr>
        <w:fldChar w:fldCharType="begin"/>
      </w:r>
      <w:r w:rsidR="0059239D">
        <w:rPr>
          <w:rFonts w:asciiTheme="minorHAnsi" w:hAnsiTheme="minorHAnsi" w:cstheme="minorHAnsi"/>
          <w:sz w:val="24"/>
          <w:szCs w:val="22"/>
          <w:lang w:val="en-GB"/>
        </w:rPr>
        <w:instrText xml:space="preserve"> REF _Ref523737760 \r \h </w:instrText>
      </w:r>
      <w:r w:rsidR="0059239D">
        <w:rPr>
          <w:rFonts w:asciiTheme="minorHAnsi" w:hAnsiTheme="minorHAnsi" w:cstheme="minorHAnsi"/>
          <w:sz w:val="24"/>
          <w:szCs w:val="22"/>
          <w:lang w:val="en-GB"/>
        </w:rPr>
      </w:r>
      <w:r w:rsidR="0059239D">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4.4.2</w:t>
      </w:r>
      <w:r w:rsidR="0059239D">
        <w:rPr>
          <w:rFonts w:asciiTheme="minorHAnsi" w:hAnsiTheme="minorHAnsi" w:cstheme="minorHAnsi"/>
          <w:sz w:val="24"/>
          <w:szCs w:val="22"/>
          <w:lang w:val="en-GB"/>
        </w:rPr>
        <w:fldChar w:fldCharType="end"/>
      </w:r>
      <w:r w:rsidRPr="00F12842">
        <w:rPr>
          <w:rFonts w:asciiTheme="minorHAnsi" w:hAnsiTheme="minorHAnsi" w:cstheme="minorHAnsi"/>
          <w:sz w:val="24"/>
          <w:szCs w:val="22"/>
          <w:lang w:val="en-GB"/>
        </w:rPr>
        <w:t xml:space="preserve">, the donor family or enduring guardian </w:t>
      </w:r>
      <w:r>
        <w:rPr>
          <w:rFonts w:asciiTheme="minorHAnsi" w:hAnsiTheme="minorHAnsi" w:cstheme="minorHAnsi"/>
          <w:sz w:val="24"/>
          <w:szCs w:val="22"/>
          <w:lang w:val="en-GB"/>
        </w:rPr>
        <w:t>plays an integral role</w:t>
      </w:r>
      <w:r w:rsidRPr="00F12842">
        <w:rPr>
          <w:rFonts w:asciiTheme="minorHAnsi" w:hAnsiTheme="minorHAnsi" w:cstheme="minorHAnsi"/>
          <w:sz w:val="24"/>
          <w:szCs w:val="22"/>
          <w:lang w:val="en-GB"/>
        </w:rPr>
        <w:t xml:space="preserve"> in the donation pathway once a potential organ donor is identified. In practice, </w:t>
      </w:r>
      <w:r>
        <w:rPr>
          <w:rFonts w:asciiTheme="minorHAnsi" w:hAnsiTheme="minorHAnsi" w:cstheme="minorHAnsi"/>
          <w:sz w:val="24"/>
          <w:szCs w:val="22"/>
          <w:lang w:val="en-GB"/>
        </w:rPr>
        <w:t>the next of kin</w:t>
      </w:r>
      <w:r w:rsidRPr="00F12842">
        <w:rPr>
          <w:rFonts w:asciiTheme="minorHAnsi" w:hAnsiTheme="minorHAnsi" w:cstheme="minorHAnsi"/>
          <w:sz w:val="24"/>
          <w:szCs w:val="22"/>
          <w:lang w:val="en-GB"/>
        </w:rPr>
        <w:t xml:space="preserve"> or an enduring guardian </w:t>
      </w:r>
      <w:r>
        <w:rPr>
          <w:rFonts w:asciiTheme="minorHAnsi" w:hAnsiTheme="minorHAnsi" w:cstheme="minorHAnsi"/>
          <w:sz w:val="24"/>
          <w:szCs w:val="22"/>
          <w:lang w:val="en-GB"/>
        </w:rPr>
        <w:t>is required to</w:t>
      </w:r>
      <w:r w:rsidR="00653104">
        <w:rPr>
          <w:rFonts w:asciiTheme="minorHAnsi" w:hAnsiTheme="minorHAnsi" w:cstheme="minorHAnsi"/>
          <w:sz w:val="24"/>
          <w:szCs w:val="22"/>
          <w:lang w:val="en-GB"/>
        </w:rPr>
        <w:t xml:space="preserve"> </w:t>
      </w:r>
      <w:r>
        <w:rPr>
          <w:rFonts w:asciiTheme="minorHAnsi" w:hAnsiTheme="minorHAnsi" w:cstheme="minorHAnsi"/>
          <w:sz w:val="24"/>
          <w:szCs w:val="22"/>
          <w:lang w:val="en-GB"/>
        </w:rPr>
        <w:t>provide</w:t>
      </w:r>
      <w:r w:rsidRPr="00F12842">
        <w:rPr>
          <w:rFonts w:asciiTheme="minorHAnsi" w:hAnsiTheme="minorHAnsi" w:cstheme="minorHAnsi"/>
          <w:sz w:val="24"/>
          <w:szCs w:val="22"/>
          <w:lang w:val="en-GB"/>
        </w:rPr>
        <w:t xml:space="preserve"> consent prior to organ donation under the deceased donation pathway</w:t>
      </w:r>
      <w:r>
        <w:rPr>
          <w:rFonts w:asciiTheme="minorHAnsi" w:hAnsiTheme="minorHAnsi" w:cstheme="minorHAnsi"/>
          <w:sz w:val="24"/>
          <w:szCs w:val="22"/>
          <w:lang w:val="en-GB"/>
        </w:rPr>
        <w:t xml:space="preserve">. </w:t>
      </w:r>
      <w:r w:rsidRPr="00F12842">
        <w:rPr>
          <w:rFonts w:asciiTheme="minorHAnsi" w:hAnsiTheme="minorHAnsi" w:cstheme="minorHAnsi"/>
          <w:sz w:val="24"/>
          <w:szCs w:val="22"/>
          <w:lang w:val="en-GB"/>
        </w:rPr>
        <w:t>Based on findings from the 2015 Review, the donor family experience has anecdotally improved in recent years</w:t>
      </w:r>
      <w:r>
        <w:rPr>
          <w:rFonts w:asciiTheme="minorHAnsi" w:hAnsiTheme="minorHAnsi" w:cstheme="minorHAnsi"/>
          <w:sz w:val="24"/>
          <w:szCs w:val="22"/>
          <w:lang w:val="en-GB"/>
        </w:rPr>
        <w:t>. However, the current Review identified that</w:t>
      </w:r>
      <w:r w:rsidRPr="00F12842">
        <w:rPr>
          <w:rFonts w:asciiTheme="minorHAnsi" w:hAnsiTheme="minorHAnsi" w:cstheme="minorHAnsi"/>
          <w:sz w:val="24"/>
          <w:szCs w:val="22"/>
          <w:lang w:val="en-GB"/>
        </w:rPr>
        <w:t xml:space="preserve"> there </w:t>
      </w:r>
      <w:r w:rsidR="009219C5" w:rsidRPr="00F12842">
        <w:rPr>
          <w:rFonts w:asciiTheme="minorHAnsi" w:hAnsiTheme="minorHAnsi" w:cstheme="minorHAnsi"/>
          <w:sz w:val="24"/>
          <w:szCs w:val="22"/>
          <w:lang w:val="en-GB"/>
        </w:rPr>
        <w:t>remain</w:t>
      </w:r>
      <w:r w:rsidRPr="00F12842">
        <w:rPr>
          <w:rFonts w:asciiTheme="minorHAnsi" w:hAnsiTheme="minorHAnsi" w:cstheme="minorHAnsi"/>
          <w:sz w:val="24"/>
          <w:szCs w:val="22"/>
          <w:lang w:val="en-GB"/>
        </w:rPr>
        <w:t xml:space="preserve"> some areas for improvement.</w:t>
      </w:r>
    </w:p>
    <w:p w14:paraId="4C1763E0" w14:textId="77777777" w:rsidR="00C30067" w:rsidRDefault="00C30067" w:rsidP="00C30067">
      <w:pPr>
        <w:tabs>
          <w:tab w:val="num" w:pos="720"/>
        </w:tabs>
        <w:spacing w:after="120"/>
        <w:rPr>
          <w:rFonts w:asciiTheme="minorHAnsi" w:hAnsiTheme="minorHAnsi" w:cstheme="minorHAnsi"/>
          <w:sz w:val="24"/>
          <w:szCs w:val="22"/>
          <w:lang w:val="en-GB"/>
        </w:rPr>
      </w:pPr>
      <w:r w:rsidRPr="00F12842">
        <w:rPr>
          <w:rFonts w:asciiTheme="minorHAnsi" w:hAnsiTheme="minorHAnsi" w:cstheme="minorHAnsi"/>
          <w:sz w:val="24"/>
          <w:szCs w:val="22"/>
          <w:lang w:val="en-GB"/>
        </w:rPr>
        <w:t xml:space="preserve">Donor families reported </w:t>
      </w:r>
      <w:r w:rsidRPr="007E785C">
        <w:rPr>
          <w:rFonts w:asciiTheme="minorHAnsi" w:hAnsiTheme="minorHAnsi" w:cstheme="minorHAnsi"/>
          <w:sz w:val="24"/>
          <w:szCs w:val="22"/>
          <w:lang w:val="en-GB"/>
        </w:rPr>
        <w:t xml:space="preserve">that support during the donation process was provided through hospital support staff and DonateLife. </w:t>
      </w:r>
      <w:r w:rsidR="006707A1" w:rsidRPr="007E785C">
        <w:rPr>
          <w:rFonts w:asciiTheme="minorHAnsi" w:hAnsiTheme="minorHAnsi" w:cstheme="minorHAnsi"/>
          <w:sz w:val="24"/>
          <w:szCs w:val="22"/>
          <w:lang w:val="en-GB"/>
        </w:rPr>
        <w:t>This include</w:t>
      </w:r>
      <w:r w:rsidR="001D6C00" w:rsidRPr="0059239D">
        <w:rPr>
          <w:rFonts w:asciiTheme="minorHAnsi" w:hAnsiTheme="minorHAnsi" w:cstheme="minorHAnsi"/>
          <w:sz w:val="24"/>
          <w:szCs w:val="22"/>
          <w:lang w:val="en-GB"/>
        </w:rPr>
        <w:t>d information packages and correspondence through</w:t>
      </w:r>
      <w:r w:rsidR="006707A1" w:rsidRPr="007E785C">
        <w:rPr>
          <w:rFonts w:asciiTheme="minorHAnsi" w:hAnsiTheme="minorHAnsi" w:cstheme="minorHAnsi"/>
          <w:sz w:val="24"/>
          <w:szCs w:val="22"/>
          <w:lang w:val="en-GB"/>
        </w:rPr>
        <w:t xml:space="preserve"> scheduled mail and </w:t>
      </w:r>
      <w:r w:rsidR="001D6C00" w:rsidRPr="0059239D">
        <w:rPr>
          <w:rFonts w:asciiTheme="minorHAnsi" w:hAnsiTheme="minorHAnsi" w:cstheme="minorHAnsi"/>
          <w:sz w:val="24"/>
          <w:szCs w:val="22"/>
          <w:lang w:val="en-GB"/>
        </w:rPr>
        <w:t>phone</w:t>
      </w:r>
      <w:r w:rsidR="006707A1" w:rsidRPr="007E785C">
        <w:rPr>
          <w:rFonts w:asciiTheme="minorHAnsi" w:hAnsiTheme="minorHAnsi" w:cstheme="minorHAnsi"/>
          <w:sz w:val="24"/>
          <w:szCs w:val="22"/>
          <w:lang w:val="en-GB"/>
        </w:rPr>
        <w:t xml:space="preserve"> services. Whilst these support systems are available to all donor families, donor families have the option to opt out. </w:t>
      </w:r>
      <w:r w:rsidR="00A27AD6" w:rsidRPr="0059239D">
        <w:rPr>
          <w:rFonts w:asciiTheme="minorHAnsi" w:hAnsiTheme="minorHAnsi" w:cstheme="minorHAnsi"/>
          <w:sz w:val="24"/>
          <w:szCs w:val="22"/>
          <w:lang w:val="en-GB"/>
        </w:rPr>
        <w:t>T</w:t>
      </w:r>
      <w:r w:rsidR="006707A1" w:rsidRPr="001C6178">
        <w:rPr>
          <w:rFonts w:asciiTheme="minorHAnsi" w:hAnsiTheme="minorHAnsi" w:cstheme="minorHAnsi"/>
          <w:sz w:val="24"/>
          <w:szCs w:val="22"/>
          <w:lang w:val="en-GB"/>
        </w:rPr>
        <w:t xml:space="preserve">he </w:t>
      </w:r>
      <w:r w:rsidRPr="001C6178">
        <w:rPr>
          <w:rFonts w:asciiTheme="minorHAnsi" w:hAnsiTheme="minorHAnsi" w:cstheme="minorHAnsi"/>
          <w:sz w:val="24"/>
          <w:szCs w:val="22"/>
          <w:lang w:val="en-GB"/>
        </w:rPr>
        <w:t xml:space="preserve">Review found that </w:t>
      </w:r>
      <w:r w:rsidRPr="00A36170">
        <w:rPr>
          <w:rFonts w:asciiTheme="minorHAnsi" w:hAnsiTheme="minorHAnsi" w:cstheme="minorHAnsi"/>
          <w:sz w:val="24"/>
          <w:szCs w:val="22"/>
          <w:lang w:val="en-GB"/>
        </w:rPr>
        <w:t xml:space="preserve">although support was available, the consistency </w:t>
      </w:r>
      <w:r w:rsidRPr="007B311E">
        <w:rPr>
          <w:rFonts w:asciiTheme="minorHAnsi" w:hAnsiTheme="minorHAnsi" w:cstheme="minorHAnsi"/>
          <w:sz w:val="24"/>
          <w:szCs w:val="22"/>
          <w:lang w:val="en-GB"/>
        </w:rPr>
        <w:t>and extent of support through</w:t>
      </w:r>
      <w:r w:rsidRPr="00F12842">
        <w:rPr>
          <w:rFonts w:asciiTheme="minorHAnsi" w:hAnsiTheme="minorHAnsi" w:cstheme="minorHAnsi"/>
          <w:sz w:val="24"/>
          <w:szCs w:val="22"/>
          <w:lang w:val="en-GB"/>
        </w:rPr>
        <w:t xml:space="preserve"> the donation process and post donation was variable. </w:t>
      </w:r>
    </w:p>
    <w:p w14:paraId="385F7938" w14:textId="77777777" w:rsidR="00600C3B" w:rsidRDefault="00C30067" w:rsidP="00C30067">
      <w:pPr>
        <w:tabs>
          <w:tab w:val="num" w:pos="720"/>
        </w:tabs>
        <w:spacing w:after="120"/>
        <w:rPr>
          <w:rFonts w:asciiTheme="minorHAnsi" w:hAnsiTheme="minorHAnsi" w:cstheme="minorHAnsi"/>
          <w:sz w:val="24"/>
          <w:szCs w:val="22"/>
          <w:lang w:val="en-GB"/>
        </w:rPr>
      </w:pPr>
      <w:r w:rsidRPr="009F371F">
        <w:rPr>
          <w:rFonts w:asciiTheme="minorHAnsi" w:hAnsiTheme="minorHAnsi" w:cstheme="minorHAnsi"/>
          <w:sz w:val="24"/>
          <w:szCs w:val="22"/>
          <w:lang w:val="en-GB"/>
        </w:rPr>
        <w:t>The Review also found that extended</w:t>
      </w:r>
      <w:r w:rsidR="00600C3B">
        <w:rPr>
          <w:rFonts w:asciiTheme="minorHAnsi" w:hAnsiTheme="minorHAnsi" w:cstheme="minorHAnsi"/>
          <w:sz w:val="24"/>
          <w:szCs w:val="22"/>
          <w:lang w:val="en-GB"/>
        </w:rPr>
        <w:t xml:space="preserve"> donation</w:t>
      </w:r>
      <w:r w:rsidRPr="009F371F">
        <w:rPr>
          <w:rFonts w:asciiTheme="minorHAnsi" w:hAnsiTheme="minorHAnsi" w:cstheme="minorHAnsi"/>
          <w:sz w:val="24"/>
          <w:szCs w:val="22"/>
          <w:lang w:val="en-GB"/>
        </w:rPr>
        <w:t xml:space="preserve"> timeframes were a major barrier that inhibited donation. Donor families reported that timeframes for undertaking the donation process were not always clear and some families reported that access to critical information was prolonged in some cases. As a result, family members were often unwilling to wait the time required to organise donation, or retracted their initial consent when extended timeframes were experienced. This is further explained in Section</w:t>
      </w:r>
      <w:r w:rsidR="003259BB">
        <w:rPr>
          <w:rFonts w:asciiTheme="minorHAnsi" w:hAnsiTheme="minorHAnsi" w:cstheme="minorHAnsi"/>
          <w:sz w:val="24"/>
          <w:szCs w:val="22"/>
          <w:lang w:val="en-GB"/>
        </w:rPr>
        <w:t xml:space="preserve"> </w:t>
      </w:r>
      <w:r w:rsidR="0059239D">
        <w:rPr>
          <w:rFonts w:asciiTheme="minorHAnsi" w:hAnsiTheme="minorHAnsi" w:cstheme="minorHAnsi"/>
          <w:sz w:val="24"/>
          <w:szCs w:val="22"/>
          <w:lang w:val="en-GB"/>
        </w:rPr>
        <w:fldChar w:fldCharType="begin"/>
      </w:r>
      <w:r w:rsidR="0059239D">
        <w:rPr>
          <w:rFonts w:asciiTheme="minorHAnsi" w:hAnsiTheme="minorHAnsi" w:cstheme="minorHAnsi"/>
          <w:sz w:val="24"/>
          <w:szCs w:val="22"/>
          <w:lang w:val="en-GB"/>
        </w:rPr>
        <w:instrText xml:space="preserve"> REF _Ref531276428 \r \h </w:instrText>
      </w:r>
      <w:r w:rsidR="0059239D">
        <w:rPr>
          <w:rFonts w:asciiTheme="minorHAnsi" w:hAnsiTheme="minorHAnsi" w:cstheme="minorHAnsi"/>
          <w:sz w:val="24"/>
          <w:szCs w:val="22"/>
          <w:lang w:val="en-GB"/>
        </w:rPr>
      </w:r>
      <w:r w:rsidR="0059239D">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6.5.2</w:t>
      </w:r>
      <w:r w:rsidR="0059239D">
        <w:rPr>
          <w:rFonts w:asciiTheme="minorHAnsi" w:hAnsiTheme="minorHAnsi" w:cstheme="minorHAnsi"/>
          <w:sz w:val="24"/>
          <w:szCs w:val="22"/>
          <w:lang w:val="en-GB"/>
        </w:rPr>
        <w:fldChar w:fldCharType="end"/>
      </w:r>
      <w:r w:rsidRPr="009F371F">
        <w:rPr>
          <w:rFonts w:asciiTheme="minorHAnsi" w:hAnsiTheme="minorHAnsi" w:cstheme="minorHAnsi"/>
          <w:sz w:val="24"/>
          <w:szCs w:val="22"/>
          <w:lang w:val="en-GB"/>
        </w:rPr>
        <w:t xml:space="preserve">. </w:t>
      </w:r>
    </w:p>
    <w:p w14:paraId="41BA21F3" w14:textId="77777777" w:rsidR="00600C3B" w:rsidRDefault="00C30067" w:rsidP="00C30067">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Don</w:t>
      </w:r>
      <w:r w:rsidRPr="00F37D51">
        <w:rPr>
          <w:rFonts w:asciiTheme="minorHAnsi" w:hAnsiTheme="minorHAnsi" w:cstheme="minorHAnsi"/>
          <w:sz w:val="24"/>
          <w:szCs w:val="22"/>
          <w:lang w:val="en-GB"/>
        </w:rPr>
        <w:t xml:space="preserve">ateLife coordinates and invites donor families to attend remembrance ceremonies that honour organ donors annually. </w:t>
      </w:r>
      <w:r>
        <w:rPr>
          <w:rFonts w:asciiTheme="minorHAnsi" w:hAnsiTheme="minorHAnsi" w:cstheme="minorHAnsi"/>
          <w:sz w:val="24"/>
          <w:szCs w:val="22"/>
          <w:lang w:val="en-GB"/>
        </w:rPr>
        <w:t>The m</w:t>
      </w:r>
      <w:r w:rsidRPr="00F37D51">
        <w:rPr>
          <w:rFonts w:asciiTheme="minorHAnsi" w:hAnsiTheme="minorHAnsi" w:cstheme="minorHAnsi"/>
          <w:sz w:val="24"/>
          <w:szCs w:val="22"/>
          <w:lang w:val="en-GB"/>
        </w:rPr>
        <w:t xml:space="preserve">ajority of donor families consulted attended these ceremonies and believed </w:t>
      </w:r>
      <w:r>
        <w:rPr>
          <w:rFonts w:asciiTheme="minorHAnsi" w:hAnsiTheme="minorHAnsi" w:cstheme="minorHAnsi"/>
          <w:sz w:val="24"/>
          <w:szCs w:val="22"/>
          <w:lang w:val="en-GB"/>
        </w:rPr>
        <w:t xml:space="preserve">they are </w:t>
      </w:r>
      <w:r w:rsidRPr="00F37D51">
        <w:rPr>
          <w:rFonts w:asciiTheme="minorHAnsi" w:hAnsiTheme="minorHAnsi" w:cstheme="minorHAnsi"/>
          <w:sz w:val="24"/>
          <w:szCs w:val="22"/>
          <w:lang w:val="en-GB"/>
        </w:rPr>
        <w:t xml:space="preserve">an appropriate and respectful way to remember their loved ones. </w:t>
      </w:r>
    </w:p>
    <w:p w14:paraId="1CB5417E" w14:textId="46982EC8" w:rsidR="00C30067" w:rsidRPr="00F37D51" w:rsidRDefault="00C30067" w:rsidP="00C30067">
      <w:pPr>
        <w:tabs>
          <w:tab w:val="num" w:pos="720"/>
        </w:tabs>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Without compromising the identity of donors and transplant recipients, DonateLife also offers donor families and transplant recipients an opportunity to write and exchange letters with each other. DonateLife affirmed that this service was beneficial as </w:t>
      </w:r>
      <w:r w:rsidR="00600C3B">
        <w:rPr>
          <w:rFonts w:asciiTheme="minorHAnsi" w:hAnsiTheme="minorHAnsi" w:cstheme="minorHAnsi"/>
          <w:sz w:val="24"/>
          <w:szCs w:val="22"/>
          <w:lang w:val="en-GB"/>
        </w:rPr>
        <w:t>some</w:t>
      </w:r>
      <w:r w:rsidR="004C11C3">
        <w:rPr>
          <w:rFonts w:asciiTheme="minorHAnsi" w:hAnsiTheme="minorHAnsi" w:cstheme="minorHAnsi"/>
          <w:sz w:val="24"/>
          <w:szCs w:val="22"/>
          <w:lang w:val="en-GB"/>
        </w:rPr>
        <w:t>. However,</w:t>
      </w:r>
      <w:r w:rsidR="00600C3B">
        <w:rPr>
          <w:rFonts w:asciiTheme="minorHAnsi" w:hAnsiTheme="minorHAnsi" w:cstheme="minorHAnsi"/>
          <w:sz w:val="24"/>
          <w:szCs w:val="22"/>
          <w:lang w:val="en-GB"/>
        </w:rPr>
        <w:t xml:space="preserve"> not all</w:t>
      </w:r>
      <w:r w:rsidR="00600C3B" w:rsidRPr="00F37D51">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donor families were interested in knowing how their decision changed someone</w:t>
      </w:r>
      <w:r>
        <w:rPr>
          <w:rFonts w:asciiTheme="minorHAnsi" w:hAnsiTheme="minorHAnsi" w:cstheme="minorHAnsi"/>
          <w:sz w:val="24"/>
          <w:szCs w:val="22"/>
          <w:lang w:val="en-GB"/>
        </w:rPr>
        <w:t>’s</w:t>
      </w:r>
      <w:r w:rsidRPr="00F37D51">
        <w:rPr>
          <w:rFonts w:asciiTheme="minorHAnsi" w:hAnsiTheme="minorHAnsi" w:cstheme="minorHAnsi"/>
          <w:sz w:val="24"/>
          <w:szCs w:val="22"/>
          <w:lang w:val="en-GB"/>
        </w:rPr>
        <w:t xml:space="preserve"> life. The decision to respond </w:t>
      </w:r>
      <w:r w:rsidR="00600C3B">
        <w:rPr>
          <w:rFonts w:asciiTheme="minorHAnsi" w:hAnsiTheme="minorHAnsi" w:cstheme="minorHAnsi"/>
          <w:sz w:val="24"/>
          <w:szCs w:val="22"/>
          <w:lang w:val="en-GB"/>
        </w:rPr>
        <w:t>is</w:t>
      </w:r>
      <w:r w:rsidR="00600C3B" w:rsidRPr="00F37D51">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left solely to transplant recipients. The Review noted that donor families</w:t>
      </w:r>
      <w:r>
        <w:rPr>
          <w:rFonts w:asciiTheme="minorHAnsi" w:hAnsiTheme="minorHAnsi" w:cstheme="minorHAnsi"/>
          <w:sz w:val="24"/>
          <w:szCs w:val="22"/>
          <w:lang w:val="en-GB"/>
        </w:rPr>
        <w:t xml:space="preserve"> (and transplant recipients)</w:t>
      </w:r>
      <w:r w:rsidRPr="00F37D51">
        <w:rPr>
          <w:rFonts w:asciiTheme="minorHAnsi" w:hAnsiTheme="minorHAnsi" w:cstheme="minorHAnsi"/>
          <w:sz w:val="24"/>
          <w:szCs w:val="22"/>
          <w:lang w:val="en-GB"/>
        </w:rPr>
        <w:t xml:space="preserve"> were disappointed when they did not </w:t>
      </w:r>
      <w:r>
        <w:rPr>
          <w:rFonts w:asciiTheme="minorHAnsi" w:hAnsiTheme="minorHAnsi" w:cstheme="minorHAnsi"/>
          <w:sz w:val="24"/>
          <w:szCs w:val="22"/>
          <w:lang w:val="en-GB"/>
        </w:rPr>
        <w:t>receive any confirmation that their letter had been received</w:t>
      </w:r>
      <w:r w:rsidRPr="00F37D51">
        <w:rPr>
          <w:rFonts w:asciiTheme="minorHAnsi" w:hAnsiTheme="minorHAnsi" w:cstheme="minorHAnsi"/>
          <w:sz w:val="24"/>
          <w:szCs w:val="22"/>
          <w:lang w:val="en-GB"/>
        </w:rPr>
        <w:t xml:space="preserve">. </w:t>
      </w:r>
    </w:p>
    <w:p w14:paraId="709E4CEC" w14:textId="77777777" w:rsidR="009B17B9" w:rsidRPr="00EF2596" w:rsidRDefault="009B17B9" w:rsidP="009B17B9">
      <w:pPr>
        <w:widowControl/>
        <w:tabs>
          <w:tab w:val="num" w:pos="720"/>
        </w:tabs>
        <w:autoSpaceDE/>
        <w:autoSpaceDN/>
        <w:adjustRightInd/>
        <w:spacing w:after="120"/>
        <w:rPr>
          <w:rFonts w:asciiTheme="minorHAnsi" w:hAnsiTheme="minorHAnsi" w:cstheme="minorHAnsi"/>
          <w:sz w:val="24"/>
          <w:szCs w:val="22"/>
          <w:lang w:val="en-GB" w:eastAsia="en-AU"/>
        </w:rPr>
      </w:pPr>
      <w:r w:rsidRPr="00EF2596">
        <w:rPr>
          <w:rFonts w:asciiTheme="minorHAnsi" w:hAnsiTheme="minorHAnsi" w:cstheme="minorHAnsi"/>
          <w:sz w:val="24"/>
          <w:szCs w:val="22"/>
          <w:lang w:val="en-GB" w:eastAsia="en-AU"/>
        </w:rPr>
        <w:t xml:space="preserve">Each </w:t>
      </w:r>
      <w:r w:rsidR="00701E0C">
        <w:rPr>
          <w:rFonts w:asciiTheme="minorHAnsi" w:hAnsiTheme="minorHAnsi" w:cstheme="minorHAnsi"/>
          <w:sz w:val="24"/>
          <w:szCs w:val="22"/>
          <w:lang w:val="en-GB" w:eastAsia="en-AU"/>
        </w:rPr>
        <w:t>jurisdiction has</w:t>
      </w:r>
      <w:r w:rsidRPr="00EF2596">
        <w:rPr>
          <w:rFonts w:asciiTheme="minorHAnsi" w:hAnsiTheme="minorHAnsi" w:cstheme="minorHAnsi"/>
          <w:sz w:val="24"/>
          <w:szCs w:val="22"/>
          <w:lang w:val="en-GB" w:eastAsia="en-AU"/>
        </w:rPr>
        <w:t xml:space="preserve"> in place strict </w:t>
      </w:r>
      <w:r w:rsidR="00FB2924">
        <w:rPr>
          <w:rFonts w:asciiTheme="minorHAnsi" w:hAnsiTheme="minorHAnsi" w:cstheme="minorHAnsi"/>
          <w:sz w:val="24"/>
          <w:szCs w:val="22"/>
          <w:lang w:val="en-GB" w:eastAsia="en-AU"/>
        </w:rPr>
        <w:t>legislation</w:t>
      </w:r>
      <w:r w:rsidRPr="00EF2596">
        <w:rPr>
          <w:rFonts w:asciiTheme="minorHAnsi" w:hAnsiTheme="minorHAnsi" w:cstheme="minorHAnsi"/>
          <w:sz w:val="24"/>
          <w:szCs w:val="22"/>
          <w:lang w:val="en-GB" w:eastAsia="en-AU"/>
        </w:rPr>
        <w:t xml:space="preserve"> which </w:t>
      </w:r>
      <w:r w:rsidR="00FB2924">
        <w:rPr>
          <w:rFonts w:asciiTheme="minorHAnsi" w:hAnsiTheme="minorHAnsi" w:cstheme="minorHAnsi"/>
          <w:sz w:val="24"/>
          <w:szCs w:val="22"/>
          <w:lang w:val="en-GB" w:eastAsia="en-AU"/>
        </w:rPr>
        <w:t>govern</w:t>
      </w:r>
      <w:r w:rsidRPr="00EF2596">
        <w:rPr>
          <w:rFonts w:asciiTheme="minorHAnsi" w:hAnsiTheme="minorHAnsi" w:cstheme="minorHAnsi"/>
          <w:sz w:val="24"/>
          <w:szCs w:val="22"/>
          <w:lang w:val="en-GB" w:eastAsia="en-AU"/>
        </w:rPr>
        <w:t xml:space="preserve"> the meeting of donor families and transplant recipients. The respective Human Tissue Acts</w:t>
      </w:r>
      <w:r w:rsidRPr="00EF2596">
        <w:rPr>
          <w:rFonts w:cstheme="minorHAnsi"/>
          <w:position w:val="6"/>
          <w:sz w:val="18"/>
          <w:vertAlign w:val="superscript"/>
          <w:lang w:val="en-GB" w:eastAsia="en-AU"/>
        </w:rPr>
        <w:footnoteReference w:id="135"/>
      </w:r>
      <w:r w:rsidRPr="00EF2596">
        <w:rPr>
          <w:rFonts w:asciiTheme="minorHAnsi" w:hAnsiTheme="minorHAnsi" w:cstheme="minorHAnsi"/>
          <w:sz w:val="24"/>
          <w:szCs w:val="22"/>
          <w:lang w:val="en-GB" w:eastAsia="en-AU"/>
        </w:rPr>
        <w:t xml:space="preserve"> prohibit the disclosure of identifying information </w:t>
      </w:r>
      <w:r w:rsidRPr="009B17B9">
        <w:rPr>
          <w:rFonts w:asciiTheme="minorHAnsi" w:hAnsiTheme="minorHAnsi" w:cstheme="minorHAnsi"/>
          <w:sz w:val="24"/>
          <w:szCs w:val="22"/>
          <w:lang w:val="en-GB" w:eastAsia="en-AU"/>
        </w:rPr>
        <w:t>which may result in the identification</w:t>
      </w:r>
      <w:r w:rsidRPr="00EF2596">
        <w:rPr>
          <w:rFonts w:asciiTheme="minorHAnsi" w:hAnsiTheme="minorHAnsi" w:cstheme="minorHAnsi"/>
          <w:sz w:val="24"/>
          <w:szCs w:val="22"/>
          <w:lang w:val="en-GB" w:eastAsia="en-AU"/>
        </w:rPr>
        <w:t xml:space="preserve"> of an organ donor or transplant recipient. As a result, health professionals are not able to facilitate the meeting of donor families and transplant recipients. While the legislative provisions may vary depending on the </w:t>
      </w:r>
      <w:r w:rsidR="00701E0C">
        <w:rPr>
          <w:rFonts w:asciiTheme="minorHAnsi" w:hAnsiTheme="minorHAnsi" w:cstheme="minorHAnsi"/>
          <w:sz w:val="24"/>
          <w:szCs w:val="22"/>
          <w:lang w:val="en-GB" w:eastAsia="en-AU"/>
        </w:rPr>
        <w:t>jurisdiction</w:t>
      </w:r>
      <w:r w:rsidRPr="00EF2596">
        <w:rPr>
          <w:rFonts w:asciiTheme="minorHAnsi" w:hAnsiTheme="minorHAnsi" w:cstheme="minorHAnsi"/>
          <w:sz w:val="24"/>
          <w:szCs w:val="22"/>
          <w:lang w:val="en-GB" w:eastAsia="en-AU"/>
        </w:rPr>
        <w:t>, the purpose</w:t>
      </w:r>
      <w:r w:rsidR="00701E0C">
        <w:rPr>
          <w:rFonts w:asciiTheme="minorHAnsi" w:hAnsiTheme="minorHAnsi" w:cstheme="minorHAnsi"/>
          <w:sz w:val="24"/>
          <w:szCs w:val="22"/>
          <w:lang w:val="en-GB" w:eastAsia="en-AU"/>
        </w:rPr>
        <w:t xml:space="preserve"> remains the same</w:t>
      </w:r>
      <w:r w:rsidRPr="00EF2596">
        <w:rPr>
          <w:rFonts w:asciiTheme="minorHAnsi" w:hAnsiTheme="minorHAnsi" w:cstheme="minorHAnsi"/>
          <w:sz w:val="24"/>
          <w:szCs w:val="22"/>
          <w:lang w:val="en-GB" w:eastAsia="en-AU"/>
        </w:rPr>
        <w:t>: to protect the ident</w:t>
      </w:r>
      <w:r w:rsidR="005649BA">
        <w:rPr>
          <w:rFonts w:asciiTheme="minorHAnsi" w:hAnsiTheme="minorHAnsi" w:cstheme="minorHAnsi"/>
          <w:sz w:val="24"/>
          <w:szCs w:val="22"/>
          <w:lang w:val="en-GB" w:eastAsia="en-AU"/>
        </w:rPr>
        <w:t>ity</w:t>
      </w:r>
      <w:r w:rsidRPr="00EF2596">
        <w:rPr>
          <w:rFonts w:asciiTheme="minorHAnsi" w:hAnsiTheme="minorHAnsi" w:cstheme="minorHAnsi"/>
          <w:sz w:val="24"/>
          <w:szCs w:val="22"/>
          <w:lang w:val="en-GB" w:eastAsia="en-AU"/>
        </w:rPr>
        <w:t xml:space="preserve"> of those who have donated organs, or received transplantation.</w:t>
      </w:r>
    </w:p>
    <w:p w14:paraId="03F9E4E3" w14:textId="77777777" w:rsidR="00701E0C" w:rsidRDefault="009B17B9" w:rsidP="009B17B9">
      <w:pPr>
        <w:widowControl/>
        <w:tabs>
          <w:tab w:val="num" w:pos="720"/>
        </w:tabs>
        <w:autoSpaceDE/>
        <w:autoSpaceDN/>
        <w:adjustRightInd/>
        <w:spacing w:after="120"/>
        <w:rPr>
          <w:rFonts w:asciiTheme="minorHAnsi" w:hAnsiTheme="minorHAnsi" w:cstheme="minorHAnsi"/>
          <w:sz w:val="24"/>
          <w:szCs w:val="22"/>
          <w:lang w:val="en-GB" w:eastAsia="en-AU"/>
        </w:rPr>
      </w:pPr>
      <w:r w:rsidRPr="00EF2596">
        <w:rPr>
          <w:rFonts w:asciiTheme="minorHAnsi" w:hAnsiTheme="minorHAnsi" w:cstheme="minorHAnsi"/>
          <w:sz w:val="24"/>
          <w:szCs w:val="22"/>
          <w:lang w:val="en-GB" w:eastAsia="en-AU"/>
        </w:rPr>
        <w:t xml:space="preserve">The Review found that there </w:t>
      </w:r>
      <w:r w:rsidR="00701E0C">
        <w:rPr>
          <w:rFonts w:asciiTheme="minorHAnsi" w:hAnsiTheme="minorHAnsi" w:cstheme="minorHAnsi"/>
          <w:sz w:val="24"/>
          <w:szCs w:val="22"/>
          <w:lang w:val="en-GB" w:eastAsia="en-AU"/>
        </w:rPr>
        <w:t>was divided opinion</w:t>
      </w:r>
      <w:r w:rsidRPr="00EF2596">
        <w:rPr>
          <w:rFonts w:asciiTheme="minorHAnsi" w:hAnsiTheme="minorHAnsi" w:cstheme="minorHAnsi"/>
          <w:sz w:val="24"/>
          <w:szCs w:val="22"/>
          <w:lang w:val="en-GB" w:eastAsia="en-AU"/>
        </w:rPr>
        <w:t xml:space="preserve"> among donor families and recipients as to whether Australian policy should be changed to enable direct contact. A community consultation forum </w:t>
      </w:r>
      <w:r w:rsidR="00701E0C" w:rsidRPr="00C07C72">
        <w:rPr>
          <w:rFonts w:asciiTheme="minorHAnsi" w:hAnsiTheme="minorHAnsi" w:cstheme="minorHAnsi"/>
          <w:sz w:val="24"/>
          <w:szCs w:val="22"/>
          <w:lang w:val="en-GB" w:eastAsia="en-AU"/>
        </w:rPr>
        <w:t>conducted by the OTA in 2017</w:t>
      </w:r>
      <w:r w:rsidR="00701E0C">
        <w:rPr>
          <w:rFonts w:asciiTheme="minorHAnsi" w:hAnsiTheme="minorHAnsi" w:cstheme="minorHAnsi"/>
          <w:sz w:val="24"/>
          <w:szCs w:val="22"/>
          <w:lang w:val="en-GB" w:eastAsia="en-AU"/>
        </w:rPr>
        <w:t xml:space="preserve">, </w:t>
      </w:r>
      <w:r w:rsidRPr="00EF2596">
        <w:rPr>
          <w:rFonts w:asciiTheme="minorHAnsi" w:hAnsiTheme="minorHAnsi" w:cstheme="minorHAnsi"/>
          <w:sz w:val="24"/>
          <w:szCs w:val="22"/>
          <w:lang w:val="en-GB" w:eastAsia="en-AU"/>
        </w:rPr>
        <w:t>involving donor families and transplant recipients</w:t>
      </w:r>
      <w:r w:rsidR="00701E0C">
        <w:rPr>
          <w:rFonts w:asciiTheme="minorHAnsi" w:hAnsiTheme="minorHAnsi" w:cstheme="minorHAnsi"/>
          <w:sz w:val="24"/>
          <w:szCs w:val="22"/>
          <w:lang w:val="en-GB" w:eastAsia="en-AU"/>
        </w:rPr>
        <w:t xml:space="preserve">, </w:t>
      </w:r>
      <w:r w:rsidRPr="00EF2596">
        <w:rPr>
          <w:rFonts w:asciiTheme="minorHAnsi" w:hAnsiTheme="minorHAnsi" w:cstheme="minorHAnsi"/>
          <w:sz w:val="24"/>
          <w:szCs w:val="22"/>
          <w:lang w:val="en-GB" w:eastAsia="en-AU"/>
        </w:rPr>
        <w:t>revealed that many people support the idea that families and recipients should have the option of seeking direct contact</w:t>
      </w:r>
      <w:r w:rsidR="00FB2924">
        <w:rPr>
          <w:rFonts w:asciiTheme="minorHAnsi" w:hAnsiTheme="minorHAnsi" w:cstheme="minorHAnsi"/>
          <w:sz w:val="24"/>
          <w:szCs w:val="22"/>
          <w:lang w:val="en-GB" w:eastAsia="en-AU"/>
        </w:rPr>
        <w:t>, r</w:t>
      </w:r>
      <w:r w:rsidR="00701E0C">
        <w:rPr>
          <w:rFonts w:asciiTheme="minorHAnsi" w:hAnsiTheme="minorHAnsi" w:cstheme="minorHAnsi"/>
          <w:sz w:val="24"/>
          <w:szCs w:val="22"/>
          <w:lang w:val="en-GB" w:eastAsia="en-AU"/>
        </w:rPr>
        <w:t>eporting that</w:t>
      </w:r>
      <w:r w:rsidRPr="00EF2596">
        <w:rPr>
          <w:rFonts w:asciiTheme="minorHAnsi" w:hAnsiTheme="minorHAnsi" w:cstheme="minorHAnsi"/>
          <w:sz w:val="24"/>
          <w:szCs w:val="22"/>
          <w:lang w:val="en-GB" w:eastAsia="en-AU"/>
        </w:rPr>
        <w:t xml:space="preserve"> the complex issue should not be ignored and efforts should be made to address the concerns associated with direct contact.</w:t>
      </w:r>
      <w:r w:rsidRPr="00EF2596">
        <w:rPr>
          <w:rFonts w:cstheme="minorHAnsi"/>
          <w:position w:val="6"/>
          <w:sz w:val="18"/>
          <w:vertAlign w:val="superscript"/>
          <w:lang w:val="en-GB" w:eastAsia="en-AU"/>
        </w:rPr>
        <w:footnoteReference w:id="136"/>
      </w:r>
      <w:r w:rsidRPr="00EF2596">
        <w:rPr>
          <w:rFonts w:asciiTheme="minorHAnsi" w:hAnsiTheme="minorHAnsi" w:cstheme="minorHAnsi"/>
          <w:sz w:val="24"/>
          <w:szCs w:val="22"/>
          <w:lang w:val="en-GB" w:eastAsia="en-AU"/>
        </w:rPr>
        <w:t xml:space="preserve"> Clinicians consulted as part of this Review reported that donor families and recipients who wanted to make direct contact </w:t>
      </w:r>
      <w:r w:rsidR="00701E0C">
        <w:rPr>
          <w:rFonts w:asciiTheme="minorHAnsi" w:hAnsiTheme="minorHAnsi" w:cstheme="minorHAnsi"/>
          <w:sz w:val="24"/>
          <w:szCs w:val="22"/>
          <w:lang w:val="en-GB" w:eastAsia="en-AU"/>
        </w:rPr>
        <w:t>used</w:t>
      </w:r>
      <w:r w:rsidRPr="00EF2596">
        <w:rPr>
          <w:rFonts w:asciiTheme="minorHAnsi" w:hAnsiTheme="minorHAnsi" w:cstheme="minorHAnsi"/>
          <w:sz w:val="24"/>
          <w:szCs w:val="22"/>
          <w:lang w:val="en-GB" w:eastAsia="en-AU"/>
        </w:rPr>
        <w:t xml:space="preserve"> mediums</w:t>
      </w:r>
      <w:r w:rsidR="00701E0C">
        <w:rPr>
          <w:rFonts w:asciiTheme="minorHAnsi" w:hAnsiTheme="minorHAnsi" w:cstheme="minorHAnsi"/>
          <w:sz w:val="24"/>
          <w:szCs w:val="22"/>
          <w:lang w:val="en-GB" w:eastAsia="en-AU"/>
        </w:rPr>
        <w:t>,</w:t>
      </w:r>
      <w:r w:rsidRPr="00EF2596">
        <w:rPr>
          <w:rFonts w:asciiTheme="minorHAnsi" w:hAnsiTheme="minorHAnsi" w:cstheme="minorHAnsi"/>
          <w:sz w:val="24"/>
          <w:szCs w:val="22"/>
          <w:lang w:val="en-GB" w:eastAsia="en-AU"/>
        </w:rPr>
        <w:t xml:space="preserve"> such as social media and new</w:t>
      </w:r>
      <w:r w:rsidR="00701E0C">
        <w:rPr>
          <w:rFonts w:asciiTheme="minorHAnsi" w:hAnsiTheme="minorHAnsi" w:cstheme="minorHAnsi"/>
          <w:sz w:val="24"/>
          <w:szCs w:val="22"/>
          <w:lang w:val="en-GB" w:eastAsia="en-AU"/>
        </w:rPr>
        <w:t>s</w:t>
      </w:r>
      <w:r w:rsidRPr="00EF2596">
        <w:rPr>
          <w:rFonts w:asciiTheme="minorHAnsi" w:hAnsiTheme="minorHAnsi" w:cstheme="minorHAnsi"/>
          <w:sz w:val="24"/>
          <w:szCs w:val="22"/>
          <w:lang w:val="en-GB" w:eastAsia="en-AU"/>
        </w:rPr>
        <w:t xml:space="preserve"> reports </w:t>
      </w:r>
      <w:r w:rsidR="00701E0C">
        <w:rPr>
          <w:rFonts w:asciiTheme="minorHAnsi" w:hAnsiTheme="minorHAnsi" w:cstheme="minorHAnsi"/>
          <w:sz w:val="24"/>
          <w:szCs w:val="22"/>
          <w:lang w:val="en-GB" w:eastAsia="en-AU"/>
        </w:rPr>
        <w:t>on</w:t>
      </w:r>
      <w:r w:rsidRPr="00EF2596">
        <w:rPr>
          <w:rFonts w:asciiTheme="minorHAnsi" w:hAnsiTheme="minorHAnsi" w:cstheme="minorHAnsi"/>
          <w:sz w:val="24"/>
          <w:szCs w:val="22"/>
          <w:lang w:val="en-GB" w:eastAsia="en-AU"/>
        </w:rPr>
        <w:t xml:space="preserve"> donation and transplantation</w:t>
      </w:r>
      <w:r w:rsidR="00701E0C">
        <w:rPr>
          <w:rFonts w:asciiTheme="minorHAnsi" w:hAnsiTheme="minorHAnsi" w:cstheme="minorHAnsi"/>
          <w:sz w:val="24"/>
          <w:szCs w:val="22"/>
          <w:lang w:val="en-GB" w:eastAsia="en-AU"/>
        </w:rPr>
        <w:t>, to do so</w:t>
      </w:r>
      <w:r w:rsidRPr="00EF2596">
        <w:rPr>
          <w:rFonts w:asciiTheme="minorHAnsi" w:hAnsiTheme="minorHAnsi" w:cstheme="minorHAnsi"/>
          <w:sz w:val="24"/>
          <w:szCs w:val="22"/>
          <w:lang w:val="en-GB" w:eastAsia="en-AU"/>
        </w:rPr>
        <w:t xml:space="preserve">. </w:t>
      </w:r>
    </w:p>
    <w:p w14:paraId="24CE825A" w14:textId="7D807578" w:rsidR="009B17B9" w:rsidRDefault="009B17B9" w:rsidP="000D11CE">
      <w:pPr>
        <w:widowControl/>
        <w:tabs>
          <w:tab w:val="num" w:pos="720"/>
        </w:tabs>
        <w:autoSpaceDE/>
        <w:autoSpaceDN/>
        <w:adjustRightInd/>
        <w:spacing w:after="120"/>
        <w:rPr>
          <w:rFonts w:asciiTheme="minorHAnsi" w:hAnsiTheme="minorHAnsi" w:cstheme="minorHAnsi"/>
          <w:sz w:val="24"/>
          <w:szCs w:val="22"/>
          <w:lang w:val="en-GB" w:eastAsia="en-AU"/>
        </w:rPr>
      </w:pPr>
      <w:r w:rsidRPr="00EF2596">
        <w:rPr>
          <w:rFonts w:asciiTheme="minorHAnsi" w:hAnsiTheme="minorHAnsi" w:cstheme="minorHAnsi"/>
          <w:sz w:val="24"/>
          <w:szCs w:val="22"/>
          <w:lang w:val="en-GB" w:eastAsia="en-AU"/>
        </w:rPr>
        <w:t xml:space="preserve">Whilst there </w:t>
      </w:r>
      <w:r w:rsidR="00FB2924">
        <w:rPr>
          <w:rFonts w:asciiTheme="minorHAnsi" w:hAnsiTheme="minorHAnsi" w:cstheme="minorHAnsi"/>
          <w:sz w:val="24"/>
          <w:szCs w:val="22"/>
          <w:lang w:val="en-GB" w:eastAsia="en-AU"/>
        </w:rPr>
        <w:t>may be</w:t>
      </w:r>
      <w:r w:rsidRPr="00EF2596">
        <w:rPr>
          <w:rFonts w:asciiTheme="minorHAnsi" w:hAnsiTheme="minorHAnsi" w:cstheme="minorHAnsi"/>
          <w:sz w:val="24"/>
          <w:szCs w:val="22"/>
          <w:lang w:val="en-GB" w:eastAsia="en-AU"/>
        </w:rPr>
        <w:t xml:space="preserve"> benefits to establishing direct contact between donor families and transplant recipients</w:t>
      </w:r>
      <w:r w:rsidR="00CE3FCF">
        <w:rPr>
          <w:rFonts w:asciiTheme="minorHAnsi" w:hAnsiTheme="minorHAnsi" w:cstheme="minorHAnsi"/>
          <w:sz w:val="24"/>
          <w:szCs w:val="22"/>
          <w:lang w:val="en-GB" w:eastAsia="en-AU"/>
        </w:rPr>
        <w:t xml:space="preserve"> in</w:t>
      </w:r>
      <w:r w:rsidR="00FB2924">
        <w:rPr>
          <w:rFonts w:asciiTheme="minorHAnsi" w:hAnsiTheme="minorHAnsi" w:cstheme="minorHAnsi"/>
          <w:sz w:val="24"/>
          <w:szCs w:val="22"/>
          <w:lang w:val="en-GB" w:eastAsia="en-AU"/>
        </w:rPr>
        <w:t xml:space="preserve"> the</w:t>
      </w:r>
      <w:r w:rsidR="00CE3FCF">
        <w:rPr>
          <w:rFonts w:asciiTheme="minorHAnsi" w:hAnsiTheme="minorHAnsi" w:cstheme="minorHAnsi"/>
          <w:sz w:val="24"/>
          <w:szCs w:val="22"/>
          <w:lang w:val="en-GB" w:eastAsia="en-AU"/>
        </w:rPr>
        <w:t xml:space="preserve"> instances where they choose to</w:t>
      </w:r>
      <w:r w:rsidR="00FB2924">
        <w:rPr>
          <w:rFonts w:asciiTheme="minorHAnsi" w:hAnsiTheme="minorHAnsi" w:cstheme="minorHAnsi"/>
          <w:sz w:val="24"/>
          <w:szCs w:val="22"/>
          <w:lang w:val="en-GB" w:eastAsia="en-AU"/>
        </w:rPr>
        <w:t xml:space="preserve"> do so</w:t>
      </w:r>
      <w:r w:rsidRPr="00EF2596">
        <w:rPr>
          <w:rFonts w:asciiTheme="minorHAnsi" w:hAnsiTheme="minorHAnsi" w:cstheme="minorHAnsi"/>
          <w:sz w:val="24"/>
          <w:szCs w:val="22"/>
          <w:lang w:val="en-GB" w:eastAsia="en-AU"/>
        </w:rPr>
        <w:t>, there needs to be adequate safeguards in place to avoid inappropriate behaviour, such as requests for financial recognition and protection for child recipients and famil</w:t>
      </w:r>
      <w:r w:rsidR="00CE3FCF">
        <w:rPr>
          <w:rFonts w:asciiTheme="minorHAnsi" w:hAnsiTheme="minorHAnsi" w:cstheme="minorHAnsi"/>
          <w:sz w:val="24"/>
          <w:szCs w:val="22"/>
          <w:lang w:val="en-GB" w:eastAsia="en-AU"/>
        </w:rPr>
        <w:t>ies</w:t>
      </w:r>
      <w:r w:rsidRPr="00EF2596">
        <w:rPr>
          <w:rFonts w:asciiTheme="minorHAnsi" w:hAnsiTheme="minorHAnsi" w:cstheme="minorHAnsi"/>
          <w:sz w:val="24"/>
          <w:szCs w:val="22"/>
          <w:lang w:val="en-GB" w:eastAsia="en-AU"/>
        </w:rPr>
        <w:t xml:space="preserve"> of child donors. Donor families </w:t>
      </w:r>
      <w:r w:rsidR="00CE3FCF">
        <w:rPr>
          <w:rFonts w:asciiTheme="minorHAnsi" w:hAnsiTheme="minorHAnsi" w:cstheme="minorHAnsi"/>
          <w:sz w:val="24"/>
          <w:szCs w:val="22"/>
          <w:lang w:val="en-GB" w:eastAsia="en-AU"/>
        </w:rPr>
        <w:t>reported</w:t>
      </w:r>
      <w:r w:rsidRPr="00EF2596">
        <w:rPr>
          <w:rFonts w:asciiTheme="minorHAnsi" w:hAnsiTheme="minorHAnsi" w:cstheme="minorHAnsi"/>
          <w:sz w:val="24"/>
          <w:szCs w:val="22"/>
          <w:lang w:val="en-GB" w:eastAsia="en-AU"/>
        </w:rPr>
        <w:t xml:space="preserve"> that comparable legislation that governs the use of information to help people meet would be beneficial to understanding the framework and risks associated prior to initiating contact.</w:t>
      </w:r>
      <w:r w:rsidRPr="009B17B9">
        <w:rPr>
          <w:rFonts w:asciiTheme="minorHAnsi" w:hAnsiTheme="minorHAnsi" w:cstheme="minorHAnsi"/>
          <w:sz w:val="24"/>
          <w:szCs w:val="22"/>
          <w:lang w:val="en-GB" w:eastAsia="en-AU"/>
        </w:rPr>
        <w:t xml:space="preserve"> </w:t>
      </w:r>
    </w:p>
    <w:p w14:paraId="3A9E107A" w14:textId="77777777" w:rsidR="006B20CF" w:rsidRPr="00D930F7" w:rsidRDefault="006B20CF" w:rsidP="00AE3ED1">
      <w:pPr>
        <w:widowControl/>
        <w:shd w:val="clear" w:color="auto" w:fill="DCEFF4"/>
        <w:tabs>
          <w:tab w:val="num" w:pos="720"/>
        </w:tabs>
        <w:autoSpaceDE/>
        <w:autoSpaceDN/>
        <w:adjustRightInd/>
        <w:spacing w:after="120"/>
        <w:rPr>
          <w:rFonts w:asciiTheme="minorHAnsi" w:hAnsiTheme="minorHAnsi" w:cstheme="minorHAnsi"/>
          <w:b/>
          <w:sz w:val="22"/>
          <w:szCs w:val="22"/>
          <w:lang w:val="en-GB" w:eastAsia="en-AU"/>
        </w:rPr>
      </w:pPr>
      <w:r w:rsidRPr="00D930F7">
        <w:rPr>
          <w:rFonts w:asciiTheme="minorHAnsi" w:hAnsiTheme="minorHAnsi" w:cstheme="minorHAnsi"/>
          <w:b/>
          <w:sz w:val="22"/>
          <w:szCs w:val="22"/>
          <w:lang w:val="en-GB" w:eastAsia="en-AU"/>
        </w:rPr>
        <w:t xml:space="preserve">The experience of the United States with direct contact between donor families and transplant recipients </w:t>
      </w:r>
    </w:p>
    <w:p w14:paraId="5CEAF515" w14:textId="77777777" w:rsidR="006B20CF" w:rsidRPr="00AE3ED1" w:rsidRDefault="006B20CF" w:rsidP="00AE3ED1">
      <w:pPr>
        <w:widowControl/>
        <w:shd w:val="clear" w:color="auto" w:fill="DCEFF4"/>
        <w:tabs>
          <w:tab w:val="num" w:pos="720"/>
        </w:tabs>
        <w:autoSpaceDE/>
        <w:autoSpaceDN/>
        <w:adjustRightInd/>
        <w:spacing w:after="120"/>
        <w:rPr>
          <w:rFonts w:asciiTheme="minorHAnsi" w:hAnsiTheme="minorHAnsi" w:cstheme="minorHAnsi"/>
          <w:sz w:val="22"/>
          <w:szCs w:val="22"/>
          <w:lang w:val="en-GB" w:eastAsia="en-AU"/>
        </w:rPr>
      </w:pPr>
      <w:r w:rsidRPr="00AE3ED1">
        <w:rPr>
          <w:rFonts w:asciiTheme="minorHAnsi" w:hAnsiTheme="minorHAnsi" w:cstheme="minorHAnsi"/>
          <w:sz w:val="22"/>
          <w:szCs w:val="22"/>
          <w:lang w:val="en-GB" w:eastAsia="en-AU"/>
        </w:rPr>
        <w:t xml:space="preserve">The United States supports the rights of donor families and recipients to have direct contact if they choose to. Donor families and patients are allowed anonymous contact after transplantation. This process is usually facilitated by the organ procurement organisation or the transplantation program. Health care professionals have a responsibility to inform donor families and transplant recipients that they may communicate with each other if both parties agree, and establish systems to ensure that appropriate and consistent information is proved in a timely manner to donor families and transplant recipients.  In addition, online platforms such as TransplantNet exist as free online forums for donor families and transplant recipients to safely and easily contact each other.  </w:t>
      </w:r>
    </w:p>
    <w:p w14:paraId="3CC8FB86" w14:textId="77777777" w:rsidR="006B20CF" w:rsidRPr="00AE3ED1" w:rsidRDefault="006B20CF" w:rsidP="00AE3ED1">
      <w:pPr>
        <w:widowControl/>
        <w:shd w:val="clear" w:color="auto" w:fill="DCEFF4"/>
        <w:tabs>
          <w:tab w:val="num" w:pos="720"/>
        </w:tabs>
        <w:autoSpaceDE/>
        <w:autoSpaceDN/>
        <w:adjustRightInd/>
        <w:spacing w:after="120"/>
        <w:rPr>
          <w:rFonts w:asciiTheme="minorHAnsi" w:hAnsiTheme="minorHAnsi" w:cstheme="minorHAnsi"/>
          <w:sz w:val="22"/>
          <w:szCs w:val="22"/>
          <w:lang w:val="en-GB" w:eastAsia="en-AU"/>
        </w:rPr>
      </w:pPr>
      <w:r w:rsidRPr="00AE3ED1">
        <w:rPr>
          <w:rFonts w:asciiTheme="minorHAnsi" w:hAnsiTheme="minorHAnsi" w:cstheme="minorHAnsi"/>
          <w:sz w:val="22"/>
          <w:szCs w:val="22"/>
          <w:lang w:val="en-GB" w:eastAsia="en-AU"/>
        </w:rPr>
        <w:t xml:space="preserve">Direct contact between donor family and transplant recipient is only allowed after a specified period of anonymity. Generally, donor families and recipients are required to wait a period of one year before direct contact can be initiated. The length of time depends on which register the donor is listed on and, in one case, the wait was five years after donation. If the donor family and transplant recipient choose to meet, health care professionals will provide a supporting role. A discussion will be held to help the respective parties prepare for and manage the first meeting. Methods for dealing with the pressures associated with the media are also discussed in this meeting. </w:t>
      </w:r>
    </w:p>
    <w:p w14:paraId="2C2CD669" w14:textId="37B35090" w:rsidR="006B20CF" w:rsidRPr="00AE3ED1" w:rsidRDefault="006B20CF" w:rsidP="00AE3ED1">
      <w:pPr>
        <w:widowControl/>
        <w:shd w:val="clear" w:color="auto" w:fill="DCEFF4"/>
        <w:tabs>
          <w:tab w:val="num" w:pos="720"/>
        </w:tabs>
        <w:autoSpaceDE/>
        <w:autoSpaceDN/>
        <w:adjustRightInd/>
        <w:spacing w:after="120"/>
        <w:rPr>
          <w:rFonts w:asciiTheme="minorHAnsi" w:hAnsiTheme="minorHAnsi" w:cstheme="minorHAnsi"/>
          <w:sz w:val="22"/>
          <w:szCs w:val="22"/>
          <w:lang w:val="en-GB" w:eastAsia="en-AU"/>
        </w:rPr>
      </w:pPr>
      <w:r w:rsidRPr="00AE3ED1">
        <w:rPr>
          <w:rFonts w:asciiTheme="minorHAnsi" w:hAnsiTheme="minorHAnsi" w:cstheme="minorHAnsi"/>
          <w:sz w:val="22"/>
          <w:szCs w:val="22"/>
          <w:lang w:val="en-GB" w:eastAsia="en-AU"/>
        </w:rPr>
        <w:t>A recent study reporting on actual direct contact between families and recipients during a three-year period in one region of the USA, found that less than one per cent of organ donor families took the opportunity to have direct contact with a recipient.</w:t>
      </w:r>
    </w:p>
    <w:p w14:paraId="20941CEF" w14:textId="61E4BF07" w:rsidR="007C1C9B" w:rsidRDefault="00C30067" w:rsidP="00AE3ED1">
      <w:pPr>
        <w:tabs>
          <w:tab w:val="num" w:pos="720"/>
        </w:tabs>
        <w:spacing w:after="120"/>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Donor families </w:t>
      </w:r>
      <w:r>
        <w:rPr>
          <w:rFonts w:asciiTheme="minorHAnsi" w:hAnsiTheme="minorHAnsi" w:cstheme="minorHAnsi"/>
          <w:sz w:val="24"/>
          <w:szCs w:val="22"/>
          <w:lang w:val="en-GB"/>
        </w:rPr>
        <w:t>noted that</w:t>
      </w:r>
      <w:r w:rsidRPr="00F37D51">
        <w:rPr>
          <w:rFonts w:asciiTheme="minorHAnsi" w:hAnsiTheme="minorHAnsi" w:cstheme="minorHAnsi"/>
          <w:sz w:val="24"/>
          <w:szCs w:val="22"/>
          <w:lang w:val="en-GB"/>
        </w:rPr>
        <w:t xml:space="preserve"> </w:t>
      </w:r>
      <w:r>
        <w:rPr>
          <w:rFonts w:asciiTheme="minorHAnsi" w:hAnsiTheme="minorHAnsi" w:cstheme="minorHAnsi"/>
          <w:sz w:val="24"/>
          <w:szCs w:val="22"/>
          <w:lang w:val="en-GB"/>
        </w:rPr>
        <w:t xml:space="preserve">families </w:t>
      </w:r>
      <w:r w:rsidR="00600C3B">
        <w:rPr>
          <w:rFonts w:asciiTheme="minorHAnsi" w:hAnsiTheme="minorHAnsi" w:cstheme="minorHAnsi"/>
          <w:sz w:val="24"/>
          <w:szCs w:val="22"/>
          <w:lang w:val="en-GB"/>
        </w:rPr>
        <w:t>sometimes</w:t>
      </w:r>
      <w:r w:rsidR="00600C3B" w:rsidRPr="00F37D51">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relied on peer support groups and independent organisations outside of DonateLife. Donor Families Australia and Aussie Transplant Mates are examples of organisations that are dedicated to providing support to donor families</w:t>
      </w:r>
      <w:r>
        <w:rPr>
          <w:rFonts w:asciiTheme="minorHAnsi" w:hAnsiTheme="minorHAnsi" w:cstheme="minorHAnsi"/>
          <w:sz w:val="24"/>
          <w:szCs w:val="22"/>
          <w:lang w:val="en-GB"/>
        </w:rPr>
        <w:t>, amongst many others – some are simple social media networks</w:t>
      </w:r>
      <w:r w:rsidRPr="00F37D51">
        <w:rPr>
          <w:rFonts w:asciiTheme="minorHAnsi" w:hAnsiTheme="minorHAnsi" w:cstheme="minorHAnsi"/>
          <w:sz w:val="24"/>
          <w:szCs w:val="22"/>
          <w:lang w:val="en-GB"/>
        </w:rPr>
        <w:t xml:space="preserve">. </w:t>
      </w:r>
      <w:r>
        <w:rPr>
          <w:rFonts w:asciiTheme="minorHAnsi" w:hAnsiTheme="minorHAnsi" w:cstheme="minorHAnsi"/>
          <w:sz w:val="24"/>
          <w:szCs w:val="22"/>
          <w:lang w:val="en-GB"/>
        </w:rPr>
        <w:t>Some d</w:t>
      </w:r>
      <w:r w:rsidRPr="00F37D51">
        <w:rPr>
          <w:rFonts w:asciiTheme="minorHAnsi" w:hAnsiTheme="minorHAnsi" w:cstheme="minorHAnsi"/>
          <w:sz w:val="24"/>
          <w:szCs w:val="22"/>
          <w:lang w:val="en-GB"/>
        </w:rPr>
        <w:t xml:space="preserve">onor families reported that participation in community awareness events and advocacy projects via these support organisations </w:t>
      </w:r>
      <w:r>
        <w:rPr>
          <w:rFonts w:asciiTheme="minorHAnsi" w:hAnsiTheme="minorHAnsi" w:cstheme="minorHAnsi"/>
          <w:sz w:val="24"/>
          <w:szCs w:val="22"/>
          <w:lang w:val="en-GB"/>
        </w:rPr>
        <w:t>was</w:t>
      </w:r>
      <w:r w:rsidRPr="00F37D51">
        <w:rPr>
          <w:rFonts w:asciiTheme="minorHAnsi" w:hAnsiTheme="minorHAnsi" w:cstheme="minorHAnsi"/>
          <w:sz w:val="24"/>
          <w:szCs w:val="22"/>
          <w:lang w:val="en-GB"/>
        </w:rPr>
        <w:t xml:space="preserve"> beneficial and helpful in the remembrance of their loved ones and often re-affirmed their decision to donate. </w:t>
      </w:r>
      <w:r>
        <w:rPr>
          <w:rFonts w:asciiTheme="minorHAnsi" w:hAnsiTheme="minorHAnsi" w:cstheme="minorHAnsi"/>
          <w:sz w:val="24"/>
          <w:szCs w:val="22"/>
          <w:lang w:val="en-GB"/>
        </w:rPr>
        <w:t>Some donor families</w:t>
      </w:r>
      <w:r w:rsidR="007C1C9B">
        <w:rPr>
          <w:rFonts w:asciiTheme="minorHAnsi" w:hAnsiTheme="minorHAnsi" w:cstheme="minorHAnsi"/>
          <w:sz w:val="24"/>
          <w:szCs w:val="22"/>
          <w:lang w:val="en-GB"/>
        </w:rPr>
        <w:t xml:space="preserve"> noted that they do not wish to </w:t>
      </w:r>
      <w:r w:rsidR="0059239D">
        <w:rPr>
          <w:rFonts w:asciiTheme="minorHAnsi" w:hAnsiTheme="minorHAnsi" w:cstheme="minorHAnsi"/>
          <w:sz w:val="24"/>
          <w:szCs w:val="22"/>
          <w:lang w:val="en-GB"/>
        </w:rPr>
        <w:t xml:space="preserve">participate in any form of </w:t>
      </w:r>
      <w:r>
        <w:rPr>
          <w:rFonts w:asciiTheme="minorHAnsi" w:hAnsiTheme="minorHAnsi" w:cstheme="minorHAnsi"/>
          <w:sz w:val="24"/>
          <w:szCs w:val="22"/>
          <w:lang w:val="en-GB"/>
        </w:rPr>
        <w:t xml:space="preserve">psychosocial support, however noted that they would like to be aware of the available options.  </w:t>
      </w:r>
    </w:p>
    <w:p w14:paraId="2EFC4BC8" w14:textId="1B88969C" w:rsidR="00C30067" w:rsidRDefault="00C30067" w:rsidP="000D11CE">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DonateLife currently collects family and carer satisfaction through the </w:t>
      </w:r>
      <w:r w:rsidRPr="00BF220F">
        <w:rPr>
          <w:rFonts w:asciiTheme="minorHAnsi" w:hAnsiTheme="minorHAnsi" w:cstheme="minorHAnsi"/>
          <w:i/>
          <w:sz w:val="24"/>
          <w:szCs w:val="22"/>
          <w:lang w:val="en-GB"/>
        </w:rPr>
        <w:t>National Study of Family Experiences of Organ and Tissue Donation</w:t>
      </w:r>
      <w:r>
        <w:rPr>
          <w:rFonts w:asciiTheme="minorHAnsi" w:hAnsiTheme="minorHAnsi" w:cstheme="minorHAnsi"/>
          <w:sz w:val="24"/>
          <w:szCs w:val="22"/>
          <w:lang w:val="en-GB"/>
        </w:rPr>
        <w:t>. This was described as useful for understanding the experiences of families and carers and improving services and processes in the donation pathway.</w:t>
      </w:r>
    </w:p>
    <w:p w14:paraId="40427FE7" w14:textId="77777777" w:rsidR="006B20CF" w:rsidRPr="00D930F7" w:rsidRDefault="006B20CF" w:rsidP="00AE3ED1">
      <w:pPr>
        <w:shd w:val="clear" w:color="auto" w:fill="DCEFF4"/>
        <w:tabs>
          <w:tab w:val="num" w:pos="720"/>
        </w:tabs>
        <w:spacing w:after="120"/>
        <w:rPr>
          <w:rFonts w:asciiTheme="minorHAnsi" w:hAnsiTheme="minorHAnsi" w:cstheme="minorHAnsi"/>
          <w:b/>
          <w:sz w:val="22"/>
          <w:szCs w:val="22"/>
          <w:lang w:val="en-GB"/>
        </w:rPr>
      </w:pPr>
      <w:r w:rsidRPr="00D930F7">
        <w:rPr>
          <w:rFonts w:asciiTheme="minorHAnsi" w:hAnsiTheme="minorHAnsi" w:cstheme="minorHAnsi"/>
          <w:b/>
          <w:sz w:val="22"/>
          <w:szCs w:val="22"/>
          <w:lang w:val="en-GB"/>
        </w:rPr>
        <w:t>National Donor Family Study</w:t>
      </w:r>
    </w:p>
    <w:p w14:paraId="5231979C" w14:textId="77777777" w:rsidR="006B20CF" w:rsidRPr="00AE3ED1" w:rsidRDefault="006B20CF" w:rsidP="00AE3ED1">
      <w:pPr>
        <w:shd w:val="clear" w:color="auto" w:fill="DCEFF4"/>
        <w:tabs>
          <w:tab w:val="num" w:pos="720"/>
        </w:tabs>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The OTA conducts the National Donor Family Study to obtain information on family experiences of organ and tissue donation for transplantation.</w:t>
      </w:r>
    </w:p>
    <w:p w14:paraId="53921B94" w14:textId="77777777" w:rsidR="006B20CF" w:rsidRPr="00AE3ED1" w:rsidRDefault="006B20CF" w:rsidP="00AE3ED1">
      <w:pPr>
        <w:shd w:val="clear" w:color="auto" w:fill="DCEFF4"/>
        <w:tabs>
          <w:tab w:val="num" w:pos="720"/>
        </w:tabs>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The study collects feedback on the family’s experience from early interactions with hospital and DonateLife staff and initial donation conversations, to the follow up support provided to families after a donation decision was made. This insight provides valuable evidence for the ongoing review and enhancement of the care and support provided to families before, during and after donation.</w:t>
      </w:r>
    </w:p>
    <w:p w14:paraId="2738E9CA" w14:textId="77777777" w:rsidR="006B20CF" w:rsidRPr="00D930F7" w:rsidRDefault="006B20CF" w:rsidP="00AE3ED1">
      <w:pPr>
        <w:shd w:val="clear" w:color="auto" w:fill="DCEFF4"/>
        <w:tabs>
          <w:tab w:val="num" w:pos="720"/>
        </w:tabs>
        <w:spacing w:after="120"/>
        <w:rPr>
          <w:rFonts w:asciiTheme="minorHAnsi" w:hAnsiTheme="minorHAnsi" w:cstheme="minorHAnsi"/>
          <w:sz w:val="22"/>
          <w:szCs w:val="22"/>
          <w:lang w:val="en-GB"/>
        </w:rPr>
      </w:pPr>
      <w:r w:rsidRPr="00D930F7">
        <w:rPr>
          <w:rFonts w:asciiTheme="minorHAnsi" w:hAnsiTheme="minorHAnsi" w:cstheme="minorHAnsi"/>
          <w:sz w:val="22"/>
          <w:szCs w:val="22"/>
          <w:lang w:val="en-GB"/>
        </w:rPr>
        <w:t>Wave 2 (2012 and 2013)</w:t>
      </w:r>
    </w:p>
    <w:p w14:paraId="4D6DA8DF" w14:textId="77777777" w:rsidR="006B20CF" w:rsidRPr="00AE3ED1" w:rsidRDefault="006B20CF" w:rsidP="00AE3ED1">
      <w:pPr>
        <w:shd w:val="clear" w:color="auto" w:fill="DCEFF4"/>
        <w:tabs>
          <w:tab w:val="num" w:pos="720"/>
        </w:tabs>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The Wave 2 study involved 285 families who made a donation decision in 2012 and 2013. A total of 319 individual family members (representing 263 donor families who consented to donation) and 12 individuals (representing 12 families) who declined donation participated.</w:t>
      </w:r>
    </w:p>
    <w:p w14:paraId="02F45F96" w14:textId="77777777" w:rsidR="006B20CF" w:rsidRPr="00D930F7" w:rsidRDefault="006B20CF" w:rsidP="00AE3ED1">
      <w:pPr>
        <w:shd w:val="clear" w:color="auto" w:fill="DCEFF4"/>
        <w:tabs>
          <w:tab w:val="num" w:pos="720"/>
        </w:tabs>
        <w:spacing w:after="120"/>
        <w:rPr>
          <w:rFonts w:asciiTheme="minorHAnsi" w:hAnsiTheme="minorHAnsi" w:cstheme="minorHAnsi"/>
          <w:sz w:val="22"/>
          <w:szCs w:val="22"/>
          <w:lang w:val="en-GB"/>
        </w:rPr>
      </w:pPr>
      <w:r w:rsidRPr="00D930F7">
        <w:rPr>
          <w:rFonts w:asciiTheme="minorHAnsi" w:hAnsiTheme="minorHAnsi" w:cstheme="minorHAnsi"/>
          <w:sz w:val="22"/>
          <w:szCs w:val="22"/>
          <w:lang w:val="en-GB"/>
        </w:rPr>
        <w:t>Wave 1 (2010 and 2011)</w:t>
      </w:r>
    </w:p>
    <w:p w14:paraId="2A3DE657" w14:textId="7403B888" w:rsidR="006B20CF" w:rsidRPr="00AE3ED1" w:rsidRDefault="006B20CF" w:rsidP="00AE3ED1">
      <w:pPr>
        <w:shd w:val="clear" w:color="auto" w:fill="DCEFF4"/>
        <w:tabs>
          <w:tab w:val="num" w:pos="720"/>
        </w:tabs>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The Wave 1 study involved 132 families who made a donation decision in 2010 and 2011. A total of 186 individual family members participated including one family member who declined donation.</w:t>
      </w:r>
    </w:p>
    <w:p w14:paraId="5229B1EB" w14:textId="77777777" w:rsidR="00C30067" w:rsidRPr="00266A77" w:rsidRDefault="00C30067" w:rsidP="00447661">
      <w:pPr>
        <w:tabs>
          <w:tab w:val="num" w:pos="720"/>
        </w:tabs>
        <w:spacing w:before="240"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Summary of key findings</w:t>
      </w:r>
    </w:p>
    <w:p w14:paraId="249B5E83" w14:textId="77777777" w:rsidR="00B05E9F" w:rsidRDefault="00B05E9F" w:rsidP="00EF2596">
      <w:pPr>
        <w:pStyle w:val="ListParagraph"/>
        <w:widowControl/>
        <w:numPr>
          <w:ilvl w:val="0"/>
          <w:numId w:val="18"/>
        </w:numPr>
        <w:tabs>
          <w:tab w:val="num" w:pos="720"/>
        </w:tabs>
        <w:autoSpaceDE/>
        <w:autoSpaceDN/>
        <w:adjustRightInd/>
        <w:spacing w:after="120"/>
        <w:ind w:left="357" w:hanging="357"/>
        <w:contextualSpacing w:val="0"/>
        <w:rPr>
          <w:rFonts w:asciiTheme="minorHAnsi" w:hAnsiTheme="minorHAnsi" w:cstheme="minorHAnsi"/>
          <w:sz w:val="24"/>
          <w:szCs w:val="22"/>
          <w:lang w:val="en-GB" w:eastAsia="en-AU"/>
        </w:rPr>
      </w:pPr>
      <w:r>
        <w:rPr>
          <w:rFonts w:asciiTheme="minorHAnsi" w:hAnsiTheme="minorHAnsi" w:cstheme="minorHAnsi"/>
          <w:sz w:val="24"/>
          <w:szCs w:val="22"/>
          <w:lang w:val="en-GB" w:eastAsia="en-AU"/>
        </w:rPr>
        <w:t>W</w:t>
      </w:r>
      <w:r w:rsidRPr="00B05E9F">
        <w:rPr>
          <w:rFonts w:asciiTheme="minorHAnsi" w:hAnsiTheme="minorHAnsi" w:cstheme="minorHAnsi"/>
          <w:sz w:val="24"/>
          <w:szCs w:val="22"/>
          <w:lang w:val="en-GB" w:eastAsia="en-AU"/>
        </w:rPr>
        <w:t>hile the legislative provisions may vary depending on the jurisdiction</w:t>
      </w:r>
      <w:r>
        <w:rPr>
          <w:rFonts w:asciiTheme="minorHAnsi" w:hAnsiTheme="minorHAnsi" w:cstheme="minorHAnsi"/>
          <w:sz w:val="24"/>
          <w:szCs w:val="22"/>
          <w:lang w:val="en-GB" w:eastAsia="en-AU"/>
        </w:rPr>
        <w:t xml:space="preserve"> regarding the </w:t>
      </w:r>
      <w:r w:rsidRPr="00B05E9F">
        <w:rPr>
          <w:rFonts w:asciiTheme="minorHAnsi" w:hAnsiTheme="minorHAnsi" w:cstheme="minorHAnsi"/>
          <w:sz w:val="24"/>
          <w:szCs w:val="22"/>
          <w:lang w:val="en-GB" w:eastAsia="en-AU"/>
        </w:rPr>
        <w:t>rules which preclude the meeting of donor families and transplant recipients, the purpose remains the same: to protect the identity of those who have donated organs, or received transplantation.</w:t>
      </w:r>
    </w:p>
    <w:p w14:paraId="77858EC5" w14:textId="77777777" w:rsidR="00B05E9F" w:rsidRPr="00B05E9F" w:rsidRDefault="00B05E9F" w:rsidP="00B05E9F">
      <w:pPr>
        <w:pStyle w:val="ListParagraph"/>
        <w:widowControl/>
        <w:numPr>
          <w:ilvl w:val="0"/>
          <w:numId w:val="18"/>
        </w:numPr>
        <w:tabs>
          <w:tab w:val="num" w:pos="720"/>
        </w:tabs>
        <w:autoSpaceDE/>
        <w:autoSpaceDN/>
        <w:adjustRightInd/>
        <w:spacing w:after="120"/>
        <w:rPr>
          <w:rFonts w:asciiTheme="minorHAnsi" w:hAnsiTheme="minorHAnsi" w:cstheme="minorHAnsi"/>
          <w:sz w:val="24"/>
          <w:szCs w:val="22"/>
          <w:lang w:val="en-GB" w:eastAsia="en-AU"/>
        </w:rPr>
      </w:pPr>
      <w:r>
        <w:rPr>
          <w:rFonts w:asciiTheme="minorHAnsi" w:hAnsiTheme="minorHAnsi" w:cstheme="minorHAnsi"/>
          <w:sz w:val="24"/>
          <w:szCs w:val="22"/>
          <w:lang w:val="en-GB" w:eastAsia="en-AU"/>
        </w:rPr>
        <w:t>There is divided opinion</w:t>
      </w:r>
      <w:r w:rsidRPr="00C07C72">
        <w:rPr>
          <w:rFonts w:asciiTheme="minorHAnsi" w:hAnsiTheme="minorHAnsi" w:cstheme="minorHAnsi"/>
          <w:sz w:val="24"/>
          <w:szCs w:val="22"/>
          <w:lang w:val="en-GB" w:eastAsia="en-AU"/>
        </w:rPr>
        <w:t xml:space="preserve"> among donor families and recipients as to whether Australian policy should be changed to enable direct contact.</w:t>
      </w:r>
    </w:p>
    <w:p w14:paraId="59C30AD5" w14:textId="77777777" w:rsidR="00C30067" w:rsidRPr="00F37D51" w:rsidRDefault="00C30067" w:rsidP="00C30067">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The </w:t>
      </w:r>
      <w:r>
        <w:rPr>
          <w:rFonts w:asciiTheme="minorHAnsi" w:hAnsiTheme="minorHAnsi" w:cstheme="minorHAnsi"/>
          <w:sz w:val="24"/>
          <w:szCs w:val="22"/>
          <w:lang w:val="en-GB"/>
        </w:rPr>
        <w:t>d</w:t>
      </w:r>
      <w:r w:rsidRPr="00F37D51">
        <w:rPr>
          <w:rFonts w:asciiTheme="minorHAnsi" w:hAnsiTheme="minorHAnsi" w:cstheme="minorHAnsi"/>
          <w:sz w:val="24"/>
          <w:szCs w:val="22"/>
          <w:lang w:val="en-GB"/>
        </w:rPr>
        <w:t>onor family experience has anecdotally improved in recent years</w:t>
      </w:r>
      <w:r>
        <w:rPr>
          <w:rFonts w:asciiTheme="minorHAnsi" w:hAnsiTheme="minorHAnsi" w:cstheme="minorHAnsi"/>
          <w:sz w:val="24"/>
          <w:szCs w:val="22"/>
          <w:lang w:val="en-GB"/>
        </w:rPr>
        <w:t>,</w:t>
      </w:r>
      <w:r w:rsidRPr="00F37D51">
        <w:rPr>
          <w:rFonts w:asciiTheme="minorHAnsi" w:hAnsiTheme="minorHAnsi" w:cstheme="minorHAnsi"/>
          <w:sz w:val="24"/>
          <w:szCs w:val="22"/>
          <w:lang w:val="en-GB"/>
        </w:rPr>
        <w:t xml:space="preserve"> </w:t>
      </w:r>
      <w:r>
        <w:rPr>
          <w:rFonts w:asciiTheme="minorHAnsi" w:hAnsiTheme="minorHAnsi" w:cstheme="minorHAnsi"/>
          <w:sz w:val="24"/>
          <w:szCs w:val="22"/>
          <w:lang w:val="en-GB"/>
        </w:rPr>
        <w:t>however</w:t>
      </w:r>
      <w:r w:rsidRPr="00F37D51">
        <w:rPr>
          <w:rFonts w:asciiTheme="minorHAnsi" w:hAnsiTheme="minorHAnsi" w:cstheme="minorHAnsi"/>
          <w:sz w:val="24"/>
          <w:szCs w:val="22"/>
          <w:lang w:val="en-GB"/>
        </w:rPr>
        <w:t xml:space="preserve"> there remain some areas for improvement in the consistency and availability of support across the donation process.</w:t>
      </w:r>
    </w:p>
    <w:p w14:paraId="2A83838B" w14:textId="77777777" w:rsidR="00C30067" w:rsidRPr="00266A77" w:rsidRDefault="00C30067" w:rsidP="00C30067">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twenty six is that states and territories establish a nationally uniform process for arrangements for donor families and recipients over the age of 18 to be identified to each other based on the principle of mutual informed consent."/>
      </w:tblPr>
      <w:tblGrid>
        <w:gridCol w:w="2268"/>
        <w:gridCol w:w="7479"/>
      </w:tblGrid>
      <w:tr w:rsidR="00CB53AB" w:rsidRPr="00DC1007" w14:paraId="7D421272" w14:textId="77777777" w:rsidTr="00AE3ED1">
        <w:trPr>
          <w:tblHeader/>
        </w:trPr>
        <w:tc>
          <w:tcPr>
            <w:tcW w:w="2268" w:type="dxa"/>
            <w:shd w:val="clear" w:color="auto" w:fill="595959" w:themeFill="text1" w:themeFillTint="A6"/>
          </w:tcPr>
          <w:p w14:paraId="3B54C4A7" w14:textId="2C8E1D42" w:rsidR="00CB53AB" w:rsidRPr="00AE3ED1" w:rsidRDefault="00CB53AB">
            <w:pPr>
              <w:ind w:right="-321"/>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Recommendation</w:t>
            </w:r>
          </w:p>
        </w:tc>
        <w:tc>
          <w:tcPr>
            <w:tcW w:w="7479" w:type="dxa"/>
            <w:shd w:val="clear" w:color="auto" w:fill="595959" w:themeFill="text1" w:themeFillTint="A6"/>
          </w:tcPr>
          <w:p w14:paraId="3E09139C" w14:textId="41062626" w:rsidR="00CB53AB" w:rsidRPr="00AE3ED1" w:rsidRDefault="00CB53AB" w:rsidP="00A27AD6">
            <w:pPr>
              <w:spacing w:after="120"/>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Description</w:t>
            </w:r>
          </w:p>
        </w:tc>
      </w:tr>
      <w:tr w:rsidR="00C30067" w:rsidRPr="00DC1007" w14:paraId="2D6C1E18" w14:textId="77777777" w:rsidTr="00AE3ED1">
        <w:tc>
          <w:tcPr>
            <w:tcW w:w="2268" w:type="dxa"/>
          </w:tcPr>
          <w:p w14:paraId="125A3022" w14:textId="77777777" w:rsidR="00C30067" w:rsidRPr="00F37D51" w:rsidRDefault="00C30067">
            <w:pPr>
              <w:ind w:right="-321"/>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sidR="002A27FE">
              <w:rPr>
                <w:rFonts w:asciiTheme="minorHAnsi" w:hAnsiTheme="minorHAnsi" w:cstheme="minorHAnsi"/>
                <w:b/>
                <w:sz w:val="24"/>
                <w:szCs w:val="22"/>
                <w:lang w:val="en-GB"/>
              </w:rPr>
              <w:t>2</w:t>
            </w:r>
            <w:r w:rsidR="00D1362A">
              <w:rPr>
                <w:rFonts w:asciiTheme="minorHAnsi" w:hAnsiTheme="minorHAnsi" w:cstheme="minorHAnsi"/>
                <w:b/>
                <w:sz w:val="24"/>
                <w:szCs w:val="22"/>
                <w:lang w:val="en-GB"/>
              </w:rPr>
              <w:t>6</w:t>
            </w:r>
          </w:p>
        </w:tc>
        <w:tc>
          <w:tcPr>
            <w:tcW w:w="7479" w:type="dxa"/>
          </w:tcPr>
          <w:p w14:paraId="4CB74202" w14:textId="2A0B8166" w:rsidR="00595702" w:rsidRPr="00F37D51" w:rsidRDefault="00C30067" w:rsidP="00A27AD6">
            <w:pPr>
              <w:spacing w:after="120"/>
              <w:rPr>
                <w:rFonts w:asciiTheme="minorHAnsi" w:hAnsiTheme="minorHAnsi" w:cstheme="minorHAnsi"/>
                <w:sz w:val="24"/>
                <w:szCs w:val="22"/>
                <w:lang w:val="en-GB"/>
              </w:rPr>
            </w:pPr>
            <w:r>
              <w:rPr>
                <w:rFonts w:asciiTheme="minorHAnsi" w:hAnsiTheme="minorHAnsi" w:cstheme="minorHAnsi"/>
                <w:sz w:val="24"/>
                <w:szCs w:val="22"/>
                <w:lang w:val="en-GB"/>
              </w:rPr>
              <w:t>S</w:t>
            </w:r>
            <w:r w:rsidRPr="00F12842">
              <w:rPr>
                <w:rFonts w:asciiTheme="minorHAnsi" w:hAnsiTheme="minorHAnsi" w:cstheme="minorHAnsi"/>
                <w:sz w:val="24"/>
                <w:szCs w:val="22"/>
                <w:lang w:val="en-GB"/>
              </w:rPr>
              <w:t>tates and territories establish a nationally uniform process for arrangements for donor families and recipients</w:t>
            </w:r>
            <w:r w:rsidR="009B17B9">
              <w:rPr>
                <w:rFonts w:asciiTheme="minorHAnsi" w:hAnsiTheme="minorHAnsi" w:cstheme="minorHAnsi"/>
                <w:sz w:val="24"/>
                <w:szCs w:val="22"/>
                <w:lang w:val="en-GB"/>
              </w:rPr>
              <w:t xml:space="preserve"> over the age of 18</w:t>
            </w:r>
            <w:r w:rsidRPr="00F12842">
              <w:rPr>
                <w:rFonts w:asciiTheme="minorHAnsi" w:hAnsiTheme="minorHAnsi" w:cstheme="minorHAnsi"/>
                <w:sz w:val="24"/>
                <w:szCs w:val="22"/>
                <w:lang w:val="en-GB"/>
              </w:rPr>
              <w:t xml:space="preserve"> to be identified to each other based on the principle of mutual </w:t>
            </w:r>
            <w:r w:rsidR="00BB566A">
              <w:rPr>
                <w:rFonts w:asciiTheme="minorHAnsi" w:hAnsiTheme="minorHAnsi" w:cstheme="minorHAnsi"/>
                <w:sz w:val="24"/>
                <w:szCs w:val="22"/>
                <w:lang w:val="en-GB"/>
              </w:rPr>
              <w:t xml:space="preserve">informed </w:t>
            </w:r>
            <w:r w:rsidRPr="00F12842">
              <w:rPr>
                <w:rFonts w:asciiTheme="minorHAnsi" w:hAnsiTheme="minorHAnsi" w:cstheme="minorHAnsi"/>
                <w:sz w:val="24"/>
                <w:szCs w:val="22"/>
                <w:lang w:val="en-GB"/>
              </w:rPr>
              <w:t>consent.</w:t>
            </w:r>
          </w:p>
        </w:tc>
      </w:tr>
    </w:tbl>
    <w:p w14:paraId="27CB509E" w14:textId="166FE11A" w:rsidR="0082626C" w:rsidRDefault="0082626C" w:rsidP="0082626C">
      <w:pPr>
        <w:pStyle w:val="Heading2"/>
        <w:tabs>
          <w:tab w:val="clear" w:pos="1559"/>
          <w:tab w:val="num" w:pos="993"/>
        </w:tabs>
        <w:spacing w:before="240"/>
        <w:ind w:left="992" w:hanging="992"/>
        <w:rPr>
          <w:rFonts w:asciiTheme="minorHAnsi" w:hAnsiTheme="minorHAnsi" w:cstheme="minorHAnsi"/>
          <w:iCs/>
          <w:color w:val="7F7F7F" w:themeColor="text1" w:themeTint="80"/>
          <w:sz w:val="40"/>
          <w:szCs w:val="30"/>
        </w:rPr>
      </w:pPr>
      <w:bookmarkStart w:id="636" w:name="_Toc532301695"/>
      <w:r w:rsidRPr="00014174">
        <w:rPr>
          <w:rFonts w:asciiTheme="minorHAnsi" w:hAnsiTheme="minorHAnsi" w:cstheme="minorHAnsi"/>
          <w:iCs/>
          <w:color w:val="7F7F7F" w:themeColor="text1" w:themeTint="80"/>
          <w:sz w:val="40"/>
          <w:szCs w:val="30"/>
        </w:rPr>
        <w:t>Element 3: Organ allocation</w:t>
      </w:r>
      <w:bookmarkEnd w:id="636"/>
      <w:r w:rsidRPr="00014174">
        <w:rPr>
          <w:rFonts w:asciiTheme="minorHAnsi" w:hAnsiTheme="minorHAnsi" w:cstheme="minorHAnsi"/>
          <w:iCs/>
          <w:color w:val="7F7F7F" w:themeColor="text1" w:themeTint="80"/>
          <w:sz w:val="40"/>
          <w:szCs w:val="30"/>
        </w:rPr>
        <w:t xml:space="preserve"> </w:t>
      </w:r>
    </w:p>
    <w:p w14:paraId="3DE08554" w14:textId="77777777" w:rsidR="006F4E24" w:rsidRDefault="006F4E24" w:rsidP="006F4E24">
      <w:pPr>
        <w:spacing w:after="120"/>
        <w:rPr>
          <w:rFonts w:asciiTheme="minorHAnsi" w:hAnsiTheme="minorHAnsi" w:cstheme="minorHAnsi"/>
          <w:sz w:val="24"/>
          <w:szCs w:val="22"/>
          <w:lang w:val="en-GB"/>
        </w:rPr>
      </w:pPr>
      <w:bookmarkStart w:id="637" w:name="_Toc526517764"/>
      <w:r>
        <w:rPr>
          <w:rFonts w:asciiTheme="minorHAnsi" w:hAnsiTheme="minorHAnsi" w:cstheme="minorHAnsi"/>
          <w:sz w:val="24"/>
          <w:szCs w:val="22"/>
          <w:lang w:val="en-GB"/>
        </w:rPr>
        <w:t>For element 3, the findings of the Review relate to:</w:t>
      </w:r>
    </w:p>
    <w:p w14:paraId="6967CFBD" w14:textId="77777777" w:rsidR="006F4E24" w:rsidRDefault="006F4E24" w:rsidP="006F4E24">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Non-renal</w:t>
      </w:r>
      <w:r w:rsidR="002A27FE">
        <w:rPr>
          <w:rFonts w:asciiTheme="minorHAnsi" w:hAnsiTheme="minorHAnsi" w:cstheme="minorHAnsi"/>
          <w:sz w:val="24"/>
          <w:szCs w:val="22"/>
          <w:lang w:val="en-GB"/>
        </w:rPr>
        <w:t xml:space="preserve"> organ</w:t>
      </w:r>
      <w:r>
        <w:rPr>
          <w:rFonts w:asciiTheme="minorHAnsi" w:hAnsiTheme="minorHAnsi" w:cstheme="minorHAnsi"/>
          <w:sz w:val="24"/>
          <w:szCs w:val="22"/>
          <w:lang w:val="en-GB"/>
        </w:rPr>
        <w:t xml:space="preserve"> allocation </w:t>
      </w:r>
      <w:r w:rsidRPr="00937DEE">
        <w:rPr>
          <w:rFonts w:asciiTheme="minorHAnsi" w:hAnsiTheme="minorHAnsi" w:cstheme="minorHAnsi"/>
          <w:sz w:val="24"/>
          <w:szCs w:val="22"/>
          <w:lang w:val="en-GB"/>
        </w:rPr>
        <w:t>(Section</w:t>
      </w:r>
      <w:r>
        <w:rPr>
          <w:rFonts w:asciiTheme="minorHAnsi" w:hAnsiTheme="minorHAnsi" w:cstheme="minorHAnsi"/>
          <w:sz w:val="24"/>
          <w:szCs w:val="22"/>
          <w:lang w:val="en-GB"/>
        </w:rPr>
        <w:t xml:space="preserve"> </w:t>
      </w:r>
      <w:r>
        <w:rPr>
          <w:rFonts w:asciiTheme="minorHAnsi" w:hAnsiTheme="minorHAnsi" w:cstheme="minorHAnsi"/>
          <w:sz w:val="24"/>
          <w:szCs w:val="22"/>
          <w:lang w:val="en-GB"/>
        </w:rPr>
        <w:fldChar w:fldCharType="begin"/>
      </w:r>
      <w:r>
        <w:rPr>
          <w:rFonts w:asciiTheme="minorHAnsi" w:hAnsiTheme="minorHAnsi" w:cstheme="minorHAnsi"/>
          <w:sz w:val="24"/>
          <w:szCs w:val="22"/>
          <w:lang w:val="en-GB"/>
        </w:rPr>
        <w:instrText xml:space="preserve"> REF _Ref527626896 \n \h </w:instrText>
      </w:r>
      <w:r>
        <w:rPr>
          <w:rFonts w:asciiTheme="minorHAnsi" w:hAnsiTheme="minorHAnsi" w:cstheme="minorHAnsi"/>
          <w:sz w:val="24"/>
          <w:szCs w:val="22"/>
          <w:lang w:val="en-GB"/>
        </w:rPr>
      </w:r>
      <w:r>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6.3.1</w:t>
      </w:r>
      <w:r>
        <w:rPr>
          <w:rFonts w:asciiTheme="minorHAnsi" w:hAnsiTheme="minorHAnsi" w:cstheme="minorHAnsi"/>
          <w:sz w:val="24"/>
          <w:szCs w:val="22"/>
          <w:lang w:val="en-GB"/>
        </w:rPr>
        <w:fldChar w:fldCharType="end"/>
      </w:r>
      <w:r w:rsidRPr="00937DEE">
        <w:rPr>
          <w:rFonts w:asciiTheme="minorHAnsi" w:hAnsiTheme="minorHAnsi" w:cstheme="minorHAnsi"/>
          <w:sz w:val="24"/>
          <w:szCs w:val="22"/>
          <w:lang w:val="en-GB"/>
        </w:rPr>
        <w:t>)</w:t>
      </w:r>
    </w:p>
    <w:p w14:paraId="4E9978E6" w14:textId="77777777" w:rsidR="006F4E24" w:rsidRDefault="006F4E24" w:rsidP="006F4E24">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 xml:space="preserve">Renal allocation </w:t>
      </w:r>
      <w:r w:rsidRPr="00937DEE">
        <w:rPr>
          <w:rFonts w:asciiTheme="minorHAnsi" w:hAnsiTheme="minorHAnsi" w:cstheme="minorHAnsi"/>
          <w:sz w:val="24"/>
          <w:szCs w:val="22"/>
          <w:lang w:val="en-GB"/>
        </w:rPr>
        <w:t>(Section</w:t>
      </w:r>
      <w:r>
        <w:rPr>
          <w:rFonts w:asciiTheme="minorHAnsi" w:hAnsiTheme="minorHAnsi" w:cstheme="minorHAnsi"/>
          <w:sz w:val="24"/>
          <w:szCs w:val="22"/>
          <w:lang w:val="en-GB"/>
        </w:rPr>
        <w:t xml:space="preserve"> </w:t>
      </w:r>
      <w:r w:rsidR="003259BB">
        <w:rPr>
          <w:rFonts w:asciiTheme="minorHAnsi" w:hAnsiTheme="minorHAnsi" w:cstheme="minorHAnsi"/>
          <w:sz w:val="24"/>
          <w:szCs w:val="22"/>
          <w:lang w:val="en-GB"/>
        </w:rPr>
        <w:t>6.3.2</w:t>
      </w:r>
      <w:r w:rsidRPr="00937DEE">
        <w:rPr>
          <w:rFonts w:asciiTheme="minorHAnsi" w:hAnsiTheme="minorHAnsi" w:cstheme="minorHAnsi"/>
          <w:sz w:val="24"/>
          <w:szCs w:val="22"/>
          <w:lang w:val="en-GB"/>
        </w:rPr>
        <w:t>)</w:t>
      </w:r>
    </w:p>
    <w:p w14:paraId="70BFF754" w14:textId="77777777" w:rsidR="006F4E24" w:rsidRDefault="00DA4F15" w:rsidP="006F4E24">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 xml:space="preserve">The </w:t>
      </w:r>
      <w:r w:rsidR="006F4E24">
        <w:rPr>
          <w:rFonts w:asciiTheme="minorHAnsi" w:hAnsiTheme="minorHAnsi" w:cstheme="minorHAnsi"/>
          <w:sz w:val="24"/>
          <w:szCs w:val="22"/>
          <w:lang w:val="en-GB"/>
        </w:rPr>
        <w:t xml:space="preserve">National Organ Matching System and OrganMatch </w:t>
      </w:r>
      <w:r w:rsidR="006F4E24" w:rsidRPr="00937DEE">
        <w:rPr>
          <w:rFonts w:asciiTheme="minorHAnsi" w:hAnsiTheme="minorHAnsi" w:cstheme="minorHAnsi"/>
          <w:sz w:val="24"/>
          <w:szCs w:val="22"/>
          <w:lang w:val="en-GB"/>
        </w:rPr>
        <w:t>(Section</w:t>
      </w:r>
      <w:r w:rsidR="006F4E24">
        <w:rPr>
          <w:rFonts w:asciiTheme="minorHAnsi" w:hAnsiTheme="minorHAnsi" w:cstheme="minorHAnsi"/>
          <w:sz w:val="24"/>
          <w:szCs w:val="22"/>
          <w:lang w:val="en-GB"/>
        </w:rPr>
        <w:t xml:space="preserve"> </w:t>
      </w:r>
      <w:r w:rsidR="003259BB">
        <w:rPr>
          <w:rFonts w:asciiTheme="minorHAnsi" w:hAnsiTheme="minorHAnsi" w:cstheme="minorHAnsi"/>
          <w:sz w:val="24"/>
          <w:szCs w:val="22"/>
          <w:lang w:val="en-GB"/>
        </w:rPr>
        <w:t>6.3.3</w:t>
      </w:r>
      <w:r w:rsidR="006F4E24" w:rsidRPr="00937DEE">
        <w:rPr>
          <w:rFonts w:asciiTheme="minorHAnsi" w:hAnsiTheme="minorHAnsi" w:cstheme="minorHAnsi"/>
          <w:sz w:val="24"/>
          <w:szCs w:val="22"/>
          <w:lang w:val="en-GB"/>
        </w:rPr>
        <w:t>)</w:t>
      </w:r>
    </w:p>
    <w:p w14:paraId="0F804150" w14:textId="77777777" w:rsidR="006F4E24" w:rsidRDefault="006F4E24" w:rsidP="006F4E24">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rPr>
        <w:t>Tissue typing</w:t>
      </w:r>
      <w:r w:rsidRPr="00937DEE">
        <w:rPr>
          <w:rFonts w:asciiTheme="minorHAnsi" w:hAnsiTheme="minorHAnsi" w:cstheme="minorHAnsi"/>
          <w:sz w:val="24"/>
          <w:szCs w:val="22"/>
        </w:rPr>
        <w:t xml:space="preserve"> </w:t>
      </w:r>
      <w:r w:rsidRPr="00937DEE">
        <w:rPr>
          <w:rFonts w:asciiTheme="minorHAnsi" w:hAnsiTheme="minorHAnsi" w:cstheme="minorHAnsi"/>
          <w:sz w:val="24"/>
          <w:szCs w:val="22"/>
          <w:lang w:val="en-GB"/>
        </w:rPr>
        <w:t>(Section</w:t>
      </w:r>
      <w:r>
        <w:rPr>
          <w:rFonts w:asciiTheme="minorHAnsi" w:hAnsiTheme="minorHAnsi" w:cstheme="minorHAnsi"/>
          <w:sz w:val="24"/>
          <w:szCs w:val="22"/>
          <w:lang w:val="en-GB"/>
        </w:rPr>
        <w:t xml:space="preserve"> </w:t>
      </w:r>
      <w:r w:rsidR="003259BB">
        <w:rPr>
          <w:rFonts w:asciiTheme="minorHAnsi" w:hAnsiTheme="minorHAnsi" w:cstheme="minorHAnsi"/>
          <w:sz w:val="24"/>
          <w:szCs w:val="22"/>
          <w:lang w:val="en-GB"/>
        </w:rPr>
        <w:t>6.3.4</w:t>
      </w:r>
      <w:r w:rsidRPr="00937DEE">
        <w:rPr>
          <w:rFonts w:asciiTheme="minorHAnsi" w:hAnsiTheme="minorHAnsi" w:cstheme="minorHAnsi"/>
          <w:sz w:val="24"/>
          <w:szCs w:val="22"/>
          <w:lang w:val="en-GB"/>
        </w:rPr>
        <w:t>)</w:t>
      </w:r>
    </w:p>
    <w:p w14:paraId="46564DD7" w14:textId="2AE90EF5" w:rsidR="006F4E24" w:rsidRDefault="00412748" w:rsidP="006F4E24">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The impact of the State Balancing S</w:t>
      </w:r>
      <w:r w:rsidR="006F4E24">
        <w:rPr>
          <w:rFonts w:asciiTheme="minorHAnsi" w:hAnsiTheme="minorHAnsi" w:cstheme="minorHAnsi"/>
          <w:sz w:val="24"/>
          <w:szCs w:val="22"/>
          <w:lang w:val="en-GB"/>
        </w:rPr>
        <w:t>ystem on allocation</w:t>
      </w:r>
      <w:r w:rsidR="002A27FE">
        <w:rPr>
          <w:rFonts w:asciiTheme="minorHAnsi" w:hAnsiTheme="minorHAnsi" w:cstheme="minorHAnsi"/>
          <w:sz w:val="24"/>
          <w:szCs w:val="22"/>
          <w:lang w:val="en-GB"/>
        </w:rPr>
        <w:t xml:space="preserve"> of kidneys</w:t>
      </w:r>
      <w:r w:rsidR="006F4E24">
        <w:rPr>
          <w:rFonts w:asciiTheme="minorHAnsi" w:hAnsiTheme="minorHAnsi" w:cstheme="minorHAnsi"/>
          <w:sz w:val="24"/>
          <w:szCs w:val="22"/>
          <w:lang w:val="en-GB"/>
        </w:rPr>
        <w:t xml:space="preserve"> (Section </w:t>
      </w:r>
      <w:r w:rsidR="003259BB">
        <w:rPr>
          <w:rFonts w:asciiTheme="minorHAnsi" w:hAnsiTheme="minorHAnsi" w:cstheme="minorHAnsi"/>
          <w:sz w:val="24"/>
          <w:szCs w:val="22"/>
          <w:lang w:val="en-GB"/>
        </w:rPr>
        <w:t>6.3.5</w:t>
      </w:r>
      <w:r w:rsidR="006F4E24" w:rsidRPr="00937DEE">
        <w:rPr>
          <w:rFonts w:asciiTheme="minorHAnsi" w:hAnsiTheme="minorHAnsi" w:cstheme="minorHAnsi"/>
          <w:sz w:val="24"/>
          <w:szCs w:val="22"/>
          <w:lang w:val="en-GB"/>
        </w:rPr>
        <w:t>)</w:t>
      </w:r>
      <w:r w:rsidR="00F2083C">
        <w:rPr>
          <w:rFonts w:asciiTheme="minorHAnsi" w:hAnsiTheme="minorHAnsi" w:cstheme="minorHAnsi"/>
          <w:sz w:val="24"/>
          <w:szCs w:val="22"/>
          <w:lang w:val="en-GB"/>
        </w:rPr>
        <w:t>.</w:t>
      </w:r>
    </w:p>
    <w:p w14:paraId="77F4F849" w14:textId="77777777" w:rsidR="006F4E24" w:rsidRDefault="006F4E24" w:rsidP="006F4E24">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638" w:name="_Ref527626896"/>
      <w:r>
        <w:rPr>
          <w:rFonts w:asciiTheme="minorHAnsi" w:hAnsiTheme="minorHAnsi" w:cstheme="minorHAnsi"/>
          <w:b w:val="0"/>
          <w:color w:val="7F7F7F" w:themeColor="text1" w:themeTint="80"/>
          <w:sz w:val="30"/>
          <w:szCs w:val="30"/>
        </w:rPr>
        <w:t>Non-renal organ allocation</w:t>
      </w:r>
      <w:bookmarkEnd w:id="638"/>
      <w:r>
        <w:rPr>
          <w:rFonts w:asciiTheme="minorHAnsi" w:hAnsiTheme="minorHAnsi" w:cstheme="minorHAnsi"/>
          <w:b w:val="0"/>
          <w:color w:val="7F7F7F" w:themeColor="text1" w:themeTint="80"/>
          <w:sz w:val="30"/>
          <w:szCs w:val="30"/>
        </w:rPr>
        <w:t xml:space="preserve"> </w:t>
      </w:r>
    </w:p>
    <w:p w14:paraId="0BE5F7CB" w14:textId="77777777" w:rsidR="006F4E24" w:rsidRPr="00266A77" w:rsidRDefault="006F4E24" w:rsidP="006F4E24">
      <w:pPr>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Discussion of findings</w:t>
      </w:r>
    </w:p>
    <w:p w14:paraId="105FD02F" w14:textId="77777777" w:rsidR="006F4E24" w:rsidRDefault="006F4E24" w:rsidP="006F4E24">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As outlined in </w:t>
      </w:r>
      <w:r w:rsidRPr="003259BB">
        <w:rPr>
          <w:rFonts w:asciiTheme="minorHAnsi" w:hAnsiTheme="minorHAnsi" w:cstheme="minorHAnsi"/>
          <w:sz w:val="24"/>
          <w:szCs w:val="22"/>
          <w:lang w:val="en-GB"/>
        </w:rPr>
        <w:t xml:space="preserve">Section </w:t>
      </w:r>
      <w:r w:rsidR="00B46DA0">
        <w:rPr>
          <w:rFonts w:asciiTheme="minorHAnsi" w:hAnsiTheme="minorHAnsi" w:cstheme="minorHAnsi"/>
          <w:sz w:val="24"/>
          <w:szCs w:val="22"/>
          <w:lang w:val="en-GB"/>
        </w:rPr>
        <w:t>4</w:t>
      </w:r>
      <w:r w:rsidR="003259BB">
        <w:rPr>
          <w:rFonts w:asciiTheme="minorHAnsi" w:hAnsiTheme="minorHAnsi" w:cstheme="minorHAnsi"/>
          <w:sz w:val="24"/>
          <w:szCs w:val="22"/>
          <w:lang w:val="en-GB"/>
        </w:rPr>
        <w:t xml:space="preserve">.5.2, </w:t>
      </w:r>
      <w:r>
        <w:rPr>
          <w:rFonts w:asciiTheme="minorHAnsi" w:hAnsiTheme="minorHAnsi" w:cstheme="minorHAnsi"/>
          <w:sz w:val="24"/>
          <w:szCs w:val="22"/>
          <w:lang w:val="en-GB"/>
        </w:rPr>
        <w:t>heart, liver and lung allocation processes often cross over with offer and acceptance processes. W</w:t>
      </w:r>
      <w:r w:rsidRPr="00F37D51">
        <w:rPr>
          <w:rFonts w:asciiTheme="minorHAnsi" w:hAnsiTheme="minorHAnsi" w:cstheme="minorHAnsi"/>
          <w:sz w:val="24"/>
          <w:szCs w:val="22"/>
          <w:lang w:val="en-GB"/>
        </w:rPr>
        <w:t xml:space="preserve">hen a potential organ becomes available, it </w:t>
      </w:r>
      <w:r>
        <w:rPr>
          <w:rFonts w:asciiTheme="minorHAnsi" w:hAnsiTheme="minorHAnsi" w:cstheme="minorHAnsi"/>
          <w:sz w:val="24"/>
          <w:szCs w:val="22"/>
          <w:lang w:val="en-GB"/>
        </w:rPr>
        <w:t xml:space="preserve">is allocated first to </w:t>
      </w:r>
      <w:r w:rsidRPr="00F37D51">
        <w:rPr>
          <w:rFonts w:asciiTheme="minorHAnsi" w:hAnsiTheme="minorHAnsi" w:cstheme="minorHAnsi"/>
          <w:sz w:val="24"/>
          <w:szCs w:val="22"/>
          <w:lang w:val="en-GB"/>
        </w:rPr>
        <w:t>potential recipients</w:t>
      </w:r>
      <w:r>
        <w:rPr>
          <w:rFonts w:asciiTheme="minorHAnsi" w:hAnsiTheme="minorHAnsi" w:cstheme="minorHAnsi"/>
          <w:sz w:val="24"/>
          <w:szCs w:val="22"/>
          <w:lang w:val="en-GB"/>
        </w:rPr>
        <w:t xml:space="preserve"> on the</w:t>
      </w:r>
      <w:r w:rsidR="00595702">
        <w:rPr>
          <w:rFonts w:asciiTheme="minorHAnsi" w:hAnsiTheme="minorHAnsi" w:cstheme="minorHAnsi"/>
          <w:sz w:val="24"/>
          <w:szCs w:val="22"/>
          <w:lang w:val="en-GB"/>
        </w:rPr>
        <w:t xml:space="preserve"> national urgent list then to</w:t>
      </w:r>
      <w:r>
        <w:rPr>
          <w:rFonts w:asciiTheme="minorHAnsi" w:hAnsiTheme="minorHAnsi" w:cstheme="minorHAnsi"/>
          <w:sz w:val="24"/>
          <w:szCs w:val="22"/>
          <w:lang w:val="en-GB"/>
        </w:rPr>
        <w:t xml:space="preserve"> state waiting list in the state in which the organ will be retrieved (the </w:t>
      </w:r>
      <w:r w:rsidR="008E64B3">
        <w:rPr>
          <w:rFonts w:asciiTheme="minorHAnsi" w:hAnsiTheme="minorHAnsi" w:cstheme="minorHAnsi"/>
          <w:sz w:val="24"/>
          <w:szCs w:val="22"/>
          <w:lang w:val="en-GB"/>
        </w:rPr>
        <w:t>‘</w:t>
      </w:r>
      <w:r>
        <w:rPr>
          <w:rFonts w:asciiTheme="minorHAnsi" w:hAnsiTheme="minorHAnsi" w:cstheme="minorHAnsi"/>
          <w:sz w:val="24"/>
          <w:szCs w:val="22"/>
          <w:lang w:val="en-GB"/>
        </w:rPr>
        <w:t>home state</w:t>
      </w:r>
      <w:r w:rsidR="008E64B3">
        <w:rPr>
          <w:rFonts w:asciiTheme="minorHAnsi" w:hAnsiTheme="minorHAnsi" w:cstheme="minorHAnsi"/>
          <w:sz w:val="24"/>
          <w:szCs w:val="22"/>
          <w:lang w:val="en-GB"/>
        </w:rPr>
        <w:t>’</w:t>
      </w:r>
      <w:r>
        <w:rPr>
          <w:rFonts w:asciiTheme="minorHAnsi" w:hAnsiTheme="minorHAnsi" w:cstheme="minorHAnsi"/>
          <w:sz w:val="24"/>
          <w:szCs w:val="22"/>
          <w:lang w:val="en-GB"/>
        </w:rPr>
        <w:t>)</w:t>
      </w:r>
      <w:r w:rsidRPr="00F37D51">
        <w:rPr>
          <w:rFonts w:asciiTheme="minorHAnsi" w:hAnsiTheme="minorHAnsi" w:cstheme="minorHAnsi"/>
          <w:sz w:val="24"/>
          <w:szCs w:val="22"/>
          <w:lang w:val="en-GB"/>
        </w:rPr>
        <w:t>.</w:t>
      </w:r>
      <w:r>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However, if there is no match in the home state,</w:t>
      </w:r>
      <w:r>
        <w:rPr>
          <w:rFonts w:asciiTheme="minorHAnsi" w:hAnsiTheme="minorHAnsi" w:cstheme="minorHAnsi"/>
          <w:sz w:val="24"/>
          <w:szCs w:val="22"/>
          <w:lang w:val="en-GB"/>
        </w:rPr>
        <w:t xml:space="preserve"> or no match on the national urgent patient listing, allocation is decided based on a national rotation list. This is created by the Australasian Transplant </w:t>
      </w:r>
      <w:r w:rsidR="00EC4419">
        <w:rPr>
          <w:rFonts w:asciiTheme="minorHAnsi" w:hAnsiTheme="minorHAnsi" w:cstheme="minorHAnsi"/>
          <w:sz w:val="24"/>
          <w:szCs w:val="22"/>
          <w:lang w:val="en-GB"/>
        </w:rPr>
        <w:t>C</w:t>
      </w:r>
      <w:r>
        <w:rPr>
          <w:rFonts w:asciiTheme="minorHAnsi" w:hAnsiTheme="minorHAnsi" w:cstheme="minorHAnsi"/>
          <w:sz w:val="24"/>
          <w:szCs w:val="22"/>
          <w:lang w:val="en-GB"/>
        </w:rPr>
        <w:t>oordinators Association and is endorsed and accepted by</w:t>
      </w:r>
      <w:r w:rsidR="000B07FB">
        <w:rPr>
          <w:rFonts w:asciiTheme="minorHAnsi" w:hAnsiTheme="minorHAnsi" w:cstheme="minorHAnsi"/>
          <w:sz w:val="24"/>
          <w:szCs w:val="22"/>
          <w:lang w:val="en-GB"/>
        </w:rPr>
        <w:t xml:space="preserve"> the</w:t>
      </w:r>
      <w:r>
        <w:rPr>
          <w:rFonts w:asciiTheme="minorHAnsi" w:hAnsiTheme="minorHAnsi" w:cstheme="minorHAnsi"/>
          <w:sz w:val="24"/>
          <w:szCs w:val="22"/>
          <w:lang w:val="en-GB"/>
        </w:rPr>
        <w:t xml:space="preserve"> TSANZ and OTA. The process involves donor coordinators from the h</w:t>
      </w:r>
      <w:r w:rsidRPr="00F37D51">
        <w:rPr>
          <w:rFonts w:asciiTheme="minorHAnsi" w:hAnsiTheme="minorHAnsi" w:cstheme="minorHAnsi"/>
          <w:sz w:val="24"/>
          <w:szCs w:val="22"/>
          <w:lang w:val="en-GB"/>
        </w:rPr>
        <w:t xml:space="preserve">ome state </w:t>
      </w:r>
      <w:r>
        <w:rPr>
          <w:rFonts w:asciiTheme="minorHAnsi" w:hAnsiTheme="minorHAnsi" w:cstheme="minorHAnsi"/>
          <w:sz w:val="24"/>
          <w:szCs w:val="22"/>
          <w:lang w:val="en-GB"/>
        </w:rPr>
        <w:t>contacting</w:t>
      </w:r>
      <w:r w:rsidRPr="00F37D51">
        <w:rPr>
          <w:rFonts w:asciiTheme="minorHAnsi" w:hAnsiTheme="minorHAnsi" w:cstheme="minorHAnsi"/>
          <w:sz w:val="24"/>
          <w:szCs w:val="22"/>
          <w:lang w:val="en-GB"/>
        </w:rPr>
        <w:t xml:space="preserve"> each </w:t>
      </w:r>
      <w:r>
        <w:rPr>
          <w:rFonts w:asciiTheme="minorHAnsi" w:hAnsiTheme="minorHAnsi" w:cstheme="minorHAnsi"/>
          <w:sz w:val="24"/>
          <w:szCs w:val="22"/>
          <w:lang w:val="en-GB"/>
        </w:rPr>
        <w:t xml:space="preserve">interstate </w:t>
      </w:r>
      <w:r w:rsidRPr="00F37D51">
        <w:rPr>
          <w:rFonts w:asciiTheme="minorHAnsi" w:hAnsiTheme="minorHAnsi" w:cstheme="minorHAnsi"/>
          <w:sz w:val="24"/>
          <w:szCs w:val="22"/>
          <w:lang w:val="en-GB"/>
        </w:rPr>
        <w:t>transplant</w:t>
      </w:r>
      <w:r w:rsidR="00F46C80">
        <w:rPr>
          <w:rFonts w:asciiTheme="minorHAnsi" w:hAnsiTheme="minorHAnsi" w:cstheme="minorHAnsi"/>
          <w:sz w:val="24"/>
          <w:szCs w:val="22"/>
          <w:lang w:val="en-GB"/>
        </w:rPr>
        <w:t>ation</w:t>
      </w:r>
      <w:r w:rsidRPr="00F37D51">
        <w:rPr>
          <w:rFonts w:asciiTheme="minorHAnsi" w:hAnsiTheme="minorHAnsi" w:cstheme="minorHAnsi"/>
          <w:sz w:val="24"/>
          <w:szCs w:val="22"/>
          <w:lang w:val="en-GB"/>
        </w:rPr>
        <w:t xml:space="preserve"> unit consecutively until a suitable recipient is found</w:t>
      </w:r>
      <w:r>
        <w:rPr>
          <w:rFonts w:asciiTheme="minorHAnsi" w:hAnsiTheme="minorHAnsi" w:cstheme="minorHAnsi"/>
          <w:sz w:val="24"/>
          <w:szCs w:val="22"/>
          <w:lang w:val="en-GB"/>
        </w:rPr>
        <w:t>. The allocation, offer and acceptance happens within that process</w:t>
      </w:r>
      <w:r w:rsidRPr="00F37D51">
        <w:rPr>
          <w:rFonts w:asciiTheme="minorHAnsi" w:hAnsiTheme="minorHAnsi" w:cstheme="minorHAnsi"/>
          <w:sz w:val="24"/>
          <w:szCs w:val="22"/>
          <w:lang w:val="en-GB"/>
        </w:rPr>
        <w:t xml:space="preserve">. </w:t>
      </w:r>
      <w:r>
        <w:rPr>
          <w:rFonts w:asciiTheme="minorHAnsi" w:hAnsiTheme="minorHAnsi" w:cstheme="minorHAnsi"/>
          <w:sz w:val="24"/>
          <w:szCs w:val="22"/>
          <w:lang w:val="en-GB"/>
        </w:rPr>
        <w:t>The organ allocation process was reported to take up to between 8 to 10 hours.</w:t>
      </w:r>
    </w:p>
    <w:p w14:paraId="46C25FB5" w14:textId="77777777" w:rsidR="006F4E24" w:rsidRDefault="006F4E24" w:rsidP="006F4E24">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The Review found that the allocation process for non-renal organs out of home state was </w:t>
      </w:r>
      <w:r w:rsidRPr="00F37D51">
        <w:rPr>
          <w:rFonts w:asciiTheme="minorHAnsi" w:hAnsiTheme="minorHAnsi" w:cstheme="minorHAnsi"/>
          <w:sz w:val="24"/>
          <w:szCs w:val="22"/>
          <w:lang w:val="en-GB"/>
        </w:rPr>
        <w:t>considered by some to be inefficient</w:t>
      </w:r>
      <w:r>
        <w:rPr>
          <w:rFonts w:asciiTheme="minorHAnsi" w:hAnsiTheme="minorHAnsi" w:cstheme="minorHAnsi"/>
          <w:sz w:val="24"/>
          <w:szCs w:val="22"/>
          <w:lang w:val="en-GB"/>
        </w:rPr>
        <w:t xml:space="preserve"> due to the time taken to match donors and potential recipients through the ring-around process. This was also found to increase potential risk to the viability of the organ as well as the commitment of families to consent to donation.</w:t>
      </w:r>
      <w:r w:rsidRPr="00E713AE">
        <w:rPr>
          <w:rFonts w:asciiTheme="minorHAnsi" w:hAnsiTheme="minorHAnsi" w:cstheme="minorHAnsi"/>
          <w:sz w:val="24"/>
          <w:szCs w:val="22"/>
          <w:lang w:val="en-GB"/>
        </w:rPr>
        <w:t xml:space="preserve"> </w:t>
      </w:r>
      <w:r>
        <w:rPr>
          <w:rFonts w:asciiTheme="minorHAnsi" w:hAnsiTheme="minorHAnsi" w:cstheme="minorHAnsi"/>
          <w:sz w:val="24"/>
          <w:szCs w:val="22"/>
          <w:lang w:val="en-GB"/>
        </w:rPr>
        <w:t>A</w:t>
      </w:r>
      <w:r w:rsidRPr="00F12842">
        <w:rPr>
          <w:rFonts w:asciiTheme="minorHAnsi" w:hAnsiTheme="minorHAnsi" w:cstheme="minorHAnsi"/>
          <w:sz w:val="24"/>
          <w:szCs w:val="22"/>
          <w:lang w:val="en-GB"/>
        </w:rPr>
        <w:t xml:space="preserve"> </w:t>
      </w:r>
      <w:r>
        <w:rPr>
          <w:rFonts w:asciiTheme="minorHAnsi" w:hAnsiTheme="minorHAnsi" w:cstheme="minorHAnsi"/>
          <w:sz w:val="24"/>
          <w:szCs w:val="22"/>
          <w:lang w:val="en-GB"/>
        </w:rPr>
        <w:t>r</w:t>
      </w:r>
      <w:r w:rsidRPr="00F12842">
        <w:rPr>
          <w:rFonts w:asciiTheme="minorHAnsi" w:hAnsiTheme="minorHAnsi" w:cstheme="minorHAnsi"/>
          <w:sz w:val="24"/>
          <w:szCs w:val="22"/>
          <w:lang w:val="en-GB"/>
        </w:rPr>
        <w:t xml:space="preserve">eview of the current processes across the country may find areas where efficiencies could be made and outcomes improved. </w:t>
      </w:r>
    </w:p>
    <w:p w14:paraId="29DE8B48" w14:textId="574778AF" w:rsidR="00E40FAA" w:rsidRDefault="00E40FAA" w:rsidP="00E40FAA">
      <w:pPr>
        <w:widowControl/>
        <w:tabs>
          <w:tab w:val="num" w:pos="720"/>
        </w:tabs>
        <w:autoSpaceDE/>
        <w:autoSpaceDN/>
        <w:adjustRightInd/>
        <w:spacing w:after="120"/>
        <w:rPr>
          <w:rFonts w:asciiTheme="minorHAnsi" w:hAnsiTheme="minorHAnsi" w:cstheme="minorHAnsi"/>
          <w:sz w:val="24"/>
          <w:szCs w:val="22"/>
          <w:lang w:val="en-GB" w:eastAsia="en-AU"/>
        </w:rPr>
      </w:pPr>
      <w:r w:rsidRPr="00E40FAA">
        <w:rPr>
          <w:rFonts w:asciiTheme="minorHAnsi" w:hAnsiTheme="minorHAnsi" w:cstheme="minorHAnsi"/>
          <w:sz w:val="24"/>
          <w:szCs w:val="22"/>
          <w:lang w:val="en-GB" w:eastAsia="en-AU"/>
        </w:rPr>
        <w:t xml:space="preserve">The Review found that </w:t>
      </w:r>
      <w:r w:rsidR="00CC766E">
        <w:rPr>
          <w:rFonts w:asciiTheme="minorHAnsi" w:hAnsiTheme="minorHAnsi" w:cstheme="minorHAnsi"/>
          <w:sz w:val="24"/>
          <w:szCs w:val="22"/>
          <w:lang w:val="en-GB" w:eastAsia="en-AU"/>
        </w:rPr>
        <w:t xml:space="preserve">a </w:t>
      </w:r>
      <w:r w:rsidRPr="00E40FAA">
        <w:rPr>
          <w:rFonts w:asciiTheme="minorHAnsi" w:hAnsiTheme="minorHAnsi" w:cstheme="minorHAnsi"/>
          <w:sz w:val="24"/>
          <w:szCs w:val="22"/>
          <w:lang w:val="en-GB" w:eastAsia="en-AU"/>
        </w:rPr>
        <w:t>system</w:t>
      </w:r>
      <w:r w:rsidR="00CC766E">
        <w:rPr>
          <w:rFonts w:asciiTheme="minorHAnsi" w:hAnsiTheme="minorHAnsi" w:cstheme="minorHAnsi"/>
          <w:sz w:val="24"/>
          <w:szCs w:val="22"/>
          <w:lang w:val="en-GB" w:eastAsia="en-AU"/>
        </w:rPr>
        <w:t xml:space="preserve"> </w:t>
      </w:r>
      <w:r w:rsidR="003B33C0">
        <w:rPr>
          <w:rFonts w:asciiTheme="minorHAnsi" w:hAnsiTheme="minorHAnsi" w:cstheme="minorHAnsi"/>
          <w:sz w:val="24"/>
          <w:szCs w:val="22"/>
          <w:lang w:val="en-GB" w:eastAsia="en-AU"/>
        </w:rPr>
        <w:t xml:space="preserve">in </w:t>
      </w:r>
      <w:r w:rsidR="00CC766E">
        <w:rPr>
          <w:rFonts w:asciiTheme="minorHAnsi" w:hAnsiTheme="minorHAnsi" w:cstheme="minorHAnsi"/>
          <w:sz w:val="24"/>
          <w:szCs w:val="22"/>
          <w:lang w:val="en-GB" w:eastAsia="en-AU"/>
        </w:rPr>
        <w:t>which information</w:t>
      </w:r>
      <w:r w:rsidR="003B33C0">
        <w:rPr>
          <w:rFonts w:asciiTheme="minorHAnsi" w:hAnsiTheme="minorHAnsi" w:cstheme="minorHAnsi"/>
          <w:sz w:val="24"/>
          <w:szCs w:val="22"/>
          <w:lang w:val="en-GB" w:eastAsia="en-AU"/>
        </w:rPr>
        <w:t xml:space="preserve"> is shared</w:t>
      </w:r>
      <w:r w:rsidR="00CC766E">
        <w:rPr>
          <w:rFonts w:asciiTheme="minorHAnsi" w:hAnsiTheme="minorHAnsi" w:cstheme="minorHAnsi"/>
          <w:sz w:val="24"/>
          <w:szCs w:val="22"/>
          <w:lang w:val="en-GB" w:eastAsia="en-AU"/>
        </w:rPr>
        <w:t xml:space="preserve"> in real time</w:t>
      </w:r>
      <w:r w:rsidRPr="00E40FAA">
        <w:rPr>
          <w:rFonts w:asciiTheme="minorHAnsi" w:hAnsiTheme="minorHAnsi" w:cstheme="minorHAnsi"/>
          <w:sz w:val="24"/>
          <w:szCs w:val="22"/>
          <w:lang w:val="en-GB" w:eastAsia="en-AU"/>
        </w:rPr>
        <w:t xml:space="preserve"> may be a potential solution to these challenges. In the circumstances where the home state has declined the organ, information relating to the donated heart</w:t>
      </w:r>
      <w:r w:rsidR="00CC766E">
        <w:rPr>
          <w:rFonts w:asciiTheme="minorHAnsi" w:hAnsiTheme="minorHAnsi" w:cstheme="minorHAnsi"/>
          <w:sz w:val="24"/>
          <w:szCs w:val="22"/>
          <w:lang w:val="en-GB" w:eastAsia="en-AU"/>
        </w:rPr>
        <w:t>,</w:t>
      </w:r>
      <w:r w:rsidRPr="00E40FAA">
        <w:rPr>
          <w:rFonts w:asciiTheme="minorHAnsi" w:hAnsiTheme="minorHAnsi" w:cstheme="minorHAnsi"/>
          <w:sz w:val="24"/>
          <w:szCs w:val="22"/>
          <w:lang w:val="en-GB" w:eastAsia="en-AU"/>
        </w:rPr>
        <w:t xml:space="preserve"> liver or lungs could be concomitantly shared nationally with transplantation units using a data sharing platform. The platform would replace the current </w:t>
      </w:r>
      <w:r w:rsidR="00CC766E" w:rsidRPr="00E40FAA">
        <w:rPr>
          <w:rFonts w:asciiTheme="minorHAnsi" w:hAnsiTheme="minorHAnsi" w:cstheme="minorHAnsi"/>
          <w:sz w:val="24"/>
          <w:szCs w:val="22"/>
          <w:lang w:val="en-GB" w:eastAsia="en-AU"/>
        </w:rPr>
        <w:t>ring around</w:t>
      </w:r>
      <w:r w:rsidRPr="00E40FAA">
        <w:rPr>
          <w:rFonts w:asciiTheme="minorHAnsi" w:hAnsiTheme="minorHAnsi" w:cstheme="minorHAnsi"/>
          <w:sz w:val="24"/>
          <w:szCs w:val="22"/>
          <w:lang w:val="en-GB" w:eastAsia="en-AU"/>
        </w:rPr>
        <w:t xml:space="preserve"> process and overcome the abovementioned inefficiencies associated with the current system. There </w:t>
      </w:r>
      <w:r w:rsidR="00B46F66" w:rsidRPr="00E40FAA">
        <w:rPr>
          <w:rFonts w:asciiTheme="minorHAnsi" w:hAnsiTheme="minorHAnsi" w:cstheme="minorHAnsi"/>
          <w:sz w:val="24"/>
          <w:szCs w:val="22"/>
          <w:lang w:val="en-GB" w:eastAsia="en-AU"/>
        </w:rPr>
        <w:t>is</w:t>
      </w:r>
      <w:r w:rsidRPr="00E40FAA">
        <w:rPr>
          <w:rFonts w:asciiTheme="minorHAnsi" w:hAnsiTheme="minorHAnsi" w:cstheme="minorHAnsi"/>
          <w:sz w:val="24"/>
          <w:szCs w:val="22"/>
          <w:lang w:val="en-GB" w:eastAsia="en-AU"/>
        </w:rPr>
        <w:t xml:space="preserve"> a myriad of technology options available that can support the development and maintenance of this shared platform. However, the Review noted that </w:t>
      </w:r>
      <w:r w:rsidR="00982C8E">
        <w:rPr>
          <w:rFonts w:asciiTheme="minorHAnsi" w:hAnsiTheme="minorHAnsi" w:cstheme="minorHAnsi"/>
          <w:sz w:val="24"/>
          <w:szCs w:val="22"/>
          <w:lang w:val="en-GB" w:eastAsia="en-AU"/>
        </w:rPr>
        <w:t xml:space="preserve">although </w:t>
      </w:r>
      <w:r w:rsidRPr="00E40FAA">
        <w:rPr>
          <w:rFonts w:asciiTheme="minorHAnsi" w:hAnsiTheme="minorHAnsi" w:cstheme="minorHAnsi"/>
          <w:sz w:val="24"/>
          <w:szCs w:val="22"/>
          <w:lang w:val="en-GB" w:eastAsia="en-AU"/>
        </w:rPr>
        <w:t>the improved sharing of donor profiles will reduce donor coordinator workload</w:t>
      </w:r>
      <w:r w:rsidR="00982C8E">
        <w:rPr>
          <w:rFonts w:asciiTheme="minorHAnsi" w:hAnsiTheme="minorHAnsi" w:cstheme="minorHAnsi"/>
          <w:sz w:val="24"/>
          <w:szCs w:val="22"/>
          <w:lang w:val="en-GB" w:eastAsia="en-AU"/>
        </w:rPr>
        <w:t>, it</w:t>
      </w:r>
      <w:r w:rsidRPr="00E40FAA">
        <w:rPr>
          <w:rFonts w:asciiTheme="minorHAnsi" w:hAnsiTheme="minorHAnsi" w:cstheme="minorHAnsi"/>
          <w:sz w:val="24"/>
          <w:szCs w:val="22"/>
          <w:lang w:val="en-GB" w:eastAsia="en-AU"/>
        </w:rPr>
        <w:t xml:space="preserve"> will increase the workload for the recipient coordinator.</w:t>
      </w:r>
      <w:r w:rsidR="00982C8E">
        <w:rPr>
          <w:rFonts w:asciiTheme="minorHAnsi" w:hAnsiTheme="minorHAnsi" w:cstheme="minorHAnsi"/>
          <w:sz w:val="24"/>
          <w:szCs w:val="22"/>
          <w:lang w:val="en-GB" w:eastAsia="en-AU"/>
        </w:rPr>
        <w:t xml:space="preserve"> Further, the implementation of the sharing profile will require investment in support resources to enable the successful</w:t>
      </w:r>
      <w:r w:rsidRPr="00E40FAA">
        <w:rPr>
          <w:rFonts w:asciiTheme="minorHAnsi" w:hAnsiTheme="minorHAnsi" w:cstheme="minorHAnsi"/>
          <w:sz w:val="24"/>
          <w:szCs w:val="22"/>
          <w:lang w:val="en-GB" w:eastAsia="en-AU"/>
        </w:rPr>
        <w:t xml:space="preserve"> </w:t>
      </w:r>
      <w:r w:rsidR="00C753D3">
        <w:rPr>
          <w:rFonts w:asciiTheme="minorHAnsi" w:hAnsiTheme="minorHAnsi" w:cstheme="minorHAnsi"/>
          <w:sz w:val="24"/>
          <w:szCs w:val="22"/>
          <w:lang w:val="en-GB" w:eastAsia="en-AU"/>
        </w:rPr>
        <w:t>adoption of the new ways of working.</w:t>
      </w:r>
    </w:p>
    <w:p w14:paraId="59920B8B" w14:textId="6BEDBD18" w:rsidR="006F4E24" w:rsidRPr="003B1371" w:rsidRDefault="006F4E24" w:rsidP="006F4E24">
      <w:pPr>
        <w:spacing w:after="120"/>
        <w:rPr>
          <w:rFonts w:asciiTheme="minorHAnsi" w:hAnsiTheme="minorHAnsi" w:cstheme="minorHAnsi"/>
          <w:i/>
          <w:color w:val="808080" w:themeColor="background1" w:themeShade="80"/>
          <w:sz w:val="26"/>
          <w:szCs w:val="26"/>
        </w:rPr>
      </w:pPr>
      <w:r w:rsidRPr="003B1371">
        <w:rPr>
          <w:rFonts w:asciiTheme="minorHAnsi" w:hAnsiTheme="minorHAnsi" w:cstheme="minorHAnsi"/>
          <w:i/>
          <w:color w:val="808080" w:themeColor="background1" w:themeShade="80"/>
          <w:sz w:val="26"/>
          <w:szCs w:val="26"/>
        </w:rPr>
        <w:t>Summary of key findings</w:t>
      </w:r>
    </w:p>
    <w:p w14:paraId="52D1AAC9" w14:textId="77777777" w:rsidR="006F4E24" w:rsidRPr="001271F5" w:rsidRDefault="006F4E24" w:rsidP="006F4E24">
      <w:pPr>
        <w:numPr>
          <w:ilvl w:val="0"/>
          <w:numId w:val="18"/>
        </w:numPr>
        <w:spacing w:after="120"/>
        <w:ind w:left="357" w:hanging="357"/>
        <w:rPr>
          <w:rFonts w:asciiTheme="minorHAnsi" w:hAnsiTheme="minorHAnsi" w:cstheme="minorHAnsi"/>
          <w:b/>
          <w:sz w:val="24"/>
          <w:szCs w:val="22"/>
        </w:rPr>
      </w:pPr>
      <w:r w:rsidRPr="001271F5">
        <w:rPr>
          <w:rFonts w:asciiTheme="minorHAnsi" w:hAnsiTheme="minorHAnsi" w:cstheme="minorHAnsi"/>
          <w:sz w:val="24"/>
          <w:szCs w:val="22"/>
          <w:lang w:val="en-GB"/>
        </w:rPr>
        <w:t xml:space="preserve">Allocation of non-renal organs closely aligns with offer and acceptance. The allocation process follows the </w:t>
      </w:r>
      <w:r w:rsidR="00EC4419" w:rsidRPr="0011622A">
        <w:rPr>
          <w:rFonts w:asciiTheme="minorHAnsi" w:hAnsiTheme="minorHAnsi" w:cstheme="minorHAnsi"/>
          <w:sz w:val="24"/>
          <w:szCs w:val="22"/>
        </w:rPr>
        <w:t>Australasian Transplantation Coordinators Association</w:t>
      </w:r>
      <w:r w:rsidR="00EC4419">
        <w:rPr>
          <w:rFonts w:asciiTheme="minorHAnsi" w:hAnsiTheme="minorHAnsi" w:cstheme="minorHAnsi"/>
          <w:sz w:val="24"/>
          <w:szCs w:val="22"/>
        </w:rPr>
        <w:t xml:space="preserve"> </w:t>
      </w:r>
      <w:r w:rsidRPr="001271F5">
        <w:rPr>
          <w:rFonts w:asciiTheme="minorHAnsi" w:hAnsiTheme="minorHAnsi" w:cstheme="minorHAnsi"/>
          <w:sz w:val="24"/>
          <w:szCs w:val="22"/>
          <w:lang w:val="en-GB"/>
        </w:rPr>
        <w:t>national rotation list.</w:t>
      </w:r>
    </w:p>
    <w:p w14:paraId="5091D24F" w14:textId="77777777" w:rsidR="006F4E24" w:rsidRPr="001271F5" w:rsidRDefault="006F4E24" w:rsidP="006F4E24">
      <w:pPr>
        <w:numPr>
          <w:ilvl w:val="0"/>
          <w:numId w:val="18"/>
        </w:numPr>
        <w:spacing w:after="120"/>
        <w:ind w:left="357" w:hanging="357"/>
        <w:rPr>
          <w:rFonts w:asciiTheme="minorHAnsi" w:hAnsiTheme="minorHAnsi" w:cstheme="minorHAnsi"/>
          <w:b/>
          <w:sz w:val="24"/>
          <w:szCs w:val="22"/>
        </w:rPr>
      </w:pPr>
      <w:r w:rsidRPr="001271F5">
        <w:rPr>
          <w:rFonts w:asciiTheme="minorHAnsi" w:hAnsiTheme="minorHAnsi" w:cstheme="minorHAnsi"/>
          <w:sz w:val="24"/>
          <w:szCs w:val="22"/>
          <w:lang w:val="en-GB"/>
        </w:rPr>
        <w:t>The allocation process can be time consuming and inefficient due to the ring-around process.</w:t>
      </w:r>
    </w:p>
    <w:p w14:paraId="053E131E" w14:textId="77777777" w:rsidR="006F4E24" w:rsidRPr="001271F5" w:rsidRDefault="006F4E24" w:rsidP="006F4E24">
      <w:pPr>
        <w:numPr>
          <w:ilvl w:val="0"/>
          <w:numId w:val="18"/>
        </w:numPr>
        <w:spacing w:after="120"/>
        <w:ind w:left="357" w:hanging="357"/>
        <w:rPr>
          <w:rFonts w:asciiTheme="minorHAnsi" w:hAnsiTheme="minorHAnsi" w:cstheme="minorHAnsi"/>
          <w:b/>
          <w:sz w:val="24"/>
          <w:szCs w:val="22"/>
        </w:rPr>
      </w:pPr>
      <w:r w:rsidRPr="001271F5">
        <w:rPr>
          <w:rFonts w:asciiTheme="minorHAnsi" w:hAnsiTheme="minorHAnsi" w:cstheme="minorHAnsi"/>
          <w:sz w:val="24"/>
          <w:szCs w:val="22"/>
          <w:lang w:val="en-GB"/>
        </w:rPr>
        <w:t>Generally non-renal allocation processes are consistent across transplant</w:t>
      </w:r>
      <w:r w:rsidR="00F46C80">
        <w:rPr>
          <w:rFonts w:asciiTheme="minorHAnsi" w:hAnsiTheme="minorHAnsi" w:cstheme="minorHAnsi"/>
          <w:sz w:val="24"/>
          <w:szCs w:val="22"/>
          <w:lang w:val="en-GB"/>
        </w:rPr>
        <w:t>ation</w:t>
      </w:r>
      <w:r w:rsidRPr="001271F5">
        <w:rPr>
          <w:rFonts w:asciiTheme="minorHAnsi" w:hAnsiTheme="minorHAnsi" w:cstheme="minorHAnsi"/>
          <w:sz w:val="24"/>
          <w:szCs w:val="22"/>
          <w:lang w:val="en-GB"/>
        </w:rPr>
        <w:t xml:space="preserve"> units and align closely to the Clinical Guidelines with some variability in allocation of liver and lung due to advancements in transplantation techniques. </w:t>
      </w:r>
    </w:p>
    <w:p w14:paraId="39702763" w14:textId="25B9D648" w:rsidR="006F4E24" w:rsidRPr="00266A77" w:rsidRDefault="006F4E24" w:rsidP="006F4E24">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twenty seven is the introduction of concomitant sharing of donor profiles with all transplantation programs once the matching process has progressed beyond the home state offer should be considered and implemented as part of the OrganMatch functionality. This should be considered as part of a review of the heart, lung and liver organ allocation process in order to improve the efficiency of the organ matching process in liver, heart and lung transplantation."/>
      </w:tblPr>
      <w:tblGrid>
        <w:gridCol w:w="2268"/>
        <w:gridCol w:w="7479"/>
      </w:tblGrid>
      <w:tr w:rsidR="00CB53AB" w:rsidRPr="00DC1007" w14:paraId="3B55FF9C" w14:textId="77777777" w:rsidTr="00AE3ED1">
        <w:trPr>
          <w:tblHeader/>
        </w:trPr>
        <w:tc>
          <w:tcPr>
            <w:tcW w:w="2268" w:type="dxa"/>
            <w:shd w:val="clear" w:color="auto" w:fill="595959" w:themeFill="text1" w:themeFillTint="A6"/>
          </w:tcPr>
          <w:p w14:paraId="44C5C8E6" w14:textId="7F1F188F" w:rsidR="00CB53AB" w:rsidRPr="00AE3ED1" w:rsidRDefault="00CB53AB" w:rsidP="00AE3ED1">
            <w:pPr>
              <w:spacing w:after="120"/>
              <w:ind w:right="-321"/>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Recommendation</w:t>
            </w:r>
          </w:p>
        </w:tc>
        <w:tc>
          <w:tcPr>
            <w:tcW w:w="7479" w:type="dxa"/>
            <w:shd w:val="clear" w:color="auto" w:fill="595959" w:themeFill="text1" w:themeFillTint="A6"/>
          </w:tcPr>
          <w:p w14:paraId="72B8EC81" w14:textId="3668C0EC" w:rsidR="00CB53AB" w:rsidRPr="00AE3ED1" w:rsidRDefault="00CB53AB" w:rsidP="00AE3ED1">
            <w:pPr>
              <w:spacing w:after="120"/>
              <w:ind w:right="-142"/>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Description</w:t>
            </w:r>
          </w:p>
        </w:tc>
      </w:tr>
      <w:tr w:rsidR="006F4E24" w:rsidRPr="00DC1007" w14:paraId="5C0F5064" w14:textId="77777777" w:rsidTr="00AE3ED1">
        <w:tc>
          <w:tcPr>
            <w:tcW w:w="2268" w:type="dxa"/>
          </w:tcPr>
          <w:p w14:paraId="1EA3D15E" w14:textId="77777777" w:rsidR="006F4E24" w:rsidRPr="00F37D51" w:rsidRDefault="006F4E24" w:rsidP="00AE3ED1">
            <w:pPr>
              <w:spacing w:after="120"/>
              <w:ind w:right="-321"/>
              <w:rPr>
                <w:rFonts w:asciiTheme="minorHAnsi" w:hAnsiTheme="minorHAnsi" w:cstheme="minorHAnsi"/>
                <w:b/>
                <w:sz w:val="24"/>
                <w:szCs w:val="22"/>
                <w:lang w:val="en-GB"/>
              </w:rPr>
            </w:pPr>
            <w:r w:rsidRPr="00F37D51">
              <w:rPr>
                <w:rFonts w:asciiTheme="minorHAnsi" w:hAnsiTheme="minorHAnsi" w:cstheme="minorHAnsi"/>
                <w:b/>
                <w:sz w:val="24"/>
                <w:szCs w:val="22"/>
                <w:lang w:val="en-GB"/>
              </w:rPr>
              <w:t>Recommendation</w:t>
            </w:r>
            <w:r>
              <w:rPr>
                <w:rFonts w:asciiTheme="minorHAnsi" w:hAnsiTheme="minorHAnsi" w:cstheme="minorHAnsi"/>
                <w:b/>
                <w:sz w:val="24"/>
                <w:szCs w:val="22"/>
                <w:lang w:val="en-GB"/>
              </w:rPr>
              <w:t xml:space="preserve"> 2</w:t>
            </w:r>
            <w:r w:rsidR="00D1362A">
              <w:rPr>
                <w:rFonts w:asciiTheme="minorHAnsi" w:hAnsiTheme="minorHAnsi" w:cstheme="minorHAnsi"/>
                <w:b/>
                <w:sz w:val="24"/>
                <w:szCs w:val="22"/>
                <w:lang w:val="en-GB"/>
              </w:rPr>
              <w:t>7</w:t>
            </w:r>
          </w:p>
        </w:tc>
        <w:tc>
          <w:tcPr>
            <w:tcW w:w="7479" w:type="dxa"/>
          </w:tcPr>
          <w:p w14:paraId="0DA3B2CE" w14:textId="77777777" w:rsidR="006F4E24" w:rsidRPr="00F37D51" w:rsidRDefault="003D0427" w:rsidP="00AE3ED1">
            <w:pPr>
              <w:spacing w:after="120"/>
              <w:ind w:right="-142"/>
              <w:rPr>
                <w:rFonts w:asciiTheme="minorHAnsi" w:hAnsiTheme="minorHAnsi" w:cstheme="minorHAnsi"/>
                <w:sz w:val="24"/>
                <w:szCs w:val="22"/>
                <w:lang w:val="en-GB"/>
              </w:rPr>
            </w:pPr>
            <w:r>
              <w:rPr>
                <w:rFonts w:asciiTheme="minorHAnsi" w:hAnsiTheme="minorHAnsi" w:cstheme="minorHAnsi"/>
                <w:sz w:val="24"/>
                <w:szCs w:val="22"/>
                <w:lang w:val="en-GB"/>
              </w:rPr>
              <w:t>T</w:t>
            </w:r>
            <w:r w:rsidR="00E40FAA" w:rsidRPr="00EF2596">
              <w:rPr>
                <w:rFonts w:asciiTheme="minorHAnsi" w:hAnsiTheme="minorHAnsi" w:cstheme="minorHAnsi"/>
                <w:sz w:val="24"/>
                <w:szCs w:val="22"/>
                <w:lang w:val="en-GB"/>
              </w:rPr>
              <w:t xml:space="preserve">he </w:t>
            </w:r>
            <w:r>
              <w:rPr>
                <w:rFonts w:asciiTheme="minorHAnsi" w:hAnsiTheme="minorHAnsi" w:cstheme="minorHAnsi"/>
                <w:sz w:val="24"/>
                <w:szCs w:val="22"/>
                <w:lang w:val="en-GB"/>
              </w:rPr>
              <w:t>introduction of co</w:t>
            </w:r>
            <w:r w:rsidRPr="00F37D51">
              <w:rPr>
                <w:rFonts w:asciiTheme="minorHAnsi" w:hAnsiTheme="minorHAnsi" w:cstheme="minorHAnsi"/>
                <w:sz w:val="24"/>
                <w:szCs w:val="22"/>
                <w:lang w:val="en-GB"/>
              </w:rPr>
              <w:t>ncomitant</w:t>
            </w:r>
            <w:r w:rsidR="006F4E24" w:rsidRPr="00F37D51">
              <w:rPr>
                <w:rFonts w:asciiTheme="minorHAnsi" w:hAnsiTheme="minorHAnsi" w:cstheme="minorHAnsi"/>
                <w:sz w:val="24"/>
                <w:szCs w:val="22"/>
                <w:lang w:val="en-GB"/>
              </w:rPr>
              <w:t xml:space="preserve"> sharing of donor profiles with all transplantation programs </w:t>
            </w:r>
            <w:r>
              <w:rPr>
                <w:rFonts w:asciiTheme="minorHAnsi" w:hAnsiTheme="minorHAnsi" w:cstheme="minorHAnsi"/>
                <w:sz w:val="24"/>
                <w:szCs w:val="22"/>
                <w:lang w:val="en-GB"/>
              </w:rPr>
              <w:t>o</w:t>
            </w:r>
            <w:r w:rsidRPr="00EF2596">
              <w:rPr>
                <w:rFonts w:asciiTheme="minorHAnsi" w:hAnsiTheme="minorHAnsi" w:cstheme="minorHAnsi"/>
                <w:sz w:val="24"/>
                <w:szCs w:val="22"/>
                <w:lang w:val="en-GB"/>
              </w:rPr>
              <w:t>nce the matching process has progresse</w:t>
            </w:r>
            <w:r>
              <w:rPr>
                <w:rFonts w:asciiTheme="minorHAnsi" w:hAnsiTheme="minorHAnsi" w:cstheme="minorHAnsi"/>
                <w:sz w:val="24"/>
                <w:szCs w:val="22"/>
                <w:lang w:val="en-GB"/>
              </w:rPr>
              <w:t>d beyond the home state offer</w:t>
            </w:r>
            <w:r w:rsidR="006F4E24" w:rsidRPr="00F37D51">
              <w:rPr>
                <w:rFonts w:asciiTheme="minorHAnsi" w:hAnsiTheme="minorHAnsi" w:cstheme="minorHAnsi"/>
                <w:sz w:val="24"/>
                <w:szCs w:val="22"/>
                <w:lang w:val="en-GB"/>
              </w:rPr>
              <w:t xml:space="preserve"> should be considered</w:t>
            </w:r>
            <w:r>
              <w:rPr>
                <w:rFonts w:asciiTheme="minorHAnsi" w:hAnsiTheme="minorHAnsi" w:cstheme="minorHAnsi"/>
                <w:sz w:val="24"/>
                <w:szCs w:val="22"/>
                <w:lang w:val="en-GB"/>
              </w:rPr>
              <w:t xml:space="preserve"> and implemented as part of the OrganMatch functionality. This should be considered as</w:t>
            </w:r>
            <w:r w:rsidR="006F4E24">
              <w:rPr>
                <w:rFonts w:asciiTheme="minorHAnsi" w:hAnsiTheme="minorHAnsi" w:cstheme="minorHAnsi"/>
                <w:sz w:val="24"/>
                <w:szCs w:val="22"/>
                <w:lang w:val="en-GB"/>
              </w:rPr>
              <w:t xml:space="preserve"> part of a review of the heart, lung and liver organ allocation process</w:t>
            </w:r>
            <w:r>
              <w:rPr>
                <w:rFonts w:asciiTheme="minorHAnsi" w:hAnsiTheme="minorHAnsi" w:cstheme="minorHAnsi"/>
                <w:sz w:val="24"/>
                <w:szCs w:val="22"/>
                <w:lang w:val="en-GB"/>
              </w:rPr>
              <w:t xml:space="preserve"> in order</w:t>
            </w:r>
            <w:r w:rsidR="006F4E24" w:rsidRPr="00F37D51">
              <w:rPr>
                <w:rFonts w:asciiTheme="minorHAnsi" w:hAnsiTheme="minorHAnsi" w:cstheme="minorHAnsi"/>
                <w:sz w:val="24"/>
                <w:szCs w:val="22"/>
                <w:lang w:val="en-GB"/>
              </w:rPr>
              <w:t xml:space="preserve"> to improve the efficiency </w:t>
            </w:r>
            <w:r w:rsidR="006F4E24">
              <w:rPr>
                <w:rFonts w:asciiTheme="minorHAnsi" w:hAnsiTheme="minorHAnsi" w:cstheme="minorHAnsi"/>
                <w:sz w:val="24"/>
                <w:szCs w:val="22"/>
                <w:lang w:val="en-GB"/>
              </w:rPr>
              <w:t xml:space="preserve">of </w:t>
            </w:r>
            <w:r>
              <w:rPr>
                <w:rFonts w:asciiTheme="minorHAnsi" w:hAnsiTheme="minorHAnsi" w:cstheme="minorHAnsi"/>
                <w:sz w:val="24"/>
                <w:szCs w:val="22"/>
                <w:lang w:val="en-GB"/>
              </w:rPr>
              <w:t xml:space="preserve">the </w:t>
            </w:r>
            <w:r w:rsidR="006F4E24">
              <w:rPr>
                <w:rFonts w:asciiTheme="minorHAnsi" w:hAnsiTheme="minorHAnsi" w:cstheme="minorHAnsi"/>
                <w:sz w:val="24"/>
                <w:szCs w:val="22"/>
                <w:lang w:val="en-GB"/>
              </w:rPr>
              <w:t>organ matching</w:t>
            </w:r>
            <w:r>
              <w:rPr>
                <w:rFonts w:asciiTheme="minorHAnsi" w:hAnsiTheme="minorHAnsi" w:cstheme="minorHAnsi"/>
                <w:sz w:val="24"/>
                <w:szCs w:val="22"/>
                <w:lang w:val="en-GB"/>
              </w:rPr>
              <w:t xml:space="preserve"> process</w:t>
            </w:r>
            <w:r w:rsidR="006F4E24">
              <w:rPr>
                <w:rFonts w:asciiTheme="minorHAnsi" w:hAnsiTheme="minorHAnsi" w:cstheme="minorHAnsi"/>
                <w:sz w:val="24"/>
                <w:szCs w:val="22"/>
                <w:lang w:val="en-GB"/>
              </w:rPr>
              <w:t xml:space="preserve"> in liver, heart and lung transplantation</w:t>
            </w:r>
            <w:r w:rsidR="006F4E24" w:rsidRPr="00F37D51">
              <w:rPr>
                <w:rFonts w:asciiTheme="minorHAnsi" w:hAnsiTheme="minorHAnsi" w:cstheme="minorHAnsi"/>
                <w:sz w:val="24"/>
                <w:szCs w:val="22"/>
                <w:lang w:val="en-GB"/>
              </w:rPr>
              <w:t>.</w:t>
            </w:r>
          </w:p>
        </w:tc>
      </w:tr>
    </w:tbl>
    <w:p w14:paraId="528BF813" w14:textId="77777777" w:rsidR="006F4E24" w:rsidRPr="00F12842" w:rsidRDefault="00E40FAA" w:rsidP="006F4E24">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639" w:name="_Ref527626901"/>
      <w:r>
        <w:rPr>
          <w:rFonts w:asciiTheme="minorHAnsi" w:hAnsiTheme="minorHAnsi" w:cstheme="minorHAnsi"/>
          <w:b w:val="0"/>
          <w:color w:val="7F7F7F" w:themeColor="text1" w:themeTint="80"/>
          <w:sz w:val="30"/>
          <w:szCs w:val="30"/>
        </w:rPr>
        <w:t>Donated cadaveric k</w:t>
      </w:r>
      <w:r w:rsidR="006F4E24">
        <w:rPr>
          <w:rFonts w:asciiTheme="minorHAnsi" w:hAnsiTheme="minorHAnsi" w:cstheme="minorHAnsi"/>
          <w:b w:val="0"/>
          <w:color w:val="7F7F7F" w:themeColor="text1" w:themeTint="80"/>
          <w:sz w:val="30"/>
          <w:szCs w:val="30"/>
        </w:rPr>
        <w:t>idney allocation</w:t>
      </w:r>
      <w:bookmarkEnd w:id="639"/>
      <w:r w:rsidR="006F4E24">
        <w:rPr>
          <w:rFonts w:asciiTheme="minorHAnsi" w:hAnsiTheme="minorHAnsi" w:cstheme="minorHAnsi"/>
          <w:b w:val="0"/>
          <w:color w:val="7F7F7F" w:themeColor="text1" w:themeTint="80"/>
          <w:sz w:val="30"/>
          <w:szCs w:val="30"/>
        </w:rPr>
        <w:t xml:space="preserve"> </w:t>
      </w:r>
    </w:p>
    <w:p w14:paraId="5EB8D262" w14:textId="77777777" w:rsidR="006F4E24" w:rsidRDefault="006F4E24" w:rsidP="006F4E24">
      <w:pPr>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Discussion of findings</w:t>
      </w:r>
    </w:p>
    <w:p w14:paraId="736BDF80" w14:textId="77777777" w:rsidR="006F4E24" w:rsidRDefault="006F4E24" w:rsidP="006F4E24">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As </w:t>
      </w:r>
      <w:r w:rsidRPr="00F461B6">
        <w:rPr>
          <w:rFonts w:asciiTheme="minorHAnsi" w:hAnsiTheme="minorHAnsi" w:cstheme="minorHAnsi"/>
          <w:sz w:val="24"/>
          <w:szCs w:val="22"/>
          <w:lang w:val="en-GB"/>
        </w:rPr>
        <w:t xml:space="preserve">discussed in </w:t>
      </w:r>
      <w:r w:rsidRPr="003259BB">
        <w:rPr>
          <w:rFonts w:asciiTheme="minorHAnsi" w:hAnsiTheme="minorHAnsi" w:cstheme="minorHAnsi"/>
          <w:sz w:val="24"/>
          <w:szCs w:val="22"/>
          <w:lang w:val="en-GB"/>
        </w:rPr>
        <w:t>Section</w:t>
      </w:r>
      <w:r w:rsidR="003259BB">
        <w:rPr>
          <w:rFonts w:asciiTheme="minorHAnsi" w:hAnsiTheme="minorHAnsi" w:cstheme="minorHAnsi"/>
          <w:sz w:val="24"/>
          <w:szCs w:val="22"/>
          <w:lang w:val="en-GB"/>
        </w:rPr>
        <w:t xml:space="preserve"> </w:t>
      </w:r>
      <w:r w:rsidR="00D1362A">
        <w:rPr>
          <w:rFonts w:asciiTheme="minorHAnsi" w:hAnsiTheme="minorHAnsi" w:cstheme="minorHAnsi"/>
          <w:sz w:val="24"/>
          <w:szCs w:val="22"/>
          <w:lang w:val="en-GB"/>
        </w:rPr>
        <w:fldChar w:fldCharType="begin"/>
      </w:r>
      <w:r w:rsidR="00D1362A">
        <w:rPr>
          <w:rFonts w:asciiTheme="minorHAnsi" w:hAnsiTheme="minorHAnsi" w:cstheme="minorHAnsi"/>
          <w:sz w:val="24"/>
          <w:szCs w:val="22"/>
          <w:lang w:val="en-GB"/>
        </w:rPr>
        <w:instrText xml:space="preserve"> REF _Ref531796520 \r \h </w:instrText>
      </w:r>
      <w:r w:rsidR="00D1362A">
        <w:rPr>
          <w:rFonts w:asciiTheme="minorHAnsi" w:hAnsiTheme="minorHAnsi" w:cstheme="minorHAnsi"/>
          <w:sz w:val="24"/>
          <w:szCs w:val="22"/>
          <w:lang w:val="en-GB"/>
        </w:rPr>
      </w:r>
      <w:r w:rsidR="00D1362A">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4.5.1</w:t>
      </w:r>
      <w:r w:rsidR="00D1362A">
        <w:rPr>
          <w:rFonts w:asciiTheme="minorHAnsi" w:hAnsiTheme="minorHAnsi" w:cstheme="minorHAnsi"/>
          <w:sz w:val="24"/>
          <w:szCs w:val="22"/>
          <w:lang w:val="en-GB"/>
        </w:rPr>
        <w:fldChar w:fldCharType="end"/>
      </w:r>
      <w:r w:rsidRPr="003259BB">
        <w:rPr>
          <w:rFonts w:asciiTheme="minorHAnsi" w:hAnsiTheme="minorHAnsi" w:cstheme="minorHAnsi"/>
          <w:sz w:val="24"/>
          <w:szCs w:val="22"/>
          <w:lang w:val="en-GB"/>
        </w:rPr>
        <w:t>, the</w:t>
      </w:r>
      <w:r>
        <w:rPr>
          <w:rFonts w:asciiTheme="minorHAnsi" w:hAnsiTheme="minorHAnsi" w:cstheme="minorHAnsi"/>
          <w:sz w:val="24"/>
          <w:szCs w:val="22"/>
          <w:lang w:val="en-GB"/>
        </w:rPr>
        <w:t xml:space="preserve"> current computerised software system for kidney allocation involves </w:t>
      </w:r>
      <w:r w:rsidRPr="009372FA">
        <w:rPr>
          <w:rFonts w:asciiTheme="minorHAnsi" w:hAnsiTheme="minorHAnsi" w:cstheme="minorHAnsi"/>
          <w:sz w:val="24"/>
          <w:szCs w:val="22"/>
          <w:lang w:val="en-GB"/>
        </w:rPr>
        <w:t>a 25</w:t>
      </w:r>
      <w:r>
        <w:rPr>
          <w:rFonts w:asciiTheme="minorHAnsi" w:hAnsiTheme="minorHAnsi" w:cstheme="minorHAnsi"/>
          <w:sz w:val="24"/>
          <w:szCs w:val="22"/>
          <w:lang w:val="en-GB"/>
        </w:rPr>
        <w:t>-</w:t>
      </w:r>
      <w:r w:rsidRPr="009372FA">
        <w:rPr>
          <w:rFonts w:asciiTheme="minorHAnsi" w:hAnsiTheme="minorHAnsi" w:cstheme="minorHAnsi"/>
          <w:sz w:val="24"/>
          <w:szCs w:val="22"/>
          <w:lang w:val="en-GB"/>
        </w:rPr>
        <w:t xml:space="preserve">step process to match the kidney with </w:t>
      </w:r>
      <w:r>
        <w:rPr>
          <w:rFonts w:asciiTheme="minorHAnsi" w:hAnsiTheme="minorHAnsi" w:cstheme="minorHAnsi"/>
          <w:sz w:val="24"/>
          <w:szCs w:val="22"/>
          <w:lang w:val="en-GB"/>
        </w:rPr>
        <w:t xml:space="preserve">a recipient using </w:t>
      </w:r>
      <w:r w:rsidR="00DA4F15">
        <w:rPr>
          <w:rFonts w:asciiTheme="minorHAnsi" w:hAnsiTheme="minorHAnsi" w:cstheme="minorHAnsi"/>
          <w:sz w:val="24"/>
          <w:szCs w:val="22"/>
          <w:lang w:val="en-GB"/>
        </w:rPr>
        <w:t xml:space="preserve">the </w:t>
      </w:r>
      <w:r>
        <w:rPr>
          <w:rFonts w:asciiTheme="minorHAnsi" w:hAnsiTheme="minorHAnsi" w:cstheme="minorHAnsi"/>
          <w:sz w:val="24"/>
          <w:szCs w:val="22"/>
          <w:lang w:val="en-GB"/>
        </w:rPr>
        <w:t xml:space="preserve">NOMS. This is presented in the form of a ranked order of kidney recipients in the allocation process. This system was designed approximately twenty years ago, and clinicians reported that the system reflected the knowledge and practice from that time. </w:t>
      </w:r>
    </w:p>
    <w:p w14:paraId="0C6A32E8" w14:textId="77777777" w:rsidR="006F4E24" w:rsidRDefault="006F4E24" w:rsidP="006F4E24">
      <w:pPr>
        <w:spacing w:after="120"/>
        <w:rPr>
          <w:rFonts w:asciiTheme="minorHAnsi" w:hAnsiTheme="minorHAnsi" w:cstheme="minorHAnsi"/>
          <w:sz w:val="24"/>
          <w:lang w:val="en-GB"/>
        </w:rPr>
      </w:pPr>
      <w:r>
        <w:rPr>
          <w:rFonts w:asciiTheme="minorHAnsi" w:hAnsiTheme="minorHAnsi" w:cstheme="minorHAnsi"/>
          <w:sz w:val="24"/>
          <w:szCs w:val="22"/>
          <w:lang w:val="en-GB"/>
        </w:rPr>
        <w:t xml:space="preserve">The system is focused on the immunological profile of both the recipient and donated organ, as well as </w:t>
      </w:r>
      <w:r>
        <w:rPr>
          <w:rFonts w:asciiTheme="minorHAnsi" w:hAnsiTheme="minorHAnsi" w:cstheme="minorHAnsi"/>
          <w:sz w:val="24"/>
          <w:lang w:val="en-GB"/>
        </w:rPr>
        <w:t>blood group compatibility, paediatric status and time on the waiting list</w:t>
      </w:r>
      <w:r>
        <w:rPr>
          <w:rFonts w:asciiTheme="minorHAnsi" w:hAnsiTheme="minorHAnsi" w:cstheme="minorHAnsi"/>
          <w:sz w:val="24"/>
          <w:szCs w:val="22"/>
          <w:lang w:val="en-GB"/>
        </w:rPr>
        <w:t xml:space="preserve"> in order to confirm a suitable match</w:t>
      </w:r>
      <w:r>
        <w:rPr>
          <w:rFonts w:asciiTheme="minorHAnsi" w:hAnsiTheme="minorHAnsi" w:cstheme="minorHAnsi"/>
          <w:sz w:val="24"/>
          <w:lang w:val="en-GB"/>
        </w:rPr>
        <w:t xml:space="preserve">. Generally speaking, 15 per cent to 20 per cent of kidneys are allocated on a national level, accounting for highly sensitised recipients with a lower chance of obtaining a match. Approximately 75 per cent of kidneys are allocated at a state and territory level, where time on the waiting list is given more weight and the remaining five per cent are allocated for interstate recipients. </w:t>
      </w:r>
    </w:p>
    <w:p w14:paraId="612F9611" w14:textId="77777777" w:rsidR="006F4E24" w:rsidRDefault="006F4E24" w:rsidP="006F4E24">
      <w:pPr>
        <w:spacing w:after="120"/>
        <w:rPr>
          <w:rFonts w:asciiTheme="minorHAnsi" w:hAnsiTheme="minorHAnsi" w:cstheme="minorHAnsi"/>
          <w:sz w:val="24"/>
          <w:lang w:val="en-GB"/>
        </w:rPr>
      </w:pPr>
      <w:r>
        <w:rPr>
          <w:rFonts w:asciiTheme="minorHAnsi" w:hAnsiTheme="minorHAnsi" w:cstheme="minorHAnsi"/>
          <w:sz w:val="24"/>
          <w:lang w:val="en-GB"/>
        </w:rPr>
        <w:t>This Review found that while</w:t>
      </w:r>
      <w:r w:rsidR="00DA4F15">
        <w:rPr>
          <w:rFonts w:asciiTheme="minorHAnsi" w:hAnsiTheme="minorHAnsi" w:cstheme="minorHAnsi"/>
          <w:sz w:val="24"/>
          <w:lang w:val="en-GB"/>
        </w:rPr>
        <w:t xml:space="preserve"> the</w:t>
      </w:r>
      <w:r>
        <w:rPr>
          <w:rFonts w:asciiTheme="minorHAnsi" w:hAnsiTheme="minorHAnsi" w:cstheme="minorHAnsi"/>
          <w:sz w:val="24"/>
          <w:lang w:val="en-GB"/>
        </w:rPr>
        <w:t xml:space="preserve"> NOMS has worked well in the past, it does not take into consideration the major changes and advances in the practice of kidney transplantation over the past decade, meaning it is less effective in allocating kidneys rationally and efficiently.</w:t>
      </w:r>
      <w:r>
        <w:rPr>
          <w:rFonts w:asciiTheme="minorHAnsi" w:hAnsiTheme="minorHAnsi" w:cstheme="minorHAnsi"/>
          <w:sz w:val="24"/>
          <w:szCs w:val="22"/>
          <w:lang w:val="en-GB"/>
        </w:rPr>
        <w:t xml:space="preserve"> </w:t>
      </w:r>
      <w:r>
        <w:rPr>
          <w:rFonts w:asciiTheme="minorHAnsi" w:hAnsiTheme="minorHAnsi" w:cstheme="minorHAnsi"/>
          <w:sz w:val="24"/>
          <w:lang w:val="en-GB"/>
        </w:rPr>
        <w:t>The Review found that it is timely that</w:t>
      </w:r>
      <w:r w:rsidRPr="000E2880">
        <w:rPr>
          <w:rFonts w:asciiTheme="minorHAnsi" w:hAnsiTheme="minorHAnsi" w:cstheme="minorHAnsi"/>
          <w:sz w:val="24"/>
          <w:szCs w:val="22"/>
          <w:lang w:val="en-GB"/>
        </w:rPr>
        <w:t xml:space="preserve"> </w:t>
      </w:r>
      <w:r w:rsidR="000B07FB">
        <w:rPr>
          <w:rFonts w:asciiTheme="minorHAnsi" w:hAnsiTheme="minorHAnsi" w:cstheme="minorHAnsi"/>
          <w:sz w:val="24"/>
          <w:szCs w:val="22"/>
          <w:lang w:val="en-GB"/>
        </w:rPr>
        <w:t xml:space="preserve">the </w:t>
      </w:r>
      <w:r w:rsidRPr="00F37D51">
        <w:rPr>
          <w:rFonts w:asciiTheme="minorHAnsi" w:hAnsiTheme="minorHAnsi" w:cstheme="minorHAnsi"/>
          <w:sz w:val="24"/>
          <w:szCs w:val="22"/>
          <w:lang w:val="en-GB"/>
        </w:rPr>
        <w:t>TSANZ</w:t>
      </w:r>
      <w:r>
        <w:rPr>
          <w:rFonts w:asciiTheme="minorHAnsi" w:hAnsiTheme="minorHAnsi" w:cstheme="minorHAnsi"/>
          <w:sz w:val="24"/>
          <w:szCs w:val="22"/>
          <w:lang w:val="en-GB"/>
        </w:rPr>
        <w:t xml:space="preserve">’s </w:t>
      </w:r>
      <w:r w:rsidRPr="00F37D51">
        <w:rPr>
          <w:rFonts w:asciiTheme="minorHAnsi" w:hAnsiTheme="minorHAnsi" w:cstheme="minorHAnsi"/>
          <w:sz w:val="24"/>
          <w:szCs w:val="22"/>
          <w:lang w:val="en-GB"/>
        </w:rPr>
        <w:t>R</w:t>
      </w:r>
      <w:r>
        <w:rPr>
          <w:rFonts w:asciiTheme="minorHAnsi" w:hAnsiTheme="minorHAnsi" w:cstheme="minorHAnsi"/>
          <w:sz w:val="24"/>
          <w:szCs w:val="22"/>
          <w:lang w:val="en-GB"/>
        </w:rPr>
        <w:t xml:space="preserve">enal </w:t>
      </w:r>
      <w:r w:rsidRPr="00F37D51">
        <w:rPr>
          <w:rFonts w:asciiTheme="minorHAnsi" w:hAnsiTheme="minorHAnsi" w:cstheme="minorHAnsi"/>
          <w:sz w:val="24"/>
          <w:szCs w:val="22"/>
          <w:lang w:val="en-GB"/>
        </w:rPr>
        <w:t>T</w:t>
      </w:r>
      <w:r>
        <w:rPr>
          <w:rFonts w:asciiTheme="minorHAnsi" w:hAnsiTheme="minorHAnsi" w:cstheme="minorHAnsi"/>
          <w:sz w:val="24"/>
          <w:szCs w:val="22"/>
          <w:lang w:val="en-GB"/>
        </w:rPr>
        <w:t xml:space="preserve">ransplant </w:t>
      </w:r>
      <w:r w:rsidRPr="00F37D51">
        <w:rPr>
          <w:rFonts w:asciiTheme="minorHAnsi" w:hAnsiTheme="minorHAnsi" w:cstheme="minorHAnsi"/>
          <w:sz w:val="24"/>
          <w:szCs w:val="22"/>
          <w:lang w:val="en-GB"/>
        </w:rPr>
        <w:t>A</w:t>
      </w:r>
      <w:r>
        <w:rPr>
          <w:rFonts w:asciiTheme="minorHAnsi" w:hAnsiTheme="minorHAnsi" w:cstheme="minorHAnsi"/>
          <w:sz w:val="24"/>
          <w:szCs w:val="22"/>
          <w:lang w:val="en-GB"/>
        </w:rPr>
        <w:t xml:space="preserve">dvisory </w:t>
      </w:r>
      <w:r w:rsidRPr="00F37D51">
        <w:rPr>
          <w:rFonts w:asciiTheme="minorHAnsi" w:hAnsiTheme="minorHAnsi" w:cstheme="minorHAnsi"/>
          <w:sz w:val="24"/>
          <w:szCs w:val="22"/>
          <w:lang w:val="en-GB"/>
        </w:rPr>
        <w:t>C</w:t>
      </w:r>
      <w:r>
        <w:rPr>
          <w:rFonts w:asciiTheme="minorHAnsi" w:hAnsiTheme="minorHAnsi" w:cstheme="minorHAnsi"/>
          <w:sz w:val="24"/>
          <w:szCs w:val="22"/>
          <w:lang w:val="en-GB"/>
        </w:rPr>
        <w:t>ommittee</w:t>
      </w:r>
      <w:r>
        <w:rPr>
          <w:rFonts w:asciiTheme="minorHAnsi" w:hAnsiTheme="minorHAnsi" w:cstheme="minorHAnsi"/>
          <w:sz w:val="24"/>
          <w:lang w:val="en-GB"/>
        </w:rPr>
        <w:t xml:space="preserve"> review the algorithm for kidney allocation in order to inform the implementation of the new allocation system, OrganMatch. This is discussed further in </w:t>
      </w:r>
      <w:r w:rsidRPr="00AF2C98">
        <w:rPr>
          <w:rFonts w:asciiTheme="minorHAnsi" w:hAnsiTheme="minorHAnsi" w:cstheme="minorHAnsi"/>
          <w:sz w:val="24"/>
          <w:lang w:val="en-GB"/>
        </w:rPr>
        <w:t>Section</w:t>
      </w:r>
      <w:r w:rsidR="00046411">
        <w:rPr>
          <w:rFonts w:asciiTheme="minorHAnsi" w:hAnsiTheme="minorHAnsi" w:cstheme="minorHAnsi"/>
          <w:sz w:val="24"/>
          <w:lang w:val="en-GB"/>
        </w:rPr>
        <w:t xml:space="preserve"> </w:t>
      </w:r>
      <w:r w:rsidR="00D1362A">
        <w:rPr>
          <w:rFonts w:asciiTheme="minorHAnsi" w:hAnsiTheme="minorHAnsi" w:cstheme="minorHAnsi"/>
          <w:sz w:val="24"/>
          <w:lang w:val="en-GB"/>
        </w:rPr>
        <w:fldChar w:fldCharType="begin"/>
      </w:r>
      <w:r w:rsidR="00D1362A">
        <w:rPr>
          <w:rFonts w:asciiTheme="minorHAnsi" w:hAnsiTheme="minorHAnsi" w:cstheme="minorHAnsi"/>
          <w:sz w:val="24"/>
          <w:lang w:val="en-GB"/>
        </w:rPr>
        <w:instrText xml:space="preserve"> REF _Ref531796538 \r \h </w:instrText>
      </w:r>
      <w:r w:rsidR="00D1362A">
        <w:rPr>
          <w:rFonts w:asciiTheme="minorHAnsi" w:hAnsiTheme="minorHAnsi" w:cstheme="minorHAnsi"/>
          <w:sz w:val="24"/>
          <w:lang w:val="en-GB"/>
        </w:rPr>
      </w:r>
      <w:r w:rsidR="00D1362A">
        <w:rPr>
          <w:rFonts w:asciiTheme="minorHAnsi" w:hAnsiTheme="minorHAnsi" w:cstheme="minorHAnsi"/>
          <w:sz w:val="24"/>
          <w:lang w:val="en-GB"/>
        </w:rPr>
        <w:fldChar w:fldCharType="separate"/>
      </w:r>
      <w:r w:rsidR="00A04048">
        <w:rPr>
          <w:rFonts w:asciiTheme="minorHAnsi" w:hAnsiTheme="minorHAnsi" w:cstheme="minorHAnsi"/>
          <w:sz w:val="24"/>
          <w:lang w:val="en-GB"/>
        </w:rPr>
        <w:t>6.3.3</w:t>
      </w:r>
      <w:r w:rsidR="00D1362A">
        <w:rPr>
          <w:rFonts w:asciiTheme="minorHAnsi" w:hAnsiTheme="minorHAnsi" w:cstheme="minorHAnsi"/>
          <w:sz w:val="24"/>
          <w:lang w:val="en-GB"/>
        </w:rPr>
        <w:fldChar w:fldCharType="end"/>
      </w:r>
      <w:r w:rsidRPr="00F461B6">
        <w:rPr>
          <w:rFonts w:asciiTheme="minorHAnsi" w:hAnsiTheme="minorHAnsi" w:cstheme="minorHAnsi"/>
          <w:sz w:val="24"/>
          <w:lang w:val="en-GB"/>
        </w:rPr>
        <w:t>.</w:t>
      </w:r>
      <w:r>
        <w:rPr>
          <w:rFonts w:asciiTheme="minorHAnsi" w:hAnsiTheme="minorHAnsi" w:cstheme="minorHAnsi"/>
          <w:sz w:val="24"/>
          <w:lang w:val="en-GB"/>
        </w:rPr>
        <w:t xml:space="preserve">  </w:t>
      </w:r>
    </w:p>
    <w:p w14:paraId="799CF552" w14:textId="77777777" w:rsidR="006F4E24" w:rsidRPr="00C65748" w:rsidRDefault="006F4E24" w:rsidP="006F4E24">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However, the Review found that t</w:t>
      </w:r>
      <w:r w:rsidRPr="00F37D51">
        <w:rPr>
          <w:rFonts w:asciiTheme="minorHAnsi" w:hAnsiTheme="minorHAnsi" w:cstheme="minorHAnsi"/>
          <w:sz w:val="24"/>
          <w:szCs w:val="22"/>
          <w:lang w:val="en-GB"/>
        </w:rPr>
        <w:t xml:space="preserve">he review and development of the algorithm, </w:t>
      </w:r>
      <w:r>
        <w:rPr>
          <w:rFonts w:asciiTheme="minorHAnsi" w:hAnsiTheme="minorHAnsi" w:cstheme="minorHAnsi"/>
          <w:sz w:val="24"/>
          <w:szCs w:val="22"/>
          <w:lang w:val="en-GB"/>
        </w:rPr>
        <w:t xml:space="preserve">which is </w:t>
      </w:r>
      <w:r w:rsidRPr="00F37D51">
        <w:rPr>
          <w:rFonts w:asciiTheme="minorHAnsi" w:hAnsiTheme="minorHAnsi" w:cstheme="minorHAnsi"/>
          <w:sz w:val="24"/>
          <w:szCs w:val="22"/>
          <w:lang w:val="en-GB"/>
        </w:rPr>
        <w:t xml:space="preserve">critical to the successful and ethical allocation of kidneys, is currently being undertaken without </w:t>
      </w:r>
      <w:r>
        <w:rPr>
          <w:rFonts w:asciiTheme="minorHAnsi" w:hAnsiTheme="minorHAnsi" w:cstheme="minorHAnsi"/>
          <w:sz w:val="24"/>
          <w:szCs w:val="22"/>
          <w:lang w:val="en-GB"/>
        </w:rPr>
        <w:t>Aboriginal and Torres Strait Islander</w:t>
      </w:r>
      <w:r w:rsidRPr="00F37D51">
        <w:rPr>
          <w:rFonts w:asciiTheme="minorHAnsi" w:hAnsiTheme="minorHAnsi" w:cstheme="minorHAnsi"/>
          <w:sz w:val="24"/>
          <w:szCs w:val="22"/>
          <w:lang w:val="en-GB"/>
        </w:rPr>
        <w:t xml:space="preserve"> </w:t>
      </w:r>
      <w:r>
        <w:rPr>
          <w:rFonts w:asciiTheme="minorHAnsi" w:hAnsiTheme="minorHAnsi" w:cstheme="minorHAnsi"/>
          <w:sz w:val="24"/>
          <w:szCs w:val="22"/>
          <w:lang w:val="en-GB"/>
        </w:rPr>
        <w:t xml:space="preserve">health expertise </w:t>
      </w:r>
      <w:r w:rsidRPr="00F37D51">
        <w:rPr>
          <w:rFonts w:asciiTheme="minorHAnsi" w:hAnsiTheme="minorHAnsi" w:cstheme="minorHAnsi"/>
          <w:sz w:val="24"/>
          <w:szCs w:val="22"/>
          <w:lang w:val="en-GB"/>
        </w:rPr>
        <w:t>or co</w:t>
      </w:r>
      <w:r>
        <w:rPr>
          <w:rFonts w:asciiTheme="minorHAnsi" w:hAnsiTheme="minorHAnsi" w:cstheme="minorHAnsi"/>
          <w:sz w:val="24"/>
          <w:szCs w:val="22"/>
          <w:lang w:val="en-GB"/>
        </w:rPr>
        <w:t>mmunity</w:t>
      </w:r>
      <w:r w:rsidRPr="00F37D51">
        <w:rPr>
          <w:rFonts w:asciiTheme="minorHAnsi" w:hAnsiTheme="minorHAnsi" w:cstheme="minorHAnsi"/>
          <w:sz w:val="24"/>
          <w:szCs w:val="22"/>
          <w:lang w:val="en-GB"/>
        </w:rPr>
        <w:t xml:space="preserve"> input. </w:t>
      </w:r>
      <w:r>
        <w:rPr>
          <w:rFonts w:asciiTheme="minorHAnsi" w:hAnsiTheme="minorHAnsi" w:cstheme="minorHAnsi"/>
          <w:sz w:val="24"/>
          <w:szCs w:val="22"/>
          <w:lang w:val="en-GB"/>
        </w:rPr>
        <w:t>It is important that the outcomes from the algorithm can be considered fair and equitable by all community members</w:t>
      </w:r>
      <w:r w:rsidR="00982C8E">
        <w:rPr>
          <w:rFonts w:asciiTheme="minorHAnsi" w:hAnsiTheme="minorHAnsi" w:cstheme="minorHAnsi"/>
          <w:sz w:val="24"/>
          <w:szCs w:val="22"/>
          <w:lang w:val="en-GB"/>
        </w:rPr>
        <w:t xml:space="preserve">, therefore </w:t>
      </w:r>
      <w:r w:rsidR="00CC766E">
        <w:rPr>
          <w:rFonts w:asciiTheme="minorHAnsi" w:hAnsiTheme="minorHAnsi" w:cstheme="minorHAnsi"/>
          <w:sz w:val="24"/>
          <w:szCs w:val="22"/>
          <w:lang w:val="en-GB"/>
        </w:rPr>
        <w:t>broad</w:t>
      </w:r>
      <w:r w:rsidR="00982C8E">
        <w:rPr>
          <w:rFonts w:asciiTheme="minorHAnsi" w:hAnsiTheme="minorHAnsi" w:cstheme="minorHAnsi"/>
          <w:sz w:val="24"/>
          <w:szCs w:val="22"/>
          <w:lang w:val="en-GB"/>
        </w:rPr>
        <w:t xml:space="preserve"> stakeholder input is </w:t>
      </w:r>
      <w:r w:rsidR="00982C8E" w:rsidRPr="00C65748">
        <w:rPr>
          <w:rFonts w:asciiTheme="minorHAnsi" w:hAnsiTheme="minorHAnsi" w:cstheme="minorHAnsi"/>
          <w:sz w:val="24"/>
          <w:szCs w:val="22"/>
          <w:lang w:val="en-GB"/>
        </w:rPr>
        <w:t>required in the development of the new allocation algorithm</w:t>
      </w:r>
      <w:r w:rsidRPr="00C65748">
        <w:rPr>
          <w:rFonts w:asciiTheme="minorHAnsi" w:hAnsiTheme="minorHAnsi" w:cstheme="minorHAnsi"/>
          <w:sz w:val="24"/>
          <w:szCs w:val="22"/>
          <w:lang w:val="en-GB"/>
        </w:rPr>
        <w:t xml:space="preserve">. </w:t>
      </w:r>
    </w:p>
    <w:p w14:paraId="157C4141" w14:textId="77777777" w:rsidR="006F4E24" w:rsidRPr="001271F5" w:rsidRDefault="006F4E24" w:rsidP="006F4E24">
      <w:pPr>
        <w:tabs>
          <w:tab w:val="num" w:pos="720"/>
        </w:tabs>
        <w:spacing w:after="120"/>
        <w:rPr>
          <w:rFonts w:asciiTheme="minorHAnsi" w:hAnsiTheme="minorHAnsi" w:cstheme="minorHAnsi"/>
          <w:sz w:val="24"/>
          <w:szCs w:val="22"/>
          <w:lang w:val="en-GB"/>
        </w:rPr>
      </w:pPr>
      <w:r w:rsidRPr="00C65748">
        <w:rPr>
          <w:rFonts w:asciiTheme="minorHAnsi" w:hAnsiTheme="minorHAnsi" w:cstheme="minorHAnsi"/>
          <w:sz w:val="24"/>
          <w:szCs w:val="22"/>
          <w:lang w:val="en-GB"/>
        </w:rPr>
        <w:t>Patient involvement in healthcare and policy is widely advocated to improve patient satisfaction and relationship with healthcare professionals.</w:t>
      </w:r>
      <w:r w:rsidRPr="003A517E">
        <w:rPr>
          <w:rStyle w:val="FootnoteReference"/>
          <w:rFonts w:asciiTheme="minorHAnsi" w:hAnsiTheme="minorHAnsi" w:cstheme="minorHAnsi"/>
          <w:lang w:val="en-GB"/>
        </w:rPr>
        <w:footnoteReference w:id="137"/>
      </w:r>
      <w:r w:rsidRPr="00C65748">
        <w:rPr>
          <w:rFonts w:asciiTheme="minorHAnsi" w:hAnsiTheme="minorHAnsi" w:cstheme="minorHAnsi"/>
          <w:sz w:val="24"/>
          <w:szCs w:val="22"/>
          <w:lang w:val="en-GB"/>
        </w:rPr>
        <w:t xml:space="preserve"> As </w:t>
      </w:r>
      <w:r w:rsidR="008E64B3">
        <w:rPr>
          <w:rFonts w:asciiTheme="minorHAnsi" w:hAnsiTheme="minorHAnsi" w:cstheme="minorHAnsi"/>
          <w:sz w:val="24"/>
          <w:szCs w:val="22"/>
          <w:lang w:val="en-GB"/>
        </w:rPr>
        <w:t>‘</w:t>
      </w:r>
      <w:r w:rsidRPr="00C65748">
        <w:rPr>
          <w:rFonts w:asciiTheme="minorHAnsi" w:hAnsiTheme="minorHAnsi" w:cstheme="minorHAnsi"/>
          <w:sz w:val="24"/>
          <w:szCs w:val="22"/>
          <w:lang w:val="en-GB"/>
        </w:rPr>
        <w:t>end-users,</w:t>
      </w:r>
      <w:r w:rsidR="008E64B3">
        <w:rPr>
          <w:rFonts w:asciiTheme="minorHAnsi" w:hAnsiTheme="minorHAnsi" w:cstheme="minorHAnsi"/>
          <w:sz w:val="24"/>
          <w:szCs w:val="22"/>
          <w:lang w:val="en-GB"/>
        </w:rPr>
        <w:t>’</w:t>
      </w:r>
      <w:r w:rsidRPr="00C65748">
        <w:rPr>
          <w:rFonts w:asciiTheme="minorHAnsi" w:hAnsiTheme="minorHAnsi" w:cstheme="minorHAnsi"/>
          <w:sz w:val="24"/>
          <w:szCs w:val="22"/>
          <w:lang w:val="en-GB"/>
        </w:rPr>
        <w:t xml:space="preserve"> patients with end-stage kidney disease are a key stakeholder group; therefore eliciting their perspectives in deceased donor kidney allocation is ethically warranted.</w:t>
      </w:r>
      <w:r w:rsidRPr="00C65748">
        <w:rPr>
          <w:rStyle w:val="FootnoteReference"/>
          <w:rFonts w:asciiTheme="minorHAnsi" w:hAnsiTheme="minorHAnsi" w:cstheme="minorHAnsi"/>
          <w:lang w:val="en-GB"/>
        </w:rPr>
        <w:footnoteReference w:id="138"/>
      </w:r>
      <w:r w:rsidRPr="00C65748">
        <w:rPr>
          <w:rFonts w:asciiTheme="minorHAnsi" w:hAnsiTheme="minorHAnsi" w:cstheme="minorHAnsi"/>
          <w:sz w:val="24"/>
          <w:szCs w:val="22"/>
          <w:lang w:val="en-GB"/>
        </w:rPr>
        <w:t xml:space="preserve"> Without sufficient consultation and understanding of the specific experiences of key stakeholders, the success of the algorithm is at risk, as it may not consider all relevant factors affecting</w:t>
      </w:r>
      <w:r w:rsidRPr="00F37D51">
        <w:rPr>
          <w:rFonts w:asciiTheme="minorHAnsi" w:hAnsiTheme="minorHAnsi" w:cstheme="minorHAnsi"/>
          <w:sz w:val="24"/>
          <w:szCs w:val="22"/>
          <w:lang w:val="en-GB"/>
        </w:rPr>
        <w:t xml:space="preserve"> kidney allocation.</w:t>
      </w:r>
    </w:p>
    <w:p w14:paraId="5AE014D5" w14:textId="77777777" w:rsidR="006F4E24" w:rsidRPr="003B1371" w:rsidRDefault="006F4E24" w:rsidP="006F4E24">
      <w:pPr>
        <w:spacing w:after="120"/>
        <w:rPr>
          <w:rFonts w:asciiTheme="minorHAnsi" w:hAnsiTheme="minorHAnsi" w:cstheme="minorHAnsi"/>
          <w:i/>
          <w:color w:val="808080" w:themeColor="background1" w:themeShade="80"/>
          <w:sz w:val="26"/>
          <w:szCs w:val="26"/>
        </w:rPr>
      </w:pPr>
      <w:r w:rsidRPr="003B1371">
        <w:rPr>
          <w:rFonts w:asciiTheme="minorHAnsi" w:hAnsiTheme="minorHAnsi" w:cstheme="minorHAnsi"/>
          <w:i/>
          <w:color w:val="808080" w:themeColor="background1" w:themeShade="80"/>
          <w:sz w:val="26"/>
          <w:szCs w:val="26"/>
        </w:rPr>
        <w:t>Summary of key findings</w:t>
      </w:r>
    </w:p>
    <w:p w14:paraId="31D12E40" w14:textId="77777777" w:rsidR="006F3A27" w:rsidRPr="00E6032A" w:rsidRDefault="006F3A27" w:rsidP="00C75FAB">
      <w:pPr>
        <w:pStyle w:val="ListParagraph"/>
        <w:numPr>
          <w:ilvl w:val="0"/>
          <w:numId w:val="18"/>
        </w:numPr>
        <w:spacing w:after="120"/>
        <w:ind w:left="357" w:hanging="357"/>
        <w:rPr>
          <w:rFonts w:asciiTheme="minorHAnsi" w:hAnsiTheme="minorHAnsi" w:cstheme="minorHAnsi"/>
          <w:sz w:val="24"/>
          <w:szCs w:val="22"/>
          <w:lang w:val="en-GB"/>
        </w:rPr>
      </w:pPr>
      <w:r w:rsidRPr="00E6032A">
        <w:rPr>
          <w:rFonts w:asciiTheme="minorHAnsi" w:hAnsiTheme="minorHAnsi" w:cstheme="minorHAnsi"/>
          <w:sz w:val="24"/>
          <w:szCs w:val="22"/>
          <w:lang w:val="en-GB"/>
        </w:rPr>
        <w:t>The impending review of the National Organ Matching System (NOMS) kidney allocation algorithm to be conducted by the TSANZ and the Renal Transplant Advisory Committee is timely.</w:t>
      </w:r>
    </w:p>
    <w:p w14:paraId="5510D217" w14:textId="77777777" w:rsidR="006F4E24" w:rsidRPr="00AF2C98" w:rsidRDefault="006F4E24" w:rsidP="006F4E24">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There is no </w:t>
      </w:r>
      <w:r>
        <w:rPr>
          <w:rFonts w:asciiTheme="minorHAnsi" w:hAnsiTheme="minorHAnsi" w:cstheme="minorHAnsi"/>
          <w:sz w:val="24"/>
          <w:szCs w:val="22"/>
          <w:lang w:val="en-GB"/>
        </w:rPr>
        <w:t>Aboriginal and Torres Strait Islander</w:t>
      </w:r>
      <w:r w:rsidRPr="00F37D51">
        <w:rPr>
          <w:rFonts w:asciiTheme="minorHAnsi" w:hAnsiTheme="minorHAnsi" w:cstheme="minorHAnsi"/>
          <w:sz w:val="24"/>
          <w:szCs w:val="22"/>
          <w:lang w:val="en-GB"/>
        </w:rPr>
        <w:t xml:space="preserve"> </w:t>
      </w:r>
      <w:r>
        <w:rPr>
          <w:rFonts w:asciiTheme="minorHAnsi" w:hAnsiTheme="minorHAnsi" w:cstheme="minorHAnsi"/>
          <w:sz w:val="24"/>
          <w:szCs w:val="22"/>
          <w:lang w:val="en-GB"/>
        </w:rPr>
        <w:t xml:space="preserve">health expertise or </w:t>
      </w:r>
      <w:r w:rsidRPr="00F37D51">
        <w:rPr>
          <w:rFonts w:asciiTheme="minorHAnsi" w:hAnsiTheme="minorHAnsi" w:cstheme="minorHAnsi"/>
          <w:sz w:val="24"/>
          <w:szCs w:val="22"/>
          <w:lang w:val="en-GB"/>
        </w:rPr>
        <w:t xml:space="preserve">community input into the revision of the cadaveric kidney donation algorithm </w:t>
      </w:r>
      <w:r>
        <w:rPr>
          <w:rFonts w:asciiTheme="minorHAnsi" w:hAnsiTheme="minorHAnsi" w:cstheme="minorHAnsi"/>
          <w:sz w:val="24"/>
          <w:szCs w:val="22"/>
          <w:lang w:val="en-GB"/>
        </w:rPr>
        <w:t xml:space="preserve">currently </w:t>
      </w:r>
      <w:r w:rsidRPr="00F37D51">
        <w:rPr>
          <w:rFonts w:asciiTheme="minorHAnsi" w:hAnsiTheme="minorHAnsi" w:cstheme="minorHAnsi"/>
          <w:sz w:val="24"/>
          <w:szCs w:val="22"/>
          <w:lang w:val="en-GB"/>
        </w:rPr>
        <w:t xml:space="preserve">utilised by </w:t>
      </w:r>
      <w:r w:rsidR="00C65748">
        <w:rPr>
          <w:rFonts w:asciiTheme="minorHAnsi" w:hAnsiTheme="minorHAnsi" w:cstheme="minorHAnsi"/>
          <w:sz w:val="24"/>
          <w:szCs w:val="22"/>
          <w:lang w:val="en-GB"/>
        </w:rPr>
        <w:t xml:space="preserve">the </w:t>
      </w:r>
      <w:r w:rsidRPr="00F37D51">
        <w:rPr>
          <w:rFonts w:asciiTheme="minorHAnsi" w:hAnsiTheme="minorHAnsi" w:cstheme="minorHAnsi"/>
          <w:sz w:val="24"/>
          <w:szCs w:val="22"/>
          <w:lang w:val="en-GB"/>
        </w:rPr>
        <w:t>NOMS</w:t>
      </w:r>
      <w:r>
        <w:rPr>
          <w:rFonts w:asciiTheme="minorHAnsi" w:hAnsiTheme="minorHAnsi" w:cstheme="minorHAnsi"/>
          <w:sz w:val="24"/>
          <w:szCs w:val="22"/>
          <w:lang w:val="en-GB"/>
        </w:rPr>
        <w:t xml:space="preserve"> (and soon to be utilised by OrganMatch).</w:t>
      </w:r>
    </w:p>
    <w:p w14:paraId="0158AC4D" w14:textId="77777777" w:rsidR="006F4E24" w:rsidRPr="00806665" w:rsidRDefault="006F4E24" w:rsidP="006F4E24">
      <w:pPr>
        <w:spacing w:after="120"/>
        <w:rPr>
          <w:rFonts w:asciiTheme="minorHAnsi" w:hAnsiTheme="minorHAnsi" w:cstheme="minorHAnsi"/>
          <w:i/>
          <w:color w:val="808080" w:themeColor="background1" w:themeShade="80"/>
          <w:sz w:val="26"/>
          <w:szCs w:val="26"/>
        </w:rPr>
      </w:pPr>
      <w:r w:rsidRPr="00806665">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twenty eight is that the planned review of the kidney matching algorithm to be conducted by the TSANZ should include Aboriginal and Torres Strait Islander health expertise and community representation. Recommendation twenty nine is that the planned review to be conducted by the TSANZ of the kidney matching algorithm should take into account the latest science to ensure that the algorithm remains relevant to contemporary kidney transplantation best practice."/>
      </w:tblPr>
      <w:tblGrid>
        <w:gridCol w:w="2268"/>
        <w:gridCol w:w="7479"/>
      </w:tblGrid>
      <w:tr w:rsidR="00CB53AB" w:rsidRPr="00F37D51" w14:paraId="2A5DBFD6" w14:textId="77777777" w:rsidTr="00AE3ED1">
        <w:trPr>
          <w:tblHeader/>
        </w:trPr>
        <w:tc>
          <w:tcPr>
            <w:tcW w:w="2268" w:type="dxa"/>
            <w:shd w:val="clear" w:color="auto" w:fill="595959" w:themeFill="text1" w:themeFillTint="A6"/>
          </w:tcPr>
          <w:p w14:paraId="5D08B5A9" w14:textId="510741D3" w:rsidR="00CB53AB" w:rsidRPr="00AE3ED1" w:rsidRDefault="00CB53AB" w:rsidP="00AE3ED1">
            <w:pPr>
              <w:spacing w:after="120"/>
              <w:ind w:right="-321"/>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 xml:space="preserve">Recommendation </w:t>
            </w:r>
          </w:p>
        </w:tc>
        <w:tc>
          <w:tcPr>
            <w:tcW w:w="7479" w:type="dxa"/>
            <w:shd w:val="clear" w:color="auto" w:fill="595959" w:themeFill="text1" w:themeFillTint="A6"/>
          </w:tcPr>
          <w:p w14:paraId="322E040A" w14:textId="08615A03" w:rsidR="00CB53AB" w:rsidRPr="00AE3ED1" w:rsidRDefault="00CB53AB" w:rsidP="00AE3ED1">
            <w:pPr>
              <w:spacing w:after="120"/>
              <w:ind w:right="-142"/>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Description</w:t>
            </w:r>
          </w:p>
        </w:tc>
      </w:tr>
      <w:tr w:rsidR="006F4E24" w:rsidRPr="00F37D51" w14:paraId="0265B1DC" w14:textId="77777777" w:rsidTr="00AE3ED1">
        <w:tc>
          <w:tcPr>
            <w:tcW w:w="2268" w:type="dxa"/>
          </w:tcPr>
          <w:p w14:paraId="41D6C7AF" w14:textId="77777777" w:rsidR="006F4E24" w:rsidRPr="00F37D51" w:rsidRDefault="006F4E24" w:rsidP="00AE3ED1">
            <w:pPr>
              <w:spacing w:after="120"/>
              <w:ind w:right="-321"/>
              <w:rPr>
                <w:rFonts w:asciiTheme="minorHAnsi" w:hAnsiTheme="minorHAnsi" w:cstheme="minorHAnsi"/>
                <w:b/>
                <w:sz w:val="24"/>
                <w:szCs w:val="22"/>
                <w:lang w:val="en-GB"/>
              </w:rPr>
            </w:pPr>
            <w:r w:rsidRPr="00F37D51">
              <w:rPr>
                <w:rFonts w:asciiTheme="minorHAnsi" w:hAnsiTheme="minorHAnsi" w:cstheme="minorHAnsi"/>
                <w:b/>
                <w:sz w:val="24"/>
                <w:szCs w:val="22"/>
                <w:lang w:val="en-GB"/>
              </w:rPr>
              <w:t>Recommendation 2</w:t>
            </w:r>
            <w:r w:rsidR="00C16E9A">
              <w:rPr>
                <w:rFonts w:asciiTheme="minorHAnsi" w:hAnsiTheme="minorHAnsi" w:cstheme="minorHAnsi"/>
                <w:b/>
                <w:sz w:val="24"/>
                <w:szCs w:val="22"/>
                <w:lang w:val="en-GB"/>
              </w:rPr>
              <w:t>8</w:t>
            </w:r>
          </w:p>
        </w:tc>
        <w:tc>
          <w:tcPr>
            <w:tcW w:w="7479" w:type="dxa"/>
          </w:tcPr>
          <w:p w14:paraId="67B769E0" w14:textId="77777777" w:rsidR="006F4E24" w:rsidRPr="00F37D51" w:rsidRDefault="006F4E24" w:rsidP="00AE3ED1">
            <w:pPr>
              <w:spacing w:after="120"/>
              <w:ind w:right="-142"/>
              <w:rPr>
                <w:rFonts w:asciiTheme="minorHAnsi" w:hAnsiTheme="minorHAnsi" w:cstheme="minorHAnsi"/>
                <w:sz w:val="24"/>
                <w:szCs w:val="22"/>
                <w:lang w:val="en-GB"/>
              </w:rPr>
            </w:pPr>
            <w:r w:rsidRPr="00F37D51">
              <w:rPr>
                <w:rFonts w:asciiTheme="minorHAnsi" w:hAnsiTheme="minorHAnsi" w:cstheme="minorHAnsi"/>
                <w:sz w:val="24"/>
                <w:szCs w:val="22"/>
                <w:lang w:val="en-GB"/>
              </w:rPr>
              <w:t>The</w:t>
            </w:r>
            <w:r w:rsidR="004B7555">
              <w:rPr>
                <w:rFonts w:asciiTheme="minorHAnsi" w:hAnsiTheme="minorHAnsi" w:cstheme="minorHAnsi"/>
                <w:sz w:val="24"/>
                <w:szCs w:val="22"/>
                <w:lang w:val="en-GB"/>
              </w:rPr>
              <w:t xml:space="preserve"> planned</w:t>
            </w:r>
            <w:r w:rsidRPr="00F37D51">
              <w:rPr>
                <w:rFonts w:asciiTheme="minorHAnsi" w:hAnsiTheme="minorHAnsi" w:cstheme="minorHAnsi"/>
                <w:sz w:val="24"/>
                <w:szCs w:val="22"/>
                <w:lang w:val="en-GB"/>
              </w:rPr>
              <w:t xml:space="preserve"> review of the kidney matching algorithm </w:t>
            </w:r>
            <w:r w:rsidR="00595702">
              <w:rPr>
                <w:rFonts w:asciiTheme="minorHAnsi" w:hAnsiTheme="minorHAnsi" w:cstheme="minorHAnsi"/>
                <w:sz w:val="24"/>
                <w:szCs w:val="22"/>
                <w:lang w:val="en-GB"/>
              </w:rPr>
              <w:t>to be</w:t>
            </w:r>
            <w:r w:rsidR="00595702" w:rsidRPr="00F37D51">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 xml:space="preserve">conducted by </w:t>
            </w:r>
            <w:r w:rsidR="008D1D24">
              <w:rPr>
                <w:rFonts w:asciiTheme="minorHAnsi" w:hAnsiTheme="minorHAnsi" w:cstheme="minorHAnsi"/>
                <w:sz w:val="24"/>
                <w:szCs w:val="22"/>
                <w:lang w:val="en-GB"/>
              </w:rPr>
              <w:t xml:space="preserve">the </w:t>
            </w:r>
            <w:r w:rsidRPr="00F37D51">
              <w:rPr>
                <w:rFonts w:asciiTheme="minorHAnsi" w:hAnsiTheme="minorHAnsi" w:cstheme="minorHAnsi"/>
                <w:sz w:val="24"/>
                <w:szCs w:val="22"/>
                <w:lang w:val="en-GB"/>
              </w:rPr>
              <w:t>TSANZ</w:t>
            </w:r>
            <w:r w:rsidR="000B07FB">
              <w:rPr>
                <w:rFonts w:asciiTheme="minorHAnsi" w:hAnsiTheme="minorHAnsi" w:cstheme="minorHAnsi"/>
                <w:sz w:val="24"/>
                <w:szCs w:val="22"/>
                <w:lang w:val="en-GB"/>
              </w:rPr>
              <w:t xml:space="preserve"> </w:t>
            </w:r>
            <w:r w:rsidR="00BB566A">
              <w:rPr>
                <w:rFonts w:asciiTheme="minorHAnsi" w:hAnsiTheme="minorHAnsi" w:cstheme="minorHAnsi"/>
                <w:sz w:val="24"/>
                <w:szCs w:val="22"/>
                <w:lang w:val="en-GB"/>
              </w:rPr>
              <w:t>should</w:t>
            </w:r>
            <w:r>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 xml:space="preserve">include </w:t>
            </w:r>
            <w:r>
              <w:rPr>
                <w:rFonts w:asciiTheme="minorHAnsi" w:hAnsiTheme="minorHAnsi" w:cstheme="minorHAnsi"/>
                <w:sz w:val="24"/>
                <w:szCs w:val="22"/>
                <w:lang w:val="en-GB"/>
              </w:rPr>
              <w:t>Aboriginal and Torres Strait Islander</w:t>
            </w:r>
            <w:r w:rsidRPr="00F37D51">
              <w:rPr>
                <w:rFonts w:asciiTheme="minorHAnsi" w:hAnsiTheme="minorHAnsi" w:cstheme="minorHAnsi"/>
                <w:sz w:val="24"/>
                <w:szCs w:val="22"/>
                <w:lang w:val="en-GB"/>
              </w:rPr>
              <w:t xml:space="preserve"> </w:t>
            </w:r>
            <w:r>
              <w:rPr>
                <w:rFonts w:asciiTheme="minorHAnsi" w:hAnsiTheme="minorHAnsi" w:cstheme="minorHAnsi"/>
                <w:sz w:val="24"/>
                <w:szCs w:val="22"/>
                <w:lang w:val="en-GB"/>
              </w:rPr>
              <w:t>health expertise</w:t>
            </w:r>
            <w:r w:rsidR="00E40FAA">
              <w:rPr>
                <w:rFonts w:asciiTheme="minorHAnsi" w:hAnsiTheme="minorHAnsi" w:cstheme="minorHAnsi"/>
                <w:sz w:val="24"/>
                <w:szCs w:val="22"/>
                <w:lang w:val="en-GB"/>
              </w:rPr>
              <w:t xml:space="preserve"> and community</w:t>
            </w:r>
            <w:r w:rsidRPr="00F37D51">
              <w:rPr>
                <w:rFonts w:asciiTheme="minorHAnsi" w:hAnsiTheme="minorHAnsi" w:cstheme="minorHAnsi"/>
                <w:sz w:val="24"/>
                <w:szCs w:val="22"/>
                <w:lang w:val="en-GB"/>
              </w:rPr>
              <w:t xml:space="preserve"> representation</w:t>
            </w:r>
            <w:r>
              <w:rPr>
                <w:rFonts w:asciiTheme="minorHAnsi" w:hAnsiTheme="minorHAnsi" w:cstheme="minorHAnsi"/>
                <w:sz w:val="24"/>
                <w:szCs w:val="22"/>
                <w:lang w:val="en-GB"/>
              </w:rPr>
              <w:t>.</w:t>
            </w:r>
          </w:p>
        </w:tc>
      </w:tr>
      <w:tr w:rsidR="006F4E24" w:rsidRPr="00F37D51" w14:paraId="7501C6B7" w14:textId="77777777" w:rsidTr="00AE3ED1">
        <w:tc>
          <w:tcPr>
            <w:tcW w:w="2268" w:type="dxa"/>
          </w:tcPr>
          <w:p w14:paraId="12650597" w14:textId="77777777" w:rsidR="006F4E24" w:rsidRPr="00F37D51" w:rsidRDefault="006F4E24" w:rsidP="00AE3ED1">
            <w:pPr>
              <w:spacing w:after="120"/>
              <w:ind w:right="-321"/>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sidR="00C16E9A">
              <w:rPr>
                <w:rFonts w:asciiTheme="minorHAnsi" w:hAnsiTheme="minorHAnsi" w:cstheme="minorHAnsi"/>
                <w:b/>
                <w:sz w:val="24"/>
                <w:szCs w:val="22"/>
                <w:lang w:val="en-GB"/>
              </w:rPr>
              <w:t>29</w:t>
            </w:r>
          </w:p>
        </w:tc>
        <w:tc>
          <w:tcPr>
            <w:tcW w:w="7479" w:type="dxa"/>
          </w:tcPr>
          <w:p w14:paraId="48941BF8" w14:textId="77777777" w:rsidR="006F4E24" w:rsidRPr="00F37D51" w:rsidRDefault="006F4E24" w:rsidP="00AE3ED1">
            <w:pPr>
              <w:spacing w:after="120"/>
              <w:ind w:right="-142"/>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The </w:t>
            </w:r>
            <w:r w:rsidR="004B7555">
              <w:rPr>
                <w:rFonts w:asciiTheme="minorHAnsi" w:hAnsiTheme="minorHAnsi" w:cstheme="minorHAnsi"/>
                <w:sz w:val="24"/>
                <w:szCs w:val="22"/>
                <w:lang w:val="en-GB"/>
              </w:rPr>
              <w:t xml:space="preserve">planned </w:t>
            </w:r>
            <w:r w:rsidRPr="00F37D51">
              <w:rPr>
                <w:rFonts w:asciiTheme="minorHAnsi" w:hAnsiTheme="minorHAnsi" w:cstheme="minorHAnsi"/>
                <w:sz w:val="24"/>
                <w:szCs w:val="22"/>
                <w:lang w:val="en-GB"/>
              </w:rPr>
              <w:t>review</w:t>
            </w:r>
            <w:r w:rsidR="008F28E8">
              <w:rPr>
                <w:rFonts w:asciiTheme="minorHAnsi" w:hAnsiTheme="minorHAnsi" w:cstheme="minorHAnsi"/>
                <w:sz w:val="24"/>
                <w:szCs w:val="22"/>
                <w:lang w:val="en-GB"/>
              </w:rPr>
              <w:t xml:space="preserve"> </w:t>
            </w:r>
            <w:r w:rsidR="00595702">
              <w:rPr>
                <w:rFonts w:asciiTheme="minorHAnsi" w:hAnsiTheme="minorHAnsi" w:cstheme="minorHAnsi"/>
                <w:sz w:val="24"/>
                <w:szCs w:val="22"/>
                <w:lang w:val="en-GB"/>
              </w:rPr>
              <w:t xml:space="preserve">to be </w:t>
            </w:r>
            <w:r w:rsidR="008F28E8">
              <w:rPr>
                <w:rFonts w:asciiTheme="minorHAnsi" w:hAnsiTheme="minorHAnsi" w:cstheme="minorHAnsi"/>
                <w:sz w:val="24"/>
                <w:szCs w:val="22"/>
                <w:lang w:val="en-GB"/>
              </w:rPr>
              <w:t>conducted by the TSANZ</w:t>
            </w:r>
            <w:r w:rsidRPr="00F37D51">
              <w:rPr>
                <w:rFonts w:asciiTheme="minorHAnsi" w:hAnsiTheme="minorHAnsi" w:cstheme="minorHAnsi"/>
                <w:sz w:val="24"/>
                <w:szCs w:val="22"/>
                <w:lang w:val="en-GB"/>
              </w:rPr>
              <w:t xml:space="preserve"> of the kidney matching algorithm</w:t>
            </w:r>
            <w:r w:rsidR="009B12CB">
              <w:rPr>
                <w:rFonts w:asciiTheme="minorHAnsi" w:hAnsiTheme="minorHAnsi" w:cstheme="minorHAnsi"/>
                <w:sz w:val="24"/>
                <w:szCs w:val="22"/>
                <w:lang w:val="en-GB"/>
              </w:rPr>
              <w:t xml:space="preserve"> should</w:t>
            </w:r>
            <w:r w:rsidRPr="00F37D51">
              <w:rPr>
                <w:rFonts w:asciiTheme="minorHAnsi" w:hAnsiTheme="minorHAnsi" w:cstheme="minorHAnsi"/>
                <w:sz w:val="24"/>
                <w:szCs w:val="22"/>
                <w:lang w:val="en-GB"/>
              </w:rPr>
              <w:t xml:space="preserve"> take into account the latest science to ensure that the algorithm remains relevant to contemporary kidney transplantation best practice</w:t>
            </w:r>
            <w:r>
              <w:rPr>
                <w:rFonts w:asciiTheme="minorHAnsi" w:hAnsiTheme="minorHAnsi" w:cstheme="minorHAnsi"/>
                <w:sz w:val="24"/>
                <w:szCs w:val="22"/>
                <w:lang w:val="en-GB"/>
              </w:rPr>
              <w:t>.</w:t>
            </w:r>
          </w:p>
        </w:tc>
      </w:tr>
    </w:tbl>
    <w:p w14:paraId="60316193" w14:textId="77777777" w:rsidR="006F4E24" w:rsidRDefault="006F4E24" w:rsidP="006F4E24">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640" w:name="_Ref527444895"/>
      <w:bookmarkStart w:id="641" w:name="_Ref531796538"/>
      <w:r>
        <w:rPr>
          <w:rFonts w:asciiTheme="minorHAnsi" w:hAnsiTheme="minorHAnsi" w:cstheme="minorHAnsi"/>
          <w:b w:val="0"/>
          <w:color w:val="7F7F7F" w:themeColor="text1" w:themeTint="80"/>
          <w:sz w:val="30"/>
          <w:szCs w:val="30"/>
        </w:rPr>
        <w:t>National Organ Matching System and OrganMatch</w:t>
      </w:r>
      <w:bookmarkEnd w:id="640"/>
      <w:bookmarkEnd w:id="641"/>
    </w:p>
    <w:p w14:paraId="0D02697A" w14:textId="3BBF679F" w:rsidR="00C825A0" w:rsidRPr="007F6CF3" w:rsidRDefault="00C825A0" w:rsidP="00C825A0">
      <w:pPr>
        <w:spacing w:after="120"/>
        <w:rPr>
          <w:rFonts w:asciiTheme="minorHAnsi" w:hAnsiTheme="minorHAnsi" w:cstheme="minorHAnsi"/>
          <w:sz w:val="24"/>
          <w:lang w:val="en-GB"/>
        </w:rPr>
      </w:pPr>
      <w:r>
        <w:rPr>
          <w:rFonts w:asciiTheme="minorHAnsi" w:hAnsiTheme="minorHAnsi" w:cstheme="minorHAnsi"/>
          <w:sz w:val="24"/>
          <w:lang w:val="en-GB"/>
        </w:rPr>
        <w:t xml:space="preserve">Waiting list data for both renal and non-renal organs are entered into the NOMS and is used in the allocation process for both renal and non-renal organs. </w:t>
      </w:r>
      <w:r w:rsidRPr="007F6CF3">
        <w:rPr>
          <w:rFonts w:asciiTheme="minorHAnsi" w:hAnsiTheme="minorHAnsi" w:cstheme="minorHAnsi"/>
          <w:sz w:val="24"/>
          <w:lang w:val="en-GB"/>
        </w:rPr>
        <w:t>OrganMatch, due to be released on 2 April 20</w:t>
      </w:r>
      <w:r>
        <w:rPr>
          <w:rFonts w:asciiTheme="minorHAnsi" w:hAnsiTheme="minorHAnsi" w:cstheme="minorHAnsi"/>
          <w:sz w:val="24"/>
          <w:lang w:val="en-GB"/>
        </w:rPr>
        <w:t>19, will replace the NOMS. When launched</w:t>
      </w:r>
      <w:r w:rsidRPr="007F6CF3">
        <w:rPr>
          <w:rFonts w:asciiTheme="minorHAnsi" w:hAnsiTheme="minorHAnsi" w:cstheme="minorHAnsi"/>
          <w:sz w:val="24"/>
          <w:lang w:val="en-GB"/>
        </w:rPr>
        <w:t>, OrganMatch will replicate the c</w:t>
      </w:r>
      <w:r>
        <w:rPr>
          <w:rFonts w:asciiTheme="minorHAnsi" w:hAnsiTheme="minorHAnsi" w:cstheme="minorHAnsi"/>
          <w:sz w:val="24"/>
          <w:lang w:val="en-GB"/>
        </w:rPr>
        <w:t xml:space="preserve">urrent allocation algorithms in the </w:t>
      </w:r>
      <w:r w:rsidRPr="007F6CF3">
        <w:rPr>
          <w:rFonts w:asciiTheme="minorHAnsi" w:hAnsiTheme="minorHAnsi" w:cstheme="minorHAnsi"/>
          <w:sz w:val="24"/>
          <w:lang w:val="en-GB"/>
        </w:rPr>
        <w:t>NOMS system as well as providing enhanced functionality for more easily configure algorithm tables and an OrganMatch clinician Portal which will enable more streamlined and efficient information sharing regarding donor and potential recipient profiles. However, OrganMatch has potential to provide even greater functionality in organ matching which may be considered in future releases. For example, OrganMatch has the potential to provide the capability to improve allocation algorithms by building in elements such as survival matching, improved immunological matching and specific donor registries, such as Hepatitis C positive donors, and increased viral risk donors.</w:t>
      </w:r>
      <w:r w:rsidRPr="007F6CF3">
        <w:t xml:space="preserve"> </w:t>
      </w:r>
    </w:p>
    <w:p w14:paraId="30952298" w14:textId="77777777" w:rsidR="00C825A0" w:rsidRDefault="00C825A0" w:rsidP="00C825A0">
      <w:pPr>
        <w:spacing w:after="120"/>
        <w:rPr>
          <w:rFonts w:asciiTheme="minorHAnsi" w:hAnsiTheme="minorHAnsi" w:cstheme="minorHAnsi"/>
          <w:sz w:val="24"/>
          <w:lang w:val="en-GB"/>
        </w:rPr>
      </w:pPr>
      <w:r w:rsidRPr="007F6CF3">
        <w:rPr>
          <w:rFonts w:asciiTheme="minorHAnsi" w:hAnsiTheme="minorHAnsi" w:cstheme="minorHAnsi"/>
          <w:sz w:val="24"/>
          <w:lang w:val="en-GB"/>
        </w:rPr>
        <w:t>The Review found that improvement of the kidney allocation system will require a concerted effort, significant time and multiple resources. Clinical bodies, such as the Renal Transplantation Advisory Committee is not equipped to do this alone due to limited time, appropriate personnel, and a deficiency in data and overall resources. Further, the Review also found that current governance arrangements will need to be revised in order to account for the increased functionality of OrganMatch and the flow on effect that it will have on current processes.</w:t>
      </w:r>
    </w:p>
    <w:p w14:paraId="55ECF590" w14:textId="19763B48" w:rsidR="006F4E24" w:rsidRPr="003B1371" w:rsidRDefault="006F4E24" w:rsidP="006F4E24">
      <w:pPr>
        <w:spacing w:after="120"/>
        <w:rPr>
          <w:rFonts w:asciiTheme="minorHAnsi" w:hAnsiTheme="minorHAnsi" w:cstheme="minorHAnsi"/>
          <w:i/>
          <w:color w:val="808080" w:themeColor="background1" w:themeShade="80"/>
          <w:sz w:val="26"/>
          <w:szCs w:val="26"/>
        </w:rPr>
      </w:pPr>
      <w:r w:rsidRPr="003B1371">
        <w:rPr>
          <w:rFonts w:asciiTheme="minorHAnsi" w:hAnsiTheme="minorHAnsi" w:cstheme="minorHAnsi"/>
          <w:i/>
          <w:color w:val="808080" w:themeColor="background1" w:themeShade="80"/>
          <w:sz w:val="26"/>
          <w:szCs w:val="26"/>
        </w:rPr>
        <w:t>Summary of key findings</w:t>
      </w:r>
    </w:p>
    <w:p w14:paraId="7E9576B8" w14:textId="77777777" w:rsidR="006F4E24" w:rsidRPr="001271F5" w:rsidRDefault="006F4E24" w:rsidP="006F4E24">
      <w:pPr>
        <w:numPr>
          <w:ilvl w:val="0"/>
          <w:numId w:val="18"/>
        </w:numPr>
        <w:spacing w:after="120"/>
        <w:ind w:left="357" w:hanging="357"/>
        <w:rPr>
          <w:rFonts w:asciiTheme="minorHAnsi" w:hAnsiTheme="minorHAnsi" w:cstheme="minorHAnsi"/>
          <w:sz w:val="24"/>
          <w:szCs w:val="22"/>
          <w:lang w:val="en-GB"/>
        </w:rPr>
      </w:pPr>
      <w:r w:rsidRPr="001271F5">
        <w:rPr>
          <w:rFonts w:asciiTheme="minorHAnsi" w:hAnsiTheme="minorHAnsi" w:cstheme="minorHAnsi"/>
          <w:sz w:val="24"/>
          <w:szCs w:val="22"/>
          <w:lang w:val="en-GB"/>
        </w:rPr>
        <w:t xml:space="preserve">The current renal organ matching system, </w:t>
      </w:r>
      <w:r w:rsidR="00C65748">
        <w:rPr>
          <w:rFonts w:asciiTheme="minorHAnsi" w:hAnsiTheme="minorHAnsi" w:cstheme="minorHAnsi"/>
          <w:sz w:val="24"/>
          <w:szCs w:val="22"/>
          <w:lang w:val="en-GB"/>
        </w:rPr>
        <w:t xml:space="preserve">the </w:t>
      </w:r>
      <w:r w:rsidRPr="001271F5">
        <w:rPr>
          <w:rFonts w:asciiTheme="minorHAnsi" w:hAnsiTheme="minorHAnsi" w:cstheme="minorHAnsi"/>
          <w:sz w:val="24"/>
          <w:szCs w:val="22"/>
          <w:lang w:val="en-GB"/>
        </w:rPr>
        <w:t>NOMS is due to be replaced by OrganMatch in April 2019</w:t>
      </w:r>
      <w:r w:rsidR="00F06D70">
        <w:rPr>
          <w:rFonts w:asciiTheme="minorHAnsi" w:hAnsiTheme="minorHAnsi" w:cstheme="minorHAnsi"/>
          <w:sz w:val="24"/>
          <w:szCs w:val="22"/>
          <w:lang w:val="en-GB"/>
        </w:rPr>
        <w:t xml:space="preserve"> and will have improved capability and functionality compared to the current system. </w:t>
      </w:r>
    </w:p>
    <w:p w14:paraId="46F85B3E" w14:textId="77777777" w:rsidR="006F4E24" w:rsidRPr="00F461B6" w:rsidRDefault="006F4E24" w:rsidP="006F4E24">
      <w:pPr>
        <w:numPr>
          <w:ilvl w:val="0"/>
          <w:numId w:val="18"/>
        </w:numPr>
        <w:spacing w:after="120"/>
        <w:ind w:left="357" w:hanging="357"/>
        <w:rPr>
          <w:rFonts w:asciiTheme="minorHAnsi" w:hAnsiTheme="minorHAnsi" w:cstheme="minorHAnsi"/>
          <w:sz w:val="24"/>
          <w:szCs w:val="22"/>
          <w:lang w:val="en-GB"/>
        </w:rPr>
      </w:pPr>
      <w:r w:rsidRPr="001271F5">
        <w:rPr>
          <w:rFonts w:asciiTheme="minorHAnsi" w:hAnsiTheme="minorHAnsi" w:cstheme="minorHAnsi"/>
          <w:sz w:val="24"/>
          <w:szCs w:val="22"/>
          <w:lang w:val="en-GB"/>
        </w:rPr>
        <w:t xml:space="preserve">The Review found that current governance and resourcing arrangements will not be adequate to support the </w:t>
      </w:r>
      <w:r w:rsidRPr="00F461B6">
        <w:rPr>
          <w:rFonts w:asciiTheme="minorHAnsi" w:hAnsiTheme="minorHAnsi" w:cstheme="minorHAnsi"/>
          <w:sz w:val="24"/>
          <w:szCs w:val="22"/>
          <w:lang w:val="en-GB"/>
        </w:rPr>
        <w:t>expansion of OrganMatch in the future.</w:t>
      </w:r>
    </w:p>
    <w:p w14:paraId="40D130AA" w14:textId="77777777" w:rsidR="006F4E24" w:rsidRPr="001F75C1" w:rsidRDefault="006F4E24" w:rsidP="006F4E24">
      <w:pPr>
        <w:spacing w:after="120"/>
        <w:rPr>
          <w:rFonts w:asciiTheme="minorHAnsi" w:hAnsiTheme="minorHAnsi" w:cstheme="minorHAnsi"/>
          <w:i/>
          <w:color w:val="808080" w:themeColor="background1" w:themeShade="80"/>
          <w:sz w:val="26"/>
          <w:szCs w:val="26"/>
        </w:rPr>
      </w:pPr>
      <w:r w:rsidRPr="001F75C1">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thirty is that the replacement of the NOMS to OrganMatch is a key opportunity to improve the organ allocation process and must be adequately resourced and managed at a national level. The Australian Government should consider what is required to effectively implement and optimise OrganMatch in the future."/>
      </w:tblPr>
      <w:tblGrid>
        <w:gridCol w:w="2268"/>
        <w:gridCol w:w="7479"/>
      </w:tblGrid>
      <w:tr w:rsidR="00701313" w:rsidRPr="00F37D51" w14:paraId="6E71959D" w14:textId="77777777" w:rsidTr="00B65E19">
        <w:trPr>
          <w:tblHeader/>
        </w:trPr>
        <w:tc>
          <w:tcPr>
            <w:tcW w:w="2268" w:type="dxa"/>
            <w:shd w:val="clear" w:color="auto" w:fill="595959" w:themeFill="text1" w:themeFillTint="A6"/>
          </w:tcPr>
          <w:p w14:paraId="21BE5BA4" w14:textId="32FF1885" w:rsidR="00701313" w:rsidRPr="00AE3ED1" w:rsidRDefault="00701313" w:rsidP="00E75B04">
            <w:pPr>
              <w:spacing w:after="120"/>
              <w:ind w:right="-321"/>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Recommendation</w:t>
            </w:r>
          </w:p>
        </w:tc>
        <w:tc>
          <w:tcPr>
            <w:tcW w:w="7479" w:type="dxa"/>
            <w:shd w:val="clear" w:color="auto" w:fill="595959" w:themeFill="text1" w:themeFillTint="A6"/>
          </w:tcPr>
          <w:p w14:paraId="1ECE6125" w14:textId="2A4F8D43" w:rsidR="00701313" w:rsidRPr="00AE3ED1" w:rsidRDefault="00701313" w:rsidP="00E75B04">
            <w:pPr>
              <w:spacing w:after="120"/>
              <w:ind w:right="-142"/>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Description</w:t>
            </w:r>
          </w:p>
        </w:tc>
      </w:tr>
      <w:tr w:rsidR="006F4E24" w:rsidRPr="00F37D51" w14:paraId="454F9D1E" w14:textId="77777777" w:rsidTr="00AE3ED1">
        <w:tc>
          <w:tcPr>
            <w:tcW w:w="2268" w:type="dxa"/>
          </w:tcPr>
          <w:p w14:paraId="3444CD1D" w14:textId="77777777" w:rsidR="006F4E24" w:rsidRPr="001F75C1" w:rsidRDefault="00FE692F" w:rsidP="00AE3ED1">
            <w:pPr>
              <w:spacing w:after="120"/>
              <w:ind w:right="-321"/>
              <w:rPr>
                <w:rFonts w:asciiTheme="minorHAnsi" w:hAnsiTheme="minorHAnsi" w:cstheme="minorHAnsi"/>
                <w:b/>
                <w:sz w:val="24"/>
                <w:szCs w:val="22"/>
                <w:lang w:val="en-GB"/>
              </w:rPr>
            </w:pPr>
            <w:r>
              <w:rPr>
                <w:rFonts w:asciiTheme="minorHAnsi" w:hAnsiTheme="minorHAnsi" w:cstheme="minorHAnsi"/>
                <w:b/>
                <w:sz w:val="24"/>
                <w:szCs w:val="22"/>
                <w:lang w:val="en-GB"/>
              </w:rPr>
              <w:t xml:space="preserve">Recommendation </w:t>
            </w:r>
            <w:r w:rsidR="0055366A">
              <w:rPr>
                <w:rFonts w:asciiTheme="minorHAnsi" w:hAnsiTheme="minorHAnsi" w:cstheme="minorHAnsi"/>
                <w:b/>
                <w:sz w:val="24"/>
                <w:szCs w:val="22"/>
                <w:lang w:val="en-GB"/>
              </w:rPr>
              <w:t>3</w:t>
            </w:r>
            <w:r w:rsidR="00D1362A">
              <w:rPr>
                <w:rFonts w:asciiTheme="minorHAnsi" w:hAnsiTheme="minorHAnsi" w:cstheme="minorHAnsi"/>
                <w:b/>
                <w:sz w:val="24"/>
                <w:szCs w:val="22"/>
                <w:lang w:val="en-GB"/>
              </w:rPr>
              <w:t>0</w:t>
            </w:r>
          </w:p>
        </w:tc>
        <w:tc>
          <w:tcPr>
            <w:tcW w:w="7479" w:type="dxa"/>
            <w:shd w:val="clear" w:color="auto" w:fill="auto"/>
          </w:tcPr>
          <w:p w14:paraId="4E7DA5D4" w14:textId="77777777" w:rsidR="006F4E24" w:rsidRPr="00F37D51" w:rsidRDefault="006F4E24" w:rsidP="00AE3ED1">
            <w:pPr>
              <w:spacing w:after="120"/>
              <w:ind w:right="-142"/>
              <w:rPr>
                <w:rFonts w:asciiTheme="minorHAnsi" w:hAnsiTheme="minorHAnsi" w:cstheme="minorHAnsi"/>
                <w:sz w:val="24"/>
                <w:szCs w:val="22"/>
                <w:lang w:val="en-GB"/>
              </w:rPr>
            </w:pPr>
            <w:r w:rsidRPr="00F461B6">
              <w:rPr>
                <w:rFonts w:asciiTheme="minorHAnsi" w:hAnsiTheme="minorHAnsi" w:cstheme="minorHAnsi"/>
                <w:sz w:val="24"/>
                <w:szCs w:val="22"/>
                <w:lang w:val="en-GB"/>
              </w:rPr>
              <w:t xml:space="preserve">The replacement of </w:t>
            </w:r>
            <w:r w:rsidR="00C65748">
              <w:rPr>
                <w:rFonts w:asciiTheme="minorHAnsi" w:hAnsiTheme="minorHAnsi" w:cstheme="minorHAnsi"/>
                <w:sz w:val="24"/>
                <w:szCs w:val="22"/>
                <w:lang w:val="en-GB"/>
              </w:rPr>
              <w:t xml:space="preserve">the </w:t>
            </w:r>
            <w:r w:rsidRPr="00F461B6">
              <w:rPr>
                <w:rFonts w:asciiTheme="minorHAnsi" w:hAnsiTheme="minorHAnsi" w:cstheme="minorHAnsi"/>
                <w:sz w:val="24"/>
                <w:szCs w:val="22"/>
                <w:lang w:val="en-GB"/>
              </w:rPr>
              <w:t xml:space="preserve">NOMS </w:t>
            </w:r>
            <w:r w:rsidR="008F28E8">
              <w:rPr>
                <w:rFonts w:asciiTheme="minorHAnsi" w:hAnsiTheme="minorHAnsi" w:cstheme="minorHAnsi"/>
                <w:sz w:val="24"/>
                <w:szCs w:val="22"/>
                <w:lang w:val="en-GB"/>
              </w:rPr>
              <w:t>to</w:t>
            </w:r>
            <w:r w:rsidRPr="00F461B6">
              <w:rPr>
                <w:rFonts w:asciiTheme="minorHAnsi" w:hAnsiTheme="minorHAnsi" w:cstheme="minorHAnsi"/>
                <w:sz w:val="24"/>
                <w:szCs w:val="22"/>
                <w:lang w:val="en-GB"/>
              </w:rPr>
              <w:t xml:space="preserve"> OrganMatch is a key opportunity to improve the organ allocation process and must be adequately resourced and managed at a national level.</w:t>
            </w:r>
            <w:r w:rsidR="008D1D24">
              <w:rPr>
                <w:rFonts w:asciiTheme="minorHAnsi" w:hAnsiTheme="minorHAnsi" w:cstheme="minorHAnsi"/>
                <w:sz w:val="24"/>
                <w:szCs w:val="22"/>
                <w:lang w:val="en-GB"/>
              </w:rPr>
              <w:t xml:space="preserve"> The Australian Government should consider what is required to effectively implement and optimise OrganMatch in the future</w:t>
            </w:r>
            <w:r w:rsidR="00D1362A">
              <w:rPr>
                <w:rFonts w:asciiTheme="minorHAnsi" w:hAnsiTheme="minorHAnsi" w:cstheme="minorHAnsi"/>
                <w:sz w:val="24"/>
                <w:szCs w:val="22"/>
                <w:lang w:val="en-GB"/>
              </w:rPr>
              <w:t>.</w:t>
            </w:r>
          </w:p>
        </w:tc>
      </w:tr>
    </w:tbl>
    <w:p w14:paraId="1A4B5F58" w14:textId="77777777" w:rsidR="006F4E24" w:rsidRPr="00266A77" w:rsidRDefault="006F4E24" w:rsidP="006F4E24">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642" w:name="_Ref527626911"/>
      <w:r w:rsidRPr="00266A77">
        <w:rPr>
          <w:rFonts w:asciiTheme="minorHAnsi" w:hAnsiTheme="minorHAnsi" w:cstheme="minorHAnsi"/>
          <w:b w:val="0"/>
          <w:color w:val="7F7F7F" w:themeColor="text1" w:themeTint="80"/>
          <w:sz w:val="30"/>
          <w:szCs w:val="30"/>
        </w:rPr>
        <w:t>Tissue typing</w:t>
      </w:r>
      <w:bookmarkEnd w:id="642"/>
    </w:p>
    <w:p w14:paraId="58956578" w14:textId="77777777" w:rsidR="006F4E24" w:rsidRPr="00266A77" w:rsidRDefault="006F4E24" w:rsidP="006F4E24">
      <w:pPr>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Discussion of findings</w:t>
      </w:r>
    </w:p>
    <w:p w14:paraId="06D2E773" w14:textId="77777777" w:rsidR="006F4E24" w:rsidRDefault="006F4E24" w:rsidP="006F4E24">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The Review found that</w:t>
      </w:r>
      <w:r w:rsidR="00F00ECB">
        <w:rPr>
          <w:rFonts w:asciiTheme="minorHAnsi" w:hAnsiTheme="minorHAnsi" w:cstheme="minorHAnsi"/>
          <w:sz w:val="24"/>
          <w:szCs w:val="22"/>
          <w:lang w:val="en-GB"/>
        </w:rPr>
        <w:t>, based on transplant clinician consultations,</w:t>
      </w:r>
      <w:r>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 xml:space="preserve">tissue typing services are </w:t>
      </w:r>
      <w:r>
        <w:rPr>
          <w:rFonts w:asciiTheme="minorHAnsi" w:hAnsiTheme="minorHAnsi" w:cstheme="minorHAnsi"/>
          <w:sz w:val="24"/>
          <w:szCs w:val="22"/>
          <w:lang w:val="en-GB"/>
        </w:rPr>
        <w:t xml:space="preserve">used </w:t>
      </w:r>
      <w:r w:rsidRPr="00F37D51">
        <w:rPr>
          <w:rFonts w:asciiTheme="minorHAnsi" w:hAnsiTheme="minorHAnsi" w:cstheme="minorHAnsi"/>
          <w:sz w:val="24"/>
          <w:szCs w:val="22"/>
          <w:lang w:val="en-GB"/>
        </w:rPr>
        <w:t xml:space="preserve">to effectively and correctly allocate </w:t>
      </w:r>
      <w:r>
        <w:rPr>
          <w:rFonts w:asciiTheme="minorHAnsi" w:hAnsiTheme="minorHAnsi" w:cstheme="minorHAnsi"/>
          <w:sz w:val="24"/>
          <w:szCs w:val="22"/>
          <w:lang w:val="en-GB"/>
        </w:rPr>
        <w:t>both renal and non-renal organs</w:t>
      </w:r>
      <w:r w:rsidRPr="00F37D51">
        <w:rPr>
          <w:rFonts w:asciiTheme="minorHAnsi" w:hAnsiTheme="minorHAnsi" w:cstheme="minorHAnsi"/>
          <w:sz w:val="24"/>
          <w:szCs w:val="22"/>
          <w:lang w:val="en-GB"/>
        </w:rPr>
        <w:t xml:space="preserve"> to</w:t>
      </w:r>
      <w:r>
        <w:rPr>
          <w:rFonts w:asciiTheme="minorHAnsi" w:hAnsiTheme="minorHAnsi" w:cstheme="minorHAnsi"/>
          <w:sz w:val="24"/>
          <w:szCs w:val="22"/>
          <w:lang w:val="en-GB"/>
        </w:rPr>
        <w:t xml:space="preserve"> potential</w:t>
      </w:r>
      <w:r w:rsidRPr="00F37D51">
        <w:rPr>
          <w:rFonts w:asciiTheme="minorHAnsi" w:hAnsiTheme="minorHAnsi" w:cstheme="minorHAnsi"/>
          <w:sz w:val="24"/>
          <w:szCs w:val="22"/>
          <w:lang w:val="en-GB"/>
        </w:rPr>
        <w:t xml:space="preserve"> recipients. Tissue typing services in Australia are comprehensive and responsive to the needs of transplantation clinicians and patients. </w:t>
      </w:r>
      <w:r w:rsidR="00B45325">
        <w:rPr>
          <w:rFonts w:asciiTheme="minorHAnsi" w:hAnsiTheme="minorHAnsi" w:cstheme="minorHAnsi"/>
          <w:sz w:val="24"/>
          <w:szCs w:val="22"/>
          <w:lang w:val="en-GB"/>
        </w:rPr>
        <w:t xml:space="preserve">Meanwhile, tissue typing technologies are expanding and becoming increasingly complex. </w:t>
      </w:r>
      <w:r w:rsidRPr="00F37D51">
        <w:rPr>
          <w:rFonts w:asciiTheme="minorHAnsi" w:hAnsiTheme="minorHAnsi" w:cstheme="minorHAnsi"/>
          <w:sz w:val="24"/>
          <w:szCs w:val="22"/>
          <w:lang w:val="en-GB"/>
        </w:rPr>
        <w:t xml:space="preserve">There are three services that provide tissue typing across Australia – the Australian Red Cross Blood Service, </w:t>
      </w:r>
      <w:r>
        <w:rPr>
          <w:rFonts w:asciiTheme="minorHAnsi" w:hAnsiTheme="minorHAnsi" w:cstheme="minorHAnsi"/>
          <w:sz w:val="24"/>
          <w:szCs w:val="22"/>
          <w:lang w:val="en-GB"/>
        </w:rPr>
        <w:t>PathWest (</w:t>
      </w:r>
      <w:r w:rsidRPr="00F37D51">
        <w:rPr>
          <w:rFonts w:asciiTheme="minorHAnsi" w:hAnsiTheme="minorHAnsi" w:cstheme="minorHAnsi"/>
          <w:sz w:val="24"/>
          <w:szCs w:val="22"/>
          <w:lang w:val="en-GB"/>
        </w:rPr>
        <w:t>Western Australian tissue typing service</w:t>
      </w:r>
      <w:r>
        <w:rPr>
          <w:rFonts w:asciiTheme="minorHAnsi" w:hAnsiTheme="minorHAnsi" w:cstheme="minorHAnsi"/>
          <w:sz w:val="24"/>
          <w:szCs w:val="22"/>
          <w:lang w:val="en-GB"/>
        </w:rPr>
        <w:t>)</w:t>
      </w:r>
      <w:r w:rsidRPr="00F37D51">
        <w:rPr>
          <w:rFonts w:asciiTheme="minorHAnsi" w:hAnsiTheme="minorHAnsi" w:cstheme="minorHAnsi"/>
          <w:sz w:val="24"/>
          <w:szCs w:val="22"/>
          <w:lang w:val="en-GB"/>
        </w:rPr>
        <w:t xml:space="preserve"> and </w:t>
      </w:r>
      <w:r>
        <w:rPr>
          <w:rFonts w:asciiTheme="minorHAnsi" w:hAnsiTheme="minorHAnsi" w:cstheme="minorHAnsi"/>
          <w:sz w:val="24"/>
          <w:szCs w:val="22"/>
          <w:lang w:val="en-GB"/>
        </w:rPr>
        <w:t>Queensland Tissue Products (</w:t>
      </w:r>
      <w:r w:rsidRPr="00F37D51">
        <w:rPr>
          <w:rFonts w:asciiTheme="minorHAnsi" w:hAnsiTheme="minorHAnsi" w:cstheme="minorHAnsi"/>
          <w:sz w:val="24"/>
          <w:szCs w:val="22"/>
          <w:lang w:val="en-GB"/>
        </w:rPr>
        <w:t>Queensland tissue typing service</w:t>
      </w:r>
      <w:r>
        <w:rPr>
          <w:rFonts w:asciiTheme="minorHAnsi" w:hAnsiTheme="minorHAnsi" w:cstheme="minorHAnsi"/>
          <w:sz w:val="24"/>
          <w:szCs w:val="22"/>
          <w:lang w:val="en-GB"/>
        </w:rPr>
        <w:t>)</w:t>
      </w:r>
      <w:r w:rsidRPr="00F37D51">
        <w:rPr>
          <w:rFonts w:asciiTheme="minorHAnsi" w:hAnsiTheme="minorHAnsi" w:cstheme="minorHAnsi"/>
          <w:sz w:val="24"/>
          <w:szCs w:val="22"/>
          <w:lang w:val="en-GB"/>
        </w:rPr>
        <w:t>. All services were reported to work effectively</w:t>
      </w:r>
      <w:r>
        <w:rPr>
          <w:rFonts w:asciiTheme="minorHAnsi" w:hAnsiTheme="minorHAnsi" w:cstheme="minorHAnsi"/>
          <w:sz w:val="24"/>
          <w:szCs w:val="22"/>
          <w:lang w:val="en-GB"/>
        </w:rPr>
        <w:t xml:space="preserve"> by the relevant transplantation clinicians</w:t>
      </w:r>
      <w:r w:rsidRPr="00F37D51">
        <w:rPr>
          <w:rFonts w:asciiTheme="minorHAnsi" w:hAnsiTheme="minorHAnsi" w:cstheme="minorHAnsi"/>
          <w:sz w:val="24"/>
          <w:szCs w:val="22"/>
          <w:lang w:val="en-GB"/>
        </w:rPr>
        <w:t>, however the turnaround time varied.</w:t>
      </w:r>
    </w:p>
    <w:p w14:paraId="6405DAB3" w14:textId="77777777" w:rsidR="006F4E24" w:rsidRDefault="006F4E24" w:rsidP="006F4E24">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The demand for tissue typing services has increased over the past decade. However, there is c</w:t>
      </w:r>
      <w:r w:rsidRPr="00F37D51">
        <w:rPr>
          <w:rFonts w:asciiTheme="minorHAnsi" w:hAnsiTheme="minorHAnsi" w:cstheme="minorHAnsi"/>
          <w:sz w:val="24"/>
          <w:szCs w:val="22"/>
          <w:lang w:val="en-GB"/>
        </w:rPr>
        <w:t>urrently no mechanism available to</w:t>
      </w:r>
      <w:r>
        <w:rPr>
          <w:rFonts w:asciiTheme="minorHAnsi" w:hAnsiTheme="minorHAnsi" w:cstheme="minorHAnsi"/>
          <w:sz w:val="24"/>
          <w:szCs w:val="22"/>
          <w:lang w:val="en-GB"/>
        </w:rPr>
        <w:t xml:space="preserve"> review tissue typing services nationally and</w:t>
      </w:r>
      <w:r w:rsidRPr="00F37D51">
        <w:rPr>
          <w:rFonts w:asciiTheme="minorHAnsi" w:hAnsiTheme="minorHAnsi" w:cstheme="minorHAnsi"/>
          <w:sz w:val="24"/>
          <w:szCs w:val="22"/>
          <w:lang w:val="en-GB"/>
        </w:rPr>
        <w:t xml:space="preserve"> benchmar</w:t>
      </w:r>
      <w:r>
        <w:rPr>
          <w:rFonts w:asciiTheme="minorHAnsi" w:hAnsiTheme="minorHAnsi" w:cstheme="minorHAnsi"/>
          <w:sz w:val="24"/>
          <w:szCs w:val="22"/>
          <w:lang w:val="en-GB"/>
        </w:rPr>
        <w:t>k</w:t>
      </w:r>
      <w:r w:rsidRPr="00F37D51">
        <w:rPr>
          <w:rFonts w:asciiTheme="minorHAnsi" w:hAnsiTheme="minorHAnsi" w:cstheme="minorHAnsi"/>
          <w:sz w:val="24"/>
          <w:szCs w:val="22"/>
          <w:lang w:val="en-GB"/>
        </w:rPr>
        <w:t xml:space="preserve"> performance</w:t>
      </w:r>
      <w:r>
        <w:rPr>
          <w:rFonts w:asciiTheme="minorHAnsi" w:hAnsiTheme="minorHAnsi" w:cstheme="minorHAnsi"/>
          <w:sz w:val="24"/>
          <w:szCs w:val="22"/>
          <w:lang w:val="en-GB"/>
        </w:rPr>
        <w:t xml:space="preserve"> among providers to</w:t>
      </w:r>
      <w:r w:rsidRPr="00F37D51">
        <w:rPr>
          <w:rFonts w:asciiTheme="minorHAnsi" w:hAnsiTheme="minorHAnsi" w:cstheme="minorHAnsi"/>
          <w:sz w:val="24"/>
          <w:szCs w:val="22"/>
          <w:lang w:val="en-GB"/>
        </w:rPr>
        <w:t xml:space="preserve"> enable </w:t>
      </w:r>
      <w:r>
        <w:rPr>
          <w:rFonts w:asciiTheme="minorHAnsi" w:hAnsiTheme="minorHAnsi" w:cstheme="minorHAnsi"/>
          <w:sz w:val="24"/>
          <w:szCs w:val="22"/>
          <w:lang w:val="en-GB"/>
        </w:rPr>
        <w:t xml:space="preserve">a </w:t>
      </w:r>
      <w:r w:rsidRPr="00F37D51">
        <w:rPr>
          <w:rFonts w:asciiTheme="minorHAnsi" w:hAnsiTheme="minorHAnsi" w:cstheme="minorHAnsi"/>
          <w:sz w:val="24"/>
          <w:szCs w:val="22"/>
          <w:lang w:val="en-GB"/>
        </w:rPr>
        <w:t xml:space="preserve">better understanding of the </w:t>
      </w:r>
      <w:r>
        <w:rPr>
          <w:rFonts w:asciiTheme="minorHAnsi" w:hAnsiTheme="minorHAnsi" w:cstheme="minorHAnsi"/>
          <w:sz w:val="24"/>
          <w:szCs w:val="22"/>
          <w:lang w:val="en-GB"/>
        </w:rPr>
        <w:t xml:space="preserve">quality of </w:t>
      </w:r>
      <w:r w:rsidRPr="00F37D51">
        <w:rPr>
          <w:rFonts w:asciiTheme="minorHAnsi" w:hAnsiTheme="minorHAnsi" w:cstheme="minorHAnsi"/>
          <w:sz w:val="24"/>
          <w:szCs w:val="22"/>
          <w:lang w:val="en-GB"/>
        </w:rPr>
        <w:t xml:space="preserve">services and to drive performance. </w:t>
      </w:r>
    </w:p>
    <w:p w14:paraId="4FA40082" w14:textId="77777777" w:rsidR="006F4E24" w:rsidRDefault="006F4E24" w:rsidP="006F4E24">
      <w:pPr>
        <w:tabs>
          <w:tab w:val="num" w:pos="720"/>
        </w:tabs>
        <w:spacing w:after="120"/>
        <w:rPr>
          <w:rFonts w:asciiTheme="minorHAnsi" w:hAnsiTheme="minorHAnsi" w:cstheme="minorHAnsi"/>
          <w:sz w:val="24"/>
          <w:szCs w:val="22"/>
          <w:lang w:val="en-GB"/>
        </w:rPr>
      </w:pPr>
      <w:r w:rsidRPr="00496DF1">
        <w:rPr>
          <w:rFonts w:asciiTheme="minorHAnsi" w:hAnsiTheme="minorHAnsi" w:cstheme="minorHAnsi"/>
          <w:sz w:val="24"/>
          <w:szCs w:val="22"/>
          <w:lang w:val="en-GB"/>
        </w:rPr>
        <w:t xml:space="preserve">Further, the Review found that there is currently no national mechanism for review, assessment and prioritisation of new technology in tissue typing as it enters the Australian market. Without governance </w:t>
      </w:r>
      <w:r>
        <w:rPr>
          <w:rFonts w:asciiTheme="minorHAnsi" w:hAnsiTheme="minorHAnsi" w:cstheme="minorHAnsi"/>
          <w:sz w:val="24"/>
          <w:szCs w:val="22"/>
          <w:lang w:val="en-GB"/>
        </w:rPr>
        <w:t xml:space="preserve">around the </w:t>
      </w:r>
      <w:r w:rsidRPr="00496DF1">
        <w:rPr>
          <w:rFonts w:asciiTheme="minorHAnsi" w:hAnsiTheme="minorHAnsi" w:cstheme="minorHAnsi"/>
          <w:sz w:val="24"/>
          <w:szCs w:val="22"/>
          <w:lang w:val="en-GB"/>
        </w:rPr>
        <w:t>introduction of new technology, practices and performance</w:t>
      </w:r>
      <w:r>
        <w:rPr>
          <w:rFonts w:asciiTheme="minorHAnsi" w:hAnsiTheme="minorHAnsi" w:cstheme="minorHAnsi"/>
          <w:sz w:val="24"/>
          <w:szCs w:val="22"/>
          <w:lang w:val="en-GB"/>
        </w:rPr>
        <w:t>,</w:t>
      </w:r>
      <w:r w:rsidRPr="00496DF1">
        <w:rPr>
          <w:rFonts w:asciiTheme="minorHAnsi" w:hAnsiTheme="minorHAnsi" w:cstheme="minorHAnsi"/>
          <w:sz w:val="24"/>
          <w:szCs w:val="22"/>
          <w:lang w:val="en-GB"/>
        </w:rPr>
        <w:t xml:space="preserve"> tissue typing may become </w:t>
      </w:r>
      <w:r>
        <w:rPr>
          <w:rFonts w:asciiTheme="minorHAnsi" w:hAnsiTheme="minorHAnsi" w:cstheme="minorHAnsi"/>
          <w:sz w:val="24"/>
          <w:szCs w:val="22"/>
          <w:lang w:val="en-GB"/>
        </w:rPr>
        <w:t xml:space="preserve">increasingly </w:t>
      </w:r>
      <w:r w:rsidRPr="00496DF1">
        <w:rPr>
          <w:rFonts w:asciiTheme="minorHAnsi" w:hAnsiTheme="minorHAnsi" w:cstheme="minorHAnsi"/>
          <w:sz w:val="24"/>
          <w:szCs w:val="22"/>
          <w:lang w:val="en-GB"/>
        </w:rPr>
        <w:t>variable</w:t>
      </w:r>
      <w:r>
        <w:rPr>
          <w:rFonts w:asciiTheme="minorHAnsi" w:hAnsiTheme="minorHAnsi" w:cstheme="minorHAnsi"/>
          <w:sz w:val="24"/>
          <w:szCs w:val="22"/>
          <w:lang w:val="en-GB"/>
        </w:rPr>
        <w:t>,</w:t>
      </w:r>
      <w:r w:rsidRPr="00496DF1">
        <w:rPr>
          <w:rFonts w:asciiTheme="minorHAnsi" w:hAnsiTheme="minorHAnsi" w:cstheme="minorHAnsi"/>
          <w:sz w:val="24"/>
          <w:szCs w:val="22"/>
          <w:lang w:val="en-GB"/>
        </w:rPr>
        <w:t xml:space="preserve"> resulting in variable outcomes for transplant</w:t>
      </w:r>
      <w:r>
        <w:rPr>
          <w:rFonts w:asciiTheme="minorHAnsi" w:hAnsiTheme="minorHAnsi" w:cstheme="minorHAnsi"/>
          <w:sz w:val="24"/>
          <w:szCs w:val="22"/>
          <w:lang w:val="en-GB"/>
        </w:rPr>
        <w:t>ation</w:t>
      </w:r>
      <w:r w:rsidRPr="00496DF1">
        <w:rPr>
          <w:rFonts w:asciiTheme="minorHAnsi" w:hAnsiTheme="minorHAnsi" w:cstheme="minorHAnsi"/>
          <w:sz w:val="24"/>
          <w:szCs w:val="22"/>
          <w:lang w:val="en-GB"/>
        </w:rPr>
        <w:t xml:space="preserve"> units in </w:t>
      </w:r>
      <w:r>
        <w:rPr>
          <w:rFonts w:asciiTheme="minorHAnsi" w:hAnsiTheme="minorHAnsi" w:cstheme="minorHAnsi"/>
          <w:sz w:val="24"/>
          <w:szCs w:val="22"/>
          <w:lang w:val="en-GB"/>
        </w:rPr>
        <w:t>the matching of organs with recipients</w:t>
      </w:r>
      <w:r w:rsidRPr="00496DF1">
        <w:rPr>
          <w:rFonts w:asciiTheme="minorHAnsi" w:hAnsiTheme="minorHAnsi" w:cstheme="minorHAnsi"/>
          <w:sz w:val="24"/>
          <w:szCs w:val="22"/>
          <w:lang w:val="en-GB"/>
        </w:rPr>
        <w:t>.</w:t>
      </w:r>
    </w:p>
    <w:p w14:paraId="61B46240" w14:textId="549CFDC1" w:rsidR="009C20FD" w:rsidRDefault="00E40FAA" w:rsidP="00EF2596">
      <w:pPr>
        <w:tabs>
          <w:tab w:val="num" w:pos="720"/>
        </w:tabs>
        <w:spacing w:after="120"/>
        <w:rPr>
          <w:rFonts w:asciiTheme="minorHAnsi" w:hAnsiTheme="minorHAnsi" w:cstheme="minorHAnsi"/>
          <w:sz w:val="24"/>
          <w:szCs w:val="22"/>
          <w:lang w:val="en-GB"/>
        </w:rPr>
      </w:pPr>
      <w:r w:rsidRPr="00EF2596">
        <w:rPr>
          <w:rFonts w:asciiTheme="minorHAnsi" w:hAnsiTheme="minorHAnsi" w:cstheme="minorHAnsi"/>
          <w:sz w:val="24"/>
          <w:szCs w:val="22"/>
          <w:lang w:val="en-GB"/>
        </w:rPr>
        <w:t xml:space="preserve">The Review found that organ donor profiles and potential recipient profiles </w:t>
      </w:r>
      <w:r w:rsidR="009176BD">
        <w:rPr>
          <w:rFonts w:asciiTheme="minorHAnsi" w:hAnsiTheme="minorHAnsi" w:cstheme="minorHAnsi"/>
          <w:sz w:val="24"/>
          <w:szCs w:val="22"/>
          <w:lang w:val="en-GB"/>
        </w:rPr>
        <w:t xml:space="preserve">and other tissue typing information </w:t>
      </w:r>
      <w:r w:rsidRPr="00EF2596">
        <w:rPr>
          <w:rFonts w:asciiTheme="minorHAnsi" w:hAnsiTheme="minorHAnsi" w:cstheme="minorHAnsi"/>
          <w:sz w:val="24"/>
          <w:szCs w:val="22"/>
          <w:lang w:val="en-GB"/>
        </w:rPr>
        <w:t>are not easily accessible to clinicians</w:t>
      </w:r>
      <w:r w:rsidR="009176BD">
        <w:rPr>
          <w:rFonts w:asciiTheme="minorHAnsi" w:hAnsiTheme="minorHAnsi" w:cstheme="minorHAnsi"/>
          <w:sz w:val="24"/>
          <w:szCs w:val="22"/>
          <w:lang w:val="en-GB"/>
        </w:rPr>
        <w:t xml:space="preserve"> in real-time</w:t>
      </w:r>
      <w:r w:rsidRPr="00EF2596">
        <w:rPr>
          <w:rFonts w:asciiTheme="minorHAnsi" w:hAnsiTheme="minorHAnsi" w:cstheme="minorHAnsi"/>
          <w:sz w:val="24"/>
          <w:szCs w:val="22"/>
          <w:lang w:val="en-GB"/>
        </w:rPr>
        <w:t>. The implementation of OrganMatch has the potential to overcome this issue</w:t>
      </w:r>
      <w:r w:rsidR="009176BD">
        <w:rPr>
          <w:rFonts w:asciiTheme="minorHAnsi" w:hAnsiTheme="minorHAnsi" w:cstheme="minorHAnsi"/>
          <w:sz w:val="24"/>
          <w:szCs w:val="22"/>
          <w:lang w:val="en-GB"/>
        </w:rPr>
        <w:t xml:space="preserve"> through its extended functionality. However, the Review found that OrganMatch is not currently resourced to </w:t>
      </w:r>
      <w:r w:rsidR="003B33C0">
        <w:rPr>
          <w:rFonts w:asciiTheme="minorHAnsi" w:hAnsiTheme="minorHAnsi" w:cstheme="minorHAnsi"/>
          <w:sz w:val="24"/>
          <w:szCs w:val="22"/>
          <w:lang w:val="en-GB"/>
        </w:rPr>
        <w:t>develop</w:t>
      </w:r>
      <w:r w:rsidR="009176BD">
        <w:rPr>
          <w:rFonts w:asciiTheme="minorHAnsi" w:hAnsiTheme="minorHAnsi" w:cstheme="minorHAnsi"/>
          <w:sz w:val="24"/>
          <w:szCs w:val="22"/>
          <w:lang w:val="en-GB"/>
        </w:rPr>
        <w:t xml:space="preserve"> this function. To enable improved outcomes in organ allocation, OrganMatch will require ongoing resourcing for extended functionality.</w:t>
      </w:r>
      <w:r w:rsidRPr="00EF2596">
        <w:rPr>
          <w:rFonts w:asciiTheme="minorHAnsi" w:hAnsiTheme="minorHAnsi" w:cstheme="minorHAnsi"/>
          <w:sz w:val="24"/>
          <w:szCs w:val="22"/>
          <w:lang w:val="en-GB"/>
        </w:rPr>
        <w:t xml:space="preserve"> Orga</w:t>
      </w:r>
      <w:r w:rsidR="00046411">
        <w:rPr>
          <w:rFonts w:asciiTheme="minorHAnsi" w:hAnsiTheme="minorHAnsi" w:cstheme="minorHAnsi"/>
          <w:sz w:val="24"/>
          <w:szCs w:val="22"/>
          <w:lang w:val="en-GB"/>
        </w:rPr>
        <w:t>nMatch is further discussed in S</w:t>
      </w:r>
      <w:r w:rsidRPr="00EF2596">
        <w:rPr>
          <w:rFonts w:asciiTheme="minorHAnsi" w:hAnsiTheme="minorHAnsi" w:cstheme="minorHAnsi"/>
          <w:sz w:val="24"/>
          <w:szCs w:val="22"/>
          <w:lang w:val="en-GB"/>
        </w:rPr>
        <w:t xml:space="preserve">ection </w:t>
      </w:r>
      <w:r w:rsidR="00D1362A">
        <w:rPr>
          <w:rFonts w:asciiTheme="minorHAnsi" w:hAnsiTheme="minorHAnsi" w:cstheme="minorHAnsi"/>
          <w:sz w:val="24"/>
          <w:szCs w:val="22"/>
          <w:lang w:val="en-GB"/>
        </w:rPr>
        <w:fldChar w:fldCharType="begin"/>
      </w:r>
      <w:r w:rsidR="00D1362A">
        <w:rPr>
          <w:rFonts w:asciiTheme="minorHAnsi" w:hAnsiTheme="minorHAnsi" w:cstheme="minorHAnsi"/>
          <w:sz w:val="24"/>
          <w:szCs w:val="22"/>
          <w:lang w:val="en-GB"/>
        </w:rPr>
        <w:instrText xml:space="preserve"> REF _Ref531796538 \r \h </w:instrText>
      </w:r>
      <w:r w:rsidR="00D1362A">
        <w:rPr>
          <w:rFonts w:asciiTheme="minorHAnsi" w:hAnsiTheme="minorHAnsi" w:cstheme="minorHAnsi"/>
          <w:sz w:val="24"/>
          <w:szCs w:val="22"/>
          <w:lang w:val="en-GB"/>
        </w:rPr>
      </w:r>
      <w:r w:rsidR="00D1362A">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6.3.3</w:t>
      </w:r>
      <w:r w:rsidR="00D1362A">
        <w:rPr>
          <w:rFonts w:asciiTheme="minorHAnsi" w:hAnsiTheme="minorHAnsi" w:cstheme="minorHAnsi"/>
          <w:sz w:val="24"/>
          <w:szCs w:val="22"/>
          <w:lang w:val="en-GB"/>
        </w:rPr>
        <w:fldChar w:fldCharType="end"/>
      </w:r>
      <w:r w:rsidR="00D1362A">
        <w:rPr>
          <w:rFonts w:asciiTheme="minorHAnsi" w:hAnsiTheme="minorHAnsi" w:cstheme="minorHAnsi"/>
          <w:sz w:val="24"/>
          <w:szCs w:val="22"/>
          <w:lang w:val="en-GB"/>
        </w:rPr>
        <w:t xml:space="preserve"> </w:t>
      </w:r>
      <w:r w:rsidRPr="00EF2596">
        <w:rPr>
          <w:rFonts w:asciiTheme="minorHAnsi" w:hAnsiTheme="minorHAnsi" w:cstheme="minorHAnsi"/>
          <w:sz w:val="24"/>
          <w:szCs w:val="22"/>
          <w:lang w:val="en-GB"/>
        </w:rPr>
        <w:t xml:space="preserve">and </w:t>
      </w:r>
      <w:r w:rsidR="00D1362A">
        <w:rPr>
          <w:rFonts w:asciiTheme="minorHAnsi" w:hAnsiTheme="minorHAnsi" w:cstheme="minorHAnsi"/>
          <w:sz w:val="24"/>
          <w:szCs w:val="22"/>
          <w:lang w:val="en-GB"/>
        </w:rPr>
        <w:fldChar w:fldCharType="begin"/>
      </w:r>
      <w:r w:rsidR="00D1362A">
        <w:rPr>
          <w:rFonts w:asciiTheme="minorHAnsi" w:hAnsiTheme="minorHAnsi" w:cstheme="minorHAnsi"/>
          <w:sz w:val="24"/>
          <w:szCs w:val="22"/>
          <w:lang w:val="en-GB"/>
        </w:rPr>
        <w:instrText xml:space="preserve"> REF _Ref531796909 \r \h </w:instrText>
      </w:r>
      <w:r w:rsidR="00D1362A">
        <w:rPr>
          <w:rFonts w:asciiTheme="minorHAnsi" w:hAnsiTheme="minorHAnsi" w:cstheme="minorHAnsi"/>
          <w:sz w:val="24"/>
          <w:szCs w:val="22"/>
          <w:lang w:val="en-GB"/>
        </w:rPr>
      </w:r>
      <w:r w:rsidR="00D1362A">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7.2.3</w:t>
      </w:r>
      <w:r w:rsidR="00D1362A">
        <w:rPr>
          <w:rFonts w:asciiTheme="minorHAnsi" w:hAnsiTheme="minorHAnsi" w:cstheme="minorHAnsi"/>
          <w:sz w:val="24"/>
          <w:szCs w:val="22"/>
          <w:lang w:val="en-GB"/>
        </w:rPr>
        <w:fldChar w:fldCharType="end"/>
      </w:r>
      <w:r w:rsidRPr="00EF2596">
        <w:rPr>
          <w:rFonts w:asciiTheme="minorHAnsi" w:hAnsiTheme="minorHAnsi" w:cstheme="minorHAnsi"/>
          <w:sz w:val="24"/>
          <w:szCs w:val="22"/>
          <w:lang w:val="en-GB"/>
        </w:rPr>
        <w:t xml:space="preserve">. </w:t>
      </w:r>
    </w:p>
    <w:p w14:paraId="5E0BC03B" w14:textId="77777777" w:rsidR="006E5E43" w:rsidRPr="00F01BC7" w:rsidRDefault="006E5E43" w:rsidP="00AE3ED1">
      <w:pPr>
        <w:shd w:val="clear" w:color="auto" w:fill="DCEFF4"/>
        <w:tabs>
          <w:tab w:val="num" w:pos="720"/>
        </w:tabs>
        <w:spacing w:after="120"/>
        <w:rPr>
          <w:rFonts w:asciiTheme="minorHAnsi" w:hAnsiTheme="minorHAnsi" w:cstheme="minorHAnsi"/>
          <w:b/>
          <w:sz w:val="22"/>
          <w:szCs w:val="22"/>
          <w:lang w:val="en-GB"/>
        </w:rPr>
      </w:pPr>
      <w:r w:rsidRPr="00F01BC7">
        <w:rPr>
          <w:rFonts w:asciiTheme="minorHAnsi" w:hAnsiTheme="minorHAnsi" w:cstheme="minorHAnsi"/>
          <w:b/>
          <w:sz w:val="22"/>
          <w:szCs w:val="22"/>
          <w:lang w:val="en-GB"/>
        </w:rPr>
        <w:t xml:space="preserve">Technological advances in tissue typing </w:t>
      </w:r>
    </w:p>
    <w:p w14:paraId="03DA7686" w14:textId="77777777" w:rsidR="006E5E43" w:rsidRPr="00AE3ED1" w:rsidRDefault="006E5E43" w:rsidP="00AE3ED1">
      <w:pPr>
        <w:shd w:val="clear" w:color="auto" w:fill="DCEFF4"/>
        <w:tabs>
          <w:tab w:val="num" w:pos="720"/>
        </w:tabs>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The role of tissue typing in transplantation is central in defining the immunological parameters required for matching. As various parts of the donation and transplantation sector change, tissue typing laboratories will need to adapt to deliver best practice transplantation immunology testing nationally.</w:t>
      </w:r>
    </w:p>
    <w:p w14:paraId="6F01930C" w14:textId="77777777" w:rsidR="006E5E43" w:rsidRPr="00AE3ED1" w:rsidRDefault="006E5E43" w:rsidP="00AE3ED1">
      <w:pPr>
        <w:shd w:val="clear" w:color="auto" w:fill="DCEFF4"/>
        <w:tabs>
          <w:tab w:val="num" w:pos="720"/>
        </w:tabs>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Testing technology for HLA typing, HLA antibody detection and cross-matching is rapidly evolving and improving immunological matching. For example, developments such as high resolution HLA typing improves accuracy by producing precise results for highly sensitised patients. Luminex antibody screening is another technique which has the potential to optimise testing outcomes for patients. Recent developments in the Luminex screening tests now include analytics to improve the ability to define specific antibodies. This data can be used to select better immunological matches.  </w:t>
      </w:r>
    </w:p>
    <w:p w14:paraId="1F905BA5" w14:textId="2A731F2F" w:rsidR="006E5E43" w:rsidRPr="00AE3ED1" w:rsidRDefault="006E5E43" w:rsidP="00AE3ED1">
      <w:pPr>
        <w:shd w:val="clear" w:color="auto" w:fill="DCEFF4"/>
        <w:tabs>
          <w:tab w:val="num" w:pos="720"/>
        </w:tabs>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Australian laboratories must be agile to implement these new developments and technologies, with the appropriate staff training and budget to support implementation. For example, Luminex antibody screening is an expensive test and current funding for tissue typing services do not currently take into account these advancements. Technicians reported that the absence of a national decision-making body to advocate for the tissue typing services and their needs is a prominent issue that requires attention.</w:t>
      </w:r>
    </w:p>
    <w:p w14:paraId="602A2816" w14:textId="77777777" w:rsidR="006F4E24" w:rsidRPr="00266A77" w:rsidRDefault="006F4E24" w:rsidP="00EF2596">
      <w:pPr>
        <w:spacing w:before="240" w:after="120"/>
        <w:rPr>
          <w:rFonts w:asciiTheme="minorHAnsi" w:hAnsiTheme="minorHAnsi" w:cstheme="minorHAnsi"/>
          <w:i/>
          <w:color w:val="7F7F7F" w:themeColor="text1" w:themeTint="80"/>
          <w:sz w:val="26"/>
          <w:szCs w:val="26"/>
        </w:rPr>
      </w:pPr>
      <w:r w:rsidRPr="00DB125D">
        <w:rPr>
          <w:rFonts w:asciiTheme="minorHAnsi" w:hAnsiTheme="minorHAnsi" w:cstheme="minorHAnsi"/>
          <w:i/>
          <w:color w:val="7F7F7F" w:themeColor="text1" w:themeTint="80"/>
          <w:sz w:val="26"/>
          <w:szCs w:val="26"/>
        </w:rPr>
        <w:t>Summary of key findings</w:t>
      </w:r>
      <w:r w:rsidRPr="00266A77">
        <w:rPr>
          <w:rFonts w:asciiTheme="minorHAnsi" w:hAnsiTheme="minorHAnsi" w:cstheme="minorHAnsi"/>
          <w:i/>
          <w:color w:val="7F7F7F" w:themeColor="text1" w:themeTint="80"/>
          <w:sz w:val="26"/>
          <w:szCs w:val="26"/>
        </w:rPr>
        <w:t xml:space="preserve"> </w:t>
      </w:r>
    </w:p>
    <w:p w14:paraId="4C50B0FA" w14:textId="77777777" w:rsidR="006F4E24" w:rsidRPr="00F37D51" w:rsidRDefault="006F4E24" w:rsidP="006F4E24">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Tissue </w:t>
      </w:r>
      <w:r>
        <w:rPr>
          <w:rFonts w:asciiTheme="minorHAnsi" w:hAnsiTheme="minorHAnsi" w:cstheme="minorHAnsi"/>
          <w:sz w:val="24"/>
          <w:szCs w:val="22"/>
          <w:lang w:val="en-GB"/>
        </w:rPr>
        <w:t>t</w:t>
      </w:r>
      <w:r w:rsidRPr="00F37D51">
        <w:rPr>
          <w:rFonts w:asciiTheme="minorHAnsi" w:hAnsiTheme="minorHAnsi" w:cstheme="minorHAnsi"/>
          <w:sz w:val="24"/>
          <w:szCs w:val="22"/>
          <w:lang w:val="en-GB"/>
        </w:rPr>
        <w:t>yping services in Australia are comprehensive and responsive to the needs of transplantation clinicians and patients</w:t>
      </w:r>
      <w:r>
        <w:rPr>
          <w:rFonts w:asciiTheme="minorHAnsi" w:hAnsiTheme="minorHAnsi" w:cstheme="minorHAnsi"/>
          <w:sz w:val="24"/>
          <w:szCs w:val="22"/>
          <w:lang w:val="en-GB"/>
        </w:rPr>
        <w:t xml:space="preserve">, however </w:t>
      </w:r>
      <w:r w:rsidRPr="00F37D51">
        <w:rPr>
          <w:rFonts w:asciiTheme="minorHAnsi" w:hAnsiTheme="minorHAnsi" w:cstheme="minorHAnsi"/>
          <w:sz w:val="24"/>
          <w:szCs w:val="22"/>
          <w:lang w:val="en-GB"/>
        </w:rPr>
        <w:t xml:space="preserve">there is limited benchmarking of their performance. </w:t>
      </w:r>
    </w:p>
    <w:p w14:paraId="4EA2509E" w14:textId="1A7C34A9" w:rsidR="006F4E24" w:rsidRPr="00F37D51" w:rsidRDefault="00B45325" w:rsidP="006F4E24">
      <w:pPr>
        <w:numPr>
          <w:ilvl w:val="0"/>
          <w:numId w:val="18"/>
        </w:numPr>
        <w:spacing w:after="120"/>
        <w:ind w:left="357" w:hanging="357"/>
        <w:rPr>
          <w:rFonts w:asciiTheme="minorHAnsi" w:hAnsiTheme="minorHAnsi" w:cstheme="minorHAnsi"/>
          <w:sz w:val="24"/>
          <w:szCs w:val="22"/>
          <w:lang w:val="en-GB"/>
        </w:rPr>
      </w:pPr>
      <w:r>
        <w:rPr>
          <w:rFonts w:asciiTheme="minorHAnsi" w:hAnsiTheme="minorHAnsi" w:cstheme="minorHAnsi"/>
          <w:sz w:val="24"/>
          <w:szCs w:val="22"/>
          <w:lang w:val="en-GB"/>
        </w:rPr>
        <w:t>Tissue typing technologies are expanding and becoming increasingly complex, the in</w:t>
      </w:r>
      <w:r w:rsidR="006F4E24" w:rsidRPr="00F37D51">
        <w:rPr>
          <w:rFonts w:asciiTheme="minorHAnsi" w:hAnsiTheme="minorHAnsi" w:cstheme="minorHAnsi"/>
          <w:sz w:val="24"/>
          <w:szCs w:val="22"/>
          <w:lang w:val="en-GB"/>
        </w:rPr>
        <w:t xml:space="preserve">troduction of </w:t>
      </w:r>
      <w:r>
        <w:rPr>
          <w:rFonts w:asciiTheme="minorHAnsi" w:hAnsiTheme="minorHAnsi" w:cstheme="minorHAnsi"/>
          <w:sz w:val="24"/>
          <w:szCs w:val="22"/>
          <w:lang w:val="en-GB"/>
        </w:rPr>
        <w:t xml:space="preserve">these new </w:t>
      </w:r>
      <w:r w:rsidR="006F4E24" w:rsidRPr="00F37D51">
        <w:rPr>
          <w:rFonts w:asciiTheme="minorHAnsi" w:hAnsiTheme="minorHAnsi" w:cstheme="minorHAnsi"/>
          <w:sz w:val="24"/>
          <w:szCs w:val="22"/>
          <w:lang w:val="en-GB"/>
        </w:rPr>
        <w:t>technologies</w:t>
      </w:r>
      <w:r w:rsidR="006F4E24">
        <w:rPr>
          <w:rFonts w:asciiTheme="minorHAnsi" w:hAnsiTheme="minorHAnsi" w:cstheme="minorHAnsi"/>
          <w:sz w:val="24"/>
          <w:szCs w:val="22"/>
          <w:lang w:val="en-GB"/>
        </w:rPr>
        <w:t xml:space="preserve"> </w:t>
      </w:r>
      <w:r w:rsidR="00E75B04">
        <w:rPr>
          <w:rFonts w:asciiTheme="minorHAnsi" w:hAnsiTheme="minorHAnsi" w:cstheme="minorHAnsi"/>
          <w:sz w:val="24"/>
          <w:szCs w:val="22"/>
          <w:lang w:val="en-GB"/>
        </w:rPr>
        <w:t>is</w:t>
      </w:r>
      <w:r>
        <w:rPr>
          <w:rFonts w:asciiTheme="minorHAnsi" w:hAnsiTheme="minorHAnsi" w:cstheme="minorHAnsi"/>
          <w:sz w:val="24"/>
          <w:szCs w:val="22"/>
          <w:lang w:val="en-GB"/>
        </w:rPr>
        <w:t xml:space="preserve"> </w:t>
      </w:r>
      <w:r w:rsidR="006F4E24">
        <w:rPr>
          <w:rFonts w:asciiTheme="minorHAnsi" w:hAnsiTheme="minorHAnsi" w:cstheme="minorHAnsi"/>
          <w:sz w:val="24"/>
          <w:szCs w:val="22"/>
          <w:lang w:val="en-GB"/>
        </w:rPr>
        <w:t xml:space="preserve">not implemented in a planned and coordinated </w:t>
      </w:r>
      <w:r>
        <w:rPr>
          <w:rFonts w:asciiTheme="minorHAnsi" w:hAnsiTheme="minorHAnsi" w:cstheme="minorHAnsi"/>
          <w:sz w:val="24"/>
          <w:szCs w:val="22"/>
          <w:lang w:val="en-GB"/>
        </w:rPr>
        <w:t>way</w:t>
      </w:r>
      <w:r w:rsidR="006F4E24">
        <w:rPr>
          <w:rFonts w:asciiTheme="minorHAnsi" w:hAnsiTheme="minorHAnsi" w:cstheme="minorHAnsi"/>
          <w:sz w:val="24"/>
          <w:szCs w:val="22"/>
          <w:lang w:val="en-GB"/>
        </w:rPr>
        <w:t xml:space="preserve"> at a national level.</w:t>
      </w:r>
    </w:p>
    <w:p w14:paraId="43FBA985" w14:textId="77777777" w:rsidR="006F4E24" w:rsidRPr="00266A77" w:rsidRDefault="006F4E24" w:rsidP="006F4E24">
      <w:pPr>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thirty one is that a national plan should be developed by all Australian Governments for the adoption of new tissue typing technologies. Recommendation thirty two is that a system for national benchmarking of tissue typing service performance be implemented nationally by all Australian Governments."/>
      </w:tblPr>
      <w:tblGrid>
        <w:gridCol w:w="2268"/>
        <w:gridCol w:w="7479"/>
      </w:tblGrid>
      <w:tr w:rsidR="00E75B04" w:rsidRPr="00E75B04" w14:paraId="595880E0" w14:textId="77777777" w:rsidTr="00B65E19">
        <w:trPr>
          <w:tblHeader/>
        </w:trPr>
        <w:tc>
          <w:tcPr>
            <w:tcW w:w="2268" w:type="dxa"/>
            <w:shd w:val="clear" w:color="auto" w:fill="595959" w:themeFill="text1" w:themeFillTint="A6"/>
          </w:tcPr>
          <w:p w14:paraId="18CD647D" w14:textId="3B9BC5FD" w:rsidR="00E75B04" w:rsidRPr="00AE3ED1" w:rsidRDefault="00E75B04" w:rsidP="00E75B04">
            <w:pPr>
              <w:spacing w:after="120"/>
              <w:ind w:right="-321"/>
              <w:rPr>
                <w:rFonts w:asciiTheme="minorHAnsi" w:hAnsiTheme="minorHAnsi" w:cstheme="minorHAnsi"/>
                <w:b/>
                <w:color w:val="FFFFFF" w:themeColor="background1"/>
                <w:sz w:val="24"/>
                <w:szCs w:val="22"/>
                <w:lang w:val="en-GB"/>
              </w:rPr>
            </w:pPr>
            <w:r>
              <w:rPr>
                <w:rFonts w:asciiTheme="minorHAnsi" w:hAnsiTheme="minorHAnsi" w:cstheme="minorHAnsi"/>
                <w:b/>
                <w:color w:val="FFFFFF" w:themeColor="background1"/>
                <w:sz w:val="24"/>
                <w:szCs w:val="22"/>
                <w:lang w:val="en-GB"/>
              </w:rPr>
              <w:t>Recommendation</w:t>
            </w:r>
          </w:p>
        </w:tc>
        <w:tc>
          <w:tcPr>
            <w:tcW w:w="7479" w:type="dxa"/>
            <w:shd w:val="clear" w:color="auto" w:fill="595959" w:themeFill="text1" w:themeFillTint="A6"/>
          </w:tcPr>
          <w:p w14:paraId="1A94CBBB" w14:textId="2D27A6C0" w:rsidR="00E75B04" w:rsidRPr="00AE3ED1" w:rsidRDefault="00E75B04" w:rsidP="00E75B04">
            <w:pPr>
              <w:spacing w:after="120"/>
              <w:ind w:right="-142"/>
              <w:rPr>
                <w:rFonts w:asciiTheme="minorHAnsi" w:hAnsiTheme="minorHAnsi" w:cstheme="minorHAnsi"/>
                <w:b/>
                <w:color w:val="FFFFFF" w:themeColor="background1"/>
                <w:sz w:val="24"/>
                <w:szCs w:val="22"/>
                <w:lang w:val="en-GB"/>
              </w:rPr>
            </w:pPr>
            <w:r>
              <w:rPr>
                <w:rFonts w:asciiTheme="minorHAnsi" w:hAnsiTheme="minorHAnsi" w:cstheme="minorHAnsi"/>
                <w:b/>
                <w:color w:val="FFFFFF" w:themeColor="background1"/>
                <w:sz w:val="24"/>
                <w:szCs w:val="22"/>
                <w:lang w:val="en-GB"/>
              </w:rPr>
              <w:t>Description</w:t>
            </w:r>
          </w:p>
        </w:tc>
      </w:tr>
      <w:tr w:rsidR="006F4E24" w:rsidRPr="00F37D51" w14:paraId="60424944" w14:textId="77777777" w:rsidTr="00AE3ED1">
        <w:tc>
          <w:tcPr>
            <w:tcW w:w="2268" w:type="dxa"/>
          </w:tcPr>
          <w:p w14:paraId="28A33147" w14:textId="77777777" w:rsidR="006F4E24" w:rsidRPr="00F37D51" w:rsidRDefault="006F4E24" w:rsidP="00AE3ED1">
            <w:pPr>
              <w:spacing w:after="120"/>
              <w:ind w:right="-321"/>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Pr>
                <w:rFonts w:asciiTheme="minorHAnsi" w:hAnsiTheme="minorHAnsi" w:cstheme="minorHAnsi"/>
                <w:b/>
                <w:sz w:val="24"/>
                <w:szCs w:val="22"/>
                <w:lang w:val="en-GB"/>
              </w:rPr>
              <w:t>3</w:t>
            </w:r>
            <w:r w:rsidR="00D1362A">
              <w:rPr>
                <w:rFonts w:asciiTheme="minorHAnsi" w:hAnsiTheme="minorHAnsi" w:cstheme="minorHAnsi"/>
                <w:b/>
                <w:sz w:val="24"/>
                <w:szCs w:val="22"/>
                <w:lang w:val="en-GB"/>
              </w:rPr>
              <w:t>1</w:t>
            </w:r>
          </w:p>
        </w:tc>
        <w:tc>
          <w:tcPr>
            <w:tcW w:w="7479" w:type="dxa"/>
          </w:tcPr>
          <w:p w14:paraId="17A64218" w14:textId="75E8ADFF" w:rsidR="006F4E24" w:rsidRPr="00F37D51" w:rsidRDefault="006F4E24" w:rsidP="00AE3ED1">
            <w:pPr>
              <w:spacing w:after="120"/>
              <w:ind w:right="-142"/>
              <w:rPr>
                <w:rFonts w:asciiTheme="minorHAnsi" w:hAnsiTheme="minorHAnsi" w:cstheme="minorHAnsi"/>
                <w:sz w:val="24"/>
                <w:szCs w:val="22"/>
                <w:lang w:val="en-GB"/>
              </w:rPr>
            </w:pPr>
            <w:r>
              <w:rPr>
                <w:rFonts w:asciiTheme="minorHAnsi" w:hAnsiTheme="minorHAnsi" w:cstheme="minorHAnsi"/>
                <w:sz w:val="24"/>
                <w:szCs w:val="22"/>
                <w:lang w:val="en-GB"/>
              </w:rPr>
              <w:t>A</w:t>
            </w:r>
            <w:r w:rsidRPr="00F37D51">
              <w:rPr>
                <w:rFonts w:asciiTheme="minorHAnsi" w:hAnsiTheme="minorHAnsi" w:cstheme="minorHAnsi"/>
                <w:sz w:val="24"/>
                <w:szCs w:val="22"/>
                <w:lang w:val="en-GB"/>
              </w:rPr>
              <w:t xml:space="preserve"> national p</w:t>
            </w:r>
            <w:r>
              <w:rPr>
                <w:rFonts w:asciiTheme="minorHAnsi" w:hAnsiTheme="minorHAnsi" w:cstheme="minorHAnsi"/>
                <w:sz w:val="24"/>
                <w:szCs w:val="22"/>
                <w:lang w:val="en-GB"/>
              </w:rPr>
              <w:t>lan</w:t>
            </w:r>
            <w:r w:rsidRPr="00F37D51">
              <w:rPr>
                <w:rFonts w:asciiTheme="minorHAnsi" w:hAnsiTheme="minorHAnsi" w:cstheme="minorHAnsi"/>
                <w:sz w:val="24"/>
                <w:szCs w:val="22"/>
                <w:lang w:val="en-GB"/>
              </w:rPr>
              <w:t xml:space="preserve"> </w:t>
            </w:r>
            <w:r w:rsidR="00146E29">
              <w:rPr>
                <w:rFonts w:asciiTheme="minorHAnsi" w:hAnsiTheme="minorHAnsi" w:cstheme="minorHAnsi"/>
                <w:sz w:val="24"/>
                <w:szCs w:val="22"/>
                <w:lang w:val="en-GB"/>
              </w:rPr>
              <w:t xml:space="preserve">should </w:t>
            </w:r>
            <w:r>
              <w:rPr>
                <w:rFonts w:asciiTheme="minorHAnsi" w:hAnsiTheme="minorHAnsi" w:cstheme="minorHAnsi"/>
                <w:sz w:val="24"/>
                <w:szCs w:val="22"/>
                <w:lang w:val="en-GB"/>
              </w:rPr>
              <w:t>be developed</w:t>
            </w:r>
            <w:r w:rsidR="00635086">
              <w:rPr>
                <w:rFonts w:asciiTheme="minorHAnsi" w:hAnsiTheme="minorHAnsi" w:cstheme="minorHAnsi"/>
                <w:sz w:val="24"/>
                <w:szCs w:val="22"/>
                <w:lang w:val="en-GB"/>
              </w:rPr>
              <w:t xml:space="preserve"> by </w:t>
            </w:r>
            <w:r w:rsidR="00D1362A">
              <w:rPr>
                <w:rFonts w:asciiTheme="minorHAnsi" w:hAnsiTheme="minorHAnsi" w:cstheme="minorHAnsi"/>
                <w:sz w:val="24"/>
                <w:szCs w:val="22"/>
                <w:lang w:val="en-GB"/>
              </w:rPr>
              <w:t xml:space="preserve">all Australian Governments </w:t>
            </w:r>
            <w:r w:rsidRPr="00F37D51">
              <w:rPr>
                <w:rFonts w:asciiTheme="minorHAnsi" w:hAnsiTheme="minorHAnsi" w:cstheme="minorHAnsi"/>
                <w:sz w:val="24"/>
                <w:szCs w:val="22"/>
                <w:lang w:val="en-GB"/>
              </w:rPr>
              <w:t xml:space="preserve">for the </w:t>
            </w:r>
            <w:r>
              <w:rPr>
                <w:rFonts w:asciiTheme="minorHAnsi" w:hAnsiTheme="minorHAnsi" w:cstheme="minorHAnsi"/>
                <w:sz w:val="24"/>
                <w:szCs w:val="22"/>
                <w:lang w:val="en-GB"/>
              </w:rPr>
              <w:t>adoption</w:t>
            </w:r>
            <w:r w:rsidRPr="00F37D51">
              <w:rPr>
                <w:rFonts w:asciiTheme="minorHAnsi" w:hAnsiTheme="minorHAnsi" w:cstheme="minorHAnsi"/>
                <w:sz w:val="24"/>
                <w:szCs w:val="22"/>
                <w:lang w:val="en-GB"/>
              </w:rPr>
              <w:t xml:space="preserve"> of new tissue typing technologies.</w:t>
            </w:r>
          </w:p>
        </w:tc>
      </w:tr>
      <w:tr w:rsidR="006F4E24" w:rsidRPr="00F37D51" w14:paraId="38BE82E4" w14:textId="77777777" w:rsidTr="00AE3ED1">
        <w:tc>
          <w:tcPr>
            <w:tcW w:w="2268" w:type="dxa"/>
          </w:tcPr>
          <w:p w14:paraId="6A019888" w14:textId="77777777" w:rsidR="006F4E24" w:rsidRPr="00F37D51" w:rsidRDefault="00FE692F" w:rsidP="00AE3ED1">
            <w:pPr>
              <w:spacing w:after="120"/>
              <w:ind w:right="-321"/>
              <w:rPr>
                <w:rFonts w:asciiTheme="minorHAnsi" w:hAnsiTheme="minorHAnsi" w:cstheme="minorHAnsi"/>
                <w:b/>
                <w:sz w:val="24"/>
                <w:szCs w:val="22"/>
                <w:lang w:val="en-GB"/>
              </w:rPr>
            </w:pPr>
            <w:r>
              <w:rPr>
                <w:rFonts w:asciiTheme="minorHAnsi" w:hAnsiTheme="minorHAnsi" w:cstheme="minorHAnsi"/>
                <w:b/>
                <w:sz w:val="24"/>
                <w:szCs w:val="22"/>
                <w:lang w:val="en-GB"/>
              </w:rPr>
              <w:t>Recommendation 3</w:t>
            </w:r>
            <w:r w:rsidR="00D1362A">
              <w:rPr>
                <w:rFonts w:asciiTheme="minorHAnsi" w:hAnsiTheme="minorHAnsi" w:cstheme="minorHAnsi"/>
                <w:b/>
                <w:sz w:val="24"/>
                <w:szCs w:val="22"/>
                <w:lang w:val="en-GB"/>
              </w:rPr>
              <w:t>2</w:t>
            </w:r>
          </w:p>
        </w:tc>
        <w:tc>
          <w:tcPr>
            <w:tcW w:w="7479" w:type="dxa"/>
          </w:tcPr>
          <w:p w14:paraId="5A4589A6" w14:textId="77777777" w:rsidR="006F4E24" w:rsidRDefault="006F4E24" w:rsidP="00AE3ED1">
            <w:pPr>
              <w:spacing w:after="120"/>
              <w:ind w:right="-142"/>
              <w:rPr>
                <w:rFonts w:asciiTheme="minorHAnsi" w:hAnsiTheme="minorHAnsi" w:cstheme="minorHAnsi"/>
                <w:sz w:val="24"/>
                <w:szCs w:val="22"/>
                <w:lang w:val="en-GB"/>
              </w:rPr>
            </w:pPr>
            <w:r>
              <w:rPr>
                <w:rFonts w:asciiTheme="minorHAnsi" w:hAnsiTheme="minorHAnsi" w:cstheme="minorHAnsi"/>
                <w:sz w:val="24"/>
                <w:szCs w:val="22"/>
                <w:lang w:val="en-GB"/>
              </w:rPr>
              <w:t>A system for national benchmarking of tissue typing service performance be implemented nationally</w:t>
            </w:r>
            <w:r w:rsidR="00635086">
              <w:rPr>
                <w:rFonts w:asciiTheme="minorHAnsi" w:hAnsiTheme="minorHAnsi" w:cstheme="minorHAnsi"/>
                <w:sz w:val="24"/>
                <w:szCs w:val="22"/>
                <w:lang w:val="en-GB"/>
              </w:rPr>
              <w:t xml:space="preserve"> by </w:t>
            </w:r>
            <w:r w:rsidR="00D1362A">
              <w:rPr>
                <w:rFonts w:asciiTheme="minorHAnsi" w:hAnsiTheme="minorHAnsi" w:cstheme="minorHAnsi"/>
                <w:sz w:val="24"/>
                <w:szCs w:val="22"/>
                <w:lang w:val="en-GB"/>
              </w:rPr>
              <w:t>all Australian Governments</w:t>
            </w:r>
            <w:r>
              <w:rPr>
                <w:rFonts w:asciiTheme="minorHAnsi" w:hAnsiTheme="minorHAnsi" w:cstheme="minorHAnsi"/>
                <w:sz w:val="24"/>
                <w:szCs w:val="22"/>
                <w:lang w:val="en-GB"/>
              </w:rPr>
              <w:t>.</w:t>
            </w:r>
          </w:p>
        </w:tc>
      </w:tr>
    </w:tbl>
    <w:p w14:paraId="594F971B" w14:textId="2F898CF1" w:rsidR="00347D38" w:rsidRPr="00347D38" w:rsidRDefault="00347D38" w:rsidP="00C75FAB">
      <w:pPr>
        <w:widowControl/>
        <w:autoSpaceDE/>
        <w:autoSpaceDN/>
        <w:adjustRightInd/>
        <w:spacing w:after="200" w:line="276" w:lineRule="auto"/>
        <w:rPr>
          <w:rFonts w:asciiTheme="minorHAnsi" w:hAnsiTheme="minorHAnsi" w:cstheme="minorHAnsi"/>
          <w:color w:val="7F7F7F" w:themeColor="text1" w:themeTint="80"/>
          <w:sz w:val="30"/>
          <w:szCs w:val="30"/>
        </w:rPr>
      </w:pPr>
      <w:bookmarkStart w:id="643" w:name="_Ref527626915"/>
      <w:r>
        <w:rPr>
          <w:rFonts w:asciiTheme="minorHAnsi" w:hAnsiTheme="minorHAnsi" w:cstheme="minorHAnsi"/>
          <w:b/>
          <w:color w:val="7F7F7F" w:themeColor="text1" w:themeTint="80"/>
          <w:sz w:val="30"/>
          <w:szCs w:val="30"/>
        </w:rPr>
        <w:br w:type="page"/>
      </w:r>
    </w:p>
    <w:p w14:paraId="7FB039A5" w14:textId="3C590E5F" w:rsidR="006F4E24" w:rsidRDefault="006F4E24" w:rsidP="006F4E24">
      <w:pPr>
        <w:pStyle w:val="Heading3"/>
        <w:keepNext w:val="0"/>
        <w:widowControl w:val="0"/>
        <w:tabs>
          <w:tab w:val="clear" w:pos="1843"/>
          <w:tab w:val="num" w:pos="1559"/>
        </w:tabs>
        <w:ind w:left="992" w:hanging="992"/>
        <w:rPr>
          <w:rFonts w:asciiTheme="minorHAnsi" w:hAnsiTheme="minorHAnsi" w:cstheme="minorHAnsi"/>
          <w:b w:val="0"/>
          <w:color w:val="7F7F7F" w:themeColor="text1" w:themeTint="80"/>
          <w:sz w:val="30"/>
          <w:szCs w:val="30"/>
        </w:rPr>
      </w:pPr>
      <w:r w:rsidRPr="00BF220F">
        <w:rPr>
          <w:rFonts w:asciiTheme="minorHAnsi" w:hAnsiTheme="minorHAnsi" w:cstheme="minorHAnsi"/>
          <w:b w:val="0"/>
          <w:color w:val="7F7F7F" w:themeColor="text1" w:themeTint="80"/>
          <w:sz w:val="30"/>
          <w:szCs w:val="30"/>
        </w:rPr>
        <w:t xml:space="preserve">The </w:t>
      </w:r>
      <w:r w:rsidR="00412748">
        <w:rPr>
          <w:rFonts w:asciiTheme="minorHAnsi" w:hAnsiTheme="minorHAnsi" w:cstheme="minorHAnsi"/>
          <w:b w:val="0"/>
          <w:color w:val="7F7F7F" w:themeColor="text1" w:themeTint="80"/>
          <w:sz w:val="30"/>
          <w:szCs w:val="30"/>
        </w:rPr>
        <w:t>impact of the State Balancing S</w:t>
      </w:r>
      <w:r>
        <w:rPr>
          <w:rFonts w:asciiTheme="minorHAnsi" w:hAnsiTheme="minorHAnsi" w:cstheme="minorHAnsi"/>
          <w:b w:val="0"/>
          <w:color w:val="7F7F7F" w:themeColor="text1" w:themeTint="80"/>
          <w:sz w:val="30"/>
          <w:szCs w:val="30"/>
        </w:rPr>
        <w:t>ystem on allocation</w:t>
      </w:r>
      <w:bookmarkEnd w:id="643"/>
      <w:r>
        <w:rPr>
          <w:rFonts w:asciiTheme="minorHAnsi" w:hAnsiTheme="minorHAnsi" w:cstheme="minorHAnsi"/>
          <w:b w:val="0"/>
          <w:color w:val="7F7F7F" w:themeColor="text1" w:themeTint="80"/>
          <w:sz w:val="30"/>
          <w:szCs w:val="30"/>
        </w:rPr>
        <w:t xml:space="preserve"> of </w:t>
      </w:r>
      <w:r w:rsidR="003B33C0">
        <w:rPr>
          <w:rFonts w:asciiTheme="minorHAnsi" w:hAnsiTheme="minorHAnsi" w:cstheme="minorHAnsi"/>
          <w:b w:val="0"/>
          <w:color w:val="7F7F7F" w:themeColor="text1" w:themeTint="80"/>
          <w:sz w:val="30"/>
          <w:szCs w:val="30"/>
        </w:rPr>
        <w:t xml:space="preserve">cadaveric donated </w:t>
      </w:r>
      <w:r>
        <w:rPr>
          <w:rFonts w:asciiTheme="minorHAnsi" w:hAnsiTheme="minorHAnsi" w:cstheme="minorHAnsi"/>
          <w:b w:val="0"/>
          <w:color w:val="7F7F7F" w:themeColor="text1" w:themeTint="80"/>
          <w:sz w:val="30"/>
          <w:szCs w:val="30"/>
        </w:rPr>
        <w:t>kidneys</w:t>
      </w:r>
    </w:p>
    <w:p w14:paraId="26A06076" w14:textId="77777777" w:rsidR="006F4E24" w:rsidRPr="001271F5" w:rsidRDefault="006F4E24" w:rsidP="006F4E24">
      <w:pPr>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 xml:space="preserve">Discussion of </w:t>
      </w:r>
      <w:r>
        <w:rPr>
          <w:rFonts w:asciiTheme="minorHAnsi" w:hAnsiTheme="minorHAnsi" w:cstheme="minorHAnsi"/>
          <w:i/>
          <w:color w:val="808080" w:themeColor="background1" w:themeShade="80"/>
          <w:sz w:val="26"/>
          <w:szCs w:val="26"/>
        </w:rPr>
        <w:t>findings</w:t>
      </w:r>
    </w:p>
    <w:p w14:paraId="71A14989" w14:textId="77777777" w:rsidR="006F4E24" w:rsidRDefault="006F4E24">
      <w:pPr>
        <w:spacing w:after="120"/>
        <w:rPr>
          <w:rFonts w:asciiTheme="minorHAnsi" w:hAnsiTheme="minorHAnsi" w:cstheme="minorHAnsi"/>
          <w:sz w:val="24"/>
          <w:szCs w:val="22"/>
        </w:rPr>
      </w:pPr>
      <w:r w:rsidRPr="004C1C51">
        <w:rPr>
          <w:rFonts w:asciiTheme="minorHAnsi" w:hAnsiTheme="minorHAnsi" w:cstheme="minorHAnsi"/>
          <w:sz w:val="24"/>
          <w:szCs w:val="22"/>
        </w:rPr>
        <w:t>As discuss</w:t>
      </w:r>
      <w:r w:rsidR="00046411">
        <w:rPr>
          <w:rFonts w:asciiTheme="minorHAnsi" w:hAnsiTheme="minorHAnsi" w:cstheme="minorHAnsi"/>
          <w:sz w:val="24"/>
          <w:szCs w:val="22"/>
        </w:rPr>
        <w:t xml:space="preserve">ed briefly in Section </w:t>
      </w:r>
      <w:r w:rsidR="00D1362A">
        <w:rPr>
          <w:rFonts w:asciiTheme="minorHAnsi" w:hAnsiTheme="minorHAnsi" w:cstheme="minorHAnsi"/>
          <w:sz w:val="24"/>
          <w:szCs w:val="22"/>
        </w:rPr>
        <w:fldChar w:fldCharType="begin"/>
      </w:r>
      <w:r w:rsidR="00D1362A">
        <w:rPr>
          <w:rFonts w:asciiTheme="minorHAnsi" w:hAnsiTheme="minorHAnsi" w:cstheme="minorHAnsi"/>
          <w:sz w:val="24"/>
          <w:szCs w:val="22"/>
        </w:rPr>
        <w:instrText xml:space="preserve"> REF _Ref531252063 \r \h </w:instrText>
      </w:r>
      <w:r w:rsidR="00D1362A">
        <w:rPr>
          <w:rFonts w:asciiTheme="minorHAnsi" w:hAnsiTheme="minorHAnsi" w:cstheme="minorHAnsi"/>
          <w:sz w:val="24"/>
          <w:szCs w:val="22"/>
        </w:rPr>
      </w:r>
      <w:r w:rsidR="00D1362A">
        <w:rPr>
          <w:rFonts w:asciiTheme="minorHAnsi" w:hAnsiTheme="minorHAnsi" w:cstheme="minorHAnsi"/>
          <w:sz w:val="24"/>
          <w:szCs w:val="22"/>
        </w:rPr>
        <w:fldChar w:fldCharType="separate"/>
      </w:r>
      <w:r w:rsidR="00A04048">
        <w:rPr>
          <w:rFonts w:asciiTheme="minorHAnsi" w:hAnsiTheme="minorHAnsi" w:cstheme="minorHAnsi"/>
          <w:sz w:val="24"/>
          <w:szCs w:val="22"/>
        </w:rPr>
        <w:t>4.5</w:t>
      </w:r>
      <w:r w:rsidR="00D1362A">
        <w:rPr>
          <w:rFonts w:asciiTheme="minorHAnsi" w:hAnsiTheme="minorHAnsi" w:cstheme="minorHAnsi"/>
          <w:sz w:val="24"/>
          <w:szCs w:val="22"/>
        </w:rPr>
        <w:fldChar w:fldCharType="end"/>
      </w:r>
      <w:r w:rsidR="00412748">
        <w:rPr>
          <w:rFonts w:asciiTheme="minorHAnsi" w:hAnsiTheme="minorHAnsi" w:cstheme="minorHAnsi"/>
          <w:sz w:val="24"/>
          <w:szCs w:val="22"/>
        </w:rPr>
        <w:t>, the State Balancing S</w:t>
      </w:r>
      <w:r w:rsidRPr="004C1C51">
        <w:rPr>
          <w:rFonts w:asciiTheme="minorHAnsi" w:hAnsiTheme="minorHAnsi" w:cstheme="minorHAnsi"/>
          <w:sz w:val="24"/>
          <w:szCs w:val="22"/>
        </w:rPr>
        <w:t>ystem</w:t>
      </w:r>
      <w:r>
        <w:rPr>
          <w:rFonts w:asciiTheme="minorHAnsi" w:hAnsiTheme="minorHAnsi" w:cstheme="minorHAnsi"/>
          <w:sz w:val="24"/>
          <w:szCs w:val="22"/>
        </w:rPr>
        <w:t xml:space="preserve"> (</w:t>
      </w:r>
      <w:r w:rsidRPr="004C1C51">
        <w:rPr>
          <w:rFonts w:asciiTheme="minorHAnsi" w:hAnsiTheme="minorHAnsi" w:cstheme="minorHAnsi"/>
          <w:sz w:val="24"/>
          <w:szCs w:val="22"/>
        </w:rPr>
        <w:t>also known as the ‘pay back system’</w:t>
      </w:r>
      <w:r>
        <w:rPr>
          <w:rFonts w:asciiTheme="minorHAnsi" w:hAnsiTheme="minorHAnsi" w:cstheme="minorHAnsi"/>
          <w:sz w:val="24"/>
          <w:szCs w:val="22"/>
        </w:rPr>
        <w:t>)</w:t>
      </w:r>
      <w:r w:rsidRPr="004C1C51">
        <w:rPr>
          <w:rFonts w:asciiTheme="minorHAnsi" w:hAnsiTheme="minorHAnsi" w:cstheme="minorHAnsi"/>
          <w:sz w:val="24"/>
          <w:szCs w:val="22"/>
        </w:rPr>
        <w:t xml:space="preserve"> was developed to ensure equity in the allocation, offer and acceptance of kidneys across </w:t>
      </w:r>
      <w:r>
        <w:rPr>
          <w:rFonts w:asciiTheme="minorHAnsi" w:hAnsiTheme="minorHAnsi" w:cstheme="minorHAnsi"/>
          <w:sz w:val="24"/>
          <w:szCs w:val="22"/>
        </w:rPr>
        <w:t>jurisdictions</w:t>
      </w:r>
      <w:r w:rsidRPr="004C1C51">
        <w:rPr>
          <w:rFonts w:asciiTheme="minorHAnsi" w:hAnsiTheme="minorHAnsi" w:cstheme="minorHAnsi"/>
          <w:sz w:val="24"/>
          <w:szCs w:val="22"/>
        </w:rPr>
        <w:t xml:space="preserve">. The system was initially designed to ‘pay back’ </w:t>
      </w:r>
      <w:r w:rsidR="00A45FCD">
        <w:rPr>
          <w:rFonts w:asciiTheme="minorHAnsi" w:hAnsiTheme="minorHAnsi" w:cstheme="minorHAnsi"/>
          <w:sz w:val="24"/>
          <w:szCs w:val="22"/>
        </w:rPr>
        <w:t>jurisdictions</w:t>
      </w:r>
      <w:r w:rsidR="00A45FCD" w:rsidRPr="004C1C51">
        <w:rPr>
          <w:rFonts w:asciiTheme="minorHAnsi" w:hAnsiTheme="minorHAnsi" w:cstheme="minorHAnsi"/>
          <w:sz w:val="24"/>
          <w:szCs w:val="22"/>
        </w:rPr>
        <w:t xml:space="preserve"> </w:t>
      </w:r>
      <w:r w:rsidRPr="004C1C51">
        <w:rPr>
          <w:rFonts w:asciiTheme="minorHAnsi" w:hAnsiTheme="minorHAnsi" w:cstheme="minorHAnsi"/>
          <w:sz w:val="24"/>
          <w:szCs w:val="22"/>
        </w:rPr>
        <w:t>which had a higher number of donated kidneys sent interstate</w:t>
      </w:r>
      <w:r>
        <w:rPr>
          <w:rFonts w:asciiTheme="minorHAnsi" w:hAnsiTheme="minorHAnsi" w:cstheme="minorHAnsi"/>
          <w:sz w:val="24"/>
          <w:szCs w:val="22"/>
        </w:rPr>
        <w:t xml:space="preserve">, giving those </w:t>
      </w:r>
      <w:r w:rsidR="00A45FCD">
        <w:rPr>
          <w:rFonts w:asciiTheme="minorHAnsi" w:hAnsiTheme="minorHAnsi" w:cstheme="minorHAnsi"/>
          <w:sz w:val="24"/>
          <w:szCs w:val="22"/>
        </w:rPr>
        <w:t xml:space="preserve">jurisdictions </w:t>
      </w:r>
      <w:r>
        <w:rPr>
          <w:rFonts w:asciiTheme="minorHAnsi" w:hAnsiTheme="minorHAnsi" w:cstheme="minorHAnsi"/>
          <w:sz w:val="24"/>
          <w:szCs w:val="22"/>
        </w:rPr>
        <w:t>a ‘centre credit’</w:t>
      </w:r>
      <w:r w:rsidRPr="004C1C51">
        <w:rPr>
          <w:rFonts w:asciiTheme="minorHAnsi" w:hAnsiTheme="minorHAnsi" w:cstheme="minorHAnsi"/>
          <w:sz w:val="24"/>
          <w:szCs w:val="22"/>
        </w:rPr>
        <w:t xml:space="preserve">. </w:t>
      </w:r>
      <w:r w:rsidR="00E40FAA" w:rsidRPr="00E40FAA">
        <w:rPr>
          <w:rFonts w:asciiTheme="minorHAnsi" w:hAnsiTheme="minorHAnsi" w:cstheme="minorHAnsi"/>
          <w:sz w:val="24"/>
          <w:szCs w:val="22"/>
        </w:rPr>
        <w:t xml:space="preserve">The purpose of this system </w:t>
      </w:r>
      <w:r w:rsidR="00464912">
        <w:rPr>
          <w:rFonts w:asciiTheme="minorHAnsi" w:hAnsiTheme="minorHAnsi" w:cstheme="minorHAnsi"/>
          <w:sz w:val="24"/>
          <w:szCs w:val="22"/>
        </w:rPr>
        <w:t>is</w:t>
      </w:r>
      <w:r w:rsidR="00E40FAA" w:rsidRPr="00E40FAA">
        <w:rPr>
          <w:rFonts w:asciiTheme="minorHAnsi" w:hAnsiTheme="minorHAnsi" w:cstheme="minorHAnsi"/>
          <w:sz w:val="24"/>
          <w:szCs w:val="22"/>
        </w:rPr>
        <w:t xml:space="preserve"> to encourage interstate sharing of kidneys where appropriate, and to ensure that </w:t>
      </w:r>
      <w:r w:rsidR="007E3373">
        <w:rPr>
          <w:rFonts w:asciiTheme="minorHAnsi" w:hAnsiTheme="minorHAnsi" w:cstheme="minorHAnsi"/>
          <w:sz w:val="24"/>
          <w:szCs w:val="22"/>
        </w:rPr>
        <w:t>jurisdictions</w:t>
      </w:r>
      <w:r w:rsidR="00E40FAA" w:rsidRPr="00E40FAA">
        <w:rPr>
          <w:rFonts w:asciiTheme="minorHAnsi" w:hAnsiTheme="minorHAnsi" w:cstheme="minorHAnsi"/>
          <w:sz w:val="24"/>
          <w:szCs w:val="22"/>
        </w:rPr>
        <w:t xml:space="preserve"> with higher donation rates </w:t>
      </w:r>
      <w:r w:rsidR="00464912">
        <w:rPr>
          <w:rFonts w:asciiTheme="minorHAnsi" w:hAnsiTheme="minorHAnsi" w:cstheme="minorHAnsi"/>
          <w:sz w:val="24"/>
          <w:szCs w:val="22"/>
        </w:rPr>
        <w:t>are</w:t>
      </w:r>
      <w:r w:rsidR="00E40FAA" w:rsidRPr="00E40FAA">
        <w:rPr>
          <w:rFonts w:asciiTheme="minorHAnsi" w:hAnsiTheme="minorHAnsi" w:cstheme="minorHAnsi"/>
          <w:sz w:val="24"/>
          <w:szCs w:val="22"/>
        </w:rPr>
        <w:t xml:space="preserve"> not disadvantaged.</w:t>
      </w:r>
    </w:p>
    <w:p w14:paraId="538EEF39" w14:textId="77777777" w:rsidR="00666B99" w:rsidRDefault="00666B99">
      <w:pPr>
        <w:spacing w:before="120" w:after="120"/>
        <w:rPr>
          <w:rFonts w:asciiTheme="minorHAnsi" w:hAnsiTheme="minorHAnsi" w:cstheme="minorHAnsi"/>
          <w:sz w:val="24"/>
          <w:szCs w:val="22"/>
        </w:rPr>
      </w:pPr>
      <w:r w:rsidRPr="00EF2596">
        <w:rPr>
          <w:rFonts w:asciiTheme="minorHAnsi" w:hAnsiTheme="minorHAnsi" w:cstheme="minorHAnsi"/>
          <w:sz w:val="24"/>
          <w:szCs w:val="22"/>
        </w:rPr>
        <w:t xml:space="preserve">A centre credit becomes effective when a </w:t>
      </w:r>
      <w:r w:rsidR="002F4175">
        <w:rPr>
          <w:rFonts w:asciiTheme="minorHAnsi" w:hAnsiTheme="minorHAnsi" w:cstheme="minorHAnsi"/>
          <w:sz w:val="24"/>
          <w:szCs w:val="22"/>
        </w:rPr>
        <w:t>jurisdiction</w:t>
      </w:r>
      <w:r w:rsidRPr="00EF2596">
        <w:rPr>
          <w:rFonts w:asciiTheme="minorHAnsi" w:hAnsiTheme="minorHAnsi" w:cstheme="minorHAnsi"/>
          <w:sz w:val="24"/>
          <w:szCs w:val="22"/>
        </w:rPr>
        <w:t xml:space="preserve"> accumulates a balance variance of </w:t>
      </w:r>
      <w:r w:rsidR="002F4175">
        <w:rPr>
          <w:rFonts w:asciiTheme="minorHAnsi" w:hAnsiTheme="minorHAnsi" w:cstheme="minorHAnsi"/>
          <w:sz w:val="24"/>
          <w:szCs w:val="22"/>
        </w:rPr>
        <w:t>three</w:t>
      </w:r>
      <w:r w:rsidRPr="00EF2596">
        <w:rPr>
          <w:rFonts w:asciiTheme="minorHAnsi" w:hAnsiTheme="minorHAnsi" w:cstheme="minorHAnsi"/>
          <w:sz w:val="24"/>
          <w:szCs w:val="22"/>
        </w:rPr>
        <w:t xml:space="preserve"> kidneys (in combination with immunological matching). If a </w:t>
      </w:r>
      <w:r w:rsidR="002F4175">
        <w:rPr>
          <w:rFonts w:asciiTheme="minorHAnsi" w:hAnsiTheme="minorHAnsi" w:cstheme="minorHAnsi"/>
          <w:sz w:val="24"/>
          <w:szCs w:val="22"/>
        </w:rPr>
        <w:t>jurisdictions</w:t>
      </w:r>
      <w:r w:rsidRPr="00EF2596">
        <w:rPr>
          <w:rFonts w:asciiTheme="minorHAnsi" w:hAnsiTheme="minorHAnsi" w:cstheme="minorHAnsi"/>
          <w:sz w:val="24"/>
          <w:szCs w:val="22"/>
        </w:rPr>
        <w:t xml:space="preserve"> centre credit reaches a difference of 20, the </w:t>
      </w:r>
      <w:r w:rsidR="00D72901">
        <w:rPr>
          <w:rFonts w:asciiTheme="minorHAnsi" w:hAnsiTheme="minorHAnsi" w:cstheme="minorHAnsi"/>
          <w:sz w:val="24"/>
          <w:szCs w:val="22"/>
        </w:rPr>
        <w:t>State Balancing System</w:t>
      </w:r>
      <w:r w:rsidRPr="00EF2596">
        <w:rPr>
          <w:rFonts w:asciiTheme="minorHAnsi" w:hAnsiTheme="minorHAnsi" w:cstheme="minorHAnsi"/>
          <w:sz w:val="24"/>
          <w:szCs w:val="22"/>
        </w:rPr>
        <w:t xml:space="preserve"> comes into effect to override the allocation within the home state</w:t>
      </w:r>
      <w:r w:rsidR="00464912">
        <w:rPr>
          <w:rFonts w:asciiTheme="minorHAnsi" w:hAnsiTheme="minorHAnsi" w:cstheme="minorHAnsi"/>
          <w:sz w:val="24"/>
          <w:szCs w:val="22"/>
        </w:rPr>
        <w:t xml:space="preserve"> or territory, following which </w:t>
      </w:r>
      <w:r w:rsidRPr="00EF2596">
        <w:rPr>
          <w:rFonts w:asciiTheme="minorHAnsi" w:hAnsiTheme="minorHAnsi" w:cstheme="minorHAnsi"/>
          <w:sz w:val="24"/>
          <w:szCs w:val="22"/>
        </w:rPr>
        <w:t xml:space="preserve">the </w:t>
      </w:r>
      <w:r w:rsidR="00464912">
        <w:rPr>
          <w:rFonts w:asciiTheme="minorHAnsi" w:hAnsiTheme="minorHAnsi" w:cstheme="minorHAnsi"/>
          <w:sz w:val="24"/>
          <w:szCs w:val="22"/>
        </w:rPr>
        <w:t>jurisdiction</w:t>
      </w:r>
      <w:r w:rsidRPr="00EF2596">
        <w:rPr>
          <w:rFonts w:asciiTheme="minorHAnsi" w:hAnsiTheme="minorHAnsi" w:cstheme="minorHAnsi"/>
          <w:sz w:val="24"/>
          <w:szCs w:val="22"/>
        </w:rPr>
        <w:t xml:space="preserve"> with the centre credit will be allocated the kidney instead. In practice, the kidney algorithm automatically ranks states or territories with higher centre credits higher on the rotation list, increasing the opportunity for allocation of the next available organ. </w:t>
      </w:r>
    </w:p>
    <w:p w14:paraId="15541A87" w14:textId="2EA25073" w:rsidR="00666B99" w:rsidRPr="00EF2596" w:rsidRDefault="00666B99" w:rsidP="00C75FAB">
      <w:pPr>
        <w:widowControl/>
        <w:autoSpaceDE/>
        <w:autoSpaceDN/>
        <w:adjustRightInd/>
        <w:spacing w:after="200"/>
        <w:rPr>
          <w:rFonts w:asciiTheme="minorHAnsi" w:hAnsiTheme="minorHAnsi" w:cstheme="minorHAnsi"/>
          <w:sz w:val="24"/>
          <w:szCs w:val="22"/>
        </w:rPr>
      </w:pPr>
      <w:r w:rsidRPr="00EF2596">
        <w:rPr>
          <w:rFonts w:asciiTheme="minorHAnsi" w:hAnsiTheme="minorHAnsi" w:cstheme="minorHAnsi"/>
          <w:sz w:val="24"/>
          <w:szCs w:val="22"/>
        </w:rPr>
        <w:t xml:space="preserve">The </w:t>
      </w:r>
      <w:r w:rsidR="00412748" w:rsidRPr="00412748">
        <w:rPr>
          <w:rFonts w:asciiTheme="minorHAnsi" w:hAnsiTheme="minorHAnsi" w:cstheme="minorHAnsi"/>
          <w:sz w:val="24"/>
          <w:szCs w:val="22"/>
        </w:rPr>
        <w:t>State Balancing S</w:t>
      </w:r>
      <w:r w:rsidRPr="00412748">
        <w:rPr>
          <w:rFonts w:asciiTheme="minorHAnsi" w:hAnsiTheme="minorHAnsi" w:cstheme="minorHAnsi"/>
          <w:sz w:val="24"/>
          <w:szCs w:val="22"/>
        </w:rPr>
        <w:t>ystem</w:t>
      </w:r>
      <w:r w:rsidRPr="00EF2596">
        <w:rPr>
          <w:rFonts w:asciiTheme="minorHAnsi" w:hAnsiTheme="minorHAnsi" w:cstheme="minorHAnsi"/>
          <w:sz w:val="24"/>
          <w:szCs w:val="22"/>
        </w:rPr>
        <w:t xml:space="preserve"> was implemented when donation rates varied considerably between the jurisdictions. As donation rates have become more aligned nationally, </w:t>
      </w:r>
      <w:r w:rsidR="00ED7206">
        <w:rPr>
          <w:rFonts w:asciiTheme="minorHAnsi" w:hAnsiTheme="minorHAnsi" w:cstheme="minorHAnsi"/>
          <w:sz w:val="24"/>
          <w:szCs w:val="22"/>
        </w:rPr>
        <w:t xml:space="preserve">there was generally agreement that its materiality in the current environment should be assessed. </w:t>
      </w:r>
      <w:r w:rsidRPr="00EF2596">
        <w:rPr>
          <w:rFonts w:asciiTheme="minorHAnsi" w:hAnsiTheme="minorHAnsi" w:cstheme="minorHAnsi"/>
          <w:sz w:val="24"/>
          <w:szCs w:val="22"/>
        </w:rPr>
        <w:t xml:space="preserve">However, careful consideration of the implication of removal of the system should be considered through appropriate modelling before any decision can be made. </w:t>
      </w:r>
    </w:p>
    <w:p w14:paraId="568A77BF" w14:textId="4338A91A" w:rsidR="006F4E24" w:rsidRDefault="006F4E24">
      <w:pPr>
        <w:spacing w:after="120"/>
        <w:rPr>
          <w:rFonts w:asciiTheme="minorHAnsi" w:hAnsiTheme="minorHAnsi" w:cstheme="minorHAnsi"/>
          <w:sz w:val="24"/>
          <w:szCs w:val="22"/>
        </w:rPr>
      </w:pPr>
      <w:r w:rsidRPr="004C1C51">
        <w:rPr>
          <w:rFonts w:asciiTheme="minorHAnsi" w:hAnsiTheme="minorHAnsi" w:cstheme="minorHAnsi"/>
          <w:sz w:val="24"/>
          <w:szCs w:val="22"/>
        </w:rPr>
        <w:t xml:space="preserve">The Review found that this element of the allocation process </w:t>
      </w:r>
      <w:r>
        <w:rPr>
          <w:rFonts w:asciiTheme="minorHAnsi" w:hAnsiTheme="minorHAnsi" w:cstheme="minorHAnsi"/>
          <w:sz w:val="24"/>
          <w:szCs w:val="22"/>
        </w:rPr>
        <w:t>has the potential to increase inequity of allocation and drive under performance</w:t>
      </w:r>
      <w:r w:rsidRPr="004C1C51">
        <w:rPr>
          <w:rFonts w:asciiTheme="minorHAnsi" w:hAnsiTheme="minorHAnsi" w:cstheme="minorHAnsi"/>
          <w:sz w:val="24"/>
          <w:szCs w:val="22"/>
        </w:rPr>
        <w:t xml:space="preserve">. </w:t>
      </w:r>
      <w:r>
        <w:rPr>
          <w:rFonts w:asciiTheme="minorHAnsi" w:hAnsiTheme="minorHAnsi" w:cstheme="minorHAnsi"/>
          <w:sz w:val="24"/>
          <w:szCs w:val="22"/>
        </w:rPr>
        <w:t xml:space="preserve">The Review found that those </w:t>
      </w:r>
      <w:r w:rsidR="00A45FCD">
        <w:rPr>
          <w:rFonts w:asciiTheme="minorHAnsi" w:hAnsiTheme="minorHAnsi" w:cstheme="minorHAnsi"/>
          <w:sz w:val="24"/>
          <w:szCs w:val="22"/>
        </w:rPr>
        <w:t xml:space="preserve">jurisdictions </w:t>
      </w:r>
      <w:r>
        <w:rPr>
          <w:rFonts w:asciiTheme="minorHAnsi" w:hAnsiTheme="minorHAnsi" w:cstheme="minorHAnsi"/>
          <w:sz w:val="24"/>
          <w:szCs w:val="22"/>
        </w:rPr>
        <w:t>which maintain small waiting lists, accept less organs for donation and provide a larger amount of organs interstate, have a higher chance of being allocated</w:t>
      </w:r>
      <w:r w:rsidR="00412748">
        <w:rPr>
          <w:rFonts w:asciiTheme="minorHAnsi" w:hAnsiTheme="minorHAnsi" w:cstheme="minorHAnsi"/>
          <w:sz w:val="24"/>
          <w:szCs w:val="22"/>
        </w:rPr>
        <w:t xml:space="preserve"> higher quality organs via the State Balancing S</w:t>
      </w:r>
      <w:r>
        <w:rPr>
          <w:rFonts w:asciiTheme="minorHAnsi" w:hAnsiTheme="minorHAnsi" w:cstheme="minorHAnsi"/>
          <w:sz w:val="24"/>
          <w:szCs w:val="22"/>
        </w:rPr>
        <w:t xml:space="preserve">ystem. This is evident from </w:t>
      </w:r>
      <w:r>
        <w:rPr>
          <w:rFonts w:asciiTheme="minorHAnsi" w:hAnsiTheme="minorHAnsi" w:cstheme="minorHAnsi"/>
          <w:sz w:val="24"/>
          <w:szCs w:val="22"/>
        </w:rPr>
        <w:fldChar w:fldCharType="begin"/>
      </w:r>
      <w:r>
        <w:rPr>
          <w:rFonts w:asciiTheme="minorHAnsi" w:hAnsiTheme="minorHAnsi" w:cstheme="minorHAnsi"/>
          <w:sz w:val="24"/>
          <w:szCs w:val="22"/>
        </w:rPr>
        <w:instrText xml:space="preserve"> REF _Ref527629315 \h  \* MERGEFORMAT </w:instrText>
      </w:r>
      <w:r>
        <w:rPr>
          <w:rFonts w:asciiTheme="minorHAnsi" w:hAnsiTheme="minorHAnsi" w:cstheme="minorHAnsi"/>
          <w:sz w:val="24"/>
          <w:szCs w:val="22"/>
        </w:rPr>
      </w:r>
      <w:r>
        <w:rPr>
          <w:rFonts w:asciiTheme="minorHAnsi" w:hAnsiTheme="minorHAnsi" w:cstheme="minorHAnsi"/>
          <w:sz w:val="24"/>
          <w:szCs w:val="22"/>
        </w:rPr>
        <w:fldChar w:fldCharType="separate"/>
      </w:r>
      <w:r w:rsidR="00A04048" w:rsidRPr="00C75FAB">
        <w:rPr>
          <w:rFonts w:asciiTheme="minorHAnsi" w:hAnsiTheme="minorHAnsi" w:cstheme="minorHAnsi"/>
          <w:sz w:val="24"/>
          <w:szCs w:val="22"/>
        </w:rPr>
        <w:t>Table 20</w:t>
      </w:r>
      <w:r>
        <w:rPr>
          <w:rFonts w:asciiTheme="minorHAnsi" w:hAnsiTheme="minorHAnsi" w:cstheme="minorHAnsi"/>
          <w:sz w:val="24"/>
          <w:szCs w:val="22"/>
        </w:rPr>
        <w:fldChar w:fldCharType="end"/>
      </w:r>
      <w:r w:rsidR="004B474A">
        <w:rPr>
          <w:rFonts w:asciiTheme="minorHAnsi" w:hAnsiTheme="minorHAnsi" w:cstheme="minorHAnsi"/>
          <w:sz w:val="24"/>
          <w:szCs w:val="22"/>
        </w:rPr>
        <w:t xml:space="preserve"> which illustrates</w:t>
      </w:r>
      <w:r>
        <w:rPr>
          <w:rFonts w:asciiTheme="minorHAnsi" w:hAnsiTheme="minorHAnsi" w:cstheme="minorHAnsi"/>
          <w:sz w:val="24"/>
          <w:szCs w:val="22"/>
        </w:rPr>
        <w:t xml:space="preserve"> the number of high quality kidney allocated,</w:t>
      </w:r>
      <w:r w:rsidR="00412748">
        <w:rPr>
          <w:rFonts w:asciiTheme="minorHAnsi" w:hAnsiTheme="minorHAnsi" w:cstheme="minorHAnsi"/>
          <w:sz w:val="24"/>
          <w:szCs w:val="22"/>
        </w:rPr>
        <w:t xml:space="preserve"> offer and accepted within the State Balancing S</w:t>
      </w:r>
      <w:r>
        <w:rPr>
          <w:rFonts w:asciiTheme="minorHAnsi" w:hAnsiTheme="minorHAnsi" w:cstheme="minorHAnsi"/>
          <w:sz w:val="24"/>
          <w:szCs w:val="22"/>
        </w:rPr>
        <w:t>ystem.</w:t>
      </w:r>
    </w:p>
    <w:p w14:paraId="1920B7E6" w14:textId="77777777" w:rsidR="006F4E24" w:rsidRPr="004A0246" w:rsidRDefault="006F4E24" w:rsidP="006F4E24">
      <w:pPr>
        <w:pStyle w:val="Caption"/>
        <w:keepNext/>
        <w:widowControl/>
        <w:spacing w:after="120"/>
        <w:rPr>
          <w:rFonts w:asciiTheme="minorHAnsi" w:hAnsiTheme="minorHAnsi" w:cstheme="minorHAnsi"/>
          <w:color w:val="A6A6A6"/>
          <w:sz w:val="20"/>
        </w:rPr>
      </w:pPr>
      <w:bookmarkStart w:id="644" w:name="_Ref527629315"/>
      <w:r w:rsidRPr="001271F5">
        <w:rPr>
          <w:rFonts w:asciiTheme="minorHAnsi" w:hAnsiTheme="minorHAnsi" w:cstheme="minorHAnsi"/>
          <w:b w:val="0"/>
          <w:color w:val="808080"/>
          <w:sz w:val="20"/>
        </w:rPr>
        <w:t xml:space="preserve">Table </w:t>
      </w:r>
      <w:r w:rsidRPr="001271F5">
        <w:rPr>
          <w:rFonts w:asciiTheme="minorHAnsi" w:hAnsiTheme="minorHAnsi" w:cstheme="minorHAnsi"/>
          <w:b w:val="0"/>
          <w:color w:val="808080"/>
          <w:sz w:val="20"/>
        </w:rPr>
        <w:fldChar w:fldCharType="begin"/>
      </w:r>
      <w:r w:rsidRPr="001271F5">
        <w:rPr>
          <w:rFonts w:asciiTheme="minorHAnsi" w:hAnsiTheme="minorHAnsi" w:cstheme="minorHAnsi"/>
          <w:b w:val="0"/>
          <w:color w:val="808080"/>
          <w:sz w:val="20"/>
        </w:rPr>
        <w:instrText xml:space="preserve"> SEQ Table \* ARABIC </w:instrText>
      </w:r>
      <w:r w:rsidRPr="001271F5">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20</w:t>
      </w:r>
      <w:r w:rsidRPr="001271F5">
        <w:rPr>
          <w:rFonts w:asciiTheme="minorHAnsi" w:hAnsiTheme="minorHAnsi" w:cstheme="minorHAnsi"/>
          <w:b w:val="0"/>
          <w:color w:val="808080"/>
          <w:sz w:val="20"/>
        </w:rPr>
        <w:fldChar w:fldCharType="end"/>
      </w:r>
      <w:bookmarkEnd w:id="644"/>
      <w:r w:rsidRPr="001271F5">
        <w:rPr>
          <w:rFonts w:asciiTheme="minorHAnsi" w:hAnsiTheme="minorHAnsi" w:cstheme="minorHAnsi"/>
          <w:b w:val="0"/>
          <w:color w:val="808080"/>
          <w:sz w:val="20"/>
        </w:rPr>
        <w:t>: Breakdown of kidneys allocated at different levels of the allocation system based on K</w:t>
      </w:r>
      <w:r>
        <w:rPr>
          <w:rFonts w:asciiTheme="minorHAnsi" w:hAnsiTheme="minorHAnsi" w:cstheme="minorHAnsi"/>
          <w:b w:val="0"/>
          <w:color w:val="808080"/>
          <w:sz w:val="20"/>
        </w:rPr>
        <w:t xml:space="preserve">idney </w:t>
      </w:r>
      <w:r w:rsidRPr="001271F5">
        <w:rPr>
          <w:rFonts w:asciiTheme="minorHAnsi" w:hAnsiTheme="minorHAnsi" w:cstheme="minorHAnsi"/>
          <w:b w:val="0"/>
          <w:color w:val="808080"/>
          <w:sz w:val="20"/>
        </w:rPr>
        <w:t>D</w:t>
      </w:r>
      <w:r>
        <w:rPr>
          <w:rFonts w:asciiTheme="minorHAnsi" w:hAnsiTheme="minorHAnsi" w:cstheme="minorHAnsi"/>
          <w:b w:val="0"/>
          <w:color w:val="808080"/>
          <w:sz w:val="20"/>
        </w:rPr>
        <w:t xml:space="preserve">onor </w:t>
      </w:r>
      <w:r w:rsidRPr="001271F5">
        <w:rPr>
          <w:rFonts w:asciiTheme="minorHAnsi" w:hAnsiTheme="minorHAnsi" w:cstheme="minorHAnsi"/>
          <w:b w:val="0"/>
          <w:color w:val="808080"/>
          <w:sz w:val="20"/>
        </w:rPr>
        <w:t>P</w:t>
      </w:r>
      <w:r>
        <w:rPr>
          <w:rFonts w:asciiTheme="minorHAnsi" w:hAnsiTheme="minorHAnsi" w:cstheme="minorHAnsi"/>
          <w:b w:val="0"/>
          <w:color w:val="808080"/>
          <w:sz w:val="20"/>
        </w:rPr>
        <w:t xml:space="preserve">rofile </w:t>
      </w:r>
      <w:r w:rsidRPr="004A0246">
        <w:rPr>
          <w:rFonts w:asciiTheme="minorHAnsi" w:hAnsiTheme="minorHAnsi" w:cstheme="minorHAnsi"/>
          <w:b w:val="0"/>
          <w:color w:val="808080"/>
          <w:sz w:val="20"/>
        </w:rPr>
        <w:t xml:space="preserve">Index score in 2017, SOURCE: </w:t>
      </w:r>
      <w:r w:rsidR="00595702" w:rsidRPr="004A0246">
        <w:rPr>
          <w:rFonts w:asciiTheme="minorHAnsi" w:hAnsiTheme="minorHAnsi" w:cstheme="minorHAnsi"/>
          <w:b w:val="0"/>
          <w:color w:val="808080"/>
          <w:sz w:val="20"/>
        </w:rPr>
        <w:t>NOMS</w:t>
      </w:r>
      <w:r w:rsidRPr="004A0246">
        <w:rPr>
          <w:rStyle w:val="FootnoteReference"/>
          <w:rFonts w:asciiTheme="minorHAnsi" w:hAnsiTheme="minorHAnsi" w:cstheme="minorHAnsi"/>
          <w:color w:val="A6A6A6"/>
        </w:rPr>
        <w:footnoteReference w:id="139"/>
      </w:r>
    </w:p>
    <w:tbl>
      <w:tblPr>
        <w:tblW w:w="836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600" w:firstRow="0" w:lastRow="0" w:firstColumn="0" w:lastColumn="0" w:noHBand="1" w:noVBand="1"/>
      </w:tblPr>
      <w:tblGrid>
        <w:gridCol w:w="2972"/>
        <w:gridCol w:w="1020"/>
        <w:gridCol w:w="820"/>
        <w:gridCol w:w="820"/>
        <w:gridCol w:w="820"/>
        <w:gridCol w:w="940"/>
        <w:gridCol w:w="969"/>
      </w:tblGrid>
      <w:tr w:rsidR="00777678" w:rsidRPr="007B311E" w14:paraId="46076AAB" w14:textId="77777777" w:rsidTr="00407DB0">
        <w:trPr>
          <w:trHeight w:val="283"/>
          <w:tblHeader/>
        </w:trPr>
        <w:tc>
          <w:tcPr>
            <w:tcW w:w="2972" w:type="dxa"/>
            <w:vMerge w:val="restart"/>
            <w:shd w:val="clear" w:color="auto" w:fill="595959" w:themeFill="text1" w:themeFillTint="A6"/>
            <w:tcMar>
              <w:top w:w="12" w:type="dxa"/>
              <w:left w:w="12" w:type="dxa"/>
              <w:bottom w:w="0" w:type="dxa"/>
              <w:right w:w="12" w:type="dxa"/>
            </w:tcMar>
            <w:vAlign w:val="bottom"/>
          </w:tcPr>
          <w:p w14:paraId="173BC068" w14:textId="4A61D7F4" w:rsidR="00777678" w:rsidRPr="007B311E" w:rsidRDefault="00777678" w:rsidP="008E083E">
            <w:pPr>
              <w:spacing w:before="40" w:after="40"/>
              <w:ind w:left="113"/>
              <w:rPr>
                <w:rFonts w:asciiTheme="minorHAnsi" w:hAnsiTheme="minorHAnsi" w:cstheme="minorHAnsi"/>
                <w:b/>
                <w:bCs/>
                <w:color w:val="FFFFFF" w:themeColor="background1"/>
                <w:szCs w:val="18"/>
              </w:rPr>
            </w:pPr>
            <w:r w:rsidRPr="007B311E">
              <w:rPr>
                <w:rFonts w:asciiTheme="minorHAnsi" w:hAnsiTheme="minorHAnsi" w:cstheme="minorHAnsi"/>
                <w:b/>
                <w:bCs/>
                <w:color w:val="FFFFFF" w:themeColor="background1"/>
                <w:szCs w:val="18"/>
              </w:rPr>
              <w:t>Allocation level</w:t>
            </w:r>
          </w:p>
        </w:tc>
        <w:tc>
          <w:tcPr>
            <w:tcW w:w="5389" w:type="dxa"/>
            <w:gridSpan w:val="6"/>
            <w:shd w:val="clear" w:color="auto" w:fill="595959" w:themeFill="text1" w:themeFillTint="A6"/>
            <w:tcMar>
              <w:top w:w="12" w:type="dxa"/>
              <w:left w:w="12" w:type="dxa"/>
              <w:bottom w:w="0" w:type="dxa"/>
              <w:right w:w="12" w:type="dxa"/>
            </w:tcMar>
            <w:vAlign w:val="center"/>
          </w:tcPr>
          <w:p w14:paraId="6A51250E" w14:textId="77777777" w:rsidR="00777678" w:rsidRPr="00A36170" w:rsidRDefault="00777678" w:rsidP="008E083E">
            <w:pPr>
              <w:spacing w:before="40" w:after="40"/>
              <w:jc w:val="center"/>
              <w:rPr>
                <w:rFonts w:asciiTheme="minorHAnsi" w:hAnsiTheme="minorHAnsi" w:cstheme="minorHAnsi"/>
                <w:b/>
                <w:bCs/>
                <w:color w:val="FFFFFF" w:themeColor="background1"/>
                <w:szCs w:val="18"/>
              </w:rPr>
            </w:pPr>
            <w:r w:rsidRPr="00A36170">
              <w:rPr>
                <w:rFonts w:asciiTheme="minorHAnsi" w:hAnsiTheme="minorHAnsi" w:cstheme="minorHAnsi"/>
                <w:b/>
                <w:bCs/>
                <w:color w:val="FFFFFF" w:themeColor="background1"/>
                <w:szCs w:val="18"/>
              </w:rPr>
              <w:t>Kidney quality as per KDPI score in 2017</w:t>
            </w:r>
          </w:p>
        </w:tc>
      </w:tr>
      <w:tr w:rsidR="00777678" w:rsidRPr="007B311E" w14:paraId="360E5E48" w14:textId="77777777" w:rsidTr="008E083E">
        <w:trPr>
          <w:trHeight w:val="283"/>
          <w:tblHeader/>
        </w:trPr>
        <w:tc>
          <w:tcPr>
            <w:tcW w:w="2972" w:type="dxa"/>
            <w:vMerge/>
            <w:shd w:val="clear" w:color="auto" w:fill="595959" w:themeFill="text1" w:themeFillTint="A6"/>
            <w:tcMar>
              <w:top w:w="12" w:type="dxa"/>
              <w:left w:w="12" w:type="dxa"/>
              <w:bottom w:w="0" w:type="dxa"/>
              <w:right w:w="12" w:type="dxa"/>
            </w:tcMar>
            <w:vAlign w:val="bottom"/>
            <w:hideMark/>
          </w:tcPr>
          <w:p w14:paraId="25940122" w14:textId="1B3138EF" w:rsidR="00777678" w:rsidRPr="007B311E" w:rsidRDefault="00777678" w:rsidP="008E083E">
            <w:pPr>
              <w:spacing w:before="40" w:after="40"/>
              <w:ind w:left="113"/>
              <w:rPr>
                <w:rFonts w:asciiTheme="minorHAnsi" w:hAnsiTheme="minorHAnsi" w:cstheme="minorHAnsi"/>
                <w:color w:val="FFFFFF" w:themeColor="background1"/>
                <w:szCs w:val="18"/>
              </w:rPr>
            </w:pPr>
          </w:p>
        </w:tc>
        <w:tc>
          <w:tcPr>
            <w:tcW w:w="1020" w:type="dxa"/>
            <w:shd w:val="clear" w:color="auto" w:fill="595959" w:themeFill="text1" w:themeFillTint="A6"/>
            <w:tcMar>
              <w:top w:w="12" w:type="dxa"/>
              <w:left w:w="12" w:type="dxa"/>
              <w:bottom w:w="0" w:type="dxa"/>
              <w:right w:w="12" w:type="dxa"/>
            </w:tcMar>
            <w:vAlign w:val="center"/>
            <w:hideMark/>
          </w:tcPr>
          <w:p w14:paraId="39FC351E" w14:textId="77777777" w:rsidR="00777678" w:rsidRPr="007B311E" w:rsidRDefault="00777678" w:rsidP="008E083E">
            <w:pPr>
              <w:spacing w:before="40" w:after="40"/>
              <w:jc w:val="center"/>
              <w:rPr>
                <w:rFonts w:asciiTheme="minorHAnsi" w:hAnsiTheme="minorHAnsi" w:cstheme="minorHAnsi"/>
                <w:color w:val="FFFFFF" w:themeColor="background1"/>
                <w:szCs w:val="18"/>
              </w:rPr>
            </w:pPr>
            <w:r w:rsidRPr="007B311E">
              <w:rPr>
                <w:rFonts w:asciiTheme="minorHAnsi" w:hAnsiTheme="minorHAnsi" w:cstheme="minorHAnsi"/>
                <w:b/>
                <w:bCs/>
                <w:color w:val="FFFFFF" w:themeColor="background1"/>
                <w:szCs w:val="18"/>
              </w:rPr>
              <w:t>0-20</w:t>
            </w:r>
          </w:p>
        </w:tc>
        <w:tc>
          <w:tcPr>
            <w:tcW w:w="820" w:type="dxa"/>
            <w:shd w:val="clear" w:color="auto" w:fill="595959" w:themeFill="text1" w:themeFillTint="A6"/>
            <w:tcMar>
              <w:top w:w="12" w:type="dxa"/>
              <w:left w:w="12" w:type="dxa"/>
              <w:bottom w:w="0" w:type="dxa"/>
              <w:right w:w="12" w:type="dxa"/>
            </w:tcMar>
            <w:vAlign w:val="center"/>
            <w:hideMark/>
          </w:tcPr>
          <w:p w14:paraId="1B8E897B" w14:textId="77777777" w:rsidR="00777678" w:rsidRPr="007B311E" w:rsidRDefault="00777678" w:rsidP="008E083E">
            <w:pPr>
              <w:spacing w:before="40" w:after="40"/>
              <w:jc w:val="center"/>
              <w:rPr>
                <w:rFonts w:asciiTheme="minorHAnsi" w:hAnsiTheme="minorHAnsi" w:cstheme="minorHAnsi"/>
                <w:color w:val="FFFFFF" w:themeColor="background1"/>
                <w:szCs w:val="18"/>
              </w:rPr>
            </w:pPr>
            <w:r w:rsidRPr="007B311E">
              <w:rPr>
                <w:rFonts w:asciiTheme="minorHAnsi" w:hAnsiTheme="minorHAnsi" w:cstheme="minorHAnsi"/>
                <w:b/>
                <w:bCs/>
                <w:color w:val="FFFFFF" w:themeColor="background1"/>
                <w:szCs w:val="18"/>
              </w:rPr>
              <w:t>21-40</w:t>
            </w:r>
          </w:p>
        </w:tc>
        <w:tc>
          <w:tcPr>
            <w:tcW w:w="820" w:type="dxa"/>
            <w:shd w:val="clear" w:color="auto" w:fill="595959" w:themeFill="text1" w:themeFillTint="A6"/>
            <w:tcMar>
              <w:top w:w="12" w:type="dxa"/>
              <w:left w:w="12" w:type="dxa"/>
              <w:bottom w:w="0" w:type="dxa"/>
              <w:right w:w="12" w:type="dxa"/>
            </w:tcMar>
            <w:vAlign w:val="center"/>
            <w:hideMark/>
          </w:tcPr>
          <w:p w14:paraId="463CF565" w14:textId="77777777" w:rsidR="00777678" w:rsidRPr="007B311E" w:rsidRDefault="00777678" w:rsidP="008E083E">
            <w:pPr>
              <w:spacing w:before="40" w:after="40"/>
              <w:jc w:val="center"/>
              <w:rPr>
                <w:rFonts w:asciiTheme="minorHAnsi" w:hAnsiTheme="minorHAnsi" w:cstheme="minorHAnsi"/>
                <w:color w:val="FFFFFF" w:themeColor="background1"/>
                <w:szCs w:val="18"/>
              </w:rPr>
            </w:pPr>
            <w:r w:rsidRPr="007B311E">
              <w:rPr>
                <w:rFonts w:asciiTheme="minorHAnsi" w:hAnsiTheme="minorHAnsi" w:cstheme="minorHAnsi"/>
                <w:b/>
                <w:bCs/>
                <w:color w:val="FFFFFF" w:themeColor="background1"/>
                <w:szCs w:val="18"/>
              </w:rPr>
              <w:t>41-60</w:t>
            </w:r>
          </w:p>
        </w:tc>
        <w:tc>
          <w:tcPr>
            <w:tcW w:w="820" w:type="dxa"/>
            <w:shd w:val="clear" w:color="auto" w:fill="595959" w:themeFill="text1" w:themeFillTint="A6"/>
            <w:tcMar>
              <w:top w:w="12" w:type="dxa"/>
              <w:left w:w="12" w:type="dxa"/>
              <w:bottom w:w="0" w:type="dxa"/>
              <w:right w:w="12" w:type="dxa"/>
            </w:tcMar>
            <w:vAlign w:val="center"/>
            <w:hideMark/>
          </w:tcPr>
          <w:p w14:paraId="2B9F08FF" w14:textId="77777777" w:rsidR="00777678" w:rsidRPr="007B311E" w:rsidRDefault="00777678" w:rsidP="008E083E">
            <w:pPr>
              <w:spacing w:before="40" w:after="40"/>
              <w:jc w:val="center"/>
              <w:rPr>
                <w:rFonts w:asciiTheme="minorHAnsi" w:hAnsiTheme="minorHAnsi" w:cstheme="minorHAnsi"/>
                <w:color w:val="FFFFFF" w:themeColor="background1"/>
                <w:szCs w:val="18"/>
              </w:rPr>
            </w:pPr>
            <w:r w:rsidRPr="007B311E">
              <w:rPr>
                <w:rFonts w:asciiTheme="minorHAnsi" w:hAnsiTheme="minorHAnsi" w:cstheme="minorHAnsi"/>
                <w:b/>
                <w:bCs/>
                <w:color w:val="FFFFFF" w:themeColor="background1"/>
                <w:szCs w:val="18"/>
              </w:rPr>
              <w:t>61-80</w:t>
            </w:r>
          </w:p>
        </w:tc>
        <w:tc>
          <w:tcPr>
            <w:tcW w:w="940" w:type="dxa"/>
            <w:shd w:val="clear" w:color="auto" w:fill="595959" w:themeFill="text1" w:themeFillTint="A6"/>
            <w:tcMar>
              <w:top w:w="12" w:type="dxa"/>
              <w:left w:w="12" w:type="dxa"/>
              <w:bottom w:w="0" w:type="dxa"/>
              <w:right w:w="12" w:type="dxa"/>
            </w:tcMar>
            <w:vAlign w:val="center"/>
            <w:hideMark/>
          </w:tcPr>
          <w:p w14:paraId="0F28E84B" w14:textId="77777777" w:rsidR="00777678" w:rsidRPr="007B311E" w:rsidRDefault="00777678" w:rsidP="008E083E">
            <w:pPr>
              <w:spacing w:before="40" w:after="40"/>
              <w:jc w:val="center"/>
              <w:rPr>
                <w:rFonts w:asciiTheme="minorHAnsi" w:hAnsiTheme="minorHAnsi" w:cstheme="minorHAnsi"/>
                <w:color w:val="FFFFFF" w:themeColor="background1"/>
                <w:szCs w:val="18"/>
              </w:rPr>
            </w:pPr>
            <w:r w:rsidRPr="007B311E">
              <w:rPr>
                <w:rFonts w:asciiTheme="minorHAnsi" w:hAnsiTheme="minorHAnsi" w:cstheme="minorHAnsi"/>
                <w:b/>
                <w:bCs/>
                <w:color w:val="FFFFFF" w:themeColor="background1"/>
                <w:szCs w:val="18"/>
              </w:rPr>
              <w:t>81-100</w:t>
            </w:r>
          </w:p>
        </w:tc>
        <w:tc>
          <w:tcPr>
            <w:tcW w:w="969" w:type="dxa"/>
            <w:shd w:val="clear" w:color="auto" w:fill="595959" w:themeFill="text1" w:themeFillTint="A6"/>
            <w:tcMar>
              <w:top w:w="12" w:type="dxa"/>
              <w:left w:w="12" w:type="dxa"/>
              <w:bottom w:w="0" w:type="dxa"/>
              <w:right w:w="12" w:type="dxa"/>
            </w:tcMar>
            <w:vAlign w:val="center"/>
            <w:hideMark/>
          </w:tcPr>
          <w:p w14:paraId="2F644DEE" w14:textId="77777777" w:rsidR="00777678" w:rsidRPr="007B311E" w:rsidRDefault="00777678" w:rsidP="008E083E">
            <w:pPr>
              <w:spacing w:before="40" w:after="40"/>
              <w:jc w:val="center"/>
              <w:rPr>
                <w:rFonts w:asciiTheme="minorHAnsi" w:hAnsiTheme="minorHAnsi" w:cstheme="minorHAnsi"/>
                <w:color w:val="FFFFFF" w:themeColor="background1"/>
                <w:szCs w:val="18"/>
              </w:rPr>
            </w:pPr>
            <w:r w:rsidRPr="007B311E">
              <w:rPr>
                <w:rFonts w:asciiTheme="minorHAnsi" w:hAnsiTheme="minorHAnsi" w:cstheme="minorHAnsi"/>
                <w:b/>
                <w:bCs/>
                <w:color w:val="FFFFFF" w:themeColor="background1"/>
                <w:szCs w:val="18"/>
              </w:rPr>
              <w:t>Total</w:t>
            </w:r>
          </w:p>
        </w:tc>
      </w:tr>
      <w:tr w:rsidR="006F4E24" w:rsidRPr="007B311E" w14:paraId="2369E98D" w14:textId="77777777" w:rsidTr="008E083E">
        <w:trPr>
          <w:trHeight w:val="283"/>
        </w:trPr>
        <w:tc>
          <w:tcPr>
            <w:tcW w:w="2972" w:type="dxa"/>
            <w:shd w:val="clear" w:color="auto" w:fill="auto"/>
            <w:tcMar>
              <w:top w:w="12" w:type="dxa"/>
              <w:left w:w="12" w:type="dxa"/>
              <w:bottom w:w="0" w:type="dxa"/>
              <w:right w:w="12" w:type="dxa"/>
            </w:tcMar>
            <w:vAlign w:val="bottom"/>
            <w:hideMark/>
          </w:tcPr>
          <w:p w14:paraId="6043BA2F" w14:textId="77777777" w:rsidR="006F4E24" w:rsidRPr="007B311E" w:rsidRDefault="006F4E24" w:rsidP="002A27FE">
            <w:pPr>
              <w:spacing w:before="40" w:after="40"/>
              <w:ind w:left="113"/>
              <w:rPr>
                <w:rFonts w:asciiTheme="minorHAnsi" w:hAnsiTheme="minorHAnsi" w:cstheme="minorHAnsi"/>
                <w:szCs w:val="18"/>
              </w:rPr>
            </w:pPr>
            <w:r w:rsidRPr="007B311E">
              <w:rPr>
                <w:rFonts w:asciiTheme="minorHAnsi" w:hAnsiTheme="minorHAnsi" w:cstheme="minorHAnsi"/>
                <w:szCs w:val="18"/>
              </w:rPr>
              <w:t>Multi organ</w:t>
            </w:r>
          </w:p>
        </w:tc>
        <w:tc>
          <w:tcPr>
            <w:tcW w:w="1020" w:type="dxa"/>
            <w:shd w:val="clear" w:color="auto" w:fill="auto"/>
            <w:tcMar>
              <w:top w:w="12" w:type="dxa"/>
              <w:left w:w="12" w:type="dxa"/>
              <w:bottom w:w="0" w:type="dxa"/>
              <w:right w:w="12" w:type="dxa"/>
            </w:tcMar>
            <w:vAlign w:val="center"/>
            <w:hideMark/>
          </w:tcPr>
          <w:p w14:paraId="214A8899"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47%</w:t>
            </w:r>
          </w:p>
        </w:tc>
        <w:tc>
          <w:tcPr>
            <w:tcW w:w="820" w:type="dxa"/>
            <w:shd w:val="clear" w:color="auto" w:fill="auto"/>
            <w:tcMar>
              <w:top w:w="12" w:type="dxa"/>
              <w:left w:w="12" w:type="dxa"/>
              <w:bottom w:w="0" w:type="dxa"/>
              <w:right w:w="12" w:type="dxa"/>
            </w:tcMar>
            <w:vAlign w:val="center"/>
            <w:hideMark/>
          </w:tcPr>
          <w:p w14:paraId="43672229"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47%</w:t>
            </w:r>
          </w:p>
        </w:tc>
        <w:tc>
          <w:tcPr>
            <w:tcW w:w="820" w:type="dxa"/>
            <w:shd w:val="clear" w:color="auto" w:fill="auto"/>
            <w:tcMar>
              <w:top w:w="12" w:type="dxa"/>
              <w:left w:w="12" w:type="dxa"/>
              <w:bottom w:w="0" w:type="dxa"/>
              <w:right w:w="12" w:type="dxa"/>
            </w:tcMar>
            <w:vAlign w:val="center"/>
            <w:hideMark/>
          </w:tcPr>
          <w:p w14:paraId="66964ACB"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7%</w:t>
            </w:r>
          </w:p>
        </w:tc>
        <w:tc>
          <w:tcPr>
            <w:tcW w:w="820" w:type="dxa"/>
            <w:shd w:val="clear" w:color="auto" w:fill="auto"/>
            <w:tcMar>
              <w:top w:w="12" w:type="dxa"/>
              <w:left w:w="12" w:type="dxa"/>
              <w:bottom w:w="0" w:type="dxa"/>
              <w:right w:w="12" w:type="dxa"/>
            </w:tcMar>
            <w:vAlign w:val="center"/>
            <w:hideMark/>
          </w:tcPr>
          <w:p w14:paraId="2EC04E06"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0%</w:t>
            </w:r>
          </w:p>
        </w:tc>
        <w:tc>
          <w:tcPr>
            <w:tcW w:w="940" w:type="dxa"/>
            <w:shd w:val="clear" w:color="auto" w:fill="auto"/>
            <w:tcMar>
              <w:top w:w="12" w:type="dxa"/>
              <w:left w:w="12" w:type="dxa"/>
              <w:bottom w:w="0" w:type="dxa"/>
              <w:right w:w="12" w:type="dxa"/>
            </w:tcMar>
            <w:vAlign w:val="center"/>
            <w:hideMark/>
          </w:tcPr>
          <w:p w14:paraId="227E14D2"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0%</w:t>
            </w:r>
          </w:p>
        </w:tc>
        <w:tc>
          <w:tcPr>
            <w:tcW w:w="969" w:type="dxa"/>
            <w:shd w:val="clear" w:color="auto" w:fill="auto"/>
            <w:tcMar>
              <w:top w:w="12" w:type="dxa"/>
              <w:left w:w="12" w:type="dxa"/>
              <w:bottom w:w="0" w:type="dxa"/>
              <w:right w:w="12" w:type="dxa"/>
            </w:tcMar>
            <w:vAlign w:val="center"/>
            <w:hideMark/>
          </w:tcPr>
          <w:p w14:paraId="59F1918E"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100%</w:t>
            </w:r>
          </w:p>
        </w:tc>
      </w:tr>
      <w:tr w:rsidR="006F4E24" w:rsidRPr="007B311E" w14:paraId="640381CA" w14:textId="77777777" w:rsidTr="00F526D8">
        <w:trPr>
          <w:trHeight w:val="283"/>
        </w:trPr>
        <w:tc>
          <w:tcPr>
            <w:tcW w:w="2972" w:type="dxa"/>
            <w:shd w:val="clear" w:color="auto" w:fill="auto"/>
            <w:tcMar>
              <w:top w:w="12" w:type="dxa"/>
              <w:left w:w="12" w:type="dxa"/>
              <w:bottom w:w="0" w:type="dxa"/>
              <w:right w:w="12" w:type="dxa"/>
            </w:tcMar>
            <w:vAlign w:val="bottom"/>
            <w:hideMark/>
          </w:tcPr>
          <w:p w14:paraId="31318E74" w14:textId="77777777" w:rsidR="006F4E24" w:rsidRPr="001C6178" w:rsidRDefault="006F4E24" w:rsidP="002A27FE">
            <w:pPr>
              <w:spacing w:before="40" w:after="40"/>
              <w:ind w:left="113"/>
              <w:rPr>
                <w:rFonts w:asciiTheme="minorHAnsi" w:hAnsiTheme="minorHAnsi" w:cstheme="minorHAnsi"/>
                <w:szCs w:val="18"/>
              </w:rPr>
            </w:pPr>
            <w:r w:rsidRPr="001C6178">
              <w:rPr>
                <w:rFonts w:asciiTheme="minorHAnsi" w:hAnsiTheme="minorHAnsi" w:cstheme="minorHAnsi"/>
                <w:szCs w:val="18"/>
              </w:rPr>
              <w:t>National</w:t>
            </w:r>
          </w:p>
        </w:tc>
        <w:tc>
          <w:tcPr>
            <w:tcW w:w="1020" w:type="dxa"/>
            <w:shd w:val="clear" w:color="auto" w:fill="auto"/>
            <w:tcMar>
              <w:top w:w="12" w:type="dxa"/>
              <w:left w:w="12" w:type="dxa"/>
              <w:bottom w:w="0" w:type="dxa"/>
              <w:right w:w="12" w:type="dxa"/>
            </w:tcMar>
            <w:vAlign w:val="center"/>
            <w:hideMark/>
          </w:tcPr>
          <w:p w14:paraId="5532D5E0" w14:textId="77777777" w:rsidR="006F4E24" w:rsidRPr="00A36170" w:rsidRDefault="006F4E24" w:rsidP="002A27FE">
            <w:pPr>
              <w:spacing w:before="40" w:after="40"/>
              <w:jc w:val="center"/>
              <w:rPr>
                <w:rFonts w:asciiTheme="minorHAnsi" w:hAnsiTheme="minorHAnsi" w:cstheme="minorHAnsi"/>
                <w:szCs w:val="18"/>
              </w:rPr>
            </w:pPr>
            <w:r w:rsidRPr="00A36170">
              <w:rPr>
                <w:rFonts w:asciiTheme="minorHAnsi" w:hAnsiTheme="minorHAnsi" w:cstheme="minorHAnsi"/>
                <w:szCs w:val="18"/>
              </w:rPr>
              <w:t>22%</w:t>
            </w:r>
          </w:p>
        </w:tc>
        <w:tc>
          <w:tcPr>
            <w:tcW w:w="820" w:type="dxa"/>
            <w:shd w:val="clear" w:color="auto" w:fill="auto"/>
            <w:tcMar>
              <w:top w:w="12" w:type="dxa"/>
              <w:left w:w="12" w:type="dxa"/>
              <w:bottom w:w="0" w:type="dxa"/>
              <w:right w:w="12" w:type="dxa"/>
            </w:tcMar>
            <w:vAlign w:val="center"/>
            <w:hideMark/>
          </w:tcPr>
          <w:p w14:paraId="1A43D522"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34%</w:t>
            </w:r>
          </w:p>
        </w:tc>
        <w:tc>
          <w:tcPr>
            <w:tcW w:w="820" w:type="dxa"/>
            <w:shd w:val="clear" w:color="auto" w:fill="auto"/>
            <w:tcMar>
              <w:top w:w="12" w:type="dxa"/>
              <w:left w:w="12" w:type="dxa"/>
              <w:bottom w:w="0" w:type="dxa"/>
              <w:right w:w="12" w:type="dxa"/>
            </w:tcMar>
            <w:vAlign w:val="center"/>
            <w:hideMark/>
          </w:tcPr>
          <w:p w14:paraId="37543C43"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19%</w:t>
            </w:r>
          </w:p>
        </w:tc>
        <w:tc>
          <w:tcPr>
            <w:tcW w:w="820" w:type="dxa"/>
            <w:shd w:val="clear" w:color="auto" w:fill="auto"/>
            <w:tcMar>
              <w:top w:w="12" w:type="dxa"/>
              <w:left w:w="12" w:type="dxa"/>
              <w:bottom w:w="0" w:type="dxa"/>
              <w:right w:w="12" w:type="dxa"/>
            </w:tcMar>
            <w:vAlign w:val="center"/>
            <w:hideMark/>
          </w:tcPr>
          <w:p w14:paraId="3598B80C"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17%</w:t>
            </w:r>
          </w:p>
        </w:tc>
        <w:tc>
          <w:tcPr>
            <w:tcW w:w="940" w:type="dxa"/>
            <w:shd w:val="clear" w:color="auto" w:fill="auto"/>
            <w:tcMar>
              <w:top w:w="12" w:type="dxa"/>
              <w:left w:w="12" w:type="dxa"/>
              <w:bottom w:w="0" w:type="dxa"/>
              <w:right w:w="12" w:type="dxa"/>
            </w:tcMar>
            <w:vAlign w:val="center"/>
            <w:hideMark/>
          </w:tcPr>
          <w:p w14:paraId="3ED978CE"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8%</w:t>
            </w:r>
          </w:p>
        </w:tc>
        <w:tc>
          <w:tcPr>
            <w:tcW w:w="969" w:type="dxa"/>
            <w:shd w:val="clear" w:color="auto" w:fill="auto"/>
            <w:tcMar>
              <w:top w:w="12" w:type="dxa"/>
              <w:left w:w="12" w:type="dxa"/>
              <w:bottom w:w="0" w:type="dxa"/>
              <w:right w:w="12" w:type="dxa"/>
            </w:tcMar>
            <w:vAlign w:val="center"/>
            <w:hideMark/>
          </w:tcPr>
          <w:p w14:paraId="37FC4583"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100%</w:t>
            </w:r>
          </w:p>
        </w:tc>
      </w:tr>
      <w:tr w:rsidR="006F4E24" w:rsidRPr="007B311E" w14:paraId="3BDFB138" w14:textId="77777777" w:rsidTr="008E083E">
        <w:trPr>
          <w:trHeight w:val="283"/>
        </w:trPr>
        <w:tc>
          <w:tcPr>
            <w:tcW w:w="2972" w:type="dxa"/>
            <w:shd w:val="clear" w:color="auto" w:fill="auto"/>
            <w:tcMar>
              <w:top w:w="12" w:type="dxa"/>
              <w:left w:w="12" w:type="dxa"/>
              <w:bottom w:w="0" w:type="dxa"/>
              <w:right w:w="12" w:type="dxa"/>
            </w:tcMar>
            <w:vAlign w:val="bottom"/>
            <w:hideMark/>
          </w:tcPr>
          <w:p w14:paraId="7596FBFE" w14:textId="77777777" w:rsidR="006F4E24" w:rsidRPr="007B311E" w:rsidRDefault="006F4E24" w:rsidP="002A27FE">
            <w:pPr>
              <w:spacing w:before="40" w:after="40"/>
              <w:ind w:left="113"/>
              <w:rPr>
                <w:rFonts w:asciiTheme="minorHAnsi" w:hAnsiTheme="minorHAnsi" w:cstheme="minorHAnsi"/>
                <w:szCs w:val="18"/>
              </w:rPr>
            </w:pPr>
            <w:r w:rsidRPr="007B311E">
              <w:rPr>
                <w:rFonts w:asciiTheme="minorHAnsi" w:hAnsiTheme="minorHAnsi" w:cstheme="minorHAnsi"/>
                <w:szCs w:val="18"/>
              </w:rPr>
              <w:t>Interstate – home state decline</w:t>
            </w:r>
          </w:p>
        </w:tc>
        <w:tc>
          <w:tcPr>
            <w:tcW w:w="1020" w:type="dxa"/>
            <w:shd w:val="clear" w:color="auto" w:fill="auto"/>
            <w:tcMar>
              <w:top w:w="12" w:type="dxa"/>
              <w:left w:w="12" w:type="dxa"/>
              <w:bottom w:w="0" w:type="dxa"/>
              <w:right w:w="12" w:type="dxa"/>
            </w:tcMar>
            <w:vAlign w:val="center"/>
            <w:hideMark/>
          </w:tcPr>
          <w:p w14:paraId="3C4E48C4"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18%</w:t>
            </w:r>
          </w:p>
        </w:tc>
        <w:tc>
          <w:tcPr>
            <w:tcW w:w="820" w:type="dxa"/>
            <w:shd w:val="clear" w:color="auto" w:fill="auto"/>
            <w:tcMar>
              <w:top w:w="12" w:type="dxa"/>
              <w:left w:w="12" w:type="dxa"/>
              <w:bottom w:w="0" w:type="dxa"/>
              <w:right w:w="12" w:type="dxa"/>
            </w:tcMar>
            <w:vAlign w:val="center"/>
            <w:hideMark/>
          </w:tcPr>
          <w:p w14:paraId="224A6D08"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35%</w:t>
            </w:r>
          </w:p>
        </w:tc>
        <w:tc>
          <w:tcPr>
            <w:tcW w:w="820" w:type="dxa"/>
            <w:shd w:val="clear" w:color="auto" w:fill="auto"/>
            <w:tcMar>
              <w:top w:w="12" w:type="dxa"/>
              <w:left w:w="12" w:type="dxa"/>
              <w:bottom w:w="0" w:type="dxa"/>
              <w:right w:w="12" w:type="dxa"/>
            </w:tcMar>
            <w:vAlign w:val="center"/>
            <w:hideMark/>
          </w:tcPr>
          <w:p w14:paraId="1C459FFA"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20%</w:t>
            </w:r>
          </w:p>
        </w:tc>
        <w:tc>
          <w:tcPr>
            <w:tcW w:w="820" w:type="dxa"/>
            <w:shd w:val="clear" w:color="auto" w:fill="auto"/>
            <w:tcMar>
              <w:top w:w="12" w:type="dxa"/>
              <w:left w:w="12" w:type="dxa"/>
              <w:bottom w:w="0" w:type="dxa"/>
              <w:right w:w="12" w:type="dxa"/>
            </w:tcMar>
            <w:vAlign w:val="center"/>
            <w:hideMark/>
          </w:tcPr>
          <w:p w14:paraId="36170C05"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13%</w:t>
            </w:r>
          </w:p>
        </w:tc>
        <w:tc>
          <w:tcPr>
            <w:tcW w:w="940" w:type="dxa"/>
            <w:shd w:val="clear" w:color="auto" w:fill="auto"/>
            <w:tcMar>
              <w:top w:w="12" w:type="dxa"/>
              <w:left w:w="12" w:type="dxa"/>
              <w:bottom w:w="0" w:type="dxa"/>
              <w:right w:w="12" w:type="dxa"/>
            </w:tcMar>
            <w:vAlign w:val="center"/>
            <w:hideMark/>
          </w:tcPr>
          <w:p w14:paraId="2D34D942"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15%</w:t>
            </w:r>
          </w:p>
        </w:tc>
        <w:tc>
          <w:tcPr>
            <w:tcW w:w="969" w:type="dxa"/>
            <w:shd w:val="clear" w:color="auto" w:fill="auto"/>
            <w:tcMar>
              <w:top w:w="12" w:type="dxa"/>
              <w:left w:w="12" w:type="dxa"/>
              <w:bottom w:w="0" w:type="dxa"/>
              <w:right w:w="12" w:type="dxa"/>
            </w:tcMar>
            <w:vAlign w:val="center"/>
            <w:hideMark/>
          </w:tcPr>
          <w:p w14:paraId="5F7F90B7"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100%</w:t>
            </w:r>
          </w:p>
        </w:tc>
      </w:tr>
      <w:tr w:rsidR="006F4E24" w:rsidRPr="007B311E" w14:paraId="1745D66C" w14:textId="77777777" w:rsidTr="00F526D8">
        <w:trPr>
          <w:trHeight w:val="48"/>
        </w:trPr>
        <w:tc>
          <w:tcPr>
            <w:tcW w:w="2972" w:type="dxa"/>
            <w:shd w:val="clear" w:color="auto" w:fill="auto"/>
            <w:tcMar>
              <w:top w:w="12" w:type="dxa"/>
              <w:left w:w="12" w:type="dxa"/>
              <w:bottom w:w="0" w:type="dxa"/>
              <w:right w:w="12" w:type="dxa"/>
            </w:tcMar>
            <w:vAlign w:val="bottom"/>
            <w:hideMark/>
          </w:tcPr>
          <w:p w14:paraId="0F9E8B09" w14:textId="77777777" w:rsidR="006F4E24" w:rsidRPr="001C6178" w:rsidRDefault="006F4E24" w:rsidP="002A27FE">
            <w:pPr>
              <w:spacing w:before="40" w:after="40"/>
              <w:ind w:left="113"/>
              <w:rPr>
                <w:rFonts w:asciiTheme="minorHAnsi" w:hAnsiTheme="minorHAnsi" w:cstheme="minorHAnsi"/>
                <w:szCs w:val="18"/>
              </w:rPr>
            </w:pPr>
            <w:r w:rsidRPr="001C6178">
              <w:rPr>
                <w:rFonts w:asciiTheme="minorHAnsi" w:hAnsiTheme="minorHAnsi" w:cstheme="minorHAnsi"/>
                <w:szCs w:val="18"/>
              </w:rPr>
              <w:t>National – state balancing</w:t>
            </w:r>
          </w:p>
        </w:tc>
        <w:tc>
          <w:tcPr>
            <w:tcW w:w="1020" w:type="dxa"/>
            <w:shd w:val="clear" w:color="auto" w:fill="auto"/>
            <w:tcMar>
              <w:top w:w="12" w:type="dxa"/>
              <w:left w:w="12" w:type="dxa"/>
              <w:bottom w:w="0" w:type="dxa"/>
              <w:right w:w="12" w:type="dxa"/>
            </w:tcMar>
            <w:vAlign w:val="center"/>
            <w:hideMark/>
          </w:tcPr>
          <w:p w14:paraId="50489C01" w14:textId="77777777" w:rsidR="006F4E24" w:rsidRPr="00A36170" w:rsidRDefault="006F4E24" w:rsidP="002A27FE">
            <w:pPr>
              <w:spacing w:before="40" w:after="40"/>
              <w:jc w:val="center"/>
              <w:rPr>
                <w:rFonts w:asciiTheme="minorHAnsi" w:hAnsiTheme="minorHAnsi" w:cstheme="minorHAnsi"/>
                <w:szCs w:val="18"/>
              </w:rPr>
            </w:pPr>
            <w:r w:rsidRPr="00A36170">
              <w:rPr>
                <w:rFonts w:asciiTheme="minorHAnsi" w:hAnsiTheme="minorHAnsi" w:cstheme="minorHAnsi"/>
                <w:szCs w:val="18"/>
              </w:rPr>
              <w:t>36%</w:t>
            </w:r>
          </w:p>
        </w:tc>
        <w:tc>
          <w:tcPr>
            <w:tcW w:w="820" w:type="dxa"/>
            <w:shd w:val="clear" w:color="auto" w:fill="auto"/>
            <w:tcMar>
              <w:top w:w="12" w:type="dxa"/>
              <w:left w:w="12" w:type="dxa"/>
              <w:bottom w:w="0" w:type="dxa"/>
              <w:right w:w="12" w:type="dxa"/>
            </w:tcMar>
            <w:vAlign w:val="center"/>
            <w:hideMark/>
          </w:tcPr>
          <w:p w14:paraId="0C95B400"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24%</w:t>
            </w:r>
          </w:p>
        </w:tc>
        <w:tc>
          <w:tcPr>
            <w:tcW w:w="820" w:type="dxa"/>
            <w:shd w:val="clear" w:color="auto" w:fill="auto"/>
            <w:tcMar>
              <w:top w:w="12" w:type="dxa"/>
              <w:left w:w="12" w:type="dxa"/>
              <w:bottom w:w="0" w:type="dxa"/>
              <w:right w:w="12" w:type="dxa"/>
            </w:tcMar>
            <w:vAlign w:val="center"/>
            <w:hideMark/>
          </w:tcPr>
          <w:p w14:paraId="66270B1C"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16%</w:t>
            </w:r>
          </w:p>
        </w:tc>
        <w:tc>
          <w:tcPr>
            <w:tcW w:w="820" w:type="dxa"/>
            <w:shd w:val="clear" w:color="auto" w:fill="auto"/>
            <w:tcMar>
              <w:top w:w="12" w:type="dxa"/>
              <w:left w:w="12" w:type="dxa"/>
              <w:bottom w:w="0" w:type="dxa"/>
              <w:right w:w="12" w:type="dxa"/>
            </w:tcMar>
            <w:vAlign w:val="center"/>
            <w:hideMark/>
          </w:tcPr>
          <w:p w14:paraId="02E22A56"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12%</w:t>
            </w:r>
          </w:p>
        </w:tc>
        <w:tc>
          <w:tcPr>
            <w:tcW w:w="940" w:type="dxa"/>
            <w:shd w:val="clear" w:color="auto" w:fill="auto"/>
            <w:tcMar>
              <w:top w:w="12" w:type="dxa"/>
              <w:left w:w="12" w:type="dxa"/>
              <w:bottom w:w="0" w:type="dxa"/>
              <w:right w:w="12" w:type="dxa"/>
            </w:tcMar>
            <w:vAlign w:val="center"/>
            <w:hideMark/>
          </w:tcPr>
          <w:p w14:paraId="397ECDB4"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12%</w:t>
            </w:r>
          </w:p>
        </w:tc>
        <w:tc>
          <w:tcPr>
            <w:tcW w:w="969" w:type="dxa"/>
            <w:shd w:val="clear" w:color="auto" w:fill="auto"/>
            <w:tcMar>
              <w:top w:w="12" w:type="dxa"/>
              <w:left w:w="12" w:type="dxa"/>
              <w:bottom w:w="0" w:type="dxa"/>
              <w:right w:w="12" w:type="dxa"/>
            </w:tcMar>
            <w:vAlign w:val="center"/>
            <w:hideMark/>
          </w:tcPr>
          <w:p w14:paraId="50A64F87" w14:textId="77777777" w:rsidR="006F4E24" w:rsidRPr="007B311E" w:rsidRDefault="006F4E24" w:rsidP="002A27FE">
            <w:pPr>
              <w:spacing w:before="40" w:after="40"/>
              <w:jc w:val="center"/>
              <w:rPr>
                <w:rFonts w:asciiTheme="minorHAnsi" w:hAnsiTheme="minorHAnsi" w:cstheme="minorHAnsi"/>
                <w:szCs w:val="18"/>
              </w:rPr>
            </w:pPr>
            <w:r w:rsidRPr="007B311E">
              <w:rPr>
                <w:rFonts w:asciiTheme="minorHAnsi" w:hAnsiTheme="minorHAnsi" w:cstheme="minorHAnsi"/>
                <w:szCs w:val="18"/>
              </w:rPr>
              <w:t>100%</w:t>
            </w:r>
          </w:p>
        </w:tc>
      </w:tr>
    </w:tbl>
    <w:p w14:paraId="6D3FA1AF" w14:textId="77777777" w:rsidR="006F4E24" w:rsidRPr="00412748" w:rsidRDefault="006F4E24" w:rsidP="006F4E24">
      <w:pPr>
        <w:spacing w:before="120" w:after="120"/>
        <w:rPr>
          <w:rFonts w:asciiTheme="minorHAnsi" w:hAnsiTheme="minorHAnsi" w:cstheme="minorHAnsi"/>
          <w:sz w:val="24"/>
          <w:szCs w:val="22"/>
        </w:rPr>
      </w:pPr>
      <w:r w:rsidRPr="007B311E">
        <w:rPr>
          <w:rFonts w:asciiTheme="minorHAnsi" w:hAnsiTheme="minorHAnsi" w:cstheme="minorHAnsi"/>
          <w:sz w:val="24"/>
          <w:szCs w:val="22"/>
        </w:rPr>
        <w:t xml:space="preserve">As illustrated in the table, </w:t>
      </w:r>
      <w:r w:rsidR="00595702" w:rsidRPr="007B311E">
        <w:rPr>
          <w:rFonts w:asciiTheme="minorHAnsi" w:hAnsiTheme="minorHAnsi" w:cstheme="minorHAnsi"/>
          <w:sz w:val="24"/>
          <w:szCs w:val="22"/>
        </w:rPr>
        <w:t xml:space="preserve">of all the kidneys allocated as part of the State Balancing System, </w:t>
      </w:r>
      <w:r w:rsidRPr="007B311E">
        <w:rPr>
          <w:rFonts w:asciiTheme="minorHAnsi" w:hAnsiTheme="minorHAnsi" w:cstheme="minorHAnsi"/>
          <w:sz w:val="24"/>
          <w:szCs w:val="22"/>
        </w:rPr>
        <w:t xml:space="preserve">36 per cent </w:t>
      </w:r>
      <w:r w:rsidR="00595702" w:rsidRPr="007B311E">
        <w:rPr>
          <w:rFonts w:asciiTheme="minorHAnsi" w:hAnsiTheme="minorHAnsi" w:cstheme="minorHAnsi"/>
          <w:sz w:val="24"/>
          <w:szCs w:val="22"/>
        </w:rPr>
        <w:t>are categorised into the highest quality of kidney, having a KDPI score of 0-20</w:t>
      </w:r>
      <w:r w:rsidRPr="007B311E">
        <w:rPr>
          <w:rFonts w:asciiTheme="minorHAnsi" w:hAnsiTheme="minorHAnsi" w:cstheme="minorHAnsi"/>
          <w:sz w:val="24"/>
          <w:szCs w:val="22"/>
        </w:rPr>
        <w:t xml:space="preserve">. In 2017, </w:t>
      </w:r>
      <w:r w:rsidR="00ED2E47" w:rsidRPr="007B311E">
        <w:rPr>
          <w:rFonts w:asciiTheme="minorHAnsi" w:hAnsiTheme="minorHAnsi" w:cstheme="minorHAnsi"/>
          <w:sz w:val="24"/>
          <w:szCs w:val="22"/>
        </w:rPr>
        <w:t xml:space="preserve">a total of </w:t>
      </w:r>
      <w:r w:rsidRPr="007B311E">
        <w:rPr>
          <w:rFonts w:asciiTheme="minorHAnsi" w:hAnsiTheme="minorHAnsi" w:cstheme="minorHAnsi"/>
          <w:sz w:val="24"/>
          <w:szCs w:val="22"/>
        </w:rPr>
        <w:t>182 kidneys</w:t>
      </w:r>
      <w:r w:rsidRPr="00412748">
        <w:rPr>
          <w:rFonts w:asciiTheme="minorHAnsi" w:hAnsiTheme="minorHAnsi" w:cstheme="minorHAnsi"/>
          <w:sz w:val="24"/>
          <w:szCs w:val="22"/>
        </w:rPr>
        <w:t xml:space="preserve"> were allocated and offered through the </w:t>
      </w:r>
      <w:r w:rsidR="00412748" w:rsidRPr="00412748">
        <w:rPr>
          <w:rFonts w:asciiTheme="minorHAnsi" w:hAnsiTheme="minorHAnsi" w:cstheme="minorHAnsi"/>
          <w:sz w:val="24"/>
          <w:szCs w:val="22"/>
        </w:rPr>
        <w:t>State B</w:t>
      </w:r>
      <w:r w:rsidRPr="00412748">
        <w:rPr>
          <w:rFonts w:asciiTheme="minorHAnsi" w:hAnsiTheme="minorHAnsi" w:cstheme="minorHAnsi"/>
          <w:sz w:val="24"/>
          <w:szCs w:val="22"/>
        </w:rPr>
        <w:t>alancin</w:t>
      </w:r>
      <w:r w:rsidR="00412748" w:rsidRPr="00412748">
        <w:rPr>
          <w:rFonts w:asciiTheme="minorHAnsi" w:hAnsiTheme="minorHAnsi" w:cstheme="minorHAnsi"/>
          <w:sz w:val="24"/>
          <w:szCs w:val="22"/>
        </w:rPr>
        <w:t>g S</w:t>
      </w:r>
      <w:r w:rsidRPr="00412748">
        <w:rPr>
          <w:rFonts w:asciiTheme="minorHAnsi" w:hAnsiTheme="minorHAnsi" w:cstheme="minorHAnsi"/>
          <w:sz w:val="24"/>
          <w:szCs w:val="22"/>
        </w:rPr>
        <w:t>ystem. All of these were allocated to potential recipients in Western Australia, with only 25 being accepted for transplantation.</w:t>
      </w:r>
      <w:r w:rsidRPr="00412748">
        <w:rPr>
          <w:rStyle w:val="FootnoteReference"/>
          <w:rFonts w:asciiTheme="minorHAnsi" w:hAnsiTheme="minorHAnsi" w:cstheme="minorHAnsi"/>
        </w:rPr>
        <w:footnoteReference w:id="140"/>
      </w:r>
      <w:r w:rsidRPr="00412748">
        <w:rPr>
          <w:rFonts w:asciiTheme="minorHAnsi" w:hAnsiTheme="minorHAnsi" w:cstheme="minorHAnsi"/>
          <w:sz w:val="24"/>
          <w:szCs w:val="22"/>
        </w:rPr>
        <w:t xml:space="preserve"> </w:t>
      </w:r>
    </w:p>
    <w:p w14:paraId="3D2A961C" w14:textId="77777777" w:rsidR="006F4E24" w:rsidRPr="00412748" w:rsidRDefault="006F4E24" w:rsidP="006F4E24">
      <w:pPr>
        <w:spacing w:after="120"/>
        <w:rPr>
          <w:rFonts w:asciiTheme="minorHAnsi" w:hAnsiTheme="minorHAnsi" w:cstheme="minorHAnsi"/>
          <w:sz w:val="24"/>
          <w:szCs w:val="22"/>
        </w:rPr>
      </w:pPr>
      <w:r w:rsidRPr="00412748">
        <w:rPr>
          <w:rFonts w:asciiTheme="minorHAnsi" w:hAnsiTheme="minorHAnsi" w:cstheme="minorHAnsi"/>
          <w:sz w:val="24"/>
          <w:szCs w:val="22"/>
        </w:rPr>
        <w:t xml:space="preserve">It is evident that once jurisdictions are considered as part of the </w:t>
      </w:r>
      <w:r w:rsidR="00412748" w:rsidRPr="00412748">
        <w:rPr>
          <w:rFonts w:asciiTheme="minorHAnsi" w:hAnsiTheme="minorHAnsi" w:cstheme="minorHAnsi"/>
          <w:sz w:val="24"/>
          <w:szCs w:val="22"/>
        </w:rPr>
        <w:t>State Balancing S</w:t>
      </w:r>
      <w:r w:rsidRPr="00412748">
        <w:rPr>
          <w:rFonts w:asciiTheme="minorHAnsi" w:hAnsiTheme="minorHAnsi" w:cstheme="minorHAnsi"/>
          <w:sz w:val="24"/>
          <w:szCs w:val="22"/>
        </w:rPr>
        <w:t xml:space="preserve">ystem, they have great opportunity to be allocated higher quality organs for their potential recipients. The Review found that this resulted in inequity of allocation and reduced incentive for jurisdictions to widen their acceptability of organs. </w:t>
      </w:r>
    </w:p>
    <w:p w14:paraId="25CD7A6E" w14:textId="77777777" w:rsidR="006F4E24" w:rsidRDefault="006F4E24" w:rsidP="006F4E24">
      <w:pPr>
        <w:spacing w:after="120"/>
        <w:rPr>
          <w:rFonts w:asciiTheme="minorHAnsi" w:hAnsiTheme="minorHAnsi" w:cstheme="minorHAnsi"/>
          <w:szCs w:val="22"/>
        </w:rPr>
      </w:pPr>
      <w:r w:rsidRPr="00412748">
        <w:rPr>
          <w:rFonts w:asciiTheme="minorHAnsi" w:hAnsiTheme="minorHAnsi" w:cstheme="minorHAnsi"/>
          <w:sz w:val="24"/>
          <w:szCs w:val="22"/>
        </w:rPr>
        <w:t xml:space="preserve">Clinicians reported that that the </w:t>
      </w:r>
      <w:r w:rsidR="00412748" w:rsidRPr="00412748">
        <w:rPr>
          <w:rFonts w:asciiTheme="minorHAnsi" w:hAnsiTheme="minorHAnsi" w:cstheme="minorHAnsi"/>
          <w:sz w:val="24"/>
          <w:szCs w:val="22"/>
        </w:rPr>
        <w:t>State B</w:t>
      </w:r>
      <w:r w:rsidRPr="00412748">
        <w:rPr>
          <w:rFonts w:asciiTheme="minorHAnsi" w:hAnsiTheme="minorHAnsi" w:cstheme="minorHAnsi"/>
          <w:sz w:val="24"/>
          <w:szCs w:val="22"/>
        </w:rPr>
        <w:t>ala</w:t>
      </w:r>
      <w:r w:rsidR="00412748" w:rsidRPr="00412748">
        <w:rPr>
          <w:rFonts w:asciiTheme="minorHAnsi" w:hAnsiTheme="minorHAnsi" w:cstheme="minorHAnsi"/>
          <w:sz w:val="24"/>
          <w:szCs w:val="22"/>
        </w:rPr>
        <w:t>ncing S</w:t>
      </w:r>
      <w:r w:rsidRPr="00412748">
        <w:rPr>
          <w:rFonts w:asciiTheme="minorHAnsi" w:hAnsiTheme="minorHAnsi" w:cstheme="minorHAnsi"/>
          <w:sz w:val="24"/>
          <w:szCs w:val="22"/>
        </w:rPr>
        <w:t>ystem discourages</w:t>
      </w:r>
      <w:r>
        <w:rPr>
          <w:rFonts w:asciiTheme="minorHAnsi" w:hAnsiTheme="minorHAnsi" w:cstheme="minorHAnsi"/>
          <w:sz w:val="24"/>
          <w:szCs w:val="22"/>
        </w:rPr>
        <w:t xml:space="preserve"> the diversification of transplantation, limits the progression in the skills of clinical workforce and inhibits improvement in quality outcomes for a range of potential recipients.</w:t>
      </w:r>
      <w:r w:rsidRPr="004C1C51">
        <w:rPr>
          <w:rFonts w:asciiTheme="minorHAnsi" w:hAnsiTheme="minorHAnsi" w:cstheme="minorHAnsi"/>
          <w:sz w:val="24"/>
          <w:szCs w:val="22"/>
        </w:rPr>
        <w:t xml:space="preserve"> </w:t>
      </w:r>
    </w:p>
    <w:p w14:paraId="56DE81A9" w14:textId="77777777" w:rsidR="006F4E24" w:rsidRPr="00266A77" w:rsidRDefault="006F4E24" w:rsidP="006F4E24">
      <w:pPr>
        <w:spacing w:after="120"/>
        <w:rPr>
          <w:rFonts w:asciiTheme="minorHAnsi" w:hAnsiTheme="minorHAnsi" w:cstheme="minorHAnsi"/>
          <w:i/>
          <w:color w:val="7F7F7F" w:themeColor="text1" w:themeTint="80"/>
          <w:sz w:val="26"/>
          <w:szCs w:val="26"/>
        </w:rPr>
      </w:pPr>
      <w:r w:rsidRPr="00266A77">
        <w:rPr>
          <w:rFonts w:asciiTheme="minorHAnsi" w:hAnsiTheme="minorHAnsi" w:cstheme="minorHAnsi"/>
          <w:i/>
          <w:color w:val="7F7F7F" w:themeColor="text1" w:themeTint="80"/>
          <w:sz w:val="26"/>
          <w:szCs w:val="26"/>
        </w:rPr>
        <w:t xml:space="preserve">Summary of key findings </w:t>
      </w:r>
    </w:p>
    <w:p w14:paraId="312116F9" w14:textId="77777777" w:rsidR="00147E10" w:rsidRPr="00412748" w:rsidRDefault="00ED7206" w:rsidP="006F4E24">
      <w:pPr>
        <w:numPr>
          <w:ilvl w:val="0"/>
          <w:numId w:val="18"/>
        </w:numPr>
        <w:spacing w:after="120"/>
        <w:ind w:left="357" w:hanging="357"/>
        <w:rPr>
          <w:rFonts w:asciiTheme="minorHAnsi" w:hAnsiTheme="minorHAnsi" w:cstheme="minorHAnsi"/>
          <w:sz w:val="24"/>
          <w:szCs w:val="22"/>
          <w:lang w:val="en-GB"/>
        </w:rPr>
      </w:pPr>
      <w:r w:rsidRPr="00C07C72">
        <w:rPr>
          <w:rFonts w:asciiTheme="minorHAnsi" w:hAnsiTheme="minorHAnsi" w:cstheme="minorHAnsi"/>
          <w:sz w:val="24"/>
          <w:szCs w:val="22"/>
        </w:rPr>
        <w:t xml:space="preserve">The </w:t>
      </w:r>
      <w:r w:rsidR="00412748" w:rsidRPr="00412748">
        <w:rPr>
          <w:rFonts w:asciiTheme="minorHAnsi" w:hAnsiTheme="minorHAnsi" w:cstheme="minorHAnsi"/>
          <w:sz w:val="24"/>
          <w:szCs w:val="22"/>
        </w:rPr>
        <w:t>State Balancing S</w:t>
      </w:r>
      <w:r w:rsidRPr="00412748">
        <w:rPr>
          <w:rFonts w:asciiTheme="minorHAnsi" w:hAnsiTheme="minorHAnsi" w:cstheme="minorHAnsi"/>
          <w:sz w:val="24"/>
          <w:szCs w:val="22"/>
        </w:rPr>
        <w:t xml:space="preserve">ystem was implemented when donation rates varied considerably between the jurisdictions. Given donation rates have become more aligned nationally, </w:t>
      </w:r>
      <w:r w:rsidR="00147E10" w:rsidRPr="00412748">
        <w:rPr>
          <w:rFonts w:asciiTheme="minorHAnsi" w:hAnsiTheme="minorHAnsi" w:cstheme="minorHAnsi"/>
          <w:sz w:val="24"/>
          <w:szCs w:val="22"/>
        </w:rPr>
        <w:t xml:space="preserve">there was agreement that its materiality in the current environment should be assessed. </w:t>
      </w:r>
    </w:p>
    <w:p w14:paraId="56DA3365" w14:textId="36A4EA3F" w:rsidR="00D1362A" w:rsidRPr="009C1C66" w:rsidRDefault="006F4E24" w:rsidP="009C1C66">
      <w:pPr>
        <w:numPr>
          <w:ilvl w:val="0"/>
          <w:numId w:val="18"/>
        </w:numPr>
        <w:spacing w:after="120"/>
        <w:ind w:left="357" w:hanging="357"/>
        <w:rPr>
          <w:rFonts w:asciiTheme="minorHAnsi" w:hAnsiTheme="minorHAnsi" w:cstheme="minorHAnsi"/>
          <w:sz w:val="24"/>
          <w:szCs w:val="22"/>
          <w:lang w:val="en-GB"/>
        </w:rPr>
      </w:pPr>
      <w:r w:rsidRPr="009C1C66">
        <w:rPr>
          <w:rFonts w:asciiTheme="minorHAnsi" w:hAnsiTheme="minorHAnsi" w:cstheme="minorHAnsi"/>
          <w:sz w:val="24"/>
          <w:szCs w:val="22"/>
          <w:lang w:val="en-GB"/>
        </w:rPr>
        <w:t xml:space="preserve">The </w:t>
      </w:r>
      <w:r w:rsidR="00412748" w:rsidRPr="009C1C66">
        <w:rPr>
          <w:rFonts w:asciiTheme="minorHAnsi" w:hAnsiTheme="minorHAnsi" w:cstheme="minorHAnsi"/>
          <w:sz w:val="24"/>
          <w:szCs w:val="22"/>
          <w:lang w:val="en-GB"/>
        </w:rPr>
        <w:t>State Balancing S</w:t>
      </w:r>
      <w:r w:rsidRPr="009C1C66">
        <w:rPr>
          <w:rFonts w:asciiTheme="minorHAnsi" w:hAnsiTheme="minorHAnsi" w:cstheme="minorHAnsi"/>
          <w:sz w:val="24"/>
          <w:szCs w:val="22"/>
          <w:lang w:val="en-GB"/>
        </w:rPr>
        <w:t>ystem has the potential to slow progress in improving organ donation and transplantation practices and increase inequity</w:t>
      </w:r>
      <w:r w:rsidR="003B33C0" w:rsidRPr="009C1C66">
        <w:rPr>
          <w:rFonts w:asciiTheme="minorHAnsi" w:hAnsiTheme="minorHAnsi" w:cstheme="minorHAnsi"/>
          <w:sz w:val="24"/>
          <w:szCs w:val="22"/>
          <w:lang w:val="en-GB"/>
        </w:rPr>
        <w:t xml:space="preserve"> of the allocation</w:t>
      </w:r>
      <w:r w:rsidRPr="009C1C66">
        <w:rPr>
          <w:rFonts w:asciiTheme="minorHAnsi" w:hAnsiTheme="minorHAnsi" w:cstheme="minorHAnsi"/>
          <w:sz w:val="24"/>
          <w:szCs w:val="22"/>
          <w:lang w:val="en-GB"/>
        </w:rPr>
        <w:t xml:space="preserve"> of high quality organs.</w:t>
      </w:r>
    </w:p>
    <w:p w14:paraId="0BF2913F" w14:textId="77777777" w:rsidR="006F4E24" w:rsidRPr="00412748" w:rsidRDefault="006F4E24" w:rsidP="006F4E24">
      <w:pPr>
        <w:spacing w:after="120"/>
        <w:rPr>
          <w:rFonts w:asciiTheme="minorHAnsi" w:hAnsiTheme="minorHAnsi" w:cstheme="minorHAnsi"/>
          <w:i/>
          <w:color w:val="808080" w:themeColor="background1" w:themeShade="80"/>
          <w:sz w:val="26"/>
          <w:szCs w:val="26"/>
        </w:rPr>
      </w:pPr>
      <w:r w:rsidRPr="00412748">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thirty three is that the OTA, through the TSANZ undertake a review of the State Balancing System to determine the impact on the efficiency, effectiveness and equity of the allocation process. Any proposed changes should then be modelled and reviewed to understand their impact. "/>
      </w:tblPr>
      <w:tblGrid>
        <w:gridCol w:w="2268"/>
        <w:gridCol w:w="7479"/>
      </w:tblGrid>
      <w:tr w:rsidR="00E75B04" w:rsidRPr="00F37D51" w14:paraId="4E8D2EE6" w14:textId="77777777" w:rsidTr="00B65E19">
        <w:trPr>
          <w:tblHeader/>
        </w:trPr>
        <w:tc>
          <w:tcPr>
            <w:tcW w:w="2268" w:type="dxa"/>
            <w:shd w:val="clear" w:color="auto" w:fill="595959" w:themeFill="text1" w:themeFillTint="A6"/>
          </w:tcPr>
          <w:p w14:paraId="217686BC" w14:textId="33B53EC8" w:rsidR="00E75B04" w:rsidRPr="00412748" w:rsidRDefault="00E75B04" w:rsidP="00E75B04">
            <w:pPr>
              <w:spacing w:after="120"/>
              <w:ind w:right="-321"/>
              <w:rPr>
                <w:rFonts w:asciiTheme="minorHAnsi" w:hAnsiTheme="minorHAnsi" w:cstheme="minorHAnsi"/>
                <w:b/>
                <w:sz w:val="24"/>
                <w:szCs w:val="22"/>
                <w:lang w:val="en-GB"/>
              </w:rPr>
            </w:pPr>
            <w:r>
              <w:rPr>
                <w:rFonts w:asciiTheme="minorHAnsi" w:hAnsiTheme="minorHAnsi" w:cstheme="minorHAnsi"/>
                <w:b/>
                <w:color w:val="FFFFFF" w:themeColor="background1"/>
                <w:sz w:val="24"/>
                <w:szCs w:val="22"/>
                <w:lang w:val="en-GB"/>
              </w:rPr>
              <w:t>Recommendation</w:t>
            </w:r>
          </w:p>
        </w:tc>
        <w:tc>
          <w:tcPr>
            <w:tcW w:w="7479" w:type="dxa"/>
            <w:shd w:val="clear" w:color="auto" w:fill="595959" w:themeFill="text1" w:themeFillTint="A6"/>
          </w:tcPr>
          <w:p w14:paraId="5B1BA4C6" w14:textId="4B364025" w:rsidR="00E75B04" w:rsidRPr="00412748" w:rsidRDefault="00E75B04" w:rsidP="00E75B04">
            <w:pPr>
              <w:spacing w:after="120"/>
              <w:ind w:right="-142"/>
              <w:rPr>
                <w:rFonts w:asciiTheme="minorHAnsi" w:hAnsiTheme="minorHAnsi" w:cstheme="minorHAnsi"/>
                <w:sz w:val="24"/>
                <w:szCs w:val="22"/>
                <w:lang w:val="en-GB"/>
              </w:rPr>
            </w:pPr>
            <w:r>
              <w:rPr>
                <w:rFonts w:asciiTheme="minorHAnsi" w:hAnsiTheme="minorHAnsi" w:cstheme="minorHAnsi"/>
                <w:b/>
                <w:color w:val="FFFFFF" w:themeColor="background1"/>
                <w:sz w:val="24"/>
                <w:szCs w:val="22"/>
                <w:lang w:val="en-GB"/>
              </w:rPr>
              <w:t>Description</w:t>
            </w:r>
          </w:p>
        </w:tc>
      </w:tr>
      <w:tr w:rsidR="00E75B04" w:rsidRPr="00F37D51" w14:paraId="2DDA9A43" w14:textId="77777777" w:rsidTr="00AE3ED1">
        <w:tc>
          <w:tcPr>
            <w:tcW w:w="2268" w:type="dxa"/>
          </w:tcPr>
          <w:p w14:paraId="73BAD269" w14:textId="77777777" w:rsidR="00E75B04" w:rsidRPr="00412748" w:rsidRDefault="00E75B04" w:rsidP="00AE3ED1">
            <w:pPr>
              <w:spacing w:after="120"/>
              <w:ind w:right="-321"/>
              <w:rPr>
                <w:rFonts w:asciiTheme="minorHAnsi" w:hAnsiTheme="minorHAnsi" w:cstheme="minorHAnsi"/>
                <w:b/>
                <w:sz w:val="24"/>
                <w:szCs w:val="22"/>
                <w:lang w:val="en-GB"/>
              </w:rPr>
            </w:pPr>
            <w:r w:rsidRPr="00412748">
              <w:rPr>
                <w:rFonts w:asciiTheme="minorHAnsi" w:hAnsiTheme="minorHAnsi" w:cstheme="minorHAnsi"/>
                <w:b/>
                <w:sz w:val="24"/>
                <w:szCs w:val="22"/>
                <w:lang w:val="en-GB"/>
              </w:rPr>
              <w:t>Recommendation 3</w:t>
            </w:r>
            <w:r>
              <w:rPr>
                <w:rFonts w:asciiTheme="minorHAnsi" w:hAnsiTheme="minorHAnsi" w:cstheme="minorHAnsi"/>
                <w:b/>
                <w:sz w:val="24"/>
                <w:szCs w:val="22"/>
                <w:lang w:val="en-GB"/>
              </w:rPr>
              <w:t>3</w:t>
            </w:r>
          </w:p>
        </w:tc>
        <w:tc>
          <w:tcPr>
            <w:tcW w:w="7479" w:type="dxa"/>
          </w:tcPr>
          <w:p w14:paraId="2E8134FD" w14:textId="29FD0373" w:rsidR="00E75B04" w:rsidRPr="00F37D51" w:rsidRDefault="00E75B04" w:rsidP="00AE3ED1">
            <w:pPr>
              <w:spacing w:after="120"/>
              <w:ind w:right="-142"/>
              <w:rPr>
                <w:rFonts w:asciiTheme="minorHAnsi" w:hAnsiTheme="minorHAnsi" w:cstheme="minorHAnsi"/>
                <w:sz w:val="24"/>
                <w:szCs w:val="22"/>
                <w:lang w:val="en-GB"/>
              </w:rPr>
            </w:pPr>
            <w:r w:rsidRPr="00412748">
              <w:rPr>
                <w:rFonts w:asciiTheme="minorHAnsi" w:hAnsiTheme="minorHAnsi" w:cstheme="minorHAnsi"/>
                <w:sz w:val="24"/>
                <w:szCs w:val="22"/>
                <w:lang w:val="en-GB"/>
              </w:rPr>
              <w:t xml:space="preserve">The OTA, through the TSANZ undertake a review of the State Balancing System to determine the impact on the efficiency, effectiveness and equity of the allocation process. Any proposed changes should then be modelled and reviewed to understand their impact. </w:t>
            </w:r>
          </w:p>
        </w:tc>
      </w:tr>
    </w:tbl>
    <w:p w14:paraId="480FA768" w14:textId="77777777" w:rsidR="00F0171E" w:rsidRDefault="00F0171E">
      <w:pPr>
        <w:widowControl/>
        <w:autoSpaceDE/>
        <w:autoSpaceDN/>
        <w:adjustRightInd/>
        <w:spacing w:after="200" w:line="276" w:lineRule="auto"/>
        <w:rPr>
          <w:rFonts w:asciiTheme="minorHAnsi" w:hAnsiTheme="minorHAnsi" w:cstheme="minorHAnsi"/>
          <w:iCs/>
          <w:color w:val="7F7F7F" w:themeColor="text1" w:themeTint="80"/>
          <w:kern w:val="12"/>
          <w:sz w:val="40"/>
          <w:szCs w:val="30"/>
          <w:lang w:val="en-GB"/>
        </w:rPr>
      </w:pPr>
      <w:bookmarkStart w:id="645" w:name="_Toc527638612"/>
      <w:bookmarkEnd w:id="645"/>
      <w:r>
        <w:rPr>
          <w:rFonts w:asciiTheme="minorHAnsi" w:hAnsiTheme="minorHAnsi" w:cstheme="minorHAnsi"/>
          <w:iCs/>
          <w:color w:val="7F7F7F" w:themeColor="text1" w:themeTint="80"/>
          <w:sz w:val="40"/>
          <w:szCs w:val="30"/>
        </w:rPr>
        <w:br w:type="page"/>
      </w:r>
    </w:p>
    <w:p w14:paraId="365CD9B4" w14:textId="089E9D92" w:rsidR="006F4E24" w:rsidRDefault="006F4E24" w:rsidP="006F4E24">
      <w:pPr>
        <w:pStyle w:val="Heading2"/>
        <w:tabs>
          <w:tab w:val="clear" w:pos="1559"/>
          <w:tab w:val="num" w:pos="993"/>
        </w:tabs>
        <w:spacing w:before="240"/>
        <w:ind w:left="992" w:hanging="992"/>
        <w:rPr>
          <w:rFonts w:asciiTheme="minorHAnsi" w:hAnsiTheme="minorHAnsi" w:cstheme="minorHAnsi"/>
          <w:iCs/>
          <w:color w:val="7F7F7F" w:themeColor="text1" w:themeTint="80"/>
          <w:sz w:val="40"/>
          <w:szCs w:val="30"/>
        </w:rPr>
      </w:pPr>
      <w:bookmarkStart w:id="646" w:name="_Toc532301696"/>
      <w:r>
        <w:rPr>
          <w:rFonts w:asciiTheme="minorHAnsi" w:hAnsiTheme="minorHAnsi" w:cstheme="minorHAnsi"/>
          <w:iCs/>
          <w:color w:val="7F7F7F" w:themeColor="text1" w:themeTint="80"/>
          <w:sz w:val="40"/>
          <w:szCs w:val="30"/>
        </w:rPr>
        <w:t>Element 4: Organ offer</w:t>
      </w:r>
      <w:bookmarkEnd w:id="646"/>
    </w:p>
    <w:p w14:paraId="23188E4E" w14:textId="77777777" w:rsidR="006F4E24" w:rsidRDefault="006F4E24" w:rsidP="006F4E24">
      <w:pPr>
        <w:spacing w:after="120"/>
        <w:rPr>
          <w:rFonts w:asciiTheme="minorHAnsi" w:hAnsiTheme="minorHAnsi" w:cstheme="minorHAnsi"/>
          <w:sz w:val="24"/>
          <w:szCs w:val="22"/>
          <w:lang w:val="en-GB"/>
        </w:rPr>
      </w:pPr>
      <w:r>
        <w:rPr>
          <w:rFonts w:asciiTheme="minorHAnsi" w:hAnsiTheme="minorHAnsi" w:cstheme="minorHAnsi"/>
          <w:sz w:val="24"/>
          <w:szCs w:val="22"/>
          <w:lang w:val="en-GB"/>
        </w:rPr>
        <w:t>For element 4, the findings of the Review relate to:</w:t>
      </w:r>
    </w:p>
    <w:p w14:paraId="00181DDB" w14:textId="77777777" w:rsidR="006F4E24" w:rsidRDefault="006F4E24" w:rsidP="006F4E24">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 xml:space="preserve">Non-renal offer process </w:t>
      </w:r>
      <w:r w:rsidRPr="00937DEE">
        <w:rPr>
          <w:rFonts w:asciiTheme="minorHAnsi" w:hAnsiTheme="minorHAnsi" w:cstheme="minorHAnsi"/>
          <w:sz w:val="24"/>
          <w:szCs w:val="22"/>
          <w:lang w:val="en-GB"/>
        </w:rPr>
        <w:t>(Section</w:t>
      </w:r>
      <w:r>
        <w:rPr>
          <w:rFonts w:asciiTheme="minorHAnsi" w:hAnsiTheme="minorHAnsi" w:cstheme="minorHAnsi"/>
          <w:sz w:val="24"/>
          <w:szCs w:val="22"/>
          <w:lang w:val="en-GB"/>
        </w:rPr>
        <w:t xml:space="preserve"> </w:t>
      </w:r>
      <w:r w:rsidR="00046411">
        <w:rPr>
          <w:rFonts w:asciiTheme="minorHAnsi" w:hAnsiTheme="minorHAnsi" w:cstheme="minorHAnsi"/>
          <w:sz w:val="24"/>
          <w:szCs w:val="22"/>
          <w:lang w:val="en-GB"/>
        </w:rPr>
        <w:t>6.4.1</w:t>
      </w:r>
      <w:r w:rsidRPr="00937DEE">
        <w:rPr>
          <w:rFonts w:asciiTheme="minorHAnsi" w:hAnsiTheme="minorHAnsi" w:cstheme="minorHAnsi"/>
          <w:sz w:val="24"/>
          <w:szCs w:val="22"/>
          <w:lang w:val="en-GB"/>
        </w:rPr>
        <w:t>)</w:t>
      </w:r>
    </w:p>
    <w:p w14:paraId="383E1408" w14:textId="77777777" w:rsidR="006F4E24" w:rsidRDefault="006F4E24" w:rsidP="006F4E24">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 xml:space="preserve">Renal offer process </w:t>
      </w:r>
      <w:r w:rsidRPr="00937DEE">
        <w:rPr>
          <w:rFonts w:asciiTheme="minorHAnsi" w:hAnsiTheme="minorHAnsi" w:cstheme="minorHAnsi"/>
          <w:sz w:val="24"/>
          <w:szCs w:val="22"/>
          <w:lang w:val="en-GB"/>
        </w:rPr>
        <w:t>(Section</w:t>
      </w:r>
      <w:r w:rsidR="00046411">
        <w:rPr>
          <w:rFonts w:asciiTheme="minorHAnsi" w:hAnsiTheme="minorHAnsi" w:cstheme="minorHAnsi"/>
          <w:sz w:val="24"/>
          <w:szCs w:val="22"/>
          <w:lang w:val="en-GB"/>
        </w:rPr>
        <w:t xml:space="preserve"> 6.4.2</w:t>
      </w:r>
      <w:r w:rsidRPr="00937DEE">
        <w:rPr>
          <w:rFonts w:asciiTheme="minorHAnsi" w:hAnsiTheme="minorHAnsi" w:cstheme="minorHAnsi"/>
          <w:sz w:val="24"/>
          <w:szCs w:val="22"/>
          <w:lang w:val="en-GB"/>
        </w:rPr>
        <w:t>)</w:t>
      </w:r>
    </w:p>
    <w:p w14:paraId="40933699" w14:textId="77777777" w:rsidR="006F4E24" w:rsidRPr="00447661" w:rsidRDefault="00FE692F" w:rsidP="006F4E24">
      <w:pPr>
        <w:widowControl/>
        <w:numPr>
          <w:ilvl w:val="0"/>
          <w:numId w:val="18"/>
        </w:numPr>
        <w:autoSpaceDE/>
        <w:autoSpaceDN/>
        <w:adjustRightInd/>
        <w:spacing w:after="120"/>
        <w:ind w:left="357" w:hanging="357"/>
        <w:contextualSpacing/>
        <w:rPr>
          <w:rFonts w:asciiTheme="minorHAnsi" w:hAnsiTheme="minorHAnsi" w:cstheme="minorHAnsi"/>
          <w:sz w:val="24"/>
          <w:szCs w:val="22"/>
        </w:rPr>
      </w:pPr>
      <w:r>
        <w:rPr>
          <w:rFonts w:asciiTheme="minorHAnsi" w:hAnsiTheme="minorHAnsi" w:cstheme="minorHAnsi"/>
          <w:sz w:val="24"/>
          <w:szCs w:val="22"/>
          <w:lang w:val="en-GB"/>
        </w:rPr>
        <w:t>The E</w:t>
      </w:r>
      <w:r w:rsidR="006F4E24">
        <w:rPr>
          <w:rFonts w:asciiTheme="minorHAnsi" w:hAnsiTheme="minorHAnsi" w:cstheme="minorHAnsi"/>
          <w:sz w:val="24"/>
          <w:szCs w:val="22"/>
          <w:lang w:val="en-GB"/>
        </w:rPr>
        <w:t xml:space="preserve">lectronic </w:t>
      </w:r>
      <w:r>
        <w:rPr>
          <w:rFonts w:asciiTheme="minorHAnsi" w:hAnsiTheme="minorHAnsi" w:cstheme="minorHAnsi"/>
          <w:sz w:val="24"/>
          <w:szCs w:val="22"/>
          <w:lang w:val="en-GB"/>
        </w:rPr>
        <w:t xml:space="preserve">Donor </w:t>
      </w:r>
      <w:r w:rsidRPr="00046411">
        <w:rPr>
          <w:rFonts w:asciiTheme="minorHAnsi" w:hAnsiTheme="minorHAnsi" w:cstheme="minorHAnsi"/>
          <w:sz w:val="24"/>
          <w:szCs w:val="22"/>
          <w:lang w:val="en-GB"/>
        </w:rPr>
        <w:t>R</w:t>
      </w:r>
      <w:r w:rsidR="006F4E24" w:rsidRPr="00046411">
        <w:rPr>
          <w:rFonts w:asciiTheme="minorHAnsi" w:hAnsiTheme="minorHAnsi" w:cstheme="minorHAnsi"/>
          <w:sz w:val="24"/>
          <w:szCs w:val="22"/>
          <w:lang w:val="en-GB"/>
        </w:rPr>
        <w:t>ecord (Section</w:t>
      </w:r>
      <w:r w:rsidR="00046411" w:rsidRPr="00046411">
        <w:rPr>
          <w:rFonts w:asciiTheme="minorHAnsi" w:hAnsiTheme="minorHAnsi" w:cstheme="minorHAnsi"/>
          <w:sz w:val="24"/>
          <w:szCs w:val="22"/>
          <w:lang w:val="en-GB"/>
        </w:rPr>
        <w:t xml:space="preserve"> 6.4.3</w:t>
      </w:r>
      <w:r w:rsidR="006F4E24" w:rsidRPr="00046411">
        <w:rPr>
          <w:rFonts w:asciiTheme="minorHAnsi" w:hAnsiTheme="minorHAnsi" w:cstheme="minorHAnsi"/>
          <w:sz w:val="24"/>
          <w:szCs w:val="22"/>
          <w:lang w:val="en-GB"/>
        </w:rPr>
        <w:t>)</w:t>
      </w:r>
      <w:r w:rsidR="00464912" w:rsidRPr="00046411">
        <w:rPr>
          <w:rFonts w:asciiTheme="minorHAnsi" w:hAnsiTheme="minorHAnsi" w:cstheme="minorHAnsi"/>
          <w:sz w:val="24"/>
          <w:szCs w:val="22"/>
          <w:lang w:val="en-GB"/>
        </w:rPr>
        <w:t>.</w:t>
      </w:r>
    </w:p>
    <w:p w14:paraId="6AA25BD4" w14:textId="77777777" w:rsidR="006F4E24" w:rsidRPr="004C1C51" w:rsidRDefault="006F4E24" w:rsidP="006F4E24">
      <w:pPr>
        <w:pStyle w:val="Heading3"/>
        <w:keepNext w:val="0"/>
        <w:widowControl w:val="0"/>
        <w:tabs>
          <w:tab w:val="clear" w:pos="1843"/>
          <w:tab w:val="num" w:pos="1559"/>
        </w:tabs>
        <w:ind w:left="992" w:hanging="992"/>
        <w:rPr>
          <w:rFonts w:asciiTheme="minorHAnsi" w:hAnsiTheme="minorHAnsi" w:cstheme="minorHAnsi"/>
          <w:b w:val="0"/>
          <w:color w:val="7F7F7F" w:themeColor="text1" w:themeTint="80"/>
          <w:sz w:val="30"/>
          <w:szCs w:val="30"/>
        </w:rPr>
      </w:pPr>
      <w:bookmarkStart w:id="647" w:name="_Ref527629670"/>
      <w:r>
        <w:rPr>
          <w:rFonts w:asciiTheme="minorHAnsi" w:hAnsiTheme="minorHAnsi" w:cstheme="minorHAnsi"/>
          <w:b w:val="0"/>
          <w:color w:val="7F7F7F" w:themeColor="text1" w:themeTint="80"/>
          <w:sz w:val="30"/>
          <w:szCs w:val="30"/>
        </w:rPr>
        <w:t>Non-renal offer process</w:t>
      </w:r>
      <w:bookmarkEnd w:id="647"/>
    </w:p>
    <w:p w14:paraId="71A9C275" w14:textId="77777777" w:rsidR="006F4E24" w:rsidRPr="001271F5" w:rsidRDefault="006F4E24" w:rsidP="006F4E24">
      <w:pPr>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 xml:space="preserve">Discussion of </w:t>
      </w:r>
      <w:r>
        <w:rPr>
          <w:rFonts w:asciiTheme="minorHAnsi" w:hAnsiTheme="minorHAnsi" w:cstheme="minorHAnsi"/>
          <w:i/>
          <w:color w:val="808080" w:themeColor="background1" w:themeShade="80"/>
          <w:sz w:val="26"/>
          <w:szCs w:val="26"/>
        </w:rPr>
        <w:t>findings</w:t>
      </w:r>
    </w:p>
    <w:p w14:paraId="1895F8AB" w14:textId="77777777" w:rsidR="006F4E24" w:rsidRDefault="006F4E24">
      <w:pPr>
        <w:spacing w:before="120" w:after="120"/>
        <w:rPr>
          <w:rFonts w:asciiTheme="minorHAnsi" w:hAnsiTheme="minorHAnsi" w:cstheme="minorHAnsi"/>
          <w:sz w:val="24"/>
          <w:lang w:val="en-GB"/>
        </w:rPr>
      </w:pPr>
      <w:r>
        <w:rPr>
          <w:rFonts w:asciiTheme="minorHAnsi" w:hAnsiTheme="minorHAnsi" w:cstheme="minorHAnsi"/>
          <w:sz w:val="24"/>
          <w:lang w:val="en-GB"/>
        </w:rPr>
        <w:t xml:space="preserve">The </w:t>
      </w:r>
      <w:r w:rsidR="009176BD">
        <w:rPr>
          <w:rFonts w:asciiTheme="minorHAnsi" w:hAnsiTheme="minorHAnsi" w:cstheme="minorHAnsi"/>
          <w:sz w:val="24"/>
          <w:lang w:val="en-GB"/>
        </w:rPr>
        <w:t>Australasian Transplant Coordinators Association</w:t>
      </w:r>
      <w:r>
        <w:rPr>
          <w:rFonts w:asciiTheme="minorHAnsi" w:hAnsiTheme="minorHAnsi" w:cstheme="minorHAnsi"/>
          <w:sz w:val="24"/>
          <w:lang w:val="en-GB"/>
        </w:rPr>
        <w:t xml:space="preserve"> produces an </w:t>
      </w:r>
      <w:r w:rsidR="00ED2E47">
        <w:rPr>
          <w:rFonts w:asciiTheme="minorHAnsi" w:hAnsiTheme="minorHAnsi" w:cstheme="minorHAnsi"/>
          <w:sz w:val="24"/>
          <w:lang w:val="en-GB"/>
        </w:rPr>
        <w:t>A</w:t>
      </w:r>
      <w:r>
        <w:rPr>
          <w:rFonts w:asciiTheme="minorHAnsi" w:hAnsiTheme="minorHAnsi" w:cstheme="minorHAnsi"/>
          <w:sz w:val="24"/>
          <w:lang w:val="en-GB"/>
        </w:rPr>
        <w:t>nnual Report, titled the</w:t>
      </w:r>
      <w:r w:rsidRPr="004C1C51">
        <w:rPr>
          <w:rFonts w:asciiTheme="minorHAnsi" w:hAnsiTheme="minorHAnsi" w:cstheme="minorHAnsi"/>
          <w:i/>
          <w:sz w:val="24"/>
          <w:lang w:val="en-GB"/>
        </w:rPr>
        <w:t xml:space="preserve"> Organ Allocation Rotations Audit and Quality Control Report</w:t>
      </w:r>
      <w:r>
        <w:rPr>
          <w:rFonts w:asciiTheme="minorHAnsi" w:hAnsiTheme="minorHAnsi" w:cstheme="minorHAnsi"/>
          <w:i/>
          <w:sz w:val="24"/>
          <w:lang w:val="en-GB"/>
        </w:rPr>
        <w:t>.</w:t>
      </w:r>
      <w:r w:rsidR="00232B7B" w:rsidRPr="00D1362A">
        <w:rPr>
          <w:rStyle w:val="FootnoteReference"/>
          <w:rFonts w:asciiTheme="minorHAnsi" w:hAnsiTheme="minorHAnsi" w:cstheme="minorHAnsi"/>
          <w:lang w:val="en-GB"/>
        </w:rPr>
        <w:footnoteReference w:id="141"/>
      </w:r>
      <w:r>
        <w:rPr>
          <w:rFonts w:asciiTheme="minorHAnsi" w:hAnsiTheme="minorHAnsi" w:cstheme="minorHAnsi"/>
          <w:i/>
          <w:sz w:val="24"/>
          <w:lang w:val="en-GB"/>
        </w:rPr>
        <w:t xml:space="preserve"> </w:t>
      </w:r>
      <w:r w:rsidRPr="00447661">
        <w:rPr>
          <w:rFonts w:asciiTheme="minorHAnsi" w:hAnsiTheme="minorHAnsi" w:cstheme="minorHAnsi"/>
          <w:sz w:val="24"/>
          <w:lang w:val="en-GB"/>
        </w:rPr>
        <w:t xml:space="preserve">This captures </w:t>
      </w:r>
      <w:r>
        <w:rPr>
          <w:rFonts w:asciiTheme="minorHAnsi" w:hAnsiTheme="minorHAnsi" w:cstheme="minorHAnsi"/>
          <w:sz w:val="24"/>
          <w:lang w:val="en-GB"/>
        </w:rPr>
        <w:t xml:space="preserve">the offer and acceptance practices, as well as reasons for decline. The 2017 report found that there were 2,957 non-renal offers </w:t>
      </w:r>
      <w:r w:rsidRPr="006E2CBC">
        <w:rPr>
          <w:rFonts w:asciiTheme="minorHAnsi" w:hAnsiTheme="minorHAnsi" w:cstheme="minorHAnsi"/>
          <w:sz w:val="24"/>
          <w:lang w:val="en-GB"/>
        </w:rPr>
        <w:t>made nationall</w:t>
      </w:r>
      <w:r>
        <w:rPr>
          <w:rFonts w:asciiTheme="minorHAnsi" w:hAnsiTheme="minorHAnsi" w:cstheme="minorHAnsi"/>
          <w:sz w:val="24"/>
          <w:lang w:val="en-GB"/>
        </w:rPr>
        <w:t>y.</w:t>
      </w:r>
      <w:r w:rsidRPr="00AF2C98">
        <w:rPr>
          <w:rStyle w:val="FootnoteReference"/>
          <w:rFonts w:asciiTheme="minorHAnsi" w:hAnsiTheme="minorHAnsi" w:cstheme="minorHAnsi"/>
          <w:lang w:val="en-GB"/>
        </w:rPr>
        <w:footnoteReference w:id="142"/>
      </w:r>
      <w:r>
        <w:rPr>
          <w:rFonts w:asciiTheme="minorHAnsi" w:hAnsiTheme="minorHAnsi" w:cstheme="minorHAnsi"/>
          <w:sz w:val="24"/>
          <w:lang w:val="en-GB"/>
        </w:rPr>
        <w:t xml:space="preserve"> This equated to an average of 4.9 organ offers per donor nationally, with the highest number non-renal offers made per donor in South Australia (5.9), Western Australia (7.5) and the Northern Territory (8.0). Victoria had the lowest with 3.6 offers per donor.</w:t>
      </w:r>
      <w:r w:rsidRPr="001271F5">
        <w:rPr>
          <w:rStyle w:val="FootnoteReference"/>
          <w:rFonts w:asciiTheme="minorHAnsi" w:hAnsiTheme="minorHAnsi" w:cstheme="minorHAnsi"/>
          <w:lang w:val="en-GB"/>
        </w:rPr>
        <w:footnoteReference w:id="143"/>
      </w:r>
      <w:r>
        <w:rPr>
          <w:rFonts w:asciiTheme="minorHAnsi" w:hAnsiTheme="minorHAnsi" w:cstheme="minorHAnsi"/>
          <w:sz w:val="24"/>
          <w:lang w:val="en-GB"/>
        </w:rPr>
        <w:t xml:space="preserve"> The Review found that the number of offers for each jurisdiction had a considerable impact on the time taken to undertake the offer process. In the case of Victoria, undertaking 3.6 offers per donor would take approximately 3.6 hours, if the offer must be accepted or declined within 60 minutes. For South Australia this would take 5.9 hours on average, Western Australia 7.5 hours and Northern Territory 8.0 hours. </w:t>
      </w:r>
    </w:p>
    <w:p w14:paraId="4C717CD4" w14:textId="6FBC2B1A" w:rsidR="006F4E24" w:rsidRDefault="006F4E24" w:rsidP="00C75FAB">
      <w:pPr>
        <w:spacing w:before="120" w:after="120"/>
        <w:rPr>
          <w:rFonts w:asciiTheme="minorHAnsi" w:hAnsiTheme="minorHAnsi" w:cstheme="minorHAnsi"/>
          <w:sz w:val="24"/>
          <w:lang w:val="en-GB"/>
        </w:rPr>
      </w:pPr>
      <w:r>
        <w:rPr>
          <w:rFonts w:asciiTheme="minorHAnsi" w:hAnsiTheme="minorHAnsi" w:cstheme="minorHAnsi"/>
          <w:sz w:val="24"/>
          <w:lang w:val="en-GB"/>
        </w:rPr>
        <w:t>The Review also found that the number of offers per donor was reflective of the level of medical suitability, availability of suitable recipients, availability of suitable clinicians and resources in the transplant</w:t>
      </w:r>
      <w:r w:rsidR="00F46C80">
        <w:rPr>
          <w:rFonts w:asciiTheme="minorHAnsi" w:hAnsiTheme="minorHAnsi" w:cstheme="minorHAnsi"/>
          <w:sz w:val="24"/>
          <w:lang w:val="en-GB"/>
        </w:rPr>
        <w:t>ation</w:t>
      </w:r>
      <w:r>
        <w:rPr>
          <w:rFonts w:asciiTheme="minorHAnsi" w:hAnsiTheme="minorHAnsi" w:cstheme="minorHAnsi"/>
          <w:sz w:val="24"/>
          <w:lang w:val="en-GB"/>
        </w:rPr>
        <w:t xml:space="preserve"> units. This is illustrated in </w:t>
      </w:r>
      <w:r w:rsidR="008D58C9">
        <w:rPr>
          <w:rFonts w:asciiTheme="minorHAnsi" w:hAnsiTheme="minorHAnsi" w:cstheme="minorHAnsi"/>
          <w:sz w:val="24"/>
          <w:lang w:val="en-GB"/>
        </w:rPr>
        <w:fldChar w:fldCharType="begin"/>
      </w:r>
      <w:r w:rsidR="008D58C9">
        <w:rPr>
          <w:rFonts w:asciiTheme="minorHAnsi" w:hAnsiTheme="minorHAnsi" w:cstheme="minorHAnsi"/>
          <w:sz w:val="24"/>
          <w:lang w:val="en-GB"/>
        </w:rPr>
        <w:instrText xml:space="preserve"> REF _Ref530474845 \h  \* MERGEFORMAT </w:instrText>
      </w:r>
      <w:r w:rsidR="008D58C9">
        <w:rPr>
          <w:rFonts w:asciiTheme="minorHAnsi" w:hAnsiTheme="minorHAnsi" w:cstheme="minorHAnsi"/>
          <w:sz w:val="24"/>
          <w:lang w:val="en-GB"/>
        </w:rPr>
      </w:r>
      <w:r w:rsidR="008D58C9">
        <w:rPr>
          <w:rFonts w:asciiTheme="minorHAnsi" w:hAnsiTheme="minorHAnsi" w:cstheme="minorHAnsi"/>
          <w:sz w:val="24"/>
          <w:lang w:val="en-GB"/>
        </w:rPr>
        <w:fldChar w:fldCharType="separate"/>
      </w:r>
      <w:r w:rsidR="00A04048" w:rsidRPr="00C75FAB">
        <w:rPr>
          <w:rFonts w:asciiTheme="minorHAnsi" w:hAnsiTheme="minorHAnsi" w:cstheme="minorHAnsi"/>
          <w:sz w:val="24"/>
          <w:lang w:val="en-GB"/>
        </w:rPr>
        <w:t>Table 21</w:t>
      </w:r>
      <w:r w:rsidR="008D58C9">
        <w:rPr>
          <w:rFonts w:asciiTheme="minorHAnsi" w:hAnsiTheme="minorHAnsi" w:cstheme="minorHAnsi"/>
          <w:sz w:val="24"/>
          <w:lang w:val="en-GB"/>
        </w:rPr>
        <w:fldChar w:fldCharType="end"/>
      </w:r>
      <w:r w:rsidR="008D58C9">
        <w:rPr>
          <w:rFonts w:asciiTheme="minorHAnsi" w:hAnsiTheme="minorHAnsi" w:cstheme="minorHAnsi"/>
          <w:sz w:val="24"/>
          <w:lang w:val="en-GB"/>
        </w:rPr>
        <w:t>,</w:t>
      </w:r>
      <w:r>
        <w:rPr>
          <w:rFonts w:asciiTheme="minorHAnsi" w:hAnsiTheme="minorHAnsi" w:cstheme="minorHAnsi"/>
          <w:sz w:val="24"/>
          <w:lang w:val="en-GB"/>
        </w:rPr>
        <w:t xml:space="preserve"> which highlights the offer decline rates of each state in 2017.</w:t>
      </w:r>
    </w:p>
    <w:p w14:paraId="38CEC082" w14:textId="77777777" w:rsidR="00666B99" w:rsidRPr="00EF2596" w:rsidRDefault="00666B99" w:rsidP="00666B99">
      <w:pPr>
        <w:pStyle w:val="Caption"/>
        <w:spacing w:after="120"/>
        <w:rPr>
          <w:rFonts w:asciiTheme="minorHAnsi" w:hAnsiTheme="minorHAnsi" w:cstheme="minorHAnsi"/>
          <w:b w:val="0"/>
          <w:color w:val="808080"/>
          <w:sz w:val="20"/>
        </w:rPr>
      </w:pPr>
      <w:bookmarkStart w:id="648" w:name="_Ref530474845"/>
      <w:bookmarkStart w:id="649" w:name="_Ref527557437"/>
      <w:r w:rsidRPr="001271F5">
        <w:rPr>
          <w:rFonts w:asciiTheme="minorHAnsi" w:hAnsiTheme="minorHAnsi" w:cstheme="minorHAnsi"/>
          <w:b w:val="0"/>
          <w:color w:val="808080"/>
          <w:sz w:val="20"/>
        </w:rPr>
        <w:t xml:space="preserve">Table </w:t>
      </w:r>
      <w:r w:rsidRPr="001271F5">
        <w:rPr>
          <w:rFonts w:asciiTheme="minorHAnsi" w:hAnsiTheme="minorHAnsi" w:cstheme="minorHAnsi"/>
          <w:b w:val="0"/>
          <w:color w:val="808080"/>
          <w:sz w:val="20"/>
        </w:rPr>
        <w:fldChar w:fldCharType="begin"/>
      </w:r>
      <w:r w:rsidRPr="001271F5">
        <w:rPr>
          <w:rFonts w:asciiTheme="minorHAnsi" w:hAnsiTheme="minorHAnsi" w:cstheme="minorHAnsi"/>
          <w:b w:val="0"/>
          <w:color w:val="808080"/>
          <w:sz w:val="20"/>
        </w:rPr>
        <w:instrText xml:space="preserve"> SEQ Table \* ARABIC </w:instrText>
      </w:r>
      <w:r w:rsidRPr="001271F5">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21</w:t>
      </w:r>
      <w:r w:rsidRPr="001271F5">
        <w:rPr>
          <w:rFonts w:asciiTheme="minorHAnsi" w:hAnsiTheme="minorHAnsi" w:cstheme="minorHAnsi"/>
          <w:b w:val="0"/>
          <w:color w:val="808080"/>
          <w:sz w:val="20"/>
        </w:rPr>
        <w:fldChar w:fldCharType="end"/>
      </w:r>
      <w:bookmarkEnd w:id="648"/>
      <w:r w:rsidRPr="001271F5">
        <w:rPr>
          <w:rFonts w:asciiTheme="minorHAnsi" w:hAnsiTheme="minorHAnsi" w:cstheme="minorHAnsi"/>
          <w:b w:val="0"/>
          <w:color w:val="808080"/>
          <w:sz w:val="20"/>
        </w:rPr>
        <w:t xml:space="preserve">: Offer decline </w:t>
      </w:r>
      <w:r>
        <w:rPr>
          <w:rFonts w:asciiTheme="minorHAnsi" w:hAnsiTheme="minorHAnsi" w:cstheme="minorHAnsi"/>
          <w:b w:val="0"/>
          <w:color w:val="808080"/>
          <w:sz w:val="20"/>
        </w:rPr>
        <w:t>number</w:t>
      </w:r>
      <w:r w:rsidRPr="001271F5">
        <w:rPr>
          <w:rFonts w:asciiTheme="minorHAnsi" w:hAnsiTheme="minorHAnsi" w:cstheme="minorHAnsi"/>
          <w:b w:val="0"/>
          <w:color w:val="808080"/>
          <w:sz w:val="20"/>
        </w:rPr>
        <w:t xml:space="preserve"> per state and territory each state in 2017</w:t>
      </w:r>
      <w:r>
        <w:rPr>
          <w:rFonts w:asciiTheme="minorHAnsi" w:hAnsiTheme="minorHAnsi" w:cstheme="minorHAnsi"/>
          <w:b w:val="0"/>
          <w:color w:val="808080"/>
          <w:sz w:val="20"/>
        </w:rPr>
        <w:t xml:space="preserve">, </w:t>
      </w:r>
      <w:r w:rsidRPr="009F53C5">
        <w:rPr>
          <w:rFonts w:asciiTheme="minorHAnsi" w:hAnsiTheme="minorHAnsi" w:cstheme="minorHAnsi"/>
          <w:b w:val="0"/>
          <w:color w:val="808080"/>
          <w:sz w:val="20"/>
        </w:rPr>
        <w:t xml:space="preserve">SOURCE: </w:t>
      </w:r>
      <w:r w:rsidR="00ED2E47">
        <w:rPr>
          <w:rFonts w:asciiTheme="minorHAnsi" w:hAnsiTheme="minorHAnsi" w:cstheme="minorHAnsi"/>
          <w:b w:val="0"/>
          <w:color w:val="808080"/>
          <w:sz w:val="20"/>
        </w:rPr>
        <w:t>NOMS</w:t>
      </w:r>
      <w:r w:rsidR="009F53C5">
        <w:rPr>
          <w:rStyle w:val="FootnoteReference"/>
          <w:rFonts w:cstheme="minorHAnsi"/>
          <w:b w:val="0"/>
          <w:color w:val="808080"/>
        </w:rPr>
        <w:footnoteReference w:id="144"/>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029"/>
        <w:gridCol w:w="1316"/>
        <w:gridCol w:w="1316"/>
        <w:gridCol w:w="1314"/>
        <w:gridCol w:w="1316"/>
        <w:gridCol w:w="1314"/>
      </w:tblGrid>
      <w:tr w:rsidR="00DB125D" w:rsidRPr="009F371F" w14:paraId="14148BC2" w14:textId="77777777" w:rsidTr="008E083E">
        <w:trPr>
          <w:trHeight w:val="290"/>
        </w:trPr>
        <w:tc>
          <w:tcPr>
            <w:tcW w:w="1577" w:type="pct"/>
            <w:shd w:val="clear" w:color="auto" w:fill="595959" w:themeFill="text1" w:themeFillTint="A6"/>
            <w:noWrap/>
            <w:vAlign w:val="bottom"/>
            <w:hideMark/>
          </w:tcPr>
          <w:p w14:paraId="6EBC1FDA" w14:textId="77777777" w:rsidR="00DB125D" w:rsidRPr="00637515" w:rsidRDefault="00DB125D" w:rsidP="008E083E">
            <w:pPr>
              <w:spacing w:before="40" w:after="40"/>
              <w:rPr>
                <w:rFonts w:ascii="Calibri" w:hAnsi="Calibri" w:cs="Calibri"/>
                <w:b/>
                <w:bCs/>
                <w:color w:val="FFFFFF" w:themeColor="background1"/>
              </w:rPr>
            </w:pPr>
            <w:r w:rsidRPr="00637515">
              <w:rPr>
                <w:rFonts w:ascii="Calibri" w:hAnsi="Calibri" w:cs="Calibri"/>
                <w:b/>
                <w:bCs/>
                <w:color w:val="FFFFFF" w:themeColor="background1"/>
              </w:rPr>
              <w:t> </w:t>
            </w:r>
          </w:p>
        </w:tc>
        <w:tc>
          <w:tcPr>
            <w:tcW w:w="685" w:type="pct"/>
            <w:shd w:val="clear" w:color="auto" w:fill="595959" w:themeFill="text1" w:themeFillTint="A6"/>
            <w:noWrap/>
            <w:vAlign w:val="center"/>
            <w:hideMark/>
          </w:tcPr>
          <w:p w14:paraId="421EEC3A" w14:textId="77777777" w:rsidR="00DB125D" w:rsidRPr="00637515" w:rsidRDefault="00DB125D" w:rsidP="008E083E">
            <w:pPr>
              <w:spacing w:before="40" w:after="40"/>
              <w:jc w:val="center"/>
              <w:rPr>
                <w:rFonts w:ascii="Calibri" w:hAnsi="Calibri" w:cs="Calibri"/>
                <w:b/>
                <w:bCs/>
                <w:color w:val="FFFFFF" w:themeColor="background1"/>
              </w:rPr>
            </w:pPr>
            <w:r w:rsidRPr="00637515">
              <w:rPr>
                <w:rFonts w:ascii="Calibri" w:hAnsi="Calibri" w:cs="Calibri"/>
                <w:b/>
                <w:bCs/>
                <w:color w:val="FFFFFF" w:themeColor="background1"/>
              </w:rPr>
              <w:t>NSW</w:t>
            </w:r>
          </w:p>
        </w:tc>
        <w:tc>
          <w:tcPr>
            <w:tcW w:w="685" w:type="pct"/>
            <w:shd w:val="clear" w:color="auto" w:fill="595959" w:themeFill="text1" w:themeFillTint="A6"/>
            <w:noWrap/>
            <w:vAlign w:val="center"/>
            <w:hideMark/>
          </w:tcPr>
          <w:p w14:paraId="375934A1" w14:textId="77777777" w:rsidR="00DB125D" w:rsidRPr="00637515" w:rsidRDefault="00DB125D" w:rsidP="008E083E">
            <w:pPr>
              <w:spacing w:before="40" w:after="40"/>
              <w:jc w:val="center"/>
              <w:rPr>
                <w:rFonts w:ascii="Calibri" w:hAnsi="Calibri" w:cs="Calibri"/>
                <w:b/>
                <w:bCs/>
                <w:color w:val="FFFFFF" w:themeColor="background1"/>
              </w:rPr>
            </w:pPr>
            <w:r w:rsidRPr="00637515">
              <w:rPr>
                <w:rFonts w:ascii="Calibri" w:hAnsi="Calibri" w:cs="Calibri"/>
                <w:b/>
                <w:bCs/>
                <w:color w:val="FFFFFF" w:themeColor="background1"/>
              </w:rPr>
              <w:t>QLD</w:t>
            </w:r>
          </w:p>
        </w:tc>
        <w:tc>
          <w:tcPr>
            <w:tcW w:w="684" w:type="pct"/>
            <w:shd w:val="clear" w:color="auto" w:fill="595959" w:themeFill="text1" w:themeFillTint="A6"/>
            <w:noWrap/>
            <w:vAlign w:val="center"/>
            <w:hideMark/>
          </w:tcPr>
          <w:p w14:paraId="7444C9DE" w14:textId="77777777" w:rsidR="00DB125D" w:rsidRPr="00637515" w:rsidRDefault="00DB125D" w:rsidP="008E083E">
            <w:pPr>
              <w:spacing w:before="40" w:after="40"/>
              <w:jc w:val="center"/>
              <w:rPr>
                <w:rFonts w:ascii="Calibri" w:hAnsi="Calibri" w:cs="Calibri"/>
                <w:b/>
                <w:bCs/>
                <w:color w:val="FFFFFF" w:themeColor="background1"/>
              </w:rPr>
            </w:pPr>
            <w:r w:rsidRPr="00637515">
              <w:rPr>
                <w:rFonts w:ascii="Calibri" w:hAnsi="Calibri" w:cs="Calibri"/>
                <w:b/>
                <w:bCs/>
                <w:color w:val="FFFFFF" w:themeColor="background1"/>
              </w:rPr>
              <w:t>SA</w:t>
            </w:r>
          </w:p>
        </w:tc>
        <w:tc>
          <w:tcPr>
            <w:tcW w:w="685" w:type="pct"/>
            <w:shd w:val="clear" w:color="auto" w:fill="595959" w:themeFill="text1" w:themeFillTint="A6"/>
            <w:noWrap/>
            <w:vAlign w:val="center"/>
            <w:hideMark/>
          </w:tcPr>
          <w:p w14:paraId="0E01517F" w14:textId="77777777" w:rsidR="00DB125D" w:rsidRPr="00637515" w:rsidRDefault="00DB125D" w:rsidP="008E083E">
            <w:pPr>
              <w:spacing w:before="40" w:after="40"/>
              <w:jc w:val="center"/>
              <w:rPr>
                <w:rFonts w:ascii="Calibri" w:hAnsi="Calibri" w:cs="Calibri"/>
                <w:b/>
                <w:bCs/>
                <w:color w:val="FFFFFF" w:themeColor="background1"/>
              </w:rPr>
            </w:pPr>
            <w:r w:rsidRPr="00637515">
              <w:rPr>
                <w:rFonts w:ascii="Calibri" w:hAnsi="Calibri" w:cs="Calibri"/>
                <w:b/>
                <w:bCs/>
                <w:color w:val="FFFFFF" w:themeColor="background1"/>
              </w:rPr>
              <w:t>VIC</w:t>
            </w:r>
          </w:p>
        </w:tc>
        <w:tc>
          <w:tcPr>
            <w:tcW w:w="685" w:type="pct"/>
            <w:shd w:val="clear" w:color="auto" w:fill="595959" w:themeFill="text1" w:themeFillTint="A6"/>
            <w:noWrap/>
            <w:vAlign w:val="center"/>
            <w:hideMark/>
          </w:tcPr>
          <w:p w14:paraId="63A034C0" w14:textId="77777777" w:rsidR="00DB125D" w:rsidRPr="00637515" w:rsidRDefault="00DB125D" w:rsidP="008E083E">
            <w:pPr>
              <w:spacing w:before="40" w:after="40"/>
              <w:jc w:val="center"/>
              <w:rPr>
                <w:rFonts w:ascii="Calibri" w:hAnsi="Calibri" w:cs="Calibri"/>
                <w:b/>
                <w:bCs/>
                <w:color w:val="FFFFFF" w:themeColor="background1"/>
              </w:rPr>
            </w:pPr>
            <w:r w:rsidRPr="00637515">
              <w:rPr>
                <w:rFonts w:ascii="Calibri" w:hAnsi="Calibri" w:cs="Calibri"/>
                <w:b/>
                <w:bCs/>
                <w:color w:val="FFFFFF" w:themeColor="background1"/>
              </w:rPr>
              <w:t>WA</w:t>
            </w:r>
          </w:p>
        </w:tc>
      </w:tr>
      <w:tr w:rsidR="00DB125D" w:rsidRPr="009F371F" w14:paraId="51ABC118" w14:textId="77777777" w:rsidTr="008E083E">
        <w:trPr>
          <w:trHeight w:val="290"/>
        </w:trPr>
        <w:tc>
          <w:tcPr>
            <w:tcW w:w="1577" w:type="pct"/>
            <w:shd w:val="clear" w:color="auto" w:fill="auto"/>
            <w:noWrap/>
            <w:vAlign w:val="bottom"/>
            <w:hideMark/>
          </w:tcPr>
          <w:p w14:paraId="73425B6E" w14:textId="77777777" w:rsidR="00DB125D" w:rsidRPr="001271F5" w:rsidRDefault="00DB125D" w:rsidP="008E083E">
            <w:pPr>
              <w:spacing w:before="40" w:after="40"/>
              <w:rPr>
                <w:rFonts w:ascii="Calibri" w:hAnsi="Calibri" w:cs="Calibri"/>
                <w:bCs/>
                <w:color w:val="000000"/>
              </w:rPr>
            </w:pPr>
            <w:r>
              <w:rPr>
                <w:rFonts w:ascii="Calibri" w:hAnsi="Calibri" w:cs="Calibri"/>
                <w:bCs/>
                <w:color w:val="000000"/>
              </w:rPr>
              <w:t>Offers accepted</w:t>
            </w:r>
          </w:p>
        </w:tc>
        <w:tc>
          <w:tcPr>
            <w:tcW w:w="685" w:type="pct"/>
            <w:shd w:val="clear" w:color="auto" w:fill="auto"/>
            <w:noWrap/>
            <w:vAlign w:val="bottom"/>
            <w:hideMark/>
          </w:tcPr>
          <w:p w14:paraId="53BA6F84" w14:textId="77777777" w:rsidR="00DB125D" w:rsidRPr="001271F5" w:rsidRDefault="00DB125D" w:rsidP="008E083E">
            <w:pPr>
              <w:spacing w:before="40" w:after="40"/>
              <w:jc w:val="center"/>
              <w:rPr>
                <w:rFonts w:ascii="Calibri" w:hAnsi="Calibri" w:cs="Calibri"/>
                <w:bCs/>
                <w:color w:val="000000"/>
              </w:rPr>
            </w:pPr>
            <w:r w:rsidRPr="00035226">
              <w:rPr>
                <w:rFonts w:ascii="Calibri" w:hAnsi="Calibri" w:cs="Calibri"/>
                <w:lang w:eastAsia="en-AU"/>
              </w:rPr>
              <w:t>232</w:t>
            </w:r>
          </w:p>
        </w:tc>
        <w:tc>
          <w:tcPr>
            <w:tcW w:w="685" w:type="pct"/>
            <w:shd w:val="clear" w:color="auto" w:fill="auto"/>
            <w:noWrap/>
            <w:vAlign w:val="bottom"/>
            <w:hideMark/>
          </w:tcPr>
          <w:p w14:paraId="3254EBCD" w14:textId="77777777" w:rsidR="00DB125D" w:rsidRPr="001271F5" w:rsidRDefault="00DB125D" w:rsidP="008E083E">
            <w:pPr>
              <w:spacing w:before="40" w:after="40"/>
              <w:jc w:val="center"/>
              <w:rPr>
                <w:rFonts w:ascii="Calibri" w:hAnsi="Calibri" w:cs="Calibri"/>
                <w:bCs/>
                <w:color w:val="000000"/>
              </w:rPr>
            </w:pPr>
            <w:r w:rsidRPr="00035226">
              <w:rPr>
                <w:rFonts w:ascii="Calibri" w:hAnsi="Calibri" w:cs="Calibri"/>
                <w:lang w:eastAsia="en-AU"/>
              </w:rPr>
              <w:t>164</w:t>
            </w:r>
          </w:p>
        </w:tc>
        <w:tc>
          <w:tcPr>
            <w:tcW w:w="684" w:type="pct"/>
            <w:shd w:val="clear" w:color="auto" w:fill="auto"/>
            <w:noWrap/>
            <w:vAlign w:val="bottom"/>
            <w:hideMark/>
          </w:tcPr>
          <w:p w14:paraId="7EE6F0EF" w14:textId="77777777" w:rsidR="00DB125D" w:rsidRPr="001271F5" w:rsidRDefault="00DB125D" w:rsidP="008E083E">
            <w:pPr>
              <w:spacing w:before="40" w:after="40"/>
              <w:jc w:val="center"/>
              <w:rPr>
                <w:rFonts w:ascii="Calibri" w:hAnsi="Calibri" w:cs="Calibri"/>
                <w:bCs/>
                <w:color w:val="000000"/>
              </w:rPr>
            </w:pPr>
            <w:r w:rsidRPr="00035226">
              <w:rPr>
                <w:rFonts w:ascii="Calibri" w:hAnsi="Calibri" w:cs="Calibri"/>
                <w:lang w:eastAsia="en-AU"/>
              </w:rPr>
              <w:t>57</w:t>
            </w:r>
          </w:p>
        </w:tc>
        <w:tc>
          <w:tcPr>
            <w:tcW w:w="685" w:type="pct"/>
            <w:shd w:val="clear" w:color="auto" w:fill="auto"/>
            <w:noWrap/>
            <w:vAlign w:val="bottom"/>
            <w:hideMark/>
          </w:tcPr>
          <w:p w14:paraId="7CB5FC61" w14:textId="77777777" w:rsidR="00DB125D" w:rsidRPr="001271F5" w:rsidRDefault="00DB125D" w:rsidP="008E083E">
            <w:pPr>
              <w:spacing w:before="40" w:after="40"/>
              <w:jc w:val="center"/>
              <w:rPr>
                <w:rFonts w:ascii="Calibri" w:hAnsi="Calibri" w:cs="Calibri"/>
                <w:bCs/>
                <w:color w:val="000000"/>
              </w:rPr>
            </w:pPr>
            <w:r w:rsidRPr="00035226">
              <w:rPr>
                <w:rFonts w:ascii="Calibri" w:hAnsi="Calibri" w:cs="Calibri"/>
                <w:lang w:eastAsia="en-AU"/>
              </w:rPr>
              <w:t>262</w:t>
            </w:r>
          </w:p>
        </w:tc>
        <w:tc>
          <w:tcPr>
            <w:tcW w:w="685" w:type="pct"/>
            <w:shd w:val="clear" w:color="auto" w:fill="auto"/>
            <w:noWrap/>
            <w:vAlign w:val="bottom"/>
            <w:hideMark/>
          </w:tcPr>
          <w:p w14:paraId="6CA0034E" w14:textId="77777777" w:rsidR="00DB125D" w:rsidRPr="001271F5" w:rsidRDefault="00DB125D" w:rsidP="008E083E">
            <w:pPr>
              <w:spacing w:before="40" w:after="40"/>
              <w:jc w:val="center"/>
              <w:rPr>
                <w:rFonts w:ascii="Calibri" w:hAnsi="Calibri" w:cs="Calibri"/>
                <w:bCs/>
                <w:color w:val="000000"/>
              </w:rPr>
            </w:pPr>
            <w:r w:rsidRPr="00035226">
              <w:rPr>
                <w:rFonts w:ascii="Calibri" w:hAnsi="Calibri" w:cs="Calibri"/>
                <w:lang w:eastAsia="en-AU"/>
              </w:rPr>
              <w:t>88</w:t>
            </w:r>
          </w:p>
        </w:tc>
      </w:tr>
      <w:tr w:rsidR="00DB125D" w:rsidRPr="009F371F" w14:paraId="326BCA7F" w14:textId="77777777" w:rsidTr="008E083E">
        <w:trPr>
          <w:trHeight w:val="290"/>
        </w:trPr>
        <w:tc>
          <w:tcPr>
            <w:tcW w:w="1577" w:type="pct"/>
            <w:shd w:val="clear" w:color="auto" w:fill="auto"/>
            <w:noWrap/>
            <w:vAlign w:val="bottom"/>
          </w:tcPr>
          <w:p w14:paraId="451B9600" w14:textId="77777777" w:rsidR="00DB125D" w:rsidRDefault="00DB125D" w:rsidP="008E083E">
            <w:pPr>
              <w:spacing w:before="40" w:after="40"/>
              <w:rPr>
                <w:rFonts w:ascii="Calibri" w:hAnsi="Calibri" w:cs="Calibri"/>
                <w:bCs/>
                <w:color w:val="000000"/>
              </w:rPr>
            </w:pPr>
            <w:r>
              <w:rPr>
                <w:rFonts w:ascii="Calibri" w:hAnsi="Calibri" w:cs="Calibri"/>
                <w:bCs/>
                <w:color w:val="000000"/>
              </w:rPr>
              <w:t>Offers declined</w:t>
            </w:r>
          </w:p>
        </w:tc>
        <w:tc>
          <w:tcPr>
            <w:tcW w:w="685" w:type="pct"/>
            <w:shd w:val="clear" w:color="auto" w:fill="auto"/>
            <w:noWrap/>
            <w:vAlign w:val="bottom"/>
          </w:tcPr>
          <w:p w14:paraId="4E566780" w14:textId="77777777" w:rsidR="00DB125D" w:rsidRPr="001271F5" w:rsidRDefault="00DB125D" w:rsidP="008E083E">
            <w:pPr>
              <w:spacing w:before="40" w:after="40"/>
              <w:jc w:val="center"/>
              <w:rPr>
                <w:rFonts w:ascii="Calibri" w:hAnsi="Calibri" w:cs="Calibri"/>
                <w:bCs/>
                <w:color w:val="000000"/>
              </w:rPr>
            </w:pPr>
            <w:r w:rsidRPr="00035226">
              <w:rPr>
                <w:rFonts w:ascii="Calibri" w:hAnsi="Calibri" w:cs="Calibri"/>
                <w:lang w:eastAsia="en-AU"/>
              </w:rPr>
              <w:t>168</w:t>
            </w:r>
          </w:p>
        </w:tc>
        <w:tc>
          <w:tcPr>
            <w:tcW w:w="685" w:type="pct"/>
            <w:shd w:val="clear" w:color="auto" w:fill="auto"/>
            <w:noWrap/>
            <w:vAlign w:val="bottom"/>
          </w:tcPr>
          <w:p w14:paraId="63CD69BF" w14:textId="77777777" w:rsidR="00DB125D" w:rsidRPr="001271F5" w:rsidRDefault="00DB125D" w:rsidP="008E083E">
            <w:pPr>
              <w:spacing w:before="40" w:after="40"/>
              <w:jc w:val="center"/>
              <w:rPr>
                <w:rFonts w:ascii="Calibri" w:hAnsi="Calibri" w:cs="Calibri"/>
                <w:bCs/>
                <w:color w:val="000000"/>
              </w:rPr>
            </w:pPr>
            <w:r w:rsidRPr="00035226">
              <w:rPr>
                <w:rFonts w:ascii="Calibri" w:hAnsi="Calibri" w:cs="Calibri"/>
                <w:lang w:eastAsia="en-AU"/>
              </w:rPr>
              <w:t>250</w:t>
            </w:r>
          </w:p>
        </w:tc>
        <w:tc>
          <w:tcPr>
            <w:tcW w:w="684" w:type="pct"/>
            <w:shd w:val="clear" w:color="auto" w:fill="auto"/>
            <w:noWrap/>
            <w:vAlign w:val="bottom"/>
          </w:tcPr>
          <w:p w14:paraId="5A5EB2D4" w14:textId="77777777" w:rsidR="00DB125D" w:rsidRPr="001271F5" w:rsidRDefault="00DB125D" w:rsidP="008E083E">
            <w:pPr>
              <w:spacing w:before="40" w:after="40"/>
              <w:jc w:val="center"/>
              <w:rPr>
                <w:rFonts w:ascii="Calibri" w:hAnsi="Calibri" w:cs="Calibri"/>
                <w:bCs/>
                <w:color w:val="000000"/>
              </w:rPr>
            </w:pPr>
            <w:r w:rsidRPr="00035226">
              <w:rPr>
                <w:rFonts w:ascii="Calibri" w:hAnsi="Calibri" w:cs="Calibri"/>
                <w:lang w:eastAsia="en-AU"/>
              </w:rPr>
              <w:t>65</w:t>
            </w:r>
          </w:p>
        </w:tc>
        <w:tc>
          <w:tcPr>
            <w:tcW w:w="685" w:type="pct"/>
            <w:shd w:val="clear" w:color="auto" w:fill="auto"/>
            <w:noWrap/>
            <w:vAlign w:val="bottom"/>
          </w:tcPr>
          <w:p w14:paraId="7DFF652D" w14:textId="77777777" w:rsidR="00DB125D" w:rsidRPr="001271F5" w:rsidRDefault="00DB125D" w:rsidP="008E083E">
            <w:pPr>
              <w:spacing w:before="40" w:after="40"/>
              <w:jc w:val="center"/>
              <w:rPr>
                <w:rFonts w:ascii="Calibri" w:hAnsi="Calibri" w:cs="Calibri"/>
                <w:bCs/>
                <w:color w:val="000000"/>
              </w:rPr>
            </w:pPr>
            <w:r w:rsidRPr="00035226">
              <w:rPr>
                <w:rFonts w:ascii="Calibri" w:hAnsi="Calibri" w:cs="Calibri"/>
                <w:lang w:eastAsia="en-AU"/>
              </w:rPr>
              <w:t>327</w:t>
            </w:r>
          </w:p>
        </w:tc>
        <w:tc>
          <w:tcPr>
            <w:tcW w:w="685" w:type="pct"/>
            <w:shd w:val="clear" w:color="auto" w:fill="auto"/>
            <w:noWrap/>
            <w:vAlign w:val="bottom"/>
          </w:tcPr>
          <w:p w14:paraId="49D95A58" w14:textId="77777777" w:rsidR="00DB125D" w:rsidRPr="001271F5" w:rsidRDefault="00DB125D" w:rsidP="008E083E">
            <w:pPr>
              <w:spacing w:before="40" w:after="40"/>
              <w:jc w:val="center"/>
              <w:rPr>
                <w:rFonts w:ascii="Calibri" w:hAnsi="Calibri" w:cs="Calibri"/>
                <w:bCs/>
                <w:color w:val="000000"/>
              </w:rPr>
            </w:pPr>
            <w:r w:rsidRPr="00035226">
              <w:rPr>
                <w:rFonts w:ascii="Calibri" w:hAnsi="Calibri" w:cs="Calibri"/>
                <w:lang w:eastAsia="en-AU"/>
              </w:rPr>
              <w:t>189</w:t>
            </w:r>
          </w:p>
        </w:tc>
      </w:tr>
      <w:tr w:rsidR="00DB125D" w:rsidRPr="009F371F" w14:paraId="4C4F2AFB" w14:textId="77777777" w:rsidTr="008E083E">
        <w:trPr>
          <w:trHeight w:val="290"/>
        </w:trPr>
        <w:tc>
          <w:tcPr>
            <w:tcW w:w="1577" w:type="pct"/>
            <w:shd w:val="clear" w:color="auto" w:fill="auto"/>
            <w:noWrap/>
            <w:vAlign w:val="bottom"/>
          </w:tcPr>
          <w:p w14:paraId="6C442C85" w14:textId="77777777" w:rsidR="00DB125D" w:rsidRDefault="00DB125D" w:rsidP="008E083E">
            <w:pPr>
              <w:spacing w:before="40" w:after="40"/>
              <w:rPr>
                <w:rFonts w:ascii="Calibri" w:hAnsi="Calibri" w:cs="Calibri"/>
                <w:bCs/>
                <w:color w:val="000000"/>
              </w:rPr>
            </w:pPr>
            <w:r>
              <w:rPr>
                <w:rFonts w:ascii="Calibri" w:hAnsi="Calibri" w:cs="Calibri"/>
                <w:bCs/>
                <w:color w:val="000000"/>
              </w:rPr>
              <w:t>Percentage of total offers declined</w:t>
            </w:r>
          </w:p>
        </w:tc>
        <w:tc>
          <w:tcPr>
            <w:tcW w:w="685" w:type="pct"/>
            <w:shd w:val="clear" w:color="auto" w:fill="auto"/>
            <w:noWrap/>
            <w:vAlign w:val="bottom"/>
          </w:tcPr>
          <w:p w14:paraId="0E6CE7F9" w14:textId="77777777" w:rsidR="00DB125D" w:rsidRPr="001271F5" w:rsidRDefault="00DB125D" w:rsidP="008E083E">
            <w:pPr>
              <w:spacing w:before="40" w:after="40"/>
              <w:jc w:val="center"/>
              <w:rPr>
                <w:rFonts w:ascii="Calibri" w:hAnsi="Calibri" w:cs="Calibri"/>
                <w:bCs/>
                <w:color w:val="000000"/>
              </w:rPr>
            </w:pPr>
            <w:r w:rsidRPr="00035226">
              <w:rPr>
                <w:rFonts w:ascii="Calibri" w:hAnsi="Calibri" w:cs="Calibri"/>
                <w:lang w:eastAsia="en-AU"/>
              </w:rPr>
              <w:t>42.0%</w:t>
            </w:r>
          </w:p>
        </w:tc>
        <w:tc>
          <w:tcPr>
            <w:tcW w:w="685" w:type="pct"/>
            <w:shd w:val="clear" w:color="auto" w:fill="auto"/>
            <w:noWrap/>
            <w:vAlign w:val="bottom"/>
          </w:tcPr>
          <w:p w14:paraId="030C0677" w14:textId="77777777" w:rsidR="00DB125D" w:rsidRPr="001271F5" w:rsidRDefault="00DB125D" w:rsidP="008E083E">
            <w:pPr>
              <w:spacing w:before="40" w:after="40"/>
              <w:jc w:val="center"/>
              <w:rPr>
                <w:rFonts w:ascii="Calibri" w:hAnsi="Calibri" w:cs="Calibri"/>
                <w:bCs/>
                <w:color w:val="000000"/>
              </w:rPr>
            </w:pPr>
            <w:r w:rsidRPr="00035226">
              <w:rPr>
                <w:rFonts w:ascii="Calibri" w:hAnsi="Calibri" w:cs="Calibri"/>
                <w:lang w:eastAsia="en-AU"/>
              </w:rPr>
              <w:t>60.4%</w:t>
            </w:r>
          </w:p>
        </w:tc>
        <w:tc>
          <w:tcPr>
            <w:tcW w:w="684" w:type="pct"/>
            <w:shd w:val="clear" w:color="auto" w:fill="auto"/>
            <w:noWrap/>
            <w:vAlign w:val="bottom"/>
          </w:tcPr>
          <w:p w14:paraId="7F60AFE2" w14:textId="77777777" w:rsidR="00DB125D" w:rsidRPr="001271F5" w:rsidRDefault="00DB125D" w:rsidP="008E083E">
            <w:pPr>
              <w:spacing w:before="40" w:after="40"/>
              <w:jc w:val="center"/>
              <w:rPr>
                <w:rFonts w:ascii="Calibri" w:hAnsi="Calibri" w:cs="Calibri"/>
                <w:bCs/>
                <w:color w:val="000000"/>
              </w:rPr>
            </w:pPr>
            <w:r w:rsidRPr="00035226">
              <w:rPr>
                <w:rFonts w:ascii="Calibri" w:hAnsi="Calibri" w:cs="Calibri"/>
                <w:lang w:eastAsia="en-AU"/>
              </w:rPr>
              <w:t>53.3%</w:t>
            </w:r>
          </w:p>
        </w:tc>
        <w:tc>
          <w:tcPr>
            <w:tcW w:w="685" w:type="pct"/>
            <w:shd w:val="clear" w:color="auto" w:fill="auto"/>
            <w:noWrap/>
            <w:vAlign w:val="bottom"/>
          </w:tcPr>
          <w:p w14:paraId="3B487B33" w14:textId="77777777" w:rsidR="00DB125D" w:rsidRPr="001271F5" w:rsidRDefault="00DB125D" w:rsidP="008E083E">
            <w:pPr>
              <w:spacing w:before="40" w:after="40"/>
              <w:jc w:val="center"/>
              <w:rPr>
                <w:rFonts w:ascii="Calibri" w:hAnsi="Calibri" w:cs="Calibri"/>
                <w:bCs/>
                <w:color w:val="000000"/>
              </w:rPr>
            </w:pPr>
            <w:r w:rsidRPr="00035226">
              <w:rPr>
                <w:rFonts w:ascii="Calibri" w:hAnsi="Calibri" w:cs="Calibri"/>
                <w:lang w:eastAsia="en-AU"/>
              </w:rPr>
              <w:t>55.5%</w:t>
            </w:r>
          </w:p>
        </w:tc>
        <w:tc>
          <w:tcPr>
            <w:tcW w:w="685" w:type="pct"/>
            <w:shd w:val="clear" w:color="auto" w:fill="auto"/>
            <w:noWrap/>
            <w:vAlign w:val="bottom"/>
          </w:tcPr>
          <w:p w14:paraId="66AB14F0" w14:textId="77777777" w:rsidR="00DB125D" w:rsidRPr="001271F5" w:rsidRDefault="00DB125D" w:rsidP="008E083E">
            <w:pPr>
              <w:spacing w:before="40" w:after="40"/>
              <w:jc w:val="center"/>
              <w:rPr>
                <w:rFonts w:ascii="Calibri" w:hAnsi="Calibri" w:cs="Calibri"/>
                <w:bCs/>
                <w:color w:val="000000"/>
              </w:rPr>
            </w:pPr>
            <w:r w:rsidRPr="00035226">
              <w:rPr>
                <w:rFonts w:ascii="Calibri" w:hAnsi="Calibri" w:cs="Calibri"/>
                <w:lang w:eastAsia="en-AU"/>
              </w:rPr>
              <w:t>68.2%</w:t>
            </w:r>
          </w:p>
        </w:tc>
      </w:tr>
    </w:tbl>
    <w:p w14:paraId="1430B953" w14:textId="77777777" w:rsidR="00DB125D" w:rsidRPr="00EF2596" w:rsidRDefault="00DB125D" w:rsidP="00EF2596">
      <w:pPr>
        <w:spacing w:before="120" w:after="120"/>
        <w:rPr>
          <w:rFonts w:asciiTheme="minorHAnsi" w:hAnsiTheme="minorHAnsi" w:cstheme="minorHAnsi"/>
          <w:sz w:val="24"/>
          <w:lang w:val="en-GB"/>
        </w:rPr>
      </w:pPr>
      <w:r w:rsidRPr="00EF2596">
        <w:rPr>
          <w:rFonts w:asciiTheme="minorHAnsi" w:hAnsiTheme="minorHAnsi" w:cstheme="minorHAnsi"/>
          <w:sz w:val="24"/>
          <w:lang w:val="en-GB"/>
        </w:rPr>
        <w:t>In 2017, there were a total of 1</w:t>
      </w:r>
      <w:r w:rsidR="00ED7206">
        <w:rPr>
          <w:rFonts w:asciiTheme="minorHAnsi" w:hAnsiTheme="minorHAnsi" w:cstheme="minorHAnsi"/>
          <w:sz w:val="24"/>
          <w:lang w:val="en-GB"/>
        </w:rPr>
        <w:t>,</w:t>
      </w:r>
      <w:r w:rsidRPr="00EF2596">
        <w:rPr>
          <w:rFonts w:asciiTheme="minorHAnsi" w:hAnsiTheme="minorHAnsi" w:cstheme="minorHAnsi"/>
          <w:sz w:val="24"/>
          <w:lang w:val="en-GB"/>
        </w:rPr>
        <w:t>802 offers made to renal</w:t>
      </w:r>
      <w:r w:rsidR="00C1796A">
        <w:rPr>
          <w:rFonts w:asciiTheme="minorHAnsi" w:hAnsiTheme="minorHAnsi" w:cstheme="minorHAnsi"/>
          <w:sz w:val="24"/>
          <w:lang w:val="en-GB"/>
        </w:rPr>
        <w:t xml:space="preserve"> </w:t>
      </w:r>
      <w:r w:rsidRPr="00EF2596">
        <w:rPr>
          <w:rFonts w:asciiTheme="minorHAnsi" w:hAnsiTheme="minorHAnsi" w:cstheme="minorHAnsi"/>
          <w:sz w:val="24"/>
          <w:lang w:val="en-GB"/>
        </w:rPr>
        <w:t>transplantation units.</w:t>
      </w:r>
      <w:r w:rsidR="00C1796A">
        <w:rPr>
          <w:rStyle w:val="FootnoteReference"/>
          <w:rFonts w:cstheme="minorHAnsi"/>
          <w:lang w:val="en-GB"/>
        </w:rPr>
        <w:footnoteReference w:id="145"/>
      </w:r>
      <w:r w:rsidRPr="00EF2596">
        <w:rPr>
          <w:rFonts w:asciiTheme="minorHAnsi" w:hAnsiTheme="minorHAnsi" w:cstheme="minorHAnsi"/>
          <w:sz w:val="24"/>
          <w:lang w:val="en-GB"/>
        </w:rPr>
        <w:t xml:space="preserve"> Individual units are responsible for accepting or declining organ offers. While the availability of suitable recipients remains a primary factor for organ offer decline, the difference in decline rates also reflects the variability in accessing suitable clinicians and the availability of resources within each transplantation unit. Western Australia</w:t>
      </w:r>
      <w:r w:rsidR="00ED7206">
        <w:rPr>
          <w:rFonts w:asciiTheme="minorHAnsi" w:hAnsiTheme="minorHAnsi" w:cstheme="minorHAnsi"/>
          <w:sz w:val="24"/>
          <w:lang w:val="en-GB"/>
        </w:rPr>
        <w:t xml:space="preserve"> (</w:t>
      </w:r>
      <w:r w:rsidR="00ED7206" w:rsidRPr="00C07C72">
        <w:rPr>
          <w:rFonts w:asciiTheme="minorHAnsi" w:hAnsiTheme="minorHAnsi" w:cstheme="minorHAnsi"/>
          <w:sz w:val="24"/>
          <w:lang w:val="en-GB"/>
        </w:rPr>
        <w:t>68.2 per cent</w:t>
      </w:r>
      <w:r w:rsidR="00ED7206">
        <w:rPr>
          <w:rFonts w:asciiTheme="minorHAnsi" w:hAnsiTheme="minorHAnsi" w:cstheme="minorHAnsi"/>
          <w:sz w:val="24"/>
          <w:lang w:val="en-GB"/>
        </w:rPr>
        <w:t>)</w:t>
      </w:r>
      <w:r w:rsidRPr="00EF2596">
        <w:rPr>
          <w:rFonts w:asciiTheme="minorHAnsi" w:hAnsiTheme="minorHAnsi" w:cstheme="minorHAnsi"/>
          <w:sz w:val="24"/>
          <w:lang w:val="en-GB"/>
        </w:rPr>
        <w:t xml:space="preserve"> and Queensland</w:t>
      </w:r>
      <w:r w:rsidR="00ED7206">
        <w:rPr>
          <w:rFonts w:asciiTheme="minorHAnsi" w:hAnsiTheme="minorHAnsi" w:cstheme="minorHAnsi"/>
          <w:sz w:val="24"/>
          <w:lang w:val="en-GB"/>
        </w:rPr>
        <w:t xml:space="preserve"> (</w:t>
      </w:r>
      <w:r w:rsidR="00ED7206" w:rsidRPr="00C07C72">
        <w:rPr>
          <w:rFonts w:asciiTheme="minorHAnsi" w:hAnsiTheme="minorHAnsi" w:cstheme="minorHAnsi"/>
          <w:sz w:val="24"/>
          <w:lang w:val="en-GB"/>
        </w:rPr>
        <w:t>60.4 per</w:t>
      </w:r>
      <w:r w:rsidR="00ED7206">
        <w:rPr>
          <w:rFonts w:asciiTheme="minorHAnsi" w:hAnsiTheme="minorHAnsi" w:cstheme="minorHAnsi"/>
          <w:sz w:val="24"/>
          <w:lang w:val="en-GB"/>
        </w:rPr>
        <w:t xml:space="preserve"> </w:t>
      </w:r>
      <w:r w:rsidR="00ED7206" w:rsidRPr="00C07C72">
        <w:rPr>
          <w:rFonts w:asciiTheme="minorHAnsi" w:hAnsiTheme="minorHAnsi" w:cstheme="minorHAnsi"/>
          <w:sz w:val="24"/>
          <w:lang w:val="en-GB"/>
        </w:rPr>
        <w:t>cent</w:t>
      </w:r>
      <w:r w:rsidR="00ED7206">
        <w:rPr>
          <w:rFonts w:asciiTheme="minorHAnsi" w:hAnsiTheme="minorHAnsi" w:cstheme="minorHAnsi"/>
          <w:sz w:val="24"/>
          <w:lang w:val="en-GB"/>
        </w:rPr>
        <w:t>)</w:t>
      </w:r>
      <w:r w:rsidRPr="00EF2596">
        <w:rPr>
          <w:rFonts w:asciiTheme="minorHAnsi" w:hAnsiTheme="minorHAnsi" w:cstheme="minorHAnsi"/>
          <w:sz w:val="24"/>
          <w:lang w:val="en-GB"/>
        </w:rPr>
        <w:t xml:space="preserve"> </w:t>
      </w:r>
      <w:r w:rsidR="00DC1D9C">
        <w:rPr>
          <w:rFonts w:asciiTheme="minorHAnsi" w:hAnsiTheme="minorHAnsi" w:cstheme="minorHAnsi"/>
          <w:sz w:val="24"/>
          <w:lang w:val="en-GB"/>
        </w:rPr>
        <w:t xml:space="preserve">had the </w:t>
      </w:r>
      <w:r w:rsidRPr="00EF2596">
        <w:rPr>
          <w:rFonts w:asciiTheme="minorHAnsi" w:hAnsiTheme="minorHAnsi" w:cstheme="minorHAnsi"/>
          <w:sz w:val="24"/>
          <w:lang w:val="en-GB"/>
        </w:rPr>
        <w:t xml:space="preserve">highest proportion of kidney offer declines in 2017. </w:t>
      </w:r>
    </w:p>
    <w:bookmarkEnd w:id="649"/>
    <w:p w14:paraId="2C426C56" w14:textId="77777777" w:rsidR="00666B99" w:rsidRDefault="006F4E24" w:rsidP="00EF2596">
      <w:pPr>
        <w:spacing w:after="120"/>
        <w:rPr>
          <w:rFonts w:asciiTheme="minorHAnsi" w:hAnsiTheme="minorHAnsi" w:cstheme="minorHAnsi"/>
          <w:lang w:val="en-GB"/>
        </w:rPr>
      </w:pPr>
      <w:r>
        <w:rPr>
          <w:rFonts w:asciiTheme="minorHAnsi" w:hAnsiTheme="minorHAnsi" w:cstheme="minorHAnsi"/>
          <w:sz w:val="24"/>
          <w:lang w:val="en-GB"/>
        </w:rPr>
        <w:t xml:space="preserve">As </w:t>
      </w:r>
      <w:r w:rsidR="00046411">
        <w:rPr>
          <w:rFonts w:asciiTheme="minorHAnsi" w:hAnsiTheme="minorHAnsi" w:cstheme="minorHAnsi"/>
          <w:sz w:val="24"/>
          <w:lang w:val="en-GB"/>
        </w:rPr>
        <w:t>described</w:t>
      </w:r>
      <w:r>
        <w:rPr>
          <w:rFonts w:asciiTheme="minorHAnsi" w:hAnsiTheme="minorHAnsi" w:cstheme="minorHAnsi"/>
          <w:sz w:val="24"/>
          <w:lang w:val="en-GB"/>
        </w:rPr>
        <w:t xml:space="preserve"> in Section </w:t>
      </w:r>
      <w:r w:rsidR="00046411">
        <w:rPr>
          <w:rFonts w:asciiTheme="minorHAnsi" w:hAnsiTheme="minorHAnsi" w:cstheme="minorHAnsi"/>
          <w:sz w:val="24"/>
          <w:lang w:val="en-GB"/>
        </w:rPr>
        <w:t>6.2.6</w:t>
      </w:r>
      <w:r>
        <w:rPr>
          <w:rFonts w:asciiTheme="minorHAnsi" w:hAnsiTheme="minorHAnsi" w:cstheme="minorHAnsi"/>
          <w:sz w:val="24"/>
          <w:lang w:val="en-GB"/>
        </w:rPr>
        <w:t xml:space="preserve">, and as reported by stakeholders consulted, the time taken during the offer to acceptance process impacts on the overall experience in donation. </w:t>
      </w:r>
      <w:r w:rsidR="00666B99" w:rsidRPr="00EF2596">
        <w:rPr>
          <w:rFonts w:asciiTheme="minorHAnsi" w:hAnsiTheme="minorHAnsi" w:cstheme="minorHAnsi"/>
          <w:sz w:val="24"/>
          <w:lang w:val="en-GB"/>
        </w:rPr>
        <w:t>In 2017, the Austral</w:t>
      </w:r>
      <w:r w:rsidR="009176BD">
        <w:rPr>
          <w:rFonts w:asciiTheme="minorHAnsi" w:hAnsiTheme="minorHAnsi" w:cstheme="minorHAnsi"/>
          <w:sz w:val="24"/>
          <w:lang w:val="en-GB"/>
        </w:rPr>
        <w:t>as</w:t>
      </w:r>
      <w:r w:rsidR="00666B99" w:rsidRPr="00EF2596">
        <w:rPr>
          <w:rFonts w:asciiTheme="minorHAnsi" w:hAnsiTheme="minorHAnsi" w:cstheme="minorHAnsi"/>
          <w:sz w:val="24"/>
          <w:lang w:val="en-GB"/>
        </w:rPr>
        <w:t>ian Transplant Coordinator Association reported that 68 per cent of organs offered were declined at least once by a transplantation unit.</w:t>
      </w:r>
      <w:r w:rsidR="00666B99" w:rsidRPr="00EF2596">
        <w:rPr>
          <w:rStyle w:val="FootnoteReference"/>
          <w:rFonts w:asciiTheme="minorHAnsi" w:hAnsiTheme="minorHAnsi" w:cstheme="minorHAnsi"/>
          <w:lang w:val="en-GB"/>
        </w:rPr>
        <w:footnoteReference w:id="146"/>
      </w:r>
      <w:r w:rsidR="00666B99">
        <w:rPr>
          <w:rFonts w:asciiTheme="minorHAnsi" w:hAnsiTheme="minorHAnsi" w:cstheme="minorHAnsi"/>
          <w:lang w:val="en-GB"/>
        </w:rPr>
        <w:t xml:space="preserve"> </w:t>
      </w:r>
      <w:r w:rsidR="00666B99" w:rsidRPr="00EF2596">
        <w:rPr>
          <w:rFonts w:asciiTheme="minorHAnsi" w:hAnsiTheme="minorHAnsi" w:cstheme="minorHAnsi"/>
          <w:sz w:val="24"/>
          <w:lang w:val="en-GB"/>
        </w:rPr>
        <w:t>Each offer that is declined delays the time to acceptance</w:t>
      </w:r>
      <w:r w:rsidR="00DC1D9C">
        <w:rPr>
          <w:rFonts w:asciiTheme="minorHAnsi" w:hAnsiTheme="minorHAnsi" w:cstheme="minorHAnsi"/>
          <w:sz w:val="24"/>
          <w:lang w:val="en-GB"/>
        </w:rPr>
        <w:t xml:space="preserve">. The </w:t>
      </w:r>
      <w:r w:rsidR="00666B99" w:rsidRPr="00EF2596">
        <w:rPr>
          <w:rFonts w:asciiTheme="minorHAnsi" w:hAnsiTheme="minorHAnsi" w:cstheme="minorHAnsi"/>
          <w:sz w:val="24"/>
          <w:lang w:val="en-GB"/>
        </w:rPr>
        <w:t xml:space="preserve">Review found </w:t>
      </w:r>
      <w:r w:rsidR="00DC1D9C">
        <w:rPr>
          <w:rFonts w:asciiTheme="minorHAnsi" w:hAnsiTheme="minorHAnsi" w:cstheme="minorHAnsi"/>
          <w:sz w:val="24"/>
          <w:lang w:val="en-GB"/>
        </w:rPr>
        <w:t xml:space="preserve">that </w:t>
      </w:r>
      <w:r w:rsidR="00666B99" w:rsidRPr="00EF2596">
        <w:rPr>
          <w:rFonts w:asciiTheme="minorHAnsi" w:hAnsiTheme="minorHAnsi" w:cstheme="minorHAnsi"/>
          <w:sz w:val="24"/>
          <w:lang w:val="en-GB"/>
        </w:rPr>
        <w:t>this extended timeframe</w:t>
      </w:r>
      <w:r w:rsidR="00DC1D9C">
        <w:rPr>
          <w:rFonts w:asciiTheme="minorHAnsi" w:hAnsiTheme="minorHAnsi" w:cstheme="minorHAnsi"/>
          <w:sz w:val="24"/>
          <w:lang w:val="en-GB"/>
        </w:rPr>
        <w:t xml:space="preserve"> was </w:t>
      </w:r>
      <w:r w:rsidR="00666B99" w:rsidRPr="00EF2596">
        <w:rPr>
          <w:rFonts w:asciiTheme="minorHAnsi" w:hAnsiTheme="minorHAnsi" w:cstheme="minorHAnsi"/>
          <w:sz w:val="24"/>
          <w:lang w:val="en-GB"/>
        </w:rPr>
        <w:t>particularly burdensome on donor families.</w:t>
      </w:r>
      <w:r w:rsidR="00666B99">
        <w:rPr>
          <w:rFonts w:asciiTheme="minorHAnsi" w:hAnsiTheme="minorHAnsi" w:cstheme="minorHAnsi"/>
          <w:lang w:val="en-GB"/>
        </w:rPr>
        <w:t xml:space="preserve"> </w:t>
      </w:r>
    </w:p>
    <w:p w14:paraId="0B42E827" w14:textId="77777777" w:rsidR="006F4E24" w:rsidRDefault="006F4E24" w:rsidP="006F4E24">
      <w:pPr>
        <w:spacing w:before="120" w:after="120"/>
        <w:rPr>
          <w:rFonts w:asciiTheme="minorHAnsi" w:hAnsiTheme="minorHAnsi" w:cstheme="minorHAnsi"/>
          <w:sz w:val="24"/>
          <w:lang w:val="en-GB"/>
        </w:rPr>
      </w:pPr>
      <w:r>
        <w:rPr>
          <w:rFonts w:asciiTheme="minorHAnsi" w:hAnsiTheme="minorHAnsi" w:cstheme="minorHAnsi"/>
          <w:sz w:val="24"/>
          <w:lang w:val="en-GB"/>
        </w:rPr>
        <w:t xml:space="preserve">In 2017, five per cent of families </w:t>
      </w:r>
      <w:r w:rsidR="00DC1D9C">
        <w:rPr>
          <w:rFonts w:asciiTheme="minorHAnsi" w:hAnsiTheme="minorHAnsi" w:cstheme="minorHAnsi"/>
          <w:sz w:val="24"/>
          <w:lang w:val="en-GB"/>
        </w:rPr>
        <w:t>did</w:t>
      </w:r>
      <w:r>
        <w:rPr>
          <w:rFonts w:asciiTheme="minorHAnsi" w:hAnsiTheme="minorHAnsi" w:cstheme="minorHAnsi"/>
          <w:sz w:val="24"/>
          <w:lang w:val="en-GB"/>
        </w:rPr>
        <w:t xml:space="preserve"> not consent to donation because of the time it would take to undertake the full donation process. Another one per cent of families per cent of families subsequently </w:t>
      </w:r>
      <w:r w:rsidR="00666B99">
        <w:rPr>
          <w:rFonts w:asciiTheme="minorHAnsi" w:hAnsiTheme="minorHAnsi" w:cstheme="minorHAnsi"/>
          <w:sz w:val="24"/>
          <w:lang w:val="en-GB"/>
        </w:rPr>
        <w:t xml:space="preserve">withdrew their consent </w:t>
      </w:r>
      <w:r>
        <w:rPr>
          <w:rFonts w:asciiTheme="minorHAnsi" w:hAnsiTheme="minorHAnsi" w:cstheme="minorHAnsi"/>
          <w:sz w:val="24"/>
          <w:lang w:val="en-GB"/>
        </w:rPr>
        <w:t>due to the duration of the donation and offer process.</w:t>
      </w:r>
      <w:r>
        <w:rPr>
          <w:rStyle w:val="FootnoteReference"/>
          <w:rFonts w:cstheme="minorHAnsi"/>
          <w:lang w:val="en-GB"/>
        </w:rPr>
        <w:footnoteReference w:id="147"/>
      </w:r>
      <w:r>
        <w:rPr>
          <w:rFonts w:asciiTheme="minorHAnsi" w:hAnsiTheme="minorHAnsi" w:cstheme="minorHAnsi"/>
          <w:sz w:val="24"/>
          <w:lang w:val="en-GB"/>
        </w:rPr>
        <w:t xml:space="preserve"> This illustrates the impact that the current offer process </w:t>
      </w:r>
      <w:r w:rsidR="00DC1D9C">
        <w:rPr>
          <w:rFonts w:asciiTheme="minorHAnsi" w:hAnsiTheme="minorHAnsi" w:cstheme="minorHAnsi"/>
          <w:sz w:val="24"/>
          <w:lang w:val="en-GB"/>
        </w:rPr>
        <w:t>can</w:t>
      </w:r>
      <w:r>
        <w:rPr>
          <w:rFonts w:asciiTheme="minorHAnsi" w:hAnsiTheme="minorHAnsi" w:cstheme="minorHAnsi"/>
          <w:sz w:val="24"/>
          <w:lang w:val="en-GB"/>
        </w:rPr>
        <w:t xml:space="preserve"> hav</w:t>
      </w:r>
      <w:r w:rsidR="00DC1D9C">
        <w:rPr>
          <w:rFonts w:asciiTheme="minorHAnsi" w:hAnsiTheme="minorHAnsi" w:cstheme="minorHAnsi"/>
          <w:sz w:val="24"/>
          <w:lang w:val="en-GB"/>
        </w:rPr>
        <w:t xml:space="preserve">e </w:t>
      </w:r>
      <w:r>
        <w:rPr>
          <w:rFonts w:asciiTheme="minorHAnsi" w:hAnsiTheme="minorHAnsi" w:cstheme="minorHAnsi"/>
          <w:sz w:val="24"/>
          <w:lang w:val="en-GB"/>
        </w:rPr>
        <w:t>on donation rates.</w:t>
      </w:r>
    </w:p>
    <w:p w14:paraId="20D0C988" w14:textId="77777777" w:rsidR="006F4E24" w:rsidRDefault="006F4E24" w:rsidP="006F4E24">
      <w:pPr>
        <w:pStyle w:val="Heading3"/>
        <w:keepNext w:val="0"/>
        <w:widowControl w:val="0"/>
        <w:tabs>
          <w:tab w:val="clear" w:pos="1843"/>
          <w:tab w:val="num" w:pos="1559"/>
        </w:tabs>
        <w:ind w:left="992" w:hanging="992"/>
        <w:rPr>
          <w:rFonts w:asciiTheme="minorHAnsi" w:hAnsiTheme="minorHAnsi" w:cstheme="minorHAnsi"/>
          <w:b w:val="0"/>
          <w:color w:val="7F7F7F" w:themeColor="text1" w:themeTint="80"/>
          <w:sz w:val="30"/>
          <w:szCs w:val="30"/>
        </w:rPr>
      </w:pPr>
      <w:bookmarkStart w:id="650" w:name="_Ref527629675"/>
      <w:r w:rsidRPr="007706C1">
        <w:rPr>
          <w:rFonts w:asciiTheme="minorHAnsi" w:hAnsiTheme="minorHAnsi" w:cstheme="minorHAnsi"/>
          <w:b w:val="0"/>
          <w:color w:val="7F7F7F" w:themeColor="text1" w:themeTint="80"/>
          <w:sz w:val="30"/>
          <w:szCs w:val="30"/>
        </w:rPr>
        <w:t>Renal offer process</w:t>
      </w:r>
      <w:bookmarkEnd w:id="650"/>
    </w:p>
    <w:p w14:paraId="04D02414" w14:textId="77777777" w:rsidR="006F4E24" w:rsidRDefault="006F4E24" w:rsidP="006F4E24">
      <w:pPr>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Similar to the non-renal organs, the Review found that the timeframes associated with the renal offer process were inefficiently prolonged. Clinicians reported that the entire offer process from offer to acceptance may take over 24 hours. It was also reported that kidneys have a longer life-span than non-renal organs after death and, as such, there is less urgency in finding a recipient. </w:t>
      </w:r>
    </w:p>
    <w:p w14:paraId="4004B32F" w14:textId="20CE6A6D" w:rsidR="006F4E24" w:rsidRPr="00AF2C98" w:rsidRDefault="009A3A92" w:rsidP="007B43EF">
      <w:pPr>
        <w:spacing w:after="120"/>
        <w:rPr>
          <w:rFonts w:asciiTheme="minorHAnsi" w:hAnsiTheme="minorHAnsi" w:cstheme="minorHAnsi"/>
          <w:i/>
          <w:color w:val="808080" w:themeColor="background1" w:themeShade="80"/>
          <w:sz w:val="26"/>
          <w:szCs w:val="26"/>
        </w:rPr>
      </w:pPr>
      <w:r>
        <w:rPr>
          <w:rFonts w:asciiTheme="minorHAnsi" w:hAnsiTheme="minorHAnsi" w:cstheme="minorHAnsi"/>
          <w:sz w:val="24"/>
          <w:szCs w:val="24"/>
          <w:lang w:val="en-GB"/>
        </w:rPr>
        <w:fldChar w:fldCharType="begin"/>
      </w:r>
      <w:r>
        <w:rPr>
          <w:rFonts w:asciiTheme="minorHAnsi" w:hAnsiTheme="minorHAnsi" w:cstheme="minorHAnsi"/>
          <w:sz w:val="24"/>
          <w:szCs w:val="24"/>
          <w:lang w:val="en-GB"/>
        </w:rPr>
        <w:instrText xml:space="preserve"> REF _Ref530474133 \h  \* MERGEFORMAT </w:instrText>
      </w:r>
      <w:r>
        <w:rPr>
          <w:rFonts w:asciiTheme="minorHAnsi" w:hAnsiTheme="minorHAnsi" w:cstheme="minorHAnsi"/>
          <w:sz w:val="24"/>
          <w:szCs w:val="24"/>
          <w:lang w:val="en-GB"/>
        </w:rPr>
      </w:r>
      <w:r>
        <w:rPr>
          <w:rFonts w:asciiTheme="minorHAnsi" w:hAnsiTheme="minorHAnsi" w:cstheme="minorHAnsi"/>
          <w:sz w:val="24"/>
          <w:szCs w:val="24"/>
          <w:lang w:val="en-GB"/>
        </w:rPr>
        <w:fldChar w:fldCharType="separate"/>
      </w:r>
      <w:r w:rsidR="00A04048" w:rsidRPr="00C75FAB">
        <w:rPr>
          <w:rFonts w:asciiTheme="minorHAnsi" w:hAnsiTheme="minorHAnsi" w:cstheme="minorHAnsi"/>
          <w:sz w:val="24"/>
          <w:szCs w:val="24"/>
          <w:lang w:val="en-GB"/>
        </w:rPr>
        <w:t>Figure 21</w:t>
      </w:r>
      <w:r>
        <w:rPr>
          <w:rFonts w:asciiTheme="minorHAnsi" w:hAnsiTheme="minorHAnsi" w:cstheme="minorHAnsi"/>
          <w:sz w:val="24"/>
          <w:szCs w:val="24"/>
          <w:lang w:val="en-GB"/>
        </w:rPr>
        <w:fldChar w:fldCharType="end"/>
      </w:r>
      <w:r w:rsidR="006F4E24">
        <w:rPr>
          <w:rFonts w:asciiTheme="minorHAnsi" w:hAnsiTheme="minorHAnsi" w:cstheme="minorHAnsi"/>
          <w:sz w:val="24"/>
          <w:szCs w:val="24"/>
          <w:lang w:val="en-GB"/>
        </w:rPr>
        <w:t xml:space="preserve"> provides a snapshot of a series of call logs undertaken by a donor specialist coordinator to offer a kidney to each individual transplant</w:t>
      </w:r>
      <w:r w:rsidR="00F46C80">
        <w:rPr>
          <w:rFonts w:asciiTheme="minorHAnsi" w:hAnsiTheme="minorHAnsi" w:cstheme="minorHAnsi"/>
          <w:sz w:val="24"/>
          <w:szCs w:val="24"/>
          <w:lang w:val="en-GB"/>
        </w:rPr>
        <w:t>ation</w:t>
      </w:r>
      <w:r w:rsidR="006F4E24">
        <w:rPr>
          <w:rFonts w:asciiTheme="minorHAnsi" w:hAnsiTheme="minorHAnsi" w:cstheme="minorHAnsi"/>
          <w:sz w:val="24"/>
          <w:szCs w:val="24"/>
          <w:lang w:val="en-GB"/>
        </w:rPr>
        <w:t xml:space="preserve"> units. It is noteworthy that the first offer was made at 02:50AM and the kidney was finally accepted 21 calls later at 4:50PM. Four individual transplant</w:t>
      </w:r>
      <w:r w:rsidR="00F46C80">
        <w:rPr>
          <w:rFonts w:asciiTheme="minorHAnsi" w:hAnsiTheme="minorHAnsi" w:cstheme="minorHAnsi"/>
          <w:sz w:val="24"/>
          <w:szCs w:val="24"/>
          <w:lang w:val="en-GB"/>
        </w:rPr>
        <w:t>ation</w:t>
      </w:r>
      <w:r w:rsidR="006F4E24">
        <w:rPr>
          <w:rFonts w:asciiTheme="minorHAnsi" w:hAnsiTheme="minorHAnsi" w:cstheme="minorHAnsi"/>
          <w:sz w:val="24"/>
          <w:szCs w:val="24"/>
          <w:lang w:val="en-GB"/>
        </w:rPr>
        <w:t xml:space="preserve"> units were contacted over these 21 calls, 11 of the calls being made to the same transplant</w:t>
      </w:r>
      <w:r w:rsidR="00F46C80">
        <w:rPr>
          <w:rFonts w:asciiTheme="minorHAnsi" w:hAnsiTheme="minorHAnsi" w:cstheme="minorHAnsi"/>
          <w:sz w:val="24"/>
          <w:szCs w:val="24"/>
          <w:lang w:val="en-GB"/>
        </w:rPr>
        <w:t>ation</w:t>
      </w:r>
      <w:r w:rsidR="006F4E24">
        <w:rPr>
          <w:rFonts w:asciiTheme="minorHAnsi" w:hAnsiTheme="minorHAnsi" w:cstheme="minorHAnsi"/>
          <w:sz w:val="24"/>
          <w:szCs w:val="24"/>
          <w:lang w:val="en-GB"/>
        </w:rPr>
        <w:t xml:space="preserve"> unit. This drawn out process was further prolonged as the retrieval process commenced five and a half hours after the final acceptance. </w:t>
      </w:r>
      <w:r w:rsidR="006F4E24">
        <w:rPr>
          <w:rFonts w:asciiTheme="minorHAnsi" w:hAnsiTheme="minorHAnsi" w:cstheme="minorHAnsi"/>
          <w:sz w:val="24"/>
          <w:szCs w:val="24"/>
          <w:lang w:val="en-GB"/>
        </w:rPr>
        <w:br w:type="page"/>
      </w:r>
    </w:p>
    <w:p w14:paraId="0F5AFA74" w14:textId="77777777" w:rsidR="006F4E24" w:rsidRDefault="006F4E24" w:rsidP="006F4E24">
      <w:pPr>
        <w:spacing w:after="120"/>
        <w:rPr>
          <w:rFonts w:asciiTheme="minorHAnsi" w:hAnsiTheme="minorHAnsi" w:cstheme="minorHAnsi"/>
          <w:sz w:val="24"/>
          <w:szCs w:val="24"/>
          <w:lang w:val="en-GB"/>
        </w:rPr>
        <w:sectPr w:rsidR="006F4E24" w:rsidSect="0059239D">
          <w:pgSz w:w="11906" w:h="16838"/>
          <w:pgMar w:top="1440" w:right="851" w:bottom="1418" w:left="1440" w:header="283" w:footer="567" w:gutter="0"/>
          <w:cols w:space="708"/>
          <w:docGrid w:linePitch="360"/>
        </w:sectPr>
      </w:pPr>
    </w:p>
    <w:p w14:paraId="3046E897" w14:textId="77777777" w:rsidR="006F4E24" w:rsidRDefault="006F4E24" w:rsidP="006F4E24">
      <w:pPr>
        <w:spacing w:after="120"/>
        <w:rPr>
          <w:rFonts w:asciiTheme="minorHAnsi" w:hAnsiTheme="minorHAnsi" w:cstheme="minorHAnsi"/>
          <w:sz w:val="24"/>
          <w:szCs w:val="24"/>
          <w:lang w:val="en-GB"/>
        </w:rPr>
      </w:pPr>
    </w:p>
    <w:p w14:paraId="2B55C864" w14:textId="77777777" w:rsidR="006F4E24" w:rsidRPr="00AF2C98" w:rsidRDefault="006F4E24" w:rsidP="006F4E24">
      <w:pPr>
        <w:pStyle w:val="Caption"/>
        <w:keepNext/>
        <w:widowControl/>
        <w:spacing w:after="120"/>
        <w:rPr>
          <w:rFonts w:asciiTheme="minorHAnsi" w:hAnsiTheme="minorHAnsi" w:cstheme="minorHAnsi"/>
          <w:color w:val="808080"/>
        </w:rPr>
      </w:pPr>
      <w:bookmarkStart w:id="651" w:name="_Ref530474133"/>
      <w:r w:rsidRPr="001271F5">
        <w:rPr>
          <w:rFonts w:asciiTheme="minorHAnsi" w:hAnsiTheme="minorHAnsi" w:cstheme="minorHAnsi"/>
          <w:b w:val="0"/>
          <w:color w:val="808080"/>
          <w:sz w:val="20"/>
        </w:rPr>
        <w:t xml:space="preserve">Figure </w:t>
      </w:r>
      <w:r>
        <w:rPr>
          <w:rFonts w:asciiTheme="minorHAnsi" w:hAnsiTheme="minorHAnsi" w:cstheme="minorHAnsi"/>
          <w:b w:val="0"/>
          <w:color w:val="808080"/>
          <w:sz w:val="20"/>
        </w:rPr>
        <w:fldChar w:fldCharType="begin"/>
      </w:r>
      <w:r>
        <w:rPr>
          <w:rFonts w:asciiTheme="minorHAnsi" w:hAnsiTheme="minorHAnsi" w:cstheme="minorHAnsi"/>
          <w:b w:val="0"/>
          <w:color w:val="808080"/>
          <w:sz w:val="20"/>
        </w:rPr>
        <w:instrText xml:space="preserve"> SEQ Figure \* ARABIC </w:instrText>
      </w:r>
      <w:r>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21</w:t>
      </w:r>
      <w:r>
        <w:rPr>
          <w:rFonts w:asciiTheme="minorHAnsi" w:hAnsiTheme="minorHAnsi" w:cstheme="minorHAnsi"/>
          <w:b w:val="0"/>
          <w:color w:val="808080"/>
          <w:sz w:val="20"/>
        </w:rPr>
        <w:fldChar w:fldCharType="end"/>
      </w:r>
      <w:bookmarkEnd w:id="651"/>
      <w:r w:rsidRPr="001271F5">
        <w:rPr>
          <w:rFonts w:asciiTheme="minorHAnsi" w:hAnsiTheme="minorHAnsi" w:cstheme="minorHAnsi"/>
          <w:b w:val="0"/>
          <w:color w:val="808080"/>
          <w:sz w:val="20"/>
        </w:rPr>
        <w:t>: Example of a call log for the renal organ offer process</w:t>
      </w:r>
      <w:r w:rsidR="000A4A71">
        <w:rPr>
          <w:rFonts w:asciiTheme="minorHAnsi" w:hAnsiTheme="minorHAnsi" w:cstheme="minorHAnsi"/>
          <w:b w:val="0"/>
          <w:color w:val="808080"/>
          <w:sz w:val="20"/>
        </w:rPr>
        <w:t>, SOURCE: The OTA</w:t>
      </w:r>
      <w:r w:rsidR="000A4A71">
        <w:rPr>
          <w:rStyle w:val="FootnoteReference"/>
          <w:rFonts w:cstheme="minorHAnsi"/>
          <w:b w:val="0"/>
          <w:color w:val="808080"/>
        </w:rPr>
        <w:footnoteReference w:id="148"/>
      </w:r>
    </w:p>
    <w:p w14:paraId="14F56E83" w14:textId="77777777" w:rsidR="006F4E24" w:rsidRDefault="006F4E24" w:rsidP="006F4E24">
      <w:pPr>
        <w:spacing w:after="120"/>
        <w:rPr>
          <w:rFonts w:asciiTheme="minorHAnsi" w:hAnsiTheme="minorHAnsi" w:cstheme="minorHAnsi"/>
          <w:sz w:val="24"/>
          <w:szCs w:val="24"/>
          <w:lang w:val="en-GB"/>
        </w:rPr>
      </w:pPr>
      <w:r w:rsidRPr="009C209F">
        <w:rPr>
          <w:noProof/>
          <w:lang w:eastAsia="en-AU"/>
        </w:rPr>
        <w:drawing>
          <wp:inline distT="0" distB="0" distL="0" distR="0" wp14:anchorId="5138C5D3" wp14:editId="74F2B7F6">
            <wp:extent cx="8863330" cy="2415736"/>
            <wp:effectExtent l="0" t="0" r="0" b="3810"/>
            <wp:docPr id="10" name="Picture 10" descr="Figure 21 is an example of a call log for the renal organ offer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63330" cy="2415736"/>
                    </a:xfrm>
                    <a:prstGeom prst="rect">
                      <a:avLst/>
                    </a:prstGeom>
                    <a:noFill/>
                    <a:ln>
                      <a:noFill/>
                    </a:ln>
                  </pic:spPr>
                </pic:pic>
              </a:graphicData>
            </a:graphic>
          </wp:inline>
        </w:drawing>
      </w:r>
    </w:p>
    <w:p w14:paraId="269D4453" w14:textId="77777777" w:rsidR="006F4E24" w:rsidRDefault="006F4E24" w:rsidP="006F4E24">
      <w:pPr>
        <w:spacing w:after="120"/>
        <w:rPr>
          <w:rFonts w:asciiTheme="minorHAnsi" w:hAnsiTheme="minorHAnsi" w:cstheme="minorHAnsi"/>
          <w:sz w:val="24"/>
          <w:szCs w:val="24"/>
          <w:lang w:val="en-GB"/>
        </w:rPr>
        <w:sectPr w:rsidR="006F4E24" w:rsidSect="00EB39DF">
          <w:pgSz w:w="16838" w:h="11906" w:orient="landscape"/>
          <w:pgMar w:top="1440" w:right="1440" w:bottom="851" w:left="1440" w:header="283" w:footer="567" w:gutter="0"/>
          <w:cols w:space="708"/>
          <w:docGrid w:linePitch="360"/>
        </w:sectPr>
      </w:pPr>
    </w:p>
    <w:p w14:paraId="7A52E87C" w14:textId="77777777" w:rsidR="00FE692F" w:rsidRPr="00266A77" w:rsidRDefault="00FE692F" w:rsidP="00FE692F">
      <w:pPr>
        <w:spacing w:after="120"/>
        <w:rPr>
          <w:rFonts w:asciiTheme="minorHAnsi" w:hAnsiTheme="minorHAnsi" w:cstheme="minorHAnsi"/>
          <w:i/>
          <w:color w:val="7F7F7F" w:themeColor="text1" w:themeTint="80"/>
          <w:sz w:val="26"/>
          <w:szCs w:val="26"/>
        </w:rPr>
      </w:pPr>
      <w:bookmarkStart w:id="652" w:name="_Ref527629683"/>
      <w:r w:rsidRPr="00266A77">
        <w:rPr>
          <w:rFonts w:asciiTheme="minorHAnsi" w:hAnsiTheme="minorHAnsi" w:cstheme="minorHAnsi"/>
          <w:i/>
          <w:color w:val="7F7F7F" w:themeColor="text1" w:themeTint="80"/>
          <w:sz w:val="26"/>
          <w:szCs w:val="26"/>
        </w:rPr>
        <w:t xml:space="preserve">Summary of key findings </w:t>
      </w:r>
    </w:p>
    <w:p w14:paraId="59ADD010" w14:textId="77777777" w:rsidR="00C92E55" w:rsidRPr="00FC0FD7" w:rsidRDefault="003B33C0" w:rsidP="00FC0FD7">
      <w:pPr>
        <w:numPr>
          <w:ilvl w:val="0"/>
          <w:numId w:val="18"/>
        </w:numPr>
        <w:spacing w:after="120"/>
        <w:ind w:left="357" w:hanging="357"/>
        <w:rPr>
          <w:rFonts w:asciiTheme="minorHAnsi" w:hAnsiTheme="minorHAnsi" w:cstheme="minorHAnsi"/>
          <w:sz w:val="24"/>
          <w:szCs w:val="22"/>
          <w:lang w:val="en-GB"/>
        </w:rPr>
      </w:pPr>
      <w:r>
        <w:rPr>
          <w:rFonts w:asciiTheme="minorHAnsi" w:hAnsiTheme="minorHAnsi" w:cstheme="minorHAnsi"/>
          <w:sz w:val="24"/>
          <w:szCs w:val="22"/>
          <w:lang w:val="en-GB"/>
        </w:rPr>
        <w:t>The o</w:t>
      </w:r>
      <w:r w:rsidR="00FE692F" w:rsidRPr="00FC0FD7">
        <w:rPr>
          <w:rFonts w:asciiTheme="minorHAnsi" w:hAnsiTheme="minorHAnsi" w:cstheme="minorHAnsi"/>
          <w:sz w:val="24"/>
          <w:szCs w:val="22"/>
          <w:lang w:val="en-GB"/>
        </w:rPr>
        <w:t>ffer process for renal and non-renal allocation is time-consuming, inefficient and risks losing the consent of the family for donation.</w:t>
      </w:r>
      <w:r w:rsidR="00C92E55" w:rsidRPr="00FC0FD7">
        <w:rPr>
          <w:rFonts w:asciiTheme="minorHAnsi" w:hAnsiTheme="minorHAnsi" w:cstheme="minorHAnsi"/>
          <w:sz w:val="24"/>
          <w:szCs w:val="22"/>
          <w:lang w:val="en-GB"/>
        </w:rPr>
        <w:t xml:space="preserve"> For example, </w:t>
      </w:r>
      <w:r w:rsidR="00C92E55" w:rsidRPr="00FC0FD7">
        <w:rPr>
          <w:rFonts w:asciiTheme="minorHAnsi" w:hAnsiTheme="minorHAnsi" w:cstheme="minorHAnsi"/>
          <w:sz w:val="24"/>
          <w:lang w:val="en-GB"/>
        </w:rPr>
        <w:t xml:space="preserve">the </w:t>
      </w:r>
      <w:r w:rsidR="009176BD" w:rsidRPr="00EF2596">
        <w:rPr>
          <w:rFonts w:asciiTheme="minorHAnsi" w:hAnsiTheme="minorHAnsi" w:cstheme="minorHAnsi"/>
          <w:sz w:val="24"/>
          <w:lang w:val="en-GB"/>
        </w:rPr>
        <w:t>Australasian Transplant Coordinators Association</w:t>
      </w:r>
      <w:r w:rsidR="00C92E55" w:rsidRPr="00FC0FD7">
        <w:rPr>
          <w:rFonts w:asciiTheme="minorHAnsi" w:hAnsiTheme="minorHAnsi" w:cstheme="minorHAnsi"/>
          <w:sz w:val="24"/>
          <w:lang w:val="en-GB"/>
        </w:rPr>
        <w:t xml:space="preserve"> reported that 68 per cent of organs offered were declined at least once by a transplantation unit</w:t>
      </w:r>
      <w:r w:rsidR="00C92E55">
        <w:rPr>
          <w:rFonts w:asciiTheme="minorHAnsi" w:hAnsiTheme="minorHAnsi" w:cstheme="minorHAnsi"/>
          <w:sz w:val="24"/>
          <w:lang w:val="en-GB"/>
        </w:rPr>
        <w:t xml:space="preserve"> in 2017</w:t>
      </w:r>
      <w:r w:rsidR="00B45325">
        <w:rPr>
          <w:rFonts w:asciiTheme="minorHAnsi" w:hAnsiTheme="minorHAnsi" w:cstheme="minorHAnsi"/>
          <w:sz w:val="24"/>
          <w:lang w:val="en-GB"/>
        </w:rPr>
        <w:t xml:space="preserve"> leading to time delays in acceptance</w:t>
      </w:r>
      <w:r w:rsidR="00C92E55" w:rsidRPr="00FC0FD7">
        <w:rPr>
          <w:rFonts w:asciiTheme="minorHAnsi" w:hAnsiTheme="minorHAnsi" w:cstheme="minorHAnsi"/>
          <w:sz w:val="24"/>
          <w:lang w:val="en-GB"/>
        </w:rPr>
        <w:t>.</w:t>
      </w:r>
      <w:r w:rsidR="00C92E55" w:rsidRPr="00C07C72">
        <w:rPr>
          <w:rStyle w:val="FootnoteReference"/>
          <w:rFonts w:asciiTheme="minorHAnsi" w:hAnsiTheme="minorHAnsi" w:cstheme="minorHAnsi"/>
          <w:lang w:val="en-GB"/>
        </w:rPr>
        <w:footnoteReference w:id="149"/>
      </w:r>
      <w:r w:rsidR="00C92E55" w:rsidRPr="00FC0FD7">
        <w:rPr>
          <w:rFonts w:asciiTheme="minorHAnsi" w:hAnsiTheme="minorHAnsi" w:cstheme="minorHAnsi"/>
          <w:lang w:val="en-GB"/>
        </w:rPr>
        <w:t xml:space="preserve"> </w:t>
      </w:r>
      <w:r w:rsidR="00B45325">
        <w:rPr>
          <w:rFonts w:asciiTheme="minorHAnsi" w:hAnsiTheme="minorHAnsi" w:cstheme="minorHAnsi"/>
          <w:sz w:val="24"/>
          <w:lang w:val="en-GB"/>
        </w:rPr>
        <w:t xml:space="preserve"> This was reported to be </w:t>
      </w:r>
      <w:r w:rsidR="00C92E55" w:rsidRPr="00FC0FD7">
        <w:rPr>
          <w:rFonts w:asciiTheme="minorHAnsi" w:hAnsiTheme="minorHAnsi" w:cstheme="minorHAnsi"/>
          <w:sz w:val="24"/>
          <w:lang w:val="en-GB"/>
        </w:rPr>
        <w:t>particularly burdensome on donor families.</w:t>
      </w:r>
    </w:p>
    <w:p w14:paraId="7C13C8C1" w14:textId="77777777" w:rsidR="00FE692F" w:rsidRPr="00AF2C98" w:rsidRDefault="00FE692F" w:rsidP="00FE692F">
      <w:pPr>
        <w:spacing w:after="120"/>
        <w:rPr>
          <w:rFonts w:asciiTheme="minorHAnsi" w:hAnsiTheme="minorHAnsi" w:cstheme="minorHAnsi"/>
          <w:i/>
          <w:color w:val="7F7F7F" w:themeColor="text1" w:themeTint="80"/>
          <w:sz w:val="26"/>
          <w:szCs w:val="26"/>
        </w:rPr>
      </w:pPr>
      <w:r w:rsidRPr="00AF2C98">
        <w:rPr>
          <w:rFonts w:asciiTheme="minorHAnsi" w:hAnsiTheme="minorHAnsi" w:cstheme="minorHAnsi"/>
          <w:i/>
          <w:color w:val="7F7F7F" w:themeColor="text1" w:themeTint="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thirty four is as per Recommendation 27, the introduction of concomitant sharing of donor profiles with all kidney transplantation programs in OrganMatch at the commencement of the matching process should be considered to improve the efficiency of the process of organ offer process for transplantation."/>
      </w:tblPr>
      <w:tblGrid>
        <w:gridCol w:w="2268"/>
        <w:gridCol w:w="7479"/>
      </w:tblGrid>
      <w:tr w:rsidR="00815CA2" w:rsidRPr="00F37D51" w14:paraId="240D816D" w14:textId="77777777" w:rsidTr="00B65E19">
        <w:trPr>
          <w:trHeight w:val="68"/>
          <w:tblHeader/>
        </w:trPr>
        <w:tc>
          <w:tcPr>
            <w:tcW w:w="2268" w:type="dxa"/>
            <w:shd w:val="clear" w:color="auto" w:fill="595959" w:themeFill="text1" w:themeFillTint="A6"/>
          </w:tcPr>
          <w:p w14:paraId="72BEAFD8" w14:textId="612DB773" w:rsidR="00815CA2" w:rsidRPr="00AF2C98" w:rsidRDefault="00815CA2" w:rsidP="00DB2B84">
            <w:pPr>
              <w:spacing w:after="120"/>
              <w:ind w:right="-321"/>
              <w:rPr>
                <w:rFonts w:asciiTheme="minorHAnsi" w:hAnsiTheme="minorHAnsi" w:cstheme="minorHAnsi"/>
                <w:b/>
                <w:sz w:val="24"/>
                <w:szCs w:val="22"/>
                <w:lang w:val="en-GB"/>
              </w:rPr>
            </w:pPr>
            <w:r>
              <w:rPr>
                <w:rFonts w:asciiTheme="minorHAnsi" w:hAnsiTheme="minorHAnsi" w:cstheme="minorHAnsi"/>
                <w:b/>
                <w:color w:val="FFFFFF" w:themeColor="background1"/>
                <w:sz w:val="24"/>
                <w:szCs w:val="22"/>
                <w:lang w:val="en-GB"/>
              </w:rPr>
              <w:t>Recommendation</w:t>
            </w:r>
          </w:p>
        </w:tc>
        <w:tc>
          <w:tcPr>
            <w:tcW w:w="7479" w:type="dxa"/>
            <w:shd w:val="clear" w:color="auto" w:fill="595959" w:themeFill="text1" w:themeFillTint="A6"/>
          </w:tcPr>
          <w:p w14:paraId="186CE157" w14:textId="31E3A30D" w:rsidR="00815CA2" w:rsidRPr="00AF2C98" w:rsidRDefault="00815CA2" w:rsidP="00DB2B84">
            <w:pPr>
              <w:spacing w:after="120"/>
              <w:ind w:right="-142"/>
              <w:rPr>
                <w:rFonts w:asciiTheme="minorHAnsi" w:hAnsiTheme="minorHAnsi" w:cstheme="minorHAnsi"/>
                <w:sz w:val="24"/>
                <w:szCs w:val="22"/>
                <w:lang w:val="en-GB"/>
              </w:rPr>
            </w:pPr>
            <w:r>
              <w:rPr>
                <w:rFonts w:asciiTheme="minorHAnsi" w:hAnsiTheme="minorHAnsi" w:cstheme="minorHAnsi"/>
                <w:b/>
                <w:color w:val="FFFFFF" w:themeColor="background1"/>
                <w:sz w:val="24"/>
                <w:szCs w:val="22"/>
                <w:lang w:val="en-GB"/>
              </w:rPr>
              <w:t>Description</w:t>
            </w:r>
          </w:p>
        </w:tc>
      </w:tr>
      <w:tr w:rsidR="00815CA2" w:rsidRPr="00F37D51" w14:paraId="0808AEF4" w14:textId="77777777" w:rsidTr="00AE3ED1">
        <w:trPr>
          <w:trHeight w:val="68"/>
        </w:trPr>
        <w:tc>
          <w:tcPr>
            <w:tcW w:w="2268" w:type="dxa"/>
          </w:tcPr>
          <w:p w14:paraId="1E09973D" w14:textId="77777777" w:rsidR="00815CA2" w:rsidRPr="00AF2C98" w:rsidRDefault="00815CA2" w:rsidP="00AE3ED1">
            <w:pPr>
              <w:spacing w:after="120"/>
              <w:ind w:right="-321"/>
              <w:rPr>
                <w:rFonts w:asciiTheme="minorHAnsi" w:hAnsiTheme="minorHAnsi" w:cstheme="minorHAnsi"/>
                <w:b/>
                <w:sz w:val="24"/>
                <w:szCs w:val="22"/>
                <w:lang w:val="en-GB"/>
              </w:rPr>
            </w:pPr>
            <w:r w:rsidRPr="00AF2C98">
              <w:rPr>
                <w:rFonts w:asciiTheme="minorHAnsi" w:hAnsiTheme="minorHAnsi" w:cstheme="minorHAnsi"/>
                <w:b/>
                <w:sz w:val="24"/>
                <w:szCs w:val="22"/>
                <w:lang w:val="en-GB"/>
              </w:rPr>
              <w:t>Recommendation 3</w:t>
            </w:r>
            <w:r>
              <w:rPr>
                <w:rFonts w:asciiTheme="minorHAnsi" w:hAnsiTheme="minorHAnsi" w:cstheme="minorHAnsi"/>
                <w:b/>
                <w:sz w:val="24"/>
                <w:szCs w:val="22"/>
                <w:lang w:val="en-GB"/>
              </w:rPr>
              <w:t>4</w:t>
            </w:r>
          </w:p>
        </w:tc>
        <w:tc>
          <w:tcPr>
            <w:tcW w:w="7479" w:type="dxa"/>
          </w:tcPr>
          <w:p w14:paraId="70FBD433" w14:textId="77777777" w:rsidR="00815CA2" w:rsidRPr="00AF2C98" w:rsidRDefault="00815CA2" w:rsidP="00AE3ED1">
            <w:pPr>
              <w:spacing w:after="120"/>
              <w:ind w:right="-142"/>
              <w:rPr>
                <w:rFonts w:asciiTheme="minorHAnsi" w:hAnsiTheme="minorHAnsi" w:cstheme="minorHAnsi"/>
                <w:sz w:val="24"/>
                <w:szCs w:val="22"/>
                <w:lang w:val="en-GB"/>
              </w:rPr>
            </w:pPr>
            <w:r w:rsidRPr="00AF2C98">
              <w:rPr>
                <w:rFonts w:asciiTheme="minorHAnsi" w:hAnsiTheme="minorHAnsi" w:cstheme="minorHAnsi"/>
                <w:sz w:val="24"/>
                <w:szCs w:val="22"/>
                <w:lang w:val="en-GB"/>
              </w:rPr>
              <w:t>As per Recommendation 2</w:t>
            </w:r>
            <w:r>
              <w:rPr>
                <w:rFonts w:asciiTheme="minorHAnsi" w:hAnsiTheme="minorHAnsi" w:cstheme="minorHAnsi"/>
                <w:sz w:val="24"/>
                <w:szCs w:val="22"/>
                <w:lang w:val="en-GB"/>
              </w:rPr>
              <w:t>7</w:t>
            </w:r>
            <w:r w:rsidRPr="00AF2C98">
              <w:rPr>
                <w:rFonts w:asciiTheme="minorHAnsi" w:hAnsiTheme="minorHAnsi" w:cstheme="minorHAnsi"/>
                <w:sz w:val="24"/>
                <w:szCs w:val="22"/>
                <w:lang w:val="en-GB"/>
              </w:rPr>
              <w:t xml:space="preserve">, </w:t>
            </w:r>
            <w:r w:rsidRPr="004C4921">
              <w:rPr>
                <w:rFonts w:asciiTheme="minorHAnsi" w:hAnsiTheme="minorHAnsi" w:cstheme="minorHAnsi"/>
                <w:sz w:val="24"/>
                <w:szCs w:val="22"/>
                <w:lang w:val="en-GB"/>
              </w:rPr>
              <w:t xml:space="preserve">the introduction of concomitant sharing of donor profiles with all </w:t>
            </w:r>
            <w:r>
              <w:rPr>
                <w:rFonts w:asciiTheme="minorHAnsi" w:hAnsiTheme="minorHAnsi" w:cstheme="minorHAnsi"/>
                <w:sz w:val="24"/>
                <w:szCs w:val="22"/>
                <w:lang w:val="en-GB"/>
              </w:rPr>
              <w:t xml:space="preserve">kidney </w:t>
            </w:r>
            <w:r w:rsidRPr="004C4921">
              <w:rPr>
                <w:rFonts w:asciiTheme="minorHAnsi" w:hAnsiTheme="minorHAnsi" w:cstheme="minorHAnsi"/>
                <w:sz w:val="24"/>
                <w:szCs w:val="22"/>
                <w:lang w:val="en-GB"/>
              </w:rPr>
              <w:t xml:space="preserve">transplantation programs </w:t>
            </w:r>
            <w:r>
              <w:rPr>
                <w:rFonts w:asciiTheme="minorHAnsi" w:hAnsiTheme="minorHAnsi" w:cstheme="minorHAnsi"/>
                <w:sz w:val="24"/>
                <w:szCs w:val="22"/>
                <w:lang w:val="en-GB"/>
              </w:rPr>
              <w:t xml:space="preserve">in OrganMatch </w:t>
            </w:r>
            <w:r w:rsidRPr="004C4921">
              <w:rPr>
                <w:rFonts w:asciiTheme="minorHAnsi" w:hAnsiTheme="minorHAnsi" w:cstheme="minorHAnsi"/>
                <w:sz w:val="24"/>
                <w:szCs w:val="22"/>
                <w:lang w:val="en-GB"/>
              </w:rPr>
              <w:t>at the commencement of the matching process should be considered to improve the efficiency of the process of organ offer process for transplantation.</w:t>
            </w:r>
          </w:p>
        </w:tc>
      </w:tr>
    </w:tbl>
    <w:p w14:paraId="502C7505" w14:textId="77777777" w:rsidR="006F4E24" w:rsidRPr="00266A77" w:rsidRDefault="006F4E24" w:rsidP="006F4E24">
      <w:pPr>
        <w:pStyle w:val="Heading3"/>
        <w:keepNext w:val="0"/>
        <w:widowControl w:val="0"/>
        <w:tabs>
          <w:tab w:val="clear" w:pos="1843"/>
          <w:tab w:val="num" w:pos="1559"/>
        </w:tabs>
        <w:ind w:left="992" w:hanging="992"/>
        <w:rPr>
          <w:rFonts w:asciiTheme="minorHAnsi" w:hAnsiTheme="minorHAnsi" w:cstheme="minorHAnsi"/>
          <w:b w:val="0"/>
          <w:color w:val="7F7F7F" w:themeColor="text1" w:themeTint="80"/>
          <w:sz w:val="30"/>
          <w:szCs w:val="30"/>
        </w:rPr>
      </w:pPr>
      <w:r w:rsidRPr="00266A77">
        <w:rPr>
          <w:rFonts w:asciiTheme="minorHAnsi" w:hAnsiTheme="minorHAnsi" w:cstheme="minorHAnsi"/>
          <w:b w:val="0"/>
          <w:color w:val="7F7F7F" w:themeColor="text1" w:themeTint="80"/>
          <w:sz w:val="30"/>
          <w:szCs w:val="30"/>
        </w:rPr>
        <w:t>The Electronic Donor Record</w:t>
      </w:r>
      <w:bookmarkEnd w:id="652"/>
      <w:r w:rsidRPr="00266A77">
        <w:rPr>
          <w:rFonts w:asciiTheme="minorHAnsi" w:hAnsiTheme="minorHAnsi" w:cstheme="minorHAnsi"/>
          <w:b w:val="0"/>
          <w:color w:val="7F7F7F" w:themeColor="text1" w:themeTint="80"/>
          <w:sz w:val="30"/>
          <w:szCs w:val="30"/>
        </w:rPr>
        <w:t xml:space="preserve"> </w:t>
      </w:r>
    </w:p>
    <w:p w14:paraId="54922B5D" w14:textId="77777777" w:rsidR="006F4E24" w:rsidRPr="00266A77" w:rsidRDefault="006F4E24" w:rsidP="006F4E24">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Discussion of findings</w:t>
      </w:r>
    </w:p>
    <w:p w14:paraId="069673DE" w14:textId="77777777" w:rsidR="006F4E24" w:rsidRPr="00F37D51" w:rsidRDefault="006F4E24" w:rsidP="006F4E24">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The E</w:t>
      </w:r>
      <w:r w:rsidRPr="00F37D51">
        <w:rPr>
          <w:rFonts w:asciiTheme="minorHAnsi" w:hAnsiTheme="minorHAnsi" w:cstheme="minorHAnsi"/>
          <w:sz w:val="24"/>
          <w:szCs w:val="22"/>
          <w:lang w:val="en-GB"/>
        </w:rPr>
        <w:t>DR is used to record</w:t>
      </w:r>
      <w:r>
        <w:rPr>
          <w:rFonts w:asciiTheme="minorHAnsi" w:hAnsiTheme="minorHAnsi" w:cstheme="minorHAnsi"/>
          <w:sz w:val="24"/>
          <w:szCs w:val="22"/>
          <w:lang w:val="en-GB"/>
        </w:rPr>
        <w:t xml:space="preserve"> and transfer</w:t>
      </w:r>
      <w:r w:rsidRPr="00F37D51">
        <w:rPr>
          <w:rFonts w:asciiTheme="minorHAnsi" w:hAnsiTheme="minorHAnsi" w:cstheme="minorHAnsi"/>
          <w:sz w:val="24"/>
          <w:szCs w:val="22"/>
          <w:lang w:val="en-GB"/>
        </w:rPr>
        <w:t xml:space="preserve"> information from donation specialists to </w:t>
      </w:r>
      <w:r w:rsidR="00F46C80">
        <w:rPr>
          <w:rFonts w:asciiTheme="minorHAnsi" w:hAnsiTheme="minorHAnsi" w:cstheme="minorHAnsi"/>
          <w:sz w:val="24"/>
          <w:szCs w:val="22"/>
          <w:lang w:val="en-GB"/>
        </w:rPr>
        <w:t>transplantation unit</w:t>
      </w:r>
      <w:r w:rsidRPr="00F37D51">
        <w:rPr>
          <w:rFonts w:asciiTheme="minorHAnsi" w:hAnsiTheme="minorHAnsi" w:cstheme="minorHAnsi"/>
          <w:sz w:val="24"/>
          <w:szCs w:val="22"/>
          <w:lang w:val="en-GB"/>
        </w:rPr>
        <w:t xml:space="preserve">s </w:t>
      </w:r>
      <w:r>
        <w:rPr>
          <w:rFonts w:asciiTheme="minorHAnsi" w:hAnsiTheme="minorHAnsi" w:cstheme="minorHAnsi"/>
          <w:sz w:val="24"/>
          <w:szCs w:val="22"/>
          <w:lang w:val="en-GB"/>
        </w:rPr>
        <w:t>to assist in the allocation, offer and acceptance process</w:t>
      </w:r>
      <w:r w:rsidRPr="00F37D51">
        <w:rPr>
          <w:rFonts w:asciiTheme="minorHAnsi" w:hAnsiTheme="minorHAnsi" w:cstheme="minorHAnsi"/>
          <w:sz w:val="24"/>
          <w:szCs w:val="22"/>
          <w:lang w:val="en-GB"/>
        </w:rPr>
        <w:t xml:space="preserve">. The EDR is a platform used by clinicians </w:t>
      </w:r>
      <w:r>
        <w:rPr>
          <w:rFonts w:asciiTheme="minorHAnsi" w:hAnsiTheme="minorHAnsi" w:cstheme="minorHAnsi"/>
          <w:sz w:val="24"/>
          <w:szCs w:val="22"/>
          <w:lang w:val="en-GB"/>
        </w:rPr>
        <w:t>and</w:t>
      </w:r>
      <w:r w:rsidRPr="00F37D51">
        <w:rPr>
          <w:rFonts w:asciiTheme="minorHAnsi" w:hAnsiTheme="minorHAnsi" w:cstheme="minorHAnsi"/>
          <w:sz w:val="24"/>
          <w:szCs w:val="22"/>
          <w:lang w:val="en-GB"/>
        </w:rPr>
        <w:t xml:space="preserve"> aims to</w:t>
      </w:r>
      <w:r w:rsidRPr="00F37D51">
        <w:rPr>
          <w:sz w:val="22"/>
        </w:rPr>
        <w:t xml:space="preserve"> </w:t>
      </w:r>
      <w:r w:rsidRPr="00F37D51">
        <w:rPr>
          <w:rFonts w:asciiTheme="minorHAnsi" w:hAnsiTheme="minorHAnsi" w:cstheme="minorHAnsi"/>
          <w:sz w:val="24"/>
          <w:szCs w:val="22"/>
          <w:lang w:val="en-GB"/>
        </w:rPr>
        <w:t xml:space="preserve">provide real-time access to essential and comprehensive donor referral data, medico-social history and family consent information in a consistent format for consideration by </w:t>
      </w:r>
      <w:r w:rsidR="00F46C80">
        <w:rPr>
          <w:rFonts w:asciiTheme="minorHAnsi" w:hAnsiTheme="minorHAnsi" w:cstheme="minorHAnsi"/>
          <w:sz w:val="24"/>
          <w:szCs w:val="22"/>
          <w:lang w:val="en-GB"/>
        </w:rPr>
        <w:t>transplantation unit</w:t>
      </w:r>
      <w:r w:rsidRPr="00F37D51">
        <w:rPr>
          <w:rFonts w:asciiTheme="minorHAnsi" w:hAnsiTheme="minorHAnsi" w:cstheme="minorHAnsi"/>
          <w:sz w:val="24"/>
          <w:szCs w:val="22"/>
          <w:lang w:val="en-GB"/>
        </w:rPr>
        <w:t xml:space="preserve">s and donation coordination specialists. Although stakeholders </w:t>
      </w:r>
      <w:r>
        <w:rPr>
          <w:rFonts w:asciiTheme="minorHAnsi" w:hAnsiTheme="minorHAnsi" w:cstheme="minorHAnsi"/>
          <w:sz w:val="24"/>
          <w:szCs w:val="22"/>
          <w:lang w:val="en-GB"/>
        </w:rPr>
        <w:t xml:space="preserve">consulted </w:t>
      </w:r>
      <w:r w:rsidRPr="00F37D51">
        <w:rPr>
          <w:rFonts w:asciiTheme="minorHAnsi" w:hAnsiTheme="minorHAnsi" w:cstheme="minorHAnsi"/>
          <w:sz w:val="24"/>
          <w:szCs w:val="22"/>
          <w:lang w:val="en-GB"/>
        </w:rPr>
        <w:t>welcomed the introduction of the EDR in July 2014</w:t>
      </w:r>
      <w:r>
        <w:rPr>
          <w:rFonts w:asciiTheme="minorHAnsi" w:hAnsiTheme="minorHAnsi" w:cstheme="minorHAnsi"/>
          <w:sz w:val="24"/>
          <w:szCs w:val="22"/>
          <w:lang w:val="en-GB"/>
        </w:rPr>
        <w:t>, and noted it as an essential part of the allocation, offer and acceptance process</w:t>
      </w:r>
      <w:r w:rsidRPr="00F37D51">
        <w:rPr>
          <w:rFonts w:asciiTheme="minorHAnsi" w:hAnsiTheme="minorHAnsi" w:cstheme="minorHAnsi"/>
          <w:sz w:val="24"/>
          <w:szCs w:val="22"/>
          <w:lang w:val="en-GB"/>
        </w:rPr>
        <w:t>, many pointed out that the current functionality of the EDR presents some challenges.</w:t>
      </w:r>
    </w:p>
    <w:p w14:paraId="54E7C066" w14:textId="6A7A1443" w:rsidR="006F4E24" w:rsidRDefault="00826AE2" w:rsidP="006F4E24">
      <w:pPr>
        <w:tabs>
          <w:tab w:val="num" w:pos="720"/>
        </w:tabs>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The final output of the </w:t>
      </w:r>
      <w:r w:rsidR="006F4E24" w:rsidRPr="00F37D51">
        <w:rPr>
          <w:rFonts w:asciiTheme="minorHAnsi" w:hAnsiTheme="minorHAnsi" w:cstheme="minorHAnsi"/>
          <w:sz w:val="24"/>
          <w:szCs w:val="22"/>
          <w:lang w:val="en-GB"/>
        </w:rPr>
        <w:t>EDR is a PDF document</w:t>
      </w:r>
      <w:r w:rsidR="00DF5506">
        <w:rPr>
          <w:rFonts w:asciiTheme="minorHAnsi" w:hAnsiTheme="minorHAnsi" w:cstheme="minorHAnsi"/>
          <w:sz w:val="24"/>
          <w:szCs w:val="22"/>
          <w:lang w:val="en-GB"/>
        </w:rPr>
        <w:t xml:space="preserve"> </w:t>
      </w:r>
      <w:r w:rsidR="003B33C0">
        <w:rPr>
          <w:rFonts w:asciiTheme="minorHAnsi" w:hAnsiTheme="minorHAnsi" w:cstheme="minorHAnsi"/>
          <w:sz w:val="24"/>
          <w:szCs w:val="22"/>
          <w:lang w:val="en-GB"/>
        </w:rPr>
        <w:t>based on jurisdictional privacy requirements</w:t>
      </w:r>
      <w:r w:rsidR="006F4E24" w:rsidRPr="00F37D51">
        <w:rPr>
          <w:rFonts w:asciiTheme="minorHAnsi" w:hAnsiTheme="minorHAnsi" w:cstheme="minorHAnsi"/>
          <w:sz w:val="24"/>
          <w:szCs w:val="22"/>
          <w:lang w:val="en-GB"/>
        </w:rPr>
        <w:t xml:space="preserve"> that is extensive in length and has a maximum file size of 10MB. All clinical stakeholders reported that the length and complexity of the document is challenging when working under tight timeframes. The format of the document makes it difficult to decipher information quickly.</w:t>
      </w:r>
      <w:r w:rsidR="006F4E24">
        <w:rPr>
          <w:rFonts w:asciiTheme="minorHAnsi" w:hAnsiTheme="minorHAnsi" w:cstheme="minorHAnsi"/>
          <w:sz w:val="24"/>
          <w:szCs w:val="22"/>
          <w:lang w:val="en-GB"/>
        </w:rPr>
        <w:t xml:space="preserve"> In addition, heart transplant </w:t>
      </w:r>
      <w:r w:rsidR="00F00ECB">
        <w:rPr>
          <w:rFonts w:asciiTheme="minorHAnsi" w:hAnsiTheme="minorHAnsi" w:cstheme="minorHAnsi"/>
          <w:sz w:val="24"/>
          <w:szCs w:val="22"/>
          <w:lang w:val="en-GB"/>
        </w:rPr>
        <w:t>surgeon</w:t>
      </w:r>
      <w:r w:rsidR="00F00ECB" w:rsidRPr="00F37D51">
        <w:rPr>
          <w:rFonts w:asciiTheme="minorHAnsi" w:hAnsiTheme="minorHAnsi" w:cstheme="minorHAnsi"/>
          <w:sz w:val="24"/>
          <w:szCs w:val="22"/>
          <w:lang w:val="en-GB"/>
        </w:rPr>
        <w:t>s</w:t>
      </w:r>
      <w:r w:rsidR="00F00ECB">
        <w:rPr>
          <w:rFonts w:asciiTheme="minorHAnsi" w:hAnsiTheme="minorHAnsi" w:cstheme="minorHAnsi"/>
          <w:sz w:val="24"/>
          <w:szCs w:val="22"/>
          <w:lang w:val="en-GB"/>
        </w:rPr>
        <w:t xml:space="preserve"> </w:t>
      </w:r>
      <w:r w:rsidR="006F4E24" w:rsidRPr="00F37D51">
        <w:rPr>
          <w:rFonts w:asciiTheme="minorHAnsi" w:hAnsiTheme="minorHAnsi" w:cstheme="minorHAnsi"/>
          <w:sz w:val="24"/>
          <w:szCs w:val="22"/>
          <w:lang w:val="en-GB"/>
        </w:rPr>
        <w:t xml:space="preserve">reported that the current size of the file does not allow for videos of heart </w:t>
      </w:r>
      <w:r w:rsidR="006F4E24">
        <w:rPr>
          <w:rFonts w:asciiTheme="minorHAnsi" w:hAnsiTheme="minorHAnsi" w:cstheme="minorHAnsi"/>
          <w:sz w:val="24"/>
          <w:szCs w:val="22"/>
          <w:lang w:val="en-GB"/>
        </w:rPr>
        <w:t xml:space="preserve">function </w:t>
      </w:r>
      <w:r w:rsidR="006F4E24" w:rsidRPr="00F37D51">
        <w:rPr>
          <w:rFonts w:asciiTheme="minorHAnsi" w:hAnsiTheme="minorHAnsi" w:cstheme="minorHAnsi"/>
          <w:sz w:val="24"/>
          <w:szCs w:val="22"/>
          <w:lang w:val="en-GB"/>
        </w:rPr>
        <w:t>to be attached. This creates problems for clinicians in confirming the suitability of the heart and matching to the recipient.</w:t>
      </w:r>
      <w:r w:rsidR="00B0362A">
        <w:rPr>
          <w:rFonts w:asciiTheme="minorHAnsi" w:hAnsiTheme="minorHAnsi" w:cstheme="minorHAnsi"/>
          <w:sz w:val="24"/>
          <w:szCs w:val="22"/>
          <w:lang w:val="en-GB"/>
        </w:rPr>
        <w:t xml:space="preserve"> </w:t>
      </w:r>
      <w:r w:rsidR="00B46F66">
        <w:rPr>
          <w:rFonts w:asciiTheme="minorHAnsi" w:hAnsiTheme="minorHAnsi" w:cstheme="minorHAnsi"/>
          <w:sz w:val="24"/>
          <w:szCs w:val="22"/>
          <w:lang w:val="en-GB"/>
        </w:rPr>
        <w:t>Therefore,</w:t>
      </w:r>
      <w:r w:rsidR="00B0362A">
        <w:rPr>
          <w:rFonts w:asciiTheme="minorHAnsi" w:hAnsiTheme="minorHAnsi" w:cstheme="minorHAnsi"/>
          <w:sz w:val="24"/>
          <w:szCs w:val="22"/>
          <w:lang w:val="en-GB"/>
        </w:rPr>
        <w:t xml:space="preserve"> all clinicians agreed it is timely for a review of the EDR.</w:t>
      </w:r>
    </w:p>
    <w:p w14:paraId="141B8519" w14:textId="032FCC78" w:rsidR="005A164B" w:rsidRPr="00F37D51" w:rsidRDefault="00B0362A" w:rsidP="006F4E24">
      <w:pPr>
        <w:tabs>
          <w:tab w:val="num" w:pos="720"/>
        </w:tabs>
        <w:spacing w:after="120"/>
        <w:rPr>
          <w:rFonts w:asciiTheme="minorHAnsi" w:hAnsiTheme="minorHAnsi" w:cstheme="minorHAnsi"/>
          <w:i/>
          <w:color w:val="808080" w:themeColor="background1" w:themeShade="80"/>
          <w:sz w:val="24"/>
          <w:szCs w:val="22"/>
        </w:rPr>
      </w:pPr>
      <w:r>
        <w:rPr>
          <w:rFonts w:asciiTheme="minorHAnsi" w:hAnsiTheme="minorHAnsi" w:cstheme="minorHAnsi"/>
          <w:sz w:val="24"/>
          <w:szCs w:val="22"/>
          <w:lang w:val="en-GB"/>
        </w:rPr>
        <w:t>S</w:t>
      </w:r>
      <w:r w:rsidR="006F4E24">
        <w:rPr>
          <w:rFonts w:asciiTheme="minorHAnsi" w:hAnsiTheme="minorHAnsi" w:cstheme="minorHAnsi"/>
          <w:sz w:val="24"/>
          <w:szCs w:val="22"/>
          <w:lang w:val="en-GB"/>
        </w:rPr>
        <w:t>takeholders identified that</w:t>
      </w:r>
      <w:r w:rsidR="00784E9A">
        <w:rPr>
          <w:rFonts w:asciiTheme="minorHAnsi" w:hAnsiTheme="minorHAnsi" w:cstheme="minorHAnsi"/>
          <w:sz w:val="24"/>
          <w:szCs w:val="22"/>
          <w:lang w:val="en-GB"/>
        </w:rPr>
        <w:t xml:space="preserve"> the EDR could be improved with the introduction of </w:t>
      </w:r>
      <w:r w:rsidR="006F4E24">
        <w:rPr>
          <w:rFonts w:asciiTheme="minorHAnsi" w:hAnsiTheme="minorHAnsi" w:cstheme="minorHAnsi"/>
          <w:sz w:val="24"/>
          <w:szCs w:val="22"/>
          <w:lang w:val="en-GB"/>
        </w:rPr>
        <w:t xml:space="preserve">OrganMatch </w:t>
      </w:r>
      <w:r w:rsidR="00784E9A">
        <w:rPr>
          <w:rFonts w:asciiTheme="minorHAnsi" w:hAnsiTheme="minorHAnsi" w:cstheme="minorHAnsi"/>
          <w:sz w:val="24"/>
          <w:szCs w:val="22"/>
          <w:lang w:val="en-GB"/>
        </w:rPr>
        <w:t xml:space="preserve">which </w:t>
      </w:r>
      <w:r w:rsidR="006F4E24">
        <w:rPr>
          <w:rFonts w:asciiTheme="minorHAnsi" w:hAnsiTheme="minorHAnsi" w:cstheme="minorHAnsi"/>
          <w:sz w:val="24"/>
          <w:szCs w:val="22"/>
          <w:lang w:val="en-GB"/>
        </w:rPr>
        <w:t>has the potential functionality to improve the process for sharing donor profiles</w:t>
      </w:r>
      <w:r>
        <w:rPr>
          <w:rFonts w:asciiTheme="minorHAnsi" w:hAnsiTheme="minorHAnsi" w:cstheme="minorHAnsi"/>
          <w:sz w:val="24"/>
          <w:szCs w:val="22"/>
          <w:lang w:val="en-GB"/>
        </w:rPr>
        <w:t xml:space="preserve">. </w:t>
      </w:r>
      <w:r w:rsidR="006F4E24">
        <w:rPr>
          <w:rFonts w:asciiTheme="minorHAnsi" w:hAnsiTheme="minorHAnsi" w:cstheme="minorHAnsi"/>
          <w:sz w:val="24"/>
          <w:szCs w:val="22"/>
          <w:lang w:val="en-GB"/>
        </w:rPr>
        <w:t xml:space="preserve">However, the Review found that it may be worth exploring the additional </w:t>
      </w:r>
      <w:r w:rsidR="00826AE2" w:rsidRPr="00826AE2">
        <w:rPr>
          <w:rFonts w:asciiTheme="minorHAnsi" w:hAnsiTheme="minorHAnsi" w:cstheme="minorHAnsi"/>
          <w:sz w:val="24"/>
          <w:szCs w:val="22"/>
          <w:lang w:val="en-GB"/>
        </w:rPr>
        <w:t>functionalities of OrganMatch</w:t>
      </w:r>
      <w:r>
        <w:rPr>
          <w:rFonts w:asciiTheme="minorHAnsi" w:hAnsiTheme="minorHAnsi" w:cstheme="minorHAnsi"/>
          <w:sz w:val="24"/>
          <w:szCs w:val="22"/>
          <w:lang w:val="en-GB"/>
        </w:rPr>
        <w:t>. F</w:t>
      </w:r>
      <w:r w:rsidR="00784E9A">
        <w:rPr>
          <w:rFonts w:asciiTheme="minorHAnsi" w:hAnsiTheme="minorHAnsi" w:cstheme="minorHAnsi"/>
          <w:sz w:val="24"/>
          <w:szCs w:val="22"/>
          <w:lang w:val="en-GB"/>
        </w:rPr>
        <w:t>or example, t</w:t>
      </w:r>
      <w:r w:rsidR="00826AE2" w:rsidRPr="00826AE2">
        <w:rPr>
          <w:rFonts w:asciiTheme="minorHAnsi" w:hAnsiTheme="minorHAnsi" w:cstheme="minorHAnsi"/>
          <w:sz w:val="24"/>
          <w:szCs w:val="22"/>
          <w:lang w:val="en-GB"/>
        </w:rPr>
        <w:t>he potential to improve surveillance and safety</w:t>
      </w:r>
      <w:r w:rsidR="00784E9A">
        <w:rPr>
          <w:rFonts w:asciiTheme="minorHAnsi" w:hAnsiTheme="minorHAnsi" w:cstheme="minorHAnsi"/>
          <w:sz w:val="24"/>
          <w:szCs w:val="22"/>
          <w:lang w:val="en-GB"/>
        </w:rPr>
        <w:t>, through rapid time feedback and sharing of information should</w:t>
      </w:r>
      <w:r w:rsidR="00826AE2" w:rsidRPr="00826AE2">
        <w:rPr>
          <w:rFonts w:asciiTheme="minorHAnsi" w:hAnsiTheme="minorHAnsi" w:cstheme="minorHAnsi"/>
          <w:sz w:val="24"/>
          <w:szCs w:val="22"/>
          <w:lang w:val="en-GB"/>
        </w:rPr>
        <w:t xml:space="preserve"> be considered</w:t>
      </w:r>
      <w:r w:rsidR="00784E9A">
        <w:rPr>
          <w:rFonts w:asciiTheme="minorHAnsi" w:hAnsiTheme="minorHAnsi" w:cstheme="minorHAnsi"/>
          <w:sz w:val="24"/>
          <w:szCs w:val="22"/>
          <w:lang w:val="en-GB"/>
        </w:rPr>
        <w:t xml:space="preserve"> as clinicians reported that clinical data being used does not always match the EDR</w:t>
      </w:r>
      <w:r w:rsidR="00826AE2" w:rsidRPr="00826AE2">
        <w:rPr>
          <w:rFonts w:asciiTheme="minorHAnsi" w:hAnsiTheme="minorHAnsi" w:cstheme="minorHAnsi"/>
          <w:sz w:val="24"/>
          <w:szCs w:val="22"/>
          <w:lang w:val="en-GB"/>
        </w:rPr>
        <w:t xml:space="preserve">. </w:t>
      </w:r>
    </w:p>
    <w:p w14:paraId="395F27FD" w14:textId="77777777" w:rsidR="00086190" w:rsidRDefault="00086190" w:rsidP="006F4E24">
      <w:pPr>
        <w:tabs>
          <w:tab w:val="num" w:pos="720"/>
        </w:tabs>
        <w:spacing w:after="120"/>
        <w:rPr>
          <w:rFonts w:asciiTheme="minorHAnsi" w:hAnsiTheme="minorHAnsi" w:cstheme="minorHAnsi"/>
          <w:i/>
          <w:color w:val="808080" w:themeColor="background1" w:themeShade="80"/>
          <w:sz w:val="26"/>
          <w:szCs w:val="26"/>
        </w:rPr>
      </w:pPr>
      <w:r>
        <w:rPr>
          <w:rFonts w:asciiTheme="minorHAnsi" w:hAnsiTheme="minorHAnsi" w:cstheme="minorHAnsi"/>
          <w:i/>
          <w:color w:val="808080" w:themeColor="background1" w:themeShade="80"/>
          <w:sz w:val="26"/>
          <w:szCs w:val="26"/>
        </w:rPr>
        <w:br w:type="page"/>
      </w:r>
    </w:p>
    <w:p w14:paraId="7ECDD709" w14:textId="3DC13D73" w:rsidR="006F4E24" w:rsidRPr="00266A77" w:rsidRDefault="006F4E24" w:rsidP="006F4E24">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Summary of key findings</w:t>
      </w:r>
      <w:r w:rsidR="00B0362A">
        <w:rPr>
          <w:rFonts w:asciiTheme="minorHAnsi" w:hAnsiTheme="minorHAnsi" w:cstheme="minorHAnsi"/>
          <w:i/>
          <w:color w:val="808080" w:themeColor="background1" w:themeShade="80"/>
          <w:sz w:val="26"/>
          <w:szCs w:val="26"/>
        </w:rPr>
        <w:t xml:space="preserve"> </w:t>
      </w:r>
    </w:p>
    <w:p w14:paraId="39BF74FF" w14:textId="77777777" w:rsidR="006F4E24" w:rsidRPr="00FC0FD7" w:rsidRDefault="006F4E24" w:rsidP="00FC0FD7">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The EDR is extensively used across Australia as the initial point of donor assessment</w:t>
      </w:r>
      <w:r>
        <w:rPr>
          <w:rFonts w:asciiTheme="minorHAnsi" w:hAnsiTheme="minorHAnsi" w:cstheme="minorHAnsi"/>
          <w:sz w:val="24"/>
          <w:szCs w:val="22"/>
          <w:lang w:val="en-GB"/>
        </w:rPr>
        <w:t xml:space="preserve">, however its </w:t>
      </w:r>
      <w:r w:rsidRPr="00F37D51">
        <w:rPr>
          <w:rFonts w:asciiTheme="minorHAnsi" w:hAnsiTheme="minorHAnsi" w:cstheme="minorHAnsi"/>
          <w:sz w:val="24"/>
          <w:szCs w:val="22"/>
          <w:lang w:val="en-GB"/>
        </w:rPr>
        <w:t>current functionality</w:t>
      </w:r>
      <w:r w:rsidR="009C69CA">
        <w:rPr>
          <w:rFonts w:asciiTheme="minorHAnsi" w:hAnsiTheme="minorHAnsi" w:cstheme="minorHAnsi"/>
          <w:sz w:val="24"/>
          <w:szCs w:val="22"/>
          <w:lang w:val="en-GB"/>
        </w:rPr>
        <w:t xml:space="preserve"> – in particular the PDF output – </w:t>
      </w:r>
      <w:r w:rsidRPr="00FC0FD7">
        <w:rPr>
          <w:rFonts w:asciiTheme="minorHAnsi" w:hAnsiTheme="minorHAnsi" w:cstheme="minorHAnsi"/>
          <w:sz w:val="24"/>
          <w:szCs w:val="22"/>
          <w:lang w:val="en-GB"/>
        </w:rPr>
        <w:t xml:space="preserve">presents </w:t>
      </w:r>
      <w:r w:rsidR="00D03EB9">
        <w:rPr>
          <w:rFonts w:asciiTheme="minorHAnsi" w:hAnsiTheme="minorHAnsi" w:cstheme="minorHAnsi"/>
          <w:sz w:val="24"/>
          <w:szCs w:val="22"/>
          <w:lang w:val="en-GB"/>
        </w:rPr>
        <w:t>challenges regarding its utilisation and the ability to share accurate and timely information</w:t>
      </w:r>
      <w:r w:rsidRPr="00FC0FD7">
        <w:rPr>
          <w:rFonts w:asciiTheme="minorHAnsi" w:hAnsiTheme="minorHAnsi" w:cstheme="minorHAnsi"/>
          <w:sz w:val="24"/>
          <w:szCs w:val="22"/>
          <w:lang w:val="en-GB"/>
        </w:rPr>
        <w:t>.</w:t>
      </w:r>
      <w:r w:rsidR="007419D9">
        <w:rPr>
          <w:rFonts w:asciiTheme="minorHAnsi" w:hAnsiTheme="minorHAnsi" w:cstheme="minorHAnsi"/>
          <w:sz w:val="24"/>
          <w:szCs w:val="22"/>
          <w:lang w:val="en-GB"/>
        </w:rPr>
        <w:t xml:space="preserve"> As such, the PDF output of the </w:t>
      </w:r>
      <w:r w:rsidR="007419D9" w:rsidRPr="00F37D51">
        <w:rPr>
          <w:rFonts w:asciiTheme="minorHAnsi" w:hAnsiTheme="minorHAnsi" w:cstheme="minorHAnsi"/>
          <w:sz w:val="24"/>
          <w:szCs w:val="22"/>
          <w:lang w:val="en-GB"/>
        </w:rPr>
        <w:t>ED</w:t>
      </w:r>
      <w:r w:rsidR="007419D9">
        <w:rPr>
          <w:rFonts w:asciiTheme="minorHAnsi" w:hAnsiTheme="minorHAnsi" w:cstheme="minorHAnsi"/>
          <w:sz w:val="24"/>
          <w:szCs w:val="22"/>
          <w:lang w:val="en-GB"/>
        </w:rPr>
        <w:t xml:space="preserve">R requires upgrading. </w:t>
      </w:r>
    </w:p>
    <w:p w14:paraId="00F836E1" w14:textId="77777777" w:rsidR="006F4E24" w:rsidRPr="00F37D51" w:rsidRDefault="006F4E24" w:rsidP="006F4E24">
      <w:pPr>
        <w:numPr>
          <w:ilvl w:val="0"/>
          <w:numId w:val="18"/>
        </w:numPr>
        <w:spacing w:after="120"/>
        <w:ind w:left="357" w:hanging="357"/>
        <w:rPr>
          <w:rFonts w:asciiTheme="minorHAnsi" w:hAnsiTheme="minorHAnsi" w:cstheme="minorHAnsi"/>
          <w:sz w:val="24"/>
          <w:szCs w:val="22"/>
          <w:lang w:val="en-GB"/>
        </w:rPr>
      </w:pPr>
      <w:r>
        <w:rPr>
          <w:rFonts w:asciiTheme="minorHAnsi" w:hAnsiTheme="minorHAnsi" w:cstheme="minorHAnsi"/>
          <w:sz w:val="24"/>
          <w:szCs w:val="22"/>
          <w:lang w:val="en-GB"/>
        </w:rPr>
        <w:t>The implementation of OrganMatch pr</w:t>
      </w:r>
      <w:r w:rsidR="007419D9">
        <w:rPr>
          <w:rFonts w:asciiTheme="minorHAnsi" w:hAnsiTheme="minorHAnsi" w:cstheme="minorHAnsi"/>
          <w:sz w:val="24"/>
          <w:szCs w:val="22"/>
          <w:lang w:val="en-GB"/>
        </w:rPr>
        <w:t>ovides</w:t>
      </w:r>
      <w:r>
        <w:rPr>
          <w:rFonts w:asciiTheme="minorHAnsi" w:hAnsiTheme="minorHAnsi" w:cstheme="minorHAnsi"/>
          <w:sz w:val="24"/>
          <w:szCs w:val="22"/>
          <w:lang w:val="en-GB"/>
        </w:rPr>
        <w:t xml:space="preserve"> an opportunity to improve </w:t>
      </w:r>
      <w:r w:rsidR="00D03EB9">
        <w:rPr>
          <w:rFonts w:asciiTheme="minorHAnsi" w:hAnsiTheme="minorHAnsi" w:cstheme="minorHAnsi"/>
          <w:sz w:val="24"/>
          <w:szCs w:val="22"/>
          <w:lang w:val="en-GB"/>
        </w:rPr>
        <w:t xml:space="preserve">the </w:t>
      </w:r>
      <w:r>
        <w:rPr>
          <w:rFonts w:asciiTheme="minorHAnsi" w:hAnsiTheme="minorHAnsi" w:cstheme="minorHAnsi"/>
          <w:sz w:val="24"/>
          <w:szCs w:val="22"/>
          <w:lang w:val="en-GB"/>
        </w:rPr>
        <w:t>sharing of donor profiles and</w:t>
      </w:r>
      <w:r w:rsidR="00D03EB9">
        <w:rPr>
          <w:rFonts w:asciiTheme="minorHAnsi" w:hAnsiTheme="minorHAnsi" w:cstheme="minorHAnsi"/>
          <w:sz w:val="24"/>
          <w:szCs w:val="22"/>
          <w:lang w:val="en-GB"/>
        </w:rPr>
        <w:t xml:space="preserve"> its functionalities </w:t>
      </w:r>
      <w:r w:rsidR="007419D9">
        <w:rPr>
          <w:rFonts w:asciiTheme="minorHAnsi" w:hAnsiTheme="minorHAnsi" w:cstheme="minorHAnsi"/>
          <w:sz w:val="24"/>
          <w:szCs w:val="22"/>
          <w:lang w:val="en-GB"/>
        </w:rPr>
        <w:t>could</w:t>
      </w:r>
      <w:r>
        <w:rPr>
          <w:rFonts w:asciiTheme="minorHAnsi" w:hAnsiTheme="minorHAnsi" w:cstheme="minorHAnsi"/>
          <w:sz w:val="24"/>
          <w:szCs w:val="22"/>
          <w:lang w:val="en-GB"/>
        </w:rPr>
        <w:t xml:space="preserve"> be explored</w:t>
      </w:r>
      <w:r w:rsidR="00D03EB9">
        <w:rPr>
          <w:rFonts w:asciiTheme="minorHAnsi" w:hAnsiTheme="minorHAnsi" w:cstheme="minorHAnsi"/>
          <w:sz w:val="24"/>
          <w:szCs w:val="22"/>
          <w:lang w:val="en-GB"/>
        </w:rPr>
        <w:t xml:space="preserve"> to facilitate improved</w:t>
      </w:r>
      <w:r w:rsidR="00D03EB9" w:rsidRPr="00826AE2">
        <w:rPr>
          <w:rFonts w:asciiTheme="minorHAnsi" w:hAnsiTheme="minorHAnsi" w:cstheme="minorHAnsi"/>
          <w:sz w:val="24"/>
          <w:szCs w:val="22"/>
          <w:lang w:val="en-GB"/>
        </w:rPr>
        <w:t xml:space="preserve"> surveillance and safety</w:t>
      </w:r>
      <w:r w:rsidR="007419D9">
        <w:rPr>
          <w:rFonts w:asciiTheme="minorHAnsi" w:hAnsiTheme="minorHAnsi" w:cstheme="minorHAnsi"/>
          <w:sz w:val="24"/>
          <w:szCs w:val="22"/>
          <w:lang w:val="en-GB"/>
        </w:rPr>
        <w:t>.</w:t>
      </w:r>
    </w:p>
    <w:p w14:paraId="4D5DF9DA" w14:textId="77777777" w:rsidR="006F4E24" w:rsidRPr="00266A77" w:rsidRDefault="006F4E24" w:rsidP="006F4E24">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thirty five is for the OTA to commence a process to plan arrangements for an extensive upgrade to the output of the EDR (or an alternative platform, such as utilising the functionality of OrganMatch), in collaboration with donation and transplantation specialists, to improve its functionality. The upgrade should facilitate rapid time feedback to improve surveillance and safety. The plan should then be considered by the Australian Government for approval."/>
      </w:tblPr>
      <w:tblGrid>
        <w:gridCol w:w="2268"/>
        <w:gridCol w:w="7479"/>
      </w:tblGrid>
      <w:tr w:rsidR="00815CA2" w:rsidRPr="00DC1007" w14:paraId="36973262" w14:textId="77777777" w:rsidTr="00B65E19">
        <w:trPr>
          <w:tblHeader/>
        </w:trPr>
        <w:tc>
          <w:tcPr>
            <w:tcW w:w="2268" w:type="dxa"/>
            <w:shd w:val="clear" w:color="auto" w:fill="595959" w:themeFill="text1" w:themeFillTint="A6"/>
          </w:tcPr>
          <w:p w14:paraId="4072CF5C" w14:textId="3DC5B0E0" w:rsidR="00815CA2" w:rsidRDefault="00815CA2" w:rsidP="00DB2B84">
            <w:pPr>
              <w:spacing w:after="120"/>
              <w:ind w:right="-321"/>
              <w:rPr>
                <w:rFonts w:asciiTheme="minorHAnsi" w:hAnsiTheme="minorHAnsi" w:cstheme="minorHAnsi"/>
                <w:b/>
                <w:sz w:val="24"/>
                <w:szCs w:val="22"/>
                <w:lang w:val="en-GB"/>
              </w:rPr>
            </w:pPr>
            <w:r>
              <w:rPr>
                <w:rFonts w:asciiTheme="minorHAnsi" w:hAnsiTheme="minorHAnsi" w:cstheme="minorHAnsi"/>
                <w:b/>
                <w:color w:val="FFFFFF" w:themeColor="background1"/>
                <w:sz w:val="24"/>
                <w:szCs w:val="22"/>
                <w:lang w:val="en-GB"/>
              </w:rPr>
              <w:t>Recommendation</w:t>
            </w:r>
          </w:p>
        </w:tc>
        <w:tc>
          <w:tcPr>
            <w:tcW w:w="7479" w:type="dxa"/>
            <w:shd w:val="clear" w:color="auto" w:fill="595959" w:themeFill="text1" w:themeFillTint="A6"/>
          </w:tcPr>
          <w:p w14:paraId="0F89DAAF" w14:textId="641F43C2" w:rsidR="00815CA2" w:rsidRDefault="00815CA2" w:rsidP="00DB2B84">
            <w:pPr>
              <w:spacing w:after="120"/>
              <w:ind w:right="-142"/>
              <w:rPr>
                <w:rFonts w:asciiTheme="minorHAnsi" w:hAnsiTheme="minorHAnsi" w:cstheme="minorHAnsi"/>
                <w:sz w:val="24"/>
                <w:szCs w:val="22"/>
                <w:lang w:val="en-GB"/>
              </w:rPr>
            </w:pPr>
            <w:r>
              <w:rPr>
                <w:rFonts w:asciiTheme="minorHAnsi" w:hAnsiTheme="minorHAnsi" w:cstheme="minorHAnsi"/>
                <w:b/>
                <w:color w:val="FFFFFF" w:themeColor="background1"/>
                <w:sz w:val="24"/>
                <w:szCs w:val="22"/>
                <w:lang w:val="en-GB"/>
              </w:rPr>
              <w:t>Description</w:t>
            </w:r>
          </w:p>
        </w:tc>
      </w:tr>
      <w:tr w:rsidR="00815CA2" w:rsidRPr="00DC1007" w14:paraId="5A26F452" w14:textId="77777777" w:rsidTr="00AE3ED1">
        <w:tc>
          <w:tcPr>
            <w:tcW w:w="2268" w:type="dxa"/>
          </w:tcPr>
          <w:p w14:paraId="29470F2B" w14:textId="77777777" w:rsidR="00815CA2" w:rsidRPr="00F37D51" w:rsidRDefault="00815CA2" w:rsidP="00AE3ED1">
            <w:pPr>
              <w:spacing w:after="120"/>
              <w:ind w:right="-321"/>
              <w:rPr>
                <w:rFonts w:asciiTheme="minorHAnsi" w:hAnsiTheme="minorHAnsi" w:cstheme="minorHAnsi"/>
                <w:b/>
                <w:sz w:val="24"/>
                <w:szCs w:val="22"/>
                <w:lang w:val="en-GB"/>
              </w:rPr>
            </w:pPr>
            <w:r>
              <w:rPr>
                <w:rFonts w:asciiTheme="minorHAnsi" w:hAnsiTheme="minorHAnsi" w:cstheme="minorHAnsi"/>
                <w:b/>
                <w:sz w:val="24"/>
                <w:szCs w:val="22"/>
                <w:lang w:val="en-GB"/>
              </w:rPr>
              <w:t>Recommendation 35</w:t>
            </w:r>
          </w:p>
        </w:tc>
        <w:tc>
          <w:tcPr>
            <w:tcW w:w="7479" w:type="dxa"/>
          </w:tcPr>
          <w:p w14:paraId="261DA3F0" w14:textId="77777777" w:rsidR="00815CA2" w:rsidRPr="00F37D51" w:rsidRDefault="00815CA2" w:rsidP="00AE3ED1">
            <w:pPr>
              <w:spacing w:after="120"/>
              <w:ind w:right="-142"/>
              <w:rPr>
                <w:rFonts w:asciiTheme="minorHAnsi" w:hAnsiTheme="minorHAnsi" w:cstheme="minorHAnsi"/>
                <w:sz w:val="24"/>
                <w:szCs w:val="22"/>
                <w:lang w:val="en-GB"/>
              </w:rPr>
            </w:pPr>
            <w:r>
              <w:rPr>
                <w:rFonts w:asciiTheme="minorHAnsi" w:hAnsiTheme="minorHAnsi" w:cstheme="minorHAnsi"/>
                <w:sz w:val="24"/>
                <w:szCs w:val="22"/>
                <w:lang w:val="en-GB"/>
              </w:rPr>
              <w:t xml:space="preserve">The </w:t>
            </w:r>
            <w:r w:rsidRPr="00F37D51">
              <w:rPr>
                <w:rFonts w:asciiTheme="minorHAnsi" w:hAnsiTheme="minorHAnsi" w:cstheme="minorHAnsi"/>
                <w:sz w:val="24"/>
                <w:szCs w:val="22"/>
                <w:lang w:val="en-GB"/>
              </w:rPr>
              <w:t xml:space="preserve">OTA </w:t>
            </w:r>
            <w:r>
              <w:rPr>
                <w:rFonts w:asciiTheme="minorHAnsi" w:hAnsiTheme="minorHAnsi" w:cstheme="minorHAnsi"/>
                <w:sz w:val="24"/>
                <w:szCs w:val="22"/>
                <w:lang w:val="en-GB"/>
              </w:rPr>
              <w:t xml:space="preserve">to </w:t>
            </w:r>
            <w:r w:rsidRPr="00F37D51">
              <w:rPr>
                <w:rFonts w:asciiTheme="minorHAnsi" w:hAnsiTheme="minorHAnsi" w:cstheme="minorHAnsi"/>
                <w:sz w:val="24"/>
                <w:szCs w:val="22"/>
                <w:lang w:val="en-GB"/>
              </w:rPr>
              <w:t xml:space="preserve">commence a process to plan </w:t>
            </w:r>
            <w:r>
              <w:rPr>
                <w:rFonts w:asciiTheme="minorHAnsi" w:hAnsiTheme="minorHAnsi" w:cstheme="minorHAnsi"/>
                <w:sz w:val="24"/>
                <w:szCs w:val="22"/>
                <w:lang w:val="en-GB"/>
              </w:rPr>
              <w:t xml:space="preserve">arrangements for </w:t>
            </w:r>
            <w:r w:rsidRPr="00F37D51">
              <w:rPr>
                <w:rFonts w:asciiTheme="minorHAnsi" w:hAnsiTheme="minorHAnsi" w:cstheme="minorHAnsi"/>
                <w:sz w:val="24"/>
                <w:szCs w:val="22"/>
                <w:lang w:val="en-GB"/>
              </w:rPr>
              <w:t xml:space="preserve">an extensive upgrade to the </w:t>
            </w:r>
            <w:r>
              <w:rPr>
                <w:rFonts w:asciiTheme="minorHAnsi" w:hAnsiTheme="minorHAnsi" w:cstheme="minorHAnsi"/>
                <w:sz w:val="24"/>
                <w:szCs w:val="22"/>
                <w:lang w:val="en-GB"/>
              </w:rPr>
              <w:t xml:space="preserve">output of the </w:t>
            </w:r>
            <w:r w:rsidRPr="00F37D51">
              <w:rPr>
                <w:rFonts w:asciiTheme="minorHAnsi" w:hAnsiTheme="minorHAnsi" w:cstheme="minorHAnsi"/>
                <w:sz w:val="24"/>
                <w:szCs w:val="22"/>
                <w:lang w:val="en-GB"/>
              </w:rPr>
              <w:t>ED</w:t>
            </w:r>
            <w:r>
              <w:rPr>
                <w:rFonts w:asciiTheme="minorHAnsi" w:hAnsiTheme="minorHAnsi" w:cstheme="minorHAnsi"/>
                <w:sz w:val="24"/>
                <w:szCs w:val="22"/>
                <w:lang w:val="en-GB"/>
              </w:rPr>
              <w:t>R</w:t>
            </w:r>
            <w:r w:rsidRPr="00F37D51">
              <w:rPr>
                <w:rFonts w:asciiTheme="minorHAnsi" w:hAnsiTheme="minorHAnsi" w:cstheme="minorHAnsi"/>
                <w:sz w:val="24"/>
                <w:szCs w:val="22"/>
                <w:lang w:val="en-GB"/>
              </w:rPr>
              <w:t xml:space="preserve"> (or an alternative platform</w:t>
            </w:r>
            <w:r>
              <w:rPr>
                <w:rFonts w:asciiTheme="minorHAnsi" w:hAnsiTheme="minorHAnsi" w:cstheme="minorHAnsi"/>
                <w:sz w:val="24"/>
                <w:szCs w:val="22"/>
                <w:lang w:val="en-GB"/>
              </w:rPr>
              <w:t>, such as utilising the functionality of OrganMatch</w:t>
            </w:r>
            <w:r w:rsidRPr="00F37D51">
              <w:rPr>
                <w:rFonts w:asciiTheme="minorHAnsi" w:hAnsiTheme="minorHAnsi" w:cstheme="minorHAnsi"/>
                <w:sz w:val="24"/>
                <w:szCs w:val="22"/>
                <w:lang w:val="en-GB"/>
              </w:rPr>
              <w:t>)</w:t>
            </w:r>
            <w:r>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in collaboration with donation and transplantation specialists</w:t>
            </w:r>
            <w:r>
              <w:rPr>
                <w:rFonts w:asciiTheme="minorHAnsi" w:hAnsiTheme="minorHAnsi" w:cstheme="minorHAnsi"/>
                <w:sz w:val="24"/>
                <w:szCs w:val="22"/>
                <w:lang w:val="en-GB"/>
              </w:rPr>
              <w:t>,</w:t>
            </w:r>
            <w:r w:rsidRPr="00F37D51">
              <w:rPr>
                <w:rFonts w:asciiTheme="minorHAnsi" w:hAnsiTheme="minorHAnsi" w:cstheme="minorHAnsi"/>
                <w:sz w:val="24"/>
                <w:szCs w:val="22"/>
                <w:lang w:val="en-GB"/>
              </w:rPr>
              <w:t xml:space="preserve"> to improve its functionality. </w:t>
            </w:r>
            <w:r>
              <w:rPr>
                <w:rFonts w:asciiTheme="minorHAnsi" w:hAnsiTheme="minorHAnsi" w:cstheme="minorHAnsi"/>
                <w:sz w:val="24"/>
                <w:szCs w:val="22"/>
                <w:lang w:val="en-GB"/>
              </w:rPr>
              <w:t xml:space="preserve">The upgrade should facilitate rapid time feedback to improve surveillance and safety. </w:t>
            </w:r>
            <w:r w:rsidRPr="00F37D51">
              <w:rPr>
                <w:rFonts w:asciiTheme="minorHAnsi" w:hAnsiTheme="minorHAnsi" w:cstheme="minorHAnsi"/>
                <w:sz w:val="24"/>
                <w:szCs w:val="22"/>
                <w:lang w:val="en-GB"/>
              </w:rPr>
              <w:t xml:space="preserve">The plan should then be considered by </w:t>
            </w:r>
            <w:r>
              <w:rPr>
                <w:rFonts w:asciiTheme="minorHAnsi" w:hAnsiTheme="minorHAnsi" w:cstheme="minorHAnsi"/>
                <w:sz w:val="24"/>
                <w:szCs w:val="22"/>
                <w:lang w:val="en-GB"/>
              </w:rPr>
              <w:t xml:space="preserve">the Australian Government </w:t>
            </w:r>
            <w:r w:rsidRPr="00F37D51">
              <w:rPr>
                <w:rFonts w:asciiTheme="minorHAnsi" w:hAnsiTheme="minorHAnsi" w:cstheme="minorHAnsi"/>
                <w:sz w:val="24"/>
                <w:szCs w:val="22"/>
                <w:lang w:val="en-GB"/>
              </w:rPr>
              <w:t>for approval.</w:t>
            </w:r>
          </w:p>
        </w:tc>
      </w:tr>
    </w:tbl>
    <w:p w14:paraId="2377C83B" w14:textId="77777777" w:rsidR="006F4E24" w:rsidRPr="00796641" w:rsidRDefault="006F4E24" w:rsidP="006F4E24">
      <w:pPr>
        <w:pStyle w:val="Heading2"/>
        <w:tabs>
          <w:tab w:val="clear" w:pos="1559"/>
          <w:tab w:val="num" w:pos="993"/>
        </w:tabs>
        <w:spacing w:before="240"/>
        <w:ind w:left="992" w:hanging="992"/>
        <w:rPr>
          <w:rFonts w:ascii="Calibri" w:hAnsi="Calibri" w:cs="Calibri"/>
          <w:b/>
          <w:bCs/>
          <w:color w:val="7F7F7F"/>
          <w:sz w:val="30"/>
          <w:szCs w:val="30"/>
        </w:rPr>
      </w:pPr>
      <w:bookmarkStart w:id="653" w:name="_Toc532301697"/>
      <w:r w:rsidRPr="00796641">
        <w:rPr>
          <w:rFonts w:asciiTheme="minorHAnsi" w:hAnsiTheme="minorHAnsi" w:cstheme="minorHAnsi"/>
          <w:iCs/>
          <w:color w:val="7F7F7F" w:themeColor="text1" w:themeTint="80"/>
          <w:sz w:val="40"/>
          <w:szCs w:val="30"/>
        </w:rPr>
        <w:t>Element 5: Organ acceptance</w:t>
      </w:r>
      <w:bookmarkStart w:id="654" w:name="_Ref527554617"/>
      <w:bookmarkEnd w:id="653"/>
      <w:r w:rsidRPr="00796641">
        <w:rPr>
          <w:rFonts w:ascii="Calibri" w:hAnsi="Calibri" w:cs="Calibri"/>
          <w:b/>
          <w:bCs/>
          <w:color w:val="7F7F7F"/>
          <w:sz w:val="30"/>
          <w:szCs w:val="30"/>
        </w:rPr>
        <w:t xml:space="preserve"> </w:t>
      </w:r>
      <w:bookmarkEnd w:id="654"/>
    </w:p>
    <w:p w14:paraId="45493C20" w14:textId="77777777" w:rsidR="006F4E24" w:rsidRDefault="006F4E24" w:rsidP="006F4E24">
      <w:pPr>
        <w:spacing w:after="120"/>
        <w:rPr>
          <w:rFonts w:asciiTheme="minorHAnsi" w:hAnsiTheme="minorHAnsi" w:cstheme="minorHAnsi"/>
          <w:sz w:val="24"/>
          <w:szCs w:val="22"/>
          <w:lang w:val="en-GB"/>
        </w:rPr>
      </w:pPr>
      <w:r>
        <w:rPr>
          <w:rFonts w:asciiTheme="minorHAnsi" w:hAnsiTheme="minorHAnsi" w:cstheme="minorHAnsi"/>
          <w:sz w:val="24"/>
          <w:szCs w:val="22"/>
          <w:lang w:val="en-GB"/>
        </w:rPr>
        <w:t>For element 5, the findings of the Review relate to:</w:t>
      </w:r>
    </w:p>
    <w:p w14:paraId="25947669" w14:textId="77777777" w:rsidR="006F4E24" w:rsidRDefault="006F4E24" w:rsidP="006F4E24">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 xml:space="preserve">Variability in organ acceptance </w:t>
      </w:r>
      <w:r w:rsidRPr="00937DEE">
        <w:rPr>
          <w:rFonts w:asciiTheme="minorHAnsi" w:hAnsiTheme="minorHAnsi" w:cstheme="minorHAnsi"/>
          <w:sz w:val="24"/>
          <w:szCs w:val="22"/>
          <w:lang w:val="en-GB"/>
        </w:rPr>
        <w:t>(Section</w:t>
      </w:r>
      <w:r w:rsidR="00494ED0">
        <w:rPr>
          <w:rFonts w:asciiTheme="minorHAnsi" w:hAnsiTheme="minorHAnsi" w:cstheme="minorHAnsi"/>
          <w:sz w:val="24"/>
          <w:szCs w:val="22"/>
          <w:lang w:val="en-GB"/>
        </w:rPr>
        <w:t xml:space="preserve"> </w:t>
      </w:r>
      <w:r w:rsidR="004B7555">
        <w:rPr>
          <w:rFonts w:asciiTheme="minorHAnsi" w:hAnsiTheme="minorHAnsi" w:cstheme="minorHAnsi"/>
          <w:sz w:val="24"/>
          <w:szCs w:val="22"/>
          <w:lang w:val="en-GB"/>
        </w:rPr>
        <w:fldChar w:fldCharType="begin"/>
      </w:r>
      <w:r w:rsidR="004B7555">
        <w:rPr>
          <w:rFonts w:asciiTheme="minorHAnsi" w:hAnsiTheme="minorHAnsi" w:cstheme="minorHAnsi"/>
          <w:sz w:val="24"/>
          <w:szCs w:val="22"/>
          <w:lang w:val="en-GB"/>
        </w:rPr>
        <w:instrText xml:space="preserve"> REF _Ref527631000 \r \h </w:instrText>
      </w:r>
      <w:r w:rsidR="004B7555">
        <w:rPr>
          <w:rFonts w:asciiTheme="minorHAnsi" w:hAnsiTheme="minorHAnsi" w:cstheme="minorHAnsi"/>
          <w:sz w:val="24"/>
          <w:szCs w:val="22"/>
          <w:lang w:val="en-GB"/>
        </w:rPr>
      </w:r>
      <w:r w:rsidR="004B7555">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6.5.1</w:t>
      </w:r>
      <w:r w:rsidR="004B7555">
        <w:rPr>
          <w:rFonts w:asciiTheme="minorHAnsi" w:hAnsiTheme="minorHAnsi" w:cstheme="minorHAnsi"/>
          <w:sz w:val="24"/>
          <w:szCs w:val="22"/>
          <w:lang w:val="en-GB"/>
        </w:rPr>
        <w:fldChar w:fldCharType="end"/>
      </w:r>
      <w:r w:rsidRPr="00937DEE">
        <w:rPr>
          <w:rFonts w:asciiTheme="minorHAnsi" w:hAnsiTheme="minorHAnsi" w:cstheme="minorHAnsi"/>
          <w:sz w:val="24"/>
          <w:szCs w:val="22"/>
          <w:lang w:val="en-GB"/>
        </w:rPr>
        <w:t>)</w:t>
      </w:r>
    </w:p>
    <w:p w14:paraId="4B8F6B5E" w14:textId="77777777" w:rsidR="006F4E24" w:rsidRPr="00B91EB3" w:rsidRDefault="006F4E24" w:rsidP="006F4E24">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Potential recipient consent and acceptance</w:t>
      </w:r>
      <w:r w:rsidR="00FE692F">
        <w:rPr>
          <w:rFonts w:asciiTheme="minorHAnsi" w:hAnsiTheme="minorHAnsi" w:cstheme="minorHAnsi"/>
          <w:sz w:val="24"/>
          <w:szCs w:val="22"/>
          <w:lang w:val="en-GB"/>
        </w:rPr>
        <w:t xml:space="preserve"> process</w:t>
      </w:r>
      <w:r>
        <w:rPr>
          <w:rFonts w:asciiTheme="minorHAnsi" w:hAnsiTheme="minorHAnsi" w:cstheme="minorHAnsi"/>
          <w:sz w:val="24"/>
          <w:szCs w:val="22"/>
          <w:lang w:val="en-GB"/>
        </w:rPr>
        <w:t xml:space="preserve"> </w:t>
      </w:r>
      <w:r w:rsidRPr="00937DEE">
        <w:rPr>
          <w:rFonts w:asciiTheme="minorHAnsi" w:hAnsiTheme="minorHAnsi" w:cstheme="minorHAnsi"/>
          <w:sz w:val="24"/>
          <w:szCs w:val="22"/>
          <w:lang w:val="en-GB"/>
        </w:rPr>
        <w:t>(Section</w:t>
      </w:r>
      <w:r w:rsidR="00494ED0">
        <w:rPr>
          <w:rFonts w:asciiTheme="minorHAnsi" w:hAnsiTheme="minorHAnsi" w:cstheme="minorHAnsi"/>
          <w:sz w:val="24"/>
          <w:szCs w:val="22"/>
          <w:lang w:val="en-GB"/>
        </w:rPr>
        <w:t xml:space="preserve"> </w:t>
      </w:r>
      <w:r w:rsidR="004B7555">
        <w:rPr>
          <w:rFonts w:asciiTheme="minorHAnsi" w:hAnsiTheme="minorHAnsi" w:cstheme="minorHAnsi"/>
          <w:sz w:val="24"/>
          <w:szCs w:val="22"/>
          <w:lang w:val="en-GB"/>
        </w:rPr>
        <w:fldChar w:fldCharType="begin"/>
      </w:r>
      <w:r w:rsidR="004B7555">
        <w:rPr>
          <w:rFonts w:asciiTheme="minorHAnsi" w:hAnsiTheme="minorHAnsi" w:cstheme="minorHAnsi"/>
          <w:sz w:val="24"/>
          <w:szCs w:val="22"/>
          <w:lang w:val="en-GB"/>
        </w:rPr>
        <w:instrText xml:space="preserve"> REF _Ref531276428 \r \h </w:instrText>
      </w:r>
      <w:r w:rsidR="004B7555">
        <w:rPr>
          <w:rFonts w:asciiTheme="minorHAnsi" w:hAnsiTheme="minorHAnsi" w:cstheme="minorHAnsi"/>
          <w:sz w:val="24"/>
          <w:szCs w:val="22"/>
          <w:lang w:val="en-GB"/>
        </w:rPr>
      </w:r>
      <w:r w:rsidR="004B7555">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6.5.2</w:t>
      </w:r>
      <w:r w:rsidR="004B7555">
        <w:rPr>
          <w:rFonts w:asciiTheme="minorHAnsi" w:hAnsiTheme="minorHAnsi" w:cstheme="minorHAnsi"/>
          <w:sz w:val="24"/>
          <w:szCs w:val="22"/>
          <w:lang w:val="en-GB"/>
        </w:rPr>
        <w:fldChar w:fldCharType="end"/>
      </w:r>
      <w:r w:rsidRPr="00937DEE">
        <w:rPr>
          <w:rFonts w:asciiTheme="minorHAnsi" w:hAnsiTheme="minorHAnsi" w:cstheme="minorHAnsi"/>
          <w:sz w:val="24"/>
          <w:szCs w:val="22"/>
          <w:lang w:val="en-GB"/>
        </w:rPr>
        <w:t>)</w:t>
      </w:r>
      <w:r w:rsidR="009151B6">
        <w:rPr>
          <w:rFonts w:asciiTheme="minorHAnsi" w:hAnsiTheme="minorHAnsi" w:cstheme="minorHAnsi"/>
          <w:sz w:val="24"/>
          <w:szCs w:val="22"/>
          <w:lang w:val="en-GB"/>
        </w:rPr>
        <w:t>.</w:t>
      </w:r>
    </w:p>
    <w:p w14:paraId="5816CB17" w14:textId="77777777" w:rsidR="006F4E24" w:rsidRDefault="006F4E24" w:rsidP="006F4E24">
      <w:pPr>
        <w:pStyle w:val="Heading3"/>
        <w:ind w:left="992" w:hanging="992"/>
        <w:rPr>
          <w:rFonts w:ascii="Calibri" w:eastAsia="Times New Roman" w:hAnsi="Calibri" w:cs="Calibri"/>
          <w:b w:val="0"/>
          <w:bCs w:val="0"/>
          <w:color w:val="7F7F7F"/>
          <w:sz w:val="30"/>
          <w:szCs w:val="30"/>
        </w:rPr>
      </w:pPr>
      <w:bookmarkStart w:id="655" w:name="_Ref527631000"/>
      <w:r>
        <w:rPr>
          <w:rFonts w:ascii="Calibri" w:eastAsia="Times New Roman" w:hAnsi="Calibri" w:cs="Calibri"/>
          <w:b w:val="0"/>
          <w:bCs w:val="0"/>
          <w:color w:val="7F7F7F"/>
          <w:sz w:val="30"/>
          <w:szCs w:val="30"/>
        </w:rPr>
        <w:t>Variability in organ acceptance</w:t>
      </w:r>
      <w:bookmarkEnd w:id="655"/>
      <w:r>
        <w:rPr>
          <w:rFonts w:ascii="Calibri" w:eastAsia="Times New Roman" w:hAnsi="Calibri" w:cs="Calibri"/>
          <w:b w:val="0"/>
          <w:bCs w:val="0"/>
          <w:color w:val="7F7F7F"/>
          <w:sz w:val="30"/>
          <w:szCs w:val="30"/>
        </w:rPr>
        <w:t xml:space="preserve"> </w:t>
      </w:r>
    </w:p>
    <w:p w14:paraId="7D7A184E" w14:textId="77777777" w:rsidR="006F4E24" w:rsidRPr="001271F5" w:rsidRDefault="006F4E24" w:rsidP="006F4E24">
      <w:pPr>
        <w:tabs>
          <w:tab w:val="num" w:pos="720"/>
        </w:tabs>
        <w:spacing w:after="120"/>
        <w:rPr>
          <w:rFonts w:asciiTheme="minorHAnsi" w:hAnsiTheme="minorHAnsi" w:cstheme="minorHAnsi"/>
          <w:i/>
          <w:color w:val="808080" w:themeColor="background1" w:themeShade="80"/>
          <w:sz w:val="26"/>
          <w:szCs w:val="26"/>
        </w:rPr>
      </w:pPr>
      <w:r>
        <w:rPr>
          <w:rFonts w:asciiTheme="minorHAnsi" w:hAnsiTheme="minorHAnsi" w:cstheme="minorHAnsi"/>
          <w:i/>
          <w:color w:val="808080" w:themeColor="background1" w:themeShade="80"/>
          <w:sz w:val="26"/>
          <w:szCs w:val="26"/>
        </w:rPr>
        <w:t>Discussion of findings</w:t>
      </w:r>
    </w:p>
    <w:p w14:paraId="50035834" w14:textId="77777777" w:rsidR="00276398" w:rsidRPr="00EF2596" w:rsidRDefault="00276398" w:rsidP="00276398">
      <w:pPr>
        <w:spacing w:after="120"/>
        <w:rPr>
          <w:rFonts w:asciiTheme="minorHAnsi" w:hAnsiTheme="minorHAnsi" w:cstheme="minorHAnsi"/>
          <w:sz w:val="24"/>
          <w:szCs w:val="24"/>
          <w:lang w:val="en-GB"/>
        </w:rPr>
      </w:pPr>
      <w:r w:rsidRPr="00EF2596">
        <w:rPr>
          <w:rFonts w:asciiTheme="minorHAnsi" w:hAnsiTheme="minorHAnsi" w:cstheme="minorHAnsi"/>
          <w:sz w:val="24"/>
          <w:szCs w:val="24"/>
          <w:lang w:val="en-GB"/>
        </w:rPr>
        <w:t>Top performing international organ donation, retrieval and transplantation systems have implemented strategies that aim to broaden the number of organs accepted for organ donation.</w:t>
      </w:r>
      <w:r w:rsidRPr="00EF2596">
        <w:rPr>
          <w:rStyle w:val="FootnoteReference"/>
          <w:rFonts w:asciiTheme="minorHAnsi" w:eastAsiaTheme="majorEastAsia" w:hAnsiTheme="minorHAnsi" w:cstheme="minorHAnsi"/>
          <w:szCs w:val="16"/>
          <w:lang w:val="en-GB"/>
        </w:rPr>
        <w:footnoteReference w:id="150"/>
      </w:r>
      <w:r w:rsidRPr="00EF2596">
        <w:rPr>
          <w:rFonts w:asciiTheme="minorHAnsi" w:hAnsiTheme="minorHAnsi" w:cstheme="minorHAnsi"/>
          <w:sz w:val="16"/>
          <w:szCs w:val="16"/>
          <w:lang w:val="en-GB"/>
        </w:rPr>
        <w:t xml:space="preserve"> </w:t>
      </w:r>
      <w:r w:rsidRPr="00EF2596">
        <w:rPr>
          <w:rFonts w:asciiTheme="minorHAnsi" w:hAnsiTheme="minorHAnsi" w:cstheme="minorHAnsi"/>
          <w:sz w:val="24"/>
          <w:szCs w:val="24"/>
          <w:lang w:val="en-GB"/>
        </w:rPr>
        <w:t xml:space="preserve"> Australia is positioned at the forefront of international performance, as the growth in experience of clinical staff and technological advancements in Australia now enables the use of organs that were previously considered not medically suitable for transplantation. This has increased the pool of potential organ donors </w:t>
      </w:r>
      <w:r w:rsidR="00B451BA">
        <w:rPr>
          <w:rFonts w:asciiTheme="minorHAnsi" w:hAnsiTheme="minorHAnsi" w:cstheme="minorHAnsi"/>
          <w:sz w:val="24"/>
          <w:szCs w:val="24"/>
          <w:lang w:val="en-GB"/>
        </w:rPr>
        <w:t xml:space="preserve">as, ‘extended criteria organ donors’ including </w:t>
      </w:r>
      <w:r w:rsidRPr="00EF2596">
        <w:rPr>
          <w:rFonts w:asciiTheme="minorHAnsi" w:hAnsiTheme="minorHAnsi" w:cstheme="minorHAnsi"/>
          <w:sz w:val="24"/>
          <w:szCs w:val="24"/>
          <w:lang w:val="en-GB"/>
        </w:rPr>
        <w:t xml:space="preserve">older donors and donors diagnosed with Hepatitis C or other co-morbidities, are now being considered for organ donation. </w:t>
      </w:r>
    </w:p>
    <w:p w14:paraId="403B30ED" w14:textId="5BC3B8C9" w:rsidR="00777678" w:rsidRPr="004830DA" w:rsidRDefault="00276398" w:rsidP="004830DA">
      <w:pPr>
        <w:spacing w:after="120"/>
        <w:rPr>
          <w:rFonts w:asciiTheme="minorHAnsi" w:hAnsiTheme="minorHAnsi" w:cstheme="minorHAnsi"/>
          <w:sz w:val="24"/>
          <w:szCs w:val="24"/>
          <w:lang w:val="en-GB"/>
        </w:rPr>
      </w:pPr>
      <w:r w:rsidRPr="00EF2596">
        <w:rPr>
          <w:rFonts w:asciiTheme="minorHAnsi" w:hAnsiTheme="minorHAnsi" w:cstheme="minorHAnsi"/>
          <w:sz w:val="24"/>
          <w:szCs w:val="24"/>
          <w:lang w:val="en-GB"/>
        </w:rPr>
        <w:t xml:space="preserve">While the acceptance of organs donated by extended criteria organ donors have increased as a whole across Australia, the Review found that there is variability in acceptance across the jurisdictions. The Review found that there are two major reasons accounting for this variability. Firstly, there is diversity in clinical expertise within each transplantation unit, and secondly, there are differences between transplantation units when defining what constitutes an extended criteria organ donor. </w:t>
      </w:r>
    </w:p>
    <w:p w14:paraId="75B236EE" w14:textId="5C443892" w:rsidR="00276398" w:rsidRPr="00EF2596" w:rsidRDefault="00276398" w:rsidP="00276398">
      <w:pPr>
        <w:tabs>
          <w:tab w:val="num" w:pos="720"/>
        </w:tabs>
        <w:spacing w:after="120"/>
        <w:rPr>
          <w:rFonts w:asciiTheme="minorHAnsi" w:hAnsiTheme="minorHAnsi" w:cstheme="minorHAnsi"/>
          <w:color w:val="7F7F7F" w:themeColor="text1" w:themeTint="80"/>
          <w:sz w:val="24"/>
          <w:szCs w:val="22"/>
          <w:lang w:val="en-GB"/>
        </w:rPr>
      </w:pPr>
      <w:r w:rsidRPr="00EF2596">
        <w:rPr>
          <w:rFonts w:asciiTheme="minorHAnsi" w:hAnsiTheme="minorHAnsi" w:cstheme="minorHAnsi"/>
          <w:color w:val="7F7F7F" w:themeColor="text1" w:themeTint="80"/>
          <w:sz w:val="24"/>
          <w:szCs w:val="22"/>
          <w:lang w:val="en-GB"/>
        </w:rPr>
        <w:t>Defining extended criteria organ donors for renal transplantation</w:t>
      </w:r>
    </w:p>
    <w:p w14:paraId="4140911C" w14:textId="6E329D88" w:rsidR="00B63622" w:rsidRDefault="00276398" w:rsidP="00276398">
      <w:pPr>
        <w:tabs>
          <w:tab w:val="num" w:pos="720"/>
        </w:tabs>
        <w:spacing w:after="120"/>
        <w:rPr>
          <w:rFonts w:asciiTheme="minorHAnsi" w:hAnsiTheme="minorHAnsi" w:cstheme="minorHAnsi"/>
          <w:sz w:val="24"/>
          <w:szCs w:val="24"/>
          <w:lang w:val="en-GB"/>
        </w:rPr>
      </w:pPr>
      <w:r w:rsidRPr="00EF2596">
        <w:rPr>
          <w:rFonts w:asciiTheme="minorHAnsi" w:hAnsiTheme="minorHAnsi" w:cstheme="minorHAnsi"/>
          <w:sz w:val="24"/>
          <w:szCs w:val="24"/>
          <w:lang w:val="en-GB"/>
        </w:rPr>
        <w:t xml:space="preserve">The Review found that the </w:t>
      </w:r>
      <w:r w:rsidRPr="008E64B3">
        <w:rPr>
          <w:rFonts w:asciiTheme="minorHAnsi" w:hAnsiTheme="minorHAnsi" w:cstheme="minorHAnsi"/>
          <w:sz w:val="24"/>
          <w:szCs w:val="24"/>
          <w:lang w:val="en-GB"/>
        </w:rPr>
        <w:t>American Organ Procurement and Transplantation Network’s</w:t>
      </w:r>
      <w:r w:rsidRPr="00EF2596">
        <w:rPr>
          <w:rFonts w:asciiTheme="minorHAnsi" w:hAnsiTheme="minorHAnsi" w:cstheme="minorHAnsi"/>
          <w:sz w:val="24"/>
          <w:szCs w:val="24"/>
          <w:lang w:val="en-GB"/>
        </w:rPr>
        <w:t xml:space="preserve"> definition of extended criteria organ donors for renal transplantation is the universally shared definition.</w:t>
      </w:r>
      <w:r w:rsidR="008E64B3" w:rsidRPr="008E64B3">
        <w:rPr>
          <w:rStyle w:val="FootnoteReference"/>
          <w:rFonts w:asciiTheme="minorHAnsi" w:hAnsiTheme="minorHAnsi" w:cstheme="minorHAnsi"/>
          <w:lang w:val="en-GB"/>
        </w:rPr>
        <w:footnoteReference w:id="151"/>
      </w:r>
      <w:r w:rsidR="00B46F66">
        <w:rPr>
          <w:rFonts w:asciiTheme="minorHAnsi" w:hAnsiTheme="minorHAnsi" w:cstheme="minorHAnsi"/>
          <w:sz w:val="24"/>
          <w:szCs w:val="24"/>
          <w:lang w:val="en-GB"/>
        </w:rPr>
        <w:t xml:space="preserve"> </w:t>
      </w:r>
    </w:p>
    <w:p w14:paraId="7B2E6150" w14:textId="138F49FD" w:rsidR="00276398" w:rsidRDefault="00276398" w:rsidP="00AE3ED1">
      <w:pPr>
        <w:spacing w:after="120"/>
        <w:rPr>
          <w:rFonts w:asciiTheme="minorHAnsi" w:hAnsiTheme="minorHAnsi" w:cstheme="minorHAnsi"/>
          <w:sz w:val="24"/>
          <w:szCs w:val="24"/>
          <w:lang w:val="en-GB"/>
        </w:rPr>
      </w:pPr>
      <w:r w:rsidRPr="00EF2596">
        <w:rPr>
          <w:rFonts w:asciiTheme="minorHAnsi" w:hAnsiTheme="minorHAnsi" w:cstheme="minorHAnsi"/>
          <w:sz w:val="24"/>
          <w:szCs w:val="24"/>
          <w:lang w:val="en-GB"/>
        </w:rPr>
        <w:t>However, the Review found that whilst there may be a standard definition, this definition is outdated and not adopted by all transplantation units. Transplant clinicians reported that the standard definition is taken into consideration, however in practice, the Kidney Donor Risk Index (KDRI) is much more readily accepted.</w:t>
      </w:r>
      <w:r w:rsidR="00ED2E47">
        <w:rPr>
          <w:rStyle w:val="FootnoteReference"/>
          <w:rFonts w:cstheme="minorHAnsi"/>
          <w:lang w:val="en-GB"/>
        </w:rPr>
        <w:footnoteReference w:id="152"/>
      </w:r>
      <w:r w:rsidRPr="00EF2596">
        <w:rPr>
          <w:rFonts w:asciiTheme="minorHAnsi" w:hAnsiTheme="minorHAnsi" w:cstheme="minorHAnsi"/>
          <w:sz w:val="24"/>
          <w:szCs w:val="24"/>
          <w:lang w:val="en-GB"/>
        </w:rPr>
        <w:t xml:space="preserve"> The Kidney Donor Risk Index provides a more granular and accurate analysis by combining a variety of additional donor factors to summarise the risk of graft failure after kidney transplantation into a single number. Clinicians reported that kidneys with a raw Kidney Donor Risk Index of </w:t>
      </w:r>
      <w:r w:rsidR="00ED2E47">
        <w:rPr>
          <w:rFonts w:asciiTheme="minorHAnsi" w:hAnsiTheme="minorHAnsi" w:cstheme="minorHAnsi"/>
          <w:sz w:val="24"/>
          <w:szCs w:val="24"/>
          <w:lang w:val="en-GB"/>
        </w:rPr>
        <w:t>greater</w:t>
      </w:r>
      <w:r w:rsidR="00ED2E47" w:rsidRPr="00EF2596">
        <w:rPr>
          <w:rFonts w:asciiTheme="minorHAnsi" w:hAnsiTheme="minorHAnsi" w:cstheme="minorHAnsi"/>
          <w:sz w:val="24"/>
          <w:szCs w:val="24"/>
          <w:lang w:val="en-GB"/>
        </w:rPr>
        <w:t xml:space="preserve"> </w:t>
      </w:r>
      <w:r w:rsidRPr="00EF2596">
        <w:rPr>
          <w:rFonts w:asciiTheme="minorHAnsi" w:hAnsiTheme="minorHAnsi" w:cstheme="minorHAnsi"/>
          <w:sz w:val="24"/>
          <w:szCs w:val="24"/>
          <w:lang w:val="en-GB"/>
        </w:rPr>
        <w:t>than two, will be classified as a kidney donated from an extended criteria organ donor. As captured in</w:t>
      </w:r>
      <w:r w:rsidR="009A3A92">
        <w:rPr>
          <w:rFonts w:asciiTheme="minorHAnsi" w:hAnsiTheme="minorHAnsi" w:cstheme="minorHAnsi"/>
          <w:sz w:val="24"/>
          <w:szCs w:val="24"/>
          <w:lang w:val="en-GB"/>
        </w:rPr>
        <w:t xml:space="preserve"> </w:t>
      </w:r>
      <w:r w:rsidR="009A3A92">
        <w:rPr>
          <w:rFonts w:asciiTheme="minorHAnsi" w:hAnsiTheme="minorHAnsi" w:cstheme="minorHAnsi"/>
          <w:sz w:val="24"/>
          <w:szCs w:val="24"/>
          <w:lang w:val="en-GB"/>
        </w:rPr>
        <w:fldChar w:fldCharType="begin"/>
      </w:r>
      <w:r w:rsidR="009A3A92">
        <w:rPr>
          <w:rFonts w:asciiTheme="minorHAnsi" w:hAnsiTheme="minorHAnsi" w:cstheme="minorHAnsi"/>
          <w:sz w:val="24"/>
          <w:szCs w:val="24"/>
          <w:lang w:val="en-GB"/>
        </w:rPr>
        <w:instrText xml:space="preserve"> REF _Ref530474287 \h </w:instrText>
      </w:r>
      <w:r w:rsidR="008D58C9">
        <w:rPr>
          <w:rFonts w:asciiTheme="minorHAnsi" w:hAnsiTheme="minorHAnsi" w:cstheme="minorHAnsi"/>
          <w:sz w:val="24"/>
          <w:szCs w:val="24"/>
          <w:lang w:val="en-GB"/>
        </w:rPr>
        <w:instrText xml:space="preserve"> \* MERGEFORMAT </w:instrText>
      </w:r>
      <w:r w:rsidR="009A3A92">
        <w:rPr>
          <w:rFonts w:asciiTheme="minorHAnsi" w:hAnsiTheme="minorHAnsi" w:cstheme="minorHAnsi"/>
          <w:sz w:val="24"/>
          <w:szCs w:val="24"/>
          <w:lang w:val="en-GB"/>
        </w:rPr>
      </w:r>
      <w:r w:rsidR="009A3A92">
        <w:rPr>
          <w:rFonts w:asciiTheme="minorHAnsi" w:hAnsiTheme="minorHAnsi" w:cstheme="minorHAnsi"/>
          <w:sz w:val="24"/>
          <w:szCs w:val="24"/>
          <w:lang w:val="en-GB"/>
        </w:rPr>
        <w:fldChar w:fldCharType="separate"/>
      </w:r>
      <w:r w:rsidR="00A04048" w:rsidRPr="00C75FAB">
        <w:rPr>
          <w:rFonts w:asciiTheme="minorHAnsi" w:hAnsiTheme="minorHAnsi" w:cstheme="minorHAnsi"/>
          <w:sz w:val="24"/>
          <w:szCs w:val="24"/>
          <w:lang w:val="en-GB"/>
        </w:rPr>
        <w:t>Figure 22</w:t>
      </w:r>
      <w:r w:rsidR="009A3A92">
        <w:rPr>
          <w:rFonts w:asciiTheme="minorHAnsi" w:hAnsiTheme="minorHAnsi" w:cstheme="minorHAnsi"/>
          <w:sz w:val="24"/>
          <w:szCs w:val="24"/>
          <w:lang w:val="en-GB"/>
        </w:rPr>
        <w:fldChar w:fldCharType="end"/>
      </w:r>
      <w:r w:rsidRPr="00EF2596">
        <w:rPr>
          <w:rFonts w:asciiTheme="minorHAnsi" w:hAnsiTheme="minorHAnsi" w:cstheme="minorHAnsi"/>
          <w:sz w:val="24"/>
          <w:szCs w:val="24"/>
          <w:lang w:val="en-GB"/>
        </w:rPr>
        <w:t xml:space="preserve">, the Review found that in 2016, </w:t>
      </w:r>
      <w:r w:rsidR="00C65748">
        <w:rPr>
          <w:rFonts w:asciiTheme="minorHAnsi" w:hAnsiTheme="minorHAnsi" w:cstheme="minorHAnsi"/>
          <w:sz w:val="24"/>
          <w:szCs w:val="24"/>
          <w:lang w:val="en-GB"/>
        </w:rPr>
        <w:t>nine</w:t>
      </w:r>
      <w:r w:rsidRPr="00EF2596">
        <w:rPr>
          <w:rFonts w:asciiTheme="minorHAnsi" w:hAnsiTheme="minorHAnsi" w:cstheme="minorHAnsi"/>
          <w:sz w:val="24"/>
          <w:szCs w:val="24"/>
          <w:lang w:val="en-GB"/>
        </w:rPr>
        <w:t xml:space="preserve"> per cent of total kidneys transplanted were considered to be donated by an extended criteria organ donor.</w:t>
      </w:r>
      <w:r w:rsidRPr="008E64B3">
        <w:rPr>
          <w:rStyle w:val="FootnoteReference"/>
          <w:rFonts w:asciiTheme="minorHAnsi" w:eastAsiaTheme="majorEastAsia" w:hAnsiTheme="minorHAnsi" w:cstheme="minorHAnsi"/>
          <w:lang w:val="en-GB"/>
        </w:rPr>
        <w:footnoteReference w:id="153"/>
      </w:r>
      <w:r w:rsidRPr="00EF2596">
        <w:rPr>
          <w:rFonts w:asciiTheme="minorHAnsi" w:hAnsiTheme="minorHAnsi" w:cstheme="minorHAnsi"/>
          <w:sz w:val="24"/>
          <w:szCs w:val="24"/>
          <w:lang w:val="en-GB"/>
        </w:rPr>
        <w:t xml:space="preserve"> </w:t>
      </w:r>
    </w:p>
    <w:p w14:paraId="476DD79C" w14:textId="77777777" w:rsidR="00B46F66" w:rsidRPr="00F01BC7" w:rsidRDefault="00B46F66" w:rsidP="00AE3ED1">
      <w:pPr>
        <w:shd w:val="clear" w:color="auto" w:fill="DCEFF4"/>
        <w:spacing w:after="120"/>
        <w:rPr>
          <w:rFonts w:asciiTheme="minorHAnsi" w:hAnsiTheme="minorHAnsi" w:cstheme="minorHAnsi"/>
          <w:b/>
          <w:sz w:val="22"/>
          <w:szCs w:val="22"/>
          <w:lang w:val="en-GB"/>
        </w:rPr>
      </w:pPr>
      <w:r w:rsidRPr="00F01BC7">
        <w:rPr>
          <w:rFonts w:asciiTheme="minorHAnsi" w:hAnsiTheme="minorHAnsi" w:cstheme="minorHAnsi"/>
          <w:b/>
          <w:sz w:val="22"/>
          <w:szCs w:val="22"/>
          <w:lang w:val="en-GB"/>
        </w:rPr>
        <w:t>Definition of extended criteria donor organs for renal transplantation</w:t>
      </w:r>
    </w:p>
    <w:p w14:paraId="6B409264" w14:textId="77777777" w:rsidR="00B46F66" w:rsidRPr="00AE3ED1" w:rsidRDefault="00B46F66" w:rsidP="00AE3ED1">
      <w:pPr>
        <w:shd w:val="clear" w:color="auto" w:fill="DCEFF4"/>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The following conditions are used to determine if a kidney is donated from an extended criteria organ donor:</w:t>
      </w:r>
    </w:p>
    <w:p w14:paraId="273D0735" w14:textId="00FFB17B" w:rsidR="00B46F66" w:rsidRPr="00AE3ED1" w:rsidRDefault="00B46F66"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The donor is aged over 60 years, or</w:t>
      </w:r>
    </w:p>
    <w:p w14:paraId="5BF70B3D" w14:textId="3F813C94" w:rsidR="00B46F66" w:rsidRPr="00AE3ED1" w:rsidRDefault="00B46F66" w:rsidP="00AE3ED1">
      <w:pPr>
        <w:widowControl/>
        <w:numPr>
          <w:ilvl w:val="0"/>
          <w:numId w:val="18"/>
        </w:numPr>
        <w:shd w:val="clear" w:color="auto" w:fill="DCEFF4"/>
        <w:autoSpaceDE/>
        <w:autoSpaceDN/>
        <w:adjustRightInd/>
        <w:spacing w:after="120"/>
        <w:ind w:left="357" w:hanging="357"/>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The donor is aged between 50 and 59 years with at least two of the following conditions: stoke as a cause of death; history of hypertension; and/or terminal serum creatinine (&gt;1.5mg/dl) </w:t>
      </w:r>
    </w:p>
    <w:p w14:paraId="7B16303F" w14:textId="1828454B" w:rsidR="00B46F66" w:rsidRPr="00AE3ED1" w:rsidRDefault="00B46F66" w:rsidP="00AE3ED1">
      <w:pPr>
        <w:shd w:val="clear" w:color="auto" w:fill="DCEFF4"/>
        <w:spacing w:after="120"/>
        <w:rPr>
          <w:rFonts w:asciiTheme="minorHAnsi" w:hAnsiTheme="minorHAnsi" w:cstheme="minorHAnsi"/>
          <w:sz w:val="22"/>
          <w:szCs w:val="22"/>
          <w:lang w:val="en-GB"/>
        </w:rPr>
      </w:pPr>
      <w:r w:rsidRPr="00AE3ED1">
        <w:rPr>
          <w:rFonts w:asciiTheme="minorHAnsi" w:hAnsiTheme="minorHAnsi" w:cstheme="minorHAnsi"/>
          <w:sz w:val="22"/>
          <w:szCs w:val="22"/>
          <w:lang w:val="en-GB"/>
        </w:rPr>
        <w:t>Kidneys may also be considered to be donated from an extended criteria organ donor if there is an increased risk of transmission of infection or malignancy.</w:t>
      </w:r>
    </w:p>
    <w:p w14:paraId="3D582D01" w14:textId="77777777" w:rsidR="00276398" w:rsidRPr="00EF2596" w:rsidRDefault="00276398" w:rsidP="00276398">
      <w:pPr>
        <w:pStyle w:val="Caption"/>
        <w:keepNext/>
        <w:widowControl/>
        <w:spacing w:after="120"/>
        <w:rPr>
          <w:rFonts w:asciiTheme="minorHAnsi" w:hAnsiTheme="minorHAnsi" w:cstheme="minorHAnsi"/>
          <w:color w:val="808080"/>
        </w:rPr>
      </w:pPr>
      <w:bookmarkStart w:id="656" w:name="_Ref530474287"/>
      <w:r w:rsidRPr="00EF2596">
        <w:rPr>
          <w:rFonts w:asciiTheme="minorHAnsi" w:hAnsiTheme="minorHAnsi" w:cstheme="minorHAnsi"/>
          <w:b w:val="0"/>
          <w:color w:val="808080"/>
          <w:sz w:val="20"/>
        </w:rPr>
        <w:t xml:space="preserve">Figure </w:t>
      </w:r>
      <w:r w:rsidRPr="00EF2596">
        <w:rPr>
          <w:rFonts w:asciiTheme="minorHAnsi" w:hAnsiTheme="minorHAnsi" w:cstheme="minorHAnsi"/>
          <w:b w:val="0"/>
          <w:color w:val="808080"/>
          <w:sz w:val="20"/>
        </w:rPr>
        <w:fldChar w:fldCharType="begin"/>
      </w:r>
      <w:r w:rsidRPr="00EF2596">
        <w:rPr>
          <w:rFonts w:asciiTheme="minorHAnsi" w:hAnsiTheme="minorHAnsi" w:cstheme="minorHAnsi"/>
          <w:b w:val="0"/>
          <w:color w:val="808080"/>
          <w:sz w:val="20"/>
        </w:rPr>
        <w:instrText xml:space="preserve"> SEQ Figure \* ARABIC </w:instrText>
      </w:r>
      <w:r w:rsidRPr="00EF2596">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22</w:t>
      </w:r>
      <w:r w:rsidRPr="00EF2596">
        <w:rPr>
          <w:rFonts w:asciiTheme="minorHAnsi" w:hAnsiTheme="minorHAnsi" w:cstheme="minorHAnsi"/>
          <w:b w:val="0"/>
          <w:color w:val="808080"/>
          <w:sz w:val="20"/>
        </w:rPr>
        <w:fldChar w:fldCharType="end"/>
      </w:r>
      <w:bookmarkEnd w:id="656"/>
      <w:r w:rsidRPr="00EF2596">
        <w:rPr>
          <w:rFonts w:asciiTheme="minorHAnsi" w:hAnsiTheme="minorHAnsi" w:cstheme="minorHAnsi"/>
          <w:b w:val="0"/>
          <w:color w:val="808080"/>
          <w:sz w:val="20"/>
        </w:rPr>
        <w:t xml:space="preserve">: Proportion of kidneys transplanted with a raw KPDI score of </w:t>
      </w:r>
      <w:r w:rsidR="00ED2E47">
        <w:rPr>
          <w:rFonts w:asciiTheme="minorHAnsi" w:hAnsiTheme="minorHAnsi" w:cstheme="minorHAnsi"/>
          <w:b w:val="0"/>
          <w:color w:val="808080"/>
          <w:sz w:val="20"/>
        </w:rPr>
        <w:t>greater</w:t>
      </w:r>
      <w:r w:rsidR="00ED2E47" w:rsidRPr="00EF2596">
        <w:rPr>
          <w:rFonts w:asciiTheme="minorHAnsi" w:hAnsiTheme="minorHAnsi" w:cstheme="minorHAnsi"/>
          <w:b w:val="0"/>
          <w:color w:val="808080"/>
          <w:sz w:val="20"/>
        </w:rPr>
        <w:t xml:space="preserve"> </w:t>
      </w:r>
      <w:r w:rsidRPr="00EF2596">
        <w:rPr>
          <w:rFonts w:asciiTheme="minorHAnsi" w:hAnsiTheme="minorHAnsi" w:cstheme="minorHAnsi"/>
          <w:b w:val="0"/>
          <w:color w:val="808080"/>
          <w:sz w:val="20"/>
        </w:rPr>
        <w:t>than two in 2016, per state and territory</w:t>
      </w:r>
      <w:r w:rsidR="00ED2E47">
        <w:rPr>
          <w:rFonts w:asciiTheme="minorHAnsi" w:hAnsiTheme="minorHAnsi" w:cstheme="minorHAnsi"/>
          <w:b w:val="0"/>
          <w:color w:val="808080"/>
          <w:sz w:val="20"/>
        </w:rPr>
        <w:t>, SOURCE: ANZDATA</w:t>
      </w:r>
      <w:r w:rsidRPr="00EF2596">
        <w:rPr>
          <w:rStyle w:val="FootnoteReference"/>
          <w:rFonts w:eastAsiaTheme="majorEastAsia" w:cstheme="minorHAnsi"/>
          <w:color w:val="808080"/>
        </w:rPr>
        <w:footnoteReference w:id="154"/>
      </w:r>
    </w:p>
    <w:p w14:paraId="7AC34B6A" w14:textId="7E94E2C4" w:rsidR="00276398" w:rsidRPr="00EF2596" w:rsidRDefault="00F2083C" w:rsidP="00276398">
      <w:pPr>
        <w:spacing w:after="120"/>
        <w:rPr>
          <w:rFonts w:asciiTheme="minorHAnsi" w:hAnsiTheme="minorHAnsi" w:cstheme="minorHAnsi"/>
          <w:sz w:val="24"/>
          <w:szCs w:val="24"/>
          <w:lang w:val="en-GB"/>
        </w:rPr>
      </w:pPr>
      <w:r w:rsidRPr="00F2083C">
        <w:rPr>
          <w:noProof/>
          <w:lang w:eastAsia="en-AU"/>
        </w:rPr>
        <w:drawing>
          <wp:inline distT="0" distB="0" distL="0" distR="0" wp14:anchorId="31649495" wp14:editId="0D3A2751">
            <wp:extent cx="5159912" cy="3540642"/>
            <wp:effectExtent l="0" t="0" r="3175" b="3175"/>
            <wp:docPr id="2057" name="Picture 2057" descr="Figure 22 is a bar chart describing the proportion of kidneys transplanted with a raw KPDI score of greater than two in 2016, per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65446" cy="3544440"/>
                    </a:xfrm>
                    <a:prstGeom prst="rect">
                      <a:avLst/>
                    </a:prstGeom>
                    <a:noFill/>
                    <a:ln>
                      <a:noFill/>
                    </a:ln>
                  </pic:spPr>
                </pic:pic>
              </a:graphicData>
            </a:graphic>
          </wp:inline>
        </w:drawing>
      </w:r>
    </w:p>
    <w:p w14:paraId="6F49691E" w14:textId="1AF60556" w:rsidR="00276398" w:rsidRPr="00EF2596" w:rsidRDefault="00276398" w:rsidP="00C75FAB">
      <w:pPr>
        <w:widowControl/>
        <w:autoSpaceDE/>
        <w:autoSpaceDN/>
        <w:adjustRightInd/>
        <w:spacing w:after="200" w:line="276" w:lineRule="auto"/>
        <w:rPr>
          <w:rFonts w:asciiTheme="minorHAnsi" w:hAnsiTheme="minorHAnsi" w:cstheme="minorHAnsi"/>
          <w:color w:val="7F7F7F" w:themeColor="text1" w:themeTint="80"/>
          <w:sz w:val="24"/>
          <w:szCs w:val="22"/>
          <w:lang w:val="en-GB"/>
        </w:rPr>
      </w:pPr>
      <w:r w:rsidRPr="00EF2596">
        <w:rPr>
          <w:rFonts w:asciiTheme="minorHAnsi" w:hAnsiTheme="minorHAnsi" w:cstheme="minorHAnsi"/>
          <w:color w:val="7F7F7F" w:themeColor="text1" w:themeTint="80"/>
          <w:sz w:val="24"/>
          <w:szCs w:val="22"/>
          <w:lang w:val="en-GB"/>
        </w:rPr>
        <w:t>Defining extended criteria organ donors for non-renal transplantation</w:t>
      </w:r>
    </w:p>
    <w:p w14:paraId="6E5289F3" w14:textId="026C2EA9" w:rsidR="00276398" w:rsidRDefault="00276398" w:rsidP="00276398">
      <w:pPr>
        <w:spacing w:after="120"/>
        <w:rPr>
          <w:rFonts w:asciiTheme="minorHAnsi" w:hAnsiTheme="minorHAnsi" w:cstheme="minorHAnsi"/>
          <w:sz w:val="24"/>
          <w:szCs w:val="24"/>
          <w:lang w:val="en-GB"/>
        </w:rPr>
      </w:pPr>
      <w:r w:rsidRPr="00EF2596">
        <w:rPr>
          <w:rFonts w:asciiTheme="minorHAnsi" w:hAnsiTheme="minorHAnsi" w:cstheme="minorHAnsi"/>
          <w:sz w:val="24"/>
          <w:szCs w:val="24"/>
          <w:lang w:val="en-GB"/>
        </w:rPr>
        <w:t>The Review found that currently, there are no simple or universally accepted definitions for extended criteria organ donors for non-renal transplantation. However, clinicians reported that the following factors will be</w:t>
      </w:r>
      <w:r w:rsidR="00F0171E">
        <w:rPr>
          <w:rFonts w:asciiTheme="minorHAnsi" w:hAnsiTheme="minorHAnsi" w:cstheme="minorHAnsi"/>
          <w:sz w:val="24"/>
          <w:szCs w:val="24"/>
          <w:lang w:val="en-GB"/>
        </w:rPr>
        <w:t xml:space="preserve"> taken</w:t>
      </w:r>
      <w:r w:rsidRPr="00EF2596">
        <w:rPr>
          <w:rFonts w:asciiTheme="minorHAnsi" w:hAnsiTheme="minorHAnsi" w:cstheme="minorHAnsi"/>
          <w:sz w:val="24"/>
          <w:szCs w:val="24"/>
          <w:lang w:val="en-GB"/>
        </w:rPr>
        <w:t xml:space="preserve"> into consideration when determining donor suitability.</w:t>
      </w:r>
    </w:p>
    <w:p w14:paraId="65B9011D" w14:textId="77777777" w:rsidR="00276398" w:rsidRPr="00EF2596" w:rsidRDefault="00276398">
      <w:pPr>
        <w:spacing w:after="120"/>
        <w:rPr>
          <w:rFonts w:asciiTheme="minorHAnsi" w:hAnsiTheme="minorHAnsi" w:cstheme="minorHAnsi"/>
          <w:sz w:val="24"/>
          <w:szCs w:val="24"/>
          <w:lang w:val="en-GB"/>
        </w:rPr>
      </w:pPr>
      <w:r w:rsidRPr="00EF2596">
        <w:rPr>
          <w:rFonts w:asciiTheme="minorHAnsi" w:hAnsiTheme="minorHAnsi" w:cstheme="minorHAnsi"/>
          <w:sz w:val="24"/>
          <w:szCs w:val="24"/>
          <w:lang w:val="en-GB"/>
        </w:rPr>
        <w:t xml:space="preserve">The process to define extended criteria organ donors for non-renal transplantation is much more complex, and takes into consideration a multitude of other factors such as the donor’s history of smoking, donor obesity, donor diabetes and presence of trauma. The Review found that whilst the factors outlined above are always considered when defining organ acceptability, liver lung and heart clinicians reported that they are often required to exercise a level of discretion when determining whether certain </w:t>
      </w:r>
      <w:r w:rsidR="00B451BA">
        <w:rPr>
          <w:rFonts w:asciiTheme="minorHAnsi" w:hAnsiTheme="minorHAnsi" w:cstheme="minorHAnsi"/>
          <w:sz w:val="24"/>
          <w:szCs w:val="24"/>
          <w:lang w:val="en-GB"/>
        </w:rPr>
        <w:t>criteria is applicable</w:t>
      </w:r>
      <w:r w:rsidRPr="00EF2596">
        <w:rPr>
          <w:rFonts w:asciiTheme="minorHAnsi" w:hAnsiTheme="minorHAnsi" w:cstheme="minorHAnsi"/>
          <w:sz w:val="24"/>
          <w:szCs w:val="24"/>
          <w:lang w:val="en-GB"/>
        </w:rPr>
        <w:t>. Anecdotal evidence suggests that as a result of this varied practice, organs that are considered not acceptable for transplantation in one unit, may well be accepted in another, resulting in varied outcomes for potential transplant recipients.</w:t>
      </w:r>
    </w:p>
    <w:p w14:paraId="2546DEF4" w14:textId="5D89FBD2" w:rsidR="00086190" w:rsidRDefault="00276398" w:rsidP="003A517E">
      <w:pPr>
        <w:spacing w:after="120"/>
        <w:rPr>
          <w:rFonts w:asciiTheme="minorHAnsi" w:hAnsiTheme="minorHAnsi" w:cstheme="minorHAnsi"/>
          <w:sz w:val="24"/>
          <w:szCs w:val="24"/>
          <w:lang w:val="en-GB"/>
        </w:rPr>
      </w:pPr>
      <w:r w:rsidRPr="00EF2596">
        <w:rPr>
          <w:rFonts w:asciiTheme="minorHAnsi" w:hAnsiTheme="minorHAnsi" w:cstheme="minorHAnsi"/>
          <w:sz w:val="24"/>
          <w:szCs w:val="24"/>
          <w:lang w:val="en-GB"/>
        </w:rPr>
        <w:t>Acknowledging that there are multiple elements that determine organ acceptability, this Review only focuses on the impact of age, size, co-morbidities and disease profiles.</w:t>
      </w:r>
      <w:r w:rsidR="00086190">
        <w:rPr>
          <w:rFonts w:asciiTheme="minorHAnsi" w:hAnsiTheme="minorHAnsi" w:cstheme="minorHAnsi"/>
          <w:sz w:val="24"/>
          <w:szCs w:val="24"/>
          <w:lang w:val="en-GB"/>
        </w:rPr>
        <w:br w:type="page"/>
      </w:r>
    </w:p>
    <w:p w14:paraId="08C6C76E" w14:textId="77777777" w:rsidR="00B63622" w:rsidRPr="00F01BC7" w:rsidRDefault="00B63622" w:rsidP="00AE3ED1">
      <w:pPr>
        <w:shd w:val="clear" w:color="auto" w:fill="DCEFF4"/>
        <w:spacing w:after="120"/>
        <w:rPr>
          <w:rFonts w:asciiTheme="minorHAnsi" w:hAnsiTheme="minorHAnsi" w:cstheme="minorHAnsi"/>
          <w:b/>
          <w:sz w:val="22"/>
          <w:szCs w:val="24"/>
          <w:lang w:val="en-GB"/>
        </w:rPr>
      </w:pPr>
      <w:r w:rsidRPr="00F01BC7">
        <w:rPr>
          <w:rFonts w:asciiTheme="minorHAnsi" w:hAnsiTheme="minorHAnsi" w:cstheme="minorHAnsi"/>
          <w:b/>
          <w:sz w:val="22"/>
          <w:szCs w:val="24"/>
          <w:lang w:val="en-GB"/>
        </w:rPr>
        <w:t>Factors considered in defining extended criteria donor organs for non-renal transplantation</w:t>
      </w:r>
    </w:p>
    <w:p w14:paraId="4CDD6C5A" w14:textId="77777777" w:rsidR="00B63622" w:rsidRPr="00F01BC7" w:rsidRDefault="00B63622" w:rsidP="00AE3ED1">
      <w:pPr>
        <w:shd w:val="clear" w:color="auto" w:fill="DCEFF4"/>
        <w:spacing w:after="120"/>
        <w:rPr>
          <w:rFonts w:asciiTheme="minorHAnsi" w:hAnsiTheme="minorHAnsi" w:cstheme="minorHAnsi"/>
          <w:sz w:val="22"/>
          <w:szCs w:val="24"/>
          <w:lang w:val="en-GB"/>
        </w:rPr>
      </w:pPr>
      <w:r w:rsidRPr="00F01BC7">
        <w:rPr>
          <w:rFonts w:asciiTheme="minorHAnsi" w:hAnsiTheme="minorHAnsi" w:cstheme="minorHAnsi"/>
          <w:sz w:val="22"/>
          <w:szCs w:val="24"/>
          <w:lang w:val="en-GB"/>
        </w:rPr>
        <w:t>Liver</w:t>
      </w:r>
    </w:p>
    <w:p w14:paraId="659284AC" w14:textId="77777777" w:rsidR="00B63622" w:rsidRPr="00AE3ED1" w:rsidRDefault="00B63622" w:rsidP="00AE3ED1">
      <w:pPr>
        <w:shd w:val="clear" w:color="auto" w:fill="DCEFF4"/>
        <w:spacing w:after="120"/>
        <w:rPr>
          <w:rFonts w:asciiTheme="minorHAnsi" w:hAnsiTheme="minorHAnsi" w:cstheme="minorHAnsi"/>
          <w:sz w:val="22"/>
          <w:szCs w:val="24"/>
          <w:lang w:val="en-GB"/>
        </w:rPr>
      </w:pPr>
      <w:r w:rsidRPr="00AE3ED1">
        <w:rPr>
          <w:rFonts w:asciiTheme="minorHAnsi" w:hAnsiTheme="minorHAnsi" w:cstheme="minorHAnsi"/>
          <w:sz w:val="22"/>
          <w:szCs w:val="24"/>
          <w:lang w:val="en-GB"/>
        </w:rPr>
        <w:t>The following conditions are taken into consideration when determining if a liver is donated from an extended criteria organ donor. One condition in isolation may not necessarily indicate an extended criteria donor, but a combination of factors will:</w:t>
      </w:r>
    </w:p>
    <w:p w14:paraId="40F89B5E" w14:textId="29362561"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The donor is aged over 60 years</w:t>
      </w:r>
    </w:p>
    <w:p w14:paraId="1C6D39AC" w14:textId="1E31B88D"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The donor died from cardiac death </w:t>
      </w:r>
    </w:p>
    <w:p w14:paraId="254A2AC4" w14:textId="3AC10D04"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High levels of inotropes </w:t>
      </w:r>
    </w:p>
    <w:p w14:paraId="29576C48" w14:textId="6D8616B1"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High Aspartate Aminotransferase or Alnanine Aminotransferase</w:t>
      </w:r>
    </w:p>
    <w:p w14:paraId="19E1E026" w14:textId="597642CF"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Macro steatosis levels greater than 30 per cent</w:t>
      </w:r>
    </w:p>
    <w:p w14:paraId="0960CB0E" w14:textId="1BD00CDF"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The donor was diagnosed with obesity </w:t>
      </w:r>
    </w:p>
    <w:p w14:paraId="615A82DE" w14:textId="24DAFCA5"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The donor was diagnosed with diabetes </w:t>
      </w:r>
    </w:p>
    <w:p w14:paraId="685B73FC" w14:textId="2DCA0E01"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The donor was diagnosed with cardiovascular disease </w:t>
      </w:r>
    </w:p>
    <w:p w14:paraId="177D759F" w14:textId="4B450458"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Anticipated long ischemic time </w:t>
      </w:r>
    </w:p>
    <w:p w14:paraId="43161DE4" w14:textId="28AB03E2" w:rsidR="00B63622" w:rsidRPr="00AE3ED1" w:rsidRDefault="00B63622" w:rsidP="00AE3ED1">
      <w:pPr>
        <w:widowControl/>
        <w:numPr>
          <w:ilvl w:val="0"/>
          <w:numId w:val="18"/>
        </w:numPr>
        <w:shd w:val="clear" w:color="auto" w:fill="DCEFF4"/>
        <w:autoSpaceDE/>
        <w:autoSpaceDN/>
        <w:adjustRightInd/>
        <w:spacing w:after="120"/>
        <w:ind w:left="357" w:hanging="357"/>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Location of donor </w:t>
      </w:r>
    </w:p>
    <w:p w14:paraId="42859875" w14:textId="77777777" w:rsidR="00B63622" w:rsidRPr="00F01BC7" w:rsidRDefault="00B63622" w:rsidP="00AE3ED1">
      <w:pPr>
        <w:shd w:val="clear" w:color="auto" w:fill="DCEFF4"/>
        <w:spacing w:after="120"/>
        <w:rPr>
          <w:rFonts w:asciiTheme="minorHAnsi" w:hAnsiTheme="minorHAnsi" w:cstheme="minorHAnsi"/>
          <w:sz w:val="22"/>
          <w:szCs w:val="24"/>
          <w:lang w:val="en-GB"/>
        </w:rPr>
      </w:pPr>
      <w:r w:rsidRPr="00F01BC7">
        <w:rPr>
          <w:rFonts w:asciiTheme="minorHAnsi" w:hAnsiTheme="minorHAnsi" w:cstheme="minorHAnsi"/>
          <w:sz w:val="22"/>
          <w:szCs w:val="24"/>
          <w:lang w:val="en-GB"/>
        </w:rPr>
        <w:t>Lung</w:t>
      </w:r>
    </w:p>
    <w:p w14:paraId="1A36982C" w14:textId="77777777" w:rsidR="00B63622" w:rsidRPr="00AE3ED1" w:rsidRDefault="00B63622" w:rsidP="00AE3ED1">
      <w:pPr>
        <w:shd w:val="clear" w:color="auto" w:fill="DCEFF4"/>
        <w:spacing w:after="120"/>
        <w:rPr>
          <w:rFonts w:asciiTheme="minorHAnsi" w:hAnsiTheme="minorHAnsi" w:cstheme="minorHAnsi"/>
          <w:sz w:val="22"/>
          <w:szCs w:val="24"/>
          <w:lang w:val="en-GB"/>
        </w:rPr>
      </w:pPr>
      <w:r w:rsidRPr="00AE3ED1">
        <w:rPr>
          <w:rFonts w:asciiTheme="minorHAnsi" w:hAnsiTheme="minorHAnsi" w:cstheme="minorHAnsi"/>
          <w:sz w:val="22"/>
          <w:szCs w:val="24"/>
          <w:lang w:val="en-GB"/>
        </w:rPr>
        <w:t xml:space="preserve">The following conditions are taken into consideration when determining if a lung is donated from an extended criteria organ donor: </w:t>
      </w:r>
    </w:p>
    <w:p w14:paraId="3B789764" w14:textId="4D756845"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The donor is aged over 55 years old </w:t>
      </w:r>
    </w:p>
    <w:p w14:paraId="1C54B524" w14:textId="34E816BB"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The donor’s partial pressure of oxygen measurement was less than 300 mm Hg</w:t>
      </w:r>
    </w:p>
    <w:p w14:paraId="78B5E96F" w14:textId="6B47CE02"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The donor’s smoking history </w:t>
      </w:r>
    </w:p>
    <w:p w14:paraId="75C952D6" w14:textId="0CFB7A72"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Presence of chest trauma </w:t>
      </w:r>
    </w:p>
    <w:p w14:paraId="477BE456" w14:textId="3E9B6C56"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Presence of microbiologic endobronchial organisms </w:t>
      </w:r>
    </w:p>
    <w:p w14:paraId="76F3962C" w14:textId="141AE327"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Presence of malignancy </w:t>
      </w:r>
    </w:p>
    <w:p w14:paraId="79D51B81" w14:textId="645123F4"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Presence of purulent secretions or signs of endobronchial aspiration </w:t>
      </w:r>
    </w:p>
    <w:p w14:paraId="7F8D1813" w14:textId="76E5F776" w:rsidR="00B63622" w:rsidRPr="00AE3ED1" w:rsidRDefault="00B63622" w:rsidP="00AE3ED1">
      <w:pPr>
        <w:widowControl/>
        <w:numPr>
          <w:ilvl w:val="0"/>
          <w:numId w:val="18"/>
        </w:numPr>
        <w:shd w:val="clear" w:color="auto" w:fill="DCEFF4"/>
        <w:autoSpaceDE/>
        <w:autoSpaceDN/>
        <w:adjustRightInd/>
        <w:spacing w:after="120"/>
        <w:ind w:left="357" w:hanging="357"/>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Presence of active viral infection </w:t>
      </w:r>
    </w:p>
    <w:p w14:paraId="62E1869D" w14:textId="77777777" w:rsidR="00B63622" w:rsidRPr="00F01BC7" w:rsidRDefault="00B63622" w:rsidP="00AE3ED1">
      <w:pPr>
        <w:shd w:val="clear" w:color="auto" w:fill="DCEFF4"/>
        <w:spacing w:after="120"/>
        <w:rPr>
          <w:rFonts w:asciiTheme="minorHAnsi" w:hAnsiTheme="minorHAnsi" w:cstheme="minorHAnsi"/>
          <w:sz w:val="22"/>
          <w:szCs w:val="24"/>
          <w:lang w:val="en-GB"/>
        </w:rPr>
      </w:pPr>
      <w:r w:rsidRPr="00F01BC7">
        <w:rPr>
          <w:rFonts w:asciiTheme="minorHAnsi" w:hAnsiTheme="minorHAnsi" w:cstheme="minorHAnsi"/>
          <w:sz w:val="22"/>
          <w:szCs w:val="24"/>
          <w:lang w:val="en-GB"/>
        </w:rPr>
        <w:t>Heart</w:t>
      </w:r>
    </w:p>
    <w:p w14:paraId="00F61CAA" w14:textId="77777777" w:rsidR="00B63622" w:rsidRPr="00AE3ED1" w:rsidRDefault="00B63622" w:rsidP="00AE3ED1">
      <w:pPr>
        <w:shd w:val="clear" w:color="auto" w:fill="DCEFF4"/>
        <w:spacing w:after="120"/>
        <w:rPr>
          <w:rFonts w:asciiTheme="minorHAnsi" w:hAnsiTheme="minorHAnsi" w:cstheme="minorHAnsi"/>
          <w:sz w:val="22"/>
          <w:szCs w:val="24"/>
          <w:lang w:val="en-GB"/>
        </w:rPr>
      </w:pPr>
      <w:r w:rsidRPr="00AE3ED1">
        <w:rPr>
          <w:rFonts w:asciiTheme="minorHAnsi" w:hAnsiTheme="minorHAnsi" w:cstheme="minorHAnsi"/>
          <w:sz w:val="22"/>
          <w:szCs w:val="24"/>
          <w:lang w:val="en-GB"/>
        </w:rPr>
        <w:t xml:space="preserve">The following conditions are taken into consideration when determining if a heart is donated from an extended criteria organ donor: </w:t>
      </w:r>
    </w:p>
    <w:p w14:paraId="7CB6613F" w14:textId="2071DD79"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Donor is aged over 50 years old</w:t>
      </w:r>
    </w:p>
    <w:p w14:paraId="7BBDB6A1" w14:textId="48F0EB58"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Echocardiographic Left ventricular ejection fraction of less than 50%</w:t>
      </w:r>
    </w:p>
    <w:p w14:paraId="381436E6" w14:textId="3B24A8F3" w:rsidR="00B63622" w:rsidRPr="00AE3ED1"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Echocardiographic regional wall motion abnormality</w:t>
      </w:r>
    </w:p>
    <w:p w14:paraId="7A8AEB7F" w14:textId="75E7FE46" w:rsidR="00B63622" w:rsidRDefault="00B63622"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Expected donor heart cross-clamp time of greater than 6 hours</w:t>
      </w:r>
    </w:p>
    <w:p w14:paraId="6012AF40" w14:textId="5F81068C" w:rsidR="00E25CB1" w:rsidRDefault="00E25CB1" w:rsidP="00AE3ED1">
      <w:pPr>
        <w:widowControl/>
        <w:numPr>
          <w:ilvl w:val="0"/>
          <w:numId w:val="18"/>
        </w:numPr>
        <w:shd w:val="clear" w:color="auto" w:fill="DCEFF4"/>
        <w:autoSpaceDE/>
        <w:autoSpaceDN/>
        <w:adjustRightInd/>
        <w:spacing w:after="120"/>
        <w:contextualSpacing/>
        <w:rPr>
          <w:rFonts w:asciiTheme="minorHAnsi" w:hAnsiTheme="minorHAnsi" w:cstheme="minorHAnsi"/>
          <w:sz w:val="22"/>
          <w:szCs w:val="22"/>
          <w:lang w:val="en-GB"/>
        </w:rPr>
      </w:pPr>
      <w:r w:rsidRPr="00E25CB1">
        <w:rPr>
          <w:rFonts w:asciiTheme="minorHAnsi" w:hAnsiTheme="minorHAnsi" w:cstheme="minorHAnsi"/>
          <w:sz w:val="22"/>
          <w:szCs w:val="22"/>
          <w:lang w:val="en-GB"/>
        </w:rPr>
        <w:t>High dose inotropic or vasopressor support (noradrenaline of greater than 0.2 ug/kg/min or equivalent sympathomimetic)</w:t>
      </w:r>
    </w:p>
    <w:p w14:paraId="73E517E6" w14:textId="2A61BA03" w:rsidR="00E25CB1" w:rsidRDefault="00E25CB1" w:rsidP="00AE3ED1">
      <w:pPr>
        <w:widowControl/>
        <w:numPr>
          <w:ilvl w:val="0"/>
          <w:numId w:val="18"/>
        </w:numPr>
        <w:shd w:val="clear" w:color="auto" w:fill="DCEFF4"/>
        <w:autoSpaceDE/>
        <w:autoSpaceDN/>
        <w:adjustRightInd/>
        <w:spacing w:after="120"/>
        <w:contextualSpacing/>
        <w:rPr>
          <w:rFonts w:asciiTheme="minorHAnsi" w:hAnsiTheme="minorHAnsi" w:cstheme="minorHAnsi"/>
          <w:sz w:val="22"/>
          <w:szCs w:val="22"/>
          <w:lang w:val="en-GB"/>
        </w:rPr>
      </w:pPr>
      <w:r w:rsidRPr="00E25CB1">
        <w:rPr>
          <w:rFonts w:asciiTheme="minorHAnsi" w:hAnsiTheme="minorHAnsi" w:cstheme="minorHAnsi"/>
          <w:sz w:val="22"/>
          <w:szCs w:val="22"/>
          <w:lang w:val="en-GB"/>
        </w:rPr>
        <w:t>Other Donor comorbidities including Hepatitis B, Hepatitis C or other high-risk behaviours</w:t>
      </w:r>
    </w:p>
    <w:p w14:paraId="44C98D6C" w14:textId="77777777" w:rsidR="00B63622" w:rsidRPr="00AE3ED1" w:rsidRDefault="00B63622" w:rsidP="00AE3ED1">
      <w:pPr>
        <w:shd w:val="clear" w:color="auto" w:fill="DCEFF4"/>
        <w:spacing w:after="120"/>
        <w:rPr>
          <w:rFonts w:asciiTheme="minorHAnsi" w:hAnsiTheme="minorHAnsi" w:cstheme="minorHAnsi"/>
          <w:sz w:val="22"/>
          <w:szCs w:val="24"/>
          <w:lang w:val="en-GB"/>
        </w:rPr>
      </w:pPr>
    </w:p>
    <w:p w14:paraId="414D8A92" w14:textId="77777777" w:rsidR="006F4E24" w:rsidRPr="00447661" w:rsidRDefault="006F4E24" w:rsidP="00C75FAB">
      <w:pPr>
        <w:tabs>
          <w:tab w:val="num" w:pos="720"/>
        </w:tabs>
        <w:spacing w:before="240" w:after="120"/>
        <w:rPr>
          <w:rFonts w:asciiTheme="minorHAnsi" w:hAnsiTheme="minorHAnsi" w:cstheme="minorHAnsi"/>
          <w:color w:val="808080" w:themeColor="background1" w:themeShade="80"/>
          <w:sz w:val="24"/>
          <w:szCs w:val="24"/>
        </w:rPr>
      </w:pPr>
      <w:r w:rsidRPr="00447661">
        <w:rPr>
          <w:rFonts w:asciiTheme="minorHAnsi" w:hAnsiTheme="minorHAnsi" w:cstheme="minorHAnsi"/>
          <w:color w:val="808080" w:themeColor="background1" w:themeShade="80"/>
          <w:sz w:val="24"/>
          <w:szCs w:val="24"/>
        </w:rPr>
        <w:t>Age acceptability</w:t>
      </w:r>
    </w:p>
    <w:p w14:paraId="56C9E532" w14:textId="77777777" w:rsidR="006F4E24" w:rsidRDefault="006F4E24" w:rsidP="006F4E24">
      <w:pPr>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Organ transplantation from aged deceased donors has traditionally been associated with sub-optimal outcomes and low survival rates. As technology and experience advances within the transplantation workforce, the acceptability of ‘older’ organs is becoming more apparent. </w:t>
      </w:r>
    </w:p>
    <w:p w14:paraId="1A6A870F" w14:textId="77777777" w:rsidR="006F4E24" w:rsidRDefault="006F4E24" w:rsidP="006F4E24">
      <w:pPr>
        <w:spacing w:after="120"/>
        <w:rPr>
          <w:rFonts w:asciiTheme="minorHAnsi" w:hAnsiTheme="minorHAnsi" w:cstheme="minorHAnsi"/>
          <w:sz w:val="24"/>
          <w:szCs w:val="24"/>
          <w:lang w:val="en-GB"/>
        </w:rPr>
      </w:pPr>
      <w:r>
        <w:rPr>
          <w:rFonts w:asciiTheme="minorHAnsi" w:hAnsiTheme="minorHAnsi" w:cstheme="minorHAnsi"/>
          <w:sz w:val="24"/>
          <w:szCs w:val="24"/>
          <w:lang w:val="en-GB"/>
        </w:rPr>
        <w:t>The benefits of expanding age criteria can be seen in Spain. The Spanish donation and transplantation system has progressively adopted criteria that accommodate for the utilisation of aged donors over the age of 60. In 2015, more than 50 per cent of the deceased organ donors in Spain were aged over 60 years old, and over 30 per cent were older than 70 years old. This expansion has been acknowledged as a major contributor to the 40 donors per million population achieved by Spain.</w:t>
      </w:r>
      <w:r w:rsidRPr="001271F5">
        <w:rPr>
          <w:rStyle w:val="FootnoteReference"/>
          <w:rFonts w:asciiTheme="minorHAnsi" w:hAnsiTheme="minorHAnsi" w:cstheme="minorHAnsi"/>
          <w:lang w:val="en-GB"/>
        </w:rPr>
        <w:footnoteReference w:id="155"/>
      </w:r>
      <w:r w:rsidRPr="00014174">
        <w:rPr>
          <w:rFonts w:asciiTheme="minorHAnsi" w:hAnsiTheme="minorHAnsi" w:cstheme="minorHAnsi"/>
          <w:sz w:val="24"/>
          <w:szCs w:val="24"/>
          <w:lang w:val="en-GB"/>
        </w:rPr>
        <w:t xml:space="preserve"> </w:t>
      </w:r>
    </w:p>
    <w:p w14:paraId="03CC0067" w14:textId="5A9A45C3" w:rsidR="006F4E24" w:rsidRPr="00D44029" w:rsidRDefault="006F4E24" w:rsidP="006F4E24">
      <w:pPr>
        <w:spacing w:after="120"/>
        <w:rPr>
          <w:rFonts w:asciiTheme="minorHAnsi" w:eastAsiaTheme="minorHAnsi" w:hAnsiTheme="minorHAnsi" w:cstheme="minorHAnsi"/>
          <w:sz w:val="24"/>
          <w:szCs w:val="24"/>
          <w:lang w:val="en-GB"/>
        </w:rPr>
      </w:pPr>
      <w:r>
        <w:rPr>
          <w:rFonts w:asciiTheme="minorHAnsi" w:hAnsiTheme="minorHAnsi" w:cstheme="minorHAnsi"/>
          <w:sz w:val="24"/>
          <w:szCs w:val="24"/>
          <w:lang w:val="en-GB"/>
        </w:rPr>
        <w:t xml:space="preserve">This Review found that Australia is progressing towards expansion in the acceptance of organs related to age. However, there is currently variation in the acceptance practices between states and territories and between organs. As illustrated in </w:t>
      </w:r>
      <w:r>
        <w:rPr>
          <w:rFonts w:asciiTheme="minorHAnsi" w:hAnsiTheme="minorHAnsi" w:cstheme="minorHAnsi"/>
          <w:sz w:val="24"/>
          <w:szCs w:val="24"/>
          <w:lang w:val="en-GB"/>
        </w:rPr>
        <w:fldChar w:fldCharType="begin"/>
      </w:r>
      <w:r>
        <w:rPr>
          <w:rFonts w:asciiTheme="minorHAnsi" w:hAnsiTheme="minorHAnsi" w:cstheme="minorHAnsi"/>
          <w:sz w:val="24"/>
          <w:szCs w:val="24"/>
          <w:lang w:val="en-GB"/>
        </w:rPr>
        <w:instrText xml:space="preserve"> REF _Ref527640157 \h  \* MERGEFORMAT </w:instrText>
      </w:r>
      <w:r>
        <w:rPr>
          <w:rFonts w:asciiTheme="minorHAnsi" w:hAnsiTheme="minorHAnsi" w:cstheme="minorHAnsi"/>
          <w:sz w:val="24"/>
          <w:szCs w:val="24"/>
          <w:lang w:val="en-GB"/>
        </w:rPr>
      </w:r>
      <w:r>
        <w:rPr>
          <w:rFonts w:asciiTheme="minorHAnsi" w:hAnsiTheme="minorHAnsi" w:cstheme="minorHAnsi"/>
          <w:sz w:val="24"/>
          <w:szCs w:val="24"/>
          <w:lang w:val="en-GB"/>
        </w:rPr>
        <w:fldChar w:fldCharType="separate"/>
      </w:r>
      <w:r w:rsidR="00A04048" w:rsidRPr="00C75FAB">
        <w:rPr>
          <w:rFonts w:asciiTheme="minorHAnsi" w:hAnsiTheme="minorHAnsi" w:cstheme="minorHAnsi"/>
          <w:sz w:val="24"/>
          <w:szCs w:val="24"/>
          <w:lang w:val="en-GB"/>
        </w:rPr>
        <w:t>Figure 23</w:t>
      </w:r>
      <w:r>
        <w:rPr>
          <w:rFonts w:asciiTheme="minorHAnsi" w:hAnsiTheme="minorHAnsi" w:cstheme="minorHAnsi"/>
          <w:sz w:val="24"/>
          <w:szCs w:val="24"/>
          <w:lang w:val="en-GB"/>
        </w:rPr>
        <w:fldChar w:fldCharType="end"/>
      </w:r>
      <w:r>
        <w:rPr>
          <w:rFonts w:asciiTheme="minorHAnsi" w:hAnsiTheme="minorHAnsi" w:cstheme="minorHAnsi"/>
          <w:sz w:val="24"/>
          <w:szCs w:val="24"/>
          <w:lang w:val="en-GB"/>
        </w:rPr>
        <w:t>,</w:t>
      </w:r>
      <w:r w:rsidR="00D010B6">
        <w:rPr>
          <w:rFonts w:asciiTheme="minorHAnsi" w:hAnsiTheme="minorHAnsi" w:cstheme="minorHAnsi"/>
          <w:sz w:val="24"/>
          <w:szCs w:val="24"/>
          <w:lang w:val="en-GB"/>
        </w:rPr>
        <w:t xml:space="preserve"> in 2017,</w:t>
      </w:r>
      <w:r>
        <w:rPr>
          <w:rFonts w:asciiTheme="minorHAnsi" w:hAnsiTheme="minorHAnsi" w:cstheme="minorHAnsi"/>
          <w:sz w:val="24"/>
          <w:szCs w:val="24"/>
          <w:lang w:val="en-GB"/>
        </w:rPr>
        <w:t xml:space="preserve"> </w:t>
      </w:r>
      <w:r w:rsidRPr="00D44029">
        <w:rPr>
          <w:rFonts w:asciiTheme="minorHAnsi" w:hAnsiTheme="minorHAnsi" w:cstheme="minorHAnsi"/>
          <w:sz w:val="24"/>
          <w:szCs w:val="24"/>
          <w:lang w:val="en-GB"/>
        </w:rPr>
        <w:t xml:space="preserve">Victoria accepted 83 </w:t>
      </w:r>
      <w:r>
        <w:rPr>
          <w:rFonts w:asciiTheme="minorHAnsi" w:hAnsiTheme="minorHAnsi" w:cstheme="minorHAnsi"/>
          <w:sz w:val="24"/>
          <w:szCs w:val="24"/>
          <w:lang w:val="en-GB"/>
        </w:rPr>
        <w:t xml:space="preserve">kidneys from organ donors </w:t>
      </w:r>
      <w:r w:rsidRPr="00D44029">
        <w:rPr>
          <w:rFonts w:asciiTheme="minorHAnsi" w:hAnsiTheme="minorHAnsi" w:cstheme="minorHAnsi"/>
          <w:sz w:val="24"/>
          <w:szCs w:val="24"/>
          <w:lang w:val="en-GB"/>
        </w:rPr>
        <w:t>aged above 60</w:t>
      </w:r>
      <w:r>
        <w:rPr>
          <w:rFonts w:asciiTheme="minorHAnsi" w:hAnsiTheme="minorHAnsi" w:cstheme="minorHAnsi"/>
          <w:sz w:val="24"/>
          <w:szCs w:val="24"/>
          <w:lang w:val="en-GB"/>
        </w:rPr>
        <w:t xml:space="preserve"> </w:t>
      </w:r>
      <w:r w:rsidRPr="00D44029">
        <w:rPr>
          <w:rFonts w:asciiTheme="minorHAnsi" w:hAnsiTheme="minorHAnsi" w:cstheme="minorHAnsi"/>
          <w:sz w:val="24"/>
          <w:szCs w:val="24"/>
          <w:lang w:val="en-GB"/>
        </w:rPr>
        <w:t>and New South Wales accepted 59. This is substantially higher than Queensland</w:t>
      </w:r>
      <w:r>
        <w:rPr>
          <w:rFonts w:asciiTheme="minorHAnsi" w:hAnsiTheme="minorHAnsi" w:cstheme="minorHAnsi"/>
          <w:sz w:val="24"/>
          <w:szCs w:val="24"/>
          <w:lang w:val="en-GB"/>
        </w:rPr>
        <w:t xml:space="preserve"> (21)</w:t>
      </w:r>
      <w:r w:rsidRPr="00D44029">
        <w:rPr>
          <w:rFonts w:asciiTheme="minorHAnsi" w:hAnsiTheme="minorHAnsi" w:cstheme="minorHAnsi"/>
          <w:sz w:val="24"/>
          <w:szCs w:val="24"/>
          <w:lang w:val="en-GB"/>
        </w:rPr>
        <w:t>, Western Australia</w:t>
      </w:r>
      <w:r>
        <w:rPr>
          <w:rFonts w:asciiTheme="minorHAnsi" w:hAnsiTheme="minorHAnsi" w:cstheme="minorHAnsi"/>
          <w:sz w:val="24"/>
          <w:szCs w:val="24"/>
          <w:lang w:val="en-GB"/>
        </w:rPr>
        <w:t xml:space="preserve"> (12)</w:t>
      </w:r>
      <w:r w:rsidRPr="00D44029">
        <w:rPr>
          <w:rFonts w:asciiTheme="minorHAnsi" w:hAnsiTheme="minorHAnsi" w:cstheme="minorHAnsi"/>
          <w:sz w:val="24"/>
          <w:szCs w:val="24"/>
          <w:lang w:val="en-GB"/>
        </w:rPr>
        <w:t xml:space="preserve"> and South Australia</w:t>
      </w:r>
      <w:r>
        <w:rPr>
          <w:rFonts w:asciiTheme="minorHAnsi" w:hAnsiTheme="minorHAnsi" w:cstheme="minorHAnsi"/>
          <w:sz w:val="24"/>
          <w:szCs w:val="24"/>
          <w:lang w:val="en-GB"/>
        </w:rPr>
        <w:t xml:space="preserve"> (11)</w:t>
      </w:r>
      <w:r w:rsidRPr="00D44029">
        <w:rPr>
          <w:rFonts w:asciiTheme="minorHAnsi" w:hAnsiTheme="minorHAnsi" w:cstheme="minorHAnsi"/>
          <w:sz w:val="24"/>
          <w:szCs w:val="24"/>
          <w:lang w:val="en-GB"/>
        </w:rPr>
        <w:t>.</w:t>
      </w:r>
      <w:r w:rsidR="00CF397F">
        <w:rPr>
          <w:rStyle w:val="FootnoteReference"/>
          <w:rFonts w:cstheme="minorHAnsi"/>
          <w:lang w:val="en-GB"/>
        </w:rPr>
        <w:footnoteReference w:id="156"/>
      </w:r>
    </w:p>
    <w:p w14:paraId="44381A80" w14:textId="77777777" w:rsidR="006F4E24" w:rsidRPr="00250B6B" w:rsidRDefault="006F4E24" w:rsidP="006F4E24">
      <w:pPr>
        <w:pStyle w:val="Caption"/>
        <w:keepNext/>
        <w:keepLines/>
        <w:spacing w:after="120"/>
        <w:rPr>
          <w:rFonts w:asciiTheme="minorHAnsi" w:hAnsiTheme="minorHAnsi" w:cstheme="minorHAnsi"/>
          <w:b w:val="0"/>
          <w:color w:val="808080"/>
          <w:sz w:val="20"/>
        </w:rPr>
      </w:pPr>
      <w:bookmarkStart w:id="657" w:name="_Ref527640157"/>
      <w:bookmarkStart w:id="658" w:name="_Ref527476019"/>
      <w:r w:rsidRPr="00250B6B">
        <w:rPr>
          <w:rFonts w:asciiTheme="minorHAnsi" w:hAnsiTheme="minorHAnsi" w:cstheme="minorHAnsi"/>
          <w:b w:val="0"/>
          <w:color w:val="808080"/>
          <w:sz w:val="20"/>
        </w:rPr>
        <w:t xml:space="preserve">Figure </w:t>
      </w:r>
      <w:r>
        <w:rPr>
          <w:rFonts w:asciiTheme="minorHAnsi" w:hAnsiTheme="minorHAnsi" w:cstheme="minorHAnsi"/>
          <w:b w:val="0"/>
          <w:color w:val="808080"/>
          <w:sz w:val="20"/>
        </w:rPr>
        <w:fldChar w:fldCharType="begin"/>
      </w:r>
      <w:r>
        <w:rPr>
          <w:rFonts w:asciiTheme="minorHAnsi" w:hAnsiTheme="minorHAnsi" w:cstheme="minorHAnsi"/>
          <w:b w:val="0"/>
          <w:color w:val="808080"/>
          <w:sz w:val="20"/>
        </w:rPr>
        <w:instrText xml:space="preserve"> SEQ Figure \* ARABIC </w:instrText>
      </w:r>
      <w:r>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23</w:t>
      </w:r>
      <w:r>
        <w:rPr>
          <w:rFonts w:asciiTheme="minorHAnsi" w:hAnsiTheme="minorHAnsi" w:cstheme="minorHAnsi"/>
          <w:b w:val="0"/>
          <w:color w:val="808080"/>
          <w:sz w:val="20"/>
        </w:rPr>
        <w:fldChar w:fldCharType="end"/>
      </w:r>
      <w:bookmarkEnd w:id="657"/>
      <w:bookmarkEnd w:id="658"/>
      <w:r w:rsidRPr="00250B6B">
        <w:rPr>
          <w:rFonts w:asciiTheme="minorHAnsi" w:hAnsiTheme="minorHAnsi" w:cstheme="minorHAnsi"/>
          <w:b w:val="0"/>
          <w:color w:val="808080"/>
          <w:sz w:val="20"/>
        </w:rPr>
        <w:t xml:space="preserve">: </w:t>
      </w:r>
      <w:r>
        <w:rPr>
          <w:rFonts w:asciiTheme="minorHAnsi" w:hAnsiTheme="minorHAnsi" w:cstheme="minorHAnsi"/>
          <w:b w:val="0"/>
          <w:color w:val="808080"/>
          <w:sz w:val="20"/>
        </w:rPr>
        <w:t xml:space="preserve">Number of accepted </w:t>
      </w:r>
      <w:r w:rsidRPr="00C52CAC">
        <w:rPr>
          <w:rFonts w:asciiTheme="minorHAnsi" w:hAnsiTheme="minorHAnsi" w:cstheme="minorHAnsi"/>
          <w:b w:val="0"/>
          <w:color w:val="808080"/>
          <w:sz w:val="20"/>
        </w:rPr>
        <w:t>kidneys for transplantation by donor age per state and territory</w:t>
      </w:r>
      <w:r>
        <w:rPr>
          <w:rFonts w:asciiTheme="minorHAnsi" w:hAnsiTheme="minorHAnsi" w:cstheme="minorHAnsi"/>
          <w:b w:val="0"/>
          <w:color w:val="808080"/>
          <w:sz w:val="20"/>
        </w:rPr>
        <w:t xml:space="preserve">, SOURCE: </w:t>
      </w:r>
      <w:r w:rsidR="00771B54">
        <w:rPr>
          <w:rFonts w:asciiTheme="minorHAnsi" w:hAnsiTheme="minorHAnsi" w:cstheme="minorHAnsi"/>
          <w:b w:val="0"/>
          <w:color w:val="808080"/>
          <w:sz w:val="20"/>
        </w:rPr>
        <w:t>ANZOD</w:t>
      </w:r>
      <w:r w:rsidR="00CF397F">
        <w:rPr>
          <w:rStyle w:val="FootnoteReference"/>
          <w:rFonts w:cstheme="minorHAnsi"/>
          <w:b w:val="0"/>
          <w:color w:val="808080"/>
        </w:rPr>
        <w:footnoteReference w:id="157"/>
      </w:r>
    </w:p>
    <w:p w14:paraId="375D8B59" w14:textId="77777777" w:rsidR="006F4E24" w:rsidRPr="00D44029" w:rsidRDefault="007760D5" w:rsidP="006F4E24">
      <w:pPr>
        <w:keepNext/>
        <w:keepLines/>
        <w:spacing w:after="120"/>
      </w:pPr>
      <w:r w:rsidRPr="007760D5">
        <w:t xml:space="preserve"> </w:t>
      </w:r>
      <w:r w:rsidRPr="007760D5">
        <w:rPr>
          <w:noProof/>
          <w:lang w:eastAsia="en-AU"/>
        </w:rPr>
        <w:drawing>
          <wp:inline distT="0" distB="0" distL="0" distR="0" wp14:anchorId="5214F699" wp14:editId="616C40BE">
            <wp:extent cx="4737108" cy="2996697"/>
            <wp:effectExtent l="0" t="0" r="0" b="0"/>
            <wp:docPr id="4102" name="Picture 4102" descr="Figure 23 is a line graph displaying the number of accepted kidneys for transplantation by donor age per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5884" cy="3014901"/>
                    </a:xfrm>
                    <a:prstGeom prst="rect">
                      <a:avLst/>
                    </a:prstGeom>
                    <a:noFill/>
                    <a:ln>
                      <a:noFill/>
                    </a:ln>
                  </pic:spPr>
                </pic:pic>
              </a:graphicData>
            </a:graphic>
          </wp:inline>
        </w:drawing>
      </w:r>
    </w:p>
    <w:p w14:paraId="1AB7AFEC" w14:textId="3F9C1443" w:rsidR="006F4E24" w:rsidRDefault="006F4E24" w:rsidP="006F4E24">
      <w:pPr>
        <w:spacing w:before="120" w:after="120"/>
        <w:rPr>
          <w:rFonts w:asciiTheme="minorHAnsi" w:hAnsiTheme="minorHAnsi" w:cstheme="minorHAnsi"/>
          <w:sz w:val="24"/>
          <w:szCs w:val="24"/>
          <w:lang w:val="en-GB"/>
        </w:rPr>
      </w:pPr>
      <w:r>
        <w:rPr>
          <w:rFonts w:asciiTheme="minorHAnsi" w:hAnsiTheme="minorHAnsi" w:cstheme="minorHAnsi"/>
          <w:sz w:val="24"/>
          <w:szCs w:val="24"/>
          <w:lang w:val="en-GB"/>
        </w:rPr>
        <w:fldChar w:fldCharType="begin"/>
      </w:r>
      <w:r>
        <w:rPr>
          <w:rFonts w:asciiTheme="minorHAnsi" w:hAnsiTheme="minorHAnsi" w:cstheme="minorHAnsi"/>
          <w:sz w:val="24"/>
          <w:szCs w:val="24"/>
          <w:lang w:val="en-GB"/>
        </w:rPr>
        <w:instrText xml:space="preserve"> REF _Ref527640176 \h  \* MERGEFORMAT </w:instrText>
      </w:r>
      <w:r>
        <w:rPr>
          <w:rFonts w:asciiTheme="minorHAnsi" w:hAnsiTheme="minorHAnsi" w:cstheme="minorHAnsi"/>
          <w:sz w:val="24"/>
          <w:szCs w:val="24"/>
          <w:lang w:val="en-GB"/>
        </w:rPr>
      </w:r>
      <w:r>
        <w:rPr>
          <w:rFonts w:asciiTheme="minorHAnsi" w:hAnsiTheme="minorHAnsi" w:cstheme="minorHAnsi"/>
          <w:sz w:val="24"/>
          <w:szCs w:val="24"/>
          <w:lang w:val="en-GB"/>
        </w:rPr>
        <w:fldChar w:fldCharType="separate"/>
      </w:r>
      <w:r w:rsidR="00A04048" w:rsidRPr="00C75FAB">
        <w:rPr>
          <w:rFonts w:asciiTheme="minorHAnsi" w:hAnsiTheme="minorHAnsi" w:cstheme="minorHAnsi"/>
          <w:sz w:val="24"/>
          <w:szCs w:val="24"/>
          <w:lang w:val="en-GB"/>
        </w:rPr>
        <w:t>Figure 24</w:t>
      </w:r>
      <w:r>
        <w:rPr>
          <w:rFonts w:asciiTheme="minorHAnsi" w:hAnsiTheme="minorHAnsi" w:cstheme="minorHAnsi"/>
          <w:sz w:val="24"/>
          <w:szCs w:val="24"/>
          <w:lang w:val="en-GB"/>
        </w:rPr>
        <w:fldChar w:fldCharType="end"/>
      </w:r>
      <w:r>
        <w:rPr>
          <w:rFonts w:asciiTheme="minorHAnsi" w:hAnsiTheme="minorHAnsi" w:cstheme="minorHAnsi"/>
          <w:sz w:val="24"/>
          <w:szCs w:val="24"/>
          <w:lang w:val="en-GB"/>
        </w:rPr>
        <w:t xml:space="preserve"> illustrates the n</w:t>
      </w:r>
      <w:r w:rsidRPr="00167552">
        <w:rPr>
          <w:rFonts w:asciiTheme="minorHAnsi" w:hAnsiTheme="minorHAnsi" w:cstheme="minorHAnsi"/>
          <w:sz w:val="24"/>
          <w:szCs w:val="24"/>
          <w:lang w:val="en-GB"/>
        </w:rPr>
        <w:t>umber of accepted lungs for transplantation by donor age</w:t>
      </w:r>
      <w:r>
        <w:rPr>
          <w:rFonts w:asciiTheme="minorHAnsi" w:hAnsiTheme="minorHAnsi" w:cstheme="minorHAnsi"/>
          <w:sz w:val="24"/>
          <w:szCs w:val="24"/>
          <w:lang w:val="en-GB"/>
        </w:rPr>
        <w:t>, by</w:t>
      </w:r>
      <w:r w:rsidRPr="00167552">
        <w:rPr>
          <w:rFonts w:asciiTheme="minorHAnsi" w:hAnsiTheme="minorHAnsi" w:cstheme="minorHAnsi"/>
          <w:sz w:val="24"/>
          <w:szCs w:val="24"/>
          <w:lang w:val="en-GB"/>
        </w:rPr>
        <w:t xml:space="preserve"> state and territory in 2017</w:t>
      </w:r>
      <w:r w:rsidRPr="001271F5">
        <w:rPr>
          <w:rFonts w:asciiTheme="minorHAnsi" w:hAnsiTheme="minorHAnsi" w:cstheme="minorHAnsi"/>
          <w:sz w:val="24"/>
          <w:szCs w:val="24"/>
          <w:lang w:val="en-GB"/>
        </w:rPr>
        <w:t xml:space="preserve"> and </w:t>
      </w:r>
      <w:r>
        <w:rPr>
          <w:rFonts w:asciiTheme="minorHAnsi" w:hAnsiTheme="minorHAnsi" w:cstheme="minorHAnsi"/>
          <w:sz w:val="24"/>
          <w:szCs w:val="24"/>
          <w:lang w:val="en-GB"/>
        </w:rPr>
        <w:fldChar w:fldCharType="begin"/>
      </w:r>
      <w:r>
        <w:rPr>
          <w:rFonts w:asciiTheme="minorHAnsi" w:hAnsiTheme="minorHAnsi" w:cstheme="minorHAnsi"/>
          <w:sz w:val="24"/>
          <w:szCs w:val="24"/>
          <w:lang w:val="en-GB"/>
        </w:rPr>
        <w:instrText xml:space="preserve"> REF _Ref527640211 \h  \* MERGEFORMAT </w:instrText>
      </w:r>
      <w:r>
        <w:rPr>
          <w:rFonts w:asciiTheme="minorHAnsi" w:hAnsiTheme="minorHAnsi" w:cstheme="minorHAnsi"/>
          <w:sz w:val="24"/>
          <w:szCs w:val="24"/>
          <w:lang w:val="en-GB"/>
        </w:rPr>
      </w:r>
      <w:r>
        <w:rPr>
          <w:rFonts w:asciiTheme="minorHAnsi" w:hAnsiTheme="minorHAnsi" w:cstheme="minorHAnsi"/>
          <w:sz w:val="24"/>
          <w:szCs w:val="24"/>
          <w:lang w:val="en-GB"/>
        </w:rPr>
        <w:fldChar w:fldCharType="separate"/>
      </w:r>
      <w:r w:rsidR="00A04048" w:rsidRPr="00C75FAB">
        <w:rPr>
          <w:rFonts w:asciiTheme="minorHAnsi" w:hAnsiTheme="minorHAnsi" w:cstheme="minorHAnsi"/>
          <w:sz w:val="24"/>
          <w:szCs w:val="24"/>
          <w:lang w:val="en-GB"/>
        </w:rPr>
        <w:t>Figure 25</w:t>
      </w:r>
      <w:r>
        <w:rPr>
          <w:rFonts w:asciiTheme="minorHAnsi" w:hAnsiTheme="minorHAnsi" w:cstheme="minorHAnsi"/>
          <w:sz w:val="24"/>
          <w:szCs w:val="24"/>
          <w:lang w:val="en-GB"/>
        </w:rPr>
        <w:fldChar w:fldCharType="end"/>
      </w:r>
      <w:r>
        <w:rPr>
          <w:rFonts w:asciiTheme="minorHAnsi" w:hAnsiTheme="minorHAnsi" w:cstheme="minorHAnsi"/>
          <w:sz w:val="24"/>
          <w:szCs w:val="24"/>
          <w:lang w:val="en-GB"/>
        </w:rPr>
        <w:t xml:space="preserve"> illustrates the n</w:t>
      </w:r>
      <w:r w:rsidRPr="00167552">
        <w:rPr>
          <w:rFonts w:asciiTheme="minorHAnsi" w:hAnsiTheme="minorHAnsi" w:cstheme="minorHAnsi"/>
          <w:sz w:val="24"/>
          <w:szCs w:val="24"/>
          <w:lang w:val="en-GB"/>
        </w:rPr>
        <w:t>umber of accepted livers for transplantation by donor age</w:t>
      </w:r>
      <w:r>
        <w:rPr>
          <w:rFonts w:asciiTheme="minorHAnsi" w:hAnsiTheme="minorHAnsi" w:cstheme="minorHAnsi"/>
          <w:sz w:val="24"/>
          <w:szCs w:val="24"/>
          <w:lang w:val="en-GB"/>
        </w:rPr>
        <w:t>,</w:t>
      </w:r>
      <w:r w:rsidRPr="00167552">
        <w:rPr>
          <w:rFonts w:asciiTheme="minorHAnsi" w:hAnsiTheme="minorHAnsi" w:cstheme="minorHAnsi"/>
          <w:sz w:val="24"/>
          <w:szCs w:val="24"/>
          <w:lang w:val="en-GB"/>
        </w:rPr>
        <w:t xml:space="preserve"> </w:t>
      </w:r>
      <w:r>
        <w:rPr>
          <w:rFonts w:asciiTheme="minorHAnsi" w:hAnsiTheme="minorHAnsi" w:cstheme="minorHAnsi"/>
          <w:sz w:val="24"/>
          <w:szCs w:val="24"/>
          <w:lang w:val="en-GB"/>
        </w:rPr>
        <w:t>by</w:t>
      </w:r>
      <w:r w:rsidRPr="00167552">
        <w:rPr>
          <w:rFonts w:asciiTheme="minorHAnsi" w:hAnsiTheme="minorHAnsi" w:cstheme="minorHAnsi"/>
          <w:sz w:val="24"/>
          <w:szCs w:val="24"/>
          <w:lang w:val="en-GB"/>
        </w:rPr>
        <w:t xml:space="preserve"> state and territory in 2017</w:t>
      </w:r>
      <w:r>
        <w:rPr>
          <w:rFonts w:asciiTheme="minorHAnsi" w:hAnsiTheme="minorHAnsi" w:cstheme="minorHAnsi"/>
          <w:sz w:val="24"/>
          <w:szCs w:val="24"/>
          <w:lang w:val="en-GB"/>
        </w:rPr>
        <w:t xml:space="preserve">. They show that Victoria and New South Wales accept a greater number and wider range of donor ages across kidneys, lungs and livers. The Review found that these </w:t>
      </w:r>
      <w:r w:rsidR="00A45FCD">
        <w:rPr>
          <w:rFonts w:asciiTheme="minorHAnsi" w:hAnsiTheme="minorHAnsi" w:cstheme="minorHAnsi"/>
          <w:sz w:val="24"/>
          <w:szCs w:val="24"/>
          <w:lang w:val="en-GB"/>
        </w:rPr>
        <w:t xml:space="preserve">jurisdictions </w:t>
      </w:r>
      <w:r>
        <w:rPr>
          <w:rFonts w:asciiTheme="minorHAnsi" w:hAnsiTheme="minorHAnsi" w:cstheme="minorHAnsi"/>
          <w:sz w:val="24"/>
          <w:szCs w:val="24"/>
          <w:lang w:val="en-GB"/>
        </w:rPr>
        <w:t>are moving toward best practice and investing in</w:t>
      </w:r>
      <w:r w:rsidRPr="00E00120">
        <w:rPr>
          <w:rFonts w:asciiTheme="minorHAnsi" w:hAnsiTheme="minorHAnsi" w:cstheme="minorHAnsi"/>
          <w:sz w:val="24"/>
          <w:szCs w:val="24"/>
          <w:lang w:val="en-GB"/>
        </w:rPr>
        <w:t xml:space="preserve"> techniques</w:t>
      </w:r>
      <w:r>
        <w:rPr>
          <w:rFonts w:asciiTheme="minorHAnsi" w:hAnsiTheme="minorHAnsi" w:cstheme="minorHAnsi"/>
          <w:sz w:val="24"/>
          <w:szCs w:val="24"/>
          <w:lang w:val="en-GB"/>
        </w:rPr>
        <w:t xml:space="preserve"> that </w:t>
      </w:r>
      <w:r w:rsidRPr="00E00120">
        <w:rPr>
          <w:rFonts w:asciiTheme="minorHAnsi" w:hAnsiTheme="minorHAnsi" w:cstheme="minorHAnsi"/>
          <w:sz w:val="24"/>
          <w:szCs w:val="24"/>
          <w:lang w:val="en-GB"/>
        </w:rPr>
        <w:t>enabl</w:t>
      </w:r>
      <w:r>
        <w:rPr>
          <w:rFonts w:asciiTheme="minorHAnsi" w:hAnsiTheme="minorHAnsi" w:cstheme="minorHAnsi"/>
          <w:sz w:val="24"/>
          <w:szCs w:val="24"/>
          <w:lang w:val="en-GB"/>
        </w:rPr>
        <w:t>e</w:t>
      </w:r>
      <w:r w:rsidRPr="00E00120">
        <w:rPr>
          <w:rFonts w:asciiTheme="minorHAnsi" w:hAnsiTheme="minorHAnsi" w:cstheme="minorHAnsi"/>
          <w:sz w:val="24"/>
          <w:szCs w:val="24"/>
          <w:lang w:val="en-GB"/>
        </w:rPr>
        <w:t xml:space="preserve"> greater success in transplanting a wider range of organs from donors of different ages. </w:t>
      </w:r>
    </w:p>
    <w:p w14:paraId="13E4BB5E" w14:textId="77777777" w:rsidR="006F4E24" w:rsidRPr="001271F5" w:rsidRDefault="006F4E24" w:rsidP="006F4E24">
      <w:pPr>
        <w:pStyle w:val="Caption"/>
        <w:keepNext/>
        <w:keepLines/>
        <w:spacing w:after="0"/>
        <w:rPr>
          <w:rFonts w:asciiTheme="minorHAnsi" w:hAnsiTheme="minorHAnsi" w:cstheme="minorHAnsi"/>
          <w:color w:val="808080"/>
          <w:sz w:val="20"/>
        </w:rPr>
      </w:pPr>
      <w:bookmarkStart w:id="659" w:name="_Ref527640176"/>
      <w:r w:rsidRPr="00B962D9">
        <w:rPr>
          <w:rFonts w:asciiTheme="minorHAnsi" w:hAnsiTheme="minorHAnsi" w:cstheme="minorHAnsi"/>
          <w:b w:val="0"/>
          <w:color w:val="808080"/>
          <w:sz w:val="20"/>
        </w:rPr>
        <w:t xml:space="preserve">Figure </w:t>
      </w:r>
      <w:r w:rsidRPr="006449E1">
        <w:rPr>
          <w:rFonts w:asciiTheme="minorHAnsi" w:hAnsiTheme="minorHAnsi" w:cstheme="minorHAnsi"/>
          <w:b w:val="0"/>
          <w:color w:val="808080"/>
          <w:sz w:val="20"/>
        </w:rPr>
        <w:fldChar w:fldCharType="begin"/>
      </w:r>
      <w:r w:rsidRPr="00D34CC1">
        <w:rPr>
          <w:rFonts w:asciiTheme="minorHAnsi" w:hAnsiTheme="minorHAnsi" w:cstheme="minorHAnsi"/>
          <w:b w:val="0"/>
          <w:color w:val="808080"/>
          <w:sz w:val="20"/>
        </w:rPr>
        <w:instrText xml:space="preserve"> SEQ Figure \* ARABIC </w:instrText>
      </w:r>
      <w:r w:rsidRPr="006449E1">
        <w:rPr>
          <w:rFonts w:asciiTheme="minorHAnsi" w:hAnsiTheme="minorHAnsi" w:cstheme="minorHAnsi"/>
          <w:b w:val="0"/>
          <w:color w:val="808080"/>
          <w:sz w:val="20"/>
        </w:rPr>
        <w:fldChar w:fldCharType="separate"/>
      </w:r>
      <w:r w:rsidR="00A04048" w:rsidRPr="006449E1">
        <w:rPr>
          <w:rFonts w:asciiTheme="minorHAnsi" w:hAnsiTheme="minorHAnsi" w:cstheme="minorHAnsi"/>
          <w:b w:val="0"/>
          <w:noProof/>
          <w:color w:val="808080"/>
          <w:sz w:val="20"/>
        </w:rPr>
        <w:t>24</w:t>
      </w:r>
      <w:r w:rsidRPr="006449E1">
        <w:rPr>
          <w:rFonts w:asciiTheme="minorHAnsi" w:hAnsiTheme="minorHAnsi" w:cstheme="minorHAnsi"/>
          <w:b w:val="0"/>
          <w:color w:val="808080"/>
          <w:sz w:val="20"/>
        </w:rPr>
        <w:fldChar w:fldCharType="end"/>
      </w:r>
      <w:bookmarkEnd w:id="659"/>
      <w:r w:rsidRPr="00B962D9">
        <w:rPr>
          <w:rFonts w:asciiTheme="minorHAnsi" w:hAnsiTheme="minorHAnsi" w:cstheme="minorHAnsi"/>
          <w:b w:val="0"/>
          <w:color w:val="808080"/>
          <w:sz w:val="20"/>
        </w:rPr>
        <w:t>: Number of</w:t>
      </w:r>
      <w:r w:rsidRPr="006449E1">
        <w:rPr>
          <w:rFonts w:asciiTheme="minorHAnsi" w:hAnsiTheme="minorHAnsi" w:cstheme="minorHAnsi"/>
          <w:b w:val="0"/>
          <w:color w:val="808080"/>
          <w:sz w:val="20"/>
        </w:rPr>
        <w:t xml:space="preserve"> accepted lungs for transplantation by donor age per state and territory in 2017, SOURCE: </w:t>
      </w:r>
      <w:r w:rsidR="00771B54" w:rsidRPr="00B63622">
        <w:rPr>
          <w:rFonts w:asciiTheme="minorHAnsi" w:hAnsiTheme="minorHAnsi" w:cstheme="minorHAnsi"/>
          <w:b w:val="0"/>
          <w:color w:val="808080"/>
          <w:sz w:val="20"/>
        </w:rPr>
        <w:t>ANZOD</w:t>
      </w:r>
      <w:r w:rsidR="00265C4E" w:rsidRPr="00B962D9">
        <w:rPr>
          <w:rStyle w:val="FootnoteReference"/>
          <w:rFonts w:cstheme="minorHAnsi"/>
          <w:b w:val="0"/>
          <w:color w:val="808080"/>
        </w:rPr>
        <w:footnoteReference w:id="158"/>
      </w:r>
    </w:p>
    <w:p w14:paraId="48F4B554" w14:textId="77777777" w:rsidR="006F4E24" w:rsidRDefault="007760D5" w:rsidP="006F4E24">
      <w:pPr>
        <w:spacing w:before="120" w:after="120"/>
        <w:rPr>
          <w:rFonts w:asciiTheme="minorHAnsi" w:hAnsiTheme="minorHAnsi" w:cstheme="minorHAnsi"/>
          <w:sz w:val="24"/>
          <w:szCs w:val="24"/>
          <w:lang w:val="en-GB"/>
        </w:rPr>
      </w:pPr>
      <w:r w:rsidRPr="007760D5">
        <w:rPr>
          <w:rFonts w:asciiTheme="minorHAnsi" w:hAnsiTheme="minorHAnsi" w:cstheme="minorHAnsi"/>
          <w:sz w:val="24"/>
          <w:szCs w:val="24"/>
          <w:lang w:val="en-GB"/>
        </w:rPr>
        <w:t xml:space="preserve"> </w:t>
      </w:r>
      <w:r w:rsidRPr="007760D5">
        <w:rPr>
          <w:noProof/>
          <w:lang w:eastAsia="en-AU"/>
        </w:rPr>
        <w:drawing>
          <wp:inline distT="0" distB="0" distL="0" distR="0" wp14:anchorId="407986B6" wp14:editId="6576D56B">
            <wp:extent cx="4528807" cy="2926080"/>
            <wp:effectExtent l="0" t="0" r="5715" b="0"/>
            <wp:docPr id="4104" name="Picture 4104" descr="Figure 24 is a line graph showing the number of accepted lungs for transplantation by donor age, per state and territory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7880" cy="2938403"/>
                    </a:xfrm>
                    <a:prstGeom prst="rect">
                      <a:avLst/>
                    </a:prstGeom>
                    <a:noFill/>
                    <a:ln>
                      <a:noFill/>
                    </a:ln>
                  </pic:spPr>
                </pic:pic>
              </a:graphicData>
            </a:graphic>
          </wp:inline>
        </w:drawing>
      </w:r>
    </w:p>
    <w:p w14:paraId="6EDD297C" w14:textId="77777777" w:rsidR="006F4E24" w:rsidRPr="001271F5" w:rsidRDefault="006F4E24" w:rsidP="006F4E24">
      <w:pPr>
        <w:pStyle w:val="Caption"/>
        <w:keepNext/>
        <w:spacing w:after="0"/>
      </w:pPr>
      <w:bookmarkStart w:id="660" w:name="_Ref527640211"/>
      <w:bookmarkStart w:id="661" w:name="_Ref527631519"/>
      <w:r w:rsidRPr="001271F5">
        <w:rPr>
          <w:rFonts w:asciiTheme="minorHAnsi" w:hAnsiTheme="minorHAnsi" w:cstheme="minorHAnsi"/>
          <w:b w:val="0"/>
          <w:color w:val="808080"/>
          <w:sz w:val="20"/>
        </w:rPr>
        <w:t xml:space="preserve">Figure </w:t>
      </w:r>
      <w:r>
        <w:rPr>
          <w:rFonts w:asciiTheme="minorHAnsi" w:hAnsiTheme="minorHAnsi" w:cstheme="minorHAnsi"/>
          <w:b w:val="0"/>
          <w:color w:val="808080"/>
          <w:sz w:val="20"/>
        </w:rPr>
        <w:fldChar w:fldCharType="begin"/>
      </w:r>
      <w:r>
        <w:rPr>
          <w:rFonts w:asciiTheme="minorHAnsi" w:hAnsiTheme="minorHAnsi" w:cstheme="minorHAnsi"/>
          <w:b w:val="0"/>
          <w:color w:val="808080"/>
          <w:sz w:val="20"/>
        </w:rPr>
        <w:instrText xml:space="preserve"> SEQ Figure \* ARABIC </w:instrText>
      </w:r>
      <w:r>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25</w:t>
      </w:r>
      <w:r>
        <w:rPr>
          <w:rFonts w:asciiTheme="minorHAnsi" w:hAnsiTheme="minorHAnsi" w:cstheme="minorHAnsi"/>
          <w:b w:val="0"/>
          <w:color w:val="808080"/>
          <w:sz w:val="20"/>
        </w:rPr>
        <w:fldChar w:fldCharType="end"/>
      </w:r>
      <w:bookmarkEnd w:id="660"/>
      <w:bookmarkEnd w:id="661"/>
      <w:r w:rsidRPr="001271F5">
        <w:rPr>
          <w:rFonts w:asciiTheme="minorHAnsi" w:hAnsiTheme="minorHAnsi" w:cstheme="minorHAnsi"/>
          <w:b w:val="0"/>
          <w:color w:val="808080"/>
          <w:sz w:val="20"/>
        </w:rPr>
        <w:t>:</w:t>
      </w:r>
      <w:r>
        <w:t xml:space="preserve"> </w:t>
      </w:r>
      <w:r w:rsidRPr="004938CA">
        <w:rPr>
          <w:rFonts w:asciiTheme="minorHAnsi" w:hAnsiTheme="minorHAnsi" w:cstheme="minorHAnsi"/>
          <w:b w:val="0"/>
          <w:color w:val="808080"/>
          <w:sz w:val="20"/>
        </w:rPr>
        <w:t xml:space="preserve">Number of accepted </w:t>
      </w:r>
      <w:r>
        <w:rPr>
          <w:rFonts w:asciiTheme="minorHAnsi" w:hAnsiTheme="minorHAnsi" w:cstheme="minorHAnsi"/>
          <w:b w:val="0"/>
          <w:color w:val="808080"/>
          <w:sz w:val="20"/>
        </w:rPr>
        <w:t>livers</w:t>
      </w:r>
      <w:r w:rsidRPr="004938CA">
        <w:rPr>
          <w:rFonts w:asciiTheme="minorHAnsi" w:hAnsiTheme="minorHAnsi" w:cstheme="minorHAnsi"/>
          <w:b w:val="0"/>
          <w:color w:val="808080"/>
          <w:sz w:val="20"/>
        </w:rPr>
        <w:t xml:space="preserve"> for transplantation by donor age per state and territory in 2017</w:t>
      </w:r>
      <w:r>
        <w:rPr>
          <w:rFonts w:asciiTheme="minorHAnsi" w:hAnsiTheme="minorHAnsi" w:cstheme="minorHAnsi"/>
          <w:b w:val="0"/>
          <w:color w:val="808080"/>
          <w:sz w:val="20"/>
        </w:rPr>
        <w:t xml:space="preserve">, SOURCE: </w:t>
      </w:r>
      <w:r w:rsidR="00771B54">
        <w:rPr>
          <w:rFonts w:asciiTheme="minorHAnsi" w:hAnsiTheme="minorHAnsi" w:cstheme="minorHAnsi"/>
          <w:b w:val="0"/>
          <w:color w:val="808080"/>
          <w:sz w:val="20"/>
        </w:rPr>
        <w:t>ANZOD</w:t>
      </w:r>
      <w:r w:rsidR="00265C4E">
        <w:rPr>
          <w:rStyle w:val="FootnoteReference"/>
          <w:rFonts w:cstheme="minorHAnsi"/>
          <w:b w:val="0"/>
          <w:color w:val="808080"/>
        </w:rPr>
        <w:footnoteReference w:id="159"/>
      </w:r>
    </w:p>
    <w:p w14:paraId="64223245" w14:textId="27A553EF" w:rsidR="006022FF" w:rsidRPr="004830DA" w:rsidRDefault="007760D5" w:rsidP="004830DA">
      <w:pPr>
        <w:spacing w:before="120" w:after="120"/>
        <w:rPr>
          <w:rFonts w:asciiTheme="minorHAnsi" w:hAnsiTheme="minorHAnsi" w:cstheme="minorHAnsi"/>
          <w:i/>
          <w:color w:val="808080" w:themeColor="background1" w:themeShade="80"/>
          <w:sz w:val="26"/>
          <w:szCs w:val="26"/>
        </w:rPr>
      </w:pPr>
      <w:r w:rsidRPr="007760D5">
        <w:rPr>
          <w:rFonts w:asciiTheme="minorHAnsi" w:hAnsiTheme="minorHAnsi" w:cstheme="minorHAnsi"/>
          <w:i/>
          <w:color w:val="808080" w:themeColor="background1" w:themeShade="80"/>
          <w:sz w:val="26"/>
          <w:szCs w:val="26"/>
        </w:rPr>
        <w:t xml:space="preserve"> </w:t>
      </w:r>
      <w:r w:rsidRPr="007760D5">
        <w:rPr>
          <w:noProof/>
          <w:lang w:eastAsia="en-AU"/>
        </w:rPr>
        <w:drawing>
          <wp:inline distT="0" distB="0" distL="0" distR="0" wp14:anchorId="3F57FA6F" wp14:editId="51AD6B10">
            <wp:extent cx="5136542" cy="2772824"/>
            <wp:effectExtent l="0" t="0" r="0" b="0"/>
            <wp:docPr id="4105" name="Picture 4105" descr="Figure 25 is a line graph showing the number of accepted livers for transplantation by donor age, per state and territory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5176" cy="2777485"/>
                    </a:xfrm>
                    <a:prstGeom prst="rect">
                      <a:avLst/>
                    </a:prstGeom>
                    <a:noFill/>
                    <a:ln>
                      <a:noFill/>
                    </a:ln>
                  </pic:spPr>
                </pic:pic>
              </a:graphicData>
            </a:graphic>
          </wp:inline>
        </w:drawing>
      </w:r>
      <w:r w:rsidR="006022FF">
        <w:rPr>
          <w:rFonts w:asciiTheme="minorHAnsi" w:hAnsiTheme="minorHAnsi" w:cstheme="minorHAnsi"/>
          <w:color w:val="808080" w:themeColor="background1" w:themeShade="80"/>
          <w:sz w:val="24"/>
          <w:szCs w:val="24"/>
        </w:rPr>
        <w:br w:type="page"/>
      </w:r>
    </w:p>
    <w:p w14:paraId="0DF40DE2" w14:textId="005BFDBF" w:rsidR="006F4E24" w:rsidRPr="00AF2C98" w:rsidRDefault="006F4E24" w:rsidP="006F4E24">
      <w:pPr>
        <w:tabs>
          <w:tab w:val="num" w:pos="720"/>
        </w:tabs>
        <w:spacing w:after="120"/>
        <w:rPr>
          <w:rFonts w:asciiTheme="minorHAnsi" w:hAnsiTheme="minorHAnsi" w:cstheme="minorHAnsi"/>
          <w:color w:val="808080" w:themeColor="background1" w:themeShade="80"/>
          <w:sz w:val="24"/>
          <w:szCs w:val="24"/>
        </w:rPr>
      </w:pPr>
      <w:r>
        <w:rPr>
          <w:rFonts w:asciiTheme="minorHAnsi" w:hAnsiTheme="minorHAnsi" w:cstheme="minorHAnsi"/>
          <w:color w:val="808080" w:themeColor="background1" w:themeShade="80"/>
          <w:sz w:val="24"/>
          <w:szCs w:val="24"/>
        </w:rPr>
        <w:t>Size acceptability</w:t>
      </w:r>
    </w:p>
    <w:p w14:paraId="66C544F5" w14:textId="77777777" w:rsidR="00E038B6" w:rsidRDefault="006F4E24" w:rsidP="006F4E24">
      <w:pPr>
        <w:tabs>
          <w:tab w:val="num" w:pos="720"/>
        </w:tabs>
        <w:spacing w:after="120"/>
        <w:rPr>
          <w:rFonts w:asciiTheme="minorHAnsi" w:hAnsiTheme="minorHAnsi" w:cstheme="minorHAnsi"/>
          <w:color w:val="808080" w:themeColor="background1" w:themeShade="80"/>
          <w:sz w:val="24"/>
          <w:szCs w:val="24"/>
        </w:rPr>
      </w:pPr>
      <w:r>
        <w:rPr>
          <w:rFonts w:asciiTheme="minorHAnsi" w:hAnsiTheme="minorHAnsi" w:cstheme="minorHAnsi"/>
          <w:sz w:val="24"/>
          <w:szCs w:val="22"/>
          <w:lang w:val="en-GB"/>
        </w:rPr>
        <w:t xml:space="preserve">The Review found that heart and kidney transplantation units maintain acceptance practices that align very closely to the Clinical Guidelines. This was reported to be based on the size sensitive nature of kidneys for transplantation and size and time for hearts. However, liver and lung transplantation clinicians reported that the Clinical Guidelines were adhered to less closely and practices differed slightly in allocation between </w:t>
      </w:r>
      <w:r w:rsidR="00F46C80">
        <w:rPr>
          <w:rFonts w:asciiTheme="minorHAnsi" w:hAnsiTheme="minorHAnsi" w:cstheme="minorHAnsi"/>
          <w:sz w:val="24"/>
          <w:szCs w:val="22"/>
          <w:lang w:val="en-GB"/>
        </w:rPr>
        <w:t>transplantation unit</w:t>
      </w:r>
      <w:r>
        <w:rPr>
          <w:rFonts w:asciiTheme="minorHAnsi" w:hAnsiTheme="minorHAnsi" w:cstheme="minorHAnsi"/>
          <w:sz w:val="24"/>
          <w:szCs w:val="22"/>
          <w:lang w:val="en-GB"/>
        </w:rPr>
        <w:t xml:space="preserve">s. The Review further found that the size of lungs and livers do not always preclude acceptance, as many surgeons have learnt to re-size these organs in order to meet the needs of the recipient. This has enabled increased the potential for more liver and lung matches, enabling greater access for more patients with end-stage liver or lung disease. </w:t>
      </w:r>
    </w:p>
    <w:p w14:paraId="38F34B23" w14:textId="77777777" w:rsidR="006F4E24" w:rsidRPr="00447661" w:rsidRDefault="006F4E24" w:rsidP="006F4E24">
      <w:pPr>
        <w:tabs>
          <w:tab w:val="num" w:pos="720"/>
        </w:tabs>
        <w:spacing w:after="120"/>
        <w:rPr>
          <w:rFonts w:asciiTheme="minorHAnsi" w:hAnsiTheme="minorHAnsi" w:cstheme="minorHAnsi"/>
          <w:color w:val="808080" w:themeColor="background1" w:themeShade="80"/>
          <w:sz w:val="24"/>
          <w:szCs w:val="24"/>
        </w:rPr>
      </w:pPr>
      <w:r w:rsidRPr="00447661">
        <w:rPr>
          <w:rFonts w:asciiTheme="minorHAnsi" w:hAnsiTheme="minorHAnsi" w:cstheme="minorHAnsi"/>
          <w:color w:val="808080" w:themeColor="background1" w:themeShade="80"/>
          <w:sz w:val="24"/>
          <w:szCs w:val="24"/>
        </w:rPr>
        <w:t>Comorbidity and disease profile acceptability</w:t>
      </w:r>
    </w:p>
    <w:p w14:paraId="68965946" w14:textId="77777777" w:rsidR="006F4E24" w:rsidRDefault="006F4E24" w:rsidP="006F4E24">
      <w:pPr>
        <w:spacing w:before="120" w:after="120"/>
        <w:rPr>
          <w:rFonts w:asciiTheme="minorHAnsi" w:hAnsiTheme="minorHAnsi" w:cstheme="minorHAnsi"/>
          <w:sz w:val="24"/>
          <w:szCs w:val="24"/>
          <w:lang w:val="en-GB"/>
        </w:rPr>
      </w:pPr>
      <w:r>
        <w:rPr>
          <w:rFonts w:asciiTheme="minorHAnsi" w:hAnsiTheme="minorHAnsi" w:cstheme="minorHAnsi"/>
          <w:sz w:val="24"/>
          <w:szCs w:val="24"/>
          <w:lang w:val="en-GB"/>
        </w:rPr>
        <w:t xml:space="preserve">Through improved medical intervention, Hepatitis C can now be effectively treated. This has meant that clinicians can now effectively treat Hepatitis C </w:t>
      </w:r>
      <w:r w:rsidR="00227573">
        <w:rPr>
          <w:rFonts w:asciiTheme="minorHAnsi" w:hAnsiTheme="minorHAnsi" w:cstheme="minorHAnsi"/>
          <w:sz w:val="24"/>
          <w:szCs w:val="24"/>
          <w:lang w:val="en-GB"/>
        </w:rPr>
        <w:t>a</w:t>
      </w:r>
      <w:r>
        <w:rPr>
          <w:rFonts w:asciiTheme="minorHAnsi" w:hAnsiTheme="minorHAnsi" w:cstheme="minorHAnsi"/>
          <w:sz w:val="24"/>
          <w:szCs w:val="24"/>
          <w:lang w:val="en-GB"/>
        </w:rPr>
        <w:t>ffected organs during the transplant</w:t>
      </w:r>
      <w:r w:rsidR="00E634FA">
        <w:rPr>
          <w:rFonts w:asciiTheme="minorHAnsi" w:hAnsiTheme="minorHAnsi" w:cstheme="minorHAnsi"/>
          <w:sz w:val="24"/>
          <w:szCs w:val="24"/>
          <w:lang w:val="en-GB"/>
        </w:rPr>
        <w:t>ation</w:t>
      </w:r>
      <w:r>
        <w:rPr>
          <w:rFonts w:asciiTheme="minorHAnsi" w:hAnsiTheme="minorHAnsi" w:cstheme="minorHAnsi"/>
          <w:sz w:val="24"/>
          <w:szCs w:val="24"/>
          <w:lang w:val="en-GB"/>
        </w:rPr>
        <w:t xml:space="preserve"> process. </w:t>
      </w:r>
    </w:p>
    <w:p w14:paraId="6AEBD148" w14:textId="48D06C70" w:rsidR="006F4E24" w:rsidRDefault="006F4E24" w:rsidP="00EF2596">
      <w:pPr>
        <w:spacing w:before="120" w:after="120"/>
        <w:rPr>
          <w:rFonts w:asciiTheme="minorHAnsi" w:hAnsiTheme="minorHAnsi" w:cstheme="minorHAnsi"/>
          <w:sz w:val="24"/>
          <w:szCs w:val="24"/>
          <w:lang w:val="en-GB"/>
        </w:rPr>
      </w:pPr>
      <w:r>
        <w:rPr>
          <w:rFonts w:asciiTheme="minorHAnsi" w:hAnsiTheme="minorHAnsi" w:cstheme="minorHAnsi"/>
          <w:sz w:val="24"/>
          <w:szCs w:val="24"/>
          <w:lang w:val="en-GB"/>
        </w:rPr>
        <w:t xml:space="preserve">Although the extended acceptance and use of organs has meant that more Australians have access to a lifesaving transplantation, the additional treatment required to ensure optimal outcomes for transplantation results in a higher cost of care. </w:t>
      </w:r>
    </w:p>
    <w:p w14:paraId="6A9315D8" w14:textId="77777777" w:rsidR="00E25CB1" w:rsidRPr="00F01BC7" w:rsidRDefault="00E25CB1" w:rsidP="00AE3ED1">
      <w:pPr>
        <w:shd w:val="clear" w:color="auto" w:fill="DCEFF4"/>
        <w:spacing w:before="120" w:after="120"/>
        <w:rPr>
          <w:rFonts w:asciiTheme="minorHAnsi" w:hAnsiTheme="minorHAnsi" w:cstheme="minorHAnsi"/>
          <w:b/>
          <w:sz w:val="22"/>
          <w:szCs w:val="24"/>
          <w:lang w:val="en-GB"/>
        </w:rPr>
      </w:pPr>
      <w:r w:rsidRPr="00F01BC7">
        <w:rPr>
          <w:rFonts w:asciiTheme="minorHAnsi" w:hAnsiTheme="minorHAnsi" w:cstheme="minorHAnsi"/>
          <w:b/>
          <w:sz w:val="22"/>
          <w:szCs w:val="24"/>
          <w:lang w:val="en-GB"/>
        </w:rPr>
        <w:t>Organ offer declines</w:t>
      </w:r>
    </w:p>
    <w:p w14:paraId="27B9E5AC" w14:textId="77777777" w:rsidR="00E25CB1" w:rsidRPr="00AE3ED1" w:rsidRDefault="00E25CB1" w:rsidP="00AE3ED1">
      <w:pPr>
        <w:shd w:val="clear" w:color="auto" w:fill="DCEFF4"/>
        <w:spacing w:before="120" w:after="120"/>
        <w:rPr>
          <w:rFonts w:asciiTheme="minorHAnsi" w:hAnsiTheme="minorHAnsi" w:cstheme="minorHAnsi"/>
          <w:sz w:val="22"/>
          <w:szCs w:val="24"/>
          <w:lang w:val="en-GB"/>
        </w:rPr>
      </w:pPr>
      <w:r w:rsidRPr="00AE3ED1">
        <w:rPr>
          <w:rFonts w:asciiTheme="minorHAnsi" w:hAnsiTheme="minorHAnsi" w:cstheme="minorHAnsi"/>
          <w:sz w:val="22"/>
          <w:szCs w:val="24"/>
          <w:lang w:val="en-GB"/>
        </w:rPr>
        <w:t xml:space="preserve">The Australasian Transplant Coordinators Association’s annual Organ Allocation Rotations Audit and Quality Control Report, provides an analysis of organ offers and acceptances. In 2017, it reported that of the 2,957 non-renal organ offers audited, 2016 offers were declined.  Organ decline reasons are currently recorded into one of four categories, ‘not medically suitable’, ‘no suitable recipient’, ‘logistics’ or ‘other’. The Review found that the availability and analysis of these refusal decisions are currently limited. </w:t>
      </w:r>
    </w:p>
    <w:p w14:paraId="1BEC2163" w14:textId="21ACC809" w:rsidR="00E25CB1" w:rsidRPr="00AE3ED1" w:rsidRDefault="00E25CB1" w:rsidP="00AE3ED1">
      <w:pPr>
        <w:shd w:val="clear" w:color="auto" w:fill="DCEFF4"/>
        <w:spacing w:before="120" w:after="120"/>
        <w:rPr>
          <w:rFonts w:asciiTheme="minorHAnsi" w:hAnsiTheme="minorHAnsi" w:cstheme="minorHAnsi"/>
          <w:sz w:val="22"/>
          <w:szCs w:val="24"/>
          <w:lang w:val="en-GB"/>
        </w:rPr>
      </w:pPr>
      <w:r w:rsidRPr="00AE3ED1">
        <w:rPr>
          <w:rFonts w:asciiTheme="minorHAnsi" w:hAnsiTheme="minorHAnsi" w:cstheme="minorHAnsi"/>
          <w:sz w:val="22"/>
          <w:szCs w:val="24"/>
          <w:lang w:val="en-GB"/>
        </w:rPr>
        <w:t>There is an emerging consensus among stakeholders that data concerning organ acceptance and refusal decisions should be collected and reviewed. The 2017 Organ Allocation Rotations Audit and Quality Control Report, outlined that there were 2,734 reasons documented for declines. However, the current system is inadequate in its ability to report and represent more than one outcome code per organ. The Australasian Transplant Coordinators Association reported that this is an issue as there is currently no way to interpret and address how and why organs are not being utilised nationwide.   A national system that allows comprehensive collection of reasons for organ decline is required to understand current behaviours, identify best practice and allow benchmarking to optimise organ donations.</w:t>
      </w:r>
    </w:p>
    <w:p w14:paraId="2B91826E" w14:textId="77777777" w:rsidR="006F4E24" w:rsidRPr="00266A77" w:rsidRDefault="006F4E24" w:rsidP="00C75FAB">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 xml:space="preserve">Summary of key findings </w:t>
      </w:r>
    </w:p>
    <w:p w14:paraId="08457162" w14:textId="77777777" w:rsidR="006F4E24" w:rsidRDefault="006F4E24" w:rsidP="006F4E24">
      <w:pPr>
        <w:numPr>
          <w:ilvl w:val="0"/>
          <w:numId w:val="18"/>
        </w:numPr>
        <w:spacing w:after="120"/>
        <w:ind w:left="357" w:hanging="357"/>
        <w:rPr>
          <w:rFonts w:asciiTheme="minorHAnsi" w:hAnsiTheme="minorHAnsi" w:cstheme="minorHAnsi"/>
          <w:sz w:val="24"/>
          <w:szCs w:val="22"/>
          <w:lang w:val="en-GB"/>
        </w:rPr>
      </w:pPr>
      <w:r>
        <w:rPr>
          <w:rFonts w:asciiTheme="minorHAnsi" w:hAnsiTheme="minorHAnsi" w:cstheme="minorHAnsi"/>
          <w:sz w:val="24"/>
          <w:szCs w:val="22"/>
          <w:lang w:val="en-GB"/>
        </w:rPr>
        <w:t>Advances in acceptability of organs by transplantation units has resulted in variability of acceptance practices across jurisdictions.</w:t>
      </w:r>
    </w:p>
    <w:p w14:paraId="6B1B71A6" w14:textId="77777777" w:rsidR="006F4E24" w:rsidRDefault="006F4E24" w:rsidP="006F4E24">
      <w:pPr>
        <w:numPr>
          <w:ilvl w:val="0"/>
          <w:numId w:val="18"/>
        </w:numPr>
        <w:spacing w:after="120"/>
        <w:ind w:left="357" w:hanging="357"/>
        <w:rPr>
          <w:rFonts w:asciiTheme="minorHAnsi" w:hAnsiTheme="minorHAnsi" w:cstheme="minorHAnsi"/>
          <w:sz w:val="24"/>
          <w:szCs w:val="22"/>
          <w:lang w:val="en-GB"/>
        </w:rPr>
      </w:pPr>
      <w:r>
        <w:rPr>
          <w:rFonts w:asciiTheme="minorHAnsi" w:hAnsiTheme="minorHAnsi" w:cstheme="minorHAnsi"/>
          <w:sz w:val="24"/>
          <w:szCs w:val="22"/>
          <w:lang w:val="en-GB"/>
        </w:rPr>
        <w:t>More transplantation units are now considering a greater range of organs based on age as well as comorbidities and disease profiles.</w:t>
      </w:r>
    </w:p>
    <w:p w14:paraId="16E3DE39" w14:textId="77777777" w:rsidR="005C3607" w:rsidRPr="00F37D51" w:rsidRDefault="005C3607" w:rsidP="006F4E24">
      <w:pPr>
        <w:numPr>
          <w:ilvl w:val="0"/>
          <w:numId w:val="18"/>
        </w:numPr>
        <w:spacing w:after="120"/>
        <w:ind w:left="357" w:hanging="357"/>
        <w:rPr>
          <w:rFonts w:asciiTheme="minorHAnsi" w:hAnsiTheme="minorHAnsi" w:cstheme="minorHAnsi"/>
          <w:sz w:val="24"/>
          <w:szCs w:val="22"/>
          <w:lang w:val="en-GB"/>
        </w:rPr>
      </w:pPr>
      <w:r>
        <w:rPr>
          <w:rFonts w:asciiTheme="minorHAnsi" w:hAnsiTheme="minorHAnsi" w:cstheme="minorHAnsi"/>
          <w:sz w:val="24"/>
          <w:szCs w:val="22"/>
          <w:lang w:val="en-GB"/>
        </w:rPr>
        <w:t>Current data systems do not enable to capture of reasons for offer declines and the analysis of system bottlenecks affecting offer acceptance.</w:t>
      </w:r>
    </w:p>
    <w:p w14:paraId="3ED1005B" w14:textId="77777777" w:rsidR="00D72966" w:rsidRDefault="00D72966" w:rsidP="00D72966">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662" w:name="_Ref531276428"/>
      <w:bookmarkStart w:id="663" w:name="_Ref527555162"/>
      <w:r>
        <w:rPr>
          <w:rFonts w:asciiTheme="minorHAnsi" w:hAnsiTheme="minorHAnsi" w:cstheme="minorHAnsi"/>
          <w:b w:val="0"/>
          <w:color w:val="7F7F7F" w:themeColor="text1" w:themeTint="80"/>
          <w:sz w:val="30"/>
          <w:szCs w:val="30"/>
        </w:rPr>
        <w:t>Potential recipient consent and acceptance process</w:t>
      </w:r>
      <w:bookmarkEnd w:id="662"/>
    </w:p>
    <w:p w14:paraId="7307801E" w14:textId="77777777" w:rsidR="00D72966" w:rsidRDefault="00D72966" w:rsidP="00D72966">
      <w:pPr>
        <w:spacing w:before="120" w:after="120"/>
        <w:rPr>
          <w:rFonts w:asciiTheme="minorHAnsi" w:hAnsiTheme="minorHAnsi" w:cstheme="minorHAnsi"/>
          <w:sz w:val="24"/>
          <w:szCs w:val="24"/>
          <w:lang w:val="en-GB"/>
        </w:rPr>
      </w:pPr>
      <w:r>
        <w:rPr>
          <w:rFonts w:asciiTheme="minorHAnsi" w:hAnsiTheme="minorHAnsi" w:cstheme="minorHAnsi"/>
          <w:sz w:val="24"/>
          <w:szCs w:val="24"/>
          <w:lang w:val="en-GB"/>
        </w:rPr>
        <w:t xml:space="preserve">As explained in </w:t>
      </w:r>
      <w:r w:rsidRPr="00046411">
        <w:rPr>
          <w:rFonts w:asciiTheme="minorHAnsi" w:hAnsiTheme="minorHAnsi" w:cstheme="minorHAnsi"/>
          <w:sz w:val="24"/>
          <w:szCs w:val="24"/>
          <w:lang w:val="en-GB"/>
        </w:rPr>
        <w:t>Section</w:t>
      </w:r>
      <w:r>
        <w:rPr>
          <w:rFonts w:asciiTheme="minorHAnsi" w:hAnsiTheme="minorHAnsi" w:cstheme="minorHAnsi"/>
          <w:sz w:val="24"/>
          <w:szCs w:val="24"/>
          <w:lang w:val="en-GB"/>
        </w:rPr>
        <w:t xml:space="preserve"> </w:t>
      </w:r>
      <w:r w:rsidR="00A2027C">
        <w:rPr>
          <w:rFonts w:asciiTheme="minorHAnsi" w:hAnsiTheme="minorHAnsi" w:cstheme="minorHAnsi"/>
          <w:sz w:val="24"/>
          <w:szCs w:val="24"/>
          <w:lang w:val="en-GB"/>
        </w:rPr>
        <w:fldChar w:fldCharType="begin"/>
      </w:r>
      <w:r w:rsidR="00A2027C">
        <w:rPr>
          <w:rFonts w:asciiTheme="minorHAnsi" w:hAnsiTheme="minorHAnsi" w:cstheme="minorHAnsi"/>
          <w:sz w:val="24"/>
          <w:szCs w:val="24"/>
          <w:lang w:val="en-GB"/>
        </w:rPr>
        <w:instrText xml:space="preserve"> REF _Ref531797809 \r \h </w:instrText>
      </w:r>
      <w:r w:rsidR="00A2027C">
        <w:rPr>
          <w:rFonts w:asciiTheme="minorHAnsi" w:hAnsiTheme="minorHAnsi" w:cstheme="minorHAnsi"/>
          <w:sz w:val="24"/>
          <w:szCs w:val="24"/>
          <w:lang w:val="en-GB"/>
        </w:rPr>
      </w:r>
      <w:r w:rsidR="00A2027C">
        <w:rPr>
          <w:rFonts w:asciiTheme="minorHAnsi" w:hAnsiTheme="minorHAnsi" w:cstheme="minorHAnsi"/>
          <w:sz w:val="24"/>
          <w:szCs w:val="24"/>
          <w:lang w:val="en-GB"/>
        </w:rPr>
        <w:fldChar w:fldCharType="separate"/>
      </w:r>
      <w:r w:rsidR="00A04048">
        <w:rPr>
          <w:rFonts w:asciiTheme="minorHAnsi" w:hAnsiTheme="minorHAnsi" w:cstheme="minorHAnsi"/>
          <w:sz w:val="24"/>
          <w:szCs w:val="24"/>
          <w:lang w:val="en-GB"/>
        </w:rPr>
        <w:t>4.7</w:t>
      </w:r>
      <w:r w:rsidR="00A2027C">
        <w:rPr>
          <w:rFonts w:asciiTheme="minorHAnsi" w:hAnsiTheme="minorHAnsi" w:cstheme="minorHAnsi"/>
          <w:sz w:val="24"/>
          <w:szCs w:val="24"/>
          <w:lang w:val="en-GB"/>
        </w:rPr>
        <w:fldChar w:fldCharType="end"/>
      </w:r>
      <w:r w:rsidR="00A2027C">
        <w:rPr>
          <w:rFonts w:asciiTheme="minorHAnsi" w:hAnsiTheme="minorHAnsi" w:cstheme="minorHAnsi"/>
          <w:sz w:val="24"/>
          <w:szCs w:val="24"/>
          <w:lang w:val="en-GB"/>
        </w:rPr>
        <w:t xml:space="preserve">, </w:t>
      </w:r>
      <w:r>
        <w:rPr>
          <w:rFonts w:asciiTheme="minorHAnsi" w:hAnsiTheme="minorHAnsi" w:cstheme="minorHAnsi"/>
          <w:sz w:val="24"/>
          <w:szCs w:val="24"/>
          <w:lang w:val="en-GB"/>
        </w:rPr>
        <w:t>the acceptance process includes confirming the acceptance and consent of the potential recipient. As stated in the Clinical Guidelines, cons</w:t>
      </w:r>
      <w:r w:rsidRPr="005D196A">
        <w:rPr>
          <w:rFonts w:asciiTheme="minorHAnsi" w:hAnsiTheme="minorHAnsi" w:cstheme="minorHAnsi"/>
          <w:sz w:val="24"/>
          <w:szCs w:val="24"/>
          <w:lang w:val="en-GB"/>
        </w:rPr>
        <w:t>ent is defined as a person’s or a group’</w:t>
      </w:r>
      <w:r>
        <w:rPr>
          <w:rFonts w:asciiTheme="minorHAnsi" w:hAnsiTheme="minorHAnsi" w:cstheme="minorHAnsi"/>
          <w:sz w:val="24"/>
          <w:szCs w:val="24"/>
          <w:lang w:val="en-GB"/>
        </w:rPr>
        <w:t xml:space="preserve">s agreement, based on adequate </w:t>
      </w:r>
      <w:r w:rsidRPr="005D196A">
        <w:rPr>
          <w:rFonts w:asciiTheme="minorHAnsi" w:hAnsiTheme="minorHAnsi" w:cstheme="minorHAnsi"/>
          <w:sz w:val="24"/>
          <w:szCs w:val="24"/>
          <w:lang w:val="en-GB"/>
        </w:rPr>
        <w:t>knowledge and under</w:t>
      </w:r>
      <w:r>
        <w:rPr>
          <w:rFonts w:asciiTheme="minorHAnsi" w:hAnsiTheme="minorHAnsi" w:cstheme="minorHAnsi"/>
          <w:sz w:val="24"/>
          <w:szCs w:val="24"/>
          <w:lang w:val="en-GB"/>
        </w:rPr>
        <w:t>standing of relevant material.</w:t>
      </w:r>
      <w:r w:rsidRPr="001271F5">
        <w:rPr>
          <w:rStyle w:val="FootnoteReference"/>
          <w:rFonts w:asciiTheme="minorHAnsi" w:hAnsiTheme="minorHAnsi" w:cstheme="minorHAnsi"/>
          <w:lang w:val="en-GB"/>
        </w:rPr>
        <w:footnoteReference w:id="160"/>
      </w:r>
      <w:r w:rsidRPr="00E00120">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It involves explaining benefits and risk of transplantation to enable the potential recipient to provide informed consent. </w:t>
      </w:r>
    </w:p>
    <w:p w14:paraId="01CAEFAB" w14:textId="77777777" w:rsidR="00D72966" w:rsidRDefault="00D72966" w:rsidP="00D72966">
      <w:pPr>
        <w:spacing w:before="120" w:after="120"/>
        <w:rPr>
          <w:rFonts w:asciiTheme="minorHAnsi" w:hAnsiTheme="minorHAnsi" w:cstheme="minorHAnsi"/>
          <w:sz w:val="24"/>
          <w:szCs w:val="24"/>
          <w:lang w:val="en-GB"/>
        </w:rPr>
      </w:pPr>
      <w:r w:rsidRPr="00D44029">
        <w:rPr>
          <w:rFonts w:asciiTheme="minorHAnsi" w:hAnsiTheme="minorHAnsi" w:cstheme="minorHAnsi"/>
          <w:sz w:val="24"/>
          <w:szCs w:val="24"/>
          <w:lang w:val="en-GB"/>
        </w:rPr>
        <w:t xml:space="preserve">The </w:t>
      </w:r>
      <w:r>
        <w:rPr>
          <w:rFonts w:asciiTheme="minorHAnsi" w:hAnsiTheme="minorHAnsi" w:cstheme="minorHAnsi"/>
          <w:sz w:val="24"/>
          <w:szCs w:val="24"/>
          <w:lang w:val="en-GB"/>
        </w:rPr>
        <w:t xml:space="preserve">Clinical Guidelines state that where the </w:t>
      </w:r>
      <w:r w:rsidRPr="005D196A">
        <w:rPr>
          <w:rFonts w:asciiTheme="minorHAnsi" w:hAnsiTheme="minorHAnsi" w:cstheme="minorHAnsi"/>
          <w:sz w:val="24"/>
          <w:szCs w:val="24"/>
          <w:lang w:val="en-GB"/>
        </w:rPr>
        <w:t>acceptability of donor organs may pose an element of risk to the recipient</w:t>
      </w:r>
      <w:r>
        <w:rPr>
          <w:rFonts w:asciiTheme="minorHAnsi" w:hAnsiTheme="minorHAnsi" w:cstheme="minorHAnsi"/>
          <w:sz w:val="24"/>
          <w:szCs w:val="24"/>
          <w:lang w:val="en-GB"/>
        </w:rPr>
        <w:t xml:space="preserve">, acceptance and consent should be discussed with </w:t>
      </w:r>
      <w:r w:rsidRPr="005D196A">
        <w:rPr>
          <w:rFonts w:asciiTheme="minorHAnsi" w:hAnsiTheme="minorHAnsi" w:cstheme="minorHAnsi"/>
          <w:sz w:val="24"/>
          <w:szCs w:val="24"/>
          <w:lang w:val="en-GB"/>
        </w:rPr>
        <w:t>both the potential recipient and their carer at the time of wait</w:t>
      </w:r>
      <w:r>
        <w:rPr>
          <w:rFonts w:asciiTheme="minorHAnsi" w:hAnsiTheme="minorHAnsi" w:cstheme="minorHAnsi"/>
          <w:sz w:val="24"/>
          <w:szCs w:val="24"/>
          <w:lang w:val="en-GB"/>
        </w:rPr>
        <w:t xml:space="preserve"> </w:t>
      </w:r>
      <w:r w:rsidRPr="005D196A">
        <w:rPr>
          <w:rFonts w:asciiTheme="minorHAnsi" w:hAnsiTheme="minorHAnsi" w:cstheme="minorHAnsi"/>
          <w:sz w:val="24"/>
          <w:szCs w:val="24"/>
          <w:lang w:val="en-GB"/>
        </w:rPr>
        <w:t>listing (rather than at the ti</w:t>
      </w:r>
      <w:r>
        <w:rPr>
          <w:rFonts w:asciiTheme="minorHAnsi" w:hAnsiTheme="minorHAnsi" w:cstheme="minorHAnsi"/>
          <w:sz w:val="24"/>
          <w:szCs w:val="24"/>
          <w:lang w:val="en-GB"/>
        </w:rPr>
        <w:t>me of the organ offer). As part of this, t</w:t>
      </w:r>
      <w:r w:rsidRPr="005D196A">
        <w:rPr>
          <w:rFonts w:asciiTheme="minorHAnsi" w:hAnsiTheme="minorHAnsi" w:cstheme="minorHAnsi"/>
          <w:sz w:val="24"/>
          <w:szCs w:val="24"/>
          <w:lang w:val="en-GB"/>
        </w:rPr>
        <w:t>he provision of adequate counselling and education is critical to the potential r</w:t>
      </w:r>
      <w:r>
        <w:rPr>
          <w:rFonts w:asciiTheme="minorHAnsi" w:hAnsiTheme="minorHAnsi" w:cstheme="minorHAnsi"/>
          <w:sz w:val="24"/>
          <w:szCs w:val="24"/>
          <w:lang w:val="en-GB"/>
        </w:rPr>
        <w:t xml:space="preserve">ecipient’s ability to consider </w:t>
      </w:r>
      <w:r w:rsidRPr="005D196A">
        <w:rPr>
          <w:rFonts w:asciiTheme="minorHAnsi" w:hAnsiTheme="minorHAnsi" w:cstheme="minorHAnsi"/>
          <w:sz w:val="24"/>
          <w:szCs w:val="24"/>
          <w:lang w:val="en-GB"/>
        </w:rPr>
        <w:t>their options and ultimately provide informed consent if they choose to proceed</w:t>
      </w:r>
      <w:r>
        <w:rPr>
          <w:rFonts w:asciiTheme="minorHAnsi" w:hAnsiTheme="minorHAnsi" w:cstheme="minorHAnsi"/>
          <w:sz w:val="24"/>
          <w:szCs w:val="24"/>
          <w:lang w:val="en-GB"/>
        </w:rPr>
        <w:t xml:space="preserve"> with transplantation in these </w:t>
      </w:r>
      <w:r w:rsidRPr="005D196A">
        <w:rPr>
          <w:rFonts w:asciiTheme="minorHAnsi" w:hAnsiTheme="minorHAnsi" w:cstheme="minorHAnsi"/>
          <w:sz w:val="24"/>
          <w:szCs w:val="24"/>
          <w:lang w:val="en-GB"/>
        </w:rPr>
        <w:t>circumstances.</w:t>
      </w:r>
      <w:r>
        <w:rPr>
          <w:rFonts w:asciiTheme="minorHAnsi" w:hAnsiTheme="minorHAnsi" w:cstheme="minorHAnsi"/>
          <w:sz w:val="24"/>
          <w:szCs w:val="24"/>
          <w:lang w:val="en-GB"/>
        </w:rPr>
        <w:t xml:space="preserve"> </w:t>
      </w:r>
    </w:p>
    <w:p w14:paraId="615934D5" w14:textId="77777777" w:rsidR="00D72966" w:rsidRDefault="00D72966" w:rsidP="00D72966">
      <w:pPr>
        <w:spacing w:before="120" w:after="120"/>
        <w:rPr>
          <w:rFonts w:asciiTheme="minorHAnsi" w:hAnsiTheme="minorHAnsi" w:cstheme="minorHAnsi"/>
          <w:sz w:val="24"/>
          <w:szCs w:val="24"/>
          <w:lang w:val="en-GB"/>
        </w:rPr>
      </w:pPr>
      <w:r>
        <w:rPr>
          <w:rFonts w:asciiTheme="minorHAnsi" w:hAnsiTheme="minorHAnsi" w:cstheme="minorHAnsi"/>
          <w:sz w:val="24"/>
          <w:szCs w:val="24"/>
          <w:lang w:val="en-GB"/>
        </w:rPr>
        <w:t xml:space="preserve">The </w:t>
      </w:r>
      <w:r w:rsidRPr="00D44029">
        <w:rPr>
          <w:rFonts w:asciiTheme="minorHAnsi" w:hAnsiTheme="minorHAnsi" w:cstheme="minorHAnsi"/>
          <w:sz w:val="24"/>
          <w:szCs w:val="24"/>
          <w:lang w:val="en-GB"/>
        </w:rPr>
        <w:t>Review found that discussions with potential recipients concerning the acceptance and risks involved with the accept</w:t>
      </w:r>
      <w:r w:rsidR="00C65380">
        <w:rPr>
          <w:rFonts w:asciiTheme="minorHAnsi" w:hAnsiTheme="minorHAnsi" w:cstheme="minorHAnsi"/>
          <w:sz w:val="24"/>
          <w:szCs w:val="24"/>
          <w:lang w:val="en-GB"/>
        </w:rPr>
        <w:t xml:space="preserve">ance of </w:t>
      </w:r>
      <w:r>
        <w:rPr>
          <w:rFonts w:asciiTheme="minorHAnsi" w:hAnsiTheme="minorHAnsi" w:cstheme="minorHAnsi"/>
          <w:sz w:val="24"/>
          <w:szCs w:val="24"/>
          <w:lang w:val="en-GB"/>
        </w:rPr>
        <w:t>organs</w:t>
      </w:r>
      <w:r w:rsidR="00C65380">
        <w:rPr>
          <w:rFonts w:asciiTheme="minorHAnsi" w:hAnsiTheme="minorHAnsi" w:cstheme="minorHAnsi"/>
          <w:sz w:val="24"/>
          <w:szCs w:val="24"/>
          <w:lang w:val="en-GB"/>
        </w:rPr>
        <w:t xml:space="preserve"> donated by extended criteria organ donors</w:t>
      </w:r>
      <w:r>
        <w:rPr>
          <w:rFonts w:asciiTheme="minorHAnsi" w:hAnsiTheme="minorHAnsi" w:cstheme="minorHAnsi"/>
          <w:sz w:val="24"/>
          <w:szCs w:val="24"/>
          <w:lang w:val="en-GB"/>
        </w:rPr>
        <w:t xml:space="preserve"> did not always follow the Clinical Guidelines</w:t>
      </w:r>
      <w:r w:rsidRPr="00D44029">
        <w:rPr>
          <w:rFonts w:asciiTheme="minorHAnsi" w:hAnsiTheme="minorHAnsi" w:cstheme="minorHAnsi"/>
          <w:sz w:val="24"/>
          <w:szCs w:val="24"/>
          <w:lang w:val="en-GB"/>
        </w:rPr>
        <w:t>.</w:t>
      </w:r>
      <w:r>
        <w:rPr>
          <w:rFonts w:asciiTheme="minorHAnsi" w:hAnsiTheme="minorHAnsi" w:cstheme="minorHAnsi"/>
          <w:sz w:val="24"/>
          <w:szCs w:val="24"/>
          <w:lang w:val="en-GB"/>
        </w:rPr>
        <w:t xml:space="preserve"> It was reported by key stakeholders consulted in the Review that there was variability in the timing of the acceptance and consenting process, reducing the availability of access to educational resources and opportunity for the potential recipient to confirm their acceptance.</w:t>
      </w:r>
    </w:p>
    <w:p w14:paraId="364CB4AF" w14:textId="77777777" w:rsidR="00D72966" w:rsidRPr="00EF2596" w:rsidRDefault="00D72966" w:rsidP="00D72966">
      <w:pPr>
        <w:spacing w:after="120"/>
        <w:rPr>
          <w:rFonts w:asciiTheme="minorHAnsi" w:hAnsiTheme="minorHAnsi" w:cstheme="minorHAnsi"/>
          <w:sz w:val="24"/>
          <w:szCs w:val="24"/>
          <w:lang w:val="en-GB"/>
        </w:rPr>
      </w:pPr>
      <w:r w:rsidRPr="00EF2596">
        <w:rPr>
          <w:rFonts w:asciiTheme="minorHAnsi" w:hAnsiTheme="minorHAnsi" w:cstheme="minorHAnsi"/>
          <w:sz w:val="24"/>
          <w:szCs w:val="24"/>
          <w:lang w:val="en-GB"/>
        </w:rPr>
        <w:t xml:space="preserve">Stakeholders reported that outcomes from the use of </w:t>
      </w:r>
      <w:r>
        <w:rPr>
          <w:rFonts w:asciiTheme="minorHAnsi" w:hAnsiTheme="minorHAnsi" w:cstheme="minorHAnsi"/>
          <w:sz w:val="24"/>
          <w:szCs w:val="24"/>
          <w:lang w:val="en-GB"/>
        </w:rPr>
        <w:t>organs from extended criteria donors</w:t>
      </w:r>
      <w:r w:rsidRPr="00EF2596">
        <w:rPr>
          <w:rFonts w:asciiTheme="minorHAnsi" w:hAnsiTheme="minorHAnsi" w:cstheme="minorHAnsi"/>
          <w:sz w:val="24"/>
          <w:szCs w:val="24"/>
          <w:lang w:val="en-GB"/>
        </w:rPr>
        <w:t xml:space="preserve"> should also be made readily available to the public to facilitate informed decisions. The Review found that the collection of outcome data from the use of extended criteria donor organs is currently not available. Collection of outcome data is further discussed </w:t>
      </w:r>
      <w:r w:rsidRPr="00046411">
        <w:rPr>
          <w:rFonts w:asciiTheme="minorHAnsi" w:hAnsiTheme="minorHAnsi" w:cstheme="minorHAnsi"/>
          <w:sz w:val="24"/>
          <w:szCs w:val="24"/>
          <w:lang w:val="en-GB"/>
        </w:rPr>
        <w:t>in Section 7.1.1.</w:t>
      </w:r>
      <w:r w:rsidRPr="00EF2596">
        <w:rPr>
          <w:rFonts w:asciiTheme="minorHAnsi" w:hAnsiTheme="minorHAnsi" w:cstheme="minorHAnsi"/>
          <w:sz w:val="24"/>
          <w:szCs w:val="24"/>
          <w:lang w:val="en-GB"/>
        </w:rPr>
        <w:t xml:space="preserve"> </w:t>
      </w:r>
    </w:p>
    <w:p w14:paraId="37BC7E3C" w14:textId="77777777" w:rsidR="00D72966" w:rsidRPr="00266A77" w:rsidRDefault="00D72966" w:rsidP="00D72966">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 xml:space="preserve">Summary of key findings </w:t>
      </w:r>
    </w:p>
    <w:p w14:paraId="55438369" w14:textId="77777777" w:rsidR="00D72966" w:rsidRPr="00EF2596" w:rsidRDefault="00D72966" w:rsidP="00D72966">
      <w:pPr>
        <w:widowControl/>
        <w:numPr>
          <w:ilvl w:val="0"/>
          <w:numId w:val="18"/>
        </w:numPr>
        <w:autoSpaceDE/>
        <w:autoSpaceDN/>
        <w:adjustRightInd/>
        <w:spacing w:after="120"/>
        <w:ind w:left="357" w:hanging="357"/>
        <w:rPr>
          <w:rFonts w:asciiTheme="minorHAnsi" w:hAnsiTheme="minorHAnsi" w:cstheme="minorHAnsi"/>
          <w:sz w:val="24"/>
          <w:szCs w:val="24"/>
          <w:lang w:val="en-GB"/>
        </w:rPr>
      </w:pPr>
      <w:r w:rsidRPr="00EF2596">
        <w:rPr>
          <w:rFonts w:asciiTheme="minorHAnsi" w:hAnsiTheme="minorHAnsi" w:cstheme="minorHAnsi"/>
          <w:sz w:val="24"/>
          <w:szCs w:val="24"/>
          <w:lang w:val="en-GB"/>
        </w:rPr>
        <w:t>Advances in acceptability of organs by transplantation units has resulted in variability of acceptance practices</w:t>
      </w:r>
      <w:r>
        <w:rPr>
          <w:rFonts w:asciiTheme="minorHAnsi" w:hAnsiTheme="minorHAnsi" w:cstheme="minorHAnsi"/>
          <w:sz w:val="24"/>
          <w:szCs w:val="24"/>
          <w:lang w:val="en-GB"/>
        </w:rPr>
        <w:t xml:space="preserve"> for organs from extended criteria donors</w:t>
      </w:r>
      <w:r w:rsidRPr="00EF2596">
        <w:rPr>
          <w:rFonts w:asciiTheme="minorHAnsi" w:hAnsiTheme="minorHAnsi" w:cstheme="minorHAnsi"/>
          <w:sz w:val="24"/>
          <w:szCs w:val="24"/>
          <w:lang w:val="en-GB"/>
        </w:rPr>
        <w:t xml:space="preserve"> across jurisdictions.</w:t>
      </w:r>
    </w:p>
    <w:p w14:paraId="1A153527" w14:textId="77777777" w:rsidR="00D72966" w:rsidRDefault="00D72966" w:rsidP="00D72966">
      <w:pPr>
        <w:widowControl/>
        <w:numPr>
          <w:ilvl w:val="0"/>
          <w:numId w:val="18"/>
        </w:numPr>
        <w:autoSpaceDE/>
        <w:autoSpaceDN/>
        <w:adjustRightInd/>
        <w:spacing w:after="120"/>
        <w:ind w:left="357" w:hanging="357"/>
        <w:rPr>
          <w:rFonts w:asciiTheme="minorHAnsi" w:hAnsiTheme="minorHAnsi" w:cstheme="minorHAnsi"/>
          <w:szCs w:val="22"/>
          <w:lang w:val="en-GB"/>
        </w:rPr>
      </w:pPr>
      <w:r w:rsidRPr="00EF2596">
        <w:rPr>
          <w:rFonts w:asciiTheme="minorHAnsi" w:hAnsiTheme="minorHAnsi" w:cstheme="minorHAnsi"/>
          <w:sz w:val="24"/>
          <w:szCs w:val="24"/>
          <w:lang w:val="en-GB"/>
        </w:rPr>
        <w:t>More transplantation units are now considering a greater range of organs based on age</w:t>
      </w:r>
      <w:r>
        <w:rPr>
          <w:rFonts w:asciiTheme="minorHAnsi" w:hAnsiTheme="minorHAnsi" w:cstheme="minorHAnsi"/>
          <w:sz w:val="24"/>
          <w:szCs w:val="24"/>
          <w:lang w:val="en-GB"/>
        </w:rPr>
        <w:t>,</w:t>
      </w:r>
      <w:r w:rsidRPr="00EF2596">
        <w:rPr>
          <w:rFonts w:asciiTheme="minorHAnsi" w:hAnsiTheme="minorHAnsi" w:cstheme="minorHAnsi"/>
          <w:sz w:val="24"/>
          <w:szCs w:val="24"/>
          <w:lang w:val="en-GB"/>
        </w:rPr>
        <w:t xml:space="preserve"> as well as comorbidities and disease profiles.</w:t>
      </w:r>
    </w:p>
    <w:p w14:paraId="3AA4E31F" w14:textId="77777777" w:rsidR="00D72966" w:rsidRPr="00EB470B" w:rsidRDefault="00D72966" w:rsidP="00D72966">
      <w:pPr>
        <w:pStyle w:val="ListParagraph"/>
        <w:spacing w:after="120"/>
        <w:ind w:left="0"/>
        <w:rPr>
          <w:rFonts w:asciiTheme="minorHAnsi" w:hAnsiTheme="minorHAnsi" w:cstheme="minorHAnsi"/>
          <w:i/>
          <w:color w:val="808080" w:themeColor="background1" w:themeShade="80"/>
          <w:sz w:val="26"/>
          <w:szCs w:val="26"/>
        </w:rPr>
      </w:pPr>
      <w:r w:rsidRPr="00EB470B">
        <w:rPr>
          <w:rFonts w:asciiTheme="minorHAnsi" w:hAnsiTheme="minorHAnsi" w:cstheme="minorHAnsi"/>
          <w:i/>
          <w:color w:val="808080" w:themeColor="background1" w:themeShade="80"/>
          <w:sz w:val="26"/>
          <w:szCs w:val="26"/>
        </w:rPr>
        <w:t>Recommendations</w:t>
      </w:r>
    </w:p>
    <w:tbl>
      <w:tblPr>
        <w:tblStyle w:val="TableGrid"/>
        <w:tblW w:w="963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thirty six is that the OTA, through the TSANZ, should develop a clinical review process and optimise the use of extended criteria donated organs. Recommendation thirty seven is that the OTA, through the TSANZ, should develop a process to monitor the incidence of organ offer decline decisions and a process to clinically review those decisions."/>
      </w:tblPr>
      <w:tblGrid>
        <w:gridCol w:w="2268"/>
        <w:gridCol w:w="7371"/>
      </w:tblGrid>
      <w:tr w:rsidR="00D34CC1" w:rsidRPr="00F727BB" w14:paraId="61EA447B" w14:textId="77777777" w:rsidTr="00B65E19">
        <w:trPr>
          <w:trHeight w:val="67"/>
          <w:tblHeader/>
        </w:trPr>
        <w:tc>
          <w:tcPr>
            <w:tcW w:w="2268" w:type="dxa"/>
            <w:shd w:val="clear" w:color="auto" w:fill="595959" w:themeFill="text1" w:themeFillTint="A6"/>
          </w:tcPr>
          <w:p w14:paraId="176E79AA" w14:textId="7C6E52AE" w:rsidR="00D34CC1" w:rsidRPr="00EF2596" w:rsidRDefault="00D34CC1" w:rsidP="00D34CC1">
            <w:pPr>
              <w:spacing w:after="120"/>
              <w:ind w:right="-321"/>
              <w:rPr>
                <w:rFonts w:asciiTheme="minorHAnsi" w:hAnsiTheme="minorHAnsi" w:cstheme="minorHAnsi"/>
                <w:b/>
                <w:sz w:val="24"/>
                <w:szCs w:val="24"/>
                <w:lang w:val="en-GB"/>
              </w:rPr>
            </w:pPr>
            <w:r>
              <w:rPr>
                <w:rFonts w:asciiTheme="minorHAnsi" w:hAnsiTheme="minorHAnsi" w:cstheme="minorHAnsi"/>
                <w:b/>
                <w:color w:val="FFFFFF" w:themeColor="background1"/>
                <w:sz w:val="24"/>
                <w:szCs w:val="22"/>
                <w:lang w:val="en-GB"/>
              </w:rPr>
              <w:t>Recommendation</w:t>
            </w:r>
          </w:p>
        </w:tc>
        <w:tc>
          <w:tcPr>
            <w:tcW w:w="7371" w:type="dxa"/>
            <w:shd w:val="clear" w:color="auto" w:fill="595959" w:themeFill="text1" w:themeFillTint="A6"/>
          </w:tcPr>
          <w:p w14:paraId="043E37AB" w14:textId="2F66DF23" w:rsidR="00D34CC1" w:rsidRDefault="00D34CC1" w:rsidP="00D34CC1">
            <w:pPr>
              <w:spacing w:after="120"/>
              <w:rPr>
                <w:rFonts w:asciiTheme="minorHAnsi" w:hAnsiTheme="minorHAnsi" w:cstheme="minorHAnsi"/>
                <w:sz w:val="24"/>
                <w:szCs w:val="24"/>
                <w:lang w:val="en-GB"/>
              </w:rPr>
            </w:pPr>
            <w:r>
              <w:rPr>
                <w:rFonts w:asciiTheme="minorHAnsi" w:hAnsiTheme="minorHAnsi" w:cstheme="minorHAnsi"/>
                <w:b/>
                <w:color w:val="FFFFFF" w:themeColor="background1"/>
                <w:sz w:val="24"/>
                <w:szCs w:val="22"/>
                <w:lang w:val="en-GB"/>
              </w:rPr>
              <w:t>Description</w:t>
            </w:r>
          </w:p>
        </w:tc>
      </w:tr>
      <w:tr w:rsidR="00D34CC1" w:rsidRPr="00F727BB" w14:paraId="00B31FA8" w14:textId="77777777" w:rsidTr="00AE3ED1">
        <w:trPr>
          <w:trHeight w:val="337"/>
        </w:trPr>
        <w:tc>
          <w:tcPr>
            <w:tcW w:w="2268" w:type="dxa"/>
          </w:tcPr>
          <w:p w14:paraId="62AA00D0" w14:textId="77777777" w:rsidR="00D34CC1" w:rsidRPr="00EF2596" w:rsidRDefault="00D34CC1" w:rsidP="00AE3ED1">
            <w:pPr>
              <w:spacing w:after="120"/>
              <w:ind w:right="-321"/>
              <w:rPr>
                <w:rFonts w:asciiTheme="minorHAnsi" w:hAnsiTheme="minorHAnsi" w:cstheme="minorHAnsi"/>
                <w:b/>
                <w:sz w:val="24"/>
                <w:szCs w:val="24"/>
                <w:lang w:val="en-GB"/>
              </w:rPr>
            </w:pPr>
            <w:r w:rsidRPr="00EF2596">
              <w:rPr>
                <w:rFonts w:asciiTheme="minorHAnsi" w:hAnsiTheme="minorHAnsi" w:cstheme="minorHAnsi"/>
                <w:b/>
                <w:sz w:val="24"/>
                <w:szCs w:val="24"/>
                <w:lang w:val="en-GB"/>
              </w:rPr>
              <w:t>Recommendation 3</w:t>
            </w:r>
            <w:r>
              <w:rPr>
                <w:rFonts w:asciiTheme="minorHAnsi" w:hAnsiTheme="minorHAnsi" w:cstheme="minorHAnsi"/>
                <w:b/>
                <w:sz w:val="24"/>
                <w:szCs w:val="24"/>
                <w:lang w:val="en-GB"/>
              </w:rPr>
              <w:t>6</w:t>
            </w:r>
          </w:p>
        </w:tc>
        <w:tc>
          <w:tcPr>
            <w:tcW w:w="7371" w:type="dxa"/>
          </w:tcPr>
          <w:p w14:paraId="2EEE22A0" w14:textId="77777777" w:rsidR="00D34CC1" w:rsidRPr="00EF2596" w:rsidRDefault="00D34CC1" w:rsidP="00AE3ED1">
            <w:pPr>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The </w:t>
            </w:r>
            <w:r w:rsidRPr="00EF2596">
              <w:rPr>
                <w:rFonts w:asciiTheme="minorHAnsi" w:hAnsiTheme="minorHAnsi" w:cstheme="minorHAnsi"/>
                <w:sz w:val="24"/>
                <w:szCs w:val="24"/>
                <w:lang w:val="en-GB"/>
              </w:rPr>
              <w:t>OTA</w:t>
            </w:r>
            <w:r>
              <w:rPr>
                <w:rFonts w:asciiTheme="minorHAnsi" w:hAnsiTheme="minorHAnsi" w:cstheme="minorHAnsi"/>
                <w:sz w:val="24"/>
                <w:szCs w:val="24"/>
                <w:lang w:val="en-GB"/>
              </w:rPr>
              <w:t>, through the TSANZ,</w:t>
            </w:r>
            <w:r w:rsidRPr="00EF2596">
              <w:rPr>
                <w:rFonts w:asciiTheme="minorHAnsi" w:hAnsiTheme="minorHAnsi" w:cstheme="minorHAnsi"/>
                <w:sz w:val="24"/>
                <w:szCs w:val="24"/>
                <w:lang w:val="en-GB"/>
              </w:rPr>
              <w:t xml:space="preserve"> </w:t>
            </w:r>
            <w:r>
              <w:rPr>
                <w:rFonts w:asciiTheme="minorHAnsi" w:hAnsiTheme="minorHAnsi" w:cstheme="minorHAnsi"/>
                <w:sz w:val="24"/>
                <w:szCs w:val="24"/>
                <w:lang w:val="en-GB"/>
              </w:rPr>
              <w:t>should</w:t>
            </w:r>
            <w:r w:rsidRPr="00EF2596">
              <w:rPr>
                <w:rFonts w:asciiTheme="minorHAnsi" w:hAnsiTheme="minorHAnsi" w:cstheme="minorHAnsi"/>
                <w:sz w:val="24"/>
                <w:szCs w:val="24"/>
                <w:lang w:val="en-GB"/>
              </w:rPr>
              <w:t xml:space="preserve"> develop a clinical review process </w:t>
            </w:r>
            <w:r>
              <w:rPr>
                <w:rFonts w:asciiTheme="minorHAnsi" w:hAnsiTheme="minorHAnsi" w:cstheme="minorHAnsi"/>
                <w:sz w:val="24"/>
                <w:szCs w:val="24"/>
                <w:lang w:val="en-GB"/>
              </w:rPr>
              <w:t xml:space="preserve">and </w:t>
            </w:r>
            <w:r w:rsidRPr="00EF2596">
              <w:rPr>
                <w:rFonts w:asciiTheme="minorHAnsi" w:hAnsiTheme="minorHAnsi" w:cstheme="minorHAnsi"/>
                <w:sz w:val="24"/>
                <w:szCs w:val="24"/>
                <w:lang w:val="en-GB"/>
              </w:rPr>
              <w:t>optimise the use of extended criteria donated organs.</w:t>
            </w:r>
          </w:p>
        </w:tc>
      </w:tr>
      <w:tr w:rsidR="00D34CC1" w:rsidRPr="00F727BB" w14:paraId="3C3532F5" w14:textId="77777777" w:rsidTr="00AE3ED1">
        <w:trPr>
          <w:trHeight w:val="68"/>
        </w:trPr>
        <w:tc>
          <w:tcPr>
            <w:tcW w:w="2268" w:type="dxa"/>
          </w:tcPr>
          <w:p w14:paraId="72D2271A" w14:textId="77777777" w:rsidR="00D34CC1" w:rsidRPr="00EF2596" w:rsidRDefault="00D34CC1" w:rsidP="00AE3ED1">
            <w:pPr>
              <w:spacing w:after="120"/>
              <w:ind w:right="-321"/>
              <w:rPr>
                <w:rFonts w:asciiTheme="minorHAnsi" w:hAnsiTheme="minorHAnsi" w:cstheme="minorHAnsi"/>
                <w:b/>
                <w:sz w:val="24"/>
                <w:szCs w:val="24"/>
                <w:lang w:val="en-GB"/>
              </w:rPr>
            </w:pPr>
            <w:r w:rsidRPr="00EF2596">
              <w:rPr>
                <w:rFonts w:asciiTheme="minorHAnsi" w:hAnsiTheme="minorHAnsi" w:cstheme="minorHAnsi"/>
                <w:b/>
                <w:sz w:val="24"/>
                <w:szCs w:val="24"/>
                <w:lang w:val="en-GB"/>
              </w:rPr>
              <w:t>Recommendation 3</w:t>
            </w:r>
            <w:r>
              <w:rPr>
                <w:rFonts w:asciiTheme="minorHAnsi" w:hAnsiTheme="minorHAnsi" w:cstheme="minorHAnsi"/>
                <w:b/>
                <w:sz w:val="24"/>
                <w:szCs w:val="24"/>
                <w:lang w:val="en-GB"/>
              </w:rPr>
              <w:t>7</w:t>
            </w:r>
          </w:p>
        </w:tc>
        <w:tc>
          <w:tcPr>
            <w:tcW w:w="7371" w:type="dxa"/>
          </w:tcPr>
          <w:p w14:paraId="563B4E3C" w14:textId="470E64A4" w:rsidR="00D34CC1" w:rsidRPr="00EF2596" w:rsidRDefault="00D34CC1" w:rsidP="00AE3ED1">
            <w:pPr>
              <w:spacing w:after="120"/>
              <w:ind w:right="-142"/>
              <w:rPr>
                <w:rFonts w:asciiTheme="minorHAnsi" w:hAnsiTheme="minorHAnsi" w:cstheme="minorHAnsi"/>
                <w:sz w:val="24"/>
                <w:szCs w:val="24"/>
                <w:lang w:val="en-GB"/>
              </w:rPr>
            </w:pPr>
            <w:r w:rsidRPr="00D069CA">
              <w:rPr>
                <w:rFonts w:asciiTheme="minorHAnsi" w:hAnsiTheme="minorHAnsi" w:cstheme="minorHAnsi"/>
                <w:sz w:val="24"/>
                <w:szCs w:val="24"/>
                <w:lang w:val="en-GB"/>
              </w:rPr>
              <w:t>The OTA, through the TSANZ, should develop a process to monitor the incidence of organ offer decline decisions and a process to clinically review those decisions.</w:t>
            </w:r>
          </w:p>
        </w:tc>
      </w:tr>
    </w:tbl>
    <w:p w14:paraId="4ECCA3BA" w14:textId="77777777" w:rsidR="006F4E24" w:rsidRDefault="006F4E24" w:rsidP="006F4E24">
      <w:pPr>
        <w:pStyle w:val="Heading2"/>
        <w:tabs>
          <w:tab w:val="clear" w:pos="1559"/>
          <w:tab w:val="num" w:pos="993"/>
        </w:tabs>
        <w:spacing w:before="240"/>
        <w:ind w:left="992" w:hanging="992"/>
        <w:rPr>
          <w:rFonts w:asciiTheme="minorHAnsi" w:hAnsiTheme="minorHAnsi" w:cstheme="minorHAnsi"/>
          <w:iCs/>
          <w:color w:val="7F7F7F" w:themeColor="text1" w:themeTint="80"/>
          <w:sz w:val="40"/>
          <w:szCs w:val="30"/>
        </w:rPr>
      </w:pPr>
      <w:bookmarkStart w:id="664" w:name="_Toc532301698"/>
      <w:r w:rsidRPr="00D44029">
        <w:rPr>
          <w:rFonts w:asciiTheme="minorHAnsi" w:hAnsiTheme="minorHAnsi" w:cstheme="minorHAnsi"/>
          <w:iCs/>
          <w:color w:val="7F7F7F" w:themeColor="text1" w:themeTint="80"/>
          <w:sz w:val="40"/>
          <w:szCs w:val="30"/>
        </w:rPr>
        <w:t xml:space="preserve">Element 6: </w:t>
      </w:r>
      <w:r w:rsidR="00C076F7">
        <w:rPr>
          <w:rFonts w:asciiTheme="minorHAnsi" w:hAnsiTheme="minorHAnsi" w:cstheme="minorHAnsi"/>
          <w:iCs/>
          <w:color w:val="7F7F7F" w:themeColor="text1" w:themeTint="80"/>
          <w:sz w:val="40"/>
          <w:szCs w:val="30"/>
        </w:rPr>
        <w:t>R</w:t>
      </w:r>
      <w:r w:rsidRPr="00D44029">
        <w:rPr>
          <w:rFonts w:asciiTheme="minorHAnsi" w:hAnsiTheme="minorHAnsi" w:cstheme="minorHAnsi"/>
          <w:iCs/>
          <w:color w:val="7F7F7F" w:themeColor="text1" w:themeTint="80"/>
          <w:sz w:val="40"/>
          <w:szCs w:val="30"/>
        </w:rPr>
        <w:t>etrieval</w:t>
      </w:r>
      <w:bookmarkEnd w:id="663"/>
      <w:bookmarkEnd w:id="664"/>
    </w:p>
    <w:p w14:paraId="1BB1F342" w14:textId="77777777" w:rsidR="006F4E24" w:rsidRDefault="006F4E24" w:rsidP="006F4E24">
      <w:pPr>
        <w:spacing w:after="120"/>
        <w:rPr>
          <w:rFonts w:asciiTheme="minorHAnsi" w:hAnsiTheme="minorHAnsi" w:cstheme="minorHAnsi"/>
          <w:sz w:val="24"/>
          <w:szCs w:val="22"/>
          <w:lang w:val="en-GB"/>
        </w:rPr>
      </w:pPr>
      <w:r>
        <w:rPr>
          <w:rFonts w:asciiTheme="minorHAnsi" w:hAnsiTheme="minorHAnsi" w:cstheme="minorHAnsi"/>
          <w:sz w:val="24"/>
          <w:szCs w:val="22"/>
          <w:lang w:val="en-GB"/>
        </w:rPr>
        <w:t>For element 6, the findings of the Review relate to:</w:t>
      </w:r>
    </w:p>
    <w:p w14:paraId="14CDF8E8" w14:textId="77777777" w:rsidR="006F4E24" w:rsidRDefault="006F4E24" w:rsidP="006F4E24">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 xml:space="preserve">The operation of the retrieval system </w:t>
      </w:r>
      <w:r w:rsidRPr="00937DEE">
        <w:rPr>
          <w:rFonts w:asciiTheme="minorHAnsi" w:hAnsiTheme="minorHAnsi" w:cstheme="minorHAnsi"/>
          <w:sz w:val="24"/>
          <w:szCs w:val="22"/>
          <w:lang w:val="en-GB"/>
        </w:rPr>
        <w:t>(Section</w:t>
      </w:r>
      <w:r w:rsidR="00046411">
        <w:rPr>
          <w:rFonts w:asciiTheme="minorHAnsi" w:hAnsiTheme="minorHAnsi" w:cstheme="minorHAnsi"/>
          <w:sz w:val="24"/>
          <w:szCs w:val="22"/>
          <w:lang w:val="en-GB"/>
        </w:rPr>
        <w:t xml:space="preserve"> 6.6.1</w:t>
      </w:r>
      <w:r w:rsidRPr="00937DEE">
        <w:rPr>
          <w:rFonts w:asciiTheme="minorHAnsi" w:hAnsiTheme="minorHAnsi" w:cstheme="minorHAnsi"/>
          <w:sz w:val="24"/>
          <w:szCs w:val="22"/>
          <w:lang w:val="en-GB"/>
        </w:rPr>
        <w:t>)</w:t>
      </w:r>
    </w:p>
    <w:p w14:paraId="3CD28C29" w14:textId="77777777" w:rsidR="006F4E24" w:rsidRPr="00937DEE" w:rsidRDefault="006F4E24" w:rsidP="006F4E24">
      <w:pPr>
        <w:widowControl/>
        <w:numPr>
          <w:ilvl w:val="0"/>
          <w:numId w:val="18"/>
        </w:numPr>
        <w:autoSpaceDE/>
        <w:autoSpaceDN/>
        <w:adjustRightInd/>
        <w:spacing w:after="120"/>
        <w:ind w:left="357" w:hanging="357"/>
        <w:rPr>
          <w:rFonts w:asciiTheme="minorHAnsi" w:hAnsiTheme="minorHAnsi" w:cstheme="minorHAnsi"/>
          <w:sz w:val="24"/>
          <w:szCs w:val="22"/>
          <w:lang w:val="en-GB"/>
        </w:rPr>
      </w:pPr>
      <w:r>
        <w:rPr>
          <w:rFonts w:asciiTheme="minorHAnsi" w:hAnsiTheme="minorHAnsi" w:cstheme="minorHAnsi"/>
          <w:sz w:val="24"/>
          <w:szCs w:val="22"/>
          <w:lang w:val="en-GB"/>
        </w:rPr>
        <w:t xml:space="preserve">The use of ex vivo perfusion technology to support transportation and enhancement of </w:t>
      </w:r>
      <w:r w:rsidR="00FE692F">
        <w:rPr>
          <w:rFonts w:asciiTheme="minorHAnsi" w:hAnsiTheme="minorHAnsi" w:cstheme="minorHAnsi"/>
          <w:sz w:val="24"/>
          <w:szCs w:val="22"/>
          <w:lang w:val="en-GB"/>
        </w:rPr>
        <w:t xml:space="preserve">donated </w:t>
      </w:r>
      <w:r>
        <w:rPr>
          <w:rFonts w:asciiTheme="minorHAnsi" w:hAnsiTheme="minorHAnsi" w:cstheme="minorHAnsi"/>
          <w:sz w:val="24"/>
          <w:szCs w:val="22"/>
          <w:lang w:val="en-GB"/>
        </w:rPr>
        <w:t xml:space="preserve">organ quality </w:t>
      </w:r>
      <w:r w:rsidRPr="00937DEE">
        <w:rPr>
          <w:rFonts w:asciiTheme="minorHAnsi" w:hAnsiTheme="minorHAnsi" w:cstheme="minorHAnsi"/>
          <w:sz w:val="24"/>
          <w:szCs w:val="22"/>
          <w:lang w:val="en-GB"/>
        </w:rPr>
        <w:t>(Section</w:t>
      </w:r>
      <w:r>
        <w:rPr>
          <w:rFonts w:asciiTheme="minorHAnsi" w:hAnsiTheme="minorHAnsi" w:cstheme="minorHAnsi"/>
          <w:sz w:val="24"/>
          <w:szCs w:val="22"/>
          <w:lang w:val="en-GB"/>
        </w:rPr>
        <w:t xml:space="preserve"> </w:t>
      </w:r>
      <w:r w:rsidR="00046411">
        <w:rPr>
          <w:rFonts w:asciiTheme="minorHAnsi" w:hAnsiTheme="minorHAnsi" w:cstheme="minorHAnsi"/>
          <w:sz w:val="24"/>
          <w:szCs w:val="22"/>
          <w:lang w:val="en-GB"/>
        </w:rPr>
        <w:t>6.6.2</w:t>
      </w:r>
      <w:r w:rsidRPr="00937DEE">
        <w:rPr>
          <w:rFonts w:asciiTheme="minorHAnsi" w:hAnsiTheme="minorHAnsi" w:cstheme="minorHAnsi"/>
          <w:sz w:val="24"/>
          <w:szCs w:val="22"/>
          <w:lang w:val="en-GB"/>
        </w:rPr>
        <w:t>)</w:t>
      </w:r>
      <w:r w:rsidR="007272AE">
        <w:rPr>
          <w:rFonts w:asciiTheme="minorHAnsi" w:hAnsiTheme="minorHAnsi" w:cstheme="minorHAnsi"/>
          <w:sz w:val="24"/>
          <w:szCs w:val="22"/>
          <w:lang w:val="en-GB"/>
        </w:rPr>
        <w:t>.</w:t>
      </w:r>
    </w:p>
    <w:p w14:paraId="7457DD5A" w14:textId="77777777" w:rsidR="006F4E24" w:rsidRPr="00D44029" w:rsidRDefault="006F4E24" w:rsidP="006F4E24">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665" w:name="_Ref527632015"/>
      <w:r w:rsidRPr="00D44029">
        <w:rPr>
          <w:rFonts w:asciiTheme="minorHAnsi" w:hAnsiTheme="minorHAnsi" w:cstheme="minorHAnsi"/>
          <w:b w:val="0"/>
          <w:color w:val="7F7F7F" w:themeColor="text1" w:themeTint="80"/>
          <w:sz w:val="30"/>
          <w:szCs w:val="30"/>
        </w:rPr>
        <w:t>The operation of the retrieval system</w:t>
      </w:r>
      <w:bookmarkEnd w:id="665"/>
    </w:p>
    <w:p w14:paraId="69D3CB71" w14:textId="77777777" w:rsidR="006F4E24" w:rsidRPr="001271F5" w:rsidRDefault="006F4E24" w:rsidP="006F4E24">
      <w:pPr>
        <w:spacing w:after="120"/>
        <w:rPr>
          <w:rFonts w:asciiTheme="minorHAnsi" w:hAnsiTheme="minorHAnsi" w:cstheme="minorHAnsi"/>
          <w:i/>
          <w:color w:val="808080" w:themeColor="background1" w:themeShade="80"/>
          <w:sz w:val="26"/>
          <w:szCs w:val="26"/>
        </w:rPr>
      </w:pPr>
      <w:r w:rsidRPr="00D44029">
        <w:rPr>
          <w:rFonts w:asciiTheme="minorHAnsi" w:hAnsiTheme="minorHAnsi" w:cstheme="minorHAnsi"/>
          <w:i/>
          <w:color w:val="808080" w:themeColor="background1" w:themeShade="80"/>
          <w:sz w:val="26"/>
          <w:szCs w:val="26"/>
        </w:rPr>
        <w:t>Discussion of findings</w:t>
      </w:r>
    </w:p>
    <w:p w14:paraId="7D3090BA" w14:textId="0E37C0BF" w:rsidR="006F4E24" w:rsidRDefault="00D72966" w:rsidP="006F4E24">
      <w:pPr>
        <w:spacing w:after="120"/>
        <w:rPr>
          <w:rFonts w:asciiTheme="minorHAnsi" w:hAnsiTheme="minorHAnsi" w:cstheme="minorHAnsi"/>
          <w:sz w:val="24"/>
          <w:szCs w:val="22"/>
        </w:rPr>
      </w:pPr>
      <w:r>
        <w:rPr>
          <w:rFonts w:asciiTheme="minorHAnsi" w:hAnsiTheme="minorHAnsi" w:cstheme="minorHAnsi"/>
          <w:sz w:val="24"/>
          <w:szCs w:val="22"/>
        </w:rPr>
        <w:t xml:space="preserve">For every confirmed donation, a retrieval team is assigned to undertake the retrieval surgery. </w:t>
      </w:r>
      <w:r w:rsidR="006F4E24">
        <w:rPr>
          <w:rFonts w:asciiTheme="minorHAnsi" w:hAnsiTheme="minorHAnsi" w:cstheme="minorHAnsi"/>
          <w:sz w:val="24"/>
          <w:szCs w:val="22"/>
        </w:rPr>
        <w:t>The Review found that the increasing volume of organ donations</w:t>
      </w:r>
      <w:r w:rsidR="0049514D">
        <w:rPr>
          <w:rFonts w:asciiTheme="minorHAnsi" w:hAnsiTheme="minorHAnsi" w:cstheme="minorHAnsi"/>
          <w:sz w:val="24"/>
          <w:szCs w:val="22"/>
        </w:rPr>
        <w:t>, as discussed in Section 6.2.1,</w:t>
      </w:r>
      <w:r w:rsidR="006F4E24">
        <w:rPr>
          <w:rFonts w:asciiTheme="minorHAnsi" w:hAnsiTheme="minorHAnsi" w:cstheme="minorHAnsi"/>
          <w:sz w:val="24"/>
          <w:szCs w:val="22"/>
        </w:rPr>
        <w:t xml:space="preserve"> has placed pressure on retrieval teams across the country</w:t>
      </w:r>
      <w:r>
        <w:rPr>
          <w:rFonts w:asciiTheme="minorHAnsi" w:hAnsiTheme="minorHAnsi" w:cstheme="minorHAnsi"/>
          <w:sz w:val="24"/>
          <w:szCs w:val="22"/>
        </w:rPr>
        <w:t xml:space="preserve">. As captured in </w:t>
      </w:r>
      <w:r w:rsidR="0002606E">
        <w:rPr>
          <w:rFonts w:asciiTheme="minorHAnsi" w:hAnsiTheme="minorHAnsi" w:cstheme="minorHAnsi"/>
          <w:sz w:val="24"/>
          <w:szCs w:val="22"/>
        </w:rPr>
        <w:fldChar w:fldCharType="begin"/>
      </w:r>
      <w:r w:rsidR="0002606E">
        <w:rPr>
          <w:rFonts w:asciiTheme="minorHAnsi" w:hAnsiTheme="minorHAnsi" w:cstheme="minorHAnsi"/>
          <w:sz w:val="24"/>
          <w:szCs w:val="22"/>
        </w:rPr>
        <w:instrText xml:space="preserve"> REF _Ref529365796 \h  \* MERGEFORMAT </w:instrText>
      </w:r>
      <w:r w:rsidR="0002606E">
        <w:rPr>
          <w:rFonts w:asciiTheme="minorHAnsi" w:hAnsiTheme="minorHAnsi" w:cstheme="minorHAnsi"/>
          <w:sz w:val="24"/>
          <w:szCs w:val="22"/>
        </w:rPr>
      </w:r>
      <w:r w:rsidR="0002606E">
        <w:rPr>
          <w:rFonts w:asciiTheme="minorHAnsi" w:hAnsiTheme="minorHAnsi" w:cstheme="minorHAnsi"/>
          <w:sz w:val="24"/>
          <w:szCs w:val="22"/>
        </w:rPr>
        <w:fldChar w:fldCharType="separate"/>
      </w:r>
      <w:r w:rsidR="00A04048" w:rsidRPr="00C75FAB">
        <w:rPr>
          <w:rFonts w:asciiTheme="minorHAnsi" w:hAnsiTheme="minorHAnsi" w:cstheme="minorHAnsi"/>
          <w:sz w:val="24"/>
          <w:szCs w:val="22"/>
        </w:rPr>
        <w:t>Figure 26</w:t>
      </w:r>
      <w:r w:rsidR="0002606E">
        <w:rPr>
          <w:rFonts w:asciiTheme="minorHAnsi" w:hAnsiTheme="minorHAnsi" w:cstheme="minorHAnsi"/>
          <w:sz w:val="24"/>
          <w:szCs w:val="22"/>
        </w:rPr>
        <w:fldChar w:fldCharType="end"/>
      </w:r>
      <w:r>
        <w:rPr>
          <w:rFonts w:asciiTheme="minorHAnsi" w:hAnsiTheme="minorHAnsi" w:cstheme="minorHAnsi"/>
          <w:sz w:val="24"/>
          <w:szCs w:val="22"/>
        </w:rPr>
        <w:t xml:space="preserve">, retrieval procedures have steadily increased from 2009, and a positive trajectory is projected for the future. </w:t>
      </w:r>
      <w:r w:rsidR="0049514D">
        <w:rPr>
          <w:rFonts w:asciiTheme="minorHAnsi" w:hAnsiTheme="minorHAnsi" w:cstheme="minorHAnsi"/>
          <w:sz w:val="24"/>
          <w:szCs w:val="22"/>
        </w:rPr>
        <w:t xml:space="preserve">There are currently </w:t>
      </w:r>
      <w:r w:rsidR="006F4E24">
        <w:rPr>
          <w:rFonts w:asciiTheme="minorHAnsi" w:hAnsiTheme="minorHAnsi" w:cstheme="minorHAnsi"/>
          <w:sz w:val="24"/>
          <w:szCs w:val="22"/>
        </w:rPr>
        <w:t>limited national strategies and resources</w:t>
      </w:r>
      <w:r w:rsidR="0049514D">
        <w:rPr>
          <w:rFonts w:asciiTheme="minorHAnsi" w:hAnsiTheme="minorHAnsi" w:cstheme="minorHAnsi"/>
          <w:sz w:val="24"/>
          <w:szCs w:val="22"/>
        </w:rPr>
        <w:t xml:space="preserve"> in place to manage this additional demand, and the Review found that this poses a potential risk to the quality and safety of retrieval services. </w:t>
      </w:r>
      <w:r w:rsidR="006F4E24">
        <w:rPr>
          <w:rFonts w:asciiTheme="minorHAnsi" w:hAnsiTheme="minorHAnsi" w:cstheme="minorHAnsi"/>
          <w:sz w:val="24"/>
          <w:szCs w:val="22"/>
        </w:rPr>
        <w:t xml:space="preserve"> </w:t>
      </w:r>
    </w:p>
    <w:p w14:paraId="4B2D383D" w14:textId="77777777" w:rsidR="0028687B" w:rsidRPr="00EF2596" w:rsidRDefault="0028687B" w:rsidP="00EF2596">
      <w:pPr>
        <w:pStyle w:val="Caption"/>
        <w:keepNext/>
        <w:spacing w:after="120"/>
        <w:rPr>
          <w:rFonts w:asciiTheme="minorHAnsi" w:hAnsiTheme="minorHAnsi" w:cstheme="minorHAnsi"/>
          <w:color w:val="808080"/>
          <w:sz w:val="20"/>
        </w:rPr>
      </w:pPr>
      <w:bookmarkStart w:id="666" w:name="_Ref529365796"/>
      <w:r w:rsidRPr="00EF2596">
        <w:rPr>
          <w:rFonts w:asciiTheme="minorHAnsi" w:hAnsiTheme="minorHAnsi" w:cstheme="minorHAnsi"/>
          <w:b w:val="0"/>
          <w:color w:val="808080"/>
          <w:sz w:val="20"/>
        </w:rPr>
        <w:t xml:space="preserve">Figure </w:t>
      </w:r>
      <w:r w:rsidRPr="00EF2596">
        <w:rPr>
          <w:rFonts w:asciiTheme="minorHAnsi" w:hAnsiTheme="minorHAnsi" w:cstheme="minorHAnsi"/>
          <w:b w:val="0"/>
          <w:color w:val="808080"/>
          <w:sz w:val="20"/>
        </w:rPr>
        <w:fldChar w:fldCharType="begin"/>
      </w:r>
      <w:r w:rsidRPr="00EF2596">
        <w:rPr>
          <w:rFonts w:asciiTheme="minorHAnsi" w:hAnsiTheme="minorHAnsi" w:cstheme="minorHAnsi"/>
          <w:b w:val="0"/>
          <w:color w:val="808080"/>
          <w:sz w:val="20"/>
        </w:rPr>
        <w:instrText xml:space="preserve"> SEQ Figure \* ARABIC </w:instrText>
      </w:r>
      <w:r w:rsidRPr="00EF2596">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26</w:t>
      </w:r>
      <w:r w:rsidRPr="00EF2596">
        <w:rPr>
          <w:rFonts w:asciiTheme="minorHAnsi" w:hAnsiTheme="minorHAnsi" w:cstheme="minorHAnsi"/>
          <w:b w:val="0"/>
          <w:color w:val="808080"/>
          <w:sz w:val="20"/>
        </w:rPr>
        <w:fldChar w:fldCharType="end"/>
      </w:r>
      <w:bookmarkEnd w:id="666"/>
      <w:r w:rsidRPr="00EF2596">
        <w:rPr>
          <w:rFonts w:asciiTheme="minorHAnsi" w:hAnsiTheme="minorHAnsi" w:cstheme="minorHAnsi"/>
          <w:b w:val="0"/>
          <w:color w:val="808080"/>
          <w:sz w:val="20"/>
        </w:rPr>
        <w:t>: Number of retrieval procedures performed each year since 2009</w:t>
      </w:r>
      <w:r w:rsidR="00265C4E">
        <w:rPr>
          <w:rFonts w:asciiTheme="minorHAnsi" w:hAnsiTheme="minorHAnsi" w:cstheme="minorHAnsi"/>
          <w:b w:val="0"/>
          <w:color w:val="808080"/>
          <w:sz w:val="20"/>
        </w:rPr>
        <w:t xml:space="preserve">, SOURCE: </w:t>
      </w:r>
      <w:r w:rsidR="00771B54">
        <w:rPr>
          <w:rFonts w:asciiTheme="minorHAnsi" w:hAnsiTheme="minorHAnsi" w:cstheme="minorHAnsi"/>
          <w:b w:val="0"/>
          <w:color w:val="808080"/>
          <w:sz w:val="20"/>
        </w:rPr>
        <w:t>ANZOD</w:t>
      </w:r>
      <w:r w:rsidR="00265C4E">
        <w:rPr>
          <w:rStyle w:val="FootnoteReference"/>
          <w:rFonts w:cstheme="minorHAnsi"/>
          <w:b w:val="0"/>
          <w:color w:val="808080"/>
        </w:rPr>
        <w:footnoteReference w:id="161"/>
      </w:r>
    </w:p>
    <w:p w14:paraId="20D361FD" w14:textId="77777777" w:rsidR="008E3328" w:rsidRDefault="008E3328" w:rsidP="007B43EF">
      <w:pPr>
        <w:keepNext/>
        <w:spacing w:after="120"/>
        <w:rPr>
          <w:rFonts w:asciiTheme="minorHAnsi" w:hAnsiTheme="minorHAnsi" w:cstheme="minorHAnsi"/>
          <w:sz w:val="24"/>
          <w:szCs w:val="22"/>
        </w:rPr>
      </w:pPr>
      <w:r w:rsidRPr="008E3328">
        <w:rPr>
          <w:noProof/>
          <w:lang w:eastAsia="en-AU"/>
        </w:rPr>
        <w:drawing>
          <wp:inline distT="0" distB="0" distL="0" distR="0" wp14:anchorId="0AAE34BE" wp14:editId="15EB76C7">
            <wp:extent cx="5314950" cy="3025176"/>
            <wp:effectExtent l="0" t="0" r="0" b="0"/>
            <wp:docPr id="4107" name="Picture 4107" descr="Figure 26 is a line graph showing the number of retrieval procedures performed each year sinc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5679" cy="3042666"/>
                    </a:xfrm>
                    <a:prstGeom prst="rect">
                      <a:avLst/>
                    </a:prstGeom>
                    <a:noFill/>
                    <a:ln>
                      <a:noFill/>
                    </a:ln>
                  </pic:spPr>
                </pic:pic>
              </a:graphicData>
            </a:graphic>
          </wp:inline>
        </w:drawing>
      </w:r>
    </w:p>
    <w:p w14:paraId="58FE1FBC" w14:textId="0BEA18B6" w:rsidR="00A2027C" w:rsidRDefault="0002606E" w:rsidP="006F4E24">
      <w:pPr>
        <w:spacing w:after="120"/>
        <w:rPr>
          <w:rFonts w:asciiTheme="minorHAnsi" w:hAnsiTheme="minorHAnsi" w:cstheme="minorHAnsi"/>
          <w:sz w:val="24"/>
          <w:szCs w:val="22"/>
        </w:rPr>
      </w:pPr>
      <w:r>
        <w:rPr>
          <w:rFonts w:asciiTheme="minorHAnsi" w:hAnsiTheme="minorHAnsi" w:cstheme="minorHAnsi"/>
          <w:sz w:val="24"/>
          <w:szCs w:val="22"/>
        </w:rPr>
        <w:t xml:space="preserve">In addition </w:t>
      </w:r>
      <w:r w:rsidR="00C16B8B">
        <w:rPr>
          <w:rFonts w:asciiTheme="minorHAnsi" w:hAnsiTheme="minorHAnsi" w:cstheme="minorHAnsi"/>
          <w:sz w:val="24"/>
          <w:szCs w:val="22"/>
        </w:rPr>
        <w:t>to the increase in demand organ retrieval</w:t>
      </w:r>
      <w:r>
        <w:rPr>
          <w:rFonts w:asciiTheme="minorHAnsi" w:hAnsiTheme="minorHAnsi" w:cstheme="minorHAnsi"/>
          <w:sz w:val="24"/>
          <w:szCs w:val="22"/>
        </w:rPr>
        <w:t xml:space="preserve">s, an added complexity </w:t>
      </w:r>
      <w:r w:rsidR="00C16B8B">
        <w:rPr>
          <w:rFonts w:asciiTheme="minorHAnsi" w:hAnsiTheme="minorHAnsi" w:cstheme="minorHAnsi"/>
          <w:sz w:val="24"/>
          <w:szCs w:val="22"/>
        </w:rPr>
        <w:t>is that r</w:t>
      </w:r>
      <w:r w:rsidR="006F4E24">
        <w:rPr>
          <w:rFonts w:asciiTheme="minorHAnsi" w:hAnsiTheme="minorHAnsi" w:cstheme="minorHAnsi"/>
          <w:sz w:val="24"/>
          <w:szCs w:val="22"/>
        </w:rPr>
        <w:t xml:space="preserve">etrieval teams are </w:t>
      </w:r>
      <w:r w:rsidR="00C16B8B">
        <w:rPr>
          <w:rFonts w:asciiTheme="minorHAnsi" w:hAnsiTheme="minorHAnsi" w:cstheme="minorHAnsi"/>
          <w:sz w:val="24"/>
          <w:szCs w:val="22"/>
        </w:rPr>
        <w:t>required to</w:t>
      </w:r>
      <w:r w:rsidR="006F4E24">
        <w:rPr>
          <w:rFonts w:asciiTheme="minorHAnsi" w:hAnsiTheme="minorHAnsi" w:cstheme="minorHAnsi"/>
          <w:sz w:val="24"/>
          <w:szCs w:val="22"/>
        </w:rPr>
        <w:t xml:space="preserve"> undertake retrieval surgeries</w:t>
      </w:r>
      <w:r w:rsidR="00C16B8B">
        <w:rPr>
          <w:rFonts w:asciiTheme="minorHAnsi" w:hAnsiTheme="minorHAnsi" w:cstheme="minorHAnsi"/>
          <w:sz w:val="24"/>
          <w:szCs w:val="22"/>
        </w:rPr>
        <w:t xml:space="preserve"> both</w:t>
      </w:r>
      <w:r w:rsidR="006F4E24">
        <w:rPr>
          <w:rFonts w:asciiTheme="minorHAnsi" w:hAnsiTheme="minorHAnsi" w:cstheme="minorHAnsi"/>
          <w:sz w:val="24"/>
          <w:szCs w:val="22"/>
        </w:rPr>
        <w:t xml:space="preserve"> within their home state</w:t>
      </w:r>
      <w:r>
        <w:rPr>
          <w:rFonts w:asciiTheme="minorHAnsi" w:hAnsiTheme="minorHAnsi" w:cstheme="minorHAnsi"/>
          <w:sz w:val="24"/>
          <w:szCs w:val="22"/>
        </w:rPr>
        <w:t xml:space="preserve">, </w:t>
      </w:r>
      <w:r w:rsidR="006F4E24">
        <w:rPr>
          <w:rFonts w:asciiTheme="minorHAnsi" w:hAnsiTheme="minorHAnsi" w:cstheme="minorHAnsi"/>
          <w:sz w:val="24"/>
          <w:szCs w:val="22"/>
        </w:rPr>
        <w:t xml:space="preserve">and are often required to undertake retrieval surgery in other </w:t>
      </w:r>
      <w:r>
        <w:rPr>
          <w:rFonts w:asciiTheme="minorHAnsi" w:hAnsiTheme="minorHAnsi" w:cstheme="minorHAnsi"/>
          <w:sz w:val="24"/>
          <w:szCs w:val="22"/>
        </w:rPr>
        <w:t>jurisdictions,</w:t>
      </w:r>
      <w:r w:rsidR="00C16B8B">
        <w:rPr>
          <w:rFonts w:asciiTheme="minorHAnsi" w:hAnsiTheme="minorHAnsi" w:cstheme="minorHAnsi"/>
          <w:sz w:val="24"/>
          <w:szCs w:val="22"/>
        </w:rPr>
        <w:t xml:space="preserve"> depending on</w:t>
      </w:r>
      <w:r>
        <w:rPr>
          <w:rFonts w:asciiTheme="minorHAnsi" w:hAnsiTheme="minorHAnsi" w:cstheme="minorHAnsi"/>
          <w:sz w:val="24"/>
          <w:szCs w:val="22"/>
        </w:rPr>
        <w:t xml:space="preserve"> the location of </w:t>
      </w:r>
      <w:r w:rsidR="00C16B8B">
        <w:rPr>
          <w:rFonts w:asciiTheme="minorHAnsi" w:hAnsiTheme="minorHAnsi" w:cstheme="minorHAnsi"/>
          <w:sz w:val="24"/>
          <w:szCs w:val="22"/>
        </w:rPr>
        <w:t>the accepted organ</w:t>
      </w:r>
      <w:r w:rsidR="0028687B">
        <w:rPr>
          <w:rFonts w:asciiTheme="minorHAnsi" w:hAnsiTheme="minorHAnsi" w:cstheme="minorHAnsi"/>
          <w:sz w:val="24"/>
          <w:szCs w:val="22"/>
        </w:rPr>
        <w:t>.</w:t>
      </w:r>
      <w:r>
        <w:rPr>
          <w:rFonts w:asciiTheme="minorHAnsi" w:hAnsiTheme="minorHAnsi" w:cstheme="minorHAnsi"/>
          <w:sz w:val="24"/>
          <w:szCs w:val="22"/>
        </w:rPr>
        <w:t xml:space="preserve"> </w:t>
      </w:r>
      <w:r w:rsidR="006F4E24">
        <w:rPr>
          <w:rFonts w:asciiTheme="minorHAnsi" w:hAnsiTheme="minorHAnsi" w:cstheme="minorHAnsi"/>
          <w:sz w:val="24"/>
          <w:szCs w:val="22"/>
        </w:rPr>
        <w:fldChar w:fldCharType="begin"/>
      </w:r>
      <w:r w:rsidR="006F4E24">
        <w:rPr>
          <w:rFonts w:asciiTheme="minorHAnsi" w:hAnsiTheme="minorHAnsi" w:cstheme="minorHAnsi"/>
          <w:sz w:val="24"/>
          <w:szCs w:val="22"/>
        </w:rPr>
        <w:instrText xml:space="preserve"> REF _Ref527632157 \h  \* MERGEFORMAT </w:instrText>
      </w:r>
      <w:r w:rsidR="006F4E24">
        <w:rPr>
          <w:rFonts w:asciiTheme="minorHAnsi" w:hAnsiTheme="minorHAnsi" w:cstheme="minorHAnsi"/>
          <w:sz w:val="24"/>
          <w:szCs w:val="22"/>
        </w:rPr>
      </w:r>
      <w:r w:rsidR="006F4E24">
        <w:rPr>
          <w:rFonts w:asciiTheme="minorHAnsi" w:hAnsiTheme="minorHAnsi" w:cstheme="minorHAnsi"/>
          <w:sz w:val="24"/>
          <w:szCs w:val="22"/>
        </w:rPr>
        <w:fldChar w:fldCharType="separate"/>
      </w:r>
      <w:r w:rsidR="00A04048" w:rsidRPr="00C75FAB">
        <w:rPr>
          <w:rFonts w:asciiTheme="minorHAnsi" w:hAnsiTheme="minorHAnsi" w:cstheme="minorHAnsi"/>
          <w:sz w:val="24"/>
          <w:szCs w:val="22"/>
        </w:rPr>
        <w:t>Table 22</w:t>
      </w:r>
      <w:r w:rsidR="006F4E24">
        <w:rPr>
          <w:rFonts w:asciiTheme="minorHAnsi" w:hAnsiTheme="minorHAnsi" w:cstheme="minorHAnsi"/>
          <w:sz w:val="24"/>
          <w:szCs w:val="22"/>
        </w:rPr>
        <w:fldChar w:fldCharType="end"/>
      </w:r>
      <w:r w:rsidR="006F4E24">
        <w:rPr>
          <w:rFonts w:asciiTheme="minorHAnsi" w:hAnsiTheme="minorHAnsi" w:cstheme="minorHAnsi"/>
          <w:sz w:val="24"/>
          <w:szCs w:val="22"/>
        </w:rPr>
        <w:t xml:space="preserve"> details the retrievals from 2017, including where units were required to travel interstate for retrieval. </w:t>
      </w:r>
    </w:p>
    <w:p w14:paraId="28146409" w14:textId="77777777" w:rsidR="006F4E24" w:rsidRPr="001271F5" w:rsidRDefault="006F4E24" w:rsidP="006F4E24">
      <w:pPr>
        <w:pStyle w:val="Caption"/>
        <w:keepNext/>
        <w:spacing w:after="120"/>
        <w:rPr>
          <w:rFonts w:asciiTheme="minorHAnsi" w:hAnsiTheme="minorHAnsi" w:cstheme="minorHAnsi"/>
          <w:b w:val="0"/>
          <w:color w:val="808080"/>
          <w:sz w:val="20"/>
        </w:rPr>
      </w:pPr>
      <w:bookmarkStart w:id="667" w:name="_Ref527632157"/>
      <w:r w:rsidRPr="001271F5">
        <w:rPr>
          <w:rFonts w:asciiTheme="minorHAnsi" w:hAnsiTheme="minorHAnsi" w:cstheme="minorHAnsi"/>
          <w:b w:val="0"/>
          <w:color w:val="808080"/>
          <w:sz w:val="20"/>
        </w:rPr>
        <w:t xml:space="preserve">Table </w:t>
      </w:r>
      <w:r w:rsidRPr="001271F5">
        <w:rPr>
          <w:rFonts w:asciiTheme="minorHAnsi" w:hAnsiTheme="minorHAnsi" w:cstheme="minorHAnsi"/>
          <w:b w:val="0"/>
          <w:color w:val="808080"/>
          <w:sz w:val="20"/>
        </w:rPr>
        <w:fldChar w:fldCharType="begin"/>
      </w:r>
      <w:r w:rsidRPr="001271F5">
        <w:rPr>
          <w:rFonts w:asciiTheme="minorHAnsi" w:hAnsiTheme="minorHAnsi" w:cstheme="minorHAnsi"/>
          <w:b w:val="0"/>
          <w:color w:val="808080"/>
          <w:sz w:val="20"/>
        </w:rPr>
        <w:instrText xml:space="preserve"> SEQ Table \* ARABIC </w:instrText>
      </w:r>
      <w:r w:rsidRPr="001271F5">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22</w:t>
      </w:r>
      <w:r w:rsidRPr="001271F5">
        <w:rPr>
          <w:rFonts w:asciiTheme="minorHAnsi" w:hAnsiTheme="minorHAnsi" w:cstheme="minorHAnsi"/>
          <w:b w:val="0"/>
          <w:color w:val="808080"/>
          <w:sz w:val="20"/>
        </w:rPr>
        <w:fldChar w:fldCharType="end"/>
      </w:r>
      <w:bookmarkEnd w:id="667"/>
      <w:r w:rsidRPr="001271F5">
        <w:rPr>
          <w:rFonts w:asciiTheme="minorHAnsi" w:hAnsiTheme="minorHAnsi" w:cstheme="minorHAnsi"/>
          <w:b w:val="0"/>
          <w:color w:val="808080"/>
          <w:sz w:val="20"/>
        </w:rPr>
        <w:t>: Number of organs retrieved interstate by state in 2017</w:t>
      </w:r>
      <w:r>
        <w:rPr>
          <w:rFonts w:asciiTheme="minorHAnsi" w:hAnsiTheme="minorHAnsi" w:cstheme="minorHAnsi"/>
          <w:b w:val="0"/>
          <w:color w:val="808080"/>
          <w:sz w:val="20"/>
        </w:rPr>
        <w:t xml:space="preserve">, SOURCE: </w:t>
      </w:r>
      <w:r w:rsidR="00161741">
        <w:rPr>
          <w:rFonts w:asciiTheme="minorHAnsi" w:hAnsiTheme="minorHAnsi" w:cstheme="minorHAnsi"/>
          <w:b w:val="0"/>
          <w:color w:val="808080"/>
          <w:sz w:val="20"/>
        </w:rPr>
        <w:t>ANZOD</w:t>
      </w:r>
      <w:r w:rsidR="00C61CF4">
        <w:rPr>
          <w:rStyle w:val="FootnoteReference"/>
          <w:rFonts w:cstheme="minorHAnsi"/>
          <w:b w:val="0"/>
          <w:color w:val="808080"/>
        </w:rPr>
        <w:footnoteReference w:id="162"/>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129"/>
        <w:gridCol w:w="2297"/>
        <w:gridCol w:w="2625"/>
        <w:gridCol w:w="1965"/>
      </w:tblGrid>
      <w:tr w:rsidR="006F4E24" w:rsidRPr="009F371F" w14:paraId="7E0B31D1" w14:textId="77777777" w:rsidTr="00A2027C">
        <w:trPr>
          <w:trHeight w:val="320"/>
          <w:tblHeader/>
        </w:trPr>
        <w:tc>
          <w:tcPr>
            <w:tcW w:w="1180" w:type="pct"/>
            <w:shd w:val="clear" w:color="auto" w:fill="595959"/>
            <w:noWrap/>
            <w:vAlign w:val="bottom"/>
            <w:hideMark/>
          </w:tcPr>
          <w:p w14:paraId="314E86F6" w14:textId="77777777" w:rsidR="006F4E24" w:rsidRPr="001271F5" w:rsidRDefault="006F4E24" w:rsidP="008E083E">
            <w:pPr>
              <w:widowControl/>
              <w:autoSpaceDE/>
              <w:autoSpaceDN/>
              <w:adjustRightInd/>
              <w:spacing w:before="40" w:after="40"/>
              <w:rPr>
                <w:rFonts w:asciiTheme="minorHAnsi" w:hAnsiTheme="minorHAnsi" w:cstheme="minorHAnsi"/>
                <w:b/>
                <w:color w:val="FFFFFF" w:themeColor="background1"/>
                <w:lang w:eastAsia="en-AU"/>
              </w:rPr>
            </w:pPr>
            <w:r w:rsidRPr="001271F5">
              <w:rPr>
                <w:rFonts w:asciiTheme="minorHAnsi" w:hAnsiTheme="minorHAnsi" w:cstheme="minorHAnsi"/>
                <w:b/>
                <w:color w:val="FFFFFF" w:themeColor="background1"/>
                <w:lang w:eastAsia="en-AU"/>
              </w:rPr>
              <w:t>State</w:t>
            </w:r>
          </w:p>
        </w:tc>
        <w:tc>
          <w:tcPr>
            <w:tcW w:w="1274" w:type="pct"/>
            <w:shd w:val="clear" w:color="auto" w:fill="595959"/>
            <w:noWrap/>
            <w:vAlign w:val="bottom"/>
            <w:hideMark/>
          </w:tcPr>
          <w:p w14:paraId="2C9C4F1B" w14:textId="77777777" w:rsidR="006F4E24" w:rsidRPr="001271F5" w:rsidRDefault="006F4E24" w:rsidP="008E083E">
            <w:pPr>
              <w:widowControl/>
              <w:autoSpaceDE/>
              <w:autoSpaceDN/>
              <w:adjustRightInd/>
              <w:spacing w:before="40" w:after="40"/>
              <w:jc w:val="center"/>
              <w:rPr>
                <w:rFonts w:asciiTheme="minorHAnsi" w:hAnsiTheme="minorHAnsi" w:cstheme="minorHAnsi"/>
                <w:b/>
                <w:color w:val="FFFFFF" w:themeColor="background1"/>
                <w:lang w:eastAsia="en-AU"/>
              </w:rPr>
            </w:pPr>
            <w:r w:rsidRPr="001271F5">
              <w:rPr>
                <w:rFonts w:asciiTheme="minorHAnsi" w:hAnsiTheme="minorHAnsi" w:cstheme="minorHAnsi"/>
                <w:b/>
                <w:color w:val="FFFFFF" w:themeColor="background1"/>
                <w:lang w:eastAsia="en-AU"/>
              </w:rPr>
              <w:t xml:space="preserve">Organs retrieved locally </w:t>
            </w:r>
          </w:p>
        </w:tc>
        <w:tc>
          <w:tcPr>
            <w:tcW w:w="1456" w:type="pct"/>
            <w:shd w:val="clear" w:color="auto" w:fill="595959"/>
            <w:noWrap/>
            <w:vAlign w:val="bottom"/>
            <w:hideMark/>
          </w:tcPr>
          <w:p w14:paraId="03937A15" w14:textId="77777777" w:rsidR="006F4E24" w:rsidRPr="001271F5" w:rsidRDefault="006F4E24" w:rsidP="008E083E">
            <w:pPr>
              <w:widowControl/>
              <w:autoSpaceDE/>
              <w:autoSpaceDN/>
              <w:adjustRightInd/>
              <w:spacing w:before="40" w:after="40"/>
              <w:jc w:val="center"/>
              <w:rPr>
                <w:rFonts w:asciiTheme="minorHAnsi" w:hAnsiTheme="minorHAnsi" w:cstheme="minorHAnsi"/>
                <w:b/>
                <w:color w:val="FFFFFF" w:themeColor="background1"/>
                <w:lang w:eastAsia="en-AU"/>
              </w:rPr>
            </w:pPr>
            <w:r w:rsidRPr="001271F5">
              <w:rPr>
                <w:rFonts w:asciiTheme="minorHAnsi" w:hAnsiTheme="minorHAnsi" w:cstheme="minorHAnsi"/>
                <w:b/>
                <w:color w:val="FFFFFF" w:themeColor="background1"/>
                <w:lang w:eastAsia="en-AU"/>
              </w:rPr>
              <w:t>Organs retrieved interstate</w:t>
            </w:r>
          </w:p>
        </w:tc>
        <w:tc>
          <w:tcPr>
            <w:tcW w:w="1091" w:type="pct"/>
            <w:shd w:val="clear" w:color="auto" w:fill="595959"/>
            <w:noWrap/>
            <w:vAlign w:val="bottom"/>
            <w:hideMark/>
          </w:tcPr>
          <w:p w14:paraId="4BBF1EBE" w14:textId="77777777" w:rsidR="006F4E24" w:rsidRPr="001271F5" w:rsidRDefault="006F4E24" w:rsidP="008E083E">
            <w:pPr>
              <w:widowControl/>
              <w:autoSpaceDE/>
              <w:autoSpaceDN/>
              <w:adjustRightInd/>
              <w:spacing w:before="40" w:after="40"/>
              <w:jc w:val="center"/>
              <w:rPr>
                <w:rFonts w:asciiTheme="minorHAnsi" w:hAnsiTheme="minorHAnsi" w:cstheme="minorHAnsi"/>
                <w:b/>
                <w:color w:val="FFFFFF" w:themeColor="background1"/>
                <w:lang w:eastAsia="en-AU"/>
              </w:rPr>
            </w:pPr>
            <w:r w:rsidRPr="001271F5">
              <w:rPr>
                <w:rFonts w:asciiTheme="minorHAnsi" w:hAnsiTheme="minorHAnsi" w:cstheme="minorHAnsi"/>
                <w:b/>
                <w:color w:val="FFFFFF" w:themeColor="background1"/>
                <w:lang w:eastAsia="en-AU"/>
              </w:rPr>
              <w:t xml:space="preserve">Total </w:t>
            </w:r>
            <w:r>
              <w:rPr>
                <w:rFonts w:asciiTheme="minorHAnsi" w:hAnsiTheme="minorHAnsi" w:cstheme="minorHAnsi"/>
                <w:b/>
                <w:color w:val="FFFFFF" w:themeColor="background1"/>
                <w:lang w:eastAsia="en-AU"/>
              </w:rPr>
              <w:t>o</w:t>
            </w:r>
            <w:r w:rsidRPr="001271F5">
              <w:rPr>
                <w:rFonts w:asciiTheme="minorHAnsi" w:hAnsiTheme="minorHAnsi" w:cstheme="minorHAnsi"/>
                <w:b/>
                <w:color w:val="FFFFFF" w:themeColor="background1"/>
                <w:lang w:eastAsia="en-AU"/>
              </w:rPr>
              <w:t xml:space="preserve">rgans </w:t>
            </w:r>
          </w:p>
        </w:tc>
      </w:tr>
      <w:tr w:rsidR="006F4E24" w:rsidRPr="003423FA" w14:paraId="792B5465" w14:textId="77777777" w:rsidTr="00A2027C">
        <w:trPr>
          <w:trHeight w:val="320"/>
        </w:trPr>
        <w:tc>
          <w:tcPr>
            <w:tcW w:w="1180" w:type="pct"/>
            <w:shd w:val="clear" w:color="auto" w:fill="auto"/>
            <w:noWrap/>
            <w:vAlign w:val="bottom"/>
            <w:hideMark/>
          </w:tcPr>
          <w:p w14:paraId="0E83141E" w14:textId="77777777" w:rsidR="006F4E24" w:rsidRPr="001271F5" w:rsidRDefault="006F4E24" w:rsidP="008E083E">
            <w:pPr>
              <w:widowControl/>
              <w:autoSpaceDE/>
              <w:autoSpaceDN/>
              <w:adjustRightInd/>
              <w:spacing w:before="40" w:after="40"/>
              <w:rPr>
                <w:rFonts w:asciiTheme="minorHAnsi" w:hAnsiTheme="minorHAnsi" w:cstheme="minorHAnsi"/>
                <w:lang w:eastAsia="en-AU"/>
              </w:rPr>
            </w:pPr>
            <w:r w:rsidRPr="001271F5">
              <w:rPr>
                <w:rFonts w:asciiTheme="minorHAnsi" w:hAnsiTheme="minorHAnsi" w:cstheme="minorHAnsi"/>
                <w:lang w:eastAsia="en-AU"/>
              </w:rPr>
              <w:t xml:space="preserve">NSW </w:t>
            </w:r>
            <w:r>
              <w:rPr>
                <w:rFonts w:asciiTheme="minorHAnsi" w:hAnsiTheme="minorHAnsi" w:cstheme="minorHAnsi"/>
                <w:lang w:eastAsia="en-AU"/>
              </w:rPr>
              <w:t>(</w:t>
            </w:r>
            <w:r w:rsidRPr="001271F5">
              <w:rPr>
                <w:rFonts w:asciiTheme="minorHAnsi" w:hAnsiTheme="minorHAnsi" w:cstheme="minorHAnsi"/>
                <w:lang w:eastAsia="en-AU"/>
              </w:rPr>
              <w:t>includes ACT</w:t>
            </w:r>
            <w:r>
              <w:rPr>
                <w:rFonts w:asciiTheme="minorHAnsi" w:hAnsiTheme="minorHAnsi" w:cstheme="minorHAnsi"/>
                <w:lang w:eastAsia="en-AU"/>
              </w:rPr>
              <w:t>)</w:t>
            </w:r>
          </w:p>
        </w:tc>
        <w:tc>
          <w:tcPr>
            <w:tcW w:w="1274" w:type="pct"/>
            <w:shd w:val="clear" w:color="auto" w:fill="auto"/>
            <w:noWrap/>
            <w:vAlign w:val="bottom"/>
            <w:hideMark/>
          </w:tcPr>
          <w:p w14:paraId="55A779AC" w14:textId="77777777" w:rsidR="006F4E24" w:rsidRPr="003423FA" w:rsidRDefault="006F4E24" w:rsidP="008E083E">
            <w:pPr>
              <w:widowControl/>
              <w:autoSpaceDE/>
              <w:autoSpaceDN/>
              <w:adjustRightInd/>
              <w:spacing w:before="40" w:after="40"/>
              <w:jc w:val="center"/>
              <w:rPr>
                <w:rFonts w:asciiTheme="minorHAnsi" w:hAnsiTheme="minorHAnsi" w:cstheme="minorHAnsi"/>
                <w:lang w:eastAsia="en-AU"/>
              </w:rPr>
            </w:pPr>
            <w:r w:rsidRPr="003423FA">
              <w:rPr>
                <w:rFonts w:asciiTheme="minorHAnsi" w:hAnsiTheme="minorHAnsi" w:cstheme="minorHAnsi"/>
                <w:lang w:eastAsia="en-AU"/>
              </w:rPr>
              <w:t>454</w:t>
            </w:r>
          </w:p>
        </w:tc>
        <w:tc>
          <w:tcPr>
            <w:tcW w:w="1456" w:type="pct"/>
            <w:shd w:val="clear" w:color="auto" w:fill="auto"/>
            <w:noWrap/>
            <w:vAlign w:val="bottom"/>
            <w:hideMark/>
          </w:tcPr>
          <w:p w14:paraId="14F38CDC" w14:textId="77777777" w:rsidR="006F4E24" w:rsidRPr="003423FA" w:rsidRDefault="006F4E24" w:rsidP="008E083E">
            <w:pPr>
              <w:widowControl/>
              <w:autoSpaceDE/>
              <w:autoSpaceDN/>
              <w:adjustRightInd/>
              <w:spacing w:before="40" w:after="40"/>
              <w:jc w:val="center"/>
              <w:rPr>
                <w:rFonts w:asciiTheme="minorHAnsi" w:hAnsiTheme="minorHAnsi" w:cstheme="minorHAnsi"/>
                <w:lang w:eastAsia="en-AU"/>
              </w:rPr>
            </w:pPr>
            <w:r w:rsidRPr="003423FA">
              <w:rPr>
                <w:rFonts w:asciiTheme="minorHAnsi" w:hAnsiTheme="minorHAnsi" w:cstheme="minorHAnsi"/>
                <w:lang w:eastAsia="en-AU"/>
              </w:rPr>
              <w:t>33</w:t>
            </w:r>
          </w:p>
        </w:tc>
        <w:tc>
          <w:tcPr>
            <w:tcW w:w="1091" w:type="pct"/>
            <w:shd w:val="clear" w:color="auto" w:fill="auto"/>
            <w:noWrap/>
            <w:vAlign w:val="bottom"/>
            <w:hideMark/>
          </w:tcPr>
          <w:p w14:paraId="5E6F9170" w14:textId="77777777" w:rsidR="006F4E24" w:rsidRPr="003423FA" w:rsidRDefault="006F4E24" w:rsidP="008E083E">
            <w:pPr>
              <w:widowControl/>
              <w:autoSpaceDE/>
              <w:autoSpaceDN/>
              <w:adjustRightInd/>
              <w:spacing w:before="40" w:after="40"/>
              <w:jc w:val="center"/>
              <w:rPr>
                <w:rFonts w:asciiTheme="minorHAnsi" w:hAnsiTheme="minorHAnsi" w:cstheme="minorHAnsi"/>
                <w:lang w:eastAsia="en-AU"/>
              </w:rPr>
            </w:pPr>
            <w:r w:rsidRPr="003423FA">
              <w:rPr>
                <w:rFonts w:asciiTheme="minorHAnsi" w:hAnsiTheme="minorHAnsi" w:cstheme="minorHAnsi"/>
                <w:lang w:eastAsia="en-AU"/>
              </w:rPr>
              <w:t>487</w:t>
            </w:r>
          </w:p>
        </w:tc>
      </w:tr>
      <w:tr w:rsidR="006F4E24" w:rsidRPr="003423FA" w14:paraId="12E6C5DA" w14:textId="77777777" w:rsidTr="00A2027C">
        <w:trPr>
          <w:trHeight w:val="320"/>
        </w:trPr>
        <w:tc>
          <w:tcPr>
            <w:tcW w:w="1180" w:type="pct"/>
            <w:shd w:val="clear" w:color="auto" w:fill="auto"/>
            <w:noWrap/>
            <w:vAlign w:val="bottom"/>
            <w:hideMark/>
          </w:tcPr>
          <w:p w14:paraId="0E519750" w14:textId="77777777" w:rsidR="006F4E24" w:rsidRPr="001271F5" w:rsidRDefault="006F4E24" w:rsidP="008E083E">
            <w:pPr>
              <w:widowControl/>
              <w:autoSpaceDE/>
              <w:autoSpaceDN/>
              <w:adjustRightInd/>
              <w:spacing w:before="40" w:after="40"/>
              <w:rPr>
                <w:rFonts w:asciiTheme="minorHAnsi" w:hAnsiTheme="minorHAnsi" w:cstheme="minorHAnsi"/>
                <w:lang w:eastAsia="en-AU"/>
              </w:rPr>
            </w:pPr>
            <w:r w:rsidRPr="001271F5">
              <w:rPr>
                <w:rFonts w:asciiTheme="minorHAnsi" w:hAnsiTheme="minorHAnsi" w:cstheme="minorHAnsi"/>
                <w:lang w:eastAsia="en-AU"/>
              </w:rPr>
              <w:t xml:space="preserve">VIC </w:t>
            </w:r>
            <w:r>
              <w:rPr>
                <w:rFonts w:asciiTheme="minorHAnsi" w:hAnsiTheme="minorHAnsi" w:cstheme="minorHAnsi"/>
                <w:lang w:eastAsia="en-AU"/>
              </w:rPr>
              <w:t>(</w:t>
            </w:r>
            <w:r w:rsidRPr="001271F5">
              <w:rPr>
                <w:rFonts w:asciiTheme="minorHAnsi" w:hAnsiTheme="minorHAnsi" w:cstheme="minorHAnsi"/>
                <w:lang w:eastAsia="en-AU"/>
              </w:rPr>
              <w:t>includes TAS</w:t>
            </w:r>
            <w:r>
              <w:rPr>
                <w:rFonts w:asciiTheme="minorHAnsi" w:hAnsiTheme="minorHAnsi" w:cstheme="minorHAnsi"/>
                <w:lang w:eastAsia="en-AU"/>
              </w:rPr>
              <w:t>)</w:t>
            </w:r>
          </w:p>
        </w:tc>
        <w:tc>
          <w:tcPr>
            <w:tcW w:w="1274" w:type="pct"/>
            <w:shd w:val="clear" w:color="auto" w:fill="auto"/>
            <w:noWrap/>
            <w:vAlign w:val="bottom"/>
            <w:hideMark/>
          </w:tcPr>
          <w:p w14:paraId="6B268BD6" w14:textId="77777777" w:rsidR="006F4E24" w:rsidRPr="003423FA" w:rsidRDefault="006F4E24" w:rsidP="008E083E">
            <w:pPr>
              <w:widowControl/>
              <w:autoSpaceDE/>
              <w:autoSpaceDN/>
              <w:adjustRightInd/>
              <w:spacing w:before="40" w:after="40"/>
              <w:jc w:val="center"/>
              <w:rPr>
                <w:rFonts w:asciiTheme="minorHAnsi" w:hAnsiTheme="minorHAnsi" w:cstheme="minorHAnsi"/>
                <w:lang w:eastAsia="en-AU"/>
              </w:rPr>
            </w:pPr>
            <w:r w:rsidRPr="003423FA">
              <w:rPr>
                <w:rFonts w:asciiTheme="minorHAnsi" w:hAnsiTheme="minorHAnsi" w:cstheme="minorHAnsi"/>
                <w:lang w:eastAsia="en-AU"/>
              </w:rPr>
              <w:t>489</w:t>
            </w:r>
          </w:p>
        </w:tc>
        <w:tc>
          <w:tcPr>
            <w:tcW w:w="1456" w:type="pct"/>
            <w:shd w:val="clear" w:color="auto" w:fill="auto"/>
            <w:noWrap/>
            <w:vAlign w:val="bottom"/>
            <w:hideMark/>
          </w:tcPr>
          <w:p w14:paraId="40CF7E4A" w14:textId="77777777" w:rsidR="006F4E24" w:rsidRPr="003423FA" w:rsidRDefault="006F4E24" w:rsidP="008E083E">
            <w:pPr>
              <w:widowControl/>
              <w:autoSpaceDE/>
              <w:autoSpaceDN/>
              <w:adjustRightInd/>
              <w:spacing w:before="40" w:after="40"/>
              <w:jc w:val="center"/>
              <w:rPr>
                <w:rFonts w:asciiTheme="minorHAnsi" w:hAnsiTheme="minorHAnsi" w:cstheme="minorHAnsi"/>
                <w:lang w:eastAsia="en-AU"/>
              </w:rPr>
            </w:pPr>
            <w:r w:rsidRPr="003423FA">
              <w:rPr>
                <w:rFonts w:asciiTheme="minorHAnsi" w:hAnsiTheme="minorHAnsi" w:cstheme="minorHAnsi"/>
                <w:lang w:eastAsia="en-AU"/>
              </w:rPr>
              <w:t>34</w:t>
            </w:r>
          </w:p>
        </w:tc>
        <w:tc>
          <w:tcPr>
            <w:tcW w:w="1091" w:type="pct"/>
            <w:shd w:val="clear" w:color="auto" w:fill="auto"/>
            <w:noWrap/>
            <w:vAlign w:val="bottom"/>
            <w:hideMark/>
          </w:tcPr>
          <w:p w14:paraId="732CA5EF" w14:textId="77777777" w:rsidR="006F4E24" w:rsidRPr="003423FA" w:rsidRDefault="006F4E24" w:rsidP="008E083E">
            <w:pPr>
              <w:widowControl/>
              <w:autoSpaceDE/>
              <w:autoSpaceDN/>
              <w:adjustRightInd/>
              <w:spacing w:before="40" w:after="40"/>
              <w:jc w:val="center"/>
              <w:rPr>
                <w:rFonts w:asciiTheme="minorHAnsi" w:hAnsiTheme="minorHAnsi" w:cstheme="minorHAnsi"/>
                <w:lang w:eastAsia="en-AU"/>
              </w:rPr>
            </w:pPr>
            <w:r w:rsidRPr="003423FA">
              <w:rPr>
                <w:rFonts w:asciiTheme="minorHAnsi" w:hAnsiTheme="minorHAnsi" w:cstheme="minorHAnsi"/>
                <w:lang w:eastAsia="en-AU"/>
              </w:rPr>
              <w:t>523</w:t>
            </w:r>
          </w:p>
        </w:tc>
      </w:tr>
      <w:tr w:rsidR="006F4E24" w:rsidRPr="003423FA" w14:paraId="74DDBC73" w14:textId="77777777" w:rsidTr="00A2027C">
        <w:trPr>
          <w:trHeight w:val="320"/>
        </w:trPr>
        <w:tc>
          <w:tcPr>
            <w:tcW w:w="1180" w:type="pct"/>
            <w:shd w:val="clear" w:color="auto" w:fill="auto"/>
            <w:noWrap/>
            <w:vAlign w:val="bottom"/>
            <w:hideMark/>
          </w:tcPr>
          <w:p w14:paraId="3A40F1C5" w14:textId="77777777" w:rsidR="006F4E24" w:rsidRPr="001271F5" w:rsidRDefault="006F4E24" w:rsidP="008E083E">
            <w:pPr>
              <w:widowControl/>
              <w:autoSpaceDE/>
              <w:autoSpaceDN/>
              <w:adjustRightInd/>
              <w:spacing w:before="40" w:after="40"/>
              <w:rPr>
                <w:rFonts w:asciiTheme="minorHAnsi" w:hAnsiTheme="minorHAnsi" w:cstheme="minorHAnsi"/>
                <w:lang w:eastAsia="en-AU"/>
              </w:rPr>
            </w:pPr>
            <w:r w:rsidRPr="001271F5">
              <w:rPr>
                <w:rFonts w:asciiTheme="minorHAnsi" w:hAnsiTheme="minorHAnsi" w:cstheme="minorHAnsi"/>
                <w:lang w:eastAsia="en-AU"/>
              </w:rPr>
              <w:t>SA</w:t>
            </w:r>
          </w:p>
        </w:tc>
        <w:tc>
          <w:tcPr>
            <w:tcW w:w="1274" w:type="pct"/>
            <w:shd w:val="clear" w:color="auto" w:fill="auto"/>
            <w:noWrap/>
            <w:vAlign w:val="bottom"/>
            <w:hideMark/>
          </w:tcPr>
          <w:p w14:paraId="6887E788" w14:textId="77777777" w:rsidR="006F4E24" w:rsidRPr="003423FA" w:rsidRDefault="006F4E24" w:rsidP="008E083E">
            <w:pPr>
              <w:widowControl/>
              <w:autoSpaceDE/>
              <w:autoSpaceDN/>
              <w:adjustRightInd/>
              <w:spacing w:before="40" w:after="40"/>
              <w:jc w:val="center"/>
              <w:rPr>
                <w:rFonts w:asciiTheme="minorHAnsi" w:hAnsiTheme="minorHAnsi" w:cstheme="minorHAnsi"/>
                <w:lang w:eastAsia="en-AU"/>
              </w:rPr>
            </w:pPr>
            <w:r w:rsidRPr="003423FA">
              <w:rPr>
                <w:rFonts w:asciiTheme="minorHAnsi" w:hAnsiTheme="minorHAnsi" w:cstheme="minorHAnsi"/>
                <w:lang w:eastAsia="en-AU"/>
              </w:rPr>
              <w:t>78</w:t>
            </w:r>
          </w:p>
        </w:tc>
        <w:tc>
          <w:tcPr>
            <w:tcW w:w="1456" w:type="pct"/>
            <w:shd w:val="clear" w:color="auto" w:fill="auto"/>
            <w:noWrap/>
            <w:vAlign w:val="bottom"/>
            <w:hideMark/>
          </w:tcPr>
          <w:p w14:paraId="40CA4BDC" w14:textId="77777777" w:rsidR="006F4E24" w:rsidRPr="003423FA" w:rsidRDefault="006F4E24" w:rsidP="008E083E">
            <w:pPr>
              <w:widowControl/>
              <w:autoSpaceDE/>
              <w:autoSpaceDN/>
              <w:adjustRightInd/>
              <w:spacing w:before="40" w:after="40"/>
              <w:jc w:val="center"/>
              <w:rPr>
                <w:rFonts w:asciiTheme="minorHAnsi" w:hAnsiTheme="minorHAnsi" w:cstheme="minorHAnsi"/>
                <w:lang w:eastAsia="en-AU"/>
              </w:rPr>
            </w:pPr>
            <w:r w:rsidRPr="003423FA">
              <w:rPr>
                <w:rFonts w:asciiTheme="minorHAnsi" w:hAnsiTheme="minorHAnsi" w:cstheme="minorHAnsi"/>
                <w:lang w:eastAsia="en-AU"/>
              </w:rPr>
              <w:t>3</w:t>
            </w:r>
          </w:p>
        </w:tc>
        <w:tc>
          <w:tcPr>
            <w:tcW w:w="1091" w:type="pct"/>
            <w:shd w:val="clear" w:color="auto" w:fill="auto"/>
            <w:noWrap/>
            <w:vAlign w:val="bottom"/>
            <w:hideMark/>
          </w:tcPr>
          <w:p w14:paraId="2BCD0FA3" w14:textId="77777777" w:rsidR="006F4E24" w:rsidRPr="003423FA" w:rsidRDefault="006F4E24" w:rsidP="008E083E">
            <w:pPr>
              <w:widowControl/>
              <w:autoSpaceDE/>
              <w:autoSpaceDN/>
              <w:adjustRightInd/>
              <w:spacing w:before="40" w:after="40"/>
              <w:jc w:val="center"/>
              <w:rPr>
                <w:rFonts w:asciiTheme="minorHAnsi" w:hAnsiTheme="minorHAnsi" w:cstheme="minorHAnsi"/>
                <w:lang w:eastAsia="en-AU"/>
              </w:rPr>
            </w:pPr>
            <w:r w:rsidRPr="003423FA">
              <w:rPr>
                <w:rFonts w:asciiTheme="minorHAnsi" w:hAnsiTheme="minorHAnsi" w:cstheme="minorHAnsi"/>
                <w:lang w:eastAsia="en-AU"/>
              </w:rPr>
              <w:t>81</w:t>
            </w:r>
          </w:p>
        </w:tc>
      </w:tr>
      <w:tr w:rsidR="006F4E24" w:rsidRPr="003423FA" w14:paraId="686EE344" w14:textId="77777777" w:rsidTr="00A2027C">
        <w:trPr>
          <w:trHeight w:val="290"/>
        </w:trPr>
        <w:tc>
          <w:tcPr>
            <w:tcW w:w="1180" w:type="pct"/>
            <w:shd w:val="clear" w:color="auto" w:fill="auto"/>
            <w:noWrap/>
            <w:vAlign w:val="bottom"/>
            <w:hideMark/>
          </w:tcPr>
          <w:p w14:paraId="7993789E" w14:textId="77777777" w:rsidR="006F4E24" w:rsidRPr="001271F5" w:rsidRDefault="006F4E24" w:rsidP="008E083E">
            <w:pPr>
              <w:widowControl/>
              <w:autoSpaceDE/>
              <w:autoSpaceDN/>
              <w:adjustRightInd/>
              <w:spacing w:before="40" w:after="40"/>
              <w:rPr>
                <w:rFonts w:asciiTheme="minorHAnsi" w:hAnsiTheme="minorHAnsi" w:cstheme="minorHAnsi"/>
                <w:lang w:eastAsia="en-AU"/>
              </w:rPr>
            </w:pPr>
            <w:r w:rsidRPr="001271F5">
              <w:rPr>
                <w:rFonts w:asciiTheme="minorHAnsi" w:hAnsiTheme="minorHAnsi" w:cstheme="minorHAnsi"/>
                <w:lang w:eastAsia="en-AU"/>
              </w:rPr>
              <w:t>QLD</w:t>
            </w:r>
          </w:p>
        </w:tc>
        <w:tc>
          <w:tcPr>
            <w:tcW w:w="1274" w:type="pct"/>
            <w:shd w:val="clear" w:color="auto" w:fill="auto"/>
            <w:noWrap/>
            <w:vAlign w:val="bottom"/>
            <w:hideMark/>
          </w:tcPr>
          <w:p w14:paraId="29873485" w14:textId="77777777" w:rsidR="006F4E24" w:rsidRPr="003423FA" w:rsidRDefault="006F4E24" w:rsidP="008E083E">
            <w:pPr>
              <w:widowControl/>
              <w:autoSpaceDE/>
              <w:autoSpaceDN/>
              <w:adjustRightInd/>
              <w:spacing w:before="40" w:after="40"/>
              <w:jc w:val="center"/>
              <w:rPr>
                <w:rFonts w:asciiTheme="minorHAnsi" w:hAnsiTheme="minorHAnsi" w:cstheme="minorHAnsi"/>
                <w:lang w:eastAsia="en-AU"/>
              </w:rPr>
            </w:pPr>
            <w:r w:rsidRPr="003423FA">
              <w:rPr>
                <w:rFonts w:asciiTheme="minorHAnsi" w:hAnsiTheme="minorHAnsi" w:cstheme="minorHAnsi"/>
                <w:lang w:eastAsia="en-AU"/>
              </w:rPr>
              <w:t>304</w:t>
            </w:r>
          </w:p>
        </w:tc>
        <w:tc>
          <w:tcPr>
            <w:tcW w:w="1456" w:type="pct"/>
            <w:shd w:val="clear" w:color="auto" w:fill="auto"/>
            <w:noWrap/>
            <w:vAlign w:val="bottom"/>
            <w:hideMark/>
          </w:tcPr>
          <w:p w14:paraId="42F6942E" w14:textId="77777777" w:rsidR="006F4E24" w:rsidRPr="003423FA" w:rsidRDefault="006F4E24" w:rsidP="008E083E">
            <w:pPr>
              <w:widowControl/>
              <w:autoSpaceDE/>
              <w:autoSpaceDN/>
              <w:adjustRightInd/>
              <w:spacing w:before="40" w:after="40"/>
              <w:jc w:val="center"/>
              <w:rPr>
                <w:rFonts w:asciiTheme="minorHAnsi" w:hAnsiTheme="minorHAnsi" w:cstheme="minorHAnsi"/>
                <w:lang w:eastAsia="en-AU"/>
              </w:rPr>
            </w:pPr>
            <w:r w:rsidRPr="003423FA">
              <w:rPr>
                <w:rFonts w:asciiTheme="minorHAnsi" w:hAnsiTheme="minorHAnsi" w:cstheme="minorHAnsi"/>
                <w:lang w:eastAsia="en-AU"/>
              </w:rPr>
              <w:t>15</w:t>
            </w:r>
          </w:p>
        </w:tc>
        <w:tc>
          <w:tcPr>
            <w:tcW w:w="1091" w:type="pct"/>
            <w:shd w:val="clear" w:color="auto" w:fill="auto"/>
            <w:noWrap/>
            <w:vAlign w:val="bottom"/>
            <w:hideMark/>
          </w:tcPr>
          <w:p w14:paraId="089F7597" w14:textId="77777777" w:rsidR="006F4E24" w:rsidRPr="003423FA" w:rsidRDefault="006F4E24" w:rsidP="008E083E">
            <w:pPr>
              <w:widowControl/>
              <w:autoSpaceDE/>
              <w:autoSpaceDN/>
              <w:adjustRightInd/>
              <w:spacing w:before="40" w:after="40"/>
              <w:jc w:val="center"/>
              <w:rPr>
                <w:rFonts w:asciiTheme="minorHAnsi" w:hAnsiTheme="minorHAnsi" w:cstheme="minorHAnsi"/>
                <w:lang w:eastAsia="en-AU"/>
              </w:rPr>
            </w:pPr>
            <w:r w:rsidRPr="003423FA">
              <w:rPr>
                <w:rFonts w:asciiTheme="minorHAnsi" w:hAnsiTheme="minorHAnsi" w:cstheme="minorHAnsi"/>
                <w:lang w:eastAsia="en-AU"/>
              </w:rPr>
              <w:t>319</w:t>
            </w:r>
          </w:p>
        </w:tc>
      </w:tr>
      <w:tr w:rsidR="006F4E24" w:rsidRPr="003423FA" w14:paraId="216DB972" w14:textId="77777777" w:rsidTr="00A2027C">
        <w:trPr>
          <w:trHeight w:val="290"/>
        </w:trPr>
        <w:tc>
          <w:tcPr>
            <w:tcW w:w="1180" w:type="pct"/>
            <w:shd w:val="clear" w:color="auto" w:fill="auto"/>
            <w:noWrap/>
            <w:vAlign w:val="bottom"/>
            <w:hideMark/>
          </w:tcPr>
          <w:p w14:paraId="01119780" w14:textId="77777777" w:rsidR="006F4E24" w:rsidRPr="001271F5" w:rsidRDefault="006F4E24" w:rsidP="008E083E">
            <w:pPr>
              <w:widowControl/>
              <w:autoSpaceDE/>
              <w:autoSpaceDN/>
              <w:adjustRightInd/>
              <w:spacing w:before="40" w:after="40"/>
              <w:rPr>
                <w:rFonts w:asciiTheme="minorHAnsi" w:hAnsiTheme="minorHAnsi" w:cstheme="minorHAnsi"/>
                <w:lang w:eastAsia="en-AU"/>
              </w:rPr>
            </w:pPr>
            <w:r w:rsidRPr="001271F5">
              <w:rPr>
                <w:rFonts w:asciiTheme="minorHAnsi" w:hAnsiTheme="minorHAnsi" w:cstheme="minorHAnsi"/>
                <w:lang w:eastAsia="en-AU"/>
              </w:rPr>
              <w:t>NT</w:t>
            </w:r>
          </w:p>
        </w:tc>
        <w:tc>
          <w:tcPr>
            <w:tcW w:w="1274" w:type="pct"/>
            <w:shd w:val="clear" w:color="auto" w:fill="auto"/>
            <w:noWrap/>
            <w:vAlign w:val="bottom"/>
            <w:hideMark/>
          </w:tcPr>
          <w:p w14:paraId="1AEDBD47" w14:textId="77777777" w:rsidR="006F4E24" w:rsidRPr="003423FA" w:rsidRDefault="006F4E24" w:rsidP="008E083E">
            <w:pPr>
              <w:widowControl/>
              <w:autoSpaceDE/>
              <w:autoSpaceDN/>
              <w:adjustRightInd/>
              <w:spacing w:before="40" w:after="40"/>
              <w:jc w:val="center"/>
              <w:rPr>
                <w:rFonts w:asciiTheme="minorHAnsi" w:hAnsiTheme="minorHAnsi" w:cstheme="minorHAnsi"/>
                <w:lang w:eastAsia="en-AU"/>
              </w:rPr>
            </w:pPr>
            <w:r w:rsidRPr="003423FA">
              <w:rPr>
                <w:rFonts w:asciiTheme="minorHAnsi" w:hAnsiTheme="minorHAnsi" w:cstheme="minorHAnsi"/>
                <w:lang w:eastAsia="en-AU"/>
              </w:rPr>
              <w:t>7</w:t>
            </w:r>
          </w:p>
        </w:tc>
        <w:tc>
          <w:tcPr>
            <w:tcW w:w="1456" w:type="pct"/>
            <w:shd w:val="clear" w:color="auto" w:fill="auto"/>
            <w:noWrap/>
            <w:vAlign w:val="bottom"/>
            <w:hideMark/>
          </w:tcPr>
          <w:p w14:paraId="2D8313FA" w14:textId="2E3249C6" w:rsidR="006F4E24" w:rsidRPr="003423FA" w:rsidRDefault="007135E8" w:rsidP="008E083E">
            <w:pPr>
              <w:widowControl/>
              <w:autoSpaceDE/>
              <w:autoSpaceDN/>
              <w:adjustRightInd/>
              <w:spacing w:before="40" w:after="40"/>
              <w:jc w:val="center"/>
              <w:rPr>
                <w:rFonts w:asciiTheme="minorHAnsi" w:hAnsiTheme="minorHAnsi" w:cstheme="minorHAnsi"/>
                <w:lang w:eastAsia="en-AU"/>
              </w:rPr>
            </w:pPr>
            <w:r>
              <w:rPr>
                <w:rFonts w:asciiTheme="minorHAnsi" w:hAnsiTheme="minorHAnsi" w:cstheme="minorHAnsi"/>
                <w:lang w:eastAsia="en-AU"/>
              </w:rPr>
              <w:t>0</w:t>
            </w:r>
          </w:p>
        </w:tc>
        <w:tc>
          <w:tcPr>
            <w:tcW w:w="1091" w:type="pct"/>
            <w:shd w:val="clear" w:color="auto" w:fill="auto"/>
            <w:noWrap/>
            <w:vAlign w:val="bottom"/>
            <w:hideMark/>
          </w:tcPr>
          <w:p w14:paraId="18A2323B" w14:textId="77777777" w:rsidR="006F4E24" w:rsidRPr="003423FA" w:rsidRDefault="006F4E24" w:rsidP="008E083E">
            <w:pPr>
              <w:widowControl/>
              <w:autoSpaceDE/>
              <w:autoSpaceDN/>
              <w:adjustRightInd/>
              <w:spacing w:before="40" w:after="40"/>
              <w:jc w:val="center"/>
              <w:rPr>
                <w:rFonts w:asciiTheme="minorHAnsi" w:hAnsiTheme="minorHAnsi" w:cstheme="minorHAnsi"/>
                <w:lang w:eastAsia="en-AU"/>
              </w:rPr>
            </w:pPr>
            <w:r w:rsidRPr="003423FA">
              <w:rPr>
                <w:rFonts w:asciiTheme="minorHAnsi" w:hAnsiTheme="minorHAnsi" w:cstheme="minorHAnsi"/>
                <w:lang w:eastAsia="en-AU"/>
              </w:rPr>
              <w:t>7</w:t>
            </w:r>
          </w:p>
        </w:tc>
      </w:tr>
      <w:tr w:rsidR="006F4E24" w:rsidRPr="003423FA" w14:paraId="1C505C84" w14:textId="77777777" w:rsidTr="00A2027C">
        <w:trPr>
          <w:trHeight w:val="290"/>
        </w:trPr>
        <w:tc>
          <w:tcPr>
            <w:tcW w:w="1180" w:type="pct"/>
            <w:shd w:val="clear" w:color="auto" w:fill="auto"/>
            <w:noWrap/>
            <w:vAlign w:val="bottom"/>
            <w:hideMark/>
          </w:tcPr>
          <w:p w14:paraId="0970087F" w14:textId="77777777" w:rsidR="006F4E24" w:rsidRPr="001271F5" w:rsidRDefault="006F4E24" w:rsidP="008E083E">
            <w:pPr>
              <w:widowControl/>
              <w:autoSpaceDE/>
              <w:autoSpaceDN/>
              <w:adjustRightInd/>
              <w:spacing w:before="40" w:after="40"/>
              <w:rPr>
                <w:rFonts w:asciiTheme="minorHAnsi" w:hAnsiTheme="minorHAnsi" w:cstheme="minorHAnsi"/>
                <w:lang w:eastAsia="en-AU"/>
              </w:rPr>
            </w:pPr>
            <w:r w:rsidRPr="001271F5">
              <w:rPr>
                <w:rFonts w:asciiTheme="minorHAnsi" w:hAnsiTheme="minorHAnsi" w:cstheme="minorHAnsi"/>
                <w:lang w:eastAsia="en-AU"/>
              </w:rPr>
              <w:t>WA</w:t>
            </w:r>
          </w:p>
        </w:tc>
        <w:tc>
          <w:tcPr>
            <w:tcW w:w="1274" w:type="pct"/>
            <w:shd w:val="clear" w:color="auto" w:fill="auto"/>
            <w:noWrap/>
            <w:vAlign w:val="bottom"/>
            <w:hideMark/>
          </w:tcPr>
          <w:p w14:paraId="2A02A334" w14:textId="77777777" w:rsidR="006F4E24" w:rsidRPr="003423FA" w:rsidRDefault="006F4E24" w:rsidP="008E083E">
            <w:pPr>
              <w:widowControl/>
              <w:autoSpaceDE/>
              <w:autoSpaceDN/>
              <w:adjustRightInd/>
              <w:spacing w:before="40" w:after="40"/>
              <w:jc w:val="center"/>
              <w:rPr>
                <w:rFonts w:asciiTheme="minorHAnsi" w:hAnsiTheme="minorHAnsi" w:cstheme="minorHAnsi"/>
                <w:lang w:eastAsia="en-AU"/>
              </w:rPr>
            </w:pPr>
            <w:r w:rsidRPr="003423FA">
              <w:rPr>
                <w:rFonts w:asciiTheme="minorHAnsi" w:hAnsiTheme="minorHAnsi" w:cstheme="minorHAnsi"/>
                <w:lang w:eastAsia="en-AU"/>
              </w:rPr>
              <w:t>177</w:t>
            </w:r>
          </w:p>
        </w:tc>
        <w:tc>
          <w:tcPr>
            <w:tcW w:w="1456" w:type="pct"/>
            <w:shd w:val="clear" w:color="auto" w:fill="auto"/>
            <w:noWrap/>
            <w:vAlign w:val="bottom"/>
            <w:hideMark/>
          </w:tcPr>
          <w:p w14:paraId="423BC06B" w14:textId="77777777" w:rsidR="006F4E24" w:rsidRPr="003423FA" w:rsidRDefault="006F4E24" w:rsidP="008E083E">
            <w:pPr>
              <w:widowControl/>
              <w:autoSpaceDE/>
              <w:autoSpaceDN/>
              <w:adjustRightInd/>
              <w:spacing w:before="40" w:after="40"/>
              <w:jc w:val="center"/>
              <w:rPr>
                <w:rFonts w:asciiTheme="minorHAnsi" w:hAnsiTheme="minorHAnsi" w:cstheme="minorHAnsi"/>
                <w:lang w:eastAsia="en-AU"/>
              </w:rPr>
            </w:pPr>
            <w:r w:rsidRPr="003423FA">
              <w:rPr>
                <w:rFonts w:asciiTheme="minorHAnsi" w:hAnsiTheme="minorHAnsi" w:cstheme="minorHAnsi"/>
                <w:lang w:eastAsia="en-AU"/>
              </w:rPr>
              <w:t>1</w:t>
            </w:r>
          </w:p>
        </w:tc>
        <w:tc>
          <w:tcPr>
            <w:tcW w:w="1091" w:type="pct"/>
            <w:shd w:val="clear" w:color="auto" w:fill="auto"/>
            <w:noWrap/>
            <w:vAlign w:val="bottom"/>
            <w:hideMark/>
          </w:tcPr>
          <w:p w14:paraId="0951A5C0" w14:textId="77777777" w:rsidR="006F4E24" w:rsidRPr="003423FA" w:rsidRDefault="006F4E24" w:rsidP="008E083E">
            <w:pPr>
              <w:widowControl/>
              <w:autoSpaceDE/>
              <w:autoSpaceDN/>
              <w:adjustRightInd/>
              <w:spacing w:before="40" w:after="40"/>
              <w:jc w:val="center"/>
              <w:rPr>
                <w:rFonts w:asciiTheme="minorHAnsi" w:hAnsiTheme="minorHAnsi" w:cstheme="minorHAnsi"/>
                <w:lang w:eastAsia="en-AU"/>
              </w:rPr>
            </w:pPr>
            <w:r w:rsidRPr="003423FA">
              <w:rPr>
                <w:rFonts w:asciiTheme="minorHAnsi" w:hAnsiTheme="minorHAnsi" w:cstheme="minorHAnsi"/>
                <w:lang w:eastAsia="en-AU"/>
              </w:rPr>
              <w:t>178</w:t>
            </w:r>
          </w:p>
        </w:tc>
      </w:tr>
    </w:tbl>
    <w:p w14:paraId="0CB9BAE8" w14:textId="2EC2AFDF" w:rsidR="00695617" w:rsidRDefault="00C16B8B" w:rsidP="00FC0FD7">
      <w:pPr>
        <w:spacing w:before="120" w:after="120"/>
        <w:rPr>
          <w:rFonts w:asciiTheme="minorHAnsi" w:hAnsiTheme="minorHAnsi" w:cstheme="minorHAnsi"/>
          <w:sz w:val="24"/>
          <w:szCs w:val="22"/>
        </w:rPr>
      </w:pPr>
      <w:r>
        <w:rPr>
          <w:rFonts w:asciiTheme="minorHAnsi" w:hAnsiTheme="minorHAnsi" w:cstheme="minorHAnsi"/>
          <w:sz w:val="24"/>
          <w:szCs w:val="22"/>
        </w:rPr>
        <w:t xml:space="preserve">As demonstrated in </w:t>
      </w:r>
      <w:r w:rsidR="008D58C9" w:rsidRPr="008D58C9">
        <w:rPr>
          <w:rFonts w:asciiTheme="minorHAnsi" w:hAnsiTheme="minorHAnsi" w:cstheme="minorHAnsi"/>
          <w:sz w:val="24"/>
          <w:szCs w:val="22"/>
        </w:rPr>
        <w:fldChar w:fldCharType="begin"/>
      </w:r>
      <w:r w:rsidR="008D58C9">
        <w:rPr>
          <w:rFonts w:asciiTheme="minorHAnsi" w:hAnsiTheme="minorHAnsi" w:cstheme="minorHAnsi"/>
          <w:sz w:val="24"/>
          <w:szCs w:val="22"/>
        </w:rPr>
        <w:instrText xml:space="preserve"> REF _Ref527632157 \h  \* MERGEFORMAT </w:instrText>
      </w:r>
      <w:r w:rsidR="008D58C9" w:rsidRPr="008D58C9">
        <w:rPr>
          <w:rFonts w:asciiTheme="minorHAnsi" w:hAnsiTheme="minorHAnsi" w:cstheme="minorHAnsi"/>
          <w:sz w:val="24"/>
          <w:szCs w:val="22"/>
        </w:rPr>
      </w:r>
      <w:r w:rsidR="008D58C9" w:rsidRPr="008D58C9">
        <w:rPr>
          <w:rFonts w:asciiTheme="minorHAnsi" w:hAnsiTheme="minorHAnsi" w:cstheme="minorHAnsi"/>
          <w:sz w:val="24"/>
          <w:szCs w:val="22"/>
        </w:rPr>
        <w:fldChar w:fldCharType="separate"/>
      </w:r>
      <w:r w:rsidR="00A04048" w:rsidRPr="00C75FAB">
        <w:rPr>
          <w:rFonts w:asciiTheme="minorHAnsi" w:hAnsiTheme="minorHAnsi" w:cstheme="minorHAnsi"/>
          <w:sz w:val="24"/>
          <w:szCs w:val="22"/>
        </w:rPr>
        <w:t>Table 22</w:t>
      </w:r>
      <w:r w:rsidR="008D58C9" w:rsidRPr="008D58C9">
        <w:rPr>
          <w:rFonts w:asciiTheme="minorHAnsi" w:hAnsiTheme="minorHAnsi" w:cstheme="minorHAnsi"/>
          <w:sz w:val="24"/>
          <w:szCs w:val="22"/>
        </w:rPr>
        <w:fldChar w:fldCharType="end"/>
      </w:r>
      <w:r>
        <w:rPr>
          <w:rFonts w:asciiTheme="minorHAnsi" w:hAnsiTheme="minorHAnsi" w:cstheme="minorHAnsi"/>
          <w:sz w:val="24"/>
          <w:szCs w:val="22"/>
        </w:rPr>
        <w:t xml:space="preserve">, some </w:t>
      </w:r>
      <w:r w:rsidR="0002606E">
        <w:rPr>
          <w:rFonts w:asciiTheme="minorHAnsi" w:hAnsiTheme="minorHAnsi" w:cstheme="minorHAnsi"/>
          <w:sz w:val="24"/>
          <w:szCs w:val="22"/>
        </w:rPr>
        <w:t>jurisdictions</w:t>
      </w:r>
      <w:r>
        <w:rPr>
          <w:rFonts w:asciiTheme="minorHAnsi" w:hAnsiTheme="minorHAnsi" w:cstheme="minorHAnsi"/>
          <w:sz w:val="24"/>
          <w:szCs w:val="22"/>
        </w:rPr>
        <w:t xml:space="preserve"> retrieve more organs interstate than others, with Victoria </w:t>
      </w:r>
      <w:r w:rsidR="0098426C">
        <w:rPr>
          <w:rFonts w:asciiTheme="minorHAnsi" w:hAnsiTheme="minorHAnsi" w:cstheme="minorHAnsi"/>
          <w:sz w:val="24"/>
          <w:szCs w:val="22"/>
        </w:rPr>
        <w:t xml:space="preserve">(34 interstate retrievals) </w:t>
      </w:r>
      <w:r>
        <w:rPr>
          <w:rFonts w:asciiTheme="minorHAnsi" w:hAnsiTheme="minorHAnsi" w:cstheme="minorHAnsi"/>
          <w:sz w:val="24"/>
          <w:szCs w:val="22"/>
        </w:rPr>
        <w:t xml:space="preserve">and New South Wales </w:t>
      </w:r>
      <w:r w:rsidR="0098426C">
        <w:rPr>
          <w:rFonts w:asciiTheme="minorHAnsi" w:hAnsiTheme="minorHAnsi" w:cstheme="minorHAnsi"/>
          <w:sz w:val="24"/>
          <w:szCs w:val="22"/>
        </w:rPr>
        <w:t>(33 interstate retrievals)</w:t>
      </w:r>
      <w:r w:rsidR="0002606E">
        <w:rPr>
          <w:rFonts w:asciiTheme="minorHAnsi" w:hAnsiTheme="minorHAnsi" w:cstheme="minorHAnsi"/>
          <w:sz w:val="24"/>
          <w:szCs w:val="22"/>
        </w:rPr>
        <w:t xml:space="preserve"> undertaking the most interstate retrievals</w:t>
      </w:r>
      <w:r w:rsidR="0098426C">
        <w:rPr>
          <w:rFonts w:asciiTheme="minorHAnsi" w:hAnsiTheme="minorHAnsi" w:cstheme="minorHAnsi"/>
          <w:sz w:val="24"/>
          <w:szCs w:val="22"/>
        </w:rPr>
        <w:t xml:space="preserve">. </w:t>
      </w:r>
      <w:r w:rsidR="006F4E24">
        <w:rPr>
          <w:rFonts w:asciiTheme="minorHAnsi" w:hAnsiTheme="minorHAnsi" w:cstheme="minorHAnsi"/>
          <w:sz w:val="24"/>
          <w:szCs w:val="22"/>
        </w:rPr>
        <w:t xml:space="preserve">The Review found that when retrieval teams are required to travel interstate, management and coordination of </w:t>
      </w:r>
      <w:r w:rsidR="0002606E">
        <w:rPr>
          <w:rFonts w:asciiTheme="minorHAnsi" w:hAnsiTheme="minorHAnsi" w:cstheme="minorHAnsi"/>
          <w:sz w:val="24"/>
          <w:szCs w:val="22"/>
        </w:rPr>
        <w:t xml:space="preserve">the </w:t>
      </w:r>
      <w:r w:rsidR="006F4E24">
        <w:rPr>
          <w:rFonts w:asciiTheme="minorHAnsi" w:hAnsiTheme="minorHAnsi" w:cstheme="minorHAnsi"/>
          <w:sz w:val="24"/>
          <w:szCs w:val="22"/>
        </w:rPr>
        <w:t>resources</w:t>
      </w:r>
      <w:r w:rsidR="0002606E">
        <w:rPr>
          <w:rFonts w:asciiTheme="minorHAnsi" w:hAnsiTheme="minorHAnsi" w:cstheme="minorHAnsi"/>
          <w:sz w:val="24"/>
          <w:szCs w:val="22"/>
        </w:rPr>
        <w:t xml:space="preserve"> required</w:t>
      </w:r>
      <w:r w:rsidR="006F4E24">
        <w:rPr>
          <w:rFonts w:asciiTheme="minorHAnsi" w:hAnsiTheme="minorHAnsi" w:cstheme="minorHAnsi"/>
          <w:sz w:val="24"/>
          <w:szCs w:val="22"/>
        </w:rPr>
        <w:t xml:space="preserve"> become more difficult</w:t>
      </w:r>
      <w:r w:rsidR="002F2535">
        <w:rPr>
          <w:rFonts w:asciiTheme="minorHAnsi" w:hAnsiTheme="minorHAnsi" w:cstheme="minorHAnsi"/>
          <w:sz w:val="24"/>
          <w:szCs w:val="22"/>
        </w:rPr>
        <w:t xml:space="preserve">. </w:t>
      </w:r>
      <w:r w:rsidR="00ED42DA">
        <w:rPr>
          <w:rFonts w:asciiTheme="minorHAnsi" w:hAnsiTheme="minorHAnsi" w:cstheme="minorHAnsi"/>
          <w:sz w:val="24"/>
          <w:szCs w:val="22"/>
        </w:rPr>
        <w:t xml:space="preserve">Key stakeholders from transplantation units </w:t>
      </w:r>
      <w:r w:rsidR="002F2535">
        <w:rPr>
          <w:rFonts w:asciiTheme="minorHAnsi" w:hAnsiTheme="minorHAnsi" w:cstheme="minorHAnsi"/>
          <w:sz w:val="24"/>
          <w:szCs w:val="22"/>
        </w:rPr>
        <w:t xml:space="preserve">reported that coordination of travel was </w:t>
      </w:r>
      <w:r w:rsidR="00ED42DA">
        <w:rPr>
          <w:rFonts w:asciiTheme="minorHAnsi" w:hAnsiTheme="minorHAnsi" w:cstheme="minorHAnsi"/>
          <w:sz w:val="24"/>
          <w:szCs w:val="22"/>
        </w:rPr>
        <w:t xml:space="preserve">a major source of </w:t>
      </w:r>
      <w:r w:rsidR="002F2535">
        <w:rPr>
          <w:rFonts w:asciiTheme="minorHAnsi" w:hAnsiTheme="minorHAnsi" w:cstheme="minorHAnsi"/>
          <w:sz w:val="24"/>
          <w:szCs w:val="22"/>
        </w:rPr>
        <w:t>challeng</w:t>
      </w:r>
      <w:r w:rsidR="00ED42DA">
        <w:rPr>
          <w:rFonts w:asciiTheme="minorHAnsi" w:hAnsiTheme="minorHAnsi" w:cstheme="minorHAnsi"/>
          <w:sz w:val="24"/>
          <w:szCs w:val="22"/>
        </w:rPr>
        <w:t>e</w:t>
      </w:r>
      <w:r w:rsidR="002F2535">
        <w:rPr>
          <w:rFonts w:asciiTheme="minorHAnsi" w:hAnsiTheme="minorHAnsi" w:cstheme="minorHAnsi"/>
          <w:sz w:val="24"/>
          <w:szCs w:val="22"/>
        </w:rPr>
        <w:t xml:space="preserve"> as there is currently no national approach to </w:t>
      </w:r>
      <w:r w:rsidR="00267942">
        <w:rPr>
          <w:rFonts w:asciiTheme="minorHAnsi" w:hAnsiTheme="minorHAnsi" w:cstheme="minorHAnsi"/>
          <w:sz w:val="24"/>
          <w:szCs w:val="22"/>
        </w:rPr>
        <w:t>sourcing or procuring</w:t>
      </w:r>
      <w:r w:rsidR="002F2535">
        <w:rPr>
          <w:rFonts w:asciiTheme="minorHAnsi" w:hAnsiTheme="minorHAnsi" w:cstheme="minorHAnsi"/>
          <w:sz w:val="24"/>
          <w:szCs w:val="22"/>
        </w:rPr>
        <w:t xml:space="preserve"> aviation services. </w:t>
      </w:r>
    </w:p>
    <w:p w14:paraId="4C440AA8" w14:textId="77777777" w:rsidR="004D2F6E" w:rsidRPr="00A2027C" w:rsidRDefault="002F2535" w:rsidP="00C75FAB">
      <w:pPr>
        <w:spacing w:after="120"/>
        <w:rPr>
          <w:rFonts w:asciiTheme="minorHAnsi" w:hAnsiTheme="minorHAnsi" w:cstheme="minorHAnsi"/>
          <w:sz w:val="24"/>
          <w:szCs w:val="22"/>
        </w:rPr>
      </w:pPr>
      <w:r>
        <w:rPr>
          <w:rFonts w:asciiTheme="minorHAnsi" w:hAnsiTheme="minorHAnsi" w:cstheme="minorHAnsi"/>
          <w:sz w:val="24"/>
          <w:szCs w:val="22"/>
        </w:rPr>
        <w:t xml:space="preserve">Further, it was reported that when retrieval teams are interstate for </w:t>
      </w:r>
      <w:r w:rsidR="00695617">
        <w:rPr>
          <w:rFonts w:asciiTheme="minorHAnsi" w:hAnsiTheme="minorHAnsi" w:cstheme="minorHAnsi"/>
          <w:sz w:val="24"/>
          <w:szCs w:val="22"/>
        </w:rPr>
        <w:t>extended</w:t>
      </w:r>
      <w:r>
        <w:rPr>
          <w:rFonts w:asciiTheme="minorHAnsi" w:hAnsiTheme="minorHAnsi" w:cstheme="minorHAnsi"/>
          <w:sz w:val="24"/>
          <w:szCs w:val="22"/>
        </w:rPr>
        <w:t xml:space="preserve"> periods of time, transplantation units are left with limited resources. This was reported to result in </w:t>
      </w:r>
      <w:r w:rsidR="00D45314">
        <w:rPr>
          <w:rFonts w:asciiTheme="minorHAnsi" w:hAnsiTheme="minorHAnsi" w:cstheme="minorHAnsi"/>
          <w:sz w:val="24"/>
          <w:szCs w:val="22"/>
        </w:rPr>
        <w:t xml:space="preserve">retrieval and transplantation </w:t>
      </w:r>
      <w:r>
        <w:rPr>
          <w:rFonts w:asciiTheme="minorHAnsi" w:hAnsiTheme="minorHAnsi" w:cstheme="minorHAnsi"/>
          <w:sz w:val="24"/>
          <w:szCs w:val="22"/>
        </w:rPr>
        <w:t>clinicians having to work for prolonged periods of time</w:t>
      </w:r>
      <w:r w:rsidR="00ED42DA">
        <w:rPr>
          <w:rFonts w:asciiTheme="minorHAnsi" w:hAnsiTheme="minorHAnsi" w:cstheme="minorHAnsi"/>
          <w:sz w:val="24"/>
          <w:szCs w:val="22"/>
        </w:rPr>
        <w:t xml:space="preserve"> or meant appropriate resources were not available</w:t>
      </w:r>
      <w:r w:rsidR="00695617">
        <w:rPr>
          <w:rFonts w:asciiTheme="minorHAnsi" w:hAnsiTheme="minorHAnsi" w:cstheme="minorHAnsi"/>
          <w:sz w:val="24"/>
          <w:szCs w:val="22"/>
        </w:rPr>
        <w:t xml:space="preserve">. This </w:t>
      </w:r>
      <w:r>
        <w:rPr>
          <w:rFonts w:asciiTheme="minorHAnsi" w:hAnsiTheme="minorHAnsi" w:cstheme="minorHAnsi"/>
          <w:sz w:val="24"/>
          <w:szCs w:val="22"/>
        </w:rPr>
        <w:t>increas</w:t>
      </w:r>
      <w:r w:rsidR="00695617">
        <w:rPr>
          <w:rFonts w:asciiTheme="minorHAnsi" w:hAnsiTheme="minorHAnsi" w:cstheme="minorHAnsi"/>
          <w:sz w:val="24"/>
          <w:szCs w:val="22"/>
        </w:rPr>
        <w:t>e</w:t>
      </w:r>
      <w:r w:rsidR="00ED42DA">
        <w:rPr>
          <w:rFonts w:asciiTheme="minorHAnsi" w:hAnsiTheme="minorHAnsi" w:cstheme="minorHAnsi"/>
          <w:sz w:val="24"/>
          <w:szCs w:val="22"/>
        </w:rPr>
        <w:t>d</w:t>
      </w:r>
      <w:r>
        <w:rPr>
          <w:rFonts w:asciiTheme="minorHAnsi" w:hAnsiTheme="minorHAnsi" w:cstheme="minorHAnsi"/>
          <w:sz w:val="24"/>
          <w:szCs w:val="22"/>
        </w:rPr>
        <w:t xml:space="preserve"> risks to safety and quality, </w:t>
      </w:r>
      <w:r w:rsidR="00695617">
        <w:rPr>
          <w:rFonts w:asciiTheme="minorHAnsi" w:hAnsiTheme="minorHAnsi" w:cstheme="minorHAnsi"/>
          <w:sz w:val="24"/>
          <w:szCs w:val="22"/>
        </w:rPr>
        <w:t xml:space="preserve">as well as </w:t>
      </w:r>
      <w:r>
        <w:rPr>
          <w:rFonts w:asciiTheme="minorHAnsi" w:hAnsiTheme="minorHAnsi" w:cstheme="minorHAnsi"/>
          <w:sz w:val="24"/>
          <w:szCs w:val="22"/>
        </w:rPr>
        <w:t>the potential for decline of organs due to logistical reasons. The Review found that in 2017, 146 organs were declined due to logistical reasons.</w:t>
      </w:r>
      <w:r w:rsidR="00D45314">
        <w:rPr>
          <w:rStyle w:val="FootnoteReference"/>
          <w:rFonts w:cstheme="minorHAnsi"/>
        </w:rPr>
        <w:footnoteReference w:id="163"/>
      </w:r>
      <w:r>
        <w:rPr>
          <w:rFonts w:asciiTheme="minorHAnsi" w:hAnsiTheme="minorHAnsi" w:cstheme="minorHAnsi"/>
          <w:sz w:val="24"/>
          <w:szCs w:val="22"/>
        </w:rPr>
        <w:t xml:space="preserve"> In other words, these organs were declined because adequate resources were not available to undertake the retrieval. </w:t>
      </w:r>
      <w:r w:rsidR="00ED42DA">
        <w:rPr>
          <w:rFonts w:asciiTheme="minorHAnsi" w:hAnsiTheme="minorHAnsi" w:cstheme="minorHAnsi"/>
          <w:sz w:val="24"/>
          <w:szCs w:val="22"/>
        </w:rPr>
        <w:t>Examples of organs declined or withdrawal of consent due to logistical reasons are described below.</w:t>
      </w:r>
    </w:p>
    <w:p w14:paraId="6959A798" w14:textId="5A450CCA" w:rsidR="002F2535" w:rsidRDefault="006F4E24" w:rsidP="00C75FAB">
      <w:pPr>
        <w:spacing w:after="120"/>
        <w:rPr>
          <w:rFonts w:asciiTheme="minorHAnsi" w:hAnsiTheme="minorHAnsi" w:cstheme="minorHAnsi"/>
          <w:sz w:val="24"/>
          <w:szCs w:val="22"/>
        </w:rPr>
      </w:pPr>
      <w:r>
        <w:rPr>
          <w:rFonts w:asciiTheme="minorHAnsi" w:hAnsiTheme="minorHAnsi" w:cstheme="minorHAnsi"/>
          <w:sz w:val="24"/>
          <w:szCs w:val="22"/>
        </w:rPr>
        <w:t xml:space="preserve">International systems </w:t>
      </w:r>
      <w:r w:rsidRPr="00EF5708">
        <w:rPr>
          <w:rFonts w:asciiTheme="minorHAnsi" w:hAnsiTheme="minorHAnsi" w:cstheme="minorHAnsi"/>
          <w:sz w:val="24"/>
          <w:szCs w:val="22"/>
        </w:rPr>
        <w:t xml:space="preserve">have attempted to </w:t>
      </w:r>
      <w:r w:rsidR="00824AD4" w:rsidRPr="00EF5708">
        <w:rPr>
          <w:rFonts w:asciiTheme="minorHAnsi" w:hAnsiTheme="minorHAnsi" w:cstheme="minorHAnsi"/>
          <w:sz w:val="24"/>
          <w:szCs w:val="22"/>
        </w:rPr>
        <w:t xml:space="preserve">address </w:t>
      </w:r>
      <w:r w:rsidRPr="00EF5708">
        <w:rPr>
          <w:rFonts w:asciiTheme="minorHAnsi" w:hAnsiTheme="minorHAnsi" w:cstheme="minorHAnsi"/>
          <w:sz w:val="24"/>
          <w:szCs w:val="22"/>
        </w:rPr>
        <w:t>this challenge through establishing a ‘de-coupled’ retrieval service from the transplant</w:t>
      </w:r>
      <w:r>
        <w:rPr>
          <w:rFonts w:asciiTheme="minorHAnsi" w:hAnsiTheme="minorHAnsi" w:cstheme="minorHAnsi"/>
          <w:sz w:val="24"/>
          <w:szCs w:val="22"/>
        </w:rPr>
        <w:t xml:space="preserve"> service</w:t>
      </w:r>
      <w:r w:rsidR="00A60853">
        <w:rPr>
          <w:rFonts w:asciiTheme="minorHAnsi" w:hAnsiTheme="minorHAnsi" w:cstheme="minorHAnsi"/>
          <w:sz w:val="24"/>
          <w:szCs w:val="22"/>
        </w:rPr>
        <w:t>,</w:t>
      </w:r>
      <w:r w:rsidR="00824AD4">
        <w:rPr>
          <w:rFonts w:asciiTheme="minorHAnsi" w:hAnsiTheme="minorHAnsi" w:cstheme="minorHAnsi"/>
          <w:sz w:val="24"/>
          <w:szCs w:val="22"/>
        </w:rPr>
        <w:t xml:space="preserve"> </w:t>
      </w:r>
      <w:r w:rsidR="00A60853">
        <w:rPr>
          <w:rFonts w:asciiTheme="minorHAnsi" w:hAnsiTheme="minorHAnsi" w:cstheme="minorHAnsi"/>
          <w:sz w:val="24"/>
          <w:szCs w:val="22"/>
        </w:rPr>
        <w:t>w</w:t>
      </w:r>
      <w:r w:rsidR="00824AD4">
        <w:rPr>
          <w:rFonts w:asciiTheme="minorHAnsi" w:hAnsiTheme="minorHAnsi" w:cstheme="minorHAnsi"/>
          <w:sz w:val="24"/>
          <w:szCs w:val="22"/>
        </w:rPr>
        <w:t xml:space="preserve">hereby there is a </w:t>
      </w:r>
      <w:r>
        <w:rPr>
          <w:rFonts w:asciiTheme="minorHAnsi" w:hAnsiTheme="minorHAnsi" w:cstheme="minorHAnsi"/>
          <w:sz w:val="24"/>
          <w:szCs w:val="22"/>
        </w:rPr>
        <w:t xml:space="preserve">dedicated </w:t>
      </w:r>
      <w:r w:rsidR="00824AD4">
        <w:rPr>
          <w:rFonts w:asciiTheme="minorHAnsi" w:hAnsiTheme="minorHAnsi" w:cstheme="minorHAnsi"/>
          <w:sz w:val="24"/>
          <w:szCs w:val="22"/>
        </w:rPr>
        <w:t xml:space="preserve">service to </w:t>
      </w:r>
      <w:r>
        <w:rPr>
          <w:rFonts w:asciiTheme="minorHAnsi" w:hAnsiTheme="minorHAnsi" w:cstheme="minorHAnsi"/>
          <w:sz w:val="24"/>
          <w:szCs w:val="22"/>
        </w:rPr>
        <w:t>optimis</w:t>
      </w:r>
      <w:r w:rsidR="00824AD4">
        <w:rPr>
          <w:rFonts w:asciiTheme="minorHAnsi" w:hAnsiTheme="minorHAnsi" w:cstheme="minorHAnsi"/>
          <w:sz w:val="24"/>
          <w:szCs w:val="22"/>
        </w:rPr>
        <w:t xml:space="preserve">e </w:t>
      </w:r>
      <w:r>
        <w:rPr>
          <w:rFonts w:asciiTheme="minorHAnsi" w:hAnsiTheme="minorHAnsi" w:cstheme="minorHAnsi"/>
          <w:sz w:val="24"/>
          <w:szCs w:val="22"/>
        </w:rPr>
        <w:t>retrieved organs for transplantation. The United Kingdom have established the National Organ Retrieval Service in order to better manage retrieval demand and the quality of the retrieval services.</w:t>
      </w:r>
      <w:r w:rsidRPr="001271F5">
        <w:rPr>
          <w:rStyle w:val="FootnoteReference"/>
          <w:rFonts w:asciiTheme="minorHAnsi" w:hAnsiTheme="minorHAnsi" w:cstheme="minorHAnsi"/>
          <w:szCs w:val="18"/>
        </w:rPr>
        <w:footnoteReference w:id="164"/>
      </w:r>
      <w:r>
        <w:rPr>
          <w:rFonts w:asciiTheme="minorHAnsi" w:hAnsiTheme="minorHAnsi" w:cstheme="minorHAnsi"/>
          <w:sz w:val="24"/>
          <w:szCs w:val="22"/>
        </w:rPr>
        <w:t xml:space="preserve"> As a key component of the organ donation and transplantation infrastructure in the United Kingdom, the National </w:t>
      </w:r>
      <w:r w:rsidR="00824AD4">
        <w:rPr>
          <w:rFonts w:asciiTheme="minorHAnsi" w:hAnsiTheme="minorHAnsi" w:cstheme="minorHAnsi"/>
          <w:sz w:val="24"/>
          <w:szCs w:val="22"/>
        </w:rPr>
        <w:t>O</w:t>
      </w:r>
      <w:r>
        <w:rPr>
          <w:rFonts w:asciiTheme="minorHAnsi" w:hAnsiTheme="minorHAnsi" w:cstheme="minorHAnsi"/>
          <w:sz w:val="24"/>
          <w:szCs w:val="22"/>
        </w:rPr>
        <w:t xml:space="preserve">rgan Retrieval Service provides a </w:t>
      </w:r>
      <w:r w:rsidR="00E25CB1">
        <w:rPr>
          <w:rFonts w:asciiTheme="minorHAnsi" w:hAnsiTheme="minorHAnsi" w:cstheme="minorHAnsi"/>
          <w:sz w:val="24"/>
          <w:szCs w:val="22"/>
        </w:rPr>
        <w:t>24-hour</w:t>
      </w:r>
      <w:r>
        <w:rPr>
          <w:rFonts w:asciiTheme="minorHAnsi" w:hAnsiTheme="minorHAnsi" w:cstheme="minorHAnsi"/>
          <w:sz w:val="24"/>
          <w:szCs w:val="22"/>
        </w:rPr>
        <w:t xml:space="preserve"> service for retrieving organs through a dedicated team approach. </w:t>
      </w:r>
    </w:p>
    <w:p w14:paraId="22A35438" w14:textId="77777777" w:rsidR="00BE04F5" w:rsidRDefault="002F2535">
      <w:pPr>
        <w:spacing w:after="120"/>
        <w:rPr>
          <w:rFonts w:asciiTheme="minorHAnsi" w:hAnsiTheme="minorHAnsi" w:cstheme="minorHAnsi"/>
          <w:sz w:val="24"/>
          <w:szCs w:val="22"/>
        </w:rPr>
      </w:pPr>
      <w:r>
        <w:rPr>
          <w:rFonts w:asciiTheme="minorHAnsi" w:hAnsiTheme="minorHAnsi" w:cstheme="minorHAnsi"/>
          <w:sz w:val="24"/>
          <w:szCs w:val="22"/>
        </w:rPr>
        <w:t xml:space="preserve">As demonstrated </w:t>
      </w:r>
      <w:r w:rsidRPr="003259BB">
        <w:rPr>
          <w:rFonts w:asciiTheme="minorHAnsi" w:hAnsiTheme="minorHAnsi" w:cstheme="minorHAnsi"/>
          <w:sz w:val="24"/>
          <w:szCs w:val="22"/>
        </w:rPr>
        <w:t xml:space="preserve">by </w:t>
      </w:r>
      <w:r w:rsidR="00824AD4" w:rsidRPr="003259BB">
        <w:rPr>
          <w:rFonts w:asciiTheme="minorHAnsi" w:hAnsiTheme="minorHAnsi" w:cstheme="minorHAnsi"/>
          <w:sz w:val="24"/>
          <w:szCs w:val="22"/>
        </w:rPr>
        <w:fldChar w:fldCharType="begin"/>
      </w:r>
      <w:r w:rsidR="00824AD4" w:rsidRPr="003259BB">
        <w:rPr>
          <w:rFonts w:asciiTheme="minorHAnsi" w:hAnsiTheme="minorHAnsi" w:cstheme="minorHAnsi"/>
          <w:sz w:val="24"/>
          <w:szCs w:val="22"/>
        </w:rPr>
        <w:instrText xml:space="preserve"> REF _Ref529970014 \h  \* MERGEFORMAT </w:instrText>
      </w:r>
      <w:r w:rsidR="00824AD4" w:rsidRPr="003259BB">
        <w:rPr>
          <w:rFonts w:asciiTheme="minorHAnsi" w:hAnsiTheme="minorHAnsi" w:cstheme="minorHAnsi"/>
          <w:sz w:val="24"/>
          <w:szCs w:val="22"/>
        </w:rPr>
      </w:r>
      <w:r w:rsidR="00824AD4" w:rsidRPr="003259BB">
        <w:rPr>
          <w:rFonts w:asciiTheme="minorHAnsi" w:hAnsiTheme="minorHAnsi" w:cstheme="minorHAnsi"/>
          <w:sz w:val="24"/>
          <w:szCs w:val="22"/>
        </w:rPr>
        <w:fldChar w:fldCharType="separate"/>
      </w:r>
      <w:r w:rsidR="00A04048" w:rsidRPr="00C75FAB">
        <w:rPr>
          <w:rFonts w:asciiTheme="minorHAnsi" w:hAnsiTheme="minorHAnsi" w:cstheme="minorHAnsi"/>
          <w:sz w:val="24"/>
          <w:szCs w:val="22"/>
        </w:rPr>
        <w:t>Table 23</w:t>
      </w:r>
      <w:r w:rsidR="00824AD4" w:rsidRPr="003259BB">
        <w:rPr>
          <w:rFonts w:asciiTheme="minorHAnsi" w:hAnsiTheme="minorHAnsi" w:cstheme="minorHAnsi"/>
          <w:sz w:val="24"/>
          <w:szCs w:val="22"/>
        </w:rPr>
        <w:fldChar w:fldCharType="end"/>
      </w:r>
      <w:r w:rsidR="00A60853">
        <w:rPr>
          <w:rFonts w:asciiTheme="minorHAnsi" w:hAnsiTheme="minorHAnsi" w:cstheme="minorHAnsi"/>
          <w:sz w:val="24"/>
          <w:szCs w:val="22"/>
        </w:rPr>
        <w:t xml:space="preserve">, the </w:t>
      </w:r>
      <w:r>
        <w:rPr>
          <w:rFonts w:asciiTheme="minorHAnsi" w:hAnsiTheme="minorHAnsi" w:cstheme="minorHAnsi"/>
          <w:sz w:val="24"/>
          <w:szCs w:val="22"/>
        </w:rPr>
        <w:t>retrieval process</w:t>
      </w:r>
      <w:r w:rsidR="00A60853">
        <w:rPr>
          <w:rFonts w:asciiTheme="minorHAnsi" w:hAnsiTheme="minorHAnsi" w:cstheme="minorHAnsi"/>
          <w:sz w:val="24"/>
          <w:szCs w:val="22"/>
        </w:rPr>
        <w:t xml:space="preserve"> for abdominal organs (kidneys and livers) in Australia</w:t>
      </w:r>
      <w:r>
        <w:rPr>
          <w:rFonts w:asciiTheme="minorHAnsi" w:hAnsiTheme="minorHAnsi" w:cstheme="minorHAnsi"/>
          <w:sz w:val="24"/>
          <w:szCs w:val="22"/>
        </w:rPr>
        <w:t xml:space="preserve"> is </w:t>
      </w:r>
      <w:r w:rsidR="00824AD4">
        <w:rPr>
          <w:rFonts w:asciiTheme="minorHAnsi" w:hAnsiTheme="minorHAnsi" w:cstheme="minorHAnsi"/>
          <w:sz w:val="24"/>
          <w:szCs w:val="22"/>
        </w:rPr>
        <w:t xml:space="preserve">generally </w:t>
      </w:r>
      <w:r>
        <w:rPr>
          <w:rFonts w:asciiTheme="minorHAnsi" w:hAnsiTheme="minorHAnsi" w:cstheme="minorHAnsi"/>
          <w:sz w:val="24"/>
          <w:szCs w:val="22"/>
        </w:rPr>
        <w:t xml:space="preserve">undertaken by the retrieval team from </w:t>
      </w:r>
      <w:r w:rsidR="00A60853">
        <w:rPr>
          <w:rFonts w:asciiTheme="minorHAnsi" w:hAnsiTheme="minorHAnsi" w:cstheme="minorHAnsi"/>
          <w:sz w:val="24"/>
          <w:szCs w:val="22"/>
        </w:rPr>
        <w:t xml:space="preserve">the </w:t>
      </w:r>
      <w:r>
        <w:rPr>
          <w:rFonts w:asciiTheme="minorHAnsi" w:hAnsiTheme="minorHAnsi" w:cstheme="minorHAnsi"/>
          <w:sz w:val="24"/>
          <w:szCs w:val="22"/>
        </w:rPr>
        <w:t>donor home state</w:t>
      </w:r>
      <w:r w:rsidR="00824AD4">
        <w:rPr>
          <w:rFonts w:asciiTheme="minorHAnsi" w:hAnsiTheme="minorHAnsi" w:cstheme="minorHAnsi"/>
          <w:sz w:val="24"/>
          <w:szCs w:val="22"/>
        </w:rPr>
        <w:t xml:space="preserve">. </w:t>
      </w:r>
      <w:r w:rsidR="007135E8">
        <w:rPr>
          <w:rFonts w:asciiTheme="minorHAnsi" w:hAnsiTheme="minorHAnsi" w:cstheme="minorHAnsi"/>
          <w:sz w:val="24"/>
          <w:szCs w:val="22"/>
        </w:rPr>
        <w:t>However,</w:t>
      </w:r>
      <w:r w:rsidR="00824AD4">
        <w:rPr>
          <w:rFonts w:asciiTheme="minorHAnsi" w:hAnsiTheme="minorHAnsi" w:cstheme="minorHAnsi"/>
          <w:sz w:val="24"/>
          <w:szCs w:val="22"/>
        </w:rPr>
        <w:t xml:space="preserve"> it is more</w:t>
      </w:r>
      <w:r>
        <w:rPr>
          <w:rFonts w:asciiTheme="minorHAnsi" w:hAnsiTheme="minorHAnsi" w:cstheme="minorHAnsi"/>
          <w:sz w:val="24"/>
          <w:szCs w:val="22"/>
        </w:rPr>
        <w:t xml:space="preserve"> likely to be retrieved by the transplanting state for cardiothoracic organs (hearts and lungs). </w:t>
      </w:r>
      <w:r w:rsidR="00E846C8">
        <w:rPr>
          <w:rFonts w:asciiTheme="minorHAnsi" w:hAnsiTheme="minorHAnsi" w:cstheme="minorHAnsi"/>
          <w:sz w:val="24"/>
          <w:szCs w:val="22"/>
        </w:rPr>
        <w:t xml:space="preserve">This indicates that Australia </w:t>
      </w:r>
      <w:r w:rsidR="005C3607">
        <w:rPr>
          <w:rFonts w:asciiTheme="minorHAnsi" w:hAnsiTheme="minorHAnsi" w:cstheme="minorHAnsi"/>
          <w:sz w:val="24"/>
          <w:szCs w:val="22"/>
        </w:rPr>
        <w:t>currently has</w:t>
      </w:r>
      <w:r w:rsidR="00E846C8">
        <w:rPr>
          <w:rFonts w:asciiTheme="minorHAnsi" w:hAnsiTheme="minorHAnsi" w:cstheme="minorHAnsi"/>
          <w:sz w:val="24"/>
          <w:szCs w:val="22"/>
        </w:rPr>
        <w:t xml:space="preserve"> a hybrid system for retrieval where a </w:t>
      </w:r>
      <w:r w:rsidR="008E64B3">
        <w:rPr>
          <w:rFonts w:asciiTheme="minorHAnsi" w:hAnsiTheme="minorHAnsi" w:cstheme="minorHAnsi"/>
          <w:sz w:val="24"/>
          <w:szCs w:val="22"/>
        </w:rPr>
        <w:t>‘</w:t>
      </w:r>
      <w:r w:rsidR="00E846C8">
        <w:rPr>
          <w:rFonts w:asciiTheme="minorHAnsi" w:hAnsiTheme="minorHAnsi" w:cstheme="minorHAnsi"/>
          <w:sz w:val="24"/>
          <w:szCs w:val="22"/>
        </w:rPr>
        <w:t>d</w:t>
      </w:r>
      <w:r w:rsidR="008E64B3">
        <w:rPr>
          <w:rFonts w:asciiTheme="minorHAnsi" w:hAnsiTheme="minorHAnsi" w:cstheme="minorHAnsi"/>
          <w:sz w:val="24"/>
          <w:szCs w:val="22"/>
        </w:rPr>
        <w:t>e-coupled’</w:t>
      </w:r>
      <w:r w:rsidR="00E846C8">
        <w:rPr>
          <w:rFonts w:asciiTheme="minorHAnsi" w:hAnsiTheme="minorHAnsi" w:cstheme="minorHAnsi"/>
          <w:sz w:val="24"/>
          <w:szCs w:val="22"/>
        </w:rPr>
        <w:t xml:space="preserve"> approach is used for abdominal organs</w:t>
      </w:r>
      <w:r w:rsidR="00824AD4">
        <w:rPr>
          <w:rFonts w:asciiTheme="minorHAnsi" w:hAnsiTheme="minorHAnsi" w:cstheme="minorHAnsi"/>
          <w:sz w:val="24"/>
          <w:szCs w:val="22"/>
        </w:rPr>
        <w:t>,</w:t>
      </w:r>
      <w:r w:rsidR="00E846C8">
        <w:rPr>
          <w:rFonts w:asciiTheme="minorHAnsi" w:hAnsiTheme="minorHAnsi" w:cstheme="minorHAnsi"/>
          <w:sz w:val="24"/>
          <w:szCs w:val="22"/>
        </w:rPr>
        <w:t xml:space="preserve"> but less so for cardiothoracic organs.</w:t>
      </w:r>
      <w:r w:rsidR="00BE04F5">
        <w:rPr>
          <w:rFonts w:asciiTheme="minorHAnsi" w:hAnsiTheme="minorHAnsi" w:cstheme="minorHAnsi"/>
          <w:sz w:val="24"/>
          <w:szCs w:val="22"/>
        </w:rPr>
        <w:br w:type="page"/>
      </w:r>
    </w:p>
    <w:p w14:paraId="459ABED3" w14:textId="77777777" w:rsidR="009C3BFC" w:rsidRPr="001271F5" w:rsidRDefault="009C3BFC" w:rsidP="009C3BFC">
      <w:pPr>
        <w:pStyle w:val="Caption"/>
        <w:keepNext/>
        <w:spacing w:after="120"/>
        <w:rPr>
          <w:rFonts w:asciiTheme="minorHAnsi" w:hAnsiTheme="minorHAnsi" w:cstheme="minorHAnsi"/>
          <w:b w:val="0"/>
          <w:color w:val="808080"/>
          <w:sz w:val="20"/>
        </w:rPr>
      </w:pPr>
      <w:bookmarkStart w:id="668" w:name="_Ref529970014"/>
      <w:r w:rsidRPr="001271F5">
        <w:rPr>
          <w:rFonts w:asciiTheme="minorHAnsi" w:hAnsiTheme="minorHAnsi" w:cstheme="minorHAnsi"/>
          <w:b w:val="0"/>
          <w:color w:val="808080"/>
          <w:sz w:val="20"/>
        </w:rPr>
        <w:t xml:space="preserve">Table </w:t>
      </w:r>
      <w:r w:rsidRPr="001271F5">
        <w:rPr>
          <w:rFonts w:asciiTheme="minorHAnsi" w:hAnsiTheme="minorHAnsi" w:cstheme="minorHAnsi"/>
          <w:b w:val="0"/>
          <w:color w:val="808080"/>
          <w:sz w:val="20"/>
        </w:rPr>
        <w:fldChar w:fldCharType="begin"/>
      </w:r>
      <w:r w:rsidRPr="001271F5">
        <w:rPr>
          <w:rFonts w:asciiTheme="minorHAnsi" w:hAnsiTheme="minorHAnsi" w:cstheme="minorHAnsi"/>
          <w:b w:val="0"/>
          <w:color w:val="808080"/>
          <w:sz w:val="20"/>
        </w:rPr>
        <w:instrText xml:space="preserve"> SEQ Table \* ARABIC </w:instrText>
      </w:r>
      <w:r w:rsidRPr="001271F5">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23</w:t>
      </w:r>
      <w:r w:rsidRPr="001271F5">
        <w:rPr>
          <w:rFonts w:asciiTheme="minorHAnsi" w:hAnsiTheme="minorHAnsi" w:cstheme="minorHAnsi"/>
          <w:b w:val="0"/>
          <w:color w:val="808080"/>
          <w:sz w:val="20"/>
        </w:rPr>
        <w:fldChar w:fldCharType="end"/>
      </w:r>
      <w:bookmarkEnd w:id="668"/>
      <w:r w:rsidRPr="001271F5">
        <w:rPr>
          <w:rFonts w:asciiTheme="minorHAnsi" w:hAnsiTheme="minorHAnsi" w:cstheme="minorHAnsi"/>
          <w:b w:val="0"/>
          <w:color w:val="808080"/>
          <w:sz w:val="20"/>
        </w:rPr>
        <w:t>: Organs retrieved and transplanted interstate 2017</w:t>
      </w:r>
      <w:r>
        <w:rPr>
          <w:rFonts w:asciiTheme="minorHAnsi" w:hAnsiTheme="minorHAnsi" w:cstheme="minorHAnsi"/>
          <w:b w:val="0"/>
          <w:color w:val="808080"/>
          <w:sz w:val="20"/>
        </w:rPr>
        <w:t xml:space="preserve">, SOURCE: </w:t>
      </w:r>
      <w:r w:rsidR="00161741">
        <w:rPr>
          <w:rFonts w:asciiTheme="minorHAnsi" w:hAnsiTheme="minorHAnsi" w:cstheme="minorHAnsi"/>
          <w:b w:val="0"/>
          <w:color w:val="808080"/>
          <w:sz w:val="20"/>
        </w:rPr>
        <w:t>ANZOD</w:t>
      </w:r>
      <w:r w:rsidR="00C61CF4">
        <w:rPr>
          <w:rStyle w:val="FootnoteReference"/>
          <w:rFonts w:cstheme="minorHAnsi"/>
          <w:b w:val="0"/>
          <w:color w:val="808080"/>
        </w:rPr>
        <w:footnoteReference w:id="165"/>
      </w:r>
    </w:p>
    <w:tbl>
      <w:tblPr>
        <w:tblpPr w:leftFromText="180" w:rightFromText="180" w:vertAnchor="text" w:horzAnchor="margin" w:tblpY="9"/>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592"/>
        <w:gridCol w:w="2925"/>
        <w:gridCol w:w="2250"/>
        <w:gridCol w:w="2249"/>
      </w:tblGrid>
      <w:tr w:rsidR="009C3BFC" w:rsidRPr="009F371F" w14:paraId="53DD5D01" w14:textId="77777777" w:rsidTr="00AE3ED1">
        <w:trPr>
          <w:trHeight w:val="290"/>
          <w:tblHeader/>
        </w:trPr>
        <w:tc>
          <w:tcPr>
            <w:tcW w:w="883" w:type="pct"/>
            <w:shd w:val="clear" w:color="auto" w:fill="595959" w:themeFill="text1" w:themeFillTint="A6"/>
            <w:noWrap/>
            <w:vAlign w:val="center"/>
            <w:hideMark/>
          </w:tcPr>
          <w:p w14:paraId="5C976C82" w14:textId="77777777" w:rsidR="009C3BFC" w:rsidRPr="001271F5" w:rsidRDefault="009C3BFC" w:rsidP="008E083E">
            <w:pPr>
              <w:widowControl/>
              <w:autoSpaceDE/>
              <w:autoSpaceDN/>
              <w:adjustRightInd/>
              <w:spacing w:before="40" w:after="40"/>
              <w:rPr>
                <w:rFonts w:ascii="Times New Roman" w:hAnsi="Times New Roman"/>
                <w:b/>
                <w:color w:val="FFFFFF" w:themeColor="background1"/>
                <w:lang w:eastAsia="en-AU"/>
              </w:rPr>
            </w:pPr>
            <w:r w:rsidRPr="001271F5">
              <w:rPr>
                <w:rFonts w:ascii="Calibri" w:hAnsi="Calibri" w:cs="Calibri"/>
                <w:b/>
                <w:color w:val="FFFFFF" w:themeColor="background1"/>
                <w:lang w:eastAsia="en-AU"/>
              </w:rPr>
              <w:t>Organ</w:t>
            </w:r>
          </w:p>
        </w:tc>
        <w:tc>
          <w:tcPr>
            <w:tcW w:w="1622" w:type="pct"/>
            <w:shd w:val="clear" w:color="auto" w:fill="595959" w:themeFill="text1" w:themeFillTint="A6"/>
            <w:noWrap/>
            <w:vAlign w:val="center"/>
            <w:hideMark/>
          </w:tcPr>
          <w:p w14:paraId="382A987C" w14:textId="77777777" w:rsidR="009C3BFC" w:rsidRPr="001271F5" w:rsidRDefault="009C3BFC" w:rsidP="008E083E">
            <w:pPr>
              <w:widowControl/>
              <w:autoSpaceDE/>
              <w:autoSpaceDN/>
              <w:adjustRightInd/>
              <w:spacing w:before="40" w:after="40"/>
              <w:jc w:val="center"/>
              <w:rPr>
                <w:rFonts w:ascii="Calibri" w:hAnsi="Calibri" w:cs="Calibri"/>
                <w:b/>
                <w:color w:val="FFFFFF" w:themeColor="background1"/>
                <w:lang w:eastAsia="en-AU"/>
              </w:rPr>
            </w:pPr>
            <w:r w:rsidRPr="001271F5">
              <w:rPr>
                <w:rFonts w:ascii="Calibri" w:hAnsi="Calibri" w:cs="Calibri"/>
                <w:b/>
                <w:color w:val="FFFFFF" w:themeColor="background1"/>
                <w:lang w:eastAsia="en-AU"/>
              </w:rPr>
              <w:t xml:space="preserve">Total number of organs </w:t>
            </w:r>
            <w:r>
              <w:rPr>
                <w:rFonts w:ascii="Calibri" w:hAnsi="Calibri" w:cs="Calibri"/>
                <w:b/>
                <w:color w:val="FFFFFF" w:themeColor="background1"/>
                <w:lang w:eastAsia="en-AU"/>
              </w:rPr>
              <w:t>retrieved for interstate transplantation</w:t>
            </w:r>
          </w:p>
        </w:tc>
        <w:tc>
          <w:tcPr>
            <w:tcW w:w="1248" w:type="pct"/>
            <w:shd w:val="clear" w:color="auto" w:fill="595959" w:themeFill="text1" w:themeFillTint="A6"/>
            <w:noWrap/>
            <w:vAlign w:val="center"/>
            <w:hideMark/>
          </w:tcPr>
          <w:p w14:paraId="55289E0B" w14:textId="77777777" w:rsidR="009C3BFC" w:rsidRPr="001271F5" w:rsidRDefault="009C3BFC" w:rsidP="008E083E">
            <w:pPr>
              <w:widowControl/>
              <w:autoSpaceDE/>
              <w:autoSpaceDN/>
              <w:adjustRightInd/>
              <w:spacing w:before="40" w:after="40"/>
              <w:jc w:val="center"/>
              <w:rPr>
                <w:rFonts w:ascii="Calibri" w:hAnsi="Calibri" w:cs="Calibri"/>
                <w:b/>
                <w:color w:val="FFFFFF" w:themeColor="background1"/>
                <w:lang w:eastAsia="en-AU"/>
              </w:rPr>
            </w:pPr>
            <w:r w:rsidRPr="001271F5">
              <w:rPr>
                <w:rFonts w:ascii="Calibri" w:hAnsi="Calibri" w:cs="Calibri"/>
                <w:b/>
                <w:color w:val="FFFFFF" w:themeColor="background1"/>
                <w:lang w:eastAsia="en-AU"/>
              </w:rPr>
              <w:t>Retrieved by donor home state</w:t>
            </w:r>
          </w:p>
        </w:tc>
        <w:tc>
          <w:tcPr>
            <w:tcW w:w="1247" w:type="pct"/>
            <w:shd w:val="clear" w:color="auto" w:fill="595959" w:themeFill="text1" w:themeFillTint="A6"/>
            <w:noWrap/>
            <w:vAlign w:val="center"/>
            <w:hideMark/>
          </w:tcPr>
          <w:p w14:paraId="1243F366" w14:textId="77777777" w:rsidR="009C3BFC" w:rsidRPr="001271F5" w:rsidRDefault="009C3BFC" w:rsidP="008E083E">
            <w:pPr>
              <w:widowControl/>
              <w:autoSpaceDE/>
              <w:autoSpaceDN/>
              <w:adjustRightInd/>
              <w:spacing w:before="40" w:after="40"/>
              <w:jc w:val="center"/>
              <w:rPr>
                <w:rFonts w:ascii="Calibri" w:hAnsi="Calibri" w:cs="Calibri"/>
                <w:b/>
                <w:color w:val="FFFFFF" w:themeColor="background1"/>
                <w:lang w:eastAsia="en-AU"/>
              </w:rPr>
            </w:pPr>
            <w:r w:rsidRPr="001271F5">
              <w:rPr>
                <w:rFonts w:ascii="Calibri" w:hAnsi="Calibri" w:cs="Calibri"/>
                <w:b/>
                <w:color w:val="FFFFFF" w:themeColor="background1"/>
                <w:lang w:eastAsia="en-AU"/>
              </w:rPr>
              <w:t>Retrieved by transplanting state</w:t>
            </w:r>
          </w:p>
        </w:tc>
      </w:tr>
      <w:tr w:rsidR="009C3BFC" w:rsidRPr="009F371F" w14:paraId="03529FFF" w14:textId="77777777" w:rsidTr="008E083E">
        <w:trPr>
          <w:trHeight w:val="290"/>
        </w:trPr>
        <w:tc>
          <w:tcPr>
            <w:tcW w:w="883" w:type="pct"/>
            <w:shd w:val="clear" w:color="auto" w:fill="auto"/>
            <w:noWrap/>
            <w:vAlign w:val="center"/>
            <w:hideMark/>
          </w:tcPr>
          <w:p w14:paraId="6E45DE1B" w14:textId="77777777" w:rsidR="009C3BFC" w:rsidRPr="001271F5" w:rsidRDefault="009C3BFC" w:rsidP="008E083E">
            <w:pPr>
              <w:widowControl/>
              <w:autoSpaceDE/>
              <w:autoSpaceDN/>
              <w:adjustRightInd/>
              <w:spacing w:before="40" w:after="40"/>
              <w:rPr>
                <w:rFonts w:ascii="Calibri" w:hAnsi="Calibri" w:cs="Calibri"/>
                <w:color w:val="000000"/>
                <w:lang w:eastAsia="en-AU"/>
              </w:rPr>
            </w:pPr>
            <w:r w:rsidRPr="001271F5">
              <w:rPr>
                <w:rFonts w:ascii="Calibri" w:hAnsi="Calibri" w:cs="Calibri"/>
                <w:color w:val="000000"/>
                <w:lang w:eastAsia="en-AU"/>
              </w:rPr>
              <w:t>Kidney</w:t>
            </w:r>
          </w:p>
        </w:tc>
        <w:tc>
          <w:tcPr>
            <w:tcW w:w="1622" w:type="pct"/>
            <w:shd w:val="clear" w:color="auto" w:fill="auto"/>
            <w:noWrap/>
            <w:vAlign w:val="center"/>
            <w:hideMark/>
          </w:tcPr>
          <w:p w14:paraId="09669D7C" w14:textId="77777777" w:rsidR="009C3BFC" w:rsidRPr="001271F5" w:rsidRDefault="009C3BFC" w:rsidP="008E083E">
            <w:pPr>
              <w:widowControl/>
              <w:autoSpaceDE/>
              <w:autoSpaceDN/>
              <w:adjustRightInd/>
              <w:spacing w:before="40" w:after="40"/>
              <w:jc w:val="center"/>
              <w:rPr>
                <w:rFonts w:ascii="Calibri" w:hAnsi="Calibri" w:cs="Calibri"/>
                <w:color w:val="000000"/>
                <w:lang w:eastAsia="en-AU"/>
              </w:rPr>
            </w:pPr>
            <w:r w:rsidRPr="001271F5">
              <w:rPr>
                <w:rFonts w:ascii="Calibri" w:hAnsi="Calibri" w:cs="Calibri"/>
                <w:color w:val="000000"/>
                <w:lang w:eastAsia="en-AU"/>
              </w:rPr>
              <w:t>184</w:t>
            </w:r>
          </w:p>
        </w:tc>
        <w:tc>
          <w:tcPr>
            <w:tcW w:w="1248" w:type="pct"/>
            <w:shd w:val="clear" w:color="auto" w:fill="auto"/>
            <w:noWrap/>
            <w:vAlign w:val="center"/>
            <w:hideMark/>
          </w:tcPr>
          <w:p w14:paraId="40B45246" w14:textId="77777777" w:rsidR="009C3BFC" w:rsidRPr="001271F5" w:rsidRDefault="009C3BFC" w:rsidP="008E083E">
            <w:pPr>
              <w:widowControl/>
              <w:autoSpaceDE/>
              <w:autoSpaceDN/>
              <w:adjustRightInd/>
              <w:spacing w:before="40" w:after="40"/>
              <w:jc w:val="center"/>
              <w:rPr>
                <w:rFonts w:ascii="Calibri" w:hAnsi="Calibri" w:cs="Calibri"/>
                <w:color w:val="000000"/>
                <w:lang w:eastAsia="en-AU"/>
              </w:rPr>
            </w:pPr>
            <w:r w:rsidRPr="001271F5">
              <w:rPr>
                <w:rFonts w:ascii="Calibri" w:hAnsi="Calibri" w:cs="Calibri"/>
                <w:color w:val="000000"/>
                <w:lang w:eastAsia="en-AU"/>
              </w:rPr>
              <w:t>181</w:t>
            </w:r>
          </w:p>
        </w:tc>
        <w:tc>
          <w:tcPr>
            <w:tcW w:w="1247" w:type="pct"/>
            <w:shd w:val="clear" w:color="auto" w:fill="auto"/>
            <w:noWrap/>
            <w:vAlign w:val="center"/>
            <w:hideMark/>
          </w:tcPr>
          <w:p w14:paraId="60C5120E" w14:textId="77777777" w:rsidR="009C3BFC" w:rsidRPr="001271F5" w:rsidRDefault="009C3BFC" w:rsidP="008E083E">
            <w:pPr>
              <w:widowControl/>
              <w:autoSpaceDE/>
              <w:autoSpaceDN/>
              <w:adjustRightInd/>
              <w:spacing w:before="40" w:after="40"/>
              <w:jc w:val="center"/>
              <w:rPr>
                <w:rFonts w:ascii="Calibri" w:hAnsi="Calibri" w:cs="Calibri"/>
                <w:color w:val="000000"/>
                <w:lang w:eastAsia="en-AU"/>
              </w:rPr>
            </w:pPr>
            <w:r w:rsidRPr="001271F5">
              <w:rPr>
                <w:rFonts w:ascii="Calibri" w:hAnsi="Calibri" w:cs="Calibri"/>
                <w:color w:val="000000"/>
                <w:lang w:eastAsia="en-AU"/>
              </w:rPr>
              <w:t>3</w:t>
            </w:r>
          </w:p>
        </w:tc>
      </w:tr>
      <w:tr w:rsidR="009C3BFC" w:rsidRPr="009F371F" w14:paraId="33F0F537" w14:textId="77777777" w:rsidTr="008E083E">
        <w:trPr>
          <w:trHeight w:val="290"/>
        </w:trPr>
        <w:tc>
          <w:tcPr>
            <w:tcW w:w="883" w:type="pct"/>
            <w:shd w:val="clear" w:color="auto" w:fill="auto"/>
            <w:noWrap/>
            <w:vAlign w:val="center"/>
            <w:hideMark/>
          </w:tcPr>
          <w:p w14:paraId="13D0A53F" w14:textId="77777777" w:rsidR="009C3BFC" w:rsidRPr="001271F5" w:rsidRDefault="009C3BFC" w:rsidP="008E083E">
            <w:pPr>
              <w:widowControl/>
              <w:autoSpaceDE/>
              <w:autoSpaceDN/>
              <w:adjustRightInd/>
              <w:spacing w:before="40" w:after="40"/>
              <w:rPr>
                <w:rFonts w:ascii="Calibri" w:hAnsi="Calibri" w:cs="Calibri"/>
                <w:color w:val="000000"/>
                <w:lang w:eastAsia="en-AU"/>
              </w:rPr>
            </w:pPr>
            <w:r w:rsidRPr="001271F5">
              <w:rPr>
                <w:rFonts w:ascii="Calibri" w:hAnsi="Calibri" w:cs="Calibri"/>
                <w:color w:val="000000"/>
                <w:lang w:eastAsia="en-AU"/>
              </w:rPr>
              <w:t>Heart</w:t>
            </w:r>
          </w:p>
        </w:tc>
        <w:tc>
          <w:tcPr>
            <w:tcW w:w="1622" w:type="pct"/>
            <w:shd w:val="clear" w:color="auto" w:fill="auto"/>
            <w:noWrap/>
            <w:vAlign w:val="center"/>
            <w:hideMark/>
          </w:tcPr>
          <w:p w14:paraId="466030CA" w14:textId="77777777" w:rsidR="009C3BFC" w:rsidRPr="001271F5" w:rsidRDefault="009C3BFC" w:rsidP="008E083E">
            <w:pPr>
              <w:widowControl/>
              <w:autoSpaceDE/>
              <w:autoSpaceDN/>
              <w:adjustRightInd/>
              <w:spacing w:before="40" w:after="40"/>
              <w:jc w:val="center"/>
              <w:rPr>
                <w:rFonts w:ascii="Calibri" w:hAnsi="Calibri" w:cs="Calibri"/>
                <w:color w:val="000000"/>
                <w:lang w:eastAsia="en-AU"/>
              </w:rPr>
            </w:pPr>
            <w:r w:rsidRPr="001271F5">
              <w:rPr>
                <w:rFonts w:ascii="Calibri" w:hAnsi="Calibri" w:cs="Calibri"/>
                <w:color w:val="000000"/>
                <w:lang w:eastAsia="en-AU"/>
              </w:rPr>
              <w:t>30</w:t>
            </w:r>
          </w:p>
        </w:tc>
        <w:tc>
          <w:tcPr>
            <w:tcW w:w="1248" w:type="pct"/>
            <w:shd w:val="clear" w:color="auto" w:fill="auto"/>
            <w:noWrap/>
            <w:vAlign w:val="center"/>
            <w:hideMark/>
          </w:tcPr>
          <w:p w14:paraId="733C8A20" w14:textId="77777777" w:rsidR="009C3BFC" w:rsidRPr="001271F5" w:rsidRDefault="009C3BFC" w:rsidP="008E083E">
            <w:pPr>
              <w:widowControl/>
              <w:autoSpaceDE/>
              <w:autoSpaceDN/>
              <w:adjustRightInd/>
              <w:spacing w:before="40" w:after="40"/>
              <w:jc w:val="center"/>
              <w:rPr>
                <w:rFonts w:ascii="Calibri" w:hAnsi="Calibri" w:cs="Calibri"/>
                <w:color w:val="000000"/>
                <w:lang w:eastAsia="en-AU"/>
              </w:rPr>
            </w:pPr>
            <w:r w:rsidRPr="001271F5">
              <w:rPr>
                <w:rFonts w:ascii="Calibri" w:hAnsi="Calibri" w:cs="Calibri"/>
                <w:color w:val="000000"/>
                <w:lang w:eastAsia="en-AU"/>
              </w:rPr>
              <w:t>14</w:t>
            </w:r>
          </w:p>
        </w:tc>
        <w:tc>
          <w:tcPr>
            <w:tcW w:w="1247" w:type="pct"/>
            <w:shd w:val="clear" w:color="auto" w:fill="auto"/>
            <w:noWrap/>
            <w:vAlign w:val="center"/>
            <w:hideMark/>
          </w:tcPr>
          <w:p w14:paraId="748BD82C" w14:textId="77777777" w:rsidR="009C3BFC" w:rsidRPr="001271F5" w:rsidRDefault="009C3BFC" w:rsidP="008E083E">
            <w:pPr>
              <w:widowControl/>
              <w:autoSpaceDE/>
              <w:autoSpaceDN/>
              <w:adjustRightInd/>
              <w:spacing w:before="40" w:after="40"/>
              <w:jc w:val="center"/>
              <w:rPr>
                <w:rFonts w:ascii="Calibri" w:hAnsi="Calibri" w:cs="Calibri"/>
                <w:color w:val="000000"/>
                <w:lang w:eastAsia="en-AU"/>
              </w:rPr>
            </w:pPr>
            <w:r w:rsidRPr="001271F5">
              <w:rPr>
                <w:rFonts w:ascii="Calibri" w:hAnsi="Calibri" w:cs="Calibri"/>
                <w:color w:val="000000"/>
                <w:lang w:eastAsia="en-AU"/>
              </w:rPr>
              <w:t>16</w:t>
            </w:r>
          </w:p>
        </w:tc>
      </w:tr>
      <w:tr w:rsidR="009C3BFC" w:rsidRPr="009F371F" w14:paraId="62DDF27E" w14:textId="77777777" w:rsidTr="008E083E">
        <w:trPr>
          <w:trHeight w:val="290"/>
        </w:trPr>
        <w:tc>
          <w:tcPr>
            <w:tcW w:w="883" w:type="pct"/>
            <w:shd w:val="clear" w:color="auto" w:fill="auto"/>
            <w:noWrap/>
            <w:vAlign w:val="center"/>
            <w:hideMark/>
          </w:tcPr>
          <w:p w14:paraId="3DFC01BE" w14:textId="77777777" w:rsidR="009C3BFC" w:rsidRPr="001271F5" w:rsidRDefault="009C3BFC" w:rsidP="008E083E">
            <w:pPr>
              <w:widowControl/>
              <w:autoSpaceDE/>
              <w:autoSpaceDN/>
              <w:adjustRightInd/>
              <w:spacing w:before="40" w:after="40"/>
              <w:rPr>
                <w:rFonts w:ascii="Calibri" w:hAnsi="Calibri" w:cs="Calibri"/>
                <w:color w:val="000000"/>
                <w:lang w:eastAsia="en-AU"/>
              </w:rPr>
            </w:pPr>
            <w:r w:rsidRPr="001271F5">
              <w:rPr>
                <w:rFonts w:ascii="Calibri" w:hAnsi="Calibri" w:cs="Calibri"/>
                <w:color w:val="000000"/>
                <w:lang w:eastAsia="en-AU"/>
              </w:rPr>
              <w:t>Liver</w:t>
            </w:r>
          </w:p>
        </w:tc>
        <w:tc>
          <w:tcPr>
            <w:tcW w:w="1622" w:type="pct"/>
            <w:shd w:val="clear" w:color="auto" w:fill="auto"/>
            <w:noWrap/>
            <w:vAlign w:val="center"/>
            <w:hideMark/>
          </w:tcPr>
          <w:p w14:paraId="07DBA9CC" w14:textId="77777777" w:rsidR="009C3BFC" w:rsidRPr="001271F5" w:rsidRDefault="009C3BFC" w:rsidP="008E083E">
            <w:pPr>
              <w:widowControl/>
              <w:autoSpaceDE/>
              <w:autoSpaceDN/>
              <w:adjustRightInd/>
              <w:spacing w:before="40" w:after="40"/>
              <w:jc w:val="center"/>
              <w:rPr>
                <w:rFonts w:ascii="Calibri" w:hAnsi="Calibri" w:cs="Calibri"/>
                <w:color w:val="000000"/>
                <w:lang w:eastAsia="en-AU"/>
              </w:rPr>
            </w:pPr>
            <w:r w:rsidRPr="001271F5">
              <w:rPr>
                <w:rFonts w:ascii="Calibri" w:hAnsi="Calibri" w:cs="Calibri"/>
                <w:color w:val="000000"/>
                <w:lang w:eastAsia="en-AU"/>
              </w:rPr>
              <w:t>62</w:t>
            </w:r>
          </w:p>
        </w:tc>
        <w:tc>
          <w:tcPr>
            <w:tcW w:w="1248" w:type="pct"/>
            <w:shd w:val="clear" w:color="auto" w:fill="auto"/>
            <w:noWrap/>
            <w:vAlign w:val="center"/>
            <w:hideMark/>
          </w:tcPr>
          <w:p w14:paraId="110DAD70" w14:textId="77777777" w:rsidR="009C3BFC" w:rsidRPr="001271F5" w:rsidRDefault="009C3BFC" w:rsidP="008E083E">
            <w:pPr>
              <w:widowControl/>
              <w:autoSpaceDE/>
              <w:autoSpaceDN/>
              <w:adjustRightInd/>
              <w:spacing w:before="40" w:after="40"/>
              <w:jc w:val="center"/>
              <w:rPr>
                <w:rFonts w:ascii="Calibri" w:hAnsi="Calibri" w:cs="Calibri"/>
                <w:color w:val="000000"/>
                <w:lang w:eastAsia="en-AU"/>
              </w:rPr>
            </w:pPr>
            <w:r w:rsidRPr="001271F5">
              <w:rPr>
                <w:rFonts w:ascii="Calibri" w:hAnsi="Calibri" w:cs="Calibri"/>
                <w:color w:val="000000"/>
                <w:lang w:eastAsia="en-AU"/>
              </w:rPr>
              <w:t>58</w:t>
            </w:r>
          </w:p>
        </w:tc>
        <w:tc>
          <w:tcPr>
            <w:tcW w:w="1247" w:type="pct"/>
            <w:shd w:val="clear" w:color="auto" w:fill="auto"/>
            <w:noWrap/>
            <w:vAlign w:val="center"/>
            <w:hideMark/>
          </w:tcPr>
          <w:p w14:paraId="54C34940" w14:textId="77777777" w:rsidR="009C3BFC" w:rsidRPr="001271F5" w:rsidRDefault="009C3BFC" w:rsidP="008E083E">
            <w:pPr>
              <w:widowControl/>
              <w:autoSpaceDE/>
              <w:autoSpaceDN/>
              <w:adjustRightInd/>
              <w:spacing w:before="40" w:after="40"/>
              <w:jc w:val="center"/>
              <w:rPr>
                <w:rFonts w:ascii="Calibri" w:hAnsi="Calibri" w:cs="Calibri"/>
                <w:color w:val="000000"/>
                <w:lang w:eastAsia="en-AU"/>
              </w:rPr>
            </w:pPr>
            <w:r w:rsidRPr="001271F5">
              <w:rPr>
                <w:rFonts w:ascii="Calibri" w:hAnsi="Calibri" w:cs="Calibri"/>
                <w:color w:val="000000"/>
                <w:lang w:eastAsia="en-AU"/>
              </w:rPr>
              <w:t>4</w:t>
            </w:r>
          </w:p>
        </w:tc>
      </w:tr>
      <w:tr w:rsidR="009C3BFC" w:rsidRPr="009F371F" w14:paraId="5B4D8AAE" w14:textId="77777777" w:rsidTr="008E083E">
        <w:trPr>
          <w:trHeight w:val="290"/>
        </w:trPr>
        <w:tc>
          <w:tcPr>
            <w:tcW w:w="883" w:type="pct"/>
            <w:shd w:val="clear" w:color="auto" w:fill="auto"/>
            <w:noWrap/>
            <w:vAlign w:val="center"/>
            <w:hideMark/>
          </w:tcPr>
          <w:p w14:paraId="77ACA83B" w14:textId="77777777" w:rsidR="009C3BFC" w:rsidRPr="001271F5" w:rsidRDefault="009C3BFC" w:rsidP="008E083E">
            <w:pPr>
              <w:widowControl/>
              <w:autoSpaceDE/>
              <w:autoSpaceDN/>
              <w:adjustRightInd/>
              <w:spacing w:before="40" w:after="40"/>
              <w:rPr>
                <w:rFonts w:ascii="Calibri" w:hAnsi="Calibri" w:cs="Calibri"/>
                <w:color w:val="000000"/>
                <w:lang w:eastAsia="en-AU"/>
              </w:rPr>
            </w:pPr>
            <w:r w:rsidRPr="001271F5">
              <w:rPr>
                <w:rFonts w:ascii="Calibri" w:hAnsi="Calibri" w:cs="Calibri"/>
                <w:color w:val="000000"/>
                <w:lang w:eastAsia="en-AU"/>
              </w:rPr>
              <w:t>Lung</w:t>
            </w:r>
          </w:p>
        </w:tc>
        <w:tc>
          <w:tcPr>
            <w:tcW w:w="1622" w:type="pct"/>
            <w:shd w:val="clear" w:color="auto" w:fill="auto"/>
            <w:noWrap/>
            <w:vAlign w:val="center"/>
            <w:hideMark/>
          </w:tcPr>
          <w:p w14:paraId="35BEE52E" w14:textId="77777777" w:rsidR="009C3BFC" w:rsidRPr="001271F5" w:rsidRDefault="009C3BFC" w:rsidP="008E083E">
            <w:pPr>
              <w:widowControl/>
              <w:autoSpaceDE/>
              <w:autoSpaceDN/>
              <w:adjustRightInd/>
              <w:spacing w:before="40" w:after="40"/>
              <w:jc w:val="center"/>
              <w:rPr>
                <w:rFonts w:ascii="Calibri" w:hAnsi="Calibri" w:cs="Calibri"/>
                <w:color w:val="000000"/>
                <w:lang w:eastAsia="en-AU"/>
              </w:rPr>
            </w:pPr>
            <w:r w:rsidRPr="001271F5">
              <w:rPr>
                <w:rFonts w:ascii="Calibri" w:hAnsi="Calibri" w:cs="Calibri"/>
                <w:color w:val="000000"/>
                <w:lang w:eastAsia="en-AU"/>
              </w:rPr>
              <w:t>57</w:t>
            </w:r>
          </w:p>
        </w:tc>
        <w:tc>
          <w:tcPr>
            <w:tcW w:w="1248" w:type="pct"/>
            <w:shd w:val="clear" w:color="auto" w:fill="auto"/>
            <w:noWrap/>
            <w:vAlign w:val="center"/>
            <w:hideMark/>
          </w:tcPr>
          <w:p w14:paraId="776AF863" w14:textId="77777777" w:rsidR="009C3BFC" w:rsidRPr="001271F5" w:rsidRDefault="009C3BFC" w:rsidP="008E083E">
            <w:pPr>
              <w:widowControl/>
              <w:autoSpaceDE/>
              <w:autoSpaceDN/>
              <w:adjustRightInd/>
              <w:spacing w:before="40" w:after="40"/>
              <w:jc w:val="center"/>
              <w:rPr>
                <w:rFonts w:ascii="Calibri" w:hAnsi="Calibri" w:cs="Calibri"/>
                <w:color w:val="000000"/>
                <w:lang w:eastAsia="en-AU"/>
              </w:rPr>
            </w:pPr>
            <w:r w:rsidRPr="001271F5">
              <w:rPr>
                <w:rFonts w:ascii="Calibri" w:hAnsi="Calibri" w:cs="Calibri"/>
                <w:color w:val="000000"/>
                <w:lang w:eastAsia="en-AU"/>
              </w:rPr>
              <w:t>24</w:t>
            </w:r>
          </w:p>
        </w:tc>
        <w:tc>
          <w:tcPr>
            <w:tcW w:w="1247" w:type="pct"/>
            <w:shd w:val="clear" w:color="auto" w:fill="auto"/>
            <w:noWrap/>
            <w:vAlign w:val="center"/>
            <w:hideMark/>
          </w:tcPr>
          <w:p w14:paraId="5DC7F6A2" w14:textId="77777777" w:rsidR="009C3BFC" w:rsidRPr="001271F5" w:rsidRDefault="009C3BFC" w:rsidP="008E083E">
            <w:pPr>
              <w:widowControl/>
              <w:autoSpaceDE/>
              <w:autoSpaceDN/>
              <w:adjustRightInd/>
              <w:spacing w:before="40" w:after="40"/>
              <w:jc w:val="center"/>
              <w:rPr>
                <w:rFonts w:ascii="Calibri" w:hAnsi="Calibri" w:cs="Calibri"/>
                <w:color w:val="000000"/>
                <w:lang w:eastAsia="en-AU"/>
              </w:rPr>
            </w:pPr>
            <w:r w:rsidRPr="001271F5">
              <w:rPr>
                <w:rFonts w:ascii="Calibri" w:hAnsi="Calibri" w:cs="Calibri"/>
                <w:color w:val="000000"/>
                <w:lang w:eastAsia="en-AU"/>
              </w:rPr>
              <w:t>33</w:t>
            </w:r>
          </w:p>
        </w:tc>
      </w:tr>
    </w:tbl>
    <w:p w14:paraId="48CE0948" w14:textId="77777777" w:rsidR="00D45314" w:rsidRDefault="006F4E24" w:rsidP="00EF2596">
      <w:pPr>
        <w:spacing w:before="120" w:after="120"/>
        <w:rPr>
          <w:rFonts w:asciiTheme="minorHAnsi" w:hAnsiTheme="minorHAnsi" w:cstheme="minorHAnsi"/>
          <w:sz w:val="24"/>
          <w:szCs w:val="22"/>
        </w:rPr>
      </w:pPr>
      <w:r>
        <w:rPr>
          <w:rFonts w:asciiTheme="minorHAnsi" w:hAnsiTheme="minorHAnsi" w:cstheme="minorHAnsi"/>
          <w:sz w:val="24"/>
          <w:szCs w:val="22"/>
        </w:rPr>
        <w:t xml:space="preserve">Clinical stakeholders reported that the implementation of a </w:t>
      </w:r>
      <w:r w:rsidR="009C3BFC">
        <w:rPr>
          <w:rFonts w:asciiTheme="minorHAnsi" w:hAnsiTheme="minorHAnsi" w:cstheme="minorHAnsi"/>
          <w:sz w:val="24"/>
          <w:szCs w:val="22"/>
        </w:rPr>
        <w:t xml:space="preserve">comprehensive </w:t>
      </w:r>
      <w:r w:rsidR="00267942">
        <w:rPr>
          <w:rFonts w:asciiTheme="minorHAnsi" w:hAnsiTheme="minorHAnsi" w:cstheme="minorHAnsi"/>
          <w:sz w:val="24"/>
          <w:szCs w:val="22"/>
        </w:rPr>
        <w:t>‘</w:t>
      </w:r>
      <w:r w:rsidR="009C3BFC">
        <w:rPr>
          <w:rFonts w:asciiTheme="minorHAnsi" w:hAnsiTheme="minorHAnsi" w:cstheme="minorHAnsi"/>
          <w:sz w:val="24"/>
          <w:szCs w:val="22"/>
        </w:rPr>
        <w:t>de-coupled</w:t>
      </w:r>
      <w:r w:rsidR="00267942">
        <w:rPr>
          <w:rFonts w:asciiTheme="minorHAnsi" w:hAnsiTheme="minorHAnsi" w:cstheme="minorHAnsi"/>
          <w:sz w:val="24"/>
          <w:szCs w:val="22"/>
        </w:rPr>
        <w:t>’</w:t>
      </w:r>
      <w:r w:rsidR="00E846C8">
        <w:rPr>
          <w:rFonts w:asciiTheme="minorHAnsi" w:hAnsiTheme="minorHAnsi" w:cstheme="minorHAnsi"/>
          <w:sz w:val="24"/>
          <w:szCs w:val="22"/>
        </w:rPr>
        <w:t xml:space="preserve"> </w:t>
      </w:r>
      <w:r>
        <w:rPr>
          <w:rFonts w:asciiTheme="minorHAnsi" w:hAnsiTheme="minorHAnsi" w:cstheme="minorHAnsi"/>
          <w:sz w:val="24"/>
          <w:szCs w:val="22"/>
        </w:rPr>
        <w:t>model in Australia would be challenging</w:t>
      </w:r>
      <w:r w:rsidR="00A60853">
        <w:rPr>
          <w:rFonts w:asciiTheme="minorHAnsi" w:hAnsiTheme="minorHAnsi" w:cstheme="minorHAnsi"/>
          <w:sz w:val="24"/>
          <w:szCs w:val="22"/>
        </w:rPr>
        <w:t xml:space="preserve"> a</w:t>
      </w:r>
      <w:r w:rsidR="008653CA">
        <w:rPr>
          <w:rFonts w:asciiTheme="minorHAnsi" w:hAnsiTheme="minorHAnsi" w:cstheme="minorHAnsi"/>
          <w:sz w:val="24"/>
          <w:szCs w:val="22"/>
        </w:rPr>
        <w:t xml:space="preserve">s </w:t>
      </w:r>
      <w:r w:rsidR="00824AD4">
        <w:rPr>
          <w:rFonts w:asciiTheme="minorHAnsi" w:hAnsiTheme="minorHAnsi" w:cstheme="minorHAnsi"/>
          <w:sz w:val="24"/>
          <w:szCs w:val="22"/>
        </w:rPr>
        <w:t>i</w:t>
      </w:r>
      <w:r>
        <w:rPr>
          <w:rFonts w:asciiTheme="minorHAnsi" w:hAnsiTheme="minorHAnsi" w:cstheme="minorHAnsi"/>
          <w:sz w:val="24"/>
          <w:szCs w:val="22"/>
        </w:rPr>
        <w:t xml:space="preserve">t would be difficult to recruit the requisite clinical expertise for a retrieval only based service. Further, heart and lung transplant </w:t>
      </w:r>
      <w:r w:rsidR="00F00ECB">
        <w:rPr>
          <w:rFonts w:asciiTheme="minorHAnsi" w:hAnsiTheme="minorHAnsi" w:cstheme="minorHAnsi"/>
          <w:sz w:val="24"/>
          <w:szCs w:val="22"/>
        </w:rPr>
        <w:t xml:space="preserve">surgeons </w:t>
      </w:r>
      <w:r>
        <w:rPr>
          <w:rFonts w:asciiTheme="minorHAnsi" w:hAnsiTheme="minorHAnsi" w:cstheme="minorHAnsi"/>
          <w:sz w:val="24"/>
          <w:szCs w:val="22"/>
        </w:rPr>
        <w:t>reported that the sensitive nature for managing heart and lung retrieval and transplantation often requires consistency of clinical personnel, particularly in the management of perfusion technology.</w:t>
      </w:r>
      <w:r w:rsidR="0054092F">
        <w:rPr>
          <w:rFonts w:asciiTheme="minorHAnsi" w:hAnsiTheme="minorHAnsi" w:cstheme="minorHAnsi"/>
          <w:sz w:val="24"/>
          <w:szCs w:val="22"/>
        </w:rPr>
        <w:t xml:space="preserve"> </w:t>
      </w:r>
      <w:r w:rsidR="0058796E">
        <w:rPr>
          <w:rFonts w:asciiTheme="minorHAnsi" w:hAnsiTheme="minorHAnsi" w:cstheme="minorHAnsi"/>
          <w:sz w:val="24"/>
          <w:szCs w:val="22"/>
        </w:rPr>
        <w:t xml:space="preserve">The Review also found that the current funding model for retrieval </w:t>
      </w:r>
      <w:r w:rsidR="00163812">
        <w:rPr>
          <w:rFonts w:asciiTheme="minorHAnsi" w:hAnsiTheme="minorHAnsi" w:cstheme="minorHAnsi"/>
          <w:sz w:val="24"/>
          <w:szCs w:val="22"/>
        </w:rPr>
        <w:t>would make</w:t>
      </w:r>
      <w:r w:rsidR="0058796E">
        <w:rPr>
          <w:rFonts w:asciiTheme="minorHAnsi" w:hAnsiTheme="minorHAnsi" w:cstheme="minorHAnsi"/>
          <w:sz w:val="24"/>
          <w:szCs w:val="22"/>
        </w:rPr>
        <w:t xml:space="preserve"> the implementation of the </w:t>
      </w:r>
      <w:r w:rsidR="00267942" w:rsidRPr="00046411">
        <w:rPr>
          <w:rFonts w:asciiTheme="minorHAnsi" w:hAnsiTheme="minorHAnsi" w:cstheme="minorHAnsi"/>
          <w:sz w:val="24"/>
          <w:szCs w:val="22"/>
        </w:rPr>
        <w:t>‘</w:t>
      </w:r>
      <w:r w:rsidR="0058796E" w:rsidRPr="00046411">
        <w:rPr>
          <w:rFonts w:asciiTheme="minorHAnsi" w:hAnsiTheme="minorHAnsi" w:cstheme="minorHAnsi"/>
          <w:sz w:val="24"/>
          <w:szCs w:val="22"/>
        </w:rPr>
        <w:t>de-coupled</w:t>
      </w:r>
      <w:r w:rsidR="00267942" w:rsidRPr="00046411">
        <w:rPr>
          <w:rFonts w:asciiTheme="minorHAnsi" w:hAnsiTheme="minorHAnsi" w:cstheme="minorHAnsi"/>
          <w:sz w:val="24"/>
          <w:szCs w:val="22"/>
        </w:rPr>
        <w:t>’</w:t>
      </w:r>
      <w:r w:rsidR="0058796E" w:rsidRPr="00046411">
        <w:rPr>
          <w:rFonts w:asciiTheme="minorHAnsi" w:hAnsiTheme="minorHAnsi" w:cstheme="minorHAnsi"/>
          <w:sz w:val="24"/>
          <w:szCs w:val="22"/>
        </w:rPr>
        <w:t xml:space="preserve"> model difficult. Currently retrieval and transplantation procedures are coupled together </w:t>
      </w:r>
      <w:r w:rsidR="00163812" w:rsidRPr="00046411">
        <w:rPr>
          <w:rFonts w:asciiTheme="minorHAnsi" w:hAnsiTheme="minorHAnsi" w:cstheme="minorHAnsi"/>
          <w:sz w:val="24"/>
          <w:szCs w:val="22"/>
        </w:rPr>
        <w:t xml:space="preserve">in the </w:t>
      </w:r>
      <w:r w:rsidR="00E33662" w:rsidRPr="00046411">
        <w:rPr>
          <w:rFonts w:asciiTheme="minorHAnsi" w:hAnsiTheme="minorHAnsi" w:cstheme="minorHAnsi"/>
          <w:sz w:val="24"/>
          <w:szCs w:val="22"/>
        </w:rPr>
        <w:t>Australian Refined Diagnosis Related Groups</w:t>
      </w:r>
      <w:r w:rsidR="00163812" w:rsidRPr="00046411">
        <w:rPr>
          <w:rFonts w:asciiTheme="minorHAnsi" w:hAnsiTheme="minorHAnsi" w:cstheme="minorHAnsi"/>
          <w:sz w:val="24"/>
          <w:szCs w:val="22"/>
        </w:rPr>
        <w:t xml:space="preserve">. </w:t>
      </w:r>
      <w:r w:rsidR="004C6232">
        <w:rPr>
          <w:rFonts w:asciiTheme="minorHAnsi" w:hAnsiTheme="minorHAnsi" w:cstheme="minorHAnsi"/>
          <w:sz w:val="24"/>
          <w:szCs w:val="22"/>
        </w:rPr>
        <w:t>A</w:t>
      </w:r>
      <w:r w:rsidR="00163812" w:rsidRPr="00046411">
        <w:rPr>
          <w:rFonts w:asciiTheme="minorHAnsi" w:hAnsiTheme="minorHAnsi" w:cstheme="minorHAnsi"/>
          <w:sz w:val="24"/>
          <w:szCs w:val="22"/>
        </w:rPr>
        <w:t xml:space="preserve"> review of the funding arrangements </w:t>
      </w:r>
      <w:r w:rsidR="004C6232">
        <w:rPr>
          <w:rFonts w:asciiTheme="minorHAnsi" w:hAnsiTheme="minorHAnsi" w:cstheme="minorHAnsi"/>
          <w:sz w:val="24"/>
          <w:szCs w:val="22"/>
        </w:rPr>
        <w:t xml:space="preserve">between retrieval and transplantation is </w:t>
      </w:r>
      <w:r w:rsidR="00163812" w:rsidRPr="00046411">
        <w:rPr>
          <w:rFonts w:asciiTheme="minorHAnsi" w:hAnsiTheme="minorHAnsi" w:cstheme="minorHAnsi"/>
          <w:sz w:val="24"/>
          <w:szCs w:val="22"/>
        </w:rPr>
        <w:t>required</w:t>
      </w:r>
      <w:r w:rsidR="007847EC" w:rsidRPr="00046411">
        <w:rPr>
          <w:rFonts w:asciiTheme="minorHAnsi" w:hAnsiTheme="minorHAnsi" w:cstheme="minorHAnsi"/>
          <w:sz w:val="24"/>
          <w:szCs w:val="22"/>
        </w:rPr>
        <w:t xml:space="preserve"> in order to effectively and efficiently</w:t>
      </w:r>
      <w:r w:rsidR="004C6232">
        <w:rPr>
          <w:rFonts w:asciiTheme="minorHAnsi" w:hAnsiTheme="minorHAnsi" w:cstheme="minorHAnsi"/>
          <w:sz w:val="24"/>
          <w:szCs w:val="22"/>
        </w:rPr>
        <w:t xml:space="preserve"> allocate costs for retrieval and transplantation. This would be required before Australia could consider the</w:t>
      </w:r>
      <w:r w:rsidR="007847EC" w:rsidRPr="00046411">
        <w:rPr>
          <w:rFonts w:asciiTheme="minorHAnsi" w:hAnsiTheme="minorHAnsi" w:cstheme="minorHAnsi"/>
          <w:sz w:val="24"/>
          <w:szCs w:val="22"/>
        </w:rPr>
        <w:t xml:space="preserve"> </w:t>
      </w:r>
      <w:r w:rsidR="00267942" w:rsidRPr="00046411">
        <w:rPr>
          <w:rFonts w:asciiTheme="minorHAnsi" w:hAnsiTheme="minorHAnsi" w:cstheme="minorHAnsi"/>
          <w:sz w:val="24"/>
          <w:szCs w:val="22"/>
        </w:rPr>
        <w:t>‘</w:t>
      </w:r>
      <w:r w:rsidR="007847EC" w:rsidRPr="00046411">
        <w:rPr>
          <w:rFonts w:asciiTheme="minorHAnsi" w:hAnsiTheme="minorHAnsi" w:cstheme="minorHAnsi"/>
          <w:sz w:val="24"/>
          <w:szCs w:val="22"/>
        </w:rPr>
        <w:t>de-couple</w:t>
      </w:r>
      <w:r w:rsidR="00C076F7">
        <w:rPr>
          <w:rFonts w:asciiTheme="minorHAnsi" w:hAnsiTheme="minorHAnsi" w:cstheme="minorHAnsi"/>
          <w:sz w:val="24"/>
          <w:szCs w:val="22"/>
        </w:rPr>
        <w:t>d</w:t>
      </w:r>
      <w:r w:rsidR="00267942" w:rsidRPr="00046411">
        <w:rPr>
          <w:rFonts w:asciiTheme="minorHAnsi" w:hAnsiTheme="minorHAnsi" w:cstheme="minorHAnsi"/>
          <w:sz w:val="24"/>
          <w:szCs w:val="22"/>
        </w:rPr>
        <w:t>’</w:t>
      </w:r>
      <w:r w:rsidR="004C6232">
        <w:rPr>
          <w:rFonts w:asciiTheme="minorHAnsi" w:hAnsiTheme="minorHAnsi" w:cstheme="minorHAnsi"/>
          <w:sz w:val="24"/>
          <w:szCs w:val="22"/>
        </w:rPr>
        <w:t xml:space="preserve"> model</w:t>
      </w:r>
      <w:r w:rsidR="00163812" w:rsidRPr="00046411">
        <w:rPr>
          <w:rFonts w:asciiTheme="minorHAnsi" w:hAnsiTheme="minorHAnsi" w:cstheme="minorHAnsi"/>
          <w:sz w:val="24"/>
          <w:szCs w:val="22"/>
        </w:rPr>
        <w:t>. This is discussed further in Section</w:t>
      </w:r>
      <w:r w:rsidR="00046411">
        <w:rPr>
          <w:rFonts w:asciiTheme="minorHAnsi" w:hAnsiTheme="minorHAnsi" w:cstheme="minorHAnsi"/>
          <w:sz w:val="24"/>
          <w:szCs w:val="22"/>
        </w:rPr>
        <w:t xml:space="preserve"> </w:t>
      </w:r>
      <w:r w:rsidR="00D7024E">
        <w:rPr>
          <w:rFonts w:asciiTheme="minorHAnsi" w:hAnsiTheme="minorHAnsi" w:cstheme="minorHAnsi"/>
          <w:sz w:val="24"/>
          <w:szCs w:val="22"/>
        </w:rPr>
        <w:fldChar w:fldCharType="begin"/>
      </w:r>
      <w:r w:rsidR="00D7024E">
        <w:rPr>
          <w:rFonts w:asciiTheme="minorHAnsi" w:hAnsiTheme="minorHAnsi" w:cstheme="minorHAnsi"/>
          <w:sz w:val="24"/>
          <w:szCs w:val="22"/>
        </w:rPr>
        <w:instrText xml:space="preserve"> REF _Ref531798340 \r \h </w:instrText>
      </w:r>
      <w:r w:rsidR="00D7024E">
        <w:rPr>
          <w:rFonts w:asciiTheme="minorHAnsi" w:hAnsiTheme="minorHAnsi" w:cstheme="minorHAnsi"/>
          <w:sz w:val="24"/>
          <w:szCs w:val="22"/>
        </w:rPr>
      </w:r>
      <w:r w:rsidR="00D7024E">
        <w:rPr>
          <w:rFonts w:asciiTheme="minorHAnsi" w:hAnsiTheme="minorHAnsi" w:cstheme="minorHAnsi"/>
          <w:sz w:val="24"/>
          <w:szCs w:val="22"/>
        </w:rPr>
        <w:fldChar w:fldCharType="separate"/>
      </w:r>
      <w:r w:rsidR="00A04048">
        <w:rPr>
          <w:rFonts w:asciiTheme="minorHAnsi" w:hAnsiTheme="minorHAnsi" w:cstheme="minorHAnsi"/>
          <w:sz w:val="24"/>
          <w:szCs w:val="22"/>
        </w:rPr>
        <w:t>7.2.1</w:t>
      </w:r>
      <w:r w:rsidR="00D7024E">
        <w:rPr>
          <w:rFonts w:asciiTheme="minorHAnsi" w:hAnsiTheme="minorHAnsi" w:cstheme="minorHAnsi"/>
          <w:sz w:val="24"/>
          <w:szCs w:val="22"/>
        </w:rPr>
        <w:fldChar w:fldCharType="end"/>
      </w:r>
      <w:r w:rsidR="00D7024E">
        <w:rPr>
          <w:rFonts w:asciiTheme="minorHAnsi" w:hAnsiTheme="minorHAnsi" w:cstheme="minorHAnsi"/>
          <w:sz w:val="24"/>
          <w:szCs w:val="22"/>
        </w:rPr>
        <w:t xml:space="preserve">. </w:t>
      </w:r>
    </w:p>
    <w:p w14:paraId="039F131C" w14:textId="0378E21E" w:rsidR="006022FF" w:rsidRDefault="00163812" w:rsidP="00EF2596">
      <w:pPr>
        <w:spacing w:before="120" w:after="120"/>
        <w:rPr>
          <w:rFonts w:asciiTheme="minorHAnsi" w:hAnsiTheme="minorHAnsi" w:cstheme="minorHAnsi"/>
          <w:sz w:val="24"/>
          <w:szCs w:val="22"/>
        </w:rPr>
      </w:pPr>
      <w:r>
        <w:rPr>
          <w:rFonts w:asciiTheme="minorHAnsi" w:hAnsiTheme="minorHAnsi" w:cstheme="minorHAnsi"/>
          <w:sz w:val="24"/>
          <w:szCs w:val="22"/>
        </w:rPr>
        <w:t xml:space="preserve">Some clinicians </w:t>
      </w:r>
      <w:r w:rsidR="00A60853">
        <w:rPr>
          <w:rFonts w:asciiTheme="minorHAnsi" w:hAnsiTheme="minorHAnsi" w:cstheme="minorHAnsi"/>
          <w:sz w:val="24"/>
          <w:szCs w:val="22"/>
        </w:rPr>
        <w:t xml:space="preserve">suggested </w:t>
      </w:r>
      <w:r>
        <w:rPr>
          <w:rFonts w:asciiTheme="minorHAnsi" w:hAnsiTheme="minorHAnsi" w:cstheme="minorHAnsi"/>
          <w:sz w:val="24"/>
          <w:szCs w:val="22"/>
        </w:rPr>
        <w:t xml:space="preserve">that it may be useful to develop a reimbursement model for retrieval teams that retrieve an organ in another state. </w:t>
      </w:r>
      <w:r w:rsidRPr="00D45314">
        <w:rPr>
          <w:rFonts w:asciiTheme="minorHAnsi" w:hAnsiTheme="minorHAnsi" w:cstheme="minorHAnsi"/>
          <w:sz w:val="24"/>
          <w:szCs w:val="22"/>
        </w:rPr>
        <w:t>This is an o</w:t>
      </w:r>
      <w:r w:rsidRPr="0068318F">
        <w:rPr>
          <w:rFonts w:asciiTheme="minorHAnsi" w:hAnsiTheme="minorHAnsi" w:cstheme="minorHAnsi"/>
          <w:sz w:val="24"/>
          <w:szCs w:val="22"/>
        </w:rPr>
        <w:t xml:space="preserve">ption that </w:t>
      </w:r>
      <w:r w:rsidR="00A60853">
        <w:rPr>
          <w:rFonts w:asciiTheme="minorHAnsi" w:hAnsiTheme="minorHAnsi" w:cstheme="minorHAnsi"/>
          <w:sz w:val="24"/>
          <w:szCs w:val="22"/>
        </w:rPr>
        <w:t xml:space="preserve">is currently being </w:t>
      </w:r>
      <w:r w:rsidRPr="0068318F">
        <w:rPr>
          <w:rFonts w:asciiTheme="minorHAnsi" w:hAnsiTheme="minorHAnsi" w:cstheme="minorHAnsi"/>
          <w:sz w:val="24"/>
          <w:szCs w:val="22"/>
        </w:rPr>
        <w:t>raised and implemented</w:t>
      </w:r>
      <w:r w:rsidR="00E33662">
        <w:rPr>
          <w:rFonts w:asciiTheme="minorHAnsi" w:hAnsiTheme="minorHAnsi" w:cstheme="minorHAnsi"/>
          <w:sz w:val="24"/>
          <w:szCs w:val="22"/>
        </w:rPr>
        <w:t xml:space="preserve"> in some jurisdictions</w:t>
      </w:r>
      <w:r w:rsidRPr="0068318F">
        <w:rPr>
          <w:rFonts w:asciiTheme="minorHAnsi" w:hAnsiTheme="minorHAnsi" w:cstheme="minorHAnsi"/>
          <w:sz w:val="24"/>
          <w:szCs w:val="22"/>
        </w:rPr>
        <w:t xml:space="preserve"> in rudimentary form</w:t>
      </w:r>
      <w:r w:rsidR="007847EC">
        <w:rPr>
          <w:rFonts w:asciiTheme="minorHAnsi" w:hAnsiTheme="minorHAnsi" w:cstheme="minorHAnsi"/>
          <w:sz w:val="24"/>
          <w:szCs w:val="22"/>
        </w:rPr>
        <w:t xml:space="preserve">, however </w:t>
      </w:r>
      <w:r w:rsidRPr="00D45314">
        <w:rPr>
          <w:rFonts w:asciiTheme="minorHAnsi" w:hAnsiTheme="minorHAnsi" w:cstheme="minorHAnsi"/>
          <w:sz w:val="24"/>
          <w:szCs w:val="22"/>
        </w:rPr>
        <w:t>the R</w:t>
      </w:r>
      <w:r w:rsidRPr="0068318F">
        <w:rPr>
          <w:rFonts w:asciiTheme="minorHAnsi" w:hAnsiTheme="minorHAnsi" w:cstheme="minorHAnsi"/>
          <w:sz w:val="24"/>
          <w:szCs w:val="22"/>
        </w:rPr>
        <w:t>eview is not convinced that it will provide enough of an incentive to offset administrative cost</w:t>
      </w:r>
      <w:r w:rsidR="007847EC">
        <w:rPr>
          <w:rFonts w:asciiTheme="minorHAnsi" w:hAnsiTheme="minorHAnsi" w:cstheme="minorHAnsi"/>
          <w:sz w:val="24"/>
          <w:szCs w:val="22"/>
        </w:rPr>
        <w:t>s</w:t>
      </w:r>
      <w:r w:rsidRPr="0068318F">
        <w:rPr>
          <w:rFonts w:asciiTheme="minorHAnsi" w:hAnsiTheme="minorHAnsi" w:cstheme="minorHAnsi"/>
          <w:sz w:val="24"/>
          <w:szCs w:val="22"/>
        </w:rPr>
        <w:t>.</w:t>
      </w:r>
    </w:p>
    <w:p w14:paraId="71401D7F" w14:textId="3F596579" w:rsidR="006F4E24" w:rsidRDefault="008653CA" w:rsidP="006022FF">
      <w:pPr>
        <w:tabs>
          <w:tab w:val="left" w:pos="567"/>
        </w:tabs>
        <w:spacing w:before="120" w:after="120"/>
        <w:rPr>
          <w:rFonts w:asciiTheme="minorHAnsi" w:hAnsiTheme="minorHAnsi" w:cstheme="minorHAnsi"/>
          <w:sz w:val="24"/>
          <w:szCs w:val="22"/>
        </w:rPr>
      </w:pPr>
      <w:r>
        <w:rPr>
          <w:rFonts w:asciiTheme="minorHAnsi" w:hAnsiTheme="minorHAnsi" w:cstheme="minorHAnsi"/>
          <w:sz w:val="24"/>
          <w:szCs w:val="22"/>
        </w:rPr>
        <w:t xml:space="preserve">While clinicians generally agreed that it would be best to keep with a hybrid system for now, they all agreed </w:t>
      </w:r>
      <w:r w:rsidR="006F4E24">
        <w:rPr>
          <w:rFonts w:asciiTheme="minorHAnsi" w:hAnsiTheme="minorHAnsi" w:cstheme="minorHAnsi"/>
          <w:sz w:val="24"/>
          <w:szCs w:val="22"/>
        </w:rPr>
        <w:t xml:space="preserve">that consideration of the oversight and future resourcing requirements for retrieval teams </w:t>
      </w:r>
      <w:r>
        <w:rPr>
          <w:rFonts w:asciiTheme="minorHAnsi" w:hAnsiTheme="minorHAnsi" w:cstheme="minorHAnsi"/>
          <w:sz w:val="24"/>
          <w:szCs w:val="22"/>
        </w:rPr>
        <w:t>is</w:t>
      </w:r>
      <w:r w:rsidR="006F4E24">
        <w:rPr>
          <w:rFonts w:asciiTheme="minorHAnsi" w:hAnsiTheme="minorHAnsi" w:cstheme="minorHAnsi"/>
          <w:sz w:val="24"/>
          <w:szCs w:val="22"/>
        </w:rPr>
        <w:t xml:space="preserve"> required. With the continued growth in organ donation, and the inevitable retirement of current surgeons</w:t>
      </w:r>
      <w:r w:rsidR="00E33662">
        <w:rPr>
          <w:rFonts w:asciiTheme="minorHAnsi" w:hAnsiTheme="minorHAnsi" w:cstheme="minorHAnsi"/>
          <w:sz w:val="24"/>
          <w:szCs w:val="22"/>
        </w:rPr>
        <w:t xml:space="preserve"> who undertake retrieval</w:t>
      </w:r>
      <w:r w:rsidR="00A60853">
        <w:rPr>
          <w:rFonts w:asciiTheme="minorHAnsi" w:hAnsiTheme="minorHAnsi" w:cstheme="minorHAnsi"/>
          <w:sz w:val="24"/>
          <w:szCs w:val="22"/>
        </w:rPr>
        <w:t xml:space="preserve"> and transplantation</w:t>
      </w:r>
      <w:r w:rsidR="006F4E24">
        <w:rPr>
          <w:rFonts w:asciiTheme="minorHAnsi" w:hAnsiTheme="minorHAnsi" w:cstheme="minorHAnsi"/>
          <w:sz w:val="24"/>
          <w:szCs w:val="22"/>
        </w:rPr>
        <w:t>, it</w:t>
      </w:r>
      <w:r w:rsidR="006F4E24" w:rsidRPr="00F37D51">
        <w:rPr>
          <w:rFonts w:asciiTheme="minorHAnsi" w:hAnsiTheme="minorHAnsi" w:cstheme="minorHAnsi"/>
          <w:sz w:val="24"/>
          <w:szCs w:val="22"/>
        </w:rPr>
        <w:t xml:space="preserve"> is unlikely that the current </w:t>
      </w:r>
      <w:r w:rsidR="006F4E24">
        <w:rPr>
          <w:rFonts w:asciiTheme="minorHAnsi" w:hAnsiTheme="minorHAnsi" w:cstheme="minorHAnsi"/>
          <w:sz w:val="24"/>
          <w:szCs w:val="22"/>
        </w:rPr>
        <w:t xml:space="preserve">resources will be </w:t>
      </w:r>
      <w:r w:rsidR="006F4E24" w:rsidRPr="00F37D51">
        <w:rPr>
          <w:rFonts w:asciiTheme="minorHAnsi" w:hAnsiTheme="minorHAnsi" w:cstheme="minorHAnsi"/>
          <w:sz w:val="24"/>
          <w:szCs w:val="22"/>
        </w:rPr>
        <w:t xml:space="preserve">able to </w:t>
      </w:r>
      <w:r w:rsidR="006F4E24">
        <w:rPr>
          <w:rFonts w:asciiTheme="minorHAnsi" w:hAnsiTheme="minorHAnsi" w:cstheme="minorHAnsi"/>
          <w:sz w:val="24"/>
          <w:szCs w:val="22"/>
        </w:rPr>
        <w:t xml:space="preserve">manage the demand into the future without </w:t>
      </w:r>
      <w:r w:rsidR="00163812">
        <w:rPr>
          <w:rFonts w:asciiTheme="minorHAnsi" w:hAnsiTheme="minorHAnsi" w:cstheme="minorHAnsi"/>
          <w:sz w:val="24"/>
          <w:szCs w:val="22"/>
        </w:rPr>
        <w:t xml:space="preserve">national oversight, </w:t>
      </w:r>
      <w:r w:rsidR="006F4E24">
        <w:rPr>
          <w:rFonts w:asciiTheme="minorHAnsi" w:hAnsiTheme="minorHAnsi" w:cstheme="minorHAnsi"/>
          <w:sz w:val="24"/>
          <w:szCs w:val="22"/>
        </w:rPr>
        <w:t>planning and adequate resourcing</w:t>
      </w:r>
      <w:r w:rsidR="006F4E24" w:rsidRPr="00F37D51">
        <w:rPr>
          <w:rFonts w:asciiTheme="minorHAnsi" w:hAnsiTheme="minorHAnsi" w:cstheme="minorHAnsi"/>
          <w:sz w:val="24"/>
          <w:szCs w:val="22"/>
        </w:rPr>
        <w:t>.</w:t>
      </w:r>
      <w:r w:rsidR="006F4E24" w:rsidDel="0020225B">
        <w:rPr>
          <w:rFonts w:asciiTheme="minorHAnsi" w:hAnsiTheme="minorHAnsi" w:cstheme="minorHAnsi"/>
          <w:sz w:val="24"/>
          <w:szCs w:val="22"/>
        </w:rPr>
        <w:t xml:space="preserve"> </w:t>
      </w:r>
      <w:r w:rsidR="00380CC5">
        <w:rPr>
          <w:rFonts w:asciiTheme="minorHAnsi" w:hAnsiTheme="minorHAnsi" w:cstheme="minorHAnsi"/>
          <w:sz w:val="24"/>
          <w:szCs w:val="22"/>
        </w:rPr>
        <w:t xml:space="preserve">The Review acknowledges that theatre access and resource coordination is an inherently local issue requiring local solutions. However, national oversight, planning and resources will enable better local solutions. </w:t>
      </w:r>
      <w:r w:rsidR="006F4E24">
        <w:rPr>
          <w:rFonts w:asciiTheme="minorHAnsi" w:hAnsiTheme="minorHAnsi" w:cstheme="minorHAnsi"/>
          <w:sz w:val="24"/>
          <w:szCs w:val="22"/>
        </w:rPr>
        <w:t xml:space="preserve">For example, </w:t>
      </w:r>
      <w:r w:rsidR="006F4E24" w:rsidRPr="00E00120">
        <w:rPr>
          <w:rFonts w:asciiTheme="minorHAnsi" w:hAnsiTheme="minorHAnsi" w:cstheme="minorHAnsi"/>
          <w:sz w:val="24"/>
          <w:szCs w:val="22"/>
        </w:rPr>
        <w:t>th</w:t>
      </w:r>
      <w:r w:rsidR="006F4E24" w:rsidRPr="001271F5">
        <w:rPr>
          <w:rFonts w:asciiTheme="minorHAnsi" w:hAnsiTheme="minorHAnsi" w:cstheme="minorHAnsi"/>
          <w:sz w:val="24"/>
          <w:szCs w:val="22"/>
        </w:rPr>
        <w:t>e provision of cardiothoracic retrieval services in South Australia and the Northern Territory would be enhanced by the development of retrieval surgery skills within the cardiothoracic teams based in Adelaide.</w:t>
      </w:r>
      <w:r w:rsidR="006F4E24">
        <w:rPr>
          <w:rFonts w:asciiTheme="minorHAnsi" w:hAnsiTheme="minorHAnsi" w:cstheme="minorHAnsi"/>
          <w:sz w:val="24"/>
          <w:szCs w:val="22"/>
        </w:rPr>
        <w:t xml:space="preserve"> Further, t</w:t>
      </w:r>
      <w:r w:rsidR="006F4E24" w:rsidRPr="001271F5">
        <w:rPr>
          <w:rFonts w:asciiTheme="minorHAnsi" w:hAnsiTheme="minorHAnsi" w:cstheme="minorHAnsi"/>
          <w:sz w:val="24"/>
          <w:szCs w:val="22"/>
        </w:rPr>
        <w:t>he provision of abdominal retrieval services in the Australian Capital Territory and Tasmania would be enhanced by the development of abdominal retrieval surgery skills in the surgical teams based in Canberra and Hobart respectively</w:t>
      </w:r>
      <w:r w:rsidR="006F4E24">
        <w:rPr>
          <w:rFonts w:asciiTheme="minorHAnsi" w:hAnsiTheme="minorHAnsi" w:cstheme="minorHAnsi"/>
          <w:sz w:val="24"/>
          <w:szCs w:val="22"/>
        </w:rPr>
        <w:t>,</w:t>
      </w:r>
      <w:r w:rsidR="006F4E24" w:rsidRPr="001271F5">
        <w:rPr>
          <w:rFonts w:asciiTheme="minorHAnsi" w:hAnsiTheme="minorHAnsi" w:cstheme="minorHAnsi"/>
          <w:sz w:val="24"/>
          <w:szCs w:val="22"/>
        </w:rPr>
        <w:t xml:space="preserve"> along the lines of the abdominal organ retrieval services currently operating in Darwin.</w:t>
      </w:r>
    </w:p>
    <w:p w14:paraId="3F237422" w14:textId="77777777" w:rsidR="00E25CB1" w:rsidRPr="00F01BC7" w:rsidRDefault="00E25CB1" w:rsidP="00AE3ED1">
      <w:pPr>
        <w:shd w:val="clear" w:color="auto" w:fill="DCEFF4"/>
        <w:tabs>
          <w:tab w:val="left" w:pos="567"/>
        </w:tabs>
        <w:spacing w:before="120" w:after="120"/>
        <w:rPr>
          <w:rFonts w:asciiTheme="minorHAnsi" w:hAnsiTheme="minorHAnsi" w:cstheme="minorHAnsi"/>
          <w:b/>
          <w:sz w:val="22"/>
          <w:szCs w:val="22"/>
        </w:rPr>
      </w:pPr>
      <w:r w:rsidRPr="00F01BC7">
        <w:rPr>
          <w:rFonts w:asciiTheme="minorHAnsi" w:hAnsiTheme="minorHAnsi" w:cstheme="minorHAnsi"/>
          <w:b/>
          <w:sz w:val="22"/>
          <w:szCs w:val="22"/>
        </w:rPr>
        <w:t xml:space="preserve">Examples of donor families withdrawing consent due to delays caused by resourcing issues  </w:t>
      </w:r>
    </w:p>
    <w:p w14:paraId="4E2B0867" w14:textId="77777777" w:rsidR="00E25CB1" w:rsidRPr="00F01BC7" w:rsidRDefault="00E25CB1" w:rsidP="00AE3ED1">
      <w:pPr>
        <w:shd w:val="clear" w:color="auto" w:fill="DCEFF4"/>
        <w:tabs>
          <w:tab w:val="left" w:pos="567"/>
        </w:tabs>
        <w:spacing w:before="120" w:after="120"/>
        <w:rPr>
          <w:rFonts w:asciiTheme="minorHAnsi" w:hAnsiTheme="minorHAnsi" w:cstheme="minorHAnsi"/>
          <w:sz w:val="22"/>
          <w:szCs w:val="22"/>
        </w:rPr>
      </w:pPr>
      <w:r w:rsidRPr="00F01BC7">
        <w:rPr>
          <w:rFonts w:asciiTheme="minorHAnsi" w:hAnsiTheme="minorHAnsi" w:cstheme="minorHAnsi"/>
          <w:sz w:val="22"/>
          <w:szCs w:val="22"/>
        </w:rPr>
        <w:t>Case study 1</w:t>
      </w:r>
    </w:p>
    <w:p w14:paraId="63EE3F44" w14:textId="77777777" w:rsidR="00E25CB1" w:rsidRPr="00AE3ED1" w:rsidRDefault="00E25CB1" w:rsidP="00AE3ED1">
      <w:pPr>
        <w:shd w:val="clear" w:color="auto" w:fill="DCEFF4"/>
        <w:tabs>
          <w:tab w:val="left" w:pos="567"/>
        </w:tabs>
        <w:spacing w:before="120" w:after="120"/>
        <w:rPr>
          <w:rFonts w:asciiTheme="minorHAnsi" w:hAnsiTheme="minorHAnsi" w:cstheme="minorHAnsi"/>
          <w:sz w:val="22"/>
          <w:szCs w:val="22"/>
        </w:rPr>
      </w:pPr>
      <w:r w:rsidRPr="00AE3ED1">
        <w:rPr>
          <w:rFonts w:asciiTheme="minorHAnsi" w:hAnsiTheme="minorHAnsi" w:cstheme="minorHAnsi"/>
          <w:sz w:val="22"/>
          <w:szCs w:val="22"/>
        </w:rPr>
        <w:t xml:space="preserve">An organ retrieval team had to delay theatre as one of their patients who had already been transplanted suffered an emergency and required an operation. The significant delay was not acceptable to the donor family and they withdrew consent for donation. </w:t>
      </w:r>
    </w:p>
    <w:p w14:paraId="45FE0A77" w14:textId="77777777" w:rsidR="00E25CB1" w:rsidRPr="00F01BC7" w:rsidRDefault="00E25CB1" w:rsidP="00AE3ED1">
      <w:pPr>
        <w:shd w:val="clear" w:color="auto" w:fill="DCEFF4"/>
        <w:tabs>
          <w:tab w:val="left" w:pos="567"/>
        </w:tabs>
        <w:spacing w:before="120" w:after="120"/>
        <w:rPr>
          <w:rFonts w:asciiTheme="minorHAnsi" w:hAnsiTheme="minorHAnsi" w:cstheme="minorHAnsi"/>
          <w:sz w:val="22"/>
          <w:szCs w:val="22"/>
        </w:rPr>
      </w:pPr>
      <w:r w:rsidRPr="00F01BC7">
        <w:rPr>
          <w:rFonts w:asciiTheme="minorHAnsi" w:hAnsiTheme="minorHAnsi" w:cstheme="minorHAnsi"/>
          <w:sz w:val="22"/>
          <w:szCs w:val="22"/>
        </w:rPr>
        <w:t>Case study 2</w:t>
      </w:r>
    </w:p>
    <w:p w14:paraId="3DE44D40" w14:textId="77777777" w:rsidR="00E25CB1" w:rsidRPr="00AE3ED1" w:rsidRDefault="00E25CB1" w:rsidP="00AE3ED1">
      <w:pPr>
        <w:shd w:val="clear" w:color="auto" w:fill="DCEFF4"/>
        <w:tabs>
          <w:tab w:val="left" w:pos="567"/>
        </w:tabs>
        <w:spacing w:before="120" w:after="120"/>
        <w:rPr>
          <w:rFonts w:asciiTheme="minorHAnsi" w:hAnsiTheme="minorHAnsi" w:cstheme="minorHAnsi"/>
          <w:sz w:val="22"/>
          <w:szCs w:val="22"/>
        </w:rPr>
      </w:pPr>
      <w:r w:rsidRPr="00AE3ED1">
        <w:rPr>
          <w:rFonts w:asciiTheme="minorHAnsi" w:hAnsiTheme="minorHAnsi" w:cstheme="minorHAnsi"/>
          <w:sz w:val="22"/>
          <w:szCs w:val="22"/>
        </w:rPr>
        <w:t xml:space="preserve">There were multiple delays to the scheduled retrieval time for a renal only DCD donor. This was due to a number of factors, such as competing emergencies requiring theatre time and staffing changeover. The retrieving hospital was experiencing a busy theatre schedule and the surgical team had already experienced multiple delays that day, therefore they intended to defer retrieval until the next morning. The donor family was unwilling to wait and withdrew consent for donation. </w:t>
      </w:r>
    </w:p>
    <w:p w14:paraId="7A7457CE" w14:textId="77777777" w:rsidR="00E25CB1" w:rsidRPr="00F01BC7" w:rsidRDefault="00E25CB1" w:rsidP="00AE3ED1">
      <w:pPr>
        <w:shd w:val="clear" w:color="auto" w:fill="DCEFF4"/>
        <w:tabs>
          <w:tab w:val="left" w:pos="567"/>
        </w:tabs>
        <w:spacing w:before="120" w:after="120"/>
        <w:rPr>
          <w:rFonts w:asciiTheme="minorHAnsi" w:hAnsiTheme="minorHAnsi" w:cstheme="minorHAnsi"/>
          <w:sz w:val="22"/>
          <w:szCs w:val="22"/>
        </w:rPr>
      </w:pPr>
      <w:r w:rsidRPr="00F01BC7">
        <w:rPr>
          <w:rFonts w:asciiTheme="minorHAnsi" w:hAnsiTheme="minorHAnsi" w:cstheme="minorHAnsi"/>
          <w:sz w:val="22"/>
          <w:szCs w:val="22"/>
        </w:rPr>
        <w:t>Case study 3</w:t>
      </w:r>
    </w:p>
    <w:p w14:paraId="3D6DCB8C" w14:textId="5C596595" w:rsidR="00E25CB1" w:rsidRPr="00AE3ED1" w:rsidRDefault="00E25CB1" w:rsidP="00AE3ED1">
      <w:pPr>
        <w:shd w:val="clear" w:color="auto" w:fill="DCEFF4"/>
        <w:tabs>
          <w:tab w:val="left" w:pos="567"/>
        </w:tabs>
        <w:spacing w:before="120" w:after="120"/>
        <w:rPr>
          <w:rFonts w:asciiTheme="minorHAnsi" w:hAnsiTheme="minorHAnsi" w:cstheme="minorHAnsi"/>
          <w:sz w:val="22"/>
          <w:szCs w:val="22"/>
        </w:rPr>
      </w:pPr>
      <w:r w:rsidRPr="00AE3ED1">
        <w:rPr>
          <w:rFonts w:asciiTheme="minorHAnsi" w:hAnsiTheme="minorHAnsi" w:cstheme="minorHAnsi"/>
          <w:sz w:val="22"/>
          <w:szCs w:val="22"/>
        </w:rPr>
        <w:t>Delays were experienced due to unavailability of a renal retrieval team for DCD referral because of increased donation and transplantation activity in the jurisdiction. The team had already delayed planned retrieval and a further period of delay was not supported by the family who withdrew consent.</w:t>
      </w:r>
    </w:p>
    <w:p w14:paraId="43B88F3E" w14:textId="77777777" w:rsidR="006F4E24" w:rsidRPr="00266A77" w:rsidRDefault="006F4E24" w:rsidP="006F4E24">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 xml:space="preserve">Summary of key findings </w:t>
      </w:r>
    </w:p>
    <w:p w14:paraId="1A5C0BFA" w14:textId="77777777" w:rsidR="006F4E24" w:rsidRPr="00F37D51" w:rsidRDefault="006F4E24" w:rsidP="006F4E24">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The retrieval system for solid organ donation is currently </w:t>
      </w:r>
      <w:r>
        <w:rPr>
          <w:rFonts w:asciiTheme="minorHAnsi" w:hAnsiTheme="minorHAnsi" w:cstheme="minorHAnsi"/>
          <w:sz w:val="24"/>
          <w:szCs w:val="22"/>
          <w:lang w:val="en-GB"/>
        </w:rPr>
        <w:t>under pressure due to increased donation rates and limited national planning for future demand.</w:t>
      </w:r>
    </w:p>
    <w:p w14:paraId="5844301D" w14:textId="77777777" w:rsidR="006F4E24" w:rsidRDefault="006F4E24" w:rsidP="006F4E24">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There is an impending shortage of </w:t>
      </w:r>
      <w:r w:rsidR="00380CC5">
        <w:rPr>
          <w:rFonts w:asciiTheme="minorHAnsi" w:hAnsiTheme="minorHAnsi" w:cstheme="minorHAnsi"/>
          <w:sz w:val="24"/>
          <w:szCs w:val="22"/>
          <w:lang w:val="en-GB"/>
        </w:rPr>
        <w:t xml:space="preserve">resources </w:t>
      </w:r>
      <w:r w:rsidR="00E33662">
        <w:rPr>
          <w:rFonts w:asciiTheme="minorHAnsi" w:hAnsiTheme="minorHAnsi" w:cstheme="minorHAnsi"/>
          <w:sz w:val="24"/>
          <w:szCs w:val="22"/>
          <w:lang w:val="en-GB"/>
        </w:rPr>
        <w:t xml:space="preserve">for retrieval </w:t>
      </w:r>
      <w:r w:rsidR="00380CC5">
        <w:rPr>
          <w:rFonts w:asciiTheme="minorHAnsi" w:hAnsiTheme="minorHAnsi" w:cstheme="minorHAnsi"/>
          <w:sz w:val="24"/>
          <w:szCs w:val="22"/>
          <w:lang w:val="en-GB"/>
        </w:rPr>
        <w:t>resulting in inefficienc</w:t>
      </w:r>
      <w:r w:rsidR="000242E0">
        <w:rPr>
          <w:rFonts w:asciiTheme="minorHAnsi" w:hAnsiTheme="minorHAnsi" w:cstheme="minorHAnsi"/>
          <w:sz w:val="24"/>
          <w:szCs w:val="22"/>
          <w:lang w:val="en-GB"/>
        </w:rPr>
        <w:t>ies</w:t>
      </w:r>
      <w:r w:rsidR="00380CC5">
        <w:rPr>
          <w:rFonts w:asciiTheme="minorHAnsi" w:hAnsiTheme="minorHAnsi" w:cstheme="minorHAnsi"/>
          <w:sz w:val="24"/>
          <w:szCs w:val="22"/>
          <w:lang w:val="en-GB"/>
        </w:rPr>
        <w:t xml:space="preserve">, risks to quality and safety and </w:t>
      </w:r>
      <w:r w:rsidR="008653CA">
        <w:rPr>
          <w:rFonts w:asciiTheme="minorHAnsi" w:hAnsiTheme="minorHAnsi" w:cstheme="minorHAnsi"/>
          <w:sz w:val="24"/>
          <w:szCs w:val="22"/>
          <w:lang w:val="en-GB"/>
        </w:rPr>
        <w:t xml:space="preserve">the </w:t>
      </w:r>
      <w:r w:rsidR="00380CC5">
        <w:rPr>
          <w:rFonts w:asciiTheme="minorHAnsi" w:hAnsiTheme="minorHAnsi" w:cstheme="minorHAnsi"/>
          <w:sz w:val="24"/>
          <w:szCs w:val="22"/>
          <w:lang w:val="en-GB"/>
        </w:rPr>
        <w:t xml:space="preserve">potential </w:t>
      </w:r>
      <w:r w:rsidR="008653CA">
        <w:rPr>
          <w:rFonts w:asciiTheme="minorHAnsi" w:hAnsiTheme="minorHAnsi" w:cstheme="minorHAnsi"/>
          <w:sz w:val="24"/>
          <w:szCs w:val="22"/>
          <w:lang w:val="en-GB"/>
        </w:rPr>
        <w:t xml:space="preserve">to </w:t>
      </w:r>
      <w:r w:rsidR="00380CC5">
        <w:rPr>
          <w:rFonts w:asciiTheme="minorHAnsi" w:hAnsiTheme="minorHAnsi" w:cstheme="minorHAnsi"/>
          <w:sz w:val="24"/>
          <w:szCs w:val="22"/>
          <w:lang w:val="en-GB"/>
        </w:rPr>
        <w:t>decline retrieval due to logistical reasons</w:t>
      </w:r>
      <w:r>
        <w:rPr>
          <w:rFonts w:asciiTheme="minorHAnsi" w:hAnsiTheme="minorHAnsi" w:cstheme="minorHAnsi"/>
          <w:sz w:val="24"/>
          <w:szCs w:val="22"/>
          <w:lang w:val="en-GB"/>
        </w:rPr>
        <w:t>.</w:t>
      </w:r>
    </w:p>
    <w:p w14:paraId="4AF6AE83" w14:textId="77777777" w:rsidR="00BA2CF3" w:rsidRPr="00EF5708" w:rsidRDefault="00BA2CF3" w:rsidP="00BA2CF3">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Aviation services contractual arrangements are negotiated local</w:t>
      </w:r>
      <w:r>
        <w:rPr>
          <w:rFonts w:asciiTheme="minorHAnsi" w:hAnsiTheme="minorHAnsi" w:cstheme="minorHAnsi"/>
          <w:sz w:val="24"/>
          <w:szCs w:val="22"/>
          <w:lang w:val="en-GB"/>
        </w:rPr>
        <w:t>ly</w:t>
      </w:r>
      <w:r w:rsidRPr="00F37D51">
        <w:rPr>
          <w:rFonts w:asciiTheme="minorHAnsi" w:hAnsiTheme="minorHAnsi" w:cstheme="minorHAnsi"/>
          <w:sz w:val="24"/>
          <w:szCs w:val="22"/>
          <w:lang w:val="en-GB"/>
        </w:rPr>
        <w:t xml:space="preserve"> in each </w:t>
      </w:r>
      <w:r w:rsidR="00E33662">
        <w:rPr>
          <w:rFonts w:asciiTheme="minorHAnsi" w:hAnsiTheme="minorHAnsi" w:cstheme="minorHAnsi"/>
          <w:sz w:val="24"/>
          <w:szCs w:val="22"/>
          <w:lang w:val="en-GB"/>
        </w:rPr>
        <w:t>transplantation unit</w:t>
      </w:r>
      <w:r w:rsidRPr="00F37D51">
        <w:rPr>
          <w:rFonts w:asciiTheme="minorHAnsi" w:hAnsiTheme="minorHAnsi" w:cstheme="minorHAnsi"/>
          <w:sz w:val="24"/>
          <w:szCs w:val="22"/>
          <w:lang w:val="en-GB"/>
        </w:rPr>
        <w:t xml:space="preserve"> – often without a standing contract</w:t>
      </w:r>
      <w:r>
        <w:rPr>
          <w:rFonts w:asciiTheme="minorHAnsi" w:hAnsiTheme="minorHAnsi" w:cstheme="minorHAnsi"/>
          <w:sz w:val="24"/>
          <w:szCs w:val="22"/>
          <w:lang w:val="en-GB"/>
        </w:rPr>
        <w:t>.</w:t>
      </w:r>
      <w:r w:rsidRPr="00F37D51">
        <w:rPr>
          <w:rFonts w:asciiTheme="minorHAnsi" w:hAnsiTheme="minorHAnsi" w:cstheme="minorHAnsi"/>
          <w:sz w:val="24"/>
          <w:szCs w:val="22"/>
          <w:lang w:val="en-GB"/>
        </w:rPr>
        <w:t xml:space="preserve"> </w:t>
      </w:r>
      <w:r>
        <w:rPr>
          <w:rFonts w:asciiTheme="minorHAnsi" w:hAnsiTheme="minorHAnsi" w:cstheme="minorHAnsi"/>
          <w:sz w:val="24"/>
          <w:szCs w:val="22"/>
          <w:lang w:val="en-GB"/>
        </w:rPr>
        <w:t xml:space="preserve">There is currently no national approach to the </w:t>
      </w:r>
      <w:r w:rsidR="00E33662">
        <w:rPr>
          <w:rFonts w:asciiTheme="minorHAnsi" w:hAnsiTheme="minorHAnsi" w:cstheme="minorHAnsi"/>
          <w:sz w:val="24"/>
          <w:szCs w:val="22"/>
          <w:lang w:val="en-GB"/>
        </w:rPr>
        <w:t>sourcing or procurement</w:t>
      </w:r>
      <w:r>
        <w:rPr>
          <w:rFonts w:asciiTheme="minorHAnsi" w:hAnsiTheme="minorHAnsi" w:cstheme="minorHAnsi"/>
          <w:sz w:val="24"/>
          <w:szCs w:val="22"/>
          <w:lang w:val="en-GB"/>
        </w:rPr>
        <w:t xml:space="preserve"> of aviation services for the organ retrieval </w:t>
      </w:r>
      <w:r w:rsidRPr="00EF5708">
        <w:rPr>
          <w:rFonts w:asciiTheme="minorHAnsi" w:hAnsiTheme="minorHAnsi" w:cstheme="minorHAnsi"/>
          <w:sz w:val="24"/>
          <w:szCs w:val="22"/>
          <w:lang w:val="en-GB"/>
        </w:rPr>
        <w:t>process.</w:t>
      </w:r>
    </w:p>
    <w:p w14:paraId="7491B998" w14:textId="77777777" w:rsidR="006F4E24" w:rsidRPr="00F37D51" w:rsidRDefault="006F4E24" w:rsidP="006F4E24">
      <w:pPr>
        <w:numPr>
          <w:ilvl w:val="0"/>
          <w:numId w:val="18"/>
        </w:numPr>
        <w:spacing w:after="120"/>
        <w:ind w:left="357" w:hanging="357"/>
        <w:rPr>
          <w:rFonts w:asciiTheme="minorHAnsi" w:hAnsiTheme="minorHAnsi" w:cstheme="minorHAnsi"/>
          <w:sz w:val="24"/>
          <w:szCs w:val="22"/>
          <w:lang w:val="en-GB"/>
        </w:rPr>
      </w:pPr>
      <w:r w:rsidRPr="00EF5708">
        <w:rPr>
          <w:rFonts w:asciiTheme="minorHAnsi" w:hAnsiTheme="minorHAnsi" w:cstheme="minorHAnsi"/>
          <w:sz w:val="24"/>
          <w:szCs w:val="22"/>
          <w:lang w:val="en-GB"/>
        </w:rPr>
        <w:t>The</w:t>
      </w:r>
      <w:r w:rsidR="00380CC5" w:rsidRPr="00EF5708">
        <w:rPr>
          <w:rFonts w:asciiTheme="minorHAnsi" w:hAnsiTheme="minorHAnsi" w:cstheme="minorHAnsi"/>
          <w:sz w:val="24"/>
          <w:szCs w:val="22"/>
          <w:lang w:val="en-GB"/>
        </w:rPr>
        <w:t>re is international evidence that show</w:t>
      </w:r>
      <w:r w:rsidR="0062695F" w:rsidRPr="00EF5708">
        <w:rPr>
          <w:rFonts w:asciiTheme="minorHAnsi" w:hAnsiTheme="minorHAnsi" w:cstheme="minorHAnsi"/>
          <w:sz w:val="24"/>
          <w:szCs w:val="22"/>
          <w:lang w:val="en-GB"/>
        </w:rPr>
        <w:t>s</w:t>
      </w:r>
      <w:r w:rsidR="00380CC5" w:rsidRPr="00EF5708">
        <w:rPr>
          <w:rFonts w:asciiTheme="minorHAnsi" w:hAnsiTheme="minorHAnsi" w:cstheme="minorHAnsi"/>
          <w:sz w:val="24"/>
          <w:szCs w:val="22"/>
          <w:lang w:val="en-GB"/>
        </w:rPr>
        <w:t xml:space="preserve"> the benefit</w:t>
      </w:r>
      <w:r w:rsidR="0062695F" w:rsidRPr="00EF5708">
        <w:rPr>
          <w:rFonts w:asciiTheme="minorHAnsi" w:hAnsiTheme="minorHAnsi" w:cstheme="minorHAnsi"/>
          <w:sz w:val="24"/>
          <w:szCs w:val="22"/>
          <w:lang w:val="en-GB"/>
        </w:rPr>
        <w:t>s</w:t>
      </w:r>
      <w:r w:rsidR="00380CC5" w:rsidRPr="00EF5708">
        <w:rPr>
          <w:rFonts w:asciiTheme="minorHAnsi" w:hAnsiTheme="minorHAnsi" w:cstheme="minorHAnsi"/>
          <w:sz w:val="24"/>
          <w:szCs w:val="22"/>
          <w:lang w:val="en-GB"/>
        </w:rPr>
        <w:t xml:space="preserve"> of </w:t>
      </w:r>
      <w:r w:rsidR="00E33662" w:rsidRPr="00EF5708">
        <w:rPr>
          <w:rFonts w:asciiTheme="minorHAnsi" w:hAnsiTheme="minorHAnsi" w:cstheme="minorHAnsi"/>
          <w:sz w:val="24"/>
          <w:szCs w:val="22"/>
          <w:lang w:val="en-GB"/>
        </w:rPr>
        <w:t>‘</w:t>
      </w:r>
      <w:r w:rsidR="00380CC5" w:rsidRPr="00EF5708">
        <w:rPr>
          <w:rFonts w:asciiTheme="minorHAnsi" w:hAnsiTheme="minorHAnsi" w:cstheme="minorHAnsi"/>
          <w:sz w:val="24"/>
          <w:szCs w:val="22"/>
          <w:lang w:val="en-GB"/>
        </w:rPr>
        <w:t>de-coupling</w:t>
      </w:r>
      <w:r w:rsidR="00E33662" w:rsidRPr="00EF5708">
        <w:rPr>
          <w:rFonts w:asciiTheme="minorHAnsi" w:hAnsiTheme="minorHAnsi" w:cstheme="minorHAnsi"/>
          <w:sz w:val="24"/>
          <w:szCs w:val="22"/>
          <w:lang w:val="en-GB"/>
        </w:rPr>
        <w:t>’</w:t>
      </w:r>
      <w:r w:rsidR="00380CC5" w:rsidRPr="00EF5708">
        <w:rPr>
          <w:rFonts w:asciiTheme="minorHAnsi" w:hAnsiTheme="minorHAnsi" w:cstheme="minorHAnsi"/>
          <w:sz w:val="24"/>
          <w:szCs w:val="22"/>
          <w:lang w:val="en-GB"/>
        </w:rPr>
        <w:t xml:space="preserve"> retrieval teams</w:t>
      </w:r>
      <w:r w:rsidR="00BA2CF3" w:rsidRPr="00EF5708">
        <w:rPr>
          <w:rFonts w:asciiTheme="minorHAnsi" w:hAnsiTheme="minorHAnsi" w:cstheme="minorHAnsi"/>
          <w:sz w:val="24"/>
          <w:szCs w:val="22"/>
          <w:lang w:val="en-GB"/>
        </w:rPr>
        <w:t xml:space="preserve"> from transplantation. Australia is currently utilising a hybrid system where </w:t>
      </w:r>
      <w:r w:rsidR="00E33662" w:rsidRPr="00EF5708">
        <w:rPr>
          <w:rFonts w:asciiTheme="minorHAnsi" w:hAnsiTheme="minorHAnsi" w:cstheme="minorHAnsi"/>
          <w:sz w:val="24"/>
          <w:szCs w:val="22"/>
          <w:lang w:val="en-GB"/>
        </w:rPr>
        <w:t>‘</w:t>
      </w:r>
      <w:r w:rsidR="00BA2CF3" w:rsidRPr="00EF5708">
        <w:rPr>
          <w:rFonts w:asciiTheme="minorHAnsi" w:hAnsiTheme="minorHAnsi" w:cstheme="minorHAnsi"/>
          <w:sz w:val="24"/>
          <w:szCs w:val="22"/>
          <w:lang w:val="en-GB"/>
        </w:rPr>
        <w:t>de-coupling</w:t>
      </w:r>
      <w:r w:rsidR="00E33662" w:rsidRPr="00EF5708">
        <w:rPr>
          <w:rFonts w:asciiTheme="minorHAnsi" w:hAnsiTheme="minorHAnsi" w:cstheme="minorHAnsi"/>
          <w:sz w:val="24"/>
          <w:szCs w:val="22"/>
          <w:lang w:val="en-GB"/>
        </w:rPr>
        <w:t>’</w:t>
      </w:r>
      <w:r w:rsidR="00BA2CF3" w:rsidRPr="00EF5708">
        <w:rPr>
          <w:rFonts w:asciiTheme="minorHAnsi" w:hAnsiTheme="minorHAnsi" w:cstheme="minorHAnsi"/>
          <w:sz w:val="24"/>
          <w:szCs w:val="22"/>
          <w:lang w:val="en-GB"/>
        </w:rPr>
        <w:t xml:space="preserve"> retrieval services is more readily used for abdominal organ retrieval procedures. However, </w:t>
      </w:r>
      <w:r w:rsidR="0062695F" w:rsidRPr="00EF5708">
        <w:rPr>
          <w:rFonts w:asciiTheme="minorHAnsi" w:hAnsiTheme="minorHAnsi" w:cstheme="minorHAnsi"/>
          <w:sz w:val="24"/>
          <w:szCs w:val="22"/>
          <w:lang w:val="en-GB"/>
        </w:rPr>
        <w:t>a</w:t>
      </w:r>
      <w:r w:rsidR="00BA2CF3" w:rsidRPr="00EF5708">
        <w:rPr>
          <w:rFonts w:asciiTheme="minorHAnsi" w:hAnsiTheme="minorHAnsi" w:cstheme="minorHAnsi"/>
          <w:sz w:val="24"/>
          <w:szCs w:val="22"/>
          <w:lang w:val="en-GB"/>
        </w:rPr>
        <w:t xml:space="preserve"> </w:t>
      </w:r>
      <w:r w:rsidR="00E33662" w:rsidRPr="00EF5708">
        <w:rPr>
          <w:rFonts w:asciiTheme="minorHAnsi" w:hAnsiTheme="minorHAnsi" w:cstheme="minorHAnsi"/>
          <w:sz w:val="24"/>
          <w:szCs w:val="22"/>
          <w:lang w:val="en-GB"/>
        </w:rPr>
        <w:t>‘</w:t>
      </w:r>
      <w:r w:rsidR="00BA2CF3" w:rsidRPr="00EF5708">
        <w:rPr>
          <w:rFonts w:asciiTheme="minorHAnsi" w:hAnsiTheme="minorHAnsi" w:cstheme="minorHAnsi"/>
          <w:sz w:val="24"/>
          <w:szCs w:val="22"/>
          <w:lang w:val="en-GB"/>
        </w:rPr>
        <w:t>de-coupled</w:t>
      </w:r>
      <w:r w:rsidR="00E33662" w:rsidRPr="00EF5708">
        <w:rPr>
          <w:rFonts w:asciiTheme="minorHAnsi" w:hAnsiTheme="minorHAnsi" w:cstheme="minorHAnsi"/>
          <w:sz w:val="24"/>
          <w:szCs w:val="22"/>
          <w:lang w:val="en-GB"/>
        </w:rPr>
        <w:t>’</w:t>
      </w:r>
      <w:r w:rsidR="00BA2CF3" w:rsidRPr="00EF5708">
        <w:rPr>
          <w:rFonts w:asciiTheme="minorHAnsi" w:hAnsiTheme="minorHAnsi" w:cstheme="minorHAnsi"/>
          <w:sz w:val="24"/>
          <w:szCs w:val="22"/>
          <w:lang w:val="en-GB"/>
        </w:rPr>
        <w:t xml:space="preserve"> model for </w:t>
      </w:r>
      <w:r w:rsidR="0062695F" w:rsidRPr="00EF5708">
        <w:rPr>
          <w:rFonts w:asciiTheme="minorHAnsi" w:hAnsiTheme="minorHAnsi" w:cstheme="minorHAnsi"/>
          <w:sz w:val="24"/>
          <w:szCs w:val="22"/>
          <w:lang w:val="en-GB"/>
        </w:rPr>
        <w:t xml:space="preserve">all </w:t>
      </w:r>
      <w:r w:rsidR="00BA2CF3" w:rsidRPr="00EF5708">
        <w:rPr>
          <w:rFonts w:asciiTheme="minorHAnsi" w:hAnsiTheme="minorHAnsi" w:cstheme="minorHAnsi"/>
          <w:sz w:val="24"/>
          <w:szCs w:val="22"/>
          <w:lang w:val="en-GB"/>
        </w:rPr>
        <w:t xml:space="preserve">organ retrieval is not currently supported by all clinicians </w:t>
      </w:r>
      <w:r w:rsidR="0062695F" w:rsidRPr="00EF5708">
        <w:rPr>
          <w:rFonts w:asciiTheme="minorHAnsi" w:hAnsiTheme="minorHAnsi" w:cstheme="minorHAnsi"/>
          <w:sz w:val="24"/>
          <w:szCs w:val="22"/>
          <w:lang w:val="en-GB"/>
        </w:rPr>
        <w:t>or</w:t>
      </w:r>
      <w:r w:rsidR="00BA2CF3" w:rsidRPr="00EF5708">
        <w:rPr>
          <w:rFonts w:asciiTheme="minorHAnsi" w:hAnsiTheme="minorHAnsi" w:cstheme="minorHAnsi"/>
          <w:sz w:val="24"/>
          <w:szCs w:val="22"/>
          <w:lang w:val="en-GB"/>
        </w:rPr>
        <w:t xml:space="preserve"> the current</w:t>
      </w:r>
      <w:r w:rsidR="00BA2CF3">
        <w:rPr>
          <w:rFonts w:asciiTheme="minorHAnsi" w:hAnsiTheme="minorHAnsi" w:cstheme="minorHAnsi"/>
          <w:sz w:val="24"/>
          <w:szCs w:val="22"/>
          <w:lang w:val="en-GB"/>
        </w:rPr>
        <w:t xml:space="preserve"> funding model.</w:t>
      </w:r>
      <w:r w:rsidRPr="00F37D51">
        <w:rPr>
          <w:rFonts w:asciiTheme="minorHAnsi" w:hAnsiTheme="minorHAnsi" w:cstheme="minorHAnsi"/>
          <w:sz w:val="24"/>
          <w:szCs w:val="22"/>
          <w:lang w:val="en-GB"/>
        </w:rPr>
        <w:t xml:space="preserve"> </w:t>
      </w:r>
    </w:p>
    <w:p w14:paraId="1589EC8A" w14:textId="77777777" w:rsidR="006F4E24" w:rsidRPr="00F37D51" w:rsidRDefault="006F4E24" w:rsidP="006F4E24">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There is no evidence of </w:t>
      </w:r>
      <w:r w:rsidR="009D7594">
        <w:rPr>
          <w:rFonts w:asciiTheme="minorHAnsi" w:hAnsiTheme="minorHAnsi" w:cstheme="minorHAnsi"/>
          <w:sz w:val="24"/>
          <w:szCs w:val="22"/>
          <w:lang w:val="en-GB"/>
        </w:rPr>
        <w:t xml:space="preserve">national oversight or a </w:t>
      </w:r>
      <w:r w:rsidRPr="00F37D51">
        <w:rPr>
          <w:rFonts w:asciiTheme="minorHAnsi" w:hAnsiTheme="minorHAnsi" w:cstheme="minorHAnsi"/>
          <w:sz w:val="24"/>
          <w:szCs w:val="22"/>
          <w:lang w:val="en-GB"/>
        </w:rPr>
        <w:t xml:space="preserve">detailed nationally focused </w:t>
      </w:r>
      <w:r w:rsidR="00BA2CF3">
        <w:rPr>
          <w:rFonts w:asciiTheme="minorHAnsi" w:hAnsiTheme="minorHAnsi" w:cstheme="minorHAnsi"/>
          <w:sz w:val="24"/>
          <w:szCs w:val="22"/>
          <w:lang w:val="en-GB"/>
        </w:rPr>
        <w:t>resource</w:t>
      </w:r>
      <w:r w:rsidR="00BA2CF3" w:rsidRPr="00F37D51">
        <w:rPr>
          <w:rFonts w:asciiTheme="minorHAnsi" w:hAnsiTheme="minorHAnsi" w:cstheme="minorHAnsi"/>
          <w:sz w:val="24"/>
          <w:szCs w:val="22"/>
          <w:lang w:val="en-GB"/>
        </w:rPr>
        <w:t xml:space="preserve"> </w:t>
      </w:r>
      <w:r w:rsidRPr="00F37D51">
        <w:rPr>
          <w:rFonts w:asciiTheme="minorHAnsi" w:hAnsiTheme="minorHAnsi" w:cstheme="minorHAnsi"/>
          <w:sz w:val="24"/>
          <w:szCs w:val="22"/>
          <w:lang w:val="en-GB"/>
        </w:rPr>
        <w:t>plan for the expansion of organ retrieval services to meet the likely increase in demand</w:t>
      </w:r>
      <w:r>
        <w:rPr>
          <w:rFonts w:asciiTheme="minorHAnsi" w:hAnsiTheme="minorHAnsi" w:cstheme="minorHAnsi"/>
          <w:sz w:val="24"/>
          <w:szCs w:val="22"/>
          <w:lang w:val="en-GB"/>
        </w:rPr>
        <w:t>.</w:t>
      </w:r>
    </w:p>
    <w:p w14:paraId="67442865" w14:textId="77777777" w:rsidR="006F4E24" w:rsidRPr="00F37D51" w:rsidRDefault="006F4E24" w:rsidP="006F4E24">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The provision of cardiothoracic retrieval services in South Australia and the N</w:t>
      </w:r>
      <w:r>
        <w:rPr>
          <w:rFonts w:asciiTheme="minorHAnsi" w:hAnsiTheme="minorHAnsi" w:cstheme="minorHAnsi"/>
          <w:sz w:val="24"/>
          <w:szCs w:val="22"/>
          <w:lang w:val="en-GB"/>
        </w:rPr>
        <w:t xml:space="preserve">orthern </w:t>
      </w:r>
      <w:r w:rsidRPr="00F37D51">
        <w:rPr>
          <w:rFonts w:asciiTheme="minorHAnsi" w:hAnsiTheme="minorHAnsi" w:cstheme="minorHAnsi"/>
          <w:sz w:val="24"/>
          <w:szCs w:val="22"/>
          <w:lang w:val="en-GB"/>
        </w:rPr>
        <w:t>T</w:t>
      </w:r>
      <w:r>
        <w:rPr>
          <w:rFonts w:asciiTheme="minorHAnsi" w:hAnsiTheme="minorHAnsi" w:cstheme="minorHAnsi"/>
          <w:sz w:val="24"/>
          <w:szCs w:val="22"/>
          <w:lang w:val="en-GB"/>
        </w:rPr>
        <w:t>erritory</w:t>
      </w:r>
      <w:r w:rsidRPr="00F37D51">
        <w:rPr>
          <w:rFonts w:asciiTheme="minorHAnsi" w:hAnsiTheme="minorHAnsi" w:cstheme="minorHAnsi"/>
          <w:sz w:val="24"/>
          <w:szCs w:val="22"/>
          <w:lang w:val="en-GB"/>
        </w:rPr>
        <w:t xml:space="preserve"> would be enhanced by the development of retrieval surgery skills within the cardiothoracic teams based in Adelaide</w:t>
      </w:r>
      <w:r>
        <w:rPr>
          <w:rFonts w:asciiTheme="minorHAnsi" w:hAnsiTheme="minorHAnsi" w:cstheme="minorHAnsi"/>
          <w:sz w:val="24"/>
          <w:szCs w:val="22"/>
          <w:lang w:val="en-GB"/>
        </w:rPr>
        <w:t>.</w:t>
      </w:r>
    </w:p>
    <w:p w14:paraId="3CCEA8B9" w14:textId="77777777" w:rsidR="006F4E24" w:rsidRDefault="006F4E24" w:rsidP="006F4E24">
      <w:pPr>
        <w:numPr>
          <w:ilvl w:val="0"/>
          <w:numId w:val="18"/>
        </w:numPr>
        <w:spacing w:after="120"/>
        <w:ind w:left="357" w:hanging="357"/>
        <w:rPr>
          <w:rFonts w:asciiTheme="minorHAnsi" w:hAnsiTheme="minorHAnsi" w:cstheme="minorHAnsi"/>
          <w:sz w:val="24"/>
          <w:szCs w:val="22"/>
          <w:lang w:val="en-GB"/>
        </w:rPr>
      </w:pPr>
      <w:r w:rsidRPr="00F37D51">
        <w:rPr>
          <w:rFonts w:asciiTheme="minorHAnsi" w:hAnsiTheme="minorHAnsi" w:cstheme="minorHAnsi"/>
          <w:sz w:val="24"/>
          <w:szCs w:val="22"/>
          <w:lang w:val="en-GB"/>
        </w:rPr>
        <w:t>The provision of abdominal retrieval services in the A</w:t>
      </w:r>
      <w:r>
        <w:rPr>
          <w:rFonts w:asciiTheme="minorHAnsi" w:hAnsiTheme="minorHAnsi" w:cstheme="minorHAnsi"/>
          <w:sz w:val="24"/>
          <w:szCs w:val="22"/>
          <w:lang w:val="en-GB"/>
        </w:rPr>
        <w:t xml:space="preserve">ustralian </w:t>
      </w:r>
      <w:r w:rsidRPr="00F37D51">
        <w:rPr>
          <w:rFonts w:asciiTheme="minorHAnsi" w:hAnsiTheme="minorHAnsi" w:cstheme="minorHAnsi"/>
          <w:sz w:val="24"/>
          <w:szCs w:val="22"/>
          <w:lang w:val="en-GB"/>
        </w:rPr>
        <w:t>C</w:t>
      </w:r>
      <w:r>
        <w:rPr>
          <w:rFonts w:asciiTheme="minorHAnsi" w:hAnsiTheme="minorHAnsi" w:cstheme="minorHAnsi"/>
          <w:sz w:val="24"/>
          <w:szCs w:val="22"/>
          <w:lang w:val="en-GB"/>
        </w:rPr>
        <w:t xml:space="preserve">apital </w:t>
      </w:r>
      <w:r w:rsidRPr="00F37D51">
        <w:rPr>
          <w:rFonts w:asciiTheme="minorHAnsi" w:hAnsiTheme="minorHAnsi" w:cstheme="minorHAnsi"/>
          <w:sz w:val="24"/>
          <w:szCs w:val="22"/>
          <w:lang w:val="en-GB"/>
        </w:rPr>
        <w:t>T</w:t>
      </w:r>
      <w:r>
        <w:rPr>
          <w:rFonts w:asciiTheme="minorHAnsi" w:hAnsiTheme="minorHAnsi" w:cstheme="minorHAnsi"/>
          <w:sz w:val="24"/>
          <w:szCs w:val="22"/>
          <w:lang w:val="en-GB"/>
        </w:rPr>
        <w:t>erritory</w:t>
      </w:r>
      <w:r w:rsidRPr="00F37D51">
        <w:rPr>
          <w:rFonts w:asciiTheme="minorHAnsi" w:hAnsiTheme="minorHAnsi" w:cstheme="minorHAnsi"/>
          <w:sz w:val="24"/>
          <w:szCs w:val="22"/>
          <w:lang w:val="en-GB"/>
        </w:rPr>
        <w:t xml:space="preserve"> and Tasmania would be enhanced by the development of abdominal retrieval surgery skills in the surgical teams based in Canberra and Hobart respectively along the lines of the abdominal organ retrieval services currently operating in Darwin</w:t>
      </w:r>
      <w:r>
        <w:rPr>
          <w:rFonts w:asciiTheme="minorHAnsi" w:hAnsiTheme="minorHAnsi" w:cstheme="minorHAnsi"/>
          <w:sz w:val="24"/>
          <w:szCs w:val="22"/>
          <w:lang w:val="en-GB"/>
        </w:rPr>
        <w:t>.</w:t>
      </w:r>
      <w:r w:rsidRPr="00F37D51">
        <w:rPr>
          <w:rFonts w:asciiTheme="minorHAnsi" w:hAnsiTheme="minorHAnsi" w:cstheme="minorHAnsi"/>
          <w:sz w:val="24"/>
          <w:szCs w:val="22"/>
          <w:lang w:val="en-GB"/>
        </w:rPr>
        <w:t xml:space="preserve"> </w:t>
      </w:r>
    </w:p>
    <w:p w14:paraId="7C5D8CEF" w14:textId="77777777" w:rsidR="00BE04F5" w:rsidRDefault="00BE04F5" w:rsidP="006F4E24">
      <w:pPr>
        <w:tabs>
          <w:tab w:val="num" w:pos="720"/>
        </w:tabs>
        <w:spacing w:after="120"/>
        <w:rPr>
          <w:rFonts w:asciiTheme="minorHAnsi" w:hAnsiTheme="minorHAnsi" w:cstheme="minorHAnsi"/>
          <w:i/>
          <w:color w:val="808080" w:themeColor="background1" w:themeShade="80"/>
          <w:sz w:val="26"/>
          <w:szCs w:val="26"/>
        </w:rPr>
      </w:pPr>
      <w:r>
        <w:rPr>
          <w:rFonts w:asciiTheme="minorHAnsi" w:hAnsiTheme="minorHAnsi" w:cstheme="minorHAnsi"/>
          <w:i/>
          <w:color w:val="808080" w:themeColor="background1" w:themeShade="80"/>
          <w:sz w:val="26"/>
          <w:szCs w:val="26"/>
        </w:rPr>
        <w:br w:type="page"/>
      </w:r>
    </w:p>
    <w:p w14:paraId="3C5D264B" w14:textId="3A3773AD" w:rsidR="006F4E24" w:rsidRPr="00266A77" w:rsidRDefault="006F4E24" w:rsidP="006F4E24">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thirty eight is that the OTA should develop a national organ retrieval resource plan to more effectively manage and coordinate processes and training programs across Australia to meet the expected increase in organ retrieval demand. Recommendation thirty nine is that the current organ retrieval tasking system should be retained, however its adequacy should be reviewed in two years’ time by the OTA to ascertain whether a national tasking system is required as demand increases. Recommendation forty is that consideration should be given to the development of national sourcing of aviation services by the states and territories to support organ retrieval services in a more coordinated manner."/>
      </w:tblPr>
      <w:tblGrid>
        <w:gridCol w:w="2268"/>
        <w:gridCol w:w="7479"/>
      </w:tblGrid>
      <w:tr w:rsidR="007135E8" w:rsidRPr="00DC1007" w14:paraId="43976EE1" w14:textId="77777777" w:rsidTr="00B65E19">
        <w:trPr>
          <w:tblHeader/>
        </w:trPr>
        <w:tc>
          <w:tcPr>
            <w:tcW w:w="2268" w:type="dxa"/>
            <w:shd w:val="clear" w:color="auto" w:fill="595959" w:themeFill="text1" w:themeFillTint="A6"/>
          </w:tcPr>
          <w:p w14:paraId="72F32866" w14:textId="222261C9" w:rsidR="007135E8" w:rsidRPr="00AE3ED1" w:rsidRDefault="007135E8" w:rsidP="006449E1">
            <w:pPr>
              <w:spacing w:after="120"/>
              <w:ind w:right="-321"/>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Recommendation</w:t>
            </w:r>
          </w:p>
        </w:tc>
        <w:tc>
          <w:tcPr>
            <w:tcW w:w="7479" w:type="dxa"/>
            <w:shd w:val="clear" w:color="auto" w:fill="595959" w:themeFill="text1" w:themeFillTint="A6"/>
          </w:tcPr>
          <w:p w14:paraId="7561CA36" w14:textId="0A2D581F" w:rsidR="007135E8" w:rsidRPr="00AE3ED1" w:rsidRDefault="007135E8" w:rsidP="006449E1">
            <w:pPr>
              <w:spacing w:after="120"/>
              <w:ind w:right="-142"/>
              <w:rPr>
                <w:rFonts w:asciiTheme="minorHAnsi" w:hAnsiTheme="minorHAnsi" w:cstheme="minorHAnsi"/>
                <w:b/>
                <w:color w:val="FFFFFF" w:themeColor="background1"/>
                <w:sz w:val="24"/>
                <w:szCs w:val="22"/>
                <w:lang w:val="en-GB"/>
              </w:rPr>
            </w:pPr>
            <w:r w:rsidRPr="00AE3ED1">
              <w:rPr>
                <w:rFonts w:asciiTheme="minorHAnsi" w:hAnsiTheme="minorHAnsi" w:cstheme="minorHAnsi"/>
                <w:b/>
                <w:color w:val="FFFFFF" w:themeColor="background1"/>
                <w:sz w:val="24"/>
                <w:szCs w:val="22"/>
                <w:lang w:val="en-GB"/>
              </w:rPr>
              <w:t>Description</w:t>
            </w:r>
          </w:p>
        </w:tc>
      </w:tr>
      <w:tr w:rsidR="006F4E24" w:rsidRPr="00DC1007" w14:paraId="3A6683F4" w14:textId="77777777" w:rsidTr="00AE3ED1">
        <w:tc>
          <w:tcPr>
            <w:tcW w:w="2268" w:type="dxa"/>
          </w:tcPr>
          <w:p w14:paraId="5C92D832" w14:textId="77777777" w:rsidR="006F4E24" w:rsidRPr="00F37D51" w:rsidRDefault="00FE692F" w:rsidP="00AE3ED1">
            <w:pPr>
              <w:spacing w:after="120"/>
              <w:ind w:right="-321"/>
              <w:rPr>
                <w:rFonts w:asciiTheme="minorHAnsi" w:hAnsiTheme="minorHAnsi" w:cstheme="minorHAnsi"/>
                <w:b/>
                <w:sz w:val="24"/>
                <w:szCs w:val="22"/>
                <w:lang w:val="en-GB"/>
              </w:rPr>
            </w:pPr>
            <w:r>
              <w:rPr>
                <w:rFonts w:asciiTheme="minorHAnsi" w:hAnsiTheme="minorHAnsi" w:cstheme="minorHAnsi"/>
                <w:b/>
                <w:sz w:val="24"/>
                <w:szCs w:val="22"/>
                <w:lang w:val="en-GB"/>
              </w:rPr>
              <w:t>Recommendation 3</w:t>
            </w:r>
            <w:r w:rsidR="005027F5">
              <w:rPr>
                <w:rFonts w:asciiTheme="minorHAnsi" w:hAnsiTheme="minorHAnsi" w:cstheme="minorHAnsi"/>
                <w:b/>
                <w:sz w:val="24"/>
                <w:szCs w:val="22"/>
                <w:lang w:val="en-GB"/>
              </w:rPr>
              <w:t>8</w:t>
            </w:r>
          </w:p>
        </w:tc>
        <w:tc>
          <w:tcPr>
            <w:tcW w:w="7479" w:type="dxa"/>
          </w:tcPr>
          <w:p w14:paraId="087CE4E9" w14:textId="77777777" w:rsidR="006F4E24" w:rsidRPr="00F37D51" w:rsidRDefault="00787AB8" w:rsidP="00AE3ED1">
            <w:pPr>
              <w:spacing w:after="120"/>
              <w:ind w:right="-142"/>
              <w:rPr>
                <w:rFonts w:asciiTheme="minorHAnsi" w:hAnsiTheme="minorHAnsi" w:cstheme="minorHAnsi"/>
                <w:sz w:val="24"/>
                <w:szCs w:val="22"/>
                <w:lang w:val="en-GB"/>
              </w:rPr>
            </w:pPr>
            <w:r>
              <w:rPr>
                <w:rFonts w:asciiTheme="minorHAnsi" w:hAnsiTheme="minorHAnsi" w:cstheme="minorHAnsi"/>
                <w:sz w:val="24"/>
                <w:szCs w:val="22"/>
                <w:lang w:val="en-GB"/>
              </w:rPr>
              <w:t xml:space="preserve">The </w:t>
            </w:r>
            <w:r w:rsidR="006F4E24">
              <w:rPr>
                <w:rFonts w:asciiTheme="minorHAnsi" w:hAnsiTheme="minorHAnsi" w:cstheme="minorHAnsi"/>
                <w:sz w:val="24"/>
                <w:szCs w:val="22"/>
                <w:lang w:val="en-GB"/>
              </w:rPr>
              <w:t>OTA should develop a</w:t>
            </w:r>
            <w:r w:rsidR="006F4E24" w:rsidRPr="00F37D51">
              <w:rPr>
                <w:rFonts w:asciiTheme="minorHAnsi" w:hAnsiTheme="minorHAnsi" w:cstheme="minorHAnsi"/>
                <w:sz w:val="24"/>
                <w:szCs w:val="22"/>
                <w:lang w:val="en-GB"/>
              </w:rPr>
              <w:t xml:space="preserve"> national organ retrieval </w:t>
            </w:r>
            <w:r w:rsidR="006F4E24">
              <w:rPr>
                <w:rFonts w:asciiTheme="minorHAnsi" w:hAnsiTheme="minorHAnsi" w:cstheme="minorHAnsi"/>
                <w:sz w:val="24"/>
                <w:szCs w:val="22"/>
                <w:lang w:val="en-GB"/>
              </w:rPr>
              <w:t>resource</w:t>
            </w:r>
            <w:r w:rsidR="006F4E24" w:rsidRPr="00F37D51">
              <w:rPr>
                <w:rFonts w:asciiTheme="minorHAnsi" w:hAnsiTheme="minorHAnsi" w:cstheme="minorHAnsi"/>
                <w:sz w:val="24"/>
                <w:szCs w:val="22"/>
                <w:lang w:val="en-GB"/>
              </w:rPr>
              <w:t xml:space="preserve"> plan </w:t>
            </w:r>
            <w:r w:rsidR="006F4E24">
              <w:rPr>
                <w:rFonts w:asciiTheme="minorHAnsi" w:hAnsiTheme="minorHAnsi" w:cstheme="minorHAnsi"/>
                <w:sz w:val="24"/>
                <w:szCs w:val="22"/>
                <w:lang w:val="en-GB"/>
              </w:rPr>
              <w:t>to more effectively manage and</w:t>
            </w:r>
            <w:r w:rsidR="006F4E24" w:rsidRPr="00F37D51">
              <w:rPr>
                <w:rFonts w:asciiTheme="minorHAnsi" w:hAnsiTheme="minorHAnsi" w:cstheme="minorHAnsi"/>
                <w:sz w:val="24"/>
                <w:szCs w:val="22"/>
                <w:lang w:val="en-GB"/>
              </w:rPr>
              <w:t xml:space="preserve"> coordinate</w:t>
            </w:r>
            <w:r w:rsidR="00337E52">
              <w:rPr>
                <w:rFonts w:asciiTheme="minorHAnsi" w:hAnsiTheme="minorHAnsi" w:cstheme="minorHAnsi"/>
                <w:sz w:val="24"/>
                <w:szCs w:val="22"/>
                <w:lang w:val="en-GB"/>
              </w:rPr>
              <w:t xml:space="preserve"> processes and training programs across Australia </w:t>
            </w:r>
            <w:r w:rsidR="006F4E24" w:rsidRPr="00F37D51">
              <w:rPr>
                <w:rFonts w:asciiTheme="minorHAnsi" w:hAnsiTheme="minorHAnsi" w:cstheme="minorHAnsi"/>
                <w:sz w:val="24"/>
                <w:szCs w:val="22"/>
                <w:lang w:val="en-GB"/>
              </w:rPr>
              <w:t xml:space="preserve">to meet the expected increase in </w:t>
            </w:r>
            <w:r w:rsidR="00F85C11">
              <w:rPr>
                <w:rFonts w:asciiTheme="minorHAnsi" w:hAnsiTheme="minorHAnsi" w:cstheme="minorHAnsi"/>
                <w:sz w:val="24"/>
                <w:szCs w:val="22"/>
                <w:lang w:val="en-GB"/>
              </w:rPr>
              <w:t xml:space="preserve">organ </w:t>
            </w:r>
            <w:r w:rsidR="00337E52">
              <w:rPr>
                <w:rFonts w:asciiTheme="minorHAnsi" w:hAnsiTheme="minorHAnsi" w:cstheme="minorHAnsi"/>
                <w:sz w:val="24"/>
                <w:szCs w:val="22"/>
                <w:lang w:val="en-GB"/>
              </w:rPr>
              <w:t xml:space="preserve">retrieval </w:t>
            </w:r>
            <w:r w:rsidR="006F4E24" w:rsidRPr="00F37D51">
              <w:rPr>
                <w:rFonts w:asciiTheme="minorHAnsi" w:hAnsiTheme="minorHAnsi" w:cstheme="minorHAnsi"/>
                <w:sz w:val="24"/>
                <w:szCs w:val="22"/>
                <w:lang w:val="en-GB"/>
              </w:rPr>
              <w:t>demand</w:t>
            </w:r>
            <w:r w:rsidR="006F4E24">
              <w:rPr>
                <w:rFonts w:asciiTheme="minorHAnsi" w:hAnsiTheme="minorHAnsi" w:cstheme="minorHAnsi"/>
                <w:sz w:val="24"/>
                <w:szCs w:val="22"/>
                <w:lang w:val="en-GB"/>
              </w:rPr>
              <w:t>.</w:t>
            </w:r>
            <w:r w:rsidR="00F85C11">
              <w:rPr>
                <w:rFonts w:asciiTheme="minorHAnsi" w:hAnsiTheme="minorHAnsi" w:cstheme="minorHAnsi"/>
                <w:sz w:val="24"/>
                <w:szCs w:val="22"/>
                <w:lang w:val="en-GB"/>
              </w:rPr>
              <w:t xml:space="preserve"> </w:t>
            </w:r>
          </w:p>
        </w:tc>
      </w:tr>
      <w:tr w:rsidR="006F4E24" w:rsidRPr="00DC1007" w14:paraId="17D53E77" w14:textId="77777777" w:rsidTr="00AE3ED1">
        <w:tc>
          <w:tcPr>
            <w:tcW w:w="2268" w:type="dxa"/>
          </w:tcPr>
          <w:p w14:paraId="09E10228" w14:textId="77777777" w:rsidR="006F4E24" w:rsidRPr="00F37D51" w:rsidRDefault="006F4E24" w:rsidP="00AE3ED1">
            <w:pPr>
              <w:spacing w:after="120"/>
              <w:ind w:right="-321"/>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sidR="005027F5">
              <w:rPr>
                <w:rFonts w:asciiTheme="minorHAnsi" w:hAnsiTheme="minorHAnsi" w:cstheme="minorHAnsi"/>
                <w:b/>
                <w:sz w:val="24"/>
                <w:szCs w:val="22"/>
                <w:lang w:val="en-GB"/>
              </w:rPr>
              <w:t>39</w:t>
            </w:r>
          </w:p>
        </w:tc>
        <w:tc>
          <w:tcPr>
            <w:tcW w:w="7479" w:type="dxa"/>
          </w:tcPr>
          <w:p w14:paraId="181C7C32" w14:textId="001E137F" w:rsidR="006F4E24" w:rsidRPr="00F37D51" w:rsidRDefault="006F4E24" w:rsidP="00AE3ED1">
            <w:pPr>
              <w:spacing w:after="120"/>
              <w:ind w:right="-142"/>
              <w:rPr>
                <w:rFonts w:asciiTheme="minorHAnsi" w:hAnsiTheme="minorHAnsi" w:cstheme="minorHAnsi"/>
                <w:sz w:val="24"/>
                <w:szCs w:val="22"/>
                <w:lang w:val="en-GB"/>
              </w:rPr>
            </w:pPr>
            <w:r w:rsidRPr="00F37D51">
              <w:rPr>
                <w:rFonts w:asciiTheme="minorHAnsi" w:hAnsiTheme="minorHAnsi" w:cstheme="minorHAnsi"/>
                <w:sz w:val="24"/>
                <w:szCs w:val="22"/>
                <w:lang w:val="en-GB"/>
              </w:rPr>
              <w:t xml:space="preserve">The current </w:t>
            </w:r>
            <w:r w:rsidR="002B7EF7">
              <w:rPr>
                <w:rFonts w:asciiTheme="minorHAnsi" w:hAnsiTheme="minorHAnsi" w:cstheme="minorHAnsi"/>
                <w:sz w:val="24"/>
                <w:szCs w:val="22"/>
                <w:lang w:val="en-GB"/>
              </w:rPr>
              <w:t xml:space="preserve">organ retrieval </w:t>
            </w:r>
            <w:r w:rsidRPr="00F37D51">
              <w:rPr>
                <w:rFonts w:asciiTheme="minorHAnsi" w:hAnsiTheme="minorHAnsi" w:cstheme="minorHAnsi"/>
                <w:sz w:val="24"/>
                <w:szCs w:val="22"/>
                <w:lang w:val="en-GB"/>
              </w:rPr>
              <w:t xml:space="preserve">tasking system should be </w:t>
            </w:r>
            <w:r w:rsidR="007135E8" w:rsidRPr="00F37D51">
              <w:rPr>
                <w:rFonts w:asciiTheme="minorHAnsi" w:hAnsiTheme="minorHAnsi" w:cstheme="minorHAnsi"/>
                <w:sz w:val="24"/>
                <w:szCs w:val="22"/>
                <w:lang w:val="en-GB"/>
              </w:rPr>
              <w:t>retained</w:t>
            </w:r>
            <w:r w:rsidR="007135E8">
              <w:rPr>
                <w:rFonts w:asciiTheme="minorHAnsi" w:hAnsiTheme="minorHAnsi" w:cstheme="minorHAnsi"/>
                <w:sz w:val="24"/>
                <w:szCs w:val="22"/>
                <w:lang w:val="en-GB"/>
              </w:rPr>
              <w:t>;</w:t>
            </w:r>
            <w:r>
              <w:rPr>
                <w:rFonts w:asciiTheme="minorHAnsi" w:hAnsiTheme="minorHAnsi" w:cstheme="minorHAnsi"/>
                <w:sz w:val="24"/>
                <w:szCs w:val="22"/>
                <w:lang w:val="en-GB"/>
              </w:rPr>
              <w:t xml:space="preserve"> </w:t>
            </w:r>
            <w:r w:rsidR="007135E8">
              <w:rPr>
                <w:rFonts w:asciiTheme="minorHAnsi" w:hAnsiTheme="minorHAnsi" w:cstheme="minorHAnsi"/>
                <w:sz w:val="24"/>
                <w:szCs w:val="22"/>
                <w:lang w:val="en-GB"/>
              </w:rPr>
              <w:t>however,</w:t>
            </w:r>
            <w:r w:rsidRPr="00F37D51">
              <w:rPr>
                <w:rFonts w:asciiTheme="minorHAnsi" w:hAnsiTheme="minorHAnsi" w:cstheme="minorHAnsi"/>
                <w:sz w:val="24"/>
                <w:szCs w:val="22"/>
                <w:lang w:val="en-GB"/>
              </w:rPr>
              <w:t xml:space="preserve"> its adequacy should be reviewed in two years’ time</w:t>
            </w:r>
            <w:r w:rsidR="002B7EF7">
              <w:rPr>
                <w:rFonts w:asciiTheme="minorHAnsi" w:hAnsiTheme="minorHAnsi" w:cstheme="minorHAnsi"/>
                <w:sz w:val="24"/>
                <w:szCs w:val="22"/>
                <w:lang w:val="en-GB"/>
              </w:rPr>
              <w:t xml:space="preserve"> by the OTA</w:t>
            </w:r>
            <w:r w:rsidRPr="00F37D51">
              <w:rPr>
                <w:rFonts w:asciiTheme="minorHAnsi" w:hAnsiTheme="minorHAnsi" w:cstheme="minorHAnsi"/>
                <w:sz w:val="24"/>
                <w:szCs w:val="22"/>
                <w:lang w:val="en-GB"/>
              </w:rPr>
              <w:t xml:space="preserve"> to ascertain whether a national tasking system is required as demand increases</w:t>
            </w:r>
            <w:r>
              <w:rPr>
                <w:rFonts w:asciiTheme="minorHAnsi" w:hAnsiTheme="minorHAnsi" w:cstheme="minorHAnsi"/>
                <w:sz w:val="24"/>
                <w:szCs w:val="22"/>
                <w:lang w:val="en-GB"/>
              </w:rPr>
              <w:t>.</w:t>
            </w:r>
          </w:p>
        </w:tc>
      </w:tr>
      <w:tr w:rsidR="006F4E24" w:rsidRPr="00DC1007" w14:paraId="07F3020A" w14:textId="77777777" w:rsidTr="00AE3ED1">
        <w:tc>
          <w:tcPr>
            <w:tcW w:w="2268" w:type="dxa"/>
          </w:tcPr>
          <w:p w14:paraId="6ACA2CD3" w14:textId="77777777" w:rsidR="006F4E24" w:rsidRPr="00F37D51" w:rsidRDefault="006F4E24" w:rsidP="00AE3ED1">
            <w:pPr>
              <w:spacing w:after="120"/>
              <w:ind w:right="-321"/>
              <w:rPr>
                <w:rFonts w:asciiTheme="minorHAnsi" w:hAnsiTheme="minorHAnsi" w:cstheme="minorHAnsi"/>
                <w:b/>
                <w:sz w:val="24"/>
                <w:szCs w:val="22"/>
                <w:lang w:val="en-GB"/>
              </w:rPr>
            </w:pPr>
            <w:r w:rsidRPr="00F37D51">
              <w:rPr>
                <w:rFonts w:asciiTheme="minorHAnsi" w:hAnsiTheme="minorHAnsi" w:cstheme="minorHAnsi"/>
                <w:b/>
                <w:sz w:val="24"/>
                <w:szCs w:val="22"/>
                <w:lang w:val="en-GB"/>
              </w:rPr>
              <w:t xml:space="preserve">Recommendation </w:t>
            </w:r>
            <w:r w:rsidR="005027F5">
              <w:rPr>
                <w:rFonts w:asciiTheme="minorHAnsi" w:hAnsiTheme="minorHAnsi" w:cstheme="minorHAnsi"/>
                <w:b/>
                <w:sz w:val="24"/>
                <w:szCs w:val="22"/>
                <w:lang w:val="en-GB"/>
              </w:rPr>
              <w:t>40</w:t>
            </w:r>
          </w:p>
        </w:tc>
        <w:tc>
          <w:tcPr>
            <w:tcW w:w="7479" w:type="dxa"/>
          </w:tcPr>
          <w:p w14:paraId="6926936F" w14:textId="77777777" w:rsidR="006F4E24" w:rsidRPr="00F37D51" w:rsidRDefault="006F4E24" w:rsidP="00AE3ED1">
            <w:pPr>
              <w:spacing w:after="120"/>
              <w:ind w:right="-142"/>
              <w:rPr>
                <w:rFonts w:asciiTheme="minorHAnsi" w:hAnsiTheme="minorHAnsi" w:cstheme="minorHAnsi"/>
                <w:sz w:val="24"/>
                <w:szCs w:val="22"/>
                <w:lang w:val="en-GB"/>
              </w:rPr>
            </w:pPr>
            <w:r>
              <w:rPr>
                <w:rFonts w:asciiTheme="minorHAnsi" w:hAnsiTheme="minorHAnsi" w:cstheme="minorHAnsi"/>
                <w:sz w:val="24"/>
                <w:szCs w:val="22"/>
                <w:lang w:val="en-GB"/>
              </w:rPr>
              <w:t xml:space="preserve">Consideration should be given to the development of </w:t>
            </w:r>
            <w:r w:rsidRPr="00F37D51">
              <w:rPr>
                <w:rFonts w:asciiTheme="minorHAnsi" w:hAnsiTheme="minorHAnsi" w:cstheme="minorHAnsi"/>
                <w:sz w:val="24"/>
                <w:szCs w:val="22"/>
                <w:lang w:val="en-GB"/>
              </w:rPr>
              <w:t>national</w:t>
            </w:r>
            <w:r w:rsidR="002B7EF7">
              <w:rPr>
                <w:rFonts w:asciiTheme="minorHAnsi" w:hAnsiTheme="minorHAnsi" w:cstheme="minorHAnsi"/>
                <w:sz w:val="24"/>
                <w:szCs w:val="22"/>
                <w:lang w:val="en-GB"/>
              </w:rPr>
              <w:t xml:space="preserve"> sourcing of aviation services by the states and territories to support o</w:t>
            </w:r>
            <w:r w:rsidRPr="00F37D51">
              <w:rPr>
                <w:rFonts w:asciiTheme="minorHAnsi" w:hAnsiTheme="minorHAnsi" w:cstheme="minorHAnsi"/>
                <w:sz w:val="24"/>
                <w:szCs w:val="22"/>
                <w:lang w:val="en-GB"/>
              </w:rPr>
              <w:t>rgan retrieval services in</w:t>
            </w:r>
            <w:r w:rsidR="0002606E">
              <w:rPr>
                <w:rFonts w:asciiTheme="minorHAnsi" w:hAnsiTheme="minorHAnsi" w:cstheme="minorHAnsi"/>
                <w:sz w:val="24"/>
                <w:szCs w:val="22"/>
                <w:lang w:val="en-GB"/>
              </w:rPr>
              <w:t xml:space="preserve"> a </w:t>
            </w:r>
            <w:r w:rsidR="00695617">
              <w:rPr>
                <w:rFonts w:asciiTheme="minorHAnsi" w:hAnsiTheme="minorHAnsi" w:cstheme="minorHAnsi"/>
                <w:sz w:val="24"/>
                <w:szCs w:val="22"/>
                <w:lang w:val="en-GB"/>
              </w:rPr>
              <w:t xml:space="preserve">more </w:t>
            </w:r>
            <w:r w:rsidR="0002606E">
              <w:rPr>
                <w:rFonts w:asciiTheme="minorHAnsi" w:hAnsiTheme="minorHAnsi" w:cstheme="minorHAnsi"/>
                <w:sz w:val="24"/>
                <w:szCs w:val="22"/>
                <w:lang w:val="en-GB"/>
              </w:rPr>
              <w:t xml:space="preserve">coordinated </w:t>
            </w:r>
            <w:r w:rsidR="002B7EF7">
              <w:rPr>
                <w:rFonts w:asciiTheme="minorHAnsi" w:hAnsiTheme="minorHAnsi" w:cstheme="minorHAnsi"/>
                <w:sz w:val="24"/>
                <w:szCs w:val="22"/>
                <w:lang w:val="en-GB"/>
              </w:rPr>
              <w:t>manner</w:t>
            </w:r>
            <w:r>
              <w:rPr>
                <w:rFonts w:asciiTheme="minorHAnsi" w:hAnsiTheme="minorHAnsi" w:cstheme="minorHAnsi"/>
                <w:sz w:val="24"/>
                <w:szCs w:val="22"/>
                <w:lang w:val="en-GB"/>
              </w:rPr>
              <w:t>.</w:t>
            </w:r>
          </w:p>
        </w:tc>
      </w:tr>
    </w:tbl>
    <w:p w14:paraId="10A1DEA7" w14:textId="77777777" w:rsidR="006F4E24" w:rsidRPr="00E82962" w:rsidRDefault="006F4E24" w:rsidP="006F4E24">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669" w:name="_Ref527632022"/>
      <w:r w:rsidRPr="00E82962">
        <w:rPr>
          <w:rFonts w:asciiTheme="minorHAnsi" w:hAnsiTheme="minorHAnsi" w:cstheme="minorHAnsi"/>
          <w:b w:val="0"/>
          <w:color w:val="7F7F7F" w:themeColor="text1" w:themeTint="80"/>
          <w:sz w:val="30"/>
          <w:szCs w:val="30"/>
        </w:rPr>
        <w:t>The use of ex vivo perfusion technologies to support transportation and enhancement of donated organ quality</w:t>
      </w:r>
      <w:bookmarkEnd w:id="669"/>
      <w:r w:rsidRPr="00E82962">
        <w:rPr>
          <w:rFonts w:asciiTheme="minorHAnsi" w:hAnsiTheme="minorHAnsi" w:cstheme="minorHAnsi"/>
          <w:b w:val="0"/>
          <w:color w:val="7F7F7F" w:themeColor="text1" w:themeTint="80"/>
          <w:sz w:val="30"/>
          <w:szCs w:val="30"/>
        </w:rPr>
        <w:t xml:space="preserve"> </w:t>
      </w:r>
    </w:p>
    <w:p w14:paraId="2CE755CE" w14:textId="77777777" w:rsidR="006F4E24" w:rsidRPr="00266A77" w:rsidRDefault="006F4E24" w:rsidP="006F4E24">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Discussion of findings</w:t>
      </w:r>
    </w:p>
    <w:p w14:paraId="41D38EF6" w14:textId="59E3B1BB" w:rsidR="006F4E24" w:rsidRDefault="006F4E24" w:rsidP="006F4E24">
      <w:pPr>
        <w:spacing w:after="120"/>
        <w:rPr>
          <w:rFonts w:asciiTheme="minorHAnsi" w:hAnsiTheme="minorHAnsi" w:cstheme="minorHAnsi"/>
          <w:sz w:val="24"/>
          <w:szCs w:val="24"/>
        </w:rPr>
      </w:pPr>
      <w:r>
        <w:rPr>
          <w:rFonts w:asciiTheme="minorHAnsi" w:hAnsiTheme="minorHAnsi" w:cstheme="minorHAnsi"/>
          <w:sz w:val="24"/>
          <w:szCs w:val="24"/>
        </w:rPr>
        <w:t xml:space="preserve">As discussed in </w:t>
      </w:r>
      <w:r w:rsidRPr="00E82962">
        <w:rPr>
          <w:rFonts w:asciiTheme="minorHAnsi" w:hAnsiTheme="minorHAnsi" w:cstheme="minorHAnsi"/>
          <w:sz w:val="24"/>
          <w:szCs w:val="24"/>
        </w:rPr>
        <w:t>Section</w:t>
      </w:r>
      <w:r w:rsidR="00046411">
        <w:rPr>
          <w:rFonts w:asciiTheme="minorHAnsi" w:hAnsiTheme="minorHAnsi" w:cstheme="minorHAnsi"/>
          <w:sz w:val="24"/>
          <w:szCs w:val="24"/>
        </w:rPr>
        <w:t xml:space="preserve"> </w:t>
      </w:r>
      <w:r w:rsidR="00D7024E">
        <w:rPr>
          <w:rFonts w:asciiTheme="minorHAnsi" w:hAnsiTheme="minorHAnsi" w:cstheme="minorHAnsi"/>
          <w:sz w:val="24"/>
          <w:szCs w:val="24"/>
        </w:rPr>
        <w:fldChar w:fldCharType="begin"/>
      </w:r>
      <w:r w:rsidR="00D7024E">
        <w:rPr>
          <w:rFonts w:asciiTheme="minorHAnsi" w:hAnsiTheme="minorHAnsi" w:cstheme="minorHAnsi"/>
          <w:sz w:val="24"/>
          <w:szCs w:val="24"/>
        </w:rPr>
        <w:instrText xml:space="preserve"> REF _Ref531798474 \r \h </w:instrText>
      </w:r>
      <w:r w:rsidR="00D7024E">
        <w:rPr>
          <w:rFonts w:asciiTheme="minorHAnsi" w:hAnsiTheme="minorHAnsi" w:cstheme="minorHAnsi"/>
          <w:sz w:val="24"/>
          <w:szCs w:val="24"/>
        </w:rPr>
      </w:r>
      <w:r w:rsidR="00D7024E">
        <w:rPr>
          <w:rFonts w:asciiTheme="minorHAnsi" w:hAnsiTheme="minorHAnsi" w:cstheme="minorHAnsi"/>
          <w:sz w:val="24"/>
          <w:szCs w:val="24"/>
        </w:rPr>
        <w:fldChar w:fldCharType="separate"/>
      </w:r>
      <w:r w:rsidR="00A04048">
        <w:rPr>
          <w:rFonts w:asciiTheme="minorHAnsi" w:hAnsiTheme="minorHAnsi" w:cstheme="minorHAnsi"/>
          <w:sz w:val="24"/>
          <w:szCs w:val="24"/>
        </w:rPr>
        <w:t>4.8.4</w:t>
      </w:r>
      <w:r w:rsidR="00D7024E">
        <w:rPr>
          <w:rFonts w:asciiTheme="minorHAnsi" w:hAnsiTheme="minorHAnsi" w:cstheme="minorHAnsi"/>
          <w:sz w:val="24"/>
          <w:szCs w:val="24"/>
        </w:rPr>
        <w:fldChar w:fldCharType="end"/>
      </w:r>
      <w:r>
        <w:rPr>
          <w:rFonts w:asciiTheme="minorHAnsi" w:hAnsiTheme="minorHAnsi" w:cstheme="minorHAnsi"/>
          <w:sz w:val="24"/>
          <w:szCs w:val="24"/>
        </w:rPr>
        <w:t>,</w:t>
      </w:r>
      <w:r w:rsidR="00EE7180">
        <w:rPr>
          <w:rFonts w:asciiTheme="minorHAnsi" w:hAnsiTheme="minorHAnsi" w:cstheme="minorHAnsi"/>
          <w:sz w:val="24"/>
          <w:szCs w:val="24"/>
        </w:rPr>
        <w:t xml:space="preserve"> </w:t>
      </w:r>
      <w:r>
        <w:rPr>
          <w:rFonts w:asciiTheme="minorHAnsi" w:hAnsiTheme="minorHAnsi" w:cstheme="minorHAnsi"/>
          <w:sz w:val="24"/>
          <w:szCs w:val="24"/>
        </w:rPr>
        <w:t xml:space="preserve">ex vivo perfusion technology is an emerging technology currently only used in a small number of </w:t>
      </w:r>
      <w:r w:rsidR="00F46C80">
        <w:rPr>
          <w:rFonts w:asciiTheme="minorHAnsi" w:hAnsiTheme="minorHAnsi" w:cstheme="minorHAnsi"/>
          <w:sz w:val="24"/>
          <w:szCs w:val="24"/>
        </w:rPr>
        <w:t>transplantation unit</w:t>
      </w:r>
      <w:r>
        <w:rPr>
          <w:rFonts w:asciiTheme="minorHAnsi" w:hAnsiTheme="minorHAnsi" w:cstheme="minorHAnsi"/>
          <w:sz w:val="24"/>
          <w:szCs w:val="24"/>
        </w:rPr>
        <w:t>s across Australia. The</w:t>
      </w:r>
      <w:r w:rsidRPr="002A4039">
        <w:rPr>
          <w:rFonts w:asciiTheme="minorHAnsi" w:hAnsiTheme="minorHAnsi" w:cstheme="minorHAnsi"/>
          <w:sz w:val="24"/>
          <w:szCs w:val="24"/>
        </w:rPr>
        <w:t xml:space="preserve"> technology is</w:t>
      </w:r>
      <w:r w:rsidR="00EE7180">
        <w:rPr>
          <w:rFonts w:asciiTheme="minorHAnsi" w:hAnsiTheme="minorHAnsi" w:cstheme="minorHAnsi"/>
          <w:sz w:val="24"/>
          <w:szCs w:val="24"/>
        </w:rPr>
        <w:t xml:space="preserve"> currently funded by the states </w:t>
      </w:r>
      <w:r w:rsidR="00F77399">
        <w:rPr>
          <w:rFonts w:asciiTheme="minorHAnsi" w:hAnsiTheme="minorHAnsi" w:cstheme="minorHAnsi"/>
          <w:sz w:val="24"/>
          <w:szCs w:val="24"/>
        </w:rPr>
        <w:t xml:space="preserve">and territories </w:t>
      </w:r>
      <w:r w:rsidR="00EE7180">
        <w:rPr>
          <w:rFonts w:asciiTheme="minorHAnsi" w:hAnsiTheme="minorHAnsi" w:cstheme="minorHAnsi"/>
          <w:sz w:val="24"/>
          <w:szCs w:val="24"/>
        </w:rPr>
        <w:t xml:space="preserve">and various philanthropic sources and </w:t>
      </w:r>
      <w:r w:rsidR="00C43263">
        <w:rPr>
          <w:rFonts w:asciiTheme="minorHAnsi" w:hAnsiTheme="minorHAnsi" w:cstheme="minorHAnsi"/>
          <w:sz w:val="24"/>
          <w:szCs w:val="24"/>
        </w:rPr>
        <w:t>are</w:t>
      </w:r>
      <w:r w:rsidR="00C43263" w:rsidRPr="002A4039">
        <w:rPr>
          <w:rFonts w:asciiTheme="minorHAnsi" w:hAnsiTheme="minorHAnsi" w:cstheme="minorHAnsi"/>
          <w:sz w:val="24"/>
          <w:szCs w:val="24"/>
        </w:rPr>
        <w:t xml:space="preserve"> well</w:t>
      </w:r>
      <w:r w:rsidRPr="002A4039">
        <w:rPr>
          <w:rFonts w:asciiTheme="minorHAnsi" w:hAnsiTheme="minorHAnsi" w:cstheme="minorHAnsi"/>
          <w:sz w:val="24"/>
          <w:szCs w:val="24"/>
        </w:rPr>
        <w:t xml:space="preserve"> established in</w:t>
      </w:r>
      <w:r>
        <w:rPr>
          <w:rFonts w:asciiTheme="minorHAnsi" w:hAnsiTheme="minorHAnsi" w:cstheme="minorHAnsi"/>
          <w:sz w:val="24"/>
          <w:szCs w:val="24"/>
        </w:rPr>
        <w:t xml:space="preserve"> the</w:t>
      </w:r>
      <w:r w:rsidRPr="002A4039">
        <w:rPr>
          <w:rFonts w:asciiTheme="minorHAnsi" w:hAnsiTheme="minorHAnsi" w:cstheme="minorHAnsi"/>
          <w:sz w:val="24"/>
          <w:szCs w:val="24"/>
        </w:rPr>
        <w:t xml:space="preserve"> heart and lung transplantation</w:t>
      </w:r>
      <w:r>
        <w:rPr>
          <w:rFonts w:asciiTheme="minorHAnsi" w:hAnsiTheme="minorHAnsi" w:cstheme="minorHAnsi"/>
          <w:sz w:val="24"/>
          <w:szCs w:val="24"/>
        </w:rPr>
        <w:t xml:space="preserve"> units in which it is currently operating</w:t>
      </w:r>
      <w:r w:rsidR="00EE7180">
        <w:rPr>
          <w:rFonts w:asciiTheme="minorHAnsi" w:hAnsiTheme="minorHAnsi" w:cstheme="minorHAnsi"/>
          <w:sz w:val="24"/>
          <w:szCs w:val="24"/>
        </w:rPr>
        <w:t xml:space="preserve">. Its use </w:t>
      </w:r>
      <w:r>
        <w:rPr>
          <w:rFonts w:asciiTheme="minorHAnsi" w:hAnsiTheme="minorHAnsi" w:cstheme="minorHAnsi"/>
          <w:sz w:val="24"/>
          <w:szCs w:val="24"/>
        </w:rPr>
        <w:t xml:space="preserve">was reported to enable improved </w:t>
      </w:r>
      <w:r w:rsidR="00092158">
        <w:rPr>
          <w:rFonts w:asciiTheme="minorHAnsi" w:hAnsiTheme="minorHAnsi" w:cstheme="minorHAnsi"/>
          <w:sz w:val="24"/>
          <w:szCs w:val="24"/>
        </w:rPr>
        <w:t>transplantation outcomes</w:t>
      </w:r>
      <w:r>
        <w:rPr>
          <w:rFonts w:asciiTheme="minorHAnsi" w:hAnsiTheme="minorHAnsi" w:cstheme="minorHAnsi"/>
          <w:sz w:val="24"/>
          <w:szCs w:val="24"/>
        </w:rPr>
        <w:t xml:space="preserve"> on many occasions. However, the technology has not been introduced universally across all </w:t>
      </w:r>
      <w:r w:rsidR="00F46C80">
        <w:rPr>
          <w:rFonts w:asciiTheme="minorHAnsi" w:hAnsiTheme="minorHAnsi" w:cstheme="minorHAnsi"/>
          <w:sz w:val="24"/>
          <w:szCs w:val="24"/>
        </w:rPr>
        <w:t>transplantation unit</w:t>
      </w:r>
      <w:r>
        <w:rPr>
          <w:rFonts w:asciiTheme="minorHAnsi" w:hAnsiTheme="minorHAnsi" w:cstheme="minorHAnsi"/>
          <w:sz w:val="24"/>
          <w:szCs w:val="24"/>
        </w:rPr>
        <w:t xml:space="preserve">s or across all </w:t>
      </w:r>
      <w:r w:rsidR="00647282">
        <w:rPr>
          <w:rFonts w:asciiTheme="minorHAnsi" w:hAnsiTheme="minorHAnsi" w:cstheme="minorHAnsi"/>
          <w:sz w:val="24"/>
          <w:szCs w:val="24"/>
        </w:rPr>
        <w:t>transplantation programs</w:t>
      </w:r>
      <w:r>
        <w:rPr>
          <w:rFonts w:asciiTheme="minorHAnsi" w:hAnsiTheme="minorHAnsi" w:cstheme="minorHAnsi"/>
          <w:sz w:val="24"/>
          <w:szCs w:val="24"/>
        </w:rPr>
        <w:t>. Although there is international evidence to indicate that the technology may improve outcomes for liver and kidney transplantations, Australia has not trialled the technology in this capacity to date.</w:t>
      </w:r>
      <w:r w:rsidR="00787AB8">
        <w:rPr>
          <w:rFonts w:asciiTheme="minorHAnsi" w:hAnsiTheme="minorHAnsi" w:cstheme="minorHAnsi"/>
          <w:sz w:val="24"/>
          <w:szCs w:val="24"/>
        </w:rPr>
        <w:t xml:space="preserve"> </w:t>
      </w:r>
    </w:p>
    <w:p w14:paraId="6C204603" w14:textId="0F263F0F" w:rsidR="006F4E24" w:rsidRDefault="006F4E24" w:rsidP="006F4E24">
      <w:pPr>
        <w:spacing w:after="120"/>
        <w:rPr>
          <w:rFonts w:asciiTheme="minorHAnsi" w:hAnsiTheme="minorHAnsi" w:cstheme="minorHAnsi"/>
          <w:sz w:val="24"/>
          <w:szCs w:val="24"/>
        </w:rPr>
      </w:pPr>
      <w:r>
        <w:rPr>
          <w:rFonts w:asciiTheme="minorHAnsi" w:hAnsiTheme="minorHAnsi" w:cstheme="minorHAnsi"/>
          <w:sz w:val="24"/>
          <w:szCs w:val="24"/>
        </w:rPr>
        <w:t>The Review found that the barriers to the introduction of the technology across transplantation units included funding and training of clinicians and support staff to successfully use the equipment. As stated in S</w:t>
      </w:r>
      <w:r w:rsidR="00046411">
        <w:rPr>
          <w:rFonts w:asciiTheme="minorHAnsi" w:hAnsiTheme="minorHAnsi" w:cstheme="minorHAnsi"/>
          <w:sz w:val="24"/>
          <w:szCs w:val="24"/>
        </w:rPr>
        <w:t xml:space="preserve">ection </w:t>
      </w:r>
      <w:r w:rsidR="00D7024E">
        <w:rPr>
          <w:rFonts w:asciiTheme="minorHAnsi" w:hAnsiTheme="minorHAnsi" w:cstheme="minorHAnsi"/>
          <w:sz w:val="24"/>
          <w:szCs w:val="24"/>
        </w:rPr>
        <w:fldChar w:fldCharType="begin"/>
      </w:r>
      <w:r w:rsidR="00D7024E">
        <w:rPr>
          <w:rFonts w:asciiTheme="minorHAnsi" w:hAnsiTheme="minorHAnsi" w:cstheme="minorHAnsi"/>
          <w:sz w:val="24"/>
          <w:szCs w:val="24"/>
        </w:rPr>
        <w:instrText xml:space="preserve"> REF _Ref531798474 \r \h </w:instrText>
      </w:r>
      <w:r w:rsidR="00D7024E">
        <w:rPr>
          <w:rFonts w:asciiTheme="minorHAnsi" w:hAnsiTheme="minorHAnsi" w:cstheme="minorHAnsi"/>
          <w:sz w:val="24"/>
          <w:szCs w:val="24"/>
        </w:rPr>
      </w:r>
      <w:r w:rsidR="00D7024E">
        <w:rPr>
          <w:rFonts w:asciiTheme="minorHAnsi" w:hAnsiTheme="minorHAnsi" w:cstheme="minorHAnsi"/>
          <w:sz w:val="24"/>
          <w:szCs w:val="24"/>
        </w:rPr>
        <w:fldChar w:fldCharType="separate"/>
      </w:r>
      <w:r w:rsidR="00A04048">
        <w:rPr>
          <w:rFonts w:asciiTheme="minorHAnsi" w:hAnsiTheme="minorHAnsi" w:cstheme="minorHAnsi"/>
          <w:sz w:val="24"/>
          <w:szCs w:val="24"/>
        </w:rPr>
        <w:t>4.8.4</w:t>
      </w:r>
      <w:r w:rsidR="00D7024E">
        <w:rPr>
          <w:rFonts w:asciiTheme="minorHAnsi" w:hAnsiTheme="minorHAnsi" w:cstheme="minorHAnsi"/>
          <w:sz w:val="24"/>
          <w:szCs w:val="24"/>
        </w:rPr>
        <w:fldChar w:fldCharType="end"/>
      </w:r>
      <w:r>
        <w:rPr>
          <w:rFonts w:asciiTheme="minorHAnsi" w:hAnsiTheme="minorHAnsi" w:cstheme="minorHAnsi"/>
          <w:sz w:val="24"/>
          <w:szCs w:val="24"/>
        </w:rPr>
        <w:t>, the cost of perfusion machinery is considerable and its use is expensive, requiring approximately $30,000</w:t>
      </w:r>
      <w:r w:rsidR="00364D3E">
        <w:rPr>
          <w:rFonts w:asciiTheme="minorHAnsi" w:hAnsiTheme="minorHAnsi" w:cstheme="minorHAnsi"/>
          <w:sz w:val="24"/>
          <w:szCs w:val="24"/>
        </w:rPr>
        <w:t xml:space="preserve"> AUD</w:t>
      </w:r>
      <w:r>
        <w:rPr>
          <w:rFonts w:asciiTheme="minorHAnsi" w:hAnsiTheme="minorHAnsi" w:cstheme="minorHAnsi"/>
          <w:sz w:val="24"/>
          <w:szCs w:val="24"/>
        </w:rPr>
        <w:t xml:space="preserve"> or more worth of consumables per use as well as additional staff and sometimes additional operating theatres.</w:t>
      </w:r>
      <w:r w:rsidRPr="002A4039">
        <w:rPr>
          <w:rFonts w:asciiTheme="minorHAnsi" w:hAnsiTheme="minorHAnsi" w:cstheme="minorHAnsi"/>
          <w:sz w:val="24"/>
          <w:szCs w:val="24"/>
        </w:rPr>
        <w:t xml:space="preserve"> </w:t>
      </w:r>
      <w:r>
        <w:rPr>
          <w:rFonts w:asciiTheme="minorHAnsi" w:hAnsiTheme="minorHAnsi" w:cstheme="minorHAnsi"/>
          <w:sz w:val="24"/>
          <w:szCs w:val="24"/>
        </w:rPr>
        <w:t xml:space="preserve">The Review found that funding for the procurement of the ex vivo perfusion technology was not always easily accessible from health services or jurisdictions, with one of the units receiving funding through a donation from a recipient. </w:t>
      </w:r>
    </w:p>
    <w:p w14:paraId="2D2AC858" w14:textId="77777777" w:rsidR="006F4E24" w:rsidRDefault="006F4E24" w:rsidP="006F4E24">
      <w:pPr>
        <w:spacing w:after="120"/>
        <w:rPr>
          <w:rFonts w:asciiTheme="minorHAnsi" w:hAnsiTheme="minorHAnsi" w:cstheme="minorHAnsi"/>
          <w:sz w:val="24"/>
          <w:szCs w:val="24"/>
        </w:rPr>
      </w:pPr>
      <w:r>
        <w:rPr>
          <w:rFonts w:asciiTheme="minorHAnsi" w:hAnsiTheme="minorHAnsi" w:cstheme="minorHAnsi"/>
          <w:sz w:val="24"/>
          <w:szCs w:val="24"/>
        </w:rPr>
        <w:t>As the technology is relatively new to Australia, accessing appropriate training for clinical staff is often limited, as training options are currently only available overseas. This was reported as a barrier to the introduction of the technology in Australia.</w:t>
      </w:r>
      <w:r w:rsidRPr="009C6163">
        <w:rPr>
          <w:rFonts w:asciiTheme="minorHAnsi" w:hAnsiTheme="minorHAnsi" w:cstheme="minorHAnsi"/>
          <w:sz w:val="24"/>
          <w:szCs w:val="24"/>
        </w:rPr>
        <w:t xml:space="preserve"> </w:t>
      </w:r>
      <w:r>
        <w:rPr>
          <w:rFonts w:asciiTheme="minorHAnsi" w:hAnsiTheme="minorHAnsi" w:cstheme="minorHAnsi"/>
          <w:sz w:val="24"/>
          <w:szCs w:val="24"/>
        </w:rPr>
        <w:t>International literature indicates that the cost effectiveness of the new technology is still being investigated and that this may be another factor of the delayed adoption and investment by health services and state and territory health departments.</w:t>
      </w:r>
      <w:r w:rsidRPr="00E82962">
        <w:rPr>
          <w:rStyle w:val="FootnoteReference"/>
          <w:rFonts w:asciiTheme="minorHAnsi" w:hAnsiTheme="minorHAnsi" w:cstheme="minorHAnsi"/>
          <w:sz w:val="20"/>
        </w:rPr>
        <w:footnoteReference w:id="166"/>
      </w:r>
    </w:p>
    <w:p w14:paraId="7F1FBA52" w14:textId="77777777" w:rsidR="006F4E24" w:rsidRPr="00266A77" w:rsidRDefault="006F4E24" w:rsidP="006F4E24">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 xml:space="preserve">Summary of key findings </w:t>
      </w:r>
    </w:p>
    <w:p w14:paraId="7F3BE474" w14:textId="77777777" w:rsidR="006F4E24" w:rsidRPr="002A4039" w:rsidRDefault="006F4E24" w:rsidP="006F4E24">
      <w:pPr>
        <w:pStyle w:val="ListParagraph"/>
        <w:numPr>
          <w:ilvl w:val="0"/>
          <w:numId w:val="23"/>
        </w:numPr>
        <w:spacing w:after="120"/>
        <w:rPr>
          <w:rFonts w:asciiTheme="minorHAnsi" w:hAnsiTheme="minorHAnsi" w:cstheme="minorHAnsi"/>
          <w:sz w:val="24"/>
          <w:szCs w:val="24"/>
          <w:lang w:val="en-GB"/>
        </w:rPr>
      </w:pPr>
      <w:r w:rsidRPr="002A4039">
        <w:rPr>
          <w:rFonts w:asciiTheme="minorHAnsi" w:hAnsiTheme="minorHAnsi" w:cstheme="minorHAnsi"/>
          <w:sz w:val="24"/>
          <w:szCs w:val="24"/>
          <w:lang w:val="en-GB"/>
        </w:rPr>
        <w:t>Ex vivo</w:t>
      </w:r>
      <w:r>
        <w:rPr>
          <w:rFonts w:asciiTheme="minorHAnsi" w:hAnsiTheme="minorHAnsi" w:cstheme="minorHAnsi"/>
          <w:sz w:val="24"/>
          <w:szCs w:val="24"/>
          <w:lang w:val="en-GB"/>
        </w:rPr>
        <w:t xml:space="preserve"> perfusion </w:t>
      </w:r>
      <w:r w:rsidRPr="002A4039">
        <w:rPr>
          <w:rFonts w:asciiTheme="minorHAnsi" w:hAnsiTheme="minorHAnsi" w:cstheme="minorHAnsi"/>
          <w:sz w:val="24"/>
          <w:szCs w:val="24"/>
          <w:lang w:val="en-GB"/>
        </w:rPr>
        <w:t>technology use is already well established in heart and lung transplantation and evidence is emerging in its role in liver and kidney transplantation</w:t>
      </w:r>
      <w:r>
        <w:rPr>
          <w:rFonts w:asciiTheme="minorHAnsi" w:hAnsiTheme="minorHAnsi" w:cstheme="minorHAnsi"/>
          <w:sz w:val="24"/>
          <w:szCs w:val="24"/>
          <w:lang w:val="en-GB"/>
        </w:rPr>
        <w:t>.</w:t>
      </w:r>
    </w:p>
    <w:p w14:paraId="37B84255" w14:textId="77777777" w:rsidR="006F4E24" w:rsidRPr="00266A77" w:rsidRDefault="006F4E24" w:rsidP="006F4E24">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forty one states that all Australian governments consider developing a national plan to optimise the use of perfusion technologies and ensure that best practice technology is available to transplantation units. "/>
      </w:tblPr>
      <w:tblGrid>
        <w:gridCol w:w="2268"/>
        <w:gridCol w:w="7479"/>
      </w:tblGrid>
      <w:tr w:rsidR="007135E8" w:rsidRPr="00B60A37" w14:paraId="75861290" w14:textId="77777777" w:rsidTr="00B65E19">
        <w:trPr>
          <w:tblHeader/>
        </w:trPr>
        <w:tc>
          <w:tcPr>
            <w:tcW w:w="2268" w:type="dxa"/>
            <w:shd w:val="clear" w:color="auto" w:fill="595959" w:themeFill="text1" w:themeFillTint="A6"/>
          </w:tcPr>
          <w:p w14:paraId="03CC1994" w14:textId="5C4F2CD1" w:rsidR="007135E8" w:rsidRPr="00AE3ED1" w:rsidRDefault="007135E8" w:rsidP="006449E1">
            <w:pPr>
              <w:spacing w:after="120"/>
              <w:ind w:right="-321"/>
              <w:rPr>
                <w:rFonts w:asciiTheme="minorHAnsi" w:hAnsiTheme="minorHAnsi" w:cstheme="minorHAnsi"/>
                <w:b/>
                <w:color w:val="FFFFFF" w:themeColor="background1"/>
                <w:sz w:val="24"/>
                <w:szCs w:val="24"/>
                <w:lang w:val="en-GB"/>
              </w:rPr>
            </w:pPr>
            <w:r w:rsidRPr="00AE3ED1">
              <w:rPr>
                <w:rFonts w:asciiTheme="minorHAnsi" w:hAnsiTheme="minorHAnsi" w:cstheme="minorHAnsi"/>
                <w:b/>
                <w:color w:val="FFFFFF" w:themeColor="background1"/>
                <w:sz w:val="24"/>
                <w:szCs w:val="24"/>
                <w:lang w:val="en-GB"/>
              </w:rPr>
              <w:t>Recommendation</w:t>
            </w:r>
          </w:p>
        </w:tc>
        <w:tc>
          <w:tcPr>
            <w:tcW w:w="7479" w:type="dxa"/>
            <w:shd w:val="clear" w:color="auto" w:fill="595959" w:themeFill="text1" w:themeFillTint="A6"/>
          </w:tcPr>
          <w:p w14:paraId="47FDFAA9" w14:textId="695854C6" w:rsidR="007135E8" w:rsidRPr="00AE3ED1" w:rsidRDefault="007135E8" w:rsidP="006449E1">
            <w:pPr>
              <w:spacing w:after="120"/>
              <w:ind w:right="-142"/>
              <w:rPr>
                <w:rFonts w:asciiTheme="minorHAnsi" w:hAnsiTheme="minorHAnsi" w:cstheme="minorHAnsi"/>
                <w:b/>
                <w:color w:val="FFFFFF" w:themeColor="background1"/>
                <w:sz w:val="24"/>
                <w:szCs w:val="24"/>
                <w:lang w:val="en-GB"/>
              </w:rPr>
            </w:pPr>
            <w:r w:rsidRPr="00AE3ED1">
              <w:rPr>
                <w:rFonts w:asciiTheme="minorHAnsi" w:hAnsiTheme="minorHAnsi" w:cstheme="minorHAnsi"/>
                <w:b/>
                <w:color w:val="FFFFFF" w:themeColor="background1"/>
                <w:sz w:val="24"/>
                <w:szCs w:val="24"/>
                <w:lang w:val="en-GB"/>
              </w:rPr>
              <w:t>Description</w:t>
            </w:r>
          </w:p>
        </w:tc>
      </w:tr>
      <w:tr w:rsidR="006F4E24" w:rsidRPr="00B60A37" w14:paraId="0A35CBAF" w14:textId="77777777" w:rsidTr="00AE3ED1">
        <w:tc>
          <w:tcPr>
            <w:tcW w:w="2268" w:type="dxa"/>
          </w:tcPr>
          <w:p w14:paraId="32D58B06" w14:textId="77777777" w:rsidR="006F4E24" w:rsidRPr="002A4039" w:rsidRDefault="006F4E24" w:rsidP="00AE3ED1">
            <w:pPr>
              <w:spacing w:after="120"/>
              <w:ind w:right="-321"/>
              <w:rPr>
                <w:rFonts w:asciiTheme="minorHAnsi" w:hAnsiTheme="minorHAnsi" w:cstheme="minorHAnsi"/>
                <w:b/>
                <w:sz w:val="24"/>
                <w:szCs w:val="24"/>
                <w:lang w:val="en-GB"/>
              </w:rPr>
            </w:pPr>
            <w:r w:rsidRPr="002A4039">
              <w:rPr>
                <w:rFonts w:asciiTheme="minorHAnsi" w:hAnsiTheme="minorHAnsi" w:cstheme="minorHAnsi"/>
                <w:b/>
                <w:sz w:val="24"/>
                <w:szCs w:val="24"/>
                <w:lang w:val="en-GB"/>
              </w:rPr>
              <w:t xml:space="preserve">Recommendation </w:t>
            </w:r>
            <w:r w:rsidR="00522D0C">
              <w:rPr>
                <w:rFonts w:asciiTheme="minorHAnsi" w:hAnsiTheme="minorHAnsi" w:cstheme="minorHAnsi"/>
                <w:b/>
                <w:sz w:val="24"/>
                <w:szCs w:val="24"/>
                <w:lang w:val="en-GB"/>
              </w:rPr>
              <w:t>4</w:t>
            </w:r>
            <w:r w:rsidR="005027F5">
              <w:rPr>
                <w:rFonts w:asciiTheme="minorHAnsi" w:hAnsiTheme="minorHAnsi" w:cstheme="minorHAnsi"/>
                <w:b/>
                <w:sz w:val="24"/>
                <w:szCs w:val="24"/>
                <w:lang w:val="en-GB"/>
              </w:rPr>
              <w:t>1</w:t>
            </w:r>
          </w:p>
        </w:tc>
        <w:tc>
          <w:tcPr>
            <w:tcW w:w="7479" w:type="dxa"/>
          </w:tcPr>
          <w:p w14:paraId="3CD6743B" w14:textId="070BF65A" w:rsidR="005A164B" w:rsidRPr="002A4039" w:rsidRDefault="006F4E24" w:rsidP="00AE3ED1">
            <w:pPr>
              <w:spacing w:after="120"/>
              <w:ind w:right="-142"/>
              <w:rPr>
                <w:rFonts w:asciiTheme="minorHAnsi" w:hAnsiTheme="minorHAnsi" w:cstheme="minorHAnsi"/>
                <w:sz w:val="24"/>
                <w:szCs w:val="24"/>
                <w:lang w:val="en-GB"/>
              </w:rPr>
            </w:pPr>
            <w:r>
              <w:rPr>
                <w:rFonts w:asciiTheme="minorHAnsi" w:hAnsiTheme="minorHAnsi" w:cstheme="minorHAnsi"/>
                <w:sz w:val="24"/>
                <w:szCs w:val="24"/>
                <w:lang w:val="en-GB"/>
              </w:rPr>
              <w:t>A</w:t>
            </w:r>
            <w:r w:rsidR="00771B54">
              <w:rPr>
                <w:rFonts w:asciiTheme="minorHAnsi" w:hAnsiTheme="minorHAnsi" w:cstheme="minorHAnsi"/>
                <w:sz w:val="24"/>
                <w:szCs w:val="24"/>
                <w:lang w:val="en-GB"/>
              </w:rPr>
              <w:t>ll Australian governments consider developing a</w:t>
            </w:r>
            <w:r w:rsidRPr="002A4039">
              <w:rPr>
                <w:rFonts w:asciiTheme="minorHAnsi" w:hAnsiTheme="minorHAnsi" w:cstheme="minorHAnsi"/>
                <w:sz w:val="24"/>
                <w:szCs w:val="24"/>
                <w:lang w:val="en-GB"/>
              </w:rPr>
              <w:t xml:space="preserve"> national plan to </w:t>
            </w:r>
            <w:r>
              <w:rPr>
                <w:rFonts w:asciiTheme="minorHAnsi" w:hAnsiTheme="minorHAnsi" w:cstheme="minorHAnsi"/>
                <w:sz w:val="24"/>
                <w:szCs w:val="24"/>
                <w:lang w:val="en-GB"/>
              </w:rPr>
              <w:t xml:space="preserve">optimise the use of perfusion technologies and ensure that best practice technology is available to </w:t>
            </w:r>
            <w:r w:rsidR="00F46C80">
              <w:rPr>
                <w:rFonts w:asciiTheme="minorHAnsi" w:hAnsiTheme="minorHAnsi" w:cstheme="minorHAnsi"/>
                <w:sz w:val="24"/>
                <w:szCs w:val="24"/>
                <w:lang w:val="en-GB"/>
              </w:rPr>
              <w:t xml:space="preserve">transplantation </w:t>
            </w:r>
            <w:r w:rsidR="00F46C80" w:rsidRPr="00EE7180">
              <w:rPr>
                <w:rFonts w:asciiTheme="minorHAnsi" w:hAnsiTheme="minorHAnsi" w:cstheme="minorHAnsi"/>
                <w:sz w:val="24"/>
                <w:szCs w:val="24"/>
                <w:lang w:val="en-GB"/>
              </w:rPr>
              <w:t>unit</w:t>
            </w:r>
            <w:r w:rsidRPr="00EE7180">
              <w:rPr>
                <w:rFonts w:asciiTheme="minorHAnsi" w:hAnsiTheme="minorHAnsi" w:cstheme="minorHAnsi"/>
                <w:sz w:val="24"/>
                <w:szCs w:val="24"/>
                <w:lang w:val="en-GB"/>
              </w:rPr>
              <w:t>s</w:t>
            </w:r>
            <w:r w:rsidR="00EE7180" w:rsidRPr="00D7024E">
              <w:rPr>
                <w:rFonts w:asciiTheme="minorHAnsi" w:hAnsiTheme="minorHAnsi" w:cstheme="minorHAnsi"/>
                <w:sz w:val="24"/>
                <w:szCs w:val="24"/>
                <w:lang w:val="en-GB"/>
              </w:rPr>
              <w:t xml:space="preserve">. </w:t>
            </w:r>
          </w:p>
        </w:tc>
      </w:tr>
    </w:tbl>
    <w:p w14:paraId="4CD3C0A8" w14:textId="77777777" w:rsidR="006F4E24" w:rsidRPr="00F37D51" w:rsidRDefault="006F4E24" w:rsidP="006F4E24">
      <w:pPr>
        <w:pStyle w:val="Heading2"/>
        <w:tabs>
          <w:tab w:val="clear" w:pos="1559"/>
          <w:tab w:val="num" w:pos="993"/>
        </w:tabs>
        <w:spacing w:before="240"/>
        <w:ind w:left="992" w:hanging="992"/>
        <w:rPr>
          <w:rFonts w:asciiTheme="minorHAnsi" w:hAnsiTheme="minorHAnsi" w:cstheme="minorHAnsi"/>
          <w:iCs/>
          <w:color w:val="7F7F7F" w:themeColor="text1" w:themeTint="80"/>
          <w:sz w:val="40"/>
          <w:szCs w:val="30"/>
        </w:rPr>
      </w:pPr>
      <w:bookmarkStart w:id="670" w:name="_Toc526517761"/>
      <w:bookmarkStart w:id="671" w:name="_Ref527536312"/>
      <w:bookmarkStart w:id="672" w:name="_Ref531798718"/>
      <w:bookmarkStart w:id="673" w:name="_Toc532301699"/>
      <w:r>
        <w:rPr>
          <w:rFonts w:asciiTheme="minorHAnsi" w:hAnsiTheme="minorHAnsi" w:cstheme="minorHAnsi"/>
          <w:iCs/>
          <w:color w:val="7F7F7F" w:themeColor="text1" w:themeTint="80"/>
          <w:sz w:val="40"/>
          <w:szCs w:val="30"/>
        </w:rPr>
        <w:t>Element 7: T</w:t>
      </w:r>
      <w:r w:rsidRPr="00F37D51">
        <w:rPr>
          <w:rFonts w:asciiTheme="minorHAnsi" w:hAnsiTheme="minorHAnsi" w:cstheme="minorHAnsi"/>
          <w:iCs/>
          <w:color w:val="7F7F7F" w:themeColor="text1" w:themeTint="80"/>
          <w:sz w:val="40"/>
          <w:szCs w:val="30"/>
        </w:rPr>
        <w:t>ransplantation</w:t>
      </w:r>
      <w:bookmarkEnd w:id="670"/>
      <w:bookmarkEnd w:id="671"/>
      <w:bookmarkEnd w:id="672"/>
      <w:bookmarkEnd w:id="673"/>
    </w:p>
    <w:p w14:paraId="7292BCD4" w14:textId="77777777" w:rsidR="006F4E24" w:rsidRPr="00266A77" w:rsidRDefault="006F4E24" w:rsidP="006F4E24">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Discussion of findings</w:t>
      </w:r>
    </w:p>
    <w:p w14:paraId="0262FC04" w14:textId="77777777" w:rsidR="006F4E24" w:rsidRDefault="006F4E24" w:rsidP="006F4E24">
      <w:pPr>
        <w:spacing w:after="120"/>
        <w:rPr>
          <w:rFonts w:asciiTheme="minorHAnsi" w:hAnsiTheme="minorHAnsi" w:cstheme="minorHAnsi"/>
          <w:sz w:val="24"/>
          <w:szCs w:val="24"/>
        </w:rPr>
      </w:pPr>
      <w:r>
        <w:rPr>
          <w:rFonts w:asciiTheme="minorHAnsi" w:hAnsiTheme="minorHAnsi" w:cstheme="minorHAnsi"/>
          <w:sz w:val="24"/>
          <w:szCs w:val="24"/>
        </w:rPr>
        <w:t>The Review found that transplant procedures in Australia have some of the highest quality outcomes in the world. Since the implementation of the national reform program in 2009, the number of organ transplant recipients has increased by 75 per cent, from 799 recipients per annum in 2009 to 1,402 in 2017.</w:t>
      </w:r>
      <w:r w:rsidRPr="00E82962">
        <w:rPr>
          <w:rStyle w:val="FootnoteReference"/>
          <w:rFonts w:asciiTheme="minorHAnsi" w:hAnsiTheme="minorHAnsi" w:cstheme="minorHAnsi"/>
          <w:sz w:val="20"/>
        </w:rPr>
        <w:footnoteReference w:id="167"/>
      </w:r>
      <w:r>
        <w:rPr>
          <w:rFonts w:asciiTheme="minorHAnsi" w:hAnsiTheme="minorHAnsi" w:cstheme="minorHAnsi"/>
          <w:sz w:val="24"/>
          <w:szCs w:val="24"/>
        </w:rPr>
        <w:t xml:space="preserve"> This increased rate of transplantation can be explained by the overall growth in donation rates, as well as the advancement of clinical expertise and a skilled workforce. Around 91 per cent of all organs retrieved in 2017 resulted in transplantation.</w:t>
      </w:r>
      <w:r w:rsidRPr="00E82962">
        <w:rPr>
          <w:rStyle w:val="FootnoteReference"/>
          <w:rFonts w:asciiTheme="minorHAnsi" w:hAnsiTheme="minorHAnsi" w:cstheme="minorHAnsi"/>
          <w:sz w:val="20"/>
        </w:rPr>
        <w:footnoteReference w:id="168"/>
      </w:r>
      <w:r>
        <w:rPr>
          <w:rFonts w:asciiTheme="minorHAnsi" w:hAnsiTheme="minorHAnsi" w:cstheme="minorHAnsi"/>
          <w:sz w:val="24"/>
          <w:szCs w:val="24"/>
        </w:rPr>
        <w:t xml:space="preserve"> Hearts had the highest transplantation rates in 2017, with 94 per cent of retrievals resulting in transplantation. </w:t>
      </w:r>
    </w:p>
    <w:p w14:paraId="2A6AE79E" w14:textId="1CDEA803" w:rsidR="005837D8" w:rsidRDefault="006F4E24" w:rsidP="006F4E24">
      <w:pPr>
        <w:spacing w:after="120"/>
        <w:rPr>
          <w:rFonts w:asciiTheme="minorHAnsi" w:hAnsiTheme="minorHAnsi" w:cstheme="minorHAnsi"/>
          <w:sz w:val="24"/>
          <w:szCs w:val="24"/>
        </w:rPr>
      </w:pPr>
      <w:r>
        <w:rPr>
          <w:rFonts w:asciiTheme="minorHAnsi" w:hAnsiTheme="minorHAnsi" w:cstheme="minorHAnsi"/>
          <w:sz w:val="24"/>
          <w:szCs w:val="24"/>
        </w:rPr>
        <w:t>In addition, Australia currently has one of the highest rates for successful renal transplantation, with graft survival rates exceeding 90 per cent within the first year of transplantation.</w:t>
      </w:r>
      <w:r w:rsidRPr="00E82962">
        <w:rPr>
          <w:rStyle w:val="FootnoteReference"/>
          <w:rFonts w:asciiTheme="minorHAnsi" w:hAnsiTheme="minorHAnsi" w:cstheme="minorHAnsi"/>
          <w:sz w:val="20"/>
        </w:rPr>
        <w:footnoteReference w:id="169"/>
      </w:r>
      <w:r>
        <w:rPr>
          <w:rFonts w:asciiTheme="minorHAnsi" w:hAnsiTheme="minorHAnsi" w:cstheme="minorHAnsi"/>
          <w:sz w:val="24"/>
          <w:szCs w:val="24"/>
        </w:rPr>
        <w:t xml:space="preserve"> In 2016, the International Society for Heart and Lung Transplantation reported that the survival rate for lung transplantations at one year to be 82 per cent, and 69 per cent at three years and 59 per cent at five years. Australia is currently exceeding international standards with lung transplantation survival rates of 90 per cent at one year, 74 per cent at three years and 68 per cent at five years.</w:t>
      </w:r>
      <w:r w:rsidRPr="00E82962">
        <w:rPr>
          <w:rStyle w:val="FootnoteReference"/>
          <w:rFonts w:asciiTheme="minorHAnsi" w:hAnsiTheme="minorHAnsi" w:cstheme="minorHAnsi"/>
          <w:sz w:val="20"/>
        </w:rPr>
        <w:footnoteReference w:id="170"/>
      </w:r>
      <w:r>
        <w:rPr>
          <w:rFonts w:asciiTheme="minorHAnsi" w:hAnsiTheme="minorHAnsi" w:cstheme="minorHAnsi"/>
          <w:sz w:val="24"/>
          <w:szCs w:val="24"/>
        </w:rPr>
        <w:t xml:space="preserve"> Clinicians identified that these outcomes are </w:t>
      </w:r>
      <w:r w:rsidR="00545748">
        <w:rPr>
          <w:rFonts w:asciiTheme="minorHAnsi" w:hAnsiTheme="minorHAnsi" w:cstheme="minorHAnsi"/>
          <w:sz w:val="24"/>
          <w:szCs w:val="24"/>
        </w:rPr>
        <w:t>because of</w:t>
      </w:r>
      <w:r>
        <w:rPr>
          <w:rFonts w:asciiTheme="minorHAnsi" w:hAnsiTheme="minorHAnsi" w:cstheme="minorHAnsi"/>
          <w:sz w:val="24"/>
          <w:szCs w:val="24"/>
        </w:rPr>
        <w:t xml:space="preserve"> long-term management of patients, a highly skilled workforce, as well as effective public funding. </w:t>
      </w:r>
    </w:p>
    <w:p w14:paraId="62445AC9" w14:textId="24E02966" w:rsidR="005837D8" w:rsidRDefault="006F4E24" w:rsidP="006F4E24">
      <w:pPr>
        <w:spacing w:after="120"/>
        <w:rPr>
          <w:rFonts w:asciiTheme="minorHAnsi" w:hAnsiTheme="minorHAnsi" w:cstheme="minorHAnsi"/>
          <w:sz w:val="24"/>
          <w:szCs w:val="24"/>
        </w:rPr>
      </w:pPr>
      <w:r>
        <w:rPr>
          <w:rFonts w:asciiTheme="minorHAnsi" w:hAnsiTheme="minorHAnsi" w:cstheme="minorHAnsi"/>
          <w:sz w:val="24"/>
          <w:szCs w:val="24"/>
        </w:rPr>
        <w:t xml:space="preserve">The Review found that </w:t>
      </w:r>
      <w:r w:rsidR="00AE4A07">
        <w:rPr>
          <w:rFonts w:asciiTheme="minorHAnsi" w:hAnsiTheme="minorHAnsi" w:cstheme="minorHAnsi"/>
          <w:sz w:val="24"/>
          <w:szCs w:val="24"/>
        </w:rPr>
        <w:t xml:space="preserve">one of the </w:t>
      </w:r>
      <w:r>
        <w:rPr>
          <w:rFonts w:asciiTheme="minorHAnsi" w:hAnsiTheme="minorHAnsi" w:cstheme="minorHAnsi"/>
          <w:sz w:val="24"/>
          <w:szCs w:val="24"/>
        </w:rPr>
        <w:t>most prominent issue</w:t>
      </w:r>
      <w:r w:rsidR="00AE4A07">
        <w:rPr>
          <w:rFonts w:asciiTheme="minorHAnsi" w:hAnsiTheme="minorHAnsi" w:cstheme="minorHAnsi"/>
          <w:sz w:val="24"/>
          <w:szCs w:val="24"/>
        </w:rPr>
        <w:t>s</w:t>
      </w:r>
      <w:r>
        <w:rPr>
          <w:rFonts w:asciiTheme="minorHAnsi" w:hAnsiTheme="minorHAnsi" w:cstheme="minorHAnsi"/>
          <w:sz w:val="24"/>
          <w:szCs w:val="24"/>
        </w:rPr>
        <w:t xml:space="preserve"> related to transplant surgery </w:t>
      </w:r>
      <w:r w:rsidR="00AE4A07">
        <w:rPr>
          <w:rFonts w:asciiTheme="minorHAnsi" w:hAnsiTheme="minorHAnsi" w:cstheme="minorHAnsi"/>
          <w:sz w:val="24"/>
          <w:szCs w:val="24"/>
        </w:rPr>
        <w:t xml:space="preserve">was </w:t>
      </w:r>
      <w:r>
        <w:rPr>
          <w:rFonts w:asciiTheme="minorHAnsi" w:hAnsiTheme="minorHAnsi" w:cstheme="minorHAnsi"/>
          <w:sz w:val="24"/>
          <w:szCs w:val="24"/>
        </w:rPr>
        <w:t>resource coordination and management</w:t>
      </w:r>
      <w:r w:rsidR="001A218E">
        <w:rPr>
          <w:rFonts w:asciiTheme="minorHAnsi" w:hAnsiTheme="minorHAnsi" w:cstheme="minorHAnsi"/>
          <w:sz w:val="24"/>
          <w:szCs w:val="24"/>
        </w:rPr>
        <w:t>,</w:t>
      </w:r>
      <w:r w:rsidR="009D7594">
        <w:rPr>
          <w:rFonts w:asciiTheme="minorHAnsi" w:hAnsiTheme="minorHAnsi" w:cstheme="minorHAnsi"/>
          <w:sz w:val="24"/>
          <w:szCs w:val="24"/>
        </w:rPr>
        <w:t xml:space="preserve"> </w:t>
      </w:r>
      <w:r w:rsidR="00AE4A07">
        <w:rPr>
          <w:rFonts w:asciiTheme="minorHAnsi" w:hAnsiTheme="minorHAnsi" w:cstheme="minorHAnsi"/>
          <w:sz w:val="24"/>
          <w:szCs w:val="24"/>
        </w:rPr>
        <w:t>including</w:t>
      </w:r>
      <w:r w:rsidR="009D7594">
        <w:rPr>
          <w:rFonts w:asciiTheme="minorHAnsi" w:hAnsiTheme="minorHAnsi" w:cstheme="minorHAnsi"/>
          <w:sz w:val="24"/>
          <w:szCs w:val="24"/>
        </w:rPr>
        <w:t xml:space="preserve"> theatre scheduling and coordination of transplant teams</w:t>
      </w:r>
      <w:r>
        <w:rPr>
          <w:rFonts w:asciiTheme="minorHAnsi" w:hAnsiTheme="minorHAnsi" w:cstheme="minorHAnsi"/>
          <w:sz w:val="24"/>
          <w:szCs w:val="24"/>
        </w:rPr>
        <w:t xml:space="preserve">. The Review found that variability in resources across the country had the largest impact on </w:t>
      </w:r>
      <w:r w:rsidR="009D7594">
        <w:rPr>
          <w:rFonts w:asciiTheme="minorHAnsi" w:hAnsiTheme="minorHAnsi" w:cstheme="minorHAnsi"/>
          <w:sz w:val="24"/>
          <w:szCs w:val="24"/>
        </w:rPr>
        <w:t>the ability to effective</w:t>
      </w:r>
      <w:r w:rsidR="001A218E">
        <w:rPr>
          <w:rFonts w:asciiTheme="minorHAnsi" w:hAnsiTheme="minorHAnsi" w:cstheme="minorHAnsi"/>
          <w:sz w:val="24"/>
          <w:szCs w:val="24"/>
        </w:rPr>
        <w:t>ly</w:t>
      </w:r>
      <w:r w:rsidR="009D7594">
        <w:rPr>
          <w:rFonts w:asciiTheme="minorHAnsi" w:hAnsiTheme="minorHAnsi" w:cstheme="minorHAnsi"/>
          <w:sz w:val="24"/>
          <w:szCs w:val="24"/>
        </w:rPr>
        <w:t xml:space="preserve"> manage and coordinate </w:t>
      </w:r>
      <w:r w:rsidR="00AE4A07">
        <w:rPr>
          <w:rFonts w:asciiTheme="minorHAnsi" w:hAnsiTheme="minorHAnsi" w:cstheme="minorHAnsi"/>
          <w:sz w:val="24"/>
          <w:szCs w:val="24"/>
        </w:rPr>
        <w:t>transplantation services</w:t>
      </w:r>
      <w:r w:rsidR="007135E8">
        <w:rPr>
          <w:rFonts w:asciiTheme="minorHAnsi" w:hAnsiTheme="minorHAnsi" w:cstheme="minorHAnsi"/>
          <w:sz w:val="24"/>
          <w:szCs w:val="24"/>
        </w:rPr>
        <w:t xml:space="preserve">. </w:t>
      </w:r>
      <w:r w:rsidR="00AE4A07">
        <w:rPr>
          <w:rFonts w:asciiTheme="minorHAnsi" w:hAnsiTheme="minorHAnsi" w:cstheme="minorHAnsi"/>
          <w:sz w:val="24"/>
          <w:szCs w:val="24"/>
        </w:rPr>
        <w:t xml:space="preserve"> </w:t>
      </w:r>
      <w:r w:rsidR="007837F0">
        <w:rPr>
          <w:rFonts w:asciiTheme="minorHAnsi" w:hAnsiTheme="minorHAnsi" w:cstheme="minorHAnsi"/>
          <w:sz w:val="24"/>
          <w:szCs w:val="24"/>
        </w:rPr>
        <w:t xml:space="preserve">In particular, </w:t>
      </w:r>
      <w:r>
        <w:rPr>
          <w:rFonts w:asciiTheme="minorHAnsi" w:hAnsiTheme="minorHAnsi" w:cstheme="minorHAnsi"/>
          <w:sz w:val="24"/>
          <w:szCs w:val="24"/>
        </w:rPr>
        <w:t xml:space="preserve">the availability of transplantation surgeons and clinical staff to perform transplantations within time-capped periods (particularly for DCD donors), </w:t>
      </w:r>
      <w:r w:rsidR="001A218E">
        <w:rPr>
          <w:rFonts w:asciiTheme="minorHAnsi" w:hAnsiTheme="minorHAnsi" w:cstheme="minorHAnsi"/>
          <w:sz w:val="24"/>
          <w:szCs w:val="24"/>
        </w:rPr>
        <w:t xml:space="preserve">the </w:t>
      </w:r>
      <w:r>
        <w:rPr>
          <w:rFonts w:asciiTheme="minorHAnsi" w:hAnsiTheme="minorHAnsi" w:cstheme="minorHAnsi"/>
          <w:sz w:val="24"/>
          <w:szCs w:val="24"/>
        </w:rPr>
        <w:t>availability of theatres to perform transplantation procedures</w:t>
      </w:r>
      <w:r w:rsidR="001A218E">
        <w:rPr>
          <w:rFonts w:asciiTheme="minorHAnsi" w:hAnsiTheme="minorHAnsi" w:cstheme="minorHAnsi"/>
          <w:sz w:val="24"/>
          <w:szCs w:val="24"/>
        </w:rPr>
        <w:t>,</w:t>
      </w:r>
      <w:r>
        <w:rPr>
          <w:rFonts w:asciiTheme="minorHAnsi" w:hAnsiTheme="minorHAnsi" w:cstheme="minorHAnsi"/>
          <w:sz w:val="24"/>
          <w:szCs w:val="24"/>
        </w:rPr>
        <w:t xml:space="preserve"> and the availability of medical and supporting technology. The Review found that when there </w:t>
      </w:r>
      <w:r w:rsidR="00D73840">
        <w:rPr>
          <w:rFonts w:asciiTheme="minorHAnsi" w:hAnsiTheme="minorHAnsi" w:cstheme="minorHAnsi"/>
          <w:sz w:val="24"/>
          <w:szCs w:val="24"/>
        </w:rPr>
        <w:t>was</w:t>
      </w:r>
      <w:r>
        <w:rPr>
          <w:rFonts w:asciiTheme="minorHAnsi" w:hAnsiTheme="minorHAnsi" w:cstheme="minorHAnsi"/>
          <w:sz w:val="24"/>
          <w:szCs w:val="24"/>
        </w:rPr>
        <w:t xml:space="preserve"> variability in resources, there was a higher chance that the offer for transplantation would be declined and the offer would be passed on to another potential recipient. </w:t>
      </w:r>
      <w:r w:rsidR="009D7594">
        <w:rPr>
          <w:rFonts w:asciiTheme="minorHAnsi" w:hAnsiTheme="minorHAnsi" w:cstheme="minorHAnsi"/>
          <w:sz w:val="24"/>
          <w:szCs w:val="24"/>
        </w:rPr>
        <w:t xml:space="preserve">Transplantation procedures are inherently resource intensive and require careful coordination and </w:t>
      </w:r>
      <w:r w:rsidR="00E33662">
        <w:rPr>
          <w:rFonts w:asciiTheme="minorHAnsi" w:hAnsiTheme="minorHAnsi" w:cstheme="minorHAnsi"/>
          <w:sz w:val="24"/>
          <w:szCs w:val="24"/>
        </w:rPr>
        <w:t xml:space="preserve">sufficient </w:t>
      </w:r>
      <w:r w:rsidR="009D7594">
        <w:rPr>
          <w:rFonts w:asciiTheme="minorHAnsi" w:hAnsiTheme="minorHAnsi" w:cstheme="minorHAnsi"/>
          <w:sz w:val="24"/>
          <w:szCs w:val="24"/>
        </w:rPr>
        <w:t xml:space="preserve">time. The clinical advice throughout this Review was that transplantation is best performed during daylight hours. In order to effectively optimise transplantation procedure times, </w:t>
      </w:r>
      <w:r w:rsidR="00731917">
        <w:rPr>
          <w:rFonts w:asciiTheme="minorHAnsi" w:hAnsiTheme="minorHAnsi" w:cstheme="minorHAnsi"/>
          <w:sz w:val="24"/>
          <w:szCs w:val="24"/>
        </w:rPr>
        <w:t>significant</w:t>
      </w:r>
      <w:r w:rsidR="009D7594">
        <w:rPr>
          <w:rFonts w:asciiTheme="minorHAnsi" w:hAnsiTheme="minorHAnsi" w:cstheme="minorHAnsi"/>
          <w:sz w:val="24"/>
          <w:szCs w:val="24"/>
        </w:rPr>
        <w:t xml:space="preserve"> coordination is required.</w:t>
      </w:r>
      <w:r w:rsidR="006B105C">
        <w:rPr>
          <w:rFonts w:asciiTheme="minorHAnsi" w:hAnsiTheme="minorHAnsi" w:cstheme="minorHAnsi"/>
          <w:sz w:val="24"/>
          <w:szCs w:val="24"/>
        </w:rPr>
        <w:t xml:space="preserve"> Some </w:t>
      </w:r>
      <w:r w:rsidR="00E33662">
        <w:rPr>
          <w:rFonts w:asciiTheme="minorHAnsi" w:hAnsiTheme="minorHAnsi" w:cstheme="minorHAnsi"/>
          <w:sz w:val="24"/>
          <w:szCs w:val="24"/>
        </w:rPr>
        <w:t xml:space="preserve">key stakeholders </w:t>
      </w:r>
      <w:r w:rsidR="006B105C">
        <w:rPr>
          <w:rFonts w:asciiTheme="minorHAnsi" w:hAnsiTheme="minorHAnsi" w:cstheme="minorHAnsi"/>
          <w:sz w:val="24"/>
          <w:szCs w:val="24"/>
        </w:rPr>
        <w:t xml:space="preserve">have suggested that </w:t>
      </w:r>
      <w:r w:rsidR="001A218E">
        <w:rPr>
          <w:rFonts w:asciiTheme="minorHAnsi" w:hAnsiTheme="minorHAnsi" w:cstheme="minorHAnsi"/>
          <w:sz w:val="24"/>
          <w:szCs w:val="24"/>
        </w:rPr>
        <w:t>jurisdictions</w:t>
      </w:r>
      <w:r w:rsidR="006B105C">
        <w:rPr>
          <w:rFonts w:asciiTheme="minorHAnsi" w:hAnsiTheme="minorHAnsi" w:cstheme="minorHAnsi"/>
          <w:sz w:val="24"/>
          <w:szCs w:val="24"/>
        </w:rPr>
        <w:t xml:space="preserve"> should allocate greater resources to transplant coordination</w:t>
      </w:r>
      <w:r w:rsidR="00731917">
        <w:rPr>
          <w:rFonts w:asciiTheme="minorHAnsi" w:hAnsiTheme="minorHAnsi" w:cstheme="minorHAnsi"/>
          <w:sz w:val="24"/>
          <w:szCs w:val="24"/>
        </w:rPr>
        <w:t xml:space="preserve">. The Review acknowledges that </w:t>
      </w:r>
      <w:r w:rsidR="007837F0">
        <w:rPr>
          <w:rFonts w:asciiTheme="minorHAnsi" w:hAnsiTheme="minorHAnsi" w:cstheme="minorHAnsi"/>
          <w:sz w:val="24"/>
          <w:szCs w:val="24"/>
        </w:rPr>
        <w:t xml:space="preserve">whilst </w:t>
      </w:r>
      <w:r w:rsidR="00731917">
        <w:rPr>
          <w:rFonts w:asciiTheme="minorHAnsi" w:hAnsiTheme="minorHAnsi" w:cstheme="minorHAnsi"/>
          <w:sz w:val="24"/>
          <w:szCs w:val="24"/>
        </w:rPr>
        <w:t>this may be required</w:t>
      </w:r>
      <w:r w:rsidR="001A218E">
        <w:rPr>
          <w:rFonts w:asciiTheme="minorHAnsi" w:hAnsiTheme="minorHAnsi" w:cstheme="minorHAnsi"/>
          <w:sz w:val="24"/>
          <w:szCs w:val="24"/>
        </w:rPr>
        <w:t>;</w:t>
      </w:r>
      <w:r w:rsidR="00731917">
        <w:rPr>
          <w:rFonts w:asciiTheme="minorHAnsi" w:hAnsiTheme="minorHAnsi" w:cstheme="minorHAnsi"/>
          <w:sz w:val="24"/>
          <w:szCs w:val="24"/>
        </w:rPr>
        <w:t xml:space="preserve"> </w:t>
      </w:r>
      <w:r w:rsidR="007837F0">
        <w:rPr>
          <w:rFonts w:asciiTheme="minorHAnsi" w:hAnsiTheme="minorHAnsi" w:cstheme="minorHAnsi"/>
          <w:sz w:val="24"/>
          <w:szCs w:val="24"/>
        </w:rPr>
        <w:t>these issues demand</w:t>
      </w:r>
      <w:r w:rsidR="00E33662" w:rsidRPr="00E33662">
        <w:rPr>
          <w:rFonts w:asciiTheme="minorHAnsi" w:hAnsiTheme="minorHAnsi" w:cstheme="minorHAnsi"/>
          <w:sz w:val="24"/>
          <w:szCs w:val="24"/>
        </w:rPr>
        <w:t xml:space="preserve"> local solutions</w:t>
      </w:r>
      <w:r w:rsidR="007837F0">
        <w:rPr>
          <w:rFonts w:asciiTheme="minorHAnsi" w:hAnsiTheme="minorHAnsi" w:cstheme="minorHAnsi"/>
          <w:sz w:val="24"/>
          <w:szCs w:val="24"/>
        </w:rPr>
        <w:t>, and these solutions</w:t>
      </w:r>
      <w:r w:rsidR="004D2F6E">
        <w:rPr>
          <w:rFonts w:asciiTheme="minorHAnsi" w:hAnsiTheme="minorHAnsi" w:cstheme="minorHAnsi"/>
          <w:sz w:val="24"/>
          <w:szCs w:val="24"/>
        </w:rPr>
        <w:t xml:space="preserve"> </w:t>
      </w:r>
      <w:r w:rsidR="00E33662" w:rsidRPr="00E33662">
        <w:rPr>
          <w:rFonts w:asciiTheme="minorHAnsi" w:hAnsiTheme="minorHAnsi" w:cstheme="minorHAnsi"/>
          <w:sz w:val="24"/>
          <w:szCs w:val="24"/>
        </w:rPr>
        <w:t>are best developed by</w:t>
      </w:r>
      <w:r w:rsidR="007837F0">
        <w:rPr>
          <w:rFonts w:asciiTheme="minorHAnsi" w:hAnsiTheme="minorHAnsi" w:cstheme="minorHAnsi"/>
          <w:sz w:val="24"/>
          <w:szCs w:val="24"/>
        </w:rPr>
        <w:t xml:space="preserve"> each</w:t>
      </w:r>
      <w:r w:rsidR="00E33662" w:rsidRPr="00E33662">
        <w:rPr>
          <w:rFonts w:asciiTheme="minorHAnsi" w:hAnsiTheme="minorHAnsi" w:cstheme="minorHAnsi"/>
          <w:sz w:val="24"/>
          <w:szCs w:val="24"/>
        </w:rPr>
        <w:t xml:space="preserve"> state and territories and their hospital managers</w:t>
      </w:r>
      <w:r>
        <w:rPr>
          <w:rFonts w:asciiTheme="minorHAnsi" w:hAnsiTheme="minorHAnsi" w:cstheme="minorHAnsi"/>
          <w:sz w:val="24"/>
          <w:szCs w:val="24"/>
        </w:rPr>
        <w:t xml:space="preserve">. </w:t>
      </w:r>
    </w:p>
    <w:p w14:paraId="21C7484A" w14:textId="77777777" w:rsidR="006F4E24" w:rsidRPr="00F37D51" w:rsidRDefault="007837F0" w:rsidP="006F4E24">
      <w:pPr>
        <w:spacing w:after="120"/>
        <w:rPr>
          <w:rFonts w:asciiTheme="minorHAnsi" w:hAnsiTheme="minorHAnsi" w:cstheme="minorHAnsi"/>
          <w:sz w:val="24"/>
          <w:szCs w:val="24"/>
        </w:rPr>
      </w:pPr>
      <w:r>
        <w:rPr>
          <w:rFonts w:asciiTheme="minorHAnsi" w:hAnsiTheme="minorHAnsi" w:cstheme="minorHAnsi"/>
          <w:sz w:val="24"/>
          <w:szCs w:val="24"/>
        </w:rPr>
        <w:t xml:space="preserve">Nevertheless, the impact of resourcing on transplantation performance within each transplantation unit requires national monitoring and oversight to identify </w:t>
      </w:r>
      <w:r w:rsidR="00F77399">
        <w:rPr>
          <w:rFonts w:asciiTheme="minorHAnsi" w:hAnsiTheme="minorHAnsi" w:cstheme="minorHAnsi"/>
          <w:sz w:val="24"/>
          <w:szCs w:val="24"/>
        </w:rPr>
        <w:t>variability</w:t>
      </w:r>
      <w:r>
        <w:rPr>
          <w:rFonts w:asciiTheme="minorHAnsi" w:hAnsiTheme="minorHAnsi" w:cstheme="minorHAnsi"/>
          <w:sz w:val="24"/>
          <w:szCs w:val="24"/>
        </w:rPr>
        <w:t xml:space="preserve"> in performance across the country. </w:t>
      </w:r>
      <w:r w:rsidR="006F4E24">
        <w:rPr>
          <w:rFonts w:asciiTheme="minorHAnsi" w:hAnsiTheme="minorHAnsi" w:cstheme="minorHAnsi"/>
          <w:sz w:val="24"/>
          <w:szCs w:val="24"/>
        </w:rPr>
        <w:t xml:space="preserve">This information can then be used </w:t>
      </w:r>
      <w:r>
        <w:rPr>
          <w:rFonts w:asciiTheme="minorHAnsi" w:hAnsiTheme="minorHAnsi" w:cstheme="minorHAnsi"/>
          <w:sz w:val="24"/>
          <w:szCs w:val="24"/>
        </w:rPr>
        <w:t xml:space="preserve">to inform </w:t>
      </w:r>
      <w:r w:rsidR="006F4E24">
        <w:rPr>
          <w:rFonts w:asciiTheme="minorHAnsi" w:hAnsiTheme="minorHAnsi" w:cstheme="minorHAnsi"/>
          <w:sz w:val="24"/>
          <w:szCs w:val="24"/>
        </w:rPr>
        <w:t xml:space="preserve">strategies to overcome resourcing </w:t>
      </w:r>
      <w:r w:rsidR="00D73840">
        <w:rPr>
          <w:rFonts w:asciiTheme="minorHAnsi" w:hAnsiTheme="minorHAnsi" w:cstheme="minorHAnsi"/>
          <w:sz w:val="24"/>
          <w:szCs w:val="24"/>
        </w:rPr>
        <w:t>challenges</w:t>
      </w:r>
      <w:r w:rsidR="006F4E24">
        <w:rPr>
          <w:rFonts w:asciiTheme="minorHAnsi" w:hAnsiTheme="minorHAnsi" w:cstheme="minorHAnsi"/>
          <w:sz w:val="24"/>
          <w:szCs w:val="24"/>
        </w:rPr>
        <w:t xml:space="preserve"> and improve transplant</w:t>
      </w:r>
      <w:r w:rsidR="00E634FA">
        <w:rPr>
          <w:rFonts w:asciiTheme="minorHAnsi" w:hAnsiTheme="minorHAnsi" w:cstheme="minorHAnsi"/>
          <w:sz w:val="24"/>
          <w:szCs w:val="24"/>
        </w:rPr>
        <w:t>ation</w:t>
      </w:r>
      <w:r w:rsidR="006F4E24">
        <w:rPr>
          <w:rFonts w:asciiTheme="minorHAnsi" w:hAnsiTheme="minorHAnsi" w:cstheme="minorHAnsi"/>
          <w:sz w:val="24"/>
          <w:szCs w:val="24"/>
        </w:rPr>
        <w:t xml:space="preserve"> rates</w:t>
      </w:r>
      <w:r>
        <w:rPr>
          <w:rFonts w:asciiTheme="minorHAnsi" w:hAnsiTheme="minorHAnsi" w:cstheme="minorHAnsi"/>
          <w:sz w:val="24"/>
          <w:szCs w:val="24"/>
        </w:rPr>
        <w:t xml:space="preserve"> nationally.</w:t>
      </w:r>
    </w:p>
    <w:p w14:paraId="752D0BD5" w14:textId="77777777" w:rsidR="006F4E24" w:rsidRPr="00266A77" w:rsidRDefault="006F4E24" w:rsidP="006F4E24">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 xml:space="preserve">Summary of key findings </w:t>
      </w:r>
    </w:p>
    <w:p w14:paraId="5C2BD91F" w14:textId="77777777" w:rsidR="006F4E24" w:rsidRDefault="006F4E24" w:rsidP="006F4E24">
      <w:pPr>
        <w:pStyle w:val="ListParagraph"/>
        <w:numPr>
          <w:ilvl w:val="0"/>
          <w:numId w:val="23"/>
        </w:numPr>
        <w:spacing w:after="120"/>
        <w:rPr>
          <w:rFonts w:asciiTheme="minorHAnsi" w:hAnsiTheme="minorHAnsi" w:cstheme="minorHAnsi"/>
          <w:sz w:val="24"/>
          <w:szCs w:val="24"/>
          <w:lang w:val="en-GB"/>
        </w:rPr>
      </w:pPr>
      <w:r w:rsidRPr="002A4039">
        <w:rPr>
          <w:rFonts w:asciiTheme="minorHAnsi" w:hAnsiTheme="minorHAnsi" w:cstheme="minorHAnsi"/>
          <w:sz w:val="24"/>
          <w:szCs w:val="24"/>
          <w:lang w:val="en-GB"/>
        </w:rPr>
        <w:t xml:space="preserve">The </w:t>
      </w:r>
      <w:r>
        <w:rPr>
          <w:rFonts w:asciiTheme="minorHAnsi" w:hAnsiTheme="minorHAnsi" w:cstheme="minorHAnsi"/>
          <w:sz w:val="24"/>
          <w:szCs w:val="24"/>
          <w:lang w:val="en-GB"/>
        </w:rPr>
        <w:t>resource coordination and management of</w:t>
      </w:r>
      <w:r w:rsidRPr="002A4039">
        <w:rPr>
          <w:rFonts w:asciiTheme="minorHAnsi" w:hAnsiTheme="minorHAnsi" w:cstheme="minorHAnsi"/>
          <w:sz w:val="24"/>
          <w:szCs w:val="24"/>
          <w:lang w:val="en-GB"/>
        </w:rPr>
        <w:t xml:space="preserve"> transplant surgery remains a challenge at every centre</w:t>
      </w:r>
      <w:r>
        <w:rPr>
          <w:rFonts w:asciiTheme="minorHAnsi" w:hAnsiTheme="minorHAnsi" w:cstheme="minorHAnsi"/>
          <w:sz w:val="24"/>
          <w:szCs w:val="24"/>
          <w:lang w:val="en-GB"/>
        </w:rPr>
        <w:t>,</w:t>
      </w:r>
      <w:r w:rsidRPr="002A4039">
        <w:rPr>
          <w:rFonts w:asciiTheme="minorHAnsi" w:hAnsiTheme="minorHAnsi" w:cstheme="minorHAnsi"/>
          <w:sz w:val="24"/>
          <w:szCs w:val="24"/>
          <w:lang w:val="en-GB"/>
        </w:rPr>
        <w:t xml:space="preserve"> </w:t>
      </w:r>
      <w:r>
        <w:rPr>
          <w:rFonts w:asciiTheme="minorHAnsi" w:hAnsiTheme="minorHAnsi" w:cstheme="minorHAnsi"/>
          <w:sz w:val="24"/>
          <w:szCs w:val="24"/>
          <w:lang w:val="en-GB"/>
        </w:rPr>
        <w:t>however</w:t>
      </w:r>
      <w:r w:rsidRPr="002A4039">
        <w:rPr>
          <w:rFonts w:asciiTheme="minorHAnsi" w:hAnsiTheme="minorHAnsi" w:cstheme="minorHAnsi"/>
          <w:sz w:val="24"/>
          <w:szCs w:val="24"/>
          <w:lang w:val="en-GB"/>
        </w:rPr>
        <w:t xml:space="preserve"> solutions to this challenging problem inherently lie in local resolution</w:t>
      </w:r>
      <w:r>
        <w:rPr>
          <w:rFonts w:asciiTheme="minorHAnsi" w:hAnsiTheme="minorHAnsi" w:cstheme="minorHAnsi"/>
          <w:sz w:val="24"/>
          <w:szCs w:val="24"/>
          <w:lang w:val="en-GB"/>
        </w:rPr>
        <w:t>.</w:t>
      </w:r>
    </w:p>
    <w:p w14:paraId="19356616" w14:textId="77777777" w:rsidR="006F4E24" w:rsidRDefault="006F4E24" w:rsidP="006F4E24">
      <w:pPr>
        <w:pStyle w:val="ListParagraph"/>
        <w:numPr>
          <w:ilvl w:val="0"/>
          <w:numId w:val="23"/>
        </w:numPr>
        <w:spacing w:after="120"/>
        <w:rPr>
          <w:rFonts w:asciiTheme="minorHAnsi" w:hAnsiTheme="minorHAnsi" w:cstheme="minorHAnsi"/>
          <w:sz w:val="24"/>
          <w:szCs w:val="24"/>
          <w:lang w:val="en-GB"/>
        </w:rPr>
      </w:pPr>
      <w:r>
        <w:rPr>
          <w:rFonts w:asciiTheme="minorHAnsi" w:hAnsiTheme="minorHAnsi" w:cstheme="minorHAnsi"/>
          <w:sz w:val="24"/>
          <w:szCs w:val="24"/>
          <w:lang w:val="en-GB"/>
        </w:rPr>
        <w:t>National oversight is required to identify underperformance and resource inefficiencies to design strategies to improve overall performance in transplantation rates.</w:t>
      </w:r>
    </w:p>
    <w:p w14:paraId="309A1C15" w14:textId="77777777" w:rsidR="006F4E24" w:rsidRPr="00DC3BCA" w:rsidRDefault="006F4E24" w:rsidP="006F4E24">
      <w:pPr>
        <w:tabs>
          <w:tab w:val="num" w:pos="720"/>
        </w:tabs>
        <w:spacing w:after="120"/>
        <w:rPr>
          <w:rFonts w:asciiTheme="minorHAnsi" w:hAnsiTheme="minorHAnsi" w:cstheme="minorHAnsi"/>
          <w:i/>
          <w:color w:val="808080" w:themeColor="background1" w:themeShade="80"/>
          <w:sz w:val="26"/>
          <w:szCs w:val="26"/>
        </w:rPr>
      </w:pPr>
      <w:r w:rsidRPr="00DC3BCA">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forty two is that the OTA should provide a national oversight role to identify opportunities for practice improvement in relation to the operational management of transplantation procedures. "/>
      </w:tblPr>
      <w:tblGrid>
        <w:gridCol w:w="2268"/>
        <w:gridCol w:w="7479"/>
      </w:tblGrid>
      <w:tr w:rsidR="007135E8" w:rsidRPr="00B60A37" w14:paraId="3CD27172" w14:textId="77777777" w:rsidTr="00B65E19">
        <w:trPr>
          <w:tblHeader/>
        </w:trPr>
        <w:tc>
          <w:tcPr>
            <w:tcW w:w="2268" w:type="dxa"/>
            <w:shd w:val="clear" w:color="auto" w:fill="595959" w:themeFill="text1" w:themeFillTint="A6"/>
          </w:tcPr>
          <w:p w14:paraId="7D1A4F66" w14:textId="2740EC5D" w:rsidR="007135E8" w:rsidRPr="00AE3ED1" w:rsidRDefault="007135E8" w:rsidP="006449E1">
            <w:pPr>
              <w:spacing w:after="120"/>
              <w:ind w:right="-321"/>
              <w:rPr>
                <w:rFonts w:asciiTheme="minorHAnsi" w:hAnsiTheme="minorHAnsi" w:cstheme="minorHAnsi"/>
                <w:b/>
                <w:color w:val="FFFFFF" w:themeColor="background1"/>
                <w:sz w:val="24"/>
                <w:szCs w:val="24"/>
                <w:lang w:val="en-GB"/>
              </w:rPr>
            </w:pPr>
            <w:r w:rsidRPr="00AE3ED1">
              <w:rPr>
                <w:rFonts w:asciiTheme="minorHAnsi" w:hAnsiTheme="minorHAnsi" w:cstheme="minorHAnsi"/>
                <w:b/>
                <w:color w:val="FFFFFF" w:themeColor="background1"/>
                <w:sz w:val="24"/>
                <w:szCs w:val="24"/>
                <w:lang w:val="en-GB"/>
              </w:rPr>
              <w:t>Recommendation</w:t>
            </w:r>
          </w:p>
        </w:tc>
        <w:tc>
          <w:tcPr>
            <w:tcW w:w="7479" w:type="dxa"/>
            <w:shd w:val="clear" w:color="auto" w:fill="595959" w:themeFill="text1" w:themeFillTint="A6"/>
          </w:tcPr>
          <w:p w14:paraId="7564F330" w14:textId="5FAAFFD6" w:rsidR="007135E8" w:rsidRPr="00AE3ED1" w:rsidRDefault="007135E8" w:rsidP="006449E1">
            <w:pPr>
              <w:spacing w:after="120"/>
              <w:ind w:right="-142"/>
              <w:rPr>
                <w:rFonts w:asciiTheme="minorHAnsi" w:hAnsiTheme="minorHAnsi" w:cstheme="minorHAnsi"/>
                <w:b/>
                <w:color w:val="FFFFFF" w:themeColor="background1"/>
                <w:sz w:val="24"/>
                <w:szCs w:val="24"/>
                <w:lang w:val="en-GB"/>
              </w:rPr>
            </w:pPr>
            <w:r w:rsidRPr="00AE3ED1">
              <w:rPr>
                <w:rFonts w:asciiTheme="minorHAnsi" w:hAnsiTheme="minorHAnsi" w:cstheme="minorHAnsi"/>
                <w:b/>
                <w:color w:val="FFFFFF" w:themeColor="background1"/>
                <w:sz w:val="24"/>
                <w:szCs w:val="24"/>
                <w:lang w:val="en-GB"/>
              </w:rPr>
              <w:t>Description</w:t>
            </w:r>
          </w:p>
        </w:tc>
      </w:tr>
      <w:tr w:rsidR="006F4E24" w:rsidRPr="00B60A37" w14:paraId="4192E4E5" w14:textId="77777777" w:rsidTr="00AE3ED1">
        <w:tc>
          <w:tcPr>
            <w:tcW w:w="2268" w:type="dxa"/>
          </w:tcPr>
          <w:p w14:paraId="23340D0D" w14:textId="77777777" w:rsidR="006F4E24" w:rsidRPr="002A4039" w:rsidRDefault="006F4E24" w:rsidP="00AE3ED1">
            <w:pPr>
              <w:spacing w:after="120"/>
              <w:ind w:right="-321"/>
              <w:rPr>
                <w:rFonts w:asciiTheme="minorHAnsi" w:hAnsiTheme="minorHAnsi" w:cstheme="minorHAnsi"/>
                <w:b/>
                <w:sz w:val="24"/>
                <w:szCs w:val="24"/>
                <w:lang w:val="en-GB"/>
              </w:rPr>
            </w:pPr>
            <w:r w:rsidRPr="002A4039">
              <w:rPr>
                <w:rFonts w:asciiTheme="minorHAnsi" w:hAnsiTheme="minorHAnsi" w:cstheme="minorHAnsi"/>
                <w:b/>
                <w:sz w:val="24"/>
                <w:szCs w:val="24"/>
                <w:lang w:val="en-GB"/>
              </w:rPr>
              <w:t>R</w:t>
            </w:r>
            <w:r>
              <w:rPr>
                <w:rFonts w:asciiTheme="minorHAnsi" w:hAnsiTheme="minorHAnsi" w:cstheme="minorHAnsi"/>
                <w:b/>
                <w:sz w:val="24"/>
                <w:szCs w:val="24"/>
                <w:lang w:val="en-GB"/>
              </w:rPr>
              <w:t>ecommendation</w:t>
            </w:r>
            <w:r w:rsidR="00FE692F">
              <w:rPr>
                <w:rFonts w:asciiTheme="minorHAnsi" w:hAnsiTheme="minorHAnsi" w:cstheme="minorHAnsi"/>
                <w:b/>
                <w:sz w:val="24"/>
                <w:szCs w:val="24"/>
                <w:lang w:val="en-GB"/>
              </w:rPr>
              <w:t xml:space="preserve"> </w:t>
            </w:r>
            <w:r w:rsidR="00522D0C">
              <w:rPr>
                <w:rFonts w:asciiTheme="minorHAnsi" w:hAnsiTheme="minorHAnsi" w:cstheme="minorHAnsi"/>
                <w:b/>
                <w:sz w:val="24"/>
                <w:szCs w:val="24"/>
                <w:lang w:val="en-GB"/>
              </w:rPr>
              <w:t>4</w:t>
            </w:r>
            <w:r w:rsidR="001E63B4">
              <w:rPr>
                <w:rFonts w:asciiTheme="minorHAnsi" w:hAnsiTheme="minorHAnsi" w:cstheme="minorHAnsi"/>
                <w:b/>
                <w:sz w:val="24"/>
                <w:szCs w:val="24"/>
                <w:lang w:val="en-GB"/>
              </w:rPr>
              <w:t>2</w:t>
            </w:r>
            <w:r>
              <w:rPr>
                <w:rFonts w:asciiTheme="minorHAnsi" w:hAnsiTheme="minorHAnsi" w:cstheme="minorHAnsi"/>
                <w:b/>
                <w:sz w:val="24"/>
                <w:szCs w:val="24"/>
                <w:lang w:val="en-GB"/>
              </w:rPr>
              <w:t xml:space="preserve"> </w:t>
            </w:r>
          </w:p>
        </w:tc>
        <w:tc>
          <w:tcPr>
            <w:tcW w:w="7479" w:type="dxa"/>
          </w:tcPr>
          <w:p w14:paraId="02CB0531" w14:textId="60A76116" w:rsidR="005A164B" w:rsidRPr="002A4039" w:rsidRDefault="00E634FA" w:rsidP="00AE3ED1">
            <w:pPr>
              <w:spacing w:after="120"/>
              <w:ind w:right="-142"/>
              <w:rPr>
                <w:rFonts w:asciiTheme="minorHAnsi" w:hAnsiTheme="minorHAnsi" w:cstheme="minorHAnsi"/>
                <w:sz w:val="24"/>
                <w:szCs w:val="24"/>
                <w:lang w:val="en-GB"/>
              </w:rPr>
            </w:pPr>
            <w:r>
              <w:rPr>
                <w:rFonts w:asciiTheme="minorHAnsi" w:hAnsiTheme="minorHAnsi" w:cstheme="minorHAnsi"/>
                <w:sz w:val="24"/>
                <w:szCs w:val="24"/>
                <w:lang w:val="en-GB"/>
              </w:rPr>
              <w:t xml:space="preserve">The </w:t>
            </w:r>
            <w:r w:rsidR="006F4E24" w:rsidRPr="00AF2C98">
              <w:rPr>
                <w:rFonts w:asciiTheme="minorHAnsi" w:hAnsiTheme="minorHAnsi" w:cstheme="minorHAnsi"/>
                <w:sz w:val="24"/>
                <w:szCs w:val="24"/>
                <w:lang w:val="en-GB"/>
              </w:rPr>
              <w:t xml:space="preserve">OTA </w:t>
            </w:r>
            <w:r w:rsidR="003D0427">
              <w:rPr>
                <w:rFonts w:asciiTheme="minorHAnsi" w:hAnsiTheme="minorHAnsi" w:cstheme="minorHAnsi"/>
                <w:sz w:val="24"/>
                <w:szCs w:val="24"/>
                <w:lang w:val="en-GB"/>
              </w:rPr>
              <w:t xml:space="preserve">should </w:t>
            </w:r>
            <w:r w:rsidR="006F4E24" w:rsidRPr="00AF2C98">
              <w:rPr>
                <w:rFonts w:asciiTheme="minorHAnsi" w:hAnsiTheme="minorHAnsi" w:cstheme="minorHAnsi"/>
                <w:sz w:val="24"/>
                <w:szCs w:val="24"/>
                <w:lang w:val="en-GB"/>
              </w:rPr>
              <w:t xml:space="preserve">provide a national oversight role to identify </w:t>
            </w:r>
            <w:r w:rsidR="00D7024E">
              <w:rPr>
                <w:rFonts w:asciiTheme="minorHAnsi" w:hAnsiTheme="minorHAnsi" w:cstheme="minorHAnsi"/>
                <w:sz w:val="24"/>
                <w:szCs w:val="24"/>
                <w:lang w:val="en-GB"/>
              </w:rPr>
              <w:t xml:space="preserve">opportunities for practice improvement in relation to the operational management of transplantation procedures. </w:t>
            </w:r>
          </w:p>
        </w:tc>
      </w:tr>
    </w:tbl>
    <w:p w14:paraId="3B63F298" w14:textId="77777777" w:rsidR="006F4E24" w:rsidRDefault="006F4E24" w:rsidP="006F4E24">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674" w:name="_Toc526517762"/>
      <w:bookmarkStart w:id="675" w:name="_Toc532301700"/>
      <w:r>
        <w:rPr>
          <w:rFonts w:asciiTheme="minorHAnsi" w:hAnsiTheme="minorHAnsi" w:cstheme="minorHAnsi"/>
          <w:iCs/>
          <w:color w:val="7F7F7F" w:themeColor="text1" w:themeTint="80"/>
          <w:sz w:val="36"/>
          <w:szCs w:val="30"/>
        </w:rPr>
        <w:t xml:space="preserve">Element 8: </w:t>
      </w:r>
      <w:r w:rsidRPr="009F4391">
        <w:rPr>
          <w:rFonts w:asciiTheme="minorHAnsi" w:hAnsiTheme="minorHAnsi" w:cstheme="minorHAnsi"/>
          <w:iCs/>
          <w:color w:val="7F7F7F" w:themeColor="text1" w:themeTint="80"/>
          <w:sz w:val="36"/>
          <w:szCs w:val="30"/>
        </w:rPr>
        <w:t>Post transplant</w:t>
      </w:r>
      <w:r>
        <w:rPr>
          <w:rFonts w:asciiTheme="minorHAnsi" w:hAnsiTheme="minorHAnsi" w:cstheme="minorHAnsi"/>
          <w:iCs/>
          <w:color w:val="7F7F7F" w:themeColor="text1" w:themeTint="80"/>
          <w:sz w:val="36"/>
          <w:szCs w:val="30"/>
        </w:rPr>
        <w:t>ation</w:t>
      </w:r>
      <w:bookmarkEnd w:id="674"/>
      <w:r w:rsidRPr="009F4391">
        <w:rPr>
          <w:rFonts w:asciiTheme="minorHAnsi" w:hAnsiTheme="minorHAnsi" w:cstheme="minorHAnsi"/>
          <w:iCs/>
          <w:color w:val="7F7F7F" w:themeColor="text1" w:themeTint="80"/>
          <w:sz w:val="36"/>
          <w:szCs w:val="30"/>
        </w:rPr>
        <w:t xml:space="preserve"> </w:t>
      </w:r>
      <w:r>
        <w:rPr>
          <w:rFonts w:asciiTheme="minorHAnsi" w:hAnsiTheme="minorHAnsi" w:cstheme="minorHAnsi"/>
          <w:iCs/>
          <w:color w:val="7F7F7F" w:themeColor="text1" w:themeTint="80"/>
          <w:sz w:val="36"/>
          <w:szCs w:val="30"/>
        </w:rPr>
        <w:t>care</w:t>
      </w:r>
      <w:bookmarkEnd w:id="675"/>
    </w:p>
    <w:p w14:paraId="045E940E" w14:textId="77777777" w:rsidR="006F4E24" w:rsidRDefault="006F4E24" w:rsidP="006F4E24">
      <w:pPr>
        <w:spacing w:after="120"/>
        <w:rPr>
          <w:rFonts w:asciiTheme="minorHAnsi" w:hAnsiTheme="minorHAnsi" w:cstheme="minorHAnsi"/>
          <w:sz w:val="24"/>
          <w:szCs w:val="22"/>
          <w:lang w:val="en-GB"/>
        </w:rPr>
      </w:pPr>
      <w:r>
        <w:rPr>
          <w:rFonts w:asciiTheme="minorHAnsi" w:hAnsiTheme="minorHAnsi" w:cstheme="minorHAnsi"/>
          <w:sz w:val="24"/>
          <w:szCs w:val="22"/>
          <w:lang w:val="en-GB"/>
        </w:rPr>
        <w:t>For element 8, the findings of the Review relate to:</w:t>
      </w:r>
    </w:p>
    <w:p w14:paraId="3B62809A" w14:textId="77777777" w:rsidR="006F4E24" w:rsidRPr="00046411" w:rsidRDefault="006F4E24" w:rsidP="006F4E24">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046411">
        <w:rPr>
          <w:rFonts w:asciiTheme="minorHAnsi" w:hAnsiTheme="minorHAnsi" w:cstheme="minorHAnsi"/>
          <w:sz w:val="24"/>
          <w:szCs w:val="22"/>
          <w:lang w:val="en-GB"/>
        </w:rPr>
        <w:t>General comments (Section</w:t>
      </w:r>
      <w:r w:rsidR="00046411" w:rsidRPr="00046411">
        <w:rPr>
          <w:rFonts w:asciiTheme="minorHAnsi" w:hAnsiTheme="minorHAnsi" w:cstheme="minorHAnsi"/>
          <w:sz w:val="24"/>
          <w:szCs w:val="22"/>
          <w:lang w:val="en-GB"/>
        </w:rPr>
        <w:t xml:space="preserve"> </w:t>
      </w:r>
      <w:r w:rsidR="008C2B47">
        <w:rPr>
          <w:rFonts w:asciiTheme="minorHAnsi" w:hAnsiTheme="minorHAnsi" w:cstheme="minorHAnsi"/>
          <w:sz w:val="24"/>
          <w:szCs w:val="22"/>
          <w:lang w:val="en-GB"/>
        </w:rPr>
        <w:fldChar w:fldCharType="begin"/>
      </w:r>
      <w:r w:rsidR="008C2B47">
        <w:rPr>
          <w:rFonts w:asciiTheme="minorHAnsi" w:hAnsiTheme="minorHAnsi" w:cstheme="minorHAnsi"/>
          <w:sz w:val="24"/>
          <w:szCs w:val="22"/>
          <w:lang w:val="en-GB"/>
        </w:rPr>
        <w:instrText xml:space="preserve"> REF _Ref531880662 \r \h </w:instrText>
      </w:r>
      <w:r w:rsidR="008C2B47">
        <w:rPr>
          <w:rFonts w:asciiTheme="minorHAnsi" w:hAnsiTheme="minorHAnsi" w:cstheme="minorHAnsi"/>
          <w:sz w:val="24"/>
          <w:szCs w:val="22"/>
          <w:lang w:val="en-GB"/>
        </w:rPr>
      </w:r>
      <w:r w:rsidR="008C2B47">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6.8.1</w:t>
      </w:r>
      <w:r w:rsidR="008C2B47">
        <w:rPr>
          <w:rFonts w:asciiTheme="minorHAnsi" w:hAnsiTheme="minorHAnsi" w:cstheme="minorHAnsi"/>
          <w:sz w:val="24"/>
          <w:szCs w:val="22"/>
          <w:lang w:val="en-GB"/>
        </w:rPr>
        <w:fldChar w:fldCharType="end"/>
      </w:r>
      <w:r w:rsidRPr="00046411">
        <w:rPr>
          <w:rFonts w:asciiTheme="minorHAnsi" w:hAnsiTheme="minorHAnsi" w:cstheme="minorHAnsi"/>
          <w:sz w:val="24"/>
          <w:szCs w:val="22"/>
          <w:lang w:val="en-GB"/>
        </w:rPr>
        <w:t>)</w:t>
      </w:r>
    </w:p>
    <w:p w14:paraId="4CEC7188" w14:textId="77777777" w:rsidR="007B0F27" w:rsidRPr="003D0427" w:rsidRDefault="009D74FB" w:rsidP="00EF2596">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Renal po</w:t>
      </w:r>
      <w:r w:rsidR="006F4E24">
        <w:rPr>
          <w:rFonts w:asciiTheme="minorHAnsi" w:hAnsiTheme="minorHAnsi" w:cstheme="minorHAnsi"/>
          <w:sz w:val="24"/>
          <w:szCs w:val="22"/>
          <w:lang w:val="en-GB"/>
        </w:rPr>
        <w:t xml:space="preserve">st transplantation care </w:t>
      </w:r>
      <w:r w:rsidR="006F4E24" w:rsidRPr="00937DEE">
        <w:rPr>
          <w:rFonts w:asciiTheme="minorHAnsi" w:hAnsiTheme="minorHAnsi" w:cstheme="minorHAnsi"/>
          <w:sz w:val="24"/>
          <w:szCs w:val="22"/>
          <w:lang w:val="en-GB"/>
        </w:rPr>
        <w:t>(Section</w:t>
      </w:r>
      <w:r w:rsidR="00046411">
        <w:rPr>
          <w:rFonts w:asciiTheme="minorHAnsi" w:hAnsiTheme="minorHAnsi" w:cstheme="minorHAnsi"/>
          <w:sz w:val="24"/>
          <w:szCs w:val="22"/>
          <w:lang w:val="en-GB"/>
        </w:rPr>
        <w:t xml:space="preserve"> </w:t>
      </w:r>
      <w:r w:rsidR="008C2B47">
        <w:rPr>
          <w:rFonts w:asciiTheme="minorHAnsi" w:hAnsiTheme="minorHAnsi" w:cstheme="minorHAnsi"/>
          <w:sz w:val="24"/>
          <w:szCs w:val="22"/>
          <w:lang w:val="en-GB"/>
        </w:rPr>
        <w:fldChar w:fldCharType="begin"/>
      </w:r>
      <w:r w:rsidR="008C2B47">
        <w:rPr>
          <w:rFonts w:asciiTheme="minorHAnsi" w:hAnsiTheme="minorHAnsi" w:cstheme="minorHAnsi"/>
          <w:sz w:val="24"/>
          <w:szCs w:val="22"/>
          <w:lang w:val="en-GB"/>
        </w:rPr>
        <w:instrText xml:space="preserve"> REF _Ref527634121 \r \h </w:instrText>
      </w:r>
      <w:r w:rsidR="008C2B47">
        <w:rPr>
          <w:rFonts w:asciiTheme="minorHAnsi" w:hAnsiTheme="minorHAnsi" w:cstheme="minorHAnsi"/>
          <w:sz w:val="24"/>
          <w:szCs w:val="22"/>
          <w:lang w:val="en-GB"/>
        </w:rPr>
      </w:r>
      <w:r w:rsidR="008C2B47">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6.8.2</w:t>
      </w:r>
      <w:r w:rsidR="008C2B47">
        <w:rPr>
          <w:rFonts w:asciiTheme="minorHAnsi" w:hAnsiTheme="minorHAnsi" w:cstheme="minorHAnsi"/>
          <w:sz w:val="24"/>
          <w:szCs w:val="22"/>
          <w:lang w:val="en-GB"/>
        </w:rPr>
        <w:fldChar w:fldCharType="end"/>
      </w:r>
      <w:r w:rsidR="008C2B47">
        <w:rPr>
          <w:rFonts w:asciiTheme="minorHAnsi" w:hAnsiTheme="minorHAnsi" w:cstheme="minorHAnsi"/>
          <w:sz w:val="24"/>
          <w:szCs w:val="22"/>
          <w:lang w:val="en-GB"/>
        </w:rPr>
        <w:t>)</w:t>
      </w:r>
    </w:p>
    <w:p w14:paraId="25CC433A" w14:textId="77777777" w:rsidR="006F4E24" w:rsidRDefault="001073C8" w:rsidP="006F4E24">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N</w:t>
      </w:r>
      <w:r w:rsidR="006F4E24">
        <w:rPr>
          <w:rFonts w:asciiTheme="minorHAnsi" w:hAnsiTheme="minorHAnsi" w:cstheme="minorHAnsi"/>
          <w:sz w:val="24"/>
          <w:szCs w:val="22"/>
          <w:lang w:val="en-GB"/>
        </w:rPr>
        <w:t>on-renal</w:t>
      </w:r>
      <w:r>
        <w:rPr>
          <w:rFonts w:asciiTheme="minorHAnsi" w:hAnsiTheme="minorHAnsi" w:cstheme="minorHAnsi"/>
          <w:sz w:val="24"/>
          <w:szCs w:val="22"/>
          <w:lang w:val="en-GB"/>
        </w:rPr>
        <w:t xml:space="preserve"> post</w:t>
      </w:r>
      <w:r w:rsidR="006F4E24">
        <w:rPr>
          <w:rFonts w:asciiTheme="minorHAnsi" w:hAnsiTheme="minorHAnsi" w:cstheme="minorHAnsi"/>
          <w:sz w:val="24"/>
          <w:szCs w:val="22"/>
          <w:lang w:val="en-GB"/>
        </w:rPr>
        <w:t xml:space="preserve"> transplantation care </w:t>
      </w:r>
      <w:r w:rsidR="006F4E24" w:rsidRPr="00937DEE">
        <w:rPr>
          <w:rFonts w:asciiTheme="minorHAnsi" w:hAnsiTheme="minorHAnsi" w:cstheme="minorHAnsi"/>
          <w:sz w:val="24"/>
          <w:szCs w:val="22"/>
          <w:lang w:val="en-GB"/>
        </w:rPr>
        <w:t>(Section</w:t>
      </w:r>
      <w:r w:rsidR="00046411">
        <w:rPr>
          <w:rFonts w:asciiTheme="minorHAnsi" w:hAnsiTheme="minorHAnsi" w:cstheme="minorHAnsi"/>
          <w:sz w:val="24"/>
          <w:szCs w:val="22"/>
          <w:lang w:val="en-GB"/>
        </w:rPr>
        <w:t xml:space="preserve"> </w:t>
      </w:r>
      <w:r w:rsidR="008C2B47">
        <w:rPr>
          <w:rFonts w:asciiTheme="minorHAnsi" w:hAnsiTheme="minorHAnsi" w:cstheme="minorHAnsi"/>
          <w:sz w:val="24"/>
          <w:szCs w:val="22"/>
          <w:lang w:val="en-GB"/>
        </w:rPr>
        <w:fldChar w:fldCharType="begin"/>
      </w:r>
      <w:r w:rsidR="008C2B47">
        <w:rPr>
          <w:rFonts w:asciiTheme="minorHAnsi" w:hAnsiTheme="minorHAnsi" w:cstheme="minorHAnsi"/>
          <w:sz w:val="24"/>
          <w:szCs w:val="22"/>
          <w:lang w:val="en-GB"/>
        </w:rPr>
        <w:instrText xml:space="preserve"> REF _Ref527634125 \r \h </w:instrText>
      </w:r>
      <w:r w:rsidR="008C2B47">
        <w:rPr>
          <w:rFonts w:asciiTheme="minorHAnsi" w:hAnsiTheme="minorHAnsi" w:cstheme="minorHAnsi"/>
          <w:sz w:val="24"/>
          <w:szCs w:val="22"/>
          <w:lang w:val="en-GB"/>
        </w:rPr>
      </w:r>
      <w:r w:rsidR="008C2B47">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6.8.3</w:t>
      </w:r>
      <w:r w:rsidR="008C2B47">
        <w:rPr>
          <w:rFonts w:asciiTheme="minorHAnsi" w:hAnsiTheme="minorHAnsi" w:cstheme="minorHAnsi"/>
          <w:sz w:val="24"/>
          <w:szCs w:val="22"/>
          <w:lang w:val="en-GB"/>
        </w:rPr>
        <w:fldChar w:fldCharType="end"/>
      </w:r>
      <w:r w:rsidR="006F4E24" w:rsidRPr="00937DEE">
        <w:rPr>
          <w:rFonts w:asciiTheme="minorHAnsi" w:hAnsiTheme="minorHAnsi" w:cstheme="minorHAnsi"/>
          <w:sz w:val="24"/>
          <w:szCs w:val="22"/>
          <w:lang w:val="en-GB"/>
        </w:rPr>
        <w:t>)</w:t>
      </w:r>
    </w:p>
    <w:p w14:paraId="283BD33A" w14:textId="77777777" w:rsidR="006F4E24" w:rsidRDefault="006F4E24" w:rsidP="006F4E24">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 xml:space="preserve">Post transplantation care for young adults </w:t>
      </w:r>
      <w:r w:rsidRPr="00937DEE">
        <w:rPr>
          <w:rFonts w:asciiTheme="minorHAnsi" w:hAnsiTheme="minorHAnsi" w:cstheme="minorHAnsi"/>
          <w:sz w:val="24"/>
          <w:szCs w:val="22"/>
          <w:lang w:val="en-GB"/>
        </w:rPr>
        <w:t>(Section</w:t>
      </w:r>
      <w:r w:rsidR="00046411">
        <w:rPr>
          <w:rFonts w:asciiTheme="minorHAnsi" w:hAnsiTheme="minorHAnsi" w:cstheme="minorHAnsi"/>
          <w:sz w:val="24"/>
          <w:szCs w:val="22"/>
          <w:lang w:val="en-GB"/>
        </w:rPr>
        <w:t xml:space="preserve"> </w:t>
      </w:r>
      <w:r w:rsidR="008C2B47">
        <w:rPr>
          <w:rFonts w:asciiTheme="minorHAnsi" w:hAnsiTheme="minorHAnsi" w:cstheme="minorHAnsi"/>
          <w:sz w:val="24"/>
          <w:szCs w:val="22"/>
          <w:lang w:val="en-GB"/>
        </w:rPr>
        <w:fldChar w:fldCharType="begin"/>
      </w:r>
      <w:r w:rsidR="008C2B47">
        <w:rPr>
          <w:rFonts w:asciiTheme="minorHAnsi" w:hAnsiTheme="minorHAnsi" w:cstheme="minorHAnsi"/>
          <w:sz w:val="24"/>
          <w:szCs w:val="22"/>
          <w:lang w:val="en-GB"/>
        </w:rPr>
        <w:instrText xml:space="preserve"> REF _Ref527634130 \r \h </w:instrText>
      </w:r>
      <w:r w:rsidR="008C2B47">
        <w:rPr>
          <w:rFonts w:asciiTheme="minorHAnsi" w:hAnsiTheme="minorHAnsi" w:cstheme="minorHAnsi"/>
          <w:sz w:val="24"/>
          <w:szCs w:val="22"/>
          <w:lang w:val="en-GB"/>
        </w:rPr>
      </w:r>
      <w:r w:rsidR="008C2B47">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6.8.4</w:t>
      </w:r>
      <w:r w:rsidR="008C2B47">
        <w:rPr>
          <w:rFonts w:asciiTheme="minorHAnsi" w:hAnsiTheme="minorHAnsi" w:cstheme="minorHAnsi"/>
          <w:sz w:val="24"/>
          <w:szCs w:val="22"/>
          <w:lang w:val="en-GB"/>
        </w:rPr>
        <w:fldChar w:fldCharType="end"/>
      </w:r>
      <w:r w:rsidRPr="00937DEE">
        <w:rPr>
          <w:rFonts w:asciiTheme="minorHAnsi" w:hAnsiTheme="minorHAnsi" w:cstheme="minorHAnsi"/>
          <w:sz w:val="24"/>
          <w:szCs w:val="22"/>
          <w:lang w:val="en-GB"/>
        </w:rPr>
        <w:t>)</w:t>
      </w:r>
    </w:p>
    <w:p w14:paraId="1A2312AB" w14:textId="77777777" w:rsidR="006F4E24" w:rsidRDefault="001073C8" w:rsidP="006F4E24">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Renal p</w:t>
      </w:r>
      <w:r w:rsidR="006F4E24">
        <w:rPr>
          <w:rFonts w:asciiTheme="minorHAnsi" w:hAnsiTheme="minorHAnsi" w:cstheme="minorHAnsi"/>
          <w:sz w:val="24"/>
          <w:szCs w:val="22"/>
          <w:lang w:val="en-GB"/>
        </w:rPr>
        <w:t xml:space="preserve">ost transplantation care for Aboriginal and Torres Strait Islander people </w:t>
      </w:r>
      <w:r w:rsidR="006F4E24" w:rsidRPr="00937DEE">
        <w:rPr>
          <w:rFonts w:asciiTheme="minorHAnsi" w:hAnsiTheme="minorHAnsi" w:cstheme="minorHAnsi"/>
          <w:sz w:val="24"/>
          <w:szCs w:val="22"/>
          <w:lang w:val="en-GB"/>
        </w:rPr>
        <w:t>(Section</w:t>
      </w:r>
      <w:r w:rsidR="00046411">
        <w:rPr>
          <w:rFonts w:asciiTheme="minorHAnsi" w:hAnsiTheme="minorHAnsi" w:cstheme="minorHAnsi"/>
          <w:sz w:val="24"/>
          <w:szCs w:val="22"/>
          <w:lang w:val="en-GB"/>
        </w:rPr>
        <w:t xml:space="preserve"> </w:t>
      </w:r>
      <w:r w:rsidR="008C2B47">
        <w:rPr>
          <w:rFonts w:asciiTheme="minorHAnsi" w:hAnsiTheme="minorHAnsi" w:cstheme="minorHAnsi"/>
          <w:sz w:val="24"/>
          <w:szCs w:val="22"/>
          <w:lang w:val="en-GB"/>
        </w:rPr>
        <w:fldChar w:fldCharType="begin"/>
      </w:r>
      <w:r w:rsidR="008C2B47">
        <w:rPr>
          <w:rFonts w:asciiTheme="minorHAnsi" w:hAnsiTheme="minorHAnsi" w:cstheme="minorHAnsi"/>
          <w:sz w:val="24"/>
          <w:szCs w:val="22"/>
          <w:lang w:val="en-GB"/>
        </w:rPr>
        <w:instrText xml:space="preserve"> REF _Ref527634136 \r \h </w:instrText>
      </w:r>
      <w:r w:rsidR="008C2B47">
        <w:rPr>
          <w:rFonts w:asciiTheme="minorHAnsi" w:hAnsiTheme="minorHAnsi" w:cstheme="minorHAnsi"/>
          <w:sz w:val="24"/>
          <w:szCs w:val="22"/>
          <w:lang w:val="en-GB"/>
        </w:rPr>
      </w:r>
      <w:r w:rsidR="008C2B47">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6.8.5</w:t>
      </w:r>
      <w:r w:rsidR="008C2B47">
        <w:rPr>
          <w:rFonts w:asciiTheme="minorHAnsi" w:hAnsiTheme="minorHAnsi" w:cstheme="minorHAnsi"/>
          <w:sz w:val="24"/>
          <w:szCs w:val="22"/>
          <w:lang w:val="en-GB"/>
        </w:rPr>
        <w:fldChar w:fldCharType="end"/>
      </w:r>
      <w:r w:rsidR="006F4E24" w:rsidRPr="00937DEE">
        <w:rPr>
          <w:rFonts w:asciiTheme="minorHAnsi" w:hAnsiTheme="minorHAnsi" w:cstheme="minorHAnsi"/>
          <w:sz w:val="24"/>
          <w:szCs w:val="22"/>
          <w:lang w:val="en-GB"/>
        </w:rPr>
        <w:t>)</w:t>
      </w:r>
    </w:p>
    <w:p w14:paraId="4E8FDF3F" w14:textId="77777777" w:rsidR="006F4E24" w:rsidRPr="00AF2C98" w:rsidRDefault="006F4E24" w:rsidP="006F4E24">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447661">
        <w:rPr>
          <w:rFonts w:asciiTheme="minorHAnsi" w:hAnsiTheme="minorHAnsi" w:cstheme="minorHAnsi"/>
          <w:sz w:val="24"/>
          <w:szCs w:val="22"/>
          <w:lang w:val="en-GB"/>
        </w:rPr>
        <w:t xml:space="preserve">The experience of recipients post transplantation </w:t>
      </w:r>
      <w:r w:rsidRPr="00937DEE">
        <w:rPr>
          <w:rFonts w:asciiTheme="minorHAnsi" w:hAnsiTheme="minorHAnsi" w:cstheme="minorHAnsi"/>
          <w:sz w:val="24"/>
          <w:szCs w:val="22"/>
          <w:lang w:val="en-GB"/>
        </w:rPr>
        <w:t>(Section</w:t>
      </w:r>
      <w:r w:rsidR="00046411">
        <w:rPr>
          <w:rFonts w:asciiTheme="minorHAnsi" w:hAnsiTheme="minorHAnsi" w:cstheme="minorHAnsi"/>
          <w:sz w:val="24"/>
          <w:szCs w:val="22"/>
          <w:lang w:val="en-GB"/>
        </w:rPr>
        <w:t xml:space="preserve"> </w:t>
      </w:r>
      <w:r w:rsidR="008C2B47">
        <w:rPr>
          <w:rFonts w:asciiTheme="minorHAnsi" w:hAnsiTheme="minorHAnsi" w:cstheme="minorHAnsi"/>
          <w:sz w:val="24"/>
          <w:szCs w:val="22"/>
          <w:lang w:val="en-GB"/>
        </w:rPr>
        <w:fldChar w:fldCharType="begin"/>
      </w:r>
      <w:r w:rsidR="008C2B47">
        <w:rPr>
          <w:rFonts w:asciiTheme="minorHAnsi" w:hAnsiTheme="minorHAnsi" w:cstheme="minorHAnsi"/>
          <w:sz w:val="24"/>
          <w:szCs w:val="22"/>
          <w:lang w:val="en-GB"/>
        </w:rPr>
        <w:instrText xml:space="preserve"> REF _Ref527634141 \r \h </w:instrText>
      </w:r>
      <w:r w:rsidR="008C2B47">
        <w:rPr>
          <w:rFonts w:asciiTheme="minorHAnsi" w:hAnsiTheme="minorHAnsi" w:cstheme="minorHAnsi"/>
          <w:sz w:val="24"/>
          <w:szCs w:val="22"/>
          <w:lang w:val="en-GB"/>
        </w:rPr>
      </w:r>
      <w:r w:rsidR="008C2B47">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6.8.6</w:t>
      </w:r>
      <w:r w:rsidR="008C2B47">
        <w:rPr>
          <w:rFonts w:asciiTheme="minorHAnsi" w:hAnsiTheme="minorHAnsi" w:cstheme="minorHAnsi"/>
          <w:sz w:val="24"/>
          <w:szCs w:val="22"/>
          <w:lang w:val="en-GB"/>
        </w:rPr>
        <w:fldChar w:fldCharType="end"/>
      </w:r>
      <w:r w:rsidRPr="00937DEE">
        <w:rPr>
          <w:rFonts w:asciiTheme="minorHAnsi" w:hAnsiTheme="minorHAnsi" w:cstheme="minorHAnsi"/>
          <w:sz w:val="24"/>
          <w:szCs w:val="22"/>
          <w:lang w:val="en-GB"/>
        </w:rPr>
        <w:t>)</w:t>
      </w:r>
      <w:r w:rsidR="00D73840">
        <w:rPr>
          <w:rFonts w:asciiTheme="minorHAnsi" w:hAnsiTheme="minorHAnsi" w:cstheme="minorHAnsi"/>
          <w:sz w:val="24"/>
          <w:szCs w:val="22"/>
          <w:lang w:val="en-GB"/>
        </w:rPr>
        <w:t>.</w:t>
      </w:r>
    </w:p>
    <w:p w14:paraId="0074456A" w14:textId="77777777" w:rsidR="006F4E24" w:rsidRPr="00266A77" w:rsidRDefault="006F4E24" w:rsidP="006F4E24">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676" w:name="_Ref531880662"/>
      <w:r>
        <w:rPr>
          <w:rFonts w:asciiTheme="minorHAnsi" w:hAnsiTheme="minorHAnsi" w:cstheme="minorHAnsi"/>
          <w:b w:val="0"/>
          <w:color w:val="7F7F7F" w:themeColor="text1" w:themeTint="80"/>
          <w:sz w:val="30"/>
          <w:szCs w:val="30"/>
        </w:rPr>
        <w:t>General comments</w:t>
      </w:r>
      <w:bookmarkEnd w:id="676"/>
    </w:p>
    <w:p w14:paraId="0797989A" w14:textId="77777777" w:rsidR="006F4E24" w:rsidRPr="00266A77" w:rsidRDefault="006F4E24" w:rsidP="006F4E24">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Discussion of findings</w:t>
      </w:r>
    </w:p>
    <w:p w14:paraId="5DC5FC0D" w14:textId="494DDA0C" w:rsidR="006F4E24" w:rsidRDefault="006F4E24" w:rsidP="006F4E24">
      <w:pPr>
        <w:tabs>
          <w:tab w:val="num" w:pos="720"/>
        </w:tabs>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As discussed in </w:t>
      </w:r>
      <w:r w:rsidRPr="00E82962">
        <w:rPr>
          <w:rFonts w:asciiTheme="minorHAnsi" w:hAnsiTheme="minorHAnsi" w:cstheme="minorHAnsi"/>
          <w:sz w:val="24"/>
          <w:szCs w:val="24"/>
          <w:lang w:val="en-GB"/>
        </w:rPr>
        <w:t xml:space="preserve">Section </w:t>
      </w:r>
      <w:r w:rsidR="00D7024E">
        <w:rPr>
          <w:rFonts w:asciiTheme="minorHAnsi" w:hAnsiTheme="minorHAnsi" w:cstheme="minorHAnsi"/>
          <w:sz w:val="24"/>
          <w:szCs w:val="24"/>
          <w:lang w:val="en-GB"/>
        </w:rPr>
        <w:fldChar w:fldCharType="begin"/>
      </w:r>
      <w:r w:rsidR="00D7024E">
        <w:rPr>
          <w:rFonts w:asciiTheme="minorHAnsi" w:hAnsiTheme="minorHAnsi" w:cstheme="minorHAnsi"/>
          <w:sz w:val="24"/>
          <w:szCs w:val="24"/>
          <w:lang w:val="en-GB"/>
        </w:rPr>
        <w:instrText xml:space="preserve"> REF _Ref531798704 \r \h </w:instrText>
      </w:r>
      <w:r w:rsidR="00D7024E">
        <w:rPr>
          <w:rFonts w:asciiTheme="minorHAnsi" w:hAnsiTheme="minorHAnsi" w:cstheme="minorHAnsi"/>
          <w:sz w:val="24"/>
          <w:szCs w:val="24"/>
          <w:lang w:val="en-GB"/>
        </w:rPr>
      </w:r>
      <w:r w:rsidR="00D7024E">
        <w:rPr>
          <w:rFonts w:asciiTheme="minorHAnsi" w:hAnsiTheme="minorHAnsi" w:cstheme="minorHAnsi"/>
          <w:sz w:val="24"/>
          <w:szCs w:val="24"/>
          <w:lang w:val="en-GB"/>
        </w:rPr>
        <w:fldChar w:fldCharType="separate"/>
      </w:r>
      <w:r w:rsidR="00A04048">
        <w:rPr>
          <w:rFonts w:asciiTheme="minorHAnsi" w:hAnsiTheme="minorHAnsi" w:cstheme="minorHAnsi"/>
          <w:sz w:val="24"/>
          <w:szCs w:val="24"/>
          <w:lang w:val="en-GB"/>
        </w:rPr>
        <w:t>4.10</w:t>
      </w:r>
      <w:r w:rsidR="00D7024E">
        <w:rPr>
          <w:rFonts w:asciiTheme="minorHAnsi" w:hAnsiTheme="minorHAnsi" w:cstheme="minorHAnsi"/>
          <w:sz w:val="24"/>
          <w:szCs w:val="24"/>
          <w:lang w:val="en-GB"/>
        </w:rPr>
        <w:fldChar w:fldCharType="end"/>
      </w:r>
      <w:r>
        <w:rPr>
          <w:rFonts w:asciiTheme="minorHAnsi" w:hAnsiTheme="minorHAnsi" w:cstheme="minorHAnsi"/>
          <w:sz w:val="24"/>
          <w:szCs w:val="24"/>
          <w:lang w:val="en-GB"/>
        </w:rPr>
        <w:t>, p</w:t>
      </w:r>
      <w:r w:rsidRPr="002A4039">
        <w:rPr>
          <w:rFonts w:asciiTheme="minorHAnsi" w:hAnsiTheme="minorHAnsi" w:cstheme="minorHAnsi"/>
          <w:sz w:val="24"/>
          <w:szCs w:val="24"/>
          <w:lang w:val="en-GB"/>
        </w:rPr>
        <w:t>ost transplantation care</w:t>
      </w:r>
      <w:r>
        <w:rPr>
          <w:rFonts w:asciiTheme="minorHAnsi" w:hAnsiTheme="minorHAnsi" w:cstheme="minorHAnsi"/>
          <w:sz w:val="24"/>
          <w:szCs w:val="24"/>
          <w:lang w:val="en-GB"/>
        </w:rPr>
        <w:t xml:space="preserve"> </w:t>
      </w:r>
      <w:r w:rsidRPr="002A4039">
        <w:rPr>
          <w:rFonts w:asciiTheme="minorHAnsi" w:hAnsiTheme="minorHAnsi" w:cstheme="minorHAnsi"/>
          <w:sz w:val="24"/>
          <w:szCs w:val="24"/>
          <w:lang w:val="en-GB"/>
        </w:rPr>
        <w:t>is complex and requires extensive monitoring</w:t>
      </w:r>
      <w:r>
        <w:rPr>
          <w:rFonts w:asciiTheme="minorHAnsi" w:hAnsiTheme="minorHAnsi" w:cstheme="minorHAnsi"/>
          <w:sz w:val="24"/>
          <w:szCs w:val="24"/>
          <w:lang w:val="en-GB"/>
        </w:rPr>
        <w:t xml:space="preserve"> following surgery</w:t>
      </w:r>
      <w:r w:rsidRPr="002A4039">
        <w:rPr>
          <w:rFonts w:asciiTheme="minorHAnsi" w:hAnsiTheme="minorHAnsi" w:cstheme="minorHAnsi"/>
          <w:sz w:val="24"/>
          <w:szCs w:val="24"/>
          <w:lang w:val="en-GB"/>
        </w:rPr>
        <w:t xml:space="preserve">. </w:t>
      </w:r>
      <w:r>
        <w:rPr>
          <w:rFonts w:asciiTheme="minorHAnsi" w:hAnsiTheme="minorHAnsi" w:cstheme="minorHAnsi"/>
          <w:sz w:val="24"/>
          <w:szCs w:val="24"/>
          <w:lang w:val="en-GB"/>
        </w:rPr>
        <w:t>In most cases, monitoring is required for the rest of the recipient’s life or for as long as the donated organ remains functioning. However, p</w:t>
      </w:r>
      <w:r w:rsidRPr="002A4039">
        <w:rPr>
          <w:rFonts w:asciiTheme="minorHAnsi" w:hAnsiTheme="minorHAnsi" w:cstheme="minorHAnsi"/>
          <w:sz w:val="24"/>
          <w:szCs w:val="24"/>
          <w:lang w:val="en-GB"/>
        </w:rPr>
        <w:t>ost</w:t>
      </w:r>
      <w:r>
        <w:rPr>
          <w:rFonts w:asciiTheme="minorHAnsi" w:hAnsiTheme="minorHAnsi" w:cstheme="minorHAnsi"/>
          <w:sz w:val="24"/>
          <w:szCs w:val="24"/>
          <w:lang w:val="en-GB"/>
        </w:rPr>
        <w:t xml:space="preserve"> transplantation</w:t>
      </w:r>
      <w:r w:rsidRPr="002A4039">
        <w:rPr>
          <w:rFonts w:asciiTheme="minorHAnsi" w:hAnsiTheme="minorHAnsi" w:cstheme="minorHAnsi"/>
          <w:sz w:val="24"/>
          <w:szCs w:val="24"/>
          <w:lang w:val="en-GB"/>
        </w:rPr>
        <w:t xml:space="preserve"> care varies depending on the </w:t>
      </w:r>
      <w:r>
        <w:rPr>
          <w:rFonts w:asciiTheme="minorHAnsi" w:hAnsiTheme="minorHAnsi" w:cstheme="minorHAnsi"/>
          <w:sz w:val="24"/>
          <w:szCs w:val="24"/>
          <w:lang w:val="en-GB"/>
        </w:rPr>
        <w:t>complexity of the transplant surgery, the organ and the recipient’s overall condition.</w:t>
      </w:r>
    </w:p>
    <w:p w14:paraId="0F63553B" w14:textId="77777777" w:rsidR="006F4E24" w:rsidRDefault="006F4E24" w:rsidP="006F4E24">
      <w:pPr>
        <w:tabs>
          <w:tab w:val="num" w:pos="720"/>
        </w:tabs>
        <w:spacing w:after="120"/>
        <w:rPr>
          <w:rFonts w:asciiTheme="minorHAnsi" w:hAnsiTheme="minorHAnsi" w:cstheme="minorHAnsi"/>
          <w:sz w:val="24"/>
          <w:szCs w:val="24"/>
          <w:lang w:val="en-GB"/>
        </w:rPr>
      </w:pPr>
      <w:r>
        <w:rPr>
          <w:rFonts w:asciiTheme="minorHAnsi" w:hAnsiTheme="minorHAnsi" w:cstheme="minorHAnsi"/>
          <w:sz w:val="24"/>
          <w:szCs w:val="24"/>
          <w:lang w:val="en-GB"/>
        </w:rPr>
        <w:t>Nevertheless, as discussed in Section</w:t>
      </w:r>
      <w:r w:rsidR="00046411">
        <w:rPr>
          <w:rFonts w:asciiTheme="minorHAnsi" w:hAnsiTheme="minorHAnsi" w:cstheme="minorHAnsi"/>
          <w:sz w:val="24"/>
          <w:szCs w:val="24"/>
          <w:lang w:val="en-GB"/>
        </w:rPr>
        <w:t xml:space="preserve"> </w:t>
      </w:r>
      <w:r w:rsidR="00D7024E">
        <w:rPr>
          <w:rFonts w:asciiTheme="minorHAnsi" w:hAnsiTheme="minorHAnsi" w:cstheme="minorHAnsi"/>
          <w:sz w:val="24"/>
          <w:szCs w:val="24"/>
          <w:lang w:val="en-GB"/>
        </w:rPr>
        <w:fldChar w:fldCharType="begin"/>
      </w:r>
      <w:r w:rsidR="00D7024E">
        <w:rPr>
          <w:rFonts w:asciiTheme="minorHAnsi" w:hAnsiTheme="minorHAnsi" w:cstheme="minorHAnsi"/>
          <w:sz w:val="24"/>
          <w:szCs w:val="24"/>
          <w:lang w:val="en-GB"/>
        </w:rPr>
        <w:instrText xml:space="preserve"> REF _Ref531798718 \r \h </w:instrText>
      </w:r>
      <w:r w:rsidR="00D7024E">
        <w:rPr>
          <w:rFonts w:asciiTheme="minorHAnsi" w:hAnsiTheme="minorHAnsi" w:cstheme="minorHAnsi"/>
          <w:sz w:val="24"/>
          <w:szCs w:val="24"/>
          <w:lang w:val="en-GB"/>
        </w:rPr>
      </w:r>
      <w:r w:rsidR="00D7024E">
        <w:rPr>
          <w:rFonts w:asciiTheme="minorHAnsi" w:hAnsiTheme="minorHAnsi" w:cstheme="minorHAnsi"/>
          <w:sz w:val="24"/>
          <w:szCs w:val="24"/>
          <w:lang w:val="en-GB"/>
        </w:rPr>
        <w:fldChar w:fldCharType="separate"/>
      </w:r>
      <w:r w:rsidR="00A04048">
        <w:rPr>
          <w:rFonts w:asciiTheme="minorHAnsi" w:hAnsiTheme="minorHAnsi" w:cstheme="minorHAnsi"/>
          <w:sz w:val="24"/>
          <w:szCs w:val="24"/>
          <w:lang w:val="en-GB"/>
        </w:rPr>
        <w:t>6.7</w:t>
      </w:r>
      <w:r w:rsidR="00D7024E">
        <w:rPr>
          <w:rFonts w:asciiTheme="minorHAnsi" w:hAnsiTheme="minorHAnsi" w:cstheme="minorHAnsi"/>
          <w:sz w:val="24"/>
          <w:szCs w:val="24"/>
          <w:lang w:val="en-GB"/>
        </w:rPr>
        <w:fldChar w:fldCharType="end"/>
      </w:r>
      <w:r>
        <w:rPr>
          <w:rFonts w:asciiTheme="minorHAnsi" w:hAnsiTheme="minorHAnsi" w:cstheme="minorHAnsi"/>
          <w:sz w:val="24"/>
          <w:szCs w:val="24"/>
          <w:lang w:val="en-GB"/>
        </w:rPr>
        <w:t>, Australia continues to achieve some of the highest survival rates post transplantation in the world. This is due to the care provided following transplantation.</w:t>
      </w:r>
    </w:p>
    <w:p w14:paraId="28E4E4AD" w14:textId="77777777" w:rsidR="006F4E24" w:rsidRPr="004938CA" w:rsidRDefault="009F53C5" w:rsidP="006F4E24">
      <w:pPr>
        <w:pStyle w:val="Heading3"/>
        <w:tabs>
          <w:tab w:val="clear" w:pos="1843"/>
          <w:tab w:val="num" w:pos="1559"/>
        </w:tabs>
        <w:ind w:left="992" w:hanging="992"/>
      </w:pPr>
      <w:bookmarkStart w:id="677" w:name="_Ref527634121"/>
      <w:r>
        <w:rPr>
          <w:rFonts w:asciiTheme="minorHAnsi" w:hAnsiTheme="minorHAnsi" w:cstheme="minorHAnsi"/>
          <w:b w:val="0"/>
          <w:color w:val="7F7F7F" w:themeColor="text1" w:themeTint="80"/>
          <w:sz w:val="30"/>
          <w:szCs w:val="30"/>
        </w:rPr>
        <w:t>R</w:t>
      </w:r>
      <w:r w:rsidR="006F4E24" w:rsidRPr="004938CA">
        <w:rPr>
          <w:rFonts w:asciiTheme="minorHAnsi" w:hAnsiTheme="minorHAnsi" w:cstheme="minorHAnsi"/>
          <w:b w:val="0"/>
          <w:color w:val="7F7F7F" w:themeColor="text1" w:themeTint="80"/>
          <w:sz w:val="30"/>
          <w:szCs w:val="30"/>
        </w:rPr>
        <w:t xml:space="preserve">enal </w:t>
      </w:r>
      <w:r>
        <w:rPr>
          <w:rFonts w:asciiTheme="minorHAnsi" w:hAnsiTheme="minorHAnsi" w:cstheme="minorHAnsi"/>
          <w:b w:val="0"/>
          <w:color w:val="7F7F7F" w:themeColor="text1" w:themeTint="80"/>
          <w:sz w:val="30"/>
          <w:szCs w:val="30"/>
        </w:rPr>
        <w:t xml:space="preserve">post </w:t>
      </w:r>
      <w:r w:rsidR="006F4E24" w:rsidRPr="004938CA">
        <w:rPr>
          <w:rFonts w:asciiTheme="minorHAnsi" w:hAnsiTheme="minorHAnsi" w:cstheme="minorHAnsi"/>
          <w:b w:val="0"/>
          <w:color w:val="7F7F7F" w:themeColor="text1" w:themeTint="80"/>
          <w:sz w:val="30"/>
          <w:szCs w:val="30"/>
        </w:rPr>
        <w:t>transplantation care</w:t>
      </w:r>
      <w:bookmarkEnd w:id="677"/>
    </w:p>
    <w:p w14:paraId="0D1A4A63" w14:textId="77777777" w:rsidR="006F4E24" w:rsidRDefault="006F4E24" w:rsidP="006F4E24">
      <w:pPr>
        <w:tabs>
          <w:tab w:val="num" w:pos="720"/>
        </w:tabs>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The Review found that renal </w:t>
      </w:r>
      <w:r w:rsidR="00647282">
        <w:rPr>
          <w:rFonts w:asciiTheme="minorHAnsi" w:hAnsiTheme="minorHAnsi" w:cstheme="minorHAnsi"/>
          <w:sz w:val="24"/>
          <w:szCs w:val="24"/>
          <w:lang w:val="en-GB"/>
        </w:rPr>
        <w:t>transplantation programs</w:t>
      </w:r>
      <w:r>
        <w:rPr>
          <w:rFonts w:asciiTheme="minorHAnsi" w:hAnsiTheme="minorHAnsi" w:cstheme="minorHAnsi"/>
          <w:sz w:val="24"/>
          <w:szCs w:val="24"/>
          <w:lang w:val="en-GB"/>
        </w:rPr>
        <w:t xml:space="preserve"> have well established post transplantation care clinics following discharge from hospital. </w:t>
      </w:r>
      <w:r w:rsidR="00D127EF">
        <w:rPr>
          <w:rFonts w:asciiTheme="minorHAnsi" w:hAnsiTheme="minorHAnsi" w:cstheme="minorHAnsi"/>
          <w:sz w:val="24"/>
          <w:szCs w:val="24"/>
          <w:lang w:val="en-GB"/>
        </w:rPr>
        <w:t>T</w:t>
      </w:r>
      <w:r>
        <w:rPr>
          <w:rFonts w:asciiTheme="minorHAnsi" w:hAnsiTheme="minorHAnsi" w:cstheme="minorHAnsi"/>
          <w:sz w:val="24"/>
          <w:szCs w:val="24"/>
          <w:lang w:val="en-GB"/>
        </w:rPr>
        <w:t xml:space="preserve">he Review found that in areas where </w:t>
      </w:r>
      <w:r w:rsidR="00957698">
        <w:rPr>
          <w:rFonts w:asciiTheme="minorHAnsi" w:hAnsiTheme="minorHAnsi" w:cstheme="minorHAnsi"/>
          <w:sz w:val="24"/>
          <w:szCs w:val="24"/>
          <w:lang w:val="en-GB"/>
        </w:rPr>
        <w:t xml:space="preserve">there are </w:t>
      </w:r>
      <w:r>
        <w:rPr>
          <w:rFonts w:asciiTheme="minorHAnsi" w:hAnsiTheme="minorHAnsi" w:cstheme="minorHAnsi"/>
          <w:sz w:val="24"/>
          <w:szCs w:val="24"/>
          <w:lang w:val="en-GB"/>
        </w:rPr>
        <w:t>well established</w:t>
      </w:r>
      <w:r w:rsidR="00D127EF">
        <w:rPr>
          <w:rFonts w:asciiTheme="minorHAnsi" w:hAnsiTheme="minorHAnsi" w:cstheme="minorHAnsi"/>
          <w:sz w:val="24"/>
          <w:szCs w:val="24"/>
          <w:lang w:val="en-GB"/>
        </w:rPr>
        <w:t xml:space="preserve"> local</w:t>
      </w:r>
      <w:r>
        <w:rPr>
          <w:rFonts w:asciiTheme="minorHAnsi" w:hAnsiTheme="minorHAnsi" w:cstheme="minorHAnsi"/>
          <w:sz w:val="24"/>
          <w:szCs w:val="24"/>
          <w:lang w:val="en-GB"/>
        </w:rPr>
        <w:t xml:space="preserve"> networks</w:t>
      </w:r>
      <w:r w:rsidR="00957698">
        <w:rPr>
          <w:rFonts w:asciiTheme="minorHAnsi" w:hAnsiTheme="minorHAnsi" w:cstheme="minorHAnsi"/>
          <w:sz w:val="24"/>
          <w:szCs w:val="24"/>
          <w:lang w:val="en-GB"/>
        </w:rPr>
        <w:t xml:space="preserve"> </w:t>
      </w:r>
      <w:r>
        <w:rPr>
          <w:rFonts w:asciiTheme="minorHAnsi" w:hAnsiTheme="minorHAnsi" w:cstheme="minorHAnsi"/>
          <w:sz w:val="24"/>
          <w:szCs w:val="24"/>
          <w:lang w:val="en-GB"/>
        </w:rPr>
        <w:t>available</w:t>
      </w:r>
      <w:r w:rsidR="00D127EF">
        <w:rPr>
          <w:rFonts w:asciiTheme="minorHAnsi" w:hAnsiTheme="minorHAnsi" w:cstheme="minorHAnsi"/>
          <w:sz w:val="24"/>
          <w:szCs w:val="24"/>
          <w:lang w:val="en-GB"/>
        </w:rPr>
        <w:t xml:space="preserve"> for post transplantation care</w:t>
      </w:r>
      <w:r>
        <w:rPr>
          <w:rFonts w:asciiTheme="minorHAnsi" w:hAnsiTheme="minorHAnsi" w:cstheme="minorHAnsi"/>
          <w:sz w:val="24"/>
          <w:szCs w:val="24"/>
          <w:lang w:val="en-GB"/>
        </w:rPr>
        <w:t>, patients were usually able to</w:t>
      </w:r>
      <w:r>
        <w:rPr>
          <w:rStyle w:val="CommentReference"/>
        </w:rPr>
        <w:t xml:space="preserve"> </w:t>
      </w:r>
      <w:r>
        <w:rPr>
          <w:rFonts w:asciiTheme="minorHAnsi" w:hAnsiTheme="minorHAnsi" w:cstheme="minorHAnsi"/>
          <w:sz w:val="24"/>
          <w:szCs w:val="24"/>
          <w:lang w:val="en-GB"/>
        </w:rPr>
        <w:t xml:space="preserve">return to their </w:t>
      </w:r>
      <w:r w:rsidR="00E33662">
        <w:rPr>
          <w:rFonts w:asciiTheme="minorHAnsi" w:hAnsiTheme="minorHAnsi" w:cstheme="minorHAnsi"/>
          <w:sz w:val="24"/>
          <w:szCs w:val="24"/>
          <w:lang w:val="en-GB"/>
        </w:rPr>
        <w:t>p</w:t>
      </w:r>
      <w:r w:rsidR="00E33662" w:rsidRPr="00E33662">
        <w:rPr>
          <w:rFonts w:asciiTheme="minorHAnsi" w:hAnsiTheme="minorHAnsi" w:cstheme="minorHAnsi"/>
          <w:sz w:val="24"/>
          <w:szCs w:val="24"/>
          <w:lang w:val="en-GB"/>
        </w:rPr>
        <w:t>lace of residence for ongoing care in the community setting</w:t>
      </w:r>
      <w:r>
        <w:rPr>
          <w:rFonts w:asciiTheme="minorHAnsi" w:hAnsiTheme="minorHAnsi" w:cstheme="minorHAnsi"/>
          <w:sz w:val="24"/>
          <w:szCs w:val="24"/>
          <w:lang w:val="en-GB"/>
        </w:rPr>
        <w:t>. The Review found that where this option was available, local physicians were</w:t>
      </w:r>
      <w:r w:rsidR="00E33662">
        <w:rPr>
          <w:rFonts w:asciiTheme="minorHAnsi" w:hAnsiTheme="minorHAnsi" w:cstheme="minorHAnsi"/>
          <w:sz w:val="24"/>
          <w:szCs w:val="24"/>
          <w:lang w:val="en-GB"/>
        </w:rPr>
        <w:t xml:space="preserve"> reported to be</w:t>
      </w:r>
      <w:r>
        <w:rPr>
          <w:rFonts w:asciiTheme="minorHAnsi" w:hAnsiTheme="minorHAnsi" w:cstheme="minorHAnsi"/>
          <w:sz w:val="24"/>
          <w:szCs w:val="24"/>
          <w:lang w:val="en-GB"/>
        </w:rPr>
        <w:t xml:space="preserve"> well trained in post transplantation care and had strong connections with transplantation programs to enable continuing professional </w:t>
      </w:r>
      <w:r w:rsidR="00C41B67">
        <w:rPr>
          <w:rFonts w:asciiTheme="minorHAnsi" w:hAnsiTheme="minorHAnsi" w:cstheme="minorHAnsi"/>
          <w:sz w:val="24"/>
          <w:szCs w:val="24"/>
          <w:lang w:val="en-GB"/>
        </w:rPr>
        <w:t>development</w:t>
      </w:r>
      <w:r>
        <w:rPr>
          <w:rFonts w:asciiTheme="minorHAnsi" w:hAnsiTheme="minorHAnsi" w:cstheme="minorHAnsi"/>
          <w:sz w:val="24"/>
          <w:szCs w:val="24"/>
          <w:lang w:val="en-GB"/>
        </w:rPr>
        <w:t xml:space="preserve"> in new practices (such as antibody testing and post transplantation medication) and shared care. </w:t>
      </w:r>
    </w:p>
    <w:p w14:paraId="44A4666C" w14:textId="6E8ED375" w:rsidR="006F4E24" w:rsidRDefault="006F4E24" w:rsidP="006F4E24">
      <w:pPr>
        <w:tabs>
          <w:tab w:val="num" w:pos="720"/>
        </w:tabs>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However, not all </w:t>
      </w:r>
      <w:r w:rsidR="00E33662">
        <w:rPr>
          <w:rFonts w:asciiTheme="minorHAnsi" w:hAnsiTheme="minorHAnsi" w:cstheme="minorHAnsi"/>
          <w:sz w:val="24"/>
          <w:szCs w:val="24"/>
          <w:lang w:val="en-GB"/>
        </w:rPr>
        <w:t xml:space="preserve">renal </w:t>
      </w:r>
      <w:r>
        <w:rPr>
          <w:rFonts w:asciiTheme="minorHAnsi" w:hAnsiTheme="minorHAnsi" w:cstheme="minorHAnsi"/>
          <w:sz w:val="24"/>
          <w:szCs w:val="24"/>
          <w:lang w:val="en-GB"/>
        </w:rPr>
        <w:t>transplant</w:t>
      </w:r>
      <w:r w:rsidR="00D72901">
        <w:rPr>
          <w:rFonts w:asciiTheme="minorHAnsi" w:hAnsiTheme="minorHAnsi" w:cstheme="minorHAnsi"/>
          <w:sz w:val="24"/>
          <w:szCs w:val="24"/>
          <w:lang w:val="en-GB"/>
        </w:rPr>
        <w:t>ation</w:t>
      </w:r>
      <w:r>
        <w:rPr>
          <w:rFonts w:asciiTheme="minorHAnsi" w:hAnsiTheme="minorHAnsi" w:cstheme="minorHAnsi"/>
          <w:sz w:val="24"/>
          <w:szCs w:val="24"/>
          <w:lang w:val="en-GB"/>
        </w:rPr>
        <w:t xml:space="preserve"> programs across Australia </w:t>
      </w:r>
      <w:r w:rsidR="00C41B67">
        <w:rPr>
          <w:rFonts w:asciiTheme="minorHAnsi" w:hAnsiTheme="minorHAnsi" w:cstheme="minorHAnsi"/>
          <w:sz w:val="24"/>
          <w:szCs w:val="24"/>
          <w:lang w:val="en-GB"/>
        </w:rPr>
        <w:t>have</w:t>
      </w:r>
      <w:r>
        <w:rPr>
          <w:rFonts w:asciiTheme="minorHAnsi" w:hAnsiTheme="minorHAnsi" w:cstheme="minorHAnsi"/>
          <w:sz w:val="24"/>
          <w:szCs w:val="24"/>
          <w:lang w:val="en-GB"/>
        </w:rPr>
        <w:t xml:space="preserve"> well networked access to care in the community for recipients post transplantation. This was found to increase pressure on recipients</w:t>
      </w:r>
      <w:r w:rsidR="00C41B67">
        <w:rPr>
          <w:rFonts w:asciiTheme="minorHAnsi" w:hAnsiTheme="minorHAnsi" w:cstheme="minorHAnsi"/>
          <w:sz w:val="24"/>
          <w:szCs w:val="24"/>
          <w:lang w:val="en-GB"/>
        </w:rPr>
        <w:t xml:space="preserve"> – </w:t>
      </w:r>
      <w:r>
        <w:rPr>
          <w:rFonts w:asciiTheme="minorHAnsi" w:hAnsiTheme="minorHAnsi" w:cstheme="minorHAnsi"/>
          <w:sz w:val="24"/>
          <w:szCs w:val="24"/>
          <w:lang w:val="en-GB"/>
        </w:rPr>
        <w:t xml:space="preserve">in terms of cost and risked the overall outcomes </w:t>
      </w:r>
      <w:r w:rsidR="00C41B67">
        <w:rPr>
          <w:rFonts w:asciiTheme="minorHAnsi" w:hAnsiTheme="minorHAnsi" w:cstheme="minorHAnsi"/>
          <w:sz w:val="24"/>
          <w:szCs w:val="24"/>
          <w:lang w:val="en-GB"/>
        </w:rPr>
        <w:t>–</w:t>
      </w:r>
      <w:r>
        <w:rPr>
          <w:rFonts w:asciiTheme="minorHAnsi" w:hAnsiTheme="minorHAnsi" w:cstheme="minorHAnsi"/>
          <w:sz w:val="24"/>
          <w:szCs w:val="24"/>
          <w:lang w:val="en-GB"/>
        </w:rPr>
        <w:t>increas</w:t>
      </w:r>
      <w:r w:rsidR="00C41B67">
        <w:rPr>
          <w:rFonts w:asciiTheme="minorHAnsi" w:hAnsiTheme="minorHAnsi" w:cstheme="minorHAnsi"/>
          <w:sz w:val="24"/>
          <w:szCs w:val="24"/>
          <w:lang w:val="en-GB"/>
        </w:rPr>
        <w:t>ing</w:t>
      </w:r>
      <w:r>
        <w:rPr>
          <w:rFonts w:asciiTheme="minorHAnsi" w:hAnsiTheme="minorHAnsi" w:cstheme="minorHAnsi"/>
          <w:sz w:val="24"/>
          <w:szCs w:val="24"/>
          <w:lang w:val="en-GB"/>
        </w:rPr>
        <w:t xml:space="preserve"> the inequity experienced by recipients.</w:t>
      </w:r>
    </w:p>
    <w:p w14:paraId="077820F3" w14:textId="77777777" w:rsidR="00545748" w:rsidRPr="00F01BC7" w:rsidRDefault="00545748" w:rsidP="00AE3ED1">
      <w:pPr>
        <w:shd w:val="clear" w:color="auto" w:fill="DCEFF4"/>
        <w:tabs>
          <w:tab w:val="num" w:pos="720"/>
        </w:tabs>
        <w:spacing w:after="120"/>
        <w:rPr>
          <w:rFonts w:asciiTheme="minorHAnsi" w:hAnsiTheme="minorHAnsi" w:cstheme="minorHAnsi"/>
          <w:b/>
          <w:sz w:val="22"/>
          <w:szCs w:val="24"/>
          <w:lang w:val="en-GB"/>
        </w:rPr>
      </w:pPr>
      <w:r w:rsidRPr="00F01BC7">
        <w:rPr>
          <w:rFonts w:asciiTheme="minorHAnsi" w:hAnsiTheme="minorHAnsi" w:cstheme="minorHAnsi"/>
          <w:b/>
          <w:sz w:val="22"/>
          <w:szCs w:val="24"/>
          <w:lang w:val="en-GB"/>
        </w:rPr>
        <w:t xml:space="preserve">Advances in post transplantation care  </w:t>
      </w:r>
    </w:p>
    <w:p w14:paraId="2694D0A3" w14:textId="77777777" w:rsidR="00545748" w:rsidRPr="00AE3ED1" w:rsidRDefault="00545748" w:rsidP="00AE3ED1">
      <w:pPr>
        <w:shd w:val="clear" w:color="auto" w:fill="DCEFF4"/>
        <w:tabs>
          <w:tab w:val="num" w:pos="720"/>
        </w:tabs>
        <w:spacing w:after="120"/>
        <w:rPr>
          <w:rFonts w:asciiTheme="minorHAnsi" w:hAnsiTheme="minorHAnsi" w:cstheme="minorHAnsi"/>
          <w:sz w:val="22"/>
          <w:szCs w:val="24"/>
          <w:lang w:val="en-GB"/>
        </w:rPr>
      </w:pPr>
      <w:r w:rsidRPr="00AE3ED1">
        <w:rPr>
          <w:rFonts w:asciiTheme="minorHAnsi" w:hAnsiTheme="minorHAnsi" w:cstheme="minorHAnsi"/>
          <w:sz w:val="22"/>
          <w:szCs w:val="24"/>
          <w:lang w:val="en-GB"/>
        </w:rPr>
        <w:t xml:space="preserve">There are multiple areas of active research that are predicted to deliver change in the clinical practice of post transplantation care within the next ten years.  </w:t>
      </w:r>
    </w:p>
    <w:p w14:paraId="3614C632" w14:textId="77777777" w:rsidR="00545748" w:rsidRPr="00AE3ED1" w:rsidRDefault="00545748" w:rsidP="00AE3ED1">
      <w:pPr>
        <w:shd w:val="clear" w:color="auto" w:fill="DCEFF4"/>
        <w:tabs>
          <w:tab w:val="num" w:pos="720"/>
        </w:tabs>
        <w:spacing w:after="120"/>
        <w:rPr>
          <w:rFonts w:asciiTheme="minorHAnsi" w:hAnsiTheme="minorHAnsi" w:cstheme="minorHAnsi"/>
          <w:sz w:val="22"/>
          <w:szCs w:val="24"/>
          <w:lang w:val="en-GB"/>
        </w:rPr>
      </w:pPr>
      <w:r w:rsidRPr="00AE3ED1">
        <w:rPr>
          <w:rFonts w:asciiTheme="minorHAnsi" w:hAnsiTheme="minorHAnsi" w:cstheme="minorHAnsi"/>
          <w:sz w:val="22"/>
          <w:szCs w:val="24"/>
          <w:lang w:val="en-GB"/>
        </w:rPr>
        <w:t xml:space="preserve">Clinicians reported that transplantation units are combining cellular therapies with organ transplantation for the treatment of drug resistant viral and fungal infections in organ and bone marrow transplant recipients. This new technique is likely to become common therapy and the standard of care for some clinical situations. The ability to detect transplant rejections reliably from a blood or urine test is also within reach using gene testing approaches. </w:t>
      </w:r>
    </w:p>
    <w:p w14:paraId="560442DB" w14:textId="77777777" w:rsidR="00545748" w:rsidRPr="00AE3ED1" w:rsidRDefault="00545748" w:rsidP="00AE3ED1">
      <w:pPr>
        <w:shd w:val="clear" w:color="auto" w:fill="DCEFF4"/>
        <w:tabs>
          <w:tab w:val="num" w:pos="720"/>
        </w:tabs>
        <w:spacing w:after="120"/>
        <w:rPr>
          <w:rFonts w:asciiTheme="minorHAnsi" w:hAnsiTheme="minorHAnsi" w:cstheme="minorHAnsi"/>
          <w:sz w:val="22"/>
          <w:szCs w:val="24"/>
          <w:lang w:val="en-GB"/>
        </w:rPr>
      </w:pPr>
      <w:r w:rsidRPr="00AE3ED1">
        <w:rPr>
          <w:rFonts w:asciiTheme="minorHAnsi" w:hAnsiTheme="minorHAnsi" w:cstheme="minorHAnsi"/>
          <w:sz w:val="22"/>
          <w:szCs w:val="24"/>
          <w:lang w:val="en-GB"/>
        </w:rPr>
        <w:t xml:space="preserve">With the utilisation of home monitoring and point of care testing, patients will no longer be required to relocate or travel to centralised facilities for post transplantation care, optimising care options for patients living in rural and remote Australia. The expanding use of technologies such as telehealth will also bring a multitude of benefits. Treating clinicians will be able to virtually maintain continuity of care after the patient is discharged from hospital, and patients will be able to receive efficient and convenient follow-up care minimising transportation costs.  </w:t>
      </w:r>
    </w:p>
    <w:p w14:paraId="7C85AB77" w14:textId="77777777" w:rsidR="00545748" w:rsidRPr="00AE3ED1" w:rsidRDefault="00545748" w:rsidP="00AE3ED1">
      <w:pPr>
        <w:shd w:val="clear" w:color="auto" w:fill="DCEFF4"/>
        <w:tabs>
          <w:tab w:val="num" w:pos="720"/>
        </w:tabs>
        <w:spacing w:after="120"/>
        <w:rPr>
          <w:rFonts w:asciiTheme="minorHAnsi" w:hAnsiTheme="minorHAnsi" w:cstheme="minorHAnsi"/>
          <w:sz w:val="22"/>
          <w:szCs w:val="24"/>
          <w:lang w:val="en-GB"/>
        </w:rPr>
      </w:pPr>
      <w:r w:rsidRPr="00AE3ED1">
        <w:rPr>
          <w:rFonts w:asciiTheme="minorHAnsi" w:hAnsiTheme="minorHAnsi" w:cstheme="minorHAnsi"/>
          <w:sz w:val="22"/>
          <w:szCs w:val="24"/>
          <w:lang w:val="en-GB"/>
        </w:rPr>
        <w:t xml:space="preserve">The Review found that post-operative medications are expensive, with an estimated cost of $2,800 AUD for the first three months of maintenance.  This price is not inclusive of the immunosuppressant drugs required. 80 per cent of patients are administered Basiliximab, a new drug recently released to the market, costing approximately $6,666 AUD per course. The remaining 20 per cent will require Anti-Thymocyte Globulin, costing approximately $10,000 AUD in the first year.  </w:t>
      </w:r>
    </w:p>
    <w:p w14:paraId="2461832E" w14:textId="2F0FE141" w:rsidR="00545748" w:rsidRPr="00AE3ED1" w:rsidRDefault="00545748" w:rsidP="00AE3ED1">
      <w:pPr>
        <w:shd w:val="clear" w:color="auto" w:fill="DCEFF4"/>
        <w:tabs>
          <w:tab w:val="num" w:pos="720"/>
        </w:tabs>
        <w:spacing w:after="120"/>
        <w:rPr>
          <w:rFonts w:asciiTheme="minorHAnsi" w:hAnsiTheme="minorHAnsi" w:cstheme="minorHAnsi"/>
          <w:sz w:val="22"/>
          <w:szCs w:val="24"/>
          <w:lang w:val="en-GB"/>
        </w:rPr>
      </w:pPr>
      <w:r w:rsidRPr="00AE3ED1">
        <w:rPr>
          <w:rFonts w:asciiTheme="minorHAnsi" w:hAnsiTheme="minorHAnsi" w:cstheme="minorHAnsi"/>
          <w:sz w:val="22"/>
          <w:szCs w:val="24"/>
          <w:lang w:val="en-GB"/>
        </w:rPr>
        <w:t>New drugs are predicted to be released into the market within the next ten years. Its introduction will improve outcomes, aiming to prevent or treat fibrosis, resolve infectious risks and prevent antibody medicated drugs. However, this will inevitably increase the financial burden of post-operative care. The appropriate economic drivers must be set in place to accommodate for these costs as well as encourage the adoption of new developments to improve patient outcomes.</w:t>
      </w:r>
    </w:p>
    <w:p w14:paraId="71FA13E3" w14:textId="77777777" w:rsidR="006F4E24" w:rsidRPr="004938CA" w:rsidRDefault="009F53C5" w:rsidP="006F4E24">
      <w:pPr>
        <w:pStyle w:val="Heading3"/>
        <w:tabs>
          <w:tab w:val="clear" w:pos="1843"/>
          <w:tab w:val="num" w:pos="1559"/>
        </w:tabs>
        <w:ind w:left="992" w:hanging="992"/>
      </w:pPr>
      <w:bookmarkStart w:id="678" w:name="_Ref527634125"/>
      <w:r>
        <w:rPr>
          <w:rFonts w:asciiTheme="minorHAnsi" w:hAnsiTheme="minorHAnsi" w:cstheme="minorHAnsi"/>
          <w:b w:val="0"/>
          <w:color w:val="7F7F7F" w:themeColor="text1" w:themeTint="80"/>
          <w:sz w:val="30"/>
          <w:szCs w:val="30"/>
        </w:rPr>
        <w:t>N</w:t>
      </w:r>
      <w:r w:rsidR="006F4E24">
        <w:rPr>
          <w:rFonts w:asciiTheme="minorHAnsi" w:hAnsiTheme="minorHAnsi" w:cstheme="minorHAnsi"/>
          <w:b w:val="0"/>
          <w:color w:val="7F7F7F" w:themeColor="text1" w:themeTint="80"/>
          <w:sz w:val="30"/>
          <w:szCs w:val="30"/>
        </w:rPr>
        <w:t xml:space="preserve">on-renal </w:t>
      </w:r>
      <w:r>
        <w:rPr>
          <w:rFonts w:asciiTheme="minorHAnsi" w:hAnsiTheme="minorHAnsi" w:cstheme="minorHAnsi"/>
          <w:b w:val="0"/>
          <w:color w:val="7F7F7F" w:themeColor="text1" w:themeTint="80"/>
          <w:sz w:val="30"/>
          <w:szCs w:val="30"/>
        </w:rPr>
        <w:t xml:space="preserve">post </w:t>
      </w:r>
      <w:r w:rsidR="006F4E24">
        <w:rPr>
          <w:rFonts w:asciiTheme="minorHAnsi" w:hAnsiTheme="minorHAnsi" w:cstheme="minorHAnsi"/>
          <w:b w:val="0"/>
          <w:color w:val="7F7F7F" w:themeColor="text1" w:themeTint="80"/>
          <w:sz w:val="30"/>
          <w:szCs w:val="30"/>
        </w:rPr>
        <w:t>transplantation care</w:t>
      </w:r>
      <w:bookmarkEnd w:id="678"/>
    </w:p>
    <w:p w14:paraId="21D9DB1C" w14:textId="77777777" w:rsidR="006F4E24" w:rsidRDefault="006F4E24" w:rsidP="006F4E24">
      <w:pPr>
        <w:tabs>
          <w:tab w:val="num" w:pos="720"/>
        </w:tabs>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Heart, liver and lung transplantation programs generally maintain their patients at clinics within the program post transplantation. The Review found that this approach was preferred by clinicians as it ensured that patients maintained continuity of care and were monitored effectively according to their needs. It was also found that options for post transplantation care in community settings for heart, lung and liver transplant recipients were limited due to availability of appropriately trained physicians. </w:t>
      </w:r>
    </w:p>
    <w:p w14:paraId="3DB78D86" w14:textId="77777777" w:rsidR="00F85616" w:rsidRDefault="006F4E24" w:rsidP="006F4E24">
      <w:pPr>
        <w:tabs>
          <w:tab w:val="num" w:pos="720"/>
        </w:tabs>
        <w:spacing w:after="120"/>
        <w:rPr>
          <w:rFonts w:asciiTheme="minorHAnsi" w:hAnsiTheme="minorHAnsi" w:cstheme="minorHAnsi"/>
          <w:sz w:val="24"/>
          <w:szCs w:val="24"/>
          <w:lang w:val="en-GB"/>
        </w:rPr>
      </w:pPr>
      <w:r>
        <w:rPr>
          <w:rFonts w:asciiTheme="minorHAnsi" w:hAnsiTheme="minorHAnsi" w:cstheme="minorHAnsi"/>
          <w:sz w:val="24"/>
          <w:szCs w:val="24"/>
          <w:lang w:val="en-GB"/>
        </w:rPr>
        <w:t>Although the current post transplantation care model in heart, lung and liver transplantation has enabled high quality patient outcomes for transplant recipients, the sustainability of the model will become problematic into the future as the number of transplantations continues to increase. Further, the current model places a high burden on transplant recipients having to travel to the transplant</w:t>
      </w:r>
      <w:r w:rsidR="00647282">
        <w:rPr>
          <w:rFonts w:asciiTheme="minorHAnsi" w:hAnsiTheme="minorHAnsi" w:cstheme="minorHAnsi"/>
          <w:sz w:val="24"/>
          <w:szCs w:val="24"/>
          <w:lang w:val="en-GB"/>
        </w:rPr>
        <w:t>ation</w:t>
      </w:r>
      <w:r>
        <w:rPr>
          <w:rFonts w:asciiTheme="minorHAnsi" w:hAnsiTheme="minorHAnsi" w:cstheme="minorHAnsi"/>
          <w:sz w:val="24"/>
          <w:szCs w:val="24"/>
          <w:lang w:val="en-GB"/>
        </w:rPr>
        <w:t xml:space="preserve"> clinics regularly, particularly for those recipients living in rural and remote regions as well as those from low socio-economic backgrounds.</w:t>
      </w:r>
    </w:p>
    <w:p w14:paraId="45BD2B0A" w14:textId="77777777" w:rsidR="00AB67DA" w:rsidRDefault="00F85616" w:rsidP="006F4E24">
      <w:pPr>
        <w:tabs>
          <w:tab w:val="num" w:pos="720"/>
        </w:tabs>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Given the expected increase in </w:t>
      </w:r>
      <w:r w:rsidR="009C4A12">
        <w:rPr>
          <w:rFonts w:asciiTheme="minorHAnsi" w:hAnsiTheme="minorHAnsi" w:cstheme="minorHAnsi"/>
          <w:sz w:val="24"/>
          <w:szCs w:val="24"/>
          <w:lang w:val="en-GB"/>
        </w:rPr>
        <w:t xml:space="preserve">the </w:t>
      </w:r>
      <w:r>
        <w:rPr>
          <w:rFonts w:asciiTheme="minorHAnsi" w:hAnsiTheme="minorHAnsi" w:cstheme="minorHAnsi"/>
          <w:sz w:val="24"/>
          <w:szCs w:val="24"/>
          <w:lang w:val="en-GB"/>
        </w:rPr>
        <w:t xml:space="preserve">volume of transplants </w:t>
      </w:r>
      <w:r w:rsidR="009C4A12">
        <w:rPr>
          <w:rFonts w:asciiTheme="minorHAnsi" w:hAnsiTheme="minorHAnsi" w:cstheme="minorHAnsi"/>
          <w:sz w:val="24"/>
          <w:szCs w:val="24"/>
          <w:lang w:val="en-GB"/>
        </w:rPr>
        <w:t>in the coming years</w:t>
      </w:r>
      <w:r>
        <w:rPr>
          <w:rFonts w:asciiTheme="minorHAnsi" w:hAnsiTheme="minorHAnsi" w:cstheme="minorHAnsi"/>
          <w:sz w:val="24"/>
          <w:szCs w:val="24"/>
          <w:lang w:val="en-GB"/>
        </w:rPr>
        <w:t xml:space="preserve">, the </w:t>
      </w:r>
      <w:r w:rsidR="009C4A12">
        <w:rPr>
          <w:rFonts w:asciiTheme="minorHAnsi" w:hAnsiTheme="minorHAnsi" w:cstheme="minorHAnsi"/>
          <w:sz w:val="24"/>
          <w:szCs w:val="24"/>
          <w:lang w:val="en-GB"/>
        </w:rPr>
        <w:t>R</w:t>
      </w:r>
      <w:r>
        <w:rPr>
          <w:rFonts w:asciiTheme="minorHAnsi" w:hAnsiTheme="minorHAnsi" w:cstheme="minorHAnsi"/>
          <w:sz w:val="24"/>
          <w:szCs w:val="24"/>
          <w:lang w:val="en-GB"/>
        </w:rPr>
        <w:t xml:space="preserve">eview found that </w:t>
      </w:r>
      <w:r w:rsidR="001073C8">
        <w:rPr>
          <w:rFonts w:asciiTheme="minorHAnsi" w:hAnsiTheme="minorHAnsi" w:cstheme="minorHAnsi"/>
          <w:sz w:val="24"/>
          <w:szCs w:val="24"/>
          <w:lang w:val="en-GB"/>
        </w:rPr>
        <w:t xml:space="preserve">non-renal </w:t>
      </w:r>
      <w:r w:rsidRPr="00E33662">
        <w:rPr>
          <w:rFonts w:asciiTheme="minorHAnsi" w:hAnsiTheme="minorHAnsi" w:cstheme="minorHAnsi"/>
          <w:sz w:val="24"/>
          <w:szCs w:val="24"/>
          <w:lang w:val="en-GB"/>
        </w:rPr>
        <w:t>post transplantation care</w:t>
      </w:r>
      <w:r>
        <w:rPr>
          <w:rFonts w:asciiTheme="minorHAnsi" w:hAnsiTheme="minorHAnsi" w:cstheme="minorHAnsi"/>
          <w:sz w:val="24"/>
          <w:szCs w:val="24"/>
          <w:lang w:val="en-GB"/>
        </w:rPr>
        <w:t xml:space="preserve"> should be shared with specialised local clinicians. </w:t>
      </w:r>
      <w:r w:rsidR="00AB67DA">
        <w:rPr>
          <w:rFonts w:asciiTheme="minorHAnsi" w:hAnsiTheme="minorHAnsi" w:cstheme="minorHAnsi"/>
          <w:sz w:val="24"/>
          <w:szCs w:val="24"/>
          <w:lang w:val="en-GB"/>
        </w:rPr>
        <w:t xml:space="preserve">This would ensure that post transplantation clinics in transplantation units remain sustainable and patients continue </w:t>
      </w:r>
      <w:r w:rsidR="006F2BC9">
        <w:rPr>
          <w:rFonts w:asciiTheme="minorHAnsi" w:hAnsiTheme="minorHAnsi" w:cstheme="minorHAnsi"/>
          <w:sz w:val="24"/>
          <w:szCs w:val="24"/>
          <w:lang w:val="en-GB"/>
        </w:rPr>
        <w:t xml:space="preserve">to access </w:t>
      </w:r>
      <w:r w:rsidR="00AB67DA">
        <w:rPr>
          <w:rFonts w:asciiTheme="minorHAnsi" w:hAnsiTheme="minorHAnsi" w:cstheme="minorHAnsi"/>
          <w:sz w:val="24"/>
          <w:szCs w:val="24"/>
          <w:lang w:val="en-GB"/>
        </w:rPr>
        <w:t>appropriate care post transplantation</w:t>
      </w:r>
      <w:r w:rsidR="006F2BC9">
        <w:rPr>
          <w:rFonts w:asciiTheme="minorHAnsi" w:hAnsiTheme="minorHAnsi" w:cstheme="minorHAnsi"/>
          <w:sz w:val="24"/>
          <w:szCs w:val="24"/>
          <w:lang w:val="en-GB"/>
        </w:rPr>
        <w:t>,</w:t>
      </w:r>
      <w:r w:rsidR="00AB67DA">
        <w:rPr>
          <w:rFonts w:asciiTheme="minorHAnsi" w:hAnsiTheme="minorHAnsi" w:cstheme="minorHAnsi"/>
          <w:sz w:val="24"/>
          <w:szCs w:val="24"/>
          <w:lang w:val="en-GB"/>
        </w:rPr>
        <w:t xml:space="preserve"> with less impact </w:t>
      </w:r>
      <w:r w:rsidR="006F2BC9">
        <w:rPr>
          <w:rFonts w:asciiTheme="minorHAnsi" w:hAnsiTheme="minorHAnsi" w:cstheme="minorHAnsi"/>
          <w:sz w:val="24"/>
          <w:szCs w:val="24"/>
          <w:lang w:val="en-GB"/>
        </w:rPr>
        <w:t xml:space="preserve">both </w:t>
      </w:r>
      <w:r w:rsidR="00AB67DA">
        <w:rPr>
          <w:rFonts w:asciiTheme="minorHAnsi" w:hAnsiTheme="minorHAnsi" w:cstheme="minorHAnsi"/>
          <w:sz w:val="24"/>
          <w:szCs w:val="24"/>
          <w:lang w:val="en-GB"/>
        </w:rPr>
        <w:t>socially and economically.</w:t>
      </w:r>
    </w:p>
    <w:p w14:paraId="052904EA" w14:textId="77777777" w:rsidR="006F4E24" w:rsidRDefault="00AB67DA" w:rsidP="006F4E24">
      <w:pPr>
        <w:tabs>
          <w:tab w:val="num" w:pos="720"/>
        </w:tabs>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To effectively implement a shared care model </w:t>
      </w:r>
      <w:r w:rsidRPr="00E33662">
        <w:rPr>
          <w:rFonts w:asciiTheme="minorHAnsi" w:hAnsiTheme="minorHAnsi" w:cstheme="minorHAnsi"/>
          <w:sz w:val="24"/>
          <w:szCs w:val="24"/>
          <w:lang w:val="en-GB"/>
        </w:rPr>
        <w:t xml:space="preserve">for non-renal </w:t>
      </w:r>
      <w:r w:rsidR="001073C8">
        <w:rPr>
          <w:rFonts w:asciiTheme="minorHAnsi" w:hAnsiTheme="minorHAnsi" w:cstheme="minorHAnsi"/>
          <w:sz w:val="24"/>
          <w:szCs w:val="24"/>
          <w:lang w:val="en-GB"/>
        </w:rPr>
        <w:t xml:space="preserve">post </w:t>
      </w:r>
      <w:r w:rsidRPr="00E33662">
        <w:rPr>
          <w:rFonts w:asciiTheme="minorHAnsi" w:hAnsiTheme="minorHAnsi" w:cstheme="minorHAnsi"/>
          <w:sz w:val="24"/>
          <w:szCs w:val="24"/>
          <w:lang w:val="en-GB"/>
        </w:rPr>
        <w:t>transplantation care</w:t>
      </w:r>
      <w:r>
        <w:rPr>
          <w:rFonts w:asciiTheme="minorHAnsi" w:hAnsiTheme="minorHAnsi" w:cstheme="minorHAnsi"/>
          <w:sz w:val="24"/>
          <w:szCs w:val="24"/>
          <w:lang w:val="en-GB"/>
        </w:rPr>
        <w:t>, shared care protocols are required between local clinicians and transplant</w:t>
      </w:r>
      <w:r w:rsidR="00595193">
        <w:rPr>
          <w:rFonts w:asciiTheme="minorHAnsi" w:hAnsiTheme="minorHAnsi" w:cstheme="minorHAnsi"/>
          <w:sz w:val="24"/>
          <w:szCs w:val="24"/>
          <w:lang w:val="en-GB"/>
        </w:rPr>
        <w:t>ation</w:t>
      </w:r>
      <w:r>
        <w:rPr>
          <w:rFonts w:asciiTheme="minorHAnsi" w:hAnsiTheme="minorHAnsi" w:cstheme="minorHAnsi"/>
          <w:sz w:val="24"/>
          <w:szCs w:val="24"/>
          <w:lang w:val="en-GB"/>
        </w:rPr>
        <w:t xml:space="preserve"> units. Further, </w:t>
      </w:r>
      <w:r w:rsidR="00E33662">
        <w:rPr>
          <w:rFonts w:asciiTheme="minorHAnsi" w:hAnsiTheme="minorHAnsi" w:cstheme="minorHAnsi"/>
          <w:sz w:val="24"/>
          <w:szCs w:val="24"/>
          <w:lang w:val="en-GB"/>
        </w:rPr>
        <w:t>information technology</w:t>
      </w:r>
      <w:r>
        <w:rPr>
          <w:rFonts w:asciiTheme="minorHAnsi" w:hAnsiTheme="minorHAnsi" w:cstheme="minorHAnsi"/>
          <w:sz w:val="24"/>
          <w:szCs w:val="24"/>
          <w:lang w:val="en-GB"/>
        </w:rPr>
        <w:t xml:space="preserve"> solutions are required to enable shared pati</w:t>
      </w:r>
      <w:r w:rsidR="00ED052E">
        <w:rPr>
          <w:rFonts w:asciiTheme="minorHAnsi" w:hAnsiTheme="minorHAnsi" w:cstheme="minorHAnsi"/>
          <w:sz w:val="24"/>
          <w:szCs w:val="24"/>
          <w:lang w:val="en-GB"/>
        </w:rPr>
        <w:t>ent records. T</w:t>
      </w:r>
      <w:r>
        <w:rPr>
          <w:rFonts w:asciiTheme="minorHAnsi" w:hAnsiTheme="minorHAnsi" w:cstheme="minorHAnsi"/>
          <w:sz w:val="24"/>
          <w:szCs w:val="24"/>
          <w:lang w:val="en-GB"/>
        </w:rPr>
        <w:t>raining programs, resources and infrastructure are required to ensure that local clinicians are effectively skilled and resourced to manage patients locally.</w:t>
      </w:r>
      <w:r w:rsidR="006F2BC9">
        <w:rPr>
          <w:rFonts w:asciiTheme="minorHAnsi" w:hAnsiTheme="minorHAnsi" w:cstheme="minorHAnsi"/>
          <w:sz w:val="24"/>
          <w:szCs w:val="24"/>
          <w:lang w:val="en-GB"/>
        </w:rPr>
        <w:t xml:space="preserve"> In addition,</w:t>
      </w:r>
      <w:r w:rsidR="00ED052E">
        <w:rPr>
          <w:rFonts w:asciiTheme="minorHAnsi" w:hAnsiTheme="minorHAnsi" w:cstheme="minorHAnsi"/>
          <w:sz w:val="24"/>
          <w:szCs w:val="24"/>
          <w:lang w:val="en-GB"/>
        </w:rPr>
        <w:t xml:space="preserve"> current MBS funding requires review in order to enable the delivery of services in the local setting. This is discussed further in </w:t>
      </w:r>
      <w:r w:rsidR="00CB4E0F">
        <w:rPr>
          <w:rFonts w:asciiTheme="minorHAnsi" w:hAnsiTheme="minorHAnsi" w:cstheme="minorHAnsi"/>
          <w:sz w:val="24"/>
          <w:szCs w:val="24"/>
          <w:lang w:val="en-GB"/>
        </w:rPr>
        <w:t>S</w:t>
      </w:r>
      <w:r w:rsidR="00ED052E">
        <w:rPr>
          <w:rFonts w:asciiTheme="minorHAnsi" w:hAnsiTheme="minorHAnsi" w:cstheme="minorHAnsi"/>
          <w:sz w:val="24"/>
          <w:szCs w:val="24"/>
          <w:lang w:val="en-GB"/>
        </w:rPr>
        <w:t xml:space="preserve">ection </w:t>
      </w:r>
      <w:r w:rsidR="00046411">
        <w:rPr>
          <w:rFonts w:asciiTheme="minorHAnsi" w:hAnsiTheme="minorHAnsi" w:cstheme="minorHAnsi"/>
          <w:sz w:val="24"/>
          <w:szCs w:val="24"/>
          <w:lang w:val="en-GB"/>
        </w:rPr>
        <w:t>7.2.2</w:t>
      </w:r>
      <w:r w:rsidR="00ED052E">
        <w:rPr>
          <w:rFonts w:asciiTheme="minorHAnsi" w:hAnsiTheme="minorHAnsi" w:cstheme="minorHAnsi"/>
          <w:sz w:val="24"/>
          <w:szCs w:val="24"/>
          <w:lang w:val="en-GB"/>
        </w:rPr>
        <w:t>.</w:t>
      </w:r>
    </w:p>
    <w:p w14:paraId="11AE362A" w14:textId="77777777" w:rsidR="006F4E24" w:rsidRPr="004938CA" w:rsidRDefault="006F4E24" w:rsidP="006F4E24">
      <w:pPr>
        <w:pStyle w:val="Heading3"/>
        <w:tabs>
          <w:tab w:val="clear" w:pos="1843"/>
          <w:tab w:val="num" w:pos="1559"/>
        </w:tabs>
        <w:ind w:left="992" w:hanging="992"/>
        <w:rPr>
          <w:rFonts w:asciiTheme="minorHAnsi" w:hAnsiTheme="minorHAnsi" w:cstheme="minorHAnsi"/>
          <w:color w:val="7F7F7F" w:themeColor="text1" w:themeTint="80"/>
          <w:sz w:val="30"/>
          <w:szCs w:val="30"/>
        </w:rPr>
      </w:pPr>
      <w:bookmarkStart w:id="679" w:name="_Ref527634130"/>
      <w:r>
        <w:rPr>
          <w:rFonts w:asciiTheme="minorHAnsi" w:hAnsiTheme="minorHAnsi" w:cstheme="minorHAnsi"/>
          <w:b w:val="0"/>
          <w:color w:val="7F7F7F" w:themeColor="text1" w:themeTint="80"/>
          <w:sz w:val="30"/>
          <w:szCs w:val="30"/>
        </w:rPr>
        <w:t>Post transplantation care for young adults</w:t>
      </w:r>
      <w:bookmarkEnd w:id="679"/>
    </w:p>
    <w:p w14:paraId="6360A2BA" w14:textId="77777777" w:rsidR="006F4E24" w:rsidRDefault="006F4E24" w:rsidP="006F4E24">
      <w:pPr>
        <w:tabs>
          <w:tab w:val="num" w:pos="720"/>
        </w:tabs>
        <w:spacing w:after="120"/>
        <w:rPr>
          <w:rFonts w:asciiTheme="minorHAnsi" w:hAnsiTheme="minorHAnsi" w:cstheme="minorHAnsi"/>
          <w:sz w:val="24"/>
          <w:szCs w:val="24"/>
          <w:lang w:val="en-GB"/>
        </w:rPr>
      </w:pPr>
      <w:r>
        <w:rPr>
          <w:rFonts w:asciiTheme="minorHAnsi" w:hAnsiTheme="minorHAnsi" w:cstheme="minorHAnsi"/>
          <w:sz w:val="24"/>
          <w:szCs w:val="24"/>
          <w:lang w:val="en-GB"/>
        </w:rPr>
        <w:t>The Review found that there are profound differences and specialised requirements for care of children transitioning into adulthood. Teenagers and young adults were reported to have the worst outcomes after a kidney transplant of any age under 70 years, with approximately one third of kidney transplants failing within five years.</w:t>
      </w:r>
      <w:r>
        <w:rPr>
          <w:rStyle w:val="FootnoteReference"/>
          <w:rFonts w:cstheme="minorHAnsi"/>
          <w:lang w:val="en-GB"/>
        </w:rPr>
        <w:footnoteReference w:id="171"/>
      </w:r>
      <w:r>
        <w:rPr>
          <w:rFonts w:asciiTheme="minorHAnsi" w:hAnsiTheme="minorHAnsi" w:cstheme="minorHAnsi"/>
          <w:sz w:val="24"/>
          <w:szCs w:val="24"/>
          <w:lang w:val="en-GB"/>
        </w:rPr>
        <w:t xml:space="preserve"> This particular demographic of patients, </w:t>
      </w:r>
      <w:r w:rsidRPr="00F37D51">
        <w:rPr>
          <w:rFonts w:asciiTheme="minorHAnsi" w:hAnsiTheme="minorHAnsi" w:cstheme="minorHAnsi"/>
          <w:sz w:val="24"/>
          <w:szCs w:val="24"/>
          <w:lang w:val="en-GB"/>
        </w:rPr>
        <w:t>aged between 16 and 24</w:t>
      </w:r>
      <w:r>
        <w:rPr>
          <w:rFonts w:asciiTheme="minorHAnsi" w:hAnsiTheme="minorHAnsi" w:cstheme="minorHAnsi"/>
          <w:sz w:val="24"/>
          <w:szCs w:val="24"/>
          <w:lang w:val="en-GB"/>
        </w:rPr>
        <w:t xml:space="preserve"> often require </w:t>
      </w:r>
      <w:r w:rsidRPr="00F37D51">
        <w:rPr>
          <w:rFonts w:asciiTheme="minorHAnsi" w:hAnsiTheme="minorHAnsi" w:cstheme="minorHAnsi"/>
          <w:sz w:val="24"/>
          <w:szCs w:val="24"/>
          <w:lang w:val="en-GB"/>
        </w:rPr>
        <w:t xml:space="preserve">specialised attention </w:t>
      </w:r>
      <w:r>
        <w:rPr>
          <w:rFonts w:asciiTheme="minorHAnsi" w:hAnsiTheme="minorHAnsi" w:cstheme="minorHAnsi"/>
          <w:sz w:val="24"/>
          <w:szCs w:val="24"/>
          <w:lang w:val="en-GB"/>
        </w:rPr>
        <w:t>as they transition to adulthood, and often struggle with the shift from paediatric care to an adult care setting. The Review found that not all transplantation programs have specialised clinicians</w:t>
      </w:r>
      <w:r w:rsidR="0048157B">
        <w:rPr>
          <w:rFonts w:asciiTheme="minorHAnsi" w:hAnsiTheme="minorHAnsi" w:cstheme="minorHAnsi"/>
          <w:sz w:val="24"/>
          <w:szCs w:val="24"/>
          <w:lang w:val="en-GB"/>
        </w:rPr>
        <w:t xml:space="preserve"> or multidisciplinary teams</w:t>
      </w:r>
      <w:r>
        <w:rPr>
          <w:rFonts w:asciiTheme="minorHAnsi" w:hAnsiTheme="minorHAnsi" w:cstheme="minorHAnsi"/>
          <w:sz w:val="24"/>
          <w:szCs w:val="24"/>
          <w:lang w:val="en-GB"/>
        </w:rPr>
        <w:t xml:space="preserve"> to </w:t>
      </w:r>
      <w:r w:rsidR="00032B1A">
        <w:rPr>
          <w:rFonts w:asciiTheme="minorHAnsi" w:hAnsiTheme="minorHAnsi" w:cstheme="minorHAnsi"/>
          <w:sz w:val="24"/>
          <w:szCs w:val="24"/>
          <w:lang w:val="en-GB"/>
        </w:rPr>
        <w:t xml:space="preserve">provide </w:t>
      </w:r>
      <w:r>
        <w:rPr>
          <w:rFonts w:asciiTheme="minorHAnsi" w:hAnsiTheme="minorHAnsi" w:cstheme="minorHAnsi"/>
          <w:sz w:val="24"/>
          <w:szCs w:val="24"/>
          <w:lang w:val="en-GB"/>
        </w:rPr>
        <w:t>targeted care to this cohort. As a result, this cohort is often at risk of experiencing sub-optimal outcomes.</w:t>
      </w:r>
      <w:r w:rsidRPr="00F37D51">
        <w:rPr>
          <w:rFonts w:asciiTheme="minorHAnsi" w:hAnsiTheme="minorHAnsi" w:cstheme="minorHAnsi"/>
          <w:sz w:val="24"/>
          <w:szCs w:val="24"/>
          <w:lang w:val="en-GB"/>
        </w:rPr>
        <w:t xml:space="preserve"> </w:t>
      </w:r>
    </w:p>
    <w:p w14:paraId="48503B7E" w14:textId="722542FA" w:rsidR="008C2B47" w:rsidRDefault="006F4E24" w:rsidP="006F4E24">
      <w:pPr>
        <w:tabs>
          <w:tab w:val="num" w:pos="720"/>
        </w:tabs>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Kidney Health Australia has received funding from the Australian Government to develop a program that supports young adults living with advanced kidney disease. The </w:t>
      </w:r>
      <w:r w:rsidR="00CB4E0F">
        <w:rPr>
          <w:rFonts w:asciiTheme="minorHAnsi" w:hAnsiTheme="minorHAnsi" w:cstheme="minorHAnsi"/>
          <w:sz w:val="24"/>
          <w:szCs w:val="24"/>
          <w:lang w:val="en-GB"/>
        </w:rPr>
        <w:t>p</w:t>
      </w:r>
      <w:r>
        <w:rPr>
          <w:rFonts w:asciiTheme="minorHAnsi" w:hAnsiTheme="minorHAnsi" w:cstheme="minorHAnsi"/>
          <w:sz w:val="24"/>
          <w:szCs w:val="24"/>
          <w:lang w:val="en-GB"/>
        </w:rPr>
        <w:t>rogram will aim to empower and equip young Australians living with kidney disease with the necessary support to maintain independence, pursue study and employment and ultimately increase successful transplantation rates for young adults.</w:t>
      </w:r>
      <w:r w:rsidR="00A77C34" w:rsidRPr="00EF2596">
        <w:rPr>
          <w:rStyle w:val="FootnoteReference"/>
          <w:rFonts w:asciiTheme="minorHAnsi" w:hAnsiTheme="minorHAnsi" w:cstheme="minorHAnsi"/>
          <w:lang w:val="en-GB"/>
        </w:rPr>
        <w:footnoteReference w:id="172"/>
      </w:r>
      <w:r w:rsidR="004830DA">
        <w:rPr>
          <w:rFonts w:asciiTheme="minorHAnsi" w:hAnsiTheme="minorHAnsi" w:cstheme="minorHAnsi"/>
          <w:sz w:val="24"/>
          <w:szCs w:val="24"/>
          <w:lang w:val="en-GB"/>
        </w:rPr>
        <w:t xml:space="preserve"> </w:t>
      </w:r>
    </w:p>
    <w:p w14:paraId="490735B4" w14:textId="77777777" w:rsidR="006F4E24" w:rsidRDefault="006F4E24" w:rsidP="006F4E24">
      <w:pPr>
        <w:pStyle w:val="Heading3"/>
        <w:tabs>
          <w:tab w:val="clear" w:pos="1843"/>
          <w:tab w:val="num" w:pos="1559"/>
        </w:tabs>
        <w:ind w:left="992" w:hanging="992"/>
        <w:rPr>
          <w:rFonts w:asciiTheme="minorHAnsi" w:hAnsiTheme="minorHAnsi" w:cstheme="minorHAnsi"/>
          <w:color w:val="7F7F7F" w:themeColor="text1" w:themeTint="80"/>
          <w:sz w:val="30"/>
          <w:szCs w:val="30"/>
        </w:rPr>
      </w:pPr>
      <w:bookmarkStart w:id="680" w:name="_Ref527634136"/>
      <w:r w:rsidRPr="001271F5">
        <w:rPr>
          <w:rFonts w:asciiTheme="minorHAnsi" w:hAnsiTheme="minorHAnsi" w:cstheme="minorHAnsi"/>
          <w:b w:val="0"/>
          <w:color w:val="7F7F7F" w:themeColor="text1" w:themeTint="80"/>
          <w:sz w:val="30"/>
          <w:szCs w:val="30"/>
        </w:rPr>
        <w:t xml:space="preserve">Post </w:t>
      </w:r>
      <w:r w:rsidR="00092158">
        <w:rPr>
          <w:rFonts w:asciiTheme="minorHAnsi" w:hAnsiTheme="minorHAnsi" w:cstheme="minorHAnsi"/>
          <w:b w:val="0"/>
          <w:color w:val="7F7F7F" w:themeColor="text1" w:themeTint="80"/>
          <w:sz w:val="30"/>
          <w:szCs w:val="30"/>
        </w:rPr>
        <w:t>transplantation outcomes</w:t>
      </w:r>
      <w:r w:rsidRPr="001271F5">
        <w:rPr>
          <w:rFonts w:asciiTheme="minorHAnsi" w:hAnsiTheme="minorHAnsi" w:cstheme="minorHAnsi"/>
          <w:b w:val="0"/>
          <w:color w:val="7F7F7F" w:themeColor="text1" w:themeTint="80"/>
          <w:sz w:val="30"/>
          <w:szCs w:val="30"/>
        </w:rPr>
        <w:t xml:space="preserve"> for Aboriginal and Torres Strait Islander people</w:t>
      </w:r>
      <w:bookmarkEnd w:id="680"/>
    </w:p>
    <w:p w14:paraId="34A40791" w14:textId="77777777" w:rsidR="006F4E24" w:rsidRDefault="006F4E24" w:rsidP="006F4E24">
      <w:pPr>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As discussed by Khanal et al 2018, the </w:t>
      </w:r>
      <w:r w:rsidRPr="00714075">
        <w:rPr>
          <w:rFonts w:asciiTheme="minorHAnsi" w:hAnsiTheme="minorHAnsi" w:cstheme="minorHAnsi"/>
          <w:sz w:val="24"/>
          <w:szCs w:val="24"/>
          <w:lang w:val="en-GB"/>
        </w:rPr>
        <w:t>out</w:t>
      </w:r>
      <w:r>
        <w:rPr>
          <w:rFonts w:asciiTheme="minorHAnsi" w:hAnsiTheme="minorHAnsi" w:cstheme="minorHAnsi"/>
          <w:sz w:val="24"/>
          <w:szCs w:val="24"/>
          <w:lang w:val="en-GB"/>
        </w:rPr>
        <w:t xml:space="preserve">comes after kidney transplantation, in </w:t>
      </w:r>
      <w:r w:rsidRPr="00714075">
        <w:rPr>
          <w:rFonts w:asciiTheme="minorHAnsi" w:hAnsiTheme="minorHAnsi" w:cstheme="minorHAnsi"/>
          <w:sz w:val="24"/>
          <w:szCs w:val="24"/>
          <w:lang w:val="en-GB"/>
        </w:rPr>
        <w:t>terms of both graft function and pat</w:t>
      </w:r>
      <w:r>
        <w:rPr>
          <w:rFonts w:asciiTheme="minorHAnsi" w:hAnsiTheme="minorHAnsi" w:cstheme="minorHAnsi"/>
          <w:sz w:val="24"/>
          <w:szCs w:val="24"/>
          <w:lang w:val="en-GB"/>
        </w:rPr>
        <w:t xml:space="preserve">ient survival, are considerably </w:t>
      </w:r>
      <w:r w:rsidRPr="00714075">
        <w:rPr>
          <w:rFonts w:asciiTheme="minorHAnsi" w:hAnsiTheme="minorHAnsi" w:cstheme="minorHAnsi"/>
          <w:sz w:val="24"/>
          <w:szCs w:val="24"/>
          <w:lang w:val="en-GB"/>
        </w:rPr>
        <w:t>poorer for</w:t>
      </w:r>
      <w:r>
        <w:rPr>
          <w:rFonts w:asciiTheme="minorHAnsi" w:hAnsiTheme="minorHAnsi" w:cstheme="minorHAnsi"/>
          <w:sz w:val="24"/>
          <w:szCs w:val="24"/>
          <w:lang w:val="en-GB"/>
        </w:rPr>
        <w:t xml:space="preserve"> Aboriginal and Torres Strait Islander</w:t>
      </w:r>
      <w:r w:rsidRPr="00714075">
        <w:rPr>
          <w:rFonts w:asciiTheme="minorHAnsi" w:hAnsiTheme="minorHAnsi" w:cstheme="minorHAnsi"/>
          <w:sz w:val="24"/>
          <w:szCs w:val="24"/>
          <w:lang w:val="en-GB"/>
        </w:rPr>
        <w:t xml:space="preserve"> patients, par</w:t>
      </w:r>
      <w:r>
        <w:rPr>
          <w:rFonts w:asciiTheme="minorHAnsi" w:hAnsiTheme="minorHAnsi" w:cstheme="minorHAnsi"/>
          <w:sz w:val="24"/>
          <w:szCs w:val="24"/>
          <w:lang w:val="en-GB"/>
        </w:rPr>
        <w:t>ticularly for those from remote areas.</w:t>
      </w:r>
      <w:r w:rsidRPr="00447661">
        <w:rPr>
          <w:rStyle w:val="FootnoteReference"/>
          <w:rFonts w:asciiTheme="minorHAnsi" w:hAnsiTheme="minorHAnsi" w:cstheme="minorHAnsi"/>
          <w:lang w:val="en-GB"/>
        </w:rPr>
        <w:footnoteReference w:id="173"/>
      </w:r>
      <w:r w:rsidRPr="00714075">
        <w:rPr>
          <w:rFonts w:asciiTheme="minorHAnsi" w:hAnsiTheme="minorHAnsi" w:cstheme="minorHAnsi"/>
          <w:sz w:val="24"/>
          <w:szCs w:val="24"/>
          <w:lang w:val="en-GB"/>
        </w:rPr>
        <w:t xml:space="preserve"> </w:t>
      </w:r>
      <w:r>
        <w:rPr>
          <w:rFonts w:asciiTheme="minorHAnsi" w:hAnsiTheme="minorHAnsi" w:cstheme="minorHAnsi"/>
          <w:sz w:val="24"/>
          <w:szCs w:val="24"/>
          <w:lang w:val="en-GB"/>
        </w:rPr>
        <w:t>Although it has been established that Aboriginal and Torres Strait Islander people are more likely to require transplantation due to higher rates of end-stage kidney disease than non-Indigenous people, it is important that t</w:t>
      </w:r>
      <w:r w:rsidRPr="00714075">
        <w:rPr>
          <w:rFonts w:asciiTheme="minorHAnsi" w:hAnsiTheme="minorHAnsi" w:cstheme="minorHAnsi"/>
          <w:sz w:val="24"/>
          <w:szCs w:val="24"/>
          <w:lang w:val="en-GB"/>
        </w:rPr>
        <w:t xml:space="preserve">he potential beneﬁts for patients </w:t>
      </w:r>
      <w:r>
        <w:rPr>
          <w:rFonts w:asciiTheme="minorHAnsi" w:hAnsiTheme="minorHAnsi" w:cstheme="minorHAnsi"/>
          <w:sz w:val="24"/>
          <w:szCs w:val="24"/>
          <w:lang w:val="en-GB"/>
        </w:rPr>
        <w:t>are balanced against the</w:t>
      </w:r>
      <w:r w:rsidRPr="00714075">
        <w:rPr>
          <w:rFonts w:asciiTheme="minorHAnsi" w:hAnsiTheme="minorHAnsi" w:cstheme="minorHAnsi"/>
          <w:sz w:val="24"/>
          <w:szCs w:val="24"/>
          <w:lang w:val="en-GB"/>
        </w:rPr>
        <w:t xml:space="preserve"> risks when making decisions about treatment.</w:t>
      </w:r>
    </w:p>
    <w:p w14:paraId="13C322F7" w14:textId="77777777" w:rsidR="006F4E24" w:rsidRDefault="006F4E24" w:rsidP="006F4E24">
      <w:pPr>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Clinicians reported the view that unless strategies are developed to improve </w:t>
      </w:r>
      <w:r w:rsidR="00092158">
        <w:rPr>
          <w:rFonts w:asciiTheme="minorHAnsi" w:hAnsiTheme="minorHAnsi" w:cstheme="minorHAnsi"/>
          <w:sz w:val="24"/>
          <w:szCs w:val="24"/>
          <w:lang w:val="en-GB"/>
        </w:rPr>
        <w:t>transplantation outcomes</w:t>
      </w:r>
      <w:r>
        <w:rPr>
          <w:rFonts w:asciiTheme="minorHAnsi" w:hAnsiTheme="minorHAnsi" w:cstheme="minorHAnsi"/>
          <w:sz w:val="24"/>
          <w:szCs w:val="24"/>
          <w:lang w:val="en-GB"/>
        </w:rPr>
        <w:t xml:space="preserve"> for Aboriginal and Torres Strait Islander people, improving access to transplantation</w:t>
      </w:r>
      <w:r w:rsidR="00032B1A">
        <w:rPr>
          <w:rFonts w:asciiTheme="minorHAnsi" w:hAnsiTheme="minorHAnsi" w:cstheme="minorHAnsi"/>
          <w:sz w:val="24"/>
          <w:szCs w:val="24"/>
          <w:lang w:val="en-GB"/>
        </w:rPr>
        <w:t xml:space="preserve"> alone</w:t>
      </w:r>
      <w:r>
        <w:rPr>
          <w:rFonts w:asciiTheme="minorHAnsi" w:hAnsiTheme="minorHAnsi" w:cstheme="minorHAnsi"/>
          <w:sz w:val="24"/>
          <w:szCs w:val="24"/>
          <w:lang w:val="en-GB"/>
        </w:rPr>
        <w:t>,</w:t>
      </w:r>
      <w:r w:rsidR="00032B1A">
        <w:rPr>
          <w:rFonts w:asciiTheme="minorHAnsi" w:hAnsiTheme="minorHAnsi" w:cstheme="minorHAnsi"/>
          <w:sz w:val="24"/>
          <w:szCs w:val="24"/>
          <w:lang w:val="en-GB"/>
        </w:rPr>
        <w:t xml:space="preserve"> will pose </w:t>
      </w:r>
      <w:r>
        <w:rPr>
          <w:rFonts w:asciiTheme="minorHAnsi" w:hAnsiTheme="minorHAnsi" w:cstheme="minorHAnsi"/>
          <w:sz w:val="24"/>
          <w:szCs w:val="24"/>
          <w:lang w:val="en-GB"/>
        </w:rPr>
        <w:t xml:space="preserve">a high risk of creating a problem which is worse than the current experience. </w:t>
      </w:r>
      <w:r w:rsidRPr="001271F5">
        <w:rPr>
          <w:rFonts w:asciiTheme="minorHAnsi" w:hAnsiTheme="minorHAnsi" w:cstheme="minorHAnsi"/>
          <w:sz w:val="24"/>
          <w:szCs w:val="24"/>
          <w:lang w:val="en-GB"/>
        </w:rPr>
        <w:t xml:space="preserve">The Review </w:t>
      </w:r>
      <w:r w:rsidR="00032B1A">
        <w:rPr>
          <w:rFonts w:asciiTheme="minorHAnsi" w:hAnsiTheme="minorHAnsi" w:cstheme="minorHAnsi"/>
          <w:sz w:val="24"/>
          <w:szCs w:val="24"/>
          <w:lang w:val="en-GB"/>
        </w:rPr>
        <w:t xml:space="preserve">found </w:t>
      </w:r>
      <w:r>
        <w:rPr>
          <w:rFonts w:asciiTheme="minorHAnsi" w:hAnsiTheme="minorHAnsi" w:cstheme="minorHAnsi"/>
          <w:sz w:val="24"/>
          <w:szCs w:val="24"/>
          <w:lang w:val="en-GB"/>
        </w:rPr>
        <w:t xml:space="preserve">that it was important to identify the issues affecting graft and patient survival among Aboriginal and Torres Strait Islander people </w:t>
      </w:r>
      <w:r w:rsidR="00032B1A">
        <w:rPr>
          <w:rFonts w:asciiTheme="minorHAnsi" w:hAnsiTheme="minorHAnsi" w:cstheme="minorHAnsi"/>
          <w:sz w:val="24"/>
          <w:szCs w:val="24"/>
          <w:lang w:val="en-GB"/>
        </w:rPr>
        <w:t xml:space="preserve">to develop holistic </w:t>
      </w:r>
      <w:r>
        <w:rPr>
          <w:rFonts w:asciiTheme="minorHAnsi" w:hAnsiTheme="minorHAnsi" w:cstheme="minorHAnsi"/>
          <w:sz w:val="24"/>
          <w:szCs w:val="24"/>
          <w:lang w:val="en-GB"/>
        </w:rPr>
        <w:t>strategies for improv</w:t>
      </w:r>
      <w:r w:rsidR="00032B1A">
        <w:rPr>
          <w:rFonts w:asciiTheme="minorHAnsi" w:hAnsiTheme="minorHAnsi" w:cstheme="minorHAnsi"/>
          <w:sz w:val="24"/>
          <w:szCs w:val="24"/>
          <w:lang w:val="en-GB"/>
        </w:rPr>
        <w:t>ing both access to transplantation and transplantation outcomes. The project to be undertaken by the TSANZ,</w:t>
      </w:r>
      <w:r>
        <w:rPr>
          <w:rFonts w:asciiTheme="minorHAnsi" w:hAnsiTheme="minorHAnsi" w:cstheme="minorHAnsi"/>
          <w:sz w:val="24"/>
          <w:szCs w:val="24"/>
          <w:lang w:val="en-GB"/>
        </w:rPr>
        <w:t xml:space="preserve"> </w:t>
      </w:r>
      <w:r w:rsidR="008E5691" w:rsidRPr="0068318F">
        <w:rPr>
          <w:rFonts w:asciiTheme="minorHAnsi" w:hAnsiTheme="minorHAnsi" w:cstheme="minorHAnsi"/>
          <w:i/>
          <w:sz w:val="24"/>
          <w:szCs w:val="22"/>
          <w:lang w:val="en-GB"/>
        </w:rPr>
        <w:t>Improving access to and outcomes of kidney transplantation for Aboriginal and Torres Strait Islander people</w:t>
      </w:r>
      <w:r w:rsidR="008E5691">
        <w:rPr>
          <w:rFonts w:asciiTheme="minorHAnsi" w:hAnsiTheme="minorHAnsi" w:cstheme="minorHAnsi"/>
          <w:i/>
          <w:sz w:val="24"/>
          <w:szCs w:val="22"/>
          <w:lang w:val="en-GB"/>
        </w:rPr>
        <w:t xml:space="preserve"> </w:t>
      </w:r>
      <w:r w:rsidR="00032B1A">
        <w:rPr>
          <w:rFonts w:asciiTheme="minorHAnsi" w:hAnsiTheme="minorHAnsi" w:cstheme="minorHAnsi"/>
          <w:sz w:val="24"/>
          <w:szCs w:val="24"/>
          <w:lang w:val="en-GB"/>
        </w:rPr>
        <w:t xml:space="preserve">will </w:t>
      </w:r>
      <w:r w:rsidR="006E2336">
        <w:rPr>
          <w:rFonts w:asciiTheme="minorHAnsi" w:hAnsiTheme="minorHAnsi" w:cstheme="minorHAnsi"/>
          <w:sz w:val="24"/>
          <w:szCs w:val="24"/>
          <w:lang w:val="en-GB"/>
        </w:rPr>
        <w:t>likely explore this concern further</w:t>
      </w:r>
      <w:r>
        <w:rPr>
          <w:rFonts w:asciiTheme="minorHAnsi" w:hAnsiTheme="minorHAnsi" w:cstheme="minorHAnsi"/>
          <w:sz w:val="24"/>
          <w:szCs w:val="24"/>
          <w:lang w:val="en-GB"/>
        </w:rPr>
        <w:t>.</w:t>
      </w:r>
      <w:r w:rsidR="00ED052E">
        <w:rPr>
          <w:rFonts w:asciiTheme="minorHAnsi" w:hAnsiTheme="minorHAnsi" w:cstheme="minorHAnsi"/>
          <w:sz w:val="24"/>
          <w:szCs w:val="24"/>
          <w:lang w:val="en-GB"/>
        </w:rPr>
        <w:t xml:space="preserve"> It is important that the TSANZ </w:t>
      </w:r>
      <w:r w:rsidR="00032B1A">
        <w:rPr>
          <w:rFonts w:asciiTheme="minorHAnsi" w:hAnsiTheme="minorHAnsi" w:cstheme="minorHAnsi"/>
          <w:sz w:val="24"/>
          <w:szCs w:val="24"/>
          <w:lang w:val="en-GB"/>
        </w:rPr>
        <w:t xml:space="preserve">project </w:t>
      </w:r>
      <w:r w:rsidR="00ED052E">
        <w:rPr>
          <w:rFonts w:asciiTheme="minorHAnsi" w:hAnsiTheme="minorHAnsi" w:cstheme="minorHAnsi"/>
          <w:sz w:val="24"/>
          <w:szCs w:val="24"/>
          <w:lang w:val="en-GB"/>
        </w:rPr>
        <w:t xml:space="preserve">consider the findings from the consultations to be undertaken by Kidney Health Australia with Aboriginal and Torres Strait Islander people to develop the </w:t>
      </w:r>
      <w:r w:rsidR="00ED052E" w:rsidRPr="00EF2596">
        <w:rPr>
          <w:rFonts w:asciiTheme="minorHAnsi" w:hAnsiTheme="minorHAnsi" w:cstheme="minorHAnsi"/>
          <w:i/>
          <w:sz w:val="24"/>
          <w:szCs w:val="24"/>
          <w:lang w:val="en-GB"/>
        </w:rPr>
        <w:t>Caring for Australasians with Renal Impairment Indigenous Guidelines</w:t>
      </w:r>
      <w:r w:rsidR="00ED052E">
        <w:rPr>
          <w:rFonts w:asciiTheme="minorHAnsi" w:hAnsiTheme="minorHAnsi" w:cstheme="minorHAnsi"/>
          <w:sz w:val="24"/>
          <w:szCs w:val="24"/>
          <w:lang w:val="en-GB"/>
        </w:rPr>
        <w:t>.</w:t>
      </w:r>
      <w:r w:rsidR="00ED052E">
        <w:rPr>
          <w:rStyle w:val="FootnoteReference"/>
          <w:rFonts w:cstheme="minorHAnsi"/>
          <w:lang w:val="en-GB"/>
        </w:rPr>
        <w:footnoteReference w:id="174"/>
      </w:r>
    </w:p>
    <w:p w14:paraId="402116AD" w14:textId="77777777" w:rsidR="006F4E24" w:rsidRPr="001271F5" w:rsidRDefault="006F4E24" w:rsidP="006F4E24">
      <w:pPr>
        <w:pStyle w:val="Heading3"/>
        <w:tabs>
          <w:tab w:val="clear" w:pos="1843"/>
          <w:tab w:val="num" w:pos="1559"/>
        </w:tabs>
        <w:ind w:left="992" w:hanging="992"/>
        <w:rPr>
          <w:rFonts w:asciiTheme="minorHAnsi" w:hAnsiTheme="minorHAnsi" w:cstheme="minorHAnsi"/>
          <w:color w:val="7F7F7F" w:themeColor="text1" w:themeTint="80"/>
          <w:sz w:val="30"/>
          <w:szCs w:val="30"/>
        </w:rPr>
      </w:pPr>
      <w:bookmarkStart w:id="681" w:name="_Ref527634141"/>
      <w:r w:rsidRPr="001271F5">
        <w:rPr>
          <w:rFonts w:asciiTheme="minorHAnsi" w:hAnsiTheme="minorHAnsi" w:cstheme="minorHAnsi"/>
          <w:b w:val="0"/>
          <w:color w:val="7F7F7F" w:themeColor="text1" w:themeTint="80"/>
          <w:sz w:val="30"/>
          <w:szCs w:val="30"/>
        </w:rPr>
        <w:t>The experience of recipients post transplantation</w:t>
      </w:r>
      <w:bookmarkEnd w:id="681"/>
    </w:p>
    <w:p w14:paraId="506FC67C" w14:textId="77777777" w:rsidR="006F4E24" w:rsidRDefault="006F4E24" w:rsidP="006F4E24">
      <w:pPr>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The Review found that the recipient experience post transplantation was generally positive as patients were provided with a life-saving gift that dramatically improved quality of life. However, the Review found that there was variability in the experience of recipients due to factors such as accessibility of post transplantation clinical care, </w:t>
      </w:r>
      <w:r w:rsidR="009D1166">
        <w:rPr>
          <w:rFonts w:asciiTheme="minorHAnsi" w:hAnsiTheme="minorHAnsi" w:cstheme="minorHAnsi"/>
          <w:sz w:val="24"/>
          <w:szCs w:val="24"/>
          <w:lang w:val="en-GB"/>
        </w:rPr>
        <w:t xml:space="preserve">point of care testing, </w:t>
      </w:r>
      <w:r>
        <w:rPr>
          <w:rFonts w:asciiTheme="minorHAnsi" w:hAnsiTheme="minorHAnsi" w:cstheme="minorHAnsi"/>
          <w:sz w:val="24"/>
          <w:szCs w:val="24"/>
          <w:lang w:val="en-GB"/>
        </w:rPr>
        <w:t>post transplantation psychosocial support and post transplantation complications, and the management of those complications.</w:t>
      </w:r>
      <w:r w:rsidR="00CC6378">
        <w:rPr>
          <w:rFonts w:asciiTheme="minorHAnsi" w:hAnsiTheme="minorHAnsi" w:cstheme="minorHAnsi"/>
          <w:sz w:val="24"/>
          <w:szCs w:val="24"/>
          <w:lang w:val="en-GB"/>
        </w:rPr>
        <w:t xml:space="preserve"> Although groups such as Transplant Australia provide extensive psychosocial, employment and </w:t>
      </w:r>
      <w:r w:rsidR="009D1166">
        <w:rPr>
          <w:rFonts w:asciiTheme="minorHAnsi" w:hAnsiTheme="minorHAnsi" w:cstheme="minorHAnsi"/>
          <w:sz w:val="24"/>
          <w:szCs w:val="24"/>
          <w:lang w:val="en-GB"/>
        </w:rPr>
        <w:t>social participation</w:t>
      </w:r>
      <w:r w:rsidR="00CC6378">
        <w:rPr>
          <w:rFonts w:asciiTheme="minorHAnsi" w:hAnsiTheme="minorHAnsi" w:cstheme="minorHAnsi"/>
          <w:sz w:val="24"/>
          <w:szCs w:val="24"/>
          <w:lang w:val="en-GB"/>
        </w:rPr>
        <w:t xml:space="preserve"> support</w:t>
      </w:r>
      <w:r w:rsidR="006E2336">
        <w:rPr>
          <w:rFonts w:asciiTheme="minorHAnsi" w:hAnsiTheme="minorHAnsi" w:cstheme="minorHAnsi"/>
          <w:sz w:val="24"/>
          <w:szCs w:val="24"/>
          <w:lang w:val="en-GB"/>
        </w:rPr>
        <w:t xml:space="preserve"> to transplant recipients</w:t>
      </w:r>
      <w:r w:rsidR="00CC6378">
        <w:rPr>
          <w:rFonts w:asciiTheme="minorHAnsi" w:hAnsiTheme="minorHAnsi" w:cstheme="minorHAnsi"/>
          <w:sz w:val="24"/>
          <w:szCs w:val="24"/>
          <w:lang w:val="en-GB"/>
        </w:rPr>
        <w:t xml:space="preserve">, the Review found that there is variability in access </w:t>
      </w:r>
      <w:r w:rsidR="006E2336">
        <w:rPr>
          <w:rFonts w:asciiTheme="minorHAnsi" w:hAnsiTheme="minorHAnsi" w:cstheme="minorHAnsi"/>
          <w:sz w:val="24"/>
          <w:szCs w:val="24"/>
          <w:lang w:val="en-GB"/>
        </w:rPr>
        <w:t xml:space="preserve">to support </w:t>
      </w:r>
      <w:r w:rsidR="00CC6378">
        <w:rPr>
          <w:rFonts w:asciiTheme="minorHAnsi" w:hAnsiTheme="minorHAnsi" w:cstheme="minorHAnsi"/>
          <w:sz w:val="24"/>
          <w:szCs w:val="24"/>
          <w:lang w:val="en-GB"/>
        </w:rPr>
        <w:t xml:space="preserve">across </w:t>
      </w:r>
      <w:r w:rsidR="006E2336">
        <w:rPr>
          <w:rFonts w:asciiTheme="minorHAnsi" w:hAnsiTheme="minorHAnsi" w:cstheme="minorHAnsi"/>
          <w:sz w:val="24"/>
          <w:szCs w:val="24"/>
          <w:lang w:val="en-GB"/>
        </w:rPr>
        <w:t xml:space="preserve">Australia.  </w:t>
      </w:r>
    </w:p>
    <w:p w14:paraId="07B5D871" w14:textId="5935C2DB" w:rsidR="008C2B47" w:rsidRPr="00CA47F2" w:rsidRDefault="006F4E24" w:rsidP="006F4E24">
      <w:pPr>
        <w:spacing w:after="120"/>
        <w:rPr>
          <w:rFonts w:asciiTheme="minorHAnsi" w:hAnsiTheme="minorHAnsi" w:cstheme="minorHAnsi"/>
          <w:sz w:val="24"/>
          <w:szCs w:val="24"/>
          <w:lang w:val="en-GB"/>
        </w:rPr>
      </w:pPr>
      <w:r>
        <w:rPr>
          <w:rFonts w:asciiTheme="minorHAnsi" w:hAnsiTheme="minorHAnsi" w:cstheme="minorHAnsi"/>
          <w:sz w:val="24"/>
          <w:szCs w:val="24"/>
          <w:lang w:val="en-GB"/>
        </w:rPr>
        <w:t>The Review found that there currently is not a national method to capture the experience of recipients post transplantation. Unlike donation, resources have not been dedicated to the implementation of patient experience data collection as a means of identifying issues or under performance in the system and designing strategies for improvement. L</w:t>
      </w:r>
      <w:r w:rsidRPr="00883D08">
        <w:rPr>
          <w:rFonts w:asciiTheme="minorHAnsi" w:hAnsiTheme="minorHAnsi" w:cstheme="minorHAnsi"/>
          <w:sz w:val="24"/>
          <w:szCs w:val="24"/>
          <w:lang w:val="en-GB"/>
        </w:rPr>
        <w:t>ack of patient input in</w:t>
      </w:r>
      <w:r>
        <w:rPr>
          <w:rFonts w:asciiTheme="minorHAnsi" w:hAnsiTheme="minorHAnsi" w:cstheme="minorHAnsi"/>
          <w:sz w:val="24"/>
          <w:szCs w:val="24"/>
          <w:lang w:val="en-GB"/>
        </w:rPr>
        <w:t>to transplantation policy, com</w:t>
      </w:r>
      <w:r w:rsidRPr="00883D08">
        <w:rPr>
          <w:rFonts w:asciiTheme="minorHAnsi" w:hAnsiTheme="minorHAnsi" w:cstheme="minorHAnsi"/>
          <w:sz w:val="24"/>
          <w:szCs w:val="24"/>
          <w:lang w:val="en-GB"/>
        </w:rPr>
        <w:t>bined with a lack o</w:t>
      </w:r>
      <w:r>
        <w:rPr>
          <w:rFonts w:asciiTheme="minorHAnsi" w:hAnsiTheme="minorHAnsi" w:cstheme="minorHAnsi"/>
          <w:sz w:val="24"/>
          <w:szCs w:val="24"/>
          <w:lang w:val="en-GB"/>
        </w:rPr>
        <w:t xml:space="preserve">f evidence around the nature of </w:t>
      </w:r>
      <w:r w:rsidRPr="00883D08">
        <w:rPr>
          <w:rFonts w:asciiTheme="minorHAnsi" w:hAnsiTheme="minorHAnsi" w:cstheme="minorHAnsi"/>
          <w:sz w:val="24"/>
          <w:szCs w:val="24"/>
          <w:lang w:val="en-GB"/>
        </w:rPr>
        <w:t>patient preferences, ha</w:t>
      </w:r>
      <w:r>
        <w:rPr>
          <w:rFonts w:asciiTheme="minorHAnsi" w:hAnsiTheme="minorHAnsi" w:cstheme="minorHAnsi"/>
          <w:sz w:val="24"/>
          <w:szCs w:val="24"/>
          <w:lang w:val="en-GB"/>
        </w:rPr>
        <w:t xml:space="preserve">s added potentially unnecessary </w:t>
      </w:r>
      <w:r w:rsidRPr="00883D08">
        <w:rPr>
          <w:rFonts w:asciiTheme="minorHAnsi" w:hAnsiTheme="minorHAnsi" w:cstheme="minorHAnsi"/>
          <w:sz w:val="24"/>
          <w:szCs w:val="24"/>
          <w:lang w:val="en-GB"/>
        </w:rPr>
        <w:t>controversy to the formulation of policy</w:t>
      </w:r>
      <w:r>
        <w:rPr>
          <w:rFonts w:asciiTheme="minorHAnsi" w:hAnsiTheme="minorHAnsi" w:cstheme="minorHAnsi"/>
          <w:sz w:val="24"/>
          <w:szCs w:val="24"/>
          <w:lang w:val="en-GB"/>
        </w:rPr>
        <w:t xml:space="preserve"> in the transplantation system. The Review found that the introduction of mechanisms to capture recipient experience may have a dramatic influence in improving the effectiveness transp</w:t>
      </w:r>
      <w:r w:rsidR="004830DA">
        <w:rPr>
          <w:rFonts w:asciiTheme="minorHAnsi" w:hAnsiTheme="minorHAnsi" w:cstheme="minorHAnsi"/>
          <w:sz w:val="24"/>
          <w:szCs w:val="24"/>
          <w:lang w:val="en-GB"/>
        </w:rPr>
        <w:t xml:space="preserve">lantation policy and outcomes. </w:t>
      </w:r>
    </w:p>
    <w:p w14:paraId="663D17FA" w14:textId="77777777" w:rsidR="006F4E24" w:rsidRPr="00266A77" w:rsidRDefault="006F4E24" w:rsidP="006F4E24">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Summary of key findings</w:t>
      </w:r>
    </w:p>
    <w:p w14:paraId="50CDC31C" w14:textId="46A0F9A8" w:rsidR="006F4E24" w:rsidRPr="002A4039" w:rsidRDefault="006F4E24" w:rsidP="006F4E24">
      <w:pPr>
        <w:pStyle w:val="ListParagraph"/>
        <w:numPr>
          <w:ilvl w:val="0"/>
          <w:numId w:val="23"/>
        </w:numPr>
        <w:spacing w:after="120"/>
        <w:rPr>
          <w:rFonts w:asciiTheme="minorHAnsi" w:hAnsiTheme="minorHAnsi" w:cstheme="minorHAnsi"/>
          <w:sz w:val="24"/>
          <w:szCs w:val="24"/>
          <w:lang w:val="en-GB"/>
        </w:rPr>
      </w:pPr>
      <w:r w:rsidRPr="002A4039">
        <w:rPr>
          <w:rFonts w:asciiTheme="minorHAnsi" w:hAnsiTheme="minorHAnsi" w:cstheme="minorHAnsi"/>
          <w:sz w:val="24"/>
          <w:szCs w:val="24"/>
          <w:lang w:val="en-GB"/>
        </w:rPr>
        <w:t>Kidney transplantation programs generally have well established networks for returning transplant</w:t>
      </w:r>
      <w:r>
        <w:rPr>
          <w:rFonts w:asciiTheme="minorHAnsi" w:hAnsiTheme="minorHAnsi" w:cstheme="minorHAnsi"/>
          <w:sz w:val="24"/>
          <w:szCs w:val="24"/>
          <w:lang w:val="en-GB"/>
        </w:rPr>
        <w:t>ation</w:t>
      </w:r>
      <w:r w:rsidRPr="002A4039">
        <w:rPr>
          <w:rFonts w:asciiTheme="minorHAnsi" w:hAnsiTheme="minorHAnsi" w:cstheme="minorHAnsi"/>
          <w:sz w:val="24"/>
          <w:szCs w:val="24"/>
          <w:lang w:val="en-GB"/>
        </w:rPr>
        <w:t xml:space="preserve"> patients to their home community including handover of ongoing care (with support) provided by </w:t>
      </w:r>
      <w:r w:rsidR="00FD3097" w:rsidRPr="002A4039">
        <w:rPr>
          <w:rFonts w:asciiTheme="minorHAnsi" w:hAnsiTheme="minorHAnsi" w:cstheme="minorHAnsi"/>
          <w:sz w:val="24"/>
          <w:szCs w:val="24"/>
          <w:lang w:val="en-GB"/>
        </w:rPr>
        <w:t>a local specialist</w:t>
      </w:r>
      <w:r w:rsidRPr="002A4039">
        <w:rPr>
          <w:rFonts w:asciiTheme="minorHAnsi" w:hAnsiTheme="minorHAnsi" w:cstheme="minorHAnsi"/>
          <w:sz w:val="24"/>
          <w:szCs w:val="24"/>
          <w:lang w:val="en-GB"/>
        </w:rPr>
        <w:t xml:space="preserve"> in most cases</w:t>
      </w:r>
      <w:r>
        <w:rPr>
          <w:rFonts w:asciiTheme="minorHAnsi" w:hAnsiTheme="minorHAnsi" w:cstheme="minorHAnsi"/>
          <w:sz w:val="24"/>
          <w:szCs w:val="24"/>
          <w:lang w:val="en-GB"/>
        </w:rPr>
        <w:t>.</w:t>
      </w:r>
    </w:p>
    <w:p w14:paraId="00C2FB97" w14:textId="77777777" w:rsidR="006F4E24" w:rsidRPr="006F4E24" w:rsidRDefault="006F4E24" w:rsidP="006F4E24">
      <w:pPr>
        <w:pStyle w:val="ListParagraph"/>
        <w:numPr>
          <w:ilvl w:val="0"/>
          <w:numId w:val="23"/>
        </w:numPr>
        <w:spacing w:after="120"/>
        <w:rPr>
          <w:rFonts w:asciiTheme="minorHAnsi" w:hAnsiTheme="minorHAnsi" w:cstheme="minorHAnsi"/>
          <w:sz w:val="24"/>
          <w:szCs w:val="24"/>
          <w:lang w:val="en-GB"/>
        </w:rPr>
      </w:pPr>
      <w:r w:rsidRPr="002A4039">
        <w:rPr>
          <w:rFonts w:asciiTheme="minorHAnsi" w:hAnsiTheme="minorHAnsi" w:cstheme="minorHAnsi"/>
          <w:sz w:val="24"/>
          <w:szCs w:val="24"/>
          <w:lang w:val="en-GB"/>
        </w:rPr>
        <w:t>The heart, liver and lung transplantation programs do not generally have post</w:t>
      </w:r>
      <w:r>
        <w:rPr>
          <w:rFonts w:asciiTheme="minorHAnsi" w:hAnsiTheme="minorHAnsi" w:cstheme="minorHAnsi"/>
          <w:sz w:val="24"/>
          <w:szCs w:val="24"/>
          <w:lang w:val="en-GB"/>
        </w:rPr>
        <w:t xml:space="preserve"> transplantation</w:t>
      </w:r>
      <w:r w:rsidRPr="002A4039">
        <w:rPr>
          <w:rFonts w:asciiTheme="minorHAnsi" w:hAnsiTheme="minorHAnsi" w:cstheme="minorHAnsi"/>
          <w:sz w:val="24"/>
          <w:szCs w:val="24"/>
          <w:lang w:val="en-GB"/>
        </w:rPr>
        <w:t xml:space="preserve"> care </w:t>
      </w:r>
      <w:r w:rsidRPr="006F4E24">
        <w:rPr>
          <w:rFonts w:asciiTheme="minorHAnsi" w:hAnsiTheme="minorHAnsi" w:cstheme="minorHAnsi"/>
          <w:sz w:val="24"/>
          <w:szCs w:val="24"/>
          <w:lang w:val="en-GB"/>
        </w:rPr>
        <w:t>networks developed with the relevant specialists close to where the patient resides. Whilst this model has served these programs well in the past it is unsustainable in the future given the projected increase in the population of post transplantation patients.</w:t>
      </w:r>
    </w:p>
    <w:p w14:paraId="533A9158" w14:textId="77777777" w:rsidR="006F4E24" w:rsidRPr="006F4E24" w:rsidRDefault="006F4E24" w:rsidP="006F4E24">
      <w:pPr>
        <w:pStyle w:val="ListParagraph"/>
        <w:numPr>
          <w:ilvl w:val="0"/>
          <w:numId w:val="23"/>
        </w:numPr>
        <w:spacing w:after="120"/>
        <w:rPr>
          <w:rFonts w:asciiTheme="minorHAnsi" w:hAnsiTheme="minorHAnsi" w:cstheme="minorHAnsi"/>
          <w:sz w:val="24"/>
          <w:szCs w:val="24"/>
          <w:lang w:val="en-GB"/>
        </w:rPr>
      </w:pPr>
      <w:r w:rsidRPr="006F4E24">
        <w:rPr>
          <w:rFonts w:asciiTheme="minorHAnsi" w:hAnsiTheme="minorHAnsi" w:cstheme="minorHAnsi"/>
          <w:sz w:val="24"/>
          <w:szCs w:val="24"/>
          <w:lang w:val="en-GB"/>
        </w:rPr>
        <w:t xml:space="preserve">The transition from paediatric care to early adult care is problematic for many transplant recipients and must be specifically managed and resourced in all paediatric </w:t>
      </w:r>
      <w:r w:rsidR="00647282">
        <w:rPr>
          <w:rFonts w:asciiTheme="minorHAnsi" w:hAnsiTheme="minorHAnsi" w:cstheme="minorHAnsi"/>
          <w:sz w:val="24"/>
          <w:szCs w:val="24"/>
          <w:lang w:val="en-GB"/>
        </w:rPr>
        <w:t>transplantation programs</w:t>
      </w:r>
      <w:r w:rsidRPr="006F4E24">
        <w:rPr>
          <w:rFonts w:asciiTheme="minorHAnsi" w:hAnsiTheme="minorHAnsi" w:cstheme="minorHAnsi"/>
          <w:sz w:val="24"/>
          <w:szCs w:val="24"/>
          <w:lang w:val="en-GB"/>
        </w:rPr>
        <w:t>.</w:t>
      </w:r>
    </w:p>
    <w:p w14:paraId="08E6AD5F" w14:textId="77777777" w:rsidR="00D242AE" w:rsidRDefault="00D242AE" w:rsidP="00D242AE">
      <w:pPr>
        <w:pStyle w:val="ListParagraph"/>
        <w:numPr>
          <w:ilvl w:val="0"/>
          <w:numId w:val="23"/>
        </w:numPr>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Post </w:t>
      </w:r>
      <w:r w:rsidR="00092158">
        <w:rPr>
          <w:rFonts w:asciiTheme="minorHAnsi" w:hAnsiTheme="minorHAnsi" w:cstheme="minorHAnsi"/>
          <w:sz w:val="24"/>
          <w:szCs w:val="24"/>
          <w:lang w:val="en-GB"/>
        </w:rPr>
        <w:t>transplantation outcomes</w:t>
      </w:r>
      <w:r>
        <w:rPr>
          <w:rFonts w:asciiTheme="minorHAnsi" w:hAnsiTheme="minorHAnsi" w:cstheme="minorHAnsi"/>
          <w:sz w:val="24"/>
          <w:szCs w:val="24"/>
          <w:lang w:val="en-GB"/>
        </w:rPr>
        <w:t xml:space="preserve"> experienced among Aboriginal and Torres Strait Islander people are currently much worse than those experienced by non-Indigenous Australians. Further work is required to identify issues affecting graft and patient survival and design strategies as part of the TSANZ </w:t>
      </w:r>
      <w:r w:rsidR="00422006">
        <w:rPr>
          <w:rFonts w:asciiTheme="minorHAnsi" w:hAnsiTheme="minorHAnsi" w:cstheme="minorHAnsi"/>
          <w:sz w:val="24"/>
          <w:szCs w:val="24"/>
          <w:lang w:val="en-GB"/>
        </w:rPr>
        <w:t>project</w:t>
      </w:r>
      <w:r>
        <w:rPr>
          <w:rFonts w:asciiTheme="minorHAnsi" w:hAnsiTheme="minorHAnsi" w:cstheme="minorHAnsi"/>
          <w:sz w:val="24"/>
          <w:szCs w:val="24"/>
          <w:lang w:val="en-GB"/>
        </w:rPr>
        <w:t>.</w:t>
      </w:r>
    </w:p>
    <w:p w14:paraId="1495D0A2" w14:textId="77777777" w:rsidR="00D242AE" w:rsidRPr="002A4039" w:rsidRDefault="00D242AE" w:rsidP="00D242AE">
      <w:pPr>
        <w:pStyle w:val="ListParagraph"/>
        <w:numPr>
          <w:ilvl w:val="0"/>
          <w:numId w:val="23"/>
        </w:numPr>
        <w:spacing w:after="120"/>
        <w:rPr>
          <w:rFonts w:asciiTheme="minorHAnsi" w:hAnsiTheme="minorHAnsi" w:cstheme="minorHAnsi"/>
          <w:sz w:val="24"/>
          <w:szCs w:val="24"/>
          <w:lang w:val="en-GB"/>
        </w:rPr>
      </w:pPr>
      <w:r>
        <w:rPr>
          <w:rFonts w:asciiTheme="minorHAnsi" w:hAnsiTheme="minorHAnsi" w:cstheme="minorHAnsi"/>
          <w:sz w:val="24"/>
          <w:szCs w:val="24"/>
          <w:lang w:val="en-GB"/>
        </w:rPr>
        <w:t>Patient experience</w:t>
      </w:r>
      <w:r w:rsidR="00EE46D6">
        <w:rPr>
          <w:rFonts w:asciiTheme="minorHAnsi" w:hAnsiTheme="minorHAnsi" w:cstheme="minorHAnsi"/>
          <w:sz w:val="24"/>
          <w:szCs w:val="24"/>
          <w:lang w:val="en-GB"/>
        </w:rPr>
        <w:t xml:space="preserve"> data</w:t>
      </w:r>
      <w:r>
        <w:rPr>
          <w:rFonts w:asciiTheme="minorHAnsi" w:hAnsiTheme="minorHAnsi" w:cstheme="minorHAnsi"/>
          <w:sz w:val="24"/>
          <w:szCs w:val="24"/>
          <w:lang w:val="en-GB"/>
        </w:rPr>
        <w:t xml:space="preserve"> post transplantation is not currently collected consistently within the system. The introduction of mechanism to measure experience may greatly benefit the effectiveness of policy and outcomes in transplantation.</w:t>
      </w:r>
    </w:p>
    <w:p w14:paraId="52719664" w14:textId="77777777" w:rsidR="00D242AE" w:rsidRPr="00266A77" w:rsidRDefault="00D242AE" w:rsidP="00D242AE">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Recommendations</w:t>
      </w:r>
    </w:p>
    <w:tbl>
      <w:tblPr>
        <w:tblStyle w:val="TableGrid4"/>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6A0" w:firstRow="1" w:lastRow="0" w:firstColumn="1" w:lastColumn="0" w:noHBand="1" w:noVBand="1"/>
        <w:tblDescription w:val="Recommendation forty three is that the heart, lung and liver transplantation programs develop post transplantation models of care that includes shared care with an appropriate locally based clinical team after the initial period of post transplantation stabilisation, particularly in the case of rural and regional patients. Recommendation forty four is that each paediatric organ transplantation program, and its affiliated adult transplantation program, develop explicit pathways for transition to adult care if these pathways are not already in place. Recommendation forty five is that each transplantation unit should provide comprehensive rehabilitation for patients post transplantation with a focus on employment and social participation. Recommendations forty six is that patient reported outcome measures be added to all organ transplant outcome registries. "/>
      </w:tblPr>
      <w:tblGrid>
        <w:gridCol w:w="2268"/>
        <w:gridCol w:w="7479"/>
      </w:tblGrid>
      <w:tr w:rsidR="000C4EEE" w:rsidRPr="00B60A37" w14:paraId="1C2D8BEF" w14:textId="77777777" w:rsidTr="00AE3ED1">
        <w:trPr>
          <w:tblHeader/>
        </w:trPr>
        <w:tc>
          <w:tcPr>
            <w:tcW w:w="2268" w:type="dxa"/>
            <w:shd w:val="clear" w:color="auto" w:fill="595959" w:themeFill="text1" w:themeFillTint="A6"/>
          </w:tcPr>
          <w:p w14:paraId="06F1106C" w14:textId="473F579D" w:rsidR="000C4EEE" w:rsidRPr="00AE3ED1" w:rsidRDefault="000C4EEE" w:rsidP="00AE3ED1">
            <w:pPr>
              <w:spacing w:after="120"/>
              <w:ind w:right="-321"/>
              <w:rPr>
                <w:rFonts w:asciiTheme="minorHAnsi" w:hAnsiTheme="minorHAnsi" w:cstheme="minorHAnsi"/>
                <w:b/>
                <w:color w:val="FFFFFF" w:themeColor="background1"/>
                <w:sz w:val="24"/>
                <w:szCs w:val="24"/>
                <w:lang w:val="en-GB"/>
              </w:rPr>
            </w:pPr>
            <w:r w:rsidRPr="00AE3ED1">
              <w:rPr>
                <w:rFonts w:asciiTheme="minorHAnsi" w:hAnsiTheme="minorHAnsi" w:cstheme="minorHAnsi"/>
                <w:b/>
                <w:color w:val="FFFFFF" w:themeColor="background1"/>
                <w:sz w:val="24"/>
                <w:szCs w:val="24"/>
                <w:lang w:val="en-GB"/>
              </w:rPr>
              <w:t>Recommendation</w:t>
            </w:r>
          </w:p>
        </w:tc>
        <w:tc>
          <w:tcPr>
            <w:tcW w:w="7479" w:type="dxa"/>
            <w:shd w:val="clear" w:color="auto" w:fill="595959" w:themeFill="text1" w:themeFillTint="A6"/>
          </w:tcPr>
          <w:p w14:paraId="690FBF5F" w14:textId="4F05D619" w:rsidR="000C4EEE" w:rsidRPr="00AE3ED1" w:rsidRDefault="000C4EEE" w:rsidP="00AE3ED1">
            <w:pPr>
              <w:spacing w:after="120"/>
              <w:ind w:right="-142"/>
              <w:rPr>
                <w:rFonts w:asciiTheme="minorHAnsi" w:hAnsiTheme="minorHAnsi" w:cstheme="minorHAnsi"/>
                <w:b/>
                <w:color w:val="FFFFFF" w:themeColor="background1"/>
                <w:sz w:val="24"/>
                <w:szCs w:val="24"/>
                <w:lang w:val="en-GB"/>
              </w:rPr>
            </w:pPr>
            <w:r w:rsidRPr="00AE3ED1">
              <w:rPr>
                <w:rFonts w:asciiTheme="minorHAnsi" w:hAnsiTheme="minorHAnsi" w:cstheme="minorHAnsi"/>
                <w:b/>
                <w:color w:val="FFFFFF" w:themeColor="background1"/>
                <w:sz w:val="24"/>
                <w:szCs w:val="24"/>
                <w:lang w:val="en-GB"/>
              </w:rPr>
              <w:t>Description</w:t>
            </w:r>
          </w:p>
        </w:tc>
      </w:tr>
      <w:tr w:rsidR="00D242AE" w:rsidRPr="00B60A37" w14:paraId="2CB0FFE3" w14:textId="77777777" w:rsidTr="00AE3ED1">
        <w:tc>
          <w:tcPr>
            <w:tcW w:w="2268" w:type="dxa"/>
          </w:tcPr>
          <w:p w14:paraId="6AA3555D" w14:textId="77777777" w:rsidR="00D242AE" w:rsidRPr="002A4039" w:rsidRDefault="00D242AE" w:rsidP="00AE3ED1">
            <w:pPr>
              <w:spacing w:after="120"/>
              <w:ind w:right="-321"/>
              <w:rPr>
                <w:rFonts w:asciiTheme="minorHAnsi" w:hAnsiTheme="minorHAnsi" w:cstheme="minorHAnsi"/>
                <w:b/>
                <w:sz w:val="24"/>
                <w:szCs w:val="24"/>
                <w:lang w:val="en-GB"/>
              </w:rPr>
            </w:pPr>
            <w:r w:rsidRPr="002A4039">
              <w:rPr>
                <w:rFonts w:asciiTheme="minorHAnsi" w:hAnsiTheme="minorHAnsi" w:cstheme="minorHAnsi"/>
                <w:b/>
                <w:sz w:val="24"/>
                <w:szCs w:val="24"/>
                <w:lang w:val="en-GB"/>
              </w:rPr>
              <w:t xml:space="preserve">Recommendation </w:t>
            </w:r>
            <w:r w:rsidR="00522D0C">
              <w:rPr>
                <w:rFonts w:asciiTheme="minorHAnsi" w:hAnsiTheme="minorHAnsi" w:cstheme="minorHAnsi"/>
                <w:b/>
                <w:sz w:val="24"/>
                <w:szCs w:val="24"/>
                <w:lang w:val="en-GB"/>
              </w:rPr>
              <w:t>4</w:t>
            </w:r>
            <w:r w:rsidR="001E63B4">
              <w:rPr>
                <w:rFonts w:asciiTheme="minorHAnsi" w:hAnsiTheme="minorHAnsi" w:cstheme="minorHAnsi"/>
                <w:b/>
                <w:sz w:val="24"/>
                <w:szCs w:val="24"/>
                <w:lang w:val="en-GB"/>
              </w:rPr>
              <w:t>3</w:t>
            </w:r>
          </w:p>
        </w:tc>
        <w:tc>
          <w:tcPr>
            <w:tcW w:w="7479" w:type="dxa"/>
          </w:tcPr>
          <w:p w14:paraId="170EC53A" w14:textId="77777777" w:rsidR="009D1166" w:rsidRPr="002A4039" w:rsidRDefault="00D242AE" w:rsidP="00AE3ED1">
            <w:pPr>
              <w:spacing w:after="120"/>
              <w:ind w:right="-142"/>
              <w:rPr>
                <w:rFonts w:asciiTheme="minorHAnsi" w:hAnsiTheme="minorHAnsi" w:cstheme="minorHAnsi"/>
                <w:sz w:val="24"/>
                <w:szCs w:val="24"/>
                <w:lang w:val="en-GB"/>
              </w:rPr>
            </w:pPr>
            <w:r w:rsidRPr="002A4039">
              <w:rPr>
                <w:rFonts w:asciiTheme="minorHAnsi" w:hAnsiTheme="minorHAnsi" w:cstheme="minorHAnsi"/>
                <w:sz w:val="24"/>
                <w:szCs w:val="24"/>
                <w:lang w:val="en-GB"/>
              </w:rPr>
              <w:t>The heart, lung and liver transplant</w:t>
            </w:r>
            <w:r>
              <w:rPr>
                <w:rFonts w:asciiTheme="minorHAnsi" w:hAnsiTheme="minorHAnsi" w:cstheme="minorHAnsi"/>
                <w:sz w:val="24"/>
                <w:szCs w:val="24"/>
                <w:lang w:val="en-GB"/>
              </w:rPr>
              <w:t>ation</w:t>
            </w:r>
            <w:r w:rsidRPr="002A4039">
              <w:rPr>
                <w:rFonts w:asciiTheme="minorHAnsi" w:hAnsiTheme="minorHAnsi" w:cstheme="minorHAnsi"/>
                <w:sz w:val="24"/>
                <w:szCs w:val="24"/>
                <w:lang w:val="en-GB"/>
              </w:rPr>
              <w:t xml:space="preserve"> programs develop post</w:t>
            </w:r>
            <w:r w:rsidR="00E632AF">
              <w:rPr>
                <w:rFonts w:asciiTheme="minorHAnsi" w:hAnsiTheme="minorHAnsi" w:cstheme="minorHAnsi"/>
                <w:sz w:val="24"/>
                <w:szCs w:val="24"/>
                <w:lang w:val="en-GB"/>
              </w:rPr>
              <w:t xml:space="preserve"> </w:t>
            </w:r>
            <w:r>
              <w:rPr>
                <w:rFonts w:asciiTheme="minorHAnsi" w:hAnsiTheme="minorHAnsi" w:cstheme="minorHAnsi"/>
                <w:sz w:val="24"/>
                <w:szCs w:val="24"/>
                <w:lang w:val="en-GB"/>
              </w:rPr>
              <w:t>transplantation</w:t>
            </w:r>
            <w:r w:rsidRPr="002A4039">
              <w:rPr>
                <w:rFonts w:asciiTheme="minorHAnsi" w:hAnsiTheme="minorHAnsi" w:cstheme="minorHAnsi"/>
                <w:sz w:val="24"/>
                <w:szCs w:val="24"/>
                <w:lang w:val="en-GB"/>
              </w:rPr>
              <w:t xml:space="preserve"> models of care that include</w:t>
            </w:r>
            <w:r w:rsidR="009D1166">
              <w:rPr>
                <w:rFonts w:asciiTheme="minorHAnsi" w:hAnsiTheme="minorHAnsi" w:cstheme="minorHAnsi"/>
                <w:sz w:val="24"/>
                <w:szCs w:val="24"/>
                <w:lang w:val="en-GB"/>
              </w:rPr>
              <w:t>s</w:t>
            </w:r>
            <w:r w:rsidRPr="002A4039">
              <w:rPr>
                <w:rFonts w:asciiTheme="minorHAnsi" w:hAnsiTheme="minorHAnsi" w:cstheme="minorHAnsi"/>
                <w:sz w:val="24"/>
                <w:szCs w:val="24"/>
                <w:lang w:val="en-GB"/>
              </w:rPr>
              <w:t xml:space="preserve"> </w:t>
            </w:r>
            <w:r w:rsidR="009D1166">
              <w:rPr>
                <w:rFonts w:asciiTheme="minorHAnsi" w:hAnsiTheme="minorHAnsi" w:cstheme="minorHAnsi"/>
                <w:sz w:val="24"/>
                <w:szCs w:val="24"/>
                <w:lang w:val="en-GB"/>
              </w:rPr>
              <w:t>shared care with an</w:t>
            </w:r>
            <w:r w:rsidRPr="002A4039">
              <w:rPr>
                <w:rFonts w:asciiTheme="minorHAnsi" w:hAnsiTheme="minorHAnsi" w:cstheme="minorHAnsi"/>
                <w:sz w:val="24"/>
                <w:szCs w:val="24"/>
                <w:lang w:val="en-GB"/>
              </w:rPr>
              <w:t xml:space="preserve"> appropriate </w:t>
            </w:r>
            <w:r w:rsidR="009D1166">
              <w:rPr>
                <w:rFonts w:asciiTheme="minorHAnsi" w:hAnsiTheme="minorHAnsi" w:cstheme="minorHAnsi"/>
                <w:sz w:val="24"/>
                <w:szCs w:val="24"/>
                <w:lang w:val="en-GB"/>
              </w:rPr>
              <w:t xml:space="preserve">locally based </w:t>
            </w:r>
            <w:r w:rsidRPr="002A4039">
              <w:rPr>
                <w:rFonts w:asciiTheme="minorHAnsi" w:hAnsiTheme="minorHAnsi" w:cstheme="minorHAnsi"/>
                <w:sz w:val="24"/>
                <w:szCs w:val="24"/>
                <w:lang w:val="en-GB"/>
              </w:rPr>
              <w:t>clinical team after the initial period of post</w:t>
            </w:r>
            <w:r w:rsidR="00E632AF">
              <w:rPr>
                <w:rFonts w:asciiTheme="minorHAnsi" w:hAnsiTheme="minorHAnsi" w:cstheme="minorHAnsi"/>
                <w:sz w:val="24"/>
                <w:szCs w:val="24"/>
                <w:lang w:val="en-GB"/>
              </w:rPr>
              <w:t xml:space="preserve"> </w:t>
            </w:r>
            <w:r w:rsidRPr="002A4039">
              <w:rPr>
                <w:rFonts w:asciiTheme="minorHAnsi" w:hAnsiTheme="minorHAnsi" w:cstheme="minorHAnsi"/>
                <w:sz w:val="24"/>
                <w:szCs w:val="24"/>
                <w:lang w:val="en-GB"/>
              </w:rPr>
              <w:t>transplantation stabilisation</w:t>
            </w:r>
            <w:r w:rsidR="006F2BC9">
              <w:rPr>
                <w:rFonts w:asciiTheme="minorHAnsi" w:hAnsiTheme="minorHAnsi" w:cstheme="minorHAnsi"/>
                <w:sz w:val="24"/>
                <w:szCs w:val="24"/>
                <w:lang w:val="en-GB"/>
              </w:rPr>
              <w:t>,</w:t>
            </w:r>
            <w:r w:rsidRPr="002A4039">
              <w:rPr>
                <w:rFonts w:asciiTheme="minorHAnsi" w:hAnsiTheme="minorHAnsi" w:cstheme="minorHAnsi"/>
                <w:sz w:val="24"/>
                <w:szCs w:val="24"/>
                <w:lang w:val="en-GB"/>
              </w:rPr>
              <w:t xml:space="preserve"> particularly in the case of rural and regional </w:t>
            </w:r>
            <w:r w:rsidR="006F2BC9">
              <w:rPr>
                <w:rFonts w:asciiTheme="minorHAnsi" w:hAnsiTheme="minorHAnsi" w:cstheme="minorHAnsi"/>
                <w:sz w:val="24"/>
                <w:szCs w:val="24"/>
                <w:lang w:val="en-GB"/>
              </w:rPr>
              <w:t>patients</w:t>
            </w:r>
            <w:r>
              <w:rPr>
                <w:rFonts w:asciiTheme="minorHAnsi" w:hAnsiTheme="minorHAnsi" w:cstheme="minorHAnsi"/>
                <w:sz w:val="24"/>
                <w:szCs w:val="24"/>
                <w:lang w:val="en-GB"/>
              </w:rPr>
              <w:t>.</w:t>
            </w:r>
          </w:p>
        </w:tc>
      </w:tr>
      <w:tr w:rsidR="00D242AE" w:rsidRPr="00B60A37" w14:paraId="2EFEA351" w14:textId="77777777" w:rsidTr="00AE3ED1">
        <w:tc>
          <w:tcPr>
            <w:tcW w:w="2268" w:type="dxa"/>
          </w:tcPr>
          <w:p w14:paraId="1D557BB0" w14:textId="77777777" w:rsidR="00D242AE" w:rsidRPr="002A4039" w:rsidRDefault="00D242AE" w:rsidP="00AE3ED1">
            <w:pPr>
              <w:spacing w:after="120"/>
              <w:ind w:right="-321"/>
              <w:rPr>
                <w:rFonts w:asciiTheme="minorHAnsi" w:hAnsiTheme="minorHAnsi" w:cstheme="minorHAnsi"/>
                <w:b/>
                <w:sz w:val="24"/>
                <w:szCs w:val="24"/>
                <w:lang w:val="en-GB"/>
              </w:rPr>
            </w:pPr>
            <w:r w:rsidRPr="002A4039">
              <w:rPr>
                <w:rFonts w:asciiTheme="minorHAnsi" w:hAnsiTheme="minorHAnsi" w:cstheme="minorHAnsi"/>
                <w:b/>
                <w:sz w:val="24"/>
                <w:szCs w:val="24"/>
                <w:lang w:val="en-GB"/>
              </w:rPr>
              <w:t xml:space="preserve">Recommendation </w:t>
            </w:r>
            <w:r w:rsidR="00FE692F">
              <w:rPr>
                <w:rFonts w:asciiTheme="minorHAnsi" w:hAnsiTheme="minorHAnsi" w:cstheme="minorHAnsi"/>
                <w:b/>
                <w:sz w:val="24"/>
                <w:szCs w:val="24"/>
                <w:lang w:val="en-GB"/>
              </w:rPr>
              <w:t>4</w:t>
            </w:r>
            <w:r w:rsidR="001E63B4">
              <w:rPr>
                <w:rFonts w:asciiTheme="minorHAnsi" w:hAnsiTheme="minorHAnsi" w:cstheme="minorHAnsi"/>
                <w:b/>
                <w:sz w:val="24"/>
                <w:szCs w:val="24"/>
                <w:lang w:val="en-GB"/>
              </w:rPr>
              <w:t>4</w:t>
            </w:r>
            <w:r w:rsidRPr="002A4039">
              <w:rPr>
                <w:rFonts w:asciiTheme="minorHAnsi" w:hAnsiTheme="minorHAnsi" w:cstheme="minorHAnsi"/>
                <w:b/>
                <w:sz w:val="24"/>
                <w:szCs w:val="24"/>
                <w:lang w:val="en-GB"/>
              </w:rPr>
              <w:t xml:space="preserve"> </w:t>
            </w:r>
          </w:p>
        </w:tc>
        <w:tc>
          <w:tcPr>
            <w:tcW w:w="7479" w:type="dxa"/>
          </w:tcPr>
          <w:p w14:paraId="7376C8B4" w14:textId="77777777" w:rsidR="00D242AE" w:rsidRPr="002A4039" w:rsidRDefault="00D242AE" w:rsidP="00AE3ED1">
            <w:pPr>
              <w:spacing w:after="120"/>
              <w:ind w:right="-142"/>
              <w:rPr>
                <w:rFonts w:asciiTheme="minorHAnsi" w:hAnsiTheme="minorHAnsi" w:cstheme="minorHAnsi"/>
                <w:sz w:val="24"/>
                <w:szCs w:val="24"/>
                <w:lang w:val="en-GB"/>
              </w:rPr>
            </w:pPr>
            <w:r w:rsidRPr="002A4039">
              <w:rPr>
                <w:rFonts w:asciiTheme="minorHAnsi" w:hAnsiTheme="minorHAnsi" w:cstheme="minorHAnsi"/>
                <w:sz w:val="24"/>
                <w:szCs w:val="24"/>
                <w:lang w:val="en-GB"/>
              </w:rPr>
              <w:t>Each paediatric organ transplantation program</w:t>
            </w:r>
            <w:r w:rsidR="001A218E">
              <w:rPr>
                <w:rFonts w:asciiTheme="minorHAnsi" w:hAnsiTheme="minorHAnsi" w:cstheme="minorHAnsi"/>
                <w:sz w:val="24"/>
                <w:szCs w:val="24"/>
                <w:lang w:val="en-GB"/>
              </w:rPr>
              <w:t>,</w:t>
            </w:r>
            <w:r w:rsidRPr="002A4039">
              <w:rPr>
                <w:rFonts w:asciiTheme="minorHAnsi" w:hAnsiTheme="minorHAnsi" w:cstheme="minorHAnsi"/>
                <w:sz w:val="24"/>
                <w:szCs w:val="24"/>
                <w:lang w:val="en-GB"/>
              </w:rPr>
              <w:t xml:space="preserve"> </w:t>
            </w:r>
            <w:r w:rsidR="00C45CB5">
              <w:rPr>
                <w:rFonts w:asciiTheme="minorHAnsi" w:hAnsiTheme="minorHAnsi" w:cstheme="minorHAnsi"/>
                <w:sz w:val="24"/>
                <w:szCs w:val="24"/>
                <w:lang w:val="en-GB"/>
              </w:rPr>
              <w:t>and its affiliated adult transplantation program</w:t>
            </w:r>
            <w:r w:rsidR="001A218E">
              <w:rPr>
                <w:rFonts w:asciiTheme="minorHAnsi" w:hAnsiTheme="minorHAnsi" w:cstheme="minorHAnsi"/>
                <w:sz w:val="24"/>
                <w:szCs w:val="24"/>
                <w:lang w:val="en-GB"/>
              </w:rPr>
              <w:t>,</w:t>
            </w:r>
            <w:r w:rsidR="00C45CB5">
              <w:rPr>
                <w:rFonts w:asciiTheme="minorHAnsi" w:hAnsiTheme="minorHAnsi" w:cstheme="minorHAnsi"/>
                <w:sz w:val="24"/>
                <w:szCs w:val="24"/>
                <w:lang w:val="en-GB"/>
              </w:rPr>
              <w:t xml:space="preserve"> </w:t>
            </w:r>
            <w:r w:rsidRPr="002A4039">
              <w:rPr>
                <w:rFonts w:asciiTheme="minorHAnsi" w:hAnsiTheme="minorHAnsi" w:cstheme="minorHAnsi"/>
                <w:sz w:val="24"/>
                <w:szCs w:val="24"/>
                <w:lang w:val="en-GB"/>
              </w:rPr>
              <w:t>develop explicit pathways for transition to adult care if these pathways are not already in place</w:t>
            </w:r>
            <w:r>
              <w:rPr>
                <w:rFonts w:asciiTheme="minorHAnsi" w:hAnsiTheme="minorHAnsi" w:cstheme="minorHAnsi"/>
                <w:sz w:val="24"/>
                <w:szCs w:val="24"/>
                <w:lang w:val="en-GB"/>
              </w:rPr>
              <w:t>.</w:t>
            </w:r>
          </w:p>
        </w:tc>
      </w:tr>
      <w:tr w:rsidR="00C45CB5" w:rsidRPr="00B60A37" w14:paraId="28152C2A" w14:textId="77777777" w:rsidTr="00AE3ED1">
        <w:tc>
          <w:tcPr>
            <w:tcW w:w="2268" w:type="dxa"/>
          </w:tcPr>
          <w:p w14:paraId="79CC3310" w14:textId="77777777" w:rsidR="00C45CB5" w:rsidRPr="002A4039" w:rsidRDefault="00C45CB5" w:rsidP="00AE3ED1">
            <w:pPr>
              <w:spacing w:after="120"/>
              <w:ind w:right="-321"/>
              <w:rPr>
                <w:rFonts w:asciiTheme="minorHAnsi" w:hAnsiTheme="minorHAnsi" w:cstheme="minorHAnsi"/>
                <w:b/>
                <w:sz w:val="24"/>
                <w:szCs w:val="24"/>
                <w:lang w:val="en-GB"/>
              </w:rPr>
            </w:pPr>
            <w:r>
              <w:rPr>
                <w:rFonts w:asciiTheme="minorHAnsi" w:hAnsiTheme="minorHAnsi" w:cstheme="minorHAnsi"/>
                <w:b/>
                <w:sz w:val="24"/>
                <w:szCs w:val="24"/>
                <w:lang w:val="en-GB"/>
              </w:rPr>
              <w:t>Recommendation 4</w:t>
            </w:r>
            <w:r w:rsidR="001E63B4">
              <w:rPr>
                <w:rFonts w:asciiTheme="minorHAnsi" w:hAnsiTheme="minorHAnsi" w:cstheme="minorHAnsi"/>
                <w:b/>
                <w:sz w:val="24"/>
                <w:szCs w:val="24"/>
                <w:lang w:val="en-GB"/>
              </w:rPr>
              <w:t>5</w:t>
            </w:r>
          </w:p>
        </w:tc>
        <w:tc>
          <w:tcPr>
            <w:tcW w:w="7479" w:type="dxa"/>
          </w:tcPr>
          <w:p w14:paraId="29CFE872" w14:textId="77777777" w:rsidR="00C45CB5" w:rsidRPr="002A4039" w:rsidRDefault="00C45CB5" w:rsidP="00AE3ED1">
            <w:pPr>
              <w:spacing w:after="120"/>
              <w:ind w:right="-142"/>
              <w:rPr>
                <w:rFonts w:asciiTheme="minorHAnsi" w:hAnsiTheme="minorHAnsi" w:cstheme="minorHAnsi"/>
                <w:sz w:val="24"/>
                <w:szCs w:val="24"/>
                <w:lang w:val="en-GB"/>
              </w:rPr>
            </w:pPr>
            <w:r>
              <w:rPr>
                <w:rFonts w:asciiTheme="minorHAnsi" w:hAnsiTheme="minorHAnsi" w:cstheme="minorHAnsi"/>
                <w:sz w:val="24"/>
                <w:szCs w:val="24"/>
                <w:lang w:val="en-GB"/>
              </w:rPr>
              <w:t>Each transplant</w:t>
            </w:r>
            <w:r w:rsidR="00595193">
              <w:rPr>
                <w:rFonts w:asciiTheme="minorHAnsi" w:hAnsiTheme="minorHAnsi" w:cstheme="minorHAnsi"/>
                <w:sz w:val="24"/>
                <w:szCs w:val="24"/>
                <w:lang w:val="en-GB"/>
              </w:rPr>
              <w:t>ation</w:t>
            </w:r>
            <w:r>
              <w:rPr>
                <w:rFonts w:asciiTheme="minorHAnsi" w:hAnsiTheme="minorHAnsi" w:cstheme="minorHAnsi"/>
                <w:sz w:val="24"/>
                <w:szCs w:val="24"/>
                <w:lang w:val="en-GB"/>
              </w:rPr>
              <w:t xml:space="preserve"> unit should provide comprehensive rehabilitation for patients post transplantation with a focus on employment and social participation.</w:t>
            </w:r>
          </w:p>
        </w:tc>
      </w:tr>
      <w:tr w:rsidR="00C45CB5" w:rsidRPr="00B60A37" w14:paraId="6036B9DC" w14:textId="77777777" w:rsidTr="00AE3ED1">
        <w:tc>
          <w:tcPr>
            <w:tcW w:w="2268" w:type="dxa"/>
          </w:tcPr>
          <w:p w14:paraId="4F4C1D6D" w14:textId="77777777" w:rsidR="00C45CB5" w:rsidRDefault="00C45CB5" w:rsidP="00AE3ED1">
            <w:pPr>
              <w:spacing w:after="120"/>
              <w:ind w:right="-321"/>
              <w:rPr>
                <w:rFonts w:asciiTheme="minorHAnsi" w:hAnsiTheme="minorHAnsi" w:cstheme="minorHAnsi"/>
                <w:b/>
                <w:sz w:val="24"/>
                <w:szCs w:val="24"/>
                <w:lang w:val="en-GB"/>
              </w:rPr>
            </w:pPr>
            <w:r w:rsidRPr="002A4039">
              <w:rPr>
                <w:rFonts w:asciiTheme="minorHAnsi" w:hAnsiTheme="minorHAnsi" w:cstheme="minorHAnsi"/>
                <w:b/>
                <w:sz w:val="24"/>
                <w:szCs w:val="24"/>
                <w:lang w:val="en-GB"/>
              </w:rPr>
              <w:t>Recommendation 4</w:t>
            </w:r>
            <w:r w:rsidR="001E63B4">
              <w:rPr>
                <w:rFonts w:asciiTheme="minorHAnsi" w:hAnsiTheme="minorHAnsi" w:cstheme="minorHAnsi"/>
                <w:b/>
                <w:sz w:val="24"/>
                <w:szCs w:val="24"/>
                <w:lang w:val="en-GB"/>
              </w:rPr>
              <w:t>6</w:t>
            </w:r>
            <w:r w:rsidRPr="002A4039">
              <w:rPr>
                <w:rFonts w:asciiTheme="minorHAnsi" w:hAnsiTheme="minorHAnsi" w:cstheme="minorHAnsi"/>
                <w:b/>
                <w:sz w:val="24"/>
                <w:szCs w:val="24"/>
                <w:lang w:val="en-GB"/>
              </w:rPr>
              <w:t xml:space="preserve"> </w:t>
            </w:r>
          </w:p>
        </w:tc>
        <w:tc>
          <w:tcPr>
            <w:tcW w:w="7479" w:type="dxa"/>
          </w:tcPr>
          <w:p w14:paraId="3611B417" w14:textId="77777777" w:rsidR="00C45CB5" w:rsidRDefault="00C45CB5" w:rsidP="00AE3ED1">
            <w:pPr>
              <w:spacing w:after="120"/>
              <w:ind w:right="-142"/>
              <w:rPr>
                <w:rFonts w:asciiTheme="minorHAnsi" w:hAnsiTheme="minorHAnsi" w:cstheme="minorHAnsi"/>
                <w:sz w:val="24"/>
                <w:szCs w:val="24"/>
                <w:lang w:val="en-GB"/>
              </w:rPr>
            </w:pPr>
            <w:r w:rsidRPr="002A4039">
              <w:rPr>
                <w:rFonts w:asciiTheme="minorHAnsi" w:hAnsiTheme="minorHAnsi" w:cstheme="minorHAnsi"/>
                <w:sz w:val="24"/>
                <w:szCs w:val="24"/>
                <w:lang w:val="en-GB"/>
              </w:rPr>
              <w:t xml:space="preserve">Patient reported outcome measures be added to all organ </w:t>
            </w:r>
            <w:r w:rsidR="000B07FB">
              <w:rPr>
                <w:rFonts w:asciiTheme="minorHAnsi" w:hAnsiTheme="minorHAnsi" w:cstheme="minorHAnsi"/>
                <w:sz w:val="24"/>
                <w:szCs w:val="24"/>
                <w:lang w:val="en-GB"/>
              </w:rPr>
              <w:t>transplant outcome</w:t>
            </w:r>
            <w:r w:rsidRPr="002A4039">
              <w:rPr>
                <w:rFonts w:asciiTheme="minorHAnsi" w:hAnsiTheme="minorHAnsi" w:cstheme="minorHAnsi"/>
                <w:sz w:val="24"/>
                <w:szCs w:val="24"/>
                <w:lang w:val="en-GB"/>
              </w:rPr>
              <w:t xml:space="preserve"> registries</w:t>
            </w:r>
            <w:r>
              <w:rPr>
                <w:rFonts w:asciiTheme="minorHAnsi" w:hAnsiTheme="minorHAnsi" w:cstheme="minorHAnsi"/>
                <w:sz w:val="24"/>
                <w:szCs w:val="24"/>
                <w:lang w:val="en-GB"/>
              </w:rPr>
              <w:t>.</w:t>
            </w:r>
            <w:r w:rsidRPr="002A4039">
              <w:rPr>
                <w:rFonts w:asciiTheme="minorHAnsi" w:hAnsiTheme="minorHAnsi" w:cstheme="minorHAnsi"/>
                <w:sz w:val="24"/>
                <w:szCs w:val="24"/>
                <w:lang w:val="en-GB"/>
              </w:rPr>
              <w:t xml:space="preserve"> </w:t>
            </w:r>
          </w:p>
        </w:tc>
      </w:tr>
    </w:tbl>
    <w:p w14:paraId="2E850F27" w14:textId="77777777" w:rsidR="00BB3C87" w:rsidRDefault="00855B2E" w:rsidP="003A517E">
      <w:pPr>
        <w:pStyle w:val="Heading1"/>
        <w:tabs>
          <w:tab w:val="clear" w:pos="1559"/>
          <w:tab w:val="num" w:pos="993"/>
        </w:tabs>
        <w:spacing w:after="200"/>
        <w:ind w:left="992" w:hanging="992"/>
        <w:rPr>
          <w:rFonts w:asciiTheme="minorHAnsi" w:hAnsiTheme="minorHAnsi" w:cstheme="minorHAnsi"/>
          <w:sz w:val="48"/>
        </w:rPr>
      </w:pPr>
      <w:bookmarkStart w:id="682" w:name="_Toc527380941"/>
      <w:bookmarkStart w:id="683" w:name="_Toc527380943"/>
      <w:bookmarkStart w:id="684" w:name="_Toc527380949"/>
      <w:bookmarkStart w:id="685" w:name="_Toc527380954"/>
      <w:bookmarkStart w:id="686" w:name="_Toc527380955"/>
      <w:bookmarkStart w:id="687" w:name="_Toc527380958"/>
      <w:bookmarkStart w:id="688" w:name="_Toc527380960"/>
      <w:bookmarkStart w:id="689" w:name="_Toc527380964"/>
      <w:bookmarkStart w:id="690" w:name="_Toc527380965"/>
      <w:bookmarkStart w:id="691" w:name="_Toc527380967"/>
      <w:bookmarkStart w:id="692" w:name="_Toc527380969"/>
      <w:bookmarkStart w:id="693" w:name="_Toc527380970"/>
      <w:bookmarkStart w:id="694" w:name="_Toc527380972"/>
      <w:bookmarkStart w:id="695" w:name="_Toc527380973"/>
      <w:bookmarkStart w:id="696" w:name="_Toc527380975"/>
      <w:bookmarkStart w:id="697" w:name="_Toc527380977"/>
      <w:bookmarkStart w:id="698" w:name="_Toc527380978"/>
      <w:bookmarkStart w:id="699" w:name="_Toc527381049"/>
      <w:bookmarkStart w:id="700" w:name="_Toc527381096"/>
      <w:bookmarkStart w:id="701" w:name="_Toc527381098"/>
      <w:bookmarkStart w:id="702" w:name="_Toc527381099"/>
      <w:bookmarkStart w:id="703" w:name="_Toc527381100"/>
      <w:bookmarkStart w:id="704" w:name="_Toc527381101"/>
      <w:bookmarkStart w:id="705" w:name="_Toc527381102"/>
      <w:bookmarkStart w:id="706" w:name="_Toc527381146"/>
      <w:bookmarkStart w:id="707" w:name="_Toc527381147"/>
      <w:bookmarkStart w:id="708" w:name="_Toc527381148"/>
      <w:bookmarkStart w:id="709" w:name="_Toc527381149"/>
      <w:bookmarkStart w:id="710" w:name="_Toc527381150"/>
      <w:bookmarkStart w:id="711" w:name="_Toc527381153"/>
      <w:bookmarkStart w:id="712" w:name="_Toc527381155"/>
      <w:bookmarkStart w:id="713" w:name="_Toc527381156"/>
      <w:bookmarkStart w:id="714" w:name="_Toc527381157"/>
      <w:bookmarkStart w:id="715" w:name="_Toc527381158"/>
      <w:bookmarkStart w:id="716" w:name="_Toc527381159"/>
      <w:bookmarkStart w:id="717" w:name="_Toc527381183"/>
      <w:bookmarkStart w:id="718" w:name="_Toc527381185"/>
      <w:bookmarkStart w:id="719" w:name="_Toc527381186"/>
      <w:bookmarkStart w:id="720" w:name="_Toc527381187"/>
      <w:bookmarkStart w:id="721" w:name="_Toc527381188"/>
      <w:bookmarkStart w:id="722" w:name="_Toc527381189"/>
      <w:bookmarkStart w:id="723" w:name="_Toc527381190"/>
      <w:bookmarkStart w:id="724" w:name="_Toc523753658"/>
      <w:bookmarkStart w:id="725" w:name="_Toc527381194"/>
      <w:bookmarkStart w:id="726" w:name="_Toc527381197"/>
      <w:bookmarkStart w:id="727" w:name="_Toc527381198"/>
      <w:bookmarkStart w:id="728" w:name="_Toc527381199"/>
      <w:bookmarkStart w:id="729" w:name="_Toc527381200"/>
      <w:bookmarkStart w:id="730" w:name="_Toc527381221"/>
      <w:bookmarkStart w:id="731" w:name="_Toc527381222"/>
      <w:bookmarkStart w:id="732" w:name="_Toc527381223"/>
      <w:bookmarkStart w:id="733" w:name="_Toc527381226"/>
      <w:bookmarkStart w:id="734" w:name="_Toc527381234"/>
      <w:bookmarkStart w:id="735" w:name="_Toc527381235"/>
      <w:bookmarkStart w:id="736" w:name="_Toc527381238"/>
      <w:bookmarkStart w:id="737" w:name="_Toc527381243"/>
      <w:bookmarkStart w:id="738" w:name="_Toc527381244"/>
      <w:bookmarkStart w:id="739" w:name="_Toc527381247"/>
      <w:bookmarkStart w:id="740" w:name="_Toc527381250"/>
      <w:bookmarkStart w:id="741" w:name="_Toc527381251"/>
      <w:bookmarkStart w:id="742" w:name="_Toc527381267"/>
      <w:bookmarkStart w:id="743" w:name="_Toc527381268"/>
      <w:bookmarkStart w:id="744" w:name="_Toc527381270"/>
      <w:bookmarkStart w:id="745" w:name="_Toc527381271"/>
      <w:bookmarkStart w:id="746" w:name="_Toc527381274"/>
      <w:bookmarkStart w:id="747" w:name="_Toc527381275"/>
      <w:bookmarkStart w:id="748" w:name="_Toc527381276"/>
      <w:bookmarkStart w:id="749" w:name="_Toc527381278"/>
      <w:bookmarkStart w:id="750" w:name="_Toc527381279"/>
      <w:bookmarkStart w:id="751" w:name="_Toc527381281"/>
      <w:bookmarkStart w:id="752" w:name="_Toc527381292"/>
      <w:bookmarkStart w:id="753" w:name="_Toc527381294"/>
      <w:bookmarkStart w:id="754" w:name="_Toc527381296"/>
      <w:bookmarkStart w:id="755" w:name="_Toc527381300"/>
      <w:bookmarkStart w:id="756" w:name="_Toc527381302"/>
      <w:bookmarkStart w:id="757" w:name="_Toc527381318"/>
      <w:bookmarkStart w:id="758" w:name="_Toc527381319"/>
      <w:bookmarkStart w:id="759" w:name="_Toc527381320"/>
      <w:bookmarkStart w:id="760" w:name="_Toc527381321"/>
      <w:bookmarkStart w:id="761" w:name="_Toc527381324"/>
      <w:bookmarkStart w:id="762" w:name="_Toc527381332"/>
      <w:bookmarkStart w:id="763" w:name="_Toc527381335"/>
      <w:bookmarkStart w:id="764" w:name="_Toc527381336"/>
      <w:bookmarkStart w:id="765" w:name="_Toc527381338"/>
      <w:bookmarkStart w:id="766" w:name="_Toc527381346"/>
      <w:bookmarkStart w:id="767" w:name="_Toc527381348"/>
      <w:bookmarkStart w:id="768" w:name="_Toc527381357"/>
      <w:bookmarkStart w:id="769" w:name="_Toc527381366"/>
      <w:bookmarkStart w:id="770" w:name="_Toc527381367"/>
      <w:bookmarkStart w:id="771" w:name="_Toc527381368"/>
      <w:bookmarkStart w:id="772" w:name="_Toc527381369"/>
      <w:bookmarkStart w:id="773" w:name="_Toc527381372"/>
      <w:bookmarkStart w:id="774" w:name="_Toc527381377"/>
      <w:bookmarkStart w:id="775" w:name="_Toc527381378"/>
      <w:bookmarkStart w:id="776" w:name="_Toc527381379"/>
      <w:bookmarkStart w:id="777" w:name="_Toc527381382"/>
      <w:bookmarkStart w:id="778" w:name="_Toc527381383"/>
      <w:bookmarkStart w:id="779" w:name="_Toc527381385"/>
      <w:bookmarkStart w:id="780" w:name="_Toc527381393"/>
      <w:bookmarkStart w:id="781" w:name="_Toc527381401"/>
      <w:bookmarkStart w:id="782" w:name="_Toc527381402"/>
      <w:bookmarkStart w:id="783" w:name="_Toc527381403"/>
      <w:bookmarkStart w:id="784" w:name="_Toc527381405"/>
      <w:bookmarkStart w:id="785" w:name="_Toc527381410"/>
      <w:bookmarkStart w:id="786" w:name="_Toc527381411"/>
      <w:bookmarkStart w:id="787" w:name="_Toc527381413"/>
      <w:bookmarkStart w:id="788" w:name="_Toc527381414"/>
      <w:bookmarkStart w:id="789" w:name="_Toc527381416"/>
      <w:bookmarkStart w:id="790" w:name="_Toc527381418"/>
      <w:bookmarkStart w:id="791" w:name="_Toc527381420"/>
      <w:bookmarkStart w:id="792" w:name="_Toc523496845"/>
      <w:bookmarkStart w:id="793" w:name="_Toc523497073"/>
      <w:bookmarkStart w:id="794" w:name="_Toc523508951"/>
      <w:bookmarkStart w:id="795" w:name="_Toc523509184"/>
      <w:bookmarkStart w:id="796" w:name="_Toc523509415"/>
      <w:bookmarkStart w:id="797" w:name="_Toc523750974"/>
      <w:bookmarkStart w:id="798" w:name="_Toc523508955"/>
      <w:bookmarkStart w:id="799" w:name="_Toc523509187"/>
      <w:bookmarkStart w:id="800" w:name="_Toc523509418"/>
      <w:bookmarkStart w:id="801" w:name="_Toc523508958"/>
      <w:bookmarkStart w:id="802" w:name="_Toc523509190"/>
      <w:bookmarkStart w:id="803" w:name="_Toc523509421"/>
      <w:bookmarkStart w:id="804" w:name="_Toc523508960"/>
      <w:bookmarkStart w:id="805" w:name="_Toc523509192"/>
      <w:bookmarkStart w:id="806" w:name="_Toc523509423"/>
      <w:bookmarkStart w:id="807" w:name="_Toc523508962"/>
      <w:bookmarkStart w:id="808" w:name="_Toc523509194"/>
      <w:bookmarkStart w:id="809" w:name="_Toc523509425"/>
      <w:bookmarkStart w:id="810" w:name="_Ref531772609"/>
      <w:bookmarkStart w:id="811" w:name="_Toc532301701"/>
      <w:bookmarkEnd w:id="587"/>
      <w:bookmarkEnd w:id="637"/>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r>
        <w:rPr>
          <w:rFonts w:asciiTheme="minorHAnsi" w:hAnsiTheme="minorHAnsi" w:cstheme="minorHAnsi"/>
          <w:sz w:val="48"/>
        </w:rPr>
        <w:t xml:space="preserve">Key findings and recommendations: </w:t>
      </w:r>
      <w:r w:rsidR="000A7D05">
        <w:rPr>
          <w:rFonts w:asciiTheme="minorHAnsi" w:hAnsiTheme="minorHAnsi" w:cstheme="minorHAnsi"/>
          <w:sz w:val="48"/>
        </w:rPr>
        <w:t>Supporting elements</w:t>
      </w:r>
      <w:r w:rsidR="00CB4E0F">
        <w:rPr>
          <w:rFonts w:asciiTheme="minorHAnsi" w:hAnsiTheme="minorHAnsi" w:cstheme="minorHAnsi"/>
          <w:sz w:val="48"/>
        </w:rPr>
        <w:t xml:space="preserve"> of the system</w:t>
      </w:r>
      <w:bookmarkEnd w:id="810"/>
      <w:bookmarkEnd w:id="811"/>
    </w:p>
    <w:p w14:paraId="41A32A07" w14:textId="77777777" w:rsidR="003E2D97" w:rsidRDefault="003E2D97" w:rsidP="000A7D05">
      <w:pPr>
        <w:spacing w:after="120"/>
        <w:rPr>
          <w:rFonts w:asciiTheme="minorHAnsi" w:hAnsiTheme="minorHAnsi" w:cstheme="minorHAnsi"/>
          <w:sz w:val="24"/>
          <w:szCs w:val="22"/>
          <w:lang w:val="en-GB"/>
        </w:rPr>
      </w:pPr>
      <w:r>
        <w:rPr>
          <w:rFonts w:asciiTheme="minorHAnsi" w:hAnsiTheme="minorHAnsi" w:cstheme="minorHAnsi"/>
          <w:sz w:val="24"/>
          <w:szCs w:val="22"/>
          <w:lang w:val="en-GB"/>
        </w:rPr>
        <w:t xml:space="preserve">This section describes the findings and recommendations for the Review </w:t>
      </w:r>
      <w:r w:rsidR="00CB4E0F">
        <w:rPr>
          <w:rFonts w:asciiTheme="minorHAnsi" w:hAnsiTheme="minorHAnsi" w:cstheme="minorHAnsi"/>
          <w:sz w:val="24"/>
          <w:szCs w:val="22"/>
          <w:lang w:val="en-GB"/>
        </w:rPr>
        <w:t xml:space="preserve">relating to </w:t>
      </w:r>
      <w:r>
        <w:rPr>
          <w:rFonts w:asciiTheme="minorHAnsi" w:hAnsiTheme="minorHAnsi" w:cstheme="minorHAnsi"/>
          <w:sz w:val="24"/>
          <w:szCs w:val="22"/>
          <w:lang w:val="en-GB"/>
        </w:rPr>
        <w:t xml:space="preserve">the supporting elements of </w:t>
      </w:r>
      <w:r w:rsidRPr="00F37D51">
        <w:rPr>
          <w:rFonts w:asciiTheme="minorHAnsi" w:hAnsiTheme="minorHAnsi" w:cstheme="minorHAnsi"/>
          <w:sz w:val="24"/>
          <w:szCs w:val="22"/>
          <w:lang w:val="en-GB"/>
        </w:rPr>
        <w:t>the</w:t>
      </w:r>
      <w:r>
        <w:rPr>
          <w:rFonts w:asciiTheme="minorHAnsi" w:hAnsiTheme="minorHAnsi" w:cstheme="minorHAnsi"/>
          <w:sz w:val="24"/>
          <w:szCs w:val="22"/>
          <w:lang w:val="en-GB"/>
        </w:rPr>
        <w:t xml:space="preserve"> Australian</w:t>
      </w:r>
      <w:r w:rsidRPr="00F37D51">
        <w:rPr>
          <w:rFonts w:asciiTheme="minorHAnsi" w:hAnsiTheme="minorHAnsi" w:cstheme="minorHAnsi"/>
          <w:sz w:val="24"/>
          <w:szCs w:val="22"/>
          <w:lang w:val="en-GB"/>
        </w:rPr>
        <w:t xml:space="preserve"> organ donation</w:t>
      </w:r>
      <w:r>
        <w:rPr>
          <w:rFonts w:asciiTheme="minorHAnsi" w:hAnsiTheme="minorHAnsi" w:cstheme="minorHAnsi"/>
          <w:sz w:val="24"/>
          <w:szCs w:val="22"/>
          <w:lang w:val="en-GB"/>
        </w:rPr>
        <w:t xml:space="preserve">, retrieval </w:t>
      </w:r>
      <w:r w:rsidRPr="00F37D51">
        <w:rPr>
          <w:rFonts w:asciiTheme="minorHAnsi" w:hAnsiTheme="minorHAnsi" w:cstheme="minorHAnsi"/>
          <w:sz w:val="24"/>
          <w:szCs w:val="22"/>
          <w:lang w:val="en-GB"/>
        </w:rPr>
        <w:t>and transplantation</w:t>
      </w:r>
      <w:r>
        <w:rPr>
          <w:rFonts w:asciiTheme="minorHAnsi" w:hAnsiTheme="minorHAnsi" w:cstheme="minorHAnsi"/>
          <w:sz w:val="24"/>
          <w:szCs w:val="22"/>
          <w:lang w:val="en-GB"/>
        </w:rPr>
        <w:t xml:space="preserve"> system. </w:t>
      </w:r>
    </w:p>
    <w:p w14:paraId="2B9026BC" w14:textId="77777777" w:rsidR="000A7D05" w:rsidRDefault="000A7D05" w:rsidP="000A7D05">
      <w:pPr>
        <w:spacing w:after="120"/>
        <w:rPr>
          <w:rFonts w:asciiTheme="minorHAnsi" w:hAnsiTheme="minorHAnsi" w:cstheme="minorHAnsi"/>
          <w:sz w:val="24"/>
          <w:szCs w:val="22"/>
          <w:lang w:val="en-GB"/>
        </w:rPr>
      </w:pPr>
      <w:r>
        <w:rPr>
          <w:rFonts w:asciiTheme="minorHAnsi" w:hAnsiTheme="minorHAnsi" w:cstheme="minorHAnsi"/>
          <w:sz w:val="24"/>
          <w:szCs w:val="22"/>
          <w:lang w:val="en-GB"/>
        </w:rPr>
        <w:t>For</w:t>
      </w:r>
      <w:r w:rsidR="00CB4E0F">
        <w:rPr>
          <w:rFonts w:asciiTheme="minorHAnsi" w:hAnsiTheme="minorHAnsi" w:cstheme="minorHAnsi"/>
          <w:sz w:val="24"/>
          <w:szCs w:val="22"/>
          <w:lang w:val="en-GB"/>
        </w:rPr>
        <w:t xml:space="preserve"> the</w:t>
      </w:r>
      <w:r>
        <w:rPr>
          <w:rFonts w:asciiTheme="minorHAnsi" w:hAnsiTheme="minorHAnsi" w:cstheme="minorHAnsi"/>
          <w:sz w:val="24"/>
          <w:szCs w:val="22"/>
          <w:lang w:val="en-GB"/>
        </w:rPr>
        <w:t xml:space="preserve"> supporting elements, the findings of the Review relate to:</w:t>
      </w:r>
    </w:p>
    <w:p w14:paraId="542ACC1E" w14:textId="77777777" w:rsidR="000A7D05" w:rsidRDefault="000A7D05" w:rsidP="000A7D05">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Supporting element 1: Data and information management (Section</w:t>
      </w:r>
      <w:r w:rsidR="00046411">
        <w:rPr>
          <w:rFonts w:asciiTheme="minorHAnsi" w:hAnsiTheme="minorHAnsi" w:cstheme="minorHAnsi"/>
          <w:sz w:val="24"/>
          <w:szCs w:val="22"/>
          <w:lang w:val="en-GB"/>
        </w:rPr>
        <w:t xml:space="preserve"> </w:t>
      </w:r>
      <w:r w:rsidR="008C2B47">
        <w:rPr>
          <w:rFonts w:asciiTheme="minorHAnsi" w:hAnsiTheme="minorHAnsi" w:cstheme="minorHAnsi"/>
          <w:sz w:val="24"/>
          <w:szCs w:val="22"/>
          <w:lang w:val="en-GB"/>
        </w:rPr>
        <w:fldChar w:fldCharType="begin"/>
      </w:r>
      <w:r w:rsidR="008C2B47">
        <w:rPr>
          <w:rFonts w:asciiTheme="minorHAnsi" w:hAnsiTheme="minorHAnsi" w:cstheme="minorHAnsi"/>
          <w:sz w:val="24"/>
          <w:szCs w:val="22"/>
          <w:lang w:val="en-GB"/>
        </w:rPr>
        <w:instrText xml:space="preserve"> REF _Ref530045254 \r \h </w:instrText>
      </w:r>
      <w:r w:rsidR="008C2B47">
        <w:rPr>
          <w:rFonts w:asciiTheme="minorHAnsi" w:hAnsiTheme="minorHAnsi" w:cstheme="minorHAnsi"/>
          <w:sz w:val="24"/>
          <w:szCs w:val="22"/>
          <w:lang w:val="en-GB"/>
        </w:rPr>
      </w:r>
      <w:r w:rsidR="008C2B47">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7.1</w:t>
      </w:r>
      <w:r w:rsidR="008C2B47">
        <w:rPr>
          <w:rFonts w:asciiTheme="minorHAnsi" w:hAnsiTheme="minorHAnsi" w:cstheme="minorHAnsi"/>
          <w:sz w:val="24"/>
          <w:szCs w:val="22"/>
          <w:lang w:val="en-GB"/>
        </w:rPr>
        <w:fldChar w:fldCharType="end"/>
      </w:r>
      <w:r>
        <w:rPr>
          <w:rFonts w:asciiTheme="minorHAnsi" w:hAnsiTheme="minorHAnsi" w:cstheme="minorHAnsi"/>
          <w:sz w:val="24"/>
          <w:szCs w:val="22"/>
          <w:lang w:val="en-GB"/>
        </w:rPr>
        <w:t>)</w:t>
      </w:r>
    </w:p>
    <w:p w14:paraId="08E5823A" w14:textId="77777777" w:rsidR="000A7D05" w:rsidRDefault="000A7D05" w:rsidP="000A7D05">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Supporting element 2: Financing arrangement</w:t>
      </w:r>
      <w:r w:rsidR="00CF379E">
        <w:rPr>
          <w:rFonts w:asciiTheme="minorHAnsi" w:hAnsiTheme="minorHAnsi" w:cstheme="minorHAnsi"/>
          <w:sz w:val="24"/>
          <w:szCs w:val="22"/>
          <w:lang w:val="en-GB"/>
        </w:rPr>
        <w:t>s</w:t>
      </w:r>
      <w:r>
        <w:rPr>
          <w:rFonts w:asciiTheme="minorHAnsi" w:hAnsiTheme="minorHAnsi" w:cstheme="minorHAnsi"/>
          <w:sz w:val="24"/>
          <w:szCs w:val="22"/>
          <w:lang w:val="en-GB"/>
        </w:rPr>
        <w:t xml:space="preserve"> for the system</w:t>
      </w:r>
      <w:r w:rsidR="00CF379E">
        <w:rPr>
          <w:rFonts w:asciiTheme="minorHAnsi" w:hAnsiTheme="minorHAnsi" w:cstheme="minorHAnsi"/>
          <w:sz w:val="24"/>
          <w:szCs w:val="22"/>
          <w:lang w:val="en-GB"/>
        </w:rPr>
        <w:t xml:space="preserve"> (Section</w:t>
      </w:r>
      <w:r w:rsidR="00046411">
        <w:rPr>
          <w:rFonts w:asciiTheme="minorHAnsi" w:hAnsiTheme="minorHAnsi" w:cstheme="minorHAnsi"/>
          <w:sz w:val="24"/>
          <w:szCs w:val="22"/>
          <w:lang w:val="en-GB"/>
        </w:rPr>
        <w:t xml:space="preserve"> </w:t>
      </w:r>
      <w:r w:rsidR="008C2B47">
        <w:rPr>
          <w:rFonts w:asciiTheme="minorHAnsi" w:hAnsiTheme="minorHAnsi" w:cstheme="minorHAnsi"/>
          <w:sz w:val="24"/>
          <w:szCs w:val="22"/>
          <w:lang w:val="en-GB"/>
        </w:rPr>
        <w:fldChar w:fldCharType="begin"/>
      </w:r>
      <w:r w:rsidR="008C2B47">
        <w:rPr>
          <w:rFonts w:asciiTheme="minorHAnsi" w:hAnsiTheme="minorHAnsi" w:cstheme="minorHAnsi"/>
          <w:sz w:val="24"/>
          <w:szCs w:val="22"/>
          <w:lang w:val="en-GB"/>
        </w:rPr>
        <w:instrText xml:space="preserve"> REF _Ref530045332 \r \h </w:instrText>
      </w:r>
      <w:r w:rsidR="008C2B47">
        <w:rPr>
          <w:rFonts w:asciiTheme="minorHAnsi" w:hAnsiTheme="minorHAnsi" w:cstheme="minorHAnsi"/>
          <w:sz w:val="24"/>
          <w:szCs w:val="22"/>
          <w:lang w:val="en-GB"/>
        </w:rPr>
      </w:r>
      <w:r w:rsidR="008C2B47">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7.2</w:t>
      </w:r>
      <w:r w:rsidR="008C2B47">
        <w:rPr>
          <w:rFonts w:asciiTheme="minorHAnsi" w:hAnsiTheme="minorHAnsi" w:cstheme="minorHAnsi"/>
          <w:sz w:val="24"/>
          <w:szCs w:val="22"/>
          <w:lang w:val="en-GB"/>
        </w:rPr>
        <w:fldChar w:fldCharType="end"/>
      </w:r>
      <w:r w:rsidR="00CF379E">
        <w:rPr>
          <w:rFonts w:asciiTheme="minorHAnsi" w:hAnsiTheme="minorHAnsi" w:cstheme="minorHAnsi"/>
          <w:sz w:val="24"/>
          <w:szCs w:val="22"/>
          <w:lang w:val="en-GB"/>
        </w:rPr>
        <w:t>)</w:t>
      </w:r>
    </w:p>
    <w:p w14:paraId="67C1B10D" w14:textId="156F30DE" w:rsidR="00CF379E" w:rsidRPr="001D081D" w:rsidRDefault="00CF379E" w:rsidP="000A7D05">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Pr>
          <w:rFonts w:asciiTheme="minorHAnsi" w:hAnsiTheme="minorHAnsi" w:cstheme="minorHAnsi"/>
          <w:sz w:val="24"/>
          <w:szCs w:val="22"/>
          <w:lang w:val="en-GB"/>
        </w:rPr>
        <w:t xml:space="preserve">Supporting element 3: </w:t>
      </w:r>
      <w:r w:rsidR="0096223F">
        <w:rPr>
          <w:rFonts w:asciiTheme="minorHAnsi" w:hAnsiTheme="minorHAnsi" w:cstheme="minorHAnsi"/>
          <w:sz w:val="24"/>
          <w:szCs w:val="22"/>
          <w:lang w:val="en-GB"/>
        </w:rPr>
        <w:t>Research for the organ donation, retrieval and transplantation system (Section</w:t>
      </w:r>
      <w:r w:rsidR="00046411">
        <w:rPr>
          <w:rFonts w:asciiTheme="minorHAnsi" w:hAnsiTheme="minorHAnsi" w:cstheme="minorHAnsi"/>
          <w:sz w:val="24"/>
          <w:szCs w:val="22"/>
          <w:lang w:val="en-GB"/>
        </w:rPr>
        <w:t xml:space="preserve"> 7.3</w:t>
      </w:r>
      <w:r w:rsidR="0096223F">
        <w:rPr>
          <w:rFonts w:asciiTheme="minorHAnsi" w:hAnsiTheme="minorHAnsi" w:cstheme="minorHAnsi"/>
          <w:sz w:val="24"/>
          <w:szCs w:val="22"/>
          <w:lang w:val="en-GB"/>
        </w:rPr>
        <w:t>)</w:t>
      </w:r>
      <w:r w:rsidR="00B962D9">
        <w:rPr>
          <w:rFonts w:asciiTheme="minorHAnsi" w:hAnsiTheme="minorHAnsi" w:cstheme="minorHAnsi"/>
          <w:sz w:val="24"/>
          <w:szCs w:val="22"/>
          <w:lang w:val="en-GB"/>
        </w:rPr>
        <w:t>.</w:t>
      </w:r>
    </w:p>
    <w:p w14:paraId="0CB23297" w14:textId="77777777" w:rsidR="000A7D05" w:rsidRPr="009F4391" w:rsidRDefault="000A7D05" w:rsidP="000A7D05">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812" w:name="_Ref530045254"/>
      <w:bookmarkStart w:id="813" w:name="_Toc532301702"/>
      <w:r>
        <w:rPr>
          <w:rFonts w:asciiTheme="minorHAnsi" w:hAnsiTheme="minorHAnsi" w:cstheme="minorHAnsi"/>
          <w:iCs/>
          <w:color w:val="7F7F7F" w:themeColor="text1" w:themeTint="80"/>
          <w:sz w:val="36"/>
          <w:szCs w:val="30"/>
        </w:rPr>
        <w:t>Supporting element 1: Data and i</w:t>
      </w:r>
      <w:r w:rsidRPr="009F4391">
        <w:rPr>
          <w:rFonts w:asciiTheme="minorHAnsi" w:hAnsiTheme="minorHAnsi" w:cstheme="minorHAnsi"/>
          <w:iCs/>
          <w:color w:val="7F7F7F" w:themeColor="text1" w:themeTint="80"/>
          <w:sz w:val="36"/>
          <w:szCs w:val="30"/>
        </w:rPr>
        <w:t>nformation management</w:t>
      </w:r>
      <w:bookmarkEnd w:id="812"/>
      <w:bookmarkEnd w:id="813"/>
      <w:r w:rsidRPr="009F4391">
        <w:rPr>
          <w:rFonts w:asciiTheme="minorHAnsi" w:hAnsiTheme="minorHAnsi" w:cstheme="minorHAnsi"/>
          <w:iCs/>
          <w:color w:val="7F7F7F" w:themeColor="text1" w:themeTint="80"/>
          <w:sz w:val="36"/>
          <w:szCs w:val="30"/>
        </w:rPr>
        <w:t xml:space="preserve"> </w:t>
      </w:r>
    </w:p>
    <w:p w14:paraId="2B4B8FCB" w14:textId="77777777" w:rsidR="000A7D05" w:rsidRPr="001D081D" w:rsidRDefault="000A7D05" w:rsidP="000A7D05">
      <w:pPr>
        <w:pStyle w:val="Heading3"/>
        <w:tabs>
          <w:tab w:val="clear" w:pos="1843"/>
          <w:tab w:val="num" w:pos="1559"/>
        </w:tabs>
        <w:ind w:left="992" w:hanging="992"/>
        <w:rPr>
          <w:rFonts w:asciiTheme="minorHAnsi" w:hAnsiTheme="minorHAnsi" w:cstheme="minorHAnsi"/>
          <w:color w:val="7F7F7F" w:themeColor="text1" w:themeTint="80"/>
          <w:sz w:val="30"/>
          <w:szCs w:val="30"/>
        </w:rPr>
      </w:pPr>
      <w:bookmarkStart w:id="814" w:name="_Ref530497563"/>
      <w:r w:rsidRPr="001D081D">
        <w:rPr>
          <w:rFonts w:asciiTheme="minorHAnsi" w:hAnsiTheme="minorHAnsi" w:cstheme="minorHAnsi"/>
          <w:b w:val="0"/>
          <w:color w:val="7F7F7F" w:themeColor="text1" w:themeTint="80"/>
          <w:sz w:val="30"/>
          <w:szCs w:val="30"/>
        </w:rPr>
        <w:t>Accessibility, usability and integration of data and information</w:t>
      </w:r>
      <w:bookmarkEnd w:id="814"/>
      <w:r w:rsidRPr="001D081D">
        <w:rPr>
          <w:rFonts w:asciiTheme="minorHAnsi" w:hAnsiTheme="minorHAnsi" w:cstheme="minorHAnsi"/>
          <w:b w:val="0"/>
          <w:color w:val="7F7F7F" w:themeColor="text1" w:themeTint="80"/>
          <w:sz w:val="30"/>
          <w:szCs w:val="30"/>
        </w:rPr>
        <w:t xml:space="preserve"> </w:t>
      </w:r>
    </w:p>
    <w:p w14:paraId="0CD8166C" w14:textId="77777777" w:rsidR="000A7D05" w:rsidRDefault="000A7D05" w:rsidP="000A7D05">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Discussion of findings</w:t>
      </w:r>
    </w:p>
    <w:p w14:paraId="58E0DF23" w14:textId="77777777" w:rsidR="000A7D05" w:rsidRDefault="000A7D05" w:rsidP="000A7D05">
      <w:pPr>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As discussed in </w:t>
      </w:r>
      <w:r w:rsidRPr="00E82962">
        <w:rPr>
          <w:rFonts w:asciiTheme="minorHAnsi" w:hAnsiTheme="minorHAnsi" w:cstheme="minorHAnsi"/>
          <w:sz w:val="24"/>
          <w:szCs w:val="24"/>
          <w:lang w:val="en-GB"/>
        </w:rPr>
        <w:t>Section</w:t>
      </w:r>
      <w:r w:rsidR="008E64B3">
        <w:rPr>
          <w:rFonts w:asciiTheme="minorHAnsi" w:hAnsiTheme="minorHAnsi" w:cstheme="minorHAnsi"/>
          <w:sz w:val="24"/>
          <w:szCs w:val="24"/>
          <w:lang w:val="en-GB"/>
        </w:rPr>
        <w:t xml:space="preserve"> </w:t>
      </w:r>
      <w:r w:rsidR="00B46DA0">
        <w:rPr>
          <w:rFonts w:asciiTheme="minorHAnsi" w:hAnsiTheme="minorHAnsi" w:cstheme="minorHAnsi"/>
          <w:sz w:val="24"/>
          <w:szCs w:val="24"/>
          <w:lang w:val="en-GB"/>
        </w:rPr>
        <w:t>4</w:t>
      </w:r>
      <w:r w:rsidR="00046411">
        <w:rPr>
          <w:rFonts w:asciiTheme="minorHAnsi" w:hAnsiTheme="minorHAnsi" w:cstheme="minorHAnsi"/>
          <w:sz w:val="24"/>
          <w:szCs w:val="24"/>
          <w:lang w:val="en-GB"/>
        </w:rPr>
        <w:t>.11.1</w:t>
      </w:r>
      <w:r>
        <w:rPr>
          <w:rFonts w:asciiTheme="minorHAnsi" w:hAnsiTheme="minorHAnsi" w:cstheme="minorHAnsi"/>
          <w:sz w:val="24"/>
          <w:szCs w:val="24"/>
          <w:lang w:val="en-GB"/>
        </w:rPr>
        <w:t>, a substantial amount of data is collected and reported through t</w:t>
      </w:r>
      <w:r w:rsidR="008E64B3">
        <w:rPr>
          <w:rFonts w:asciiTheme="minorHAnsi" w:hAnsiTheme="minorHAnsi" w:cstheme="minorHAnsi"/>
          <w:sz w:val="24"/>
          <w:szCs w:val="24"/>
          <w:lang w:val="en-GB"/>
        </w:rPr>
        <w:t>he OTA and DonateLife N</w:t>
      </w:r>
      <w:r>
        <w:rPr>
          <w:rFonts w:asciiTheme="minorHAnsi" w:hAnsiTheme="minorHAnsi" w:cstheme="minorHAnsi"/>
          <w:sz w:val="24"/>
          <w:szCs w:val="24"/>
          <w:lang w:val="en-GB"/>
        </w:rPr>
        <w:t xml:space="preserve">etwork, national organ </w:t>
      </w:r>
      <w:r w:rsidR="000B07FB">
        <w:rPr>
          <w:rFonts w:asciiTheme="minorHAnsi" w:hAnsiTheme="minorHAnsi" w:cstheme="minorHAnsi"/>
          <w:sz w:val="24"/>
          <w:szCs w:val="24"/>
          <w:lang w:val="en-GB"/>
        </w:rPr>
        <w:t>transplant outcome</w:t>
      </w:r>
      <w:r>
        <w:rPr>
          <w:rFonts w:asciiTheme="minorHAnsi" w:hAnsiTheme="minorHAnsi" w:cstheme="minorHAnsi"/>
          <w:sz w:val="24"/>
          <w:szCs w:val="24"/>
          <w:lang w:val="en-GB"/>
        </w:rPr>
        <w:t xml:space="preserve"> registries, and states and territories. The collection of this data has assisted in driving the reform agenda, particularly for donation. However, the Review found that the current system for accessing and sharing data created barriers to understanding the performance of the whole system and driving improvement.</w:t>
      </w:r>
    </w:p>
    <w:p w14:paraId="45DD1A81" w14:textId="77777777" w:rsidR="000A7D05" w:rsidRPr="002A4039" w:rsidRDefault="000A7D05" w:rsidP="000A7D05">
      <w:pPr>
        <w:spacing w:after="120"/>
        <w:rPr>
          <w:rFonts w:asciiTheme="minorHAnsi" w:hAnsiTheme="minorHAnsi" w:cstheme="minorHAnsi"/>
          <w:sz w:val="24"/>
          <w:szCs w:val="24"/>
          <w:lang w:val="en-GB"/>
        </w:rPr>
      </w:pPr>
      <w:r>
        <w:rPr>
          <w:rFonts w:asciiTheme="minorHAnsi" w:hAnsiTheme="minorHAnsi" w:cstheme="minorHAnsi"/>
          <w:sz w:val="24"/>
          <w:szCs w:val="24"/>
          <w:lang w:val="en-GB"/>
        </w:rPr>
        <w:t>The Review found that a</w:t>
      </w:r>
      <w:r w:rsidRPr="002A4039">
        <w:rPr>
          <w:rFonts w:asciiTheme="minorHAnsi" w:hAnsiTheme="minorHAnsi" w:cstheme="minorHAnsi"/>
          <w:sz w:val="24"/>
          <w:szCs w:val="24"/>
          <w:lang w:val="en-GB"/>
        </w:rPr>
        <w:t>ccess to</w:t>
      </w:r>
      <w:r>
        <w:rPr>
          <w:rFonts w:asciiTheme="minorHAnsi" w:hAnsiTheme="minorHAnsi" w:cstheme="minorHAnsi"/>
          <w:sz w:val="24"/>
          <w:szCs w:val="24"/>
          <w:lang w:val="en-GB"/>
        </w:rPr>
        <w:t xml:space="preserve"> state and territory inpatient </w:t>
      </w:r>
      <w:r w:rsidRPr="002A4039">
        <w:rPr>
          <w:rFonts w:asciiTheme="minorHAnsi" w:hAnsiTheme="minorHAnsi" w:cstheme="minorHAnsi"/>
          <w:sz w:val="24"/>
          <w:szCs w:val="24"/>
          <w:lang w:val="en-GB"/>
        </w:rPr>
        <w:t xml:space="preserve">data held by </w:t>
      </w:r>
      <w:r>
        <w:rPr>
          <w:rFonts w:asciiTheme="minorHAnsi" w:hAnsiTheme="minorHAnsi" w:cstheme="minorHAnsi"/>
          <w:sz w:val="24"/>
          <w:szCs w:val="24"/>
          <w:lang w:val="en-GB"/>
        </w:rPr>
        <w:t xml:space="preserve">the </w:t>
      </w:r>
      <w:r w:rsidRPr="002A4039">
        <w:rPr>
          <w:rFonts w:asciiTheme="minorHAnsi" w:hAnsiTheme="minorHAnsi" w:cstheme="minorHAnsi"/>
          <w:sz w:val="24"/>
          <w:szCs w:val="24"/>
          <w:lang w:val="en-GB"/>
        </w:rPr>
        <w:t xml:space="preserve">OTA </w:t>
      </w:r>
      <w:r>
        <w:rPr>
          <w:rFonts w:asciiTheme="minorHAnsi" w:hAnsiTheme="minorHAnsi" w:cstheme="minorHAnsi"/>
          <w:sz w:val="24"/>
          <w:szCs w:val="24"/>
          <w:lang w:val="en-GB"/>
        </w:rPr>
        <w:t>cannot be distributed without the</w:t>
      </w:r>
      <w:r w:rsidRPr="002A4039">
        <w:rPr>
          <w:rFonts w:asciiTheme="minorHAnsi" w:hAnsiTheme="minorHAnsi" w:cstheme="minorHAnsi"/>
          <w:sz w:val="24"/>
          <w:szCs w:val="24"/>
          <w:lang w:val="en-GB"/>
        </w:rPr>
        <w:t xml:space="preserve"> consent of </w:t>
      </w:r>
      <w:r>
        <w:rPr>
          <w:rFonts w:asciiTheme="minorHAnsi" w:hAnsiTheme="minorHAnsi" w:cstheme="minorHAnsi"/>
          <w:sz w:val="24"/>
          <w:szCs w:val="24"/>
          <w:lang w:val="en-GB"/>
        </w:rPr>
        <w:t>states and territories. The accessibility of this data limits</w:t>
      </w:r>
      <w:r w:rsidRPr="002A4039">
        <w:rPr>
          <w:rFonts w:asciiTheme="minorHAnsi" w:hAnsiTheme="minorHAnsi" w:cstheme="minorHAnsi"/>
          <w:sz w:val="24"/>
          <w:szCs w:val="24"/>
          <w:lang w:val="en-GB"/>
        </w:rPr>
        <w:t xml:space="preserve"> the management of the organ transplantation programs</w:t>
      </w:r>
      <w:r>
        <w:rPr>
          <w:rFonts w:asciiTheme="minorHAnsi" w:hAnsiTheme="minorHAnsi" w:cstheme="minorHAnsi"/>
          <w:sz w:val="24"/>
          <w:szCs w:val="24"/>
          <w:lang w:val="en-GB"/>
        </w:rPr>
        <w:t>, as performance data cannot be readily accessed for benchmarking and identification of performance issues</w:t>
      </w:r>
      <w:r w:rsidRPr="002A4039">
        <w:rPr>
          <w:rFonts w:asciiTheme="minorHAnsi" w:hAnsiTheme="minorHAnsi" w:cstheme="minorHAnsi"/>
          <w:sz w:val="24"/>
          <w:szCs w:val="24"/>
          <w:lang w:val="en-GB"/>
        </w:rPr>
        <w:t>.</w:t>
      </w:r>
    </w:p>
    <w:p w14:paraId="4E4EAA11" w14:textId="77777777" w:rsidR="00D631D4" w:rsidRPr="003C45A0" w:rsidRDefault="000A7D05" w:rsidP="00D631D4">
      <w:pPr>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The outcome registries which are maintained and updated by </w:t>
      </w:r>
      <w:r w:rsidR="00647282">
        <w:rPr>
          <w:rFonts w:asciiTheme="minorHAnsi" w:hAnsiTheme="minorHAnsi" w:cstheme="minorHAnsi"/>
          <w:sz w:val="24"/>
          <w:szCs w:val="24"/>
          <w:lang w:val="en-GB"/>
        </w:rPr>
        <w:t>transplantation programs</w:t>
      </w:r>
      <w:r>
        <w:rPr>
          <w:rFonts w:asciiTheme="minorHAnsi" w:hAnsiTheme="minorHAnsi" w:cstheme="minorHAnsi"/>
          <w:sz w:val="24"/>
          <w:szCs w:val="24"/>
          <w:lang w:val="en-GB"/>
        </w:rPr>
        <w:t xml:space="preserve"> within each state and territory are considered by many stakeholders to be comprehensive, well managed and close to world class. However, a number of gaps still remain in the registries maintained for kidney, liver, heart and lung outcomes. In particular, the Review found that the current registries lack published information or granularity on the reasons </w:t>
      </w:r>
      <w:r w:rsidR="00F55CD3">
        <w:rPr>
          <w:rFonts w:asciiTheme="minorHAnsi" w:hAnsiTheme="minorHAnsi" w:cstheme="minorHAnsi"/>
          <w:sz w:val="24"/>
          <w:szCs w:val="24"/>
          <w:lang w:val="en-GB"/>
        </w:rPr>
        <w:t>for organ decline</w:t>
      </w:r>
      <w:r w:rsidR="00407DB0">
        <w:rPr>
          <w:rFonts w:asciiTheme="minorHAnsi" w:hAnsiTheme="minorHAnsi" w:cstheme="minorHAnsi"/>
          <w:sz w:val="24"/>
          <w:szCs w:val="24"/>
          <w:lang w:val="en-GB"/>
        </w:rPr>
        <w:t xml:space="preserve"> </w:t>
      </w:r>
      <w:r>
        <w:rPr>
          <w:rFonts w:asciiTheme="minorHAnsi" w:hAnsiTheme="minorHAnsi" w:cstheme="minorHAnsi"/>
          <w:sz w:val="24"/>
          <w:szCs w:val="24"/>
          <w:lang w:val="en-GB"/>
        </w:rPr>
        <w:t>by the transplantation unit, the number and characteristics of patients waiting for transplantation</w:t>
      </w:r>
      <w:r w:rsidR="00407DB0">
        <w:rPr>
          <w:rFonts w:asciiTheme="minorHAnsi" w:hAnsiTheme="minorHAnsi" w:cstheme="minorHAnsi"/>
          <w:sz w:val="24"/>
          <w:szCs w:val="24"/>
          <w:lang w:val="en-GB"/>
        </w:rPr>
        <w:t xml:space="preserve"> (</w:t>
      </w:r>
      <w:r w:rsidR="00407DB0" w:rsidRPr="007B48ED">
        <w:rPr>
          <w:rFonts w:asciiTheme="minorHAnsi" w:hAnsiTheme="minorHAnsi" w:cstheme="minorHAnsi"/>
          <w:sz w:val="24"/>
          <w:szCs w:val="24"/>
          <w:lang w:val="en-GB"/>
        </w:rPr>
        <w:t>with the exception of kidneys)</w:t>
      </w:r>
      <w:r w:rsidRPr="007B48ED">
        <w:rPr>
          <w:rFonts w:asciiTheme="minorHAnsi" w:hAnsiTheme="minorHAnsi" w:cstheme="minorHAnsi"/>
          <w:sz w:val="24"/>
          <w:szCs w:val="24"/>
          <w:lang w:val="en-GB"/>
        </w:rPr>
        <w:t xml:space="preserve">, </w:t>
      </w:r>
      <w:r w:rsidRPr="003C45A0">
        <w:rPr>
          <w:rFonts w:asciiTheme="minorHAnsi" w:hAnsiTheme="minorHAnsi" w:cstheme="minorHAnsi"/>
          <w:sz w:val="24"/>
          <w:szCs w:val="24"/>
          <w:lang w:val="en-GB"/>
        </w:rPr>
        <w:t xml:space="preserve">patient reported outcomes and the use and outcomes of </w:t>
      </w:r>
      <w:r w:rsidR="00D631D4" w:rsidRPr="003C45A0">
        <w:rPr>
          <w:rFonts w:asciiTheme="minorHAnsi" w:hAnsiTheme="minorHAnsi" w:cstheme="minorHAnsi"/>
          <w:sz w:val="24"/>
          <w:szCs w:val="24"/>
          <w:lang w:val="en-GB"/>
        </w:rPr>
        <w:t xml:space="preserve">organs from </w:t>
      </w:r>
      <w:r w:rsidRPr="003C45A0">
        <w:rPr>
          <w:rFonts w:asciiTheme="minorHAnsi" w:hAnsiTheme="minorHAnsi" w:cstheme="minorHAnsi"/>
          <w:sz w:val="24"/>
          <w:szCs w:val="24"/>
          <w:lang w:val="en-GB"/>
        </w:rPr>
        <w:t xml:space="preserve">extended criteria </w:t>
      </w:r>
      <w:r w:rsidR="00F55CD3" w:rsidRPr="003C45A0">
        <w:rPr>
          <w:rFonts w:asciiTheme="minorHAnsi" w:hAnsiTheme="minorHAnsi" w:cstheme="minorHAnsi"/>
          <w:sz w:val="24"/>
          <w:szCs w:val="24"/>
          <w:lang w:val="en-GB"/>
        </w:rPr>
        <w:t xml:space="preserve">organ </w:t>
      </w:r>
      <w:r w:rsidR="00D631D4" w:rsidRPr="003C45A0">
        <w:rPr>
          <w:rFonts w:asciiTheme="minorHAnsi" w:hAnsiTheme="minorHAnsi" w:cstheme="minorHAnsi"/>
          <w:sz w:val="24"/>
          <w:szCs w:val="24"/>
          <w:lang w:val="en-GB"/>
        </w:rPr>
        <w:t>donors</w:t>
      </w:r>
      <w:r w:rsidRPr="003C45A0">
        <w:rPr>
          <w:rFonts w:asciiTheme="minorHAnsi" w:hAnsiTheme="minorHAnsi" w:cstheme="minorHAnsi"/>
          <w:sz w:val="24"/>
          <w:szCs w:val="24"/>
          <w:lang w:val="en-GB"/>
        </w:rPr>
        <w:t xml:space="preserve">. </w:t>
      </w:r>
      <w:r w:rsidR="004A3F89" w:rsidRPr="003C45A0">
        <w:rPr>
          <w:rFonts w:asciiTheme="minorHAnsi" w:hAnsiTheme="minorHAnsi" w:cstheme="minorHAnsi"/>
          <w:sz w:val="24"/>
          <w:szCs w:val="24"/>
          <w:lang w:val="en-GB"/>
        </w:rPr>
        <w:t>The Review also found that there was limited utilisation of the heart and lung registry data among lung transplantation clinicians across Australia</w:t>
      </w:r>
      <w:r w:rsidR="007B48ED" w:rsidRPr="003C45A0">
        <w:rPr>
          <w:rFonts w:asciiTheme="minorHAnsi" w:hAnsiTheme="minorHAnsi" w:cstheme="minorHAnsi"/>
          <w:sz w:val="24"/>
          <w:szCs w:val="24"/>
          <w:lang w:val="en-GB"/>
        </w:rPr>
        <w:t xml:space="preserve"> and contributed more readily to the international registry instead</w:t>
      </w:r>
      <w:r w:rsidR="004A3F89" w:rsidRPr="003C45A0">
        <w:rPr>
          <w:rFonts w:asciiTheme="minorHAnsi" w:hAnsiTheme="minorHAnsi" w:cstheme="minorHAnsi"/>
          <w:sz w:val="24"/>
          <w:szCs w:val="24"/>
          <w:lang w:val="en-GB"/>
        </w:rPr>
        <w:t xml:space="preserve">. </w:t>
      </w:r>
      <w:r w:rsidR="00D631D4" w:rsidRPr="003C45A0">
        <w:rPr>
          <w:rFonts w:asciiTheme="minorHAnsi" w:hAnsiTheme="minorHAnsi" w:cstheme="minorHAnsi"/>
          <w:sz w:val="24"/>
          <w:szCs w:val="24"/>
        </w:rPr>
        <w:t xml:space="preserve">The Review found that </w:t>
      </w:r>
      <w:r w:rsidR="007B48ED" w:rsidRPr="003C45A0">
        <w:rPr>
          <w:rFonts w:asciiTheme="minorHAnsi" w:hAnsiTheme="minorHAnsi" w:cstheme="minorHAnsi"/>
          <w:sz w:val="24"/>
          <w:szCs w:val="24"/>
        </w:rPr>
        <w:t>the comprehensive capture of data across all registries was important</w:t>
      </w:r>
      <w:r w:rsidR="00D631D4" w:rsidRPr="003C45A0">
        <w:rPr>
          <w:rFonts w:asciiTheme="minorHAnsi" w:hAnsiTheme="minorHAnsi" w:cstheme="minorHAnsi"/>
          <w:sz w:val="24"/>
          <w:szCs w:val="24"/>
        </w:rPr>
        <w:t xml:space="preserve"> </w:t>
      </w:r>
      <w:r w:rsidR="007B48ED" w:rsidRPr="003C45A0">
        <w:rPr>
          <w:rFonts w:asciiTheme="minorHAnsi" w:hAnsiTheme="minorHAnsi" w:cstheme="minorHAnsi"/>
          <w:sz w:val="24"/>
          <w:szCs w:val="24"/>
        </w:rPr>
        <w:t xml:space="preserve">in order </w:t>
      </w:r>
      <w:r w:rsidR="00D631D4" w:rsidRPr="003C45A0">
        <w:rPr>
          <w:rFonts w:asciiTheme="minorHAnsi" w:hAnsiTheme="minorHAnsi" w:cstheme="minorHAnsi"/>
          <w:sz w:val="24"/>
          <w:szCs w:val="24"/>
        </w:rPr>
        <w:t>to inform safety and quality outcomes and best practice in organ transplantation as well as better enabling benchmarking across Australian and internationally.</w:t>
      </w:r>
      <w:r w:rsidR="004A3F89" w:rsidRPr="003C45A0">
        <w:rPr>
          <w:rFonts w:asciiTheme="minorHAnsi" w:hAnsiTheme="minorHAnsi" w:cstheme="minorHAnsi"/>
          <w:sz w:val="24"/>
          <w:szCs w:val="24"/>
        </w:rPr>
        <w:t xml:space="preserve"> </w:t>
      </w:r>
    </w:p>
    <w:p w14:paraId="3ADF3AE6" w14:textId="77777777" w:rsidR="004A3F89" w:rsidRPr="003C45A0" w:rsidRDefault="000A7D05" w:rsidP="000A7D05">
      <w:pPr>
        <w:spacing w:after="120"/>
        <w:rPr>
          <w:rFonts w:asciiTheme="minorHAnsi" w:hAnsiTheme="minorHAnsi" w:cstheme="minorHAnsi"/>
          <w:sz w:val="24"/>
          <w:szCs w:val="24"/>
          <w:lang w:val="en-GB"/>
        </w:rPr>
      </w:pPr>
      <w:r w:rsidRPr="003C45A0">
        <w:rPr>
          <w:rFonts w:asciiTheme="minorHAnsi" w:hAnsiTheme="minorHAnsi" w:cstheme="minorHAnsi"/>
          <w:sz w:val="24"/>
          <w:szCs w:val="24"/>
          <w:lang w:val="en-GB"/>
        </w:rPr>
        <w:t xml:space="preserve">The Review </w:t>
      </w:r>
      <w:r w:rsidR="004D143C" w:rsidRPr="003C45A0">
        <w:rPr>
          <w:rFonts w:asciiTheme="minorHAnsi" w:hAnsiTheme="minorHAnsi" w:cstheme="minorHAnsi"/>
          <w:sz w:val="24"/>
          <w:szCs w:val="24"/>
          <w:lang w:val="en-GB"/>
        </w:rPr>
        <w:t xml:space="preserve">notes that the </w:t>
      </w:r>
      <w:r w:rsidRPr="003C45A0">
        <w:rPr>
          <w:rFonts w:asciiTheme="minorHAnsi" w:hAnsiTheme="minorHAnsi" w:cstheme="minorHAnsi"/>
          <w:sz w:val="24"/>
          <w:szCs w:val="24"/>
          <w:lang w:val="en-GB"/>
        </w:rPr>
        <w:t xml:space="preserve">entry of patient data into the outcome registries is laborious and consumes a lot of time and resources </w:t>
      </w:r>
      <w:r w:rsidR="004D143C" w:rsidRPr="003C45A0">
        <w:rPr>
          <w:rFonts w:asciiTheme="minorHAnsi" w:hAnsiTheme="minorHAnsi" w:cstheme="minorHAnsi"/>
          <w:sz w:val="24"/>
          <w:szCs w:val="24"/>
          <w:lang w:val="en-GB"/>
        </w:rPr>
        <w:t>from</w:t>
      </w:r>
      <w:r w:rsidRPr="003C45A0">
        <w:rPr>
          <w:rFonts w:asciiTheme="minorHAnsi" w:hAnsiTheme="minorHAnsi" w:cstheme="minorHAnsi"/>
          <w:sz w:val="24"/>
          <w:szCs w:val="24"/>
          <w:lang w:val="en-GB"/>
        </w:rPr>
        <w:t xml:space="preserve"> clinical staff. </w:t>
      </w:r>
      <w:r w:rsidR="004D143C" w:rsidRPr="003C45A0">
        <w:rPr>
          <w:rFonts w:asciiTheme="minorHAnsi" w:hAnsiTheme="minorHAnsi" w:cstheme="minorHAnsi"/>
          <w:sz w:val="24"/>
          <w:szCs w:val="24"/>
          <w:lang w:val="en-GB"/>
        </w:rPr>
        <w:t xml:space="preserve">Although the registries are partly funded by the Australian Government, </w:t>
      </w:r>
      <w:r w:rsidR="008230CF" w:rsidRPr="003C45A0">
        <w:rPr>
          <w:rFonts w:asciiTheme="minorHAnsi" w:hAnsiTheme="minorHAnsi" w:cstheme="minorHAnsi"/>
          <w:sz w:val="24"/>
          <w:szCs w:val="24"/>
          <w:lang w:val="en-GB"/>
        </w:rPr>
        <w:t>the Review found that the distribution of funding across these registries</w:t>
      </w:r>
      <w:r w:rsidR="00664C01" w:rsidRPr="003C45A0">
        <w:rPr>
          <w:rFonts w:asciiTheme="minorHAnsi" w:hAnsiTheme="minorHAnsi" w:cstheme="minorHAnsi"/>
          <w:sz w:val="24"/>
          <w:szCs w:val="24"/>
          <w:lang w:val="en-GB"/>
        </w:rPr>
        <w:t xml:space="preserve"> </w:t>
      </w:r>
      <w:r w:rsidR="007B48ED" w:rsidRPr="003C45A0">
        <w:rPr>
          <w:rFonts w:asciiTheme="minorHAnsi" w:hAnsiTheme="minorHAnsi" w:cstheme="minorHAnsi"/>
          <w:sz w:val="24"/>
          <w:szCs w:val="24"/>
          <w:lang w:val="en-GB"/>
        </w:rPr>
        <w:t>vary</w:t>
      </w:r>
      <w:r w:rsidR="008230CF" w:rsidRPr="003C45A0">
        <w:rPr>
          <w:rFonts w:asciiTheme="minorHAnsi" w:hAnsiTheme="minorHAnsi" w:cstheme="minorHAnsi"/>
          <w:sz w:val="24"/>
          <w:szCs w:val="24"/>
          <w:lang w:val="en-GB"/>
        </w:rPr>
        <w:t xml:space="preserve">, </w:t>
      </w:r>
      <w:r w:rsidR="00664C01" w:rsidRPr="003C45A0">
        <w:rPr>
          <w:rFonts w:asciiTheme="minorHAnsi" w:hAnsiTheme="minorHAnsi" w:cstheme="minorHAnsi"/>
          <w:sz w:val="24"/>
          <w:szCs w:val="24"/>
          <w:lang w:val="en-GB"/>
        </w:rPr>
        <w:t>with</w:t>
      </w:r>
      <w:r w:rsidR="008230CF" w:rsidRPr="003C45A0">
        <w:rPr>
          <w:rFonts w:asciiTheme="minorHAnsi" w:hAnsiTheme="minorHAnsi" w:cstheme="minorHAnsi"/>
          <w:sz w:val="24"/>
          <w:szCs w:val="24"/>
          <w:lang w:val="en-GB"/>
        </w:rPr>
        <w:t xml:space="preserve"> </w:t>
      </w:r>
      <w:r w:rsidR="008A0219">
        <w:rPr>
          <w:rFonts w:asciiTheme="minorHAnsi" w:hAnsiTheme="minorHAnsi" w:cstheme="minorHAnsi"/>
          <w:sz w:val="24"/>
          <w:szCs w:val="24"/>
          <w:lang w:val="en-GB"/>
        </w:rPr>
        <w:t xml:space="preserve">the </w:t>
      </w:r>
      <w:r w:rsidR="008230CF" w:rsidRPr="003C45A0">
        <w:rPr>
          <w:rFonts w:asciiTheme="minorHAnsi" w:hAnsiTheme="minorHAnsi" w:cstheme="minorHAnsi"/>
          <w:sz w:val="24"/>
          <w:szCs w:val="24"/>
          <w:lang w:val="en-GB"/>
        </w:rPr>
        <w:t xml:space="preserve">heart and lung </w:t>
      </w:r>
      <w:r w:rsidR="008A0219">
        <w:rPr>
          <w:rFonts w:asciiTheme="minorHAnsi" w:hAnsiTheme="minorHAnsi" w:cstheme="minorHAnsi"/>
          <w:sz w:val="24"/>
          <w:szCs w:val="24"/>
          <w:lang w:val="en-GB"/>
        </w:rPr>
        <w:t>registry receiving approximately $13</w:t>
      </w:r>
      <w:r w:rsidR="008230CF" w:rsidRPr="003C45A0">
        <w:rPr>
          <w:rFonts w:asciiTheme="minorHAnsi" w:hAnsiTheme="minorHAnsi" w:cstheme="minorHAnsi"/>
          <w:sz w:val="24"/>
          <w:szCs w:val="24"/>
          <w:lang w:val="en-GB"/>
        </w:rPr>
        <w:t xml:space="preserve">0,000 AUD in funding each year </w:t>
      </w:r>
      <w:r w:rsidR="00664C01" w:rsidRPr="003C45A0">
        <w:rPr>
          <w:rFonts w:asciiTheme="minorHAnsi" w:hAnsiTheme="minorHAnsi" w:cstheme="minorHAnsi"/>
          <w:sz w:val="24"/>
          <w:szCs w:val="24"/>
          <w:lang w:val="en-GB"/>
        </w:rPr>
        <w:t>and</w:t>
      </w:r>
      <w:r w:rsidR="008230CF" w:rsidRPr="003C45A0">
        <w:rPr>
          <w:rFonts w:asciiTheme="minorHAnsi" w:hAnsiTheme="minorHAnsi" w:cstheme="minorHAnsi"/>
          <w:sz w:val="24"/>
          <w:szCs w:val="24"/>
          <w:lang w:val="en-GB"/>
        </w:rPr>
        <w:t xml:space="preserve"> the liver registry</w:t>
      </w:r>
      <w:r w:rsidR="00664C01" w:rsidRPr="003C45A0">
        <w:rPr>
          <w:rFonts w:asciiTheme="minorHAnsi" w:hAnsiTheme="minorHAnsi" w:cstheme="minorHAnsi"/>
          <w:sz w:val="24"/>
          <w:szCs w:val="24"/>
          <w:lang w:val="en-GB"/>
        </w:rPr>
        <w:t xml:space="preserve"> receiving </w:t>
      </w:r>
      <w:r w:rsidR="008A0219">
        <w:rPr>
          <w:rFonts w:asciiTheme="minorHAnsi" w:hAnsiTheme="minorHAnsi" w:cstheme="minorHAnsi"/>
          <w:sz w:val="24"/>
          <w:szCs w:val="24"/>
          <w:lang w:val="en-GB"/>
        </w:rPr>
        <w:t>approximately $450,000 each year.</w:t>
      </w:r>
      <w:r w:rsidR="008A0219">
        <w:rPr>
          <w:rStyle w:val="FootnoteReference"/>
          <w:rFonts w:cstheme="minorHAnsi"/>
          <w:lang w:val="en-GB"/>
        </w:rPr>
        <w:footnoteReference w:id="175"/>
      </w:r>
      <w:r w:rsidR="008230CF" w:rsidRPr="003C45A0">
        <w:rPr>
          <w:rFonts w:asciiTheme="minorHAnsi" w:hAnsiTheme="minorHAnsi" w:cstheme="minorHAnsi"/>
          <w:sz w:val="24"/>
          <w:szCs w:val="24"/>
          <w:lang w:val="en-GB"/>
        </w:rPr>
        <w:t xml:space="preserve"> As a result, the maintenance of these registries, particularly for heart and lung, rely heavily on the voluntary contribution of clinical staff in each transplantation unit. </w:t>
      </w:r>
      <w:r w:rsidRPr="003C45A0">
        <w:rPr>
          <w:rFonts w:asciiTheme="minorHAnsi" w:hAnsiTheme="minorHAnsi" w:cstheme="minorHAnsi"/>
          <w:sz w:val="24"/>
          <w:szCs w:val="24"/>
          <w:lang w:val="en-GB"/>
        </w:rPr>
        <w:t xml:space="preserve">Nevertheless, key stakeholders </w:t>
      </w:r>
      <w:r w:rsidR="00664C01" w:rsidRPr="003C45A0">
        <w:rPr>
          <w:rFonts w:asciiTheme="minorHAnsi" w:hAnsiTheme="minorHAnsi" w:cstheme="minorHAnsi"/>
          <w:sz w:val="24"/>
          <w:szCs w:val="24"/>
          <w:lang w:val="en-GB"/>
        </w:rPr>
        <w:t>recognised the registry as</w:t>
      </w:r>
      <w:r w:rsidRPr="003C45A0">
        <w:rPr>
          <w:rFonts w:asciiTheme="minorHAnsi" w:hAnsiTheme="minorHAnsi" w:cstheme="minorHAnsi"/>
          <w:sz w:val="24"/>
          <w:szCs w:val="24"/>
          <w:lang w:val="en-GB"/>
        </w:rPr>
        <w:t xml:space="preserve"> close to </w:t>
      </w:r>
      <w:r w:rsidR="004A3F89" w:rsidRPr="003C45A0">
        <w:rPr>
          <w:rFonts w:asciiTheme="minorHAnsi" w:hAnsiTheme="minorHAnsi" w:cstheme="minorHAnsi"/>
          <w:sz w:val="24"/>
          <w:szCs w:val="24"/>
          <w:lang w:val="en-GB"/>
        </w:rPr>
        <w:t xml:space="preserve">world </w:t>
      </w:r>
      <w:r w:rsidRPr="003C45A0">
        <w:rPr>
          <w:rFonts w:asciiTheme="minorHAnsi" w:hAnsiTheme="minorHAnsi" w:cstheme="minorHAnsi"/>
          <w:sz w:val="24"/>
          <w:szCs w:val="24"/>
          <w:lang w:val="en-GB"/>
        </w:rPr>
        <w:t xml:space="preserve">class but </w:t>
      </w:r>
      <w:r w:rsidR="00664C01" w:rsidRPr="003C45A0">
        <w:rPr>
          <w:rFonts w:asciiTheme="minorHAnsi" w:hAnsiTheme="minorHAnsi" w:cstheme="minorHAnsi"/>
          <w:sz w:val="24"/>
          <w:szCs w:val="24"/>
          <w:lang w:val="en-GB"/>
        </w:rPr>
        <w:t xml:space="preserve">the reliance on voluntary </w:t>
      </w:r>
      <w:r w:rsidR="004A3F89" w:rsidRPr="003C45A0">
        <w:rPr>
          <w:rFonts w:asciiTheme="minorHAnsi" w:hAnsiTheme="minorHAnsi" w:cstheme="minorHAnsi"/>
          <w:sz w:val="24"/>
          <w:szCs w:val="24"/>
          <w:lang w:val="en-GB"/>
        </w:rPr>
        <w:t>contributions may not be able to be maintained in the long term as activity increases. As a result, a</w:t>
      </w:r>
      <w:r w:rsidRPr="003C45A0">
        <w:rPr>
          <w:rFonts w:asciiTheme="minorHAnsi" w:hAnsiTheme="minorHAnsi" w:cstheme="minorHAnsi"/>
          <w:sz w:val="24"/>
          <w:szCs w:val="24"/>
          <w:lang w:val="en-GB"/>
        </w:rPr>
        <w:t xml:space="preserve">ll key clinical stakeholders highlighted the importance of adopting a more sustainable </w:t>
      </w:r>
      <w:r w:rsidR="004A3F89" w:rsidRPr="003C45A0">
        <w:rPr>
          <w:rFonts w:asciiTheme="minorHAnsi" w:hAnsiTheme="minorHAnsi" w:cstheme="minorHAnsi"/>
          <w:sz w:val="24"/>
          <w:szCs w:val="24"/>
          <w:lang w:val="en-GB"/>
        </w:rPr>
        <w:t>model</w:t>
      </w:r>
      <w:r w:rsidRPr="003C45A0">
        <w:rPr>
          <w:rFonts w:asciiTheme="minorHAnsi" w:hAnsiTheme="minorHAnsi" w:cstheme="minorHAnsi"/>
          <w:sz w:val="24"/>
          <w:szCs w:val="24"/>
          <w:lang w:val="en-GB"/>
        </w:rPr>
        <w:t xml:space="preserve"> for maintaining the registry. </w:t>
      </w:r>
    </w:p>
    <w:p w14:paraId="773FE8EF" w14:textId="77777777" w:rsidR="000A7D05" w:rsidRDefault="000A7D05" w:rsidP="000A7D05">
      <w:pPr>
        <w:spacing w:before="120" w:after="120"/>
        <w:rPr>
          <w:rFonts w:asciiTheme="minorHAnsi" w:hAnsiTheme="minorHAnsi" w:cstheme="minorHAnsi"/>
          <w:sz w:val="24"/>
          <w:szCs w:val="24"/>
          <w:lang w:val="en-GB"/>
        </w:rPr>
      </w:pPr>
      <w:r>
        <w:rPr>
          <w:rFonts w:asciiTheme="minorHAnsi" w:hAnsiTheme="minorHAnsi" w:cstheme="minorHAnsi"/>
          <w:sz w:val="24"/>
          <w:szCs w:val="24"/>
          <w:lang w:val="en-GB"/>
        </w:rPr>
        <w:t xml:space="preserve">As noted in Section </w:t>
      </w:r>
      <w:r w:rsidR="00B46DA0">
        <w:rPr>
          <w:rFonts w:asciiTheme="minorHAnsi" w:hAnsiTheme="minorHAnsi" w:cstheme="minorHAnsi"/>
          <w:sz w:val="24"/>
          <w:szCs w:val="24"/>
          <w:lang w:val="en-GB"/>
        </w:rPr>
        <w:t>4.11.1</w:t>
      </w:r>
      <w:r>
        <w:rPr>
          <w:rFonts w:asciiTheme="minorHAnsi" w:hAnsiTheme="minorHAnsi" w:cstheme="minorHAnsi"/>
          <w:sz w:val="24"/>
          <w:szCs w:val="24"/>
          <w:lang w:val="en-GB"/>
        </w:rPr>
        <w:t xml:space="preserve">, </w:t>
      </w:r>
      <w:r w:rsidR="00E634FA">
        <w:rPr>
          <w:rFonts w:asciiTheme="minorHAnsi" w:hAnsiTheme="minorHAnsi" w:cstheme="minorHAnsi"/>
          <w:sz w:val="24"/>
          <w:szCs w:val="24"/>
          <w:lang w:val="en-GB"/>
        </w:rPr>
        <w:t xml:space="preserve">the </w:t>
      </w:r>
      <w:r w:rsidRPr="00930024">
        <w:rPr>
          <w:rFonts w:asciiTheme="minorHAnsi" w:hAnsiTheme="minorHAnsi" w:cstheme="minorHAnsi"/>
          <w:sz w:val="24"/>
          <w:szCs w:val="24"/>
          <w:lang w:val="en-GB"/>
        </w:rPr>
        <w:t>OTA</w:t>
      </w:r>
      <w:r>
        <w:rPr>
          <w:rFonts w:asciiTheme="minorHAnsi" w:hAnsiTheme="minorHAnsi" w:cstheme="minorHAnsi"/>
          <w:sz w:val="24"/>
          <w:szCs w:val="24"/>
          <w:lang w:val="en-GB"/>
        </w:rPr>
        <w:t xml:space="preserve"> are currently</w:t>
      </w:r>
      <w:r w:rsidRPr="00930024">
        <w:rPr>
          <w:rFonts w:asciiTheme="minorHAnsi" w:hAnsiTheme="minorHAnsi" w:cstheme="minorHAnsi"/>
          <w:sz w:val="24"/>
          <w:szCs w:val="24"/>
          <w:lang w:val="en-GB"/>
        </w:rPr>
        <w:t xml:space="preserve"> working with all jurisdictions to develop and implement an overarching data governance framework to ensure nationally consistent </w:t>
      </w:r>
      <w:r>
        <w:rPr>
          <w:rFonts w:asciiTheme="minorHAnsi" w:hAnsiTheme="minorHAnsi" w:cstheme="minorHAnsi"/>
          <w:sz w:val="24"/>
          <w:szCs w:val="24"/>
          <w:lang w:val="en-GB"/>
        </w:rPr>
        <w:t xml:space="preserve">data collection and management. </w:t>
      </w:r>
      <w:r w:rsidRPr="00D7024E">
        <w:rPr>
          <w:rFonts w:asciiTheme="minorHAnsi" w:hAnsiTheme="minorHAnsi" w:cstheme="minorHAnsi"/>
          <w:i/>
          <w:sz w:val="24"/>
          <w:szCs w:val="24"/>
          <w:lang w:val="en-GB"/>
        </w:rPr>
        <w:t>The</w:t>
      </w:r>
      <w:r w:rsidR="004D143C" w:rsidRPr="00D7024E">
        <w:rPr>
          <w:rFonts w:asciiTheme="minorHAnsi" w:hAnsiTheme="minorHAnsi" w:cstheme="minorHAnsi"/>
          <w:i/>
          <w:sz w:val="24"/>
          <w:szCs w:val="24"/>
          <w:lang w:val="en-GB"/>
        </w:rPr>
        <w:t xml:space="preserve"> OTA</w:t>
      </w:r>
      <w:r w:rsidR="000103FF" w:rsidRPr="00D7024E">
        <w:rPr>
          <w:rFonts w:asciiTheme="minorHAnsi" w:hAnsiTheme="minorHAnsi" w:cstheme="minorHAnsi"/>
          <w:i/>
          <w:sz w:val="24"/>
          <w:szCs w:val="24"/>
          <w:lang w:val="en-GB"/>
        </w:rPr>
        <w:t xml:space="preserve"> Data Governance</w:t>
      </w:r>
      <w:r w:rsidRPr="00D7024E">
        <w:rPr>
          <w:rFonts w:asciiTheme="minorHAnsi" w:hAnsiTheme="minorHAnsi" w:cstheme="minorHAnsi"/>
          <w:i/>
          <w:sz w:val="24"/>
          <w:szCs w:val="24"/>
          <w:lang w:val="en-GB"/>
        </w:rPr>
        <w:t xml:space="preserve"> Framework</w:t>
      </w:r>
      <w:r w:rsidR="000103FF">
        <w:rPr>
          <w:rFonts w:asciiTheme="minorHAnsi" w:hAnsiTheme="minorHAnsi" w:cstheme="minorHAnsi"/>
          <w:sz w:val="24"/>
          <w:szCs w:val="24"/>
          <w:lang w:val="en-GB"/>
        </w:rPr>
        <w:t xml:space="preserve"> (‘the Framework’)</w:t>
      </w:r>
      <w:r w:rsidRPr="00930024">
        <w:rPr>
          <w:rFonts w:asciiTheme="minorHAnsi" w:hAnsiTheme="minorHAnsi" w:cstheme="minorHAnsi"/>
          <w:sz w:val="24"/>
          <w:szCs w:val="24"/>
          <w:lang w:val="en-GB"/>
        </w:rPr>
        <w:t xml:space="preserve"> includes a set of agreed principles which cover data governance, privacy, confidentiality and security. These provide guidance on how to manage data assets to ensure consistent provision of trusted, high-quality data to inform decision making and drive improvement in organ and tissue donation outcomes</w:t>
      </w:r>
      <w:r>
        <w:rPr>
          <w:rFonts w:asciiTheme="minorHAnsi" w:hAnsiTheme="minorHAnsi" w:cstheme="minorHAnsi"/>
          <w:sz w:val="24"/>
          <w:szCs w:val="24"/>
          <w:lang w:val="en-GB"/>
        </w:rPr>
        <w:t>.</w:t>
      </w:r>
    </w:p>
    <w:p w14:paraId="69D7FD87" w14:textId="26278197" w:rsidR="000A7D05" w:rsidRDefault="000A7D05" w:rsidP="000A7D05">
      <w:pPr>
        <w:spacing w:before="240" w:after="120"/>
        <w:rPr>
          <w:rFonts w:asciiTheme="minorHAnsi" w:hAnsiTheme="minorHAnsi" w:cstheme="minorHAnsi"/>
          <w:sz w:val="24"/>
          <w:szCs w:val="24"/>
          <w:lang w:val="en-GB"/>
        </w:rPr>
      </w:pPr>
      <w:r w:rsidRPr="001D081D">
        <w:rPr>
          <w:rFonts w:asciiTheme="minorHAnsi" w:hAnsiTheme="minorHAnsi" w:cstheme="minorHAnsi"/>
          <w:sz w:val="24"/>
          <w:szCs w:val="24"/>
          <w:lang w:val="en-GB"/>
        </w:rPr>
        <w:t xml:space="preserve">The Review found that the current </w:t>
      </w:r>
      <w:r>
        <w:rPr>
          <w:rFonts w:asciiTheme="minorHAnsi" w:hAnsiTheme="minorHAnsi" w:cstheme="minorHAnsi"/>
          <w:sz w:val="24"/>
          <w:szCs w:val="24"/>
          <w:lang w:val="en-GB"/>
        </w:rPr>
        <w:t xml:space="preserve">dispersed nature of the outcome registries could be improved through consolidation into one central </w:t>
      </w:r>
      <w:r w:rsidR="00D631D4">
        <w:rPr>
          <w:rFonts w:asciiTheme="minorHAnsi" w:hAnsiTheme="minorHAnsi" w:cstheme="minorHAnsi"/>
          <w:sz w:val="24"/>
          <w:szCs w:val="24"/>
          <w:lang w:val="en-GB"/>
        </w:rPr>
        <w:t>system</w:t>
      </w:r>
      <w:r>
        <w:rPr>
          <w:rFonts w:asciiTheme="minorHAnsi" w:hAnsiTheme="minorHAnsi" w:cstheme="minorHAnsi"/>
          <w:sz w:val="24"/>
          <w:szCs w:val="24"/>
          <w:lang w:val="en-GB"/>
        </w:rPr>
        <w:t>. Key stakeholders consulted in the Review expressed that benefits could be realised through this approach, however cautioned the expense required to undertake such a project.</w:t>
      </w:r>
    </w:p>
    <w:p w14:paraId="7941982A" w14:textId="77777777" w:rsidR="00FD3097" w:rsidRPr="00F01BC7" w:rsidRDefault="00FD3097" w:rsidP="00AE3ED1">
      <w:pPr>
        <w:shd w:val="clear" w:color="auto" w:fill="DCEFF4"/>
        <w:spacing w:before="240" w:after="120"/>
        <w:rPr>
          <w:rFonts w:asciiTheme="minorHAnsi" w:hAnsiTheme="minorHAnsi" w:cstheme="minorHAnsi"/>
          <w:b/>
          <w:sz w:val="22"/>
          <w:szCs w:val="24"/>
          <w:lang w:val="en-GB"/>
        </w:rPr>
      </w:pPr>
      <w:r w:rsidRPr="00F01BC7">
        <w:rPr>
          <w:rFonts w:asciiTheme="minorHAnsi" w:hAnsiTheme="minorHAnsi" w:cstheme="minorHAnsi"/>
          <w:b/>
          <w:sz w:val="22"/>
          <w:szCs w:val="24"/>
          <w:lang w:val="en-GB"/>
        </w:rPr>
        <w:t xml:space="preserve">The OTA Data Governance Framework </w:t>
      </w:r>
    </w:p>
    <w:p w14:paraId="64778362" w14:textId="77777777" w:rsidR="00FD3097" w:rsidRPr="00AE3ED1" w:rsidRDefault="00FD3097" w:rsidP="00AE3ED1">
      <w:pPr>
        <w:shd w:val="clear" w:color="auto" w:fill="DCEFF4"/>
        <w:spacing w:before="240" w:after="120"/>
        <w:rPr>
          <w:rFonts w:asciiTheme="minorHAnsi" w:hAnsiTheme="minorHAnsi" w:cstheme="minorHAnsi"/>
          <w:sz w:val="22"/>
          <w:szCs w:val="24"/>
          <w:lang w:val="en-GB"/>
        </w:rPr>
      </w:pPr>
      <w:r w:rsidRPr="00AE3ED1">
        <w:rPr>
          <w:rFonts w:asciiTheme="minorHAnsi" w:hAnsiTheme="minorHAnsi" w:cstheme="minorHAnsi"/>
          <w:sz w:val="22"/>
          <w:szCs w:val="24"/>
          <w:lang w:val="en-GB"/>
        </w:rPr>
        <w:t xml:space="preserve">A significant amount of data and information exists within the organ donation retrieval and transplantation sector. However, the extent to which this information is available to the parties that need it varies widely. To address this, the OTA in recognising the importance of evidence-based decisions, has proposed The OTA Data Governance Framework. The Framework outlines the arrangements for the collective responsibility of managing data assets within the sector. </w:t>
      </w:r>
    </w:p>
    <w:p w14:paraId="57F837D1" w14:textId="77777777" w:rsidR="00FD3097" w:rsidRPr="00AE3ED1" w:rsidRDefault="00FD3097" w:rsidP="00AE3ED1">
      <w:pPr>
        <w:shd w:val="clear" w:color="auto" w:fill="DCEFF4"/>
        <w:spacing w:before="240" w:after="120"/>
        <w:rPr>
          <w:rFonts w:asciiTheme="minorHAnsi" w:hAnsiTheme="minorHAnsi" w:cstheme="minorHAnsi"/>
          <w:sz w:val="22"/>
          <w:szCs w:val="24"/>
          <w:lang w:val="en-GB"/>
        </w:rPr>
      </w:pPr>
      <w:r w:rsidRPr="00AE3ED1">
        <w:rPr>
          <w:rFonts w:asciiTheme="minorHAnsi" w:hAnsiTheme="minorHAnsi" w:cstheme="minorHAnsi"/>
          <w:sz w:val="22"/>
          <w:szCs w:val="24"/>
          <w:lang w:val="en-GB"/>
        </w:rPr>
        <w:t xml:space="preserve">The Framework is underpinned by a set of Data Governance and Privacy Principles which will provide guidance on how to manage data assets to ensure consistent provision of trusted, high-quality data to inform decision making and drive improvement. The Framework further prescribes that a Data Governance Committee be established to promote compliance and oversee operational aspects of the Data Governance and Privacy Principles. These principles are intended to apply to all data collected and managed in online shared data sets. The included data assets are: </w:t>
      </w:r>
    </w:p>
    <w:p w14:paraId="6882385F" w14:textId="0C510EB3" w:rsidR="00FD3097" w:rsidRPr="00AE3ED1" w:rsidRDefault="00FD3097"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DonateLife Audit </w:t>
      </w:r>
    </w:p>
    <w:p w14:paraId="66B9807B" w14:textId="1D534492" w:rsidR="00FD3097" w:rsidRPr="00AE3ED1" w:rsidRDefault="00FD3097"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Australia and New Zealand Intensive Care Society (ANZICS) Adult Patient Database </w:t>
      </w:r>
    </w:p>
    <w:p w14:paraId="7582E511" w14:textId="38EFF80C" w:rsidR="00FD3097" w:rsidRPr="00AE3ED1" w:rsidRDefault="00FD3097"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ANZDATA </w:t>
      </w:r>
    </w:p>
    <w:p w14:paraId="399ABD14" w14:textId="25FCC604" w:rsidR="00FD3097" w:rsidRPr="00AE3ED1" w:rsidRDefault="00FD3097"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The NOMS</w:t>
      </w:r>
      <w:r>
        <w:rPr>
          <w:rFonts w:asciiTheme="minorHAnsi" w:hAnsiTheme="minorHAnsi" w:cstheme="minorHAnsi"/>
          <w:sz w:val="22"/>
          <w:szCs w:val="22"/>
          <w:lang w:val="en-GB"/>
        </w:rPr>
        <w:t xml:space="preserve"> </w:t>
      </w:r>
      <w:r w:rsidRPr="00AE3ED1">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Pr="00AE3ED1">
        <w:rPr>
          <w:rFonts w:asciiTheme="minorHAnsi" w:hAnsiTheme="minorHAnsi" w:cstheme="minorHAnsi"/>
          <w:sz w:val="22"/>
          <w:szCs w:val="22"/>
          <w:lang w:val="en-GB"/>
        </w:rPr>
        <w:t>OrganMatch</w:t>
      </w:r>
    </w:p>
    <w:p w14:paraId="00548482" w14:textId="03C3A5C1" w:rsidR="00FD3097" w:rsidRPr="00AE3ED1" w:rsidRDefault="00FD3097"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Australia and New Zealand Liver Transplant Register (ANZLTR)</w:t>
      </w:r>
    </w:p>
    <w:p w14:paraId="456C1358" w14:textId="2224E58E" w:rsidR="00FD3097" w:rsidRPr="00AE3ED1" w:rsidRDefault="00FD3097"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Australia and New Zealand Cardiothoracic Organ Transplant Register (ANZCOTR)</w:t>
      </w:r>
    </w:p>
    <w:p w14:paraId="5E2EDF93" w14:textId="5A3BEE5C" w:rsidR="00FD3097" w:rsidRPr="00AE3ED1" w:rsidRDefault="00FD3097"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Australia and New Zealand Islets and Pancreas Transplant Register (ANZIPTR) </w:t>
      </w:r>
    </w:p>
    <w:p w14:paraId="4743F301" w14:textId="27E4B0B5" w:rsidR="00FD3097" w:rsidRPr="00AE3ED1" w:rsidRDefault="00FD3097"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 xml:space="preserve">Electronic Donor Record (EDR) </w:t>
      </w:r>
    </w:p>
    <w:p w14:paraId="41CBA8AD" w14:textId="4796F665" w:rsidR="00FD3097" w:rsidRPr="00AE3ED1" w:rsidRDefault="00FD3097" w:rsidP="00AE3ED1">
      <w:pPr>
        <w:widowControl/>
        <w:numPr>
          <w:ilvl w:val="0"/>
          <w:numId w:val="18"/>
        </w:numPr>
        <w:shd w:val="clear" w:color="auto" w:fill="DCEFF4"/>
        <w:autoSpaceDE/>
        <w:autoSpaceDN/>
        <w:adjustRightInd/>
        <w:spacing w:after="120"/>
        <w:ind w:left="357" w:hanging="357"/>
        <w:contextualSpacing/>
        <w:rPr>
          <w:rFonts w:asciiTheme="minorHAnsi" w:hAnsiTheme="minorHAnsi" w:cstheme="minorHAnsi"/>
          <w:sz w:val="22"/>
          <w:szCs w:val="22"/>
          <w:lang w:val="en-GB"/>
        </w:rPr>
      </w:pPr>
      <w:r w:rsidRPr="00AE3ED1">
        <w:rPr>
          <w:rFonts w:asciiTheme="minorHAnsi" w:hAnsiTheme="minorHAnsi" w:cstheme="minorHAnsi"/>
          <w:sz w:val="22"/>
          <w:szCs w:val="22"/>
          <w:lang w:val="en-GB"/>
        </w:rPr>
        <w:t>Australia and New Zealand Organ Donation Registry (ANZOD)</w:t>
      </w:r>
    </w:p>
    <w:p w14:paraId="3341907F" w14:textId="429F89EA" w:rsidR="000A7D05" w:rsidRPr="00266A77" w:rsidRDefault="000A7D05" w:rsidP="00AE3ED1">
      <w:pPr>
        <w:widowControl/>
        <w:autoSpaceDE/>
        <w:autoSpaceDN/>
        <w:adjustRightInd/>
        <w:spacing w:after="200" w:line="276" w:lineRule="auto"/>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Summary of key findings</w:t>
      </w:r>
    </w:p>
    <w:p w14:paraId="75513652" w14:textId="77777777" w:rsidR="000A7D05" w:rsidRPr="002A4039" w:rsidRDefault="000A7D05" w:rsidP="000A7D05">
      <w:pPr>
        <w:pStyle w:val="ListParagraph"/>
        <w:numPr>
          <w:ilvl w:val="0"/>
          <w:numId w:val="23"/>
        </w:numPr>
        <w:spacing w:after="120"/>
        <w:rPr>
          <w:rFonts w:asciiTheme="minorHAnsi" w:hAnsiTheme="minorHAnsi" w:cstheme="minorHAnsi"/>
          <w:sz w:val="24"/>
          <w:szCs w:val="24"/>
          <w:lang w:val="en-GB"/>
        </w:rPr>
      </w:pPr>
      <w:r w:rsidRPr="00930024">
        <w:rPr>
          <w:rFonts w:asciiTheme="minorHAnsi" w:hAnsiTheme="minorHAnsi" w:cstheme="minorHAnsi"/>
          <w:sz w:val="24"/>
          <w:szCs w:val="24"/>
          <w:lang w:val="en-GB"/>
        </w:rPr>
        <w:t>Access to data held by the OTA which is not currently distributed to all government representatives is only granted with the consent of all nine government representatives</w:t>
      </w:r>
      <w:r w:rsidRPr="002A4039">
        <w:rPr>
          <w:rFonts w:asciiTheme="minorHAnsi" w:hAnsiTheme="minorHAnsi" w:cstheme="minorHAnsi"/>
          <w:sz w:val="24"/>
          <w:szCs w:val="24"/>
          <w:lang w:val="en-GB"/>
        </w:rPr>
        <w:t>. This impairs the management of the organ transplantation programs.</w:t>
      </w:r>
    </w:p>
    <w:p w14:paraId="479DCDFE" w14:textId="28968670" w:rsidR="000A7D05" w:rsidRPr="002A4039" w:rsidRDefault="008E64B3" w:rsidP="000A7D05">
      <w:pPr>
        <w:pStyle w:val="ListParagraph"/>
        <w:numPr>
          <w:ilvl w:val="0"/>
          <w:numId w:val="23"/>
        </w:numPr>
        <w:spacing w:after="120"/>
        <w:rPr>
          <w:rFonts w:asciiTheme="minorHAnsi" w:hAnsiTheme="minorHAnsi" w:cstheme="minorHAnsi"/>
          <w:sz w:val="24"/>
          <w:szCs w:val="24"/>
          <w:lang w:val="en-GB"/>
        </w:rPr>
      </w:pPr>
      <w:r>
        <w:rPr>
          <w:rFonts w:asciiTheme="minorHAnsi" w:hAnsiTheme="minorHAnsi" w:cstheme="minorHAnsi"/>
          <w:sz w:val="24"/>
          <w:szCs w:val="24"/>
          <w:lang w:val="en-GB"/>
        </w:rPr>
        <w:t>C</w:t>
      </w:r>
      <w:r w:rsidR="000A7D05" w:rsidRPr="002A4039">
        <w:rPr>
          <w:rFonts w:asciiTheme="minorHAnsi" w:hAnsiTheme="minorHAnsi" w:cstheme="minorHAnsi"/>
          <w:sz w:val="24"/>
          <w:szCs w:val="24"/>
          <w:lang w:val="en-GB"/>
        </w:rPr>
        <w:t>omprehensive</w:t>
      </w:r>
      <w:r w:rsidR="000A7D05">
        <w:rPr>
          <w:rFonts w:asciiTheme="minorHAnsi" w:hAnsiTheme="minorHAnsi" w:cstheme="minorHAnsi"/>
          <w:sz w:val="24"/>
          <w:szCs w:val="24"/>
          <w:lang w:val="en-GB"/>
        </w:rPr>
        <w:t xml:space="preserve"> and robust</w:t>
      </w:r>
      <w:r w:rsidR="000A7D05" w:rsidRPr="002A4039">
        <w:rPr>
          <w:rFonts w:asciiTheme="minorHAnsi" w:hAnsiTheme="minorHAnsi" w:cstheme="minorHAnsi"/>
          <w:sz w:val="24"/>
          <w:szCs w:val="24"/>
          <w:lang w:val="en-GB"/>
        </w:rPr>
        <w:t xml:space="preserve"> national patient outcome registr</w:t>
      </w:r>
      <w:r w:rsidR="000A7D05">
        <w:rPr>
          <w:rFonts w:asciiTheme="minorHAnsi" w:hAnsiTheme="minorHAnsi" w:cstheme="minorHAnsi"/>
          <w:sz w:val="24"/>
          <w:szCs w:val="24"/>
          <w:lang w:val="en-GB"/>
        </w:rPr>
        <w:t>ies</w:t>
      </w:r>
      <w:r w:rsidR="000A7D05" w:rsidRPr="002A4039">
        <w:rPr>
          <w:rFonts w:asciiTheme="minorHAnsi" w:hAnsiTheme="minorHAnsi" w:cstheme="minorHAnsi"/>
          <w:sz w:val="24"/>
          <w:szCs w:val="24"/>
          <w:lang w:val="en-GB"/>
        </w:rPr>
        <w:t xml:space="preserve"> exist for kidney</w:t>
      </w:r>
      <w:r w:rsidR="000A7D05">
        <w:rPr>
          <w:rFonts w:asciiTheme="minorHAnsi" w:hAnsiTheme="minorHAnsi" w:cstheme="minorHAnsi"/>
          <w:sz w:val="24"/>
          <w:szCs w:val="24"/>
          <w:lang w:val="en-GB"/>
        </w:rPr>
        <w:t>, heart, lung and liver</w:t>
      </w:r>
      <w:r w:rsidR="000A7D05" w:rsidRPr="002A4039">
        <w:rPr>
          <w:rFonts w:asciiTheme="minorHAnsi" w:hAnsiTheme="minorHAnsi" w:cstheme="minorHAnsi"/>
          <w:sz w:val="24"/>
          <w:szCs w:val="24"/>
          <w:lang w:val="en-GB"/>
        </w:rPr>
        <w:t xml:space="preserve"> transplantation</w:t>
      </w:r>
      <w:r w:rsidR="000A7D05">
        <w:rPr>
          <w:rFonts w:asciiTheme="minorHAnsi" w:hAnsiTheme="minorHAnsi" w:cstheme="minorHAnsi"/>
          <w:sz w:val="24"/>
          <w:szCs w:val="24"/>
          <w:lang w:val="en-GB"/>
        </w:rPr>
        <w:t xml:space="preserve">. </w:t>
      </w:r>
      <w:r w:rsidR="00B962D9">
        <w:rPr>
          <w:rFonts w:asciiTheme="minorHAnsi" w:hAnsiTheme="minorHAnsi" w:cstheme="minorHAnsi"/>
          <w:sz w:val="24"/>
          <w:szCs w:val="24"/>
          <w:lang w:val="en-GB"/>
        </w:rPr>
        <w:t>However,</w:t>
      </w:r>
      <w:r w:rsidR="000A7D05" w:rsidRPr="002A4039">
        <w:rPr>
          <w:rFonts w:asciiTheme="minorHAnsi" w:hAnsiTheme="minorHAnsi" w:cstheme="minorHAnsi"/>
          <w:sz w:val="24"/>
          <w:szCs w:val="24"/>
          <w:lang w:val="en-GB"/>
        </w:rPr>
        <w:t xml:space="preserve"> </w:t>
      </w:r>
      <w:r w:rsidR="000A7D05">
        <w:rPr>
          <w:rFonts w:asciiTheme="minorHAnsi" w:hAnsiTheme="minorHAnsi" w:cstheme="minorHAnsi"/>
          <w:sz w:val="24"/>
          <w:szCs w:val="24"/>
          <w:lang w:val="en-GB"/>
        </w:rPr>
        <w:t>all</w:t>
      </w:r>
      <w:r w:rsidR="000A7D05" w:rsidRPr="002A4039">
        <w:rPr>
          <w:rFonts w:asciiTheme="minorHAnsi" w:hAnsiTheme="minorHAnsi" w:cstheme="minorHAnsi"/>
          <w:sz w:val="24"/>
          <w:szCs w:val="24"/>
          <w:lang w:val="en-GB"/>
        </w:rPr>
        <w:t xml:space="preserve"> </w:t>
      </w:r>
      <w:r w:rsidR="000A7D05">
        <w:rPr>
          <w:rFonts w:asciiTheme="minorHAnsi" w:hAnsiTheme="minorHAnsi" w:cstheme="minorHAnsi"/>
          <w:sz w:val="24"/>
          <w:szCs w:val="24"/>
          <w:lang w:val="en-GB"/>
        </w:rPr>
        <w:t xml:space="preserve">registries </w:t>
      </w:r>
      <w:r w:rsidR="000A7D05" w:rsidRPr="002A4039">
        <w:rPr>
          <w:rFonts w:asciiTheme="minorHAnsi" w:hAnsiTheme="minorHAnsi" w:cstheme="minorHAnsi"/>
          <w:sz w:val="24"/>
          <w:szCs w:val="24"/>
          <w:lang w:val="en-GB"/>
        </w:rPr>
        <w:t xml:space="preserve">could be enhanced by the addition of more information </w:t>
      </w:r>
      <w:r w:rsidR="000A7D05">
        <w:rPr>
          <w:rFonts w:asciiTheme="minorHAnsi" w:hAnsiTheme="minorHAnsi" w:cstheme="minorHAnsi"/>
          <w:sz w:val="24"/>
          <w:szCs w:val="24"/>
          <w:lang w:val="en-GB"/>
        </w:rPr>
        <w:t>on</w:t>
      </w:r>
      <w:r w:rsidR="000A7D05" w:rsidRPr="002A4039">
        <w:rPr>
          <w:rFonts w:asciiTheme="minorHAnsi" w:hAnsiTheme="minorHAnsi" w:cstheme="minorHAnsi"/>
          <w:sz w:val="24"/>
          <w:szCs w:val="24"/>
          <w:lang w:val="en-GB"/>
        </w:rPr>
        <w:t xml:space="preserve"> </w:t>
      </w:r>
      <w:r w:rsidR="000A7D05">
        <w:rPr>
          <w:rFonts w:asciiTheme="minorHAnsi" w:hAnsiTheme="minorHAnsi" w:cstheme="minorHAnsi"/>
          <w:sz w:val="24"/>
          <w:szCs w:val="24"/>
          <w:lang w:val="en-GB"/>
        </w:rPr>
        <w:t xml:space="preserve">reasons organs have been declined by the </w:t>
      </w:r>
      <w:r w:rsidR="000A7D05" w:rsidRPr="00E33662">
        <w:rPr>
          <w:rFonts w:asciiTheme="minorHAnsi" w:hAnsiTheme="minorHAnsi" w:cstheme="minorHAnsi"/>
          <w:sz w:val="24"/>
          <w:szCs w:val="24"/>
          <w:lang w:val="en-GB"/>
        </w:rPr>
        <w:t>transplant</w:t>
      </w:r>
      <w:r w:rsidR="000A7D05" w:rsidRPr="001D081D">
        <w:rPr>
          <w:rFonts w:asciiTheme="minorHAnsi" w:hAnsiTheme="minorHAnsi" w:cstheme="minorHAnsi"/>
          <w:sz w:val="24"/>
          <w:szCs w:val="24"/>
          <w:lang w:val="en-GB"/>
        </w:rPr>
        <w:t>ation</w:t>
      </w:r>
      <w:r w:rsidR="000A7D05" w:rsidRPr="00E33662">
        <w:rPr>
          <w:rFonts w:asciiTheme="minorHAnsi" w:hAnsiTheme="minorHAnsi" w:cstheme="minorHAnsi"/>
          <w:sz w:val="24"/>
          <w:szCs w:val="24"/>
          <w:lang w:val="en-GB"/>
        </w:rPr>
        <w:t xml:space="preserve"> unit</w:t>
      </w:r>
      <w:r w:rsidR="000A7D05">
        <w:rPr>
          <w:rFonts w:asciiTheme="minorHAnsi" w:hAnsiTheme="minorHAnsi" w:cstheme="minorHAnsi"/>
          <w:sz w:val="24"/>
          <w:szCs w:val="24"/>
          <w:lang w:val="en-GB"/>
        </w:rPr>
        <w:t xml:space="preserve">, the number and characteristics of patients waiting for kidney transplantation, patient reported outcomes, and the use and outcomes of </w:t>
      </w:r>
      <w:r w:rsidR="003E2D97">
        <w:rPr>
          <w:rFonts w:asciiTheme="minorHAnsi" w:hAnsiTheme="minorHAnsi" w:cstheme="minorHAnsi"/>
          <w:sz w:val="24"/>
          <w:szCs w:val="24"/>
          <w:lang w:val="en-GB"/>
        </w:rPr>
        <w:t>organs donated from extended criteria donors</w:t>
      </w:r>
      <w:r w:rsidR="000A7D05" w:rsidRPr="002A4039">
        <w:rPr>
          <w:rFonts w:asciiTheme="minorHAnsi" w:hAnsiTheme="minorHAnsi" w:cstheme="minorHAnsi"/>
          <w:sz w:val="24"/>
          <w:szCs w:val="24"/>
          <w:lang w:val="en-GB"/>
        </w:rPr>
        <w:t>.</w:t>
      </w:r>
    </w:p>
    <w:p w14:paraId="0BF459D3" w14:textId="77777777" w:rsidR="000A7D05" w:rsidRPr="00BB35B4" w:rsidRDefault="000A7D05" w:rsidP="000A7D05">
      <w:pPr>
        <w:pStyle w:val="ListParagraph"/>
        <w:numPr>
          <w:ilvl w:val="0"/>
          <w:numId w:val="23"/>
        </w:numPr>
        <w:spacing w:after="120"/>
        <w:rPr>
          <w:rFonts w:asciiTheme="minorHAnsi" w:hAnsiTheme="minorHAnsi" w:cstheme="minorHAnsi"/>
          <w:sz w:val="24"/>
          <w:szCs w:val="24"/>
          <w:lang w:val="en-GB"/>
        </w:rPr>
      </w:pPr>
      <w:r w:rsidRPr="002A4039">
        <w:rPr>
          <w:rFonts w:asciiTheme="minorHAnsi" w:hAnsiTheme="minorHAnsi" w:cstheme="minorHAnsi"/>
          <w:sz w:val="24"/>
          <w:szCs w:val="24"/>
          <w:lang w:val="en-GB"/>
        </w:rPr>
        <w:t>The entry of patient dat</w:t>
      </w:r>
      <w:r w:rsidR="008E64B3">
        <w:rPr>
          <w:rFonts w:asciiTheme="minorHAnsi" w:hAnsiTheme="minorHAnsi" w:cstheme="minorHAnsi"/>
          <w:sz w:val="24"/>
          <w:szCs w:val="24"/>
          <w:lang w:val="en-GB"/>
        </w:rPr>
        <w:t>a into the outcome registries is</w:t>
      </w:r>
      <w:r w:rsidRPr="002A4039">
        <w:rPr>
          <w:rFonts w:asciiTheme="minorHAnsi" w:hAnsiTheme="minorHAnsi" w:cstheme="minorHAnsi"/>
          <w:sz w:val="24"/>
          <w:szCs w:val="24"/>
          <w:lang w:val="en-GB"/>
        </w:rPr>
        <w:t xml:space="preserve"> laborious and consumes a lot of time </w:t>
      </w:r>
      <w:r w:rsidRPr="00BB35B4">
        <w:rPr>
          <w:rFonts w:asciiTheme="minorHAnsi" w:hAnsiTheme="minorHAnsi" w:cstheme="minorHAnsi"/>
          <w:sz w:val="24"/>
          <w:szCs w:val="24"/>
          <w:lang w:val="en-GB"/>
        </w:rPr>
        <w:t xml:space="preserve">and resources </w:t>
      </w:r>
      <w:r w:rsidR="004D143C">
        <w:rPr>
          <w:rFonts w:asciiTheme="minorHAnsi" w:hAnsiTheme="minorHAnsi" w:cstheme="minorHAnsi"/>
          <w:sz w:val="24"/>
          <w:szCs w:val="24"/>
          <w:lang w:val="en-GB"/>
        </w:rPr>
        <w:t>from</w:t>
      </w:r>
      <w:r w:rsidRPr="00BB35B4">
        <w:rPr>
          <w:rFonts w:asciiTheme="minorHAnsi" w:hAnsiTheme="minorHAnsi" w:cstheme="minorHAnsi"/>
          <w:sz w:val="24"/>
          <w:szCs w:val="24"/>
          <w:lang w:val="en-GB"/>
        </w:rPr>
        <w:t xml:space="preserve"> clinical staff</w:t>
      </w:r>
      <w:r>
        <w:rPr>
          <w:rFonts w:asciiTheme="minorHAnsi" w:hAnsiTheme="minorHAnsi" w:cstheme="minorHAnsi"/>
          <w:sz w:val="24"/>
          <w:szCs w:val="24"/>
          <w:lang w:val="en-GB"/>
        </w:rPr>
        <w:t xml:space="preserve"> and is often completed on a voluntary basis</w:t>
      </w:r>
      <w:r w:rsidRPr="00BB35B4">
        <w:rPr>
          <w:rFonts w:asciiTheme="minorHAnsi" w:hAnsiTheme="minorHAnsi" w:cstheme="minorHAnsi"/>
          <w:sz w:val="24"/>
          <w:szCs w:val="24"/>
          <w:lang w:val="en-GB"/>
        </w:rPr>
        <w:t>.</w:t>
      </w:r>
    </w:p>
    <w:p w14:paraId="3826B13F" w14:textId="77777777" w:rsidR="000A7D05" w:rsidRPr="002A4039" w:rsidRDefault="00E634FA" w:rsidP="000A7D05">
      <w:pPr>
        <w:pStyle w:val="ListParagraph"/>
        <w:numPr>
          <w:ilvl w:val="0"/>
          <w:numId w:val="23"/>
        </w:numPr>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The </w:t>
      </w:r>
      <w:r w:rsidR="000A7D05">
        <w:rPr>
          <w:rFonts w:asciiTheme="minorHAnsi" w:hAnsiTheme="minorHAnsi" w:cstheme="minorHAnsi"/>
          <w:sz w:val="24"/>
          <w:szCs w:val="24"/>
          <w:lang w:val="en-GB"/>
        </w:rPr>
        <w:t>OTA is currently working with state</w:t>
      </w:r>
      <w:r w:rsidR="008E64B3">
        <w:rPr>
          <w:rFonts w:asciiTheme="minorHAnsi" w:hAnsiTheme="minorHAnsi" w:cstheme="minorHAnsi"/>
          <w:sz w:val="24"/>
          <w:szCs w:val="24"/>
          <w:lang w:val="en-GB"/>
        </w:rPr>
        <w:t>s and territories to develop a Data Governance F</w:t>
      </w:r>
      <w:r w:rsidR="000A7D05">
        <w:rPr>
          <w:rFonts w:asciiTheme="minorHAnsi" w:hAnsiTheme="minorHAnsi" w:cstheme="minorHAnsi"/>
          <w:sz w:val="24"/>
          <w:szCs w:val="24"/>
          <w:lang w:val="en-GB"/>
        </w:rPr>
        <w:t>ramework with the aim to improve data management and access.</w:t>
      </w:r>
    </w:p>
    <w:p w14:paraId="3F6A7D34" w14:textId="77777777" w:rsidR="000A7D05" w:rsidRPr="00266A77" w:rsidRDefault="000A7D05" w:rsidP="000A7D05">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6A0" w:firstRow="1" w:lastRow="0" w:firstColumn="1" w:lastColumn="0" w:noHBand="1" w:noVBand="1"/>
        <w:tblDescription w:val="Recommendation forty seven is that the states and territories should facilitate access to and sharing of nationally agreed de-identified datasets among jurisdictions through continued support to the OTA to develop and implement its data governance framework. Recommendation forty eight is that national patient outcome registries for heart and lung transplantation should be formally and comprehensively supported by the OTA and funded to reflect their purpose. Recommendation forty nine is that consideration should be given to the consolidation of all transplantation registries into one central system. Recommendation fifty is that consideration be given by the states and territories to the automation of data submission to the organ transplant outcome registries via the electronic medical records operating in most transplantation units. Recommendation fifty one is that measures of access to the kidney transplantation programs and data relating to the profile and numbers of patients on the kidney transplantation waiting list as well as outcomes from the use of organs from extended criteria organ donors should be considered by the ANZDATA for inclusion in the data set that is collected and reported."/>
      </w:tblPr>
      <w:tblGrid>
        <w:gridCol w:w="2268"/>
        <w:gridCol w:w="7479"/>
      </w:tblGrid>
      <w:tr w:rsidR="000C4EEE" w:rsidRPr="00B60A37" w14:paraId="691E99CC" w14:textId="77777777" w:rsidTr="00AE3ED1">
        <w:trPr>
          <w:tblHeader/>
        </w:trPr>
        <w:tc>
          <w:tcPr>
            <w:tcW w:w="2268" w:type="dxa"/>
            <w:shd w:val="clear" w:color="auto" w:fill="595959" w:themeFill="text1" w:themeFillTint="A6"/>
          </w:tcPr>
          <w:p w14:paraId="7719D102" w14:textId="3B6A12D2" w:rsidR="000C4EEE" w:rsidRPr="00AE3ED1" w:rsidRDefault="000C4EEE" w:rsidP="00AE3ED1">
            <w:pPr>
              <w:spacing w:after="120"/>
              <w:ind w:right="-321"/>
              <w:rPr>
                <w:rFonts w:asciiTheme="minorHAnsi" w:hAnsiTheme="minorHAnsi" w:cstheme="minorHAnsi"/>
                <w:b/>
                <w:color w:val="FFFFFF" w:themeColor="background1"/>
                <w:sz w:val="24"/>
                <w:szCs w:val="24"/>
                <w:lang w:val="en-GB"/>
              </w:rPr>
            </w:pPr>
            <w:r w:rsidRPr="00AE3ED1">
              <w:rPr>
                <w:rFonts w:asciiTheme="minorHAnsi" w:hAnsiTheme="minorHAnsi" w:cstheme="minorHAnsi"/>
                <w:b/>
                <w:color w:val="FFFFFF" w:themeColor="background1"/>
                <w:sz w:val="24"/>
                <w:szCs w:val="24"/>
                <w:lang w:val="en-GB"/>
              </w:rPr>
              <w:t>Recommendation</w:t>
            </w:r>
          </w:p>
        </w:tc>
        <w:tc>
          <w:tcPr>
            <w:tcW w:w="7479" w:type="dxa"/>
            <w:shd w:val="clear" w:color="auto" w:fill="595959" w:themeFill="text1" w:themeFillTint="A6"/>
          </w:tcPr>
          <w:p w14:paraId="347434E9" w14:textId="5AF132A9" w:rsidR="000C4EEE" w:rsidRPr="00AE3ED1" w:rsidRDefault="000C4EEE" w:rsidP="00AE3ED1">
            <w:pPr>
              <w:spacing w:after="120"/>
              <w:ind w:right="-142"/>
              <w:rPr>
                <w:rFonts w:asciiTheme="minorHAnsi" w:hAnsiTheme="minorHAnsi" w:cstheme="minorHAnsi"/>
                <w:b/>
                <w:color w:val="FFFFFF" w:themeColor="background1"/>
                <w:sz w:val="24"/>
                <w:szCs w:val="24"/>
                <w:lang w:val="en-GB"/>
              </w:rPr>
            </w:pPr>
            <w:r w:rsidRPr="00AE3ED1">
              <w:rPr>
                <w:rFonts w:asciiTheme="minorHAnsi" w:hAnsiTheme="minorHAnsi" w:cstheme="minorHAnsi"/>
                <w:b/>
                <w:color w:val="FFFFFF" w:themeColor="background1"/>
                <w:sz w:val="24"/>
                <w:szCs w:val="24"/>
                <w:lang w:val="en-GB"/>
              </w:rPr>
              <w:t>Description</w:t>
            </w:r>
          </w:p>
        </w:tc>
      </w:tr>
      <w:tr w:rsidR="000A7D05" w:rsidRPr="00B60A37" w14:paraId="10929A88" w14:textId="77777777" w:rsidTr="00AE3ED1">
        <w:tc>
          <w:tcPr>
            <w:tcW w:w="2268" w:type="dxa"/>
          </w:tcPr>
          <w:p w14:paraId="7351FA05" w14:textId="77777777" w:rsidR="000A7D05" w:rsidRPr="002A4039" w:rsidRDefault="000A7D05" w:rsidP="00AE3ED1">
            <w:pPr>
              <w:spacing w:after="120"/>
              <w:ind w:right="-321"/>
              <w:rPr>
                <w:rFonts w:asciiTheme="minorHAnsi" w:hAnsiTheme="minorHAnsi" w:cstheme="minorHAnsi"/>
                <w:b/>
                <w:sz w:val="24"/>
                <w:szCs w:val="24"/>
                <w:lang w:val="en-GB"/>
              </w:rPr>
            </w:pPr>
            <w:r w:rsidRPr="002A4039">
              <w:rPr>
                <w:rFonts w:asciiTheme="minorHAnsi" w:hAnsiTheme="minorHAnsi" w:cstheme="minorHAnsi"/>
                <w:b/>
                <w:sz w:val="24"/>
                <w:szCs w:val="24"/>
                <w:lang w:val="en-GB"/>
              </w:rPr>
              <w:t>Recommendation 4</w:t>
            </w:r>
            <w:r w:rsidR="00AA0384">
              <w:rPr>
                <w:rFonts w:asciiTheme="minorHAnsi" w:hAnsiTheme="minorHAnsi" w:cstheme="minorHAnsi"/>
                <w:b/>
                <w:sz w:val="24"/>
                <w:szCs w:val="24"/>
                <w:lang w:val="en-GB"/>
              </w:rPr>
              <w:t>7</w:t>
            </w:r>
          </w:p>
        </w:tc>
        <w:tc>
          <w:tcPr>
            <w:tcW w:w="7479" w:type="dxa"/>
          </w:tcPr>
          <w:p w14:paraId="2AF1929F" w14:textId="77777777" w:rsidR="000A7D05" w:rsidRPr="002A4039" w:rsidRDefault="004E37B3" w:rsidP="00AE3ED1">
            <w:pPr>
              <w:spacing w:after="120"/>
              <w:ind w:right="-142"/>
              <w:rPr>
                <w:rFonts w:asciiTheme="minorHAnsi" w:hAnsiTheme="minorHAnsi" w:cstheme="minorHAnsi"/>
                <w:sz w:val="24"/>
                <w:szCs w:val="24"/>
                <w:lang w:val="en-GB"/>
              </w:rPr>
            </w:pPr>
            <w:r>
              <w:rPr>
                <w:rFonts w:asciiTheme="minorHAnsi" w:hAnsiTheme="minorHAnsi" w:cstheme="minorHAnsi"/>
                <w:sz w:val="24"/>
                <w:szCs w:val="24"/>
                <w:lang w:val="en-GB"/>
              </w:rPr>
              <w:t xml:space="preserve">The states and territories should </w:t>
            </w:r>
            <w:r w:rsidR="00407DB0">
              <w:rPr>
                <w:rFonts w:asciiTheme="minorHAnsi" w:hAnsiTheme="minorHAnsi" w:cstheme="minorHAnsi"/>
                <w:sz w:val="24"/>
                <w:szCs w:val="24"/>
                <w:lang w:val="en-GB"/>
              </w:rPr>
              <w:t xml:space="preserve">facilitate </w:t>
            </w:r>
            <w:r w:rsidR="000A7D05">
              <w:rPr>
                <w:rFonts w:asciiTheme="minorHAnsi" w:hAnsiTheme="minorHAnsi" w:cstheme="minorHAnsi"/>
                <w:sz w:val="24"/>
                <w:szCs w:val="24"/>
                <w:lang w:val="en-GB"/>
              </w:rPr>
              <w:t xml:space="preserve">access to and sharing </w:t>
            </w:r>
            <w:r w:rsidR="00407DB0">
              <w:rPr>
                <w:rFonts w:asciiTheme="minorHAnsi" w:hAnsiTheme="minorHAnsi" w:cstheme="minorHAnsi"/>
                <w:sz w:val="24"/>
                <w:szCs w:val="24"/>
                <w:lang w:val="en-GB"/>
              </w:rPr>
              <w:t xml:space="preserve">of nationally agreed de-identified datasets among jurisdictions </w:t>
            </w:r>
            <w:r w:rsidR="000A7D05">
              <w:rPr>
                <w:rFonts w:asciiTheme="minorHAnsi" w:hAnsiTheme="minorHAnsi" w:cstheme="minorHAnsi"/>
                <w:sz w:val="24"/>
                <w:szCs w:val="24"/>
                <w:lang w:val="en-GB"/>
              </w:rPr>
              <w:t xml:space="preserve">through continued </w:t>
            </w:r>
            <w:r>
              <w:rPr>
                <w:rFonts w:asciiTheme="minorHAnsi" w:hAnsiTheme="minorHAnsi" w:cstheme="minorHAnsi"/>
                <w:sz w:val="24"/>
                <w:szCs w:val="24"/>
                <w:lang w:val="en-GB"/>
              </w:rPr>
              <w:t>support to</w:t>
            </w:r>
            <w:r w:rsidR="000A7D05">
              <w:rPr>
                <w:rFonts w:asciiTheme="minorHAnsi" w:hAnsiTheme="minorHAnsi" w:cstheme="minorHAnsi"/>
                <w:sz w:val="24"/>
                <w:szCs w:val="24"/>
                <w:lang w:val="en-GB"/>
              </w:rPr>
              <w:t xml:space="preserve"> </w:t>
            </w:r>
            <w:r w:rsidR="00E634FA">
              <w:rPr>
                <w:rFonts w:asciiTheme="minorHAnsi" w:hAnsiTheme="minorHAnsi" w:cstheme="minorHAnsi"/>
                <w:sz w:val="24"/>
                <w:szCs w:val="24"/>
                <w:lang w:val="en-GB"/>
              </w:rPr>
              <w:t xml:space="preserve">the </w:t>
            </w:r>
            <w:r w:rsidR="000A7D05">
              <w:rPr>
                <w:rFonts w:asciiTheme="minorHAnsi" w:hAnsiTheme="minorHAnsi" w:cstheme="minorHAnsi"/>
                <w:sz w:val="24"/>
                <w:szCs w:val="24"/>
                <w:lang w:val="en-GB"/>
              </w:rPr>
              <w:t xml:space="preserve">OTA to develop and implement </w:t>
            </w:r>
            <w:r>
              <w:rPr>
                <w:rFonts w:asciiTheme="minorHAnsi" w:hAnsiTheme="minorHAnsi" w:cstheme="minorHAnsi"/>
                <w:sz w:val="24"/>
                <w:szCs w:val="24"/>
                <w:lang w:val="en-GB"/>
              </w:rPr>
              <w:t xml:space="preserve">its </w:t>
            </w:r>
            <w:r w:rsidR="000A7D05">
              <w:rPr>
                <w:rFonts w:asciiTheme="minorHAnsi" w:hAnsiTheme="minorHAnsi" w:cstheme="minorHAnsi"/>
                <w:sz w:val="24"/>
                <w:szCs w:val="24"/>
                <w:lang w:val="en-GB"/>
              </w:rPr>
              <w:t xml:space="preserve">data governance framework. </w:t>
            </w:r>
          </w:p>
        </w:tc>
      </w:tr>
      <w:tr w:rsidR="000A7D05" w:rsidRPr="00B60A37" w14:paraId="54BF92EF" w14:textId="77777777" w:rsidTr="00AE3ED1">
        <w:tc>
          <w:tcPr>
            <w:tcW w:w="2268" w:type="dxa"/>
          </w:tcPr>
          <w:p w14:paraId="633F12CB" w14:textId="77777777" w:rsidR="000A7D05" w:rsidRPr="002A4039" w:rsidRDefault="000A7D05" w:rsidP="00AE3ED1">
            <w:pPr>
              <w:spacing w:after="120"/>
              <w:ind w:right="-321"/>
              <w:rPr>
                <w:rFonts w:asciiTheme="minorHAnsi" w:hAnsiTheme="minorHAnsi" w:cstheme="minorHAnsi"/>
                <w:b/>
                <w:sz w:val="24"/>
                <w:szCs w:val="24"/>
                <w:lang w:val="en-GB"/>
              </w:rPr>
            </w:pPr>
            <w:r w:rsidRPr="002A4039">
              <w:rPr>
                <w:rFonts w:asciiTheme="minorHAnsi" w:hAnsiTheme="minorHAnsi" w:cstheme="minorHAnsi"/>
                <w:b/>
                <w:sz w:val="24"/>
                <w:szCs w:val="24"/>
                <w:lang w:val="en-GB"/>
              </w:rPr>
              <w:t>Recommendation 4</w:t>
            </w:r>
            <w:r w:rsidR="00AA0384">
              <w:rPr>
                <w:rFonts w:asciiTheme="minorHAnsi" w:hAnsiTheme="minorHAnsi" w:cstheme="minorHAnsi"/>
                <w:b/>
                <w:sz w:val="24"/>
                <w:szCs w:val="24"/>
                <w:lang w:val="en-GB"/>
              </w:rPr>
              <w:t>8</w:t>
            </w:r>
          </w:p>
        </w:tc>
        <w:tc>
          <w:tcPr>
            <w:tcW w:w="7479" w:type="dxa"/>
          </w:tcPr>
          <w:p w14:paraId="05C0E937" w14:textId="77777777" w:rsidR="000A7D05" w:rsidRPr="002A4039" w:rsidRDefault="000A7D05" w:rsidP="00AE3ED1">
            <w:pPr>
              <w:spacing w:after="120"/>
              <w:ind w:right="-142"/>
              <w:rPr>
                <w:rFonts w:asciiTheme="minorHAnsi" w:hAnsiTheme="minorHAnsi" w:cstheme="minorHAnsi"/>
                <w:sz w:val="24"/>
                <w:szCs w:val="24"/>
                <w:lang w:val="en-GB"/>
              </w:rPr>
            </w:pPr>
            <w:r w:rsidRPr="002A4039">
              <w:rPr>
                <w:rFonts w:asciiTheme="minorHAnsi" w:hAnsiTheme="minorHAnsi" w:cstheme="minorHAnsi"/>
                <w:sz w:val="24"/>
                <w:szCs w:val="24"/>
                <w:lang w:val="en-GB"/>
              </w:rPr>
              <w:t xml:space="preserve">National patient outcome registries for heart and lung transplantation </w:t>
            </w:r>
            <w:r>
              <w:rPr>
                <w:rFonts w:asciiTheme="minorHAnsi" w:hAnsiTheme="minorHAnsi" w:cstheme="minorHAnsi"/>
                <w:sz w:val="24"/>
                <w:szCs w:val="24"/>
                <w:lang w:val="en-GB"/>
              </w:rPr>
              <w:t>should</w:t>
            </w:r>
            <w:r w:rsidRPr="002A4039">
              <w:rPr>
                <w:rFonts w:asciiTheme="minorHAnsi" w:hAnsiTheme="minorHAnsi" w:cstheme="minorHAnsi"/>
                <w:sz w:val="24"/>
                <w:szCs w:val="24"/>
                <w:lang w:val="en-GB"/>
              </w:rPr>
              <w:t xml:space="preserve"> be formally</w:t>
            </w:r>
            <w:r>
              <w:rPr>
                <w:rFonts w:asciiTheme="minorHAnsi" w:hAnsiTheme="minorHAnsi" w:cstheme="minorHAnsi"/>
                <w:sz w:val="24"/>
                <w:szCs w:val="24"/>
                <w:lang w:val="en-GB"/>
              </w:rPr>
              <w:t xml:space="preserve"> and comprehensively</w:t>
            </w:r>
            <w:r w:rsidRPr="002A4039">
              <w:rPr>
                <w:rFonts w:asciiTheme="minorHAnsi" w:hAnsiTheme="minorHAnsi" w:cstheme="minorHAnsi"/>
                <w:sz w:val="24"/>
                <w:szCs w:val="24"/>
                <w:lang w:val="en-GB"/>
              </w:rPr>
              <w:t xml:space="preserve"> supported </w:t>
            </w:r>
            <w:r w:rsidR="004E37B3">
              <w:rPr>
                <w:rFonts w:asciiTheme="minorHAnsi" w:hAnsiTheme="minorHAnsi" w:cstheme="minorHAnsi"/>
                <w:sz w:val="24"/>
                <w:szCs w:val="24"/>
                <w:lang w:val="en-GB"/>
              </w:rPr>
              <w:t xml:space="preserve">by the OTA </w:t>
            </w:r>
            <w:r w:rsidRPr="002A4039">
              <w:rPr>
                <w:rFonts w:asciiTheme="minorHAnsi" w:hAnsiTheme="minorHAnsi" w:cstheme="minorHAnsi"/>
                <w:sz w:val="24"/>
                <w:szCs w:val="24"/>
                <w:lang w:val="en-GB"/>
              </w:rPr>
              <w:t>and funded</w:t>
            </w:r>
            <w:r>
              <w:rPr>
                <w:rFonts w:asciiTheme="minorHAnsi" w:hAnsiTheme="minorHAnsi" w:cstheme="minorHAnsi"/>
                <w:sz w:val="24"/>
                <w:szCs w:val="24"/>
                <w:lang w:val="en-GB"/>
              </w:rPr>
              <w:t xml:space="preserve"> to reflect their purpose</w:t>
            </w:r>
            <w:r w:rsidRPr="002A4039">
              <w:rPr>
                <w:rFonts w:asciiTheme="minorHAnsi" w:hAnsiTheme="minorHAnsi" w:cstheme="minorHAnsi"/>
                <w:sz w:val="24"/>
                <w:szCs w:val="24"/>
                <w:lang w:val="en-GB"/>
              </w:rPr>
              <w:t>.</w:t>
            </w:r>
          </w:p>
        </w:tc>
      </w:tr>
      <w:tr w:rsidR="000A7D05" w:rsidRPr="00B60A37" w14:paraId="0EE2DA5C" w14:textId="77777777" w:rsidTr="00AE3ED1">
        <w:tc>
          <w:tcPr>
            <w:tcW w:w="2268" w:type="dxa"/>
          </w:tcPr>
          <w:p w14:paraId="5474BE41" w14:textId="77777777" w:rsidR="000A7D05" w:rsidRPr="002A4039" w:rsidRDefault="000A7D05" w:rsidP="00AE3ED1">
            <w:pPr>
              <w:spacing w:after="120"/>
              <w:ind w:right="-321"/>
              <w:rPr>
                <w:rFonts w:asciiTheme="minorHAnsi" w:hAnsiTheme="minorHAnsi" w:cstheme="minorHAnsi"/>
                <w:b/>
                <w:sz w:val="24"/>
                <w:szCs w:val="24"/>
                <w:lang w:val="en-GB"/>
              </w:rPr>
            </w:pPr>
            <w:r>
              <w:rPr>
                <w:rFonts w:asciiTheme="minorHAnsi" w:hAnsiTheme="minorHAnsi" w:cstheme="minorHAnsi"/>
                <w:b/>
                <w:sz w:val="24"/>
                <w:szCs w:val="24"/>
                <w:lang w:val="en-GB"/>
              </w:rPr>
              <w:t xml:space="preserve">Recommendation </w:t>
            </w:r>
            <w:r w:rsidR="00AA0384">
              <w:rPr>
                <w:rFonts w:asciiTheme="minorHAnsi" w:hAnsiTheme="minorHAnsi" w:cstheme="minorHAnsi"/>
                <w:b/>
                <w:sz w:val="24"/>
                <w:szCs w:val="24"/>
                <w:lang w:val="en-GB"/>
              </w:rPr>
              <w:t>49</w:t>
            </w:r>
          </w:p>
        </w:tc>
        <w:tc>
          <w:tcPr>
            <w:tcW w:w="7479" w:type="dxa"/>
          </w:tcPr>
          <w:p w14:paraId="1DB39EE1" w14:textId="77777777" w:rsidR="000A7D05" w:rsidRPr="002A4039" w:rsidRDefault="000A7D05" w:rsidP="00AE3ED1">
            <w:pPr>
              <w:spacing w:after="120"/>
              <w:ind w:right="-142"/>
              <w:rPr>
                <w:rFonts w:asciiTheme="minorHAnsi" w:hAnsiTheme="minorHAnsi" w:cstheme="minorHAnsi"/>
                <w:sz w:val="24"/>
                <w:szCs w:val="24"/>
                <w:lang w:val="en-GB"/>
              </w:rPr>
            </w:pPr>
            <w:r>
              <w:rPr>
                <w:rFonts w:asciiTheme="minorHAnsi" w:hAnsiTheme="minorHAnsi" w:cstheme="minorHAnsi"/>
                <w:sz w:val="24"/>
                <w:szCs w:val="24"/>
                <w:lang w:val="en-GB"/>
              </w:rPr>
              <w:t xml:space="preserve">Consideration should be given to the consolidation of all </w:t>
            </w:r>
            <w:r w:rsidR="00165362">
              <w:rPr>
                <w:rFonts w:asciiTheme="minorHAnsi" w:hAnsiTheme="minorHAnsi" w:cstheme="minorHAnsi"/>
                <w:sz w:val="24"/>
                <w:szCs w:val="24"/>
                <w:lang w:val="en-GB"/>
              </w:rPr>
              <w:t xml:space="preserve">transplantation </w:t>
            </w:r>
            <w:r>
              <w:rPr>
                <w:rFonts w:asciiTheme="minorHAnsi" w:hAnsiTheme="minorHAnsi" w:cstheme="minorHAnsi"/>
                <w:sz w:val="24"/>
                <w:szCs w:val="24"/>
                <w:lang w:val="en-GB"/>
              </w:rPr>
              <w:t xml:space="preserve">registries into one central </w:t>
            </w:r>
            <w:r w:rsidR="00D631D4">
              <w:rPr>
                <w:rFonts w:asciiTheme="minorHAnsi" w:hAnsiTheme="minorHAnsi" w:cstheme="minorHAnsi"/>
                <w:sz w:val="24"/>
                <w:szCs w:val="24"/>
                <w:lang w:val="en-GB"/>
              </w:rPr>
              <w:t>system</w:t>
            </w:r>
            <w:r>
              <w:rPr>
                <w:rFonts w:asciiTheme="minorHAnsi" w:hAnsiTheme="minorHAnsi" w:cstheme="minorHAnsi"/>
                <w:sz w:val="24"/>
                <w:szCs w:val="24"/>
                <w:lang w:val="en-GB"/>
              </w:rPr>
              <w:t>.</w:t>
            </w:r>
          </w:p>
        </w:tc>
      </w:tr>
      <w:tr w:rsidR="000A7D05" w:rsidRPr="00B60A37" w14:paraId="6AC18269" w14:textId="77777777" w:rsidTr="00AE3ED1">
        <w:tc>
          <w:tcPr>
            <w:tcW w:w="2268" w:type="dxa"/>
          </w:tcPr>
          <w:p w14:paraId="2FDFACE0" w14:textId="77777777" w:rsidR="000A7D05" w:rsidRPr="002A4039" w:rsidRDefault="000A7D05" w:rsidP="00AE3ED1">
            <w:pPr>
              <w:spacing w:after="120"/>
              <w:ind w:right="-321"/>
              <w:rPr>
                <w:rFonts w:asciiTheme="minorHAnsi" w:hAnsiTheme="minorHAnsi" w:cstheme="minorHAnsi"/>
                <w:b/>
                <w:sz w:val="24"/>
                <w:szCs w:val="24"/>
                <w:lang w:val="en-GB"/>
              </w:rPr>
            </w:pPr>
            <w:r w:rsidRPr="002A4039">
              <w:rPr>
                <w:rFonts w:asciiTheme="minorHAnsi" w:hAnsiTheme="minorHAnsi" w:cstheme="minorHAnsi"/>
                <w:b/>
                <w:sz w:val="24"/>
                <w:szCs w:val="24"/>
                <w:lang w:val="en-GB"/>
              </w:rPr>
              <w:t xml:space="preserve">Recommendation </w:t>
            </w:r>
            <w:r w:rsidR="00522D0C">
              <w:rPr>
                <w:rFonts w:asciiTheme="minorHAnsi" w:hAnsiTheme="minorHAnsi" w:cstheme="minorHAnsi"/>
                <w:b/>
                <w:sz w:val="24"/>
                <w:szCs w:val="24"/>
                <w:lang w:val="en-GB"/>
              </w:rPr>
              <w:t>5</w:t>
            </w:r>
            <w:r w:rsidR="00AA0384">
              <w:rPr>
                <w:rFonts w:asciiTheme="minorHAnsi" w:hAnsiTheme="minorHAnsi" w:cstheme="minorHAnsi"/>
                <w:b/>
                <w:sz w:val="24"/>
                <w:szCs w:val="24"/>
                <w:lang w:val="en-GB"/>
              </w:rPr>
              <w:t>0</w:t>
            </w:r>
            <w:r w:rsidRPr="002A4039">
              <w:rPr>
                <w:rFonts w:asciiTheme="minorHAnsi" w:hAnsiTheme="minorHAnsi" w:cstheme="minorHAnsi"/>
                <w:b/>
                <w:sz w:val="24"/>
                <w:szCs w:val="24"/>
                <w:lang w:val="en-GB"/>
              </w:rPr>
              <w:t xml:space="preserve"> </w:t>
            </w:r>
          </w:p>
        </w:tc>
        <w:tc>
          <w:tcPr>
            <w:tcW w:w="7479" w:type="dxa"/>
          </w:tcPr>
          <w:p w14:paraId="32F7E2B8" w14:textId="77777777" w:rsidR="000A7D05" w:rsidRPr="002A4039" w:rsidRDefault="000A7D05" w:rsidP="00AE3ED1">
            <w:pPr>
              <w:spacing w:after="120"/>
              <w:ind w:right="-142"/>
              <w:rPr>
                <w:rFonts w:asciiTheme="minorHAnsi" w:hAnsiTheme="minorHAnsi" w:cstheme="minorHAnsi"/>
                <w:sz w:val="24"/>
                <w:szCs w:val="24"/>
                <w:lang w:val="en-GB"/>
              </w:rPr>
            </w:pPr>
            <w:r>
              <w:rPr>
                <w:rFonts w:asciiTheme="minorHAnsi" w:hAnsiTheme="minorHAnsi" w:cstheme="minorHAnsi"/>
                <w:sz w:val="24"/>
                <w:szCs w:val="24"/>
                <w:lang w:val="en-GB"/>
              </w:rPr>
              <w:t>C</w:t>
            </w:r>
            <w:r w:rsidRPr="002A4039">
              <w:rPr>
                <w:rFonts w:asciiTheme="minorHAnsi" w:hAnsiTheme="minorHAnsi" w:cstheme="minorHAnsi"/>
                <w:sz w:val="24"/>
                <w:szCs w:val="24"/>
                <w:lang w:val="en-GB"/>
              </w:rPr>
              <w:t>onsider</w:t>
            </w:r>
            <w:r>
              <w:rPr>
                <w:rFonts w:asciiTheme="minorHAnsi" w:hAnsiTheme="minorHAnsi" w:cstheme="minorHAnsi"/>
                <w:sz w:val="24"/>
                <w:szCs w:val="24"/>
                <w:lang w:val="en-GB"/>
              </w:rPr>
              <w:t xml:space="preserve">ation be given </w:t>
            </w:r>
            <w:r w:rsidR="004E37B3">
              <w:rPr>
                <w:rFonts w:asciiTheme="minorHAnsi" w:hAnsiTheme="minorHAnsi" w:cstheme="minorHAnsi"/>
                <w:sz w:val="24"/>
                <w:szCs w:val="24"/>
                <w:lang w:val="en-GB"/>
              </w:rPr>
              <w:t xml:space="preserve">by the states and territories </w:t>
            </w:r>
            <w:r>
              <w:rPr>
                <w:rFonts w:asciiTheme="minorHAnsi" w:hAnsiTheme="minorHAnsi" w:cstheme="minorHAnsi"/>
                <w:sz w:val="24"/>
                <w:szCs w:val="24"/>
                <w:lang w:val="en-GB"/>
              </w:rPr>
              <w:t>to</w:t>
            </w:r>
            <w:r w:rsidRPr="002A4039">
              <w:rPr>
                <w:rFonts w:asciiTheme="minorHAnsi" w:hAnsiTheme="minorHAnsi" w:cstheme="minorHAnsi"/>
                <w:sz w:val="24"/>
                <w:szCs w:val="24"/>
                <w:lang w:val="en-GB"/>
              </w:rPr>
              <w:t xml:space="preserve"> the automation of data submission to the organ transplant outcome registries via </w:t>
            </w:r>
            <w:r>
              <w:rPr>
                <w:rFonts w:asciiTheme="minorHAnsi" w:hAnsiTheme="minorHAnsi" w:cstheme="minorHAnsi"/>
                <w:sz w:val="24"/>
                <w:szCs w:val="24"/>
                <w:lang w:val="en-GB"/>
              </w:rPr>
              <w:t>the</w:t>
            </w:r>
            <w:r w:rsidRPr="002A4039">
              <w:rPr>
                <w:rFonts w:asciiTheme="minorHAnsi" w:hAnsiTheme="minorHAnsi" w:cstheme="minorHAnsi"/>
                <w:sz w:val="24"/>
                <w:szCs w:val="24"/>
                <w:lang w:val="en-GB"/>
              </w:rPr>
              <w:t xml:space="preserve"> electronic medical records</w:t>
            </w:r>
            <w:r>
              <w:rPr>
                <w:rFonts w:asciiTheme="minorHAnsi" w:hAnsiTheme="minorHAnsi" w:cstheme="minorHAnsi"/>
                <w:sz w:val="24"/>
                <w:szCs w:val="24"/>
                <w:lang w:val="en-GB"/>
              </w:rPr>
              <w:t xml:space="preserve"> operating in most transplantation units.</w:t>
            </w:r>
          </w:p>
        </w:tc>
      </w:tr>
      <w:tr w:rsidR="000A7D05" w:rsidRPr="00B60A37" w14:paraId="728BF601" w14:textId="77777777" w:rsidTr="00AE3ED1">
        <w:tc>
          <w:tcPr>
            <w:tcW w:w="2268" w:type="dxa"/>
          </w:tcPr>
          <w:p w14:paraId="1CB4E09F" w14:textId="77777777" w:rsidR="000A7D05" w:rsidRPr="002A4039" w:rsidRDefault="000A7D05" w:rsidP="00AE3ED1">
            <w:pPr>
              <w:spacing w:after="120"/>
              <w:ind w:right="-321"/>
              <w:rPr>
                <w:rFonts w:asciiTheme="minorHAnsi" w:hAnsiTheme="minorHAnsi" w:cstheme="minorHAnsi"/>
                <w:b/>
                <w:sz w:val="24"/>
                <w:szCs w:val="24"/>
                <w:lang w:val="en-GB"/>
              </w:rPr>
            </w:pPr>
            <w:r w:rsidRPr="002A4039">
              <w:rPr>
                <w:rFonts w:asciiTheme="minorHAnsi" w:hAnsiTheme="minorHAnsi" w:cstheme="minorHAnsi"/>
                <w:b/>
                <w:sz w:val="24"/>
                <w:szCs w:val="24"/>
                <w:lang w:val="en-GB"/>
              </w:rPr>
              <w:t xml:space="preserve">Recommendation </w:t>
            </w:r>
            <w:r w:rsidR="00522D0C">
              <w:rPr>
                <w:rFonts w:asciiTheme="minorHAnsi" w:hAnsiTheme="minorHAnsi" w:cstheme="minorHAnsi"/>
                <w:b/>
                <w:sz w:val="24"/>
                <w:szCs w:val="24"/>
                <w:lang w:val="en-GB"/>
              </w:rPr>
              <w:t>5</w:t>
            </w:r>
            <w:r w:rsidR="00AA0384">
              <w:rPr>
                <w:rFonts w:asciiTheme="minorHAnsi" w:hAnsiTheme="minorHAnsi" w:cstheme="minorHAnsi"/>
                <w:b/>
                <w:sz w:val="24"/>
                <w:szCs w:val="24"/>
                <w:lang w:val="en-GB"/>
              </w:rPr>
              <w:t>1</w:t>
            </w:r>
            <w:r w:rsidRPr="002A4039">
              <w:rPr>
                <w:rFonts w:asciiTheme="minorHAnsi" w:hAnsiTheme="minorHAnsi" w:cstheme="minorHAnsi"/>
                <w:b/>
                <w:sz w:val="24"/>
                <w:szCs w:val="24"/>
                <w:lang w:val="en-GB"/>
              </w:rPr>
              <w:t xml:space="preserve"> </w:t>
            </w:r>
          </w:p>
        </w:tc>
        <w:tc>
          <w:tcPr>
            <w:tcW w:w="7479" w:type="dxa"/>
          </w:tcPr>
          <w:p w14:paraId="7C62BA24" w14:textId="24894044" w:rsidR="008C2B47" w:rsidRPr="002A4039" w:rsidRDefault="000A7D05" w:rsidP="00AE3ED1">
            <w:pPr>
              <w:spacing w:after="120"/>
              <w:ind w:right="-142"/>
              <w:rPr>
                <w:rFonts w:asciiTheme="minorHAnsi" w:hAnsiTheme="minorHAnsi" w:cstheme="minorHAnsi"/>
                <w:sz w:val="24"/>
                <w:szCs w:val="24"/>
                <w:lang w:val="en-GB"/>
              </w:rPr>
            </w:pPr>
            <w:r w:rsidRPr="002A4039">
              <w:rPr>
                <w:rFonts w:asciiTheme="minorHAnsi" w:hAnsiTheme="minorHAnsi" w:cstheme="minorHAnsi"/>
                <w:sz w:val="24"/>
                <w:szCs w:val="24"/>
                <w:lang w:val="en-GB"/>
              </w:rPr>
              <w:t>Measures of access to the kidney transplantation programs</w:t>
            </w:r>
            <w:r>
              <w:rPr>
                <w:rFonts w:asciiTheme="minorHAnsi" w:hAnsiTheme="minorHAnsi" w:cstheme="minorHAnsi"/>
                <w:sz w:val="24"/>
                <w:szCs w:val="24"/>
                <w:lang w:val="en-GB"/>
              </w:rPr>
              <w:t xml:space="preserve"> and data relating to the profile and numbers of patients on the kidney transplantation waiting list as well as outcomes from the use of </w:t>
            </w:r>
            <w:r w:rsidR="003E2D97">
              <w:rPr>
                <w:rFonts w:asciiTheme="minorHAnsi" w:hAnsiTheme="minorHAnsi" w:cstheme="minorHAnsi"/>
                <w:sz w:val="24"/>
                <w:szCs w:val="24"/>
                <w:lang w:val="en-GB"/>
              </w:rPr>
              <w:t>organs from extended criteria organ</w:t>
            </w:r>
            <w:r>
              <w:rPr>
                <w:rFonts w:asciiTheme="minorHAnsi" w:hAnsiTheme="minorHAnsi" w:cstheme="minorHAnsi"/>
                <w:sz w:val="24"/>
                <w:szCs w:val="24"/>
                <w:lang w:val="en-GB"/>
              </w:rPr>
              <w:t xml:space="preserve"> </w:t>
            </w:r>
            <w:r w:rsidR="003E2D97">
              <w:rPr>
                <w:rFonts w:asciiTheme="minorHAnsi" w:hAnsiTheme="minorHAnsi" w:cstheme="minorHAnsi"/>
                <w:sz w:val="24"/>
                <w:szCs w:val="24"/>
                <w:lang w:val="en-GB"/>
              </w:rPr>
              <w:t>donors</w:t>
            </w:r>
            <w:r w:rsidR="004E37B3">
              <w:rPr>
                <w:rFonts w:asciiTheme="minorHAnsi" w:hAnsiTheme="minorHAnsi" w:cstheme="minorHAnsi"/>
                <w:sz w:val="24"/>
                <w:szCs w:val="24"/>
                <w:lang w:val="en-GB"/>
              </w:rPr>
              <w:t xml:space="preserve"> should be</w:t>
            </w:r>
            <w:r w:rsidRPr="002A4039">
              <w:rPr>
                <w:rFonts w:asciiTheme="minorHAnsi" w:hAnsiTheme="minorHAnsi" w:cstheme="minorHAnsi"/>
                <w:sz w:val="24"/>
                <w:szCs w:val="24"/>
                <w:lang w:val="en-GB"/>
              </w:rPr>
              <w:t xml:space="preserve"> </w:t>
            </w:r>
            <w:r w:rsidR="00407DB0">
              <w:rPr>
                <w:rFonts w:asciiTheme="minorHAnsi" w:hAnsiTheme="minorHAnsi" w:cstheme="minorHAnsi"/>
                <w:sz w:val="24"/>
                <w:szCs w:val="24"/>
                <w:lang w:val="en-GB"/>
              </w:rPr>
              <w:t>considered by</w:t>
            </w:r>
            <w:r w:rsidR="00AF2399">
              <w:rPr>
                <w:rFonts w:asciiTheme="minorHAnsi" w:hAnsiTheme="minorHAnsi" w:cstheme="minorHAnsi"/>
                <w:sz w:val="24"/>
                <w:szCs w:val="24"/>
                <w:lang w:val="en-GB"/>
              </w:rPr>
              <w:t xml:space="preserve"> the</w:t>
            </w:r>
            <w:r w:rsidR="00407DB0">
              <w:rPr>
                <w:rFonts w:asciiTheme="minorHAnsi" w:hAnsiTheme="minorHAnsi" w:cstheme="minorHAnsi"/>
                <w:sz w:val="24"/>
                <w:szCs w:val="24"/>
                <w:lang w:val="en-GB"/>
              </w:rPr>
              <w:t xml:space="preserve"> ANZDATA for inclusion in the </w:t>
            </w:r>
            <w:r>
              <w:rPr>
                <w:rFonts w:asciiTheme="minorHAnsi" w:hAnsiTheme="minorHAnsi" w:cstheme="minorHAnsi"/>
                <w:sz w:val="24"/>
                <w:szCs w:val="24"/>
                <w:lang w:val="en-GB"/>
              </w:rPr>
              <w:t xml:space="preserve">data set </w:t>
            </w:r>
            <w:r w:rsidR="00407DB0">
              <w:rPr>
                <w:rFonts w:asciiTheme="minorHAnsi" w:hAnsiTheme="minorHAnsi" w:cstheme="minorHAnsi"/>
                <w:sz w:val="24"/>
                <w:szCs w:val="24"/>
                <w:lang w:val="en-GB"/>
              </w:rPr>
              <w:t xml:space="preserve">that is </w:t>
            </w:r>
            <w:r>
              <w:rPr>
                <w:rFonts w:asciiTheme="minorHAnsi" w:hAnsiTheme="minorHAnsi" w:cstheme="minorHAnsi"/>
                <w:sz w:val="24"/>
                <w:szCs w:val="24"/>
                <w:lang w:val="en-GB"/>
              </w:rPr>
              <w:t>collected and reported</w:t>
            </w:r>
            <w:r w:rsidR="00407DB0">
              <w:rPr>
                <w:rFonts w:asciiTheme="minorHAnsi" w:hAnsiTheme="minorHAnsi" w:cstheme="minorHAnsi"/>
                <w:sz w:val="24"/>
                <w:szCs w:val="24"/>
                <w:lang w:val="en-GB"/>
              </w:rPr>
              <w:t>.</w:t>
            </w:r>
          </w:p>
        </w:tc>
      </w:tr>
    </w:tbl>
    <w:p w14:paraId="7E69792C" w14:textId="77777777" w:rsidR="000A7D05" w:rsidRDefault="000A7D05" w:rsidP="000A7D05">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815" w:name="_Ref530045332"/>
      <w:bookmarkStart w:id="816" w:name="_Toc532301703"/>
      <w:r>
        <w:rPr>
          <w:rFonts w:asciiTheme="minorHAnsi" w:hAnsiTheme="minorHAnsi" w:cstheme="minorHAnsi"/>
          <w:iCs/>
          <w:color w:val="7F7F7F" w:themeColor="text1" w:themeTint="80"/>
          <w:sz w:val="36"/>
          <w:szCs w:val="30"/>
        </w:rPr>
        <w:t>Supporting element 2: Financing arrangements for the system</w:t>
      </w:r>
      <w:bookmarkEnd w:id="815"/>
      <w:bookmarkEnd w:id="816"/>
      <w:r w:rsidRPr="009F4391">
        <w:rPr>
          <w:rFonts w:asciiTheme="minorHAnsi" w:hAnsiTheme="minorHAnsi" w:cstheme="minorHAnsi"/>
          <w:iCs/>
          <w:color w:val="7F7F7F" w:themeColor="text1" w:themeTint="80"/>
          <w:sz w:val="36"/>
          <w:szCs w:val="30"/>
        </w:rPr>
        <w:t xml:space="preserve"> </w:t>
      </w:r>
    </w:p>
    <w:p w14:paraId="2F5A9415" w14:textId="77777777" w:rsidR="000A7D05" w:rsidRPr="00EB728C" w:rsidRDefault="000A7D05" w:rsidP="000A7D05">
      <w:pPr>
        <w:spacing w:after="120"/>
        <w:rPr>
          <w:rFonts w:asciiTheme="minorHAnsi" w:hAnsiTheme="minorHAnsi" w:cstheme="minorHAnsi"/>
          <w:sz w:val="24"/>
          <w:szCs w:val="22"/>
          <w:lang w:val="en-GB"/>
        </w:rPr>
      </w:pPr>
      <w:r w:rsidRPr="00EB728C">
        <w:rPr>
          <w:rFonts w:asciiTheme="minorHAnsi" w:hAnsiTheme="minorHAnsi" w:cstheme="minorHAnsi"/>
          <w:sz w:val="24"/>
          <w:szCs w:val="22"/>
          <w:lang w:val="en-GB"/>
        </w:rPr>
        <w:t>For Supporting Element 2, the findings of the Review relate to:</w:t>
      </w:r>
    </w:p>
    <w:p w14:paraId="40EFB049" w14:textId="77777777" w:rsidR="000A7D05" w:rsidRPr="00EB728C" w:rsidRDefault="000A7D05" w:rsidP="000A7D05">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EB728C">
        <w:rPr>
          <w:rFonts w:asciiTheme="minorHAnsi" w:hAnsiTheme="minorHAnsi" w:cstheme="minorHAnsi"/>
          <w:sz w:val="24"/>
          <w:szCs w:val="22"/>
          <w:lang w:val="en-GB"/>
        </w:rPr>
        <w:t>The inpatient phase of care (Section</w:t>
      </w:r>
      <w:r w:rsidR="00EB728C" w:rsidRPr="00EB728C">
        <w:rPr>
          <w:rFonts w:asciiTheme="minorHAnsi" w:hAnsiTheme="minorHAnsi" w:cstheme="minorHAnsi"/>
          <w:sz w:val="24"/>
          <w:szCs w:val="22"/>
          <w:lang w:val="en-GB"/>
        </w:rPr>
        <w:t xml:space="preserve"> </w:t>
      </w:r>
      <w:r w:rsidR="008C2B47">
        <w:rPr>
          <w:rFonts w:asciiTheme="minorHAnsi" w:hAnsiTheme="minorHAnsi" w:cstheme="minorHAnsi"/>
          <w:sz w:val="24"/>
          <w:szCs w:val="22"/>
          <w:lang w:val="en-GB"/>
        </w:rPr>
        <w:fldChar w:fldCharType="begin"/>
      </w:r>
      <w:r w:rsidR="008C2B47">
        <w:rPr>
          <w:rFonts w:asciiTheme="minorHAnsi" w:hAnsiTheme="minorHAnsi" w:cstheme="minorHAnsi"/>
          <w:sz w:val="24"/>
          <w:szCs w:val="22"/>
          <w:lang w:val="en-GB"/>
        </w:rPr>
        <w:instrText xml:space="preserve"> REF _Ref531798340 \r \h </w:instrText>
      </w:r>
      <w:r w:rsidR="008C2B47">
        <w:rPr>
          <w:rFonts w:asciiTheme="minorHAnsi" w:hAnsiTheme="minorHAnsi" w:cstheme="minorHAnsi"/>
          <w:sz w:val="24"/>
          <w:szCs w:val="22"/>
          <w:lang w:val="en-GB"/>
        </w:rPr>
      </w:r>
      <w:r w:rsidR="008C2B47">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7.2.1</w:t>
      </w:r>
      <w:r w:rsidR="008C2B47">
        <w:rPr>
          <w:rFonts w:asciiTheme="minorHAnsi" w:hAnsiTheme="minorHAnsi" w:cstheme="minorHAnsi"/>
          <w:sz w:val="24"/>
          <w:szCs w:val="22"/>
          <w:lang w:val="en-GB"/>
        </w:rPr>
        <w:fldChar w:fldCharType="end"/>
      </w:r>
      <w:r w:rsidRPr="00EB728C">
        <w:rPr>
          <w:rFonts w:asciiTheme="minorHAnsi" w:hAnsiTheme="minorHAnsi" w:cstheme="minorHAnsi"/>
          <w:sz w:val="24"/>
          <w:szCs w:val="22"/>
          <w:lang w:val="en-GB"/>
        </w:rPr>
        <w:t>)</w:t>
      </w:r>
    </w:p>
    <w:p w14:paraId="464AC55F" w14:textId="77777777" w:rsidR="000A7D05" w:rsidRPr="00EB728C" w:rsidRDefault="000A7D05" w:rsidP="00EB728C">
      <w:pPr>
        <w:widowControl/>
        <w:numPr>
          <w:ilvl w:val="0"/>
          <w:numId w:val="18"/>
        </w:numPr>
        <w:autoSpaceDE/>
        <w:autoSpaceDN/>
        <w:adjustRightInd/>
        <w:spacing w:after="120"/>
        <w:contextualSpacing/>
        <w:rPr>
          <w:rFonts w:asciiTheme="minorHAnsi" w:hAnsiTheme="minorHAnsi" w:cstheme="minorHAnsi"/>
          <w:sz w:val="24"/>
          <w:szCs w:val="22"/>
          <w:lang w:val="en-GB"/>
        </w:rPr>
      </w:pPr>
      <w:r w:rsidRPr="00EB728C">
        <w:rPr>
          <w:rFonts w:asciiTheme="minorHAnsi" w:hAnsiTheme="minorHAnsi" w:cstheme="minorHAnsi"/>
          <w:sz w:val="24"/>
          <w:szCs w:val="22"/>
          <w:lang w:val="en-GB"/>
        </w:rPr>
        <w:t xml:space="preserve">The outpatient assessment </w:t>
      </w:r>
      <w:r w:rsidR="00EB728C" w:rsidRPr="00EB728C">
        <w:rPr>
          <w:rFonts w:asciiTheme="minorHAnsi" w:hAnsiTheme="minorHAnsi" w:cstheme="minorHAnsi"/>
          <w:sz w:val="24"/>
          <w:szCs w:val="22"/>
          <w:lang w:val="en-GB"/>
        </w:rPr>
        <w:t xml:space="preserve">and outpatient </w:t>
      </w:r>
      <w:r w:rsidR="004310C6">
        <w:rPr>
          <w:rFonts w:asciiTheme="minorHAnsi" w:hAnsiTheme="minorHAnsi" w:cstheme="minorHAnsi"/>
          <w:sz w:val="24"/>
          <w:szCs w:val="22"/>
          <w:lang w:val="en-GB"/>
        </w:rPr>
        <w:t xml:space="preserve">post </w:t>
      </w:r>
      <w:r w:rsidR="004310C6" w:rsidRPr="00EB728C">
        <w:rPr>
          <w:rFonts w:asciiTheme="minorHAnsi" w:hAnsiTheme="minorHAnsi" w:cstheme="minorHAnsi"/>
          <w:sz w:val="24"/>
          <w:szCs w:val="22"/>
          <w:lang w:val="en-GB"/>
        </w:rPr>
        <w:t>operative</w:t>
      </w:r>
      <w:r w:rsidR="00EB728C" w:rsidRPr="00EB728C">
        <w:rPr>
          <w:rFonts w:asciiTheme="minorHAnsi" w:hAnsiTheme="minorHAnsi" w:cstheme="minorHAnsi"/>
          <w:sz w:val="24"/>
          <w:szCs w:val="22"/>
          <w:lang w:val="en-GB"/>
        </w:rPr>
        <w:t xml:space="preserve"> care </w:t>
      </w:r>
      <w:r w:rsidRPr="00EB728C">
        <w:rPr>
          <w:rFonts w:asciiTheme="minorHAnsi" w:hAnsiTheme="minorHAnsi" w:cstheme="minorHAnsi"/>
          <w:sz w:val="24"/>
          <w:szCs w:val="22"/>
          <w:lang w:val="en-GB"/>
        </w:rPr>
        <w:t>process (Section</w:t>
      </w:r>
      <w:r w:rsidR="00EB728C" w:rsidRPr="00EB728C">
        <w:rPr>
          <w:rFonts w:asciiTheme="minorHAnsi" w:hAnsiTheme="minorHAnsi" w:cstheme="minorHAnsi"/>
          <w:sz w:val="24"/>
          <w:szCs w:val="22"/>
          <w:lang w:val="en-GB"/>
        </w:rPr>
        <w:t xml:space="preserve"> </w:t>
      </w:r>
      <w:r w:rsidR="008C2B47">
        <w:rPr>
          <w:rFonts w:asciiTheme="minorHAnsi" w:hAnsiTheme="minorHAnsi" w:cstheme="minorHAnsi"/>
          <w:sz w:val="24"/>
          <w:szCs w:val="22"/>
          <w:lang w:val="en-GB"/>
        </w:rPr>
        <w:fldChar w:fldCharType="begin"/>
      </w:r>
      <w:r w:rsidR="008C2B47">
        <w:rPr>
          <w:rFonts w:asciiTheme="minorHAnsi" w:hAnsiTheme="minorHAnsi" w:cstheme="minorHAnsi"/>
          <w:sz w:val="24"/>
          <w:szCs w:val="22"/>
          <w:lang w:val="en-GB"/>
        </w:rPr>
        <w:instrText xml:space="preserve"> REF _Ref530475117 \r \h </w:instrText>
      </w:r>
      <w:r w:rsidR="008C2B47">
        <w:rPr>
          <w:rFonts w:asciiTheme="minorHAnsi" w:hAnsiTheme="minorHAnsi" w:cstheme="minorHAnsi"/>
          <w:sz w:val="24"/>
          <w:szCs w:val="22"/>
          <w:lang w:val="en-GB"/>
        </w:rPr>
      </w:r>
      <w:r w:rsidR="008C2B47">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7.2.2</w:t>
      </w:r>
      <w:r w:rsidR="008C2B47">
        <w:rPr>
          <w:rFonts w:asciiTheme="minorHAnsi" w:hAnsiTheme="minorHAnsi" w:cstheme="minorHAnsi"/>
          <w:sz w:val="24"/>
          <w:szCs w:val="22"/>
          <w:lang w:val="en-GB"/>
        </w:rPr>
        <w:fldChar w:fldCharType="end"/>
      </w:r>
      <w:r w:rsidRPr="00EB728C">
        <w:rPr>
          <w:rFonts w:asciiTheme="minorHAnsi" w:hAnsiTheme="minorHAnsi" w:cstheme="minorHAnsi"/>
          <w:sz w:val="24"/>
          <w:szCs w:val="22"/>
          <w:lang w:val="en-GB"/>
        </w:rPr>
        <w:t>)</w:t>
      </w:r>
    </w:p>
    <w:p w14:paraId="3D82BA15" w14:textId="77777777" w:rsidR="000A7D05" w:rsidRPr="00EB728C" w:rsidRDefault="000A7D05" w:rsidP="000A7D05">
      <w:pPr>
        <w:widowControl/>
        <w:numPr>
          <w:ilvl w:val="0"/>
          <w:numId w:val="18"/>
        </w:numPr>
        <w:autoSpaceDE/>
        <w:autoSpaceDN/>
        <w:adjustRightInd/>
        <w:spacing w:after="120"/>
        <w:ind w:left="357" w:hanging="357"/>
        <w:contextualSpacing/>
        <w:rPr>
          <w:rFonts w:asciiTheme="minorHAnsi" w:hAnsiTheme="minorHAnsi" w:cstheme="minorHAnsi"/>
          <w:sz w:val="24"/>
          <w:szCs w:val="22"/>
          <w:lang w:val="en-GB"/>
        </w:rPr>
      </w:pPr>
      <w:r w:rsidRPr="00EB728C">
        <w:rPr>
          <w:rFonts w:asciiTheme="minorHAnsi" w:hAnsiTheme="minorHAnsi" w:cstheme="minorHAnsi"/>
          <w:sz w:val="24"/>
          <w:szCs w:val="22"/>
          <w:lang w:val="en-GB"/>
        </w:rPr>
        <w:t xml:space="preserve">Funding of new advances in the organ donation, retrieval and transplantation system (Section </w:t>
      </w:r>
      <w:r w:rsidR="008C2B47">
        <w:rPr>
          <w:rFonts w:asciiTheme="minorHAnsi" w:hAnsiTheme="minorHAnsi" w:cstheme="minorHAnsi"/>
          <w:sz w:val="24"/>
          <w:szCs w:val="22"/>
          <w:lang w:val="en-GB"/>
        </w:rPr>
        <w:fldChar w:fldCharType="begin"/>
      </w:r>
      <w:r w:rsidR="008C2B47">
        <w:rPr>
          <w:rFonts w:asciiTheme="minorHAnsi" w:hAnsiTheme="minorHAnsi" w:cstheme="minorHAnsi"/>
          <w:sz w:val="24"/>
          <w:szCs w:val="22"/>
          <w:lang w:val="en-GB"/>
        </w:rPr>
        <w:instrText xml:space="preserve"> REF _Ref531796909 \r \h </w:instrText>
      </w:r>
      <w:r w:rsidR="008C2B47">
        <w:rPr>
          <w:rFonts w:asciiTheme="minorHAnsi" w:hAnsiTheme="minorHAnsi" w:cstheme="minorHAnsi"/>
          <w:sz w:val="24"/>
          <w:szCs w:val="22"/>
          <w:lang w:val="en-GB"/>
        </w:rPr>
      </w:r>
      <w:r w:rsidR="008C2B47">
        <w:rPr>
          <w:rFonts w:asciiTheme="minorHAnsi" w:hAnsiTheme="minorHAnsi" w:cstheme="minorHAnsi"/>
          <w:sz w:val="24"/>
          <w:szCs w:val="22"/>
          <w:lang w:val="en-GB"/>
        </w:rPr>
        <w:fldChar w:fldCharType="separate"/>
      </w:r>
      <w:r w:rsidR="00A04048">
        <w:rPr>
          <w:rFonts w:asciiTheme="minorHAnsi" w:hAnsiTheme="minorHAnsi" w:cstheme="minorHAnsi"/>
          <w:sz w:val="24"/>
          <w:szCs w:val="22"/>
          <w:lang w:val="en-GB"/>
        </w:rPr>
        <w:t>7.2.3</w:t>
      </w:r>
      <w:r w:rsidR="008C2B47">
        <w:rPr>
          <w:rFonts w:asciiTheme="minorHAnsi" w:hAnsiTheme="minorHAnsi" w:cstheme="minorHAnsi"/>
          <w:sz w:val="24"/>
          <w:szCs w:val="22"/>
          <w:lang w:val="en-GB"/>
        </w:rPr>
        <w:fldChar w:fldCharType="end"/>
      </w:r>
      <w:r w:rsidRPr="00EB728C">
        <w:rPr>
          <w:rFonts w:asciiTheme="minorHAnsi" w:hAnsiTheme="minorHAnsi" w:cstheme="minorHAnsi"/>
          <w:sz w:val="24"/>
          <w:szCs w:val="22"/>
          <w:lang w:val="en-GB"/>
        </w:rPr>
        <w:t>).</w:t>
      </w:r>
    </w:p>
    <w:p w14:paraId="5B299909" w14:textId="77777777" w:rsidR="000A7D05" w:rsidRPr="00266A77" w:rsidRDefault="000A7D05" w:rsidP="000A7D05">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817" w:name="_Ref531798340"/>
      <w:r w:rsidRPr="00266A77">
        <w:rPr>
          <w:rFonts w:asciiTheme="minorHAnsi" w:hAnsiTheme="minorHAnsi" w:cstheme="minorHAnsi"/>
          <w:b w:val="0"/>
          <w:color w:val="7F7F7F" w:themeColor="text1" w:themeTint="80"/>
          <w:sz w:val="30"/>
          <w:szCs w:val="30"/>
        </w:rPr>
        <w:t>The inpatient phase</w:t>
      </w:r>
      <w:r>
        <w:rPr>
          <w:rFonts w:asciiTheme="minorHAnsi" w:hAnsiTheme="minorHAnsi" w:cstheme="minorHAnsi"/>
          <w:b w:val="0"/>
          <w:color w:val="7F7F7F" w:themeColor="text1" w:themeTint="80"/>
          <w:sz w:val="30"/>
          <w:szCs w:val="30"/>
        </w:rPr>
        <w:t>s</w:t>
      </w:r>
      <w:r w:rsidRPr="00266A77">
        <w:rPr>
          <w:rFonts w:asciiTheme="minorHAnsi" w:hAnsiTheme="minorHAnsi" w:cstheme="minorHAnsi"/>
          <w:b w:val="0"/>
          <w:color w:val="7F7F7F" w:themeColor="text1" w:themeTint="80"/>
          <w:sz w:val="30"/>
          <w:szCs w:val="30"/>
        </w:rPr>
        <w:t xml:space="preserve"> of care</w:t>
      </w:r>
      <w:bookmarkEnd w:id="817"/>
    </w:p>
    <w:p w14:paraId="65E0CD34" w14:textId="77777777" w:rsidR="000A7D05" w:rsidRDefault="000A7D05" w:rsidP="000A7D05">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 xml:space="preserve">Discussion of findings </w:t>
      </w:r>
    </w:p>
    <w:p w14:paraId="7C2D230C" w14:textId="77777777" w:rsidR="000A7D05" w:rsidRPr="001D081D" w:rsidRDefault="000A7D05" w:rsidP="000A7D05">
      <w:pPr>
        <w:tabs>
          <w:tab w:val="num" w:pos="720"/>
        </w:tabs>
        <w:spacing w:after="120"/>
        <w:rPr>
          <w:rFonts w:asciiTheme="minorHAnsi" w:hAnsiTheme="minorHAnsi" w:cstheme="minorHAnsi"/>
          <w:color w:val="808080" w:themeColor="background1" w:themeShade="80"/>
          <w:sz w:val="24"/>
          <w:szCs w:val="24"/>
        </w:rPr>
      </w:pPr>
      <w:r w:rsidRPr="001D081D">
        <w:rPr>
          <w:rFonts w:asciiTheme="minorHAnsi" w:hAnsiTheme="minorHAnsi" w:cstheme="minorHAnsi"/>
          <w:color w:val="808080" w:themeColor="background1" w:themeShade="80"/>
          <w:sz w:val="24"/>
          <w:szCs w:val="24"/>
        </w:rPr>
        <w:t>Contribution of state and territory funding for transplantation</w:t>
      </w:r>
    </w:p>
    <w:p w14:paraId="6AA6776C" w14:textId="48D53CF1" w:rsidR="000A7D05" w:rsidRDefault="000A7D05" w:rsidP="00AE3ED1">
      <w:pPr>
        <w:spacing w:after="120"/>
        <w:rPr>
          <w:rFonts w:asciiTheme="minorHAnsi" w:hAnsiTheme="minorHAnsi" w:cstheme="minorHAnsi"/>
          <w:sz w:val="24"/>
          <w:szCs w:val="24"/>
        </w:rPr>
      </w:pPr>
      <w:r>
        <w:rPr>
          <w:rFonts w:asciiTheme="minorHAnsi" w:hAnsiTheme="minorHAnsi" w:cstheme="minorHAnsi"/>
          <w:sz w:val="24"/>
          <w:szCs w:val="24"/>
        </w:rPr>
        <w:t>The Review found that funding for</w:t>
      </w:r>
      <w:r w:rsidR="008E64B3">
        <w:rPr>
          <w:rFonts w:asciiTheme="minorHAnsi" w:hAnsiTheme="minorHAnsi" w:cstheme="minorHAnsi"/>
          <w:sz w:val="24"/>
          <w:szCs w:val="24"/>
        </w:rPr>
        <w:t xml:space="preserve"> organ</w:t>
      </w:r>
      <w:r>
        <w:rPr>
          <w:rFonts w:asciiTheme="minorHAnsi" w:hAnsiTheme="minorHAnsi" w:cstheme="minorHAnsi"/>
          <w:sz w:val="24"/>
          <w:szCs w:val="24"/>
        </w:rPr>
        <w:t xml:space="preserve"> donation, retrieval and transplantation is complex and multi-layered. As illustrated in </w:t>
      </w:r>
      <w:r w:rsidR="008D58C9">
        <w:rPr>
          <w:rFonts w:asciiTheme="minorHAnsi" w:hAnsiTheme="minorHAnsi" w:cstheme="minorHAnsi"/>
          <w:sz w:val="24"/>
          <w:szCs w:val="24"/>
        </w:rPr>
        <w:fldChar w:fldCharType="begin"/>
      </w:r>
      <w:r w:rsidR="008D58C9">
        <w:rPr>
          <w:rFonts w:asciiTheme="minorHAnsi" w:hAnsiTheme="minorHAnsi" w:cstheme="minorHAnsi"/>
          <w:sz w:val="24"/>
          <w:szCs w:val="24"/>
        </w:rPr>
        <w:instrText xml:space="preserve"> REF _Ref530474354 \h  \* MERGEFORMAT </w:instrText>
      </w:r>
      <w:r w:rsidR="008D58C9">
        <w:rPr>
          <w:rFonts w:asciiTheme="minorHAnsi" w:hAnsiTheme="minorHAnsi" w:cstheme="minorHAnsi"/>
          <w:sz w:val="24"/>
          <w:szCs w:val="24"/>
        </w:rPr>
      </w:r>
      <w:r w:rsidR="008D58C9">
        <w:rPr>
          <w:rFonts w:asciiTheme="minorHAnsi" w:hAnsiTheme="minorHAnsi" w:cstheme="minorHAnsi"/>
          <w:sz w:val="24"/>
          <w:szCs w:val="24"/>
        </w:rPr>
        <w:fldChar w:fldCharType="separate"/>
      </w:r>
      <w:r w:rsidR="00A04048" w:rsidRPr="00C75FAB">
        <w:rPr>
          <w:rFonts w:asciiTheme="minorHAnsi" w:hAnsiTheme="minorHAnsi" w:cstheme="minorHAnsi"/>
          <w:sz w:val="24"/>
          <w:szCs w:val="24"/>
        </w:rPr>
        <w:t>Figure 27</w:t>
      </w:r>
      <w:r w:rsidR="008D58C9">
        <w:rPr>
          <w:rFonts w:asciiTheme="minorHAnsi" w:hAnsiTheme="minorHAnsi" w:cstheme="minorHAnsi"/>
          <w:sz w:val="24"/>
          <w:szCs w:val="24"/>
        </w:rPr>
        <w:fldChar w:fldCharType="end"/>
      </w:r>
      <w:r>
        <w:rPr>
          <w:rFonts w:asciiTheme="minorHAnsi" w:hAnsiTheme="minorHAnsi" w:cstheme="minorHAnsi"/>
          <w:sz w:val="24"/>
          <w:szCs w:val="24"/>
        </w:rPr>
        <w:t xml:space="preserve"> and</w:t>
      </w:r>
      <w:r w:rsidR="006022FF">
        <w:rPr>
          <w:rFonts w:asciiTheme="minorHAnsi" w:hAnsiTheme="minorHAnsi" w:cstheme="minorHAnsi"/>
          <w:sz w:val="24"/>
          <w:szCs w:val="24"/>
        </w:rPr>
        <w:t xml:space="preserve"> </w:t>
      </w:r>
      <w:r w:rsidR="006022FF">
        <w:rPr>
          <w:rFonts w:asciiTheme="minorHAnsi" w:hAnsiTheme="minorHAnsi" w:cstheme="minorHAnsi"/>
          <w:sz w:val="24"/>
          <w:szCs w:val="24"/>
        </w:rPr>
        <w:fldChar w:fldCharType="begin"/>
      </w:r>
      <w:r w:rsidR="006022FF">
        <w:rPr>
          <w:rFonts w:asciiTheme="minorHAnsi" w:hAnsiTheme="minorHAnsi" w:cstheme="minorHAnsi"/>
          <w:sz w:val="24"/>
          <w:szCs w:val="24"/>
        </w:rPr>
        <w:instrText xml:space="preserve"> REF _Ref531947279 \h  \* MERGEFORMAT </w:instrText>
      </w:r>
      <w:r w:rsidR="006022FF">
        <w:rPr>
          <w:rFonts w:asciiTheme="minorHAnsi" w:hAnsiTheme="minorHAnsi" w:cstheme="minorHAnsi"/>
          <w:sz w:val="24"/>
          <w:szCs w:val="24"/>
        </w:rPr>
      </w:r>
      <w:r w:rsidR="006022FF">
        <w:rPr>
          <w:rFonts w:asciiTheme="minorHAnsi" w:hAnsiTheme="minorHAnsi" w:cstheme="minorHAnsi"/>
          <w:sz w:val="24"/>
          <w:szCs w:val="24"/>
        </w:rPr>
        <w:fldChar w:fldCharType="separate"/>
      </w:r>
      <w:r w:rsidR="00A04048" w:rsidRPr="00C75FAB">
        <w:rPr>
          <w:rFonts w:asciiTheme="minorHAnsi" w:hAnsiTheme="minorHAnsi" w:cstheme="minorHAnsi"/>
          <w:sz w:val="24"/>
          <w:szCs w:val="24"/>
        </w:rPr>
        <w:t>Table 24</w:t>
      </w:r>
      <w:r w:rsidR="006022FF">
        <w:rPr>
          <w:rFonts w:asciiTheme="minorHAnsi" w:hAnsiTheme="minorHAnsi" w:cstheme="minorHAnsi"/>
          <w:sz w:val="24"/>
          <w:szCs w:val="24"/>
        </w:rPr>
        <w:fldChar w:fldCharType="end"/>
      </w:r>
      <w:r w:rsidR="00A25374">
        <w:rPr>
          <w:rFonts w:asciiTheme="minorHAnsi" w:hAnsiTheme="minorHAnsi" w:cstheme="minorHAnsi"/>
          <w:sz w:val="24"/>
          <w:szCs w:val="24"/>
        </w:rPr>
        <w:t>,</w:t>
      </w:r>
      <w:r>
        <w:rPr>
          <w:rFonts w:asciiTheme="minorHAnsi" w:hAnsiTheme="minorHAnsi" w:cstheme="minorHAnsi"/>
          <w:sz w:val="24"/>
          <w:szCs w:val="24"/>
        </w:rPr>
        <w:t xml:space="preserve"> total transplantation</w:t>
      </w:r>
      <w:r w:rsidR="00FA2ECA">
        <w:rPr>
          <w:rFonts w:asciiTheme="minorHAnsi" w:hAnsiTheme="minorHAnsi" w:cstheme="minorHAnsi"/>
          <w:sz w:val="24"/>
          <w:szCs w:val="24"/>
        </w:rPr>
        <w:t xml:space="preserve"> inpatient</w:t>
      </w:r>
      <w:r>
        <w:rPr>
          <w:rFonts w:asciiTheme="minorHAnsi" w:hAnsiTheme="minorHAnsi" w:cstheme="minorHAnsi"/>
          <w:sz w:val="24"/>
          <w:szCs w:val="24"/>
        </w:rPr>
        <w:t xml:space="preserve"> expenditure in Australia has increased by a</w:t>
      </w:r>
      <w:r w:rsidR="00FA2ECA">
        <w:rPr>
          <w:rFonts w:asciiTheme="minorHAnsi" w:hAnsiTheme="minorHAnsi" w:cstheme="minorHAnsi"/>
          <w:sz w:val="24"/>
          <w:szCs w:val="24"/>
        </w:rPr>
        <w:t>t least</w:t>
      </w:r>
      <w:r>
        <w:rPr>
          <w:rFonts w:asciiTheme="minorHAnsi" w:hAnsiTheme="minorHAnsi" w:cstheme="minorHAnsi"/>
          <w:sz w:val="24"/>
          <w:szCs w:val="24"/>
        </w:rPr>
        <w:t xml:space="preserve"> $13 million since 2015 and is projected to increase by another $30 million by 2022.</w:t>
      </w:r>
      <w:r>
        <w:rPr>
          <w:rStyle w:val="FootnoteReference"/>
          <w:rFonts w:cstheme="minorHAnsi"/>
        </w:rPr>
        <w:footnoteReference w:id="176"/>
      </w:r>
    </w:p>
    <w:p w14:paraId="0F405203" w14:textId="77777777" w:rsidR="000A7D05" w:rsidRPr="001D081D" w:rsidRDefault="000A7D05" w:rsidP="003E6F1F">
      <w:pPr>
        <w:pStyle w:val="Caption"/>
        <w:keepNext/>
        <w:keepLines/>
        <w:spacing w:after="120"/>
        <w:rPr>
          <w:rFonts w:asciiTheme="minorHAnsi" w:hAnsiTheme="minorHAnsi" w:cstheme="minorHAnsi"/>
          <w:b w:val="0"/>
          <w:color w:val="808080"/>
          <w:sz w:val="20"/>
        </w:rPr>
      </w:pPr>
      <w:bookmarkStart w:id="818" w:name="_Ref530474354"/>
      <w:r w:rsidRPr="001D081D">
        <w:rPr>
          <w:rFonts w:asciiTheme="minorHAnsi" w:hAnsiTheme="minorHAnsi" w:cstheme="minorHAnsi"/>
          <w:b w:val="0"/>
          <w:color w:val="808080"/>
          <w:sz w:val="20"/>
        </w:rPr>
        <w:t xml:space="preserve">Figure </w:t>
      </w:r>
      <w:r w:rsidRPr="001D081D">
        <w:rPr>
          <w:rFonts w:asciiTheme="minorHAnsi" w:hAnsiTheme="minorHAnsi" w:cstheme="minorHAnsi"/>
          <w:b w:val="0"/>
          <w:color w:val="808080"/>
          <w:sz w:val="20"/>
        </w:rPr>
        <w:fldChar w:fldCharType="begin"/>
      </w:r>
      <w:r w:rsidRPr="001D081D">
        <w:rPr>
          <w:rFonts w:asciiTheme="minorHAnsi" w:hAnsiTheme="minorHAnsi" w:cstheme="minorHAnsi"/>
          <w:b w:val="0"/>
          <w:color w:val="808080"/>
          <w:sz w:val="20"/>
        </w:rPr>
        <w:instrText xml:space="preserve"> SEQ Figure \* ARABIC </w:instrText>
      </w:r>
      <w:r w:rsidRPr="001D081D">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27</w:t>
      </w:r>
      <w:r w:rsidRPr="001D081D">
        <w:rPr>
          <w:rFonts w:asciiTheme="minorHAnsi" w:hAnsiTheme="minorHAnsi" w:cstheme="minorHAnsi"/>
          <w:b w:val="0"/>
          <w:color w:val="808080"/>
          <w:sz w:val="20"/>
        </w:rPr>
        <w:fldChar w:fldCharType="end"/>
      </w:r>
      <w:bookmarkEnd w:id="818"/>
      <w:r w:rsidRPr="001D081D">
        <w:rPr>
          <w:rFonts w:asciiTheme="minorHAnsi" w:hAnsiTheme="minorHAnsi" w:cstheme="minorHAnsi"/>
          <w:b w:val="0"/>
          <w:color w:val="808080"/>
          <w:sz w:val="20"/>
        </w:rPr>
        <w:t>: Actual national expenditure 2015 - 2017 and projected expenditure to 202</w:t>
      </w:r>
      <w:r w:rsidR="00364D3E">
        <w:rPr>
          <w:rFonts w:asciiTheme="minorHAnsi" w:hAnsiTheme="minorHAnsi" w:cstheme="minorHAnsi"/>
          <w:b w:val="0"/>
          <w:color w:val="808080"/>
          <w:sz w:val="20"/>
        </w:rPr>
        <w:t>2</w:t>
      </w:r>
      <w:r w:rsidRPr="001D081D">
        <w:rPr>
          <w:rFonts w:asciiTheme="minorHAnsi" w:hAnsiTheme="minorHAnsi" w:cstheme="minorHAnsi"/>
          <w:b w:val="0"/>
          <w:color w:val="808080"/>
          <w:sz w:val="20"/>
        </w:rPr>
        <w:t xml:space="preserve"> </w:t>
      </w:r>
      <w:r w:rsidR="00364D3E">
        <w:rPr>
          <w:rFonts w:asciiTheme="minorHAnsi" w:hAnsiTheme="minorHAnsi" w:cstheme="minorHAnsi"/>
          <w:b w:val="0"/>
          <w:color w:val="808080"/>
          <w:sz w:val="20"/>
        </w:rPr>
        <w:t xml:space="preserve">(AUD), </w:t>
      </w:r>
      <w:r w:rsidRPr="001D081D">
        <w:rPr>
          <w:rFonts w:asciiTheme="minorHAnsi" w:hAnsiTheme="minorHAnsi" w:cstheme="minorHAnsi"/>
          <w:b w:val="0"/>
          <w:color w:val="808080"/>
          <w:sz w:val="20"/>
        </w:rPr>
        <w:t>SOURCE: IHPA</w:t>
      </w:r>
      <w:r w:rsidR="005D3A3F">
        <w:rPr>
          <w:rFonts w:asciiTheme="minorHAnsi" w:hAnsiTheme="minorHAnsi" w:cstheme="minorHAnsi"/>
          <w:b w:val="0"/>
          <w:color w:val="808080"/>
          <w:sz w:val="20"/>
        </w:rPr>
        <w:t xml:space="preserve"> (projections by EY)</w:t>
      </w:r>
    </w:p>
    <w:p w14:paraId="31970685" w14:textId="77777777" w:rsidR="000A7D05" w:rsidRDefault="008E3328" w:rsidP="003E6F1F">
      <w:pPr>
        <w:keepNext/>
        <w:keepLines/>
        <w:spacing w:after="120"/>
        <w:rPr>
          <w:rFonts w:asciiTheme="minorHAnsi" w:hAnsiTheme="minorHAnsi" w:cstheme="minorHAnsi"/>
          <w:sz w:val="24"/>
          <w:szCs w:val="24"/>
        </w:rPr>
      </w:pPr>
      <w:r w:rsidRPr="008E3328">
        <w:rPr>
          <w:noProof/>
          <w:lang w:eastAsia="en-AU"/>
        </w:rPr>
        <w:drawing>
          <wp:inline distT="0" distB="0" distL="0" distR="0" wp14:anchorId="639C2F94" wp14:editId="2DF456FD">
            <wp:extent cx="5386812" cy="2925853"/>
            <wp:effectExtent l="0" t="0" r="0" b="0"/>
            <wp:docPr id="4109" name="Picture 4109" descr="Figure 27 is a line graph showing the actual national expenditure between 2015 and 2017 and projected expenditure to 2022 (in 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4437" cy="2929995"/>
                    </a:xfrm>
                    <a:prstGeom prst="rect">
                      <a:avLst/>
                    </a:prstGeom>
                    <a:noFill/>
                    <a:ln>
                      <a:noFill/>
                    </a:ln>
                  </pic:spPr>
                </pic:pic>
              </a:graphicData>
            </a:graphic>
          </wp:inline>
        </w:drawing>
      </w:r>
    </w:p>
    <w:p w14:paraId="4F5BBAD4" w14:textId="77777777" w:rsidR="000A7D05" w:rsidRPr="001D081D" w:rsidRDefault="000A7D05" w:rsidP="004830DA">
      <w:pPr>
        <w:pStyle w:val="Caption"/>
        <w:keepNext/>
        <w:keepLines/>
        <w:spacing w:after="120"/>
        <w:rPr>
          <w:rFonts w:asciiTheme="minorHAnsi" w:hAnsiTheme="minorHAnsi" w:cstheme="minorHAnsi"/>
          <w:b w:val="0"/>
          <w:color w:val="808080"/>
          <w:sz w:val="20"/>
        </w:rPr>
      </w:pPr>
      <w:bookmarkStart w:id="819" w:name="_Ref530474991"/>
      <w:bookmarkStart w:id="820" w:name="_Ref531947279"/>
      <w:r w:rsidRPr="001D081D">
        <w:rPr>
          <w:rFonts w:asciiTheme="minorHAnsi" w:hAnsiTheme="minorHAnsi" w:cstheme="minorHAnsi"/>
          <w:b w:val="0"/>
          <w:color w:val="808080"/>
          <w:sz w:val="20"/>
        </w:rPr>
        <w:t xml:space="preserve">Table </w:t>
      </w:r>
      <w:r w:rsidRPr="001D081D">
        <w:rPr>
          <w:rFonts w:asciiTheme="minorHAnsi" w:hAnsiTheme="minorHAnsi" w:cstheme="minorHAnsi"/>
          <w:b w:val="0"/>
          <w:color w:val="808080"/>
          <w:sz w:val="20"/>
        </w:rPr>
        <w:fldChar w:fldCharType="begin"/>
      </w:r>
      <w:r w:rsidRPr="001D081D">
        <w:rPr>
          <w:rFonts w:asciiTheme="minorHAnsi" w:hAnsiTheme="minorHAnsi" w:cstheme="minorHAnsi"/>
          <w:b w:val="0"/>
          <w:color w:val="808080"/>
          <w:sz w:val="20"/>
        </w:rPr>
        <w:instrText xml:space="preserve"> SEQ Table \* ARABIC </w:instrText>
      </w:r>
      <w:r w:rsidRPr="001D081D">
        <w:rPr>
          <w:rFonts w:asciiTheme="minorHAnsi" w:hAnsiTheme="minorHAnsi" w:cstheme="minorHAnsi"/>
          <w:b w:val="0"/>
          <w:color w:val="808080"/>
          <w:sz w:val="20"/>
        </w:rPr>
        <w:fldChar w:fldCharType="separate"/>
      </w:r>
      <w:r w:rsidR="00A04048">
        <w:rPr>
          <w:rFonts w:asciiTheme="minorHAnsi" w:hAnsiTheme="minorHAnsi" w:cstheme="minorHAnsi"/>
          <w:b w:val="0"/>
          <w:noProof/>
          <w:color w:val="808080"/>
          <w:sz w:val="20"/>
        </w:rPr>
        <w:t>24</w:t>
      </w:r>
      <w:r w:rsidRPr="001D081D">
        <w:rPr>
          <w:rFonts w:asciiTheme="minorHAnsi" w:hAnsiTheme="minorHAnsi" w:cstheme="minorHAnsi"/>
          <w:b w:val="0"/>
          <w:color w:val="808080"/>
          <w:sz w:val="20"/>
        </w:rPr>
        <w:fldChar w:fldCharType="end"/>
      </w:r>
      <w:bookmarkEnd w:id="819"/>
      <w:bookmarkEnd w:id="820"/>
      <w:r w:rsidRPr="001D081D">
        <w:rPr>
          <w:rFonts w:asciiTheme="minorHAnsi" w:hAnsiTheme="minorHAnsi" w:cstheme="minorHAnsi"/>
          <w:b w:val="0"/>
          <w:color w:val="808080"/>
          <w:sz w:val="20"/>
        </w:rPr>
        <w:t xml:space="preserve">: Actual national </w:t>
      </w:r>
      <w:r w:rsidR="00FA2ECA">
        <w:rPr>
          <w:rFonts w:asciiTheme="minorHAnsi" w:hAnsiTheme="minorHAnsi" w:cstheme="minorHAnsi"/>
          <w:b w:val="0"/>
          <w:color w:val="808080"/>
          <w:sz w:val="20"/>
        </w:rPr>
        <w:t xml:space="preserve">inpatient </w:t>
      </w:r>
      <w:r w:rsidRPr="001D081D">
        <w:rPr>
          <w:rFonts w:asciiTheme="minorHAnsi" w:hAnsiTheme="minorHAnsi" w:cstheme="minorHAnsi"/>
          <w:b w:val="0"/>
          <w:color w:val="808080"/>
          <w:sz w:val="20"/>
        </w:rPr>
        <w:t>expenditure 2015 - 2017 and projected expenditure to 2022</w:t>
      </w:r>
      <w:r w:rsidR="00364D3E">
        <w:rPr>
          <w:rFonts w:asciiTheme="minorHAnsi" w:hAnsiTheme="minorHAnsi" w:cstheme="minorHAnsi"/>
          <w:b w:val="0"/>
          <w:color w:val="808080"/>
          <w:sz w:val="20"/>
        </w:rPr>
        <w:t xml:space="preserve"> (AUD),</w:t>
      </w:r>
      <w:r w:rsidRPr="001D081D">
        <w:rPr>
          <w:rFonts w:asciiTheme="minorHAnsi" w:hAnsiTheme="minorHAnsi" w:cstheme="minorHAnsi"/>
          <w:b w:val="0"/>
          <w:color w:val="808080"/>
          <w:sz w:val="20"/>
        </w:rPr>
        <w:t xml:space="preserve"> SOURCE: IHPA </w:t>
      </w:r>
      <w:r w:rsidR="00364D3E">
        <w:rPr>
          <w:rFonts w:asciiTheme="minorHAnsi" w:hAnsiTheme="minorHAnsi" w:cstheme="minorHAnsi"/>
          <w:b w:val="0"/>
          <w:color w:val="808080"/>
          <w:sz w:val="20"/>
        </w:rPr>
        <w:t>(projections by EY)</w:t>
      </w:r>
      <w:r w:rsidR="00D5711B">
        <w:rPr>
          <w:rStyle w:val="FootnoteReference"/>
          <w:rFonts w:cstheme="minorHAnsi"/>
          <w:b w:val="0"/>
          <w:color w:val="808080"/>
        </w:rPr>
        <w:footnoteReference w:id="177"/>
      </w:r>
    </w:p>
    <w:tbl>
      <w:tblPr>
        <w:tblW w:w="4277"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7A0" w:firstRow="1" w:lastRow="0" w:firstColumn="1" w:lastColumn="1" w:noHBand="1" w:noVBand="1"/>
      </w:tblPr>
      <w:tblGrid>
        <w:gridCol w:w="970"/>
        <w:gridCol w:w="1492"/>
        <w:gridCol w:w="1601"/>
        <w:gridCol w:w="1476"/>
        <w:gridCol w:w="2173"/>
      </w:tblGrid>
      <w:tr w:rsidR="000A7D05" w:rsidRPr="001D081D" w14:paraId="43869D44" w14:textId="77777777" w:rsidTr="00AE3ED1">
        <w:trPr>
          <w:trHeight w:val="20"/>
          <w:tblHeader/>
        </w:trPr>
        <w:tc>
          <w:tcPr>
            <w:tcW w:w="629" w:type="pct"/>
            <w:shd w:val="clear" w:color="auto" w:fill="595959" w:themeFill="text1" w:themeFillTint="A6"/>
            <w:tcMar>
              <w:top w:w="10" w:type="dxa"/>
              <w:left w:w="10" w:type="dxa"/>
              <w:bottom w:w="0" w:type="dxa"/>
              <w:right w:w="10" w:type="dxa"/>
            </w:tcMar>
            <w:vAlign w:val="center"/>
            <w:hideMark/>
          </w:tcPr>
          <w:p w14:paraId="0D1B43AA" w14:textId="77777777" w:rsidR="000A7D05" w:rsidRPr="001D081D" w:rsidRDefault="00CB4E0F" w:rsidP="004830DA">
            <w:pPr>
              <w:keepNext/>
              <w:keepLines/>
              <w:autoSpaceDE/>
              <w:autoSpaceDN/>
              <w:adjustRightInd/>
              <w:spacing w:before="40" w:after="40"/>
              <w:ind w:left="125"/>
              <w:textAlignment w:val="bottom"/>
              <w:rPr>
                <w:rFonts w:asciiTheme="minorHAnsi" w:hAnsiTheme="minorHAnsi" w:cstheme="minorHAnsi"/>
                <w:color w:val="FFFFFF" w:themeColor="background1"/>
                <w:lang w:eastAsia="en-AU"/>
              </w:rPr>
            </w:pPr>
            <w:r w:rsidRPr="003A517E">
              <w:rPr>
                <w:rFonts w:asciiTheme="minorHAnsi" w:hAnsiTheme="minorHAnsi" w:cstheme="minorHAnsi"/>
                <w:b/>
                <w:bCs/>
                <w:color w:val="FFFFFF" w:themeColor="background1"/>
                <w:kern w:val="24"/>
                <w:lang w:eastAsia="en-AU"/>
              </w:rPr>
              <w:t xml:space="preserve">Year </w:t>
            </w:r>
            <w:r w:rsidR="000A7D05" w:rsidRPr="003A517E">
              <w:rPr>
                <w:rFonts w:asciiTheme="minorHAnsi" w:hAnsiTheme="minorHAnsi" w:cstheme="minorHAnsi"/>
                <w:b/>
                <w:bCs/>
                <w:color w:val="FFFFFF" w:themeColor="background1"/>
                <w:kern w:val="24"/>
                <w:lang w:eastAsia="en-AU"/>
              </w:rPr>
              <w:t> </w:t>
            </w:r>
          </w:p>
        </w:tc>
        <w:tc>
          <w:tcPr>
            <w:tcW w:w="967" w:type="pct"/>
            <w:shd w:val="clear" w:color="auto" w:fill="595959" w:themeFill="text1" w:themeFillTint="A6"/>
            <w:tcMar>
              <w:top w:w="10" w:type="dxa"/>
              <w:left w:w="10" w:type="dxa"/>
              <w:bottom w:w="0" w:type="dxa"/>
              <w:right w:w="10" w:type="dxa"/>
            </w:tcMar>
            <w:vAlign w:val="center"/>
            <w:hideMark/>
          </w:tcPr>
          <w:p w14:paraId="69FF92C4" w14:textId="77777777" w:rsidR="000A7D05" w:rsidRPr="001D081D" w:rsidRDefault="008E083E" w:rsidP="004830DA">
            <w:pPr>
              <w:keepNext/>
              <w:keepLines/>
              <w:autoSpaceDE/>
              <w:autoSpaceDN/>
              <w:adjustRightInd/>
              <w:spacing w:before="40" w:after="40"/>
              <w:jc w:val="center"/>
              <w:textAlignment w:val="bottom"/>
              <w:rPr>
                <w:rFonts w:asciiTheme="minorHAnsi" w:hAnsiTheme="minorHAnsi" w:cstheme="minorHAnsi"/>
                <w:color w:val="FFFFFF" w:themeColor="background1"/>
                <w:lang w:eastAsia="en-AU"/>
              </w:rPr>
            </w:pPr>
            <w:r>
              <w:rPr>
                <w:rFonts w:asciiTheme="minorHAnsi" w:hAnsiTheme="minorHAnsi" w:cstheme="minorHAnsi"/>
                <w:b/>
                <w:bCs/>
                <w:color w:val="FFFFFF" w:themeColor="background1"/>
                <w:kern w:val="24"/>
                <w:lang w:eastAsia="en-AU"/>
              </w:rPr>
              <w:t>Total separations</w:t>
            </w:r>
          </w:p>
        </w:tc>
        <w:tc>
          <w:tcPr>
            <w:tcW w:w="1038" w:type="pct"/>
            <w:shd w:val="clear" w:color="auto" w:fill="595959" w:themeFill="text1" w:themeFillTint="A6"/>
            <w:tcMar>
              <w:top w:w="10" w:type="dxa"/>
              <w:left w:w="10" w:type="dxa"/>
              <w:bottom w:w="0" w:type="dxa"/>
              <w:right w:w="10" w:type="dxa"/>
            </w:tcMar>
            <w:vAlign w:val="center"/>
            <w:hideMark/>
          </w:tcPr>
          <w:p w14:paraId="0CAE6A62"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color w:val="FFFFFF" w:themeColor="background1"/>
                <w:lang w:eastAsia="en-AU"/>
              </w:rPr>
            </w:pPr>
            <w:r w:rsidRPr="001D081D">
              <w:rPr>
                <w:rFonts w:asciiTheme="minorHAnsi" w:hAnsiTheme="minorHAnsi" w:cstheme="minorHAnsi"/>
                <w:b/>
                <w:bCs/>
                <w:color w:val="FFFFFF" w:themeColor="background1"/>
                <w:kern w:val="24"/>
                <w:lang w:eastAsia="en-AU"/>
              </w:rPr>
              <w:t>Total NWAU</w:t>
            </w:r>
            <w:r>
              <w:rPr>
                <w:rStyle w:val="FootnoteReference"/>
                <w:rFonts w:cstheme="minorHAnsi"/>
                <w:b/>
                <w:bCs/>
                <w:color w:val="FFFFFF" w:themeColor="background1"/>
                <w:kern w:val="24"/>
                <w:lang w:eastAsia="en-AU"/>
              </w:rPr>
              <w:footnoteReference w:id="178"/>
            </w:r>
          </w:p>
        </w:tc>
        <w:tc>
          <w:tcPr>
            <w:tcW w:w="957" w:type="pct"/>
            <w:shd w:val="clear" w:color="auto" w:fill="595959" w:themeFill="text1" w:themeFillTint="A6"/>
            <w:tcMar>
              <w:top w:w="10" w:type="dxa"/>
              <w:left w:w="10" w:type="dxa"/>
              <w:bottom w:w="0" w:type="dxa"/>
              <w:right w:w="10" w:type="dxa"/>
            </w:tcMar>
            <w:vAlign w:val="center"/>
            <w:hideMark/>
          </w:tcPr>
          <w:p w14:paraId="1A33EAC6"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color w:val="FFFFFF" w:themeColor="background1"/>
                <w:lang w:eastAsia="en-AU"/>
              </w:rPr>
            </w:pPr>
            <w:r w:rsidRPr="001D081D">
              <w:rPr>
                <w:rFonts w:asciiTheme="minorHAnsi" w:hAnsiTheme="minorHAnsi" w:cstheme="minorHAnsi"/>
                <w:b/>
                <w:bCs/>
                <w:color w:val="FFFFFF" w:themeColor="background1"/>
                <w:kern w:val="24"/>
                <w:lang w:eastAsia="en-AU"/>
              </w:rPr>
              <w:t> Actual NEP</w:t>
            </w:r>
          </w:p>
        </w:tc>
        <w:tc>
          <w:tcPr>
            <w:tcW w:w="1409" w:type="pct"/>
            <w:shd w:val="clear" w:color="auto" w:fill="595959" w:themeFill="text1" w:themeFillTint="A6"/>
            <w:tcMar>
              <w:top w:w="10" w:type="dxa"/>
              <w:left w:w="10" w:type="dxa"/>
              <w:bottom w:w="0" w:type="dxa"/>
              <w:right w:w="10" w:type="dxa"/>
            </w:tcMar>
            <w:vAlign w:val="center"/>
            <w:hideMark/>
          </w:tcPr>
          <w:p w14:paraId="54C2781C"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color w:val="FFFFFF" w:themeColor="background1"/>
                <w:lang w:eastAsia="en-AU"/>
              </w:rPr>
            </w:pPr>
            <w:r w:rsidRPr="001D081D">
              <w:rPr>
                <w:rFonts w:asciiTheme="minorHAnsi" w:hAnsiTheme="minorHAnsi" w:cstheme="minorHAnsi"/>
                <w:b/>
                <w:bCs/>
                <w:color w:val="FFFFFF" w:themeColor="background1"/>
                <w:kern w:val="24"/>
                <w:lang w:eastAsia="en-AU"/>
              </w:rPr>
              <w:t xml:space="preserve">National </w:t>
            </w:r>
            <w:r w:rsidR="00CB4E0F">
              <w:rPr>
                <w:rFonts w:asciiTheme="minorHAnsi" w:hAnsiTheme="minorHAnsi" w:cstheme="minorHAnsi"/>
                <w:b/>
                <w:bCs/>
                <w:color w:val="FFFFFF" w:themeColor="background1"/>
                <w:kern w:val="24"/>
                <w:lang w:eastAsia="en-AU"/>
              </w:rPr>
              <w:t>e</w:t>
            </w:r>
            <w:r w:rsidRPr="001D081D">
              <w:rPr>
                <w:rFonts w:asciiTheme="minorHAnsi" w:hAnsiTheme="minorHAnsi" w:cstheme="minorHAnsi"/>
                <w:b/>
                <w:bCs/>
                <w:color w:val="FFFFFF" w:themeColor="background1"/>
                <w:kern w:val="24"/>
                <w:lang w:eastAsia="en-AU"/>
              </w:rPr>
              <w:t xml:space="preserve">xpenditure </w:t>
            </w:r>
          </w:p>
        </w:tc>
      </w:tr>
      <w:tr w:rsidR="000A7D05" w:rsidRPr="001D081D" w14:paraId="7D7EFA19" w14:textId="77777777" w:rsidTr="00AE3ED1">
        <w:trPr>
          <w:trHeight w:val="20"/>
        </w:trPr>
        <w:tc>
          <w:tcPr>
            <w:tcW w:w="629" w:type="pct"/>
            <w:shd w:val="clear" w:color="auto" w:fill="auto"/>
            <w:tcMar>
              <w:top w:w="10" w:type="dxa"/>
              <w:left w:w="10" w:type="dxa"/>
              <w:bottom w:w="0" w:type="dxa"/>
              <w:right w:w="10" w:type="dxa"/>
            </w:tcMar>
            <w:vAlign w:val="center"/>
            <w:hideMark/>
          </w:tcPr>
          <w:p w14:paraId="1E4C2467" w14:textId="77777777" w:rsidR="000A7D05" w:rsidRPr="00845AF5" w:rsidRDefault="000A7D05" w:rsidP="004830DA">
            <w:pPr>
              <w:keepNext/>
              <w:keepLines/>
              <w:autoSpaceDE/>
              <w:autoSpaceDN/>
              <w:adjustRightInd/>
              <w:spacing w:before="40" w:after="40"/>
              <w:ind w:left="125"/>
              <w:textAlignment w:val="bottom"/>
              <w:rPr>
                <w:rFonts w:asciiTheme="minorHAnsi" w:hAnsiTheme="minorHAnsi" w:cstheme="minorHAnsi"/>
                <w:lang w:eastAsia="en-AU"/>
              </w:rPr>
            </w:pPr>
            <w:r w:rsidRPr="003A517E">
              <w:rPr>
                <w:rFonts w:asciiTheme="minorHAnsi" w:hAnsiTheme="minorHAnsi" w:cstheme="minorHAnsi"/>
                <w:bCs/>
                <w:color w:val="000000"/>
                <w:kern w:val="24"/>
                <w:lang w:eastAsia="en-AU"/>
              </w:rPr>
              <w:t>2016</w:t>
            </w:r>
          </w:p>
        </w:tc>
        <w:tc>
          <w:tcPr>
            <w:tcW w:w="967" w:type="pct"/>
            <w:shd w:val="clear" w:color="auto" w:fill="auto"/>
            <w:tcMar>
              <w:top w:w="10" w:type="dxa"/>
              <w:left w:w="10" w:type="dxa"/>
              <w:bottom w:w="0" w:type="dxa"/>
              <w:right w:w="10" w:type="dxa"/>
            </w:tcMar>
            <w:vAlign w:val="center"/>
            <w:hideMark/>
          </w:tcPr>
          <w:p w14:paraId="6A1D5011"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1</w:t>
            </w:r>
            <w:r w:rsidR="00845AF5">
              <w:rPr>
                <w:rFonts w:asciiTheme="minorHAnsi" w:hAnsiTheme="minorHAnsi" w:cstheme="minorHAnsi"/>
                <w:color w:val="000000"/>
                <w:kern w:val="24"/>
                <w:lang w:eastAsia="en-AU"/>
              </w:rPr>
              <w:t>,</w:t>
            </w:r>
            <w:r w:rsidRPr="001D081D">
              <w:rPr>
                <w:rFonts w:asciiTheme="minorHAnsi" w:hAnsiTheme="minorHAnsi" w:cstheme="minorHAnsi"/>
                <w:color w:val="000000"/>
                <w:kern w:val="24"/>
                <w:lang w:eastAsia="en-AU"/>
              </w:rPr>
              <w:t>621</w:t>
            </w:r>
          </w:p>
        </w:tc>
        <w:tc>
          <w:tcPr>
            <w:tcW w:w="1038" w:type="pct"/>
            <w:shd w:val="clear" w:color="auto" w:fill="auto"/>
            <w:tcMar>
              <w:top w:w="10" w:type="dxa"/>
              <w:left w:w="10" w:type="dxa"/>
              <w:bottom w:w="0" w:type="dxa"/>
              <w:right w:w="10" w:type="dxa"/>
            </w:tcMar>
            <w:vAlign w:val="center"/>
            <w:hideMark/>
          </w:tcPr>
          <w:p w14:paraId="0195956A"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28333.13</w:t>
            </w:r>
          </w:p>
        </w:tc>
        <w:tc>
          <w:tcPr>
            <w:tcW w:w="957" w:type="pct"/>
            <w:shd w:val="clear" w:color="auto" w:fill="auto"/>
            <w:tcMar>
              <w:top w:w="10" w:type="dxa"/>
              <w:left w:w="10" w:type="dxa"/>
              <w:bottom w:w="0" w:type="dxa"/>
              <w:right w:w="10" w:type="dxa"/>
            </w:tcMar>
            <w:vAlign w:val="center"/>
            <w:hideMark/>
          </w:tcPr>
          <w:p w14:paraId="6291B2F0"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$4</w:t>
            </w:r>
            <w:r w:rsidR="00845AF5">
              <w:rPr>
                <w:rFonts w:asciiTheme="minorHAnsi" w:hAnsiTheme="minorHAnsi" w:cstheme="minorHAnsi"/>
                <w:color w:val="000000"/>
                <w:kern w:val="24"/>
                <w:lang w:eastAsia="en-AU"/>
              </w:rPr>
              <w:t>,</w:t>
            </w:r>
            <w:r w:rsidRPr="001D081D">
              <w:rPr>
                <w:rFonts w:asciiTheme="minorHAnsi" w:hAnsiTheme="minorHAnsi" w:cstheme="minorHAnsi"/>
                <w:color w:val="000000"/>
                <w:kern w:val="24"/>
                <w:lang w:eastAsia="en-AU"/>
              </w:rPr>
              <w:t>971</w:t>
            </w:r>
          </w:p>
        </w:tc>
        <w:tc>
          <w:tcPr>
            <w:tcW w:w="1409" w:type="pct"/>
            <w:shd w:val="clear" w:color="auto" w:fill="auto"/>
            <w:tcMar>
              <w:top w:w="10" w:type="dxa"/>
              <w:left w:w="10" w:type="dxa"/>
              <w:bottom w:w="0" w:type="dxa"/>
              <w:right w:w="10" w:type="dxa"/>
            </w:tcMar>
            <w:vAlign w:val="center"/>
            <w:hideMark/>
          </w:tcPr>
          <w:p w14:paraId="0A8A7A35"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$140,843,989.23</w:t>
            </w:r>
          </w:p>
        </w:tc>
      </w:tr>
      <w:tr w:rsidR="000A7D05" w:rsidRPr="001D081D" w14:paraId="721EAED3" w14:textId="77777777" w:rsidTr="00AE3ED1">
        <w:trPr>
          <w:trHeight w:val="20"/>
        </w:trPr>
        <w:tc>
          <w:tcPr>
            <w:tcW w:w="629" w:type="pct"/>
            <w:shd w:val="clear" w:color="auto" w:fill="auto"/>
            <w:tcMar>
              <w:top w:w="10" w:type="dxa"/>
              <w:left w:w="10" w:type="dxa"/>
              <w:bottom w:w="0" w:type="dxa"/>
              <w:right w:w="10" w:type="dxa"/>
            </w:tcMar>
            <w:vAlign w:val="center"/>
            <w:hideMark/>
          </w:tcPr>
          <w:p w14:paraId="0B4D8FCA" w14:textId="77777777" w:rsidR="000A7D05" w:rsidRPr="003A517E" w:rsidRDefault="000A7D05" w:rsidP="004830DA">
            <w:pPr>
              <w:keepNext/>
              <w:keepLines/>
              <w:autoSpaceDE/>
              <w:autoSpaceDN/>
              <w:adjustRightInd/>
              <w:spacing w:before="40" w:after="40"/>
              <w:ind w:left="125"/>
              <w:textAlignment w:val="bottom"/>
              <w:rPr>
                <w:rFonts w:asciiTheme="minorHAnsi" w:hAnsiTheme="minorHAnsi" w:cstheme="minorHAnsi"/>
                <w:bCs/>
                <w:color w:val="000000"/>
                <w:kern w:val="24"/>
                <w:lang w:eastAsia="en-AU"/>
              </w:rPr>
            </w:pPr>
            <w:r w:rsidRPr="003A517E">
              <w:rPr>
                <w:rFonts w:asciiTheme="minorHAnsi" w:hAnsiTheme="minorHAnsi" w:cstheme="minorHAnsi"/>
                <w:bCs/>
                <w:color w:val="000000"/>
                <w:kern w:val="24"/>
                <w:lang w:eastAsia="en-AU"/>
              </w:rPr>
              <w:t>2017</w:t>
            </w:r>
          </w:p>
        </w:tc>
        <w:tc>
          <w:tcPr>
            <w:tcW w:w="967" w:type="pct"/>
            <w:shd w:val="clear" w:color="auto" w:fill="auto"/>
            <w:tcMar>
              <w:top w:w="10" w:type="dxa"/>
              <w:left w:w="10" w:type="dxa"/>
              <w:bottom w:w="0" w:type="dxa"/>
              <w:right w:w="10" w:type="dxa"/>
            </w:tcMar>
            <w:vAlign w:val="center"/>
            <w:hideMark/>
          </w:tcPr>
          <w:p w14:paraId="3991F1DB"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1</w:t>
            </w:r>
            <w:r w:rsidR="00845AF5">
              <w:rPr>
                <w:rFonts w:asciiTheme="minorHAnsi" w:hAnsiTheme="minorHAnsi" w:cstheme="minorHAnsi"/>
                <w:color w:val="000000"/>
                <w:kern w:val="24"/>
                <w:lang w:eastAsia="en-AU"/>
              </w:rPr>
              <w:t>,</w:t>
            </w:r>
            <w:r w:rsidRPr="001D081D">
              <w:rPr>
                <w:rFonts w:asciiTheme="minorHAnsi" w:hAnsiTheme="minorHAnsi" w:cstheme="minorHAnsi"/>
                <w:color w:val="000000"/>
                <w:kern w:val="24"/>
                <w:lang w:eastAsia="en-AU"/>
              </w:rPr>
              <w:t>701</w:t>
            </w:r>
          </w:p>
        </w:tc>
        <w:tc>
          <w:tcPr>
            <w:tcW w:w="1038" w:type="pct"/>
            <w:shd w:val="clear" w:color="auto" w:fill="auto"/>
            <w:tcMar>
              <w:top w:w="10" w:type="dxa"/>
              <w:left w:w="10" w:type="dxa"/>
              <w:bottom w:w="0" w:type="dxa"/>
              <w:right w:w="10" w:type="dxa"/>
            </w:tcMar>
            <w:vAlign w:val="center"/>
            <w:hideMark/>
          </w:tcPr>
          <w:p w14:paraId="2EF81E40"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29233.22</w:t>
            </w:r>
          </w:p>
        </w:tc>
        <w:tc>
          <w:tcPr>
            <w:tcW w:w="957" w:type="pct"/>
            <w:shd w:val="clear" w:color="auto" w:fill="auto"/>
            <w:tcMar>
              <w:top w:w="10" w:type="dxa"/>
              <w:left w:w="10" w:type="dxa"/>
              <w:bottom w:w="0" w:type="dxa"/>
              <w:right w:w="10" w:type="dxa"/>
            </w:tcMar>
            <w:vAlign w:val="center"/>
            <w:hideMark/>
          </w:tcPr>
          <w:p w14:paraId="7FAD3FDC"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$4</w:t>
            </w:r>
            <w:r w:rsidR="00845AF5">
              <w:rPr>
                <w:rFonts w:asciiTheme="minorHAnsi" w:hAnsiTheme="minorHAnsi" w:cstheme="minorHAnsi"/>
                <w:color w:val="000000"/>
                <w:kern w:val="24"/>
                <w:lang w:eastAsia="en-AU"/>
              </w:rPr>
              <w:t>,</w:t>
            </w:r>
            <w:r w:rsidRPr="001D081D">
              <w:rPr>
                <w:rFonts w:asciiTheme="minorHAnsi" w:hAnsiTheme="minorHAnsi" w:cstheme="minorHAnsi"/>
                <w:color w:val="000000"/>
                <w:kern w:val="24"/>
                <w:lang w:eastAsia="en-AU"/>
              </w:rPr>
              <w:t>883</w:t>
            </w:r>
          </w:p>
        </w:tc>
        <w:tc>
          <w:tcPr>
            <w:tcW w:w="1409" w:type="pct"/>
            <w:shd w:val="clear" w:color="auto" w:fill="auto"/>
            <w:tcMar>
              <w:top w:w="10" w:type="dxa"/>
              <w:left w:w="10" w:type="dxa"/>
              <w:bottom w:w="0" w:type="dxa"/>
              <w:right w:w="10" w:type="dxa"/>
            </w:tcMar>
            <w:vAlign w:val="center"/>
            <w:hideMark/>
          </w:tcPr>
          <w:p w14:paraId="3477C71F"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$142,745,813.26</w:t>
            </w:r>
          </w:p>
        </w:tc>
      </w:tr>
      <w:tr w:rsidR="000A7D05" w:rsidRPr="001D081D" w14:paraId="184C5B4E" w14:textId="77777777" w:rsidTr="00AE3ED1">
        <w:trPr>
          <w:trHeight w:val="20"/>
        </w:trPr>
        <w:tc>
          <w:tcPr>
            <w:tcW w:w="629" w:type="pct"/>
            <w:shd w:val="clear" w:color="auto" w:fill="auto"/>
            <w:tcMar>
              <w:top w:w="10" w:type="dxa"/>
              <w:left w:w="10" w:type="dxa"/>
              <w:bottom w:w="0" w:type="dxa"/>
              <w:right w:w="10" w:type="dxa"/>
            </w:tcMar>
            <w:vAlign w:val="center"/>
            <w:hideMark/>
          </w:tcPr>
          <w:p w14:paraId="1E25C832" w14:textId="77777777" w:rsidR="000A7D05" w:rsidRPr="003A517E" w:rsidRDefault="000A7D05" w:rsidP="004830DA">
            <w:pPr>
              <w:keepNext/>
              <w:keepLines/>
              <w:autoSpaceDE/>
              <w:autoSpaceDN/>
              <w:adjustRightInd/>
              <w:spacing w:before="40" w:after="40"/>
              <w:ind w:left="125"/>
              <w:textAlignment w:val="bottom"/>
              <w:rPr>
                <w:rFonts w:asciiTheme="minorHAnsi" w:hAnsiTheme="minorHAnsi" w:cstheme="minorHAnsi"/>
                <w:bCs/>
                <w:color w:val="000000"/>
                <w:kern w:val="24"/>
                <w:lang w:eastAsia="en-AU"/>
              </w:rPr>
            </w:pPr>
            <w:r w:rsidRPr="003A517E">
              <w:rPr>
                <w:rFonts w:asciiTheme="minorHAnsi" w:hAnsiTheme="minorHAnsi" w:cstheme="minorHAnsi"/>
                <w:bCs/>
                <w:color w:val="000000"/>
                <w:kern w:val="24"/>
                <w:lang w:eastAsia="en-AU"/>
              </w:rPr>
              <w:t>2018</w:t>
            </w:r>
          </w:p>
        </w:tc>
        <w:tc>
          <w:tcPr>
            <w:tcW w:w="967" w:type="pct"/>
            <w:shd w:val="clear" w:color="auto" w:fill="auto"/>
            <w:tcMar>
              <w:top w:w="10" w:type="dxa"/>
              <w:left w:w="10" w:type="dxa"/>
              <w:bottom w:w="0" w:type="dxa"/>
              <w:right w:w="10" w:type="dxa"/>
            </w:tcMar>
            <w:vAlign w:val="center"/>
            <w:hideMark/>
          </w:tcPr>
          <w:p w14:paraId="2A7DDD3D"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1</w:t>
            </w:r>
            <w:r w:rsidR="00845AF5">
              <w:rPr>
                <w:rFonts w:asciiTheme="minorHAnsi" w:hAnsiTheme="minorHAnsi" w:cstheme="minorHAnsi"/>
                <w:color w:val="000000"/>
                <w:kern w:val="24"/>
                <w:lang w:eastAsia="en-AU"/>
              </w:rPr>
              <w:t>,</w:t>
            </w:r>
            <w:r w:rsidRPr="001D081D">
              <w:rPr>
                <w:rFonts w:asciiTheme="minorHAnsi" w:hAnsiTheme="minorHAnsi" w:cstheme="minorHAnsi"/>
                <w:color w:val="000000"/>
                <w:kern w:val="24"/>
                <w:lang w:eastAsia="en-AU"/>
              </w:rPr>
              <w:t>694</w:t>
            </w:r>
          </w:p>
        </w:tc>
        <w:tc>
          <w:tcPr>
            <w:tcW w:w="1038" w:type="pct"/>
            <w:shd w:val="clear" w:color="auto" w:fill="auto"/>
            <w:tcMar>
              <w:top w:w="10" w:type="dxa"/>
              <w:left w:w="10" w:type="dxa"/>
              <w:bottom w:w="0" w:type="dxa"/>
              <w:right w:w="10" w:type="dxa"/>
            </w:tcMar>
            <w:vAlign w:val="center"/>
            <w:hideMark/>
          </w:tcPr>
          <w:p w14:paraId="399D340B"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31280.49</w:t>
            </w:r>
          </w:p>
        </w:tc>
        <w:tc>
          <w:tcPr>
            <w:tcW w:w="957" w:type="pct"/>
            <w:shd w:val="clear" w:color="auto" w:fill="auto"/>
            <w:tcMar>
              <w:top w:w="10" w:type="dxa"/>
              <w:left w:w="10" w:type="dxa"/>
              <w:bottom w:w="0" w:type="dxa"/>
              <w:right w:w="10" w:type="dxa"/>
            </w:tcMar>
            <w:vAlign w:val="center"/>
            <w:hideMark/>
          </w:tcPr>
          <w:p w14:paraId="5EE25D64"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$4</w:t>
            </w:r>
            <w:r w:rsidR="00845AF5">
              <w:rPr>
                <w:rFonts w:asciiTheme="minorHAnsi" w:hAnsiTheme="minorHAnsi" w:cstheme="minorHAnsi"/>
                <w:color w:val="000000"/>
                <w:kern w:val="24"/>
                <w:lang w:eastAsia="en-AU"/>
              </w:rPr>
              <w:t>,</w:t>
            </w:r>
            <w:r w:rsidRPr="001D081D">
              <w:rPr>
                <w:rFonts w:asciiTheme="minorHAnsi" w:hAnsiTheme="minorHAnsi" w:cstheme="minorHAnsi"/>
                <w:color w:val="000000"/>
                <w:kern w:val="24"/>
                <w:lang w:eastAsia="en-AU"/>
              </w:rPr>
              <w:t>910</w:t>
            </w:r>
          </w:p>
        </w:tc>
        <w:tc>
          <w:tcPr>
            <w:tcW w:w="1409" w:type="pct"/>
            <w:shd w:val="clear" w:color="auto" w:fill="auto"/>
            <w:tcMar>
              <w:top w:w="10" w:type="dxa"/>
              <w:left w:w="10" w:type="dxa"/>
              <w:bottom w:w="0" w:type="dxa"/>
              <w:right w:w="10" w:type="dxa"/>
            </w:tcMar>
            <w:vAlign w:val="center"/>
            <w:hideMark/>
          </w:tcPr>
          <w:p w14:paraId="2D25A58A"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$153,587,205.90</w:t>
            </w:r>
          </w:p>
        </w:tc>
      </w:tr>
      <w:tr w:rsidR="000A7D05" w:rsidRPr="001D081D" w14:paraId="0ED8EB8D" w14:textId="77777777" w:rsidTr="00AE3ED1">
        <w:trPr>
          <w:trHeight w:val="20"/>
        </w:trPr>
        <w:tc>
          <w:tcPr>
            <w:tcW w:w="629" w:type="pct"/>
            <w:shd w:val="clear" w:color="auto" w:fill="auto"/>
            <w:tcMar>
              <w:top w:w="10" w:type="dxa"/>
              <w:left w:w="10" w:type="dxa"/>
              <w:bottom w:w="0" w:type="dxa"/>
              <w:right w:w="10" w:type="dxa"/>
            </w:tcMar>
            <w:vAlign w:val="center"/>
            <w:hideMark/>
          </w:tcPr>
          <w:p w14:paraId="44576D58" w14:textId="77777777" w:rsidR="000A7D05" w:rsidRPr="003A517E" w:rsidRDefault="000A7D05" w:rsidP="004830DA">
            <w:pPr>
              <w:keepNext/>
              <w:keepLines/>
              <w:autoSpaceDE/>
              <w:autoSpaceDN/>
              <w:adjustRightInd/>
              <w:spacing w:before="40" w:after="40"/>
              <w:ind w:left="125"/>
              <w:textAlignment w:val="bottom"/>
              <w:rPr>
                <w:rFonts w:asciiTheme="minorHAnsi" w:hAnsiTheme="minorHAnsi" w:cstheme="minorHAnsi"/>
                <w:bCs/>
                <w:color w:val="000000"/>
                <w:kern w:val="24"/>
                <w:lang w:eastAsia="en-AU"/>
              </w:rPr>
            </w:pPr>
            <w:r w:rsidRPr="003A517E">
              <w:rPr>
                <w:rFonts w:asciiTheme="minorHAnsi" w:hAnsiTheme="minorHAnsi" w:cstheme="minorHAnsi"/>
                <w:bCs/>
                <w:color w:val="000000"/>
                <w:kern w:val="24"/>
                <w:lang w:eastAsia="en-AU"/>
              </w:rPr>
              <w:t>2019</w:t>
            </w:r>
          </w:p>
        </w:tc>
        <w:tc>
          <w:tcPr>
            <w:tcW w:w="967" w:type="pct"/>
            <w:shd w:val="clear" w:color="auto" w:fill="auto"/>
            <w:tcMar>
              <w:top w:w="10" w:type="dxa"/>
              <w:left w:w="10" w:type="dxa"/>
              <w:bottom w:w="0" w:type="dxa"/>
              <w:right w:w="10" w:type="dxa"/>
            </w:tcMar>
            <w:vAlign w:val="center"/>
            <w:hideMark/>
          </w:tcPr>
          <w:p w14:paraId="690A90AC"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 </w:t>
            </w:r>
          </w:p>
        </w:tc>
        <w:tc>
          <w:tcPr>
            <w:tcW w:w="1038" w:type="pct"/>
            <w:shd w:val="clear" w:color="auto" w:fill="auto"/>
            <w:tcMar>
              <w:top w:w="10" w:type="dxa"/>
              <w:left w:w="10" w:type="dxa"/>
              <w:bottom w:w="0" w:type="dxa"/>
              <w:right w:w="10" w:type="dxa"/>
            </w:tcMar>
            <w:vAlign w:val="center"/>
            <w:hideMark/>
          </w:tcPr>
          <w:p w14:paraId="555D102B"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 -</w:t>
            </w:r>
          </w:p>
        </w:tc>
        <w:tc>
          <w:tcPr>
            <w:tcW w:w="957" w:type="pct"/>
            <w:shd w:val="clear" w:color="auto" w:fill="auto"/>
            <w:tcMar>
              <w:top w:w="10" w:type="dxa"/>
              <w:left w:w="10" w:type="dxa"/>
              <w:bottom w:w="0" w:type="dxa"/>
              <w:right w:w="10" w:type="dxa"/>
            </w:tcMar>
            <w:vAlign w:val="center"/>
            <w:hideMark/>
          </w:tcPr>
          <w:p w14:paraId="6E421ADC"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 </w:t>
            </w:r>
          </w:p>
        </w:tc>
        <w:tc>
          <w:tcPr>
            <w:tcW w:w="1409" w:type="pct"/>
            <w:shd w:val="clear" w:color="auto" w:fill="auto"/>
            <w:tcMar>
              <w:top w:w="10" w:type="dxa"/>
              <w:left w:w="10" w:type="dxa"/>
              <w:bottom w:w="0" w:type="dxa"/>
              <w:right w:w="10" w:type="dxa"/>
            </w:tcMar>
            <w:vAlign w:val="center"/>
            <w:hideMark/>
          </w:tcPr>
          <w:p w14:paraId="790D5092"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$160,457,161.62*</w:t>
            </w:r>
          </w:p>
        </w:tc>
      </w:tr>
      <w:tr w:rsidR="000A7D05" w:rsidRPr="001D081D" w14:paraId="5E782E77" w14:textId="77777777" w:rsidTr="00AE3ED1">
        <w:trPr>
          <w:trHeight w:val="20"/>
        </w:trPr>
        <w:tc>
          <w:tcPr>
            <w:tcW w:w="629" w:type="pct"/>
            <w:shd w:val="clear" w:color="auto" w:fill="auto"/>
            <w:tcMar>
              <w:top w:w="10" w:type="dxa"/>
              <w:left w:w="10" w:type="dxa"/>
              <w:bottom w:w="0" w:type="dxa"/>
              <w:right w:w="10" w:type="dxa"/>
            </w:tcMar>
            <w:vAlign w:val="center"/>
            <w:hideMark/>
          </w:tcPr>
          <w:p w14:paraId="32D1331A" w14:textId="77777777" w:rsidR="000A7D05" w:rsidRPr="003A517E" w:rsidRDefault="000A7D05" w:rsidP="004830DA">
            <w:pPr>
              <w:keepNext/>
              <w:keepLines/>
              <w:autoSpaceDE/>
              <w:autoSpaceDN/>
              <w:adjustRightInd/>
              <w:spacing w:before="40" w:after="40"/>
              <w:ind w:left="125"/>
              <w:textAlignment w:val="bottom"/>
              <w:rPr>
                <w:rFonts w:asciiTheme="minorHAnsi" w:hAnsiTheme="minorHAnsi" w:cstheme="minorHAnsi"/>
                <w:bCs/>
                <w:color w:val="000000"/>
                <w:kern w:val="24"/>
                <w:lang w:eastAsia="en-AU"/>
              </w:rPr>
            </w:pPr>
            <w:r w:rsidRPr="003A517E">
              <w:rPr>
                <w:rFonts w:asciiTheme="minorHAnsi" w:hAnsiTheme="minorHAnsi" w:cstheme="minorHAnsi"/>
                <w:bCs/>
                <w:color w:val="000000"/>
                <w:kern w:val="24"/>
                <w:lang w:eastAsia="en-AU"/>
              </w:rPr>
              <w:t>2020</w:t>
            </w:r>
          </w:p>
        </w:tc>
        <w:tc>
          <w:tcPr>
            <w:tcW w:w="967" w:type="pct"/>
            <w:shd w:val="clear" w:color="auto" w:fill="auto"/>
            <w:tcMar>
              <w:top w:w="10" w:type="dxa"/>
              <w:left w:w="10" w:type="dxa"/>
              <w:bottom w:w="0" w:type="dxa"/>
              <w:right w:w="10" w:type="dxa"/>
            </w:tcMar>
            <w:vAlign w:val="center"/>
            <w:hideMark/>
          </w:tcPr>
          <w:p w14:paraId="1EA22CBC"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 </w:t>
            </w:r>
          </w:p>
        </w:tc>
        <w:tc>
          <w:tcPr>
            <w:tcW w:w="1038" w:type="pct"/>
            <w:shd w:val="clear" w:color="auto" w:fill="auto"/>
            <w:tcMar>
              <w:top w:w="10" w:type="dxa"/>
              <w:left w:w="10" w:type="dxa"/>
              <w:bottom w:w="0" w:type="dxa"/>
              <w:right w:w="10" w:type="dxa"/>
            </w:tcMar>
            <w:vAlign w:val="center"/>
            <w:hideMark/>
          </w:tcPr>
          <w:p w14:paraId="4E9AFC4A"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 </w:t>
            </w:r>
          </w:p>
        </w:tc>
        <w:tc>
          <w:tcPr>
            <w:tcW w:w="957" w:type="pct"/>
            <w:shd w:val="clear" w:color="auto" w:fill="auto"/>
            <w:tcMar>
              <w:top w:w="10" w:type="dxa"/>
              <w:left w:w="10" w:type="dxa"/>
              <w:bottom w:w="0" w:type="dxa"/>
              <w:right w:w="10" w:type="dxa"/>
            </w:tcMar>
            <w:vAlign w:val="center"/>
            <w:hideMark/>
          </w:tcPr>
          <w:p w14:paraId="2ACD947A"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 -</w:t>
            </w:r>
          </w:p>
        </w:tc>
        <w:tc>
          <w:tcPr>
            <w:tcW w:w="1409" w:type="pct"/>
            <w:shd w:val="clear" w:color="auto" w:fill="auto"/>
            <w:tcMar>
              <w:top w:w="10" w:type="dxa"/>
              <w:left w:w="10" w:type="dxa"/>
              <w:bottom w:w="0" w:type="dxa"/>
              <w:right w:w="10" w:type="dxa"/>
            </w:tcMar>
            <w:vAlign w:val="center"/>
            <w:hideMark/>
          </w:tcPr>
          <w:p w14:paraId="2BC5CDE2"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$167,634,410.46*</w:t>
            </w:r>
          </w:p>
        </w:tc>
      </w:tr>
      <w:tr w:rsidR="000A7D05" w:rsidRPr="001D081D" w14:paraId="28DBDAC3" w14:textId="77777777" w:rsidTr="00AE3ED1">
        <w:trPr>
          <w:trHeight w:val="20"/>
        </w:trPr>
        <w:tc>
          <w:tcPr>
            <w:tcW w:w="629" w:type="pct"/>
            <w:shd w:val="clear" w:color="auto" w:fill="auto"/>
            <w:tcMar>
              <w:top w:w="10" w:type="dxa"/>
              <w:left w:w="10" w:type="dxa"/>
              <w:bottom w:w="0" w:type="dxa"/>
              <w:right w:w="10" w:type="dxa"/>
            </w:tcMar>
            <w:vAlign w:val="center"/>
            <w:hideMark/>
          </w:tcPr>
          <w:p w14:paraId="439B837E" w14:textId="77777777" w:rsidR="000A7D05" w:rsidRPr="003A517E" w:rsidRDefault="000A7D05" w:rsidP="004830DA">
            <w:pPr>
              <w:keepNext/>
              <w:keepLines/>
              <w:autoSpaceDE/>
              <w:autoSpaceDN/>
              <w:adjustRightInd/>
              <w:spacing w:before="40" w:after="40"/>
              <w:ind w:left="125"/>
              <w:textAlignment w:val="bottom"/>
              <w:rPr>
                <w:rFonts w:asciiTheme="minorHAnsi" w:hAnsiTheme="minorHAnsi" w:cstheme="minorHAnsi"/>
                <w:bCs/>
                <w:color w:val="000000"/>
                <w:kern w:val="24"/>
                <w:lang w:eastAsia="en-AU"/>
              </w:rPr>
            </w:pPr>
            <w:r w:rsidRPr="003A517E">
              <w:rPr>
                <w:rFonts w:asciiTheme="minorHAnsi" w:hAnsiTheme="minorHAnsi" w:cstheme="minorHAnsi"/>
                <w:bCs/>
                <w:color w:val="000000"/>
                <w:kern w:val="24"/>
                <w:lang w:eastAsia="en-AU"/>
              </w:rPr>
              <w:t>2021</w:t>
            </w:r>
          </w:p>
        </w:tc>
        <w:tc>
          <w:tcPr>
            <w:tcW w:w="967" w:type="pct"/>
            <w:shd w:val="clear" w:color="auto" w:fill="auto"/>
            <w:tcMar>
              <w:top w:w="10" w:type="dxa"/>
              <w:left w:w="10" w:type="dxa"/>
              <w:bottom w:w="0" w:type="dxa"/>
              <w:right w:w="10" w:type="dxa"/>
            </w:tcMar>
            <w:vAlign w:val="center"/>
            <w:hideMark/>
          </w:tcPr>
          <w:p w14:paraId="401040B4"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 -</w:t>
            </w:r>
          </w:p>
        </w:tc>
        <w:tc>
          <w:tcPr>
            <w:tcW w:w="1038" w:type="pct"/>
            <w:shd w:val="clear" w:color="auto" w:fill="auto"/>
            <w:tcMar>
              <w:top w:w="10" w:type="dxa"/>
              <w:left w:w="10" w:type="dxa"/>
              <w:bottom w:w="0" w:type="dxa"/>
              <w:right w:w="10" w:type="dxa"/>
            </w:tcMar>
            <w:vAlign w:val="center"/>
            <w:hideMark/>
          </w:tcPr>
          <w:p w14:paraId="4A8F219E"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 </w:t>
            </w:r>
          </w:p>
        </w:tc>
        <w:tc>
          <w:tcPr>
            <w:tcW w:w="957" w:type="pct"/>
            <w:shd w:val="clear" w:color="auto" w:fill="auto"/>
            <w:tcMar>
              <w:top w:w="10" w:type="dxa"/>
              <w:left w:w="10" w:type="dxa"/>
              <w:bottom w:w="0" w:type="dxa"/>
              <w:right w:w="10" w:type="dxa"/>
            </w:tcMar>
            <w:vAlign w:val="center"/>
            <w:hideMark/>
          </w:tcPr>
          <w:p w14:paraId="70097746"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 -</w:t>
            </w:r>
          </w:p>
        </w:tc>
        <w:tc>
          <w:tcPr>
            <w:tcW w:w="1409" w:type="pct"/>
            <w:shd w:val="clear" w:color="auto" w:fill="auto"/>
            <w:tcMar>
              <w:top w:w="10" w:type="dxa"/>
              <w:left w:w="10" w:type="dxa"/>
              <w:bottom w:w="0" w:type="dxa"/>
              <w:right w:w="10" w:type="dxa"/>
            </w:tcMar>
            <w:vAlign w:val="center"/>
            <w:hideMark/>
          </w:tcPr>
          <w:p w14:paraId="3631A035"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$175,132,697.64*</w:t>
            </w:r>
          </w:p>
        </w:tc>
      </w:tr>
      <w:tr w:rsidR="000A7D05" w:rsidRPr="001D081D" w14:paraId="4C1CDBEB" w14:textId="77777777" w:rsidTr="00AE3ED1">
        <w:trPr>
          <w:trHeight w:val="20"/>
        </w:trPr>
        <w:tc>
          <w:tcPr>
            <w:tcW w:w="629" w:type="pct"/>
            <w:shd w:val="clear" w:color="auto" w:fill="auto"/>
            <w:tcMar>
              <w:top w:w="10" w:type="dxa"/>
              <w:left w:w="10" w:type="dxa"/>
              <w:bottom w:w="0" w:type="dxa"/>
              <w:right w:w="10" w:type="dxa"/>
            </w:tcMar>
            <w:vAlign w:val="center"/>
            <w:hideMark/>
          </w:tcPr>
          <w:p w14:paraId="15642596" w14:textId="77777777" w:rsidR="000A7D05" w:rsidRPr="003A517E" w:rsidRDefault="000A7D05" w:rsidP="004830DA">
            <w:pPr>
              <w:keepNext/>
              <w:keepLines/>
              <w:autoSpaceDE/>
              <w:autoSpaceDN/>
              <w:adjustRightInd/>
              <w:spacing w:before="40" w:after="40"/>
              <w:ind w:left="125"/>
              <w:textAlignment w:val="bottom"/>
              <w:rPr>
                <w:rFonts w:asciiTheme="minorHAnsi" w:hAnsiTheme="minorHAnsi" w:cstheme="minorHAnsi"/>
                <w:bCs/>
                <w:color w:val="000000"/>
                <w:kern w:val="24"/>
                <w:lang w:eastAsia="en-AU"/>
              </w:rPr>
            </w:pPr>
            <w:r w:rsidRPr="003A517E">
              <w:rPr>
                <w:rFonts w:asciiTheme="minorHAnsi" w:hAnsiTheme="minorHAnsi" w:cstheme="minorHAnsi"/>
                <w:bCs/>
                <w:color w:val="000000"/>
                <w:kern w:val="24"/>
                <w:lang w:eastAsia="en-AU"/>
              </w:rPr>
              <w:t>2022</w:t>
            </w:r>
          </w:p>
        </w:tc>
        <w:tc>
          <w:tcPr>
            <w:tcW w:w="967" w:type="pct"/>
            <w:shd w:val="clear" w:color="auto" w:fill="auto"/>
            <w:tcMar>
              <w:top w:w="10" w:type="dxa"/>
              <w:left w:w="10" w:type="dxa"/>
              <w:bottom w:w="0" w:type="dxa"/>
              <w:right w:w="10" w:type="dxa"/>
            </w:tcMar>
            <w:vAlign w:val="center"/>
            <w:hideMark/>
          </w:tcPr>
          <w:p w14:paraId="3E02AE8E"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 -</w:t>
            </w:r>
          </w:p>
        </w:tc>
        <w:tc>
          <w:tcPr>
            <w:tcW w:w="1038" w:type="pct"/>
            <w:shd w:val="clear" w:color="auto" w:fill="auto"/>
            <w:tcMar>
              <w:top w:w="10" w:type="dxa"/>
              <w:left w:w="10" w:type="dxa"/>
              <w:bottom w:w="0" w:type="dxa"/>
              <w:right w:w="10" w:type="dxa"/>
            </w:tcMar>
            <w:vAlign w:val="center"/>
            <w:hideMark/>
          </w:tcPr>
          <w:p w14:paraId="07EF46DF"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 </w:t>
            </w:r>
          </w:p>
        </w:tc>
        <w:tc>
          <w:tcPr>
            <w:tcW w:w="957" w:type="pct"/>
            <w:shd w:val="clear" w:color="auto" w:fill="auto"/>
            <w:tcMar>
              <w:top w:w="10" w:type="dxa"/>
              <w:left w:w="10" w:type="dxa"/>
              <w:bottom w:w="0" w:type="dxa"/>
              <w:right w:w="10" w:type="dxa"/>
            </w:tcMar>
            <w:vAlign w:val="center"/>
            <w:hideMark/>
          </w:tcPr>
          <w:p w14:paraId="017E7EDB"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 -</w:t>
            </w:r>
          </w:p>
        </w:tc>
        <w:tc>
          <w:tcPr>
            <w:tcW w:w="1409" w:type="pct"/>
            <w:shd w:val="clear" w:color="auto" w:fill="auto"/>
            <w:tcMar>
              <w:top w:w="10" w:type="dxa"/>
              <w:left w:w="10" w:type="dxa"/>
              <w:bottom w:w="0" w:type="dxa"/>
              <w:right w:w="10" w:type="dxa"/>
            </w:tcMar>
            <w:vAlign w:val="center"/>
            <w:hideMark/>
          </w:tcPr>
          <w:p w14:paraId="6CD5409E" w14:textId="77777777" w:rsidR="000A7D05" w:rsidRPr="001D081D" w:rsidRDefault="000A7D05" w:rsidP="004830DA">
            <w:pPr>
              <w:keepNext/>
              <w:keepLines/>
              <w:autoSpaceDE/>
              <w:autoSpaceDN/>
              <w:adjustRightInd/>
              <w:spacing w:before="40" w:after="40"/>
              <w:jc w:val="center"/>
              <w:textAlignment w:val="bottom"/>
              <w:rPr>
                <w:rFonts w:asciiTheme="minorHAnsi" w:hAnsiTheme="minorHAnsi" w:cstheme="minorHAnsi"/>
                <w:lang w:eastAsia="en-AU"/>
              </w:rPr>
            </w:pPr>
            <w:r w:rsidRPr="001D081D">
              <w:rPr>
                <w:rFonts w:asciiTheme="minorHAnsi" w:hAnsiTheme="minorHAnsi" w:cstheme="minorHAnsi"/>
                <w:color w:val="000000"/>
                <w:kern w:val="24"/>
                <w:lang w:eastAsia="en-AU"/>
              </w:rPr>
              <w:t>$182,966,383.20*</w:t>
            </w:r>
          </w:p>
        </w:tc>
      </w:tr>
    </w:tbl>
    <w:p w14:paraId="0A2DA8C1" w14:textId="77777777" w:rsidR="000A7D05" w:rsidRPr="001D081D" w:rsidRDefault="000A7D05" w:rsidP="000A7D05">
      <w:pPr>
        <w:spacing w:after="120"/>
        <w:rPr>
          <w:rFonts w:asciiTheme="minorHAnsi" w:hAnsiTheme="minorHAnsi" w:cstheme="minorHAnsi"/>
          <w:sz w:val="18"/>
          <w:szCs w:val="18"/>
        </w:rPr>
      </w:pPr>
      <w:r w:rsidRPr="001D081D">
        <w:rPr>
          <w:rFonts w:asciiTheme="minorHAnsi" w:hAnsiTheme="minorHAnsi" w:cstheme="minorHAnsi"/>
          <w:sz w:val="18"/>
          <w:szCs w:val="18"/>
        </w:rPr>
        <w:t>*Projected national expenditure based on average YOY growth of 4.47</w:t>
      </w:r>
      <w:r w:rsidR="00D72901">
        <w:rPr>
          <w:rFonts w:asciiTheme="minorHAnsi" w:hAnsiTheme="minorHAnsi" w:cstheme="minorHAnsi"/>
          <w:sz w:val="18"/>
          <w:szCs w:val="18"/>
        </w:rPr>
        <w:t xml:space="preserve"> per cent</w:t>
      </w:r>
      <w:r w:rsidRPr="001D081D">
        <w:rPr>
          <w:rFonts w:asciiTheme="minorHAnsi" w:hAnsiTheme="minorHAnsi" w:cstheme="minorHAnsi"/>
          <w:sz w:val="18"/>
          <w:szCs w:val="18"/>
        </w:rPr>
        <w:t xml:space="preserve"> from 2015 – 2018</w:t>
      </w:r>
    </w:p>
    <w:p w14:paraId="14AFBA8D" w14:textId="77777777" w:rsidR="005F1F93" w:rsidRPr="008C2B47" w:rsidRDefault="000A7D05" w:rsidP="008C2B47">
      <w:pPr>
        <w:spacing w:after="120"/>
        <w:rPr>
          <w:rFonts w:asciiTheme="minorHAnsi" w:hAnsiTheme="minorHAnsi" w:cstheme="minorHAnsi"/>
          <w:sz w:val="24"/>
          <w:szCs w:val="24"/>
        </w:rPr>
      </w:pPr>
      <w:r>
        <w:rPr>
          <w:rFonts w:asciiTheme="minorHAnsi" w:hAnsiTheme="minorHAnsi" w:cstheme="minorHAnsi"/>
          <w:sz w:val="24"/>
          <w:szCs w:val="24"/>
        </w:rPr>
        <w:t>The figures above reflect the</w:t>
      </w:r>
      <w:r w:rsidR="005D3A3F">
        <w:rPr>
          <w:rFonts w:asciiTheme="minorHAnsi" w:hAnsiTheme="minorHAnsi" w:cstheme="minorHAnsi"/>
          <w:sz w:val="24"/>
          <w:szCs w:val="24"/>
        </w:rPr>
        <w:t xml:space="preserve"> total</w:t>
      </w:r>
      <w:r>
        <w:rPr>
          <w:rFonts w:asciiTheme="minorHAnsi" w:hAnsiTheme="minorHAnsi" w:cstheme="minorHAnsi"/>
          <w:sz w:val="24"/>
          <w:szCs w:val="24"/>
        </w:rPr>
        <w:t xml:space="preserve"> state and territory</w:t>
      </w:r>
      <w:r w:rsidR="005D3A3F">
        <w:rPr>
          <w:rFonts w:asciiTheme="minorHAnsi" w:hAnsiTheme="minorHAnsi" w:cstheme="minorHAnsi"/>
          <w:sz w:val="24"/>
          <w:szCs w:val="24"/>
        </w:rPr>
        <w:t xml:space="preserve"> and Commonwealth</w:t>
      </w:r>
      <w:r>
        <w:rPr>
          <w:rFonts w:asciiTheme="minorHAnsi" w:hAnsiTheme="minorHAnsi" w:cstheme="minorHAnsi"/>
          <w:sz w:val="24"/>
          <w:szCs w:val="24"/>
        </w:rPr>
        <w:t xml:space="preserve"> contribution</w:t>
      </w:r>
      <w:r w:rsidR="00A25374">
        <w:rPr>
          <w:rFonts w:asciiTheme="minorHAnsi" w:hAnsiTheme="minorHAnsi" w:cstheme="minorHAnsi"/>
          <w:sz w:val="24"/>
          <w:szCs w:val="24"/>
        </w:rPr>
        <w:t>s</w:t>
      </w:r>
      <w:r>
        <w:rPr>
          <w:rFonts w:asciiTheme="minorHAnsi" w:hAnsiTheme="minorHAnsi" w:cstheme="minorHAnsi"/>
          <w:sz w:val="24"/>
          <w:szCs w:val="24"/>
        </w:rPr>
        <w:t xml:space="preserve"> to funding inpatient transplantation care in Australia. </w:t>
      </w:r>
      <w:r w:rsidR="005D3A3F">
        <w:rPr>
          <w:rFonts w:asciiTheme="minorHAnsi" w:hAnsiTheme="minorHAnsi" w:cstheme="minorHAnsi"/>
          <w:sz w:val="24"/>
          <w:szCs w:val="24"/>
        </w:rPr>
        <w:t xml:space="preserve">Governments </w:t>
      </w:r>
      <w:r>
        <w:rPr>
          <w:rFonts w:asciiTheme="minorHAnsi" w:hAnsiTheme="minorHAnsi" w:cstheme="minorHAnsi"/>
          <w:sz w:val="24"/>
          <w:szCs w:val="24"/>
        </w:rPr>
        <w:t>have continued to increase their contribution as activity in transplantation</w:t>
      </w:r>
      <w:r w:rsidR="00FA2ECA">
        <w:rPr>
          <w:rFonts w:asciiTheme="minorHAnsi" w:hAnsiTheme="minorHAnsi" w:cstheme="minorHAnsi"/>
          <w:sz w:val="24"/>
          <w:szCs w:val="24"/>
        </w:rPr>
        <w:t xml:space="preserve"> volumes have</w:t>
      </w:r>
      <w:r>
        <w:rPr>
          <w:rFonts w:asciiTheme="minorHAnsi" w:hAnsiTheme="minorHAnsi" w:cstheme="minorHAnsi"/>
          <w:sz w:val="24"/>
          <w:szCs w:val="24"/>
        </w:rPr>
        <w:t xml:space="preserve"> continued to grow. Their continued commitment is required in order to effectively meet demand for transplantation</w:t>
      </w:r>
      <w:r w:rsidR="00A25374">
        <w:rPr>
          <w:rFonts w:asciiTheme="minorHAnsi" w:hAnsiTheme="minorHAnsi" w:cstheme="minorHAnsi"/>
          <w:sz w:val="24"/>
          <w:szCs w:val="24"/>
        </w:rPr>
        <w:t xml:space="preserve"> in the future</w:t>
      </w:r>
      <w:r>
        <w:rPr>
          <w:rFonts w:asciiTheme="minorHAnsi" w:hAnsiTheme="minorHAnsi" w:cstheme="minorHAnsi"/>
          <w:sz w:val="24"/>
          <w:szCs w:val="24"/>
        </w:rPr>
        <w:t xml:space="preserve"> and achieve the strategic objectives of the national reform agenda.</w:t>
      </w:r>
      <w:r w:rsidR="008C2B47">
        <w:rPr>
          <w:rFonts w:asciiTheme="minorHAnsi" w:hAnsiTheme="minorHAnsi" w:cstheme="minorHAnsi"/>
          <w:sz w:val="24"/>
          <w:szCs w:val="24"/>
        </w:rPr>
        <w:t xml:space="preserve"> </w:t>
      </w:r>
    </w:p>
    <w:p w14:paraId="34945CCF" w14:textId="77777777" w:rsidR="000A7D05" w:rsidRPr="001D081D" w:rsidRDefault="000A7D05" w:rsidP="000A7D05">
      <w:pPr>
        <w:tabs>
          <w:tab w:val="num" w:pos="720"/>
        </w:tabs>
        <w:spacing w:after="120"/>
        <w:rPr>
          <w:rFonts w:asciiTheme="minorHAnsi" w:hAnsiTheme="minorHAnsi" w:cstheme="minorHAnsi"/>
          <w:color w:val="808080" w:themeColor="background1" w:themeShade="80"/>
          <w:sz w:val="24"/>
          <w:szCs w:val="24"/>
        </w:rPr>
      </w:pPr>
      <w:r w:rsidRPr="001D081D">
        <w:rPr>
          <w:rFonts w:asciiTheme="minorHAnsi" w:hAnsiTheme="minorHAnsi" w:cstheme="minorHAnsi"/>
          <w:color w:val="808080" w:themeColor="background1" w:themeShade="80"/>
          <w:sz w:val="24"/>
          <w:szCs w:val="24"/>
        </w:rPr>
        <w:t xml:space="preserve">Funding of retrieval and </w:t>
      </w:r>
      <w:r w:rsidR="00E634FA">
        <w:rPr>
          <w:rFonts w:asciiTheme="minorHAnsi" w:hAnsiTheme="minorHAnsi" w:cstheme="minorHAnsi"/>
          <w:color w:val="808080" w:themeColor="background1" w:themeShade="80"/>
          <w:sz w:val="24"/>
          <w:szCs w:val="24"/>
        </w:rPr>
        <w:t>transplantation services</w:t>
      </w:r>
    </w:p>
    <w:p w14:paraId="3AB943C5" w14:textId="77777777" w:rsidR="000A7D05" w:rsidRDefault="005B56FF" w:rsidP="000A7D05">
      <w:pPr>
        <w:tabs>
          <w:tab w:val="num" w:pos="720"/>
        </w:tabs>
        <w:spacing w:after="120"/>
        <w:rPr>
          <w:rFonts w:asciiTheme="minorHAnsi" w:hAnsiTheme="minorHAnsi" w:cstheme="minorHAnsi"/>
          <w:sz w:val="24"/>
          <w:szCs w:val="24"/>
        </w:rPr>
      </w:pPr>
      <w:r>
        <w:rPr>
          <w:rFonts w:asciiTheme="minorHAnsi" w:hAnsiTheme="minorHAnsi" w:cstheme="minorHAnsi"/>
          <w:sz w:val="24"/>
          <w:szCs w:val="24"/>
        </w:rPr>
        <w:t xml:space="preserve">As discussed in Section </w:t>
      </w:r>
      <w:r w:rsidR="00B46DA0">
        <w:rPr>
          <w:rFonts w:asciiTheme="minorHAnsi" w:hAnsiTheme="minorHAnsi" w:cstheme="minorHAnsi"/>
          <w:sz w:val="24"/>
          <w:szCs w:val="24"/>
        </w:rPr>
        <w:t>4</w:t>
      </w:r>
      <w:r w:rsidR="00EB728C">
        <w:rPr>
          <w:rFonts w:asciiTheme="minorHAnsi" w:hAnsiTheme="minorHAnsi" w:cstheme="minorHAnsi"/>
          <w:sz w:val="24"/>
          <w:szCs w:val="24"/>
        </w:rPr>
        <w:t>.11.2</w:t>
      </w:r>
      <w:r>
        <w:rPr>
          <w:rFonts w:asciiTheme="minorHAnsi" w:hAnsiTheme="minorHAnsi" w:cstheme="minorHAnsi"/>
          <w:sz w:val="24"/>
          <w:szCs w:val="24"/>
        </w:rPr>
        <w:t>, t</w:t>
      </w:r>
      <w:r w:rsidR="000A7D05">
        <w:rPr>
          <w:rFonts w:asciiTheme="minorHAnsi" w:hAnsiTheme="minorHAnsi" w:cstheme="minorHAnsi"/>
          <w:sz w:val="24"/>
          <w:szCs w:val="24"/>
        </w:rPr>
        <w:t xml:space="preserve">o the point of the commencement of the retrieval procedure for organ donation, funding is supported by an Australian Government block payment per patient to the hospital that is treating the donor, as well as state and territory funding for donation service delivery. All recipient costs </w:t>
      </w:r>
      <w:r w:rsidR="007740E4">
        <w:rPr>
          <w:rFonts w:asciiTheme="minorHAnsi" w:hAnsiTheme="minorHAnsi" w:cstheme="minorHAnsi"/>
          <w:sz w:val="24"/>
          <w:szCs w:val="24"/>
        </w:rPr>
        <w:t>(including retrieval, transplantation and inpatient post</w:t>
      </w:r>
      <w:r w:rsidR="00D72901">
        <w:rPr>
          <w:rFonts w:asciiTheme="minorHAnsi" w:hAnsiTheme="minorHAnsi" w:cstheme="minorHAnsi"/>
          <w:sz w:val="24"/>
          <w:szCs w:val="24"/>
        </w:rPr>
        <w:t xml:space="preserve"> </w:t>
      </w:r>
      <w:r w:rsidR="007740E4">
        <w:rPr>
          <w:rFonts w:asciiTheme="minorHAnsi" w:hAnsiTheme="minorHAnsi" w:cstheme="minorHAnsi"/>
          <w:sz w:val="24"/>
          <w:szCs w:val="24"/>
        </w:rPr>
        <w:t xml:space="preserve">transplantation care) </w:t>
      </w:r>
      <w:r w:rsidR="000A7D05">
        <w:rPr>
          <w:rFonts w:asciiTheme="minorHAnsi" w:hAnsiTheme="minorHAnsi" w:cstheme="minorHAnsi"/>
          <w:sz w:val="24"/>
          <w:szCs w:val="24"/>
        </w:rPr>
        <w:t>are funded by state and territory activity based funding systems.</w:t>
      </w:r>
    </w:p>
    <w:p w14:paraId="7069BCD9" w14:textId="77777777" w:rsidR="007740E4" w:rsidRDefault="000A7D05" w:rsidP="000A7D05">
      <w:pPr>
        <w:tabs>
          <w:tab w:val="num" w:pos="720"/>
        </w:tabs>
        <w:spacing w:after="120"/>
        <w:rPr>
          <w:rFonts w:asciiTheme="minorHAnsi" w:hAnsiTheme="minorHAnsi" w:cstheme="minorHAnsi"/>
          <w:sz w:val="24"/>
          <w:szCs w:val="24"/>
        </w:rPr>
      </w:pPr>
      <w:r>
        <w:rPr>
          <w:rFonts w:asciiTheme="minorHAnsi" w:hAnsiTheme="minorHAnsi" w:cstheme="minorHAnsi"/>
          <w:sz w:val="24"/>
          <w:szCs w:val="24"/>
        </w:rPr>
        <w:t xml:space="preserve">As discussed in earlier sections, organ retrieval and inpatient care have evolved substantially over the past </w:t>
      </w:r>
      <w:r w:rsidR="00A25374">
        <w:rPr>
          <w:rFonts w:asciiTheme="minorHAnsi" w:hAnsiTheme="minorHAnsi" w:cstheme="minorHAnsi"/>
          <w:sz w:val="24"/>
          <w:szCs w:val="24"/>
        </w:rPr>
        <w:t>decade</w:t>
      </w:r>
      <w:r>
        <w:rPr>
          <w:rFonts w:asciiTheme="minorHAnsi" w:hAnsiTheme="minorHAnsi" w:cstheme="minorHAnsi"/>
          <w:sz w:val="24"/>
          <w:szCs w:val="24"/>
        </w:rPr>
        <w:t xml:space="preserve">, even more so since the introduction of the reform program. </w:t>
      </w:r>
      <w:r w:rsidR="007740E4">
        <w:rPr>
          <w:rFonts w:asciiTheme="minorHAnsi" w:hAnsiTheme="minorHAnsi" w:cstheme="minorHAnsi"/>
          <w:sz w:val="24"/>
          <w:szCs w:val="24"/>
        </w:rPr>
        <w:t>As such t</w:t>
      </w:r>
      <w:r w:rsidR="007740E4" w:rsidRPr="00C101AD">
        <w:rPr>
          <w:rFonts w:asciiTheme="minorHAnsi" w:hAnsiTheme="minorHAnsi" w:cstheme="minorHAnsi"/>
          <w:sz w:val="24"/>
          <w:szCs w:val="24"/>
        </w:rPr>
        <w:t xml:space="preserve">he Review found that </w:t>
      </w:r>
      <w:r w:rsidR="007740E4">
        <w:rPr>
          <w:rFonts w:asciiTheme="minorHAnsi" w:hAnsiTheme="minorHAnsi" w:cstheme="minorHAnsi"/>
          <w:sz w:val="24"/>
          <w:szCs w:val="24"/>
        </w:rPr>
        <w:t>the NWAU for transplantation has increased for kidney, heart and liver since 2015. In 2018, the average kidney transplantation is</w:t>
      </w:r>
      <w:r w:rsidR="00A25374">
        <w:rPr>
          <w:rFonts w:asciiTheme="minorHAnsi" w:hAnsiTheme="minorHAnsi" w:cstheme="minorHAnsi"/>
          <w:sz w:val="24"/>
          <w:szCs w:val="24"/>
        </w:rPr>
        <w:t xml:space="preserve"> measured at</w:t>
      </w:r>
      <w:r w:rsidR="007740E4">
        <w:rPr>
          <w:rFonts w:asciiTheme="minorHAnsi" w:hAnsiTheme="minorHAnsi" w:cstheme="minorHAnsi"/>
          <w:sz w:val="24"/>
          <w:szCs w:val="24"/>
        </w:rPr>
        <w:t xml:space="preserve"> 9.6 NWAU</w:t>
      </w:r>
      <w:r w:rsidR="007740E4" w:rsidRPr="00C101AD">
        <w:rPr>
          <w:rFonts w:asciiTheme="minorHAnsi" w:hAnsiTheme="minorHAnsi" w:cstheme="minorHAnsi"/>
          <w:sz w:val="24"/>
          <w:szCs w:val="24"/>
        </w:rPr>
        <w:t xml:space="preserve"> </w:t>
      </w:r>
      <w:r w:rsidR="007740E4">
        <w:rPr>
          <w:rFonts w:asciiTheme="minorHAnsi" w:hAnsiTheme="minorHAnsi" w:cstheme="minorHAnsi"/>
          <w:sz w:val="24"/>
          <w:szCs w:val="24"/>
        </w:rPr>
        <w:t>(increased by 0.3 NWAU</w:t>
      </w:r>
      <w:r w:rsidR="00A25374">
        <w:rPr>
          <w:rFonts w:asciiTheme="minorHAnsi" w:hAnsiTheme="minorHAnsi" w:cstheme="minorHAnsi"/>
          <w:sz w:val="24"/>
          <w:szCs w:val="24"/>
        </w:rPr>
        <w:t xml:space="preserve"> since 2017</w:t>
      </w:r>
      <w:r w:rsidR="007740E4">
        <w:rPr>
          <w:rFonts w:asciiTheme="minorHAnsi" w:hAnsiTheme="minorHAnsi" w:cstheme="minorHAnsi"/>
          <w:sz w:val="24"/>
          <w:szCs w:val="24"/>
        </w:rPr>
        <w:t xml:space="preserve">), </w:t>
      </w:r>
      <w:r w:rsidR="007740E4" w:rsidRPr="00C101AD">
        <w:rPr>
          <w:rFonts w:asciiTheme="minorHAnsi" w:hAnsiTheme="minorHAnsi" w:cstheme="minorHAnsi"/>
          <w:sz w:val="24"/>
          <w:szCs w:val="24"/>
        </w:rPr>
        <w:t xml:space="preserve">heart </w:t>
      </w:r>
      <w:r w:rsidR="007740E4">
        <w:rPr>
          <w:rFonts w:asciiTheme="minorHAnsi" w:hAnsiTheme="minorHAnsi" w:cstheme="minorHAnsi"/>
          <w:sz w:val="24"/>
          <w:szCs w:val="24"/>
        </w:rPr>
        <w:t>transplantation is 33.3 NWAU (increased by 2 NWAU</w:t>
      </w:r>
      <w:r w:rsidR="00A25374">
        <w:rPr>
          <w:rFonts w:asciiTheme="minorHAnsi" w:hAnsiTheme="minorHAnsi" w:cstheme="minorHAnsi"/>
          <w:sz w:val="24"/>
          <w:szCs w:val="24"/>
        </w:rPr>
        <w:t xml:space="preserve"> since 2017</w:t>
      </w:r>
      <w:r w:rsidR="007740E4">
        <w:rPr>
          <w:rFonts w:asciiTheme="minorHAnsi" w:hAnsiTheme="minorHAnsi" w:cstheme="minorHAnsi"/>
          <w:sz w:val="24"/>
          <w:szCs w:val="24"/>
        </w:rPr>
        <w:t xml:space="preserve">) and </w:t>
      </w:r>
      <w:r w:rsidR="007740E4" w:rsidRPr="00C101AD">
        <w:rPr>
          <w:rFonts w:asciiTheme="minorHAnsi" w:hAnsiTheme="minorHAnsi" w:cstheme="minorHAnsi"/>
          <w:sz w:val="24"/>
          <w:szCs w:val="24"/>
        </w:rPr>
        <w:t>liver</w:t>
      </w:r>
      <w:r w:rsidR="007740E4">
        <w:rPr>
          <w:rFonts w:asciiTheme="minorHAnsi" w:hAnsiTheme="minorHAnsi" w:cstheme="minorHAnsi"/>
          <w:sz w:val="24"/>
          <w:szCs w:val="24"/>
        </w:rPr>
        <w:t xml:space="preserve"> transplantation is 29 NWAU (increased by 1 NWAU</w:t>
      </w:r>
      <w:r w:rsidR="00A25374">
        <w:rPr>
          <w:rFonts w:asciiTheme="minorHAnsi" w:hAnsiTheme="minorHAnsi" w:cstheme="minorHAnsi"/>
          <w:sz w:val="24"/>
          <w:szCs w:val="24"/>
        </w:rPr>
        <w:t xml:space="preserve"> since 2017</w:t>
      </w:r>
      <w:r w:rsidR="007740E4">
        <w:rPr>
          <w:rFonts w:asciiTheme="minorHAnsi" w:hAnsiTheme="minorHAnsi" w:cstheme="minorHAnsi"/>
          <w:sz w:val="24"/>
          <w:szCs w:val="24"/>
        </w:rPr>
        <w:t>)</w:t>
      </w:r>
      <w:r w:rsidR="007740E4" w:rsidRPr="00C101AD">
        <w:rPr>
          <w:rFonts w:asciiTheme="minorHAnsi" w:hAnsiTheme="minorHAnsi" w:cstheme="minorHAnsi"/>
          <w:sz w:val="24"/>
          <w:szCs w:val="24"/>
        </w:rPr>
        <w:t>.</w:t>
      </w:r>
      <w:r w:rsidR="00D5711B">
        <w:rPr>
          <w:rStyle w:val="FootnoteReference"/>
          <w:rFonts w:cstheme="minorHAnsi"/>
        </w:rPr>
        <w:footnoteReference w:id="179"/>
      </w:r>
      <w:r w:rsidR="007740E4">
        <w:rPr>
          <w:rFonts w:asciiTheme="minorHAnsi" w:hAnsiTheme="minorHAnsi" w:cstheme="minorHAnsi"/>
          <w:sz w:val="24"/>
          <w:szCs w:val="24"/>
        </w:rPr>
        <w:t xml:space="preserve"> </w:t>
      </w:r>
      <w:r>
        <w:rPr>
          <w:rFonts w:asciiTheme="minorHAnsi" w:hAnsiTheme="minorHAnsi" w:cstheme="minorHAnsi"/>
          <w:sz w:val="24"/>
          <w:szCs w:val="24"/>
        </w:rPr>
        <w:t>Th</w:t>
      </w:r>
      <w:r w:rsidR="007740E4">
        <w:rPr>
          <w:rFonts w:asciiTheme="minorHAnsi" w:hAnsiTheme="minorHAnsi" w:cstheme="minorHAnsi"/>
          <w:sz w:val="24"/>
          <w:szCs w:val="24"/>
        </w:rPr>
        <w:t>is</w:t>
      </w:r>
      <w:r>
        <w:rPr>
          <w:rFonts w:asciiTheme="minorHAnsi" w:hAnsiTheme="minorHAnsi" w:cstheme="minorHAnsi"/>
          <w:sz w:val="24"/>
          <w:szCs w:val="24"/>
        </w:rPr>
        <w:t xml:space="preserve"> can be attributed to the</w:t>
      </w:r>
      <w:r w:rsidR="007740E4">
        <w:rPr>
          <w:rFonts w:asciiTheme="minorHAnsi" w:hAnsiTheme="minorHAnsi" w:cstheme="minorHAnsi"/>
          <w:sz w:val="24"/>
          <w:szCs w:val="24"/>
        </w:rPr>
        <w:t xml:space="preserve"> increase </w:t>
      </w:r>
      <w:r w:rsidR="005D3A3F">
        <w:rPr>
          <w:rFonts w:asciiTheme="minorHAnsi" w:hAnsiTheme="minorHAnsi" w:cstheme="minorHAnsi"/>
          <w:sz w:val="24"/>
          <w:szCs w:val="24"/>
        </w:rPr>
        <w:t xml:space="preserve">in costs </w:t>
      </w:r>
      <w:r w:rsidR="007740E4">
        <w:rPr>
          <w:rFonts w:asciiTheme="minorHAnsi" w:hAnsiTheme="minorHAnsi" w:cstheme="minorHAnsi"/>
          <w:sz w:val="24"/>
          <w:szCs w:val="24"/>
        </w:rPr>
        <w:t>in the sector, the</w:t>
      </w:r>
      <w:r>
        <w:rPr>
          <w:rFonts w:asciiTheme="minorHAnsi" w:hAnsiTheme="minorHAnsi" w:cstheme="minorHAnsi"/>
          <w:sz w:val="24"/>
          <w:szCs w:val="24"/>
        </w:rPr>
        <w:t xml:space="preserve"> introduction of new technology (such as ex vivo organ perfusion technologies), new practices (such as </w:t>
      </w:r>
      <w:r w:rsidRPr="00962057">
        <w:rPr>
          <w:rFonts w:asciiTheme="minorHAnsi" w:hAnsiTheme="minorHAnsi" w:cstheme="minorHAnsi"/>
          <w:sz w:val="24"/>
          <w:szCs w:val="24"/>
        </w:rPr>
        <w:t xml:space="preserve">extended length of stay incurred with </w:t>
      </w:r>
      <w:r>
        <w:rPr>
          <w:rFonts w:asciiTheme="minorHAnsi" w:hAnsiTheme="minorHAnsi" w:cstheme="minorHAnsi"/>
          <w:sz w:val="24"/>
          <w:szCs w:val="24"/>
        </w:rPr>
        <w:t>DCD</w:t>
      </w:r>
      <w:r w:rsidRPr="00962057">
        <w:rPr>
          <w:rFonts w:asciiTheme="minorHAnsi" w:hAnsiTheme="minorHAnsi" w:cstheme="minorHAnsi"/>
          <w:sz w:val="24"/>
          <w:szCs w:val="24"/>
        </w:rPr>
        <w:t xml:space="preserve"> organ transplantation</w:t>
      </w:r>
      <w:r>
        <w:rPr>
          <w:rFonts w:asciiTheme="minorHAnsi" w:hAnsiTheme="minorHAnsi" w:cstheme="minorHAnsi"/>
          <w:sz w:val="24"/>
          <w:szCs w:val="24"/>
        </w:rPr>
        <w:t xml:space="preserve">) and new medication treatments (such as new immunosuppressant medication) which have </w:t>
      </w:r>
      <w:r w:rsidR="00A25374">
        <w:rPr>
          <w:rFonts w:asciiTheme="minorHAnsi" w:hAnsiTheme="minorHAnsi" w:cstheme="minorHAnsi"/>
          <w:sz w:val="24"/>
          <w:szCs w:val="24"/>
        </w:rPr>
        <w:t xml:space="preserve">all </w:t>
      </w:r>
      <w:r>
        <w:rPr>
          <w:rFonts w:asciiTheme="minorHAnsi" w:hAnsiTheme="minorHAnsi" w:cstheme="minorHAnsi"/>
          <w:sz w:val="24"/>
          <w:szCs w:val="24"/>
        </w:rPr>
        <w:t xml:space="preserve">contributed to improved retrieval and patient care outcomes. </w:t>
      </w:r>
    </w:p>
    <w:p w14:paraId="237EBA55" w14:textId="77777777" w:rsidR="000A7D05" w:rsidRDefault="000A7D05" w:rsidP="000A7D05">
      <w:pPr>
        <w:tabs>
          <w:tab w:val="num" w:pos="720"/>
        </w:tabs>
        <w:spacing w:after="120"/>
        <w:rPr>
          <w:rFonts w:asciiTheme="minorHAnsi" w:hAnsiTheme="minorHAnsi" w:cstheme="minorHAnsi"/>
          <w:sz w:val="24"/>
          <w:szCs w:val="24"/>
        </w:rPr>
      </w:pPr>
      <w:r>
        <w:rPr>
          <w:rFonts w:asciiTheme="minorHAnsi" w:hAnsiTheme="minorHAnsi" w:cstheme="minorHAnsi"/>
          <w:sz w:val="24"/>
          <w:szCs w:val="24"/>
        </w:rPr>
        <w:t xml:space="preserve">The Review found that the </w:t>
      </w:r>
      <w:r w:rsidRPr="00962057">
        <w:rPr>
          <w:rFonts w:asciiTheme="minorHAnsi" w:hAnsiTheme="minorHAnsi" w:cstheme="minorHAnsi"/>
          <w:sz w:val="24"/>
          <w:szCs w:val="24"/>
        </w:rPr>
        <w:t>current A</w:t>
      </w:r>
      <w:r>
        <w:rPr>
          <w:rFonts w:asciiTheme="minorHAnsi" w:hAnsiTheme="minorHAnsi" w:cstheme="minorHAnsi"/>
          <w:sz w:val="24"/>
          <w:szCs w:val="24"/>
        </w:rPr>
        <w:t xml:space="preserve">ustralian Revised Diagnosis Related Groups </w:t>
      </w:r>
      <w:r w:rsidRPr="00962057">
        <w:rPr>
          <w:rFonts w:asciiTheme="minorHAnsi" w:hAnsiTheme="minorHAnsi" w:cstheme="minorHAnsi"/>
          <w:sz w:val="24"/>
          <w:szCs w:val="24"/>
        </w:rPr>
        <w:t>classification arrangements for organ</w:t>
      </w:r>
      <w:r>
        <w:rPr>
          <w:rFonts w:asciiTheme="minorHAnsi" w:hAnsiTheme="minorHAnsi" w:cstheme="minorHAnsi"/>
          <w:sz w:val="24"/>
          <w:szCs w:val="24"/>
        </w:rPr>
        <w:t xml:space="preserve"> retrieval and</w:t>
      </w:r>
      <w:r w:rsidRPr="00962057">
        <w:rPr>
          <w:rFonts w:asciiTheme="minorHAnsi" w:hAnsiTheme="minorHAnsi" w:cstheme="minorHAnsi"/>
          <w:sz w:val="24"/>
          <w:szCs w:val="24"/>
        </w:rPr>
        <w:t xml:space="preserve"> transplantation </w:t>
      </w:r>
      <w:r>
        <w:rPr>
          <w:rFonts w:asciiTheme="minorHAnsi" w:hAnsiTheme="minorHAnsi" w:cstheme="minorHAnsi"/>
          <w:sz w:val="24"/>
          <w:szCs w:val="24"/>
        </w:rPr>
        <w:t xml:space="preserve">do not currently accurately reflect the potential complexity of current practices. Further, retrieval and transplantation are currently classified within the one </w:t>
      </w:r>
      <w:r w:rsidRPr="00962057">
        <w:rPr>
          <w:rFonts w:asciiTheme="minorHAnsi" w:hAnsiTheme="minorHAnsi" w:cstheme="minorHAnsi"/>
          <w:sz w:val="24"/>
          <w:szCs w:val="24"/>
        </w:rPr>
        <w:t>A</w:t>
      </w:r>
      <w:r>
        <w:rPr>
          <w:rFonts w:asciiTheme="minorHAnsi" w:hAnsiTheme="minorHAnsi" w:cstheme="minorHAnsi"/>
          <w:sz w:val="24"/>
          <w:szCs w:val="24"/>
        </w:rPr>
        <w:t xml:space="preserve">ustralian Revised Diagnosis Related Groups making it difficult to accurately </w:t>
      </w:r>
      <w:r w:rsidR="00B42FDF">
        <w:rPr>
          <w:rFonts w:asciiTheme="minorHAnsi" w:hAnsiTheme="minorHAnsi" w:cstheme="minorHAnsi"/>
          <w:sz w:val="24"/>
          <w:szCs w:val="24"/>
        </w:rPr>
        <w:t xml:space="preserve">ascertain </w:t>
      </w:r>
      <w:r>
        <w:rPr>
          <w:rFonts w:asciiTheme="minorHAnsi" w:hAnsiTheme="minorHAnsi" w:cstheme="minorHAnsi"/>
          <w:sz w:val="24"/>
          <w:szCs w:val="24"/>
        </w:rPr>
        <w:t>costs. As a result, current practices cannot be appropriately accounted for and accurate planning cannot be undertaken to manage funding into the future. Furthermore, in the circumstance where retrieval is undertaken (and a cost is incurred) and transplantation does not eventuate, the transplantation unit is not reimbursed for the cost of the retrieval because the current model allocates retrieval costs to the recipient. The Review found that it would be more appropriate for retrieval costing to be attached to the donor activity and funding or ‘de-coupled’ to counteract this issue.</w:t>
      </w:r>
    </w:p>
    <w:p w14:paraId="4FBF1F20" w14:textId="77777777" w:rsidR="000A7D05" w:rsidRDefault="000A7D05" w:rsidP="000A7D05">
      <w:pPr>
        <w:tabs>
          <w:tab w:val="num" w:pos="720"/>
        </w:tabs>
        <w:spacing w:after="120"/>
        <w:rPr>
          <w:rFonts w:asciiTheme="minorHAnsi" w:hAnsiTheme="minorHAnsi" w:cstheme="minorHAnsi"/>
          <w:sz w:val="24"/>
          <w:szCs w:val="24"/>
        </w:rPr>
      </w:pPr>
      <w:r>
        <w:rPr>
          <w:rFonts w:asciiTheme="minorHAnsi" w:hAnsiTheme="minorHAnsi" w:cstheme="minorHAnsi"/>
          <w:sz w:val="24"/>
          <w:szCs w:val="24"/>
        </w:rPr>
        <w:t xml:space="preserve">Further, the Review found that Australian Government block funding provided to hospitals for donation has not been effectively indexed. Currently the </w:t>
      </w:r>
      <w:r w:rsidR="00407DB0">
        <w:rPr>
          <w:rFonts w:asciiTheme="minorHAnsi" w:hAnsiTheme="minorHAnsi" w:cstheme="minorHAnsi"/>
          <w:sz w:val="24"/>
          <w:szCs w:val="24"/>
        </w:rPr>
        <w:t xml:space="preserve">Australian Government, through the OTA </w:t>
      </w:r>
      <w:r>
        <w:rPr>
          <w:rFonts w:asciiTheme="minorHAnsi" w:hAnsiTheme="minorHAnsi" w:cstheme="minorHAnsi"/>
          <w:sz w:val="24"/>
          <w:szCs w:val="24"/>
        </w:rPr>
        <w:t>provide a capped payment of $10,000</w:t>
      </w:r>
      <w:r w:rsidR="00364D3E">
        <w:rPr>
          <w:rFonts w:asciiTheme="minorHAnsi" w:hAnsiTheme="minorHAnsi" w:cstheme="minorHAnsi"/>
          <w:sz w:val="24"/>
          <w:szCs w:val="24"/>
        </w:rPr>
        <w:t xml:space="preserve"> AUD</w:t>
      </w:r>
      <w:r>
        <w:rPr>
          <w:rFonts w:asciiTheme="minorHAnsi" w:hAnsiTheme="minorHAnsi" w:cstheme="minorHAnsi"/>
          <w:sz w:val="24"/>
          <w:szCs w:val="24"/>
        </w:rPr>
        <w:t xml:space="preserve"> to each hospital per donation patient. This funding </w:t>
      </w:r>
      <w:r w:rsidR="00407DB0">
        <w:rPr>
          <w:rFonts w:asciiTheme="minorHAnsi" w:hAnsiTheme="minorHAnsi" w:cstheme="minorHAnsi"/>
          <w:sz w:val="24"/>
          <w:szCs w:val="24"/>
        </w:rPr>
        <w:t xml:space="preserve">is </w:t>
      </w:r>
      <w:r>
        <w:rPr>
          <w:rFonts w:asciiTheme="minorHAnsi" w:hAnsiTheme="minorHAnsi" w:cstheme="minorHAnsi"/>
          <w:sz w:val="24"/>
          <w:szCs w:val="24"/>
        </w:rPr>
        <w:t>to assist with intensive care unit sustainment of potential organ donors and theatre access for donation. The Review found that the payment</w:t>
      </w:r>
      <w:r w:rsidR="00B42FDF">
        <w:rPr>
          <w:rFonts w:asciiTheme="minorHAnsi" w:hAnsiTheme="minorHAnsi" w:cstheme="minorHAnsi"/>
          <w:sz w:val="24"/>
          <w:szCs w:val="24"/>
        </w:rPr>
        <w:t>s</w:t>
      </w:r>
      <w:r>
        <w:rPr>
          <w:rFonts w:asciiTheme="minorHAnsi" w:hAnsiTheme="minorHAnsi" w:cstheme="minorHAnsi"/>
          <w:sz w:val="24"/>
          <w:szCs w:val="24"/>
        </w:rPr>
        <w:t xml:space="preserve"> that reaches the hospitals ha</w:t>
      </w:r>
      <w:r w:rsidR="00B42FDF">
        <w:rPr>
          <w:rFonts w:asciiTheme="minorHAnsi" w:hAnsiTheme="minorHAnsi" w:cstheme="minorHAnsi"/>
          <w:sz w:val="24"/>
          <w:szCs w:val="24"/>
        </w:rPr>
        <w:t>ve</w:t>
      </w:r>
      <w:r>
        <w:rPr>
          <w:rFonts w:asciiTheme="minorHAnsi" w:hAnsiTheme="minorHAnsi" w:cstheme="minorHAnsi"/>
          <w:sz w:val="24"/>
          <w:szCs w:val="24"/>
        </w:rPr>
        <w:t xml:space="preserve"> not been indexed since inception in 2009 and does not adequately reflect the needs of hospitals undertaking the organ donation.</w:t>
      </w:r>
    </w:p>
    <w:p w14:paraId="7219FD11" w14:textId="77777777" w:rsidR="000A7D05" w:rsidRDefault="000A7D05" w:rsidP="000A7D05">
      <w:pPr>
        <w:tabs>
          <w:tab w:val="num" w:pos="720"/>
        </w:tabs>
        <w:spacing w:after="120"/>
        <w:rPr>
          <w:rFonts w:asciiTheme="minorHAnsi" w:hAnsiTheme="minorHAnsi" w:cstheme="minorHAnsi"/>
          <w:sz w:val="24"/>
          <w:szCs w:val="24"/>
        </w:rPr>
      </w:pPr>
      <w:r>
        <w:rPr>
          <w:rFonts w:asciiTheme="minorHAnsi" w:hAnsiTheme="minorHAnsi" w:cstheme="minorHAnsi"/>
          <w:sz w:val="24"/>
          <w:szCs w:val="24"/>
        </w:rPr>
        <w:t>Clinicians consulted through the Review reported that the costs of undertaking the donation, retrieval and transplantation process for DCD</w:t>
      </w:r>
      <w:r w:rsidR="003E2D97">
        <w:rPr>
          <w:rFonts w:asciiTheme="minorHAnsi" w:hAnsiTheme="minorHAnsi" w:cstheme="minorHAnsi"/>
          <w:sz w:val="24"/>
          <w:szCs w:val="24"/>
        </w:rPr>
        <w:t xml:space="preserve"> donated organs and organs from extended criteria donors were</w:t>
      </w:r>
      <w:r>
        <w:rPr>
          <w:rFonts w:asciiTheme="minorHAnsi" w:hAnsiTheme="minorHAnsi" w:cstheme="minorHAnsi"/>
          <w:sz w:val="24"/>
          <w:szCs w:val="24"/>
        </w:rPr>
        <w:t xml:space="preserve"> higher than DBD organs and this is not currently reflected in the funding for these procedures. The Review finds that this reported concern should be clarified through a costing study of these variables.  </w:t>
      </w:r>
    </w:p>
    <w:p w14:paraId="6A0E6B56" w14:textId="77777777" w:rsidR="000A7D05" w:rsidRPr="00266A77" w:rsidRDefault="000A7D05" w:rsidP="000A7D05">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Summary of key findings</w:t>
      </w:r>
    </w:p>
    <w:p w14:paraId="4638AD51" w14:textId="77777777" w:rsidR="000A7D05" w:rsidRDefault="000A7D05" w:rsidP="000A7D05">
      <w:pPr>
        <w:pStyle w:val="ListParagraph"/>
        <w:numPr>
          <w:ilvl w:val="0"/>
          <w:numId w:val="23"/>
        </w:numPr>
        <w:spacing w:after="120"/>
        <w:rPr>
          <w:rFonts w:asciiTheme="minorHAnsi" w:hAnsiTheme="minorHAnsi" w:cstheme="minorHAnsi"/>
          <w:sz w:val="24"/>
          <w:szCs w:val="24"/>
          <w:lang w:val="en-GB"/>
        </w:rPr>
      </w:pPr>
      <w:r>
        <w:rPr>
          <w:rFonts w:asciiTheme="minorHAnsi" w:hAnsiTheme="minorHAnsi" w:cstheme="minorHAnsi"/>
          <w:sz w:val="24"/>
          <w:szCs w:val="24"/>
          <w:lang w:val="en-GB"/>
        </w:rPr>
        <w:t xml:space="preserve">The current </w:t>
      </w:r>
      <w:r w:rsidR="005D3A3F">
        <w:rPr>
          <w:rFonts w:asciiTheme="minorHAnsi" w:hAnsiTheme="minorHAnsi" w:cstheme="minorHAnsi"/>
          <w:sz w:val="24"/>
          <w:szCs w:val="24"/>
          <w:lang w:val="en-GB"/>
        </w:rPr>
        <w:t>national Activity Based Funding</w:t>
      </w:r>
      <w:r w:rsidR="00845AF5">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model does not adequately cover costs in the </w:t>
      </w:r>
      <w:r>
        <w:rPr>
          <w:rFonts w:asciiTheme="minorHAnsi" w:hAnsiTheme="minorHAnsi" w:cstheme="minorHAnsi"/>
          <w:sz w:val="24"/>
          <w:szCs w:val="24"/>
        </w:rPr>
        <w:t>circumstance where retrieval is undertaken (and a cost is incurred) and transplantation does not eventuate. The current model allocates retrieval costs to the recipient</w:t>
      </w:r>
      <w:r w:rsidR="004C11C3">
        <w:rPr>
          <w:rFonts w:asciiTheme="minorHAnsi" w:hAnsiTheme="minorHAnsi" w:cstheme="minorHAnsi"/>
          <w:sz w:val="24"/>
          <w:szCs w:val="24"/>
        </w:rPr>
        <w:t>; however,</w:t>
      </w:r>
      <w:r>
        <w:rPr>
          <w:rFonts w:asciiTheme="minorHAnsi" w:hAnsiTheme="minorHAnsi" w:cstheme="minorHAnsi"/>
          <w:sz w:val="24"/>
          <w:szCs w:val="24"/>
        </w:rPr>
        <w:t xml:space="preserve"> if the transplant does not occur, the transplantation unit is not reimbursed for the cost of the retrieval.</w:t>
      </w:r>
      <w:r>
        <w:rPr>
          <w:rFonts w:asciiTheme="minorHAnsi" w:hAnsiTheme="minorHAnsi" w:cstheme="minorHAnsi"/>
          <w:sz w:val="24"/>
          <w:szCs w:val="24"/>
          <w:lang w:val="en-GB"/>
        </w:rPr>
        <w:t xml:space="preserve"> </w:t>
      </w:r>
    </w:p>
    <w:p w14:paraId="075DC58F" w14:textId="77777777" w:rsidR="000A7D05" w:rsidRPr="002A4039" w:rsidRDefault="000A7D05" w:rsidP="000A7D05">
      <w:pPr>
        <w:pStyle w:val="ListParagraph"/>
        <w:numPr>
          <w:ilvl w:val="0"/>
          <w:numId w:val="23"/>
        </w:numPr>
        <w:spacing w:after="120"/>
        <w:rPr>
          <w:rFonts w:asciiTheme="minorHAnsi" w:hAnsiTheme="minorHAnsi" w:cstheme="minorHAnsi"/>
          <w:sz w:val="24"/>
          <w:szCs w:val="24"/>
          <w:lang w:val="en-GB"/>
        </w:rPr>
      </w:pPr>
      <w:r w:rsidRPr="002A4039">
        <w:rPr>
          <w:rFonts w:asciiTheme="minorHAnsi" w:hAnsiTheme="minorHAnsi" w:cstheme="minorHAnsi"/>
          <w:sz w:val="24"/>
          <w:szCs w:val="24"/>
          <w:lang w:val="en-GB"/>
        </w:rPr>
        <w:t>There is anecdotal evidence that the costs of the retrieval and inpatient phase of care have increased substantially in recent years</w:t>
      </w:r>
      <w:r>
        <w:rPr>
          <w:rFonts w:asciiTheme="minorHAnsi" w:hAnsiTheme="minorHAnsi" w:cstheme="minorHAnsi"/>
          <w:sz w:val="24"/>
          <w:szCs w:val="24"/>
          <w:lang w:val="en-GB"/>
        </w:rPr>
        <w:t>. This is due to factors such as</w:t>
      </w:r>
      <w:r w:rsidRPr="002A4039">
        <w:rPr>
          <w:rFonts w:asciiTheme="minorHAnsi" w:hAnsiTheme="minorHAnsi" w:cstheme="minorHAnsi"/>
          <w:sz w:val="24"/>
          <w:szCs w:val="24"/>
          <w:lang w:val="en-GB"/>
        </w:rPr>
        <w:t xml:space="preserve"> the introduction of ex</w:t>
      </w:r>
      <w:r>
        <w:rPr>
          <w:rFonts w:asciiTheme="minorHAnsi" w:hAnsiTheme="minorHAnsi" w:cstheme="minorHAnsi"/>
          <w:sz w:val="24"/>
          <w:szCs w:val="24"/>
          <w:lang w:val="en-GB"/>
        </w:rPr>
        <w:t xml:space="preserve"> </w:t>
      </w:r>
      <w:r w:rsidRPr="002A4039">
        <w:rPr>
          <w:rFonts w:asciiTheme="minorHAnsi" w:hAnsiTheme="minorHAnsi" w:cstheme="minorHAnsi"/>
          <w:sz w:val="24"/>
          <w:szCs w:val="24"/>
          <w:lang w:val="en-GB"/>
        </w:rPr>
        <w:t>vivo</w:t>
      </w:r>
      <w:r>
        <w:rPr>
          <w:rFonts w:asciiTheme="minorHAnsi" w:hAnsiTheme="minorHAnsi" w:cstheme="minorHAnsi"/>
          <w:sz w:val="24"/>
          <w:szCs w:val="24"/>
          <w:lang w:val="en-GB"/>
        </w:rPr>
        <w:t xml:space="preserve"> perfusion</w:t>
      </w:r>
      <w:r w:rsidRPr="002A4039">
        <w:rPr>
          <w:rFonts w:asciiTheme="minorHAnsi" w:hAnsiTheme="minorHAnsi" w:cstheme="minorHAnsi"/>
          <w:sz w:val="24"/>
          <w:szCs w:val="24"/>
          <w:lang w:val="en-GB"/>
        </w:rPr>
        <w:t xml:space="preserve"> technologies</w:t>
      </w:r>
      <w:r>
        <w:rPr>
          <w:rFonts w:asciiTheme="minorHAnsi" w:hAnsiTheme="minorHAnsi" w:cstheme="minorHAnsi"/>
          <w:sz w:val="24"/>
          <w:szCs w:val="24"/>
          <w:lang w:val="en-GB"/>
        </w:rPr>
        <w:t>,</w:t>
      </w:r>
      <w:r w:rsidRPr="002A4039">
        <w:rPr>
          <w:rFonts w:asciiTheme="minorHAnsi" w:hAnsiTheme="minorHAnsi" w:cstheme="minorHAnsi"/>
          <w:sz w:val="24"/>
          <w:szCs w:val="24"/>
          <w:lang w:val="en-GB"/>
        </w:rPr>
        <w:t xml:space="preserve"> new immunosuppressant medication as well as the extended length of stay incurred with </w:t>
      </w:r>
      <w:r>
        <w:rPr>
          <w:rFonts w:asciiTheme="minorHAnsi" w:hAnsiTheme="minorHAnsi" w:cstheme="minorHAnsi"/>
          <w:sz w:val="24"/>
          <w:szCs w:val="24"/>
          <w:lang w:val="en-GB"/>
        </w:rPr>
        <w:t xml:space="preserve">rising rates of </w:t>
      </w:r>
      <w:r w:rsidRPr="002A4039">
        <w:rPr>
          <w:rFonts w:asciiTheme="minorHAnsi" w:hAnsiTheme="minorHAnsi" w:cstheme="minorHAnsi"/>
          <w:sz w:val="24"/>
          <w:szCs w:val="24"/>
          <w:lang w:val="en-GB"/>
        </w:rPr>
        <w:t>DCD donated organ transplantation.</w:t>
      </w:r>
      <w:r w:rsidR="005D3A3F">
        <w:rPr>
          <w:rFonts w:asciiTheme="minorHAnsi" w:hAnsiTheme="minorHAnsi" w:cstheme="minorHAnsi"/>
          <w:sz w:val="24"/>
          <w:szCs w:val="24"/>
          <w:lang w:val="en-GB"/>
        </w:rPr>
        <w:t xml:space="preserve"> This appears to be reflected in the national </w:t>
      </w:r>
      <w:r w:rsidR="00845AF5">
        <w:rPr>
          <w:rFonts w:asciiTheme="minorHAnsi" w:hAnsiTheme="minorHAnsi" w:cstheme="minorHAnsi"/>
          <w:sz w:val="24"/>
          <w:szCs w:val="24"/>
          <w:lang w:val="en-GB"/>
        </w:rPr>
        <w:t>Activity Based Funding</w:t>
      </w:r>
      <w:r w:rsidR="00845AF5" w:rsidDel="00845AF5">
        <w:rPr>
          <w:rFonts w:asciiTheme="minorHAnsi" w:hAnsiTheme="minorHAnsi" w:cstheme="minorHAnsi"/>
          <w:sz w:val="24"/>
          <w:szCs w:val="24"/>
          <w:lang w:val="en-GB"/>
        </w:rPr>
        <w:t xml:space="preserve"> </w:t>
      </w:r>
      <w:r w:rsidR="005D3A3F">
        <w:rPr>
          <w:rFonts w:asciiTheme="minorHAnsi" w:hAnsiTheme="minorHAnsi" w:cstheme="minorHAnsi"/>
          <w:sz w:val="24"/>
          <w:szCs w:val="24"/>
          <w:lang w:val="en-GB"/>
        </w:rPr>
        <w:t>model through increasing price weights.</w:t>
      </w:r>
    </w:p>
    <w:p w14:paraId="3370BD37" w14:textId="77777777" w:rsidR="000A7D05" w:rsidRPr="002A4039" w:rsidRDefault="000A7D05" w:rsidP="000A7D05">
      <w:pPr>
        <w:pStyle w:val="ListParagraph"/>
        <w:numPr>
          <w:ilvl w:val="0"/>
          <w:numId w:val="23"/>
        </w:numPr>
        <w:spacing w:after="120"/>
        <w:rPr>
          <w:rFonts w:asciiTheme="minorHAnsi" w:hAnsiTheme="minorHAnsi" w:cstheme="minorHAnsi"/>
          <w:sz w:val="24"/>
          <w:szCs w:val="24"/>
          <w:lang w:val="en-GB"/>
        </w:rPr>
      </w:pPr>
      <w:r w:rsidRPr="002A4039">
        <w:rPr>
          <w:rFonts w:asciiTheme="minorHAnsi" w:hAnsiTheme="minorHAnsi" w:cstheme="minorHAnsi"/>
          <w:sz w:val="24"/>
          <w:szCs w:val="24"/>
          <w:lang w:val="en-GB"/>
        </w:rPr>
        <w:t xml:space="preserve">The current </w:t>
      </w:r>
      <w:r>
        <w:rPr>
          <w:rFonts w:asciiTheme="minorHAnsi" w:hAnsiTheme="minorHAnsi" w:cstheme="minorHAnsi"/>
          <w:sz w:val="24"/>
          <w:szCs w:val="24"/>
          <w:lang w:val="en-GB"/>
        </w:rPr>
        <w:t>Australian Revised Diagnosis Related Groups</w:t>
      </w:r>
      <w:r w:rsidRPr="002A4039">
        <w:rPr>
          <w:rFonts w:asciiTheme="minorHAnsi" w:hAnsiTheme="minorHAnsi" w:cstheme="minorHAnsi"/>
          <w:sz w:val="24"/>
          <w:szCs w:val="24"/>
          <w:lang w:val="en-GB"/>
        </w:rPr>
        <w:t xml:space="preserve"> classification arrangements for organ transplantation are not sufficiently refined to accurately price the difference in costs between DCD and </w:t>
      </w:r>
      <w:r>
        <w:rPr>
          <w:rFonts w:asciiTheme="minorHAnsi" w:hAnsiTheme="minorHAnsi" w:cstheme="minorHAnsi"/>
          <w:sz w:val="24"/>
          <w:szCs w:val="24"/>
          <w:lang w:val="en-GB"/>
        </w:rPr>
        <w:t>DBD</w:t>
      </w:r>
      <w:r w:rsidRPr="002A4039">
        <w:rPr>
          <w:rFonts w:asciiTheme="minorHAnsi" w:hAnsiTheme="minorHAnsi" w:cstheme="minorHAnsi"/>
          <w:sz w:val="24"/>
          <w:szCs w:val="24"/>
          <w:lang w:val="en-GB"/>
        </w:rPr>
        <w:t xml:space="preserve"> donated organ transplantation.</w:t>
      </w:r>
    </w:p>
    <w:p w14:paraId="0717BEA6" w14:textId="77777777" w:rsidR="000A7D05" w:rsidRDefault="000A7D05" w:rsidP="000A7D05">
      <w:pPr>
        <w:pStyle w:val="ListParagraph"/>
        <w:numPr>
          <w:ilvl w:val="0"/>
          <w:numId w:val="23"/>
        </w:numPr>
        <w:spacing w:after="120"/>
        <w:rPr>
          <w:rFonts w:asciiTheme="minorHAnsi" w:hAnsiTheme="minorHAnsi" w:cstheme="minorHAnsi"/>
          <w:sz w:val="24"/>
          <w:szCs w:val="24"/>
          <w:lang w:val="en-GB"/>
        </w:rPr>
      </w:pPr>
      <w:r w:rsidRPr="00930024">
        <w:rPr>
          <w:rFonts w:asciiTheme="minorHAnsi" w:hAnsiTheme="minorHAnsi" w:cstheme="minorHAnsi"/>
          <w:sz w:val="24"/>
          <w:szCs w:val="24"/>
          <w:lang w:val="en-GB"/>
        </w:rPr>
        <w:t xml:space="preserve">The </w:t>
      </w:r>
      <w:r w:rsidR="00407DB0">
        <w:rPr>
          <w:rFonts w:asciiTheme="minorHAnsi" w:hAnsiTheme="minorHAnsi" w:cstheme="minorHAnsi"/>
          <w:sz w:val="24"/>
          <w:szCs w:val="24"/>
          <w:lang w:val="en-GB"/>
        </w:rPr>
        <w:t>Australian Government</w:t>
      </w:r>
      <w:r w:rsidR="00407DB0" w:rsidRPr="00930024">
        <w:rPr>
          <w:rFonts w:asciiTheme="minorHAnsi" w:hAnsiTheme="minorHAnsi" w:cstheme="minorHAnsi"/>
          <w:sz w:val="24"/>
          <w:szCs w:val="24"/>
          <w:lang w:val="en-GB"/>
        </w:rPr>
        <w:t xml:space="preserve"> </w:t>
      </w:r>
      <w:r w:rsidRPr="00930024">
        <w:rPr>
          <w:rFonts w:asciiTheme="minorHAnsi" w:hAnsiTheme="minorHAnsi" w:cstheme="minorHAnsi"/>
          <w:sz w:val="24"/>
          <w:szCs w:val="24"/>
          <w:lang w:val="en-GB"/>
        </w:rPr>
        <w:t>funding contribution to hospitals to support organ donation has not been indexed since its inception.</w:t>
      </w:r>
    </w:p>
    <w:p w14:paraId="18073AA8" w14:textId="77777777" w:rsidR="000A7D05" w:rsidRPr="002A4039" w:rsidRDefault="000A7D05" w:rsidP="000A7D05">
      <w:pPr>
        <w:tabs>
          <w:tab w:val="num" w:pos="720"/>
        </w:tabs>
        <w:spacing w:after="120"/>
        <w:rPr>
          <w:rFonts w:asciiTheme="minorHAnsi" w:hAnsiTheme="minorHAnsi" w:cstheme="minorHAnsi"/>
          <w:i/>
          <w:color w:val="808080" w:themeColor="background1" w:themeShade="80"/>
          <w:sz w:val="24"/>
          <w:szCs w:val="24"/>
        </w:rPr>
      </w:pPr>
      <w:r w:rsidRPr="00266A77">
        <w:rPr>
          <w:rFonts w:asciiTheme="minorHAnsi" w:hAnsiTheme="minorHAnsi" w:cstheme="minorHAnsi"/>
          <w:i/>
          <w:color w:val="808080" w:themeColor="background1" w:themeShade="80"/>
          <w:sz w:val="26"/>
          <w:szCs w:val="26"/>
        </w:rPr>
        <w:t>Recommendations</w:t>
      </w:r>
    </w:p>
    <w:tbl>
      <w:tblPr>
        <w:tblStyle w:val="TableGrid"/>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fifty two is that the IHPA conduct a costing study and classification review for the classification of organ donation, retrieval and transplantation to take into account the cost impact of the use of DCD donated organs and organs from extended criteria donors and to appropriately attribute retrieval costs. Recommendation fifty three is that consideration be given by the Australian Government to applying indexation to the Organ Donation Hospital Support Funding (ODHSF) at the same rate as the indexation of the National Efficient Price as determined by the IHPA annually."/>
      </w:tblPr>
      <w:tblGrid>
        <w:gridCol w:w="2268"/>
        <w:gridCol w:w="7479"/>
      </w:tblGrid>
      <w:tr w:rsidR="00B962D9" w:rsidRPr="00B60A37" w14:paraId="61052574" w14:textId="77777777" w:rsidTr="00B65E19">
        <w:trPr>
          <w:tblHeader/>
        </w:trPr>
        <w:tc>
          <w:tcPr>
            <w:tcW w:w="2268" w:type="dxa"/>
            <w:shd w:val="clear" w:color="auto" w:fill="595959" w:themeFill="text1" w:themeFillTint="A6"/>
          </w:tcPr>
          <w:p w14:paraId="5D516BD7" w14:textId="1895B7B8" w:rsidR="00B962D9" w:rsidRPr="00AE3ED1" w:rsidRDefault="00B962D9" w:rsidP="006449E1">
            <w:pPr>
              <w:spacing w:after="120"/>
              <w:ind w:right="-321"/>
              <w:rPr>
                <w:rFonts w:asciiTheme="minorHAnsi" w:hAnsiTheme="minorHAnsi" w:cstheme="minorHAnsi"/>
                <w:b/>
                <w:color w:val="FFFFFF" w:themeColor="background1"/>
                <w:sz w:val="24"/>
                <w:szCs w:val="24"/>
                <w:lang w:val="en-GB"/>
              </w:rPr>
            </w:pPr>
            <w:r w:rsidRPr="00AE3ED1">
              <w:rPr>
                <w:rFonts w:asciiTheme="minorHAnsi" w:hAnsiTheme="minorHAnsi" w:cstheme="minorHAnsi"/>
                <w:b/>
                <w:color w:val="FFFFFF" w:themeColor="background1"/>
                <w:sz w:val="24"/>
                <w:szCs w:val="24"/>
                <w:lang w:val="en-GB"/>
              </w:rPr>
              <w:t>Recommendation</w:t>
            </w:r>
          </w:p>
        </w:tc>
        <w:tc>
          <w:tcPr>
            <w:tcW w:w="7479" w:type="dxa"/>
            <w:shd w:val="clear" w:color="auto" w:fill="595959" w:themeFill="text1" w:themeFillTint="A6"/>
          </w:tcPr>
          <w:p w14:paraId="17A2F106" w14:textId="6C55523C" w:rsidR="00B962D9" w:rsidRPr="00AE3ED1" w:rsidRDefault="00B962D9" w:rsidP="006449E1">
            <w:pPr>
              <w:spacing w:after="120"/>
              <w:ind w:right="-142"/>
              <w:rPr>
                <w:rFonts w:asciiTheme="minorHAnsi" w:hAnsiTheme="minorHAnsi" w:cstheme="minorHAnsi"/>
                <w:b/>
                <w:color w:val="FFFFFF" w:themeColor="background1"/>
                <w:sz w:val="24"/>
                <w:szCs w:val="24"/>
                <w:lang w:val="en-GB"/>
              </w:rPr>
            </w:pPr>
            <w:r w:rsidRPr="00AE3ED1">
              <w:rPr>
                <w:rFonts w:asciiTheme="minorHAnsi" w:hAnsiTheme="minorHAnsi" w:cstheme="minorHAnsi"/>
                <w:b/>
                <w:color w:val="FFFFFF" w:themeColor="background1"/>
                <w:sz w:val="24"/>
                <w:szCs w:val="24"/>
                <w:lang w:val="en-GB"/>
              </w:rPr>
              <w:t>Description</w:t>
            </w:r>
          </w:p>
        </w:tc>
      </w:tr>
      <w:tr w:rsidR="000A7D05" w:rsidRPr="00B60A37" w14:paraId="44A674B8" w14:textId="77777777" w:rsidTr="00AE3ED1">
        <w:tc>
          <w:tcPr>
            <w:tcW w:w="2268" w:type="dxa"/>
          </w:tcPr>
          <w:p w14:paraId="6862005E" w14:textId="77777777" w:rsidR="000A7D05" w:rsidRPr="002A4039" w:rsidRDefault="000A7D05" w:rsidP="00AE3ED1">
            <w:pPr>
              <w:spacing w:after="120"/>
              <w:ind w:right="-321"/>
              <w:rPr>
                <w:rFonts w:asciiTheme="minorHAnsi" w:hAnsiTheme="minorHAnsi" w:cstheme="minorHAnsi"/>
                <w:b/>
                <w:sz w:val="24"/>
                <w:szCs w:val="24"/>
                <w:lang w:val="en-GB"/>
              </w:rPr>
            </w:pPr>
            <w:r>
              <w:rPr>
                <w:rFonts w:asciiTheme="minorHAnsi" w:hAnsiTheme="minorHAnsi" w:cstheme="minorHAnsi"/>
                <w:b/>
                <w:sz w:val="24"/>
                <w:szCs w:val="24"/>
                <w:lang w:val="en-GB"/>
              </w:rPr>
              <w:t xml:space="preserve">Recommendation </w:t>
            </w:r>
            <w:r w:rsidR="00522D0C">
              <w:rPr>
                <w:rFonts w:asciiTheme="minorHAnsi" w:hAnsiTheme="minorHAnsi" w:cstheme="minorHAnsi"/>
                <w:b/>
                <w:sz w:val="24"/>
                <w:szCs w:val="24"/>
                <w:lang w:val="en-GB"/>
              </w:rPr>
              <w:t>5</w:t>
            </w:r>
            <w:r w:rsidR="005F1F93">
              <w:rPr>
                <w:rFonts w:asciiTheme="minorHAnsi" w:hAnsiTheme="minorHAnsi" w:cstheme="minorHAnsi"/>
                <w:b/>
                <w:sz w:val="24"/>
                <w:szCs w:val="24"/>
                <w:lang w:val="en-GB"/>
              </w:rPr>
              <w:t>2</w:t>
            </w:r>
          </w:p>
        </w:tc>
        <w:tc>
          <w:tcPr>
            <w:tcW w:w="7479" w:type="dxa"/>
          </w:tcPr>
          <w:p w14:paraId="12B4FEFA" w14:textId="77777777" w:rsidR="000A7D05" w:rsidRPr="002A4039" w:rsidRDefault="000A7D05" w:rsidP="00AE3ED1">
            <w:pPr>
              <w:spacing w:after="120"/>
              <w:ind w:right="-142"/>
              <w:rPr>
                <w:rFonts w:asciiTheme="minorHAnsi" w:hAnsiTheme="minorHAnsi" w:cstheme="minorHAnsi"/>
                <w:sz w:val="24"/>
                <w:szCs w:val="24"/>
                <w:lang w:val="en-GB"/>
              </w:rPr>
            </w:pPr>
            <w:r>
              <w:rPr>
                <w:rFonts w:asciiTheme="minorHAnsi" w:hAnsiTheme="minorHAnsi" w:cstheme="minorHAnsi"/>
                <w:sz w:val="24"/>
                <w:szCs w:val="24"/>
                <w:lang w:val="en-GB"/>
              </w:rPr>
              <w:t xml:space="preserve">The </w:t>
            </w:r>
            <w:r w:rsidRPr="002A4039">
              <w:rPr>
                <w:rFonts w:asciiTheme="minorHAnsi" w:hAnsiTheme="minorHAnsi" w:cstheme="minorHAnsi"/>
                <w:sz w:val="24"/>
                <w:szCs w:val="24"/>
                <w:lang w:val="en-GB"/>
              </w:rPr>
              <w:t>IHPA conduct a costing study and classification review for the classification of organ</w:t>
            </w:r>
            <w:r>
              <w:rPr>
                <w:rFonts w:asciiTheme="minorHAnsi" w:hAnsiTheme="minorHAnsi" w:cstheme="minorHAnsi"/>
                <w:sz w:val="24"/>
                <w:szCs w:val="24"/>
                <w:lang w:val="en-GB"/>
              </w:rPr>
              <w:t xml:space="preserve"> donation, retrieval and</w:t>
            </w:r>
            <w:r w:rsidRPr="002A4039">
              <w:rPr>
                <w:rFonts w:asciiTheme="minorHAnsi" w:hAnsiTheme="minorHAnsi" w:cstheme="minorHAnsi"/>
                <w:sz w:val="24"/>
                <w:szCs w:val="24"/>
                <w:lang w:val="en-GB"/>
              </w:rPr>
              <w:t xml:space="preserve"> transplantation</w:t>
            </w:r>
            <w:r>
              <w:rPr>
                <w:rFonts w:asciiTheme="minorHAnsi" w:hAnsiTheme="minorHAnsi" w:cstheme="minorHAnsi"/>
                <w:sz w:val="24"/>
                <w:szCs w:val="24"/>
                <w:lang w:val="en-GB"/>
              </w:rPr>
              <w:t xml:space="preserve"> to </w:t>
            </w:r>
            <w:r w:rsidR="004E37B3">
              <w:rPr>
                <w:rFonts w:asciiTheme="minorHAnsi" w:hAnsiTheme="minorHAnsi" w:cstheme="minorHAnsi"/>
                <w:sz w:val="24"/>
                <w:szCs w:val="24"/>
                <w:lang w:val="en-GB"/>
              </w:rPr>
              <w:t>take into account</w:t>
            </w:r>
            <w:r>
              <w:rPr>
                <w:rFonts w:asciiTheme="minorHAnsi" w:hAnsiTheme="minorHAnsi" w:cstheme="minorHAnsi"/>
                <w:sz w:val="24"/>
                <w:szCs w:val="24"/>
                <w:lang w:val="en-GB"/>
              </w:rPr>
              <w:t xml:space="preserve"> the </w:t>
            </w:r>
            <w:r w:rsidR="004E37B3">
              <w:rPr>
                <w:rFonts w:asciiTheme="minorHAnsi" w:hAnsiTheme="minorHAnsi" w:cstheme="minorHAnsi"/>
                <w:sz w:val="24"/>
                <w:szCs w:val="24"/>
                <w:lang w:val="en-GB"/>
              </w:rPr>
              <w:t>cost impact</w:t>
            </w:r>
            <w:r>
              <w:rPr>
                <w:rFonts w:asciiTheme="minorHAnsi" w:hAnsiTheme="minorHAnsi" w:cstheme="minorHAnsi"/>
                <w:sz w:val="24"/>
                <w:szCs w:val="24"/>
                <w:lang w:val="en-GB"/>
              </w:rPr>
              <w:t xml:space="preserve"> of the use of DCD donated organs</w:t>
            </w:r>
            <w:r w:rsidR="003E2D97">
              <w:rPr>
                <w:rFonts w:asciiTheme="minorHAnsi" w:hAnsiTheme="minorHAnsi" w:cstheme="minorHAnsi"/>
                <w:sz w:val="24"/>
                <w:szCs w:val="24"/>
                <w:lang w:val="en-GB"/>
              </w:rPr>
              <w:t xml:space="preserve"> and organs from extended criteria donors</w:t>
            </w:r>
            <w:r>
              <w:rPr>
                <w:rFonts w:asciiTheme="minorHAnsi" w:hAnsiTheme="minorHAnsi" w:cstheme="minorHAnsi"/>
                <w:sz w:val="24"/>
                <w:szCs w:val="24"/>
                <w:lang w:val="en-GB"/>
              </w:rPr>
              <w:t xml:space="preserve"> and </w:t>
            </w:r>
            <w:r w:rsidR="004E37B3">
              <w:rPr>
                <w:rFonts w:asciiTheme="minorHAnsi" w:hAnsiTheme="minorHAnsi" w:cstheme="minorHAnsi"/>
                <w:sz w:val="24"/>
                <w:szCs w:val="24"/>
                <w:lang w:val="en-GB"/>
              </w:rPr>
              <w:t>to appropriately attribute</w:t>
            </w:r>
            <w:r>
              <w:rPr>
                <w:rFonts w:asciiTheme="minorHAnsi" w:hAnsiTheme="minorHAnsi" w:cstheme="minorHAnsi"/>
                <w:sz w:val="24"/>
                <w:szCs w:val="24"/>
                <w:lang w:val="en-GB"/>
              </w:rPr>
              <w:t xml:space="preserve"> retrieval costs</w:t>
            </w:r>
            <w:r w:rsidRPr="002A4039">
              <w:rPr>
                <w:rFonts w:asciiTheme="minorHAnsi" w:hAnsiTheme="minorHAnsi" w:cstheme="minorHAnsi"/>
                <w:sz w:val="24"/>
                <w:szCs w:val="24"/>
                <w:lang w:val="en-GB"/>
              </w:rPr>
              <w:t>.</w:t>
            </w:r>
          </w:p>
        </w:tc>
      </w:tr>
      <w:tr w:rsidR="000A7D05" w:rsidRPr="00B60A37" w14:paraId="1663490D" w14:textId="77777777" w:rsidTr="00AE3ED1">
        <w:trPr>
          <w:trHeight w:val="1208"/>
        </w:trPr>
        <w:tc>
          <w:tcPr>
            <w:tcW w:w="2268" w:type="dxa"/>
          </w:tcPr>
          <w:p w14:paraId="40D87DA7" w14:textId="77777777" w:rsidR="000A7D05" w:rsidRPr="002A4039" w:rsidRDefault="000A7D05" w:rsidP="00AE3ED1">
            <w:pPr>
              <w:spacing w:after="120"/>
              <w:ind w:right="-321"/>
              <w:rPr>
                <w:rFonts w:asciiTheme="minorHAnsi" w:hAnsiTheme="minorHAnsi" w:cstheme="minorHAnsi"/>
                <w:b/>
                <w:sz w:val="24"/>
                <w:szCs w:val="24"/>
                <w:lang w:val="en-GB"/>
              </w:rPr>
            </w:pPr>
            <w:r>
              <w:rPr>
                <w:rFonts w:asciiTheme="minorHAnsi" w:hAnsiTheme="minorHAnsi" w:cstheme="minorHAnsi"/>
                <w:b/>
                <w:sz w:val="24"/>
                <w:szCs w:val="24"/>
                <w:lang w:val="en-GB"/>
              </w:rPr>
              <w:t xml:space="preserve">Recommendation </w:t>
            </w:r>
            <w:r w:rsidR="00522D0C">
              <w:rPr>
                <w:rFonts w:asciiTheme="minorHAnsi" w:hAnsiTheme="minorHAnsi" w:cstheme="minorHAnsi"/>
                <w:b/>
                <w:sz w:val="24"/>
                <w:szCs w:val="24"/>
                <w:lang w:val="en-GB"/>
              </w:rPr>
              <w:t>5</w:t>
            </w:r>
            <w:r w:rsidR="005F1F93">
              <w:rPr>
                <w:rFonts w:asciiTheme="minorHAnsi" w:hAnsiTheme="minorHAnsi" w:cstheme="minorHAnsi"/>
                <w:b/>
                <w:sz w:val="24"/>
                <w:szCs w:val="24"/>
                <w:lang w:val="en-GB"/>
              </w:rPr>
              <w:t>3</w:t>
            </w:r>
          </w:p>
        </w:tc>
        <w:tc>
          <w:tcPr>
            <w:tcW w:w="7479" w:type="dxa"/>
          </w:tcPr>
          <w:p w14:paraId="4C593C18" w14:textId="77777777" w:rsidR="000A7D05" w:rsidRPr="002A4039" w:rsidRDefault="000A7D05" w:rsidP="00B962D9">
            <w:pPr>
              <w:spacing w:after="120"/>
              <w:ind w:right="-142"/>
              <w:rPr>
                <w:rFonts w:asciiTheme="minorHAnsi" w:hAnsiTheme="minorHAnsi" w:cstheme="minorHAnsi"/>
                <w:sz w:val="24"/>
                <w:szCs w:val="24"/>
                <w:lang w:val="en-GB"/>
              </w:rPr>
            </w:pPr>
            <w:r>
              <w:rPr>
                <w:rFonts w:asciiTheme="minorHAnsi" w:hAnsiTheme="minorHAnsi" w:cstheme="minorHAnsi"/>
                <w:sz w:val="24"/>
                <w:szCs w:val="24"/>
                <w:lang w:val="en-GB"/>
              </w:rPr>
              <w:t>C</w:t>
            </w:r>
            <w:r w:rsidRPr="002A4039">
              <w:rPr>
                <w:rFonts w:asciiTheme="minorHAnsi" w:hAnsiTheme="minorHAnsi" w:cstheme="minorHAnsi"/>
                <w:sz w:val="24"/>
                <w:szCs w:val="24"/>
                <w:lang w:val="en-GB"/>
              </w:rPr>
              <w:t>onsider</w:t>
            </w:r>
            <w:r>
              <w:rPr>
                <w:rFonts w:asciiTheme="minorHAnsi" w:hAnsiTheme="minorHAnsi" w:cstheme="minorHAnsi"/>
                <w:sz w:val="24"/>
                <w:szCs w:val="24"/>
                <w:lang w:val="en-GB"/>
              </w:rPr>
              <w:t xml:space="preserve">ation be given </w:t>
            </w:r>
            <w:r w:rsidR="004E37B3">
              <w:rPr>
                <w:rFonts w:asciiTheme="minorHAnsi" w:hAnsiTheme="minorHAnsi" w:cstheme="minorHAnsi"/>
                <w:sz w:val="24"/>
                <w:szCs w:val="24"/>
                <w:lang w:val="en-GB"/>
              </w:rPr>
              <w:t xml:space="preserve">by the Australian Government </w:t>
            </w:r>
            <w:r>
              <w:rPr>
                <w:rFonts w:asciiTheme="minorHAnsi" w:hAnsiTheme="minorHAnsi" w:cstheme="minorHAnsi"/>
                <w:sz w:val="24"/>
                <w:szCs w:val="24"/>
                <w:lang w:val="en-GB"/>
              </w:rPr>
              <w:t xml:space="preserve">to applying indexation to the </w:t>
            </w:r>
            <w:r w:rsidR="0037020B">
              <w:rPr>
                <w:rFonts w:asciiTheme="minorHAnsi" w:hAnsiTheme="minorHAnsi" w:cstheme="minorHAnsi"/>
                <w:sz w:val="24"/>
                <w:szCs w:val="24"/>
                <w:lang w:val="en-GB"/>
              </w:rPr>
              <w:t>Organ Donation Hospital Support Funding (ODHSF)</w:t>
            </w:r>
            <w:r w:rsidR="0037020B" w:rsidRPr="002A4039">
              <w:rPr>
                <w:rFonts w:asciiTheme="minorHAnsi" w:hAnsiTheme="minorHAnsi" w:cstheme="minorHAnsi"/>
                <w:sz w:val="24"/>
                <w:szCs w:val="24"/>
                <w:lang w:val="en-GB"/>
              </w:rPr>
              <w:t xml:space="preserve"> </w:t>
            </w:r>
            <w:r w:rsidRPr="002A4039">
              <w:rPr>
                <w:rFonts w:asciiTheme="minorHAnsi" w:hAnsiTheme="minorHAnsi" w:cstheme="minorHAnsi"/>
                <w:sz w:val="24"/>
                <w:szCs w:val="24"/>
                <w:lang w:val="en-GB"/>
              </w:rPr>
              <w:t xml:space="preserve">at the same rate as the indexation of the National Efficient Price as determined by </w:t>
            </w:r>
            <w:r>
              <w:rPr>
                <w:rFonts w:asciiTheme="minorHAnsi" w:hAnsiTheme="minorHAnsi" w:cstheme="minorHAnsi"/>
                <w:sz w:val="24"/>
                <w:szCs w:val="24"/>
                <w:lang w:val="en-GB"/>
              </w:rPr>
              <w:t xml:space="preserve">the </w:t>
            </w:r>
            <w:r w:rsidRPr="002A4039">
              <w:rPr>
                <w:rFonts w:asciiTheme="minorHAnsi" w:hAnsiTheme="minorHAnsi" w:cstheme="minorHAnsi"/>
                <w:sz w:val="24"/>
                <w:szCs w:val="24"/>
                <w:lang w:val="en-GB"/>
              </w:rPr>
              <w:t>IHPA annually.</w:t>
            </w:r>
          </w:p>
        </w:tc>
      </w:tr>
    </w:tbl>
    <w:p w14:paraId="79F63383" w14:textId="77777777" w:rsidR="000A7D05" w:rsidRPr="00266A77" w:rsidRDefault="000A7D05" w:rsidP="000A7D05">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821" w:name="_Ref530475117"/>
      <w:r w:rsidRPr="00266A77">
        <w:rPr>
          <w:rFonts w:asciiTheme="minorHAnsi" w:hAnsiTheme="minorHAnsi" w:cstheme="minorHAnsi"/>
          <w:b w:val="0"/>
          <w:color w:val="7F7F7F" w:themeColor="text1" w:themeTint="80"/>
          <w:sz w:val="30"/>
          <w:szCs w:val="30"/>
        </w:rPr>
        <w:t>The outpatient assessment</w:t>
      </w:r>
      <w:r>
        <w:rPr>
          <w:rFonts w:asciiTheme="minorHAnsi" w:hAnsiTheme="minorHAnsi" w:cstheme="minorHAnsi"/>
          <w:b w:val="0"/>
          <w:color w:val="7F7F7F" w:themeColor="text1" w:themeTint="80"/>
          <w:sz w:val="30"/>
          <w:szCs w:val="30"/>
        </w:rPr>
        <w:t xml:space="preserve"> </w:t>
      </w:r>
      <w:r w:rsidR="00FA2ECA">
        <w:rPr>
          <w:rFonts w:asciiTheme="minorHAnsi" w:hAnsiTheme="minorHAnsi" w:cstheme="minorHAnsi"/>
          <w:b w:val="0"/>
          <w:color w:val="7F7F7F" w:themeColor="text1" w:themeTint="80"/>
          <w:sz w:val="30"/>
          <w:szCs w:val="30"/>
        </w:rPr>
        <w:t xml:space="preserve">and outpatient post operative care </w:t>
      </w:r>
      <w:r>
        <w:rPr>
          <w:rFonts w:asciiTheme="minorHAnsi" w:hAnsiTheme="minorHAnsi" w:cstheme="minorHAnsi"/>
          <w:b w:val="0"/>
          <w:color w:val="7F7F7F" w:themeColor="text1" w:themeTint="80"/>
          <w:sz w:val="30"/>
          <w:szCs w:val="30"/>
        </w:rPr>
        <w:t>process</w:t>
      </w:r>
      <w:bookmarkEnd w:id="821"/>
    </w:p>
    <w:p w14:paraId="752326D7" w14:textId="77777777" w:rsidR="000A7D05" w:rsidRPr="00266A77" w:rsidRDefault="000A7D05" w:rsidP="000A7D05">
      <w:pPr>
        <w:tabs>
          <w:tab w:val="num" w:pos="720"/>
        </w:tabs>
        <w:spacing w:after="120"/>
        <w:rPr>
          <w:rFonts w:asciiTheme="minorHAnsi" w:hAnsiTheme="minorHAnsi" w:cstheme="minorHAnsi"/>
          <w:i/>
          <w:color w:val="808080" w:themeColor="background1" w:themeShade="80"/>
          <w:sz w:val="26"/>
          <w:szCs w:val="26"/>
        </w:rPr>
      </w:pPr>
      <w:r w:rsidRPr="00266A77">
        <w:rPr>
          <w:rFonts w:asciiTheme="minorHAnsi" w:hAnsiTheme="minorHAnsi" w:cstheme="minorHAnsi"/>
          <w:i/>
          <w:color w:val="808080" w:themeColor="background1" w:themeShade="80"/>
          <w:sz w:val="26"/>
          <w:szCs w:val="26"/>
        </w:rPr>
        <w:t xml:space="preserve">Discussion of findings </w:t>
      </w:r>
    </w:p>
    <w:p w14:paraId="609608DB" w14:textId="77777777" w:rsidR="000A7D05" w:rsidRPr="00A966ED" w:rsidRDefault="000A7D05">
      <w:pPr>
        <w:spacing w:after="120"/>
        <w:rPr>
          <w:rFonts w:asciiTheme="minorHAnsi" w:hAnsiTheme="minorHAnsi" w:cstheme="minorHAnsi"/>
        </w:rPr>
      </w:pPr>
      <w:r w:rsidRPr="00A966ED">
        <w:rPr>
          <w:rFonts w:asciiTheme="minorHAnsi" w:hAnsiTheme="minorHAnsi" w:cstheme="minorHAnsi"/>
          <w:sz w:val="24"/>
          <w:szCs w:val="24"/>
        </w:rPr>
        <w:t>As described in Section</w:t>
      </w:r>
      <w:r w:rsidR="00EB728C" w:rsidRPr="00A966ED">
        <w:rPr>
          <w:rFonts w:asciiTheme="minorHAnsi" w:hAnsiTheme="minorHAnsi" w:cstheme="minorHAnsi"/>
          <w:sz w:val="24"/>
          <w:szCs w:val="24"/>
        </w:rPr>
        <w:t xml:space="preserve"> </w:t>
      </w:r>
      <w:r w:rsidR="00B46DA0" w:rsidRPr="00A966ED">
        <w:rPr>
          <w:rFonts w:asciiTheme="minorHAnsi" w:hAnsiTheme="minorHAnsi" w:cstheme="minorHAnsi"/>
          <w:sz w:val="24"/>
          <w:szCs w:val="24"/>
        </w:rPr>
        <w:t>4</w:t>
      </w:r>
      <w:r w:rsidR="00EB728C" w:rsidRPr="00A966ED">
        <w:rPr>
          <w:rFonts w:asciiTheme="minorHAnsi" w:hAnsiTheme="minorHAnsi" w:cstheme="minorHAnsi"/>
          <w:sz w:val="24"/>
          <w:szCs w:val="24"/>
        </w:rPr>
        <w:t>.3.3</w:t>
      </w:r>
      <w:r w:rsidRPr="00A966ED">
        <w:rPr>
          <w:rFonts w:asciiTheme="minorHAnsi" w:hAnsiTheme="minorHAnsi" w:cstheme="minorHAnsi"/>
          <w:sz w:val="24"/>
          <w:szCs w:val="24"/>
        </w:rPr>
        <w:t xml:space="preserve">, the types of assessments required for transplantation have expanded greatly and some of the treatments require new and emerging medications. As a result, the Review found that </w:t>
      </w:r>
      <w:r w:rsidRPr="00A966ED">
        <w:rPr>
          <w:rFonts w:asciiTheme="minorHAnsi" w:hAnsiTheme="minorHAnsi" w:cstheme="minorHAnsi"/>
          <w:sz w:val="24"/>
          <w:szCs w:val="24"/>
          <w:lang w:val="en-GB"/>
        </w:rPr>
        <w:t xml:space="preserve">the current Tier 2 classification in the national </w:t>
      </w:r>
      <w:r w:rsidR="00A23989" w:rsidRPr="00A966ED">
        <w:rPr>
          <w:rFonts w:asciiTheme="minorHAnsi" w:hAnsiTheme="minorHAnsi" w:cstheme="minorHAnsi"/>
          <w:sz w:val="24"/>
          <w:szCs w:val="24"/>
          <w:lang w:val="en-GB"/>
        </w:rPr>
        <w:t>A</w:t>
      </w:r>
      <w:r w:rsidRPr="00A966ED">
        <w:rPr>
          <w:rFonts w:asciiTheme="minorHAnsi" w:hAnsiTheme="minorHAnsi" w:cstheme="minorHAnsi"/>
          <w:sz w:val="24"/>
          <w:szCs w:val="24"/>
          <w:lang w:val="en-GB"/>
        </w:rPr>
        <w:t xml:space="preserve">ctivity </w:t>
      </w:r>
      <w:r w:rsidR="00A23989" w:rsidRPr="00A966ED">
        <w:rPr>
          <w:rFonts w:asciiTheme="minorHAnsi" w:hAnsiTheme="minorHAnsi" w:cstheme="minorHAnsi"/>
          <w:sz w:val="24"/>
          <w:szCs w:val="24"/>
          <w:lang w:val="en-GB"/>
        </w:rPr>
        <w:t>B</w:t>
      </w:r>
      <w:r w:rsidRPr="00A966ED">
        <w:rPr>
          <w:rFonts w:asciiTheme="minorHAnsi" w:hAnsiTheme="minorHAnsi" w:cstheme="minorHAnsi"/>
          <w:sz w:val="24"/>
          <w:szCs w:val="24"/>
          <w:lang w:val="en-GB"/>
        </w:rPr>
        <w:t xml:space="preserve">ased </w:t>
      </w:r>
      <w:r w:rsidR="00A23989" w:rsidRPr="00A966ED">
        <w:rPr>
          <w:rFonts w:asciiTheme="minorHAnsi" w:hAnsiTheme="minorHAnsi" w:cstheme="minorHAnsi"/>
          <w:sz w:val="24"/>
          <w:szCs w:val="24"/>
          <w:lang w:val="en-GB"/>
        </w:rPr>
        <w:t>F</w:t>
      </w:r>
      <w:r w:rsidRPr="00A966ED">
        <w:rPr>
          <w:rFonts w:asciiTheme="minorHAnsi" w:hAnsiTheme="minorHAnsi" w:cstheme="minorHAnsi"/>
          <w:sz w:val="24"/>
          <w:szCs w:val="24"/>
          <w:lang w:val="en-GB"/>
        </w:rPr>
        <w:t xml:space="preserve">unding system as defined by </w:t>
      </w:r>
      <w:r w:rsidR="001073C8" w:rsidRPr="00A966ED">
        <w:rPr>
          <w:rFonts w:asciiTheme="minorHAnsi" w:hAnsiTheme="minorHAnsi" w:cstheme="minorHAnsi"/>
          <w:sz w:val="24"/>
          <w:szCs w:val="24"/>
          <w:lang w:val="en-GB"/>
        </w:rPr>
        <w:t xml:space="preserve">the </w:t>
      </w:r>
      <w:r w:rsidRPr="00A966ED">
        <w:rPr>
          <w:rFonts w:asciiTheme="minorHAnsi" w:hAnsiTheme="minorHAnsi" w:cstheme="minorHAnsi"/>
          <w:sz w:val="24"/>
          <w:szCs w:val="24"/>
          <w:lang w:val="en-GB"/>
        </w:rPr>
        <w:t xml:space="preserve">IHPA is not sufficiently refined to allow differential pricing of the wide spectrum of pre transplantation assessment. </w:t>
      </w:r>
    </w:p>
    <w:p w14:paraId="76DE920C" w14:textId="77777777" w:rsidR="004310C6" w:rsidRPr="00A966ED" w:rsidRDefault="000A7D05">
      <w:pPr>
        <w:spacing w:after="120"/>
        <w:rPr>
          <w:rFonts w:asciiTheme="minorHAnsi" w:hAnsiTheme="minorHAnsi" w:cstheme="minorHAnsi"/>
          <w:sz w:val="24"/>
          <w:szCs w:val="24"/>
        </w:rPr>
      </w:pPr>
      <w:r w:rsidRPr="00A966ED">
        <w:rPr>
          <w:rFonts w:asciiTheme="minorHAnsi" w:hAnsiTheme="minorHAnsi" w:cstheme="minorHAnsi"/>
          <w:sz w:val="24"/>
          <w:szCs w:val="24"/>
        </w:rPr>
        <w:t xml:space="preserve">Further, the Review found </w:t>
      </w:r>
      <w:r w:rsidRPr="00A966ED">
        <w:rPr>
          <w:rFonts w:asciiTheme="minorHAnsi" w:hAnsiTheme="minorHAnsi" w:cstheme="minorHAnsi"/>
          <w:sz w:val="24"/>
          <w:szCs w:val="24"/>
          <w:lang w:val="en-GB"/>
        </w:rPr>
        <w:t xml:space="preserve">the </w:t>
      </w:r>
      <w:r w:rsidRPr="00A966ED">
        <w:rPr>
          <w:rFonts w:asciiTheme="minorHAnsi" w:hAnsiTheme="minorHAnsi" w:cstheme="minorHAnsi"/>
          <w:i/>
          <w:iCs/>
          <w:sz w:val="24"/>
          <w:szCs w:val="24"/>
          <w:lang w:val="en-GB"/>
        </w:rPr>
        <w:t>General Explanatory Note 13.33 of the Medicare Benefits Schedule</w:t>
      </w:r>
      <w:r w:rsidR="00A23989" w:rsidRPr="00A966ED">
        <w:rPr>
          <w:rStyle w:val="FootnoteReference"/>
          <w:rFonts w:cstheme="minorHAnsi"/>
          <w:i/>
          <w:iCs/>
          <w:lang w:val="en-GB"/>
        </w:rPr>
        <w:footnoteReference w:id="180"/>
      </w:r>
      <w:r w:rsidRPr="00A966ED">
        <w:rPr>
          <w:rFonts w:asciiTheme="minorHAnsi" w:hAnsiTheme="minorHAnsi" w:cstheme="minorHAnsi"/>
          <w:sz w:val="24"/>
          <w:szCs w:val="24"/>
          <w:lang w:val="en-GB"/>
        </w:rPr>
        <w:t xml:space="preserve"> stipulates that current regulations preclude the payment of Medicare benefits to patients who have undergone a non-renal organ transplant for a period of six weeks post transplantation</w:t>
      </w:r>
      <w:r w:rsidRPr="00A966ED">
        <w:rPr>
          <w:rFonts w:asciiTheme="minorHAnsi" w:hAnsiTheme="minorHAnsi" w:cstheme="minorHAnsi"/>
          <w:sz w:val="24"/>
          <w:szCs w:val="24"/>
        </w:rPr>
        <w:t>.</w:t>
      </w:r>
    </w:p>
    <w:p w14:paraId="10CB4F91" w14:textId="18381406" w:rsidR="000A7D05" w:rsidRDefault="000A7D05" w:rsidP="00C75FAB">
      <w:pPr>
        <w:widowControl/>
        <w:autoSpaceDE/>
        <w:autoSpaceDN/>
        <w:adjustRightInd/>
        <w:spacing w:after="120"/>
        <w:rPr>
          <w:rFonts w:asciiTheme="minorHAnsi" w:hAnsiTheme="minorHAnsi" w:cstheme="minorHAnsi"/>
          <w:sz w:val="24"/>
          <w:szCs w:val="24"/>
        </w:rPr>
      </w:pPr>
      <w:r w:rsidRPr="00A966ED">
        <w:rPr>
          <w:rFonts w:asciiTheme="minorHAnsi" w:hAnsiTheme="minorHAnsi" w:cstheme="minorHAnsi"/>
          <w:sz w:val="24"/>
          <w:szCs w:val="24"/>
        </w:rPr>
        <w:t>These restrictions on claiming MBS for post transplantation care inhibit any proposed shared care models because the transplant recipient would not be able to claim for the services provided outside of the transplantation unit.</w:t>
      </w:r>
    </w:p>
    <w:p w14:paraId="48B89A28" w14:textId="77777777" w:rsidR="00AC5536" w:rsidRPr="00F01BC7" w:rsidRDefault="00AC5536" w:rsidP="00AE3ED1">
      <w:pPr>
        <w:widowControl/>
        <w:shd w:val="clear" w:color="auto" w:fill="DCEFF4"/>
        <w:autoSpaceDE/>
        <w:autoSpaceDN/>
        <w:adjustRightInd/>
        <w:spacing w:after="120"/>
        <w:rPr>
          <w:rFonts w:asciiTheme="minorHAnsi" w:hAnsiTheme="minorHAnsi" w:cstheme="minorHAnsi"/>
          <w:b/>
          <w:sz w:val="22"/>
          <w:szCs w:val="24"/>
        </w:rPr>
      </w:pPr>
      <w:r w:rsidRPr="00F01BC7">
        <w:rPr>
          <w:rFonts w:asciiTheme="minorHAnsi" w:hAnsiTheme="minorHAnsi" w:cstheme="minorHAnsi"/>
          <w:b/>
          <w:sz w:val="22"/>
          <w:szCs w:val="24"/>
        </w:rPr>
        <w:t>Complexities with MBS claiming for outpatient assessments</w:t>
      </w:r>
    </w:p>
    <w:p w14:paraId="6CFED4C8" w14:textId="77777777" w:rsidR="00AC5536" w:rsidRPr="00F01BC7" w:rsidRDefault="00AC5536" w:rsidP="00AE3ED1">
      <w:pPr>
        <w:widowControl/>
        <w:shd w:val="clear" w:color="auto" w:fill="DCEFF4"/>
        <w:autoSpaceDE/>
        <w:autoSpaceDN/>
        <w:adjustRightInd/>
        <w:spacing w:after="120"/>
        <w:rPr>
          <w:rFonts w:asciiTheme="minorHAnsi" w:hAnsiTheme="minorHAnsi" w:cstheme="minorHAnsi"/>
          <w:sz w:val="22"/>
          <w:szCs w:val="24"/>
        </w:rPr>
      </w:pPr>
      <w:r w:rsidRPr="00F01BC7">
        <w:rPr>
          <w:rFonts w:asciiTheme="minorHAnsi" w:hAnsiTheme="minorHAnsi" w:cstheme="minorHAnsi"/>
          <w:sz w:val="22"/>
          <w:szCs w:val="24"/>
        </w:rPr>
        <w:t>General Explanatory Note.13.33 of the Medicare Benefits Schedule</w:t>
      </w:r>
    </w:p>
    <w:p w14:paraId="0735FE36" w14:textId="77777777" w:rsidR="00AC5536" w:rsidRPr="00AE3ED1" w:rsidRDefault="00AC5536" w:rsidP="00AE3ED1">
      <w:pPr>
        <w:widowControl/>
        <w:shd w:val="clear" w:color="auto" w:fill="DCEFF4"/>
        <w:autoSpaceDE/>
        <w:autoSpaceDN/>
        <w:adjustRightInd/>
        <w:spacing w:after="120"/>
        <w:rPr>
          <w:rFonts w:asciiTheme="minorHAnsi" w:hAnsiTheme="minorHAnsi" w:cstheme="minorHAnsi"/>
          <w:sz w:val="22"/>
          <w:szCs w:val="24"/>
        </w:rPr>
      </w:pPr>
      <w:r w:rsidRPr="00AE3ED1">
        <w:rPr>
          <w:rFonts w:asciiTheme="minorHAnsi" w:hAnsiTheme="minorHAnsi" w:cstheme="minorHAnsi"/>
          <w:sz w:val="22"/>
          <w:szCs w:val="24"/>
        </w:rPr>
        <w:t xml:space="preserve">Current regulations preclude the payment of Medicare benefits for professional services rendered in relation to or in association with: </w:t>
      </w:r>
    </w:p>
    <w:p w14:paraId="3D661357" w14:textId="77777777" w:rsidR="00AC5536" w:rsidRPr="00AE3ED1" w:rsidRDefault="00AC5536" w:rsidP="00AE3ED1">
      <w:pPr>
        <w:widowControl/>
        <w:shd w:val="clear" w:color="auto" w:fill="DCEFF4"/>
        <w:autoSpaceDE/>
        <w:autoSpaceDN/>
        <w:adjustRightInd/>
        <w:spacing w:after="120"/>
        <w:rPr>
          <w:rFonts w:asciiTheme="minorHAnsi" w:hAnsiTheme="minorHAnsi" w:cstheme="minorHAnsi"/>
          <w:sz w:val="22"/>
          <w:szCs w:val="24"/>
        </w:rPr>
      </w:pPr>
      <w:r w:rsidRPr="00AE3ED1">
        <w:rPr>
          <w:rFonts w:asciiTheme="minorHAnsi" w:hAnsiTheme="minorHAnsi" w:cstheme="minorHAnsi"/>
          <w:sz w:val="22"/>
          <w:szCs w:val="24"/>
        </w:rPr>
        <w:t xml:space="preserve">(e) the transplantation of a thoracic or abdominal organ, other than a kidney, or of a part of an organ of that kind; or the transplantation of a kidney in conjunction with the transplantation of a thoracic or other abdominal organ or part of an organ of that kind; </w:t>
      </w:r>
    </w:p>
    <w:p w14:paraId="1000D384" w14:textId="77777777" w:rsidR="00AC5536" w:rsidRPr="00AE3ED1" w:rsidRDefault="00AC5536" w:rsidP="00AE3ED1">
      <w:pPr>
        <w:widowControl/>
        <w:shd w:val="clear" w:color="auto" w:fill="DCEFF4"/>
        <w:autoSpaceDE/>
        <w:autoSpaceDN/>
        <w:adjustRightInd/>
        <w:spacing w:after="120"/>
        <w:rPr>
          <w:rFonts w:asciiTheme="minorHAnsi" w:hAnsiTheme="minorHAnsi" w:cstheme="minorHAnsi"/>
          <w:sz w:val="22"/>
          <w:szCs w:val="24"/>
        </w:rPr>
      </w:pPr>
      <w:r w:rsidRPr="00AE3ED1">
        <w:rPr>
          <w:rFonts w:asciiTheme="minorHAnsi" w:hAnsiTheme="minorHAnsi" w:cstheme="minorHAnsi"/>
          <w:sz w:val="22"/>
          <w:szCs w:val="24"/>
        </w:rPr>
        <w:t xml:space="preserve">(f) The removal from a cadaver of kidneys for transplantation.  </w:t>
      </w:r>
    </w:p>
    <w:p w14:paraId="0ABF1971" w14:textId="77777777" w:rsidR="00AC5536" w:rsidRPr="00F01BC7" w:rsidRDefault="00AC5536" w:rsidP="00AE3ED1">
      <w:pPr>
        <w:widowControl/>
        <w:shd w:val="clear" w:color="auto" w:fill="DCEFF4"/>
        <w:autoSpaceDE/>
        <w:autoSpaceDN/>
        <w:adjustRightInd/>
        <w:spacing w:after="120"/>
        <w:rPr>
          <w:rFonts w:asciiTheme="minorHAnsi" w:hAnsiTheme="minorHAnsi" w:cstheme="minorHAnsi"/>
          <w:sz w:val="22"/>
          <w:szCs w:val="24"/>
        </w:rPr>
      </w:pPr>
      <w:r w:rsidRPr="00F01BC7">
        <w:rPr>
          <w:rFonts w:asciiTheme="minorHAnsi" w:hAnsiTheme="minorHAnsi" w:cstheme="minorHAnsi"/>
          <w:sz w:val="22"/>
          <w:szCs w:val="24"/>
        </w:rPr>
        <w:t xml:space="preserve">Section 3(5), Health Insurance Act 1973 (Cth) </w:t>
      </w:r>
    </w:p>
    <w:p w14:paraId="3A64E6DF" w14:textId="603FB726" w:rsidR="006C78B0" w:rsidRPr="00AE3ED1" w:rsidRDefault="00AC5536" w:rsidP="00AE3ED1">
      <w:pPr>
        <w:widowControl/>
        <w:shd w:val="clear" w:color="auto" w:fill="DCEFF4"/>
        <w:autoSpaceDE/>
        <w:autoSpaceDN/>
        <w:adjustRightInd/>
        <w:spacing w:after="120"/>
        <w:rPr>
          <w:rFonts w:asciiTheme="minorHAnsi" w:hAnsiTheme="minorHAnsi" w:cstheme="minorHAnsi"/>
          <w:sz w:val="22"/>
          <w:szCs w:val="24"/>
        </w:rPr>
      </w:pPr>
      <w:r w:rsidRPr="00AE3ED1">
        <w:rPr>
          <w:rFonts w:asciiTheme="minorHAnsi" w:hAnsiTheme="minorHAnsi" w:cstheme="minorHAnsi"/>
          <w:sz w:val="22"/>
          <w:szCs w:val="24"/>
        </w:rPr>
        <w:t>(5) Unless the Minister otherwise directs, a professional service, not being a service specified in an item in the general medical services table that is expressed to relate to a professional attendance by a medical practitioner (however described)…shall be deemed to include all professional attendances necessary for the purposes of post</w:t>
      </w:r>
      <w:r w:rsidRPr="00AE3ED1">
        <w:rPr>
          <w:rFonts w:ascii="Cambria Math" w:hAnsi="Cambria Math" w:cs="Cambria Math"/>
          <w:sz w:val="22"/>
          <w:szCs w:val="24"/>
        </w:rPr>
        <w:t>‑</w:t>
      </w:r>
      <w:r w:rsidRPr="00AE3ED1">
        <w:rPr>
          <w:rFonts w:asciiTheme="minorHAnsi" w:hAnsiTheme="minorHAnsi" w:cstheme="minorHAnsi"/>
          <w:sz w:val="22"/>
          <w:szCs w:val="24"/>
        </w:rPr>
        <w:t>operative treatment of the person to whom the professional service is rendered.</w:t>
      </w:r>
    </w:p>
    <w:p w14:paraId="62B81B75" w14:textId="77777777" w:rsidR="000A7D05" w:rsidRPr="00A966ED" w:rsidRDefault="000A7D05" w:rsidP="000A7D05">
      <w:pPr>
        <w:tabs>
          <w:tab w:val="num" w:pos="720"/>
        </w:tabs>
        <w:spacing w:before="240" w:after="120"/>
        <w:rPr>
          <w:rFonts w:asciiTheme="minorHAnsi" w:hAnsiTheme="minorHAnsi" w:cstheme="minorHAnsi"/>
          <w:i/>
          <w:color w:val="808080" w:themeColor="background1" w:themeShade="80"/>
          <w:sz w:val="24"/>
          <w:szCs w:val="24"/>
        </w:rPr>
      </w:pPr>
      <w:r w:rsidRPr="00A966ED">
        <w:rPr>
          <w:rFonts w:asciiTheme="minorHAnsi" w:hAnsiTheme="minorHAnsi" w:cstheme="minorHAnsi"/>
          <w:i/>
          <w:color w:val="808080" w:themeColor="background1" w:themeShade="80"/>
          <w:sz w:val="24"/>
          <w:szCs w:val="24"/>
        </w:rPr>
        <w:t>Summary of findings</w:t>
      </w:r>
    </w:p>
    <w:p w14:paraId="4C0230AB" w14:textId="77777777" w:rsidR="000A7D05" w:rsidRPr="00A966ED" w:rsidRDefault="000A7D05" w:rsidP="000A7D05">
      <w:pPr>
        <w:pStyle w:val="ListParagraph"/>
        <w:numPr>
          <w:ilvl w:val="0"/>
          <w:numId w:val="23"/>
        </w:numPr>
        <w:spacing w:after="120"/>
        <w:rPr>
          <w:rFonts w:asciiTheme="minorHAnsi" w:hAnsiTheme="minorHAnsi" w:cstheme="minorHAnsi"/>
          <w:sz w:val="24"/>
          <w:szCs w:val="24"/>
          <w:lang w:val="en-GB"/>
        </w:rPr>
      </w:pPr>
      <w:r w:rsidRPr="00A966ED">
        <w:rPr>
          <w:rFonts w:asciiTheme="minorHAnsi" w:hAnsiTheme="minorHAnsi" w:cstheme="minorHAnsi"/>
          <w:sz w:val="24"/>
          <w:szCs w:val="24"/>
          <w:lang w:val="en-GB"/>
        </w:rPr>
        <w:t>The current Tier 2 classification is not sufficiently refined to allow differential pricing of the wide spectrum of pre-transplantation assessment.</w:t>
      </w:r>
    </w:p>
    <w:p w14:paraId="0B11EFCF" w14:textId="77777777" w:rsidR="000A7D05" w:rsidRPr="00A966ED" w:rsidRDefault="000A7D05" w:rsidP="000A7D05">
      <w:pPr>
        <w:pStyle w:val="ListParagraph"/>
        <w:numPr>
          <w:ilvl w:val="0"/>
          <w:numId w:val="23"/>
        </w:numPr>
        <w:spacing w:after="120"/>
        <w:rPr>
          <w:rFonts w:asciiTheme="minorHAnsi" w:hAnsiTheme="minorHAnsi" w:cstheme="minorHAnsi"/>
          <w:color w:val="000000" w:themeColor="text1"/>
          <w:sz w:val="24"/>
          <w:szCs w:val="24"/>
          <w:lang w:val="en-GB"/>
        </w:rPr>
      </w:pPr>
      <w:r w:rsidRPr="00A966ED">
        <w:rPr>
          <w:rFonts w:asciiTheme="minorHAnsi" w:hAnsiTheme="minorHAnsi" w:cstheme="minorHAnsi"/>
          <w:color w:val="000000" w:themeColor="text1"/>
          <w:sz w:val="24"/>
          <w:szCs w:val="24"/>
          <w:lang w:val="en-GB"/>
        </w:rPr>
        <w:t xml:space="preserve">The current </w:t>
      </w:r>
      <w:r w:rsidRPr="00A966ED">
        <w:rPr>
          <w:rFonts w:asciiTheme="minorHAnsi" w:hAnsiTheme="minorHAnsi" w:cstheme="minorHAnsi"/>
          <w:i/>
          <w:iCs/>
          <w:color w:val="000000" w:themeColor="text1"/>
          <w:sz w:val="24"/>
          <w:szCs w:val="24"/>
          <w:lang w:val="en-US"/>
        </w:rPr>
        <w:t>General Explanatory Note.13.33 of the Medicare Benefits Schedule</w:t>
      </w:r>
      <w:r w:rsidRPr="00A966ED">
        <w:rPr>
          <w:rFonts w:asciiTheme="minorHAnsi" w:hAnsiTheme="minorHAnsi" w:cstheme="minorHAnsi"/>
          <w:color w:val="000000" w:themeColor="text1"/>
          <w:sz w:val="24"/>
          <w:szCs w:val="24"/>
          <w:lang w:val="en-GB"/>
        </w:rPr>
        <w:t xml:space="preserve"> proscribes claiming for post transplantation care, with the exception of kidney transplantation.</w:t>
      </w:r>
    </w:p>
    <w:p w14:paraId="4A2989F4" w14:textId="33E4D960" w:rsidR="000A7D05" w:rsidRPr="00A966ED" w:rsidRDefault="000A7D05" w:rsidP="000A7D05">
      <w:pPr>
        <w:tabs>
          <w:tab w:val="num" w:pos="720"/>
        </w:tabs>
        <w:spacing w:after="120"/>
        <w:rPr>
          <w:rFonts w:asciiTheme="minorHAnsi" w:hAnsiTheme="minorHAnsi" w:cstheme="minorHAnsi"/>
          <w:i/>
          <w:color w:val="808080" w:themeColor="background1" w:themeShade="80"/>
          <w:sz w:val="24"/>
          <w:szCs w:val="24"/>
        </w:rPr>
      </w:pPr>
      <w:r w:rsidRPr="00A966ED">
        <w:rPr>
          <w:rFonts w:asciiTheme="minorHAnsi" w:hAnsiTheme="minorHAnsi" w:cstheme="minorHAnsi"/>
          <w:i/>
          <w:color w:val="808080" w:themeColor="background1" w:themeShade="80"/>
          <w:sz w:val="24"/>
          <w:szCs w:val="24"/>
        </w:rPr>
        <w:t>Recommendations</w:t>
      </w:r>
    </w:p>
    <w:tbl>
      <w:tblPr>
        <w:tblStyle w:val="TableGrid"/>
        <w:tblW w:w="988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fifty four is that the IHPA conduct a costing study and classification review for the classification of non-admitted pre and post organ transplantation care. Recommendation fifty five is that consideration should be given by the Australian Government for the proscription of access to the MBS for the recipients of organ transplantation other than kidney transplantation be removed from the next version of the General Explanatory Notes 13.33 of the Medicare Benefits Schedule."/>
      </w:tblPr>
      <w:tblGrid>
        <w:gridCol w:w="2268"/>
        <w:gridCol w:w="7620"/>
      </w:tblGrid>
      <w:tr w:rsidR="006449E1" w:rsidRPr="00A966ED" w14:paraId="3FA6F77D" w14:textId="77777777" w:rsidTr="00B65E19">
        <w:trPr>
          <w:tblHeader/>
        </w:trPr>
        <w:tc>
          <w:tcPr>
            <w:tcW w:w="2268" w:type="dxa"/>
            <w:shd w:val="clear" w:color="auto" w:fill="595959" w:themeFill="text1" w:themeFillTint="A6"/>
          </w:tcPr>
          <w:p w14:paraId="214B5C00" w14:textId="72A62A51" w:rsidR="006449E1" w:rsidRPr="00AE3ED1" w:rsidRDefault="006449E1" w:rsidP="006449E1">
            <w:pPr>
              <w:spacing w:after="120"/>
              <w:ind w:right="-321"/>
              <w:rPr>
                <w:rFonts w:asciiTheme="minorHAnsi" w:hAnsiTheme="minorHAnsi" w:cstheme="minorHAnsi"/>
                <w:b/>
                <w:color w:val="FFFFFF" w:themeColor="background1"/>
                <w:sz w:val="24"/>
                <w:szCs w:val="24"/>
                <w:lang w:val="en-GB"/>
              </w:rPr>
            </w:pPr>
            <w:r w:rsidRPr="00AE3ED1">
              <w:rPr>
                <w:rFonts w:asciiTheme="minorHAnsi" w:hAnsiTheme="minorHAnsi" w:cstheme="minorHAnsi"/>
                <w:b/>
                <w:color w:val="FFFFFF" w:themeColor="background1"/>
                <w:sz w:val="24"/>
                <w:szCs w:val="24"/>
                <w:lang w:val="en-GB"/>
              </w:rPr>
              <w:t xml:space="preserve">Recommendation </w:t>
            </w:r>
          </w:p>
        </w:tc>
        <w:tc>
          <w:tcPr>
            <w:tcW w:w="7620" w:type="dxa"/>
            <w:shd w:val="clear" w:color="auto" w:fill="595959" w:themeFill="text1" w:themeFillTint="A6"/>
          </w:tcPr>
          <w:p w14:paraId="63153534" w14:textId="15AE398F" w:rsidR="006449E1" w:rsidRPr="00AE3ED1" w:rsidRDefault="006449E1" w:rsidP="006449E1">
            <w:pPr>
              <w:spacing w:after="120"/>
              <w:ind w:right="-142"/>
              <w:rPr>
                <w:rFonts w:asciiTheme="minorHAnsi" w:hAnsiTheme="minorHAnsi" w:cstheme="minorHAnsi"/>
                <w:b/>
                <w:color w:val="FFFFFF" w:themeColor="background1"/>
                <w:sz w:val="24"/>
                <w:szCs w:val="24"/>
                <w:lang w:val="en-GB"/>
              </w:rPr>
            </w:pPr>
            <w:r w:rsidRPr="00AE3ED1">
              <w:rPr>
                <w:rFonts w:asciiTheme="minorHAnsi" w:hAnsiTheme="minorHAnsi" w:cstheme="minorHAnsi"/>
                <w:b/>
                <w:color w:val="FFFFFF" w:themeColor="background1"/>
                <w:sz w:val="24"/>
                <w:szCs w:val="24"/>
                <w:lang w:val="en-GB"/>
              </w:rPr>
              <w:t>Description</w:t>
            </w:r>
          </w:p>
        </w:tc>
      </w:tr>
      <w:tr w:rsidR="000A7D05" w:rsidRPr="00A966ED" w14:paraId="2DD7E951" w14:textId="77777777" w:rsidTr="00AE3ED1">
        <w:tc>
          <w:tcPr>
            <w:tcW w:w="2268" w:type="dxa"/>
          </w:tcPr>
          <w:p w14:paraId="369E207F" w14:textId="77777777" w:rsidR="000A7D05" w:rsidRPr="00A966ED" w:rsidRDefault="000A7D05" w:rsidP="00AE3ED1">
            <w:pPr>
              <w:spacing w:after="120"/>
              <w:ind w:right="-321"/>
              <w:rPr>
                <w:rFonts w:asciiTheme="minorHAnsi" w:hAnsiTheme="minorHAnsi" w:cstheme="minorHAnsi"/>
                <w:b/>
                <w:sz w:val="24"/>
                <w:szCs w:val="24"/>
                <w:lang w:val="en-GB"/>
              </w:rPr>
            </w:pPr>
            <w:r w:rsidRPr="00A966ED">
              <w:rPr>
                <w:rFonts w:asciiTheme="minorHAnsi" w:hAnsiTheme="minorHAnsi" w:cstheme="minorHAnsi"/>
                <w:b/>
                <w:sz w:val="24"/>
                <w:szCs w:val="24"/>
                <w:lang w:val="en-GB"/>
              </w:rPr>
              <w:t xml:space="preserve">Recommendation </w:t>
            </w:r>
            <w:r w:rsidR="00522D0C" w:rsidRPr="00A966ED">
              <w:rPr>
                <w:rFonts w:asciiTheme="minorHAnsi" w:hAnsiTheme="minorHAnsi" w:cstheme="minorHAnsi"/>
                <w:b/>
                <w:sz w:val="24"/>
                <w:szCs w:val="24"/>
                <w:lang w:val="en-GB"/>
              </w:rPr>
              <w:t>5</w:t>
            </w:r>
            <w:r w:rsidR="005F1F93" w:rsidRPr="00A966ED">
              <w:rPr>
                <w:rFonts w:asciiTheme="minorHAnsi" w:hAnsiTheme="minorHAnsi" w:cstheme="minorHAnsi"/>
                <w:b/>
                <w:sz w:val="24"/>
                <w:szCs w:val="24"/>
                <w:lang w:val="en-GB"/>
              </w:rPr>
              <w:t>4</w:t>
            </w:r>
          </w:p>
        </w:tc>
        <w:tc>
          <w:tcPr>
            <w:tcW w:w="7620" w:type="dxa"/>
          </w:tcPr>
          <w:p w14:paraId="6B516D38" w14:textId="77777777" w:rsidR="000A7D05" w:rsidRPr="00A966ED" w:rsidRDefault="001073C8" w:rsidP="00AE3ED1">
            <w:pPr>
              <w:spacing w:after="120"/>
              <w:ind w:right="-142"/>
              <w:rPr>
                <w:rFonts w:asciiTheme="minorHAnsi" w:hAnsiTheme="minorHAnsi" w:cstheme="minorHAnsi"/>
                <w:sz w:val="24"/>
                <w:szCs w:val="24"/>
                <w:lang w:val="en-GB"/>
              </w:rPr>
            </w:pPr>
            <w:r w:rsidRPr="00A966ED">
              <w:rPr>
                <w:rFonts w:asciiTheme="minorHAnsi" w:hAnsiTheme="minorHAnsi" w:cstheme="minorHAnsi"/>
                <w:sz w:val="24"/>
                <w:szCs w:val="24"/>
                <w:lang w:val="en-GB"/>
              </w:rPr>
              <w:t xml:space="preserve">The </w:t>
            </w:r>
            <w:r w:rsidR="000A7D05" w:rsidRPr="00A966ED">
              <w:rPr>
                <w:rFonts w:asciiTheme="minorHAnsi" w:hAnsiTheme="minorHAnsi" w:cstheme="minorHAnsi"/>
                <w:sz w:val="24"/>
                <w:szCs w:val="24"/>
                <w:lang w:val="en-GB"/>
              </w:rPr>
              <w:t>IHPA conduct a costing study and classification review for the classification of non-admitted pre and post organ transplantation care.</w:t>
            </w:r>
          </w:p>
        </w:tc>
      </w:tr>
      <w:tr w:rsidR="000A7D05" w:rsidRPr="00A966ED" w14:paraId="2FA50C64" w14:textId="77777777" w:rsidTr="00AE3ED1">
        <w:tc>
          <w:tcPr>
            <w:tcW w:w="2268" w:type="dxa"/>
          </w:tcPr>
          <w:p w14:paraId="4F1E9886" w14:textId="77777777" w:rsidR="000A7D05" w:rsidRPr="00A966ED" w:rsidRDefault="000A7D05" w:rsidP="00AE3ED1">
            <w:pPr>
              <w:spacing w:after="120"/>
              <w:ind w:right="-321"/>
              <w:rPr>
                <w:rFonts w:asciiTheme="minorHAnsi" w:hAnsiTheme="minorHAnsi" w:cstheme="minorHAnsi"/>
                <w:b/>
                <w:sz w:val="24"/>
                <w:szCs w:val="24"/>
                <w:lang w:val="en-GB"/>
              </w:rPr>
            </w:pPr>
            <w:r w:rsidRPr="00A966ED">
              <w:rPr>
                <w:rFonts w:asciiTheme="minorHAnsi" w:hAnsiTheme="minorHAnsi" w:cstheme="minorHAnsi"/>
                <w:b/>
                <w:sz w:val="24"/>
                <w:szCs w:val="24"/>
                <w:lang w:val="en-GB"/>
              </w:rPr>
              <w:t>Recommendation 5</w:t>
            </w:r>
            <w:r w:rsidR="005F1F93" w:rsidRPr="00A966ED">
              <w:rPr>
                <w:rFonts w:asciiTheme="minorHAnsi" w:hAnsiTheme="minorHAnsi" w:cstheme="minorHAnsi"/>
                <w:b/>
                <w:sz w:val="24"/>
                <w:szCs w:val="24"/>
                <w:lang w:val="en-GB"/>
              </w:rPr>
              <w:t>5</w:t>
            </w:r>
          </w:p>
        </w:tc>
        <w:tc>
          <w:tcPr>
            <w:tcW w:w="7620" w:type="dxa"/>
          </w:tcPr>
          <w:p w14:paraId="4EF1DC80" w14:textId="3220D340" w:rsidR="008C2B47" w:rsidRPr="00A966ED" w:rsidRDefault="000A7D05" w:rsidP="006449E1">
            <w:pPr>
              <w:spacing w:after="120"/>
              <w:ind w:right="-142"/>
              <w:rPr>
                <w:rFonts w:asciiTheme="minorHAnsi" w:hAnsiTheme="minorHAnsi" w:cstheme="minorHAnsi"/>
                <w:sz w:val="24"/>
                <w:szCs w:val="24"/>
                <w:lang w:val="en-GB"/>
              </w:rPr>
            </w:pPr>
            <w:r w:rsidRPr="00A966ED">
              <w:rPr>
                <w:rFonts w:asciiTheme="minorHAnsi" w:hAnsiTheme="minorHAnsi" w:cstheme="minorHAnsi"/>
                <w:sz w:val="24"/>
                <w:szCs w:val="24"/>
                <w:lang w:val="en-GB"/>
              </w:rPr>
              <w:t>Consideration should be given</w:t>
            </w:r>
            <w:r w:rsidR="004E37B3" w:rsidRPr="00A966ED">
              <w:rPr>
                <w:rFonts w:asciiTheme="minorHAnsi" w:hAnsiTheme="minorHAnsi" w:cstheme="minorHAnsi"/>
                <w:sz w:val="24"/>
                <w:szCs w:val="24"/>
                <w:lang w:val="en-GB"/>
              </w:rPr>
              <w:t xml:space="preserve"> by the Australian Government</w:t>
            </w:r>
            <w:r w:rsidRPr="00A966ED">
              <w:rPr>
                <w:rFonts w:asciiTheme="minorHAnsi" w:hAnsiTheme="minorHAnsi" w:cstheme="minorHAnsi"/>
                <w:sz w:val="24"/>
                <w:szCs w:val="24"/>
                <w:lang w:val="en-GB"/>
              </w:rPr>
              <w:t xml:space="preserve"> for the proscription of access to the MBS for the recipients of organ transplantation other than kidney transplantation be removed from the next version of the </w:t>
            </w:r>
            <w:r w:rsidRPr="00A966ED">
              <w:rPr>
                <w:rFonts w:asciiTheme="minorHAnsi" w:hAnsiTheme="minorHAnsi" w:cstheme="minorHAnsi"/>
                <w:sz w:val="24"/>
                <w:szCs w:val="22"/>
                <w:lang w:val="en-GB"/>
              </w:rPr>
              <w:t xml:space="preserve">General Explanatory Notes 13.33 of the </w:t>
            </w:r>
            <w:r w:rsidRPr="00A966ED">
              <w:rPr>
                <w:rFonts w:asciiTheme="minorHAnsi" w:hAnsiTheme="minorHAnsi" w:cstheme="minorHAnsi"/>
                <w:i/>
                <w:sz w:val="24"/>
                <w:szCs w:val="22"/>
                <w:lang w:val="en-GB"/>
              </w:rPr>
              <w:t>Medicare Benefits Schedule</w:t>
            </w:r>
            <w:r w:rsidR="008C2B47" w:rsidRPr="00A966ED">
              <w:rPr>
                <w:rFonts w:asciiTheme="minorHAnsi" w:hAnsiTheme="minorHAnsi" w:cstheme="minorHAnsi"/>
                <w:sz w:val="24"/>
                <w:szCs w:val="24"/>
                <w:lang w:val="en-GB"/>
              </w:rPr>
              <w:t>.</w:t>
            </w:r>
          </w:p>
        </w:tc>
      </w:tr>
    </w:tbl>
    <w:p w14:paraId="69D935C3" w14:textId="77777777" w:rsidR="000A7D05" w:rsidRPr="00A966ED" w:rsidRDefault="000A7D05" w:rsidP="000A7D05">
      <w:pPr>
        <w:pStyle w:val="Heading3"/>
        <w:tabs>
          <w:tab w:val="clear" w:pos="1843"/>
          <w:tab w:val="num" w:pos="1559"/>
        </w:tabs>
        <w:ind w:left="992" w:hanging="992"/>
        <w:rPr>
          <w:rFonts w:asciiTheme="minorHAnsi" w:hAnsiTheme="minorHAnsi" w:cstheme="minorHAnsi"/>
          <w:color w:val="7F7F7F" w:themeColor="text1" w:themeTint="80"/>
          <w:sz w:val="30"/>
          <w:szCs w:val="30"/>
        </w:rPr>
      </w:pPr>
      <w:bookmarkStart w:id="822" w:name="_Ref531796909"/>
      <w:r w:rsidRPr="00A966ED">
        <w:rPr>
          <w:rFonts w:asciiTheme="minorHAnsi" w:hAnsiTheme="minorHAnsi" w:cstheme="minorHAnsi"/>
          <w:b w:val="0"/>
          <w:color w:val="7F7F7F" w:themeColor="text1" w:themeTint="80"/>
          <w:sz w:val="30"/>
          <w:szCs w:val="30"/>
        </w:rPr>
        <w:t>Funding of new advances in the donation, retrieval and transplantation system</w:t>
      </w:r>
      <w:bookmarkEnd w:id="822"/>
    </w:p>
    <w:p w14:paraId="4CF06716" w14:textId="77777777" w:rsidR="000A7D05" w:rsidRPr="00A966ED" w:rsidRDefault="000A7D05" w:rsidP="000A7D05">
      <w:pPr>
        <w:spacing w:after="120"/>
        <w:rPr>
          <w:rFonts w:asciiTheme="minorHAnsi" w:hAnsiTheme="minorHAnsi" w:cstheme="minorHAnsi"/>
          <w:sz w:val="24"/>
          <w:szCs w:val="24"/>
          <w:lang w:val="en-GB"/>
        </w:rPr>
      </w:pPr>
      <w:r w:rsidRPr="00A966ED">
        <w:rPr>
          <w:rFonts w:asciiTheme="minorHAnsi" w:hAnsiTheme="minorHAnsi" w:cstheme="minorHAnsi"/>
          <w:sz w:val="24"/>
          <w:szCs w:val="24"/>
          <w:lang w:val="en-GB"/>
        </w:rPr>
        <w:t xml:space="preserve">As discussed in earlier sections of the report, a review is to be conducted by the TSANZ into the kidney algorithm and findings from this are to be incorporated into OrganMatch when it is implemented (planned for April 2019). </w:t>
      </w:r>
      <w:r w:rsidR="00407DB0" w:rsidRPr="00A966ED">
        <w:rPr>
          <w:rFonts w:asciiTheme="minorHAnsi" w:hAnsiTheme="minorHAnsi" w:cstheme="minorHAnsi"/>
          <w:sz w:val="24"/>
          <w:szCs w:val="24"/>
          <w:lang w:val="en-GB"/>
        </w:rPr>
        <w:t>T</w:t>
      </w:r>
      <w:r w:rsidRPr="00A966ED">
        <w:rPr>
          <w:rFonts w:asciiTheme="minorHAnsi" w:hAnsiTheme="minorHAnsi" w:cstheme="minorHAnsi"/>
          <w:sz w:val="24"/>
          <w:szCs w:val="24"/>
          <w:lang w:val="en-GB"/>
        </w:rPr>
        <w:t>he Review found that the modelling of the potential outcomes of the algorithm review is being undertaken in-kind. Further, the Review found that funding for the OrganMatch project is currently accounted for until it goes live on 2 April 2019, plus an additional year of funding for managed support, infrastructure and licensing. This funding only takes into consideration the implementation of OrganMatch with limited functionality. There is currently no commitment of funding beyond 2020 or any additional commitment to enhance the functionality of OrganMatch to enable efficiencies in organ allocation, offer and acceptance (as described earlier in this report).</w:t>
      </w:r>
    </w:p>
    <w:p w14:paraId="3DAF8A63" w14:textId="407326CD" w:rsidR="00146E46" w:rsidRPr="00A966ED" w:rsidRDefault="000A7D05" w:rsidP="000A7D05">
      <w:pPr>
        <w:spacing w:after="120"/>
        <w:rPr>
          <w:rFonts w:asciiTheme="minorHAnsi" w:hAnsiTheme="minorHAnsi" w:cstheme="minorHAnsi"/>
          <w:sz w:val="24"/>
          <w:szCs w:val="24"/>
          <w:lang w:val="en-GB"/>
        </w:rPr>
      </w:pPr>
      <w:r w:rsidRPr="00A966ED">
        <w:rPr>
          <w:rFonts w:asciiTheme="minorHAnsi" w:hAnsiTheme="minorHAnsi" w:cstheme="minorHAnsi"/>
          <w:sz w:val="24"/>
          <w:szCs w:val="24"/>
          <w:lang w:val="en-GB"/>
        </w:rPr>
        <w:t xml:space="preserve">The Review found that OrganMatch has the potential to streamline the management of waiting lists and allocation for both renal and non-renal organs. However, current funding arrangements reflect the limited functionality of OrganMatch. In order to optimise the use of OrganMatch and improve the efficiency and effectiveness of waiting list and allocation management, a review of the funding for OrganMatch and the resources required to undertake the review of the </w:t>
      </w:r>
      <w:r w:rsidR="004310C6" w:rsidRPr="00A966ED">
        <w:rPr>
          <w:rFonts w:asciiTheme="minorHAnsi" w:hAnsiTheme="minorHAnsi" w:cstheme="minorHAnsi"/>
          <w:sz w:val="24"/>
          <w:szCs w:val="24"/>
          <w:lang w:val="en-GB"/>
        </w:rPr>
        <w:t>kidney allocation is needed.</w:t>
      </w:r>
    </w:p>
    <w:p w14:paraId="125CD82D" w14:textId="77777777" w:rsidR="000A7D05" w:rsidRPr="00A966ED" w:rsidRDefault="000A7D05" w:rsidP="000A7D05">
      <w:pPr>
        <w:tabs>
          <w:tab w:val="num" w:pos="720"/>
        </w:tabs>
        <w:spacing w:after="120"/>
        <w:rPr>
          <w:rFonts w:asciiTheme="minorHAnsi" w:hAnsiTheme="minorHAnsi" w:cstheme="minorHAnsi"/>
          <w:i/>
          <w:color w:val="808080" w:themeColor="background1" w:themeShade="80"/>
          <w:sz w:val="24"/>
          <w:szCs w:val="24"/>
        </w:rPr>
      </w:pPr>
      <w:r w:rsidRPr="00A966ED">
        <w:rPr>
          <w:rFonts w:asciiTheme="minorHAnsi" w:hAnsiTheme="minorHAnsi" w:cstheme="minorHAnsi"/>
          <w:i/>
          <w:color w:val="808080" w:themeColor="background1" w:themeShade="80"/>
          <w:sz w:val="24"/>
          <w:szCs w:val="24"/>
        </w:rPr>
        <w:t>Summary findings</w:t>
      </w:r>
    </w:p>
    <w:p w14:paraId="0EDDF285" w14:textId="77777777" w:rsidR="000A7D05" w:rsidRPr="00A966ED" w:rsidRDefault="000A7D05" w:rsidP="000A7D05">
      <w:pPr>
        <w:pStyle w:val="ListParagraph"/>
        <w:numPr>
          <w:ilvl w:val="0"/>
          <w:numId w:val="23"/>
        </w:numPr>
        <w:spacing w:after="120"/>
        <w:rPr>
          <w:rFonts w:asciiTheme="minorHAnsi" w:hAnsiTheme="minorHAnsi" w:cstheme="minorHAnsi"/>
          <w:sz w:val="24"/>
          <w:szCs w:val="24"/>
          <w:lang w:val="en-GB"/>
        </w:rPr>
      </w:pPr>
      <w:r w:rsidRPr="00A966ED">
        <w:rPr>
          <w:rFonts w:asciiTheme="minorHAnsi" w:hAnsiTheme="minorHAnsi" w:cstheme="minorHAnsi"/>
          <w:sz w:val="24"/>
          <w:szCs w:val="24"/>
          <w:lang w:val="en-GB"/>
        </w:rPr>
        <w:t>Current funding arrangements for the review of the kidney algorithm is not comprehensively funded.</w:t>
      </w:r>
    </w:p>
    <w:p w14:paraId="73AD8652" w14:textId="05936D46" w:rsidR="000A7D05" w:rsidRPr="00C75FAB" w:rsidRDefault="00585296" w:rsidP="00C75FAB">
      <w:pPr>
        <w:pStyle w:val="ListParagraph"/>
        <w:numPr>
          <w:ilvl w:val="0"/>
          <w:numId w:val="23"/>
        </w:numPr>
        <w:rPr>
          <w:rFonts w:asciiTheme="minorHAnsi" w:hAnsiTheme="minorHAnsi" w:cstheme="minorHAnsi"/>
          <w:sz w:val="24"/>
          <w:szCs w:val="24"/>
          <w:lang w:val="en-GB"/>
        </w:rPr>
      </w:pPr>
      <w:r w:rsidRPr="00A966ED">
        <w:rPr>
          <w:rFonts w:asciiTheme="minorHAnsi" w:hAnsiTheme="minorHAnsi" w:cstheme="minorHAnsi"/>
          <w:sz w:val="24"/>
          <w:szCs w:val="24"/>
          <w:lang w:val="en-GB"/>
        </w:rPr>
        <w:t>The OrganMatch project is currently funded up until it goes live on 2 April 2019 and includes an additional year of funding to April 2020 for managed support, infrastructure and licensing. It does not include budget for any application system enhancements.</w:t>
      </w:r>
      <w:r w:rsidR="000A7D05" w:rsidRPr="00C75FAB">
        <w:rPr>
          <w:rFonts w:asciiTheme="minorHAnsi" w:hAnsiTheme="minorHAnsi" w:cstheme="minorHAnsi"/>
          <w:sz w:val="24"/>
          <w:szCs w:val="24"/>
          <w:lang w:val="en-GB"/>
        </w:rPr>
        <w:t xml:space="preserve"> </w:t>
      </w:r>
    </w:p>
    <w:p w14:paraId="6306E5DB" w14:textId="11D038A8" w:rsidR="000A7D05" w:rsidRDefault="000A7D05" w:rsidP="000A7D05">
      <w:pPr>
        <w:tabs>
          <w:tab w:val="num" w:pos="720"/>
        </w:tabs>
        <w:spacing w:after="120"/>
        <w:rPr>
          <w:rFonts w:asciiTheme="minorHAnsi" w:hAnsiTheme="minorHAnsi" w:cstheme="minorHAnsi"/>
          <w:i/>
          <w:color w:val="808080" w:themeColor="background1" w:themeShade="80"/>
          <w:sz w:val="24"/>
          <w:szCs w:val="24"/>
        </w:rPr>
      </w:pPr>
      <w:r w:rsidRPr="00A966ED">
        <w:rPr>
          <w:rFonts w:asciiTheme="minorHAnsi" w:hAnsiTheme="minorHAnsi" w:cstheme="minorHAnsi"/>
          <w:i/>
          <w:color w:val="808080" w:themeColor="background1" w:themeShade="80"/>
          <w:sz w:val="24"/>
          <w:szCs w:val="24"/>
        </w:rPr>
        <w:t>Recommendations</w:t>
      </w:r>
    </w:p>
    <w:tbl>
      <w:tblPr>
        <w:tblStyle w:val="TableGrid"/>
        <w:tblW w:w="988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Recommendation fifty six is that the funding allocated to the implementation of OrganMatch should be reviewed by the Australian Government to take into account the need to model the potential outcomes of any altered algorithms that will be utilised within the new system."/>
      </w:tblPr>
      <w:tblGrid>
        <w:gridCol w:w="2268"/>
        <w:gridCol w:w="7620"/>
      </w:tblGrid>
      <w:tr w:rsidR="006449E1" w:rsidRPr="00BC331F" w14:paraId="295D2817" w14:textId="77777777" w:rsidTr="00B65E19">
        <w:trPr>
          <w:tblHeader/>
        </w:trPr>
        <w:tc>
          <w:tcPr>
            <w:tcW w:w="2268" w:type="dxa"/>
            <w:shd w:val="clear" w:color="auto" w:fill="595959" w:themeFill="text1" w:themeFillTint="A6"/>
          </w:tcPr>
          <w:p w14:paraId="4FA20BF3" w14:textId="77777777" w:rsidR="006449E1" w:rsidRPr="00BC331F" w:rsidRDefault="006449E1" w:rsidP="006449E1">
            <w:pPr>
              <w:spacing w:after="120"/>
              <w:ind w:right="-321"/>
              <w:rPr>
                <w:rFonts w:asciiTheme="minorHAnsi" w:hAnsiTheme="minorHAnsi" w:cstheme="minorHAnsi"/>
                <w:b/>
                <w:color w:val="FFFFFF" w:themeColor="background1"/>
                <w:sz w:val="24"/>
                <w:szCs w:val="24"/>
                <w:lang w:val="en-GB"/>
              </w:rPr>
            </w:pPr>
            <w:r w:rsidRPr="00BC331F">
              <w:rPr>
                <w:rFonts w:asciiTheme="minorHAnsi" w:hAnsiTheme="minorHAnsi" w:cstheme="minorHAnsi"/>
                <w:b/>
                <w:color w:val="FFFFFF" w:themeColor="background1"/>
                <w:sz w:val="24"/>
                <w:szCs w:val="24"/>
                <w:lang w:val="en-GB"/>
              </w:rPr>
              <w:t xml:space="preserve">Recommendation </w:t>
            </w:r>
          </w:p>
        </w:tc>
        <w:tc>
          <w:tcPr>
            <w:tcW w:w="7620" w:type="dxa"/>
            <w:shd w:val="clear" w:color="auto" w:fill="595959" w:themeFill="text1" w:themeFillTint="A6"/>
          </w:tcPr>
          <w:p w14:paraId="16B142D2" w14:textId="77777777" w:rsidR="006449E1" w:rsidRPr="00BC331F" w:rsidRDefault="006449E1" w:rsidP="006449E1">
            <w:pPr>
              <w:spacing w:after="120"/>
              <w:ind w:right="-142"/>
              <w:rPr>
                <w:rFonts w:asciiTheme="minorHAnsi" w:hAnsiTheme="minorHAnsi" w:cstheme="minorHAnsi"/>
                <w:b/>
                <w:color w:val="FFFFFF" w:themeColor="background1"/>
                <w:sz w:val="24"/>
                <w:szCs w:val="24"/>
                <w:lang w:val="en-GB"/>
              </w:rPr>
            </w:pPr>
            <w:r w:rsidRPr="00BC331F">
              <w:rPr>
                <w:rFonts w:asciiTheme="minorHAnsi" w:hAnsiTheme="minorHAnsi" w:cstheme="minorHAnsi"/>
                <w:b/>
                <w:color w:val="FFFFFF" w:themeColor="background1"/>
                <w:sz w:val="24"/>
                <w:szCs w:val="24"/>
                <w:lang w:val="en-GB"/>
              </w:rPr>
              <w:t>Description</w:t>
            </w:r>
          </w:p>
        </w:tc>
      </w:tr>
      <w:tr w:rsidR="006449E1" w:rsidRPr="00A966ED" w14:paraId="2149CEB7" w14:textId="77777777" w:rsidTr="006449E1">
        <w:tc>
          <w:tcPr>
            <w:tcW w:w="2268" w:type="dxa"/>
          </w:tcPr>
          <w:p w14:paraId="75D7BDDD" w14:textId="218CE483" w:rsidR="006449E1" w:rsidRPr="00A966ED" w:rsidRDefault="006449E1" w:rsidP="006F1EFD">
            <w:pPr>
              <w:spacing w:after="120"/>
              <w:ind w:right="-321"/>
              <w:rPr>
                <w:rFonts w:asciiTheme="minorHAnsi" w:hAnsiTheme="minorHAnsi" w:cstheme="minorHAnsi"/>
                <w:b/>
                <w:sz w:val="24"/>
                <w:szCs w:val="24"/>
                <w:lang w:val="en-GB"/>
              </w:rPr>
            </w:pPr>
            <w:r w:rsidRPr="00A966ED">
              <w:rPr>
                <w:rFonts w:asciiTheme="minorHAnsi" w:hAnsiTheme="minorHAnsi" w:cstheme="minorHAnsi"/>
                <w:b/>
                <w:sz w:val="24"/>
                <w:szCs w:val="24"/>
                <w:lang w:val="en-GB"/>
              </w:rPr>
              <w:t>Recommendation 5</w:t>
            </w:r>
            <w:r>
              <w:rPr>
                <w:rFonts w:asciiTheme="minorHAnsi" w:hAnsiTheme="minorHAnsi" w:cstheme="minorHAnsi"/>
                <w:b/>
                <w:sz w:val="24"/>
                <w:szCs w:val="24"/>
                <w:lang w:val="en-GB"/>
              </w:rPr>
              <w:t>6</w:t>
            </w:r>
          </w:p>
        </w:tc>
        <w:tc>
          <w:tcPr>
            <w:tcW w:w="7620" w:type="dxa"/>
          </w:tcPr>
          <w:p w14:paraId="709BBA5F" w14:textId="4DC540E9" w:rsidR="006449E1" w:rsidRPr="00A966ED" w:rsidRDefault="006449E1" w:rsidP="006F1EFD">
            <w:pPr>
              <w:spacing w:after="120"/>
              <w:ind w:right="-142"/>
              <w:rPr>
                <w:rFonts w:asciiTheme="minorHAnsi" w:hAnsiTheme="minorHAnsi" w:cstheme="minorHAnsi"/>
                <w:sz w:val="24"/>
                <w:szCs w:val="24"/>
                <w:lang w:val="en-GB"/>
              </w:rPr>
            </w:pPr>
            <w:r w:rsidRPr="00AE3ED1">
              <w:rPr>
                <w:rFonts w:asciiTheme="minorHAnsi" w:hAnsiTheme="minorHAnsi" w:cstheme="minorHAnsi"/>
                <w:sz w:val="24"/>
              </w:rPr>
              <w:t>The funding allocated to the implementation of OrganMatch should be reviewed by the Australian Government to take into account the need to model the potential outcomes of any altered algorithms that will be utilised within the new system</w:t>
            </w:r>
          </w:p>
        </w:tc>
      </w:tr>
    </w:tbl>
    <w:p w14:paraId="5B2A195A" w14:textId="6DAC58ED" w:rsidR="00CF379E" w:rsidRPr="00A966ED" w:rsidRDefault="008110C4" w:rsidP="00CF379E">
      <w:pPr>
        <w:pStyle w:val="Heading2"/>
        <w:tabs>
          <w:tab w:val="clear" w:pos="1559"/>
          <w:tab w:val="num" w:pos="993"/>
        </w:tabs>
        <w:spacing w:before="240"/>
        <w:ind w:left="992" w:hanging="992"/>
        <w:rPr>
          <w:rFonts w:asciiTheme="minorHAnsi" w:hAnsiTheme="minorHAnsi" w:cstheme="minorHAnsi"/>
          <w:iCs/>
          <w:color w:val="7F7F7F" w:themeColor="text1" w:themeTint="80"/>
          <w:sz w:val="36"/>
          <w:szCs w:val="30"/>
        </w:rPr>
      </w:pPr>
      <w:bookmarkStart w:id="823" w:name="_Toc523757713"/>
      <w:bookmarkStart w:id="824" w:name="_Ref530049104"/>
      <w:bookmarkStart w:id="825" w:name="_Toc532301704"/>
      <w:bookmarkStart w:id="826" w:name="_Toc523753668"/>
      <w:r>
        <w:rPr>
          <w:rFonts w:asciiTheme="minorHAnsi" w:hAnsiTheme="minorHAnsi" w:cstheme="minorHAnsi"/>
          <w:iCs/>
          <w:color w:val="7F7F7F" w:themeColor="text1" w:themeTint="80"/>
          <w:sz w:val="36"/>
          <w:szCs w:val="30"/>
        </w:rPr>
        <w:t xml:space="preserve">Supporting element 3: </w:t>
      </w:r>
      <w:r w:rsidR="00CF379E" w:rsidRPr="00A966ED">
        <w:rPr>
          <w:rFonts w:asciiTheme="minorHAnsi" w:hAnsiTheme="minorHAnsi" w:cstheme="minorHAnsi"/>
          <w:iCs/>
          <w:color w:val="7F7F7F" w:themeColor="text1" w:themeTint="80"/>
          <w:sz w:val="36"/>
          <w:szCs w:val="30"/>
        </w:rPr>
        <w:t>Research for the organ donation, retrieval and transplantation system</w:t>
      </w:r>
      <w:bookmarkEnd w:id="823"/>
      <w:bookmarkEnd w:id="824"/>
      <w:bookmarkEnd w:id="825"/>
      <w:r w:rsidR="00CF379E" w:rsidRPr="00A966ED">
        <w:rPr>
          <w:rFonts w:asciiTheme="minorHAnsi" w:hAnsiTheme="minorHAnsi" w:cstheme="minorHAnsi"/>
          <w:iCs/>
          <w:color w:val="7F7F7F" w:themeColor="text1" w:themeTint="80"/>
          <w:sz w:val="36"/>
          <w:szCs w:val="30"/>
        </w:rPr>
        <w:t xml:space="preserve"> </w:t>
      </w:r>
      <w:bookmarkEnd w:id="826"/>
    </w:p>
    <w:p w14:paraId="791B8528" w14:textId="77777777" w:rsidR="00CF379E" w:rsidRPr="00A966ED" w:rsidRDefault="00CF379E" w:rsidP="00CF379E">
      <w:pPr>
        <w:pStyle w:val="Heading3"/>
        <w:tabs>
          <w:tab w:val="clear" w:pos="1843"/>
          <w:tab w:val="num" w:pos="1559"/>
        </w:tabs>
        <w:ind w:left="992" w:hanging="992"/>
        <w:rPr>
          <w:rFonts w:asciiTheme="minorHAnsi" w:hAnsiTheme="minorHAnsi" w:cstheme="minorHAnsi"/>
          <w:b w:val="0"/>
          <w:color w:val="7F7F7F" w:themeColor="text1" w:themeTint="80"/>
          <w:sz w:val="30"/>
          <w:szCs w:val="30"/>
        </w:rPr>
      </w:pPr>
      <w:bookmarkStart w:id="827" w:name="_Ref530496066"/>
      <w:r w:rsidRPr="00A966ED">
        <w:rPr>
          <w:rFonts w:asciiTheme="minorHAnsi" w:hAnsiTheme="minorHAnsi" w:cstheme="minorHAnsi"/>
          <w:b w:val="0"/>
          <w:color w:val="7F7F7F" w:themeColor="text1" w:themeTint="80"/>
          <w:sz w:val="30"/>
          <w:szCs w:val="30"/>
        </w:rPr>
        <w:t>Research opportunities and priorities</w:t>
      </w:r>
      <w:bookmarkEnd w:id="827"/>
      <w:r w:rsidRPr="00A966ED">
        <w:rPr>
          <w:rFonts w:asciiTheme="minorHAnsi" w:hAnsiTheme="minorHAnsi" w:cstheme="minorHAnsi"/>
          <w:b w:val="0"/>
          <w:color w:val="7F7F7F" w:themeColor="text1" w:themeTint="80"/>
          <w:sz w:val="30"/>
          <w:szCs w:val="30"/>
        </w:rPr>
        <w:t xml:space="preserve"> </w:t>
      </w:r>
    </w:p>
    <w:p w14:paraId="2FD04C37" w14:textId="77777777" w:rsidR="00CF379E" w:rsidRPr="00A966ED" w:rsidRDefault="00CF379E" w:rsidP="00CF379E">
      <w:pPr>
        <w:tabs>
          <w:tab w:val="num" w:pos="720"/>
        </w:tabs>
        <w:spacing w:after="120"/>
        <w:rPr>
          <w:rFonts w:asciiTheme="minorHAnsi" w:hAnsiTheme="minorHAnsi" w:cstheme="minorHAnsi"/>
          <w:i/>
          <w:color w:val="808080" w:themeColor="background1" w:themeShade="80"/>
          <w:sz w:val="24"/>
          <w:szCs w:val="24"/>
        </w:rPr>
      </w:pPr>
      <w:r w:rsidRPr="00A966ED">
        <w:rPr>
          <w:rFonts w:asciiTheme="minorHAnsi" w:hAnsiTheme="minorHAnsi" w:cstheme="minorHAnsi"/>
          <w:i/>
          <w:color w:val="808080" w:themeColor="background1" w:themeShade="80"/>
          <w:sz w:val="24"/>
          <w:szCs w:val="24"/>
        </w:rPr>
        <w:t>Discussion of findings</w:t>
      </w:r>
    </w:p>
    <w:p w14:paraId="6508970C" w14:textId="77777777" w:rsidR="00CF379E" w:rsidRPr="00A966ED" w:rsidRDefault="00CF379E" w:rsidP="00CF379E">
      <w:pPr>
        <w:tabs>
          <w:tab w:val="num" w:pos="720"/>
        </w:tabs>
        <w:spacing w:after="120"/>
        <w:rPr>
          <w:rFonts w:asciiTheme="minorHAnsi" w:hAnsiTheme="minorHAnsi" w:cstheme="minorHAnsi"/>
          <w:sz w:val="24"/>
          <w:szCs w:val="24"/>
          <w:lang w:val="en-GB"/>
        </w:rPr>
      </w:pPr>
      <w:r w:rsidRPr="00A966ED">
        <w:rPr>
          <w:rFonts w:asciiTheme="minorHAnsi" w:hAnsiTheme="minorHAnsi" w:cstheme="minorHAnsi"/>
          <w:sz w:val="24"/>
          <w:szCs w:val="24"/>
          <w:lang w:val="en-GB"/>
        </w:rPr>
        <w:t xml:space="preserve">The Review found that there are a multitude of research bodies that currently inform and drive the evolution of the organ donation, retrieval and transplantation system in Australia. Research is a valuable part of innovation and improving practices to </w:t>
      </w:r>
      <w:r w:rsidR="003B3300" w:rsidRPr="00A966ED">
        <w:rPr>
          <w:rFonts w:asciiTheme="minorHAnsi" w:hAnsiTheme="minorHAnsi" w:cstheme="minorHAnsi"/>
          <w:sz w:val="24"/>
          <w:szCs w:val="24"/>
          <w:lang w:val="en-GB"/>
        </w:rPr>
        <w:t xml:space="preserve">maximise </w:t>
      </w:r>
      <w:r w:rsidRPr="00A966ED">
        <w:rPr>
          <w:rFonts w:asciiTheme="minorHAnsi" w:hAnsiTheme="minorHAnsi" w:cstheme="minorHAnsi"/>
          <w:sz w:val="24"/>
          <w:szCs w:val="24"/>
          <w:lang w:val="en-GB"/>
        </w:rPr>
        <w:t xml:space="preserve">patient outcomes. </w:t>
      </w:r>
      <w:r w:rsidR="00CE66CF" w:rsidRPr="00A966ED">
        <w:rPr>
          <w:rFonts w:asciiTheme="minorHAnsi" w:hAnsiTheme="minorHAnsi" w:cstheme="minorHAnsi"/>
          <w:sz w:val="24"/>
          <w:szCs w:val="24"/>
          <w:lang w:val="en-GB"/>
        </w:rPr>
        <w:t>The</w:t>
      </w:r>
      <w:r w:rsidRPr="00A966ED">
        <w:rPr>
          <w:rFonts w:asciiTheme="minorHAnsi" w:hAnsiTheme="minorHAnsi" w:cstheme="minorHAnsi"/>
          <w:sz w:val="24"/>
          <w:szCs w:val="24"/>
          <w:lang w:val="en-GB"/>
        </w:rPr>
        <w:t xml:space="preserve"> Review found that there are a number of research projects taking place in the system </w:t>
      </w:r>
      <w:r w:rsidR="007740E4" w:rsidRPr="00A966ED">
        <w:rPr>
          <w:rFonts w:asciiTheme="minorHAnsi" w:hAnsiTheme="minorHAnsi" w:cstheme="minorHAnsi"/>
          <w:sz w:val="24"/>
          <w:szCs w:val="24"/>
          <w:lang w:val="en-GB"/>
        </w:rPr>
        <w:t>that may provide gre</w:t>
      </w:r>
      <w:r w:rsidR="00EA7FB2" w:rsidRPr="00A966ED">
        <w:rPr>
          <w:rFonts w:asciiTheme="minorHAnsi" w:hAnsiTheme="minorHAnsi" w:cstheme="minorHAnsi"/>
          <w:sz w:val="24"/>
          <w:szCs w:val="24"/>
          <w:lang w:val="en-GB"/>
        </w:rPr>
        <w:t>at value to the system yet</w:t>
      </w:r>
      <w:r w:rsidR="004C11C3" w:rsidRPr="00A966ED">
        <w:rPr>
          <w:rFonts w:asciiTheme="minorHAnsi" w:hAnsiTheme="minorHAnsi" w:cstheme="minorHAnsi"/>
          <w:sz w:val="24"/>
          <w:szCs w:val="24"/>
          <w:lang w:val="en-GB"/>
        </w:rPr>
        <w:t xml:space="preserve"> there</w:t>
      </w:r>
      <w:r w:rsidR="007740E4" w:rsidRPr="00A966ED">
        <w:rPr>
          <w:rFonts w:asciiTheme="minorHAnsi" w:hAnsiTheme="minorHAnsi" w:cstheme="minorHAnsi"/>
          <w:sz w:val="24"/>
          <w:szCs w:val="24"/>
          <w:lang w:val="en-GB"/>
        </w:rPr>
        <w:t xml:space="preserve"> is currently </w:t>
      </w:r>
      <w:r w:rsidRPr="00A966ED">
        <w:rPr>
          <w:rFonts w:asciiTheme="minorHAnsi" w:hAnsiTheme="minorHAnsi" w:cstheme="minorHAnsi"/>
          <w:sz w:val="24"/>
          <w:szCs w:val="24"/>
          <w:lang w:val="en-GB"/>
        </w:rPr>
        <w:t xml:space="preserve">no national </w:t>
      </w:r>
      <w:r w:rsidR="007740E4" w:rsidRPr="00A966ED">
        <w:rPr>
          <w:rFonts w:asciiTheme="minorHAnsi" w:hAnsiTheme="minorHAnsi" w:cstheme="minorHAnsi"/>
          <w:sz w:val="24"/>
          <w:szCs w:val="24"/>
          <w:lang w:val="en-GB"/>
        </w:rPr>
        <w:t xml:space="preserve">system to provide </w:t>
      </w:r>
      <w:r w:rsidRPr="00A966ED">
        <w:rPr>
          <w:rFonts w:asciiTheme="minorHAnsi" w:hAnsiTheme="minorHAnsi" w:cstheme="minorHAnsi"/>
          <w:sz w:val="24"/>
          <w:szCs w:val="24"/>
          <w:lang w:val="en-GB"/>
        </w:rPr>
        <w:t>oversight or coordination</w:t>
      </w:r>
      <w:r w:rsidR="00CE66CF" w:rsidRPr="00A966ED">
        <w:rPr>
          <w:rFonts w:asciiTheme="minorHAnsi" w:hAnsiTheme="minorHAnsi" w:cstheme="minorHAnsi"/>
          <w:sz w:val="24"/>
          <w:szCs w:val="24"/>
          <w:lang w:val="en-GB"/>
        </w:rPr>
        <w:t xml:space="preserve"> over these research projects</w:t>
      </w:r>
      <w:r w:rsidRPr="00A966ED">
        <w:rPr>
          <w:rFonts w:asciiTheme="minorHAnsi" w:hAnsiTheme="minorHAnsi" w:cstheme="minorHAnsi"/>
          <w:sz w:val="24"/>
          <w:szCs w:val="24"/>
          <w:lang w:val="en-GB"/>
        </w:rPr>
        <w:t xml:space="preserve">. Without this, there is a high risk that research may be taking place in areas outside the view of the reform agenda. This may also increase the possibility of duplication and inefficient use of funding. </w:t>
      </w:r>
    </w:p>
    <w:p w14:paraId="159782A0" w14:textId="77777777" w:rsidR="00CE66CF" w:rsidRPr="00A966ED" w:rsidRDefault="00CE66CF" w:rsidP="00CF379E">
      <w:pPr>
        <w:tabs>
          <w:tab w:val="num" w:pos="720"/>
        </w:tabs>
        <w:spacing w:after="120"/>
        <w:rPr>
          <w:rFonts w:asciiTheme="minorHAnsi" w:hAnsiTheme="minorHAnsi" w:cstheme="minorHAnsi"/>
          <w:sz w:val="24"/>
          <w:szCs w:val="24"/>
          <w:lang w:val="en-GB"/>
        </w:rPr>
      </w:pPr>
      <w:r w:rsidRPr="00A966ED">
        <w:rPr>
          <w:rFonts w:asciiTheme="minorHAnsi" w:hAnsiTheme="minorHAnsi" w:cstheme="minorHAnsi"/>
          <w:sz w:val="24"/>
          <w:szCs w:val="24"/>
          <w:lang w:val="en-GB"/>
        </w:rPr>
        <w:t>The Review also found that further research is required in certain areas of the donation and transplantation space, particularly in the area of transplantation and post transplantation</w:t>
      </w:r>
      <w:r w:rsidR="00625F34" w:rsidRPr="00A966ED">
        <w:rPr>
          <w:rFonts w:asciiTheme="minorHAnsi" w:hAnsiTheme="minorHAnsi" w:cstheme="minorHAnsi"/>
          <w:sz w:val="24"/>
          <w:szCs w:val="24"/>
          <w:lang w:val="en-GB"/>
        </w:rPr>
        <w:t xml:space="preserve"> (see Recommendation 58)</w:t>
      </w:r>
      <w:r w:rsidRPr="00A966ED">
        <w:rPr>
          <w:rFonts w:asciiTheme="minorHAnsi" w:hAnsiTheme="minorHAnsi" w:cstheme="minorHAnsi"/>
          <w:sz w:val="24"/>
          <w:szCs w:val="24"/>
          <w:lang w:val="en-GB"/>
        </w:rPr>
        <w:t xml:space="preserve">. This additional research will be essential to informing the development of an adequate long term strategy.  </w:t>
      </w:r>
    </w:p>
    <w:p w14:paraId="707AF0BD" w14:textId="77777777" w:rsidR="00CF379E" w:rsidRPr="00A966ED" w:rsidRDefault="00CF379E" w:rsidP="00043531">
      <w:pPr>
        <w:tabs>
          <w:tab w:val="num" w:pos="720"/>
        </w:tabs>
        <w:spacing w:after="120"/>
        <w:rPr>
          <w:rFonts w:asciiTheme="minorHAnsi" w:hAnsiTheme="minorHAnsi" w:cstheme="minorHAnsi"/>
          <w:i/>
          <w:color w:val="808080" w:themeColor="background1" w:themeShade="80"/>
          <w:sz w:val="24"/>
          <w:szCs w:val="24"/>
        </w:rPr>
      </w:pPr>
      <w:r w:rsidRPr="00A966ED">
        <w:rPr>
          <w:rFonts w:asciiTheme="minorHAnsi" w:hAnsiTheme="minorHAnsi" w:cstheme="minorHAnsi"/>
          <w:i/>
          <w:color w:val="808080" w:themeColor="background1" w:themeShade="80"/>
          <w:sz w:val="24"/>
          <w:szCs w:val="24"/>
        </w:rPr>
        <w:t xml:space="preserve">Summary of key findings </w:t>
      </w:r>
    </w:p>
    <w:p w14:paraId="377280D7" w14:textId="16CE52D5" w:rsidR="007740E4" w:rsidRPr="00A966ED" w:rsidRDefault="00CF379E" w:rsidP="00CF379E">
      <w:pPr>
        <w:pStyle w:val="ListParagraph"/>
        <w:numPr>
          <w:ilvl w:val="0"/>
          <w:numId w:val="23"/>
        </w:numPr>
        <w:spacing w:after="120"/>
        <w:rPr>
          <w:rFonts w:asciiTheme="minorHAnsi" w:hAnsiTheme="minorHAnsi" w:cstheme="minorHAnsi"/>
          <w:sz w:val="24"/>
          <w:szCs w:val="24"/>
          <w:lang w:val="en-GB"/>
        </w:rPr>
      </w:pPr>
      <w:r w:rsidRPr="00A966ED">
        <w:rPr>
          <w:rFonts w:asciiTheme="minorHAnsi" w:hAnsiTheme="minorHAnsi" w:cstheme="minorHAnsi"/>
          <w:sz w:val="24"/>
          <w:szCs w:val="24"/>
          <w:lang w:val="en-GB"/>
        </w:rPr>
        <w:t xml:space="preserve">A range of research </w:t>
      </w:r>
      <w:r w:rsidR="007740E4" w:rsidRPr="00A966ED">
        <w:rPr>
          <w:rFonts w:asciiTheme="minorHAnsi" w:hAnsiTheme="minorHAnsi" w:cstheme="minorHAnsi"/>
          <w:sz w:val="24"/>
          <w:szCs w:val="24"/>
          <w:lang w:val="en-GB"/>
        </w:rPr>
        <w:t>activities</w:t>
      </w:r>
      <w:r w:rsidRPr="00A966ED">
        <w:rPr>
          <w:rFonts w:asciiTheme="minorHAnsi" w:hAnsiTheme="minorHAnsi" w:cstheme="minorHAnsi"/>
          <w:sz w:val="24"/>
          <w:szCs w:val="24"/>
          <w:lang w:val="en-GB"/>
        </w:rPr>
        <w:t xml:space="preserve"> have been identified during the </w:t>
      </w:r>
      <w:r w:rsidR="007740E4" w:rsidRPr="00A966ED">
        <w:rPr>
          <w:rFonts w:asciiTheme="minorHAnsi" w:hAnsiTheme="minorHAnsi" w:cstheme="minorHAnsi"/>
          <w:sz w:val="24"/>
          <w:szCs w:val="24"/>
          <w:lang w:val="en-GB"/>
        </w:rPr>
        <w:t>R</w:t>
      </w:r>
      <w:r w:rsidRPr="00A966ED">
        <w:rPr>
          <w:rFonts w:asciiTheme="minorHAnsi" w:hAnsiTheme="minorHAnsi" w:cstheme="minorHAnsi"/>
          <w:sz w:val="24"/>
          <w:szCs w:val="24"/>
          <w:lang w:val="en-GB"/>
        </w:rPr>
        <w:t xml:space="preserve">eview which </w:t>
      </w:r>
      <w:r w:rsidR="007740E4" w:rsidRPr="00A966ED">
        <w:rPr>
          <w:rFonts w:asciiTheme="minorHAnsi" w:hAnsiTheme="minorHAnsi" w:cstheme="minorHAnsi"/>
          <w:sz w:val="24"/>
          <w:szCs w:val="24"/>
          <w:lang w:val="en-GB"/>
        </w:rPr>
        <w:t>are not currently coordinated through a national system aligned to the national strategy.</w:t>
      </w:r>
      <w:r w:rsidR="009C1C66" w:rsidRPr="00A966ED">
        <w:rPr>
          <w:rFonts w:asciiTheme="minorHAnsi" w:hAnsiTheme="minorHAnsi" w:cstheme="minorHAnsi"/>
          <w:sz w:val="24"/>
          <w:szCs w:val="24"/>
          <w:lang w:val="en-GB"/>
        </w:rPr>
        <w:t xml:space="preserve"> </w:t>
      </w:r>
    </w:p>
    <w:p w14:paraId="3EC58D73" w14:textId="77777777" w:rsidR="00CF379E" w:rsidRPr="00A966ED" w:rsidRDefault="007740E4" w:rsidP="00CF379E">
      <w:pPr>
        <w:pStyle w:val="ListParagraph"/>
        <w:numPr>
          <w:ilvl w:val="0"/>
          <w:numId w:val="23"/>
        </w:numPr>
        <w:spacing w:after="120"/>
        <w:rPr>
          <w:rFonts w:asciiTheme="minorHAnsi" w:hAnsiTheme="minorHAnsi" w:cstheme="minorHAnsi"/>
          <w:sz w:val="24"/>
          <w:szCs w:val="24"/>
          <w:lang w:val="en-GB"/>
        </w:rPr>
      </w:pPr>
      <w:r w:rsidRPr="00A966ED">
        <w:rPr>
          <w:rFonts w:asciiTheme="minorHAnsi" w:hAnsiTheme="minorHAnsi" w:cstheme="minorHAnsi"/>
          <w:sz w:val="24"/>
          <w:szCs w:val="24"/>
          <w:lang w:val="en-GB"/>
        </w:rPr>
        <w:t xml:space="preserve">There are a number of research activities taking place that </w:t>
      </w:r>
      <w:r w:rsidR="00CF379E" w:rsidRPr="00A966ED">
        <w:rPr>
          <w:rFonts w:asciiTheme="minorHAnsi" w:hAnsiTheme="minorHAnsi" w:cstheme="minorHAnsi"/>
          <w:sz w:val="24"/>
          <w:szCs w:val="24"/>
          <w:lang w:val="en-GB"/>
        </w:rPr>
        <w:t>should be considered in future research strategies.</w:t>
      </w:r>
    </w:p>
    <w:p w14:paraId="3BD04A59" w14:textId="77777777" w:rsidR="00CF379E" w:rsidRPr="00A966ED" w:rsidRDefault="00CF379E" w:rsidP="00043531">
      <w:pPr>
        <w:tabs>
          <w:tab w:val="num" w:pos="720"/>
        </w:tabs>
        <w:spacing w:after="120"/>
        <w:rPr>
          <w:rFonts w:asciiTheme="minorHAnsi" w:hAnsiTheme="minorHAnsi" w:cstheme="minorHAnsi"/>
          <w:i/>
          <w:color w:val="808080" w:themeColor="background1" w:themeShade="80"/>
          <w:sz w:val="24"/>
          <w:szCs w:val="24"/>
        </w:rPr>
      </w:pPr>
      <w:r w:rsidRPr="00A966ED">
        <w:rPr>
          <w:rFonts w:asciiTheme="minorHAnsi" w:hAnsiTheme="minorHAnsi" w:cstheme="minorHAnsi"/>
          <w:i/>
          <w:color w:val="808080" w:themeColor="background1" w:themeShade="80"/>
          <w:sz w:val="24"/>
          <w:szCs w:val="24"/>
        </w:rPr>
        <w:t>Recommendations</w:t>
      </w:r>
    </w:p>
    <w:tbl>
      <w:tblPr>
        <w:tblStyle w:val="TableGrid"/>
        <w:tblW w:w="963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6A0" w:firstRow="1" w:lastRow="0" w:firstColumn="1" w:lastColumn="0" w:noHBand="1" w:noVBand="1"/>
        <w:tblDescription w:val="Recommendation fifty seven is that the OTA should provide national oversight and coordination of research activities after consultation with the TSANZ and other clinical advisors. OTA should consider the place of ex vivo perfusion technologies in kidney and liver transplantation, point of care testing for kidney transplant recipients in remote Australian communities, the possible use of monthly administration of immunosuppressant medications in remote communities following organ transplantation, alternative donor matching technologies, organ donation patterns in minority and marginalised communities within Australia, the organ donation patterns in minortiy and marginalised communities within Australia, the reasons why families change their mind after agreeing to organ donation and the overall demand for organ transplantation in Australia. "/>
      </w:tblPr>
      <w:tblGrid>
        <w:gridCol w:w="2268"/>
        <w:gridCol w:w="7371"/>
      </w:tblGrid>
      <w:tr w:rsidR="00CB53AB" w:rsidRPr="00A966ED" w14:paraId="354AC064" w14:textId="77777777" w:rsidTr="00AE3ED1">
        <w:trPr>
          <w:tblHeader/>
        </w:trPr>
        <w:tc>
          <w:tcPr>
            <w:tcW w:w="2268" w:type="dxa"/>
            <w:shd w:val="clear" w:color="auto" w:fill="595959" w:themeFill="text1" w:themeFillTint="A6"/>
          </w:tcPr>
          <w:p w14:paraId="4E7D39BE" w14:textId="7CC84A0B" w:rsidR="00CB53AB" w:rsidRPr="00AE3ED1" w:rsidRDefault="00CB53AB" w:rsidP="00AE3ED1">
            <w:pPr>
              <w:spacing w:after="120"/>
              <w:ind w:right="-321"/>
              <w:rPr>
                <w:rFonts w:asciiTheme="minorHAnsi" w:hAnsiTheme="minorHAnsi" w:cstheme="minorHAnsi"/>
                <w:b/>
                <w:color w:val="FFFFFF" w:themeColor="background1"/>
                <w:sz w:val="24"/>
                <w:szCs w:val="24"/>
                <w:lang w:val="en-GB"/>
              </w:rPr>
            </w:pPr>
            <w:r w:rsidRPr="00AE3ED1">
              <w:rPr>
                <w:rFonts w:asciiTheme="minorHAnsi" w:hAnsiTheme="minorHAnsi" w:cstheme="minorHAnsi"/>
                <w:b/>
                <w:color w:val="FFFFFF" w:themeColor="background1"/>
                <w:sz w:val="24"/>
                <w:szCs w:val="24"/>
                <w:lang w:val="en-GB"/>
              </w:rPr>
              <w:t>Recommendation</w:t>
            </w:r>
          </w:p>
        </w:tc>
        <w:tc>
          <w:tcPr>
            <w:tcW w:w="7371" w:type="dxa"/>
            <w:shd w:val="clear" w:color="auto" w:fill="595959" w:themeFill="text1" w:themeFillTint="A6"/>
          </w:tcPr>
          <w:p w14:paraId="351D04B7" w14:textId="0F6C1005" w:rsidR="00CB53AB" w:rsidRPr="00AE3ED1" w:rsidRDefault="00CB53AB" w:rsidP="00AE3ED1">
            <w:pPr>
              <w:spacing w:after="120"/>
              <w:rPr>
                <w:rFonts w:asciiTheme="minorHAnsi" w:hAnsiTheme="minorHAnsi" w:cstheme="minorHAnsi"/>
                <w:b/>
                <w:color w:val="FFFFFF" w:themeColor="background1"/>
                <w:sz w:val="24"/>
                <w:szCs w:val="24"/>
                <w:lang w:val="en-GB"/>
              </w:rPr>
            </w:pPr>
            <w:r w:rsidRPr="00AE3ED1">
              <w:rPr>
                <w:rFonts w:asciiTheme="minorHAnsi" w:hAnsiTheme="minorHAnsi" w:cstheme="minorHAnsi"/>
                <w:b/>
                <w:color w:val="FFFFFF" w:themeColor="background1"/>
                <w:sz w:val="24"/>
                <w:szCs w:val="24"/>
                <w:lang w:val="en-GB"/>
              </w:rPr>
              <w:t>Description</w:t>
            </w:r>
          </w:p>
        </w:tc>
      </w:tr>
      <w:tr w:rsidR="00CF379E" w:rsidRPr="00A966ED" w14:paraId="051A7209" w14:textId="77777777" w:rsidTr="00AE3ED1">
        <w:tc>
          <w:tcPr>
            <w:tcW w:w="2268" w:type="dxa"/>
          </w:tcPr>
          <w:p w14:paraId="40C0FC71" w14:textId="77777777" w:rsidR="00CF379E" w:rsidRPr="00A966ED" w:rsidRDefault="00CF379E" w:rsidP="00AE3ED1">
            <w:pPr>
              <w:spacing w:after="120"/>
              <w:ind w:right="-321"/>
              <w:rPr>
                <w:rFonts w:asciiTheme="minorHAnsi" w:hAnsiTheme="minorHAnsi" w:cstheme="minorHAnsi"/>
                <w:b/>
                <w:sz w:val="24"/>
                <w:szCs w:val="24"/>
                <w:lang w:val="en-GB"/>
              </w:rPr>
            </w:pPr>
            <w:r w:rsidRPr="00A966ED">
              <w:rPr>
                <w:rFonts w:asciiTheme="minorHAnsi" w:hAnsiTheme="minorHAnsi" w:cstheme="minorHAnsi"/>
                <w:b/>
                <w:sz w:val="24"/>
                <w:szCs w:val="24"/>
                <w:lang w:val="en-GB"/>
              </w:rPr>
              <w:t xml:space="preserve">Recommendation </w:t>
            </w:r>
            <w:r w:rsidR="00522D0C" w:rsidRPr="00A966ED">
              <w:rPr>
                <w:rFonts w:asciiTheme="minorHAnsi" w:hAnsiTheme="minorHAnsi" w:cstheme="minorHAnsi"/>
                <w:b/>
                <w:sz w:val="24"/>
                <w:szCs w:val="24"/>
                <w:lang w:val="en-GB"/>
              </w:rPr>
              <w:t>5</w:t>
            </w:r>
            <w:r w:rsidR="005F1F93" w:rsidRPr="00A966ED">
              <w:rPr>
                <w:rFonts w:asciiTheme="minorHAnsi" w:hAnsiTheme="minorHAnsi" w:cstheme="minorHAnsi"/>
                <w:b/>
                <w:sz w:val="24"/>
                <w:szCs w:val="24"/>
                <w:lang w:val="en-GB"/>
              </w:rPr>
              <w:t>7</w:t>
            </w:r>
          </w:p>
        </w:tc>
        <w:tc>
          <w:tcPr>
            <w:tcW w:w="7371" w:type="dxa"/>
          </w:tcPr>
          <w:p w14:paraId="46A15929" w14:textId="77777777" w:rsidR="00CF379E" w:rsidRPr="00A966ED" w:rsidRDefault="00CF379E" w:rsidP="00AE3ED1">
            <w:pPr>
              <w:spacing w:after="120"/>
              <w:rPr>
                <w:rFonts w:asciiTheme="minorHAnsi" w:hAnsiTheme="minorHAnsi" w:cstheme="minorHAnsi"/>
                <w:sz w:val="24"/>
                <w:szCs w:val="24"/>
                <w:lang w:val="en-GB"/>
              </w:rPr>
            </w:pPr>
            <w:r w:rsidRPr="00A966ED">
              <w:rPr>
                <w:rFonts w:asciiTheme="minorHAnsi" w:hAnsiTheme="minorHAnsi" w:cstheme="minorHAnsi"/>
                <w:sz w:val="24"/>
                <w:szCs w:val="24"/>
                <w:lang w:val="en-GB"/>
              </w:rPr>
              <w:t xml:space="preserve">The OTA should </w:t>
            </w:r>
            <w:r w:rsidR="0096223F" w:rsidRPr="00A966ED">
              <w:rPr>
                <w:rFonts w:asciiTheme="minorHAnsi" w:hAnsiTheme="minorHAnsi" w:cstheme="minorHAnsi"/>
                <w:sz w:val="24"/>
                <w:szCs w:val="24"/>
                <w:lang w:val="en-GB"/>
              </w:rPr>
              <w:t>provide national oversight and coordination of research activities</w:t>
            </w:r>
            <w:r w:rsidR="00FA2E60" w:rsidRPr="00A966ED">
              <w:rPr>
                <w:rFonts w:asciiTheme="minorHAnsi" w:hAnsiTheme="minorHAnsi" w:cstheme="minorHAnsi"/>
                <w:sz w:val="24"/>
                <w:szCs w:val="24"/>
                <w:lang w:val="en-GB"/>
              </w:rPr>
              <w:t xml:space="preserve"> after consultation with the TSANZ and other clinical advisers</w:t>
            </w:r>
            <w:r w:rsidR="0096223F" w:rsidRPr="00A966ED">
              <w:rPr>
                <w:rFonts w:asciiTheme="minorHAnsi" w:hAnsiTheme="minorHAnsi" w:cstheme="minorHAnsi"/>
                <w:sz w:val="24"/>
                <w:szCs w:val="24"/>
                <w:lang w:val="en-GB"/>
              </w:rPr>
              <w:t xml:space="preserve"> and </w:t>
            </w:r>
            <w:r w:rsidRPr="00A966ED">
              <w:rPr>
                <w:rFonts w:asciiTheme="minorHAnsi" w:hAnsiTheme="minorHAnsi" w:cstheme="minorHAnsi"/>
                <w:sz w:val="24"/>
                <w:szCs w:val="24"/>
                <w:lang w:val="en-GB"/>
              </w:rPr>
              <w:t xml:space="preserve">consider the following research opportunities and priorities: </w:t>
            </w:r>
          </w:p>
          <w:p w14:paraId="36E65921" w14:textId="77777777" w:rsidR="00CF379E" w:rsidRPr="00A966ED" w:rsidRDefault="00CF379E" w:rsidP="00AE3ED1">
            <w:pPr>
              <w:pStyle w:val="ListParagraph"/>
              <w:numPr>
                <w:ilvl w:val="0"/>
                <w:numId w:val="23"/>
              </w:numPr>
              <w:spacing w:after="120"/>
              <w:rPr>
                <w:rFonts w:asciiTheme="minorHAnsi" w:hAnsiTheme="minorHAnsi" w:cstheme="minorHAnsi"/>
                <w:sz w:val="24"/>
                <w:szCs w:val="24"/>
                <w:lang w:val="en-GB"/>
              </w:rPr>
            </w:pPr>
            <w:r w:rsidRPr="00A966ED">
              <w:rPr>
                <w:rFonts w:asciiTheme="minorHAnsi" w:hAnsiTheme="minorHAnsi" w:cstheme="minorHAnsi"/>
                <w:sz w:val="24"/>
                <w:szCs w:val="24"/>
                <w:lang w:val="en-GB"/>
              </w:rPr>
              <w:t>The place of ex vivo perfusion technologies in kidney and liver transplantation.</w:t>
            </w:r>
          </w:p>
          <w:p w14:paraId="3DF61BA8" w14:textId="77777777" w:rsidR="00CF379E" w:rsidRPr="00A966ED" w:rsidRDefault="00CF379E" w:rsidP="00AE3ED1">
            <w:pPr>
              <w:pStyle w:val="ListParagraph"/>
              <w:numPr>
                <w:ilvl w:val="0"/>
                <w:numId w:val="23"/>
              </w:numPr>
              <w:spacing w:after="120"/>
              <w:rPr>
                <w:rFonts w:asciiTheme="minorHAnsi" w:hAnsiTheme="minorHAnsi" w:cstheme="minorHAnsi"/>
                <w:sz w:val="24"/>
                <w:szCs w:val="24"/>
                <w:lang w:val="en-GB"/>
              </w:rPr>
            </w:pPr>
            <w:r w:rsidRPr="00A966ED">
              <w:rPr>
                <w:rFonts w:asciiTheme="minorHAnsi" w:hAnsiTheme="minorHAnsi" w:cstheme="minorHAnsi"/>
                <w:sz w:val="24"/>
                <w:szCs w:val="24"/>
                <w:lang w:val="en-GB"/>
              </w:rPr>
              <w:t>Point of care testing for kidney transplant recipients in remote Australian communities.</w:t>
            </w:r>
          </w:p>
          <w:p w14:paraId="258FDF9D" w14:textId="77777777" w:rsidR="00CF379E" w:rsidRPr="00A966ED" w:rsidRDefault="00CF379E" w:rsidP="00AE3ED1">
            <w:pPr>
              <w:pStyle w:val="ListParagraph"/>
              <w:numPr>
                <w:ilvl w:val="0"/>
                <w:numId w:val="23"/>
              </w:numPr>
              <w:spacing w:after="120"/>
              <w:rPr>
                <w:rFonts w:asciiTheme="minorHAnsi" w:hAnsiTheme="minorHAnsi" w:cstheme="minorHAnsi"/>
                <w:sz w:val="24"/>
                <w:szCs w:val="24"/>
                <w:lang w:val="en-GB"/>
              </w:rPr>
            </w:pPr>
            <w:r w:rsidRPr="00A966ED">
              <w:rPr>
                <w:rFonts w:asciiTheme="minorHAnsi" w:hAnsiTheme="minorHAnsi" w:cstheme="minorHAnsi"/>
                <w:sz w:val="24"/>
                <w:szCs w:val="24"/>
                <w:lang w:val="en-GB"/>
              </w:rPr>
              <w:t>The possible use of monthly administration of immunosuppressant medications in remote communities following organ transplantation.</w:t>
            </w:r>
          </w:p>
          <w:p w14:paraId="1B824CE0" w14:textId="77777777" w:rsidR="00CF379E" w:rsidRPr="00A966ED" w:rsidRDefault="00CF379E" w:rsidP="00AE3ED1">
            <w:pPr>
              <w:pStyle w:val="ListParagraph"/>
              <w:numPr>
                <w:ilvl w:val="0"/>
                <w:numId w:val="23"/>
              </w:numPr>
              <w:spacing w:after="120"/>
              <w:rPr>
                <w:rFonts w:asciiTheme="minorHAnsi" w:hAnsiTheme="minorHAnsi" w:cstheme="minorHAnsi"/>
                <w:sz w:val="24"/>
                <w:szCs w:val="24"/>
                <w:lang w:val="en-GB"/>
              </w:rPr>
            </w:pPr>
            <w:r w:rsidRPr="00A966ED">
              <w:rPr>
                <w:rFonts w:asciiTheme="minorHAnsi" w:hAnsiTheme="minorHAnsi" w:cstheme="minorHAnsi"/>
                <w:sz w:val="24"/>
                <w:szCs w:val="24"/>
                <w:lang w:val="en-GB"/>
              </w:rPr>
              <w:t>Alternative donor matching technologies.</w:t>
            </w:r>
          </w:p>
          <w:p w14:paraId="70CBE1BF" w14:textId="77777777" w:rsidR="00CF379E" w:rsidRPr="00A966ED" w:rsidRDefault="00CF379E" w:rsidP="00AE3ED1">
            <w:pPr>
              <w:pStyle w:val="ListParagraph"/>
              <w:numPr>
                <w:ilvl w:val="0"/>
                <w:numId w:val="23"/>
              </w:numPr>
              <w:spacing w:after="120"/>
              <w:rPr>
                <w:rFonts w:asciiTheme="minorHAnsi" w:hAnsiTheme="minorHAnsi" w:cstheme="minorHAnsi"/>
                <w:sz w:val="24"/>
                <w:szCs w:val="24"/>
                <w:lang w:val="en-GB"/>
              </w:rPr>
            </w:pPr>
            <w:r w:rsidRPr="00A966ED">
              <w:rPr>
                <w:rFonts w:asciiTheme="minorHAnsi" w:hAnsiTheme="minorHAnsi" w:cstheme="minorHAnsi"/>
                <w:sz w:val="24"/>
                <w:szCs w:val="24"/>
                <w:lang w:val="en-GB"/>
              </w:rPr>
              <w:t>Organ donation patterns in minority and marginalised communities within Australia.</w:t>
            </w:r>
          </w:p>
          <w:p w14:paraId="58A05B50" w14:textId="03D3C4E4" w:rsidR="00CF379E" w:rsidRPr="00A966ED" w:rsidRDefault="00A966ED" w:rsidP="00AE3ED1">
            <w:pPr>
              <w:pStyle w:val="ListParagraph"/>
              <w:numPr>
                <w:ilvl w:val="0"/>
                <w:numId w:val="23"/>
              </w:numPr>
              <w:spacing w:after="120"/>
              <w:rPr>
                <w:rFonts w:asciiTheme="minorHAnsi" w:hAnsiTheme="minorHAnsi" w:cstheme="minorHAnsi"/>
                <w:sz w:val="24"/>
                <w:szCs w:val="24"/>
                <w:lang w:val="en-GB"/>
              </w:rPr>
            </w:pPr>
            <w:r>
              <w:rPr>
                <w:rFonts w:asciiTheme="minorHAnsi" w:hAnsiTheme="minorHAnsi" w:cstheme="minorHAnsi"/>
                <w:sz w:val="24"/>
                <w:szCs w:val="24"/>
                <w:lang w:val="en-GB"/>
              </w:rPr>
              <w:t>The r</w:t>
            </w:r>
            <w:r w:rsidR="00CF379E" w:rsidRPr="00A966ED">
              <w:rPr>
                <w:rFonts w:asciiTheme="minorHAnsi" w:hAnsiTheme="minorHAnsi" w:cstheme="minorHAnsi"/>
                <w:sz w:val="24"/>
                <w:szCs w:val="24"/>
                <w:lang w:val="en-GB"/>
              </w:rPr>
              <w:t>easons why families change their mind after agreeing to organ donation.</w:t>
            </w:r>
          </w:p>
          <w:p w14:paraId="1ADC00E1" w14:textId="02D8A55C" w:rsidR="00CF379E" w:rsidRPr="00A966ED" w:rsidRDefault="00A966ED" w:rsidP="00AE3ED1">
            <w:pPr>
              <w:pStyle w:val="ListParagraph"/>
              <w:numPr>
                <w:ilvl w:val="0"/>
                <w:numId w:val="23"/>
              </w:numPr>
              <w:spacing w:after="120"/>
              <w:rPr>
                <w:rFonts w:asciiTheme="minorHAnsi" w:hAnsiTheme="minorHAnsi" w:cstheme="minorHAnsi"/>
                <w:sz w:val="24"/>
                <w:szCs w:val="24"/>
                <w:lang w:val="en-GB"/>
              </w:rPr>
            </w:pPr>
            <w:r>
              <w:rPr>
                <w:rFonts w:asciiTheme="minorHAnsi" w:hAnsiTheme="minorHAnsi" w:cstheme="minorHAnsi"/>
                <w:sz w:val="24"/>
                <w:szCs w:val="24"/>
                <w:lang w:val="en-GB"/>
              </w:rPr>
              <w:t>The o</w:t>
            </w:r>
            <w:r w:rsidR="00CF379E" w:rsidRPr="00A966ED">
              <w:rPr>
                <w:rFonts w:asciiTheme="minorHAnsi" w:hAnsiTheme="minorHAnsi" w:cstheme="minorHAnsi"/>
                <w:sz w:val="24"/>
                <w:szCs w:val="24"/>
                <w:lang w:val="en-GB"/>
              </w:rPr>
              <w:t>verall demand for organ transplantation in Australia</w:t>
            </w:r>
            <w:r w:rsidR="00FA2E60" w:rsidRPr="00A966ED">
              <w:rPr>
                <w:rFonts w:asciiTheme="minorHAnsi" w:hAnsiTheme="minorHAnsi" w:cstheme="minorHAnsi"/>
                <w:sz w:val="24"/>
                <w:szCs w:val="24"/>
                <w:lang w:val="en-GB"/>
              </w:rPr>
              <w:t xml:space="preserve"> (</w:t>
            </w:r>
            <w:r>
              <w:rPr>
                <w:rFonts w:asciiTheme="minorHAnsi" w:hAnsiTheme="minorHAnsi" w:cstheme="minorHAnsi"/>
                <w:sz w:val="24"/>
                <w:szCs w:val="24"/>
                <w:lang w:val="en-GB"/>
              </w:rPr>
              <w:t>s</w:t>
            </w:r>
            <w:r w:rsidR="00FA2E60" w:rsidRPr="00A966ED">
              <w:rPr>
                <w:rFonts w:asciiTheme="minorHAnsi" w:hAnsiTheme="minorHAnsi" w:cstheme="minorHAnsi"/>
                <w:sz w:val="24"/>
                <w:szCs w:val="24"/>
                <w:lang w:val="en-GB"/>
              </w:rPr>
              <w:t>ee Recommendation</w:t>
            </w:r>
            <w:r w:rsidR="009B12CB" w:rsidRPr="00A966ED">
              <w:rPr>
                <w:rFonts w:asciiTheme="minorHAnsi" w:hAnsiTheme="minorHAnsi" w:cstheme="minorHAnsi"/>
                <w:sz w:val="24"/>
                <w:szCs w:val="24"/>
                <w:lang w:val="en-GB"/>
              </w:rPr>
              <w:t>s</w:t>
            </w:r>
            <w:r w:rsidR="00FA2E60" w:rsidRPr="00A966ED">
              <w:rPr>
                <w:rFonts w:asciiTheme="minorHAnsi" w:hAnsiTheme="minorHAnsi" w:cstheme="minorHAnsi"/>
                <w:sz w:val="24"/>
                <w:szCs w:val="24"/>
                <w:lang w:val="en-GB"/>
              </w:rPr>
              <w:t xml:space="preserve"> 17 and 18). </w:t>
            </w:r>
          </w:p>
        </w:tc>
      </w:tr>
    </w:tbl>
    <w:p w14:paraId="1CCAFA1C" w14:textId="77777777" w:rsidR="00D44D5D" w:rsidRDefault="00BB3C87" w:rsidP="00043531">
      <w:pPr>
        <w:pStyle w:val="Heading1"/>
        <w:tabs>
          <w:tab w:val="clear" w:pos="1559"/>
          <w:tab w:val="num" w:pos="993"/>
        </w:tabs>
        <w:spacing w:after="200" w:line="276" w:lineRule="auto"/>
        <w:ind w:left="992" w:hanging="992"/>
        <w:rPr>
          <w:rFonts w:asciiTheme="minorHAnsi" w:hAnsiTheme="minorHAnsi" w:cstheme="minorHAnsi"/>
          <w:sz w:val="48"/>
        </w:rPr>
      </w:pPr>
      <w:bookmarkStart w:id="828" w:name="_Ref531772618"/>
      <w:bookmarkStart w:id="829" w:name="_Toc532301705"/>
      <w:bookmarkStart w:id="830" w:name="_Ref506197121"/>
      <w:bookmarkStart w:id="831" w:name="_Toc506374016"/>
      <w:bookmarkStart w:id="832" w:name="_Toc507329826"/>
      <w:bookmarkStart w:id="833" w:name="_Ref501087798"/>
      <w:bookmarkStart w:id="834" w:name="_Toc499548513"/>
      <w:bookmarkStart w:id="835" w:name="_Toc499548514"/>
      <w:bookmarkStart w:id="836" w:name="_Ref421783306"/>
      <w:bookmarkStart w:id="837" w:name="_Ref421876552"/>
      <w:bookmarkStart w:id="838" w:name="_Toc425240319"/>
      <w:bookmarkStart w:id="839" w:name="_GoBack"/>
      <w:bookmarkEnd w:id="588"/>
      <w:bookmarkEnd w:id="589"/>
      <w:bookmarkEnd w:id="839"/>
      <w:r w:rsidRPr="00AF2399">
        <w:rPr>
          <w:rFonts w:asciiTheme="minorHAnsi" w:hAnsiTheme="minorHAnsi" w:cstheme="minorHAnsi"/>
          <w:sz w:val="48"/>
        </w:rPr>
        <w:t>Conclusion</w:t>
      </w:r>
      <w:bookmarkEnd w:id="828"/>
      <w:bookmarkEnd w:id="829"/>
    </w:p>
    <w:p w14:paraId="31E9CE21" w14:textId="1CA465DC" w:rsidR="00BC7780" w:rsidRPr="001124A6" w:rsidRDefault="00BC7780" w:rsidP="00BC7780">
      <w:pPr>
        <w:spacing w:after="120"/>
        <w:rPr>
          <w:rFonts w:asciiTheme="minorHAnsi" w:hAnsiTheme="minorHAnsi" w:cstheme="minorHAnsi"/>
          <w:sz w:val="24"/>
        </w:rPr>
      </w:pPr>
      <w:r w:rsidRPr="001124A6">
        <w:rPr>
          <w:rFonts w:asciiTheme="minorHAnsi" w:hAnsiTheme="minorHAnsi" w:cstheme="minorHAnsi"/>
          <w:sz w:val="24"/>
        </w:rPr>
        <w:t xml:space="preserve">Since the implementation of the national reform program in 2009, Australia has made significant progress towards establishing </w:t>
      </w:r>
      <w:r w:rsidR="006022FF">
        <w:rPr>
          <w:rFonts w:asciiTheme="minorHAnsi" w:hAnsiTheme="minorHAnsi" w:cstheme="minorHAnsi"/>
          <w:sz w:val="24"/>
        </w:rPr>
        <w:t>a</w:t>
      </w:r>
      <w:r w:rsidRPr="001124A6">
        <w:rPr>
          <w:rFonts w:asciiTheme="minorHAnsi" w:hAnsiTheme="minorHAnsi" w:cstheme="minorHAnsi"/>
          <w:sz w:val="24"/>
        </w:rPr>
        <w:t xml:space="preserve"> world’s best practice organ donation, retrieval and transplantation system. Since 2009</w:t>
      </w:r>
      <w:r w:rsidR="006022FF">
        <w:rPr>
          <w:rFonts w:asciiTheme="minorHAnsi" w:hAnsiTheme="minorHAnsi" w:cstheme="minorHAnsi"/>
          <w:sz w:val="24"/>
        </w:rPr>
        <w:t>,</w:t>
      </w:r>
      <w:r w:rsidRPr="001124A6">
        <w:rPr>
          <w:rFonts w:asciiTheme="minorHAnsi" w:hAnsiTheme="minorHAnsi" w:cstheme="minorHAnsi"/>
          <w:sz w:val="24"/>
        </w:rPr>
        <w:t xml:space="preserve"> deceased organ donation and transplantation has improved significantly, with a 106 per cent growth in the number of organ donations and a 75 per cent increase in the number of transplantations. </w:t>
      </w:r>
      <w:r w:rsidRPr="001124A6">
        <w:rPr>
          <w:rFonts w:asciiTheme="minorHAnsi" w:hAnsiTheme="minorHAnsi" w:cstheme="minorHAnsi"/>
          <w:sz w:val="24"/>
          <w:szCs w:val="24"/>
          <w:lang w:val="en-GB"/>
        </w:rPr>
        <w:t>The progress in the system can be attributed to the sustained and joint commitment of all Australian governments.</w:t>
      </w:r>
    </w:p>
    <w:p w14:paraId="7195862D" w14:textId="06397612" w:rsidR="00BC7780" w:rsidRPr="001124A6" w:rsidRDefault="00BC7780" w:rsidP="00BC7780">
      <w:pPr>
        <w:spacing w:after="120"/>
        <w:rPr>
          <w:rFonts w:asciiTheme="minorHAnsi" w:hAnsiTheme="minorHAnsi" w:cstheme="minorHAnsi"/>
          <w:sz w:val="24"/>
        </w:rPr>
      </w:pPr>
      <w:r w:rsidRPr="001124A6">
        <w:rPr>
          <w:rFonts w:asciiTheme="minorHAnsi" w:hAnsiTheme="minorHAnsi" w:cstheme="minorHAnsi"/>
          <w:sz w:val="24"/>
        </w:rPr>
        <w:t xml:space="preserve">Whilst acknowledging the improvements to date, increased activity has created downstream pressure on the capability and capacity of the health system to support every organ donation opportunity and optimise transplantation outcomes for recipients. Further, variable practices and performances across Australian jurisdictions has led to inequity of access and outcomes for some Australians. Specifically, the Review found that </w:t>
      </w:r>
      <w:r w:rsidR="006022FF">
        <w:rPr>
          <w:rFonts w:asciiTheme="minorHAnsi" w:hAnsiTheme="minorHAnsi" w:cstheme="minorHAnsi"/>
          <w:sz w:val="24"/>
        </w:rPr>
        <w:t xml:space="preserve">both </w:t>
      </w:r>
      <w:r w:rsidRPr="001124A6">
        <w:rPr>
          <w:rFonts w:asciiTheme="minorHAnsi" w:hAnsiTheme="minorHAnsi" w:cstheme="minorHAnsi"/>
          <w:sz w:val="24"/>
        </w:rPr>
        <w:t>Aboriginal and Torres Strait Islander Australians and Australians who live in rural and remote locations often experience significant barriers to transplantation</w:t>
      </w:r>
      <w:r w:rsidR="006022FF">
        <w:rPr>
          <w:rFonts w:asciiTheme="minorHAnsi" w:hAnsiTheme="minorHAnsi" w:cstheme="minorHAnsi"/>
          <w:sz w:val="24"/>
        </w:rPr>
        <w:t>. Even though these populations</w:t>
      </w:r>
      <w:r w:rsidRPr="001124A6">
        <w:rPr>
          <w:rFonts w:asciiTheme="minorHAnsi" w:hAnsiTheme="minorHAnsi" w:cstheme="minorHAnsi"/>
          <w:sz w:val="24"/>
        </w:rPr>
        <w:t xml:space="preserve"> often </w:t>
      </w:r>
      <w:r w:rsidR="006022FF">
        <w:rPr>
          <w:rFonts w:asciiTheme="minorHAnsi" w:hAnsiTheme="minorHAnsi" w:cstheme="minorHAnsi"/>
          <w:sz w:val="24"/>
        </w:rPr>
        <w:t>have</w:t>
      </w:r>
      <w:r w:rsidRPr="001124A6">
        <w:rPr>
          <w:rFonts w:asciiTheme="minorHAnsi" w:hAnsiTheme="minorHAnsi" w:cstheme="minorHAnsi"/>
          <w:sz w:val="24"/>
        </w:rPr>
        <w:t xml:space="preserve"> </w:t>
      </w:r>
      <w:r w:rsidR="006022FF">
        <w:rPr>
          <w:rFonts w:asciiTheme="minorHAnsi" w:hAnsiTheme="minorHAnsi" w:cstheme="minorHAnsi"/>
          <w:sz w:val="24"/>
        </w:rPr>
        <w:t xml:space="preserve">a </w:t>
      </w:r>
      <w:r w:rsidRPr="001124A6">
        <w:rPr>
          <w:rFonts w:asciiTheme="minorHAnsi" w:hAnsiTheme="minorHAnsi" w:cstheme="minorHAnsi"/>
          <w:sz w:val="24"/>
        </w:rPr>
        <w:t>greater need</w:t>
      </w:r>
      <w:r w:rsidR="00FD32D7">
        <w:rPr>
          <w:rFonts w:asciiTheme="minorHAnsi" w:hAnsiTheme="minorHAnsi" w:cstheme="minorHAnsi"/>
          <w:sz w:val="24"/>
        </w:rPr>
        <w:t xml:space="preserve"> for transplantation</w:t>
      </w:r>
      <w:r w:rsidRPr="001124A6">
        <w:rPr>
          <w:rFonts w:asciiTheme="minorHAnsi" w:hAnsiTheme="minorHAnsi" w:cstheme="minorHAnsi"/>
          <w:sz w:val="24"/>
        </w:rPr>
        <w:t xml:space="preserve"> due to</w:t>
      </w:r>
      <w:r w:rsidR="006022FF">
        <w:rPr>
          <w:rFonts w:asciiTheme="minorHAnsi" w:hAnsiTheme="minorHAnsi" w:cstheme="minorHAnsi"/>
          <w:sz w:val="24"/>
        </w:rPr>
        <w:t xml:space="preserve"> a</w:t>
      </w:r>
      <w:r w:rsidRPr="001124A6">
        <w:rPr>
          <w:rFonts w:asciiTheme="minorHAnsi" w:hAnsiTheme="minorHAnsi" w:cstheme="minorHAnsi"/>
          <w:sz w:val="24"/>
        </w:rPr>
        <w:t xml:space="preserve"> higher incidence of end-stage organ disease.</w:t>
      </w:r>
    </w:p>
    <w:p w14:paraId="10496369" w14:textId="31C7A968" w:rsidR="00BC7780" w:rsidRPr="001124A6" w:rsidRDefault="00BC7780" w:rsidP="00BC7780">
      <w:pPr>
        <w:spacing w:after="120"/>
        <w:rPr>
          <w:rFonts w:asciiTheme="minorHAnsi" w:hAnsiTheme="minorHAnsi" w:cstheme="minorHAnsi"/>
          <w:sz w:val="24"/>
        </w:rPr>
      </w:pPr>
      <w:r w:rsidRPr="001124A6">
        <w:rPr>
          <w:rFonts w:asciiTheme="minorHAnsi" w:hAnsiTheme="minorHAnsi" w:cstheme="minorHAnsi"/>
          <w:sz w:val="24"/>
        </w:rPr>
        <w:t xml:space="preserve">As continued growth in organ donation and transplantation activity is projected, the Review found that the current system requires enhancement in order to sustain and continue to drive optimal outcomes for all Australians. This Review has </w:t>
      </w:r>
      <w:r w:rsidRPr="001124A6">
        <w:rPr>
          <w:rFonts w:asciiTheme="minorHAnsi" w:hAnsiTheme="minorHAnsi" w:cstheme="minorHAnsi"/>
          <w:sz w:val="24"/>
          <w:szCs w:val="24"/>
          <w:lang w:val="en-GB"/>
        </w:rPr>
        <w:t xml:space="preserve">provided </w:t>
      </w:r>
      <w:r w:rsidRPr="00684654">
        <w:rPr>
          <w:rFonts w:asciiTheme="minorHAnsi" w:hAnsiTheme="minorHAnsi" w:cstheme="minorHAnsi"/>
          <w:sz w:val="24"/>
          <w:szCs w:val="24"/>
          <w:lang w:val="en-GB"/>
        </w:rPr>
        <w:t>5</w:t>
      </w:r>
      <w:r w:rsidR="001124A6">
        <w:rPr>
          <w:rFonts w:asciiTheme="minorHAnsi" w:hAnsiTheme="minorHAnsi" w:cstheme="minorHAnsi"/>
          <w:sz w:val="24"/>
          <w:szCs w:val="24"/>
          <w:lang w:val="en-GB"/>
        </w:rPr>
        <w:t>7</w:t>
      </w:r>
      <w:r w:rsidRPr="001124A6">
        <w:rPr>
          <w:rFonts w:asciiTheme="minorHAnsi" w:hAnsiTheme="minorHAnsi" w:cstheme="minorHAnsi"/>
          <w:sz w:val="24"/>
          <w:szCs w:val="24"/>
          <w:lang w:val="en-GB"/>
        </w:rPr>
        <w:t xml:space="preserve"> evidence-based recommendations to inform the development of a future long-term strategy for Australia’s retrieval and transplantation sector for deceased donation</w:t>
      </w:r>
      <w:r w:rsidR="00717FBF">
        <w:rPr>
          <w:rFonts w:asciiTheme="minorHAnsi" w:hAnsiTheme="minorHAnsi" w:cstheme="minorHAnsi"/>
          <w:sz w:val="24"/>
          <w:szCs w:val="24"/>
          <w:lang w:val="en-GB"/>
        </w:rPr>
        <w:t>,</w:t>
      </w:r>
      <w:r w:rsidRPr="001124A6">
        <w:rPr>
          <w:rFonts w:asciiTheme="minorHAnsi" w:hAnsiTheme="minorHAnsi" w:cstheme="minorHAnsi"/>
          <w:sz w:val="24"/>
          <w:szCs w:val="24"/>
          <w:lang w:val="en-GB"/>
        </w:rPr>
        <w:t xml:space="preserve"> including three key priorities for action: </w:t>
      </w:r>
    </w:p>
    <w:p w14:paraId="6A777EBF" w14:textId="77777777" w:rsidR="00BC7780" w:rsidRPr="00D354F0" w:rsidRDefault="00BC7780" w:rsidP="00F526D8">
      <w:pPr>
        <w:pStyle w:val="ListParagraph"/>
        <w:numPr>
          <w:ilvl w:val="0"/>
          <w:numId w:val="72"/>
        </w:numPr>
        <w:spacing w:after="120"/>
        <w:rPr>
          <w:rFonts w:asciiTheme="minorHAnsi" w:hAnsiTheme="minorHAnsi" w:cstheme="minorHAnsi"/>
          <w:sz w:val="24"/>
          <w:szCs w:val="24"/>
          <w:lang w:val="en-GB"/>
        </w:rPr>
      </w:pPr>
      <w:r w:rsidRPr="00D354F0">
        <w:rPr>
          <w:rFonts w:asciiTheme="minorHAnsi" w:hAnsiTheme="minorHAnsi" w:cstheme="minorHAnsi"/>
          <w:sz w:val="24"/>
          <w:szCs w:val="24"/>
          <w:lang w:val="en-GB"/>
        </w:rPr>
        <w:t xml:space="preserve">An organised, nationally driven strategy is required to meet the increase in organ transplantation volumes. </w:t>
      </w:r>
    </w:p>
    <w:p w14:paraId="054649CB" w14:textId="2BC4210A" w:rsidR="00BC7780" w:rsidRPr="00D354F0" w:rsidRDefault="00BC7780" w:rsidP="00F526D8">
      <w:pPr>
        <w:pStyle w:val="ListParagraph"/>
        <w:numPr>
          <w:ilvl w:val="0"/>
          <w:numId w:val="72"/>
        </w:numPr>
        <w:spacing w:after="120"/>
        <w:rPr>
          <w:rFonts w:asciiTheme="minorHAnsi" w:hAnsiTheme="minorHAnsi" w:cstheme="minorHAnsi"/>
          <w:sz w:val="24"/>
          <w:szCs w:val="24"/>
          <w:lang w:val="en-GB"/>
        </w:rPr>
      </w:pPr>
      <w:r w:rsidRPr="00D354F0">
        <w:rPr>
          <w:rFonts w:asciiTheme="minorHAnsi" w:hAnsiTheme="minorHAnsi" w:cstheme="minorHAnsi"/>
          <w:sz w:val="24"/>
          <w:szCs w:val="24"/>
          <w:lang w:val="en-GB"/>
        </w:rPr>
        <w:t>Governance to optimise future growth and sustainability of the donation, retrieval and transplantation system</w:t>
      </w:r>
      <w:r w:rsidR="00A966ED">
        <w:rPr>
          <w:rFonts w:asciiTheme="minorHAnsi" w:hAnsiTheme="minorHAnsi" w:cstheme="minorHAnsi"/>
          <w:sz w:val="24"/>
          <w:szCs w:val="24"/>
          <w:lang w:val="en-GB"/>
        </w:rPr>
        <w:t>.</w:t>
      </w:r>
    </w:p>
    <w:p w14:paraId="7489B381" w14:textId="7DE278C7" w:rsidR="00BC7780" w:rsidRPr="00D354F0" w:rsidRDefault="00BC7780" w:rsidP="00F526D8">
      <w:pPr>
        <w:pStyle w:val="ListParagraph"/>
        <w:numPr>
          <w:ilvl w:val="0"/>
          <w:numId w:val="72"/>
        </w:numPr>
        <w:spacing w:after="120"/>
        <w:rPr>
          <w:rFonts w:asciiTheme="minorHAnsi" w:hAnsiTheme="minorHAnsi" w:cstheme="minorHAnsi"/>
          <w:sz w:val="24"/>
          <w:szCs w:val="24"/>
          <w:lang w:val="en-GB"/>
        </w:rPr>
      </w:pPr>
      <w:r w:rsidRPr="00D354F0">
        <w:rPr>
          <w:rFonts w:asciiTheme="minorHAnsi" w:hAnsiTheme="minorHAnsi" w:cstheme="minorHAnsi"/>
          <w:sz w:val="24"/>
          <w:szCs w:val="24"/>
          <w:lang w:val="en-GB"/>
        </w:rPr>
        <w:t>A nationally driven approach to improve organ donation and transplantation rates among Aboriginal and Torres Strait Islander Australians and Australians who live in rural and remote locations.</w:t>
      </w:r>
    </w:p>
    <w:p w14:paraId="4CFAA1D2" w14:textId="3E3ADB7F" w:rsidR="003E27C2" w:rsidRPr="003E27C2" w:rsidRDefault="003E27C2" w:rsidP="003E27C2">
      <w:pPr>
        <w:pStyle w:val="Heading1"/>
        <w:numPr>
          <w:ilvl w:val="0"/>
          <w:numId w:val="0"/>
        </w:numPr>
        <w:spacing w:after="200" w:line="276" w:lineRule="auto"/>
        <w:ind w:left="426"/>
        <w:rPr>
          <w:b/>
          <w:sz w:val="56"/>
        </w:rPr>
      </w:pPr>
      <w:bookmarkStart w:id="840" w:name="_Toc532301706"/>
      <w:r w:rsidRPr="003E27C2">
        <w:rPr>
          <w:rFonts w:asciiTheme="minorHAnsi" w:hAnsiTheme="minorHAnsi" w:cstheme="minorHAnsi"/>
          <w:b/>
          <w:sz w:val="56"/>
          <w:szCs w:val="52"/>
        </w:rPr>
        <w:t>Appendices</w:t>
      </w:r>
      <w:bookmarkEnd w:id="840"/>
      <w:r w:rsidRPr="003E27C2">
        <w:rPr>
          <w:b/>
          <w:sz w:val="58"/>
        </w:rPr>
        <w:t xml:space="preserve"> </w:t>
      </w:r>
    </w:p>
    <w:bookmarkEnd w:id="830"/>
    <w:bookmarkEnd w:id="831"/>
    <w:bookmarkEnd w:id="832"/>
    <w:bookmarkEnd w:id="833"/>
    <w:bookmarkEnd w:id="834"/>
    <w:bookmarkEnd w:id="835"/>
    <w:p w14:paraId="461EC370" w14:textId="77777777" w:rsidR="007C0E29" w:rsidRPr="00841DDD" w:rsidRDefault="007C0E29" w:rsidP="00841DDD">
      <w:pPr>
        <w:rPr>
          <w:highlight w:val="yellow"/>
        </w:rPr>
      </w:pPr>
    </w:p>
    <w:p w14:paraId="253C8AD6" w14:textId="77777777" w:rsidR="00F437A8" w:rsidRDefault="00F437A8" w:rsidP="00F437A8">
      <w:pPr>
        <w:pStyle w:val="Heading2"/>
        <w:numPr>
          <w:ilvl w:val="0"/>
          <w:numId w:val="0"/>
        </w:numPr>
        <w:rPr>
          <w:rFonts w:asciiTheme="minorHAnsi" w:hAnsiTheme="minorHAnsi" w:cstheme="minorHAnsi"/>
          <w:sz w:val="40"/>
        </w:rPr>
        <w:sectPr w:rsidR="00F437A8" w:rsidSect="00C75FAB">
          <w:headerReference w:type="even" r:id="rId50"/>
          <w:headerReference w:type="default" r:id="rId51"/>
          <w:footerReference w:type="default" r:id="rId52"/>
          <w:headerReference w:type="first" r:id="rId53"/>
          <w:pgSz w:w="11906" w:h="16838"/>
          <w:pgMar w:top="1418" w:right="1440" w:bottom="851" w:left="1440" w:header="708" w:footer="567" w:gutter="0"/>
          <w:cols w:space="708"/>
          <w:docGrid w:linePitch="360"/>
        </w:sectPr>
      </w:pPr>
      <w:bookmarkStart w:id="841" w:name="_Toc530492148"/>
      <w:bookmarkStart w:id="842" w:name="_Toc435026865"/>
      <w:bookmarkEnd w:id="590"/>
      <w:bookmarkEnd w:id="836"/>
      <w:bookmarkEnd w:id="837"/>
      <w:bookmarkEnd w:id="838"/>
    </w:p>
    <w:p w14:paraId="1EA703D8" w14:textId="77777777" w:rsidR="00EB728C" w:rsidRPr="00F526D8" w:rsidRDefault="00F77399" w:rsidP="00F437A8">
      <w:pPr>
        <w:pStyle w:val="Heading2"/>
        <w:numPr>
          <w:ilvl w:val="0"/>
          <w:numId w:val="0"/>
        </w:numPr>
        <w:rPr>
          <w:rFonts w:asciiTheme="minorHAnsi" w:hAnsiTheme="minorHAnsi" w:cstheme="minorHAnsi"/>
          <w:color w:val="808080"/>
          <w:sz w:val="40"/>
        </w:rPr>
      </w:pPr>
      <w:bookmarkStart w:id="843" w:name="_Toc532301707"/>
      <w:r w:rsidRPr="00F526D8">
        <w:rPr>
          <w:rFonts w:asciiTheme="minorHAnsi" w:hAnsiTheme="minorHAnsi" w:cstheme="minorHAnsi"/>
          <w:color w:val="808080"/>
          <w:sz w:val="40"/>
        </w:rPr>
        <w:t xml:space="preserve">Appendix A: </w:t>
      </w:r>
      <w:r w:rsidR="00EB728C" w:rsidRPr="00F526D8">
        <w:rPr>
          <w:rFonts w:asciiTheme="minorHAnsi" w:hAnsiTheme="minorHAnsi" w:cstheme="minorHAnsi"/>
          <w:color w:val="808080"/>
          <w:sz w:val="40"/>
        </w:rPr>
        <w:t>Glossary of Terms</w:t>
      </w:r>
      <w:bookmarkEnd w:id="841"/>
      <w:bookmarkEnd w:id="843"/>
    </w:p>
    <w:tbl>
      <w:tblPr>
        <w:tblStyle w:val="TableGridLight"/>
        <w:tblW w:w="5000" w:type="pct"/>
        <w:tblLayout w:type="fixed"/>
        <w:tblLook w:val="06A0" w:firstRow="1" w:lastRow="0" w:firstColumn="1" w:lastColumn="0" w:noHBand="1" w:noVBand="1"/>
        <w:tblDescription w:val="Appendix A is the glossary of terms"/>
      </w:tblPr>
      <w:tblGrid>
        <w:gridCol w:w="2973"/>
        <w:gridCol w:w="6043"/>
      </w:tblGrid>
      <w:tr w:rsidR="00315DFB" w:rsidRPr="00C409FC" w14:paraId="738C42E7" w14:textId="77777777" w:rsidTr="00AE3ED1">
        <w:trPr>
          <w:trHeight w:val="368"/>
          <w:tblHeader/>
        </w:trPr>
        <w:tc>
          <w:tcPr>
            <w:tcW w:w="1649" w:type="pct"/>
            <w:shd w:val="clear" w:color="auto" w:fill="595959" w:themeFill="text1" w:themeFillTint="A6"/>
          </w:tcPr>
          <w:p w14:paraId="1E73AA2C" w14:textId="65A7E5DF" w:rsidR="00315DFB" w:rsidRPr="00AE3ED1" w:rsidRDefault="00315DFB" w:rsidP="00315DFB">
            <w:pPr>
              <w:widowControl/>
              <w:autoSpaceDE/>
              <w:autoSpaceDN/>
              <w:adjustRightInd/>
              <w:spacing w:after="0"/>
              <w:rPr>
                <w:rFonts w:asciiTheme="minorHAnsi" w:hAnsiTheme="minorHAnsi" w:cstheme="minorHAnsi"/>
                <w:b/>
                <w:color w:val="FFFFFF" w:themeColor="background1"/>
                <w:lang w:eastAsia="en-AU"/>
              </w:rPr>
            </w:pPr>
            <w:r w:rsidRPr="00AE3ED1">
              <w:rPr>
                <w:rFonts w:asciiTheme="minorHAnsi" w:hAnsiTheme="minorHAnsi" w:cstheme="minorHAnsi"/>
                <w:b/>
                <w:color w:val="FFFFFF" w:themeColor="background1"/>
                <w:lang w:eastAsia="en-AU"/>
              </w:rPr>
              <w:t>Terms</w:t>
            </w:r>
          </w:p>
        </w:tc>
        <w:tc>
          <w:tcPr>
            <w:tcW w:w="3351" w:type="pct"/>
            <w:shd w:val="clear" w:color="auto" w:fill="595959" w:themeFill="text1" w:themeFillTint="A6"/>
          </w:tcPr>
          <w:p w14:paraId="56541A92" w14:textId="3B5D734A" w:rsidR="00315DFB" w:rsidRPr="00AE3ED1" w:rsidRDefault="00315DFB" w:rsidP="00315DFB">
            <w:pPr>
              <w:widowControl/>
              <w:autoSpaceDE/>
              <w:autoSpaceDN/>
              <w:adjustRightInd/>
              <w:spacing w:after="0"/>
              <w:rPr>
                <w:rFonts w:asciiTheme="minorHAnsi" w:hAnsiTheme="minorHAnsi" w:cstheme="minorHAnsi"/>
                <w:b/>
                <w:color w:val="FFFFFF" w:themeColor="background1"/>
                <w:lang w:eastAsia="en-AU"/>
              </w:rPr>
            </w:pPr>
            <w:r w:rsidRPr="00AE3ED1">
              <w:rPr>
                <w:rFonts w:asciiTheme="minorHAnsi" w:hAnsiTheme="minorHAnsi" w:cstheme="minorHAnsi"/>
                <w:b/>
                <w:color w:val="FFFFFF" w:themeColor="background1"/>
                <w:lang w:eastAsia="en-AU"/>
              </w:rPr>
              <w:t>Description</w:t>
            </w:r>
          </w:p>
        </w:tc>
      </w:tr>
      <w:tr w:rsidR="00CB53AB" w:rsidRPr="00C409FC" w14:paraId="588B42ED" w14:textId="77777777" w:rsidTr="00CB53AB">
        <w:trPr>
          <w:trHeight w:val="580"/>
        </w:trPr>
        <w:tc>
          <w:tcPr>
            <w:tcW w:w="1649" w:type="pct"/>
            <w:noWrap/>
          </w:tcPr>
          <w:p w14:paraId="590F5552" w14:textId="0FAB48CC" w:rsidR="00CB53AB" w:rsidRPr="003B7EB7" w:rsidRDefault="00CB53AB" w:rsidP="003B3300">
            <w:pPr>
              <w:widowControl/>
              <w:autoSpaceDE/>
              <w:autoSpaceDN/>
              <w:adjustRightInd/>
              <w:spacing w:after="0"/>
              <w:rPr>
                <w:rFonts w:asciiTheme="minorHAnsi" w:hAnsiTheme="minorHAnsi" w:cstheme="minorHAnsi"/>
                <w:b/>
                <w:color w:val="000000"/>
                <w:lang w:eastAsia="en-AU"/>
              </w:rPr>
            </w:pPr>
            <w:r w:rsidRPr="00CB53AB">
              <w:rPr>
                <w:rFonts w:asciiTheme="minorHAnsi" w:hAnsiTheme="minorHAnsi" w:cstheme="minorHAnsi"/>
                <w:b/>
                <w:color w:val="000000"/>
                <w:lang w:eastAsia="en-AU"/>
              </w:rPr>
              <w:t>Accessibility and Remoteness Index of Australia (ARIA+)</w:t>
            </w:r>
          </w:p>
        </w:tc>
        <w:tc>
          <w:tcPr>
            <w:tcW w:w="3351" w:type="pct"/>
          </w:tcPr>
          <w:p w14:paraId="3C490680" w14:textId="1AEC0C7D" w:rsidR="00CB53AB" w:rsidRPr="003E6F1F" w:rsidRDefault="00CB53AB" w:rsidP="003B3300">
            <w:pPr>
              <w:widowControl/>
              <w:autoSpaceDE/>
              <w:autoSpaceDN/>
              <w:adjustRightInd/>
              <w:spacing w:after="0"/>
              <w:rPr>
                <w:rFonts w:asciiTheme="minorHAnsi" w:hAnsiTheme="minorHAnsi" w:cstheme="minorHAnsi"/>
                <w:color w:val="000000"/>
                <w:lang w:eastAsia="en-AU"/>
              </w:rPr>
            </w:pPr>
            <w:r w:rsidRPr="003B7EB7">
              <w:rPr>
                <w:rFonts w:asciiTheme="minorHAnsi" w:hAnsiTheme="minorHAnsi" w:cstheme="minorHAnsi"/>
                <w:color w:val="000000"/>
                <w:lang w:eastAsia="en-AU"/>
              </w:rPr>
              <w:t>The Index used by the Australian Statistical Geography Standard to define 5 classes of relative remoteness across Australia. ARIA+ is derived by measuring the road distance from a point to the nearest Urban Centres and Localities in five separate population ranges. The Australian Statistical Geography Standard Statistical Area Level 1 (SA1) boundaries are overlayed onto the ARIA+ grid and an average score is calculated based upon the grid points that are contained within each SA1. The resulting average score determines which remoteness category is allocated to each SA1</w:t>
            </w:r>
          </w:p>
        </w:tc>
      </w:tr>
      <w:tr w:rsidR="00EB728C" w:rsidRPr="00C409FC" w14:paraId="2F0EB7AA" w14:textId="77777777" w:rsidTr="00CB53AB">
        <w:trPr>
          <w:trHeight w:val="580"/>
        </w:trPr>
        <w:tc>
          <w:tcPr>
            <w:tcW w:w="1649" w:type="pct"/>
            <w:noWrap/>
            <w:hideMark/>
          </w:tcPr>
          <w:p w14:paraId="749FFA5F"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Activity Based Funding (ABF)</w:t>
            </w:r>
          </w:p>
        </w:tc>
        <w:tc>
          <w:tcPr>
            <w:tcW w:w="3351" w:type="pct"/>
            <w:hideMark/>
          </w:tcPr>
          <w:p w14:paraId="3854FA2F"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Model for funding of hospitals whereby hospitals get paid for the number and mix of patients that are treated</w:t>
            </w:r>
          </w:p>
        </w:tc>
      </w:tr>
      <w:tr w:rsidR="00B42FDF" w:rsidRPr="00C409FC" w14:paraId="1C36C033" w14:textId="77777777" w:rsidTr="00CB53AB">
        <w:trPr>
          <w:trHeight w:val="580"/>
        </w:trPr>
        <w:tc>
          <w:tcPr>
            <w:tcW w:w="1649" w:type="pct"/>
            <w:noWrap/>
          </w:tcPr>
          <w:p w14:paraId="62A8BF62" w14:textId="77777777" w:rsidR="00B42FDF" w:rsidRPr="003B7EB7" w:rsidRDefault="00B42FDF" w:rsidP="003B3300">
            <w:pPr>
              <w:widowControl/>
              <w:autoSpaceDE/>
              <w:autoSpaceDN/>
              <w:adjustRightInd/>
              <w:spacing w:after="0"/>
              <w:rPr>
                <w:rFonts w:asciiTheme="minorHAnsi" w:hAnsiTheme="minorHAnsi" w:cstheme="minorHAnsi"/>
                <w:b/>
                <w:color w:val="000000"/>
                <w:lang w:eastAsia="en-AU"/>
              </w:rPr>
            </w:pPr>
            <w:r>
              <w:rPr>
                <w:rFonts w:asciiTheme="minorHAnsi" w:hAnsiTheme="minorHAnsi" w:cstheme="minorHAnsi"/>
                <w:b/>
                <w:color w:val="000000"/>
                <w:lang w:eastAsia="en-AU"/>
              </w:rPr>
              <w:t>Australian Refined Diagnosis Related Groups</w:t>
            </w:r>
          </w:p>
        </w:tc>
        <w:tc>
          <w:tcPr>
            <w:tcW w:w="3351" w:type="pct"/>
          </w:tcPr>
          <w:p w14:paraId="7EC30F81" w14:textId="77777777" w:rsidR="00B42FDF" w:rsidRPr="003E6F1F" w:rsidRDefault="00B42FDF" w:rsidP="003B3300">
            <w:pPr>
              <w:widowControl/>
              <w:autoSpaceDE/>
              <w:autoSpaceDN/>
              <w:adjustRightInd/>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The Australian admitted patient classification system which provides a clinically meaningful way of relating then number and type of patients treated in a hospital to the resources required by the hospital. </w:t>
            </w:r>
          </w:p>
        </w:tc>
      </w:tr>
      <w:tr w:rsidR="00EB728C" w:rsidRPr="00C409FC" w14:paraId="63CF5A92" w14:textId="77777777" w:rsidTr="00CB53AB">
        <w:trPr>
          <w:trHeight w:val="290"/>
        </w:trPr>
        <w:tc>
          <w:tcPr>
            <w:tcW w:w="1649" w:type="pct"/>
            <w:noWrap/>
            <w:hideMark/>
          </w:tcPr>
          <w:p w14:paraId="7B783393"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Deceased donors per million population (dpmp)</w:t>
            </w:r>
          </w:p>
        </w:tc>
        <w:tc>
          <w:tcPr>
            <w:tcW w:w="3351" w:type="pct"/>
            <w:noWrap/>
            <w:hideMark/>
          </w:tcPr>
          <w:p w14:paraId="4D5F8071"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The number of deceased donors per million population.  The number of deceased organ donors in a given year divided by the estimated population of the country in that period and multiplied by 1,000,000</w:t>
            </w:r>
          </w:p>
        </w:tc>
      </w:tr>
      <w:tr w:rsidR="00EB728C" w:rsidRPr="00C409FC" w14:paraId="0871B7E9" w14:textId="77777777" w:rsidTr="00CB53AB">
        <w:trPr>
          <w:trHeight w:val="580"/>
        </w:trPr>
        <w:tc>
          <w:tcPr>
            <w:tcW w:w="1649" w:type="pct"/>
            <w:hideMark/>
          </w:tcPr>
          <w:p w14:paraId="24D285FB"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DonateLife Agency</w:t>
            </w:r>
          </w:p>
        </w:tc>
        <w:tc>
          <w:tcPr>
            <w:tcW w:w="3351" w:type="pct"/>
            <w:hideMark/>
          </w:tcPr>
          <w:p w14:paraId="3B6ABA16"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 xml:space="preserve">An agency established in each state and territory which provides oversight of donation and transplantation services within that state and territory </w:t>
            </w:r>
          </w:p>
        </w:tc>
      </w:tr>
      <w:tr w:rsidR="00EB728C" w:rsidRPr="00C409FC" w14:paraId="5BDF8AF6" w14:textId="77777777" w:rsidTr="00CB53AB">
        <w:trPr>
          <w:trHeight w:val="870"/>
        </w:trPr>
        <w:tc>
          <w:tcPr>
            <w:tcW w:w="1649" w:type="pct"/>
            <w:hideMark/>
          </w:tcPr>
          <w:p w14:paraId="0DA917ED"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DonateLife Network</w:t>
            </w:r>
          </w:p>
        </w:tc>
        <w:tc>
          <w:tcPr>
            <w:tcW w:w="3351" w:type="pct"/>
            <w:hideMark/>
          </w:tcPr>
          <w:p w14:paraId="2B078E01"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The Commonwealth Government funded organ and tissue service in Australia, comprising of medical, nursing and administrative staff who work in the public hospital sector and where agreed, private hospitals in each state and territory</w:t>
            </w:r>
          </w:p>
        </w:tc>
      </w:tr>
      <w:tr w:rsidR="00EB728C" w:rsidRPr="00C409FC" w14:paraId="1D08CC34" w14:textId="77777777" w:rsidTr="00CB53AB">
        <w:trPr>
          <w:trHeight w:val="290"/>
        </w:trPr>
        <w:tc>
          <w:tcPr>
            <w:tcW w:w="1649" w:type="pct"/>
            <w:noWrap/>
            <w:hideMark/>
          </w:tcPr>
          <w:p w14:paraId="29E2EDF7"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Donation after Brain death (DBD)</w:t>
            </w:r>
          </w:p>
        </w:tc>
        <w:tc>
          <w:tcPr>
            <w:tcW w:w="3351" w:type="pct"/>
            <w:noWrap/>
            <w:hideMark/>
          </w:tcPr>
          <w:p w14:paraId="01CFD41B"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Organ donation after brain death that has been determined on the basis of irreversible cessation of all brain function</w:t>
            </w:r>
          </w:p>
        </w:tc>
      </w:tr>
      <w:tr w:rsidR="00EB728C" w:rsidRPr="00C409FC" w14:paraId="2D00D487" w14:textId="77777777" w:rsidTr="00CB53AB">
        <w:trPr>
          <w:trHeight w:val="290"/>
        </w:trPr>
        <w:tc>
          <w:tcPr>
            <w:tcW w:w="1649" w:type="pct"/>
            <w:noWrap/>
            <w:hideMark/>
          </w:tcPr>
          <w:p w14:paraId="758EA9CD"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Donation after circulatory death (DCD)</w:t>
            </w:r>
          </w:p>
        </w:tc>
        <w:tc>
          <w:tcPr>
            <w:tcW w:w="3351" w:type="pct"/>
            <w:noWrap/>
            <w:hideMark/>
          </w:tcPr>
          <w:p w14:paraId="7D15162E"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Organ donation after circulatory death that has been determined on the basis of irreversible cessation of blood circulation</w:t>
            </w:r>
          </w:p>
        </w:tc>
      </w:tr>
      <w:tr w:rsidR="00EB728C" w:rsidRPr="00C409FC" w14:paraId="5C60BD21" w14:textId="77777777" w:rsidTr="00CB53AB">
        <w:trPr>
          <w:trHeight w:val="580"/>
        </w:trPr>
        <w:tc>
          <w:tcPr>
            <w:tcW w:w="1649" w:type="pct"/>
            <w:noWrap/>
            <w:hideMark/>
          </w:tcPr>
          <w:p w14:paraId="13E61597"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Family Donation Conversation Trained Specialist</w:t>
            </w:r>
          </w:p>
        </w:tc>
        <w:tc>
          <w:tcPr>
            <w:tcW w:w="3351" w:type="pct"/>
            <w:hideMark/>
          </w:tcPr>
          <w:p w14:paraId="7CD6ED76"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A donation specialist role that provides additional expertise in supporting and informing families in end-of-life decision</w:t>
            </w:r>
            <w:r>
              <w:rPr>
                <w:rFonts w:asciiTheme="minorHAnsi" w:hAnsiTheme="minorHAnsi" w:cstheme="minorHAnsi"/>
                <w:color w:val="000000"/>
                <w:lang w:eastAsia="en-AU"/>
              </w:rPr>
              <w:t xml:space="preserve"> </w:t>
            </w:r>
            <w:r w:rsidRPr="003E6F1F">
              <w:rPr>
                <w:rFonts w:asciiTheme="minorHAnsi" w:hAnsiTheme="minorHAnsi" w:cstheme="minorHAnsi"/>
                <w:color w:val="000000"/>
                <w:lang w:eastAsia="en-AU"/>
              </w:rPr>
              <w:t>making related to organ and tissue donation</w:t>
            </w:r>
          </w:p>
        </w:tc>
      </w:tr>
      <w:tr w:rsidR="00EB728C" w:rsidRPr="00C409FC" w14:paraId="0BF5E03E" w14:textId="77777777" w:rsidTr="00CB53AB">
        <w:trPr>
          <w:trHeight w:val="290"/>
        </w:trPr>
        <w:tc>
          <w:tcPr>
            <w:tcW w:w="1649" w:type="pct"/>
            <w:hideMark/>
          </w:tcPr>
          <w:p w14:paraId="06447F2C"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Inner Regional Australia</w:t>
            </w:r>
          </w:p>
        </w:tc>
        <w:tc>
          <w:tcPr>
            <w:tcW w:w="3351" w:type="pct"/>
            <w:hideMark/>
          </w:tcPr>
          <w:p w14:paraId="0CCF68D8"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SA1 Average ARIA+ Value Range: greater than 0.2 and less than or equal to 2.4</w:t>
            </w:r>
          </w:p>
        </w:tc>
      </w:tr>
      <w:tr w:rsidR="00EB728C" w:rsidRPr="00C409FC" w14:paraId="33BFDE6F" w14:textId="77777777" w:rsidTr="00CB53AB">
        <w:trPr>
          <w:trHeight w:val="290"/>
        </w:trPr>
        <w:tc>
          <w:tcPr>
            <w:tcW w:w="1649" w:type="pct"/>
            <w:hideMark/>
          </w:tcPr>
          <w:p w14:paraId="72A85FB8"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Major cities of Australia</w:t>
            </w:r>
          </w:p>
        </w:tc>
        <w:tc>
          <w:tcPr>
            <w:tcW w:w="3351" w:type="pct"/>
            <w:hideMark/>
          </w:tcPr>
          <w:p w14:paraId="406D14B3"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SA1 Average ARIA+ Value Range: 0 to 0.2</w:t>
            </w:r>
          </w:p>
        </w:tc>
      </w:tr>
      <w:tr w:rsidR="00EB728C" w:rsidRPr="00C409FC" w14:paraId="10BF4E0F" w14:textId="77777777" w:rsidTr="00CB53AB">
        <w:trPr>
          <w:trHeight w:val="290"/>
        </w:trPr>
        <w:tc>
          <w:tcPr>
            <w:tcW w:w="1649" w:type="pct"/>
            <w:hideMark/>
          </w:tcPr>
          <w:p w14:paraId="62C52622" w14:textId="657332DB"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Medicare Benefits Sche</w:t>
            </w:r>
            <w:r w:rsidR="00AF2399">
              <w:rPr>
                <w:rFonts w:asciiTheme="minorHAnsi" w:hAnsiTheme="minorHAnsi" w:cstheme="minorHAnsi"/>
                <w:b/>
                <w:color w:val="000000"/>
                <w:lang w:eastAsia="en-AU"/>
              </w:rPr>
              <w:t>dule</w:t>
            </w:r>
            <w:r w:rsidRPr="003B7EB7">
              <w:rPr>
                <w:rFonts w:asciiTheme="minorHAnsi" w:hAnsiTheme="minorHAnsi" w:cstheme="minorHAnsi"/>
                <w:b/>
                <w:color w:val="000000"/>
                <w:lang w:eastAsia="en-AU"/>
              </w:rPr>
              <w:t xml:space="preserve"> (MBS)</w:t>
            </w:r>
          </w:p>
        </w:tc>
        <w:tc>
          <w:tcPr>
            <w:tcW w:w="3351" w:type="pct"/>
            <w:hideMark/>
          </w:tcPr>
          <w:p w14:paraId="4054D013"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A listing of the Medicare services subsidised by the Australian Government</w:t>
            </w:r>
          </w:p>
        </w:tc>
      </w:tr>
      <w:tr w:rsidR="00EB728C" w:rsidRPr="00C409FC" w14:paraId="72AB47ED" w14:textId="77777777" w:rsidTr="00CB53AB">
        <w:trPr>
          <w:trHeight w:val="1160"/>
        </w:trPr>
        <w:tc>
          <w:tcPr>
            <w:tcW w:w="1649" w:type="pct"/>
            <w:noWrap/>
            <w:hideMark/>
          </w:tcPr>
          <w:p w14:paraId="1622512C"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National Efficient Price (NEP)</w:t>
            </w:r>
          </w:p>
        </w:tc>
        <w:tc>
          <w:tcPr>
            <w:tcW w:w="3351" w:type="pct"/>
            <w:hideMark/>
          </w:tcPr>
          <w:p w14:paraId="3D90AF8B"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 xml:space="preserve">Published annually by the Independent Hospital Pricing Authority, the NEP determines the amount of Commonwealth Government funding for each public hospital services, and provides a price signal or benchmark about the efficient cost of providing public hospital services. The NEP multiplied by the NWAU provides the total cost of a hospital service. </w:t>
            </w:r>
          </w:p>
        </w:tc>
      </w:tr>
      <w:tr w:rsidR="00EB728C" w:rsidRPr="00C409FC" w14:paraId="62B403DD" w14:textId="77777777" w:rsidTr="00CB53AB">
        <w:trPr>
          <w:trHeight w:val="870"/>
        </w:trPr>
        <w:tc>
          <w:tcPr>
            <w:tcW w:w="1649" w:type="pct"/>
            <w:hideMark/>
          </w:tcPr>
          <w:p w14:paraId="2FF34689"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 xml:space="preserve">National Health Reform Agreement </w:t>
            </w:r>
          </w:p>
        </w:tc>
        <w:tc>
          <w:tcPr>
            <w:tcW w:w="3351" w:type="pct"/>
            <w:hideMark/>
          </w:tcPr>
          <w:p w14:paraId="22E5BDED"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 xml:space="preserve">Agreement entered into in August </w:t>
            </w:r>
            <w:r w:rsidRPr="00C409FC">
              <w:rPr>
                <w:rFonts w:asciiTheme="minorHAnsi" w:hAnsiTheme="minorHAnsi" w:cstheme="minorHAnsi"/>
                <w:color w:val="000000"/>
                <w:lang w:eastAsia="en-AU"/>
              </w:rPr>
              <w:t>2011 that</w:t>
            </w:r>
            <w:r w:rsidRPr="003E6F1F">
              <w:rPr>
                <w:rFonts w:asciiTheme="minorHAnsi" w:hAnsiTheme="minorHAnsi" w:cstheme="minorHAnsi"/>
                <w:color w:val="000000"/>
                <w:lang w:eastAsia="en-AU"/>
              </w:rPr>
              <w:t xml:space="preserve"> sets out the shared intention of the Commonwealth, and state and territory governments to work in partnership to improve health outcomes for all Australians and ensure the sustainability of the Australian health system.</w:t>
            </w:r>
          </w:p>
        </w:tc>
      </w:tr>
      <w:tr w:rsidR="00EB728C" w:rsidRPr="00C409FC" w14:paraId="59B405F9" w14:textId="77777777" w:rsidTr="00CB53AB">
        <w:trPr>
          <w:trHeight w:val="310"/>
        </w:trPr>
        <w:tc>
          <w:tcPr>
            <w:tcW w:w="1649" w:type="pct"/>
            <w:noWrap/>
            <w:hideMark/>
          </w:tcPr>
          <w:p w14:paraId="2F051C2A"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National Weighted Activity Unit (NWAU)</w:t>
            </w:r>
          </w:p>
        </w:tc>
        <w:tc>
          <w:tcPr>
            <w:tcW w:w="3351" w:type="pct"/>
            <w:hideMark/>
          </w:tcPr>
          <w:p w14:paraId="721639CB"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The unit of measure for the Activity Based Funding (ABF) system</w:t>
            </w:r>
          </w:p>
        </w:tc>
      </w:tr>
      <w:tr w:rsidR="00EB728C" w:rsidRPr="00C409FC" w14:paraId="27AE593E" w14:textId="77777777" w:rsidTr="00CB53AB">
        <w:trPr>
          <w:trHeight w:val="290"/>
        </w:trPr>
        <w:tc>
          <w:tcPr>
            <w:tcW w:w="1649" w:type="pct"/>
            <w:hideMark/>
          </w:tcPr>
          <w:p w14:paraId="6A560A94"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Non-nationals</w:t>
            </w:r>
          </w:p>
        </w:tc>
        <w:tc>
          <w:tcPr>
            <w:tcW w:w="3351" w:type="pct"/>
            <w:hideMark/>
          </w:tcPr>
          <w:p w14:paraId="01E0C9E7"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Citizens of other countries that are not permanent residents of Australia</w:t>
            </w:r>
          </w:p>
        </w:tc>
      </w:tr>
      <w:tr w:rsidR="00EB728C" w:rsidRPr="00C409FC" w14:paraId="42193393" w14:textId="77777777" w:rsidTr="00CB53AB">
        <w:trPr>
          <w:trHeight w:val="580"/>
        </w:trPr>
        <w:tc>
          <w:tcPr>
            <w:tcW w:w="1649" w:type="pct"/>
            <w:hideMark/>
          </w:tcPr>
          <w:p w14:paraId="66A26D73"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Non-renal organ</w:t>
            </w:r>
          </w:p>
        </w:tc>
        <w:tc>
          <w:tcPr>
            <w:tcW w:w="3351" w:type="pct"/>
            <w:hideMark/>
          </w:tcPr>
          <w:p w14:paraId="004DC207"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 xml:space="preserve">For the purposes of this Report, non-renal organs are heart, lung, liver, </w:t>
            </w:r>
            <w:r w:rsidRPr="00C409FC">
              <w:rPr>
                <w:rFonts w:asciiTheme="minorHAnsi" w:hAnsiTheme="minorHAnsi" w:cstheme="minorHAnsi"/>
                <w:color w:val="000000"/>
                <w:lang w:eastAsia="en-AU"/>
              </w:rPr>
              <w:t>and intestine</w:t>
            </w:r>
            <w:r w:rsidRPr="003E6F1F">
              <w:rPr>
                <w:rFonts w:asciiTheme="minorHAnsi" w:hAnsiTheme="minorHAnsi" w:cstheme="minorHAnsi"/>
                <w:color w:val="000000"/>
                <w:lang w:eastAsia="en-AU"/>
              </w:rPr>
              <w:t>, pancreas and pancreas islets. The Report focuses on heart, liver and lungs</w:t>
            </w:r>
          </w:p>
        </w:tc>
      </w:tr>
      <w:tr w:rsidR="00EB728C" w:rsidRPr="00C409FC" w14:paraId="4AA33B6E" w14:textId="77777777" w:rsidTr="00CB53AB">
        <w:trPr>
          <w:trHeight w:val="290"/>
        </w:trPr>
        <w:tc>
          <w:tcPr>
            <w:tcW w:w="1649" w:type="pct"/>
            <w:hideMark/>
          </w:tcPr>
          <w:p w14:paraId="5BDC6E9C"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Outer Regional Australia</w:t>
            </w:r>
          </w:p>
        </w:tc>
        <w:tc>
          <w:tcPr>
            <w:tcW w:w="3351" w:type="pct"/>
            <w:hideMark/>
          </w:tcPr>
          <w:p w14:paraId="328C4797"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SA1 Average ARIA+ Value Range: greater than 2.4 and less than or equal to 5.92</w:t>
            </w:r>
          </w:p>
        </w:tc>
      </w:tr>
      <w:tr w:rsidR="00EB728C" w:rsidRPr="00C409FC" w14:paraId="5FAFBC4C" w14:textId="77777777" w:rsidTr="00CB53AB">
        <w:trPr>
          <w:trHeight w:val="580"/>
        </w:trPr>
        <w:tc>
          <w:tcPr>
            <w:tcW w:w="1649" w:type="pct"/>
            <w:hideMark/>
          </w:tcPr>
          <w:p w14:paraId="732BC10D"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Pharmaceutical Benefits Scheme (PBS)</w:t>
            </w:r>
          </w:p>
        </w:tc>
        <w:tc>
          <w:tcPr>
            <w:tcW w:w="3351" w:type="pct"/>
            <w:hideMark/>
          </w:tcPr>
          <w:p w14:paraId="709A049C"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Program of the Australian Government that provides subsidised prescription drugs to residents of Australia</w:t>
            </w:r>
          </w:p>
        </w:tc>
      </w:tr>
      <w:tr w:rsidR="00EB728C" w:rsidRPr="00C409FC" w14:paraId="3C0B0B82" w14:textId="77777777" w:rsidTr="00CB53AB">
        <w:trPr>
          <w:trHeight w:val="290"/>
        </w:trPr>
        <w:tc>
          <w:tcPr>
            <w:tcW w:w="1649" w:type="pct"/>
            <w:hideMark/>
          </w:tcPr>
          <w:p w14:paraId="73D7918A"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Remote Australia</w:t>
            </w:r>
          </w:p>
        </w:tc>
        <w:tc>
          <w:tcPr>
            <w:tcW w:w="3351" w:type="pct"/>
            <w:hideMark/>
          </w:tcPr>
          <w:p w14:paraId="2FF7447C"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SA1 Average ARIA+ Value Range: greater than 5.92 and less than or equal to 10.53</w:t>
            </w:r>
          </w:p>
        </w:tc>
      </w:tr>
      <w:tr w:rsidR="00EB728C" w:rsidRPr="00C409FC" w14:paraId="15BD82C6" w14:textId="77777777" w:rsidTr="00CB53AB">
        <w:trPr>
          <w:trHeight w:val="290"/>
        </w:trPr>
        <w:tc>
          <w:tcPr>
            <w:tcW w:w="1649" w:type="pct"/>
            <w:hideMark/>
          </w:tcPr>
          <w:p w14:paraId="0EC5587D"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Renal organ</w:t>
            </w:r>
          </w:p>
        </w:tc>
        <w:tc>
          <w:tcPr>
            <w:tcW w:w="3351" w:type="pct"/>
            <w:hideMark/>
          </w:tcPr>
          <w:p w14:paraId="43E07A38"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Kidneys</w:t>
            </w:r>
          </w:p>
        </w:tc>
      </w:tr>
      <w:tr w:rsidR="00EB728C" w:rsidRPr="00C409FC" w14:paraId="17E6B03A" w14:textId="77777777" w:rsidTr="00CB53AB">
        <w:trPr>
          <w:trHeight w:val="580"/>
        </w:trPr>
        <w:tc>
          <w:tcPr>
            <w:tcW w:w="1649" w:type="pct"/>
            <w:hideMark/>
          </w:tcPr>
          <w:p w14:paraId="224EA3E6"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 xml:space="preserve">Rural and remote </w:t>
            </w:r>
          </w:p>
        </w:tc>
        <w:tc>
          <w:tcPr>
            <w:tcW w:w="3351" w:type="pct"/>
            <w:hideMark/>
          </w:tcPr>
          <w:p w14:paraId="3DF26A59"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 xml:space="preserve">Areas in Australia that are classified as either Outer Regional, Remote Australia or Very Remote Australia according to the Australian </w:t>
            </w:r>
            <w:r w:rsidRPr="00C409FC">
              <w:rPr>
                <w:rFonts w:asciiTheme="minorHAnsi" w:hAnsiTheme="minorHAnsi" w:cstheme="minorHAnsi"/>
                <w:color w:val="000000"/>
                <w:lang w:eastAsia="en-AU"/>
              </w:rPr>
              <w:t>Statistical</w:t>
            </w:r>
            <w:r w:rsidRPr="003E6F1F">
              <w:rPr>
                <w:rFonts w:asciiTheme="minorHAnsi" w:hAnsiTheme="minorHAnsi" w:cstheme="minorHAnsi"/>
                <w:color w:val="000000"/>
                <w:lang w:eastAsia="en-AU"/>
              </w:rPr>
              <w:t xml:space="preserve"> Geography Standard</w:t>
            </w:r>
          </w:p>
        </w:tc>
      </w:tr>
      <w:tr w:rsidR="00EB728C" w:rsidRPr="00C409FC" w14:paraId="1D64F131" w14:textId="77777777" w:rsidTr="00CB53AB">
        <w:trPr>
          <w:trHeight w:val="290"/>
        </w:trPr>
        <w:tc>
          <w:tcPr>
            <w:tcW w:w="1649" w:type="pct"/>
            <w:hideMark/>
          </w:tcPr>
          <w:p w14:paraId="08035706" w14:textId="77777777" w:rsidR="00EB728C" w:rsidRPr="003B7EB7" w:rsidRDefault="00EB728C" w:rsidP="003B3300">
            <w:pPr>
              <w:widowControl/>
              <w:autoSpaceDE/>
              <w:autoSpaceDN/>
              <w:adjustRightInd/>
              <w:spacing w:after="0"/>
              <w:rPr>
                <w:rFonts w:asciiTheme="minorHAnsi" w:hAnsiTheme="minorHAnsi" w:cstheme="minorHAnsi"/>
                <w:b/>
                <w:color w:val="000000"/>
                <w:lang w:eastAsia="en-AU"/>
              </w:rPr>
            </w:pPr>
            <w:r w:rsidRPr="003B7EB7">
              <w:rPr>
                <w:rFonts w:asciiTheme="minorHAnsi" w:hAnsiTheme="minorHAnsi" w:cstheme="minorHAnsi"/>
                <w:b/>
                <w:color w:val="000000"/>
                <w:lang w:eastAsia="en-AU"/>
              </w:rPr>
              <w:t>Very Remote Australia</w:t>
            </w:r>
          </w:p>
        </w:tc>
        <w:tc>
          <w:tcPr>
            <w:tcW w:w="3351" w:type="pct"/>
            <w:hideMark/>
          </w:tcPr>
          <w:p w14:paraId="032E2C44" w14:textId="77777777" w:rsidR="00EB728C" w:rsidRPr="003E6F1F" w:rsidRDefault="00EB728C" w:rsidP="003B3300">
            <w:pPr>
              <w:widowControl/>
              <w:autoSpaceDE/>
              <w:autoSpaceDN/>
              <w:adjustRightInd/>
              <w:spacing w:after="0"/>
              <w:rPr>
                <w:rFonts w:asciiTheme="minorHAnsi" w:hAnsiTheme="minorHAnsi" w:cstheme="minorHAnsi"/>
                <w:color w:val="000000"/>
                <w:lang w:eastAsia="en-AU"/>
              </w:rPr>
            </w:pPr>
            <w:r w:rsidRPr="003E6F1F">
              <w:rPr>
                <w:rFonts w:asciiTheme="minorHAnsi" w:hAnsiTheme="minorHAnsi" w:cstheme="minorHAnsi"/>
                <w:color w:val="000000"/>
                <w:lang w:eastAsia="en-AU"/>
              </w:rPr>
              <w:t>SA1 Average ARIA+ Value Range: greater than 10.53</w:t>
            </w:r>
          </w:p>
        </w:tc>
      </w:tr>
    </w:tbl>
    <w:p w14:paraId="44859907" w14:textId="77777777" w:rsidR="00F437A8" w:rsidRDefault="00F437A8" w:rsidP="00EB728C">
      <w:pPr>
        <w:sectPr w:rsidR="00F437A8" w:rsidSect="00EB39DF">
          <w:pgSz w:w="11906" w:h="16838"/>
          <w:pgMar w:top="1440" w:right="1440" w:bottom="851" w:left="1440" w:header="708" w:footer="567" w:gutter="0"/>
          <w:cols w:space="708"/>
          <w:docGrid w:linePitch="360"/>
        </w:sectPr>
      </w:pPr>
    </w:p>
    <w:p w14:paraId="165122D4" w14:textId="33F3498F" w:rsidR="00EB728C" w:rsidRDefault="00EB728C" w:rsidP="00F437A8">
      <w:pPr>
        <w:pStyle w:val="Heading2"/>
        <w:numPr>
          <w:ilvl w:val="0"/>
          <w:numId w:val="0"/>
        </w:numPr>
        <w:rPr>
          <w:rFonts w:asciiTheme="minorHAnsi" w:hAnsiTheme="minorHAnsi" w:cstheme="minorHAnsi"/>
          <w:color w:val="808080"/>
          <w:sz w:val="40"/>
        </w:rPr>
      </w:pPr>
      <w:bookmarkStart w:id="844" w:name="_Toc530492149"/>
      <w:bookmarkStart w:id="845" w:name="_Ref531772388"/>
      <w:bookmarkStart w:id="846" w:name="_Ref531772397"/>
      <w:bookmarkStart w:id="847" w:name="_Ref531772404"/>
      <w:bookmarkStart w:id="848" w:name="_Toc532301708"/>
      <w:r w:rsidRPr="00F526D8">
        <w:rPr>
          <w:rFonts w:asciiTheme="minorHAnsi" w:hAnsiTheme="minorHAnsi" w:cstheme="minorHAnsi"/>
          <w:color w:val="808080"/>
          <w:sz w:val="40"/>
        </w:rPr>
        <w:t xml:space="preserve">Appendix </w:t>
      </w:r>
      <w:r w:rsidR="00F77399" w:rsidRPr="00F526D8">
        <w:rPr>
          <w:rFonts w:asciiTheme="minorHAnsi" w:hAnsiTheme="minorHAnsi" w:cstheme="minorHAnsi"/>
          <w:color w:val="808080"/>
          <w:sz w:val="40"/>
        </w:rPr>
        <w:t>B</w:t>
      </w:r>
      <w:r w:rsidRPr="00F526D8">
        <w:rPr>
          <w:rFonts w:asciiTheme="minorHAnsi" w:hAnsiTheme="minorHAnsi" w:cstheme="minorHAnsi"/>
          <w:color w:val="808080"/>
          <w:sz w:val="40"/>
        </w:rPr>
        <w:t>: List of stakeholders consulted</w:t>
      </w:r>
      <w:bookmarkEnd w:id="844"/>
      <w:bookmarkEnd w:id="845"/>
      <w:bookmarkEnd w:id="846"/>
      <w:bookmarkEnd w:id="847"/>
      <w:bookmarkEnd w:id="848"/>
    </w:p>
    <w:p w14:paraId="1759C36D" w14:textId="44AB2048" w:rsidR="006449E1" w:rsidRPr="00AE3ED1" w:rsidRDefault="006449E1" w:rsidP="00AE3ED1">
      <w:r>
        <w:rPr>
          <w:rFonts w:ascii="Calibri" w:hAnsi="Calibri" w:cs="Calibri"/>
          <w:bCs/>
          <w:color w:val="000000"/>
          <w:szCs w:val="18"/>
          <w:lang w:eastAsia="en-AU"/>
        </w:rPr>
        <w:t>A number of donor families, transplant recipients and patients awaiting transplantation were consulted as part of the Review.</w:t>
      </w:r>
    </w:p>
    <w:tbl>
      <w:tblPr>
        <w:tblStyle w:val="TableGridLight"/>
        <w:tblW w:w="5000" w:type="pct"/>
        <w:tblLook w:val="04A0" w:firstRow="1" w:lastRow="0" w:firstColumn="1" w:lastColumn="0" w:noHBand="0" w:noVBand="1"/>
        <w:tblDescription w:val="Appendix B is the list of stakeholders consulted"/>
      </w:tblPr>
      <w:tblGrid>
        <w:gridCol w:w="2124"/>
        <w:gridCol w:w="2124"/>
        <w:gridCol w:w="4768"/>
      </w:tblGrid>
      <w:tr w:rsidR="00EB728C" w:rsidRPr="007B5055" w14:paraId="3AED5500" w14:textId="77777777" w:rsidTr="00F526D8">
        <w:trPr>
          <w:trHeight w:val="298"/>
          <w:tblHeader/>
        </w:trPr>
        <w:tc>
          <w:tcPr>
            <w:tcW w:w="1178" w:type="pct"/>
            <w:shd w:val="clear" w:color="auto" w:fill="595959" w:themeFill="text1" w:themeFillTint="A6"/>
          </w:tcPr>
          <w:p w14:paraId="41B1CB73" w14:textId="77777777" w:rsidR="00EB728C" w:rsidRPr="007B5055" w:rsidRDefault="00EB728C" w:rsidP="003B3300">
            <w:pPr>
              <w:widowControl/>
              <w:autoSpaceDE/>
              <w:autoSpaceDN/>
              <w:adjustRightInd/>
              <w:spacing w:after="0"/>
              <w:rPr>
                <w:rFonts w:ascii="Calibri" w:hAnsi="Calibri" w:cs="Calibri"/>
                <w:b/>
                <w:bCs/>
                <w:color w:val="FFFFFF" w:themeColor="background1"/>
                <w:szCs w:val="18"/>
                <w:lang w:eastAsia="en-AU"/>
              </w:rPr>
            </w:pPr>
            <w:r w:rsidRPr="007B5055">
              <w:rPr>
                <w:rFonts w:ascii="Calibri" w:hAnsi="Calibri" w:cs="Calibri"/>
                <w:b/>
                <w:color w:val="FFFFFF" w:themeColor="background1"/>
                <w:szCs w:val="18"/>
                <w:lang w:eastAsia="en-AU"/>
              </w:rPr>
              <w:t>Last Name</w:t>
            </w:r>
          </w:p>
        </w:tc>
        <w:tc>
          <w:tcPr>
            <w:tcW w:w="1178" w:type="pct"/>
            <w:shd w:val="clear" w:color="auto" w:fill="595959" w:themeFill="text1" w:themeFillTint="A6"/>
          </w:tcPr>
          <w:p w14:paraId="5CD6C99A" w14:textId="77777777" w:rsidR="00EB728C" w:rsidRPr="007B5055" w:rsidRDefault="00EB728C" w:rsidP="003B3300">
            <w:pPr>
              <w:widowControl/>
              <w:autoSpaceDE/>
              <w:autoSpaceDN/>
              <w:adjustRightInd/>
              <w:spacing w:after="0"/>
              <w:rPr>
                <w:rFonts w:ascii="Calibri" w:hAnsi="Calibri" w:cs="Calibri"/>
                <w:b/>
                <w:bCs/>
                <w:color w:val="FFFFFF" w:themeColor="background1"/>
                <w:szCs w:val="18"/>
                <w:lang w:eastAsia="en-AU"/>
              </w:rPr>
            </w:pPr>
            <w:r w:rsidRPr="007B5055">
              <w:rPr>
                <w:rFonts w:ascii="Calibri" w:hAnsi="Calibri" w:cs="Calibri"/>
                <w:b/>
                <w:color w:val="FFFFFF" w:themeColor="background1"/>
                <w:szCs w:val="18"/>
                <w:lang w:eastAsia="en-AU"/>
              </w:rPr>
              <w:t>First Name</w:t>
            </w:r>
          </w:p>
        </w:tc>
        <w:tc>
          <w:tcPr>
            <w:tcW w:w="2644" w:type="pct"/>
            <w:shd w:val="clear" w:color="auto" w:fill="595959" w:themeFill="text1" w:themeFillTint="A6"/>
          </w:tcPr>
          <w:p w14:paraId="3700F615" w14:textId="77777777" w:rsidR="00EB728C" w:rsidRPr="007B5055" w:rsidRDefault="00EB728C" w:rsidP="003B3300">
            <w:pPr>
              <w:widowControl/>
              <w:autoSpaceDE/>
              <w:autoSpaceDN/>
              <w:adjustRightInd/>
              <w:spacing w:after="0"/>
              <w:rPr>
                <w:rFonts w:ascii="Calibri" w:hAnsi="Calibri" w:cs="Calibri"/>
                <w:b/>
                <w:bCs/>
                <w:color w:val="FFFFFF" w:themeColor="background1"/>
                <w:szCs w:val="18"/>
                <w:lang w:eastAsia="en-AU"/>
              </w:rPr>
            </w:pPr>
            <w:r w:rsidRPr="007B5055">
              <w:rPr>
                <w:rFonts w:ascii="Calibri" w:hAnsi="Calibri" w:cs="Calibri"/>
                <w:b/>
                <w:color w:val="FFFFFF" w:themeColor="background1"/>
                <w:szCs w:val="18"/>
                <w:lang w:eastAsia="en-AU"/>
              </w:rPr>
              <w:t>Organisation/s</w:t>
            </w:r>
          </w:p>
        </w:tc>
      </w:tr>
      <w:tr w:rsidR="00EB728C" w:rsidRPr="007B5055" w14:paraId="7AB9D4F8" w14:textId="77777777" w:rsidTr="003B3300">
        <w:trPr>
          <w:trHeight w:val="614"/>
        </w:trPr>
        <w:tc>
          <w:tcPr>
            <w:tcW w:w="1178" w:type="pct"/>
            <w:hideMark/>
          </w:tcPr>
          <w:p w14:paraId="3DE2C4E1"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Alexander</w:t>
            </w:r>
          </w:p>
        </w:tc>
        <w:tc>
          <w:tcPr>
            <w:tcW w:w="1178" w:type="pct"/>
            <w:hideMark/>
          </w:tcPr>
          <w:p w14:paraId="3FA7CA73" w14:textId="0238A6CA" w:rsidR="00EB728C" w:rsidRPr="007B5055" w:rsidRDefault="00C825A0" w:rsidP="003B3300">
            <w:pPr>
              <w:widowControl/>
              <w:autoSpaceDE/>
              <w:autoSpaceDN/>
              <w:adjustRightInd/>
              <w:spacing w:after="0"/>
              <w:rPr>
                <w:rFonts w:ascii="Calibri" w:hAnsi="Calibri" w:cs="Calibri"/>
                <w:bCs/>
                <w:color w:val="000000"/>
                <w:szCs w:val="18"/>
                <w:lang w:eastAsia="en-AU"/>
              </w:rPr>
            </w:pPr>
            <w:r>
              <w:rPr>
                <w:rFonts w:ascii="Calibri" w:hAnsi="Calibri" w:cs="Calibri"/>
                <w:bCs/>
                <w:color w:val="000000"/>
                <w:szCs w:val="18"/>
                <w:lang w:eastAsia="en-AU"/>
              </w:rPr>
              <w:t>Stephen</w:t>
            </w:r>
          </w:p>
        </w:tc>
        <w:tc>
          <w:tcPr>
            <w:tcW w:w="2644" w:type="pct"/>
            <w:hideMark/>
          </w:tcPr>
          <w:p w14:paraId="230E6809" w14:textId="002E50F4" w:rsidR="00EB728C" w:rsidRPr="007B5055" w:rsidRDefault="00C825A0" w:rsidP="003B3300">
            <w:pPr>
              <w:widowControl/>
              <w:autoSpaceDE/>
              <w:autoSpaceDN/>
              <w:adjustRightInd/>
              <w:spacing w:after="0"/>
              <w:rPr>
                <w:rFonts w:ascii="Calibri" w:hAnsi="Calibri" w:cs="Calibri"/>
                <w:bCs/>
                <w:color w:val="000000"/>
                <w:szCs w:val="18"/>
                <w:lang w:eastAsia="en-AU"/>
              </w:rPr>
            </w:pPr>
            <w:r>
              <w:rPr>
                <w:rFonts w:ascii="Calibri" w:hAnsi="Calibri" w:cs="Calibri"/>
                <w:bCs/>
                <w:color w:val="000000"/>
                <w:szCs w:val="18"/>
                <w:lang w:eastAsia="en-AU"/>
              </w:rPr>
              <w:t>TSANZ</w:t>
            </w:r>
            <w:r>
              <w:rPr>
                <w:rFonts w:ascii="Calibri" w:hAnsi="Calibri" w:cs="Calibri"/>
                <w:bCs/>
                <w:color w:val="000000"/>
                <w:szCs w:val="18"/>
                <w:lang w:eastAsia="en-AU"/>
              </w:rPr>
              <w:br/>
            </w:r>
            <w:r w:rsidR="00EB728C" w:rsidRPr="007B5055">
              <w:rPr>
                <w:rFonts w:ascii="Calibri" w:hAnsi="Calibri" w:cs="Calibri"/>
                <w:bCs/>
                <w:color w:val="000000"/>
                <w:szCs w:val="18"/>
                <w:lang w:eastAsia="en-AU"/>
              </w:rPr>
              <w:t xml:space="preserve">Children’s Hospital Westmead </w:t>
            </w:r>
          </w:p>
        </w:tc>
      </w:tr>
      <w:tr w:rsidR="00EB728C" w:rsidRPr="007B5055" w14:paraId="782CC7A0" w14:textId="77777777" w:rsidTr="003B3300">
        <w:trPr>
          <w:trHeight w:val="614"/>
        </w:trPr>
        <w:tc>
          <w:tcPr>
            <w:tcW w:w="1178" w:type="pct"/>
            <w:hideMark/>
          </w:tcPr>
          <w:p w14:paraId="462C14AC"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Alexander</w:t>
            </w:r>
          </w:p>
        </w:tc>
        <w:tc>
          <w:tcPr>
            <w:tcW w:w="1178" w:type="pct"/>
            <w:hideMark/>
          </w:tcPr>
          <w:p w14:paraId="2421D79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Kate</w:t>
            </w:r>
          </w:p>
        </w:tc>
        <w:tc>
          <w:tcPr>
            <w:tcW w:w="2644" w:type="pct"/>
            <w:hideMark/>
          </w:tcPr>
          <w:p w14:paraId="41586BC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NACCHO</w:t>
            </w:r>
          </w:p>
        </w:tc>
      </w:tr>
      <w:tr w:rsidR="00EB728C" w:rsidRPr="007B5055" w14:paraId="2089FDE0" w14:textId="77777777" w:rsidTr="003B3300">
        <w:trPr>
          <w:trHeight w:val="614"/>
        </w:trPr>
        <w:tc>
          <w:tcPr>
            <w:tcW w:w="1178" w:type="pct"/>
            <w:hideMark/>
          </w:tcPr>
          <w:p w14:paraId="68F346C0"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Allen</w:t>
            </w:r>
          </w:p>
        </w:tc>
        <w:tc>
          <w:tcPr>
            <w:tcW w:w="1178" w:type="pct"/>
            <w:hideMark/>
          </w:tcPr>
          <w:p w14:paraId="57EE16E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Richard</w:t>
            </w:r>
          </w:p>
        </w:tc>
        <w:tc>
          <w:tcPr>
            <w:tcW w:w="2644" w:type="pct"/>
            <w:hideMark/>
          </w:tcPr>
          <w:p w14:paraId="63F09B7D" w14:textId="0526AFF7" w:rsidR="00EB728C" w:rsidRPr="007B5055" w:rsidRDefault="00C825A0"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Westmead Clinical School, University of Sydney</w:t>
            </w:r>
            <w:r>
              <w:rPr>
                <w:rFonts w:ascii="Calibri" w:hAnsi="Calibri" w:cs="Calibri"/>
                <w:color w:val="000000"/>
                <w:szCs w:val="18"/>
                <w:lang w:eastAsia="en-AU"/>
              </w:rPr>
              <w:br/>
            </w:r>
            <w:r w:rsidR="00EB728C" w:rsidRPr="007B5055">
              <w:rPr>
                <w:rFonts w:ascii="Calibri" w:hAnsi="Calibri" w:cs="Calibri"/>
                <w:color w:val="000000"/>
                <w:szCs w:val="18"/>
                <w:lang w:eastAsia="en-AU"/>
              </w:rPr>
              <w:t>Transplant Australia</w:t>
            </w:r>
          </w:p>
        </w:tc>
      </w:tr>
      <w:tr w:rsidR="00EB728C" w:rsidRPr="007B5055" w14:paraId="2E9D1F25" w14:textId="77777777" w:rsidTr="003B3300">
        <w:trPr>
          <w:trHeight w:val="614"/>
        </w:trPr>
        <w:tc>
          <w:tcPr>
            <w:tcW w:w="1178" w:type="pct"/>
            <w:hideMark/>
          </w:tcPr>
          <w:p w14:paraId="68DD50B1"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Baker</w:t>
            </w:r>
          </w:p>
        </w:tc>
        <w:tc>
          <w:tcPr>
            <w:tcW w:w="1178" w:type="pct"/>
            <w:hideMark/>
          </w:tcPr>
          <w:p w14:paraId="0D6D79B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Janet</w:t>
            </w:r>
          </w:p>
        </w:tc>
        <w:tc>
          <w:tcPr>
            <w:tcW w:w="2644" w:type="pct"/>
            <w:hideMark/>
          </w:tcPr>
          <w:p w14:paraId="3BE3D63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Queensland Health </w:t>
            </w:r>
          </w:p>
        </w:tc>
      </w:tr>
      <w:tr w:rsidR="00C825A0" w:rsidRPr="007B5055" w14:paraId="35D386DF" w14:textId="77777777" w:rsidTr="003B3300">
        <w:trPr>
          <w:trHeight w:val="614"/>
        </w:trPr>
        <w:tc>
          <w:tcPr>
            <w:tcW w:w="1178" w:type="pct"/>
          </w:tcPr>
          <w:p w14:paraId="79017724" w14:textId="0EE9EB5C" w:rsidR="00C825A0" w:rsidRPr="007B5055" w:rsidRDefault="00C825A0" w:rsidP="003B3300">
            <w:pPr>
              <w:widowControl/>
              <w:autoSpaceDE/>
              <w:autoSpaceDN/>
              <w:adjustRightInd/>
              <w:spacing w:after="0"/>
              <w:rPr>
                <w:rFonts w:ascii="Calibri" w:hAnsi="Calibri" w:cs="Calibri"/>
                <w:b/>
                <w:color w:val="000000"/>
                <w:szCs w:val="18"/>
                <w:lang w:eastAsia="en-AU"/>
              </w:rPr>
            </w:pPr>
            <w:r>
              <w:rPr>
                <w:rFonts w:ascii="Calibri" w:hAnsi="Calibri" w:cs="Calibri"/>
                <w:b/>
                <w:color w:val="000000"/>
                <w:szCs w:val="18"/>
                <w:lang w:eastAsia="en-AU"/>
              </w:rPr>
              <w:t>Barry</w:t>
            </w:r>
          </w:p>
        </w:tc>
        <w:tc>
          <w:tcPr>
            <w:tcW w:w="1178" w:type="pct"/>
          </w:tcPr>
          <w:p w14:paraId="4844A1EE" w14:textId="3EF6F3CD" w:rsidR="00C825A0" w:rsidRPr="007B5055" w:rsidRDefault="00C825A0"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Lucinda</w:t>
            </w:r>
          </w:p>
        </w:tc>
        <w:tc>
          <w:tcPr>
            <w:tcW w:w="2644" w:type="pct"/>
          </w:tcPr>
          <w:p w14:paraId="0C04F910" w14:textId="1C83BE42" w:rsidR="00C825A0" w:rsidRPr="007B5055" w:rsidRDefault="00C825A0"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Australian Organ and Tissue Donation and Transplantation Authority (OTA)</w:t>
            </w:r>
          </w:p>
        </w:tc>
      </w:tr>
      <w:tr w:rsidR="00EB728C" w:rsidRPr="007B5055" w14:paraId="63B44F88" w14:textId="77777777" w:rsidTr="003B3300">
        <w:trPr>
          <w:trHeight w:val="614"/>
        </w:trPr>
        <w:tc>
          <w:tcPr>
            <w:tcW w:w="1178" w:type="pct"/>
            <w:hideMark/>
          </w:tcPr>
          <w:p w14:paraId="5CC0A642"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Bateman</w:t>
            </w:r>
          </w:p>
        </w:tc>
        <w:tc>
          <w:tcPr>
            <w:tcW w:w="1178" w:type="pct"/>
            <w:hideMark/>
          </w:tcPr>
          <w:p w14:paraId="65B7075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Katherine</w:t>
            </w:r>
          </w:p>
        </w:tc>
        <w:tc>
          <w:tcPr>
            <w:tcW w:w="2644" w:type="pct"/>
            <w:hideMark/>
          </w:tcPr>
          <w:p w14:paraId="39A0AA5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Transplant Nurses Association </w:t>
            </w:r>
          </w:p>
        </w:tc>
      </w:tr>
      <w:tr w:rsidR="00EB728C" w:rsidRPr="007B5055" w14:paraId="2B04F664" w14:textId="77777777" w:rsidTr="003B3300">
        <w:trPr>
          <w:trHeight w:val="614"/>
        </w:trPr>
        <w:tc>
          <w:tcPr>
            <w:tcW w:w="1178" w:type="pct"/>
            <w:hideMark/>
          </w:tcPr>
          <w:p w14:paraId="175BF28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Bell</w:t>
            </w:r>
          </w:p>
        </w:tc>
        <w:tc>
          <w:tcPr>
            <w:tcW w:w="1178" w:type="pct"/>
            <w:hideMark/>
          </w:tcPr>
          <w:p w14:paraId="3D73913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Amanda</w:t>
            </w:r>
          </w:p>
        </w:tc>
        <w:tc>
          <w:tcPr>
            <w:tcW w:w="2644" w:type="pct"/>
            <w:hideMark/>
          </w:tcPr>
          <w:p w14:paraId="1595B31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Australian Organ and Tissue Donation and Transplantation Authority (OTA)</w:t>
            </w:r>
          </w:p>
        </w:tc>
      </w:tr>
      <w:tr w:rsidR="00EB728C" w:rsidRPr="007B5055" w14:paraId="10008A11" w14:textId="77777777" w:rsidTr="003B3300">
        <w:trPr>
          <w:trHeight w:val="614"/>
        </w:trPr>
        <w:tc>
          <w:tcPr>
            <w:tcW w:w="1178" w:type="pct"/>
            <w:hideMark/>
          </w:tcPr>
          <w:p w14:paraId="786D1D2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Bergin</w:t>
            </w:r>
          </w:p>
        </w:tc>
        <w:tc>
          <w:tcPr>
            <w:tcW w:w="1178" w:type="pct"/>
            <w:hideMark/>
          </w:tcPr>
          <w:p w14:paraId="0D04AF0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Peter</w:t>
            </w:r>
          </w:p>
        </w:tc>
        <w:tc>
          <w:tcPr>
            <w:tcW w:w="2644" w:type="pct"/>
            <w:hideMark/>
          </w:tcPr>
          <w:p w14:paraId="07BA454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Alfred Hospital </w:t>
            </w:r>
          </w:p>
        </w:tc>
      </w:tr>
      <w:tr w:rsidR="00EB728C" w:rsidRPr="007B5055" w14:paraId="2B189D73" w14:textId="77777777" w:rsidTr="003B3300">
        <w:trPr>
          <w:trHeight w:val="659"/>
        </w:trPr>
        <w:tc>
          <w:tcPr>
            <w:tcW w:w="1178" w:type="pct"/>
            <w:hideMark/>
          </w:tcPr>
          <w:p w14:paraId="7FBD566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Boan</w:t>
            </w:r>
          </w:p>
        </w:tc>
        <w:tc>
          <w:tcPr>
            <w:tcW w:w="1178" w:type="pct"/>
            <w:hideMark/>
          </w:tcPr>
          <w:p w14:paraId="1DA8E8B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Peter</w:t>
            </w:r>
          </w:p>
        </w:tc>
        <w:tc>
          <w:tcPr>
            <w:tcW w:w="2644" w:type="pct"/>
            <w:hideMark/>
          </w:tcPr>
          <w:p w14:paraId="73F5786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Royal Perth Hospital </w:t>
            </w:r>
          </w:p>
        </w:tc>
      </w:tr>
      <w:tr w:rsidR="00EB728C" w:rsidRPr="007B5055" w14:paraId="6385070B" w14:textId="77777777" w:rsidTr="003B3300">
        <w:trPr>
          <w:trHeight w:val="659"/>
        </w:trPr>
        <w:tc>
          <w:tcPr>
            <w:tcW w:w="1178" w:type="pct"/>
            <w:hideMark/>
          </w:tcPr>
          <w:p w14:paraId="6A5D07D6"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Botting</w:t>
            </w:r>
          </w:p>
        </w:tc>
        <w:tc>
          <w:tcPr>
            <w:tcW w:w="1178" w:type="pct"/>
            <w:hideMark/>
          </w:tcPr>
          <w:p w14:paraId="0E028C6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Karen</w:t>
            </w:r>
          </w:p>
        </w:tc>
        <w:tc>
          <w:tcPr>
            <w:tcW w:w="2644" w:type="pct"/>
            <w:hideMark/>
          </w:tcPr>
          <w:p w14:paraId="12D07E2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Victorian Department of Health and Human Services </w:t>
            </w:r>
          </w:p>
        </w:tc>
      </w:tr>
      <w:tr w:rsidR="00EB728C" w:rsidRPr="007B5055" w14:paraId="4A69253F" w14:textId="77777777" w:rsidTr="003B3300">
        <w:trPr>
          <w:trHeight w:val="659"/>
        </w:trPr>
        <w:tc>
          <w:tcPr>
            <w:tcW w:w="1178" w:type="pct"/>
            <w:hideMark/>
          </w:tcPr>
          <w:p w14:paraId="016C1F8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Boudville</w:t>
            </w:r>
          </w:p>
        </w:tc>
        <w:tc>
          <w:tcPr>
            <w:tcW w:w="1178" w:type="pct"/>
            <w:hideMark/>
          </w:tcPr>
          <w:p w14:paraId="2C01E1B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Neil</w:t>
            </w:r>
          </w:p>
        </w:tc>
        <w:tc>
          <w:tcPr>
            <w:tcW w:w="2644" w:type="pct"/>
            <w:hideMark/>
          </w:tcPr>
          <w:p w14:paraId="5F3D36B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St John of God Mt Lawley Hospital </w:t>
            </w:r>
          </w:p>
        </w:tc>
      </w:tr>
      <w:tr w:rsidR="00EB728C" w:rsidRPr="007B5055" w14:paraId="24D684C7" w14:textId="77777777" w:rsidTr="003B3300">
        <w:trPr>
          <w:trHeight w:val="659"/>
        </w:trPr>
        <w:tc>
          <w:tcPr>
            <w:tcW w:w="1178" w:type="pct"/>
            <w:hideMark/>
          </w:tcPr>
          <w:p w14:paraId="3EC6AF5D"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Bowles</w:t>
            </w:r>
          </w:p>
        </w:tc>
        <w:tc>
          <w:tcPr>
            <w:tcW w:w="1178" w:type="pct"/>
            <w:hideMark/>
          </w:tcPr>
          <w:p w14:paraId="6742559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Tom</w:t>
            </w:r>
          </w:p>
        </w:tc>
        <w:tc>
          <w:tcPr>
            <w:tcW w:w="2644" w:type="pct"/>
            <w:hideMark/>
          </w:tcPr>
          <w:p w14:paraId="76DA03F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Western Australia Country Health Service</w:t>
            </w:r>
          </w:p>
        </w:tc>
      </w:tr>
      <w:tr w:rsidR="00EB728C" w:rsidRPr="007B5055" w14:paraId="1D5DD58F" w14:textId="77777777" w:rsidTr="003B3300">
        <w:trPr>
          <w:trHeight w:val="659"/>
        </w:trPr>
        <w:tc>
          <w:tcPr>
            <w:tcW w:w="1178" w:type="pct"/>
            <w:hideMark/>
          </w:tcPr>
          <w:p w14:paraId="54B097BD"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Bryson</w:t>
            </w:r>
          </w:p>
        </w:tc>
        <w:tc>
          <w:tcPr>
            <w:tcW w:w="1178" w:type="pct"/>
            <w:hideMark/>
          </w:tcPr>
          <w:p w14:paraId="15BA188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Greg</w:t>
            </w:r>
          </w:p>
        </w:tc>
        <w:tc>
          <w:tcPr>
            <w:tcW w:w="2644" w:type="pct"/>
            <w:hideMark/>
          </w:tcPr>
          <w:p w14:paraId="1F4B0DD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Queensland Health </w:t>
            </w:r>
          </w:p>
        </w:tc>
      </w:tr>
      <w:tr w:rsidR="00EB728C" w:rsidRPr="007B5055" w14:paraId="79FC26CE" w14:textId="77777777" w:rsidTr="003B3300">
        <w:trPr>
          <w:trHeight w:val="659"/>
        </w:trPr>
        <w:tc>
          <w:tcPr>
            <w:tcW w:w="1178" w:type="pct"/>
            <w:hideMark/>
          </w:tcPr>
          <w:p w14:paraId="33D67F21"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Burgess</w:t>
            </w:r>
          </w:p>
        </w:tc>
        <w:tc>
          <w:tcPr>
            <w:tcW w:w="1178" w:type="pct"/>
            <w:hideMark/>
          </w:tcPr>
          <w:p w14:paraId="46D7E6F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Anna</w:t>
            </w:r>
          </w:p>
        </w:tc>
        <w:tc>
          <w:tcPr>
            <w:tcW w:w="2644" w:type="pct"/>
            <w:hideMark/>
          </w:tcPr>
          <w:p w14:paraId="63C43A4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Victorian Department of Health and Human Services </w:t>
            </w:r>
          </w:p>
        </w:tc>
      </w:tr>
      <w:tr w:rsidR="00EB728C" w:rsidRPr="007B5055" w14:paraId="7FDD349E" w14:textId="77777777" w:rsidTr="003B3300">
        <w:trPr>
          <w:trHeight w:val="659"/>
        </w:trPr>
        <w:tc>
          <w:tcPr>
            <w:tcW w:w="1178" w:type="pct"/>
            <w:hideMark/>
          </w:tcPr>
          <w:p w14:paraId="5969A073"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Burkolter</w:t>
            </w:r>
          </w:p>
        </w:tc>
        <w:tc>
          <w:tcPr>
            <w:tcW w:w="1178" w:type="pct"/>
            <w:hideMark/>
          </w:tcPr>
          <w:p w14:paraId="443D401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Nadia</w:t>
            </w:r>
          </w:p>
        </w:tc>
        <w:tc>
          <w:tcPr>
            <w:tcW w:w="2644" w:type="pct"/>
            <w:hideMark/>
          </w:tcPr>
          <w:p w14:paraId="7CD12DF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DonateLife ACT</w:t>
            </w:r>
          </w:p>
        </w:tc>
      </w:tr>
      <w:tr w:rsidR="00EB728C" w:rsidRPr="007B5055" w14:paraId="155F7465" w14:textId="77777777" w:rsidTr="003B3300">
        <w:trPr>
          <w:trHeight w:val="659"/>
        </w:trPr>
        <w:tc>
          <w:tcPr>
            <w:tcW w:w="1178" w:type="pct"/>
            <w:hideMark/>
          </w:tcPr>
          <w:p w14:paraId="6438942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Burley</w:t>
            </w:r>
          </w:p>
        </w:tc>
        <w:tc>
          <w:tcPr>
            <w:tcW w:w="1178" w:type="pct"/>
            <w:hideMark/>
          </w:tcPr>
          <w:p w14:paraId="69984E4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Robyn</w:t>
            </w:r>
          </w:p>
        </w:tc>
        <w:tc>
          <w:tcPr>
            <w:tcW w:w="2644" w:type="pct"/>
            <w:hideMark/>
          </w:tcPr>
          <w:p w14:paraId="130080F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The Royal Australasian College of Physicians</w:t>
            </w:r>
          </w:p>
        </w:tc>
      </w:tr>
      <w:tr w:rsidR="00EB728C" w:rsidRPr="007B5055" w14:paraId="71AC5C93" w14:textId="77777777" w:rsidTr="003B3300">
        <w:trPr>
          <w:trHeight w:val="659"/>
        </w:trPr>
        <w:tc>
          <w:tcPr>
            <w:tcW w:w="1178" w:type="pct"/>
            <w:hideMark/>
          </w:tcPr>
          <w:p w14:paraId="0A010E2D"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Bushby</w:t>
            </w:r>
          </w:p>
        </w:tc>
        <w:tc>
          <w:tcPr>
            <w:tcW w:w="1178" w:type="pct"/>
            <w:hideMark/>
          </w:tcPr>
          <w:p w14:paraId="658992C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Sharon</w:t>
            </w:r>
          </w:p>
        </w:tc>
        <w:tc>
          <w:tcPr>
            <w:tcW w:w="2644" w:type="pct"/>
            <w:hideMark/>
          </w:tcPr>
          <w:p w14:paraId="69D0287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Aboriginal Health Council of Western Australia</w:t>
            </w:r>
          </w:p>
        </w:tc>
      </w:tr>
      <w:tr w:rsidR="00EB728C" w:rsidRPr="007B5055" w14:paraId="17A1060E" w14:textId="77777777" w:rsidTr="003B3300">
        <w:trPr>
          <w:trHeight w:val="659"/>
        </w:trPr>
        <w:tc>
          <w:tcPr>
            <w:tcW w:w="1178" w:type="pct"/>
            <w:hideMark/>
          </w:tcPr>
          <w:p w14:paraId="7C687852"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Campbell</w:t>
            </w:r>
          </w:p>
        </w:tc>
        <w:tc>
          <w:tcPr>
            <w:tcW w:w="1178" w:type="pct"/>
            <w:hideMark/>
          </w:tcPr>
          <w:p w14:paraId="4EDCEAF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Scott</w:t>
            </w:r>
          </w:p>
        </w:tc>
        <w:tc>
          <w:tcPr>
            <w:tcW w:w="2644" w:type="pct"/>
            <w:hideMark/>
          </w:tcPr>
          <w:p w14:paraId="0C2F8F8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Brisbane Private Hospital </w:t>
            </w:r>
          </w:p>
        </w:tc>
      </w:tr>
      <w:tr w:rsidR="00EB728C" w:rsidRPr="007B5055" w14:paraId="2219CF7E" w14:textId="77777777" w:rsidTr="003B3300">
        <w:trPr>
          <w:trHeight w:val="659"/>
        </w:trPr>
        <w:tc>
          <w:tcPr>
            <w:tcW w:w="1178" w:type="pct"/>
            <w:hideMark/>
          </w:tcPr>
          <w:p w14:paraId="177217C9" w14:textId="77777777" w:rsidR="00EB728C" w:rsidRPr="002A1902" w:rsidRDefault="00EB728C" w:rsidP="003B3300">
            <w:pPr>
              <w:widowControl/>
              <w:autoSpaceDE/>
              <w:autoSpaceDN/>
              <w:adjustRightInd/>
              <w:spacing w:after="0"/>
              <w:rPr>
                <w:rFonts w:ascii="Calibri" w:hAnsi="Calibri" w:cs="Calibri"/>
                <w:b/>
                <w:color w:val="000000"/>
                <w:szCs w:val="18"/>
                <w:lang w:eastAsia="en-AU"/>
              </w:rPr>
            </w:pPr>
            <w:r w:rsidRPr="002A1902">
              <w:rPr>
                <w:rFonts w:ascii="Calibri" w:hAnsi="Calibri" w:cs="Calibri"/>
                <w:b/>
                <w:color w:val="000000"/>
                <w:szCs w:val="18"/>
                <w:lang w:eastAsia="en-AU"/>
              </w:rPr>
              <w:t>Campbell</w:t>
            </w:r>
          </w:p>
        </w:tc>
        <w:tc>
          <w:tcPr>
            <w:tcW w:w="1178" w:type="pct"/>
            <w:hideMark/>
          </w:tcPr>
          <w:p w14:paraId="0F07458D" w14:textId="77777777" w:rsidR="00EB728C" w:rsidRPr="002A1902" w:rsidRDefault="00EB728C" w:rsidP="003B3300">
            <w:pPr>
              <w:widowControl/>
              <w:autoSpaceDE/>
              <w:autoSpaceDN/>
              <w:adjustRightInd/>
              <w:spacing w:after="0"/>
              <w:rPr>
                <w:rFonts w:ascii="Calibri" w:hAnsi="Calibri" w:cs="Calibri"/>
                <w:color w:val="000000"/>
                <w:szCs w:val="18"/>
                <w:lang w:eastAsia="en-AU"/>
              </w:rPr>
            </w:pPr>
            <w:r w:rsidRPr="002A1902">
              <w:rPr>
                <w:rFonts w:ascii="Calibri" w:hAnsi="Calibri" w:cs="Calibri"/>
                <w:color w:val="000000"/>
                <w:szCs w:val="18"/>
                <w:lang w:eastAsia="en-AU"/>
              </w:rPr>
              <w:t>Kirsty</w:t>
            </w:r>
          </w:p>
        </w:tc>
        <w:tc>
          <w:tcPr>
            <w:tcW w:w="2644" w:type="pct"/>
            <w:hideMark/>
          </w:tcPr>
          <w:p w14:paraId="2503E94C" w14:textId="4F09CCE2" w:rsidR="00EB728C" w:rsidRPr="007B5055" w:rsidRDefault="002A1902"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 xml:space="preserve">Royal Darwin Hospital </w:t>
            </w:r>
          </w:p>
        </w:tc>
      </w:tr>
      <w:tr w:rsidR="00EB728C" w:rsidRPr="007B5055" w14:paraId="247D9B4E" w14:textId="77777777" w:rsidTr="003B3300">
        <w:trPr>
          <w:trHeight w:val="659"/>
        </w:trPr>
        <w:tc>
          <w:tcPr>
            <w:tcW w:w="1178" w:type="pct"/>
            <w:hideMark/>
          </w:tcPr>
          <w:p w14:paraId="5339E82B"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Cantwell</w:t>
            </w:r>
          </w:p>
        </w:tc>
        <w:tc>
          <w:tcPr>
            <w:tcW w:w="1178" w:type="pct"/>
            <w:hideMark/>
          </w:tcPr>
          <w:p w14:paraId="6F8C99D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Linda</w:t>
            </w:r>
          </w:p>
        </w:tc>
        <w:tc>
          <w:tcPr>
            <w:tcW w:w="2644" w:type="pct"/>
            <w:hideMark/>
          </w:tcPr>
          <w:p w14:paraId="66FC9516" w14:textId="02F06987" w:rsidR="00C825A0" w:rsidRDefault="00C825A0" w:rsidP="00C825A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Victorian Transplantation and Immunogenetics Services</w:t>
            </w:r>
          </w:p>
          <w:p w14:paraId="7FF63C8B" w14:textId="3228EC43" w:rsidR="00EB728C" w:rsidRPr="007B5055" w:rsidRDefault="00EB728C" w:rsidP="00C825A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Victorian &amp; Tasmanian Renal Transplant Advi</w:t>
            </w:r>
            <w:r w:rsidR="00C825A0">
              <w:rPr>
                <w:rFonts w:ascii="Calibri" w:hAnsi="Calibri" w:cs="Calibri"/>
                <w:color w:val="000000"/>
                <w:szCs w:val="18"/>
                <w:lang w:eastAsia="en-AU"/>
              </w:rPr>
              <w:t>sory Committee (VTRTAC)</w:t>
            </w:r>
          </w:p>
        </w:tc>
      </w:tr>
      <w:tr w:rsidR="00EB728C" w:rsidRPr="007B5055" w14:paraId="547C5A79" w14:textId="77777777" w:rsidTr="003B3300">
        <w:trPr>
          <w:trHeight w:val="659"/>
        </w:trPr>
        <w:tc>
          <w:tcPr>
            <w:tcW w:w="1178" w:type="pct"/>
            <w:hideMark/>
          </w:tcPr>
          <w:p w14:paraId="01BBCE17"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Carroll</w:t>
            </w:r>
          </w:p>
        </w:tc>
        <w:tc>
          <w:tcPr>
            <w:tcW w:w="1178" w:type="pct"/>
            <w:hideMark/>
          </w:tcPr>
          <w:p w14:paraId="1CDDF82A"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Robert</w:t>
            </w:r>
          </w:p>
        </w:tc>
        <w:tc>
          <w:tcPr>
            <w:tcW w:w="2644" w:type="pct"/>
            <w:hideMark/>
          </w:tcPr>
          <w:p w14:paraId="0A86126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Royal Adelaide Hospital </w:t>
            </w:r>
          </w:p>
        </w:tc>
      </w:tr>
      <w:tr w:rsidR="00EB728C" w:rsidRPr="007B5055" w14:paraId="4FB02EC2" w14:textId="77777777" w:rsidTr="003B3300">
        <w:trPr>
          <w:trHeight w:val="659"/>
        </w:trPr>
        <w:tc>
          <w:tcPr>
            <w:tcW w:w="1178" w:type="pct"/>
            <w:hideMark/>
          </w:tcPr>
          <w:p w14:paraId="41A7AD1F"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Cavazzoni</w:t>
            </w:r>
          </w:p>
        </w:tc>
        <w:tc>
          <w:tcPr>
            <w:tcW w:w="1178" w:type="pct"/>
            <w:hideMark/>
          </w:tcPr>
          <w:p w14:paraId="58A95DF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Elena</w:t>
            </w:r>
          </w:p>
        </w:tc>
        <w:tc>
          <w:tcPr>
            <w:tcW w:w="2644" w:type="pct"/>
            <w:hideMark/>
          </w:tcPr>
          <w:p w14:paraId="05A0C091" w14:textId="1DCFF96C" w:rsidR="002D695E" w:rsidRDefault="002D695E"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Children’s Hospital at Westmead</w:t>
            </w:r>
          </w:p>
          <w:p w14:paraId="7485E50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NSW Organ and Tissue Donation Service</w:t>
            </w:r>
          </w:p>
        </w:tc>
      </w:tr>
      <w:tr w:rsidR="00EB728C" w:rsidRPr="007B5055" w14:paraId="6D129F08" w14:textId="77777777" w:rsidTr="003B3300">
        <w:trPr>
          <w:trHeight w:val="659"/>
        </w:trPr>
        <w:tc>
          <w:tcPr>
            <w:tcW w:w="1178" w:type="pct"/>
            <w:hideMark/>
          </w:tcPr>
          <w:p w14:paraId="34FEB400"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Celcer</w:t>
            </w:r>
          </w:p>
        </w:tc>
        <w:tc>
          <w:tcPr>
            <w:tcW w:w="1178" w:type="pct"/>
            <w:hideMark/>
          </w:tcPr>
          <w:p w14:paraId="2A4C309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Juliana</w:t>
            </w:r>
          </w:p>
        </w:tc>
        <w:tc>
          <w:tcPr>
            <w:tcW w:w="2644" w:type="pct"/>
            <w:hideMark/>
          </w:tcPr>
          <w:p w14:paraId="47F069A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NSW Organ and Tissue Donation Service</w:t>
            </w:r>
          </w:p>
        </w:tc>
      </w:tr>
      <w:tr w:rsidR="00EB728C" w:rsidRPr="007B5055" w14:paraId="092730AB" w14:textId="77777777" w:rsidTr="003B3300">
        <w:trPr>
          <w:trHeight w:val="659"/>
        </w:trPr>
        <w:tc>
          <w:tcPr>
            <w:tcW w:w="1178" w:type="pct"/>
            <w:hideMark/>
          </w:tcPr>
          <w:p w14:paraId="7E6BF4E8"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Chadban</w:t>
            </w:r>
          </w:p>
        </w:tc>
        <w:tc>
          <w:tcPr>
            <w:tcW w:w="1178" w:type="pct"/>
            <w:hideMark/>
          </w:tcPr>
          <w:p w14:paraId="0E9F63F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Steven</w:t>
            </w:r>
          </w:p>
        </w:tc>
        <w:tc>
          <w:tcPr>
            <w:tcW w:w="2644" w:type="pct"/>
            <w:hideMark/>
          </w:tcPr>
          <w:p w14:paraId="4EA06A24" w14:textId="7B14D2F9" w:rsidR="002D695E" w:rsidRDefault="002D695E"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Transplant Liaison Reference Group</w:t>
            </w:r>
          </w:p>
          <w:p w14:paraId="13CBB68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Royal Prince Alfred Hospital </w:t>
            </w:r>
          </w:p>
        </w:tc>
      </w:tr>
      <w:tr w:rsidR="00EB728C" w:rsidRPr="007B5055" w14:paraId="263E35FF" w14:textId="77777777" w:rsidTr="003B3300">
        <w:trPr>
          <w:trHeight w:val="439"/>
        </w:trPr>
        <w:tc>
          <w:tcPr>
            <w:tcW w:w="1178" w:type="pct"/>
            <w:hideMark/>
          </w:tcPr>
          <w:p w14:paraId="3F82C3BF"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Chan</w:t>
            </w:r>
          </w:p>
        </w:tc>
        <w:tc>
          <w:tcPr>
            <w:tcW w:w="1178" w:type="pct"/>
            <w:hideMark/>
          </w:tcPr>
          <w:p w14:paraId="169C560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Elaine </w:t>
            </w:r>
          </w:p>
        </w:tc>
        <w:tc>
          <w:tcPr>
            <w:tcW w:w="2644" w:type="pct"/>
            <w:hideMark/>
          </w:tcPr>
          <w:p w14:paraId="069BE8CA"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Westmead Hospital </w:t>
            </w:r>
          </w:p>
        </w:tc>
      </w:tr>
      <w:tr w:rsidR="00EB728C" w:rsidRPr="007B5055" w14:paraId="4DA5C9CD" w14:textId="77777777" w:rsidTr="003B3300">
        <w:trPr>
          <w:trHeight w:val="659"/>
        </w:trPr>
        <w:tc>
          <w:tcPr>
            <w:tcW w:w="1178" w:type="pct"/>
            <w:hideMark/>
          </w:tcPr>
          <w:p w14:paraId="3BAA3C5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Chant</w:t>
            </w:r>
          </w:p>
        </w:tc>
        <w:tc>
          <w:tcPr>
            <w:tcW w:w="1178" w:type="pct"/>
            <w:hideMark/>
          </w:tcPr>
          <w:p w14:paraId="0CD9EB7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Kerry</w:t>
            </w:r>
          </w:p>
        </w:tc>
        <w:tc>
          <w:tcPr>
            <w:tcW w:w="2644" w:type="pct"/>
            <w:hideMark/>
          </w:tcPr>
          <w:p w14:paraId="1F2AF28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NSW Ministry of Health </w:t>
            </w:r>
          </w:p>
        </w:tc>
      </w:tr>
      <w:tr w:rsidR="00EB728C" w:rsidRPr="007B5055" w14:paraId="65C90619" w14:textId="77777777" w:rsidTr="003B3300">
        <w:trPr>
          <w:trHeight w:val="659"/>
        </w:trPr>
        <w:tc>
          <w:tcPr>
            <w:tcW w:w="1178" w:type="pct"/>
            <w:hideMark/>
          </w:tcPr>
          <w:p w14:paraId="6C3BAB3D"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Chapman</w:t>
            </w:r>
          </w:p>
        </w:tc>
        <w:tc>
          <w:tcPr>
            <w:tcW w:w="1178" w:type="pct"/>
            <w:hideMark/>
          </w:tcPr>
          <w:p w14:paraId="4825475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Jeremy</w:t>
            </w:r>
          </w:p>
        </w:tc>
        <w:tc>
          <w:tcPr>
            <w:tcW w:w="2644" w:type="pct"/>
            <w:hideMark/>
          </w:tcPr>
          <w:p w14:paraId="592E719A"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Westmead Hospital </w:t>
            </w:r>
          </w:p>
        </w:tc>
      </w:tr>
      <w:tr w:rsidR="00EB728C" w:rsidRPr="007B5055" w14:paraId="14CEF484" w14:textId="77777777" w:rsidTr="003B3300">
        <w:trPr>
          <w:trHeight w:val="659"/>
        </w:trPr>
        <w:tc>
          <w:tcPr>
            <w:tcW w:w="1178" w:type="pct"/>
            <w:hideMark/>
          </w:tcPr>
          <w:p w14:paraId="6BFBCF2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Chen</w:t>
            </w:r>
          </w:p>
        </w:tc>
        <w:tc>
          <w:tcPr>
            <w:tcW w:w="1178" w:type="pct"/>
            <w:hideMark/>
          </w:tcPr>
          <w:p w14:paraId="36474F2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John</w:t>
            </w:r>
          </w:p>
        </w:tc>
        <w:tc>
          <w:tcPr>
            <w:tcW w:w="2644" w:type="pct"/>
            <w:hideMark/>
          </w:tcPr>
          <w:p w14:paraId="68B5782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Flinders Hospital </w:t>
            </w:r>
          </w:p>
        </w:tc>
      </w:tr>
      <w:tr w:rsidR="00EB728C" w:rsidRPr="007B5055" w14:paraId="6AB6A061" w14:textId="77777777" w:rsidTr="003B3300">
        <w:trPr>
          <w:trHeight w:val="659"/>
        </w:trPr>
        <w:tc>
          <w:tcPr>
            <w:tcW w:w="1178" w:type="pct"/>
            <w:hideMark/>
          </w:tcPr>
          <w:p w14:paraId="628733F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Chesneau</w:t>
            </w:r>
          </w:p>
        </w:tc>
        <w:tc>
          <w:tcPr>
            <w:tcW w:w="1178" w:type="pct"/>
            <w:hideMark/>
          </w:tcPr>
          <w:p w14:paraId="77E12D3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Stuart</w:t>
            </w:r>
          </w:p>
        </w:tc>
        <w:tc>
          <w:tcPr>
            <w:tcW w:w="2644" w:type="pct"/>
            <w:hideMark/>
          </w:tcPr>
          <w:p w14:paraId="148FC64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Australian Red Cross Blood Services</w:t>
            </w:r>
          </w:p>
        </w:tc>
      </w:tr>
      <w:tr w:rsidR="00EB728C" w:rsidRPr="007B5055" w14:paraId="54237F99" w14:textId="77777777" w:rsidTr="003B3300">
        <w:trPr>
          <w:trHeight w:val="659"/>
        </w:trPr>
        <w:tc>
          <w:tcPr>
            <w:tcW w:w="1178" w:type="pct"/>
            <w:hideMark/>
          </w:tcPr>
          <w:p w14:paraId="7B339C7A"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Chow</w:t>
            </w:r>
          </w:p>
        </w:tc>
        <w:tc>
          <w:tcPr>
            <w:tcW w:w="1178" w:type="pct"/>
            <w:hideMark/>
          </w:tcPr>
          <w:p w14:paraId="0606DC1A"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Kevin</w:t>
            </w:r>
          </w:p>
        </w:tc>
        <w:tc>
          <w:tcPr>
            <w:tcW w:w="2644" w:type="pct"/>
            <w:hideMark/>
          </w:tcPr>
          <w:p w14:paraId="5036749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Victorian &amp; Tasmanian Renal Transplant Advisory Committee (VTRTAC) </w:t>
            </w:r>
          </w:p>
        </w:tc>
      </w:tr>
      <w:tr w:rsidR="00EB728C" w:rsidRPr="007B5055" w14:paraId="46CB19A0" w14:textId="77777777" w:rsidTr="003B3300">
        <w:trPr>
          <w:trHeight w:val="659"/>
        </w:trPr>
        <w:tc>
          <w:tcPr>
            <w:tcW w:w="1178" w:type="pct"/>
            <w:hideMark/>
          </w:tcPr>
          <w:p w14:paraId="70E2FA01"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Clayton</w:t>
            </w:r>
          </w:p>
        </w:tc>
        <w:tc>
          <w:tcPr>
            <w:tcW w:w="1178" w:type="pct"/>
            <w:hideMark/>
          </w:tcPr>
          <w:p w14:paraId="4E9DE80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Philip</w:t>
            </w:r>
          </w:p>
        </w:tc>
        <w:tc>
          <w:tcPr>
            <w:tcW w:w="2644" w:type="pct"/>
            <w:hideMark/>
          </w:tcPr>
          <w:p w14:paraId="68EE89E0" w14:textId="77777777" w:rsidR="00EB728C"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 and New Zealand Dialysis and Transplantation Registry (ANZDATA)</w:t>
            </w:r>
          </w:p>
          <w:p w14:paraId="1ADA6115" w14:textId="222C341D" w:rsidR="002D695E" w:rsidRPr="007B5055" w:rsidRDefault="002D695E"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 xml:space="preserve">Royal Adelaide Hospital </w:t>
            </w:r>
          </w:p>
        </w:tc>
      </w:tr>
      <w:tr w:rsidR="00EB728C" w:rsidRPr="007B5055" w14:paraId="326DC216" w14:textId="77777777" w:rsidTr="003B3300">
        <w:trPr>
          <w:trHeight w:val="659"/>
        </w:trPr>
        <w:tc>
          <w:tcPr>
            <w:tcW w:w="1178" w:type="pct"/>
            <w:hideMark/>
          </w:tcPr>
          <w:p w14:paraId="78A2F566"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Coates</w:t>
            </w:r>
          </w:p>
        </w:tc>
        <w:tc>
          <w:tcPr>
            <w:tcW w:w="1178" w:type="pct"/>
            <w:hideMark/>
          </w:tcPr>
          <w:p w14:paraId="1EAD47F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Toby</w:t>
            </w:r>
          </w:p>
        </w:tc>
        <w:tc>
          <w:tcPr>
            <w:tcW w:w="2644" w:type="pct"/>
            <w:hideMark/>
          </w:tcPr>
          <w:p w14:paraId="6C4C8BEE" w14:textId="77777777" w:rsidR="002A1902"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Transplantation Society of Au</w:t>
            </w:r>
            <w:r w:rsidR="002A1902">
              <w:rPr>
                <w:rFonts w:ascii="Calibri" w:hAnsi="Calibri" w:cs="Calibri"/>
                <w:color w:val="000000"/>
                <w:szCs w:val="18"/>
                <w:lang w:eastAsia="en-AU"/>
              </w:rPr>
              <w:t>stralia and New Zealand (TSANZ)</w:t>
            </w:r>
          </w:p>
          <w:p w14:paraId="78AD7BA8" w14:textId="73FC199C"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Royal Adelaide Hospital </w:t>
            </w:r>
          </w:p>
        </w:tc>
      </w:tr>
      <w:tr w:rsidR="00EB728C" w:rsidRPr="007B5055" w14:paraId="4274444F" w14:textId="77777777" w:rsidTr="003B3300">
        <w:trPr>
          <w:trHeight w:val="659"/>
        </w:trPr>
        <w:tc>
          <w:tcPr>
            <w:tcW w:w="1178" w:type="pct"/>
            <w:hideMark/>
          </w:tcPr>
          <w:p w14:paraId="37BB88C1" w14:textId="4FA12458"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Coco</w:t>
            </w:r>
          </w:p>
        </w:tc>
        <w:tc>
          <w:tcPr>
            <w:tcW w:w="1178" w:type="pct"/>
            <w:hideMark/>
          </w:tcPr>
          <w:p w14:paraId="307A27E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Tina</w:t>
            </w:r>
          </w:p>
        </w:tc>
        <w:tc>
          <w:tcPr>
            <w:tcW w:w="2644" w:type="pct"/>
            <w:hideMark/>
          </w:tcPr>
          <w:p w14:paraId="5958E5C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DonateLife Queensland </w:t>
            </w:r>
          </w:p>
        </w:tc>
      </w:tr>
      <w:tr w:rsidR="00EB728C" w:rsidRPr="007B5055" w14:paraId="0B4B0408" w14:textId="77777777" w:rsidTr="003B3300">
        <w:trPr>
          <w:trHeight w:val="659"/>
        </w:trPr>
        <w:tc>
          <w:tcPr>
            <w:tcW w:w="1178" w:type="pct"/>
            <w:hideMark/>
          </w:tcPr>
          <w:p w14:paraId="016D60F2"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Connellan</w:t>
            </w:r>
          </w:p>
        </w:tc>
        <w:tc>
          <w:tcPr>
            <w:tcW w:w="1178" w:type="pct"/>
            <w:hideMark/>
          </w:tcPr>
          <w:p w14:paraId="5C2CDA0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Mark</w:t>
            </w:r>
          </w:p>
        </w:tc>
        <w:tc>
          <w:tcPr>
            <w:tcW w:w="2644" w:type="pct"/>
            <w:hideMark/>
          </w:tcPr>
          <w:p w14:paraId="3FB4847A"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St Vincent’s Hospital Sydney</w:t>
            </w:r>
          </w:p>
        </w:tc>
      </w:tr>
      <w:tr w:rsidR="00EB728C" w:rsidRPr="007B5055" w14:paraId="7C204DDF" w14:textId="77777777" w:rsidTr="003B3300">
        <w:trPr>
          <w:trHeight w:val="659"/>
        </w:trPr>
        <w:tc>
          <w:tcPr>
            <w:tcW w:w="1178" w:type="pct"/>
            <w:hideMark/>
          </w:tcPr>
          <w:p w14:paraId="57E653DD"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Crawford</w:t>
            </w:r>
          </w:p>
        </w:tc>
        <w:tc>
          <w:tcPr>
            <w:tcW w:w="1178" w:type="pct"/>
            <w:hideMark/>
          </w:tcPr>
          <w:p w14:paraId="3A2C1E8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Michael</w:t>
            </w:r>
          </w:p>
        </w:tc>
        <w:tc>
          <w:tcPr>
            <w:tcW w:w="2644" w:type="pct"/>
            <w:hideMark/>
          </w:tcPr>
          <w:p w14:paraId="499BE15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Royal Prince Alfred Hospital </w:t>
            </w:r>
          </w:p>
        </w:tc>
      </w:tr>
      <w:tr w:rsidR="00EB728C" w:rsidRPr="007B5055" w14:paraId="0668F102" w14:textId="77777777" w:rsidTr="003B3300">
        <w:trPr>
          <w:trHeight w:val="659"/>
        </w:trPr>
        <w:tc>
          <w:tcPr>
            <w:tcW w:w="1178" w:type="pct"/>
            <w:hideMark/>
          </w:tcPr>
          <w:p w14:paraId="7E58559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Crouch</w:t>
            </w:r>
          </w:p>
        </w:tc>
        <w:tc>
          <w:tcPr>
            <w:tcW w:w="1178" w:type="pct"/>
            <w:hideMark/>
          </w:tcPr>
          <w:p w14:paraId="1DD8DCE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Julie</w:t>
            </w:r>
          </w:p>
        </w:tc>
        <w:tc>
          <w:tcPr>
            <w:tcW w:w="2644" w:type="pct"/>
            <w:hideMark/>
          </w:tcPr>
          <w:p w14:paraId="239E2E7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Donatelife WA</w:t>
            </w:r>
          </w:p>
        </w:tc>
      </w:tr>
      <w:tr w:rsidR="00EB728C" w:rsidRPr="007B5055" w14:paraId="041300D3" w14:textId="77777777" w:rsidTr="003B3300">
        <w:trPr>
          <w:trHeight w:val="659"/>
        </w:trPr>
        <w:tc>
          <w:tcPr>
            <w:tcW w:w="1178" w:type="pct"/>
            <w:hideMark/>
          </w:tcPr>
          <w:p w14:paraId="02F29D8A"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Daniels</w:t>
            </w:r>
          </w:p>
        </w:tc>
        <w:tc>
          <w:tcPr>
            <w:tcW w:w="1178" w:type="pct"/>
            <w:hideMark/>
          </w:tcPr>
          <w:p w14:paraId="3092795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Sandra</w:t>
            </w:r>
          </w:p>
        </w:tc>
        <w:tc>
          <w:tcPr>
            <w:tcW w:w="2644" w:type="pct"/>
            <w:hideMark/>
          </w:tcPr>
          <w:p w14:paraId="7E46FAD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Queensland Health </w:t>
            </w:r>
          </w:p>
        </w:tc>
      </w:tr>
      <w:tr w:rsidR="00EB728C" w:rsidRPr="007B5055" w14:paraId="40F0A665" w14:textId="77777777" w:rsidTr="003B3300">
        <w:trPr>
          <w:trHeight w:val="659"/>
        </w:trPr>
        <w:tc>
          <w:tcPr>
            <w:tcW w:w="1178" w:type="pct"/>
            <w:hideMark/>
          </w:tcPr>
          <w:p w14:paraId="681360F6"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D'Costa</w:t>
            </w:r>
          </w:p>
        </w:tc>
        <w:tc>
          <w:tcPr>
            <w:tcW w:w="1178" w:type="pct"/>
            <w:hideMark/>
          </w:tcPr>
          <w:p w14:paraId="4A7BB40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Rohit</w:t>
            </w:r>
          </w:p>
        </w:tc>
        <w:tc>
          <w:tcPr>
            <w:tcW w:w="2644" w:type="pct"/>
            <w:hideMark/>
          </w:tcPr>
          <w:p w14:paraId="038A6F39" w14:textId="77777777" w:rsidR="002D695E" w:rsidRDefault="00EB728C" w:rsidP="002D695E">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DonateLife </w:t>
            </w:r>
            <w:r w:rsidR="00362276">
              <w:rPr>
                <w:rFonts w:ascii="Calibri" w:hAnsi="Calibri" w:cs="Calibri"/>
                <w:color w:val="000000"/>
                <w:szCs w:val="18"/>
                <w:lang w:eastAsia="en-AU"/>
              </w:rPr>
              <w:t>VIC</w:t>
            </w:r>
          </w:p>
          <w:p w14:paraId="4A1A75CC" w14:textId="77777777" w:rsidR="002D695E" w:rsidRDefault="00EB728C" w:rsidP="002D695E">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The Royal Melbourne Hospita</w:t>
            </w:r>
            <w:r w:rsidR="002D695E">
              <w:rPr>
                <w:rFonts w:ascii="Calibri" w:hAnsi="Calibri" w:cs="Calibri"/>
                <w:color w:val="000000"/>
                <w:szCs w:val="18"/>
                <w:lang w:eastAsia="en-AU"/>
              </w:rPr>
              <w:t>l &amp; NorthWestern Mental Health</w:t>
            </w:r>
          </w:p>
          <w:p w14:paraId="06B74C24" w14:textId="64D4930E" w:rsidR="00EB728C" w:rsidRPr="007B5055" w:rsidRDefault="00EB728C" w:rsidP="002D695E">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Victorian and Tasmanian Renal Transplant Advisory Committee (VTRTAC)</w:t>
            </w:r>
          </w:p>
        </w:tc>
      </w:tr>
      <w:tr w:rsidR="00EB728C" w:rsidRPr="007B5055" w14:paraId="417DD7E3" w14:textId="77777777" w:rsidTr="003B3300">
        <w:trPr>
          <w:trHeight w:val="659"/>
        </w:trPr>
        <w:tc>
          <w:tcPr>
            <w:tcW w:w="1178" w:type="pct"/>
            <w:hideMark/>
          </w:tcPr>
          <w:p w14:paraId="6B2C35B3" w14:textId="7425FAA8"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De Santis</w:t>
            </w:r>
          </w:p>
        </w:tc>
        <w:tc>
          <w:tcPr>
            <w:tcW w:w="1178" w:type="pct"/>
            <w:hideMark/>
          </w:tcPr>
          <w:p w14:paraId="1A14F90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Dianne</w:t>
            </w:r>
          </w:p>
        </w:tc>
        <w:tc>
          <w:tcPr>
            <w:tcW w:w="2644" w:type="pct"/>
            <w:hideMark/>
          </w:tcPr>
          <w:p w14:paraId="31A27C0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PathWest</w:t>
            </w:r>
          </w:p>
        </w:tc>
      </w:tr>
      <w:tr w:rsidR="00EB728C" w:rsidRPr="007B5055" w14:paraId="588C79F0" w14:textId="77777777" w:rsidTr="003B3300">
        <w:trPr>
          <w:trHeight w:val="659"/>
        </w:trPr>
        <w:tc>
          <w:tcPr>
            <w:tcW w:w="1178" w:type="pct"/>
            <w:hideMark/>
          </w:tcPr>
          <w:p w14:paraId="13CFFF27"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Dennis</w:t>
            </w:r>
          </w:p>
        </w:tc>
        <w:tc>
          <w:tcPr>
            <w:tcW w:w="1178" w:type="pct"/>
            <w:hideMark/>
          </w:tcPr>
          <w:p w14:paraId="2D7C2CE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Kathy</w:t>
            </w:r>
          </w:p>
        </w:tc>
        <w:tc>
          <w:tcPr>
            <w:tcW w:w="2644" w:type="pct"/>
            <w:hideMark/>
          </w:tcPr>
          <w:p w14:paraId="0FD4249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ACT Health</w:t>
            </w:r>
          </w:p>
        </w:tc>
      </w:tr>
      <w:tr w:rsidR="00EB728C" w:rsidRPr="007B5055" w14:paraId="2BB562CF" w14:textId="77777777" w:rsidTr="003B3300">
        <w:trPr>
          <w:trHeight w:val="659"/>
        </w:trPr>
        <w:tc>
          <w:tcPr>
            <w:tcW w:w="1178" w:type="pct"/>
            <w:hideMark/>
          </w:tcPr>
          <w:p w14:paraId="202ED82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Derrington</w:t>
            </w:r>
          </w:p>
        </w:tc>
        <w:tc>
          <w:tcPr>
            <w:tcW w:w="1178" w:type="pct"/>
            <w:hideMark/>
          </w:tcPr>
          <w:p w14:paraId="40276CE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Petra</w:t>
            </w:r>
          </w:p>
        </w:tc>
        <w:tc>
          <w:tcPr>
            <w:tcW w:w="2644" w:type="pct"/>
            <w:hideMark/>
          </w:tcPr>
          <w:p w14:paraId="438A4CE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Pathology Queensland</w:t>
            </w:r>
          </w:p>
        </w:tc>
      </w:tr>
      <w:tr w:rsidR="00EB728C" w:rsidRPr="007B5055" w14:paraId="04340C60" w14:textId="77777777" w:rsidTr="003B3300">
        <w:trPr>
          <w:trHeight w:val="659"/>
        </w:trPr>
        <w:tc>
          <w:tcPr>
            <w:tcW w:w="1178" w:type="pct"/>
            <w:hideMark/>
          </w:tcPr>
          <w:p w14:paraId="689C62B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Dhittal</w:t>
            </w:r>
          </w:p>
        </w:tc>
        <w:tc>
          <w:tcPr>
            <w:tcW w:w="1178" w:type="pct"/>
            <w:hideMark/>
          </w:tcPr>
          <w:p w14:paraId="5283ACD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Kumud</w:t>
            </w:r>
          </w:p>
        </w:tc>
        <w:tc>
          <w:tcPr>
            <w:tcW w:w="2644" w:type="pct"/>
            <w:hideMark/>
          </w:tcPr>
          <w:p w14:paraId="208AB44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St Vincent’s Hospital Sydney</w:t>
            </w:r>
          </w:p>
        </w:tc>
      </w:tr>
      <w:tr w:rsidR="00EB728C" w:rsidRPr="007B5055" w14:paraId="76E0E623" w14:textId="77777777" w:rsidTr="003B3300">
        <w:trPr>
          <w:trHeight w:val="659"/>
        </w:trPr>
        <w:tc>
          <w:tcPr>
            <w:tcW w:w="1178" w:type="pct"/>
            <w:hideMark/>
          </w:tcPr>
          <w:p w14:paraId="5BCB71E6"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Diviney</w:t>
            </w:r>
          </w:p>
        </w:tc>
        <w:tc>
          <w:tcPr>
            <w:tcW w:w="1178" w:type="pct"/>
            <w:hideMark/>
          </w:tcPr>
          <w:p w14:paraId="26DD792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Mary</w:t>
            </w:r>
          </w:p>
        </w:tc>
        <w:tc>
          <w:tcPr>
            <w:tcW w:w="2644" w:type="pct"/>
            <w:hideMark/>
          </w:tcPr>
          <w:p w14:paraId="642DB0BB" w14:textId="77777777" w:rsidR="002D695E"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w:t>
            </w:r>
            <w:r w:rsidR="002D695E">
              <w:rPr>
                <w:rFonts w:ascii="Calibri" w:hAnsi="Calibri" w:cs="Calibri"/>
                <w:color w:val="000000"/>
                <w:szCs w:val="18"/>
                <w:lang w:eastAsia="en-AU"/>
              </w:rPr>
              <w:t>ralian Red Cross Blood Service</w:t>
            </w:r>
          </w:p>
          <w:p w14:paraId="315153F1" w14:textId="77777777" w:rsidR="002D695E"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Victorian Transplantation and </w:t>
            </w:r>
            <w:r w:rsidR="002D695E">
              <w:rPr>
                <w:rFonts w:ascii="Calibri" w:hAnsi="Calibri" w:cs="Calibri"/>
                <w:color w:val="000000"/>
                <w:szCs w:val="18"/>
                <w:lang w:eastAsia="en-AU"/>
              </w:rPr>
              <w:t>Immunogenetics Services (VTIS)</w:t>
            </w:r>
          </w:p>
          <w:p w14:paraId="197D4C32" w14:textId="40C3C45F"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Victorian and Tasmanian Renal Transplant Advisory Committee (VTRTAC)</w:t>
            </w:r>
          </w:p>
        </w:tc>
      </w:tr>
      <w:tr w:rsidR="00EB728C" w:rsidRPr="007B5055" w14:paraId="6CD2B123" w14:textId="77777777" w:rsidTr="003B3300">
        <w:trPr>
          <w:trHeight w:val="659"/>
        </w:trPr>
        <w:tc>
          <w:tcPr>
            <w:tcW w:w="1178" w:type="pct"/>
            <w:hideMark/>
          </w:tcPr>
          <w:p w14:paraId="2CE9D3F6" w14:textId="180E1FD1"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Doherty</w:t>
            </w:r>
          </w:p>
        </w:tc>
        <w:tc>
          <w:tcPr>
            <w:tcW w:w="1178" w:type="pct"/>
            <w:hideMark/>
          </w:tcPr>
          <w:p w14:paraId="217558F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Richard</w:t>
            </w:r>
          </w:p>
        </w:tc>
        <w:tc>
          <w:tcPr>
            <w:tcW w:w="2644" w:type="pct"/>
            <w:hideMark/>
          </w:tcPr>
          <w:p w14:paraId="2DE2B1F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The Royal Australasian College of Physicians</w:t>
            </w:r>
          </w:p>
        </w:tc>
      </w:tr>
      <w:tr w:rsidR="00EB728C" w:rsidRPr="007B5055" w14:paraId="2F3D9464" w14:textId="77777777" w:rsidTr="003B3300">
        <w:trPr>
          <w:trHeight w:val="659"/>
        </w:trPr>
        <w:tc>
          <w:tcPr>
            <w:tcW w:w="1178" w:type="pct"/>
            <w:hideMark/>
          </w:tcPr>
          <w:p w14:paraId="69E28C70"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Dole</w:t>
            </w:r>
          </w:p>
        </w:tc>
        <w:tc>
          <w:tcPr>
            <w:tcW w:w="1178" w:type="pct"/>
            <w:hideMark/>
          </w:tcPr>
          <w:p w14:paraId="3332A74A"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Kerry</w:t>
            </w:r>
          </w:p>
        </w:tc>
        <w:tc>
          <w:tcPr>
            <w:tcW w:w="2644" w:type="pct"/>
            <w:hideMark/>
          </w:tcPr>
          <w:p w14:paraId="39488C5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NT Department of Health, Royal Darwin Hospital </w:t>
            </w:r>
          </w:p>
        </w:tc>
      </w:tr>
      <w:tr w:rsidR="00EB728C" w:rsidRPr="007B5055" w14:paraId="0ECA6775" w14:textId="77777777" w:rsidTr="003B3300">
        <w:trPr>
          <w:trHeight w:val="659"/>
        </w:trPr>
        <w:tc>
          <w:tcPr>
            <w:tcW w:w="1178" w:type="pct"/>
            <w:hideMark/>
          </w:tcPr>
          <w:p w14:paraId="68729A8A"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D'Onise</w:t>
            </w:r>
          </w:p>
        </w:tc>
        <w:tc>
          <w:tcPr>
            <w:tcW w:w="1178" w:type="pct"/>
            <w:hideMark/>
          </w:tcPr>
          <w:p w14:paraId="0F9F94A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Katina</w:t>
            </w:r>
          </w:p>
        </w:tc>
        <w:tc>
          <w:tcPr>
            <w:tcW w:w="2644" w:type="pct"/>
            <w:hideMark/>
          </w:tcPr>
          <w:p w14:paraId="7816691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SA Health</w:t>
            </w:r>
          </w:p>
        </w:tc>
      </w:tr>
      <w:tr w:rsidR="00EB728C" w:rsidRPr="007B5055" w14:paraId="3C04C8C1" w14:textId="77777777" w:rsidTr="003B3300">
        <w:trPr>
          <w:trHeight w:val="659"/>
        </w:trPr>
        <w:tc>
          <w:tcPr>
            <w:tcW w:w="1178" w:type="pct"/>
            <w:hideMark/>
          </w:tcPr>
          <w:p w14:paraId="05EFADBA"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D'Orsogna</w:t>
            </w:r>
          </w:p>
        </w:tc>
        <w:tc>
          <w:tcPr>
            <w:tcW w:w="1178" w:type="pct"/>
            <w:hideMark/>
          </w:tcPr>
          <w:p w14:paraId="56E8713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Lloyd</w:t>
            </w:r>
          </w:p>
        </w:tc>
        <w:tc>
          <w:tcPr>
            <w:tcW w:w="2644" w:type="pct"/>
            <w:hideMark/>
          </w:tcPr>
          <w:p w14:paraId="2E4C311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Pathwest Laboratory Medicine WA</w:t>
            </w:r>
          </w:p>
        </w:tc>
      </w:tr>
      <w:tr w:rsidR="00EB728C" w:rsidRPr="007B5055" w14:paraId="5F232013" w14:textId="77777777" w:rsidTr="003B3300">
        <w:trPr>
          <w:trHeight w:val="659"/>
        </w:trPr>
        <w:tc>
          <w:tcPr>
            <w:tcW w:w="1178" w:type="pct"/>
            <w:hideMark/>
          </w:tcPr>
          <w:p w14:paraId="1E9655D4"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Downes</w:t>
            </w:r>
          </w:p>
        </w:tc>
        <w:tc>
          <w:tcPr>
            <w:tcW w:w="1178" w:type="pct"/>
            <w:hideMark/>
          </w:tcPr>
          <w:p w14:paraId="086764F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Kylie</w:t>
            </w:r>
          </w:p>
        </w:tc>
        <w:tc>
          <w:tcPr>
            <w:tcW w:w="2644" w:type="pct"/>
            <w:hideMark/>
          </w:tcPr>
          <w:p w14:paraId="0198D4AA"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Australian Organ and Tissue Donation and Transplantation Authority (OTA)</w:t>
            </w:r>
          </w:p>
        </w:tc>
      </w:tr>
      <w:tr w:rsidR="00EB728C" w:rsidRPr="007B5055" w14:paraId="54934674" w14:textId="77777777" w:rsidTr="003B3300">
        <w:trPr>
          <w:trHeight w:val="659"/>
        </w:trPr>
        <w:tc>
          <w:tcPr>
            <w:tcW w:w="1178" w:type="pct"/>
            <w:hideMark/>
          </w:tcPr>
          <w:p w14:paraId="61925A1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Downie</w:t>
            </w:r>
          </w:p>
        </w:tc>
        <w:tc>
          <w:tcPr>
            <w:tcW w:w="1178" w:type="pct"/>
            <w:hideMark/>
          </w:tcPr>
          <w:p w14:paraId="4696D37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James</w:t>
            </w:r>
          </w:p>
        </w:tc>
        <w:tc>
          <w:tcPr>
            <w:tcW w:w="2644" w:type="pct"/>
            <w:hideMark/>
          </w:tcPr>
          <w:p w14:paraId="233C1F8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Independent Hospital Pricing Authority </w:t>
            </w:r>
          </w:p>
        </w:tc>
      </w:tr>
      <w:tr w:rsidR="00EB728C" w:rsidRPr="007B5055" w14:paraId="1AE0A317" w14:textId="77777777" w:rsidTr="003B3300">
        <w:trPr>
          <w:trHeight w:val="659"/>
        </w:trPr>
        <w:tc>
          <w:tcPr>
            <w:tcW w:w="1178" w:type="pct"/>
            <w:hideMark/>
          </w:tcPr>
          <w:p w14:paraId="3102AF00"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Evans</w:t>
            </w:r>
          </w:p>
        </w:tc>
        <w:tc>
          <w:tcPr>
            <w:tcW w:w="1178" w:type="pct"/>
            <w:hideMark/>
          </w:tcPr>
          <w:p w14:paraId="4F006B3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David</w:t>
            </w:r>
          </w:p>
        </w:tc>
        <w:tc>
          <w:tcPr>
            <w:tcW w:w="2644" w:type="pct"/>
            <w:hideMark/>
          </w:tcPr>
          <w:p w14:paraId="5E1D089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Royal Adelaide Hospital </w:t>
            </w:r>
          </w:p>
        </w:tc>
      </w:tr>
      <w:tr w:rsidR="00EB728C" w:rsidRPr="007B5055" w14:paraId="0736D5D9" w14:textId="77777777" w:rsidTr="003B3300">
        <w:trPr>
          <w:trHeight w:val="659"/>
        </w:trPr>
        <w:tc>
          <w:tcPr>
            <w:tcW w:w="1178" w:type="pct"/>
            <w:hideMark/>
          </w:tcPr>
          <w:p w14:paraId="36DD6F57"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Evenden</w:t>
            </w:r>
          </w:p>
        </w:tc>
        <w:tc>
          <w:tcPr>
            <w:tcW w:w="1178" w:type="pct"/>
            <w:hideMark/>
          </w:tcPr>
          <w:p w14:paraId="6805291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David</w:t>
            </w:r>
          </w:p>
        </w:tc>
        <w:tc>
          <w:tcPr>
            <w:tcW w:w="2644" w:type="pct"/>
            <w:hideMark/>
          </w:tcPr>
          <w:p w14:paraId="2906DC1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Department of Human Services </w:t>
            </w:r>
          </w:p>
        </w:tc>
      </w:tr>
      <w:tr w:rsidR="00EB728C" w:rsidRPr="007B5055" w14:paraId="1D5E5DE3" w14:textId="77777777" w:rsidTr="003B3300">
        <w:trPr>
          <w:trHeight w:val="659"/>
        </w:trPr>
        <w:tc>
          <w:tcPr>
            <w:tcW w:w="1178" w:type="pct"/>
            <w:hideMark/>
          </w:tcPr>
          <w:p w14:paraId="5DB697BC"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Fagan</w:t>
            </w:r>
          </w:p>
        </w:tc>
        <w:tc>
          <w:tcPr>
            <w:tcW w:w="1178" w:type="pct"/>
            <w:hideMark/>
          </w:tcPr>
          <w:p w14:paraId="40E7E01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Jo</w:t>
            </w:r>
          </w:p>
        </w:tc>
        <w:tc>
          <w:tcPr>
            <w:tcW w:w="2644" w:type="pct"/>
            <w:hideMark/>
          </w:tcPr>
          <w:p w14:paraId="1A8C8F3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Western Australia Department of Health </w:t>
            </w:r>
          </w:p>
        </w:tc>
      </w:tr>
      <w:tr w:rsidR="00EB728C" w:rsidRPr="007B5055" w14:paraId="0970F281" w14:textId="77777777" w:rsidTr="003B3300">
        <w:trPr>
          <w:trHeight w:val="659"/>
        </w:trPr>
        <w:tc>
          <w:tcPr>
            <w:tcW w:w="1178" w:type="pct"/>
            <w:hideMark/>
          </w:tcPr>
          <w:p w14:paraId="48449672"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Fawcett</w:t>
            </w:r>
          </w:p>
        </w:tc>
        <w:tc>
          <w:tcPr>
            <w:tcW w:w="1178" w:type="pct"/>
            <w:hideMark/>
          </w:tcPr>
          <w:p w14:paraId="0A4C6A1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Jonathan </w:t>
            </w:r>
          </w:p>
        </w:tc>
        <w:tc>
          <w:tcPr>
            <w:tcW w:w="2644" w:type="pct"/>
            <w:hideMark/>
          </w:tcPr>
          <w:p w14:paraId="308F6DB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Greenslopes Private Hospital </w:t>
            </w:r>
          </w:p>
        </w:tc>
      </w:tr>
      <w:tr w:rsidR="00EB728C" w:rsidRPr="007B5055" w14:paraId="236BFD1C" w14:textId="77777777" w:rsidTr="003B3300">
        <w:trPr>
          <w:trHeight w:val="659"/>
        </w:trPr>
        <w:tc>
          <w:tcPr>
            <w:tcW w:w="1178" w:type="pct"/>
            <w:hideMark/>
          </w:tcPr>
          <w:p w14:paraId="4D13FD5A"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Fenny-Walch</w:t>
            </w:r>
          </w:p>
        </w:tc>
        <w:tc>
          <w:tcPr>
            <w:tcW w:w="1178" w:type="pct"/>
            <w:hideMark/>
          </w:tcPr>
          <w:p w14:paraId="12EB524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Belinda</w:t>
            </w:r>
          </w:p>
        </w:tc>
        <w:tc>
          <w:tcPr>
            <w:tcW w:w="2644" w:type="pct"/>
            <w:hideMark/>
          </w:tcPr>
          <w:p w14:paraId="68BFDC1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Tasmanian Population Health Services </w:t>
            </w:r>
          </w:p>
        </w:tc>
      </w:tr>
      <w:tr w:rsidR="00EB728C" w:rsidRPr="007B5055" w14:paraId="08DC3EB5" w14:textId="77777777" w:rsidTr="003B3300">
        <w:trPr>
          <w:trHeight w:val="659"/>
        </w:trPr>
        <w:tc>
          <w:tcPr>
            <w:tcW w:w="1178" w:type="pct"/>
            <w:hideMark/>
          </w:tcPr>
          <w:p w14:paraId="00D9D3F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Fink</w:t>
            </w:r>
          </w:p>
        </w:tc>
        <w:tc>
          <w:tcPr>
            <w:tcW w:w="1178" w:type="pct"/>
            <w:hideMark/>
          </w:tcPr>
          <w:p w14:paraId="3FA59EC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Michael</w:t>
            </w:r>
          </w:p>
        </w:tc>
        <w:tc>
          <w:tcPr>
            <w:tcW w:w="2644" w:type="pct"/>
            <w:hideMark/>
          </w:tcPr>
          <w:p w14:paraId="4FC9B97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The Austin Hospital, Warringal Private Hospital </w:t>
            </w:r>
          </w:p>
        </w:tc>
      </w:tr>
      <w:tr w:rsidR="00EB728C" w:rsidRPr="007B5055" w14:paraId="530D0805" w14:textId="77777777" w:rsidTr="003B3300">
        <w:trPr>
          <w:trHeight w:val="659"/>
        </w:trPr>
        <w:tc>
          <w:tcPr>
            <w:tcW w:w="1178" w:type="pct"/>
            <w:hideMark/>
          </w:tcPr>
          <w:p w14:paraId="045E55A3"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Fisher</w:t>
            </w:r>
          </w:p>
        </w:tc>
        <w:tc>
          <w:tcPr>
            <w:tcW w:w="1178" w:type="pct"/>
            <w:hideMark/>
          </w:tcPr>
          <w:p w14:paraId="3208045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Charles</w:t>
            </w:r>
          </w:p>
        </w:tc>
        <w:tc>
          <w:tcPr>
            <w:tcW w:w="2644" w:type="pct"/>
            <w:hideMark/>
          </w:tcPr>
          <w:p w14:paraId="789A507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North Shore Private Hospital </w:t>
            </w:r>
          </w:p>
        </w:tc>
      </w:tr>
      <w:tr w:rsidR="00EB728C" w:rsidRPr="007B5055" w14:paraId="50C647F0" w14:textId="77777777" w:rsidTr="003B3300">
        <w:trPr>
          <w:trHeight w:val="659"/>
        </w:trPr>
        <w:tc>
          <w:tcPr>
            <w:tcW w:w="1178" w:type="pct"/>
            <w:hideMark/>
          </w:tcPr>
          <w:p w14:paraId="35F98328"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Fisher</w:t>
            </w:r>
          </w:p>
        </w:tc>
        <w:tc>
          <w:tcPr>
            <w:tcW w:w="1178" w:type="pct"/>
            <w:hideMark/>
          </w:tcPr>
          <w:p w14:paraId="4029591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Danielle </w:t>
            </w:r>
          </w:p>
        </w:tc>
        <w:tc>
          <w:tcPr>
            <w:tcW w:w="2644" w:type="pct"/>
            <w:hideMark/>
          </w:tcPr>
          <w:p w14:paraId="0D4CA79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NSW Organ and Tissue Donation Service</w:t>
            </w:r>
          </w:p>
        </w:tc>
      </w:tr>
      <w:tr w:rsidR="00EB728C" w:rsidRPr="007B5055" w14:paraId="5FA42AA6" w14:textId="77777777" w:rsidTr="003B3300">
        <w:trPr>
          <w:trHeight w:val="659"/>
        </w:trPr>
        <w:tc>
          <w:tcPr>
            <w:tcW w:w="1178" w:type="pct"/>
            <w:hideMark/>
          </w:tcPr>
          <w:p w14:paraId="61C2943B"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Flarey</w:t>
            </w:r>
          </w:p>
        </w:tc>
        <w:tc>
          <w:tcPr>
            <w:tcW w:w="1178" w:type="pct"/>
            <w:hideMark/>
          </w:tcPr>
          <w:p w14:paraId="00BD97A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Malynda</w:t>
            </w:r>
          </w:p>
        </w:tc>
        <w:tc>
          <w:tcPr>
            <w:tcW w:w="2644" w:type="pct"/>
            <w:hideMark/>
          </w:tcPr>
          <w:p w14:paraId="047034B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NSW Ministry of Health </w:t>
            </w:r>
          </w:p>
        </w:tc>
      </w:tr>
      <w:tr w:rsidR="00EB728C" w:rsidRPr="007B5055" w14:paraId="05B2362F" w14:textId="77777777" w:rsidTr="003B3300">
        <w:trPr>
          <w:trHeight w:val="659"/>
        </w:trPr>
        <w:tc>
          <w:tcPr>
            <w:tcW w:w="1178" w:type="pct"/>
            <w:hideMark/>
          </w:tcPr>
          <w:p w14:paraId="38050E8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Francis</w:t>
            </w:r>
          </w:p>
        </w:tc>
        <w:tc>
          <w:tcPr>
            <w:tcW w:w="1178" w:type="pct"/>
            <w:hideMark/>
          </w:tcPr>
          <w:p w14:paraId="350B6B6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Ross</w:t>
            </w:r>
          </w:p>
        </w:tc>
        <w:tc>
          <w:tcPr>
            <w:tcW w:w="2644" w:type="pct"/>
            <w:hideMark/>
          </w:tcPr>
          <w:p w14:paraId="1223E26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Princess Alexandra Hospital </w:t>
            </w:r>
          </w:p>
        </w:tc>
      </w:tr>
      <w:tr w:rsidR="00EB728C" w:rsidRPr="007B5055" w14:paraId="40F61D4E" w14:textId="77777777" w:rsidTr="003B3300">
        <w:trPr>
          <w:trHeight w:val="659"/>
        </w:trPr>
        <w:tc>
          <w:tcPr>
            <w:tcW w:w="1178" w:type="pct"/>
            <w:hideMark/>
          </w:tcPr>
          <w:p w14:paraId="20D5609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Furey</w:t>
            </w:r>
          </w:p>
        </w:tc>
        <w:tc>
          <w:tcPr>
            <w:tcW w:w="1178" w:type="pct"/>
            <w:hideMark/>
          </w:tcPr>
          <w:p w14:paraId="34E797E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Michael</w:t>
            </w:r>
          </w:p>
        </w:tc>
        <w:tc>
          <w:tcPr>
            <w:tcW w:w="2644" w:type="pct"/>
            <w:hideMark/>
          </w:tcPr>
          <w:p w14:paraId="33BBA6A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Victorian Department of Health and Human Services </w:t>
            </w:r>
          </w:p>
        </w:tc>
      </w:tr>
      <w:tr w:rsidR="00EB728C" w:rsidRPr="007B5055" w14:paraId="13CEC1E6" w14:textId="77777777" w:rsidTr="003B3300">
        <w:trPr>
          <w:trHeight w:val="659"/>
        </w:trPr>
        <w:tc>
          <w:tcPr>
            <w:tcW w:w="1178" w:type="pct"/>
            <w:hideMark/>
          </w:tcPr>
          <w:p w14:paraId="3CCF06BD"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Garred</w:t>
            </w:r>
          </w:p>
        </w:tc>
        <w:tc>
          <w:tcPr>
            <w:tcW w:w="1178" w:type="pct"/>
            <w:hideMark/>
          </w:tcPr>
          <w:p w14:paraId="6D424C7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Anna</w:t>
            </w:r>
          </w:p>
        </w:tc>
        <w:tc>
          <w:tcPr>
            <w:tcW w:w="2644" w:type="pct"/>
            <w:hideMark/>
          </w:tcPr>
          <w:p w14:paraId="237D2A5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Queensland Health </w:t>
            </w:r>
          </w:p>
        </w:tc>
      </w:tr>
      <w:tr w:rsidR="00EB728C" w:rsidRPr="007B5055" w14:paraId="63D1391A" w14:textId="77777777" w:rsidTr="003B3300">
        <w:trPr>
          <w:trHeight w:val="659"/>
        </w:trPr>
        <w:tc>
          <w:tcPr>
            <w:tcW w:w="1178" w:type="pct"/>
            <w:hideMark/>
          </w:tcPr>
          <w:p w14:paraId="7DF14A0D"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Gillis</w:t>
            </w:r>
          </w:p>
        </w:tc>
        <w:tc>
          <w:tcPr>
            <w:tcW w:w="1178" w:type="pct"/>
            <w:hideMark/>
          </w:tcPr>
          <w:p w14:paraId="2CB2C91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David</w:t>
            </w:r>
          </w:p>
        </w:tc>
        <w:tc>
          <w:tcPr>
            <w:tcW w:w="2644" w:type="pct"/>
            <w:hideMark/>
          </w:tcPr>
          <w:p w14:paraId="61D92E4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Australian Society of Clinical Immunology and Allergy (ASCIA), Sunshine Coast University Hospital </w:t>
            </w:r>
          </w:p>
        </w:tc>
      </w:tr>
      <w:tr w:rsidR="00EB728C" w:rsidRPr="007B5055" w14:paraId="2308CDA3" w14:textId="77777777" w:rsidTr="003B3300">
        <w:trPr>
          <w:trHeight w:val="659"/>
        </w:trPr>
        <w:tc>
          <w:tcPr>
            <w:tcW w:w="1178" w:type="pct"/>
            <w:hideMark/>
          </w:tcPr>
          <w:p w14:paraId="6C88761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Glanville</w:t>
            </w:r>
          </w:p>
        </w:tc>
        <w:tc>
          <w:tcPr>
            <w:tcW w:w="1178" w:type="pct"/>
            <w:hideMark/>
          </w:tcPr>
          <w:p w14:paraId="4A26E31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Allan</w:t>
            </w:r>
          </w:p>
        </w:tc>
        <w:tc>
          <w:tcPr>
            <w:tcW w:w="2644" w:type="pct"/>
            <w:hideMark/>
          </w:tcPr>
          <w:p w14:paraId="50E2ACB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ShareLife, St Vincents Hospital Sydney</w:t>
            </w:r>
          </w:p>
        </w:tc>
      </w:tr>
      <w:tr w:rsidR="00EB728C" w:rsidRPr="007B5055" w14:paraId="4CC8FA70" w14:textId="77777777" w:rsidTr="003B3300">
        <w:trPr>
          <w:trHeight w:val="659"/>
        </w:trPr>
        <w:tc>
          <w:tcPr>
            <w:tcW w:w="1178" w:type="pct"/>
            <w:hideMark/>
          </w:tcPr>
          <w:p w14:paraId="23C5A1EF"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Goodman</w:t>
            </w:r>
          </w:p>
        </w:tc>
        <w:tc>
          <w:tcPr>
            <w:tcW w:w="1178" w:type="pct"/>
            <w:hideMark/>
          </w:tcPr>
          <w:p w14:paraId="6FE21EB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David</w:t>
            </w:r>
          </w:p>
        </w:tc>
        <w:tc>
          <w:tcPr>
            <w:tcW w:w="2644" w:type="pct"/>
            <w:hideMark/>
          </w:tcPr>
          <w:p w14:paraId="50C265D2" w14:textId="1CAE6822"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St Vincent's </w:t>
            </w:r>
            <w:r w:rsidR="005B73D6" w:rsidRPr="007B5055">
              <w:rPr>
                <w:rFonts w:ascii="Calibri" w:hAnsi="Calibri" w:cs="Calibri"/>
                <w:color w:val="000000"/>
                <w:szCs w:val="18"/>
                <w:lang w:eastAsia="en-AU"/>
              </w:rPr>
              <w:t>Private</w:t>
            </w:r>
            <w:r w:rsidRPr="007B5055">
              <w:rPr>
                <w:rFonts w:ascii="Calibri" w:hAnsi="Calibri" w:cs="Calibri"/>
                <w:color w:val="000000"/>
                <w:szCs w:val="18"/>
                <w:lang w:eastAsia="en-AU"/>
              </w:rPr>
              <w:t xml:space="preserve"> Hospital Melbourne, Victorian &amp; Tasmanian Renal Transplant Advisory Committee (VTRTAC) </w:t>
            </w:r>
          </w:p>
        </w:tc>
      </w:tr>
      <w:tr w:rsidR="00EB728C" w:rsidRPr="007B5055" w14:paraId="3C708CD6" w14:textId="77777777" w:rsidTr="003B3300">
        <w:trPr>
          <w:trHeight w:val="659"/>
        </w:trPr>
        <w:tc>
          <w:tcPr>
            <w:tcW w:w="1178" w:type="pct"/>
            <w:hideMark/>
          </w:tcPr>
          <w:p w14:paraId="553C69A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Goodwin</w:t>
            </w:r>
          </w:p>
        </w:tc>
        <w:tc>
          <w:tcPr>
            <w:tcW w:w="1178" w:type="pct"/>
            <w:hideMark/>
          </w:tcPr>
          <w:p w14:paraId="09AE637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Melissa</w:t>
            </w:r>
          </w:p>
        </w:tc>
        <w:tc>
          <w:tcPr>
            <w:tcW w:w="2644" w:type="pct"/>
            <w:hideMark/>
          </w:tcPr>
          <w:p w14:paraId="022ABBBA"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Australian Organ and Tissue Donation and Transplantation Authority (OTA)</w:t>
            </w:r>
          </w:p>
        </w:tc>
      </w:tr>
      <w:tr w:rsidR="00EB728C" w:rsidRPr="007B5055" w14:paraId="1CEB7011" w14:textId="77777777" w:rsidTr="003B3300">
        <w:trPr>
          <w:trHeight w:val="659"/>
        </w:trPr>
        <w:tc>
          <w:tcPr>
            <w:tcW w:w="1178" w:type="pct"/>
            <w:hideMark/>
          </w:tcPr>
          <w:p w14:paraId="44D7C56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Gopan</w:t>
            </w:r>
          </w:p>
        </w:tc>
        <w:tc>
          <w:tcPr>
            <w:tcW w:w="1178" w:type="pct"/>
            <w:hideMark/>
          </w:tcPr>
          <w:p w14:paraId="24BD2B8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Basu</w:t>
            </w:r>
          </w:p>
        </w:tc>
        <w:tc>
          <w:tcPr>
            <w:tcW w:w="2644" w:type="pct"/>
            <w:hideMark/>
          </w:tcPr>
          <w:p w14:paraId="083CBB5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The Alfred Hospital, Victorian &amp; Tasmanian Renal Transplant Advisory Committee (VTRTAC) </w:t>
            </w:r>
          </w:p>
        </w:tc>
      </w:tr>
      <w:tr w:rsidR="00EB728C" w:rsidRPr="007B5055" w14:paraId="56D66047" w14:textId="77777777" w:rsidTr="003B3300">
        <w:trPr>
          <w:trHeight w:val="659"/>
        </w:trPr>
        <w:tc>
          <w:tcPr>
            <w:tcW w:w="1178" w:type="pct"/>
            <w:hideMark/>
          </w:tcPr>
          <w:p w14:paraId="0F36FAE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Gould</w:t>
            </w:r>
          </w:p>
        </w:tc>
        <w:tc>
          <w:tcPr>
            <w:tcW w:w="1178" w:type="pct"/>
            <w:hideMark/>
          </w:tcPr>
          <w:p w14:paraId="4B43D7F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Andree</w:t>
            </w:r>
          </w:p>
        </w:tc>
        <w:tc>
          <w:tcPr>
            <w:tcW w:w="2644" w:type="pct"/>
            <w:hideMark/>
          </w:tcPr>
          <w:p w14:paraId="04C00D9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DonateLife WA, Royal Perth Hospital</w:t>
            </w:r>
          </w:p>
        </w:tc>
      </w:tr>
      <w:tr w:rsidR="00EB728C" w:rsidRPr="007B5055" w14:paraId="1B15B193" w14:textId="77777777" w:rsidTr="003B3300">
        <w:trPr>
          <w:trHeight w:val="659"/>
        </w:trPr>
        <w:tc>
          <w:tcPr>
            <w:tcW w:w="1178" w:type="pct"/>
            <w:hideMark/>
          </w:tcPr>
          <w:p w14:paraId="79385862"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Gow</w:t>
            </w:r>
          </w:p>
        </w:tc>
        <w:tc>
          <w:tcPr>
            <w:tcW w:w="1178" w:type="pct"/>
            <w:hideMark/>
          </w:tcPr>
          <w:p w14:paraId="01A3AA9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Paul</w:t>
            </w:r>
          </w:p>
        </w:tc>
        <w:tc>
          <w:tcPr>
            <w:tcW w:w="2644" w:type="pct"/>
            <w:hideMark/>
          </w:tcPr>
          <w:p w14:paraId="7ED3B6B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The Austin Hospital, Warringal Medical Centre</w:t>
            </w:r>
          </w:p>
        </w:tc>
      </w:tr>
      <w:tr w:rsidR="00EB728C" w:rsidRPr="007B5055" w14:paraId="6913D060" w14:textId="77777777" w:rsidTr="003B3300">
        <w:trPr>
          <w:trHeight w:val="659"/>
        </w:trPr>
        <w:tc>
          <w:tcPr>
            <w:tcW w:w="1178" w:type="pct"/>
            <w:hideMark/>
          </w:tcPr>
          <w:p w14:paraId="2A4A15AB"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Granger</w:t>
            </w:r>
          </w:p>
        </w:tc>
        <w:tc>
          <w:tcPr>
            <w:tcW w:w="1178" w:type="pct"/>
            <w:hideMark/>
          </w:tcPr>
          <w:p w14:paraId="772DFC9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Emily</w:t>
            </w:r>
          </w:p>
        </w:tc>
        <w:tc>
          <w:tcPr>
            <w:tcW w:w="2644" w:type="pct"/>
            <w:hideMark/>
          </w:tcPr>
          <w:p w14:paraId="3A40F56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St Vincent’s Hospital Sydney</w:t>
            </w:r>
          </w:p>
        </w:tc>
      </w:tr>
      <w:tr w:rsidR="00EB728C" w:rsidRPr="007B5055" w14:paraId="1DD66316" w14:textId="77777777" w:rsidTr="003B3300">
        <w:trPr>
          <w:trHeight w:val="659"/>
        </w:trPr>
        <w:tc>
          <w:tcPr>
            <w:tcW w:w="1178" w:type="pct"/>
            <w:hideMark/>
          </w:tcPr>
          <w:p w14:paraId="382DF028"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Greenfield</w:t>
            </w:r>
          </w:p>
        </w:tc>
        <w:tc>
          <w:tcPr>
            <w:tcW w:w="1178" w:type="pct"/>
            <w:hideMark/>
          </w:tcPr>
          <w:p w14:paraId="5562FCF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Joanne</w:t>
            </w:r>
          </w:p>
        </w:tc>
        <w:tc>
          <w:tcPr>
            <w:tcW w:w="2644" w:type="pct"/>
            <w:hideMark/>
          </w:tcPr>
          <w:p w14:paraId="519009D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Queensland Health </w:t>
            </w:r>
          </w:p>
        </w:tc>
      </w:tr>
      <w:tr w:rsidR="00EB728C" w:rsidRPr="007B5055" w14:paraId="7254F20B" w14:textId="77777777" w:rsidTr="003B3300">
        <w:trPr>
          <w:trHeight w:val="659"/>
        </w:trPr>
        <w:tc>
          <w:tcPr>
            <w:tcW w:w="1178" w:type="pct"/>
            <w:hideMark/>
          </w:tcPr>
          <w:p w14:paraId="44A3FEA3"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Griffin</w:t>
            </w:r>
          </w:p>
        </w:tc>
        <w:tc>
          <w:tcPr>
            <w:tcW w:w="1178" w:type="pct"/>
            <w:hideMark/>
          </w:tcPr>
          <w:p w14:paraId="626C7D2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Anthony</w:t>
            </w:r>
          </w:p>
        </w:tc>
        <w:tc>
          <w:tcPr>
            <w:tcW w:w="2644" w:type="pct"/>
            <w:hideMark/>
          </w:tcPr>
          <w:p w14:paraId="770ABF2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Princess Alexandra Hospital </w:t>
            </w:r>
          </w:p>
        </w:tc>
      </w:tr>
      <w:tr w:rsidR="00EB728C" w:rsidRPr="007B5055" w14:paraId="6FB1C7F5" w14:textId="77777777" w:rsidTr="003B3300">
        <w:trPr>
          <w:trHeight w:val="659"/>
        </w:trPr>
        <w:tc>
          <w:tcPr>
            <w:tcW w:w="1178" w:type="pct"/>
            <w:hideMark/>
          </w:tcPr>
          <w:p w14:paraId="3FD681F6"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Griffiths</w:t>
            </w:r>
          </w:p>
        </w:tc>
        <w:tc>
          <w:tcPr>
            <w:tcW w:w="1178" w:type="pct"/>
            <w:hideMark/>
          </w:tcPr>
          <w:p w14:paraId="23449ED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Emma</w:t>
            </w:r>
          </w:p>
        </w:tc>
        <w:tc>
          <w:tcPr>
            <w:tcW w:w="2644" w:type="pct"/>
            <w:hideMark/>
          </w:tcPr>
          <w:p w14:paraId="1A8EB49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Kimberly Aboriginal Medical Services</w:t>
            </w:r>
          </w:p>
        </w:tc>
      </w:tr>
      <w:tr w:rsidR="00EB728C" w:rsidRPr="007B5055" w14:paraId="3388FB23" w14:textId="77777777" w:rsidTr="003B3300">
        <w:trPr>
          <w:trHeight w:val="659"/>
        </w:trPr>
        <w:tc>
          <w:tcPr>
            <w:tcW w:w="1178" w:type="pct"/>
            <w:hideMark/>
          </w:tcPr>
          <w:p w14:paraId="1251056E"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Hardstaff</w:t>
            </w:r>
          </w:p>
        </w:tc>
        <w:tc>
          <w:tcPr>
            <w:tcW w:w="1178" w:type="pct"/>
            <w:hideMark/>
          </w:tcPr>
          <w:p w14:paraId="494A178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Ruth</w:t>
            </w:r>
          </w:p>
        </w:tc>
        <w:tc>
          <w:tcPr>
            <w:tcW w:w="2644" w:type="pct"/>
            <w:hideMark/>
          </w:tcPr>
          <w:p w14:paraId="3A74F28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John Hunter Hospital </w:t>
            </w:r>
          </w:p>
        </w:tc>
      </w:tr>
      <w:tr w:rsidR="00EB728C" w:rsidRPr="007B5055" w14:paraId="038F42E9" w14:textId="77777777" w:rsidTr="003B3300">
        <w:trPr>
          <w:trHeight w:val="659"/>
        </w:trPr>
        <w:tc>
          <w:tcPr>
            <w:tcW w:w="1178" w:type="pct"/>
            <w:hideMark/>
          </w:tcPr>
          <w:p w14:paraId="29173C3E"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Harkness</w:t>
            </w:r>
          </w:p>
        </w:tc>
        <w:tc>
          <w:tcPr>
            <w:tcW w:w="1178" w:type="pct"/>
            <w:hideMark/>
          </w:tcPr>
          <w:p w14:paraId="7B6ED7C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Michelle</w:t>
            </w:r>
          </w:p>
        </w:tc>
        <w:tc>
          <w:tcPr>
            <w:tcW w:w="2644" w:type="pct"/>
            <w:hideMark/>
          </w:tcPr>
          <w:p w14:paraId="66591BE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St Vincent’s Health Network </w:t>
            </w:r>
          </w:p>
        </w:tc>
      </w:tr>
      <w:tr w:rsidR="00EB728C" w:rsidRPr="007B5055" w14:paraId="33F08D68" w14:textId="77777777" w:rsidTr="003B3300">
        <w:trPr>
          <w:trHeight w:val="659"/>
        </w:trPr>
        <w:tc>
          <w:tcPr>
            <w:tcW w:w="1178" w:type="pct"/>
            <w:hideMark/>
          </w:tcPr>
          <w:p w14:paraId="2A0692A7"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Harper</w:t>
            </w:r>
          </w:p>
        </w:tc>
        <w:tc>
          <w:tcPr>
            <w:tcW w:w="1178" w:type="pct"/>
            <w:hideMark/>
          </w:tcPr>
          <w:p w14:paraId="5934D86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Emily</w:t>
            </w:r>
          </w:p>
        </w:tc>
        <w:tc>
          <w:tcPr>
            <w:tcW w:w="2644" w:type="pct"/>
            <w:hideMark/>
          </w:tcPr>
          <w:p w14:paraId="5B5DAE3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ACT Health</w:t>
            </w:r>
          </w:p>
        </w:tc>
      </w:tr>
      <w:tr w:rsidR="00EB728C" w:rsidRPr="007B5055" w14:paraId="7473E98F" w14:textId="77777777" w:rsidTr="003B3300">
        <w:trPr>
          <w:trHeight w:val="659"/>
        </w:trPr>
        <w:tc>
          <w:tcPr>
            <w:tcW w:w="1178" w:type="pct"/>
            <w:hideMark/>
          </w:tcPr>
          <w:p w14:paraId="2E6D8F12"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Harrison</w:t>
            </w:r>
          </w:p>
        </w:tc>
        <w:tc>
          <w:tcPr>
            <w:tcW w:w="1178" w:type="pct"/>
            <w:hideMark/>
          </w:tcPr>
          <w:p w14:paraId="3C16798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Judy</w:t>
            </w:r>
          </w:p>
        </w:tc>
        <w:tc>
          <w:tcPr>
            <w:tcW w:w="2644" w:type="pct"/>
            <w:hideMark/>
          </w:tcPr>
          <w:p w14:paraId="454147F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Australian Organ and Tissue Donation and Transplantation Authority (OTA)</w:t>
            </w:r>
          </w:p>
        </w:tc>
      </w:tr>
      <w:tr w:rsidR="00EB728C" w:rsidRPr="007B5055" w14:paraId="2723909B" w14:textId="77777777" w:rsidTr="003B3300">
        <w:trPr>
          <w:trHeight w:val="659"/>
        </w:trPr>
        <w:tc>
          <w:tcPr>
            <w:tcW w:w="1178" w:type="pct"/>
            <w:hideMark/>
          </w:tcPr>
          <w:p w14:paraId="1DD410AE"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Hartley-Jones</w:t>
            </w:r>
          </w:p>
        </w:tc>
        <w:tc>
          <w:tcPr>
            <w:tcW w:w="1178" w:type="pct"/>
            <w:hideMark/>
          </w:tcPr>
          <w:p w14:paraId="6B90B54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Julie</w:t>
            </w:r>
          </w:p>
        </w:tc>
        <w:tc>
          <w:tcPr>
            <w:tcW w:w="2644" w:type="pct"/>
            <w:hideMark/>
          </w:tcPr>
          <w:p w14:paraId="29867AD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Department for Health and Ageing, South Australia </w:t>
            </w:r>
          </w:p>
        </w:tc>
      </w:tr>
      <w:tr w:rsidR="00EB728C" w:rsidRPr="007B5055" w14:paraId="6724AD30" w14:textId="77777777" w:rsidTr="003B3300">
        <w:trPr>
          <w:trHeight w:val="659"/>
        </w:trPr>
        <w:tc>
          <w:tcPr>
            <w:tcW w:w="1178" w:type="pct"/>
            <w:hideMark/>
          </w:tcPr>
          <w:p w14:paraId="1A6F3F83"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Hawes</w:t>
            </w:r>
          </w:p>
        </w:tc>
        <w:tc>
          <w:tcPr>
            <w:tcW w:w="1178" w:type="pct"/>
            <w:hideMark/>
          </w:tcPr>
          <w:p w14:paraId="38E436B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Ellen </w:t>
            </w:r>
          </w:p>
        </w:tc>
        <w:tc>
          <w:tcPr>
            <w:tcW w:w="2644" w:type="pct"/>
            <w:hideMark/>
          </w:tcPr>
          <w:p w14:paraId="2613F82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Queensland Health </w:t>
            </w:r>
          </w:p>
        </w:tc>
      </w:tr>
      <w:tr w:rsidR="00EB728C" w:rsidRPr="007B5055" w14:paraId="2D09CF21" w14:textId="77777777" w:rsidTr="003B3300">
        <w:trPr>
          <w:trHeight w:val="659"/>
        </w:trPr>
        <w:tc>
          <w:tcPr>
            <w:tcW w:w="1178" w:type="pct"/>
            <w:hideMark/>
          </w:tcPr>
          <w:p w14:paraId="0514F84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Heaney</w:t>
            </w:r>
          </w:p>
        </w:tc>
        <w:tc>
          <w:tcPr>
            <w:tcW w:w="1178" w:type="pct"/>
            <w:hideMark/>
          </w:tcPr>
          <w:p w14:paraId="1085C6F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Mairead</w:t>
            </w:r>
          </w:p>
        </w:tc>
        <w:tc>
          <w:tcPr>
            <w:tcW w:w="2644" w:type="pct"/>
            <w:hideMark/>
          </w:tcPr>
          <w:p w14:paraId="772DA46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Princess Margaret Hospital </w:t>
            </w:r>
          </w:p>
        </w:tc>
      </w:tr>
      <w:tr w:rsidR="00EB728C" w:rsidRPr="007B5055" w14:paraId="06443AA6" w14:textId="77777777" w:rsidTr="003B3300">
        <w:trPr>
          <w:trHeight w:val="659"/>
        </w:trPr>
        <w:tc>
          <w:tcPr>
            <w:tcW w:w="1178" w:type="pct"/>
            <w:hideMark/>
          </w:tcPr>
          <w:p w14:paraId="6C5BDD42"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Hebson</w:t>
            </w:r>
          </w:p>
        </w:tc>
        <w:tc>
          <w:tcPr>
            <w:tcW w:w="1178" w:type="pct"/>
            <w:hideMark/>
          </w:tcPr>
          <w:p w14:paraId="1B4416A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Naomi</w:t>
            </w:r>
          </w:p>
        </w:tc>
        <w:tc>
          <w:tcPr>
            <w:tcW w:w="2644" w:type="pct"/>
            <w:hideMark/>
          </w:tcPr>
          <w:p w14:paraId="1E24D67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Queensland Health </w:t>
            </w:r>
          </w:p>
        </w:tc>
      </w:tr>
      <w:tr w:rsidR="00EB728C" w:rsidRPr="007B5055" w14:paraId="347D8010" w14:textId="77777777" w:rsidTr="003B3300">
        <w:trPr>
          <w:trHeight w:val="659"/>
        </w:trPr>
        <w:tc>
          <w:tcPr>
            <w:tcW w:w="1178" w:type="pct"/>
            <w:hideMark/>
          </w:tcPr>
          <w:p w14:paraId="028A9440"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Hempstalk</w:t>
            </w:r>
          </w:p>
        </w:tc>
        <w:tc>
          <w:tcPr>
            <w:tcW w:w="1178" w:type="pct"/>
            <w:hideMark/>
          </w:tcPr>
          <w:p w14:paraId="1966199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Matty</w:t>
            </w:r>
          </w:p>
        </w:tc>
        <w:tc>
          <w:tcPr>
            <w:tcW w:w="2644" w:type="pct"/>
            <w:hideMark/>
          </w:tcPr>
          <w:p w14:paraId="7CF0947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Transplant Australia</w:t>
            </w:r>
          </w:p>
        </w:tc>
      </w:tr>
      <w:tr w:rsidR="00EB728C" w:rsidRPr="007B5055" w14:paraId="1E53054B" w14:textId="77777777" w:rsidTr="003B3300">
        <w:trPr>
          <w:trHeight w:val="659"/>
        </w:trPr>
        <w:tc>
          <w:tcPr>
            <w:tcW w:w="1178" w:type="pct"/>
            <w:hideMark/>
          </w:tcPr>
          <w:p w14:paraId="4DA6BB01" w14:textId="70E7518A" w:rsidR="00EB728C" w:rsidRPr="007B5055" w:rsidRDefault="00EB728C" w:rsidP="002D695E">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Hodak</w:t>
            </w:r>
          </w:p>
        </w:tc>
        <w:tc>
          <w:tcPr>
            <w:tcW w:w="1178" w:type="pct"/>
            <w:hideMark/>
          </w:tcPr>
          <w:p w14:paraId="1061035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Alison </w:t>
            </w:r>
          </w:p>
        </w:tc>
        <w:tc>
          <w:tcPr>
            <w:tcW w:w="2644" w:type="pct"/>
            <w:hideMark/>
          </w:tcPr>
          <w:p w14:paraId="74CAACC5" w14:textId="7ADD06B6" w:rsidR="00EB728C" w:rsidRPr="007B5055" w:rsidRDefault="002D695E" w:rsidP="002D695E">
            <w:pPr>
              <w:widowControl/>
              <w:tabs>
                <w:tab w:val="left" w:pos="1208"/>
              </w:tabs>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DonateLife SA</w:t>
            </w:r>
          </w:p>
        </w:tc>
      </w:tr>
      <w:tr w:rsidR="00EB728C" w:rsidRPr="007B5055" w14:paraId="1914EE06" w14:textId="77777777" w:rsidTr="003B3300">
        <w:trPr>
          <w:trHeight w:val="659"/>
        </w:trPr>
        <w:tc>
          <w:tcPr>
            <w:tcW w:w="1178" w:type="pct"/>
            <w:hideMark/>
          </w:tcPr>
          <w:p w14:paraId="71FECE4F"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Holdsworth</w:t>
            </w:r>
          </w:p>
        </w:tc>
        <w:tc>
          <w:tcPr>
            <w:tcW w:w="1178" w:type="pct"/>
            <w:hideMark/>
          </w:tcPr>
          <w:p w14:paraId="573D922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Rhonda</w:t>
            </w:r>
          </w:p>
        </w:tc>
        <w:tc>
          <w:tcPr>
            <w:tcW w:w="2644" w:type="pct"/>
            <w:hideMark/>
          </w:tcPr>
          <w:p w14:paraId="701CB9E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Australian Red Cross Blood Services</w:t>
            </w:r>
          </w:p>
        </w:tc>
      </w:tr>
      <w:tr w:rsidR="00EB728C" w:rsidRPr="007B5055" w14:paraId="28CCC9E2" w14:textId="77777777" w:rsidTr="003B3300">
        <w:trPr>
          <w:trHeight w:val="659"/>
        </w:trPr>
        <w:tc>
          <w:tcPr>
            <w:tcW w:w="1178" w:type="pct"/>
            <w:hideMark/>
          </w:tcPr>
          <w:p w14:paraId="52FC0FA8"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Holmes-Liew</w:t>
            </w:r>
          </w:p>
        </w:tc>
        <w:tc>
          <w:tcPr>
            <w:tcW w:w="1178" w:type="pct"/>
            <w:hideMark/>
          </w:tcPr>
          <w:p w14:paraId="2AF171B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Chien-Li</w:t>
            </w:r>
          </w:p>
        </w:tc>
        <w:tc>
          <w:tcPr>
            <w:tcW w:w="2644" w:type="pct"/>
            <w:hideMark/>
          </w:tcPr>
          <w:p w14:paraId="0BA3DFC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Royal Adelaide Hospital </w:t>
            </w:r>
          </w:p>
        </w:tc>
      </w:tr>
      <w:tr w:rsidR="00EB728C" w:rsidRPr="007B5055" w14:paraId="2D724E30" w14:textId="77777777" w:rsidTr="003B3300">
        <w:trPr>
          <w:trHeight w:val="659"/>
        </w:trPr>
        <w:tc>
          <w:tcPr>
            <w:tcW w:w="1178" w:type="pct"/>
            <w:hideMark/>
          </w:tcPr>
          <w:p w14:paraId="5369AEDA"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Holt</w:t>
            </w:r>
          </w:p>
        </w:tc>
        <w:tc>
          <w:tcPr>
            <w:tcW w:w="1178" w:type="pct"/>
            <w:hideMark/>
          </w:tcPr>
          <w:p w14:paraId="1865D38A"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Steve</w:t>
            </w:r>
          </w:p>
        </w:tc>
        <w:tc>
          <w:tcPr>
            <w:tcW w:w="2644" w:type="pct"/>
            <w:hideMark/>
          </w:tcPr>
          <w:p w14:paraId="15710FA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Royal Melbourne Hospital </w:t>
            </w:r>
          </w:p>
        </w:tc>
      </w:tr>
      <w:tr w:rsidR="00EB728C" w:rsidRPr="007B5055" w14:paraId="44E80EA2" w14:textId="77777777" w:rsidTr="003B3300">
        <w:trPr>
          <w:trHeight w:val="659"/>
        </w:trPr>
        <w:tc>
          <w:tcPr>
            <w:tcW w:w="1178" w:type="pct"/>
            <w:hideMark/>
          </w:tcPr>
          <w:p w14:paraId="152E5D1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Hudson</w:t>
            </w:r>
          </w:p>
        </w:tc>
        <w:tc>
          <w:tcPr>
            <w:tcW w:w="1178" w:type="pct"/>
            <w:hideMark/>
          </w:tcPr>
          <w:p w14:paraId="2EB5B9B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Fiona</w:t>
            </w:r>
          </w:p>
        </w:tc>
        <w:tc>
          <w:tcPr>
            <w:tcW w:w="2644" w:type="pct"/>
            <w:hideMark/>
          </w:tcPr>
          <w:p w14:paraId="0CA22EB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Australian Red Cross Blood Service, Victorian Transplantation and Immunogenetics Services (VTIS), Victorian and Tasmanian Renal Transplant Advisory Committee (VTRTAC)</w:t>
            </w:r>
          </w:p>
        </w:tc>
      </w:tr>
      <w:tr w:rsidR="00EB728C" w:rsidRPr="007B5055" w14:paraId="7DD53D88" w14:textId="77777777" w:rsidTr="003B3300">
        <w:trPr>
          <w:trHeight w:val="659"/>
        </w:trPr>
        <w:tc>
          <w:tcPr>
            <w:tcW w:w="1178" w:type="pct"/>
            <w:hideMark/>
          </w:tcPr>
          <w:p w14:paraId="15862E00"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Hughes</w:t>
            </w:r>
          </w:p>
        </w:tc>
        <w:tc>
          <w:tcPr>
            <w:tcW w:w="1178" w:type="pct"/>
            <w:hideMark/>
          </w:tcPr>
          <w:p w14:paraId="579F84F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Peter</w:t>
            </w:r>
          </w:p>
        </w:tc>
        <w:tc>
          <w:tcPr>
            <w:tcW w:w="2644" w:type="pct"/>
            <w:hideMark/>
          </w:tcPr>
          <w:p w14:paraId="1DBD2F8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Royal Melbourne Hospital </w:t>
            </w:r>
          </w:p>
        </w:tc>
      </w:tr>
      <w:tr w:rsidR="00EB728C" w:rsidRPr="007B5055" w14:paraId="2582379C" w14:textId="77777777" w:rsidTr="003B3300">
        <w:trPr>
          <w:trHeight w:val="659"/>
        </w:trPr>
        <w:tc>
          <w:tcPr>
            <w:tcW w:w="1178" w:type="pct"/>
            <w:hideMark/>
          </w:tcPr>
          <w:p w14:paraId="78A6956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Humphreys</w:t>
            </w:r>
          </w:p>
        </w:tc>
        <w:tc>
          <w:tcPr>
            <w:tcW w:w="1178" w:type="pct"/>
            <w:hideMark/>
          </w:tcPr>
          <w:p w14:paraId="29BE41C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Ian</w:t>
            </w:r>
          </w:p>
        </w:tc>
        <w:tc>
          <w:tcPr>
            <w:tcW w:w="2644" w:type="pct"/>
            <w:hideMark/>
          </w:tcPr>
          <w:p w14:paraId="02EEFD9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Australian Red Cross Blood Services</w:t>
            </w:r>
          </w:p>
        </w:tc>
      </w:tr>
      <w:tr w:rsidR="00EB728C" w:rsidRPr="007B5055" w14:paraId="291CF4C7" w14:textId="77777777" w:rsidTr="003B3300">
        <w:trPr>
          <w:trHeight w:val="659"/>
        </w:trPr>
        <w:tc>
          <w:tcPr>
            <w:tcW w:w="1178" w:type="pct"/>
            <w:hideMark/>
          </w:tcPr>
          <w:p w14:paraId="0F9C1B4B"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Ireland</w:t>
            </w:r>
          </w:p>
        </w:tc>
        <w:tc>
          <w:tcPr>
            <w:tcW w:w="1178" w:type="pct"/>
            <w:hideMark/>
          </w:tcPr>
          <w:p w14:paraId="72CFB88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Susan</w:t>
            </w:r>
          </w:p>
        </w:tc>
        <w:tc>
          <w:tcPr>
            <w:tcW w:w="2644" w:type="pct"/>
            <w:hideMark/>
          </w:tcPr>
          <w:p w14:paraId="25E6FA4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Department for Health and Ageing, South Australia </w:t>
            </w:r>
          </w:p>
        </w:tc>
      </w:tr>
      <w:tr w:rsidR="00EB728C" w:rsidRPr="007B5055" w14:paraId="1A79B13A" w14:textId="77777777" w:rsidTr="003B3300">
        <w:trPr>
          <w:trHeight w:val="659"/>
        </w:trPr>
        <w:tc>
          <w:tcPr>
            <w:tcW w:w="1178" w:type="pct"/>
            <w:hideMark/>
          </w:tcPr>
          <w:p w14:paraId="56E72E7D"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Iris</w:t>
            </w:r>
          </w:p>
        </w:tc>
        <w:tc>
          <w:tcPr>
            <w:tcW w:w="1178" w:type="pct"/>
            <w:hideMark/>
          </w:tcPr>
          <w:p w14:paraId="7DEF541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Ashley</w:t>
            </w:r>
          </w:p>
        </w:tc>
        <w:tc>
          <w:tcPr>
            <w:tcW w:w="2644" w:type="pct"/>
            <w:hideMark/>
          </w:tcPr>
          <w:p w14:paraId="6179D8A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Fiona Stanley Hospital </w:t>
            </w:r>
          </w:p>
        </w:tc>
      </w:tr>
      <w:tr w:rsidR="00EB728C" w:rsidRPr="007B5055" w14:paraId="3925F3B9" w14:textId="77777777" w:rsidTr="003B3300">
        <w:trPr>
          <w:trHeight w:val="659"/>
        </w:trPr>
        <w:tc>
          <w:tcPr>
            <w:tcW w:w="1178" w:type="pct"/>
            <w:hideMark/>
          </w:tcPr>
          <w:p w14:paraId="4990ABC7"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Isaacs</w:t>
            </w:r>
          </w:p>
        </w:tc>
        <w:tc>
          <w:tcPr>
            <w:tcW w:w="1178" w:type="pct"/>
            <w:hideMark/>
          </w:tcPr>
          <w:p w14:paraId="4E1AC37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Kim</w:t>
            </w:r>
          </w:p>
        </w:tc>
        <w:tc>
          <w:tcPr>
            <w:tcW w:w="2644" w:type="pct"/>
            <w:hideMark/>
          </w:tcPr>
          <w:p w14:paraId="73CA763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Kimberly Aboriginal Medical Services</w:t>
            </w:r>
          </w:p>
        </w:tc>
      </w:tr>
      <w:tr w:rsidR="00EB728C" w:rsidRPr="007B5055" w14:paraId="2B2E4CD7" w14:textId="77777777" w:rsidTr="003B3300">
        <w:trPr>
          <w:trHeight w:val="659"/>
        </w:trPr>
        <w:tc>
          <w:tcPr>
            <w:tcW w:w="1178" w:type="pct"/>
            <w:hideMark/>
          </w:tcPr>
          <w:p w14:paraId="0003CEA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Jamieson</w:t>
            </w:r>
          </w:p>
        </w:tc>
        <w:tc>
          <w:tcPr>
            <w:tcW w:w="1178" w:type="pct"/>
            <w:hideMark/>
          </w:tcPr>
          <w:p w14:paraId="2D1BE3B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Andrew </w:t>
            </w:r>
          </w:p>
        </w:tc>
        <w:tc>
          <w:tcPr>
            <w:tcW w:w="2644" w:type="pct"/>
            <w:hideMark/>
          </w:tcPr>
          <w:p w14:paraId="21FABCE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Western Australia Country Health Service</w:t>
            </w:r>
          </w:p>
        </w:tc>
      </w:tr>
      <w:tr w:rsidR="00EB728C" w:rsidRPr="007B5055" w14:paraId="32274FB2" w14:textId="77777777" w:rsidTr="003B3300">
        <w:trPr>
          <w:trHeight w:val="659"/>
        </w:trPr>
        <w:tc>
          <w:tcPr>
            <w:tcW w:w="1178" w:type="pct"/>
            <w:hideMark/>
          </w:tcPr>
          <w:p w14:paraId="2A469E8C"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Jansz</w:t>
            </w:r>
          </w:p>
        </w:tc>
        <w:tc>
          <w:tcPr>
            <w:tcW w:w="1178" w:type="pct"/>
            <w:hideMark/>
          </w:tcPr>
          <w:p w14:paraId="723D392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Paul</w:t>
            </w:r>
          </w:p>
        </w:tc>
        <w:tc>
          <w:tcPr>
            <w:tcW w:w="2644" w:type="pct"/>
            <w:hideMark/>
          </w:tcPr>
          <w:p w14:paraId="31C6C95A"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St Vincent’s Hospital Sydney</w:t>
            </w:r>
          </w:p>
        </w:tc>
      </w:tr>
      <w:tr w:rsidR="00EB728C" w:rsidRPr="007B5055" w14:paraId="5EA53C3E" w14:textId="77777777" w:rsidTr="003B3300">
        <w:trPr>
          <w:trHeight w:val="659"/>
        </w:trPr>
        <w:tc>
          <w:tcPr>
            <w:tcW w:w="1178" w:type="pct"/>
            <w:hideMark/>
          </w:tcPr>
          <w:p w14:paraId="29293CE0"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Jaques</w:t>
            </w:r>
          </w:p>
        </w:tc>
        <w:tc>
          <w:tcPr>
            <w:tcW w:w="1178" w:type="pct"/>
            <w:hideMark/>
          </w:tcPr>
          <w:p w14:paraId="2E1135B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Bryon</w:t>
            </w:r>
          </w:p>
        </w:tc>
        <w:tc>
          <w:tcPr>
            <w:tcW w:w="2644" w:type="pct"/>
            <w:hideMark/>
          </w:tcPr>
          <w:p w14:paraId="65468D3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Sir Charles Gairdner Hospital </w:t>
            </w:r>
          </w:p>
        </w:tc>
      </w:tr>
      <w:tr w:rsidR="00EB728C" w:rsidRPr="007B5055" w14:paraId="0E521988" w14:textId="77777777" w:rsidTr="003B3300">
        <w:trPr>
          <w:trHeight w:val="659"/>
        </w:trPr>
        <w:tc>
          <w:tcPr>
            <w:tcW w:w="1178" w:type="pct"/>
            <w:hideMark/>
          </w:tcPr>
          <w:p w14:paraId="0405039F"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Javorsky</w:t>
            </w:r>
          </w:p>
        </w:tc>
        <w:tc>
          <w:tcPr>
            <w:tcW w:w="1178" w:type="pct"/>
            <w:hideMark/>
          </w:tcPr>
          <w:p w14:paraId="4F68B03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George</w:t>
            </w:r>
          </w:p>
        </w:tc>
        <w:tc>
          <w:tcPr>
            <w:tcW w:w="2644" w:type="pct"/>
            <w:hideMark/>
          </w:tcPr>
          <w:p w14:paraId="7E3D3CCA"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The Prince Charles Hospital </w:t>
            </w:r>
          </w:p>
        </w:tc>
      </w:tr>
      <w:tr w:rsidR="00EB728C" w:rsidRPr="007B5055" w14:paraId="260D817A" w14:textId="77777777" w:rsidTr="003B3300">
        <w:trPr>
          <w:trHeight w:val="659"/>
        </w:trPr>
        <w:tc>
          <w:tcPr>
            <w:tcW w:w="1178" w:type="pct"/>
            <w:hideMark/>
          </w:tcPr>
          <w:p w14:paraId="7EAA2B87"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Jeffrey</w:t>
            </w:r>
          </w:p>
        </w:tc>
        <w:tc>
          <w:tcPr>
            <w:tcW w:w="1178" w:type="pct"/>
            <w:hideMark/>
          </w:tcPr>
          <w:p w14:paraId="6154D1E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Gary</w:t>
            </w:r>
          </w:p>
        </w:tc>
        <w:tc>
          <w:tcPr>
            <w:tcW w:w="2644" w:type="pct"/>
            <w:hideMark/>
          </w:tcPr>
          <w:p w14:paraId="6D6FD51B" w14:textId="77777777" w:rsidR="005B73D6" w:rsidRDefault="005B73D6"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Sir Charles Gairdner Hospital</w:t>
            </w:r>
          </w:p>
          <w:p w14:paraId="0E0662EB" w14:textId="61ED735E"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Liver Foundation of Western Australia</w:t>
            </w:r>
          </w:p>
        </w:tc>
      </w:tr>
      <w:tr w:rsidR="00EB728C" w:rsidRPr="007B5055" w14:paraId="572B3741" w14:textId="77777777" w:rsidTr="003B3300">
        <w:trPr>
          <w:trHeight w:val="659"/>
        </w:trPr>
        <w:tc>
          <w:tcPr>
            <w:tcW w:w="1178" w:type="pct"/>
            <w:hideMark/>
          </w:tcPr>
          <w:p w14:paraId="6F2CF052" w14:textId="764F659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Jesudason</w:t>
            </w:r>
          </w:p>
        </w:tc>
        <w:tc>
          <w:tcPr>
            <w:tcW w:w="1178" w:type="pct"/>
            <w:hideMark/>
          </w:tcPr>
          <w:p w14:paraId="2A0C732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Shilpa</w:t>
            </w:r>
          </w:p>
        </w:tc>
        <w:tc>
          <w:tcPr>
            <w:tcW w:w="2644" w:type="pct"/>
            <w:hideMark/>
          </w:tcPr>
          <w:p w14:paraId="35829DF9" w14:textId="77777777" w:rsidR="002D695E" w:rsidRDefault="002D695E"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Royal Adelaide Hospital</w:t>
            </w:r>
          </w:p>
          <w:p w14:paraId="75996AC0" w14:textId="5C7FFFBB" w:rsidR="002D695E"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Women's a</w:t>
            </w:r>
            <w:r w:rsidR="002D695E">
              <w:rPr>
                <w:rFonts w:ascii="Calibri" w:hAnsi="Calibri" w:cs="Calibri"/>
                <w:color w:val="000000"/>
                <w:szCs w:val="18"/>
                <w:lang w:eastAsia="en-AU"/>
              </w:rPr>
              <w:t>nd Childrens Hospital Adelaide</w:t>
            </w:r>
          </w:p>
          <w:p w14:paraId="3AAB42B7" w14:textId="225A19B8"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Kidney Health Australia</w:t>
            </w:r>
          </w:p>
        </w:tc>
      </w:tr>
      <w:tr w:rsidR="00EB728C" w:rsidRPr="007B5055" w14:paraId="72BF03FE" w14:textId="77777777" w:rsidTr="003B3300">
        <w:trPr>
          <w:trHeight w:val="659"/>
        </w:trPr>
        <w:tc>
          <w:tcPr>
            <w:tcW w:w="1178" w:type="pct"/>
            <w:hideMark/>
          </w:tcPr>
          <w:p w14:paraId="2FF38B1C" w14:textId="6EF328A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Jones</w:t>
            </w:r>
          </w:p>
        </w:tc>
        <w:tc>
          <w:tcPr>
            <w:tcW w:w="1178" w:type="pct"/>
            <w:hideMark/>
          </w:tcPr>
          <w:p w14:paraId="2D2C8A7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Sarah</w:t>
            </w:r>
          </w:p>
        </w:tc>
        <w:tc>
          <w:tcPr>
            <w:tcW w:w="2644" w:type="pct"/>
            <w:hideMark/>
          </w:tcPr>
          <w:p w14:paraId="1C2E415B" w14:textId="77777777" w:rsidR="002D695E" w:rsidRDefault="002D695E" w:rsidP="002D695E">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DonateLife NT</w:t>
            </w:r>
          </w:p>
          <w:p w14:paraId="20C9A4AB" w14:textId="358DF76E" w:rsidR="00EB728C" w:rsidRPr="007B5055" w:rsidRDefault="002D695E" w:rsidP="002D695E">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Royal Darwin Hospital</w:t>
            </w:r>
          </w:p>
        </w:tc>
      </w:tr>
      <w:tr w:rsidR="00EB728C" w:rsidRPr="007B5055" w14:paraId="73633458" w14:textId="77777777" w:rsidTr="003B3300">
        <w:trPr>
          <w:trHeight w:val="659"/>
        </w:trPr>
        <w:tc>
          <w:tcPr>
            <w:tcW w:w="1178" w:type="pct"/>
            <w:hideMark/>
          </w:tcPr>
          <w:p w14:paraId="2509193E"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Jones</w:t>
            </w:r>
          </w:p>
        </w:tc>
        <w:tc>
          <w:tcPr>
            <w:tcW w:w="1178" w:type="pct"/>
            <w:hideMark/>
          </w:tcPr>
          <w:p w14:paraId="691A1DA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Robert</w:t>
            </w:r>
          </w:p>
        </w:tc>
        <w:tc>
          <w:tcPr>
            <w:tcW w:w="2644" w:type="pct"/>
            <w:hideMark/>
          </w:tcPr>
          <w:p w14:paraId="29EFE64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The Austin Hospital </w:t>
            </w:r>
          </w:p>
        </w:tc>
      </w:tr>
      <w:tr w:rsidR="00EB728C" w:rsidRPr="007B5055" w14:paraId="1FDE4D1D" w14:textId="77777777" w:rsidTr="003B3300">
        <w:trPr>
          <w:trHeight w:val="659"/>
        </w:trPr>
        <w:tc>
          <w:tcPr>
            <w:tcW w:w="1178" w:type="pct"/>
            <w:hideMark/>
          </w:tcPr>
          <w:p w14:paraId="3FDC176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Kanellis</w:t>
            </w:r>
          </w:p>
        </w:tc>
        <w:tc>
          <w:tcPr>
            <w:tcW w:w="1178" w:type="pct"/>
            <w:hideMark/>
          </w:tcPr>
          <w:p w14:paraId="797A483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John</w:t>
            </w:r>
          </w:p>
        </w:tc>
        <w:tc>
          <w:tcPr>
            <w:tcW w:w="2644" w:type="pct"/>
            <w:hideMark/>
          </w:tcPr>
          <w:p w14:paraId="17A7E3D0" w14:textId="77777777" w:rsidR="005B73D6" w:rsidRDefault="005B73D6"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Monash Health</w:t>
            </w:r>
          </w:p>
          <w:p w14:paraId="63326875" w14:textId="673281BB"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Victorian &amp; Tasmanian Renal Transplant Advisory Committee (VTRTAC) </w:t>
            </w:r>
          </w:p>
        </w:tc>
      </w:tr>
      <w:tr w:rsidR="00EB728C" w:rsidRPr="007B5055" w14:paraId="4244A3C1" w14:textId="77777777" w:rsidTr="003B3300">
        <w:trPr>
          <w:trHeight w:val="659"/>
        </w:trPr>
        <w:tc>
          <w:tcPr>
            <w:tcW w:w="1178" w:type="pct"/>
            <w:hideMark/>
          </w:tcPr>
          <w:p w14:paraId="2E4107A3" w14:textId="1EDB663A"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Kausman</w:t>
            </w:r>
          </w:p>
        </w:tc>
        <w:tc>
          <w:tcPr>
            <w:tcW w:w="1178" w:type="pct"/>
            <w:hideMark/>
          </w:tcPr>
          <w:p w14:paraId="0FCEB13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Joshua</w:t>
            </w:r>
          </w:p>
        </w:tc>
        <w:tc>
          <w:tcPr>
            <w:tcW w:w="2644" w:type="pct"/>
            <w:hideMark/>
          </w:tcPr>
          <w:p w14:paraId="04501F4C" w14:textId="0FABC1C9" w:rsidR="002D695E" w:rsidRDefault="00EB728C" w:rsidP="002D695E">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The Royal Children</w:t>
            </w:r>
            <w:r w:rsidR="002D695E">
              <w:rPr>
                <w:rFonts w:ascii="Calibri" w:hAnsi="Calibri" w:cs="Calibri"/>
                <w:color w:val="000000"/>
                <w:szCs w:val="18"/>
                <w:lang w:eastAsia="en-AU"/>
              </w:rPr>
              <w:t>’</w:t>
            </w:r>
            <w:r w:rsidRPr="007B5055">
              <w:rPr>
                <w:rFonts w:ascii="Calibri" w:hAnsi="Calibri" w:cs="Calibri"/>
                <w:color w:val="000000"/>
                <w:szCs w:val="18"/>
                <w:lang w:eastAsia="en-AU"/>
              </w:rPr>
              <w:t>s Hospital Melbourne</w:t>
            </w:r>
          </w:p>
          <w:p w14:paraId="07722D68" w14:textId="10CD58DA" w:rsidR="00EB728C" w:rsidRPr="007B5055" w:rsidRDefault="00EB728C" w:rsidP="002D695E">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Victorian &amp; Tasmanian Renal Transplant Advisory Committee (VTRTAC) </w:t>
            </w:r>
          </w:p>
        </w:tc>
      </w:tr>
      <w:tr w:rsidR="00EB728C" w:rsidRPr="007B5055" w14:paraId="757627F6" w14:textId="77777777" w:rsidTr="003B3300">
        <w:trPr>
          <w:trHeight w:val="659"/>
        </w:trPr>
        <w:tc>
          <w:tcPr>
            <w:tcW w:w="1178" w:type="pct"/>
            <w:hideMark/>
          </w:tcPr>
          <w:p w14:paraId="5E4B0D0F"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Kawanishi</w:t>
            </w:r>
          </w:p>
        </w:tc>
        <w:tc>
          <w:tcPr>
            <w:tcW w:w="1178" w:type="pct"/>
            <w:hideMark/>
          </w:tcPr>
          <w:p w14:paraId="0040F28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Yujiro</w:t>
            </w:r>
          </w:p>
        </w:tc>
        <w:tc>
          <w:tcPr>
            <w:tcW w:w="2644" w:type="pct"/>
            <w:hideMark/>
          </w:tcPr>
          <w:p w14:paraId="56A43AF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St Vincent’s Hospital Sydney</w:t>
            </w:r>
          </w:p>
        </w:tc>
      </w:tr>
      <w:tr w:rsidR="00EB728C" w:rsidRPr="007B5055" w14:paraId="28196EC1" w14:textId="77777777" w:rsidTr="003B3300">
        <w:trPr>
          <w:trHeight w:val="659"/>
        </w:trPr>
        <w:tc>
          <w:tcPr>
            <w:tcW w:w="1178" w:type="pct"/>
            <w:hideMark/>
          </w:tcPr>
          <w:p w14:paraId="50E7EC9F"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Kirkland</w:t>
            </w:r>
          </w:p>
        </w:tc>
        <w:tc>
          <w:tcPr>
            <w:tcW w:w="1178" w:type="pct"/>
            <w:hideMark/>
          </w:tcPr>
          <w:p w14:paraId="6C6D6B1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Geoff</w:t>
            </w:r>
          </w:p>
        </w:tc>
        <w:tc>
          <w:tcPr>
            <w:tcW w:w="2644" w:type="pct"/>
            <w:hideMark/>
          </w:tcPr>
          <w:p w14:paraId="3CB2880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Royal Hobart Hospital </w:t>
            </w:r>
          </w:p>
        </w:tc>
      </w:tr>
      <w:tr w:rsidR="00EB728C" w:rsidRPr="007B5055" w14:paraId="68350A0E" w14:textId="77777777" w:rsidTr="003B3300">
        <w:trPr>
          <w:trHeight w:val="659"/>
        </w:trPr>
        <w:tc>
          <w:tcPr>
            <w:tcW w:w="1178" w:type="pct"/>
            <w:hideMark/>
          </w:tcPr>
          <w:p w14:paraId="72BA9F67"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Knighton</w:t>
            </w:r>
          </w:p>
        </w:tc>
        <w:tc>
          <w:tcPr>
            <w:tcW w:w="1178" w:type="pct"/>
            <w:hideMark/>
          </w:tcPr>
          <w:p w14:paraId="7C82229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Michael</w:t>
            </w:r>
          </w:p>
        </w:tc>
        <w:tc>
          <w:tcPr>
            <w:tcW w:w="2644" w:type="pct"/>
            <w:hideMark/>
          </w:tcPr>
          <w:p w14:paraId="2775AB3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Australian Government Department of Human Services </w:t>
            </w:r>
          </w:p>
        </w:tc>
      </w:tr>
      <w:tr w:rsidR="00EB728C" w:rsidRPr="007B5055" w14:paraId="09F4A300" w14:textId="77777777" w:rsidTr="003B3300">
        <w:trPr>
          <w:trHeight w:val="659"/>
        </w:trPr>
        <w:tc>
          <w:tcPr>
            <w:tcW w:w="1178" w:type="pct"/>
            <w:hideMark/>
          </w:tcPr>
          <w:p w14:paraId="55CFAF13"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Kusic</w:t>
            </w:r>
          </w:p>
        </w:tc>
        <w:tc>
          <w:tcPr>
            <w:tcW w:w="1178" w:type="pct"/>
            <w:hideMark/>
          </w:tcPr>
          <w:p w14:paraId="1B7C4CA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Rada</w:t>
            </w:r>
          </w:p>
        </w:tc>
        <w:tc>
          <w:tcPr>
            <w:tcW w:w="2644" w:type="pct"/>
            <w:hideMark/>
          </w:tcPr>
          <w:p w14:paraId="0A94CFC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NSW Ministry of Health </w:t>
            </w:r>
          </w:p>
        </w:tc>
      </w:tr>
      <w:tr w:rsidR="00EB728C" w:rsidRPr="007B5055" w14:paraId="32CB4603" w14:textId="77777777" w:rsidTr="003B3300">
        <w:trPr>
          <w:trHeight w:val="659"/>
        </w:trPr>
        <w:tc>
          <w:tcPr>
            <w:tcW w:w="1178" w:type="pct"/>
            <w:hideMark/>
          </w:tcPr>
          <w:p w14:paraId="091DDAF8"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Lamberton</w:t>
            </w:r>
          </w:p>
        </w:tc>
        <w:tc>
          <w:tcPr>
            <w:tcW w:w="1178" w:type="pct"/>
            <w:hideMark/>
          </w:tcPr>
          <w:p w14:paraId="596616C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Tim</w:t>
            </w:r>
          </w:p>
        </w:tc>
        <w:tc>
          <w:tcPr>
            <w:tcW w:w="2644" w:type="pct"/>
            <w:hideMark/>
          </w:tcPr>
          <w:p w14:paraId="3C84194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Aussie Transplant Mates</w:t>
            </w:r>
          </w:p>
        </w:tc>
      </w:tr>
      <w:tr w:rsidR="00EB728C" w:rsidRPr="007B5055" w14:paraId="6A133C54" w14:textId="77777777" w:rsidTr="003B3300">
        <w:trPr>
          <w:trHeight w:val="659"/>
        </w:trPr>
        <w:tc>
          <w:tcPr>
            <w:tcW w:w="1178" w:type="pct"/>
            <w:hideMark/>
          </w:tcPr>
          <w:p w14:paraId="3B49ACEB"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Larbalestier</w:t>
            </w:r>
          </w:p>
        </w:tc>
        <w:tc>
          <w:tcPr>
            <w:tcW w:w="1178" w:type="pct"/>
            <w:hideMark/>
          </w:tcPr>
          <w:p w14:paraId="147B865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Robert</w:t>
            </w:r>
          </w:p>
        </w:tc>
        <w:tc>
          <w:tcPr>
            <w:tcW w:w="2644" w:type="pct"/>
            <w:hideMark/>
          </w:tcPr>
          <w:p w14:paraId="61DCAE2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Fiona Stanley Hospital, Royal Perth Hospital </w:t>
            </w:r>
          </w:p>
        </w:tc>
      </w:tr>
      <w:tr w:rsidR="00EB728C" w:rsidRPr="007B5055" w14:paraId="383B8441" w14:textId="77777777" w:rsidTr="003B3300">
        <w:trPr>
          <w:trHeight w:val="659"/>
        </w:trPr>
        <w:tc>
          <w:tcPr>
            <w:tcW w:w="1178" w:type="pct"/>
            <w:hideMark/>
          </w:tcPr>
          <w:p w14:paraId="7EFE5AFF"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Larkins</w:t>
            </w:r>
          </w:p>
        </w:tc>
        <w:tc>
          <w:tcPr>
            <w:tcW w:w="1178" w:type="pct"/>
            <w:hideMark/>
          </w:tcPr>
          <w:p w14:paraId="7EF5EBD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Nicholas </w:t>
            </w:r>
          </w:p>
        </w:tc>
        <w:tc>
          <w:tcPr>
            <w:tcW w:w="2644" w:type="pct"/>
            <w:hideMark/>
          </w:tcPr>
          <w:p w14:paraId="2B72B2F4" w14:textId="77777777" w:rsidR="002D695E"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Princes</w:t>
            </w:r>
            <w:r w:rsidR="002D695E">
              <w:rPr>
                <w:rFonts w:ascii="Calibri" w:hAnsi="Calibri" w:cs="Calibri"/>
                <w:color w:val="000000"/>
                <w:szCs w:val="18"/>
                <w:lang w:eastAsia="en-AU"/>
              </w:rPr>
              <w:t>s Margaret Hospital</w:t>
            </w:r>
          </w:p>
          <w:p w14:paraId="3B654CAE" w14:textId="18F81F43"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Perth Children</w:t>
            </w:r>
            <w:r w:rsidR="002D695E">
              <w:rPr>
                <w:rFonts w:ascii="Calibri" w:hAnsi="Calibri" w:cs="Calibri"/>
                <w:color w:val="000000"/>
                <w:szCs w:val="18"/>
                <w:lang w:eastAsia="en-AU"/>
              </w:rPr>
              <w:t>’</w:t>
            </w:r>
            <w:r w:rsidRPr="007B5055">
              <w:rPr>
                <w:rFonts w:ascii="Calibri" w:hAnsi="Calibri" w:cs="Calibri"/>
                <w:color w:val="000000"/>
                <w:szCs w:val="18"/>
                <w:lang w:eastAsia="en-AU"/>
              </w:rPr>
              <w:t xml:space="preserve">s Hospital </w:t>
            </w:r>
          </w:p>
        </w:tc>
      </w:tr>
      <w:tr w:rsidR="00EB728C" w:rsidRPr="007B5055" w14:paraId="34FD95B2" w14:textId="77777777" w:rsidTr="003B3300">
        <w:trPr>
          <w:trHeight w:val="659"/>
        </w:trPr>
        <w:tc>
          <w:tcPr>
            <w:tcW w:w="1178" w:type="pct"/>
            <w:hideMark/>
          </w:tcPr>
          <w:p w14:paraId="5E4D91AB" w14:textId="6A4802AF"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Laver</w:t>
            </w:r>
          </w:p>
        </w:tc>
        <w:tc>
          <w:tcPr>
            <w:tcW w:w="1178" w:type="pct"/>
            <w:hideMark/>
          </w:tcPr>
          <w:p w14:paraId="60DA481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Heylen</w:t>
            </w:r>
          </w:p>
        </w:tc>
        <w:tc>
          <w:tcPr>
            <w:tcW w:w="2644" w:type="pct"/>
            <w:hideMark/>
          </w:tcPr>
          <w:p w14:paraId="310C03E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DonateLife SA</w:t>
            </w:r>
          </w:p>
        </w:tc>
      </w:tr>
      <w:tr w:rsidR="00EB728C" w:rsidRPr="007B5055" w14:paraId="286D5A69" w14:textId="77777777" w:rsidTr="003B3300">
        <w:trPr>
          <w:trHeight w:val="659"/>
        </w:trPr>
        <w:tc>
          <w:tcPr>
            <w:tcW w:w="1178" w:type="pct"/>
            <w:hideMark/>
          </w:tcPr>
          <w:p w14:paraId="7F64A806"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Lawton</w:t>
            </w:r>
          </w:p>
        </w:tc>
        <w:tc>
          <w:tcPr>
            <w:tcW w:w="1178" w:type="pct"/>
            <w:hideMark/>
          </w:tcPr>
          <w:p w14:paraId="538EF0A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Paul</w:t>
            </w:r>
          </w:p>
        </w:tc>
        <w:tc>
          <w:tcPr>
            <w:tcW w:w="2644" w:type="pct"/>
            <w:hideMark/>
          </w:tcPr>
          <w:p w14:paraId="2DB2337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Menzies Institute for Medical Research </w:t>
            </w:r>
          </w:p>
        </w:tc>
      </w:tr>
      <w:tr w:rsidR="00EB728C" w:rsidRPr="007B5055" w14:paraId="1C36B75C" w14:textId="77777777" w:rsidTr="003B3300">
        <w:trPr>
          <w:trHeight w:val="659"/>
        </w:trPr>
        <w:tc>
          <w:tcPr>
            <w:tcW w:w="1178" w:type="pct"/>
            <w:hideMark/>
          </w:tcPr>
          <w:p w14:paraId="0632437E"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Lee</w:t>
            </w:r>
          </w:p>
        </w:tc>
        <w:tc>
          <w:tcPr>
            <w:tcW w:w="1178" w:type="pct"/>
            <w:hideMark/>
          </w:tcPr>
          <w:p w14:paraId="5153E7FA"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Darren</w:t>
            </w:r>
          </w:p>
        </w:tc>
        <w:tc>
          <w:tcPr>
            <w:tcW w:w="2644" w:type="pct"/>
            <w:hideMark/>
          </w:tcPr>
          <w:p w14:paraId="55422BBA" w14:textId="77777777" w:rsidR="005B73D6" w:rsidRDefault="005B73D6"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Epworth Eastern Hospital</w:t>
            </w:r>
          </w:p>
          <w:p w14:paraId="1AF74C4C" w14:textId="19CC7F73"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Victorian &amp; Tasmanian Renal Transplant Advisory Committee (VTRTAC) </w:t>
            </w:r>
          </w:p>
        </w:tc>
      </w:tr>
      <w:tr w:rsidR="00EB728C" w:rsidRPr="007B5055" w14:paraId="22A01183" w14:textId="77777777" w:rsidTr="003B3300">
        <w:trPr>
          <w:trHeight w:val="659"/>
        </w:trPr>
        <w:tc>
          <w:tcPr>
            <w:tcW w:w="1178" w:type="pct"/>
            <w:hideMark/>
          </w:tcPr>
          <w:p w14:paraId="7A24FD4A" w14:textId="66946D50"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Levin</w:t>
            </w:r>
          </w:p>
        </w:tc>
        <w:tc>
          <w:tcPr>
            <w:tcW w:w="1178" w:type="pct"/>
            <w:hideMark/>
          </w:tcPr>
          <w:p w14:paraId="7815FAE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Adeera</w:t>
            </w:r>
          </w:p>
        </w:tc>
        <w:tc>
          <w:tcPr>
            <w:tcW w:w="2644" w:type="pct"/>
            <w:hideMark/>
          </w:tcPr>
          <w:p w14:paraId="7E47C6B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International Society of Nephrology </w:t>
            </w:r>
          </w:p>
        </w:tc>
      </w:tr>
      <w:tr w:rsidR="00EB728C" w:rsidRPr="007B5055" w14:paraId="47A08CDD" w14:textId="77777777" w:rsidTr="003B3300">
        <w:trPr>
          <w:trHeight w:val="659"/>
        </w:trPr>
        <w:tc>
          <w:tcPr>
            <w:tcW w:w="1178" w:type="pct"/>
            <w:hideMark/>
          </w:tcPr>
          <w:p w14:paraId="71CC81C3"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Levvey</w:t>
            </w:r>
          </w:p>
        </w:tc>
        <w:tc>
          <w:tcPr>
            <w:tcW w:w="1178" w:type="pct"/>
            <w:hideMark/>
          </w:tcPr>
          <w:p w14:paraId="4D9B185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Bronwyn</w:t>
            </w:r>
          </w:p>
        </w:tc>
        <w:tc>
          <w:tcPr>
            <w:tcW w:w="2644" w:type="pct"/>
            <w:hideMark/>
          </w:tcPr>
          <w:p w14:paraId="520291C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The Alfred Hospital </w:t>
            </w:r>
          </w:p>
        </w:tc>
      </w:tr>
      <w:tr w:rsidR="00EB728C" w:rsidRPr="007B5055" w14:paraId="71E7E9EB" w14:textId="77777777" w:rsidTr="003B3300">
        <w:trPr>
          <w:trHeight w:val="659"/>
        </w:trPr>
        <w:tc>
          <w:tcPr>
            <w:tcW w:w="1178" w:type="pct"/>
            <w:hideMark/>
          </w:tcPr>
          <w:p w14:paraId="7548CBE1" w14:textId="77777777" w:rsidR="00EB728C" w:rsidRPr="007E232E" w:rsidRDefault="00EB728C" w:rsidP="003B3300">
            <w:pPr>
              <w:widowControl/>
              <w:autoSpaceDE/>
              <w:autoSpaceDN/>
              <w:adjustRightInd/>
              <w:spacing w:after="0"/>
              <w:rPr>
                <w:rFonts w:ascii="Calibri" w:hAnsi="Calibri" w:cs="Calibri"/>
                <w:b/>
                <w:color w:val="000000"/>
                <w:szCs w:val="18"/>
                <w:lang w:eastAsia="en-AU"/>
              </w:rPr>
            </w:pPr>
            <w:r w:rsidRPr="007E232E">
              <w:rPr>
                <w:rFonts w:ascii="Calibri" w:hAnsi="Calibri" w:cs="Calibri"/>
                <w:b/>
                <w:color w:val="000000"/>
                <w:szCs w:val="18"/>
                <w:lang w:eastAsia="en-AU"/>
              </w:rPr>
              <w:t>Lewton</w:t>
            </w:r>
          </w:p>
        </w:tc>
        <w:tc>
          <w:tcPr>
            <w:tcW w:w="1178" w:type="pct"/>
            <w:hideMark/>
          </w:tcPr>
          <w:p w14:paraId="04C26F87" w14:textId="77777777" w:rsidR="00EB728C" w:rsidRPr="007E232E" w:rsidRDefault="00EB728C" w:rsidP="003B3300">
            <w:pPr>
              <w:widowControl/>
              <w:autoSpaceDE/>
              <w:autoSpaceDN/>
              <w:adjustRightInd/>
              <w:spacing w:after="0"/>
              <w:rPr>
                <w:rFonts w:ascii="Calibri" w:hAnsi="Calibri" w:cs="Calibri"/>
                <w:color w:val="000000"/>
                <w:szCs w:val="18"/>
                <w:lang w:eastAsia="en-AU"/>
              </w:rPr>
            </w:pPr>
            <w:r w:rsidRPr="007E232E">
              <w:rPr>
                <w:rFonts w:ascii="Calibri" w:hAnsi="Calibri" w:cs="Calibri"/>
                <w:color w:val="000000"/>
                <w:szCs w:val="18"/>
                <w:lang w:eastAsia="en-AU"/>
              </w:rPr>
              <w:t xml:space="preserve">Andrew </w:t>
            </w:r>
          </w:p>
        </w:tc>
        <w:tc>
          <w:tcPr>
            <w:tcW w:w="2644" w:type="pct"/>
            <w:hideMark/>
          </w:tcPr>
          <w:p w14:paraId="323D3A07" w14:textId="7041B6AE" w:rsidR="00EB728C" w:rsidRPr="007E232E" w:rsidRDefault="007E232E"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Unknown at this time</w:t>
            </w:r>
          </w:p>
        </w:tc>
      </w:tr>
      <w:tr w:rsidR="00EB728C" w:rsidRPr="007B5055" w14:paraId="4FE99061" w14:textId="77777777" w:rsidTr="003B3300">
        <w:trPr>
          <w:trHeight w:val="659"/>
        </w:trPr>
        <w:tc>
          <w:tcPr>
            <w:tcW w:w="1178" w:type="pct"/>
            <w:hideMark/>
          </w:tcPr>
          <w:p w14:paraId="6905D23B"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Lim</w:t>
            </w:r>
          </w:p>
        </w:tc>
        <w:tc>
          <w:tcPr>
            <w:tcW w:w="1178" w:type="pct"/>
            <w:hideMark/>
          </w:tcPr>
          <w:p w14:paraId="1F5F170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Wai</w:t>
            </w:r>
          </w:p>
        </w:tc>
        <w:tc>
          <w:tcPr>
            <w:tcW w:w="2644" w:type="pct"/>
            <w:hideMark/>
          </w:tcPr>
          <w:p w14:paraId="1E020E4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Sir Charles Gairdiner Hospital </w:t>
            </w:r>
          </w:p>
        </w:tc>
      </w:tr>
      <w:tr w:rsidR="00EB728C" w:rsidRPr="007B5055" w14:paraId="1F9E2B3C" w14:textId="77777777" w:rsidTr="003B3300">
        <w:trPr>
          <w:trHeight w:val="659"/>
        </w:trPr>
        <w:tc>
          <w:tcPr>
            <w:tcW w:w="1178" w:type="pct"/>
            <w:hideMark/>
          </w:tcPr>
          <w:p w14:paraId="4E54BEFE"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Ludlow</w:t>
            </w:r>
          </w:p>
        </w:tc>
        <w:tc>
          <w:tcPr>
            <w:tcW w:w="1178" w:type="pct"/>
            <w:hideMark/>
          </w:tcPr>
          <w:p w14:paraId="242FE36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Marie</w:t>
            </w:r>
          </w:p>
        </w:tc>
        <w:tc>
          <w:tcPr>
            <w:tcW w:w="2644" w:type="pct"/>
            <w:hideMark/>
          </w:tcPr>
          <w:p w14:paraId="5C32B03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Kidney Health Australia</w:t>
            </w:r>
          </w:p>
        </w:tc>
      </w:tr>
      <w:tr w:rsidR="00EB728C" w:rsidRPr="007B5055" w14:paraId="46E270D2" w14:textId="77777777" w:rsidTr="003B3300">
        <w:trPr>
          <w:trHeight w:val="659"/>
        </w:trPr>
        <w:tc>
          <w:tcPr>
            <w:tcW w:w="1178" w:type="pct"/>
            <w:hideMark/>
          </w:tcPr>
          <w:p w14:paraId="11ED51B3"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Lusis</w:t>
            </w:r>
          </w:p>
        </w:tc>
        <w:tc>
          <w:tcPr>
            <w:tcW w:w="1178" w:type="pct"/>
            <w:hideMark/>
          </w:tcPr>
          <w:p w14:paraId="5863FCA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Nadia</w:t>
            </w:r>
          </w:p>
        </w:tc>
        <w:tc>
          <w:tcPr>
            <w:tcW w:w="2644" w:type="pct"/>
            <w:hideMark/>
          </w:tcPr>
          <w:p w14:paraId="0EE01DC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Victorian Aboriginal Community Controlled Health Organisation (VACCHO)</w:t>
            </w:r>
          </w:p>
        </w:tc>
      </w:tr>
      <w:tr w:rsidR="00EB728C" w:rsidRPr="007B5055" w14:paraId="795A12A1" w14:textId="77777777" w:rsidTr="003B3300">
        <w:trPr>
          <w:trHeight w:val="659"/>
        </w:trPr>
        <w:tc>
          <w:tcPr>
            <w:tcW w:w="1178" w:type="pct"/>
            <w:hideMark/>
          </w:tcPr>
          <w:p w14:paraId="780EFDDB"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Luxton</w:t>
            </w:r>
          </w:p>
        </w:tc>
        <w:tc>
          <w:tcPr>
            <w:tcW w:w="1178" w:type="pct"/>
            <w:hideMark/>
          </w:tcPr>
          <w:p w14:paraId="722DA50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Grant</w:t>
            </w:r>
          </w:p>
        </w:tc>
        <w:tc>
          <w:tcPr>
            <w:tcW w:w="2644" w:type="pct"/>
            <w:hideMark/>
          </w:tcPr>
          <w:p w14:paraId="5C21021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NSW Organ and Tissue Donation Service</w:t>
            </w:r>
          </w:p>
        </w:tc>
      </w:tr>
      <w:tr w:rsidR="00EB728C" w:rsidRPr="007B5055" w14:paraId="46DD22C5" w14:textId="77777777" w:rsidTr="003B3300">
        <w:trPr>
          <w:trHeight w:val="659"/>
        </w:trPr>
        <w:tc>
          <w:tcPr>
            <w:tcW w:w="1178" w:type="pct"/>
            <w:hideMark/>
          </w:tcPr>
          <w:p w14:paraId="0F89A85F"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Lynch</w:t>
            </w:r>
          </w:p>
        </w:tc>
        <w:tc>
          <w:tcPr>
            <w:tcW w:w="1178" w:type="pct"/>
            <w:hideMark/>
          </w:tcPr>
          <w:p w14:paraId="2F0CFDF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Stephen</w:t>
            </w:r>
          </w:p>
        </w:tc>
        <w:tc>
          <w:tcPr>
            <w:tcW w:w="2644" w:type="pct"/>
            <w:hideMark/>
          </w:tcPr>
          <w:p w14:paraId="20786C3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Princess Alexandra Hospital </w:t>
            </w:r>
          </w:p>
        </w:tc>
      </w:tr>
      <w:tr w:rsidR="00EB728C" w:rsidRPr="007B5055" w14:paraId="3681DC4F" w14:textId="77777777" w:rsidTr="003B3300">
        <w:trPr>
          <w:trHeight w:val="659"/>
        </w:trPr>
        <w:tc>
          <w:tcPr>
            <w:tcW w:w="1178" w:type="pct"/>
            <w:hideMark/>
          </w:tcPr>
          <w:p w14:paraId="2C8BCBC4"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Lyon</w:t>
            </w:r>
          </w:p>
        </w:tc>
        <w:tc>
          <w:tcPr>
            <w:tcW w:w="1178" w:type="pct"/>
            <w:hideMark/>
          </w:tcPr>
          <w:p w14:paraId="0A14DCC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Louise</w:t>
            </w:r>
          </w:p>
        </w:tc>
        <w:tc>
          <w:tcPr>
            <w:tcW w:w="2644" w:type="pct"/>
            <w:hideMark/>
          </w:tcPr>
          <w:p w14:paraId="5D663EB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Victorian Aboriginal Community Controlled Health Organisation (VACCHO)</w:t>
            </w:r>
          </w:p>
        </w:tc>
      </w:tr>
      <w:tr w:rsidR="00EB728C" w:rsidRPr="007B5055" w14:paraId="519DF93F" w14:textId="77777777" w:rsidTr="003B3300">
        <w:trPr>
          <w:trHeight w:val="439"/>
        </w:trPr>
        <w:tc>
          <w:tcPr>
            <w:tcW w:w="1178" w:type="pct"/>
            <w:hideMark/>
          </w:tcPr>
          <w:p w14:paraId="2EEDA202"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MacDonald</w:t>
            </w:r>
          </w:p>
        </w:tc>
        <w:tc>
          <w:tcPr>
            <w:tcW w:w="1178" w:type="pct"/>
            <w:hideMark/>
          </w:tcPr>
          <w:p w14:paraId="6D6D025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James</w:t>
            </w:r>
          </w:p>
        </w:tc>
        <w:tc>
          <w:tcPr>
            <w:tcW w:w="2644" w:type="pct"/>
            <w:hideMark/>
          </w:tcPr>
          <w:p w14:paraId="0A00893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NACCHO</w:t>
            </w:r>
          </w:p>
        </w:tc>
      </w:tr>
      <w:tr w:rsidR="00EB728C" w:rsidRPr="007B5055" w14:paraId="5A7698D9" w14:textId="77777777" w:rsidTr="003B3300">
        <w:trPr>
          <w:trHeight w:val="439"/>
        </w:trPr>
        <w:tc>
          <w:tcPr>
            <w:tcW w:w="1178" w:type="pct"/>
            <w:hideMark/>
          </w:tcPr>
          <w:p w14:paraId="346FCB0A"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Majoni</w:t>
            </w:r>
          </w:p>
        </w:tc>
        <w:tc>
          <w:tcPr>
            <w:tcW w:w="1178" w:type="pct"/>
            <w:hideMark/>
          </w:tcPr>
          <w:p w14:paraId="3FCD20B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William</w:t>
            </w:r>
          </w:p>
        </w:tc>
        <w:tc>
          <w:tcPr>
            <w:tcW w:w="2644" w:type="pct"/>
            <w:hideMark/>
          </w:tcPr>
          <w:p w14:paraId="23B7E93B" w14:textId="77777777" w:rsidR="002D695E" w:rsidRDefault="002D695E"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Royal Darwin Hospital</w:t>
            </w:r>
          </w:p>
          <w:p w14:paraId="3B6CDD67" w14:textId="61200049"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Menzies School of Health Research</w:t>
            </w:r>
          </w:p>
        </w:tc>
      </w:tr>
      <w:tr w:rsidR="00EB728C" w:rsidRPr="007B5055" w14:paraId="10844D0E" w14:textId="77777777" w:rsidTr="003B3300">
        <w:trPr>
          <w:trHeight w:val="439"/>
        </w:trPr>
        <w:tc>
          <w:tcPr>
            <w:tcW w:w="1178" w:type="pct"/>
            <w:hideMark/>
          </w:tcPr>
          <w:p w14:paraId="12D2B445" w14:textId="617B47CF"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Malouf</w:t>
            </w:r>
          </w:p>
        </w:tc>
        <w:tc>
          <w:tcPr>
            <w:tcW w:w="1178" w:type="pct"/>
            <w:hideMark/>
          </w:tcPr>
          <w:p w14:paraId="385A831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Monique</w:t>
            </w:r>
          </w:p>
        </w:tc>
        <w:tc>
          <w:tcPr>
            <w:tcW w:w="2644" w:type="pct"/>
            <w:hideMark/>
          </w:tcPr>
          <w:p w14:paraId="036338B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St Vincent’s Hospital Sydney</w:t>
            </w:r>
          </w:p>
        </w:tc>
      </w:tr>
      <w:tr w:rsidR="00EB728C" w:rsidRPr="007B5055" w14:paraId="14E56E25" w14:textId="77777777" w:rsidTr="003B3300">
        <w:trPr>
          <w:trHeight w:val="439"/>
        </w:trPr>
        <w:tc>
          <w:tcPr>
            <w:tcW w:w="1178" w:type="pct"/>
            <w:hideMark/>
          </w:tcPr>
          <w:p w14:paraId="3E8CD3E0"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McCaughan</w:t>
            </w:r>
          </w:p>
        </w:tc>
        <w:tc>
          <w:tcPr>
            <w:tcW w:w="1178" w:type="pct"/>
            <w:hideMark/>
          </w:tcPr>
          <w:p w14:paraId="3BA8FE4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Geoff</w:t>
            </w:r>
          </w:p>
        </w:tc>
        <w:tc>
          <w:tcPr>
            <w:tcW w:w="2644" w:type="pct"/>
            <w:hideMark/>
          </w:tcPr>
          <w:p w14:paraId="5D2FFC0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ShareLife, Royal Prince Alfred Hospital </w:t>
            </w:r>
          </w:p>
        </w:tc>
      </w:tr>
      <w:tr w:rsidR="00EB728C" w:rsidRPr="007B5055" w14:paraId="4525D689" w14:textId="77777777" w:rsidTr="003B3300">
        <w:trPr>
          <w:trHeight w:val="439"/>
        </w:trPr>
        <w:tc>
          <w:tcPr>
            <w:tcW w:w="1178" w:type="pct"/>
            <w:hideMark/>
          </w:tcPr>
          <w:p w14:paraId="40BF38BD"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McDonald</w:t>
            </w:r>
          </w:p>
        </w:tc>
        <w:tc>
          <w:tcPr>
            <w:tcW w:w="1178" w:type="pct"/>
            <w:hideMark/>
          </w:tcPr>
          <w:p w14:paraId="02F0867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Stephen</w:t>
            </w:r>
          </w:p>
        </w:tc>
        <w:tc>
          <w:tcPr>
            <w:tcW w:w="2644" w:type="pct"/>
            <w:hideMark/>
          </w:tcPr>
          <w:p w14:paraId="01D404B7" w14:textId="77777777" w:rsidR="002D695E" w:rsidRDefault="002D695E"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 xml:space="preserve">Royal Adelaide Hospital </w:t>
            </w:r>
          </w:p>
          <w:p w14:paraId="6062B0C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 and New Zealand Dialysis and Transplantation Registry (ANZDATA)</w:t>
            </w:r>
          </w:p>
        </w:tc>
      </w:tr>
      <w:tr w:rsidR="00EB728C" w:rsidRPr="007B5055" w14:paraId="2C17AB03" w14:textId="77777777" w:rsidTr="003B3300">
        <w:trPr>
          <w:trHeight w:val="439"/>
        </w:trPr>
        <w:tc>
          <w:tcPr>
            <w:tcW w:w="1178" w:type="pct"/>
            <w:hideMark/>
          </w:tcPr>
          <w:p w14:paraId="57A40E60" w14:textId="3DC59CE0"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McDonald</w:t>
            </w:r>
          </w:p>
        </w:tc>
        <w:tc>
          <w:tcPr>
            <w:tcW w:w="1178" w:type="pct"/>
            <w:hideMark/>
          </w:tcPr>
          <w:p w14:paraId="4BC8531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Mark</w:t>
            </w:r>
          </w:p>
        </w:tc>
        <w:tc>
          <w:tcPr>
            <w:tcW w:w="2644" w:type="pct"/>
            <w:hideMark/>
          </w:tcPr>
          <w:p w14:paraId="5F28678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Australian Organ and Tissue Donation and Transplantation Authority (OTA)</w:t>
            </w:r>
          </w:p>
        </w:tc>
      </w:tr>
      <w:tr w:rsidR="00EB728C" w:rsidRPr="007B5055" w14:paraId="0A128CE4" w14:textId="77777777" w:rsidTr="003B3300">
        <w:trPr>
          <w:trHeight w:val="439"/>
        </w:trPr>
        <w:tc>
          <w:tcPr>
            <w:tcW w:w="1178" w:type="pct"/>
            <w:hideMark/>
          </w:tcPr>
          <w:p w14:paraId="23086231"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McDonald</w:t>
            </w:r>
          </w:p>
        </w:tc>
        <w:tc>
          <w:tcPr>
            <w:tcW w:w="1178" w:type="pct"/>
            <w:hideMark/>
          </w:tcPr>
          <w:p w14:paraId="13ABABF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Kelli</w:t>
            </w:r>
          </w:p>
        </w:tc>
        <w:tc>
          <w:tcPr>
            <w:tcW w:w="2644" w:type="pct"/>
            <w:hideMark/>
          </w:tcPr>
          <w:p w14:paraId="3BF03AF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QIMR Berghofer Medical Research Institute </w:t>
            </w:r>
          </w:p>
        </w:tc>
      </w:tr>
      <w:tr w:rsidR="00EB728C" w:rsidRPr="007B5055" w14:paraId="49F9A9ED" w14:textId="77777777" w:rsidTr="003B3300">
        <w:trPr>
          <w:trHeight w:val="439"/>
        </w:trPr>
        <w:tc>
          <w:tcPr>
            <w:tcW w:w="1178" w:type="pct"/>
            <w:hideMark/>
          </w:tcPr>
          <w:p w14:paraId="04B3D00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McDowell</w:t>
            </w:r>
          </w:p>
        </w:tc>
        <w:tc>
          <w:tcPr>
            <w:tcW w:w="1178" w:type="pct"/>
            <w:hideMark/>
          </w:tcPr>
          <w:p w14:paraId="0140AE8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Bruce</w:t>
            </w:r>
          </w:p>
        </w:tc>
        <w:tc>
          <w:tcPr>
            <w:tcW w:w="2644" w:type="pct"/>
            <w:hideMark/>
          </w:tcPr>
          <w:p w14:paraId="29735E6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Donor Families Australia</w:t>
            </w:r>
          </w:p>
        </w:tc>
      </w:tr>
      <w:tr w:rsidR="00EB728C" w:rsidRPr="007B5055" w14:paraId="5153B793" w14:textId="77777777" w:rsidTr="003B3300">
        <w:trPr>
          <w:trHeight w:val="439"/>
        </w:trPr>
        <w:tc>
          <w:tcPr>
            <w:tcW w:w="1178" w:type="pct"/>
            <w:hideMark/>
          </w:tcPr>
          <w:p w14:paraId="09F8CEE4"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McEvoy</w:t>
            </w:r>
          </w:p>
        </w:tc>
        <w:tc>
          <w:tcPr>
            <w:tcW w:w="1178" w:type="pct"/>
            <w:hideMark/>
          </w:tcPr>
          <w:p w14:paraId="2925BE4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Leanne</w:t>
            </w:r>
          </w:p>
        </w:tc>
        <w:tc>
          <w:tcPr>
            <w:tcW w:w="2644" w:type="pct"/>
            <w:hideMark/>
          </w:tcPr>
          <w:p w14:paraId="280134C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DonateLife VIC, Victorian &amp; Tasmanian Renal Transplant Advisory Committee (VTRTAC) </w:t>
            </w:r>
          </w:p>
        </w:tc>
      </w:tr>
      <w:tr w:rsidR="00EB728C" w:rsidRPr="007B5055" w14:paraId="194ED869" w14:textId="77777777" w:rsidTr="003B3300">
        <w:trPr>
          <w:trHeight w:val="439"/>
        </w:trPr>
        <w:tc>
          <w:tcPr>
            <w:tcW w:w="1178" w:type="pct"/>
            <w:hideMark/>
          </w:tcPr>
          <w:p w14:paraId="13B65C18"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McGiffin</w:t>
            </w:r>
          </w:p>
        </w:tc>
        <w:tc>
          <w:tcPr>
            <w:tcW w:w="1178" w:type="pct"/>
            <w:hideMark/>
          </w:tcPr>
          <w:p w14:paraId="55F7C87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David</w:t>
            </w:r>
          </w:p>
        </w:tc>
        <w:tc>
          <w:tcPr>
            <w:tcW w:w="2644" w:type="pct"/>
            <w:hideMark/>
          </w:tcPr>
          <w:p w14:paraId="1DD1EBC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The Alfred Hospital </w:t>
            </w:r>
          </w:p>
        </w:tc>
      </w:tr>
      <w:tr w:rsidR="00EB728C" w:rsidRPr="007B5055" w14:paraId="353D921C" w14:textId="77777777" w:rsidTr="003B3300">
        <w:trPr>
          <w:trHeight w:val="439"/>
        </w:trPr>
        <w:tc>
          <w:tcPr>
            <w:tcW w:w="1178" w:type="pct"/>
            <w:hideMark/>
          </w:tcPr>
          <w:p w14:paraId="00D0E09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McGinn</w:t>
            </w:r>
          </w:p>
        </w:tc>
        <w:tc>
          <w:tcPr>
            <w:tcW w:w="1178" w:type="pct"/>
            <w:hideMark/>
          </w:tcPr>
          <w:p w14:paraId="68445C9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Stella</w:t>
            </w:r>
          </w:p>
        </w:tc>
        <w:tc>
          <w:tcPr>
            <w:tcW w:w="2644" w:type="pct"/>
            <w:hideMark/>
          </w:tcPr>
          <w:p w14:paraId="21A0E9F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Royal North Shore Hospital </w:t>
            </w:r>
          </w:p>
        </w:tc>
      </w:tr>
      <w:tr w:rsidR="00EB728C" w:rsidRPr="007B5055" w14:paraId="0F6C7723" w14:textId="77777777" w:rsidTr="003B3300">
        <w:trPr>
          <w:trHeight w:val="440"/>
        </w:trPr>
        <w:tc>
          <w:tcPr>
            <w:tcW w:w="1178" w:type="pct"/>
            <w:hideMark/>
          </w:tcPr>
          <w:p w14:paraId="161B180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Mendal</w:t>
            </w:r>
          </w:p>
        </w:tc>
        <w:tc>
          <w:tcPr>
            <w:tcW w:w="1178" w:type="pct"/>
            <w:hideMark/>
          </w:tcPr>
          <w:p w14:paraId="2875DF4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Joy</w:t>
            </w:r>
          </w:p>
        </w:tc>
        <w:tc>
          <w:tcPr>
            <w:tcW w:w="2644" w:type="pct"/>
            <w:hideMark/>
          </w:tcPr>
          <w:p w14:paraId="4D03374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Tasmanian Department of Health and Services </w:t>
            </w:r>
          </w:p>
        </w:tc>
      </w:tr>
      <w:tr w:rsidR="00EB728C" w:rsidRPr="007B5055" w14:paraId="6D1B2593" w14:textId="77777777" w:rsidTr="003B3300">
        <w:trPr>
          <w:trHeight w:val="439"/>
        </w:trPr>
        <w:tc>
          <w:tcPr>
            <w:tcW w:w="1178" w:type="pct"/>
            <w:hideMark/>
          </w:tcPr>
          <w:p w14:paraId="4F23331C"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Michell</w:t>
            </w:r>
          </w:p>
        </w:tc>
        <w:tc>
          <w:tcPr>
            <w:tcW w:w="1178" w:type="pct"/>
            <w:hideMark/>
          </w:tcPr>
          <w:p w14:paraId="146C984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Ian</w:t>
            </w:r>
          </w:p>
        </w:tc>
        <w:tc>
          <w:tcPr>
            <w:tcW w:w="2644" w:type="pct"/>
            <w:hideMark/>
          </w:tcPr>
          <w:p w14:paraId="523989A1" w14:textId="77777777" w:rsidR="002D695E"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w:t>
            </w:r>
            <w:r w:rsidR="002D695E">
              <w:rPr>
                <w:rFonts w:ascii="Calibri" w:hAnsi="Calibri" w:cs="Calibri"/>
                <w:color w:val="000000"/>
                <w:szCs w:val="18"/>
                <w:lang w:eastAsia="en-AU"/>
              </w:rPr>
              <w:t>t Vincent's Hospital Melbourne</w:t>
            </w:r>
          </w:p>
          <w:p w14:paraId="2519E2B6" w14:textId="002623D6"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Victorian &amp; Tasmanian Renal Transplant Advisory Committee (VTRTAC) </w:t>
            </w:r>
          </w:p>
        </w:tc>
      </w:tr>
      <w:tr w:rsidR="00EB728C" w:rsidRPr="007B5055" w14:paraId="2AA83249" w14:textId="77777777" w:rsidTr="003B3300">
        <w:trPr>
          <w:trHeight w:val="439"/>
        </w:trPr>
        <w:tc>
          <w:tcPr>
            <w:tcW w:w="1178" w:type="pct"/>
            <w:hideMark/>
          </w:tcPr>
          <w:p w14:paraId="457D60DA" w14:textId="0461CADF"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Mitchell</w:t>
            </w:r>
          </w:p>
        </w:tc>
        <w:tc>
          <w:tcPr>
            <w:tcW w:w="1178" w:type="pct"/>
            <w:hideMark/>
          </w:tcPr>
          <w:p w14:paraId="75F96D2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Amanda</w:t>
            </w:r>
          </w:p>
        </w:tc>
        <w:tc>
          <w:tcPr>
            <w:tcW w:w="2644" w:type="pct"/>
            <w:hideMark/>
          </w:tcPr>
          <w:p w14:paraId="7CDC4DF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Aboriginal Health Council of South Australia</w:t>
            </w:r>
          </w:p>
        </w:tc>
      </w:tr>
      <w:tr w:rsidR="00EB728C" w:rsidRPr="007B5055" w14:paraId="7A4145D1" w14:textId="77777777" w:rsidTr="003B3300">
        <w:trPr>
          <w:trHeight w:val="439"/>
        </w:trPr>
        <w:tc>
          <w:tcPr>
            <w:tcW w:w="1178" w:type="pct"/>
            <w:hideMark/>
          </w:tcPr>
          <w:p w14:paraId="119DD27E"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Moodie</w:t>
            </w:r>
          </w:p>
        </w:tc>
        <w:tc>
          <w:tcPr>
            <w:tcW w:w="1178" w:type="pct"/>
            <w:hideMark/>
          </w:tcPr>
          <w:p w14:paraId="6EA0F98C" w14:textId="078122F1" w:rsidR="00EB728C" w:rsidRPr="007B5055" w:rsidRDefault="002D695E"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Stewart</w:t>
            </w:r>
          </w:p>
        </w:tc>
        <w:tc>
          <w:tcPr>
            <w:tcW w:w="2644" w:type="pct"/>
            <w:hideMark/>
          </w:tcPr>
          <w:p w14:paraId="30925E8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DonateLife SA</w:t>
            </w:r>
          </w:p>
        </w:tc>
      </w:tr>
      <w:tr w:rsidR="00EB728C" w:rsidRPr="007B5055" w14:paraId="73412314" w14:textId="77777777" w:rsidTr="003B3300">
        <w:trPr>
          <w:trHeight w:val="439"/>
        </w:trPr>
        <w:tc>
          <w:tcPr>
            <w:tcW w:w="1178" w:type="pct"/>
            <w:hideMark/>
          </w:tcPr>
          <w:p w14:paraId="35206EE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Murphy</w:t>
            </w:r>
          </w:p>
        </w:tc>
        <w:tc>
          <w:tcPr>
            <w:tcW w:w="1178" w:type="pct"/>
            <w:hideMark/>
          </w:tcPr>
          <w:p w14:paraId="384B065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Lisa</w:t>
            </w:r>
          </w:p>
        </w:tc>
        <w:tc>
          <w:tcPr>
            <w:tcW w:w="2644" w:type="pct"/>
            <w:hideMark/>
          </w:tcPr>
          <w:p w14:paraId="313FAF9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Kidney Health Australia</w:t>
            </w:r>
          </w:p>
        </w:tc>
      </w:tr>
      <w:tr w:rsidR="00EB728C" w:rsidRPr="007B5055" w14:paraId="164C8B31" w14:textId="77777777" w:rsidTr="003B3300">
        <w:trPr>
          <w:trHeight w:val="439"/>
        </w:trPr>
        <w:tc>
          <w:tcPr>
            <w:tcW w:w="1178" w:type="pct"/>
            <w:hideMark/>
          </w:tcPr>
          <w:p w14:paraId="24EB9893"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Myerson</w:t>
            </w:r>
          </w:p>
        </w:tc>
        <w:tc>
          <w:tcPr>
            <w:tcW w:w="1178" w:type="pct"/>
            <w:hideMark/>
          </w:tcPr>
          <w:p w14:paraId="7D48FED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Brian</w:t>
            </w:r>
          </w:p>
        </w:tc>
        <w:tc>
          <w:tcPr>
            <w:tcW w:w="2644" w:type="pct"/>
            <w:hideMark/>
          </w:tcPr>
          <w:p w14:paraId="74665EB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ShareLife</w:t>
            </w:r>
          </w:p>
        </w:tc>
      </w:tr>
      <w:tr w:rsidR="00EB728C" w:rsidRPr="007B5055" w14:paraId="25B4A7E0" w14:textId="77777777" w:rsidTr="003B3300">
        <w:trPr>
          <w:trHeight w:val="439"/>
        </w:trPr>
        <w:tc>
          <w:tcPr>
            <w:tcW w:w="1178" w:type="pct"/>
            <w:hideMark/>
          </w:tcPr>
          <w:p w14:paraId="1184A242"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Nesbitt</w:t>
            </w:r>
          </w:p>
        </w:tc>
        <w:tc>
          <w:tcPr>
            <w:tcW w:w="1178" w:type="pct"/>
            <w:hideMark/>
          </w:tcPr>
          <w:p w14:paraId="28516E1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Amanda</w:t>
            </w:r>
          </w:p>
        </w:tc>
        <w:tc>
          <w:tcPr>
            <w:tcW w:w="2644" w:type="pct"/>
            <w:hideMark/>
          </w:tcPr>
          <w:p w14:paraId="56F8E6A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Department for Health and Ageing, South Australia </w:t>
            </w:r>
          </w:p>
        </w:tc>
      </w:tr>
      <w:tr w:rsidR="00EB728C" w:rsidRPr="007B5055" w14:paraId="069395B4" w14:textId="77777777" w:rsidTr="003B3300">
        <w:trPr>
          <w:trHeight w:val="439"/>
        </w:trPr>
        <w:tc>
          <w:tcPr>
            <w:tcW w:w="1178" w:type="pct"/>
            <w:hideMark/>
          </w:tcPr>
          <w:p w14:paraId="1E98F9BE"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Neville</w:t>
            </w:r>
          </w:p>
        </w:tc>
        <w:tc>
          <w:tcPr>
            <w:tcW w:w="1178" w:type="pct"/>
            <w:hideMark/>
          </w:tcPr>
          <w:p w14:paraId="6DB1BEC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Sarah</w:t>
            </w:r>
          </w:p>
        </w:tc>
        <w:tc>
          <w:tcPr>
            <w:tcW w:w="2644" w:type="pct"/>
            <w:hideMark/>
          </w:tcPr>
          <w:p w14:paraId="56F16A9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Independent Hospital Pricing Authority </w:t>
            </w:r>
          </w:p>
        </w:tc>
      </w:tr>
      <w:tr w:rsidR="00EB728C" w:rsidRPr="007B5055" w14:paraId="20362182" w14:textId="77777777" w:rsidTr="003B3300">
        <w:trPr>
          <w:trHeight w:val="439"/>
        </w:trPr>
        <w:tc>
          <w:tcPr>
            <w:tcW w:w="1178" w:type="pct"/>
            <w:hideMark/>
          </w:tcPr>
          <w:p w14:paraId="66E2C240"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Northam</w:t>
            </w:r>
          </w:p>
        </w:tc>
        <w:tc>
          <w:tcPr>
            <w:tcW w:w="1178" w:type="pct"/>
            <w:hideMark/>
          </w:tcPr>
          <w:p w14:paraId="2443035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Holly</w:t>
            </w:r>
          </w:p>
        </w:tc>
        <w:tc>
          <w:tcPr>
            <w:tcW w:w="2644" w:type="pct"/>
            <w:hideMark/>
          </w:tcPr>
          <w:p w14:paraId="39E4F920" w14:textId="77777777" w:rsidR="00EB728C" w:rsidRPr="007B5055" w:rsidRDefault="00362276"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Donor Families Australia, DonateLife ACT</w:t>
            </w:r>
          </w:p>
        </w:tc>
      </w:tr>
      <w:tr w:rsidR="00EB728C" w:rsidRPr="007B5055" w14:paraId="5294DF89" w14:textId="77777777" w:rsidTr="003B3300">
        <w:trPr>
          <w:trHeight w:val="439"/>
        </w:trPr>
        <w:tc>
          <w:tcPr>
            <w:tcW w:w="1178" w:type="pct"/>
            <w:hideMark/>
          </w:tcPr>
          <w:p w14:paraId="57B04CBF"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Nowrojee</w:t>
            </w:r>
          </w:p>
        </w:tc>
        <w:tc>
          <w:tcPr>
            <w:tcW w:w="1178" w:type="pct"/>
            <w:hideMark/>
          </w:tcPr>
          <w:p w14:paraId="217D110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Sharon</w:t>
            </w:r>
          </w:p>
        </w:tc>
        <w:tc>
          <w:tcPr>
            <w:tcW w:w="2644" w:type="pct"/>
            <w:hideMark/>
          </w:tcPr>
          <w:p w14:paraId="56032AF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North Metropolitan Health Service WA, Western Australia Department of Health </w:t>
            </w:r>
          </w:p>
        </w:tc>
      </w:tr>
      <w:tr w:rsidR="00EB728C" w:rsidRPr="007B5055" w14:paraId="64E13242" w14:textId="77777777" w:rsidTr="003B3300">
        <w:trPr>
          <w:trHeight w:val="439"/>
        </w:trPr>
        <w:tc>
          <w:tcPr>
            <w:tcW w:w="1178" w:type="pct"/>
            <w:hideMark/>
          </w:tcPr>
          <w:p w14:paraId="34506A61"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Nunnink</w:t>
            </w:r>
          </w:p>
        </w:tc>
        <w:tc>
          <w:tcPr>
            <w:tcW w:w="1178" w:type="pct"/>
            <w:hideMark/>
          </w:tcPr>
          <w:p w14:paraId="0C0DDC6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Leo</w:t>
            </w:r>
          </w:p>
        </w:tc>
        <w:tc>
          <w:tcPr>
            <w:tcW w:w="2644" w:type="pct"/>
            <w:hideMark/>
          </w:tcPr>
          <w:p w14:paraId="0ACC90F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DonateLife Queensland</w:t>
            </w:r>
          </w:p>
        </w:tc>
      </w:tr>
      <w:tr w:rsidR="00EB728C" w:rsidRPr="007B5055" w14:paraId="514B9548" w14:textId="77777777" w:rsidTr="003B3300">
        <w:trPr>
          <w:trHeight w:val="440"/>
        </w:trPr>
        <w:tc>
          <w:tcPr>
            <w:tcW w:w="1178" w:type="pct"/>
            <w:hideMark/>
          </w:tcPr>
          <w:p w14:paraId="2E51FD7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O'Connell</w:t>
            </w:r>
          </w:p>
        </w:tc>
        <w:tc>
          <w:tcPr>
            <w:tcW w:w="1178" w:type="pct"/>
            <w:hideMark/>
          </w:tcPr>
          <w:p w14:paraId="1A75C93A"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Philip</w:t>
            </w:r>
          </w:p>
        </w:tc>
        <w:tc>
          <w:tcPr>
            <w:tcW w:w="2644" w:type="pct"/>
            <w:hideMark/>
          </w:tcPr>
          <w:p w14:paraId="33B5676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Westmead Hospital </w:t>
            </w:r>
          </w:p>
        </w:tc>
      </w:tr>
      <w:tr w:rsidR="00EB728C" w:rsidRPr="007B5055" w14:paraId="0B63E755" w14:textId="77777777" w:rsidTr="003B3300">
        <w:trPr>
          <w:trHeight w:val="439"/>
        </w:trPr>
        <w:tc>
          <w:tcPr>
            <w:tcW w:w="1178" w:type="pct"/>
            <w:hideMark/>
          </w:tcPr>
          <w:p w14:paraId="5BAAC8F7"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O'Leary</w:t>
            </w:r>
          </w:p>
        </w:tc>
        <w:tc>
          <w:tcPr>
            <w:tcW w:w="1178" w:type="pct"/>
            <w:hideMark/>
          </w:tcPr>
          <w:p w14:paraId="41EC957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Michael</w:t>
            </w:r>
          </w:p>
        </w:tc>
        <w:tc>
          <w:tcPr>
            <w:tcW w:w="2644" w:type="pct"/>
            <w:hideMark/>
          </w:tcPr>
          <w:p w14:paraId="1C83427A" w14:textId="77777777" w:rsidR="002D695E" w:rsidRDefault="00EB728C" w:rsidP="002D695E">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Royal Prince Alfred Hospital</w:t>
            </w:r>
          </w:p>
          <w:p w14:paraId="2C2E684C" w14:textId="729A0408" w:rsidR="00EB728C" w:rsidRPr="007B5055" w:rsidRDefault="00EB728C" w:rsidP="002D695E">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NSW Organ and Tissue Donation Service</w:t>
            </w:r>
          </w:p>
        </w:tc>
      </w:tr>
      <w:tr w:rsidR="00EB728C" w:rsidRPr="007B5055" w14:paraId="727BD43F" w14:textId="77777777" w:rsidTr="003B3300">
        <w:trPr>
          <w:trHeight w:val="439"/>
        </w:trPr>
        <w:tc>
          <w:tcPr>
            <w:tcW w:w="1178" w:type="pct"/>
            <w:hideMark/>
          </w:tcPr>
          <w:p w14:paraId="12AE5271"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Opdam</w:t>
            </w:r>
          </w:p>
        </w:tc>
        <w:tc>
          <w:tcPr>
            <w:tcW w:w="1178" w:type="pct"/>
            <w:hideMark/>
          </w:tcPr>
          <w:p w14:paraId="449D731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Helen</w:t>
            </w:r>
          </w:p>
        </w:tc>
        <w:tc>
          <w:tcPr>
            <w:tcW w:w="2644" w:type="pct"/>
            <w:hideMark/>
          </w:tcPr>
          <w:p w14:paraId="67563D5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Australian Organ and Tissue Donation and Transplantation Authority (OTA)</w:t>
            </w:r>
          </w:p>
        </w:tc>
      </w:tr>
      <w:tr w:rsidR="00EB728C" w:rsidRPr="007B5055" w14:paraId="0CA55F06" w14:textId="77777777" w:rsidTr="003B3300">
        <w:trPr>
          <w:trHeight w:val="439"/>
        </w:trPr>
        <w:tc>
          <w:tcPr>
            <w:tcW w:w="1178" w:type="pct"/>
            <w:hideMark/>
          </w:tcPr>
          <w:p w14:paraId="138A641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Paizis</w:t>
            </w:r>
          </w:p>
        </w:tc>
        <w:tc>
          <w:tcPr>
            <w:tcW w:w="1178" w:type="pct"/>
            <w:hideMark/>
          </w:tcPr>
          <w:p w14:paraId="3F2E426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Kathy</w:t>
            </w:r>
          </w:p>
        </w:tc>
        <w:tc>
          <w:tcPr>
            <w:tcW w:w="2644" w:type="pct"/>
            <w:hideMark/>
          </w:tcPr>
          <w:p w14:paraId="6CB591C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Austin Health, Victorian &amp; Tasmanian Renal Transplant Advisory Committee (VTRTAC) </w:t>
            </w:r>
          </w:p>
        </w:tc>
      </w:tr>
      <w:tr w:rsidR="00EB728C" w:rsidRPr="007B5055" w14:paraId="5D53DBF3" w14:textId="77777777" w:rsidTr="003B3300">
        <w:trPr>
          <w:trHeight w:val="439"/>
        </w:trPr>
        <w:tc>
          <w:tcPr>
            <w:tcW w:w="1178" w:type="pct"/>
            <w:hideMark/>
          </w:tcPr>
          <w:p w14:paraId="3F3B2ECA"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Palk</w:t>
            </w:r>
          </w:p>
        </w:tc>
        <w:tc>
          <w:tcPr>
            <w:tcW w:w="1178" w:type="pct"/>
            <w:hideMark/>
          </w:tcPr>
          <w:p w14:paraId="5C7ECB6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Nigel</w:t>
            </w:r>
          </w:p>
        </w:tc>
        <w:tc>
          <w:tcPr>
            <w:tcW w:w="2644" w:type="pct"/>
            <w:hideMark/>
          </w:tcPr>
          <w:p w14:paraId="074E2E5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SA Health, Australasian Transplant Coordinators Association </w:t>
            </w:r>
          </w:p>
        </w:tc>
      </w:tr>
      <w:tr w:rsidR="00EB728C" w:rsidRPr="007B5055" w14:paraId="7872D693" w14:textId="77777777" w:rsidTr="003B3300">
        <w:trPr>
          <w:trHeight w:val="439"/>
        </w:trPr>
        <w:tc>
          <w:tcPr>
            <w:tcW w:w="1178" w:type="pct"/>
            <w:hideMark/>
          </w:tcPr>
          <w:p w14:paraId="7529E326"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Park</w:t>
            </w:r>
          </w:p>
        </w:tc>
        <w:tc>
          <w:tcPr>
            <w:tcW w:w="1178" w:type="pct"/>
            <w:hideMark/>
          </w:tcPr>
          <w:p w14:paraId="62FC1BE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Shelly</w:t>
            </w:r>
          </w:p>
        </w:tc>
        <w:tc>
          <w:tcPr>
            <w:tcW w:w="2644" w:type="pct"/>
            <w:hideMark/>
          </w:tcPr>
          <w:p w14:paraId="7CC6FA0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Australian Red Cross Blood Services</w:t>
            </w:r>
          </w:p>
        </w:tc>
      </w:tr>
      <w:tr w:rsidR="00EB728C" w:rsidRPr="007B5055" w14:paraId="6F7E58B4" w14:textId="77777777" w:rsidTr="003B3300">
        <w:trPr>
          <w:trHeight w:val="439"/>
        </w:trPr>
        <w:tc>
          <w:tcPr>
            <w:tcW w:w="1178" w:type="pct"/>
            <w:hideMark/>
          </w:tcPr>
          <w:p w14:paraId="689EC54E"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Perry</w:t>
            </w:r>
          </w:p>
        </w:tc>
        <w:tc>
          <w:tcPr>
            <w:tcW w:w="1178" w:type="pct"/>
            <w:hideMark/>
          </w:tcPr>
          <w:p w14:paraId="2E041D9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Greg</w:t>
            </w:r>
          </w:p>
        </w:tc>
        <w:tc>
          <w:tcPr>
            <w:tcW w:w="2644" w:type="pct"/>
            <w:hideMark/>
          </w:tcPr>
          <w:p w14:paraId="6EEF5AE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Royal Perth Hospital </w:t>
            </w:r>
          </w:p>
        </w:tc>
      </w:tr>
      <w:tr w:rsidR="00EB728C" w:rsidRPr="007B5055" w14:paraId="4ED9FEAD" w14:textId="77777777" w:rsidTr="003B3300">
        <w:trPr>
          <w:trHeight w:val="439"/>
        </w:trPr>
        <w:tc>
          <w:tcPr>
            <w:tcW w:w="1178" w:type="pct"/>
            <w:hideMark/>
          </w:tcPr>
          <w:p w14:paraId="5D1DF20B"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Peter</w:t>
            </w:r>
          </w:p>
        </w:tc>
        <w:tc>
          <w:tcPr>
            <w:tcW w:w="1178" w:type="pct"/>
            <w:hideMark/>
          </w:tcPr>
          <w:p w14:paraId="60DB653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MacDonald</w:t>
            </w:r>
          </w:p>
        </w:tc>
        <w:tc>
          <w:tcPr>
            <w:tcW w:w="2644" w:type="pct"/>
            <w:hideMark/>
          </w:tcPr>
          <w:p w14:paraId="5BC5D06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St Vincent's Hospital Sydney </w:t>
            </w:r>
          </w:p>
        </w:tc>
      </w:tr>
      <w:tr w:rsidR="00EB728C" w:rsidRPr="007B5055" w14:paraId="1C65B492" w14:textId="77777777" w:rsidTr="003B3300">
        <w:trPr>
          <w:trHeight w:val="439"/>
        </w:trPr>
        <w:tc>
          <w:tcPr>
            <w:tcW w:w="1178" w:type="pct"/>
            <w:hideMark/>
          </w:tcPr>
          <w:p w14:paraId="1C0C1036"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Pilcher</w:t>
            </w:r>
          </w:p>
        </w:tc>
        <w:tc>
          <w:tcPr>
            <w:tcW w:w="1178" w:type="pct"/>
            <w:hideMark/>
          </w:tcPr>
          <w:p w14:paraId="15D6A78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David</w:t>
            </w:r>
          </w:p>
        </w:tc>
        <w:tc>
          <w:tcPr>
            <w:tcW w:w="2644" w:type="pct"/>
            <w:hideMark/>
          </w:tcPr>
          <w:p w14:paraId="66E5E3E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The Alfred Hospital </w:t>
            </w:r>
          </w:p>
        </w:tc>
      </w:tr>
      <w:tr w:rsidR="00EB728C" w:rsidRPr="007B5055" w14:paraId="2EB8473B" w14:textId="77777777" w:rsidTr="003B3300">
        <w:trPr>
          <w:trHeight w:val="439"/>
        </w:trPr>
        <w:tc>
          <w:tcPr>
            <w:tcW w:w="1178" w:type="pct"/>
            <w:hideMark/>
          </w:tcPr>
          <w:p w14:paraId="04CD04BB"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Pollock</w:t>
            </w:r>
          </w:p>
        </w:tc>
        <w:tc>
          <w:tcPr>
            <w:tcW w:w="1178" w:type="pct"/>
            <w:hideMark/>
          </w:tcPr>
          <w:p w14:paraId="483B3C8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Carol</w:t>
            </w:r>
          </w:p>
        </w:tc>
        <w:tc>
          <w:tcPr>
            <w:tcW w:w="2644" w:type="pct"/>
            <w:hideMark/>
          </w:tcPr>
          <w:p w14:paraId="238E8CB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Australian Organ and Tissue Donation and Transplantation Authority (OTA)</w:t>
            </w:r>
          </w:p>
        </w:tc>
      </w:tr>
      <w:tr w:rsidR="00EB728C" w:rsidRPr="007B5055" w14:paraId="306F4692" w14:textId="77777777" w:rsidTr="003B3300">
        <w:trPr>
          <w:trHeight w:val="439"/>
        </w:trPr>
        <w:tc>
          <w:tcPr>
            <w:tcW w:w="1178" w:type="pct"/>
            <w:hideMark/>
          </w:tcPr>
          <w:p w14:paraId="6E916F9B"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Powell</w:t>
            </w:r>
          </w:p>
        </w:tc>
        <w:tc>
          <w:tcPr>
            <w:tcW w:w="1178" w:type="pct"/>
            <w:hideMark/>
          </w:tcPr>
          <w:p w14:paraId="5C7390F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Bruce</w:t>
            </w:r>
          </w:p>
        </w:tc>
        <w:tc>
          <w:tcPr>
            <w:tcW w:w="2644" w:type="pct"/>
            <w:hideMark/>
          </w:tcPr>
          <w:p w14:paraId="588CE66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Donatelife WA</w:t>
            </w:r>
          </w:p>
        </w:tc>
      </w:tr>
      <w:tr w:rsidR="00EB728C" w:rsidRPr="007B5055" w14:paraId="6546140C" w14:textId="77777777" w:rsidTr="003B3300">
        <w:trPr>
          <w:trHeight w:val="440"/>
        </w:trPr>
        <w:tc>
          <w:tcPr>
            <w:tcW w:w="1178" w:type="pct"/>
            <w:hideMark/>
          </w:tcPr>
          <w:p w14:paraId="37F32A61"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Price</w:t>
            </w:r>
          </w:p>
        </w:tc>
        <w:tc>
          <w:tcPr>
            <w:tcW w:w="1178" w:type="pct"/>
            <w:hideMark/>
          </w:tcPr>
          <w:p w14:paraId="06AD8ED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Terri</w:t>
            </w:r>
          </w:p>
        </w:tc>
        <w:tc>
          <w:tcPr>
            <w:tcW w:w="2644" w:type="pct"/>
            <w:hideMark/>
          </w:tcPr>
          <w:p w14:paraId="4B4D085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Queensland Health </w:t>
            </w:r>
          </w:p>
        </w:tc>
      </w:tr>
      <w:tr w:rsidR="00EB728C" w:rsidRPr="007B5055" w14:paraId="51397953" w14:textId="77777777" w:rsidTr="003B3300">
        <w:trPr>
          <w:trHeight w:val="439"/>
        </w:trPr>
        <w:tc>
          <w:tcPr>
            <w:tcW w:w="1178" w:type="pct"/>
            <w:hideMark/>
          </w:tcPr>
          <w:p w14:paraId="4C7C08C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Pussell</w:t>
            </w:r>
          </w:p>
        </w:tc>
        <w:tc>
          <w:tcPr>
            <w:tcW w:w="1178" w:type="pct"/>
            <w:hideMark/>
          </w:tcPr>
          <w:p w14:paraId="4D69436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Bruce</w:t>
            </w:r>
          </w:p>
        </w:tc>
        <w:tc>
          <w:tcPr>
            <w:tcW w:w="2644" w:type="pct"/>
            <w:hideMark/>
          </w:tcPr>
          <w:p w14:paraId="5A4CD94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ShareLife, Prince of Wales Hospital Sydney</w:t>
            </w:r>
          </w:p>
        </w:tc>
      </w:tr>
      <w:tr w:rsidR="00EB728C" w:rsidRPr="007B5055" w14:paraId="42DBB937" w14:textId="77777777" w:rsidTr="003B3300">
        <w:trPr>
          <w:trHeight w:val="439"/>
        </w:trPr>
        <w:tc>
          <w:tcPr>
            <w:tcW w:w="1178" w:type="pct"/>
            <w:hideMark/>
          </w:tcPr>
          <w:p w14:paraId="24F045E3"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Radford</w:t>
            </w:r>
          </w:p>
        </w:tc>
        <w:tc>
          <w:tcPr>
            <w:tcW w:w="1178" w:type="pct"/>
            <w:hideMark/>
          </w:tcPr>
          <w:p w14:paraId="30B5DC0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Sam</w:t>
            </w:r>
          </w:p>
        </w:tc>
        <w:tc>
          <w:tcPr>
            <w:tcW w:w="2644" w:type="pct"/>
            <w:hideMark/>
          </w:tcPr>
          <w:p w14:paraId="32A4BD46" w14:textId="77777777" w:rsidR="00EB728C"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DonateLife VIC</w:t>
            </w:r>
          </w:p>
          <w:p w14:paraId="4BC7963E" w14:textId="286D5783" w:rsidR="002D695E" w:rsidRPr="007B5055" w:rsidRDefault="002D695E"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Austin and Warringal Private hospitals</w:t>
            </w:r>
          </w:p>
        </w:tc>
      </w:tr>
      <w:tr w:rsidR="00EB728C" w:rsidRPr="007B5055" w14:paraId="2BB7F62C" w14:textId="77777777" w:rsidTr="003B3300">
        <w:trPr>
          <w:trHeight w:val="439"/>
        </w:trPr>
        <w:tc>
          <w:tcPr>
            <w:tcW w:w="1178" w:type="pct"/>
            <w:hideMark/>
          </w:tcPr>
          <w:p w14:paraId="025D5404"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Ray</w:t>
            </w:r>
          </w:p>
        </w:tc>
        <w:tc>
          <w:tcPr>
            <w:tcW w:w="1178" w:type="pct"/>
            <w:hideMark/>
          </w:tcPr>
          <w:p w14:paraId="516CD98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Soumya</w:t>
            </w:r>
          </w:p>
        </w:tc>
        <w:tc>
          <w:tcPr>
            <w:tcW w:w="2644" w:type="pct"/>
            <w:hideMark/>
          </w:tcPr>
          <w:p w14:paraId="57E29D4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Royal Perth Hospital, DonateLife WA</w:t>
            </w:r>
          </w:p>
        </w:tc>
      </w:tr>
      <w:tr w:rsidR="00EB728C" w:rsidRPr="007B5055" w14:paraId="7A0F6787" w14:textId="77777777" w:rsidTr="003B3300">
        <w:trPr>
          <w:trHeight w:val="439"/>
        </w:trPr>
        <w:tc>
          <w:tcPr>
            <w:tcW w:w="1178" w:type="pct"/>
            <w:hideMark/>
          </w:tcPr>
          <w:p w14:paraId="4B6BBFDD"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Richards</w:t>
            </w:r>
          </w:p>
        </w:tc>
        <w:tc>
          <w:tcPr>
            <w:tcW w:w="1178" w:type="pct"/>
            <w:hideMark/>
          </w:tcPr>
          <w:p w14:paraId="7FAC5ED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Gregory</w:t>
            </w:r>
          </w:p>
        </w:tc>
        <w:tc>
          <w:tcPr>
            <w:tcW w:w="2644" w:type="pct"/>
            <w:hideMark/>
          </w:tcPr>
          <w:p w14:paraId="12C065D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Queensland Health </w:t>
            </w:r>
          </w:p>
        </w:tc>
      </w:tr>
      <w:tr w:rsidR="00EB728C" w:rsidRPr="007B5055" w14:paraId="6BEC4A06" w14:textId="77777777" w:rsidTr="003B3300">
        <w:trPr>
          <w:trHeight w:val="439"/>
        </w:trPr>
        <w:tc>
          <w:tcPr>
            <w:tcW w:w="1178" w:type="pct"/>
            <w:hideMark/>
          </w:tcPr>
          <w:p w14:paraId="3C03AD5D"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Robins</w:t>
            </w:r>
          </w:p>
        </w:tc>
        <w:tc>
          <w:tcPr>
            <w:tcW w:w="1178" w:type="pct"/>
            <w:hideMark/>
          </w:tcPr>
          <w:p w14:paraId="741EA46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Anthony</w:t>
            </w:r>
          </w:p>
        </w:tc>
        <w:tc>
          <w:tcPr>
            <w:tcW w:w="2644" w:type="pct"/>
            <w:hideMark/>
          </w:tcPr>
          <w:p w14:paraId="5696A2B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Western Australia Country Health Service</w:t>
            </w:r>
          </w:p>
        </w:tc>
      </w:tr>
      <w:tr w:rsidR="00EB728C" w:rsidRPr="007B5055" w14:paraId="57D37019" w14:textId="77777777" w:rsidTr="003B3300">
        <w:trPr>
          <w:trHeight w:val="439"/>
        </w:trPr>
        <w:tc>
          <w:tcPr>
            <w:tcW w:w="1178" w:type="pct"/>
            <w:hideMark/>
          </w:tcPr>
          <w:p w14:paraId="62E0AD5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Russ</w:t>
            </w:r>
          </w:p>
        </w:tc>
        <w:tc>
          <w:tcPr>
            <w:tcW w:w="1178" w:type="pct"/>
            <w:hideMark/>
          </w:tcPr>
          <w:p w14:paraId="6066781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Graeme</w:t>
            </w:r>
          </w:p>
        </w:tc>
        <w:tc>
          <w:tcPr>
            <w:tcW w:w="2644" w:type="pct"/>
            <w:hideMark/>
          </w:tcPr>
          <w:p w14:paraId="561AA90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Royal Adelaide Hospital </w:t>
            </w:r>
          </w:p>
        </w:tc>
      </w:tr>
      <w:tr w:rsidR="00EB728C" w:rsidRPr="007B5055" w14:paraId="54458283" w14:textId="77777777" w:rsidTr="003B3300">
        <w:trPr>
          <w:trHeight w:val="439"/>
        </w:trPr>
        <w:tc>
          <w:tcPr>
            <w:tcW w:w="1178" w:type="pct"/>
            <w:hideMark/>
          </w:tcPr>
          <w:p w14:paraId="658040E7"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Saunder</w:t>
            </w:r>
          </w:p>
        </w:tc>
        <w:tc>
          <w:tcPr>
            <w:tcW w:w="1178" w:type="pct"/>
            <w:hideMark/>
          </w:tcPr>
          <w:p w14:paraId="0446C54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Alan</w:t>
            </w:r>
          </w:p>
        </w:tc>
        <w:tc>
          <w:tcPr>
            <w:tcW w:w="2644" w:type="pct"/>
            <w:hideMark/>
          </w:tcPr>
          <w:p w14:paraId="2A09C7D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St John of God Berwick Hospital </w:t>
            </w:r>
          </w:p>
        </w:tc>
      </w:tr>
      <w:tr w:rsidR="00EB728C" w:rsidRPr="007B5055" w14:paraId="2669B5FF" w14:textId="77777777" w:rsidTr="003B3300">
        <w:trPr>
          <w:trHeight w:val="439"/>
        </w:trPr>
        <w:tc>
          <w:tcPr>
            <w:tcW w:w="1178" w:type="pct"/>
            <w:hideMark/>
          </w:tcPr>
          <w:p w14:paraId="09ACC6E4"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Shackel</w:t>
            </w:r>
          </w:p>
        </w:tc>
        <w:tc>
          <w:tcPr>
            <w:tcW w:w="1178" w:type="pct"/>
            <w:hideMark/>
          </w:tcPr>
          <w:p w14:paraId="4456D08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Nicholas</w:t>
            </w:r>
          </w:p>
        </w:tc>
        <w:tc>
          <w:tcPr>
            <w:tcW w:w="2644" w:type="pct"/>
            <w:hideMark/>
          </w:tcPr>
          <w:p w14:paraId="518996C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Liverpool Hospital </w:t>
            </w:r>
          </w:p>
        </w:tc>
      </w:tr>
      <w:tr w:rsidR="00EB728C" w:rsidRPr="007B5055" w14:paraId="175C6484" w14:textId="77777777" w:rsidTr="003B3300">
        <w:trPr>
          <w:trHeight w:val="439"/>
        </w:trPr>
        <w:tc>
          <w:tcPr>
            <w:tcW w:w="1178" w:type="pct"/>
            <w:hideMark/>
          </w:tcPr>
          <w:p w14:paraId="4077B47B"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Shun</w:t>
            </w:r>
          </w:p>
        </w:tc>
        <w:tc>
          <w:tcPr>
            <w:tcW w:w="1178" w:type="pct"/>
            <w:hideMark/>
          </w:tcPr>
          <w:p w14:paraId="4B53990A"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Albert</w:t>
            </w:r>
          </w:p>
        </w:tc>
        <w:tc>
          <w:tcPr>
            <w:tcW w:w="2644" w:type="pct"/>
            <w:hideMark/>
          </w:tcPr>
          <w:p w14:paraId="612303F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Children’s Hospital Westmead </w:t>
            </w:r>
          </w:p>
        </w:tc>
      </w:tr>
      <w:tr w:rsidR="00EB728C" w:rsidRPr="007B5055" w14:paraId="6BB69952" w14:textId="77777777" w:rsidTr="003B3300">
        <w:trPr>
          <w:trHeight w:val="439"/>
        </w:trPr>
        <w:tc>
          <w:tcPr>
            <w:tcW w:w="1178" w:type="pct"/>
            <w:hideMark/>
          </w:tcPr>
          <w:p w14:paraId="4E88D57F"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Silvester</w:t>
            </w:r>
          </w:p>
        </w:tc>
        <w:tc>
          <w:tcPr>
            <w:tcW w:w="1178" w:type="pct"/>
            <w:hideMark/>
          </w:tcPr>
          <w:p w14:paraId="7273562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William</w:t>
            </w:r>
          </w:p>
        </w:tc>
        <w:tc>
          <w:tcPr>
            <w:tcW w:w="2644" w:type="pct"/>
            <w:hideMark/>
          </w:tcPr>
          <w:p w14:paraId="4DBD216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Australian and New Zealand Intensive Care Society, DonateLife VIC</w:t>
            </w:r>
          </w:p>
        </w:tc>
      </w:tr>
      <w:tr w:rsidR="00EB728C" w:rsidRPr="007B5055" w14:paraId="01F05CB9" w14:textId="77777777" w:rsidTr="003B3300">
        <w:trPr>
          <w:trHeight w:val="440"/>
        </w:trPr>
        <w:tc>
          <w:tcPr>
            <w:tcW w:w="1178" w:type="pct"/>
            <w:hideMark/>
          </w:tcPr>
          <w:p w14:paraId="5724CE22"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Smith</w:t>
            </w:r>
          </w:p>
        </w:tc>
        <w:tc>
          <w:tcPr>
            <w:tcW w:w="1178" w:type="pct"/>
            <w:hideMark/>
          </w:tcPr>
          <w:p w14:paraId="3A04C53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Melissa</w:t>
            </w:r>
          </w:p>
        </w:tc>
        <w:tc>
          <w:tcPr>
            <w:tcW w:w="2644" w:type="pct"/>
            <w:hideMark/>
          </w:tcPr>
          <w:p w14:paraId="640DD6A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Donatelife WA</w:t>
            </w:r>
          </w:p>
        </w:tc>
      </w:tr>
      <w:tr w:rsidR="00EB728C" w:rsidRPr="007B5055" w14:paraId="0E9BD727" w14:textId="77777777" w:rsidTr="003B3300">
        <w:trPr>
          <w:trHeight w:val="439"/>
        </w:trPr>
        <w:tc>
          <w:tcPr>
            <w:tcW w:w="1178" w:type="pct"/>
            <w:hideMark/>
          </w:tcPr>
          <w:p w14:paraId="7D21E471"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Snell</w:t>
            </w:r>
          </w:p>
        </w:tc>
        <w:tc>
          <w:tcPr>
            <w:tcW w:w="1178" w:type="pct"/>
            <w:hideMark/>
          </w:tcPr>
          <w:p w14:paraId="1845CEF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Greg</w:t>
            </w:r>
          </w:p>
        </w:tc>
        <w:tc>
          <w:tcPr>
            <w:tcW w:w="2644" w:type="pct"/>
            <w:hideMark/>
          </w:tcPr>
          <w:p w14:paraId="4920E91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The Alfred Hospital </w:t>
            </w:r>
          </w:p>
        </w:tc>
      </w:tr>
      <w:tr w:rsidR="00EB728C" w:rsidRPr="007B5055" w14:paraId="49543DF7" w14:textId="77777777" w:rsidTr="003B3300">
        <w:trPr>
          <w:trHeight w:val="439"/>
        </w:trPr>
        <w:tc>
          <w:tcPr>
            <w:tcW w:w="1178" w:type="pct"/>
            <w:hideMark/>
          </w:tcPr>
          <w:p w14:paraId="0B99AFF0"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Spurrier</w:t>
            </w:r>
          </w:p>
        </w:tc>
        <w:tc>
          <w:tcPr>
            <w:tcW w:w="1178" w:type="pct"/>
            <w:hideMark/>
          </w:tcPr>
          <w:p w14:paraId="21FF499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Nicholas</w:t>
            </w:r>
          </w:p>
        </w:tc>
        <w:tc>
          <w:tcPr>
            <w:tcW w:w="2644" w:type="pct"/>
            <w:hideMark/>
          </w:tcPr>
          <w:p w14:paraId="59B67FD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Department for Health and Ageing, South Australia </w:t>
            </w:r>
          </w:p>
        </w:tc>
      </w:tr>
      <w:tr w:rsidR="00EB728C" w:rsidRPr="007B5055" w14:paraId="530F8668" w14:textId="77777777" w:rsidTr="003B3300">
        <w:trPr>
          <w:trHeight w:val="439"/>
        </w:trPr>
        <w:tc>
          <w:tcPr>
            <w:tcW w:w="1178" w:type="pct"/>
            <w:hideMark/>
          </w:tcPr>
          <w:p w14:paraId="3FDA102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Stacey</w:t>
            </w:r>
          </w:p>
        </w:tc>
        <w:tc>
          <w:tcPr>
            <w:tcW w:w="1178" w:type="pct"/>
            <w:hideMark/>
          </w:tcPr>
          <w:p w14:paraId="2BAAD02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James</w:t>
            </w:r>
          </w:p>
        </w:tc>
        <w:tc>
          <w:tcPr>
            <w:tcW w:w="2644" w:type="pct"/>
            <w:hideMark/>
          </w:tcPr>
          <w:p w14:paraId="5300718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Kimberly Aboriginal Medical Services</w:t>
            </w:r>
          </w:p>
        </w:tc>
      </w:tr>
      <w:tr w:rsidR="00EB728C" w:rsidRPr="007B5055" w14:paraId="11B03B8B" w14:textId="77777777" w:rsidTr="003B3300">
        <w:trPr>
          <w:trHeight w:val="439"/>
        </w:trPr>
        <w:tc>
          <w:tcPr>
            <w:tcW w:w="1178" w:type="pct"/>
            <w:hideMark/>
          </w:tcPr>
          <w:p w14:paraId="15A41921"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Stacey</w:t>
            </w:r>
          </w:p>
        </w:tc>
        <w:tc>
          <w:tcPr>
            <w:tcW w:w="1178" w:type="pct"/>
            <w:hideMark/>
          </w:tcPr>
          <w:p w14:paraId="5364B63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Sharon</w:t>
            </w:r>
          </w:p>
        </w:tc>
        <w:tc>
          <w:tcPr>
            <w:tcW w:w="2644" w:type="pct"/>
            <w:hideMark/>
          </w:tcPr>
          <w:p w14:paraId="59AE604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Princess Margaret Hospital </w:t>
            </w:r>
          </w:p>
        </w:tc>
      </w:tr>
      <w:tr w:rsidR="00EB728C" w:rsidRPr="007B5055" w14:paraId="745E2522" w14:textId="77777777" w:rsidTr="003B3300">
        <w:trPr>
          <w:trHeight w:val="439"/>
        </w:trPr>
        <w:tc>
          <w:tcPr>
            <w:tcW w:w="1178" w:type="pct"/>
            <w:hideMark/>
          </w:tcPr>
          <w:p w14:paraId="30E8FC5E"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Starkey</w:t>
            </w:r>
          </w:p>
        </w:tc>
        <w:tc>
          <w:tcPr>
            <w:tcW w:w="1178" w:type="pct"/>
            <w:hideMark/>
          </w:tcPr>
          <w:p w14:paraId="752676D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Graham</w:t>
            </w:r>
          </w:p>
        </w:tc>
        <w:tc>
          <w:tcPr>
            <w:tcW w:w="2644" w:type="pct"/>
            <w:hideMark/>
          </w:tcPr>
          <w:p w14:paraId="5FA9138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The Austin Hospital </w:t>
            </w:r>
          </w:p>
        </w:tc>
      </w:tr>
      <w:tr w:rsidR="00EB728C" w:rsidRPr="007B5055" w14:paraId="41CCC0AA" w14:textId="77777777" w:rsidTr="003B3300">
        <w:trPr>
          <w:trHeight w:val="439"/>
        </w:trPr>
        <w:tc>
          <w:tcPr>
            <w:tcW w:w="1178" w:type="pct"/>
            <w:hideMark/>
          </w:tcPr>
          <w:p w14:paraId="5AC3916C"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Steele</w:t>
            </w:r>
          </w:p>
        </w:tc>
        <w:tc>
          <w:tcPr>
            <w:tcW w:w="1178" w:type="pct"/>
            <w:hideMark/>
          </w:tcPr>
          <w:p w14:paraId="1BAEB0A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Nick</w:t>
            </w:r>
          </w:p>
        </w:tc>
        <w:tc>
          <w:tcPr>
            <w:tcW w:w="2644" w:type="pct"/>
            <w:hideMark/>
          </w:tcPr>
          <w:p w14:paraId="17BCD1E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Queensland Health </w:t>
            </w:r>
          </w:p>
        </w:tc>
      </w:tr>
      <w:tr w:rsidR="00EB728C" w:rsidRPr="007B5055" w14:paraId="71DB34FA" w14:textId="77777777" w:rsidTr="003B3300">
        <w:trPr>
          <w:trHeight w:val="439"/>
        </w:trPr>
        <w:tc>
          <w:tcPr>
            <w:tcW w:w="1178" w:type="pct"/>
            <w:hideMark/>
          </w:tcPr>
          <w:p w14:paraId="6708135F"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Storman</w:t>
            </w:r>
          </w:p>
        </w:tc>
        <w:tc>
          <w:tcPr>
            <w:tcW w:w="1178" w:type="pct"/>
            <w:hideMark/>
          </w:tcPr>
          <w:p w14:paraId="3BDC06A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Michael</w:t>
            </w:r>
          </w:p>
        </w:tc>
        <w:tc>
          <w:tcPr>
            <w:tcW w:w="2644" w:type="pct"/>
            <w:hideMark/>
          </w:tcPr>
          <w:p w14:paraId="02F7A75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Children’s Hospital Westmead </w:t>
            </w:r>
          </w:p>
        </w:tc>
      </w:tr>
      <w:tr w:rsidR="00EB728C" w:rsidRPr="007B5055" w14:paraId="64AE6B02" w14:textId="77777777" w:rsidTr="003B3300">
        <w:trPr>
          <w:trHeight w:val="439"/>
        </w:trPr>
        <w:tc>
          <w:tcPr>
            <w:tcW w:w="1178" w:type="pct"/>
            <w:hideMark/>
          </w:tcPr>
          <w:p w14:paraId="018C5782" w14:textId="77777777" w:rsidR="00EB728C" w:rsidRPr="002A1902" w:rsidRDefault="00EB728C" w:rsidP="003B3300">
            <w:pPr>
              <w:widowControl/>
              <w:autoSpaceDE/>
              <w:autoSpaceDN/>
              <w:adjustRightInd/>
              <w:spacing w:after="0"/>
              <w:rPr>
                <w:rFonts w:ascii="Calibri" w:hAnsi="Calibri" w:cs="Calibri"/>
                <w:b/>
                <w:color w:val="000000"/>
                <w:szCs w:val="18"/>
                <w:lang w:eastAsia="en-AU"/>
              </w:rPr>
            </w:pPr>
            <w:r w:rsidRPr="002A1902">
              <w:rPr>
                <w:rFonts w:ascii="Calibri" w:hAnsi="Calibri" w:cs="Calibri"/>
                <w:b/>
                <w:color w:val="000000"/>
                <w:szCs w:val="18"/>
                <w:lang w:eastAsia="en-AU"/>
              </w:rPr>
              <w:t>Taylor</w:t>
            </w:r>
          </w:p>
        </w:tc>
        <w:tc>
          <w:tcPr>
            <w:tcW w:w="1178" w:type="pct"/>
            <w:hideMark/>
          </w:tcPr>
          <w:p w14:paraId="0005C403" w14:textId="77777777" w:rsidR="00EB728C" w:rsidRPr="002A1902" w:rsidRDefault="00EB728C" w:rsidP="003B3300">
            <w:pPr>
              <w:widowControl/>
              <w:autoSpaceDE/>
              <w:autoSpaceDN/>
              <w:adjustRightInd/>
              <w:spacing w:after="0"/>
              <w:rPr>
                <w:rFonts w:ascii="Calibri" w:hAnsi="Calibri" w:cs="Calibri"/>
                <w:color w:val="000000"/>
                <w:szCs w:val="18"/>
                <w:lang w:eastAsia="en-AU"/>
              </w:rPr>
            </w:pPr>
            <w:r w:rsidRPr="002A1902">
              <w:rPr>
                <w:rFonts w:ascii="Calibri" w:hAnsi="Calibri" w:cs="Calibri"/>
                <w:color w:val="000000"/>
                <w:szCs w:val="18"/>
                <w:lang w:eastAsia="en-AU"/>
              </w:rPr>
              <w:t>Eileen</w:t>
            </w:r>
          </w:p>
        </w:tc>
        <w:tc>
          <w:tcPr>
            <w:tcW w:w="2644" w:type="pct"/>
            <w:hideMark/>
          </w:tcPr>
          <w:p w14:paraId="783D59E4" w14:textId="1BB3843E" w:rsidR="00EB728C" w:rsidRPr="002A1902" w:rsidRDefault="002A1902"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 xml:space="preserve">Queensland Health </w:t>
            </w:r>
          </w:p>
        </w:tc>
      </w:tr>
      <w:tr w:rsidR="00EB728C" w:rsidRPr="007B5055" w14:paraId="40BE1291" w14:textId="77777777" w:rsidTr="003B3300">
        <w:trPr>
          <w:trHeight w:val="439"/>
        </w:trPr>
        <w:tc>
          <w:tcPr>
            <w:tcW w:w="1178" w:type="pct"/>
            <w:hideMark/>
          </w:tcPr>
          <w:p w14:paraId="124C244A"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Tesar</w:t>
            </w:r>
          </w:p>
        </w:tc>
        <w:tc>
          <w:tcPr>
            <w:tcW w:w="1178" w:type="pct"/>
            <w:hideMark/>
          </w:tcPr>
          <w:p w14:paraId="0E18E85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Peter</w:t>
            </w:r>
          </w:p>
        </w:tc>
        <w:tc>
          <w:tcPr>
            <w:tcW w:w="2644" w:type="pct"/>
            <w:hideMark/>
          </w:tcPr>
          <w:p w14:paraId="6C958FE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St Andrew's War Memorial Hospital Brisbane</w:t>
            </w:r>
          </w:p>
        </w:tc>
      </w:tr>
      <w:tr w:rsidR="00EB728C" w:rsidRPr="007B5055" w14:paraId="0F17F42E" w14:textId="77777777" w:rsidTr="003B3300">
        <w:trPr>
          <w:trHeight w:val="439"/>
        </w:trPr>
        <w:tc>
          <w:tcPr>
            <w:tcW w:w="1178" w:type="pct"/>
            <w:hideMark/>
          </w:tcPr>
          <w:p w14:paraId="56DB1E84"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Thomas</w:t>
            </w:r>
          </w:p>
        </w:tc>
        <w:tc>
          <w:tcPr>
            <w:tcW w:w="1178" w:type="pct"/>
            <w:hideMark/>
          </w:tcPr>
          <w:p w14:paraId="2F2E7FA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Gordon </w:t>
            </w:r>
          </w:p>
        </w:tc>
        <w:tc>
          <w:tcPr>
            <w:tcW w:w="2644" w:type="pct"/>
            <w:hideMark/>
          </w:tcPr>
          <w:p w14:paraId="25E2F68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The Children's Hospital at Westmead</w:t>
            </w:r>
          </w:p>
        </w:tc>
      </w:tr>
      <w:tr w:rsidR="00EB728C" w:rsidRPr="007B5055" w14:paraId="7E546A4E" w14:textId="77777777" w:rsidTr="003B3300">
        <w:trPr>
          <w:trHeight w:val="439"/>
        </w:trPr>
        <w:tc>
          <w:tcPr>
            <w:tcW w:w="1178" w:type="pct"/>
            <w:hideMark/>
          </w:tcPr>
          <w:p w14:paraId="24FF5477"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Thomas</w:t>
            </w:r>
          </w:p>
        </w:tc>
        <w:tc>
          <w:tcPr>
            <w:tcW w:w="1178" w:type="pct"/>
            <w:hideMark/>
          </w:tcPr>
          <w:p w14:paraId="7258253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Chris</w:t>
            </w:r>
          </w:p>
        </w:tc>
        <w:tc>
          <w:tcPr>
            <w:tcW w:w="2644" w:type="pct"/>
            <w:hideMark/>
          </w:tcPr>
          <w:p w14:paraId="3A98432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Transplant Australia</w:t>
            </w:r>
          </w:p>
        </w:tc>
      </w:tr>
      <w:tr w:rsidR="00EB728C" w:rsidRPr="007B5055" w14:paraId="74EA9FCB" w14:textId="77777777" w:rsidTr="003B3300">
        <w:trPr>
          <w:trHeight w:val="439"/>
        </w:trPr>
        <w:tc>
          <w:tcPr>
            <w:tcW w:w="1178" w:type="pct"/>
            <w:hideMark/>
          </w:tcPr>
          <w:p w14:paraId="077F3550" w14:textId="77777777" w:rsidR="00EB728C" w:rsidRPr="007E232E" w:rsidRDefault="00EB728C" w:rsidP="003B3300">
            <w:pPr>
              <w:widowControl/>
              <w:autoSpaceDE/>
              <w:autoSpaceDN/>
              <w:adjustRightInd/>
              <w:spacing w:after="0"/>
              <w:rPr>
                <w:rFonts w:ascii="Calibri" w:hAnsi="Calibri" w:cs="Calibri"/>
                <w:b/>
                <w:color w:val="000000"/>
                <w:szCs w:val="18"/>
                <w:lang w:eastAsia="en-AU"/>
              </w:rPr>
            </w:pPr>
            <w:r w:rsidRPr="007E232E">
              <w:rPr>
                <w:rFonts w:ascii="Calibri" w:hAnsi="Calibri" w:cs="Calibri"/>
                <w:b/>
                <w:color w:val="000000"/>
                <w:szCs w:val="18"/>
                <w:lang w:eastAsia="en-AU"/>
              </w:rPr>
              <w:t>Thornton</w:t>
            </w:r>
          </w:p>
        </w:tc>
        <w:tc>
          <w:tcPr>
            <w:tcW w:w="1178" w:type="pct"/>
            <w:hideMark/>
          </w:tcPr>
          <w:p w14:paraId="362D0505" w14:textId="77777777" w:rsidR="00EB728C" w:rsidRPr="007E232E" w:rsidRDefault="00EB728C" w:rsidP="003B3300">
            <w:pPr>
              <w:widowControl/>
              <w:autoSpaceDE/>
              <w:autoSpaceDN/>
              <w:adjustRightInd/>
              <w:spacing w:after="0"/>
              <w:rPr>
                <w:rFonts w:ascii="Calibri" w:hAnsi="Calibri" w:cs="Calibri"/>
                <w:color w:val="000000"/>
                <w:szCs w:val="18"/>
                <w:lang w:eastAsia="en-AU"/>
              </w:rPr>
            </w:pPr>
            <w:r w:rsidRPr="007E232E">
              <w:rPr>
                <w:rFonts w:ascii="Calibri" w:hAnsi="Calibri" w:cs="Calibri"/>
                <w:color w:val="000000"/>
                <w:szCs w:val="18"/>
                <w:lang w:eastAsia="en-AU"/>
              </w:rPr>
              <w:t>Lisa</w:t>
            </w:r>
          </w:p>
        </w:tc>
        <w:tc>
          <w:tcPr>
            <w:tcW w:w="2644" w:type="pct"/>
            <w:hideMark/>
          </w:tcPr>
          <w:p w14:paraId="78266B2D" w14:textId="3A33FD57" w:rsidR="00EB728C" w:rsidRPr="007E232E" w:rsidRDefault="007E232E" w:rsidP="003B3300">
            <w:pPr>
              <w:widowControl/>
              <w:autoSpaceDE/>
              <w:autoSpaceDN/>
              <w:adjustRightInd/>
              <w:spacing w:after="0"/>
              <w:rPr>
                <w:rFonts w:ascii="Calibri" w:hAnsi="Calibri" w:cs="Calibri"/>
                <w:color w:val="000000"/>
                <w:szCs w:val="18"/>
                <w:lang w:eastAsia="en-AU"/>
              </w:rPr>
            </w:pPr>
            <w:r w:rsidRPr="007E232E">
              <w:rPr>
                <w:rFonts w:ascii="Calibri" w:hAnsi="Calibri" w:cs="Calibri"/>
                <w:color w:val="000000"/>
                <w:szCs w:val="18"/>
                <w:lang w:eastAsia="en-AU"/>
              </w:rPr>
              <w:t>Unknown at this time</w:t>
            </w:r>
          </w:p>
        </w:tc>
      </w:tr>
      <w:tr w:rsidR="00EB728C" w:rsidRPr="007B5055" w14:paraId="61CEA0F9" w14:textId="77777777" w:rsidTr="003B3300">
        <w:trPr>
          <w:trHeight w:val="439"/>
        </w:trPr>
        <w:tc>
          <w:tcPr>
            <w:tcW w:w="1178" w:type="pct"/>
            <w:hideMark/>
          </w:tcPr>
          <w:p w14:paraId="68013816"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Thwaites</w:t>
            </w:r>
          </w:p>
        </w:tc>
        <w:tc>
          <w:tcPr>
            <w:tcW w:w="1178" w:type="pct"/>
            <w:hideMark/>
          </w:tcPr>
          <w:p w14:paraId="11D1A24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Stephen</w:t>
            </w:r>
          </w:p>
        </w:tc>
        <w:tc>
          <w:tcPr>
            <w:tcW w:w="2644" w:type="pct"/>
            <w:hideMark/>
          </w:tcPr>
          <w:p w14:paraId="324A273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Monash Health</w:t>
            </w:r>
          </w:p>
        </w:tc>
      </w:tr>
      <w:tr w:rsidR="00EB728C" w:rsidRPr="007B5055" w14:paraId="64932D1C" w14:textId="77777777" w:rsidTr="003B3300">
        <w:trPr>
          <w:trHeight w:val="439"/>
        </w:trPr>
        <w:tc>
          <w:tcPr>
            <w:tcW w:w="1178" w:type="pct"/>
            <w:hideMark/>
          </w:tcPr>
          <w:p w14:paraId="4F025B4E"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Tobin</w:t>
            </w:r>
          </w:p>
        </w:tc>
        <w:tc>
          <w:tcPr>
            <w:tcW w:w="1178" w:type="pct"/>
            <w:hideMark/>
          </w:tcPr>
          <w:p w14:paraId="287599E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Patrick</w:t>
            </w:r>
          </w:p>
        </w:tc>
        <w:tc>
          <w:tcPr>
            <w:tcW w:w="2644" w:type="pct"/>
            <w:hideMark/>
          </w:tcPr>
          <w:p w14:paraId="429EE3BA"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The Royal Australasian College of Physicians</w:t>
            </w:r>
          </w:p>
        </w:tc>
      </w:tr>
      <w:tr w:rsidR="00EB728C" w:rsidRPr="007B5055" w14:paraId="6AF6EF0E" w14:textId="77777777" w:rsidTr="003B3300">
        <w:trPr>
          <w:trHeight w:val="439"/>
        </w:trPr>
        <w:tc>
          <w:tcPr>
            <w:tcW w:w="1178" w:type="pct"/>
            <w:hideMark/>
          </w:tcPr>
          <w:p w14:paraId="7D368381"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Towns</w:t>
            </w:r>
          </w:p>
        </w:tc>
        <w:tc>
          <w:tcPr>
            <w:tcW w:w="1178" w:type="pct"/>
            <w:hideMark/>
          </w:tcPr>
          <w:p w14:paraId="2F5FE12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Susan</w:t>
            </w:r>
          </w:p>
        </w:tc>
        <w:tc>
          <w:tcPr>
            <w:tcW w:w="2644" w:type="pct"/>
            <w:hideMark/>
          </w:tcPr>
          <w:p w14:paraId="0C4C6CCF"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DonateLife TAS</w:t>
            </w:r>
          </w:p>
        </w:tc>
      </w:tr>
      <w:tr w:rsidR="00EB728C" w:rsidRPr="007B5055" w14:paraId="71AAFC26" w14:textId="77777777" w:rsidTr="003B3300">
        <w:trPr>
          <w:trHeight w:val="439"/>
        </w:trPr>
        <w:tc>
          <w:tcPr>
            <w:tcW w:w="1178" w:type="pct"/>
            <w:hideMark/>
          </w:tcPr>
          <w:p w14:paraId="1E3DCC3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Trotter</w:t>
            </w:r>
          </w:p>
        </w:tc>
        <w:tc>
          <w:tcPr>
            <w:tcW w:w="1178" w:type="pct"/>
            <w:hideMark/>
          </w:tcPr>
          <w:p w14:paraId="43D05BFB"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Michael</w:t>
            </w:r>
          </w:p>
        </w:tc>
        <w:tc>
          <w:tcPr>
            <w:tcW w:w="2644" w:type="pct"/>
            <w:hideMark/>
          </w:tcPr>
          <w:p w14:paraId="2B658BA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Metro North Hospital and Health Service</w:t>
            </w:r>
          </w:p>
        </w:tc>
      </w:tr>
      <w:tr w:rsidR="00EB728C" w:rsidRPr="007B5055" w14:paraId="6CCF0A8A" w14:textId="77777777" w:rsidTr="003B3300">
        <w:trPr>
          <w:trHeight w:val="440"/>
        </w:trPr>
        <w:tc>
          <w:tcPr>
            <w:tcW w:w="1178" w:type="pct"/>
            <w:hideMark/>
          </w:tcPr>
          <w:p w14:paraId="47983B62"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Turner</w:t>
            </w:r>
          </w:p>
        </w:tc>
        <w:tc>
          <w:tcPr>
            <w:tcW w:w="1178" w:type="pct"/>
            <w:hideMark/>
          </w:tcPr>
          <w:p w14:paraId="362B08E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Andrew </w:t>
            </w:r>
          </w:p>
        </w:tc>
        <w:tc>
          <w:tcPr>
            <w:tcW w:w="2644" w:type="pct"/>
            <w:hideMark/>
          </w:tcPr>
          <w:p w14:paraId="05C31323" w14:textId="77777777" w:rsidR="00EB728C"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DonateLife TAS</w:t>
            </w:r>
          </w:p>
          <w:p w14:paraId="2C023C46" w14:textId="700ED2D3" w:rsidR="002D695E" w:rsidRPr="007B5055" w:rsidRDefault="002D695E"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 xml:space="preserve">Royal Hobart Hospital </w:t>
            </w:r>
          </w:p>
        </w:tc>
      </w:tr>
      <w:tr w:rsidR="00EB728C" w:rsidRPr="007B5055" w14:paraId="446B3D43" w14:textId="77777777" w:rsidTr="003B3300">
        <w:trPr>
          <w:trHeight w:val="439"/>
        </w:trPr>
        <w:tc>
          <w:tcPr>
            <w:tcW w:w="1178" w:type="pct"/>
            <w:hideMark/>
          </w:tcPr>
          <w:p w14:paraId="5DD44A6A" w14:textId="51882C0D"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Vago</w:t>
            </w:r>
          </w:p>
        </w:tc>
        <w:tc>
          <w:tcPr>
            <w:tcW w:w="1178" w:type="pct"/>
            <w:hideMark/>
          </w:tcPr>
          <w:p w14:paraId="3437AF2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Angela</w:t>
            </w:r>
          </w:p>
        </w:tc>
        <w:tc>
          <w:tcPr>
            <w:tcW w:w="2644" w:type="pct"/>
            <w:hideMark/>
          </w:tcPr>
          <w:p w14:paraId="57467109"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Austin Hospital </w:t>
            </w:r>
          </w:p>
        </w:tc>
      </w:tr>
      <w:tr w:rsidR="00EB728C" w:rsidRPr="007B5055" w14:paraId="584EF189" w14:textId="77777777" w:rsidTr="003B3300">
        <w:trPr>
          <w:trHeight w:val="439"/>
        </w:trPr>
        <w:tc>
          <w:tcPr>
            <w:tcW w:w="1178" w:type="pct"/>
            <w:hideMark/>
          </w:tcPr>
          <w:p w14:paraId="611A08C2"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van Hardeveld</w:t>
            </w:r>
          </w:p>
        </w:tc>
        <w:tc>
          <w:tcPr>
            <w:tcW w:w="1178" w:type="pct"/>
            <w:hideMark/>
          </w:tcPr>
          <w:p w14:paraId="3ECED70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Emma</w:t>
            </w:r>
          </w:p>
        </w:tc>
        <w:tc>
          <w:tcPr>
            <w:tcW w:w="2644" w:type="pct"/>
            <w:hideMark/>
          </w:tcPr>
          <w:p w14:paraId="201B747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The Royal Melbourne Hospital, Victorian &amp; Tasmanian Renal Transplant Advisory Committee (VTRTAC) </w:t>
            </w:r>
          </w:p>
        </w:tc>
      </w:tr>
      <w:tr w:rsidR="00EB728C" w:rsidRPr="007B5055" w14:paraId="038799B8" w14:textId="77777777" w:rsidTr="003B3300">
        <w:trPr>
          <w:trHeight w:val="439"/>
        </w:trPr>
        <w:tc>
          <w:tcPr>
            <w:tcW w:w="1178" w:type="pct"/>
            <w:hideMark/>
          </w:tcPr>
          <w:p w14:paraId="6794F07B"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van Haren</w:t>
            </w:r>
          </w:p>
        </w:tc>
        <w:tc>
          <w:tcPr>
            <w:tcW w:w="1178" w:type="pct"/>
            <w:hideMark/>
          </w:tcPr>
          <w:p w14:paraId="57DA851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Frank</w:t>
            </w:r>
          </w:p>
        </w:tc>
        <w:tc>
          <w:tcPr>
            <w:tcW w:w="2644" w:type="pct"/>
            <w:hideMark/>
          </w:tcPr>
          <w:p w14:paraId="03BADC45" w14:textId="77777777" w:rsidR="00EB728C"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DonateLife ACT</w:t>
            </w:r>
          </w:p>
          <w:p w14:paraId="7531689F" w14:textId="32A10109" w:rsidR="002D695E" w:rsidRPr="007B5055" w:rsidRDefault="002D695E"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Canberra Hospital</w:t>
            </w:r>
          </w:p>
        </w:tc>
      </w:tr>
      <w:tr w:rsidR="00EB728C" w:rsidRPr="007B5055" w14:paraId="709E178E" w14:textId="77777777" w:rsidTr="003B3300">
        <w:trPr>
          <w:trHeight w:val="439"/>
        </w:trPr>
        <w:tc>
          <w:tcPr>
            <w:tcW w:w="1178" w:type="pct"/>
            <w:hideMark/>
          </w:tcPr>
          <w:p w14:paraId="0420E85C"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Verran</w:t>
            </w:r>
          </w:p>
        </w:tc>
        <w:tc>
          <w:tcPr>
            <w:tcW w:w="1178" w:type="pct"/>
            <w:hideMark/>
          </w:tcPr>
          <w:p w14:paraId="7D7ED3F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Deborah</w:t>
            </w:r>
          </w:p>
        </w:tc>
        <w:tc>
          <w:tcPr>
            <w:tcW w:w="2644" w:type="pct"/>
            <w:hideMark/>
          </w:tcPr>
          <w:p w14:paraId="0596433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Royal Prince Alfred Hospital </w:t>
            </w:r>
          </w:p>
        </w:tc>
      </w:tr>
      <w:tr w:rsidR="00EB728C" w:rsidRPr="007B5055" w14:paraId="07288CC7" w14:textId="77777777" w:rsidTr="003B3300">
        <w:trPr>
          <w:trHeight w:val="439"/>
        </w:trPr>
        <w:tc>
          <w:tcPr>
            <w:tcW w:w="1178" w:type="pct"/>
            <w:hideMark/>
          </w:tcPr>
          <w:p w14:paraId="7BFA9CB7"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Warrillow</w:t>
            </w:r>
          </w:p>
        </w:tc>
        <w:tc>
          <w:tcPr>
            <w:tcW w:w="1178" w:type="pct"/>
            <w:hideMark/>
          </w:tcPr>
          <w:p w14:paraId="585B1BA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Stephen</w:t>
            </w:r>
          </w:p>
        </w:tc>
        <w:tc>
          <w:tcPr>
            <w:tcW w:w="2644" w:type="pct"/>
            <w:hideMark/>
          </w:tcPr>
          <w:p w14:paraId="3A41BE2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Austin Health, Australia and New Zealand Intensive Care Society</w:t>
            </w:r>
          </w:p>
        </w:tc>
      </w:tr>
      <w:tr w:rsidR="00EB728C" w:rsidRPr="007B5055" w14:paraId="1B55EA6C" w14:textId="77777777" w:rsidTr="003B3300">
        <w:trPr>
          <w:trHeight w:val="439"/>
        </w:trPr>
        <w:tc>
          <w:tcPr>
            <w:tcW w:w="1178" w:type="pct"/>
            <w:hideMark/>
          </w:tcPr>
          <w:p w14:paraId="39AD610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Washer</w:t>
            </w:r>
          </w:p>
        </w:tc>
        <w:tc>
          <w:tcPr>
            <w:tcW w:w="1178" w:type="pct"/>
            <w:hideMark/>
          </w:tcPr>
          <w:p w14:paraId="4B6FD58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Mal</w:t>
            </w:r>
          </w:p>
        </w:tc>
        <w:tc>
          <w:tcPr>
            <w:tcW w:w="2644" w:type="pct"/>
            <w:hideMark/>
          </w:tcPr>
          <w:p w14:paraId="1C5F9EA5"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Australian Organ and Tissue Donation and Transplantation Authority (OTA)</w:t>
            </w:r>
          </w:p>
        </w:tc>
      </w:tr>
      <w:tr w:rsidR="00EB728C" w:rsidRPr="007B5055" w14:paraId="17383C56" w14:textId="77777777" w:rsidTr="003B3300">
        <w:trPr>
          <w:trHeight w:val="439"/>
        </w:trPr>
        <w:tc>
          <w:tcPr>
            <w:tcW w:w="1178" w:type="pct"/>
            <w:hideMark/>
          </w:tcPr>
          <w:p w14:paraId="4A0EF9D7"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Weinman</w:t>
            </w:r>
          </w:p>
        </w:tc>
        <w:tc>
          <w:tcPr>
            <w:tcW w:w="1178" w:type="pct"/>
            <w:hideMark/>
          </w:tcPr>
          <w:p w14:paraId="3B93875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Marvin</w:t>
            </w:r>
          </w:p>
        </w:tc>
        <w:tc>
          <w:tcPr>
            <w:tcW w:w="2644" w:type="pct"/>
            <w:hideMark/>
          </w:tcPr>
          <w:p w14:paraId="25BB22F1"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ShareLife</w:t>
            </w:r>
          </w:p>
        </w:tc>
      </w:tr>
      <w:tr w:rsidR="00EB728C" w:rsidRPr="007B5055" w14:paraId="360196A7" w14:textId="77777777" w:rsidTr="003B3300">
        <w:trPr>
          <w:trHeight w:val="439"/>
        </w:trPr>
        <w:tc>
          <w:tcPr>
            <w:tcW w:w="1178" w:type="pct"/>
            <w:hideMark/>
          </w:tcPr>
          <w:p w14:paraId="636F7F57"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 xml:space="preserve">Westall </w:t>
            </w:r>
          </w:p>
        </w:tc>
        <w:tc>
          <w:tcPr>
            <w:tcW w:w="1178" w:type="pct"/>
            <w:hideMark/>
          </w:tcPr>
          <w:p w14:paraId="47750D1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Glen </w:t>
            </w:r>
          </w:p>
        </w:tc>
        <w:tc>
          <w:tcPr>
            <w:tcW w:w="2644" w:type="pct"/>
            <w:hideMark/>
          </w:tcPr>
          <w:p w14:paraId="7084E99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The Alfred Hospital </w:t>
            </w:r>
          </w:p>
        </w:tc>
      </w:tr>
      <w:tr w:rsidR="00EB728C" w:rsidRPr="007B5055" w14:paraId="3D8C7746" w14:textId="77777777" w:rsidTr="003B3300">
        <w:trPr>
          <w:trHeight w:val="439"/>
        </w:trPr>
        <w:tc>
          <w:tcPr>
            <w:tcW w:w="1178" w:type="pct"/>
            <w:hideMark/>
          </w:tcPr>
          <w:p w14:paraId="75FD4E05"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White</w:t>
            </w:r>
          </w:p>
        </w:tc>
        <w:tc>
          <w:tcPr>
            <w:tcW w:w="1178" w:type="pct"/>
            <w:hideMark/>
          </w:tcPr>
          <w:p w14:paraId="11A70F5A"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Lisa</w:t>
            </w:r>
          </w:p>
        </w:tc>
        <w:tc>
          <w:tcPr>
            <w:tcW w:w="2644" w:type="pct"/>
            <w:hideMark/>
          </w:tcPr>
          <w:p w14:paraId="5104BB26"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Australian Government Department of Human Services </w:t>
            </w:r>
          </w:p>
        </w:tc>
      </w:tr>
      <w:tr w:rsidR="00EB728C" w:rsidRPr="007B5055" w14:paraId="5A36F6CC" w14:textId="77777777" w:rsidTr="003B3300">
        <w:trPr>
          <w:trHeight w:val="439"/>
        </w:trPr>
        <w:tc>
          <w:tcPr>
            <w:tcW w:w="1178" w:type="pct"/>
            <w:hideMark/>
          </w:tcPr>
          <w:p w14:paraId="50C8836F"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Whitlam</w:t>
            </w:r>
          </w:p>
        </w:tc>
        <w:tc>
          <w:tcPr>
            <w:tcW w:w="1178" w:type="pct"/>
            <w:hideMark/>
          </w:tcPr>
          <w:p w14:paraId="37670C5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John</w:t>
            </w:r>
          </w:p>
        </w:tc>
        <w:tc>
          <w:tcPr>
            <w:tcW w:w="2644" w:type="pct"/>
            <w:hideMark/>
          </w:tcPr>
          <w:p w14:paraId="6371A7B4" w14:textId="77777777" w:rsidR="002D695E" w:rsidRDefault="002D695E" w:rsidP="003B3300">
            <w:pPr>
              <w:widowControl/>
              <w:autoSpaceDE/>
              <w:autoSpaceDN/>
              <w:adjustRightInd/>
              <w:spacing w:after="0"/>
              <w:rPr>
                <w:rFonts w:ascii="Calibri" w:hAnsi="Calibri" w:cs="Calibri"/>
                <w:color w:val="000000"/>
                <w:szCs w:val="18"/>
                <w:lang w:eastAsia="en-AU"/>
              </w:rPr>
            </w:pPr>
            <w:r>
              <w:rPr>
                <w:rFonts w:ascii="Calibri" w:hAnsi="Calibri" w:cs="Calibri"/>
                <w:color w:val="000000"/>
                <w:szCs w:val="18"/>
                <w:lang w:eastAsia="en-AU"/>
              </w:rPr>
              <w:t>Austin Health</w:t>
            </w:r>
          </w:p>
          <w:p w14:paraId="07516FB4" w14:textId="65B1720F"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Victorian &amp; Tasmanian Renal Transplant Advisory Committee (VTRTAC) </w:t>
            </w:r>
          </w:p>
        </w:tc>
      </w:tr>
      <w:tr w:rsidR="00EB728C" w:rsidRPr="007B5055" w14:paraId="00E7B94C" w14:textId="77777777" w:rsidTr="003B3300">
        <w:trPr>
          <w:trHeight w:val="439"/>
        </w:trPr>
        <w:tc>
          <w:tcPr>
            <w:tcW w:w="1178" w:type="pct"/>
            <w:hideMark/>
          </w:tcPr>
          <w:p w14:paraId="09A6E8F9" w14:textId="1A3B80B4"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Whyman</w:t>
            </w:r>
          </w:p>
        </w:tc>
        <w:tc>
          <w:tcPr>
            <w:tcW w:w="1178" w:type="pct"/>
            <w:hideMark/>
          </w:tcPr>
          <w:p w14:paraId="63444B6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Nola</w:t>
            </w:r>
          </w:p>
        </w:tc>
        <w:tc>
          <w:tcPr>
            <w:tcW w:w="2644" w:type="pct"/>
            <w:hideMark/>
          </w:tcPr>
          <w:p w14:paraId="4E0DC267"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Department for Health and Ageing, South Australia </w:t>
            </w:r>
          </w:p>
        </w:tc>
      </w:tr>
      <w:tr w:rsidR="00EB728C" w:rsidRPr="007B5055" w14:paraId="66822DB7" w14:textId="77777777" w:rsidTr="003B3300">
        <w:trPr>
          <w:trHeight w:val="439"/>
        </w:trPr>
        <w:tc>
          <w:tcPr>
            <w:tcW w:w="1178" w:type="pct"/>
            <w:hideMark/>
          </w:tcPr>
          <w:p w14:paraId="54BC3DD9"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Williamson</w:t>
            </w:r>
          </w:p>
        </w:tc>
        <w:tc>
          <w:tcPr>
            <w:tcW w:w="1178" w:type="pct"/>
            <w:hideMark/>
          </w:tcPr>
          <w:p w14:paraId="549D923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Geoffrey </w:t>
            </w:r>
          </w:p>
        </w:tc>
        <w:tc>
          <w:tcPr>
            <w:tcW w:w="2644" w:type="pct"/>
            <w:hideMark/>
          </w:tcPr>
          <w:p w14:paraId="3BFFFC6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Western Australia Country Health Service</w:t>
            </w:r>
          </w:p>
        </w:tc>
      </w:tr>
      <w:tr w:rsidR="00EB728C" w:rsidRPr="007B5055" w14:paraId="0958DA83" w14:textId="77777777" w:rsidTr="003B3300">
        <w:trPr>
          <w:trHeight w:val="439"/>
        </w:trPr>
        <w:tc>
          <w:tcPr>
            <w:tcW w:w="1178" w:type="pct"/>
            <w:hideMark/>
          </w:tcPr>
          <w:p w14:paraId="2B20B7D3"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Wilson</w:t>
            </w:r>
          </w:p>
        </w:tc>
        <w:tc>
          <w:tcPr>
            <w:tcW w:w="1178" w:type="pct"/>
            <w:hideMark/>
          </w:tcPr>
          <w:p w14:paraId="2138D42C"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Kate</w:t>
            </w:r>
          </w:p>
        </w:tc>
        <w:tc>
          <w:tcPr>
            <w:tcW w:w="2644" w:type="pct"/>
            <w:hideMark/>
          </w:tcPr>
          <w:p w14:paraId="1C307082"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Australian Red Cross Blood Services</w:t>
            </w:r>
          </w:p>
        </w:tc>
      </w:tr>
      <w:tr w:rsidR="00EB728C" w:rsidRPr="007B5055" w14:paraId="20CD6EFD" w14:textId="77777777" w:rsidTr="003B3300">
        <w:trPr>
          <w:trHeight w:val="439"/>
        </w:trPr>
        <w:tc>
          <w:tcPr>
            <w:tcW w:w="1178" w:type="pct"/>
            <w:hideMark/>
          </w:tcPr>
          <w:p w14:paraId="30C3784E"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Wilson</w:t>
            </w:r>
          </w:p>
        </w:tc>
        <w:tc>
          <w:tcPr>
            <w:tcW w:w="1178" w:type="pct"/>
            <w:hideMark/>
          </w:tcPr>
          <w:p w14:paraId="55EB225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Gabrielle</w:t>
            </w:r>
          </w:p>
        </w:tc>
        <w:tc>
          <w:tcPr>
            <w:tcW w:w="2644" w:type="pct"/>
            <w:hideMark/>
          </w:tcPr>
          <w:p w14:paraId="3890A9C3"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Victorian Department of Health and Human Services </w:t>
            </w:r>
          </w:p>
        </w:tc>
      </w:tr>
      <w:tr w:rsidR="00EB728C" w:rsidRPr="007B5055" w14:paraId="2F186EF4" w14:textId="77777777" w:rsidTr="003B3300">
        <w:trPr>
          <w:trHeight w:val="439"/>
        </w:trPr>
        <w:tc>
          <w:tcPr>
            <w:tcW w:w="1178" w:type="pct"/>
            <w:hideMark/>
          </w:tcPr>
          <w:p w14:paraId="0427AEE3"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Wood</w:t>
            </w:r>
          </w:p>
        </w:tc>
        <w:tc>
          <w:tcPr>
            <w:tcW w:w="1178" w:type="pct"/>
            <w:hideMark/>
          </w:tcPr>
          <w:p w14:paraId="016CFF2E"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Lee</w:t>
            </w:r>
          </w:p>
        </w:tc>
        <w:tc>
          <w:tcPr>
            <w:tcW w:w="2644" w:type="pct"/>
            <w:hideMark/>
          </w:tcPr>
          <w:p w14:paraId="4D862A7A"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DonateLife NT</w:t>
            </w:r>
          </w:p>
        </w:tc>
      </w:tr>
      <w:tr w:rsidR="00EB728C" w:rsidRPr="007B5055" w14:paraId="083FA755" w14:textId="77777777" w:rsidTr="003B3300">
        <w:trPr>
          <w:trHeight w:val="439"/>
        </w:trPr>
        <w:tc>
          <w:tcPr>
            <w:tcW w:w="1178" w:type="pct"/>
            <w:hideMark/>
          </w:tcPr>
          <w:p w14:paraId="57654368"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Wright</w:t>
            </w:r>
          </w:p>
        </w:tc>
        <w:tc>
          <w:tcPr>
            <w:tcW w:w="1178" w:type="pct"/>
            <w:hideMark/>
          </w:tcPr>
          <w:p w14:paraId="62D7D288"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Kerr</w:t>
            </w:r>
          </w:p>
        </w:tc>
        <w:tc>
          <w:tcPr>
            <w:tcW w:w="2644" w:type="pct"/>
            <w:hideMark/>
          </w:tcPr>
          <w:p w14:paraId="0CB49EE0"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Kimberly Aboriginal Medical Services</w:t>
            </w:r>
          </w:p>
        </w:tc>
      </w:tr>
      <w:tr w:rsidR="00EB728C" w:rsidRPr="007B5055" w14:paraId="7AC4F654" w14:textId="77777777" w:rsidTr="003B3300">
        <w:trPr>
          <w:trHeight w:val="440"/>
        </w:trPr>
        <w:tc>
          <w:tcPr>
            <w:tcW w:w="1178" w:type="pct"/>
            <w:hideMark/>
          </w:tcPr>
          <w:p w14:paraId="0D0324F3" w14:textId="77777777" w:rsidR="00EB728C" w:rsidRPr="007B5055" w:rsidRDefault="00EB728C" w:rsidP="003B3300">
            <w:pPr>
              <w:widowControl/>
              <w:autoSpaceDE/>
              <w:autoSpaceDN/>
              <w:adjustRightInd/>
              <w:spacing w:after="0"/>
              <w:rPr>
                <w:rFonts w:ascii="Calibri" w:hAnsi="Calibri" w:cs="Calibri"/>
                <w:b/>
                <w:color w:val="000000"/>
                <w:szCs w:val="18"/>
                <w:lang w:eastAsia="en-AU"/>
              </w:rPr>
            </w:pPr>
            <w:r w:rsidRPr="007B5055">
              <w:rPr>
                <w:rFonts w:ascii="Calibri" w:hAnsi="Calibri" w:cs="Calibri"/>
                <w:b/>
                <w:color w:val="000000"/>
                <w:szCs w:val="18"/>
                <w:lang w:eastAsia="en-AU"/>
              </w:rPr>
              <w:t>Wyburn</w:t>
            </w:r>
          </w:p>
        </w:tc>
        <w:tc>
          <w:tcPr>
            <w:tcW w:w="1178" w:type="pct"/>
            <w:hideMark/>
          </w:tcPr>
          <w:p w14:paraId="4CAD332D"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Kate</w:t>
            </w:r>
          </w:p>
        </w:tc>
        <w:tc>
          <w:tcPr>
            <w:tcW w:w="2644" w:type="pct"/>
            <w:hideMark/>
          </w:tcPr>
          <w:p w14:paraId="2B912854" w14:textId="77777777" w:rsidR="00EB728C" w:rsidRPr="007B5055" w:rsidRDefault="00EB728C" w:rsidP="003B3300">
            <w:pPr>
              <w:widowControl/>
              <w:autoSpaceDE/>
              <w:autoSpaceDN/>
              <w:adjustRightInd/>
              <w:spacing w:after="0"/>
              <w:rPr>
                <w:rFonts w:ascii="Calibri" w:hAnsi="Calibri" w:cs="Calibri"/>
                <w:color w:val="000000"/>
                <w:szCs w:val="18"/>
                <w:lang w:eastAsia="en-AU"/>
              </w:rPr>
            </w:pPr>
            <w:r w:rsidRPr="007B5055">
              <w:rPr>
                <w:rFonts w:ascii="Calibri" w:hAnsi="Calibri" w:cs="Calibri"/>
                <w:color w:val="000000"/>
                <w:szCs w:val="18"/>
                <w:lang w:eastAsia="en-AU"/>
              </w:rPr>
              <w:t xml:space="preserve">Royal Prince Alfred Hospital </w:t>
            </w:r>
          </w:p>
        </w:tc>
      </w:tr>
    </w:tbl>
    <w:p w14:paraId="712AF038" w14:textId="77777777" w:rsidR="00EB728C" w:rsidRDefault="00EB728C" w:rsidP="00EB728C">
      <w:pPr>
        <w:widowControl/>
        <w:autoSpaceDE/>
        <w:autoSpaceDN/>
        <w:adjustRightInd/>
        <w:spacing w:after="200" w:line="276" w:lineRule="auto"/>
        <w:rPr>
          <w:rFonts w:asciiTheme="minorHAnsi" w:hAnsiTheme="minorHAnsi" w:cstheme="minorHAnsi"/>
          <w:color w:val="000000" w:themeColor="text1"/>
          <w:kern w:val="12"/>
          <w:sz w:val="22"/>
          <w:szCs w:val="26"/>
          <w:lang w:val="en-GB"/>
        </w:rPr>
      </w:pPr>
      <w:r>
        <w:rPr>
          <w:rFonts w:asciiTheme="minorHAnsi" w:hAnsiTheme="minorHAnsi" w:cstheme="minorHAnsi"/>
          <w:color w:val="000000" w:themeColor="text1"/>
          <w:sz w:val="22"/>
          <w:szCs w:val="26"/>
        </w:rPr>
        <w:br w:type="page"/>
      </w:r>
    </w:p>
    <w:p w14:paraId="174E905A" w14:textId="77777777" w:rsidR="00EB728C" w:rsidRPr="00F526D8" w:rsidRDefault="00EB728C" w:rsidP="00F437A8">
      <w:pPr>
        <w:pStyle w:val="Heading2"/>
        <w:numPr>
          <w:ilvl w:val="0"/>
          <w:numId w:val="0"/>
        </w:numPr>
        <w:rPr>
          <w:rFonts w:asciiTheme="minorHAnsi" w:hAnsiTheme="minorHAnsi" w:cstheme="minorHAnsi"/>
          <w:color w:val="808080"/>
          <w:sz w:val="40"/>
        </w:rPr>
      </w:pPr>
      <w:bookmarkStart w:id="849" w:name="_Toc530492150"/>
      <w:bookmarkStart w:id="850" w:name="_Ref531772485"/>
      <w:bookmarkStart w:id="851" w:name="_Ref531772493"/>
      <w:bookmarkStart w:id="852" w:name="_Toc532301709"/>
      <w:r w:rsidRPr="00F526D8">
        <w:rPr>
          <w:rFonts w:asciiTheme="minorHAnsi" w:hAnsiTheme="minorHAnsi" w:cstheme="minorHAnsi"/>
          <w:color w:val="808080"/>
          <w:sz w:val="40"/>
        </w:rPr>
        <w:t xml:space="preserve">Appendix </w:t>
      </w:r>
      <w:r w:rsidR="00F77399" w:rsidRPr="00F526D8">
        <w:rPr>
          <w:rFonts w:asciiTheme="minorHAnsi" w:hAnsiTheme="minorHAnsi" w:cstheme="minorHAnsi"/>
          <w:color w:val="808080"/>
          <w:sz w:val="40"/>
        </w:rPr>
        <w:t>C</w:t>
      </w:r>
      <w:r w:rsidRPr="00F526D8">
        <w:rPr>
          <w:rFonts w:asciiTheme="minorHAnsi" w:hAnsiTheme="minorHAnsi" w:cstheme="minorHAnsi"/>
          <w:color w:val="808080"/>
          <w:sz w:val="40"/>
        </w:rPr>
        <w:t>: List of documents, data and literature reviewed</w:t>
      </w:r>
      <w:bookmarkEnd w:id="849"/>
      <w:bookmarkEnd w:id="850"/>
      <w:bookmarkEnd w:id="851"/>
      <w:bookmarkEnd w:id="852"/>
    </w:p>
    <w:tbl>
      <w:tblPr>
        <w:tblStyle w:val="TableGridLight"/>
        <w:tblW w:w="5000" w:type="pct"/>
        <w:tblLook w:val="04A0" w:firstRow="1" w:lastRow="0" w:firstColumn="1" w:lastColumn="0" w:noHBand="0" w:noVBand="1"/>
        <w:tblDescription w:val="Appendix C is a list of documents, data and literature reviewed"/>
      </w:tblPr>
      <w:tblGrid>
        <w:gridCol w:w="9016"/>
      </w:tblGrid>
      <w:tr w:rsidR="00EB728C" w:rsidRPr="007B5055" w14:paraId="174240CB" w14:textId="77777777" w:rsidTr="00AE3ED1">
        <w:trPr>
          <w:trHeight w:val="340"/>
          <w:tblHeader/>
        </w:trPr>
        <w:tc>
          <w:tcPr>
            <w:tcW w:w="5000" w:type="pct"/>
            <w:shd w:val="clear" w:color="auto" w:fill="7F7F7F" w:themeFill="text1" w:themeFillTint="80"/>
          </w:tcPr>
          <w:p w14:paraId="3C0497D9" w14:textId="77777777" w:rsidR="00EB728C" w:rsidRPr="007B5055" w:rsidRDefault="00EB728C" w:rsidP="003B3300">
            <w:pPr>
              <w:spacing w:after="0"/>
              <w:rPr>
                <w:rFonts w:ascii="Calibri" w:hAnsi="Calibri" w:cs="Calibri"/>
                <w:b/>
                <w:color w:val="FFFFFF" w:themeColor="background1"/>
                <w:lang w:val="en-US" w:eastAsia="en-AU"/>
              </w:rPr>
            </w:pPr>
            <w:r w:rsidRPr="007B5055">
              <w:rPr>
                <w:rFonts w:ascii="Calibri" w:hAnsi="Calibri" w:cs="Calibri"/>
                <w:b/>
                <w:color w:val="FFFFFF" w:themeColor="background1"/>
                <w:lang w:val="en-US" w:eastAsia="en-AU"/>
              </w:rPr>
              <w:t xml:space="preserve">Legislation/ Parliamentary materials </w:t>
            </w:r>
          </w:p>
        </w:tc>
      </w:tr>
      <w:tr w:rsidR="00EB728C" w:rsidRPr="007B5055" w14:paraId="4CDD1C89" w14:textId="77777777" w:rsidTr="003B3300">
        <w:trPr>
          <w:trHeight w:val="340"/>
        </w:trPr>
        <w:tc>
          <w:tcPr>
            <w:tcW w:w="5000" w:type="pct"/>
          </w:tcPr>
          <w:p w14:paraId="63BC60DE"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Australian Organ and Tissue Donation and Transplantation Authority Amendment (New Governance Arrangements) Act 2016</w:t>
            </w:r>
            <w:r w:rsidRPr="007B5055">
              <w:rPr>
                <w:rFonts w:ascii="Calibri" w:hAnsi="Calibri" w:cs="Calibri"/>
                <w:color w:val="000000"/>
                <w:lang w:val="en-US" w:eastAsia="en-AU"/>
              </w:rPr>
              <w:t xml:space="preserve"> (Cth)</w:t>
            </w:r>
          </w:p>
        </w:tc>
      </w:tr>
      <w:tr w:rsidR="00EB728C" w:rsidRPr="007B5055" w14:paraId="63C9842C" w14:textId="77777777" w:rsidTr="003B3300">
        <w:trPr>
          <w:trHeight w:val="340"/>
        </w:trPr>
        <w:tc>
          <w:tcPr>
            <w:tcW w:w="5000" w:type="pct"/>
          </w:tcPr>
          <w:p w14:paraId="599C7F39"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Controlled Substances Act 1984</w:t>
            </w:r>
            <w:r w:rsidRPr="007B5055">
              <w:rPr>
                <w:rFonts w:ascii="Calibri" w:hAnsi="Calibri" w:cs="Calibri"/>
                <w:color w:val="000000"/>
                <w:lang w:val="en-US" w:eastAsia="en-AU"/>
              </w:rPr>
              <w:t xml:space="preserve"> (SA)</w:t>
            </w:r>
          </w:p>
        </w:tc>
      </w:tr>
      <w:tr w:rsidR="00EB728C" w:rsidRPr="007B5055" w14:paraId="7335B8B7" w14:textId="77777777" w:rsidTr="003B3300">
        <w:trPr>
          <w:trHeight w:val="340"/>
        </w:trPr>
        <w:tc>
          <w:tcPr>
            <w:tcW w:w="5000" w:type="pct"/>
          </w:tcPr>
          <w:p w14:paraId="44E07D5A"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 xml:space="preserve">Drug, Poisons and Controlled substances Act 1981 </w:t>
            </w:r>
            <w:r w:rsidRPr="007B5055">
              <w:rPr>
                <w:rFonts w:ascii="Calibri" w:hAnsi="Calibri" w:cs="Calibri"/>
                <w:color w:val="000000"/>
                <w:lang w:val="en-US" w:eastAsia="en-AU"/>
              </w:rPr>
              <w:t>(VIC)</w:t>
            </w:r>
          </w:p>
        </w:tc>
      </w:tr>
      <w:tr w:rsidR="00EB728C" w:rsidRPr="007B5055" w14:paraId="5A9F7077" w14:textId="77777777" w:rsidTr="003B3300">
        <w:trPr>
          <w:trHeight w:val="340"/>
        </w:trPr>
        <w:tc>
          <w:tcPr>
            <w:tcW w:w="5000" w:type="pct"/>
          </w:tcPr>
          <w:p w14:paraId="6EFC2835"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Explanatory Memorandum, Australia Organ and Tissue Donation and Transplantation Authority Bill 2008</w:t>
            </w:r>
            <w:r w:rsidRPr="007B5055">
              <w:rPr>
                <w:rFonts w:ascii="Calibri" w:hAnsi="Calibri" w:cs="Calibri"/>
                <w:color w:val="000000"/>
                <w:lang w:val="en-US" w:eastAsia="en-AU"/>
              </w:rPr>
              <w:t xml:space="preserve"> (Cth)</w:t>
            </w:r>
          </w:p>
        </w:tc>
      </w:tr>
      <w:tr w:rsidR="00EB728C" w:rsidRPr="007B5055" w14:paraId="700287BA" w14:textId="77777777" w:rsidTr="003B3300">
        <w:trPr>
          <w:trHeight w:val="340"/>
        </w:trPr>
        <w:tc>
          <w:tcPr>
            <w:tcW w:w="5000" w:type="pct"/>
          </w:tcPr>
          <w:p w14:paraId="31AA5EC5"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Health (Drugs and poisons) regulations 1996</w:t>
            </w:r>
            <w:r w:rsidRPr="007B5055">
              <w:rPr>
                <w:rFonts w:ascii="Calibri" w:hAnsi="Calibri" w:cs="Calibri"/>
                <w:color w:val="000000"/>
                <w:lang w:val="en-US" w:eastAsia="en-AU"/>
              </w:rPr>
              <w:t xml:space="preserve"> (QLD)</w:t>
            </w:r>
          </w:p>
        </w:tc>
      </w:tr>
      <w:tr w:rsidR="002801E3" w:rsidRPr="007B5055" w14:paraId="0F6BE638" w14:textId="77777777" w:rsidTr="003B3300">
        <w:trPr>
          <w:trHeight w:val="340"/>
        </w:trPr>
        <w:tc>
          <w:tcPr>
            <w:tcW w:w="5000" w:type="pct"/>
          </w:tcPr>
          <w:p w14:paraId="2C1DD472" w14:textId="77777777" w:rsidR="002801E3" w:rsidRPr="007B5055" w:rsidRDefault="002801E3" w:rsidP="003B3300">
            <w:pPr>
              <w:spacing w:after="0"/>
              <w:rPr>
                <w:rFonts w:ascii="Calibri" w:hAnsi="Calibri" w:cs="Calibri"/>
                <w:i/>
                <w:color w:val="000000"/>
                <w:lang w:val="en-US" w:eastAsia="en-AU"/>
              </w:rPr>
            </w:pPr>
            <w:r w:rsidRPr="002801E3">
              <w:rPr>
                <w:rFonts w:ascii="Calibri" w:hAnsi="Calibri" w:cs="Calibri"/>
                <w:i/>
                <w:color w:val="000000"/>
                <w:lang w:val="en-US" w:eastAsia="en-AU"/>
              </w:rPr>
              <w:t xml:space="preserve">Health Insurance Act 1973 </w:t>
            </w:r>
            <w:r w:rsidRPr="00D354F0">
              <w:rPr>
                <w:rFonts w:ascii="Calibri" w:hAnsi="Calibri" w:cs="Calibri"/>
                <w:color w:val="000000"/>
                <w:lang w:val="en-US" w:eastAsia="en-AU"/>
              </w:rPr>
              <w:t>(Cth)</w:t>
            </w:r>
          </w:p>
        </w:tc>
      </w:tr>
      <w:tr w:rsidR="00EB728C" w:rsidRPr="007B5055" w14:paraId="72D08EEE" w14:textId="77777777" w:rsidTr="003B3300">
        <w:trPr>
          <w:trHeight w:val="340"/>
        </w:trPr>
        <w:tc>
          <w:tcPr>
            <w:tcW w:w="5000" w:type="pct"/>
          </w:tcPr>
          <w:p w14:paraId="396BACCA"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Human Tissue Act 1982</w:t>
            </w:r>
            <w:r w:rsidRPr="007B5055">
              <w:rPr>
                <w:rFonts w:ascii="Calibri" w:hAnsi="Calibri" w:cs="Calibri"/>
                <w:color w:val="000000"/>
                <w:lang w:val="en-US" w:eastAsia="en-AU"/>
              </w:rPr>
              <w:t xml:space="preserve"> (Vic)</w:t>
            </w:r>
          </w:p>
        </w:tc>
      </w:tr>
      <w:tr w:rsidR="00EB728C" w:rsidRPr="007B5055" w14:paraId="45A2ABB5" w14:textId="77777777" w:rsidTr="003B3300">
        <w:trPr>
          <w:trHeight w:val="340"/>
        </w:trPr>
        <w:tc>
          <w:tcPr>
            <w:tcW w:w="5000" w:type="pct"/>
          </w:tcPr>
          <w:p w14:paraId="46084097"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Human Tissue Act 1983</w:t>
            </w:r>
            <w:r w:rsidRPr="007B5055">
              <w:rPr>
                <w:rFonts w:ascii="Calibri" w:hAnsi="Calibri" w:cs="Calibri"/>
                <w:color w:val="000000"/>
                <w:lang w:val="en-US" w:eastAsia="en-AU"/>
              </w:rPr>
              <w:t xml:space="preserve"> (NSW) </w:t>
            </w:r>
          </w:p>
        </w:tc>
      </w:tr>
      <w:tr w:rsidR="00EB728C" w:rsidRPr="007B5055" w14:paraId="4439D280" w14:textId="77777777" w:rsidTr="003B3300">
        <w:trPr>
          <w:trHeight w:val="340"/>
        </w:trPr>
        <w:tc>
          <w:tcPr>
            <w:tcW w:w="5000" w:type="pct"/>
          </w:tcPr>
          <w:p w14:paraId="0CA22A34"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Human Tissue Act 1985</w:t>
            </w:r>
            <w:r w:rsidRPr="007B5055">
              <w:rPr>
                <w:rFonts w:ascii="Calibri" w:hAnsi="Calibri" w:cs="Calibri"/>
                <w:color w:val="000000"/>
                <w:lang w:val="en-US" w:eastAsia="en-AU"/>
              </w:rPr>
              <w:t xml:space="preserve"> (Tas)</w:t>
            </w:r>
          </w:p>
        </w:tc>
      </w:tr>
      <w:tr w:rsidR="00EB728C" w:rsidRPr="007B5055" w14:paraId="24E41639" w14:textId="77777777" w:rsidTr="003B3300">
        <w:trPr>
          <w:trHeight w:val="340"/>
        </w:trPr>
        <w:tc>
          <w:tcPr>
            <w:tcW w:w="5000" w:type="pct"/>
          </w:tcPr>
          <w:p w14:paraId="794D4885"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Human Tissue and Transplant Act 1982</w:t>
            </w:r>
            <w:r w:rsidRPr="007B5055">
              <w:rPr>
                <w:rFonts w:ascii="Calibri" w:hAnsi="Calibri" w:cs="Calibri"/>
                <w:color w:val="000000"/>
                <w:lang w:val="en-US" w:eastAsia="en-AU"/>
              </w:rPr>
              <w:t xml:space="preserve"> (WA)</w:t>
            </w:r>
          </w:p>
        </w:tc>
      </w:tr>
      <w:tr w:rsidR="00EB728C" w:rsidRPr="007B5055" w14:paraId="5EAEA49B" w14:textId="77777777" w:rsidTr="003B3300">
        <w:trPr>
          <w:trHeight w:val="340"/>
        </w:trPr>
        <w:tc>
          <w:tcPr>
            <w:tcW w:w="5000" w:type="pct"/>
          </w:tcPr>
          <w:p w14:paraId="5D353E94"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Human Tissue Transplant Act 1979</w:t>
            </w:r>
            <w:r w:rsidRPr="007B5055">
              <w:rPr>
                <w:rFonts w:ascii="Calibri" w:hAnsi="Calibri" w:cs="Calibri"/>
                <w:color w:val="000000"/>
                <w:lang w:val="en-US" w:eastAsia="en-AU"/>
              </w:rPr>
              <w:t xml:space="preserve"> (NT)</w:t>
            </w:r>
          </w:p>
        </w:tc>
      </w:tr>
      <w:tr w:rsidR="00EB728C" w:rsidRPr="007B5055" w14:paraId="77832701" w14:textId="77777777" w:rsidTr="003B3300">
        <w:trPr>
          <w:trHeight w:val="340"/>
        </w:trPr>
        <w:tc>
          <w:tcPr>
            <w:tcW w:w="5000" w:type="pct"/>
          </w:tcPr>
          <w:p w14:paraId="6CEDBD46"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 xml:space="preserve">Medicines Poisons and Therapeutic Goods Act 2012 </w:t>
            </w:r>
            <w:r w:rsidRPr="007B5055">
              <w:rPr>
                <w:rFonts w:ascii="Calibri" w:hAnsi="Calibri" w:cs="Calibri"/>
                <w:color w:val="000000"/>
                <w:lang w:val="en-US" w:eastAsia="en-AU"/>
              </w:rPr>
              <w:t>(NT)</w:t>
            </w:r>
          </w:p>
        </w:tc>
      </w:tr>
      <w:tr w:rsidR="00EB728C" w:rsidRPr="007B5055" w14:paraId="23918D99" w14:textId="77777777" w:rsidTr="003B3300">
        <w:trPr>
          <w:trHeight w:val="340"/>
        </w:trPr>
        <w:tc>
          <w:tcPr>
            <w:tcW w:w="5000" w:type="pct"/>
          </w:tcPr>
          <w:p w14:paraId="7D7C45E0"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Medicines, Poisons and Therapeutic Goods Regulation 2008</w:t>
            </w:r>
            <w:r w:rsidRPr="007B5055">
              <w:rPr>
                <w:rFonts w:ascii="Calibri" w:hAnsi="Calibri" w:cs="Calibri"/>
                <w:color w:val="000000"/>
                <w:lang w:val="en-US" w:eastAsia="en-AU"/>
              </w:rPr>
              <w:t xml:space="preserve"> (ACT)</w:t>
            </w:r>
          </w:p>
        </w:tc>
      </w:tr>
      <w:tr w:rsidR="00EB728C" w:rsidRPr="007B5055" w14:paraId="5B9F8590" w14:textId="77777777" w:rsidTr="003B3300">
        <w:trPr>
          <w:trHeight w:val="340"/>
        </w:trPr>
        <w:tc>
          <w:tcPr>
            <w:tcW w:w="5000" w:type="pct"/>
          </w:tcPr>
          <w:p w14:paraId="21F1FDBA"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color w:val="000000"/>
                <w:lang w:val="en-US" w:eastAsia="en-AU"/>
              </w:rPr>
              <w:t xml:space="preserve">Organ Procurement and Transplantation Network, 2018, </w:t>
            </w:r>
            <w:r w:rsidRPr="007B5055">
              <w:rPr>
                <w:rFonts w:ascii="Calibri" w:hAnsi="Calibri" w:cs="Calibri"/>
                <w:i/>
                <w:color w:val="000000"/>
                <w:lang w:val="en-US" w:eastAsia="en-AU"/>
              </w:rPr>
              <w:t>Organ Procurement and Transplantation Network: Policies – Policy 3.5.1</w:t>
            </w:r>
            <w:r w:rsidRPr="007B5055">
              <w:rPr>
                <w:rFonts w:ascii="Calibri" w:hAnsi="Calibri" w:cs="Calibri"/>
                <w:color w:val="000000"/>
                <w:lang w:val="en-US" w:eastAsia="en-AU"/>
              </w:rPr>
              <w:t xml:space="preserve">, U.S Department of Health and Human Services, viewed November 2018 &lt;https://optn.transplant.hrsa.gov/media/1200/optn_policies.pdf&gt;. </w:t>
            </w:r>
          </w:p>
        </w:tc>
      </w:tr>
      <w:tr w:rsidR="00EB728C" w:rsidRPr="007B5055" w14:paraId="0284566A" w14:textId="77777777" w:rsidTr="003B3300">
        <w:trPr>
          <w:trHeight w:val="340"/>
        </w:trPr>
        <w:tc>
          <w:tcPr>
            <w:tcW w:w="5000" w:type="pct"/>
          </w:tcPr>
          <w:p w14:paraId="11D3B99C"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Poisons Act 1971</w:t>
            </w:r>
            <w:r w:rsidRPr="007B5055">
              <w:rPr>
                <w:rFonts w:ascii="Calibri" w:hAnsi="Calibri" w:cs="Calibri"/>
                <w:color w:val="000000"/>
                <w:lang w:val="en-US" w:eastAsia="en-AU"/>
              </w:rPr>
              <w:t xml:space="preserve"> (Tas)</w:t>
            </w:r>
          </w:p>
        </w:tc>
      </w:tr>
      <w:tr w:rsidR="00EB728C" w:rsidRPr="007B5055" w14:paraId="09BC405D" w14:textId="77777777" w:rsidTr="003B3300">
        <w:trPr>
          <w:trHeight w:val="340"/>
        </w:trPr>
        <w:tc>
          <w:tcPr>
            <w:tcW w:w="5000" w:type="pct"/>
          </w:tcPr>
          <w:p w14:paraId="29F3D196"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Poisons and Therapeutic Goods Act 1966</w:t>
            </w:r>
            <w:r w:rsidRPr="007B5055">
              <w:rPr>
                <w:rFonts w:ascii="Calibri" w:hAnsi="Calibri" w:cs="Calibri"/>
                <w:color w:val="000000"/>
                <w:lang w:val="en-US" w:eastAsia="en-AU"/>
              </w:rPr>
              <w:t xml:space="preserve"> (NSW)</w:t>
            </w:r>
          </w:p>
        </w:tc>
      </w:tr>
      <w:tr w:rsidR="00EB728C" w:rsidRPr="007B5055" w14:paraId="4829B155" w14:textId="77777777" w:rsidTr="003B3300">
        <w:trPr>
          <w:trHeight w:val="340"/>
        </w:trPr>
        <w:tc>
          <w:tcPr>
            <w:tcW w:w="5000" w:type="pct"/>
          </w:tcPr>
          <w:p w14:paraId="15FDE43D"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Poisons Regulation 1965</w:t>
            </w:r>
            <w:r w:rsidRPr="007B5055">
              <w:rPr>
                <w:rFonts w:ascii="Calibri" w:hAnsi="Calibri" w:cs="Calibri"/>
                <w:color w:val="000000"/>
                <w:lang w:val="en-US" w:eastAsia="en-AU"/>
              </w:rPr>
              <w:t xml:space="preserve"> (WA)</w:t>
            </w:r>
          </w:p>
        </w:tc>
      </w:tr>
      <w:tr w:rsidR="00EB728C" w:rsidRPr="007B5055" w14:paraId="3CC8168C" w14:textId="77777777" w:rsidTr="003B3300">
        <w:trPr>
          <w:trHeight w:val="340"/>
        </w:trPr>
        <w:tc>
          <w:tcPr>
            <w:tcW w:w="5000" w:type="pct"/>
          </w:tcPr>
          <w:p w14:paraId="0284D410"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Schedule 1; The Privacy Act 1988</w:t>
            </w:r>
            <w:r w:rsidRPr="007B5055">
              <w:rPr>
                <w:rFonts w:ascii="Calibri" w:hAnsi="Calibri" w:cs="Calibri"/>
                <w:color w:val="000000"/>
                <w:lang w:val="en-US" w:eastAsia="en-AU"/>
              </w:rPr>
              <w:t xml:space="preserve"> (Cth)</w:t>
            </w:r>
          </w:p>
        </w:tc>
      </w:tr>
      <w:tr w:rsidR="00EB728C" w:rsidRPr="007B5055" w14:paraId="54080AD1" w14:textId="77777777" w:rsidTr="003B3300">
        <w:trPr>
          <w:trHeight w:val="340"/>
        </w:trPr>
        <w:tc>
          <w:tcPr>
            <w:tcW w:w="5000" w:type="pct"/>
          </w:tcPr>
          <w:p w14:paraId="6315BD32"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The Australian Organ and Tissue Donation and Transplantation Authority Act 2008</w:t>
            </w:r>
            <w:r w:rsidRPr="007B5055">
              <w:rPr>
                <w:rFonts w:ascii="Calibri" w:hAnsi="Calibri" w:cs="Calibri"/>
                <w:color w:val="000000"/>
                <w:lang w:val="en-US" w:eastAsia="en-AU"/>
              </w:rPr>
              <w:t xml:space="preserve"> (Cth)</w:t>
            </w:r>
          </w:p>
        </w:tc>
      </w:tr>
      <w:tr w:rsidR="002801E3" w:rsidRPr="007B5055" w14:paraId="6BA24355" w14:textId="77777777" w:rsidTr="003B3300">
        <w:trPr>
          <w:trHeight w:val="340"/>
        </w:trPr>
        <w:tc>
          <w:tcPr>
            <w:tcW w:w="5000" w:type="pct"/>
          </w:tcPr>
          <w:p w14:paraId="5393E418" w14:textId="77777777" w:rsidR="002801E3" w:rsidRPr="007B5055" w:rsidRDefault="002801E3" w:rsidP="003B3300">
            <w:pPr>
              <w:spacing w:after="0"/>
              <w:rPr>
                <w:rFonts w:ascii="Calibri" w:hAnsi="Calibri" w:cs="Calibri"/>
                <w:i/>
                <w:color w:val="000000"/>
                <w:lang w:val="en-US" w:eastAsia="en-AU"/>
              </w:rPr>
            </w:pPr>
            <w:r w:rsidRPr="00AD58EC">
              <w:rPr>
                <w:rFonts w:asciiTheme="minorHAnsi" w:hAnsiTheme="minorHAnsi" w:cstheme="minorHAnsi"/>
              </w:rPr>
              <w:t>The Australian Government Department of Health, 2018</w:t>
            </w:r>
            <w:r w:rsidRPr="001124A6">
              <w:rPr>
                <w:rFonts w:asciiTheme="minorHAnsi" w:hAnsiTheme="minorHAnsi" w:cstheme="minorHAnsi"/>
                <w:i/>
              </w:rPr>
              <w:t>, General Explanatory Notes 13.33; Medicare Benefits Schedule, Canberra</w:t>
            </w:r>
            <w:r w:rsidRPr="00AD58EC">
              <w:rPr>
                <w:rFonts w:asciiTheme="minorHAnsi" w:hAnsiTheme="minorHAnsi" w:cstheme="minorHAnsi"/>
              </w:rPr>
              <w:t>, viewed November 2018 &lt;</w:t>
            </w:r>
            <w:r w:rsidRPr="001124A6">
              <w:t>http://www.mbsonline.gov.au/internet/mbsonline/publishing.nsf/Content/04AA67013FD6E6C0CA25834700038565/$File/201812-MBS.pdf</w:t>
            </w:r>
            <w:r w:rsidRPr="00AD58EC">
              <w:rPr>
                <w:rFonts w:asciiTheme="minorHAnsi" w:hAnsiTheme="minorHAnsi" w:cstheme="minorHAnsi"/>
              </w:rPr>
              <w:t>&gt;.</w:t>
            </w:r>
          </w:p>
        </w:tc>
      </w:tr>
      <w:tr w:rsidR="00EB728C" w:rsidRPr="007B5055" w14:paraId="1032BCEE" w14:textId="77777777" w:rsidTr="003B3300">
        <w:trPr>
          <w:trHeight w:val="340"/>
        </w:trPr>
        <w:tc>
          <w:tcPr>
            <w:tcW w:w="5000" w:type="pct"/>
          </w:tcPr>
          <w:p w14:paraId="4AFE132F"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The Privacy Act 1988</w:t>
            </w:r>
            <w:r w:rsidRPr="007B5055">
              <w:rPr>
                <w:rFonts w:ascii="Calibri" w:hAnsi="Calibri" w:cs="Calibri"/>
                <w:color w:val="000000"/>
                <w:lang w:val="en-US" w:eastAsia="en-AU"/>
              </w:rPr>
              <w:t xml:space="preserve"> (Cth)</w:t>
            </w:r>
          </w:p>
        </w:tc>
      </w:tr>
      <w:tr w:rsidR="00EB728C" w:rsidRPr="007B5055" w14:paraId="1CD5AF78" w14:textId="77777777" w:rsidTr="003B3300">
        <w:trPr>
          <w:trHeight w:val="340"/>
        </w:trPr>
        <w:tc>
          <w:tcPr>
            <w:tcW w:w="5000" w:type="pct"/>
          </w:tcPr>
          <w:p w14:paraId="0586BB8C"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Transplantation and Anatomy Act 1978</w:t>
            </w:r>
            <w:r w:rsidRPr="007B5055">
              <w:rPr>
                <w:rFonts w:ascii="Calibri" w:hAnsi="Calibri" w:cs="Calibri"/>
                <w:color w:val="000000"/>
                <w:lang w:val="en-US" w:eastAsia="en-AU"/>
              </w:rPr>
              <w:t xml:space="preserve"> (ACT)</w:t>
            </w:r>
          </w:p>
        </w:tc>
      </w:tr>
      <w:tr w:rsidR="00EB728C" w:rsidRPr="007B5055" w14:paraId="7E6FACEF" w14:textId="77777777" w:rsidTr="003B3300">
        <w:trPr>
          <w:trHeight w:val="340"/>
        </w:trPr>
        <w:tc>
          <w:tcPr>
            <w:tcW w:w="5000" w:type="pct"/>
          </w:tcPr>
          <w:p w14:paraId="4CB95E9E"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Transplantation and Anatomy Act 1979</w:t>
            </w:r>
            <w:r w:rsidRPr="007B5055">
              <w:rPr>
                <w:rFonts w:ascii="Calibri" w:hAnsi="Calibri" w:cs="Calibri"/>
                <w:color w:val="000000"/>
                <w:lang w:val="en-US" w:eastAsia="en-AU"/>
              </w:rPr>
              <w:t xml:space="preserve"> (Qld)</w:t>
            </w:r>
          </w:p>
        </w:tc>
      </w:tr>
      <w:tr w:rsidR="00EB728C" w:rsidRPr="007B5055" w14:paraId="46D2F35B" w14:textId="77777777" w:rsidTr="003B3300">
        <w:trPr>
          <w:trHeight w:val="340"/>
        </w:trPr>
        <w:tc>
          <w:tcPr>
            <w:tcW w:w="5000" w:type="pct"/>
          </w:tcPr>
          <w:p w14:paraId="1D4A4F5A" w14:textId="77777777" w:rsidR="00EB728C" w:rsidRPr="007B5055" w:rsidRDefault="00EB728C" w:rsidP="003B3300">
            <w:pPr>
              <w:spacing w:after="0"/>
              <w:rPr>
                <w:rFonts w:ascii="Calibri" w:hAnsi="Calibri" w:cs="Calibri"/>
                <w:color w:val="000000"/>
                <w:lang w:val="en-US" w:eastAsia="en-AU"/>
              </w:rPr>
            </w:pPr>
            <w:r w:rsidRPr="007B5055">
              <w:rPr>
                <w:rFonts w:ascii="Calibri" w:hAnsi="Calibri" w:cs="Calibri"/>
                <w:i/>
                <w:color w:val="000000"/>
                <w:lang w:val="en-US" w:eastAsia="en-AU"/>
              </w:rPr>
              <w:t>Transplantation and Anatomy Act 1983</w:t>
            </w:r>
            <w:r w:rsidRPr="007B5055">
              <w:rPr>
                <w:rFonts w:ascii="Calibri" w:hAnsi="Calibri" w:cs="Calibri"/>
                <w:color w:val="000000"/>
                <w:lang w:val="en-US" w:eastAsia="en-AU"/>
              </w:rPr>
              <w:t xml:space="preserve"> (SA)</w:t>
            </w:r>
          </w:p>
        </w:tc>
      </w:tr>
      <w:tr w:rsidR="00EB728C" w:rsidRPr="007B5055" w14:paraId="085DBECF" w14:textId="77777777" w:rsidTr="003B3300">
        <w:trPr>
          <w:trHeight w:val="340"/>
        </w:trPr>
        <w:tc>
          <w:tcPr>
            <w:tcW w:w="5000" w:type="pct"/>
            <w:shd w:val="clear" w:color="auto" w:fill="7F7F7F" w:themeFill="text1" w:themeFillTint="80"/>
          </w:tcPr>
          <w:p w14:paraId="25CEC4B9" w14:textId="77777777" w:rsidR="00EB728C" w:rsidRPr="007B5055" w:rsidRDefault="00EB728C" w:rsidP="003B3300">
            <w:pPr>
              <w:spacing w:after="0"/>
              <w:rPr>
                <w:rFonts w:ascii="Calibri" w:hAnsi="Calibri" w:cs="Calibri"/>
                <w:b/>
                <w:color w:val="000000"/>
                <w:lang w:val="en-US" w:eastAsia="en-AU"/>
              </w:rPr>
            </w:pPr>
            <w:r w:rsidRPr="007B5055">
              <w:rPr>
                <w:rFonts w:ascii="Calibri" w:hAnsi="Calibri" w:cs="Calibri"/>
                <w:b/>
                <w:color w:val="FFFFFF" w:themeColor="background1"/>
                <w:lang w:val="en-US" w:eastAsia="en-AU"/>
              </w:rPr>
              <w:t>Literature</w:t>
            </w:r>
          </w:p>
        </w:tc>
      </w:tr>
      <w:tr w:rsidR="0033250B" w:rsidRPr="007B5055" w14:paraId="7F1C3152" w14:textId="77777777" w:rsidTr="003B3300">
        <w:trPr>
          <w:trHeight w:val="340"/>
        </w:trPr>
        <w:tc>
          <w:tcPr>
            <w:tcW w:w="5000" w:type="pct"/>
          </w:tcPr>
          <w:p w14:paraId="0F6DB743" w14:textId="77777777" w:rsidR="0033250B" w:rsidRPr="007B5055" w:rsidRDefault="0033250B" w:rsidP="003B3300">
            <w:pPr>
              <w:spacing w:after="0"/>
              <w:rPr>
                <w:rFonts w:ascii="Calibri" w:hAnsi="Calibri" w:cs="Calibri"/>
                <w:color w:val="000000"/>
                <w:lang w:val="en-US" w:eastAsia="en-AU"/>
              </w:rPr>
            </w:pPr>
            <w:r w:rsidRPr="00D354F0">
              <w:rPr>
                <w:rFonts w:ascii="Calibri" w:hAnsi="Calibri" w:cs="Calibri"/>
                <w:color w:val="000000"/>
                <w:lang w:val="en-US" w:eastAsia="en-AU"/>
              </w:rPr>
              <w:t>Anderson,K et al, 2008, ‘All they said was my kidneys were dead: Indigenous Australian patients’ understanding of their chronic kidney disease, Medical Journal of Australia, Volume. 189, Issue: 9, pp. 499-503.</w:t>
            </w:r>
          </w:p>
        </w:tc>
      </w:tr>
      <w:tr w:rsidR="00EB728C" w:rsidRPr="007B5055" w14:paraId="5E5D190E" w14:textId="77777777" w:rsidTr="003B3300">
        <w:trPr>
          <w:trHeight w:val="340"/>
        </w:trPr>
        <w:tc>
          <w:tcPr>
            <w:tcW w:w="5000" w:type="pct"/>
            <w:hideMark/>
          </w:tcPr>
          <w:p w14:paraId="779D0887" w14:textId="77777777" w:rsidR="00EB728C" w:rsidRPr="007B5055" w:rsidRDefault="00EB728C" w:rsidP="003B3300">
            <w:pPr>
              <w:spacing w:after="0"/>
              <w:rPr>
                <w:rFonts w:ascii="Calibri" w:hAnsi="Calibri" w:cs="Calibri"/>
                <w:color w:val="000000"/>
                <w:lang w:eastAsia="en-AU"/>
              </w:rPr>
            </w:pPr>
            <w:r w:rsidRPr="007B5055">
              <w:rPr>
                <w:rFonts w:ascii="Calibri" w:hAnsi="Calibri" w:cs="Calibri"/>
                <w:color w:val="000000"/>
                <w:lang w:val="en-US" w:eastAsia="en-AU"/>
              </w:rPr>
              <w:t xml:space="preserve">Cass A. et al, 2003, ‘Renal Transplantation for Indigenous Australians: Identifying the Barriers to Equitable Access’, </w:t>
            </w:r>
            <w:r w:rsidRPr="007B5055">
              <w:rPr>
                <w:rFonts w:ascii="Calibri" w:hAnsi="Calibri" w:cs="Calibri"/>
                <w:i/>
                <w:iCs/>
                <w:color w:val="000000"/>
                <w:lang w:val="en-US" w:eastAsia="en-AU"/>
              </w:rPr>
              <w:t>Ethnicity and Health</w:t>
            </w:r>
            <w:r w:rsidRPr="007B5055">
              <w:rPr>
                <w:rFonts w:ascii="Calibri" w:hAnsi="Calibri" w:cs="Calibri"/>
                <w:color w:val="000000"/>
                <w:lang w:val="en-US" w:eastAsia="en-AU"/>
              </w:rPr>
              <w:t xml:space="preserve"> Vol.8, no. 3, pp. 111-119</w:t>
            </w:r>
          </w:p>
        </w:tc>
      </w:tr>
      <w:tr w:rsidR="00EB728C" w:rsidRPr="007B5055" w14:paraId="21965B15" w14:textId="77777777" w:rsidTr="003B3300">
        <w:trPr>
          <w:trHeight w:val="340"/>
        </w:trPr>
        <w:tc>
          <w:tcPr>
            <w:tcW w:w="5000" w:type="pct"/>
            <w:hideMark/>
          </w:tcPr>
          <w:p w14:paraId="34970B39" w14:textId="77777777" w:rsidR="00EB728C" w:rsidRPr="007B5055" w:rsidRDefault="00EB728C" w:rsidP="003B3300">
            <w:pPr>
              <w:spacing w:after="0"/>
              <w:rPr>
                <w:rFonts w:ascii="Calibri" w:hAnsi="Calibri" w:cs="Calibri"/>
                <w:color w:val="000000"/>
                <w:lang w:eastAsia="en-AU"/>
              </w:rPr>
            </w:pPr>
            <w:r w:rsidRPr="007B5055">
              <w:rPr>
                <w:rFonts w:ascii="Calibri" w:hAnsi="Calibri" w:cs="Calibri"/>
                <w:color w:val="000000"/>
                <w:lang w:eastAsia="en-AU"/>
              </w:rPr>
              <w:t xml:space="preserve">Chapman, J, Kanellis, J, 2018, ‘Kidney donation and transplantation in Australia: more than a supply and demand equation’, </w:t>
            </w:r>
            <w:r w:rsidRPr="007B5055">
              <w:rPr>
                <w:rFonts w:ascii="Calibri" w:hAnsi="Calibri" w:cs="Calibri"/>
                <w:i/>
                <w:iCs/>
                <w:color w:val="000000"/>
                <w:lang w:eastAsia="en-AU"/>
              </w:rPr>
              <w:t xml:space="preserve">Medical Journal of Australia </w:t>
            </w:r>
            <w:r w:rsidRPr="007B5055">
              <w:rPr>
                <w:rFonts w:ascii="Calibri" w:hAnsi="Calibri" w:cs="Calibri"/>
                <w:color w:val="000000"/>
                <w:lang w:eastAsia="en-AU"/>
              </w:rPr>
              <w:t>Vol. 209, No. 6, pp. 242-243</w:t>
            </w:r>
          </w:p>
        </w:tc>
      </w:tr>
      <w:tr w:rsidR="00EB728C" w:rsidRPr="007B5055" w14:paraId="10C65427" w14:textId="77777777" w:rsidTr="003B3300">
        <w:trPr>
          <w:trHeight w:val="340"/>
        </w:trPr>
        <w:tc>
          <w:tcPr>
            <w:tcW w:w="5000" w:type="pct"/>
            <w:hideMark/>
          </w:tcPr>
          <w:p w14:paraId="2030F226" w14:textId="77777777" w:rsidR="00EB728C" w:rsidRPr="007B5055" w:rsidRDefault="00EB728C" w:rsidP="003B3300">
            <w:pPr>
              <w:spacing w:after="0"/>
              <w:rPr>
                <w:rFonts w:ascii="Calibri" w:hAnsi="Calibri" w:cs="Calibri"/>
                <w:color w:val="000000"/>
                <w:lang w:eastAsia="en-AU"/>
              </w:rPr>
            </w:pPr>
            <w:r w:rsidRPr="007B5055">
              <w:rPr>
                <w:rFonts w:ascii="Calibri" w:hAnsi="Calibri" w:cs="Calibri"/>
                <w:color w:val="000000"/>
                <w:lang w:eastAsia="en-AU"/>
              </w:rPr>
              <w:t xml:space="preserve">Chinnaratha, M, et al, 2014, ‘Liver transplantation outcomes for Australian Aboriginal and Torres Strait Islanders’, </w:t>
            </w:r>
            <w:r w:rsidRPr="007B5055">
              <w:rPr>
                <w:rFonts w:ascii="Calibri" w:hAnsi="Calibri" w:cs="Calibri"/>
                <w:i/>
                <w:iCs/>
                <w:color w:val="000000"/>
                <w:lang w:eastAsia="en-AU"/>
              </w:rPr>
              <w:t>Liver Transplantation</w:t>
            </w:r>
            <w:r w:rsidRPr="007B5055">
              <w:rPr>
                <w:rFonts w:ascii="Calibri" w:hAnsi="Calibri" w:cs="Calibri"/>
                <w:color w:val="000000"/>
                <w:lang w:eastAsia="en-AU"/>
              </w:rPr>
              <w:t xml:space="preserve"> vol. 20 No.7, pp. 798-806</w:t>
            </w:r>
          </w:p>
        </w:tc>
      </w:tr>
      <w:tr w:rsidR="00EB728C" w:rsidRPr="007B5055" w14:paraId="78A9D74C" w14:textId="77777777" w:rsidTr="003B3300">
        <w:trPr>
          <w:trHeight w:val="340"/>
        </w:trPr>
        <w:tc>
          <w:tcPr>
            <w:tcW w:w="5000" w:type="pct"/>
            <w:hideMark/>
          </w:tcPr>
          <w:p w14:paraId="2397266D" w14:textId="77777777" w:rsidR="00EB728C" w:rsidRPr="007B5055" w:rsidRDefault="00EB728C" w:rsidP="003B3300">
            <w:pPr>
              <w:spacing w:after="0"/>
              <w:rPr>
                <w:rFonts w:ascii="Calibri" w:hAnsi="Calibri" w:cs="Calibri"/>
                <w:color w:val="000000"/>
                <w:lang w:eastAsia="en-AU"/>
              </w:rPr>
            </w:pPr>
            <w:r w:rsidRPr="007B5055">
              <w:rPr>
                <w:rFonts w:ascii="Calibri" w:hAnsi="Calibri" w:cs="Calibri"/>
                <w:color w:val="000000"/>
                <w:lang w:eastAsia="en-AU"/>
              </w:rPr>
              <w:t xml:space="preserve">Cypel M, Keshavjee S, 2016, ‘Extracorporeal lung perfusion (ex vivo lung perfusion)’, </w:t>
            </w:r>
            <w:r w:rsidRPr="007B5055">
              <w:rPr>
                <w:rFonts w:ascii="Calibri" w:hAnsi="Calibri" w:cs="Calibri"/>
                <w:i/>
                <w:iCs/>
                <w:color w:val="000000"/>
                <w:lang w:eastAsia="en-AU"/>
              </w:rPr>
              <w:t xml:space="preserve">Current Opinion in Organ Transplantation, </w:t>
            </w:r>
            <w:r w:rsidRPr="007B5055">
              <w:rPr>
                <w:rFonts w:ascii="Calibri" w:hAnsi="Calibri" w:cs="Calibri"/>
                <w:color w:val="000000"/>
                <w:lang w:eastAsia="en-AU"/>
              </w:rPr>
              <w:t>Vol. 21, Issue: 3, pp. 329-335</w:t>
            </w:r>
          </w:p>
        </w:tc>
      </w:tr>
      <w:tr w:rsidR="00EB728C" w:rsidRPr="007B5055" w14:paraId="17F7AF8B" w14:textId="77777777" w:rsidTr="003B3300">
        <w:trPr>
          <w:trHeight w:val="340"/>
        </w:trPr>
        <w:tc>
          <w:tcPr>
            <w:tcW w:w="5000" w:type="pct"/>
            <w:hideMark/>
          </w:tcPr>
          <w:p w14:paraId="26B56530" w14:textId="77777777" w:rsidR="00EB728C" w:rsidRPr="007B5055" w:rsidRDefault="00EB728C" w:rsidP="003B3300">
            <w:pPr>
              <w:spacing w:after="0"/>
              <w:rPr>
                <w:rFonts w:ascii="Calibri" w:hAnsi="Calibri" w:cs="Calibri"/>
                <w:color w:val="000000"/>
                <w:lang w:eastAsia="en-AU"/>
              </w:rPr>
            </w:pPr>
            <w:r w:rsidRPr="007B5055">
              <w:rPr>
                <w:rFonts w:ascii="Calibri" w:hAnsi="Calibri" w:cs="Calibri"/>
                <w:color w:val="000000"/>
                <w:lang w:eastAsia="en-AU"/>
              </w:rPr>
              <w:t xml:space="preserve">Dhital KK et al, 2015, ‘Adult heart transplantation with distant procurement and ex vivo preservation of donor hearts after circulatory death: a case series’, </w:t>
            </w:r>
            <w:r w:rsidRPr="007B5055">
              <w:rPr>
                <w:rFonts w:ascii="Calibri" w:hAnsi="Calibri" w:cs="Calibri"/>
                <w:i/>
                <w:iCs/>
                <w:color w:val="000000"/>
                <w:lang w:eastAsia="en-AU"/>
              </w:rPr>
              <w:t>The</w:t>
            </w:r>
            <w:r w:rsidRPr="007B5055">
              <w:rPr>
                <w:rFonts w:ascii="Calibri" w:hAnsi="Calibri" w:cs="Calibri"/>
                <w:color w:val="000000"/>
                <w:lang w:eastAsia="en-AU"/>
              </w:rPr>
              <w:t xml:space="preserve"> </w:t>
            </w:r>
            <w:r w:rsidRPr="007B5055">
              <w:rPr>
                <w:rFonts w:ascii="Calibri" w:hAnsi="Calibri" w:cs="Calibri"/>
                <w:i/>
                <w:iCs/>
                <w:color w:val="000000"/>
                <w:lang w:eastAsia="en-AU"/>
              </w:rPr>
              <w:t>Lancet</w:t>
            </w:r>
            <w:r w:rsidRPr="007B5055">
              <w:rPr>
                <w:rFonts w:ascii="Calibri" w:hAnsi="Calibri" w:cs="Calibri"/>
                <w:color w:val="000000"/>
                <w:lang w:eastAsia="en-AU"/>
              </w:rPr>
              <w:t>, vol.385 Issue: 9987, pp. 2585-2591</w:t>
            </w:r>
          </w:p>
        </w:tc>
      </w:tr>
      <w:tr w:rsidR="00EB728C" w:rsidRPr="007B5055" w14:paraId="2E8E7A35" w14:textId="77777777" w:rsidTr="003B3300">
        <w:trPr>
          <w:trHeight w:val="340"/>
        </w:trPr>
        <w:tc>
          <w:tcPr>
            <w:tcW w:w="5000" w:type="pct"/>
            <w:hideMark/>
          </w:tcPr>
          <w:p w14:paraId="14161774" w14:textId="77777777" w:rsidR="00EB728C" w:rsidRPr="007B5055" w:rsidRDefault="00EB728C" w:rsidP="003B3300">
            <w:pPr>
              <w:spacing w:after="0"/>
              <w:rPr>
                <w:rFonts w:ascii="Calibri" w:hAnsi="Calibri" w:cs="Calibri"/>
                <w:color w:val="000000"/>
                <w:lang w:eastAsia="en-AU"/>
              </w:rPr>
            </w:pPr>
            <w:r w:rsidRPr="007B5055">
              <w:rPr>
                <w:rFonts w:ascii="Calibri" w:hAnsi="Calibri" w:cs="Calibri"/>
                <w:color w:val="000000"/>
                <w:lang w:eastAsia="en-AU"/>
              </w:rPr>
              <w:t>Farrell C. 2004, ‘Patient and public involvement in health: The evidence for policy implementation’ United Kingdom Department of Health, London, viewed October 2018, &lt;http://www.dh.gov.uk/prod_consum_dh/groups/dh_digitalassets/@dh/@en/documents/digitalasset/dh_4082334.pdf&gt;</w:t>
            </w:r>
          </w:p>
        </w:tc>
      </w:tr>
      <w:tr w:rsidR="00EB728C" w:rsidRPr="007B5055" w14:paraId="4BE690EF" w14:textId="77777777" w:rsidTr="003B3300">
        <w:trPr>
          <w:trHeight w:val="340"/>
        </w:trPr>
        <w:tc>
          <w:tcPr>
            <w:tcW w:w="5000" w:type="pct"/>
            <w:hideMark/>
          </w:tcPr>
          <w:p w14:paraId="2AF31E85" w14:textId="77777777" w:rsidR="00EB728C" w:rsidRPr="007B5055" w:rsidRDefault="00EB728C" w:rsidP="003B3300">
            <w:pPr>
              <w:spacing w:after="0"/>
              <w:rPr>
                <w:rFonts w:ascii="Calibri" w:hAnsi="Calibri" w:cs="Calibri"/>
                <w:color w:val="000000"/>
                <w:lang w:eastAsia="en-AU"/>
              </w:rPr>
            </w:pPr>
            <w:r w:rsidRPr="007B5055">
              <w:rPr>
                <w:rFonts w:ascii="Calibri" w:hAnsi="Calibri" w:cs="Calibri"/>
                <w:color w:val="000000"/>
                <w:lang w:eastAsia="en-AU"/>
              </w:rPr>
              <w:t xml:space="preserve">Hulley JL et al, 2013, ‘PTH-150 Benefits of a Liver Transplant Outreach Clinic: Increased Referrals and Patient Satisfaction’, </w:t>
            </w:r>
            <w:r w:rsidRPr="007B5055">
              <w:rPr>
                <w:rFonts w:ascii="Calibri" w:hAnsi="Calibri" w:cs="Calibri"/>
                <w:i/>
                <w:iCs/>
                <w:color w:val="000000"/>
                <w:lang w:eastAsia="en-AU"/>
              </w:rPr>
              <w:t xml:space="preserve">British Medical Journal, </w:t>
            </w:r>
            <w:r w:rsidRPr="007B5055">
              <w:rPr>
                <w:rFonts w:ascii="Calibri" w:hAnsi="Calibri" w:cs="Calibri"/>
                <w:color w:val="000000"/>
                <w:lang w:eastAsia="en-AU"/>
              </w:rPr>
              <w:t>Vol. 62 Issue: 1, pp. 272</w:t>
            </w:r>
          </w:p>
        </w:tc>
      </w:tr>
      <w:tr w:rsidR="00EB728C" w:rsidRPr="007B5055" w14:paraId="751980EB" w14:textId="77777777" w:rsidTr="003B3300">
        <w:trPr>
          <w:trHeight w:val="340"/>
        </w:trPr>
        <w:tc>
          <w:tcPr>
            <w:tcW w:w="5000" w:type="pct"/>
            <w:hideMark/>
          </w:tcPr>
          <w:p w14:paraId="6752F8A3" w14:textId="77777777" w:rsidR="00EB728C" w:rsidRPr="007B5055" w:rsidRDefault="00EB728C" w:rsidP="003B3300">
            <w:pPr>
              <w:spacing w:after="0"/>
              <w:rPr>
                <w:rFonts w:ascii="Calibri" w:hAnsi="Calibri" w:cs="Calibri"/>
                <w:color w:val="000000"/>
                <w:lang w:eastAsia="en-AU"/>
              </w:rPr>
            </w:pPr>
            <w:r w:rsidRPr="007B5055">
              <w:rPr>
                <w:rFonts w:ascii="Calibri" w:hAnsi="Calibri" w:cs="Calibri"/>
                <w:color w:val="000000"/>
                <w:lang w:eastAsia="en-AU"/>
              </w:rPr>
              <w:t xml:space="preserve">Khanal. N et al, 2018 ‘Disparity of access to kidney transplantation by Indigenous and non-Indigenous Australians’ </w:t>
            </w:r>
            <w:r w:rsidRPr="007B5055">
              <w:rPr>
                <w:rFonts w:ascii="Calibri" w:hAnsi="Calibri" w:cs="Calibri"/>
                <w:i/>
                <w:iCs/>
                <w:color w:val="000000"/>
                <w:lang w:eastAsia="en-AU"/>
              </w:rPr>
              <w:t xml:space="preserve">Medical Journal of Australia </w:t>
            </w:r>
            <w:r w:rsidRPr="007B5055">
              <w:rPr>
                <w:rFonts w:ascii="Calibri" w:hAnsi="Calibri" w:cs="Calibri"/>
                <w:color w:val="000000"/>
                <w:lang w:eastAsia="en-AU"/>
              </w:rPr>
              <w:t>Vol. 209 No. 6 pp. 261 – 266</w:t>
            </w:r>
          </w:p>
        </w:tc>
      </w:tr>
      <w:tr w:rsidR="00EB728C" w:rsidRPr="007B5055" w14:paraId="67B27B98" w14:textId="77777777" w:rsidTr="003B3300">
        <w:trPr>
          <w:trHeight w:val="340"/>
        </w:trPr>
        <w:tc>
          <w:tcPr>
            <w:tcW w:w="5000" w:type="pct"/>
            <w:hideMark/>
          </w:tcPr>
          <w:p w14:paraId="6E73B34D" w14:textId="77777777" w:rsidR="00EB728C" w:rsidRPr="007B5055" w:rsidRDefault="00EB728C" w:rsidP="003B3300">
            <w:pPr>
              <w:spacing w:after="0"/>
              <w:rPr>
                <w:rFonts w:ascii="Calibri" w:hAnsi="Calibri" w:cs="Calibri"/>
                <w:color w:val="000000"/>
                <w:lang w:eastAsia="en-AU"/>
              </w:rPr>
            </w:pPr>
            <w:r w:rsidRPr="007B5055">
              <w:rPr>
                <w:rFonts w:ascii="Calibri" w:hAnsi="Calibri" w:cs="Calibri"/>
                <w:color w:val="000000"/>
                <w:lang w:eastAsia="en-AU"/>
              </w:rPr>
              <w:t xml:space="preserve">Kucirka, L M, Purnell, T S, &amp; Segev, D L. 2015, ‘Improving Access to Kidney Transplantation: Referral is Not Enough’. </w:t>
            </w:r>
            <w:r w:rsidRPr="007B5055">
              <w:rPr>
                <w:rFonts w:ascii="Calibri" w:hAnsi="Calibri" w:cs="Calibri"/>
                <w:i/>
                <w:iCs/>
                <w:color w:val="000000"/>
                <w:lang w:eastAsia="en-AU"/>
              </w:rPr>
              <w:t xml:space="preserve">The Journal of the American Medical Association </w:t>
            </w:r>
            <w:r w:rsidRPr="007B5055">
              <w:rPr>
                <w:rFonts w:ascii="Calibri" w:hAnsi="Calibri" w:cs="Calibri"/>
                <w:color w:val="000000"/>
                <w:lang w:eastAsia="en-AU"/>
              </w:rPr>
              <w:t>Vol. 314 Issue 6, pp.565–567</w:t>
            </w:r>
          </w:p>
        </w:tc>
      </w:tr>
      <w:tr w:rsidR="00EB728C" w:rsidRPr="007B5055" w14:paraId="38958191" w14:textId="77777777" w:rsidTr="003B3300">
        <w:trPr>
          <w:trHeight w:val="340"/>
        </w:trPr>
        <w:tc>
          <w:tcPr>
            <w:tcW w:w="5000" w:type="pct"/>
            <w:hideMark/>
          </w:tcPr>
          <w:p w14:paraId="453C6257" w14:textId="77777777" w:rsidR="00EB728C" w:rsidRPr="007B5055" w:rsidRDefault="00EB728C" w:rsidP="003B3300">
            <w:pPr>
              <w:spacing w:after="0"/>
              <w:rPr>
                <w:rFonts w:ascii="Calibri" w:hAnsi="Calibri" w:cs="Calibri"/>
                <w:color w:val="000000"/>
                <w:lang w:eastAsia="en-AU"/>
              </w:rPr>
            </w:pPr>
            <w:r w:rsidRPr="007B5055">
              <w:rPr>
                <w:rFonts w:ascii="Calibri" w:hAnsi="Calibri" w:cs="Calibri"/>
                <w:color w:val="000000"/>
                <w:lang w:eastAsia="en-AU"/>
              </w:rPr>
              <w:t xml:space="preserve">Lawton P et al, 2017, ‘Organ Transplantation in Australia: Inequities in Access and Outcome for Indigenous Australians’ </w:t>
            </w:r>
            <w:r w:rsidRPr="007B5055">
              <w:rPr>
                <w:rFonts w:ascii="Calibri" w:hAnsi="Calibri" w:cs="Calibri"/>
                <w:i/>
                <w:color w:val="000000"/>
                <w:lang w:eastAsia="en-AU"/>
              </w:rPr>
              <w:t>The Official Journal of the Transplantation Society and the International Liver Transplantation Society</w:t>
            </w:r>
            <w:r w:rsidRPr="007B5055">
              <w:rPr>
                <w:rFonts w:ascii="Calibri" w:hAnsi="Calibri" w:cs="Calibri"/>
                <w:color w:val="000000"/>
                <w:lang w:eastAsia="en-AU"/>
              </w:rPr>
              <w:t>, Vol: 101 Issue: 11, pp. 345-346</w:t>
            </w:r>
          </w:p>
        </w:tc>
      </w:tr>
      <w:tr w:rsidR="00EB728C" w:rsidRPr="007B5055" w14:paraId="23FFF55F" w14:textId="77777777" w:rsidTr="003B3300">
        <w:trPr>
          <w:trHeight w:val="340"/>
        </w:trPr>
        <w:tc>
          <w:tcPr>
            <w:tcW w:w="5000" w:type="pct"/>
            <w:hideMark/>
          </w:tcPr>
          <w:p w14:paraId="5A9868F9" w14:textId="77777777" w:rsidR="00EB728C" w:rsidRPr="007B5055" w:rsidRDefault="00EB728C" w:rsidP="003B3300">
            <w:pPr>
              <w:spacing w:after="0"/>
              <w:rPr>
                <w:rFonts w:ascii="Calibri" w:hAnsi="Calibri" w:cs="Calibri"/>
                <w:color w:val="000000"/>
                <w:lang w:eastAsia="en-AU"/>
              </w:rPr>
            </w:pPr>
            <w:r w:rsidRPr="007B5055">
              <w:rPr>
                <w:rFonts w:ascii="Calibri" w:hAnsi="Calibri" w:cs="Calibri"/>
                <w:color w:val="000000"/>
                <w:lang w:eastAsia="en-AU"/>
              </w:rPr>
              <w:t xml:space="preserve">Luxton G, 2010, ‘Timing of referral of chronic kidney disease patients to nephrology services (adult)’, </w:t>
            </w:r>
            <w:r w:rsidRPr="007B5055">
              <w:rPr>
                <w:rFonts w:ascii="Calibri" w:hAnsi="Calibri" w:cs="Calibri"/>
                <w:i/>
                <w:iCs/>
                <w:color w:val="000000"/>
                <w:lang w:eastAsia="en-AU"/>
              </w:rPr>
              <w:t>Nephrology</w:t>
            </w:r>
            <w:r w:rsidRPr="007B5055">
              <w:rPr>
                <w:rFonts w:ascii="Calibri" w:hAnsi="Calibri" w:cs="Calibri"/>
                <w:color w:val="000000"/>
                <w:lang w:eastAsia="en-AU"/>
              </w:rPr>
              <w:t>, Vol. 15, No. S1, pp.2 – 11</w:t>
            </w:r>
          </w:p>
        </w:tc>
      </w:tr>
      <w:tr w:rsidR="00EB728C" w:rsidRPr="007B5055" w14:paraId="7BA6DC0F" w14:textId="77777777" w:rsidTr="003B3300">
        <w:trPr>
          <w:trHeight w:val="340"/>
        </w:trPr>
        <w:tc>
          <w:tcPr>
            <w:tcW w:w="5000" w:type="pct"/>
            <w:hideMark/>
          </w:tcPr>
          <w:p w14:paraId="2D74F9FB" w14:textId="77777777" w:rsidR="00EB728C" w:rsidRPr="007B5055" w:rsidRDefault="00EB728C" w:rsidP="003B3300">
            <w:pPr>
              <w:spacing w:after="0"/>
              <w:rPr>
                <w:rFonts w:ascii="Calibri" w:hAnsi="Calibri" w:cs="Calibri"/>
                <w:color w:val="000000"/>
                <w:lang w:eastAsia="en-AU"/>
              </w:rPr>
            </w:pPr>
            <w:r w:rsidRPr="007B5055">
              <w:rPr>
                <w:rFonts w:ascii="Calibri" w:hAnsi="Calibri" w:cs="Calibri"/>
                <w:color w:val="000000"/>
                <w:lang w:eastAsia="en-AU"/>
              </w:rPr>
              <w:t xml:space="preserve">Makdisi, G, et al, 2017, ‘Ex vivo lung perfusion review of a revolutionary technology’. </w:t>
            </w:r>
            <w:r w:rsidRPr="007B5055">
              <w:rPr>
                <w:rFonts w:ascii="Calibri" w:hAnsi="Calibri" w:cs="Calibri"/>
                <w:i/>
                <w:iCs/>
                <w:color w:val="000000"/>
                <w:lang w:eastAsia="en-AU"/>
              </w:rPr>
              <w:t>Annals of Translational Medicine</w:t>
            </w:r>
            <w:r w:rsidRPr="007B5055">
              <w:rPr>
                <w:rFonts w:ascii="Calibri" w:hAnsi="Calibri" w:cs="Calibri"/>
                <w:color w:val="000000"/>
                <w:lang w:eastAsia="en-AU"/>
              </w:rPr>
              <w:t>, Vol. 5, No. 17, pp. 343</w:t>
            </w:r>
          </w:p>
        </w:tc>
      </w:tr>
      <w:tr w:rsidR="00EB728C" w:rsidRPr="007B5055" w14:paraId="1E0830F3" w14:textId="77777777" w:rsidTr="003B3300">
        <w:trPr>
          <w:trHeight w:val="340"/>
        </w:trPr>
        <w:tc>
          <w:tcPr>
            <w:tcW w:w="5000" w:type="pct"/>
            <w:hideMark/>
          </w:tcPr>
          <w:p w14:paraId="4B552F66" w14:textId="77777777" w:rsidR="00EB728C" w:rsidRPr="007B5055" w:rsidRDefault="00EB728C" w:rsidP="003B3300">
            <w:pPr>
              <w:spacing w:after="0"/>
              <w:rPr>
                <w:rFonts w:ascii="Calibri" w:hAnsi="Calibri" w:cs="Calibri"/>
                <w:color w:val="000000"/>
                <w:lang w:eastAsia="en-AU"/>
              </w:rPr>
            </w:pPr>
            <w:r w:rsidRPr="007B5055">
              <w:rPr>
                <w:rFonts w:ascii="Calibri" w:hAnsi="Calibri" w:cs="Calibri"/>
                <w:color w:val="000000"/>
                <w:lang w:eastAsia="en-AU"/>
              </w:rPr>
              <w:t xml:space="preserve">Manyalich M, Costa AN, Paez G, 2010, ‘2009 International Donation and transplantation activity’, </w:t>
            </w:r>
            <w:r w:rsidRPr="007B5055">
              <w:rPr>
                <w:rFonts w:ascii="Calibri" w:hAnsi="Calibri" w:cs="Calibri"/>
                <w:i/>
                <w:color w:val="000000"/>
                <w:lang w:eastAsia="en-AU"/>
              </w:rPr>
              <w:t>Organ and Tissue Cells</w:t>
            </w:r>
            <w:r w:rsidRPr="007B5055">
              <w:rPr>
                <w:rFonts w:ascii="Calibri" w:hAnsi="Calibri" w:cs="Calibri"/>
                <w:color w:val="000000"/>
                <w:lang w:eastAsia="en-AU"/>
              </w:rPr>
              <w:t xml:space="preserve"> vol. 13, pp. 146 – 150</w:t>
            </w:r>
          </w:p>
        </w:tc>
      </w:tr>
      <w:tr w:rsidR="00EB728C" w:rsidRPr="007B5055" w14:paraId="3AC4A1E4" w14:textId="77777777" w:rsidTr="003B3300">
        <w:trPr>
          <w:trHeight w:val="340"/>
        </w:trPr>
        <w:tc>
          <w:tcPr>
            <w:tcW w:w="5000" w:type="pct"/>
            <w:hideMark/>
          </w:tcPr>
          <w:p w14:paraId="3B4AAC66" w14:textId="77777777" w:rsidR="00EB728C" w:rsidRPr="007B5055" w:rsidRDefault="00EB728C" w:rsidP="003B3300">
            <w:pPr>
              <w:spacing w:after="0"/>
              <w:rPr>
                <w:rFonts w:ascii="Calibri" w:hAnsi="Calibri" w:cs="Calibri"/>
                <w:color w:val="000000"/>
                <w:lang w:eastAsia="en-AU"/>
              </w:rPr>
            </w:pPr>
            <w:r w:rsidRPr="007B5055">
              <w:rPr>
                <w:rFonts w:ascii="Calibri" w:hAnsi="Calibri" w:cs="Calibri"/>
                <w:color w:val="000000"/>
                <w:lang w:eastAsia="en-AU"/>
              </w:rPr>
              <w:t xml:space="preserve">Matesanz R, et al, 2017, ‘How Spain reached 40 deceased organ donors per million population’, </w:t>
            </w:r>
            <w:r w:rsidRPr="007B5055">
              <w:rPr>
                <w:rFonts w:ascii="Calibri" w:hAnsi="Calibri" w:cs="Calibri"/>
                <w:i/>
                <w:iCs/>
                <w:color w:val="000000"/>
                <w:lang w:eastAsia="en-AU"/>
              </w:rPr>
              <w:t>American Journal of Transplantation</w:t>
            </w:r>
            <w:r w:rsidRPr="007B5055">
              <w:rPr>
                <w:rFonts w:ascii="Calibri" w:hAnsi="Calibri" w:cs="Calibri"/>
                <w:color w:val="000000"/>
                <w:lang w:eastAsia="en-AU"/>
              </w:rPr>
              <w:t xml:space="preserve"> Vol.17 Issue: 6, pp. 1447-1454</w:t>
            </w:r>
          </w:p>
        </w:tc>
      </w:tr>
      <w:tr w:rsidR="00EB728C" w:rsidRPr="007B5055" w14:paraId="645FEB4D" w14:textId="77777777" w:rsidTr="003B3300">
        <w:trPr>
          <w:trHeight w:val="340"/>
        </w:trPr>
        <w:tc>
          <w:tcPr>
            <w:tcW w:w="5000" w:type="pct"/>
            <w:hideMark/>
          </w:tcPr>
          <w:p w14:paraId="248383B1"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 xml:space="preserve">Nilsen ES et al, 2006, ‘Methods of consumer involvement in developing healthcare policy and research, clinical practice guidelines and patient information material’, </w:t>
            </w:r>
            <w:r w:rsidRPr="007B5055">
              <w:rPr>
                <w:rFonts w:ascii="Calibri" w:hAnsi="Calibri" w:cs="Calibri"/>
                <w:i/>
                <w:color w:val="000000"/>
                <w:lang w:val="en-GB" w:eastAsia="en-AU"/>
              </w:rPr>
              <w:t>Cochrane Database of Systematic Reviews</w:t>
            </w:r>
            <w:r w:rsidRPr="007B5055">
              <w:rPr>
                <w:rFonts w:ascii="Calibri" w:hAnsi="Calibri" w:cs="Calibri"/>
                <w:color w:val="000000"/>
                <w:lang w:val="en-GB" w:eastAsia="en-AU"/>
              </w:rPr>
              <w:t xml:space="preserve"> Vol. 3, viewed October 2018 &lt;https://www.ncbi.nlm.nih.gov/pubmed/16856050/&gt; </w:t>
            </w:r>
          </w:p>
        </w:tc>
      </w:tr>
      <w:tr w:rsidR="00EB728C" w:rsidRPr="007B5055" w14:paraId="0709D16B" w14:textId="77777777" w:rsidTr="003B3300">
        <w:trPr>
          <w:trHeight w:val="340"/>
        </w:trPr>
        <w:tc>
          <w:tcPr>
            <w:tcW w:w="5000" w:type="pct"/>
            <w:hideMark/>
          </w:tcPr>
          <w:p w14:paraId="4ED2C62F"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 xml:space="preserve">Paraskeva.M et al, Lung transplantation in Australia, 2018, ‘1986 - 2018; more than 30 years in the making’, </w:t>
            </w:r>
            <w:r w:rsidRPr="007B5055">
              <w:rPr>
                <w:rFonts w:ascii="Calibri" w:hAnsi="Calibri" w:cs="Calibri"/>
                <w:i/>
                <w:iCs/>
                <w:color w:val="000000"/>
                <w:lang w:val="en-GB" w:eastAsia="en-AU"/>
              </w:rPr>
              <w:t xml:space="preserve">The Medical Journal of Australia </w:t>
            </w:r>
            <w:r w:rsidRPr="007B5055">
              <w:rPr>
                <w:rFonts w:ascii="Calibri" w:hAnsi="Calibri" w:cs="Calibri"/>
                <w:color w:val="000000"/>
                <w:lang w:val="en-GB" w:eastAsia="en-AU"/>
              </w:rPr>
              <w:t>Vol.208 No.10 viewed October 2018, &lt;</w:t>
            </w:r>
            <w:r w:rsidRPr="007B5055">
              <w:rPr>
                <w:rFonts w:ascii="Calibri" w:hAnsi="Calibri" w:cs="Calibri"/>
                <w:lang w:val="en-GB" w:eastAsia="en-AU"/>
              </w:rPr>
              <w:t>https://www.mja.com.au/system/files/issues/208_10/10.5694mja17.00909.pdf</w:t>
            </w:r>
            <w:r w:rsidRPr="007B5055">
              <w:rPr>
                <w:rFonts w:ascii="Calibri" w:hAnsi="Calibri" w:cs="Calibri"/>
                <w:color w:val="000000"/>
                <w:lang w:val="en-GB" w:eastAsia="en-AU"/>
              </w:rPr>
              <w:t>&gt;</w:t>
            </w:r>
          </w:p>
        </w:tc>
      </w:tr>
      <w:tr w:rsidR="00EB728C" w:rsidRPr="007B5055" w14:paraId="6E57A2C9" w14:textId="77777777" w:rsidTr="003B3300">
        <w:trPr>
          <w:trHeight w:val="340"/>
        </w:trPr>
        <w:tc>
          <w:tcPr>
            <w:tcW w:w="5000" w:type="pct"/>
            <w:hideMark/>
          </w:tcPr>
          <w:p w14:paraId="1EB3AF45"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 xml:space="preserve">Post, M. A, 2015, ‘What matters and what doesn't: Organ, eye and tissue donor families, grief support and recipient communication’, </w:t>
            </w:r>
            <w:r w:rsidRPr="007B5055">
              <w:rPr>
                <w:rFonts w:ascii="Calibri" w:hAnsi="Calibri" w:cs="Calibri"/>
                <w:i/>
                <w:iCs/>
                <w:color w:val="000000"/>
                <w:lang w:val="en-GB" w:eastAsia="en-AU"/>
              </w:rPr>
              <w:t>Grief Matters: The Australian Journal of Grief and Bereavement</w:t>
            </w:r>
            <w:r w:rsidRPr="007B5055">
              <w:rPr>
                <w:rFonts w:ascii="Calibri" w:hAnsi="Calibri" w:cs="Calibri"/>
                <w:color w:val="000000"/>
                <w:lang w:val="en-GB" w:eastAsia="en-AU"/>
              </w:rPr>
              <w:t>, Vol. 18, Issue.1, pp. 18</w:t>
            </w:r>
          </w:p>
        </w:tc>
      </w:tr>
      <w:tr w:rsidR="00EB728C" w:rsidRPr="007B5055" w14:paraId="10E4D25C" w14:textId="77777777" w:rsidTr="003B3300">
        <w:trPr>
          <w:trHeight w:val="340"/>
        </w:trPr>
        <w:tc>
          <w:tcPr>
            <w:tcW w:w="5000" w:type="pct"/>
            <w:hideMark/>
          </w:tcPr>
          <w:p w14:paraId="330CE61E"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 xml:space="preserve">Scanlon A, et al, 2016, ‘The complexities of defining nurse practitioner scope of practice in the Australian context’, </w:t>
            </w:r>
            <w:r w:rsidRPr="007B5055">
              <w:rPr>
                <w:rFonts w:ascii="Calibri" w:hAnsi="Calibri" w:cs="Calibri"/>
                <w:i/>
                <w:iCs/>
                <w:color w:val="000000"/>
                <w:lang w:val="en-GB" w:eastAsia="en-AU"/>
              </w:rPr>
              <w:t xml:space="preserve">The Collegian </w:t>
            </w:r>
            <w:r w:rsidRPr="007B5055">
              <w:rPr>
                <w:rFonts w:ascii="Calibri" w:hAnsi="Calibri" w:cs="Calibri"/>
                <w:color w:val="000000"/>
                <w:lang w:val="en-GB" w:eastAsia="en-AU"/>
              </w:rPr>
              <w:t>Vol 23 Issue: 1, pp. 129 – 142</w:t>
            </w:r>
          </w:p>
        </w:tc>
      </w:tr>
      <w:tr w:rsidR="00EB728C" w:rsidRPr="007B5055" w14:paraId="4519BE02" w14:textId="77777777" w:rsidTr="003B3300">
        <w:trPr>
          <w:trHeight w:val="340"/>
        </w:trPr>
        <w:tc>
          <w:tcPr>
            <w:tcW w:w="5000" w:type="pct"/>
            <w:hideMark/>
          </w:tcPr>
          <w:p w14:paraId="3566D582"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Schraufnagel DP et al, 2018, ‘Devices for ex vivo heart and lung perfusion</w:t>
            </w:r>
            <w:r w:rsidRPr="007B5055">
              <w:rPr>
                <w:rFonts w:ascii="Calibri" w:hAnsi="Calibri" w:cs="Calibri"/>
                <w:i/>
                <w:iCs/>
                <w:color w:val="000000"/>
                <w:lang w:val="en-GB" w:eastAsia="en-AU"/>
              </w:rPr>
              <w:t>’</w:t>
            </w:r>
            <w:r w:rsidRPr="007B5055">
              <w:rPr>
                <w:rFonts w:ascii="Calibri" w:hAnsi="Calibri" w:cs="Calibri"/>
                <w:color w:val="000000"/>
                <w:lang w:val="en-GB" w:eastAsia="en-AU"/>
              </w:rPr>
              <w:t xml:space="preserve">, </w:t>
            </w:r>
            <w:r w:rsidRPr="007B5055">
              <w:rPr>
                <w:rFonts w:ascii="Calibri" w:hAnsi="Calibri" w:cs="Calibri"/>
                <w:i/>
                <w:iCs/>
                <w:color w:val="000000"/>
                <w:lang w:val="en-GB" w:eastAsia="en-AU"/>
              </w:rPr>
              <w:t>Expert Review of Medical Devices</w:t>
            </w:r>
            <w:r w:rsidRPr="007B5055">
              <w:rPr>
                <w:rFonts w:ascii="Calibri" w:hAnsi="Calibri" w:cs="Calibri"/>
                <w:color w:val="000000"/>
                <w:lang w:val="en-GB" w:eastAsia="en-AU"/>
              </w:rPr>
              <w:t xml:space="preserve"> vol. 15, Issue.3, pp.183-191</w:t>
            </w:r>
          </w:p>
        </w:tc>
      </w:tr>
      <w:tr w:rsidR="00EB728C" w:rsidRPr="007B5055" w14:paraId="6745E5A1" w14:textId="77777777" w:rsidTr="003B3300">
        <w:trPr>
          <w:trHeight w:val="340"/>
        </w:trPr>
        <w:tc>
          <w:tcPr>
            <w:tcW w:w="5000" w:type="pct"/>
            <w:hideMark/>
          </w:tcPr>
          <w:p w14:paraId="079B2E25"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 xml:space="preserve">Tong, A, et al. 2012, ‘Patient preferences for the allocation of deceased donor kidneys for transplantation: a mixed methods study’, </w:t>
            </w:r>
            <w:r w:rsidRPr="007B5055">
              <w:rPr>
                <w:rFonts w:ascii="Calibri" w:hAnsi="Calibri" w:cs="Calibri"/>
                <w:i/>
                <w:color w:val="000000"/>
                <w:lang w:val="en-GB" w:eastAsia="en-AU"/>
              </w:rPr>
              <w:t>BMC Nephrology</w:t>
            </w:r>
            <w:r w:rsidRPr="007B5055">
              <w:rPr>
                <w:rFonts w:ascii="Calibri" w:hAnsi="Calibri" w:cs="Calibri"/>
                <w:color w:val="000000"/>
                <w:lang w:val="en-GB" w:eastAsia="en-AU"/>
              </w:rPr>
              <w:t xml:space="preserve"> Vol. 13, No. 18, viewed October 2018, &lt;https://bmcnephrol.biomedcentral.com/articles/10.1186/1471-2369-13-18&gt;</w:t>
            </w:r>
          </w:p>
        </w:tc>
      </w:tr>
      <w:tr w:rsidR="00EB728C" w:rsidRPr="007B5055" w14:paraId="03CBF6B2" w14:textId="77777777" w:rsidTr="003B3300">
        <w:trPr>
          <w:trHeight w:val="340"/>
        </w:trPr>
        <w:tc>
          <w:tcPr>
            <w:tcW w:w="5000" w:type="pct"/>
          </w:tcPr>
          <w:p w14:paraId="7F87476C" w14:textId="77777777" w:rsidR="00EB728C" w:rsidRPr="007B5055" w:rsidRDefault="00EB728C" w:rsidP="003B3300">
            <w:pPr>
              <w:rPr>
                <w:rFonts w:ascii="Calibri" w:hAnsi="Calibri" w:cs="Calibri"/>
                <w:color w:val="000000"/>
              </w:rPr>
            </w:pPr>
            <w:r w:rsidRPr="007B5055">
              <w:rPr>
                <w:rFonts w:ascii="Calibri" w:hAnsi="Calibri" w:cs="Calibri"/>
                <w:color w:val="000000"/>
              </w:rPr>
              <w:t xml:space="preserve">Yeates.K et al, 2009, ‘Indigenous people in Australia, Canada, New Zealand and the United States are less likely to receive renal transplantation’ </w:t>
            </w:r>
            <w:r w:rsidRPr="007B5055">
              <w:rPr>
                <w:rFonts w:ascii="Calibri" w:hAnsi="Calibri" w:cs="Calibri"/>
                <w:i/>
                <w:iCs/>
                <w:color w:val="000000"/>
              </w:rPr>
              <w:t xml:space="preserve">Official Journal of the International Society of Nephrology, </w:t>
            </w:r>
            <w:r w:rsidRPr="007B5055">
              <w:rPr>
                <w:rFonts w:ascii="Calibri" w:hAnsi="Calibri" w:cs="Calibri"/>
                <w:color w:val="000000"/>
              </w:rPr>
              <w:t>vol. 76, Issue. 6, pp 659 – 664</w:t>
            </w:r>
          </w:p>
        </w:tc>
      </w:tr>
      <w:tr w:rsidR="00EB728C" w:rsidRPr="007B5055" w14:paraId="68B31026" w14:textId="77777777" w:rsidTr="003B3300">
        <w:trPr>
          <w:trHeight w:val="340"/>
        </w:trPr>
        <w:tc>
          <w:tcPr>
            <w:tcW w:w="5000" w:type="pct"/>
            <w:shd w:val="clear" w:color="auto" w:fill="7F7F7F" w:themeFill="text1" w:themeFillTint="80"/>
          </w:tcPr>
          <w:p w14:paraId="42C3B2E7" w14:textId="77777777" w:rsidR="00EB728C" w:rsidRPr="007B5055" w:rsidRDefault="00EB728C" w:rsidP="003B3300">
            <w:pPr>
              <w:spacing w:after="0"/>
              <w:rPr>
                <w:rFonts w:ascii="Calibri" w:hAnsi="Calibri" w:cs="Calibri"/>
                <w:b/>
                <w:color w:val="FFFFFF" w:themeColor="background1"/>
                <w:lang w:val="en-GB" w:eastAsia="en-AU"/>
              </w:rPr>
            </w:pPr>
            <w:r w:rsidRPr="007B5055">
              <w:rPr>
                <w:rFonts w:ascii="Calibri" w:hAnsi="Calibri" w:cs="Calibri"/>
                <w:b/>
                <w:color w:val="FFFFFF" w:themeColor="background1"/>
                <w:lang w:val="en-GB" w:eastAsia="en-AU"/>
              </w:rPr>
              <w:t xml:space="preserve">Guidelines </w:t>
            </w:r>
          </w:p>
        </w:tc>
      </w:tr>
      <w:tr w:rsidR="00EB728C" w:rsidRPr="007B5055" w14:paraId="098113E4" w14:textId="77777777" w:rsidTr="003B3300">
        <w:trPr>
          <w:trHeight w:val="340"/>
        </w:trPr>
        <w:tc>
          <w:tcPr>
            <w:tcW w:w="5000" w:type="pct"/>
          </w:tcPr>
          <w:p w14:paraId="387F5F8A" w14:textId="77777777" w:rsidR="00EB728C" w:rsidRPr="007B5055" w:rsidRDefault="00EB728C" w:rsidP="003B3300">
            <w:pPr>
              <w:rPr>
                <w:rFonts w:ascii="Calibri" w:hAnsi="Calibri" w:cs="Calibri"/>
                <w:color w:val="000000"/>
              </w:rPr>
            </w:pPr>
            <w:r w:rsidRPr="007B5055">
              <w:rPr>
                <w:rFonts w:ascii="Calibri" w:hAnsi="Calibri" w:cs="Calibri"/>
                <w:color w:val="000000"/>
              </w:rPr>
              <w:t>The Australasian Transplantation Coordinators Association et al, 2017</w:t>
            </w:r>
            <w:r w:rsidRPr="007B5055">
              <w:rPr>
                <w:rFonts w:ascii="Calibri" w:hAnsi="Calibri" w:cs="Calibri"/>
                <w:i/>
                <w:color w:val="000000"/>
              </w:rPr>
              <w:t>, National Standard Operating Procedures: Organ allocation, organ rotation, urgent listing and auditing process, Version 2.1</w:t>
            </w:r>
            <w:r w:rsidRPr="007B5055">
              <w:rPr>
                <w:rFonts w:ascii="Calibri" w:hAnsi="Calibri" w:cs="Calibri"/>
                <w:color w:val="000000"/>
              </w:rPr>
              <w:t>, Canberra, viewed August 2018, &lt;http://www.atca.org.au/files/ATCA_TSANZ%20SOP%20001.2017.pdf&gt;</w:t>
            </w:r>
          </w:p>
        </w:tc>
      </w:tr>
      <w:tr w:rsidR="00EB728C" w:rsidRPr="007B5055" w14:paraId="60C2385D" w14:textId="77777777" w:rsidTr="003B3300">
        <w:trPr>
          <w:trHeight w:val="340"/>
        </w:trPr>
        <w:tc>
          <w:tcPr>
            <w:tcW w:w="5000" w:type="pct"/>
          </w:tcPr>
          <w:p w14:paraId="37E4D4BD" w14:textId="77777777" w:rsidR="00EB728C" w:rsidRPr="007B5055" w:rsidRDefault="00EB728C" w:rsidP="003B3300">
            <w:pPr>
              <w:rPr>
                <w:rFonts w:ascii="Calibri" w:hAnsi="Calibri" w:cs="Calibri"/>
                <w:color w:val="000000"/>
              </w:rPr>
            </w:pPr>
            <w:r w:rsidRPr="007B5055">
              <w:rPr>
                <w:rFonts w:ascii="Calibri" w:hAnsi="Calibri" w:cs="Calibri"/>
                <w:color w:val="000000"/>
              </w:rPr>
              <w:t xml:space="preserve">The Transplantation Society of Australia and New Zealand (TSANZ) 2016, </w:t>
            </w:r>
            <w:r w:rsidRPr="007B5055">
              <w:rPr>
                <w:rFonts w:ascii="Calibri" w:hAnsi="Calibri" w:cs="Calibri"/>
                <w:i/>
                <w:color w:val="000000"/>
              </w:rPr>
              <w:t>Clinical Guidelines for Organ Transplantation from Deceased Donors Version 1.0 – April 2016</w:t>
            </w:r>
            <w:r w:rsidRPr="007B5055">
              <w:rPr>
                <w:rFonts w:ascii="Calibri" w:hAnsi="Calibri" w:cs="Calibri"/>
                <w:color w:val="000000"/>
              </w:rPr>
              <w:t>, viewed June 2018 &lt;https://donatelife.gov.au/sites/default/files/TSANZ%20Clinical%20Guidelines%20for%20Organ%20Transplantation%20from%20Deceased%20Donors_Version%201.0_April%202016.pdf&gt;</w:t>
            </w:r>
          </w:p>
        </w:tc>
      </w:tr>
      <w:tr w:rsidR="00EB728C" w:rsidRPr="007B5055" w14:paraId="167C8FE5" w14:textId="77777777" w:rsidTr="003B3300">
        <w:trPr>
          <w:trHeight w:val="340"/>
        </w:trPr>
        <w:tc>
          <w:tcPr>
            <w:tcW w:w="5000" w:type="pct"/>
          </w:tcPr>
          <w:p w14:paraId="15F94298" w14:textId="77777777" w:rsidR="00EB728C" w:rsidRPr="007B5055" w:rsidRDefault="00EB728C" w:rsidP="003B3300">
            <w:pPr>
              <w:rPr>
                <w:rFonts w:ascii="Calibri" w:hAnsi="Calibri" w:cs="Calibri"/>
                <w:color w:val="000000"/>
              </w:rPr>
            </w:pPr>
            <w:r w:rsidRPr="007B5055">
              <w:rPr>
                <w:rFonts w:ascii="Calibri" w:hAnsi="Calibri" w:cs="Calibri"/>
                <w:color w:val="000000"/>
              </w:rPr>
              <w:t xml:space="preserve">The National Medical Health and Research Council (NMHRC) 2016, </w:t>
            </w:r>
            <w:r w:rsidRPr="007B5055">
              <w:rPr>
                <w:rFonts w:ascii="Calibri" w:hAnsi="Calibri" w:cs="Calibri"/>
                <w:i/>
                <w:color w:val="000000"/>
              </w:rPr>
              <w:t>Ethical Guidelines for Organ Transplantation from deceased Donors</w:t>
            </w:r>
            <w:r w:rsidRPr="007B5055">
              <w:rPr>
                <w:rFonts w:ascii="Calibri" w:hAnsi="Calibri" w:cs="Calibri"/>
                <w:color w:val="000000"/>
              </w:rPr>
              <w:t>, viewed June 2018, &lt;https://www.tsanz.com.au/organallocationguidelines/documents/NHMRCEthicalGuidelinesforOrganTransplantationfromDeceasedDonors.pdf&gt;</w:t>
            </w:r>
          </w:p>
        </w:tc>
      </w:tr>
      <w:tr w:rsidR="00EB728C" w:rsidRPr="007B5055" w14:paraId="4859BCF1" w14:textId="77777777" w:rsidTr="003B3300">
        <w:trPr>
          <w:trHeight w:val="340"/>
        </w:trPr>
        <w:tc>
          <w:tcPr>
            <w:tcW w:w="5000" w:type="pct"/>
          </w:tcPr>
          <w:p w14:paraId="43A91364" w14:textId="77777777" w:rsidR="00EB728C" w:rsidRPr="007B5055" w:rsidRDefault="00EB728C" w:rsidP="003B3300">
            <w:pPr>
              <w:rPr>
                <w:rFonts w:ascii="Calibri" w:hAnsi="Calibri" w:cs="Calibri"/>
                <w:color w:val="000000"/>
              </w:rPr>
            </w:pPr>
            <w:r w:rsidRPr="007B5055">
              <w:rPr>
                <w:rFonts w:ascii="Calibri" w:hAnsi="Calibri" w:cs="Calibri"/>
                <w:color w:val="000000"/>
              </w:rPr>
              <w:t>The National Health and Medical Research Council, 2007, Organ and Tissue Donation after death: Guidelines for Ethical Practice for Health Professionals, Australian Government, Canberra, viewed October 2018, &lt;https://nhmrc.gov.au/about-us/publications/organ-and-tissue-donation-after-death-transplantation&gt;</w:t>
            </w:r>
          </w:p>
        </w:tc>
      </w:tr>
      <w:tr w:rsidR="00EB728C" w:rsidRPr="007B5055" w14:paraId="143494F7" w14:textId="77777777" w:rsidTr="003B3300">
        <w:trPr>
          <w:trHeight w:val="340"/>
        </w:trPr>
        <w:tc>
          <w:tcPr>
            <w:tcW w:w="5000" w:type="pct"/>
            <w:shd w:val="clear" w:color="auto" w:fill="7F7F7F" w:themeFill="text1" w:themeFillTint="80"/>
          </w:tcPr>
          <w:p w14:paraId="35B24CAF" w14:textId="77777777" w:rsidR="00EB728C" w:rsidRPr="007B5055" w:rsidRDefault="00EB728C" w:rsidP="003B3300">
            <w:pPr>
              <w:rPr>
                <w:rFonts w:ascii="Calibri" w:hAnsi="Calibri" w:cs="Calibri"/>
                <w:b/>
                <w:color w:val="000000"/>
              </w:rPr>
            </w:pPr>
            <w:r w:rsidRPr="007B5055">
              <w:rPr>
                <w:rFonts w:ascii="Calibri" w:hAnsi="Calibri" w:cs="Calibri"/>
                <w:b/>
                <w:color w:val="FFFFFF" w:themeColor="background1"/>
              </w:rPr>
              <w:t>Reports</w:t>
            </w:r>
          </w:p>
        </w:tc>
      </w:tr>
      <w:tr w:rsidR="00EB728C" w:rsidRPr="007B5055" w14:paraId="7BB185B1" w14:textId="77777777" w:rsidTr="003B3300">
        <w:trPr>
          <w:trHeight w:val="340"/>
        </w:trPr>
        <w:tc>
          <w:tcPr>
            <w:tcW w:w="5000" w:type="pct"/>
          </w:tcPr>
          <w:p w14:paraId="404394D5" w14:textId="77777777" w:rsidR="00EB728C" w:rsidRPr="007B5055" w:rsidRDefault="00EB728C" w:rsidP="003B3300">
            <w:pPr>
              <w:rPr>
                <w:rFonts w:ascii="Calibri" w:hAnsi="Calibri" w:cs="Calibri"/>
                <w:color w:val="000000"/>
              </w:rPr>
            </w:pPr>
            <w:r w:rsidRPr="007B5055">
              <w:rPr>
                <w:rFonts w:ascii="Calibri" w:hAnsi="Calibri" w:cs="Calibri"/>
                <w:color w:val="000000"/>
              </w:rPr>
              <w:t xml:space="preserve">The Australian Organ and Tissue Donation and Transplantation Authority, 2017, </w:t>
            </w:r>
            <w:r w:rsidRPr="007B5055">
              <w:rPr>
                <w:rFonts w:ascii="Calibri" w:hAnsi="Calibri" w:cs="Calibri"/>
                <w:i/>
                <w:color w:val="000000"/>
              </w:rPr>
              <w:t>Australian Donation and Transplantation Activity Report 2017</w:t>
            </w:r>
            <w:r w:rsidRPr="007B5055">
              <w:rPr>
                <w:rFonts w:ascii="Calibri" w:hAnsi="Calibri" w:cs="Calibri"/>
                <w:color w:val="000000"/>
              </w:rPr>
              <w:t>, viewed September 2018, &lt;https://donatelife.gov.au/sites/default/files/2017%20Australian%20Donations%20and%20Transplantation%20Activity%20Report.pdf&gt;</w:t>
            </w:r>
          </w:p>
        </w:tc>
      </w:tr>
      <w:tr w:rsidR="00EB728C" w:rsidRPr="007B5055" w14:paraId="4062310E" w14:textId="77777777" w:rsidTr="003B3300">
        <w:trPr>
          <w:trHeight w:val="340"/>
        </w:trPr>
        <w:tc>
          <w:tcPr>
            <w:tcW w:w="5000" w:type="pct"/>
          </w:tcPr>
          <w:p w14:paraId="6462E118" w14:textId="77777777" w:rsidR="00EB728C" w:rsidRPr="007B5055" w:rsidRDefault="00EB728C" w:rsidP="003B3300">
            <w:pPr>
              <w:rPr>
                <w:rFonts w:ascii="Calibri" w:hAnsi="Calibri" w:cs="Calibri"/>
                <w:color w:val="000000"/>
              </w:rPr>
            </w:pPr>
            <w:r w:rsidRPr="007B5055">
              <w:rPr>
                <w:rFonts w:ascii="Calibri" w:hAnsi="Calibri" w:cs="Calibri"/>
                <w:color w:val="000000"/>
              </w:rPr>
              <w:t xml:space="preserve">Australian Bureau of Statistics, </w:t>
            </w:r>
            <w:r w:rsidRPr="007B5055">
              <w:rPr>
                <w:rFonts w:ascii="Calibri" w:hAnsi="Calibri" w:cs="Calibri"/>
                <w:i/>
                <w:color w:val="000000"/>
              </w:rPr>
              <w:t>2017 Regional Population Growth: Australia, 2016 – 17, Catalogue No: 3218.0</w:t>
            </w:r>
            <w:r w:rsidRPr="007B5055">
              <w:rPr>
                <w:rFonts w:ascii="Calibri" w:hAnsi="Calibri" w:cs="Calibri"/>
                <w:color w:val="000000"/>
              </w:rPr>
              <w:t>, Canberra, viewed October 2018 &lt;http://www.abs.gov.au/AUSSTATS/abs@.nsf/Lookup/3218.0Main+Features12016-17?OpenDocument&gt;</w:t>
            </w:r>
          </w:p>
        </w:tc>
      </w:tr>
      <w:tr w:rsidR="00EB728C" w:rsidRPr="007B5055" w14:paraId="4439BCF7" w14:textId="77777777" w:rsidTr="003B3300">
        <w:trPr>
          <w:trHeight w:val="340"/>
        </w:trPr>
        <w:tc>
          <w:tcPr>
            <w:tcW w:w="5000" w:type="pct"/>
          </w:tcPr>
          <w:p w14:paraId="1200D00A" w14:textId="77777777" w:rsidR="00EB728C" w:rsidRPr="007B5055" w:rsidRDefault="00EB728C" w:rsidP="003B3300">
            <w:pPr>
              <w:rPr>
                <w:rFonts w:ascii="Calibri" w:hAnsi="Calibri" w:cs="Calibri"/>
                <w:color w:val="000000"/>
              </w:rPr>
            </w:pPr>
            <w:r w:rsidRPr="007B5055">
              <w:rPr>
                <w:rFonts w:ascii="Calibri" w:hAnsi="Calibri" w:cs="Calibri"/>
                <w:color w:val="000000"/>
              </w:rPr>
              <w:t xml:space="preserve">Australian Institute of Health and Welfare, 2018, </w:t>
            </w:r>
            <w:r w:rsidRPr="007B5055">
              <w:rPr>
                <w:rFonts w:ascii="Calibri" w:hAnsi="Calibri" w:cs="Calibri"/>
                <w:i/>
                <w:color w:val="000000"/>
              </w:rPr>
              <w:t>Australia’s Health 2018, Australia’s health series no. 16. AUS221</w:t>
            </w:r>
            <w:r w:rsidRPr="007B5055">
              <w:rPr>
                <w:rFonts w:ascii="Calibri" w:hAnsi="Calibri" w:cs="Calibri"/>
                <w:color w:val="000000"/>
              </w:rPr>
              <w:t>, Canberra, viewed October 2018 &lt;https://www.aihw.gov.au/reports/australias-health/australias-health-2018/contents/table-of-contents&gt;</w:t>
            </w:r>
          </w:p>
        </w:tc>
      </w:tr>
      <w:tr w:rsidR="00EB728C" w:rsidRPr="007B5055" w14:paraId="57907ED3" w14:textId="77777777" w:rsidTr="003B3300">
        <w:trPr>
          <w:trHeight w:val="340"/>
        </w:trPr>
        <w:tc>
          <w:tcPr>
            <w:tcW w:w="5000" w:type="pct"/>
          </w:tcPr>
          <w:p w14:paraId="76132572" w14:textId="77777777" w:rsidR="00EB728C" w:rsidRPr="007B5055" w:rsidRDefault="00EB728C" w:rsidP="003B3300">
            <w:pPr>
              <w:rPr>
                <w:rFonts w:ascii="Calibri" w:hAnsi="Calibri" w:cs="Calibri"/>
                <w:color w:val="000000"/>
              </w:rPr>
            </w:pPr>
            <w:r w:rsidRPr="007B5055">
              <w:rPr>
                <w:rFonts w:ascii="Calibri" w:hAnsi="Calibri" w:cs="Calibri"/>
                <w:color w:val="000000"/>
              </w:rPr>
              <w:t>The Australian Organ and Tissue Donation and Transplantation Authority, 2018, Annual Report 2017 – 2018, Canberra, viewed November 2018, &lt;https://donatelife.gov.au/about-us/strategy-and-performance/annual-report-0&gt;</w:t>
            </w:r>
          </w:p>
        </w:tc>
      </w:tr>
      <w:tr w:rsidR="00EB728C" w:rsidRPr="007B5055" w14:paraId="02FAC02D" w14:textId="77777777" w:rsidTr="003B3300">
        <w:trPr>
          <w:trHeight w:val="340"/>
        </w:trPr>
        <w:tc>
          <w:tcPr>
            <w:tcW w:w="5000" w:type="pct"/>
          </w:tcPr>
          <w:p w14:paraId="5D5E3A98" w14:textId="77777777" w:rsidR="00EB728C" w:rsidRPr="007B5055" w:rsidRDefault="00EB728C" w:rsidP="003B3300">
            <w:pPr>
              <w:rPr>
                <w:rFonts w:ascii="Calibri" w:hAnsi="Calibri" w:cs="Calibri"/>
                <w:color w:val="000000"/>
              </w:rPr>
            </w:pPr>
            <w:r w:rsidRPr="007B5055">
              <w:rPr>
                <w:rFonts w:ascii="Calibri" w:hAnsi="Calibri" w:cs="Calibri"/>
                <w:color w:val="000000"/>
              </w:rPr>
              <w:t xml:space="preserve">Ernst &amp; Young, 2015, </w:t>
            </w:r>
            <w:r w:rsidRPr="007B5055">
              <w:rPr>
                <w:rFonts w:ascii="Calibri" w:hAnsi="Calibri" w:cs="Calibri"/>
                <w:i/>
                <w:color w:val="000000"/>
              </w:rPr>
              <w:t>Review of the implementation of the national reform agenda on organ and tissue donation and transplantation</w:t>
            </w:r>
            <w:r w:rsidRPr="007B5055">
              <w:rPr>
                <w:rFonts w:ascii="Calibri" w:hAnsi="Calibri" w:cs="Calibri"/>
                <w:color w:val="000000"/>
              </w:rPr>
              <w:t xml:space="preserve">, Australian Government Department of Health, Canberra, viewed June 2018, &lt;https://www.health.gov.au/internet/main/publishing.nsf/Content/B3432FD1002E6DC5CA257FB1001C4622/$File/Review%20of%20the%20implementation%20of%20the%20national%20reform%20agenda%20on%20organ%20and%20tissue%20donation%20and%20transplantation.pdf&gt;. </w:t>
            </w:r>
          </w:p>
        </w:tc>
      </w:tr>
      <w:tr w:rsidR="00EB728C" w:rsidRPr="007B5055" w14:paraId="08309986" w14:textId="77777777" w:rsidTr="003B3300">
        <w:trPr>
          <w:trHeight w:val="340"/>
        </w:trPr>
        <w:tc>
          <w:tcPr>
            <w:tcW w:w="5000" w:type="pct"/>
          </w:tcPr>
          <w:p w14:paraId="68AB217D" w14:textId="77777777" w:rsidR="00EB728C" w:rsidRPr="007B5055" w:rsidRDefault="00EB728C" w:rsidP="003B3300">
            <w:pPr>
              <w:rPr>
                <w:rFonts w:ascii="Calibri" w:hAnsi="Calibri" w:cs="Calibri"/>
                <w:color w:val="000000"/>
              </w:rPr>
            </w:pPr>
            <w:r w:rsidRPr="007B5055">
              <w:rPr>
                <w:rFonts w:ascii="Calibri" w:hAnsi="Calibri" w:cs="Calibri"/>
                <w:color w:val="000000"/>
              </w:rPr>
              <w:t xml:space="preserve">International Registry in Organ Donation and Transplantation, 2017, </w:t>
            </w:r>
            <w:r w:rsidRPr="007B5055">
              <w:rPr>
                <w:rFonts w:ascii="Calibri" w:hAnsi="Calibri" w:cs="Calibri"/>
                <w:i/>
                <w:color w:val="000000"/>
              </w:rPr>
              <w:t>Final Numbers 2016</w:t>
            </w:r>
            <w:r w:rsidRPr="007B5055">
              <w:rPr>
                <w:rFonts w:ascii="Calibri" w:hAnsi="Calibri" w:cs="Calibri"/>
                <w:color w:val="000000"/>
              </w:rPr>
              <w:t>, viewed July 2018, &lt;www.irodat.org/img/database/pdf/IRODaT%20newletter%20Final%202016.pdf&gt;</w:t>
            </w:r>
          </w:p>
        </w:tc>
      </w:tr>
      <w:tr w:rsidR="00EB728C" w:rsidRPr="007B5055" w14:paraId="49D138D1" w14:textId="77777777" w:rsidTr="003B3300">
        <w:trPr>
          <w:trHeight w:val="340"/>
        </w:trPr>
        <w:tc>
          <w:tcPr>
            <w:tcW w:w="5000" w:type="pct"/>
          </w:tcPr>
          <w:p w14:paraId="4B7E5D61" w14:textId="77777777" w:rsidR="00EB728C" w:rsidRPr="007B5055" w:rsidRDefault="00EB728C" w:rsidP="003B3300">
            <w:pPr>
              <w:rPr>
                <w:rFonts w:ascii="Calibri" w:hAnsi="Calibri" w:cs="Calibri"/>
                <w:color w:val="000000"/>
              </w:rPr>
            </w:pPr>
            <w:r w:rsidRPr="007B5055">
              <w:rPr>
                <w:rFonts w:ascii="Calibri" w:hAnsi="Calibri" w:cs="Calibri"/>
                <w:color w:val="000000"/>
              </w:rPr>
              <w:t xml:space="preserve">United States Department of Labour, 2018, Occupational Employment Statistics: </w:t>
            </w:r>
            <w:r w:rsidRPr="007B5055">
              <w:rPr>
                <w:rFonts w:ascii="Calibri" w:hAnsi="Calibri" w:cs="Calibri"/>
                <w:i/>
                <w:color w:val="000000"/>
              </w:rPr>
              <w:t>Occupational Employment and Wages May 2017: 29-1171 Nurse Practitioners</w:t>
            </w:r>
            <w:r w:rsidRPr="007B5055">
              <w:rPr>
                <w:rFonts w:ascii="Calibri" w:hAnsi="Calibri" w:cs="Calibri"/>
                <w:color w:val="000000"/>
              </w:rPr>
              <w:t>, viewed November 2018 &lt;https://www.bls.gov/oes/current/oes291171.htm&gt;</w:t>
            </w:r>
          </w:p>
        </w:tc>
      </w:tr>
      <w:tr w:rsidR="00EB728C" w:rsidRPr="007B5055" w14:paraId="3A493DFE" w14:textId="77777777" w:rsidTr="003B3300">
        <w:trPr>
          <w:trHeight w:val="340"/>
        </w:trPr>
        <w:tc>
          <w:tcPr>
            <w:tcW w:w="5000" w:type="pct"/>
          </w:tcPr>
          <w:p w14:paraId="7A7D76F3" w14:textId="77777777" w:rsidR="00EB728C" w:rsidRPr="007B5055" w:rsidRDefault="00EB728C" w:rsidP="003B3300">
            <w:pPr>
              <w:rPr>
                <w:rFonts w:ascii="Calibri" w:hAnsi="Calibri" w:cs="Calibri"/>
                <w:color w:val="000000"/>
              </w:rPr>
            </w:pPr>
            <w:r w:rsidRPr="007B5055">
              <w:rPr>
                <w:rFonts w:ascii="Calibri" w:hAnsi="Calibri" w:cs="Calibri"/>
                <w:color w:val="000000"/>
              </w:rPr>
              <w:t xml:space="preserve">Nursing and Midwifery Board of Australia, </w:t>
            </w:r>
            <w:r w:rsidRPr="007B5055">
              <w:rPr>
                <w:rFonts w:ascii="Calibri" w:hAnsi="Calibri" w:cs="Calibri"/>
                <w:i/>
                <w:color w:val="000000"/>
              </w:rPr>
              <w:t>Registrant Data: reporting period: 1 July 2017 – 30 September 2017,</w:t>
            </w:r>
            <w:r w:rsidRPr="007B5055">
              <w:rPr>
                <w:rFonts w:ascii="Calibri" w:hAnsi="Calibri" w:cs="Calibri"/>
                <w:color w:val="000000"/>
              </w:rPr>
              <w:t xml:space="preserve"> Australian Health Practitioner Regulation Agency, Canberra. </w:t>
            </w:r>
          </w:p>
        </w:tc>
      </w:tr>
      <w:tr w:rsidR="00EB728C" w:rsidRPr="007B5055" w14:paraId="60273BA0" w14:textId="77777777" w:rsidTr="003B3300">
        <w:trPr>
          <w:trHeight w:val="340"/>
        </w:trPr>
        <w:tc>
          <w:tcPr>
            <w:tcW w:w="5000" w:type="pct"/>
          </w:tcPr>
          <w:p w14:paraId="26DBFA8A" w14:textId="77777777" w:rsidR="00EB728C" w:rsidRPr="007B5055" w:rsidRDefault="00EB728C" w:rsidP="003B3300">
            <w:pPr>
              <w:rPr>
                <w:rFonts w:ascii="Calibri" w:hAnsi="Calibri" w:cs="Calibri"/>
                <w:color w:val="000000"/>
              </w:rPr>
            </w:pPr>
            <w:r w:rsidRPr="007B5055">
              <w:rPr>
                <w:rFonts w:ascii="Calibri" w:hAnsi="Calibri" w:cs="Calibri"/>
                <w:color w:val="000000"/>
              </w:rPr>
              <w:t xml:space="preserve">The Australia and New Zealand Dialysis and Transplantation Registry, 2016, </w:t>
            </w:r>
            <w:r w:rsidRPr="007B5055">
              <w:rPr>
                <w:rFonts w:ascii="Calibri" w:hAnsi="Calibri" w:cs="Calibri"/>
                <w:i/>
                <w:color w:val="000000"/>
              </w:rPr>
              <w:t>38th Report, Chapter 1: Incidence of End Stage Kidney Disease</w:t>
            </w:r>
            <w:r w:rsidRPr="007B5055">
              <w:rPr>
                <w:rFonts w:ascii="Calibri" w:hAnsi="Calibri" w:cs="Calibri"/>
                <w:color w:val="000000"/>
              </w:rPr>
              <w:t>, Adelaide, viewed October 2018  &lt;http://www.anzdata.org.au&gt;</w:t>
            </w:r>
          </w:p>
        </w:tc>
      </w:tr>
      <w:tr w:rsidR="00EB728C" w:rsidRPr="007B5055" w14:paraId="6A8880A8" w14:textId="77777777" w:rsidTr="003B3300">
        <w:trPr>
          <w:trHeight w:val="340"/>
        </w:trPr>
        <w:tc>
          <w:tcPr>
            <w:tcW w:w="5000" w:type="pct"/>
          </w:tcPr>
          <w:p w14:paraId="5C274B81" w14:textId="77777777" w:rsidR="00EB728C" w:rsidRPr="007B5055" w:rsidRDefault="00EB728C" w:rsidP="003B3300">
            <w:pPr>
              <w:rPr>
                <w:rFonts w:ascii="Calibri" w:hAnsi="Calibri" w:cs="Calibri"/>
                <w:color w:val="000000"/>
              </w:rPr>
            </w:pPr>
            <w:r w:rsidRPr="007B5055">
              <w:rPr>
                <w:rFonts w:ascii="Calibri" w:hAnsi="Calibri" w:cs="Calibri"/>
                <w:color w:val="000000"/>
              </w:rPr>
              <w:t>Australia &amp; New Zealand Dialysis &amp; Transplant Registry</w:t>
            </w:r>
            <w:r w:rsidRPr="007B5055">
              <w:rPr>
                <w:rFonts w:ascii="Calibri" w:hAnsi="Calibri" w:cs="Calibri"/>
                <w:i/>
                <w:color w:val="000000"/>
              </w:rPr>
              <w:t>, The 39th Annual ANZDATA Report</w:t>
            </w:r>
            <w:r w:rsidRPr="007B5055">
              <w:rPr>
                <w:rFonts w:ascii="Calibri" w:hAnsi="Calibri" w:cs="Calibri"/>
                <w:color w:val="000000"/>
              </w:rPr>
              <w:t>, viewed October 2018 &lt;http://www.anzdata.org.au/v1/report_2016.html. Updated January 30 2017&gt;</w:t>
            </w:r>
          </w:p>
        </w:tc>
      </w:tr>
      <w:tr w:rsidR="00EB728C" w:rsidRPr="007B5055" w14:paraId="0CD3398B" w14:textId="77777777" w:rsidTr="003B3300">
        <w:trPr>
          <w:trHeight w:val="340"/>
        </w:trPr>
        <w:tc>
          <w:tcPr>
            <w:tcW w:w="5000" w:type="pct"/>
          </w:tcPr>
          <w:p w14:paraId="11BCA359" w14:textId="77777777" w:rsidR="00EB728C" w:rsidRPr="007B5055" w:rsidRDefault="00EB728C" w:rsidP="003B3300">
            <w:pPr>
              <w:rPr>
                <w:rFonts w:ascii="Calibri" w:hAnsi="Calibri" w:cs="Calibri"/>
                <w:color w:val="000000"/>
              </w:rPr>
            </w:pPr>
            <w:r w:rsidRPr="007B5055">
              <w:rPr>
                <w:rFonts w:ascii="Calibri" w:hAnsi="Calibri" w:cs="Calibri"/>
                <w:color w:val="000000"/>
              </w:rPr>
              <w:t>The Australia and New Zealand Dialysis and Transplant Registry</w:t>
            </w:r>
            <w:r w:rsidRPr="007B5055">
              <w:rPr>
                <w:rFonts w:ascii="Calibri" w:hAnsi="Calibri" w:cs="Calibri"/>
                <w:i/>
                <w:color w:val="000000"/>
              </w:rPr>
              <w:t>, 2017 40th Annual ANZDATA Report Chapter 6: Australian Transplant Waiting list</w:t>
            </w:r>
            <w:r w:rsidRPr="007B5055">
              <w:rPr>
                <w:rFonts w:ascii="Calibri" w:hAnsi="Calibri" w:cs="Calibri"/>
                <w:color w:val="000000"/>
              </w:rPr>
              <w:t>, viewed August 2018, &lt;http://www.anzdata.org.au/v1/report_2017.html&gt;</w:t>
            </w:r>
          </w:p>
        </w:tc>
      </w:tr>
      <w:tr w:rsidR="00EB728C" w:rsidRPr="007B5055" w14:paraId="7B4E2301" w14:textId="77777777" w:rsidTr="003B3300">
        <w:trPr>
          <w:trHeight w:val="340"/>
        </w:trPr>
        <w:tc>
          <w:tcPr>
            <w:tcW w:w="5000" w:type="pct"/>
          </w:tcPr>
          <w:p w14:paraId="1E53436B" w14:textId="77777777" w:rsidR="00EB728C" w:rsidRPr="007B5055" w:rsidRDefault="00EB728C" w:rsidP="003B3300">
            <w:pPr>
              <w:rPr>
                <w:rFonts w:ascii="Calibri" w:hAnsi="Calibri" w:cs="Calibri"/>
                <w:color w:val="000000"/>
              </w:rPr>
            </w:pPr>
            <w:r w:rsidRPr="007B5055">
              <w:rPr>
                <w:rFonts w:ascii="Calibri" w:hAnsi="Calibri" w:cs="Calibri"/>
                <w:color w:val="000000"/>
              </w:rPr>
              <w:t xml:space="preserve">International Registry of Donation and Transplantation, 2018, </w:t>
            </w:r>
            <w:r w:rsidRPr="007B5055">
              <w:rPr>
                <w:rFonts w:ascii="Calibri" w:hAnsi="Calibri" w:cs="Calibri"/>
                <w:i/>
                <w:color w:val="000000"/>
              </w:rPr>
              <w:t>IRODaT International Registry in Organ Donation and Transplantation, Preliminary Numbers 2017</w:t>
            </w:r>
            <w:r w:rsidRPr="007B5055">
              <w:rPr>
                <w:rFonts w:ascii="Calibri" w:hAnsi="Calibri" w:cs="Calibri"/>
                <w:color w:val="000000"/>
              </w:rPr>
              <w:t>, viewed August 2018, &lt;http://www.irodat.org/img/database/pdf/NEWSLETTER2018_June.pdf&gt;</w:t>
            </w:r>
          </w:p>
        </w:tc>
      </w:tr>
      <w:tr w:rsidR="00EB728C" w:rsidRPr="007B5055" w14:paraId="7E4DE5F9" w14:textId="77777777" w:rsidTr="003B3300">
        <w:trPr>
          <w:trHeight w:val="340"/>
        </w:trPr>
        <w:tc>
          <w:tcPr>
            <w:tcW w:w="5000" w:type="pct"/>
          </w:tcPr>
          <w:p w14:paraId="7FA1D3F9" w14:textId="77777777" w:rsidR="00EB728C" w:rsidRPr="007B5055" w:rsidRDefault="00EB728C" w:rsidP="003B3300">
            <w:pPr>
              <w:rPr>
                <w:rFonts w:ascii="Calibri" w:hAnsi="Calibri" w:cs="Calibri"/>
                <w:color w:val="000000"/>
              </w:rPr>
            </w:pPr>
            <w:r w:rsidRPr="007B5055">
              <w:rPr>
                <w:rFonts w:ascii="Calibri" w:hAnsi="Calibri" w:cs="Calibri"/>
                <w:color w:val="000000"/>
              </w:rPr>
              <w:t xml:space="preserve">The Australia and New Zealand Dialysis and Transplant Registry, 2017, </w:t>
            </w:r>
            <w:r w:rsidRPr="007B5055">
              <w:rPr>
                <w:rFonts w:ascii="Calibri" w:hAnsi="Calibri" w:cs="Calibri"/>
                <w:i/>
                <w:color w:val="000000"/>
              </w:rPr>
              <w:t>40th Annual ANZDATA Report Section 4: Deceased organ donor profile</w:t>
            </w:r>
            <w:r w:rsidRPr="007B5055">
              <w:rPr>
                <w:rFonts w:ascii="Calibri" w:hAnsi="Calibri" w:cs="Calibri"/>
                <w:color w:val="000000"/>
              </w:rPr>
              <w:t>, viewed October 2018, &lt;http://www.anzdata.org.au/anzod/ANZODReport/2017/c04_profile_v1.0_20171109.pdf&gt;</w:t>
            </w:r>
          </w:p>
        </w:tc>
      </w:tr>
      <w:tr w:rsidR="00EB728C" w:rsidRPr="007B5055" w14:paraId="7C140750" w14:textId="77777777" w:rsidTr="007E232E">
        <w:trPr>
          <w:trHeight w:val="809"/>
        </w:trPr>
        <w:tc>
          <w:tcPr>
            <w:tcW w:w="5000" w:type="pct"/>
          </w:tcPr>
          <w:p w14:paraId="0D7C7EAA" w14:textId="77777777" w:rsidR="00EB728C" w:rsidRPr="007B5055" w:rsidRDefault="00EB728C" w:rsidP="003B3300">
            <w:pPr>
              <w:rPr>
                <w:rFonts w:ascii="Calibri" w:hAnsi="Calibri" w:cs="Calibri"/>
                <w:color w:val="000000"/>
              </w:rPr>
            </w:pPr>
            <w:r w:rsidRPr="007B5055">
              <w:rPr>
                <w:rFonts w:ascii="Calibri" w:hAnsi="Calibri" w:cs="Calibri"/>
                <w:color w:val="000000"/>
              </w:rPr>
              <w:t xml:space="preserve"> The Australasian Transplant Coordinators Association et al, 2017, </w:t>
            </w:r>
            <w:r w:rsidRPr="007B5055">
              <w:rPr>
                <w:rFonts w:ascii="Calibri" w:hAnsi="Calibri" w:cs="Calibri"/>
                <w:i/>
                <w:color w:val="000000"/>
              </w:rPr>
              <w:t>National Standard Operating Procedures: Organ allocation, organ rotation, urgent listing, auditing process</w:t>
            </w:r>
            <w:r w:rsidRPr="007B5055">
              <w:rPr>
                <w:rFonts w:ascii="Calibri" w:hAnsi="Calibri" w:cs="Calibri"/>
                <w:color w:val="000000"/>
              </w:rPr>
              <w:t>, Annual Report 2017, Canberra, viewed September 2018 &lt;http://www.atca.org.au/files/ATCA_TSANZ%20SOP%20001.2017.pdf&gt;</w:t>
            </w:r>
          </w:p>
        </w:tc>
      </w:tr>
      <w:tr w:rsidR="00EB728C" w:rsidRPr="007B5055" w14:paraId="138CADD5" w14:textId="77777777" w:rsidTr="003B3300">
        <w:trPr>
          <w:trHeight w:val="340"/>
        </w:trPr>
        <w:tc>
          <w:tcPr>
            <w:tcW w:w="5000" w:type="pct"/>
          </w:tcPr>
          <w:p w14:paraId="276973D0" w14:textId="77777777" w:rsidR="00EB728C" w:rsidRPr="007B5055" w:rsidRDefault="00EB728C" w:rsidP="003B3300">
            <w:pPr>
              <w:rPr>
                <w:rFonts w:ascii="Calibri" w:hAnsi="Calibri" w:cs="Calibri"/>
                <w:color w:val="000000"/>
              </w:rPr>
            </w:pPr>
            <w:r w:rsidRPr="007B5055">
              <w:rPr>
                <w:rFonts w:ascii="Calibri" w:hAnsi="Calibri" w:cs="Calibri"/>
                <w:color w:val="000000"/>
              </w:rPr>
              <w:t xml:space="preserve">The Australia and New Zealand Dialysis and Transplant Registry, 2017, </w:t>
            </w:r>
            <w:r w:rsidRPr="007B5055">
              <w:rPr>
                <w:rFonts w:ascii="Calibri" w:hAnsi="Calibri" w:cs="Calibri"/>
                <w:i/>
                <w:color w:val="000000"/>
              </w:rPr>
              <w:t>40th Annual ANZDATA Report Chapter 7: Australian Transplant Waiting list</w:t>
            </w:r>
            <w:r w:rsidRPr="007B5055">
              <w:rPr>
                <w:rFonts w:ascii="Calibri" w:hAnsi="Calibri" w:cs="Calibri"/>
                <w:color w:val="000000"/>
              </w:rPr>
              <w:t>, viewed August 2018, &lt; http://www.anzdata.org.au/v1/report_2017.html&gt;</w:t>
            </w:r>
          </w:p>
        </w:tc>
      </w:tr>
      <w:tr w:rsidR="00EB728C" w:rsidRPr="007B5055" w14:paraId="65E9515A" w14:textId="77777777" w:rsidTr="003B3300">
        <w:trPr>
          <w:trHeight w:val="340"/>
        </w:trPr>
        <w:tc>
          <w:tcPr>
            <w:tcW w:w="5000" w:type="pct"/>
            <w:shd w:val="clear" w:color="auto" w:fill="7F7F7F" w:themeFill="text1" w:themeFillTint="80"/>
          </w:tcPr>
          <w:p w14:paraId="16F591DC" w14:textId="77777777" w:rsidR="00EB728C" w:rsidRPr="007B5055" w:rsidRDefault="00EB728C" w:rsidP="003B3300">
            <w:pPr>
              <w:spacing w:after="0"/>
              <w:rPr>
                <w:rFonts w:ascii="Calibri" w:hAnsi="Calibri" w:cs="Calibri"/>
                <w:b/>
                <w:color w:val="000000"/>
                <w:lang w:val="en-GB" w:eastAsia="en-AU"/>
              </w:rPr>
            </w:pPr>
            <w:r w:rsidRPr="007B5055">
              <w:rPr>
                <w:rFonts w:ascii="Calibri" w:hAnsi="Calibri" w:cs="Calibri"/>
                <w:b/>
                <w:color w:val="FFFFFF" w:themeColor="background1"/>
                <w:lang w:val="en-GB" w:eastAsia="en-AU"/>
              </w:rPr>
              <w:t xml:space="preserve">Online Materials </w:t>
            </w:r>
          </w:p>
        </w:tc>
      </w:tr>
      <w:tr w:rsidR="00EB728C" w:rsidRPr="007B5055" w14:paraId="148D613E" w14:textId="77777777" w:rsidTr="003B3300">
        <w:trPr>
          <w:trHeight w:val="340"/>
        </w:trPr>
        <w:tc>
          <w:tcPr>
            <w:tcW w:w="5000" w:type="pct"/>
          </w:tcPr>
          <w:p w14:paraId="42E2DEE2" w14:textId="77777777" w:rsidR="00EB728C" w:rsidRPr="007B5055" w:rsidRDefault="00EB728C" w:rsidP="003B3300">
            <w:pPr>
              <w:tabs>
                <w:tab w:val="left" w:pos="2004"/>
              </w:tabs>
              <w:spacing w:after="0"/>
              <w:rPr>
                <w:rFonts w:ascii="Calibri" w:hAnsi="Calibri" w:cs="Calibri"/>
                <w:color w:val="000000"/>
                <w:lang w:val="en-GB" w:eastAsia="en-AU"/>
              </w:rPr>
            </w:pPr>
            <w:r w:rsidRPr="007B5055">
              <w:rPr>
                <w:rFonts w:ascii="Calibri" w:hAnsi="Calibri" w:cs="Calibri"/>
                <w:color w:val="000000"/>
                <w:lang w:val="en-GB" w:eastAsia="en-AU"/>
              </w:rPr>
              <w:t xml:space="preserve">Kidney Health Australia, 2015, </w:t>
            </w:r>
            <w:r w:rsidRPr="007B5055">
              <w:rPr>
                <w:rFonts w:ascii="Calibri" w:hAnsi="Calibri" w:cs="Calibri"/>
                <w:i/>
                <w:color w:val="000000"/>
                <w:lang w:val="en-GB" w:eastAsia="en-AU"/>
              </w:rPr>
              <w:t>Organ donation in Australia</w:t>
            </w:r>
            <w:r w:rsidRPr="007B5055">
              <w:rPr>
                <w:rFonts w:ascii="Calibri" w:hAnsi="Calibri" w:cs="Calibri"/>
                <w:color w:val="000000"/>
                <w:lang w:val="en-GB" w:eastAsia="en-AU"/>
              </w:rPr>
              <w:t>, viewed November 2018, &lt;https://kidney.org.au/your-kidneys/support/organ-donation/organ-donation-in-australia&gt;</w:t>
            </w:r>
          </w:p>
        </w:tc>
      </w:tr>
      <w:tr w:rsidR="00EB728C" w:rsidRPr="007B5055" w14:paraId="17176F4A" w14:textId="77777777" w:rsidTr="003B3300">
        <w:trPr>
          <w:trHeight w:val="340"/>
        </w:trPr>
        <w:tc>
          <w:tcPr>
            <w:tcW w:w="5000" w:type="pct"/>
          </w:tcPr>
          <w:p w14:paraId="0ED83289" w14:textId="77777777" w:rsidR="00EB728C" w:rsidRPr="007B5055" w:rsidRDefault="00EB728C" w:rsidP="003B3300">
            <w:pPr>
              <w:tabs>
                <w:tab w:val="left" w:pos="2004"/>
              </w:tabs>
              <w:spacing w:after="0"/>
              <w:rPr>
                <w:rFonts w:ascii="Calibri" w:hAnsi="Calibri" w:cs="Calibri"/>
                <w:color w:val="000000"/>
                <w:lang w:val="en-GB" w:eastAsia="en-AU"/>
              </w:rPr>
            </w:pPr>
            <w:r w:rsidRPr="007B5055">
              <w:rPr>
                <w:rFonts w:ascii="Calibri" w:hAnsi="Calibri" w:cs="Calibri"/>
                <w:color w:val="000000"/>
                <w:lang w:val="en-GB" w:eastAsia="en-AU"/>
              </w:rPr>
              <w:t xml:space="preserve">Kidney Health Australia, 2018, </w:t>
            </w:r>
            <w:r w:rsidRPr="007B5055">
              <w:rPr>
                <w:rFonts w:ascii="Calibri" w:hAnsi="Calibri" w:cs="Calibri"/>
                <w:i/>
                <w:color w:val="000000"/>
                <w:lang w:val="en-GB" w:eastAsia="en-AU"/>
              </w:rPr>
              <w:t>Kidney Fast Facts: Fact Sheet</w:t>
            </w:r>
            <w:r w:rsidRPr="007B5055">
              <w:rPr>
                <w:rFonts w:ascii="Calibri" w:hAnsi="Calibri" w:cs="Calibri"/>
                <w:color w:val="000000"/>
                <w:lang w:val="en-GB" w:eastAsia="en-AU"/>
              </w:rPr>
              <w:t>, viewed October 2018, &lt;https://kidney.org.au/cms_uploads/docs/kidney-fast-facts-fact-sheet.pdf&gt;</w:t>
            </w:r>
          </w:p>
        </w:tc>
      </w:tr>
      <w:tr w:rsidR="00EB728C" w:rsidRPr="007B5055" w14:paraId="3ACEFBB0" w14:textId="77777777" w:rsidTr="003B3300">
        <w:trPr>
          <w:trHeight w:val="340"/>
        </w:trPr>
        <w:tc>
          <w:tcPr>
            <w:tcW w:w="5000" w:type="pct"/>
          </w:tcPr>
          <w:p w14:paraId="7915223A" w14:textId="77777777" w:rsidR="00EB728C" w:rsidRPr="007B5055" w:rsidRDefault="00EB728C" w:rsidP="003B3300">
            <w:pPr>
              <w:tabs>
                <w:tab w:val="left" w:pos="2004"/>
              </w:tabs>
              <w:spacing w:after="0"/>
              <w:rPr>
                <w:rFonts w:ascii="Calibri" w:hAnsi="Calibri" w:cs="Calibri"/>
                <w:color w:val="000000"/>
                <w:lang w:val="en-GB" w:eastAsia="en-AU"/>
              </w:rPr>
            </w:pPr>
            <w:r w:rsidRPr="007B5055">
              <w:rPr>
                <w:rFonts w:ascii="Calibri" w:hAnsi="Calibri" w:cs="Calibri"/>
                <w:color w:val="000000"/>
                <w:lang w:val="en-GB" w:eastAsia="en-AU"/>
              </w:rPr>
              <w:t>National Health Service Blood and Transplant 2015</w:t>
            </w:r>
            <w:r w:rsidRPr="007B5055">
              <w:rPr>
                <w:rFonts w:ascii="Calibri" w:hAnsi="Calibri" w:cs="Calibri"/>
                <w:i/>
                <w:color w:val="000000"/>
                <w:lang w:val="en-GB" w:eastAsia="en-AU"/>
              </w:rPr>
              <w:t>, National Organ Retrieval Service Review 2015</w:t>
            </w:r>
            <w:r w:rsidRPr="007B5055">
              <w:rPr>
                <w:rFonts w:ascii="Calibri" w:hAnsi="Calibri" w:cs="Calibri"/>
                <w:color w:val="000000"/>
                <w:lang w:val="en-GB" w:eastAsia="en-AU"/>
              </w:rPr>
              <w:t>, United Kingdom, viewed September 2018, &lt;https://nhsbtdbe.blob.core.windows.net/umbraco-assets-corp/1411/nors_review_report_2015.pdf&gt;</w:t>
            </w:r>
          </w:p>
        </w:tc>
      </w:tr>
      <w:tr w:rsidR="00EB728C" w:rsidRPr="007B5055" w14:paraId="0BBDEB73" w14:textId="77777777" w:rsidTr="003B3300">
        <w:trPr>
          <w:trHeight w:val="340"/>
        </w:trPr>
        <w:tc>
          <w:tcPr>
            <w:tcW w:w="5000" w:type="pct"/>
          </w:tcPr>
          <w:p w14:paraId="319A6914" w14:textId="77777777" w:rsidR="00EB728C" w:rsidRPr="007B5055" w:rsidRDefault="00EB728C" w:rsidP="003B3300">
            <w:pPr>
              <w:tabs>
                <w:tab w:val="left" w:pos="2004"/>
              </w:tabs>
              <w:spacing w:after="0"/>
              <w:rPr>
                <w:rFonts w:ascii="Calibri" w:hAnsi="Calibri" w:cs="Calibri"/>
                <w:color w:val="000000"/>
                <w:lang w:val="en-GB" w:eastAsia="en-AU"/>
              </w:rPr>
            </w:pPr>
            <w:r w:rsidRPr="007B5055">
              <w:rPr>
                <w:rFonts w:ascii="Calibri" w:hAnsi="Calibri" w:cs="Calibri"/>
                <w:color w:val="000000"/>
                <w:lang w:val="en-GB" w:eastAsia="en-AU"/>
              </w:rPr>
              <w:t xml:space="preserve">National Kidney Foundation, 2018, </w:t>
            </w:r>
            <w:r w:rsidRPr="007B5055">
              <w:rPr>
                <w:rFonts w:ascii="Calibri" w:hAnsi="Calibri" w:cs="Calibri"/>
                <w:i/>
                <w:color w:val="000000"/>
                <w:lang w:val="en-GB" w:eastAsia="en-AU"/>
              </w:rPr>
              <w:t>National Communication Guidelines</w:t>
            </w:r>
            <w:r w:rsidRPr="007B5055">
              <w:rPr>
                <w:rFonts w:ascii="Calibri" w:hAnsi="Calibri" w:cs="Calibri"/>
                <w:color w:val="000000"/>
                <w:lang w:val="en-GB" w:eastAsia="en-AU"/>
              </w:rPr>
              <w:t>, viewed November 2018, &lt;https://www.kidney.org/transplantation/donorfamilies/infoPolicyGuidelines#top&gt;</w:t>
            </w:r>
          </w:p>
        </w:tc>
      </w:tr>
      <w:tr w:rsidR="00EB728C" w:rsidRPr="007B5055" w14:paraId="2D43004D" w14:textId="77777777" w:rsidTr="003B3300">
        <w:trPr>
          <w:trHeight w:val="340"/>
        </w:trPr>
        <w:tc>
          <w:tcPr>
            <w:tcW w:w="5000" w:type="pct"/>
          </w:tcPr>
          <w:p w14:paraId="0FFE63B0" w14:textId="77777777" w:rsidR="00EB728C" w:rsidRPr="007B5055" w:rsidRDefault="00EB728C" w:rsidP="003B3300">
            <w:pPr>
              <w:tabs>
                <w:tab w:val="left" w:pos="2004"/>
              </w:tabs>
              <w:spacing w:after="0"/>
              <w:rPr>
                <w:rFonts w:ascii="Calibri" w:hAnsi="Calibri" w:cs="Calibri"/>
                <w:color w:val="000000"/>
                <w:lang w:val="en-GB" w:eastAsia="en-AU"/>
              </w:rPr>
            </w:pPr>
            <w:r w:rsidRPr="007B5055">
              <w:rPr>
                <w:rFonts w:ascii="Calibri" w:hAnsi="Calibri" w:cs="Calibri"/>
                <w:color w:val="000000"/>
                <w:lang w:val="en-GB" w:eastAsia="en-AU"/>
              </w:rPr>
              <w:t>The Australia and New Zealand Organ Donation Registry, 2018</w:t>
            </w:r>
            <w:r w:rsidRPr="007B5055">
              <w:rPr>
                <w:rFonts w:ascii="Calibri" w:hAnsi="Calibri" w:cs="Calibri"/>
                <w:i/>
                <w:color w:val="000000"/>
                <w:lang w:val="en-GB" w:eastAsia="en-AU"/>
              </w:rPr>
              <w:t>, ANZOD Annual Report Metrics 2018</w:t>
            </w:r>
            <w:r w:rsidRPr="007B5055">
              <w:rPr>
                <w:rFonts w:ascii="Calibri" w:hAnsi="Calibri" w:cs="Calibri"/>
                <w:color w:val="000000"/>
                <w:lang w:val="en-GB" w:eastAsia="en-AU"/>
              </w:rPr>
              <w:t>, The Australian Organ and Tissue Donation and Transplantation Authority, Canberra, viewed September 2018 &lt;https://donatelife.gov.au/about-us/strategy-and-performance/national-performance-data&gt;</w:t>
            </w:r>
          </w:p>
        </w:tc>
      </w:tr>
      <w:tr w:rsidR="00EB728C" w:rsidRPr="007B5055" w14:paraId="0E1C24DD" w14:textId="77777777" w:rsidTr="003B3300">
        <w:trPr>
          <w:trHeight w:val="340"/>
        </w:trPr>
        <w:tc>
          <w:tcPr>
            <w:tcW w:w="5000" w:type="pct"/>
          </w:tcPr>
          <w:p w14:paraId="7E6F47A3" w14:textId="77777777" w:rsidR="00EB728C" w:rsidRPr="007B5055" w:rsidRDefault="00EB728C" w:rsidP="003B3300">
            <w:pPr>
              <w:tabs>
                <w:tab w:val="left" w:pos="2004"/>
              </w:tabs>
              <w:spacing w:after="0"/>
              <w:rPr>
                <w:rFonts w:ascii="Calibri" w:hAnsi="Calibri" w:cs="Calibri"/>
                <w:color w:val="000000"/>
                <w:lang w:val="en-GB" w:eastAsia="en-AU"/>
              </w:rPr>
            </w:pPr>
            <w:r w:rsidRPr="007B5055">
              <w:rPr>
                <w:rFonts w:ascii="Calibri" w:hAnsi="Calibri" w:cs="Calibri"/>
                <w:color w:val="000000"/>
                <w:lang w:val="en-GB" w:eastAsia="en-AU"/>
              </w:rPr>
              <w:t xml:space="preserve">The Australian Organ and Tissue Donation and Transplantation Authority, 2017, </w:t>
            </w:r>
            <w:r w:rsidRPr="007B5055">
              <w:rPr>
                <w:rFonts w:ascii="Calibri" w:hAnsi="Calibri" w:cs="Calibri"/>
                <w:i/>
                <w:color w:val="000000"/>
                <w:lang w:val="en-GB" w:eastAsia="en-AU"/>
              </w:rPr>
              <w:t>2017-2021 OTA Strategic Plan: Progressing Australian organ and tissue donation and transplantation to 2021</w:t>
            </w:r>
            <w:r w:rsidRPr="007B5055">
              <w:rPr>
                <w:rFonts w:ascii="Calibri" w:hAnsi="Calibri" w:cs="Calibri"/>
                <w:color w:val="000000"/>
                <w:lang w:val="en-GB" w:eastAsia="en-AU"/>
              </w:rPr>
              <w:t>, viewed July 2018, &lt;https://donatelife.gov.au/sites/default/files/OTA%202017-18%20Strategic%20Plan.pdf&gt;</w:t>
            </w:r>
          </w:p>
        </w:tc>
      </w:tr>
      <w:tr w:rsidR="00EB728C" w:rsidRPr="007B5055" w14:paraId="00B4A22B" w14:textId="77777777" w:rsidTr="003B3300">
        <w:trPr>
          <w:trHeight w:val="340"/>
        </w:trPr>
        <w:tc>
          <w:tcPr>
            <w:tcW w:w="5000" w:type="pct"/>
          </w:tcPr>
          <w:p w14:paraId="68BEF472" w14:textId="77777777" w:rsidR="00EB728C" w:rsidRPr="007B5055" w:rsidRDefault="00EB728C" w:rsidP="003B3300">
            <w:pPr>
              <w:tabs>
                <w:tab w:val="left" w:pos="2004"/>
              </w:tabs>
              <w:spacing w:after="0"/>
              <w:rPr>
                <w:rFonts w:ascii="Calibri" w:hAnsi="Calibri" w:cs="Calibri"/>
                <w:color w:val="000000"/>
                <w:lang w:val="en-GB" w:eastAsia="en-AU"/>
              </w:rPr>
            </w:pPr>
            <w:r w:rsidRPr="007B5055">
              <w:rPr>
                <w:rFonts w:ascii="Calibri" w:hAnsi="Calibri" w:cs="Calibri"/>
                <w:color w:val="000000"/>
              </w:rPr>
              <w:t>The Australian Organ and Tissue Donation and Transplantation Authority, 2018</w:t>
            </w:r>
            <w:r w:rsidRPr="007B5055">
              <w:rPr>
                <w:rFonts w:ascii="Calibri" w:hAnsi="Calibri" w:cs="Calibri"/>
                <w:i/>
                <w:color w:val="000000"/>
              </w:rPr>
              <w:t>, 2018-2022 OTA Strategic Plan: Progressing Australian organ and tissue donation and transplantation to 2021,</w:t>
            </w:r>
            <w:r w:rsidRPr="007B5055">
              <w:rPr>
                <w:rFonts w:ascii="Calibri" w:hAnsi="Calibri" w:cs="Calibri"/>
                <w:color w:val="000000"/>
              </w:rPr>
              <w:t xml:space="preserve"> viewed September 2018, &lt;https://donatelife.gov.au/sites/default/files/ota_strategic_plan_2018-2022.pdf&gt;</w:t>
            </w:r>
          </w:p>
        </w:tc>
      </w:tr>
      <w:tr w:rsidR="00EB728C" w:rsidRPr="007B5055" w14:paraId="0F8E7828" w14:textId="77777777" w:rsidTr="003B3300">
        <w:trPr>
          <w:trHeight w:val="340"/>
        </w:trPr>
        <w:tc>
          <w:tcPr>
            <w:tcW w:w="5000" w:type="pct"/>
          </w:tcPr>
          <w:p w14:paraId="2CBDFC8D" w14:textId="77777777" w:rsidR="00EB728C" w:rsidRPr="007B5055" w:rsidRDefault="00EB728C" w:rsidP="003B3300">
            <w:pPr>
              <w:tabs>
                <w:tab w:val="left" w:pos="2004"/>
              </w:tabs>
              <w:spacing w:after="0"/>
              <w:rPr>
                <w:rFonts w:ascii="Calibri" w:hAnsi="Calibri" w:cs="Calibri"/>
                <w:color w:val="000000"/>
                <w:lang w:val="en-GB" w:eastAsia="en-AU"/>
              </w:rPr>
            </w:pPr>
            <w:r w:rsidRPr="007B5055">
              <w:rPr>
                <w:rFonts w:ascii="Calibri" w:hAnsi="Calibri" w:cs="Calibri"/>
                <w:color w:val="000000"/>
                <w:lang w:val="en-GB" w:eastAsia="en-AU"/>
              </w:rPr>
              <w:t>The Australia Organ and Tissue Donation and Transplantation Authority, 2017, Comparing International Organ Donation Outcomes 2017, viewed July 2018 &lt;http://www.donatelife.gov.au/sites/default/files/9_2017%20Comparing%20International%20Organ%20Donation%20Outcomes.pdf&gt;.</w:t>
            </w:r>
          </w:p>
        </w:tc>
      </w:tr>
      <w:tr w:rsidR="00EB728C" w:rsidRPr="007B5055" w14:paraId="24605458" w14:textId="77777777" w:rsidTr="003B3300">
        <w:trPr>
          <w:trHeight w:val="340"/>
        </w:trPr>
        <w:tc>
          <w:tcPr>
            <w:tcW w:w="5000" w:type="pct"/>
          </w:tcPr>
          <w:p w14:paraId="67A447B8" w14:textId="77777777" w:rsidR="00EB728C" w:rsidRPr="007B5055" w:rsidRDefault="00EB728C" w:rsidP="003B3300">
            <w:pPr>
              <w:tabs>
                <w:tab w:val="left" w:pos="2004"/>
              </w:tabs>
              <w:spacing w:after="0"/>
              <w:rPr>
                <w:rFonts w:ascii="Calibri" w:hAnsi="Calibri" w:cs="Calibri"/>
                <w:color w:val="000000"/>
                <w:lang w:val="en-GB" w:eastAsia="en-AU"/>
              </w:rPr>
            </w:pPr>
            <w:r w:rsidRPr="007B5055">
              <w:rPr>
                <w:rFonts w:ascii="Calibri" w:hAnsi="Calibri" w:cs="Calibri"/>
                <w:color w:val="000000"/>
                <w:lang w:val="en-GB" w:eastAsia="en-AU"/>
              </w:rPr>
              <w:t xml:space="preserve">The Australian Organ and Tissue Donation and Transplantation Authority, 2013, </w:t>
            </w:r>
            <w:r w:rsidRPr="007B5055">
              <w:rPr>
                <w:rFonts w:ascii="Calibri" w:hAnsi="Calibri" w:cs="Calibri"/>
                <w:i/>
                <w:color w:val="000000"/>
                <w:lang w:val="en-GB" w:eastAsia="en-AU"/>
              </w:rPr>
              <w:t>Fact Sheet: International approaches to organ donation reform,</w:t>
            </w:r>
            <w:r w:rsidRPr="007B5055">
              <w:rPr>
                <w:rFonts w:ascii="Calibri" w:hAnsi="Calibri" w:cs="Calibri"/>
                <w:color w:val="000000"/>
                <w:lang w:val="en-GB" w:eastAsia="en-AU"/>
              </w:rPr>
              <w:t xml:space="preserve"> viewed August 2018, &lt;https://donatelife.gov.au/sites/default/files/files/OTA_Fact_Sheets__International_approaches_to_organ_donation_reform_November_2013.pdf&gt;</w:t>
            </w:r>
          </w:p>
        </w:tc>
      </w:tr>
      <w:tr w:rsidR="00EB728C" w:rsidRPr="007B5055" w14:paraId="29413F85" w14:textId="77777777" w:rsidTr="003B3300">
        <w:trPr>
          <w:trHeight w:val="340"/>
        </w:trPr>
        <w:tc>
          <w:tcPr>
            <w:tcW w:w="5000" w:type="pct"/>
          </w:tcPr>
          <w:p w14:paraId="1E9084BE" w14:textId="77777777" w:rsidR="00EB728C" w:rsidRPr="007B5055" w:rsidRDefault="00EB728C" w:rsidP="003B3300">
            <w:pPr>
              <w:tabs>
                <w:tab w:val="left" w:pos="2004"/>
              </w:tabs>
              <w:spacing w:after="0"/>
              <w:rPr>
                <w:rFonts w:ascii="Calibri" w:hAnsi="Calibri" w:cs="Calibri"/>
                <w:color w:val="000000"/>
                <w:lang w:val="en-GB" w:eastAsia="en-AU"/>
              </w:rPr>
            </w:pPr>
            <w:r w:rsidRPr="007B5055">
              <w:rPr>
                <w:rFonts w:ascii="Calibri" w:hAnsi="Calibri" w:cs="Calibri"/>
                <w:color w:val="000000"/>
                <w:lang w:val="en-GB" w:eastAsia="en-AU"/>
              </w:rPr>
              <w:t xml:space="preserve">The Australian Organ and Tissue Donation and Transplantation Authority, 2017, </w:t>
            </w:r>
            <w:r w:rsidRPr="007B5055">
              <w:rPr>
                <w:rFonts w:ascii="Calibri" w:hAnsi="Calibri" w:cs="Calibri"/>
                <w:i/>
                <w:color w:val="000000"/>
                <w:lang w:val="en-GB" w:eastAsia="en-AU"/>
              </w:rPr>
              <w:t>Comparing International Organ Donation Outcomes 2017,</w:t>
            </w:r>
            <w:r w:rsidRPr="007B5055">
              <w:rPr>
                <w:rFonts w:ascii="Calibri" w:hAnsi="Calibri" w:cs="Calibri"/>
                <w:color w:val="000000"/>
                <w:lang w:val="en-GB" w:eastAsia="en-AU"/>
              </w:rPr>
              <w:t xml:space="preserve"> viewed August 2018, &lt;http://www.donatelife.gov.au/sites/default/files/9_2017%20Comparing%20International%20Organ%20Donation%20Outcomes.pdf&gt;</w:t>
            </w:r>
          </w:p>
        </w:tc>
      </w:tr>
      <w:tr w:rsidR="00EB728C" w:rsidRPr="007B5055" w14:paraId="6454D01B" w14:textId="77777777" w:rsidTr="003B3300">
        <w:trPr>
          <w:trHeight w:val="340"/>
        </w:trPr>
        <w:tc>
          <w:tcPr>
            <w:tcW w:w="5000" w:type="pct"/>
          </w:tcPr>
          <w:p w14:paraId="472EAAA1" w14:textId="77777777" w:rsidR="00EB728C" w:rsidRPr="007B5055" w:rsidRDefault="00EB728C" w:rsidP="003B3300">
            <w:pPr>
              <w:tabs>
                <w:tab w:val="left" w:pos="2004"/>
              </w:tabs>
              <w:spacing w:after="0"/>
              <w:rPr>
                <w:rFonts w:ascii="Calibri" w:hAnsi="Calibri" w:cs="Calibri"/>
                <w:color w:val="000000"/>
                <w:lang w:val="en-GB" w:eastAsia="en-AU"/>
              </w:rPr>
            </w:pPr>
            <w:r w:rsidRPr="007B5055">
              <w:rPr>
                <w:rFonts w:ascii="Calibri" w:hAnsi="Calibri" w:cs="Calibri"/>
                <w:color w:val="000000"/>
                <w:lang w:val="en-GB" w:eastAsia="en-AU"/>
              </w:rPr>
              <w:t xml:space="preserve">The Australian Organ and Tissue Donation and Transplantation Authority, 2018, </w:t>
            </w:r>
            <w:r w:rsidRPr="007B5055">
              <w:rPr>
                <w:rFonts w:ascii="Calibri" w:hAnsi="Calibri" w:cs="Calibri"/>
                <w:i/>
                <w:color w:val="000000"/>
                <w:lang w:val="en-GB" w:eastAsia="en-AU"/>
              </w:rPr>
              <w:t>Progressing Australian organ and tissue donation and transplantation to 2022</w:t>
            </w:r>
            <w:r w:rsidRPr="007B5055">
              <w:rPr>
                <w:rFonts w:ascii="Calibri" w:hAnsi="Calibri" w:cs="Calibri"/>
                <w:color w:val="000000"/>
                <w:lang w:val="en-GB" w:eastAsia="en-AU"/>
              </w:rPr>
              <w:t xml:space="preserve">, Canberra, viewed October 2018, &lt;https://donatelife.gov.au/sites/default/files/ota_strategic_plan_2018-2022.pdf&gt; </w:t>
            </w:r>
          </w:p>
        </w:tc>
      </w:tr>
      <w:tr w:rsidR="00EB728C" w:rsidRPr="007B5055" w14:paraId="0AAFA1F7" w14:textId="77777777" w:rsidTr="003B3300">
        <w:trPr>
          <w:trHeight w:val="340"/>
        </w:trPr>
        <w:tc>
          <w:tcPr>
            <w:tcW w:w="5000" w:type="pct"/>
          </w:tcPr>
          <w:p w14:paraId="24C0920C" w14:textId="77777777" w:rsidR="00EB728C" w:rsidRPr="007B5055" w:rsidRDefault="00EB728C" w:rsidP="003B3300">
            <w:pPr>
              <w:tabs>
                <w:tab w:val="left" w:pos="2004"/>
              </w:tabs>
              <w:spacing w:after="0"/>
              <w:rPr>
                <w:rFonts w:ascii="Calibri" w:hAnsi="Calibri" w:cs="Calibri"/>
                <w:color w:val="000000"/>
                <w:lang w:val="en-GB" w:eastAsia="en-AU"/>
              </w:rPr>
            </w:pPr>
            <w:r w:rsidRPr="007B5055">
              <w:rPr>
                <w:rFonts w:ascii="Calibri" w:hAnsi="Calibri" w:cs="Calibri"/>
                <w:color w:val="000000"/>
                <w:lang w:val="en-GB" w:eastAsia="en-AU"/>
              </w:rPr>
              <w:t xml:space="preserve">The Australian Organ and Tissue Donation and Transplantation Authority, </w:t>
            </w:r>
            <w:r w:rsidRPr="007B5055">
              <w:rPr>
                <w:rFonts w:ascii="Calibri" w:hAnsi="Calibri" w:cs="Calibri"/>
                <w:i/>
                <w:color w:val="000000"/>
                <w:lang w:val="en-GB" w:eastAsia="en-AU"/>
              </w:rPr>
              <w:t>About Us</w:t>
            </w:r>
            <w:r w:rsidRPr="007B5055">
              <w:rPr>
                <w:rFonts w:ascii="Calibri" w:hAnsi="Calibri" w:cs="Calibri"/>
                <w:color w:val="000000"/>
                <w:lang w:val="en-GB" w:eastAsia="en-AU"/>
              </w:rPr>
              <w:t>, viewed June 2018 &lt;https://donatelife.gov.au/about-us&gt;</w:t>
            </w:r>
          </w:p>
        </w:tc>
      </w:tr>
      <w:tr w:rsidR="00EB728C" w:rsidRPr="007B5055" w14:paraId="0BA5F4B2" w14:textId="77777777" w:rsidTr="003B3300">
        <w:trPr>
          <w:trHeight w:val="340"/>
        </w:trPr>
        <w:tc>
          <w:tcPr>
            <w:tcW w:w="5000" w:type="pct"/>
          </w:tcPr>
          <w:p w14:paraId="0EE53EC6" w14:textId="77777777" w:rsidR="00EB728C" w:rsidRPr="007B5055" w:rsidRDefault="00EB728C" w:rsidP="003B3300">
            <w:pPr>
              <w:tabs>
                <w:tab w:val="left" w:pos="2004"/>
              </w:tabs>
              <w:spacing w:after="0"/>
              <w:rPr>
                <w:rFonts w:ascii="Calibri" w:hAnsi="Calibri" w:cs="Calibri"/>
                <w:color w:val="000000"/>
                <w:lang w:val="en-GB" w:eastAsia="en-AU"/>
              </w:rPr>
            </w:pPr>
            <w:r w:rsidRPr="007B5055">
              <w:rPr>
                <w:rFonts w:ascii="Calibri" w:hAnsi="Calibri" w:cs="Calibri"/>
                <w:color w:val="000000"/>
                <w:lang w:val="en-GB" w:eastAsia="en-AU"/>
              </w:rPr>
              <w:t xml:space="preserve">The Hon Ken Wyatt AM, MP, 2018, </w:t>
            </w:r>
            <w:r w:rsidRPr="007B5055">
              <w:rPr>
                <w:rFonts w:ascii="Calibri" w:hAnsi="Calibri" w:cs="Calibri"/>
                <w:i/>
                <w:color w:val="000000"/>
                <w:lang w:val="en-GB" w:eastAsia="en-AU"/>
              </w:rPr>
              <w:t xml:space="preserve">First Nations People to Guide a Healthier Renal Future, Australian Government Department of Health, </w:t>
            </w:r>
            <w:r w:rsidRPr="007B5055">
              <w:rPr>
                <w:rFonts w:ascii="Calibri" w:hAnsi="Calibri" w:cs="Calibri"/>
                <w:color w:val="000000"/>
                <w:lang w:val="en-GB" w:eastAsia="en-AU"/>
              </w:rPr>
              <w:t>Canberra, viewed October 2018 &lt;http://www.health.gov.au/internet/ministers/publishing.nsf/Content/health-mediarel-yr2018-wyatt152.htm&gt;.</w:t>
            </w:r>
          </w:p>
        </w:tc>
      </w:tr>
      <w:tr w:rsidR="00EB728C" w:rsidRPr="007B5055" w14:paraId="0627D53B" w14:textId="77777777" w:rsidTr="003B3300">
        <w:trPr>
          <w:trHeight w:val="340"/>
        </w:trPr>
        <w:tc>
          <w:tcPr>
            <w:tcW w:w="5000" w:type="pct"/>
          </w:tcPr>
          <w:p w14:paraId="78A8FE11" w14:textId="77777777" w:rsidR="00EB728C" w:rsidRPr="007B5055" w:rsidRDefault="00EB728C" w:rsidP="003B3300">
            <w:pPr>
              <w:tabs>
                <w:tab w:val="left" w:pos="2004"/>
              </w:tabs>
              <w:spacing w:after="0"/>
              <w:rPr>
                <w:rFonts w:ascii="Calibri" w:hAnsi="Calibri" w:cs="Calibri"/>
                <w:color w:val="000000"/>
                <w:lang w:val="en-GB" w:eastAsia="en-AU"/>
              </w:rPr>
            </w:pPr>
            <w:r w:rsidRPr="007B5055">
              <w:rPr>
                <w:rFonts w:ascii="Calibri" w:hAnsi="Calibri" w:cs="Calibri"/>
                <w:color w:val="000000"/>
                <w:lang w:val="en-GB" w:eastAsia="en-AU"/>
              </w:rPr>
              <w:t xml:space="preserve">U.S. National Library of Medicine 2018, </w:t>
            </w:r>
            <w:r w:rsidRPr="007B5055">
              <w:rPr>
                <w:rFonts w:ascii="Calibri" w:hAnsi="Calibri" w:cs="Calibri"/>
                <w:i/>
                <w:color w:val="000000"/>
                <w:lang w:val="en-GB" w:eastAsia="en-AU"/>
              </w:rPr>
              <w:t>Medline Plus: Organ Donation</w:t>
            </w:r>
            <w:r w:rsidRPr="007B5055">
              <w:rPr>
                <w:rFonts w:ascii="Calibri" w:hAnsi="Calibri" w:cs="Calibri"/>
                <w:color w:val="000000"/>
                <w:lang w:val="en-GB" w:eastAsia="en-AU"/>
              </w:rPr>
              <w:t>, viewed November 2018 &lt;https://medlineplus.gov/organdonation.html?PHPSESSID=acbbc427bed0eff2d9555e2f5caa4524&gt;</w:t>
            </w:r>
          </w:p>
        </w:tc>
      </w:tr>
      <w:tr w:rsidR="00EB728C" w:rsidRPr="007B5055" w14:paraId="4B3FEFC0" w14:textId="77777777" w:rsidTr="003B3300">
        <w:trPr>
          <w:trHeight w:val="340"/>
        </w:trPr>
        <w:tc>
          <w:tcPr>
            <w:tcW w:w="5000" w:type="pct"/>
          </w:tcPr>
          <w:p w14:paraId="412BE012" w14:textId="77777777" w:rsidR="00EB728C" w:rsidRPr="007B5055" w:rsidRDefault="00EB728C" w:rsidP="003B3300">
            <w:pPr>
              <w:tabs>
                <w:tab w:val="left" w:pos="2004"/>
              </w:tabs>
              <w:spacing w:after="0"/>
              <w:rPr>
                <w:rFonts w:ascii="Calibri" w:hAnsi="Calibri" w:cs="Calibri"/>
                <w:color w:val="000000"/>
                <w:lang w:val="en-GB" w:eastAsia="en-AU"/>
              </w:rPr>
            </w:pPr>
            <w:r w:rsidRPr="007B5055">
              <w:rPr>
                <w:rFonts w:ascii="Calibri" w:hAnsi="Calibri" w:cs="Calibri"/>
                <w:color w:val="000000"/>
                <w:lang w:val="en-GB" w:eastAsia="en-AU"/>
              </w:rPr>
              <w:t xml:space="preserve">Wiley, 2017, </w:t>
            </w:r>
            <w:r w:rsidRPr="007B5055">
              <w:rPr>
                <w:rFonts w:ascii="Calibri" w:hAnsi="Calibri" w:cs="Calibri"/>
                <w:i/>
                <w:color w:val="000000"/>
                <w:lang w:val="en-GB" w:eastAsia="en-AU"/>
              </w:rPr>
              <w:t>How Spain achieved a remarkably high rate of deceased organ donation</w:t>
            </w:r>
            <w:r w:rsidRPr="007B5055">
              <w:rPr>
                <w:rFonts w:ascii="Calibri" w:hAnsi="Calibri" w:cs="Calibri"/>
                <w:color w:val="000000"/>
                <w:lang w:val="en-GB" w:eastAsia="en-AU"/>
              </w:rPr>
              <w:t>, viewed July 2018 &lt;https://www.eurekalert.org/pub_releases/2017-01/w-hsa010617.php&gt;</w:t>
            </w:r>
          </w:p>
        </w:tc>
      </w:tr>
      <w:tr w:rsidR="00EB728C" w:rsidRPr="007B5055" w14:paraId="38A394A4" w14:textId="77777777" w:rsidTr="003B3300">
        <w:trPr>
          <w:trHeight w:val="340"/>
        </w:trPr>
        <w:tc>
          <w:tcPr>
            <w:tcW w:w="5000" w:type="pct"/>
          </w:tcPr>
          <w:p w14:paraId="38C35513" w14:textId="041826FB" w:rsidR="00EB728C" w:rsidRPr="007B5055" w:rsidRDefault="00EB728C" w:rsidP="007E232E">
            <w:pPr>
              <w:tabs>
                <w:tab w:val="left" w:pos="2004"/>
              </w:tabs>
              <w:spacing w:after="0"/>
              <w:rPr>
                <w:rFonts w:ascii="Calibri" w:hAnsi="Calibri" w:cs="Calibri"/>
                <w:color w:val="000000"/>
                <w:lang w:val="en-GB" w:eastAsia="en-AU"/>
              </w:rPr>
            </w:pPr>
            <w:r w:rsidRPr="007B5055">
              <w:rPr>
                <w:rFonts w:ascii="Calibri" w:hAnsi="Calibri" w:cs="Calibri"/>
                <w:color w:val="000000"/>
                <w:lang w:val="en-GB" w:eastAsia="en-AU"/>
              </w:rPr>
              <w:t xml:space="preserve">World Health Organisation 2018, </w:t>
            </w:r>
            <w:r w:rsidRPr="007B5055">
              <w:rPr>
                <w:rFonts w:ascii="Calibri" w:hAnsi="Calibri" w:cs="Calibri"/>
                <w:i/>
                <w:color w:val="000000"/>
                <w:lang w:val="en-GB" w:eastAsia="en-AU"/>
              </w:rPr>
              <w:t>Donation and transplantation: WHO Task Force on Donation and Transplantation of Human Organs and Tissues</w:t>
            </w:r>
            <w:r w:rsidRPr="007B5055">
              <w:rPr>
                <w:rFonts w:ascii="Calibri" w:hAnsi="Calibri" w:cs="Calibri"/>
                <w:color w:val="000000"/>
                <w:lang w:val="en-GB" w:eastAsia="en-AU"/>
              </w:rPr>
              <w:t>, viewed November 2018, &lt;http://www.who.int/transplantation/donation/taskforce-transplantation/en/&gt;</w:t>
            </w:r>
          </w:p>
        </w:tc>
      </w:tr>
      <w:tr w:rsidR="00EB728C" w:rsidRPr="007B5055" w14:paraId="2E65C9BE" w14:textId="77777777" w:rsidTr="003B3300">
        <w:trPr>
          <w:trHeight w:val="340"/>
        </w:trPr>
        <w:tc>
          <w:tcPr>
            <w:tcW w:w="5000" w:type="pct"/>
            <w:shd w:val="clear" w:color="auto" w:fill="7F7F7F" w:themeFill="text1" w:themeFillTint="80"/>
          </w:tcPr>
          <w:p w14:paraId="768A3024" w14:textId="77777777" w:rsidR="00EB728C" w:rsidRPr="007B5055" w:rsidRDefault="00EB728C" w:rsidP="003B3300">
            <w:pPr>
              <w:spacing w:after="0"/>
              <w:rPr>
                <w:rFonts w:ascii="Calibri" w:hAnsi="Calibri" w:cs="Calibri"/>
                <w:b/>
                <w:color w:val="000000"/>
                <w:lang w:val="en-GB" w:eastAsia="en-AU"/>
              </w:rPr>
            </w:pPr>
            <w:r w:rsidRPr="007B5055">
              <w:rPr>
                <w:rFonts w:ascii="Calibri" w:hAnsi="Calibri" w:cs="Calibri"/>
                <w:b/>
                <w:color w:val="FFFFFF" w:themeColor="background1"/>
                <w:lang w:val="en-GB" w:eastAsia="en-AU"/>
              </w:rPr>
              <w:t>Data</w:t>
            </w:r>
          </w:p>
        </w:tc>
      </w:tr>
      <w:tr w:rsidR="00EB728C" w:rsidRPr="007B5055" w14:paraId="249E571E" w14:textId="77777777" w:rsidTr="003B3300">
        <w:trPr>
          <w:trHeight w:val="340"/>
        </w:trPr>
        <w:tc>
          <w:tcPr>
            <w:tcW w:w="5000" w:type="pct"/>
          </w:tcPr>
          <w:p w14:paraId="11F950D3"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Australia and New Zealand Dialysis and Transplant Registry, “Remoteness Dialysis and Transplantation Data 2013 – 2016” (received September 2018)</w:t>
            </w:r>
          </w:p>
        </w:tc>
      </w:tr>
      <w:tr w:rsidR="00EB728C" w:rsidRPr="007B5055" w14:paraId="0DD227DC" w14:textId="77777777" w:rsidTr="003B3300">
        <w:trPr>
          <w:trHeight w:val="340"/>
        </w:trPr>
        <w:tc>
          <w:tcPr>
            <w:tcW w:w="5000" w:type="pct"/>
          </w:tcPr>
          <w:p w14:paraId="6980D0AB"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Australian Government Department of Health of Human Services as provided by the OTA, “AODR Registration Numbers 2007 – 2017” (received November 2018)</w:t>
            </w:r>
          </w:p>
        </w:tc>
      </w:tr>
      <w:tr w:rsidR="00EB728C" w:rsidRPr="007B5055" w14:paraId="5D620765" w14:textId="77777777" w:rsidTr="003B3300">
        <w:trPr>
          <w:trHeight w:val="340"/>
        </w:trPr>
        <w:tc>
          <w:tcPr>
            <w:tcW w:w="5000" w:type="pct"/>
          </w:tcPr>
          <w:p w14:paraId="524FE070"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Department of Human Services, “AODR July 2018: Grand Total Intent Registrations by Age Group” (received August 2018)</w:t>
            </w:r>
          </w:p>
        </w:tc>
      </w:tr>
      <w:tr w:rsidR="00EB728C" w:rsidRPr="007B5055" w14:paraId="094016C4" w14:textId="77777777" w:rsidTr="003B3300">
        <w:trPr>
          <w:trHeight w:val="340"/>
        </w:trPr>
        <w:tc>
          <w:tcPr>
            <w:tcW w:w="5000" w:type="pct"/>
          </w:tcPr>
          <w:p w14:paraId="14C29E50"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 xml:space="preserve">Kidney Health Australia, 2017, “Organ Donation Consumer Survey 2017” (received September 2018). </w:t>
            </w:r>
          </w:p>
        </w:tc>
      </w:tr>
      <w:tr w:rsidR="00EB728C" w:rsidRPr="007B5055" w14:paraId="37935EE6" w14:textId="77777777" w:rsidTr="003B3300">
        <w:trPr>
          <w:trHeight w:val="340"/>
        </w:trPr>
        <w:tc>
          <w:tcPr>
            <w:tcW w:w="5000" w:type="pct"/>
          </w:tcPr>
          <w:p w14:paraId="7AB61D6A"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National Organ Matching System, as provided by the OTA “Kidney Proportion of Offers and Acceptances for 2017” received (September 2018)</w:t>
            </w:r>
          </w:p>
        </w:tc>
      </w:tr>
      <w:tr w:rsidR="00EB728C" w:rsidRPr="007B5055" w14:paraId="10DAC179" w14:textId="77777777" w:rsidTr="003B3300">
        <w:trPr>
          <w:trHeight w:val="340"/>
        </w:trPr>
        <w:tc>
          <w:tcPr>
            <w:tcW w:w="5000" w:type="pct"/>
          </w:tcPr>
          <w:p w14:paraId="2BAC6CE8"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National Organ Matching System, as received by OTA, “2016 Kidney Waitlist data by remoteness” (received October 2018)</w:t>
            </w:r>
          </w:p>
        </w:tc>
      </w:tr>
      <w:tr w:rsidR="00EB728C" w:rsidRPr="007B5055" w14:paraId="44559C30" w14:textId="77777777" w:rsidTr="003B3300">
        <w:trPr>
          <w:trHeight w:val="340"/>
        </w:trPr>
        <w:tc>
          <w:tcPr>
            <w:tcW w:w="5000" w:type="pct"/>
          </w:tcPr>
          <w:p w14:paraId="333CF37C"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Australasian Transplant Coordinators Association, “Organ Allocation Rotations Audit and Quality Control Report” (received August 2018)</w:t>
            </w:r>
          </w:p>
        </w:tc>
      </w:tr>
      <w:tr w:rsidR="00EB728C" w:rsidRPr="007B5055" w14:paraId="276E129C" w14:textId="77777777" w:rsidTr="003B3300">
        <w:trPr>
          <w:trHeight w:val="340"/>
        </w:trPr>
        <w:tc>
          <w:tcPr>
            <w:tcW w:w="5000" w:type="pct"/>
          </w:tcPr>
          <w:p w14:paraId="2355A37F"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Australasian Transplant Coordinators Association. “ACTA TSANZ and OTA Organ allocation Rotations Audit and Quality Control Report: Summary Page for Clinical Governance Committee” (received October 2018)</w:t>
            </w:r>
          </w:p>
        </w:tc>
      </w:tr>
      <w:tr w:rsidR="00EB728C" w:rsidRPr="007B5055" w14:paraId="7ADB9274" w14:textId="77777777" w:rsidTr="003B3300">
        <w:trPr>
          <w:trHeight w:val="340"/>
        </w:trPr>
        <w:tc>
          <w:tcPr>
            <w:tcW w:w="5000" w:type="pct"/>
          </w:tcPr>
          <w:p w14:paraId="44CCAB7C"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 and New Zealand Dialysis and Transplant Registry as provided by the OTA, “Organ Offer Declines 2015 – August 2018” (received October 2018)</w:t>
            </w:r>
          </w:p>
        </w:tc>
      </w:tr>
      <w:tr w:rsidR="00EB728C" w:rsidRPr="007B5055" w14:paraId="761BC682" w14:textId="77777777" w:rsidTr="003B3300">
        <w:trPr>
          <w:trHeight w:val="340"/>
        </w:trPr>
        <w:tc>
          <w:tcPr>
            <w:tcW w:w="5000" w:type="pct"/>
          </w:tcPr>
          <w:p w14:paraId="548E673F"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 and New Zealand Dialysis and Transplant Registry as provided by OTA, “EY Data: Wait listing – kidney (2016)” (received August 2018)</w:t>
            </w:r>
          </w:p>
        </w:tc>
      </w:tr>
      <w:tr w:rsidR="00EB728C" w:rsidRPr="007B5055" w14:paraId="3C233592" w14:textId="77777777" w:rsidTr="003B3300">
        <w:trPr>
          <w:trHeight w:val="340"/>
        </w:trPr>
        <w:tc>
          <w:tcPr>
            <w:tcW w:w="5000" w:type="pct"/>
          </w:tcPr>
          <w:p w14:paraId="229B5546"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 and New Zealand Dialysis and Transplant Registry, “Retrievals by unit 2009 – 2018 Jan-Sept” (received October 2018)</w:t>
            </w:r>
          </w:p>
        </w:tc>
      </w:tr>
      <w:tr w:rsidR="00EB728C" w:rsidRPr="007B5055" w14:paraId="609AC7FC" w14:textId="77777777" w:rsidTr="003B3300">
        <w:trPr>
          <w:trHeight w:val="340"/>
        </w:trPr>
        <w:tc>
          <w:tcPr>
            <w:tcW w:w="5000" w:type="pct"/>
          </w:tcPr>
          <w:p w14:paraId="2DCB0565"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and New Zealand Dialysis and Transplantation Registry, “Number of Retrievals by Unit 2009 – 2018 Jan – Sept” (received October 2018)</w:t>
            </w:r>
          </w:p>
        </w:tc>
      </w:tr>
      <w:tr w:rsidR="00EB728C" w:rsidRPr="007B5055" w14:paraId="193AB8C0" w14:textId="77777777" w:rsidTr="003B3300">
        <w:trPr>
          <w:trHeight w:val="340"/>
        </w:trPr>
        <w:tc>
          <w:tcPr>
            <w:tcW w:w="5000" w:type="pct"/>
          </w:tcPr>
          <w:p w14:paraId="2CF6F5A6"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 and New Zealand Dialysis and Transplantation Registry, “Marginal Donor Kidney Data 2014-2016” (received November 2018)</w:t>
            </w:r>
          </w:p>
        </w:tc>
      </w:tr>
      <w:tr w:rsidR="00EB728C" w:rsidRPr="007B5055" w14:paraId="11E9916D" w14:textId="77777777" w:rsidTr="003B3300">
        <w:trPr>
          <w:trHeight w:val="340"/>
        </w:trPr>
        <w:tc>
          <w:tcPr>
            <w:tcW w:w="5000" w:type="pct"/>
          </w:tcPr>
          <w:p w14:paraId="7CCE5040"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 and New Zealand Dialysis and Transplantation Registry, as received by the OTA, “Transplantation rate by remoteness 2013 - 2016” (received October 2018)</w:t>
            </w:r>
          </w:p>
        </w:tc>
      </w:tr>
      <w:tr w:rsidR="00EB728C" w:rsidRPr="007B5055" w14:paraId="759AEEF7" w14:textId="77777777" w:rsidTr="003B3300">
        <w:trPr>
          <w:trHeight w:val="340"/>
        </w:trPr>
        <w:tc>
          <w:tcPr>
            <w:tcW w:w="5000" w:type="pct"/>
          </w:tcPr>
          <w:p w14:paraId="487CC4E9"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 and New Zealand Organ Donation Registry, as provided by the OTA, “Growth in Organ Donation”, (received July 2018)</w:t>
            </w:r>
          </w:p>
        </w:tc>
      </w:tr>
      <w:tr w:rsidR="00EB728C" w:rsidRPr="007B5055" w14:paraId="318AAA32" w14:textId="77777777" w:rsidTr="003B3300">
        <w:trPr>
          <w:trHeight w:val="340"/>
        </w:trPr>
        <w:tc>
          <w:tcPr>
            <w:tcW w:w="5000" w:type="pct"/>
          </w:tcPr>
          <w:p w14:paraId="53CE6F24"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 and New Zealand Organ Registry as provided by the OTA, “Remote Dialysis Patients 31 December 2016” (received November 2018)</w:t>
            </w:r>
          </w:p>
        </w:tc>
      </w:tr>
      <w:tr w:rsidR="00EB728C" w:rsidRPr="007B5055" w14:paraId="0FCEA1F7" w14:textId="77777777" w:rsidTr="003B3300">
        <w:trPr>
          <w:trHeight w:val="340"/>
        </w:trPr>
        <w:tc>
          <w:tcPr>
            <w:tcW w:w="5000" w:type="pct"/>
          </w:tcPr>
          <w:p w14:paraId="2FB00C25"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 and New Zealand Organ Registry as provided by the OTA, “Prevalent Transplant Recipients by Remoteness 31 December 2016” (received November 2018)</w:t>
            </w:r>
          </w:p>
        </w:tc>
      </w:tr>
      <w:tr w:rsidR="00EB728C" w:rsidRPr="007B5055" w14:paraId="719B901B" w14:textId="77777777" w:rsidTr="003B3300">
        <w:trPr>
          <w:trHeight w:val="340"/>
        </w:trPr>
        <w:tc>
          <w:tcPr>
            <w:tcW w:w="5000" w:type="pct"/>
          </w:tcPr>
          <w:p w14:paraId="05282EE4"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and New Zealand Dialysis and Transplantation Registry, “2018 Retrievals Total: Organ Retrievals, Kidney, Liver Heart and Lung” (received October 2018)</w:t>
            </w:r>
          </w:p>
        </w:tc>
      </w:tr>
      <w:tr w:rsidR="00EB728C" w:rsidRPr="007B5055" w14:paraId="72446A63" w14:textId="77777777" w:rsidTr="003B3300">
        <w:trPr>
          <w:trHeight w:val="340"/>
        </w:trPr>
        <w:tc>
          <w:tcPr>
            <w:tcW w:w="5000" w:type="pct"/>
          </w:tcPr>
          <w:p w14:paraId="77F44D3F"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“Donor family consent” (Received October 2018)</w:t>
            </w:r>
          </w:p>
        </w:tc>
      </w:tr>
      <w:tr w:rsidR="00EB728C" w:rsidRPr="007B5055" w14:paraId="63245B70" w14:textId="77777777" w:rsidTr="003B3300">
        <w:trPr>
          <w:trHeight w:val="340"/>
        </w:trPr>
        <w:tc>
          <w:tcPr>
            <w:tcW w:w="5000" w:type="pct"/>
          </w:tcPr>
          <w:p w14:paraId="45B24596"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“Organ Retrieval and Transplantation by Jurisdiction 2017” (received August 2018)</w:t>
            </w:r>
          </w:p>
        </w:tc>
      </w:tr>
      <w:tr w:rsidR="00EB728C" w:rsidRPr="007B5055" w14:paraId="7354440B" w14:textId="77777777" w:rsidTr="003B3300">
        <w:trPr>
          <w:trHeight w:val="340"/>
        </w:trPr>
        <w:tc>
          <w:tcPr>
            <w:tcW w:w="5000" w:type="pct"/>
          </w:tcPr>
          <w:p w14:paraId="04D4D0A0"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“2015 EY Review – Implementation of the recommendations” (received September 2018)</w:t>
            </w:r>
          </w:p>
        </w:tc>
      </w:tr>
      <w:tr w:rsidR="00EB728C" w:rsidRPr="007B5055" w14:paraId="18012F63" w14:textId="77777777" w:rsidTr="003B3300">
        <w:trPr>
          <w:trHeight w:val="340"/>
        </w:trPr>
        <w:tc>
          <w:tcPr>
            <w:tcW w:w="5000" w:type="pct"/>
          </w:tcPr>
          <w:p w14:paraId="02C34380"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“2017 potential donors, percentage of requests and percentage assessed not medically suitable” (received November 2018)</w:t>
            </w:r>
          </w:p>
        </w:tc>
      </w:tr>
      <w:tr w:rsidR="00EB728C" w:rsidRPr="007B5055" w14:paraId="572C0029" w14:textId="77777777" w:rsidTr="003B3300">
        <w:trPr>
          <w:trHeight w:val="340"/>
        </w:trPr>
        <w:tc>
          <w:tcPr>
            <w:tcW w:w="5000" w:type="pct"/>
          </w:tcPr>
          <w:p w14:paraId="0083B10D"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“Aboriginal and Torres Strait Islander Donors and Recipients 2011 – 2017” (received August 2018)</w:t>
            </w:r>
          </w:p>
        </w:tc>
      </w:tr>
      <w:tr w:rsidR="00EB728C" w:rsidRPr="007B5055" w14:paraId="3185C177" w14:textId="77777777" w:rsidTr="003B3300">
        <w:trPr>
          <w:trHeight w:val="340"/>
        </w:trPr>
        <w:tc>
          <w:tcPr>
            <w:tcW w:w="5000" w:type="pct"/>
          </w:tcPr>
          <w:p w14:paraId="4E0F06D4"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“Dialysis and Transplant Numbers per state by Remoteness” (received October 2018)</w:t>
            </w:r>
          </w:p>
        </w:tc>
      </w:tr>
      <w:tr w:rsidR="00EB728C" w:rsidRPr="007B5055" w14:paraId="24B63472" w14:textId="77777777" w:rsidTr="003B3300">
        <w:trPr>
          <w:trHeight w:val="340"/>
        </w:trPr>
        <w:tc>
          <w:tcPr>
            <w:tcW w:w="5000" w:type="pct"/>
          </w:tcPr>
          <w:p w14:paraId="735BD2E3"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“EY Data: Transplants by Donor Age - Kidney” (received August 2018)</w:t>
            </w:r>
          </w:p>
        </w:tc>
      </w:tr>
      <w:tr w:rsidR="00EB728C" w:rsidRPr="007B5055" w14:paraId="055FAA47" w14:textId="77777777" w:rsidTr="003B3300">
        <w:trPr>
          <w:trHeight w:val="340"/>
        </w:trPr>
        <w:tc>
          <w:tcPr>
            <w:tcW w:w="5000" w:type="pct"/>
          </w:tcPr>
          <w:p w14:paraId="7D06B521"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“EY Data: Transplants by Donor Age - Liver” (received August 2018)</w:t>
            </w:r>
          </w:p>
        </w:tc>
      </w:tr>
      <w:tr w:rsidR="00EB728C" w:rsidRPr="007B5055" w14:paraId="1917325C" w14:textId="77777777" w:rsidTr="003B3300">
        <w:trPr>
          <w:trHeight w:val="340"/>
        </w:trPr>
        <w:tc>
          <w:tcPr>
            <w:tcW w:w="5000" w:type="pct"/>
          </w:tcPr>
          <w:p w14:paraId="42141FDD"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“EY Data: Transplants by Donor Age - Lung” (received August 2018)</w:t>
            </w:r>
          </w:p>
        </w:tc>
      </w:tr>
      <w:tr w:rsidR="008A0219" w:rsidRPr="007B5055" w14:paraId="066A33CC" w14:textId="77777777" w:rsidTr="003B3300">
        <w:trPr>
          <w:trHeight w:val="340"/>
        </w:trPr>
        <w:tc>
          <w:tcPr>
            <w:tcW w:w="5000" w:type="pct"/>
          </w:tcPr>
          <w:p w14:paraId="29F3BB6E" w14:textId="77777777" w:rsidR="008A0219" w:rsidRPr="007B5055" w:rsidRDefault="008A0219" w:rsidP="003B3300">
            <w:pPr>
              <w:spacing w:after="0"/>
              <w:rPr>
                <w:rFonts w:ascii="Calibri" w:hAnsi="Calibri" w:cs="Calibri"/>
                <w:color w:val="000000"/>
                <w:lang w:val="en-GB" w:eastAsia="en-AU"/>
              </w:rPr>
            </w:pPr>
            <w:r w:rsidRPr="008A0219">
              <w:rPr>
                <w:rFonts w:ascii="Calibri" w:hAnsi="Calibri" w:cs="Calibri"/>
                <w:color w:val="000000"/>
                <w:lang w:val="en-GB" w:eastAsia="en-AU"/>
              </w:rPr>
              <w:t xml:space="preserve">The Australian Organ and Tissue Donation and Transplantation Authority, “Financing Agreements 2018 – 2020” (received </w:t>
            </w:r>
            <w:r>
              <w:rPr>
                <w:rFonts w:ascii="Calibri" w:hAnsi="Calibri" w:cs="Calibri"/>
                <w:color w:val="000000"/>
                <w:lang w:val="en-GB" w:eastAsia="en-AU"/>
              </w:rPr>
              <w:t>December 2018)</w:t>
            </w:r>
          </w:p>
        </w:tc>
      </w:tr>
      <w:tr w:rsidR="00EB728C" w:rsidRPr="007B5055" w14:paraId="619305A6" w14:textId="77777777" w:rsidTr="003B3300">
        <w:trPr>
          <w:trHeight w:val="340"/>
        </w:trPr>
        <w:tc>
          <w:tcPr>
            <w:tcW w:w="5000" w:type="pct"/>
          </w:tcPr>
          <w:p w14:paraId="3351BB81"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“Growth in Organ Donation” (received July 2018); The Australian Organ and Tissue Donation and Transplantation Authority, “Donation Numbers 2000 - 2017” (received July 2018)</w:t>
            </w:r>
          </w:p>
        </w:tc>
      </w:tr>
      <w:tr w:rsidR="00EB728C" w:rsidRPr="007B5055" w14:paraId="7645FC4C" w14:textId="77777777" w:rsidTr="003B3300">
        <w:trPr>
          <w:trHeight w:val="340"/>
        </w:trPr>
        <w:tc>
          <w:tcPr>
            <w:tcW w:w="5000" w:type="pct"/>
          </w:tcPr>
          <w:p w14:paraId="604C9D93"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“Offer and Acceptances by transplanting state for kidneys” (Received November 2018)</w:t>
            </w:r>
          </w:p>
        </w:tc>
      </w:tr>
      <w:tr w:rsidR="00EB728C" w:rsidRPr="007B5055" w14:paraId="1B34ED48" w14:textId="77777777" w:rsidTr="003B3300">
        <w:trPr>
          <w:trHeight w:val="340"/>
        </w:trPr>
        <w:tc>
          <w:tcPr>
            <w:tcW w:w="5000" w:type="pct"/>
          </w:tcPr>
          <w:p w14:paraId="75ECDF06"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“Organ Donation, Retrieval and Transplantation Functional Model” (received July 2018)</w:t>
            </w:r>
          </w:p>
        </w:tc>
      </w:tr>
      <w:tr w:rsidR="00EB728C" w:rsidRPr="007B5055" w14:paraId="331B8701" w14:textId="77777777" w:rsidTr="003B3300">
        <w:trPr>
          <w:trHeight w:val="340"/>
        </w:trPr>
        <w:tc>
          <w:tcPr>
            <w:tcW w:w="5000" w:type="pct"/>
          </w:tcPr>
          <w:p w14:paraId="587F9F9F"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“Organ retrieval and transplantation by jurisdiction (Australia 2017)” (received July 2018)</w:t>
            </w:r>
          </w:p>
        </w:tc>
      </w:tr>
      <w:tr w:rsidR="00EB728C" w:rsidRPr="007B5055" w14:paraId="09A5551A" w14:textId="77777777" w:rsidTr="003B3300">
        <w:trPr>
          <w:trHeight w:val="340"/>
        </w:trPr>
        <w:tc>
          <w:tcPr>
            <w:tcW w:w="5000" w:type="pct"/>
          </w:tcPr>
          <w:p w14:paraId="42170EF3"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“System funding and resourcing” (received July 2018)</w:t>
            </w:r>
          </w:p>
        </w:tc>
      </w:tr>
      <w:tr w:rsidR="00EB728C" w:rsidRPr="007B5055" w14:paraId="7224BDC0" w14:textId="77777777" w:rsidTr="003B3300">
        <w:trPr>
          <w:trHeight w:val="340"/>
        </w:trPr>
        <w:tc>
          <w:tcPr>
            <w:tcW w:w="5000" w:type="pct"/>
          </w:tcPr>
          <w:p w14:paraId="26BE6B3D"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“Transplant Procedure Growth 2009 – 2017 – Heart” (received September 2018)</w:t>
            </w:r>
          </w:p>
        </w:tc>
      </w:tr>
      <w:tr w:rsidR="00EB728C" w:rsidRPr="007B5055" w14:paraId="6E3C958A" w14:textId="77777777" w:rsidTr="003B3300">
        <w:trPr>
          <w:trHeight w:val="340"/>
        </w:trPr>
        <w:tc>
          <w:tcPr>
            <w:tcW w:w="5000" w:type="pct"/>
          </w:tcPr>
          <w:p w14:paraId="0690709B"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“Transplant Procedure Growth 2009 – 2017 – Intestine” (received September 2018)</w:t>
            </w:r>
          </w:p>
        </w:tc>
      </w:tr>
      <w:tr w:rsidR="00EB728C" w:rsidRPr="007B5055" w14:paraId="679F54B7" w14:textId="77777777" w:rsidTr="003B3300">
        <w:trPr>
          <w:trHeight w:val="340"/>
        </w:trPr>
        <w:tc>
          <w:tcPr>
            <w:tcW w:w="5000" w:type="pct"/>
          </w:tcPr>
          <w:p w14:paraId="2541C7EB"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“Transplant Procedure Growth 2009 – 2017 – Kidney” (received September 2018)</w:t>
            </w:r>
          </w:p>
        </w:tc>
      </w:tr>
      <w:tr w:rsidR="00EB728C" w:rsidRPr="007B5055" w14:paraId="1FD07435" w14:textId="77777777" w:rsidTr="003B3300">
        <w:trPr>
          <w:trHeight w:val="340"/>
        </w:trPr>
        <w:tc>
          <w:tcPr>
            <w:tcW w:w="5000" w:type="pct"/>
          </w:tcPr>
          <w:p w14:paraId="6681E238"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“Transplant Procedure Growth 2009 – 2017 – Liver” (received September 2018)</w:t>
            </w:r>
          </w:p>
        </w:tc>
      </w:tr>
      <w:tr w:rsidR="00EB728C" w:rsidRPr="007B5055" w14:paraId="72742FE2" w14:textId="77777777" w:rsidTr="003B3300">
        <w:trPr>
          <w:trHeight w:val="340"/>
        </w:trPr>
        <w:tc>
          <w:tcPr>
            <w:tcW w:w="5000" w:type="pct"/>
          </w:tcPr>
          <w:p w14:paraId="1B06E461"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“Transplant Procedure Growth 2009 – 2017 – Lung” (received September 2018)</w:t>
            </w:r>
          </w:p>
        </w:tc>
      </w:tr>
      <w:tr w:rsidR="00EB728C" w:rsidRPr="007B5055" w14:paraId="2141DA3A" w14:textId="77777777" w:rsidTr="003B3300">
        <w:trPr>
          <w:trHeight w:val="340"/>
        </w:trPr>
        <w:tc>
          <w:tcPr>
            <w:tcW w:w="5000" w:type="pct"/>
          </w:tcPr>
          <w:p w14:paraId="6E5DD85A"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“Transplant Procedure Growth 2009 – 2017 – Pancreas” (received September 2018)</w:t>
            </w:r>
          </w:p>
        </w:tc>
      </w:tr>
      <w:tr w:rsidR="00EB728C" w:rsidRPr="007B5055" w14:paraId="001D4242" w14:textId="77777777" w:rsidTr="003B3300">
        <w:trPr>
          <w:trHeight w:val="340"/>
        </w:trPr>
        <w:tc>
          <w:tcPr>
            <w:tcW w:w="5000" w:type="pct"/>
          </w:tcPr>
          <w:p w14:paraId="765D9B57"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2018 “EY Data: Dialysis and Waiting List” (received August 2018)</w:t>
            </w:r>
          </w:p>
        </w:tc>
      </w:tr>
      <w:tr w:rsidR="00EB728C" w:rsidRPr="007B5055" w14:paraId="3C1C590E" w14:textId="77777777" w:rsidTr="003B3300">
        <w:trPr>
          <w:trHeight w:val="340"/>
        </w:trPr>
        <w:tc>
          <w:tcPr>
            <w:tcW w:w="5000" w:type="pct"/>
          </w:tcPr>
          <w:p w14:paraId="7D8395F2"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Authority, 2018, “Donation numbers 2000 – 2017” (received October 2018)</w:t>
            </w:r>
          </w:p>
        </w:tc>
      </w:tr>
      <w:tr w:rsidR="00EB728C" w:rsidRPr="007B5055" w14:paraId="2E086634" w14:textId="77777777" w:rsidTr="003B3300">
        <w:trPr>
          <w:trHeight w:val="340"/>
        </w:trPr>
        <w:tc>
          <w:tcPr>
            <w:tcW w:w="5000" w:type="pct"/>
          </w:tcPr>
          <w:p w14:paraId="269144C8"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Report, “Jurisdictional Hospital Dashboard Jan – Jun 2018” (received July 2018)</w:t>
            </w:r>
          </w:p>
        </w:tc>
      </w:tr>
      <w:tr w:rsidR="00EB728C" w:rsidRPr="007B5055" w14:paraId="7106A2B6" w14:textId="77777777" w:rsidTr="003B3300">
        <w:trPr>
          <w:trHeight w:val="340"/>
        </w:trPr>
        <w:tc>
          <w:tcPr>
            <w:tcW w:w="5000" w:type="pct"/>
          </w:tcPr>
          <w:p w14:paraId="13459F8D"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Australian Organ and Tissue Donation and Transplantation Report, “Kidney Dialysis Scenario” (received October 2018)</w:t>
            </w:r>
          </w:p>
        </w:tc>
      </w:tr>
      <w:tr w:rsidR="00EB728C" w:rsidRPr="007B5055" w14:paraId="71FC9D6B" w14:textId="77777777" w:rsidTr="003B3300">
        <w:trPr>
          <w:trHeight w:val="340"/>
        </w:trPr>
        <w:tc>
          <w:tcPr>
            <w:tcW w:w="5000" w:type="pct"/>
          </w:tcPr>
          <w:p w14:paraId="269D0CB1"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Independent Hospital Pricing Authority, “Number of separations and NWAUs 2015 – 2018 per organ by state” (received November 2018)</w:t>
            </w:r>
          </w:p>
        </w:tc>
      </w:tr>
      <w:tr w:rsidR="00EB728C" w:rsidRPr="007B5055" w14:paraId="624141F7" w14:textId="77777777" w:rsidTr="003B3300">
        <w:trPr>
          <w:trHeight w:val="340"/>
        </w:trPr>
        <w:tc>
          <w:tcPr>
            <w:tcW w:w="5000" w:type="pct"/>
          </w:tcPr>
          <w:p w14:paraId="032FF7C7"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National Organ Matching System as proved by the OTA, “EY Data: Wait listing – Kidney July 2018” (received August 2018)</w:t>
            </w:r>
          </w:p>
        </w:tc>
      </w:tr>
      <w:tr w:rsidR="00EB728C" w:rsidRPr="007B5055" w14:paraId="38438DCE" w14:textId="77777777" w:rsidTr="003B3300">
        <w:trPr>
          <w:trHeight w:val="340"/>
        </w:trPr>
        <w:tc>
          <w:tcPr>
            <w:tcW w:w="5000" w:type="pct"/>
          </w:tcPr>
          <w:p w14:paraId="7C8C952B"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National Organ Matching System, as provided by the OTA, “EY Data: National Payback” (received August 2018)</w:t>
            </w:r>
          </w:p>
        </w:tc>
      </w:tr>
      <w:tr w:rsidR="00EB728C" w:rsidRPr="007B5055" w14:paraId="3447E4DE" w14:textId="77777777" w:rsidTr="003B3300">
        <w:trPr>
          <w:trHeight w:val="340"/>
        </w:trPr>
        <w:tc>
          <w:tcPr>
            <w:tcW w:w="5000" w:type="pct"/>
          </w:tcPr>
          <w:p w14:paraId="12A3E2FE"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The National Organ Matching System, as provided by the OTA, “EY Data: Proportion of Offers and Acceptances for 2017” (received August 2018)</w:t>
            </w:r>
          </w:p>
        </w:tc>
      </w:tr>
      <w:tr w:rsidR="00EB728C" w:rsidRPr="007B5055" w14:paraId="0F59B43D" w14:textId="77777777" w:rsidTr="003B3300">
        <w:trPr>
          <w:trHeight w:val="340"/>
        </w:trPr>
        <w:tc>
          <w:tcPr>
            <w:tcW w:w="5000" w:type="pct"/>
          </w:tcPr>
          <w:p w14:paraId="4523F423"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Westmead Hospital, “Renal Transplantation costs estimate” (received November 2018)</w:t>
            </w:r>
          </w:p>
        </w:tc>
      </w:tr>
      <w:tr w:rsidR="00EB728C" w:rsidRPr="007B5055" w14:paraId="46E88481" w14:textId="77777777" w:rsidTr="003B3300">
        <w:trPr>
          <w:trHeight w:val="340"/>
        </w:trPr>
        <w:tc>
          <w:tcPr>
            <w:tcW w:w="5000" w:type="pct"/>
            <w:shd w:val="clear" w:color="auto" w:fill="7F7F7F" w:themeFill="text1" w:themeFillTint="80"/>
          </w:tcPr>
          <w:p w14:paraId="7F64539C" w14:textId="77777777" w:rsidR="00EB728C" w:rsidRPr="007B5055" w:rsidRDefault="00EB728C" w:rsidP="003B3300">
            <w:pPr>
              <w:spacing w:after="0"/>
              <w:rPr>
                <w:rFonts w:ascii="Calibri" w:hAnsi="Calibri" w:cs="Calibri"/>
                <w:b/>
                <w:color w:val="000000"/>
                <w:lang w:val="en-GB" w:eastAsia="en-AU"/>
              </w:rPr>
            </w:pPr>
            <w:r w:rsidRPr="007B5055">
              <w:rPr>
                <w:rFonts w:ascii="Calibri" w:hAnsi="Calibri" w:cs="Calibri"/>
                <w:b/>
                <w:color w:val="FFFFFF" w:themeColor="background1"/>
                <w:lang w:val="en-GB" w:eastAsia="en-AU"/>
              </w:rPr>
              <w:t>Radio</w:t>
            </w:r>
          </w:p>
        </w:tc>
      </w:tr>
      <w:tr w:rsidR="00EB728C" w:rsidRPr="007B5055" w14:paraId="0C750BFD" w14:textId="77777777" w:rsidTr="003B3300">
        <w:trPr>
          <w:trHeight w:val="340"/>
        </w:trPr>
        <w:tc>
          <w:tcPr>
            <w:tcW w:w="5000" w:type="pct"/>
          </w:tcPr>
          <w:p w14:paraId="53F22B54" w14:textId="5BD1362C" w:rsidR="008A0219" w:rsidRPr="007B5055" w:rsidRDefault="00EB728C" w:rsidP="007E232E">
            <w:pPr>
              <w:spacing w:after="0"/>
              <w:rPr>
                <w:rFonts w:ascii="Calibri" w:hAnsi="Calibri" w:cs="Calibri"/>
                <w:color w:val="000000"/>
                <w:lang w:val="en-GB" w:eastAsia="en-AU"/>
              </w:rPr>
            </w:pPr>
            <w:r w:rsidRPr="007B5055">
              <w:rPr>
                <w:rFonts w:ascii="Calibri" w:hAnsi="Calibri" w:cs="Calibri"/>
                <w:i/>
                <w:color w:val="000000"/>
                <w:lang w:val="en-GB" w:eastAsia="en-AU"/>
              </w:rPr>
              <w:t>Organ transplant system tipped towards non-Indigenous patients</w:t>
            </w:r>
            <w:r w:rsidRPr="007B5055">
              <w:rPr>
                <w:rFonts w:ascii="Calibri" w:hAnsi="Calibri" w:cs="Calibri"/>
                <w:color w:val="000000"/>
                <w:lang w:val="en-GB" w:eastAsia="en-AU"/>
              </w:rPr>
              <w:t>, 2017, radio program, ABC Radio, Sydney 14 December 2017</w:t>
            </w:r>
          </w:p>
        </w:tc>
      </w:tr>
      <w:tr w:rsidR="00EB728C" w:rsidRPr="007B5055" w14:paraId="63982D3E" w14:textId="77777777" w:rsidTr="003B3300">
        <w:trPr>
          <w:trHeight w:val="340"/>
        </w:trPr>
        <w:tc>
          <w:tcPr>
            <w:tcW w:w="5000" w:type="pct"/>
            <w:shd w:val="clear" w:color="auto" w:fill="7F7F7F" w:themeFill="text1" w:themeFillTint="80"/>
          </w:tcPr>
          <w:p w14:paraId="01598D8E" w14:textId="77777777" w:rsidR="00EB728C" w:rsidRPr="007B5055" w:rsidRDefault="00EB728C" w:rsidP="003B3300">
            <w:pPr>
              <w:spacing w:after="0"/>
              <w:rPr>
                <w:rFonts w:ascii="Calibri" w:hAnsi="Calibri" w:cs="Calibri"/>
                <w:b/>
                <w:color w:val="000000"/>
                <w:lang w:val="en-GB" w:eastAsia="en-AU"/>
              </w:rPr>
            </w:pPr>
            <w:r w:rsidRPr="007B5055">
              <w:rPr>
                <w:rFonts w:ascii="Calibri" w:hAnsi="Calibri" w:cs="Calibri"/>
                <w:b/>
                <w:color w:val="FFFFFF" w:themeColor="background1"/>
                <w:lang w:val="en-GB" w:eastAsia="en-AU"/>
              </w:rPr>
              <w:t>Media releases</w:t>
            </w:r>
          </w:p>
        </w:tc>
      </w:tr>
      <w:tr w:rsidR="00EB728C" w:rsidRPr="007B5055" w14:paraId="5BADA4D9" w14:textId="77777777" w:rsidTr="003B3300">
        <w:trPr>
          <w:trHeight w:val="340"/>
        </w:trPr>
        <w:tc>
          <w:tcPr>
            <w:tcW w:w="5000" w:type="pct"/>
          </w:tcPr>
          <w:p w14:paraId="600C8741"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Kidney Health Australia, 2018</w:t>
            </w:r>
            <w:r w:rsidRPr="007B5055">
              <w:rPr>
                <w:rFonts w:ascii="Calibri" w:hAnsi="Calibri" w:cs="Calibri"/>
                <w:i/>
                <w:color w:val="000000"/>
                <w:lang w:val="en-GB" w:eastAsia="en-AU"/>
              </w:rPr>
              <w:t>, Kidney Health Australia to develop pioneering youth program,</w:t>
            </w:r>
            <w:r w:rsidRPr="007B5055">
              <w:rPr>
                <w:rFonts w:ascii="Calibri" w:hAnsi="Calibri" w:cs="Calibri"/>
                <w:color w:val="000000"/>
                <w:lang w:val="en-GB" w:eastAsia="en-AU"/>
              </w:rPr>
              <w:t xml:space="preserve"> Media release, viewed September 2018 &lt; https://kidney.org.au/cms_uploads/docs/media-release-kha-youth-program-funding-grant-2018.pdf&gt;</w:t>
            </w:r>
          </w:p>
        </w:tc>
      </w:tr>
      <w:tr w:rsidR="00EB728C" w:rsidRPr="007B5055" w14:paraId="4371FA74" w14:textId="77777777" w:rsidTr="003B3300">
        <w:trPr>
          <w:trHeight w:val="340"/>
        </w:trPr>
        <w:tc>
          <w:tcPr>
            <w:tcW w:w="5000" w:type="pct"/>
          </w:tcPr>
          <w:p w14:paraId="2F9A09AD"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 xml:space="preserve">The Honorable Ken Wyatt, 2018, </w:t>
            </w:r>
            <w:r w:rsidRPr="007B5055">
              <w:rPr>
                <w:rFonts w:ascii="Calibri" w:hAnsi="Calibri" w:cs="Calibri"/>
                <w:i/>
                <w:color w:val="000000"/>
                <w:lang w:val="en-GB" w:eastAsia="en-AU"/>
              </w:rPr>
              <w:t>Making giving the gift of life your new year’s resolution</w:t>
            </w:r>
            <w:r w:rsidRPr="007B5055">
              <w:rPr>
                <w:rFonts w:ascii="Calibri" w:hAnsi="Calibri" w:cs="Calibri"/>
                <w:color w:val="000000"/>
                <w:lang w:val="en-GB" w:eastAsia="en-AU"/>
              </w:rPr>
              <w:t>, Media release, 31 December 2017, viewed June 2018 &lt;http://www.health.gov.au/internet/ministers/publishing.nsf/Content/health-mediarel-yr2018-wyatt001.htm&gt;</w:t>
            </w:r>
          </w:p>
        </w:tc>
      </w:tr>
      <w:tr w:rsidR="00EB728C" w:rsidRPr="007B5055" w14:paraId="120D8736" w14:textId="77777777" w:rsidTr="003B3300">
        <w:trPr>
          <w:trHeight w:val="340"/>
        </w:trPr>
        <w:tc>
          <w:tcPr>
            <w:tcW w:w="5000" w:type="pct"/>
            <w:shd w:val="clear" w:color="auto" w:fill="7F7F7F" w:themeFill="text1" w:themeFillTint="80"/>
          </w:tcPr>
          <w:p w14:paraId="06A20E5C" w14:textId="77777777" w:rsidR="00EB728C" w:rsidRPr="007B5055" w:rsidRDefault="00EB728C" w:rsidP="003B3300">
            <w:pPr>
              <w:spacing w:after="0"/>
              <w:rPr>
                <w:rFonts w:ascii="Calibri" w:hAnsi="Calibri" w:cs="Calibri"/>
                <w:b/>
                <w:color w:val="000000"/>
                <w:lang w:val="en-GB" w:eastAsia="en-AU"/>
              </w:rPr>
            </w:pPr>
            <w:r w:rsidRPr="007B5055">
              <w:rPr>
                <w:rFonts w:ascii="Calibri" w:hAnsi="Calibri" w:cs="Calibri"/>
                <w:b/>
                <w:color w:val="FFFFFF" w:themeColor="background1"/>
                <w:lang w:val="en-GB" w:eastAsia="en-AU"/>
              </w:rPr>
              <w:t>Conferences and Forums</w:t>
            </w:r>
          </w:p>
        </w:tc>
      </w:tr>
      <w:tr w:rsidR="00EB728C" w:rsidRPr="007B5055" w14:paraId="6CA22A84" w14:textId="77777777" w:rsidTr="003B3300">
        <w:trPr>
          <w:trHeight w:val="340"/>
        </w:trPr>
        <w:tc>
          <w:tcPr>
            <w:tcW w:w="5000" w:type="pct"/>
          </w:tcPr>
          <w:p w14:paraId="2C08E767"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 xml:space="preserve">Australian Health Ministers’ Conference, Joint Communiqué: </w:t>
            </w:r>
            <w:r w:rsidRPr="007B5055">
              <w:rPr>
                <w:rFonts w:ascii="Calibri" w:hAnsi="Calibri" w:cs="Calibri"/>
                <w:i/>
                <w:color w:val="000000"/>
                <w:lang w:val="en-GB" w:eastAsia="en-AU"/>
              </w:rPr>
              <w:t>Transplant donor’s wishes to prevail</w:t>
            </w:r>
            <w:r w:rsidRPr="007B5055">
              <w:rPr>
                <w:rFonts w:ascii="Calibri" w:hAnsi="Calibri" w:cs="Calibri"/>
                <w:color w:val="000000"/>
                <w:lang w:val="en-GB" w:eastAsia="en-AU"/>
              </w:rPr>
              <w:t>, media release, 28 January 2005, viewed September 2018 &lt;http://www.health.gov.au/internet/main/publishing.nsf/Content/health-mediarel-yr2005- jointcom-jc005.htm&gt;</w:t>
            </w:r>
          </w:p>
        </w:tc>
      </w:tr>
      <w:tr w:rsidR="00EB728C" w:rsidRPr="007B5055" w14:paraId="294088E9" w14:textId="77777777" w:rsidTr="003B3300">
        <w:trPr>
          <w:trHeight w:val="340"/>
        </w:trPr>
        <w:tc>
          <w:tcPr>
            <w:tcW w:w="5000" w:type="pct"/>
          </w:tcPr>
          <w:p w14:paraId="2445EA76"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 xml:space="preserve">Martin. D, 2017, ‘Report on the Community Consultative Forum: Contact between Donor Families and transplant recipients’, </w:t>
            </w:r>
            <w:r w:rsidRPr="007B5055">
              <w:rPr>
                <w:rFonts w:ascii="Calibri" w:hAnsi="Calibri" w:cs="Calibri"/>
                <w:i/>
                <w:color w:val="000000"/>
                <w:lang w:val="en-GB" w:eastAsia="en-AU"/>
              </w:rPr>
              <w:t>Community Consultative Forum,</w:t>
            </w:r>
            <w:r w:rsidRPr="007B5055">
              <w:rPr>
                <w:rFonts w:ascii="Calibri" w:hAnsi="Calibri" w:cs="Calibri"/>
                <w:color w:val="000000"/>
                <w:lang w:val="en-GB" w:eastAsia="en-AU"/>
              </w:rPr>
              <w:t xml:space="preserve"> The Australian Organ and Tissue Donation and Transplantation Authority, Victoria, viewed November 2018, &lt;https://donatelife.gov.au/sites/default/files/Report%20on%20the%20community%20consultative%20forum.pdf&gt;</w:t>
            </w:r>
          </w:p>
        </w:tc>
      </w:tr>
      <w:tr w:rsidR="00EB728C" w:rsidRPr="007B5055" w14:paraId="0F5A289D" w14:textId="77777777" w:rsidTr="003B3300">
        <w:trPr>
          <w:trHeight w:val="340"/>
        </w:trPr>
        <w:tc>
          <w:tcPr>
            <w:tcW w:w="5000" w:type="pct"/>
          </w:tcPr>
          <w:p w14:paraId="2BD11688" w14:textId="77777777" w:rsidR="00EB728C" w:rsidRPr="007B5055" w:rsidRDefault="00EB728C" w:rsidP="003B3300">
            <w:pPr>
              <w:spacing w:after="0"/>
              <w:rPr>
                <w:rFonts w:ascii="Calibri" w:hAnsi="Calibri" w:cs="Calibri"/>
                <w:color w:val="000000"/>
                <w:lang w:val="en-GB" w:eastAsia="en-AU"/>
              </w:rPr>
            </w:pPr>
            <w:r w:rsidRPr="007B5055">
              <w:rPr>
                <w:rFonts w:ascii="Calibri" w:hAnsi="Calibri" w:cs="Calibri"/>
                <w:color w:val="000000"/>
                <w:lang w:val="en-GB" w:eastAsia="en-AU"/>
              </w:rPr>
              <w:t xml:space="preserve">Khanal, N. et al, 2015, ‘Differences in access to kidney transplantation for Indigenous Australians’ </w:t>
            </w:r>
            <w:r w:rsidRPr="007B5055">
              <w:rPr>
                <w:rFonts w:ascii="Calibri" w:hAnsi="Calibri" w:cs="Calibri"/>
                <w:i/>
                <w:color w:val="000000"/>
                <w:lang w:val="en-GB" w:eastAsia="en-AU"/>
              </w:rPr>
              <w:t>World Congress of Nephrology</w:t>
            </w:r>
            <w:r w:rsidRPr="007B5055">
              <w:rPr>
                <w:rFonts w:ascii="Calibri" w:hAnsi="Calibri" w:cs="Calibri"/>
                <w:color w:val="000000"/>
                <w:lang w:val="en-GB" w:eastAsia="en-AU"/>
              </w:rPr>
              <w:t>, Cape Town, South Africa</w:t>
            </w:r>
          </w:p>
        </w:tc>
      </w:tr>
    </w:tbl>
    <w:p w14:paraId="10D4D446" w14:textId="77777777" w:rsidR="00EB728C" w:rsidRDefault="00EB728C" w:rsidP="00EB728C">
      <w:pPr>
        <w:widowControl/>
        <w:autoSpaceDE/>
        <w:autoSpaceDN/>
        <w:adjustRightInd/>
        <w:spacing w:after="200" w:line="276" w:lineRule="auto"/>
        <w:rPr>
          <w:rFonts w:asciiTheme="minorHAnsi" w:hAnsiTheme="minorHAnsi" w:cstheme="minorHAnsi"/>
        </w:rPr>
        <w:sectPr w:rsidR="00EB728C" w:rsidSect="00EB39DF">
          <w:pgSz w:w="11906" w:h="16838"/>
          <w:pgMar w:top="1440" w:right="1440" w:bottom="851" w:left="1440" w:header="708" w:footer="567" w:gutter="0"/>
          <w:cols w:space="708"/>
          <w:docGrid w:linePitch="360"/>
        </w:sectPr>
      </w:pPr>
    </w:p>
    <w:p w14:paraId="4FE02E9C" w14:textId="77777777" w:rsidR="00EB728C" w:rsidRPr="00F526D8" w:rsidRDefault="00EB728C" w:rsidP="00F437A8">
      <w:pPr>
        <w:pStyle w:val="Heading2"/>
        <w:numPr>
          <w:ilvl w:val="0"/>
          <w:numId w:val="0"/>
        </w:numPr>
        <w:rPr>
          <w:rFonts w:asciiTheme="minorHAnsi" w:hAnsiTheme="minorHAnsi" w:cstheme="minorHAnsi"/>
          <w:color w:val="808080"/>
          <w:sz w:val="40"/>
        </w:rPr>
      </w:pPr>
      <w:bookmarkStart w:id="853" w:name="_Toc530492151"/>
      <w:bookmarkStart w:id="854" w:name="_Ref531872429"/>
      <w:bookmarkStart w:id="855" w:name="_Toc532301710"/>
      <w:r w:rsidRPr="00F526D8">
        <w:rPr>
          <w:rFonts w:asciiTheme="minorHAnsi" w:hAnsiTheme="minorHAnsi" w:cstheme="minorHAnsi"/>
          <w:color w:val="808080"/>
          <w:sz w:val="40"/>
        </w:rPr>
        <w:t xml:space="preserve">Appendix </w:t>
      </w:r>
      <w:r w:rsidR="00F77399" w:rsidRPr="00F526D8">
        <w:rPr>
          <w:rFonts w:asciiTheme="minorHAnsi" w:hAnsiTheme="minorHAnsi" w:cstheme="minorHAnsi"/>
          <w:color w:val="808080"/>
          <w:sz w:val="40"/>
        </w:rPr>
        <w:t>D</w:t>
      </w:r>
      <w:r w:rsidRPr="00F526D8">
        <w:rPr>
          <w:rFonts w:asciiTheme="minorHAnsi" w:hAnsiTheme="minorHAnsi" w:cstheme="minorHAnsi"/>
          <w:color w:val="808080"/>
          <w:sz w:val="40"/>
        </w:rPr>
        <w:t>: Guidelines, standard operating procedures and governance structure for each element of donation retrieval and transplantation</w:t>
      </w:r>
      <w:bookmarkEnd w:id="853"/>
      <w:bookmarkEnd w:id="854"/>
      <w:bookmarkEnd w:id="855"/>
      <w:r w:rsidRPr="00F526D8">
        <w:rPr>
          <w:rFonts w:asciiTheme="minorHAnsi" w:hAnsiTheme="minorHAnsi" w:cstheme="minorHAnsi"/>
          <w:color w:val="808080"/>
          <w:sz w:val="40"/>
        </w:rPr>
        <w:t xml:space="preserve"> </w:t>
      </w:r>
    </w:p>
    <w:tbl>
      <w:tblPr>
        <w:tblStyle w:val="TableGrid"/>
        <w:tblpPr w:leftFromText="180" w:rightFromText="180" w:vertAnchor="text" w:horzAnchor="margin" w:tblpY="109"/>
        <w:tblW w:w="5000" w:type="pct"/>
        <w:tblLayout w:type="fixed"/>
        <w:tblLook w:val="04A0" w:firstRow="1" w:lastRow="0" w:firstColumn="1" w:lastColumn="0" w:noHBand="0" w:noVBand="1"/>
        <w:tblCaption w:val="Appendix D, the guidelines, standard operating procedures and governance structure for each element of donation, retrieval and transplantation"/>
      </w:tblPr>
      <w:tblGrid>
        <w:gridCol w:w="422"/>
        <w:gridCol w:w="1416"/>
        <w:gridCol w:w="3544"/>
        <w:gridCol w:w="1558"/>
        <w:gridCol w:w="1561"/>
        <w:gridCol w:w="1558"/>
        <w:gridCol w:w="1701"/>
        <w:gridCol w:w="1701"/>
        <w:gridCol w:w="1076"/>
      </w:tblGrid>
      <w:tr w:rsidR="00EB728C" w:rsidRPr="00FA1F63" w14:paraId="7A1433E2" w14:textId="77777777" w:rsidTr="00AE3ED1">
        <w:trPr>
          <w:trHeight w:val="1408"/>
          <w:tblHeader/>
        </w:trPr>
        <w:tc>
          <w:tcPr>
            <w:tcW w:w="145" w:type="pct"/>
            <w:shd w:val="clear" w:color="auto" w:fill="7F7F7F" w:themeFill="text1" w:themeFillTint="80"/>
          </w:tcPr>
          <w:p w14:paraId="666904D0" w14:textId="77777777" w:rsidR="00EB728C" w:rsidRPr="00FA1F63" w:rsidRDefault="00EB728C" w:rsidP="003B3300">
            <w:pPr>
              <w:rPr>
                <w:rFonts w:asciiTheme="minorHAnsi" w:hAnsiTheme="minorHAnsi" w:cstheme="minorHAnsi"/>
                <w:b/>
                <w:sz w:val="18"/>
              </w:rPr>
            </w:pPr>
          </w:p>
        </w:tc>
        <w:tc>
          <w:tcPr>
            <w:tcW w:w="487" w:type="pct"/>
            <w:shd w:val="clear" w:color="auto" w:fill="7F7F7F" w:themeFill="text1" w:themeFillTint="80"/>
          </w:tcPr>
          <w:p w14:paraId="65EAA036" w14:textId="77777777" w:rsidR="00EB728C" w:rsidRPr="00025436" w:rsidRDefault="00EB728C" w:rsidP="003B3300">
            <w:pPr>
              <w:spacing w:after="0"/>
              <w:rPr>
                <w:rFonts w:asciiTheme="minorHAnsi" w:hAnsiTheme="minorHAnsi" w:cstheme="minorHAnsi"/>
                <w:b/>
                <w:color w:val="FFFFFF" w:themeColor="background1"/>
                <w:sz w:val="18"/>
                <w:u w:val="single"/>
              </w:rPr>
            </w:pPr>
            <w:r w:rsidRPr="00025436">
              <w:rPr>
                <w:rFonts w:asciiTheme="minorHAnsi" w:hAnsiTheme="minorHAnsi" w:cstheme="minorHAnsi"/>
                <w:b/>
                <w:color w:val="FFFFFF" w:themeColor="background1"/>
                <w:sz w:val="18"/>
                <w:u w:val="single"/>
              </w:rPr>
              <w:t>Element 1</w:t>
            </w:r>
          </w:p>
          <w:p w14:paraId="75113319" w14:textId="7743EECE" w:rsidR="00EB728C" w:rsidRPr="00025436" w:rsidRDefault="00EB728C" w:rsidP="00C75FAB">
            <w:pPr>
              <w:spacing w:after="0"/>
              <w:rPr>
                <w:rFonts w:asciiTheme="minorHAnsi" w:hAnsiTheme="minorHAnsi" w:cstheme="minorHAnsi"/>
                <w:b/>
                <w:color w:val="FFFFFF" w:themeColor="background1"/>
                <w:sz w:val="18"/>
              </w:rPr>
            </w:pPr>
            <w:r w:rsidRPr="00C75FAB">
              <w:rPr>
                <w:rFonts w:asciiTheme="minorHAnsi" w:hAnsiTheme="minorHAnsi" w:cstheme="minorHAnsi"/>
                <w:b/>
                <w:color w:val="FFFFFF" w:themeColor="background1"/>
                <w:sz w:val="18"/>
              </w:rPr>
              <w:t>Initial</w:t>
            </w:r>
            <w:r w:rsidRPr="001747E8">
              <w:rPr>
                <w:rFonts w:asciiTheme="minorHAnsi" w:hAnsiTheme="minorHAnsi" w:cstheme="minorHAnsi"/>
                <w:b/>
                <w:color w:val="FFFFFF" w:themeColor="background1"/>
                <w:sz w:val="18"/>
              </w:rPr>
              <w:t xml:space="preserve"> </w:t>
            </w:r>
            <w:r w:rsidRPr="00025436">
              <w:rPr>
                <w:rFonts w:asciiTheme="minorHAnsi" w:hAnsiTheme="minorHAnsi" w:cstheme="minorHAnsi"/>
                <w:b/>
                <w:color w:val="FFFFFF" w:themeColor="background1"/>
                <w:sz w:val="18"/>
              </w:rPr>
              <w:br/>
            </w:r>
            <w:r w:rsidR="00604793">
              <w:rPr>
                <w:rFonts w:asciiTheme="minorHAnsi" w:hAnsiTheme="minorHAnsi" w:cstheme="minorHAnsi"/>
                <w:b/>
                <w:color w:val="FFFFFF" w:themeColor="background1"/>
                <w:sz w:val="18"/>
              </w:rPr>
              <w:t>a</w:t>
            </w:r>
            <w:r w:rsidRPr="00025436">
              <w:rPr>
                <w:rFonts w:asciiTheme="minorHAnsi" w:hAnsiTheme="minorHAnsi" w:cstheme="minorHAnsi"/>
                <w:b/>
                <w:color w:val="FFFFFF" w:themeColor="background1"/>
                <w:sz w:val="18"/>
              </w:rPr>
              <w:t xml:space="preserve">ssessment </w:t>
            </w:r>
            <w:r w:rsidR="00604793">
              <w:rPr>
                <w:rFonts w:asciiTheme="minorHAnsi" w:hAnsiTheme="minorHAnsi" w:cstheme="minorHAnsi"/>
                <w:b/>
                <w:color w:val="FFFFFF" w:themeColor="background1"/>
                <w:sz w:val="18"/>
              </w:rPr>
              <w:t>and</w:t>
            </w:r>
            <w:r w:rsidRPr="00025436">
              <w:rPr>
                <w:rFonts w:asciiTheme="minorHAnsi" w:hAnsiTheme="minorHAnsi" w:cstheme="minorHAnsi"/>
                <w:b/>
                <w:color w:val="FFFFFF" w:themeColor="background1"/>
                <w:sz w:val="18"/>
              </w:rPr>
              <w:t xml:space="preserve"> </w:t>
            </w:r>
            <w:r w:rsidR="00604793">
              <w:rPr>
                <w:rFonts w:asciiTheme="minorHAnsi" w:hAnsiTheme="minorHAnsi" w:cstheme="minorHAnsi"/>
                <w:b/>
                <w:color w:val="FFFFFF" w:themeColor="background1"/>
                <w:sz w:val="18"/>
              </w:rPr>
              <w:t>w</w:t>
            </w:r>
            <w:r w:rsidRPr="00025436">
              <w:rPr>
                <w:rFonts w:asciiTheme="minorHAnsi" w:hAnsiTheme="minorHAnsi" w:cstheme="minorHAnsi"/>
                <w:b/>
                <w:color w:val="FFFFFF" w:themeColor="background1"/>
                <w:sz w:val="18"/>
              </w:rPr>
              <w:t xml:space="preserve">aitlist </w:t>
            </w:r>
            <w:r w:rsidR="00604793">
              <w:rPr>
                <w:rFonts w:asciiTheme="minorHAnsi" w:hAnsiTheme="minorHAnsi" w:cstheme="minorHAnsi"/>
                <w:b/>
                <w:color w:val="FFFFFF" w:themeColor="background1"/>
                <w:sz w:val="18"/>
              </w:rPr>
              <w:t>m</w:t>
            </w:r>
            <w:r w:rsidRPr="00025436">
              <w:rPr>
                <w:rFonts w:asciiTheme="minorHAnsi" w:hAnsiTheme="minorHAnsi" w:cstheme="minorHAnsi"/>
                <w:b/>
                <w:color w:val="FFFFFF" w:themeColor="background1"/>
                <w:sz w:val="18"/>
              </w:rPr>
              <w:t xml:space="preserve">anagement </w:t>
            </w:r>
            <w:r w:rsidRPr="00025436">
              <w:rPr>
                <w:rFonts w:asciiTheme="minorHAnsi" w:hAnsiTheme="minorHAnsi" w:cstheme="minorHAnsi"/>
                <w:b/>
                <w:color w:val="FFFFFF" w:themeColor="background1"/>
                <w:sz w:val="18"/>
              </w:rPr>
              <w:br/>
              <w:t>(</w:t>
            </w:r>
            <w:r w:rsidR="00604793">
              <w:rPr>
                <w:rFonts w:asciiTheme="minorHAnsi" w:hAnsiTheme="minorHAnsi" w:cstheme="minorHAnsi"/>
                <w:b/>
                <w:color w:val="FFFFFF" w:themeColor="background1"/>
                <w:sz w:val="18"/>
              </w:rPr>
              <w:t>po</w:t>
            </w:r>
            <w:r w:rsidRPr="00025436">
              <w:rPr>
                <w:rFonts w:asciiTheme="minorHAnsi" w:hAnsiTheme="minorHAnsi" w:cstheme="minorHAnsi"/>
                <w:b/>
                <w:color w:val="FFFFFF" w:themeColor="background1"/>
                <w:sz w:val="18"/>
              </w:rPr>
              <w:t xml:space="preserve">tential </w:t>
            </w:r>
            <w:r w:rsidR="00604793">
              <w:rPr>
                <w:rFonts w:asciiTheme="minorHAnsi" w:hAnsiTheme="minorHAnsi" w:cstheme="minorHAnsi"/>
                <w:b/>
                <w:color w:val="FFFFFF" w:themeColor="background1"/>
                <w:sz w:val="18"/>
              </w:rPr>
              <w:t>r</w:t>
            </w:r>
            <w:r w:rsidRPr="00025436">
              <w:rPr>
                <w:rFonts w:asciiTheme="minorHAnsi" w:hAnsiTheme="minorHAnsi" w:cstheme="minorHAnsi"/>
                <w:b/>
                <w:color w:val="FFFFFF" w:themeColor="background1"/>
                <w:sz w:val="18"/>
              </w:rPr>
              <w:t>ecipient)</w:t>
            </w:r>
          </w:p>
        </w:tc>
        <w:tc>
          <w:tcPr>
            <w:tcW w:w="1219" w:type="pct"/>
            <w:shd w:val="clear" w:color="auto" w:fill="7F7F7F" w:themeFill="text1" w:themeFillTint="80"/>
          </w:tcPr>
          <w:p w14:paraId="2FE22D1C" w14:textId="77777777" w:rsidR="00EB728C" w:rsidRPr="00025436" w:rsidRDefault="00EB728C" w:rsidP="003B3300">
            <w:pPr>
              <w:spacing w:after="0"/>
              <w:rPr>
                <w:rFonts w:asciiTheme="minorHAnsi" w:hAnsiTheme="minorHAnsi" w:cstheme="minorHAnsi"/>
                <w:b/>
                <w:color w:val="FFFFFF" w:themeColor="background1"/>
                <w:sz w:val="18"/>
                <w:u w:val="single"/>
              </w:rPr>
            </w:pPr>
            <w:r w:rsidRPr="00025436">
              <w:rPr>
                <w:rFonts w:asciiTheme="minorHAnsi" w:hAnsiTheme="minorHAnsi" w:cstheme="minorHAnsi"/>
                <w:b/>
                <w:color w:val="FFFFFF" w:themeColor="background1"/>
                <w:sz w:val="18"/>
                <w:u w:val="single"/>
              </w:rPr>
              <w:t>Element 2</w:t>
            </w:r>
          </w:p>
          <w:p w14:paraId="12E95BB9" w14:textId="5F07A3E1" w:rsidR="00EB728C" w:rsidRPr="00025436" w:rsidRDefault="00EB728C" w:rsidP="003B3300">
            <w:pPr>
              <w:spacing w:after="0"/>
              <w:rPr>
                <w:rFonts w:asciiTheme="minorHAnsi" w:hAnsiTheme="minorHAnsi" w:cstheme="minorHAnsi"/>
                <w:b/>
                <w:color w:val="FFFFFF" w:themeColor="background1"/>
                <w:sz w:val="18"/>
              </w:rPr>
            </w:pPr>
            <w:r w:rsidRPr="00025436">
              <w:rPr>
                <w:rFonts w:asciiTheme="minorHAnsi" w:hAnsiTheme="minorHAnsi" w:cstheme="minorHAnsi"/>
                <w:b/>
                <w:color w:val="FFFFFF" w:themeColor="background1"/>
                <w:sz w:val="18"/>
              </w:rPr>
              <w:t>Deceased</w:t>
            </w:r>
            <w:r w:rsidR="00604793">
              <w:rPr>
                <w:rFonts w:asciiTheme="minorHAnsi" w:hAnsiTheme="minorHAnsi" w:cstheme="minorHAnsi"/>
                <w:b/>
                <w:color w:val="FFFFFF" w:themeColor="background1"/>
                <w:sz w:val="18"/>
              </w:rPr>
              <w:t xml:space="preserve"> d</w:t>
            </w:r>
            <w:r w:rsidRPr="00025436">
              <w:rPr>
                <w:rFonts w:asciiTheme="minorHAnsi" w:hAnsiTheme="minorHAnsi" w:cstheme="minorHAnsi"/>
                <w:b/>
                <w:color w:val="FFFFFF" w:themeColor="background1"/>
                <w:sz w:val="18"/>
              </w:rPr>
              <w:t>onation</w:t>
            </w:r>
            <w:r w:rsidRPr="00025436">
              <w:rPr>
                <w:rFonts w:asciiTheme="minorHAnsi" w:hAnsiTheme="minorHAnsi" w:cstheme="minorHAnsi"/>
                <w:b/>
                <w:color w:val="FFFFFF" w:themeColor="background1"/>
                <w:sz w:val="18"/>
              </w:rPr>
              <w:br/>
              <w:t>(</w:t>
            </w:r>
            <w:r w:rsidR="00604793">
              <w:rPr>
                <w:rFonts w:asciiTheme="minorHAnsi" w:hAnsiTheme="minorHAnsi" w:cstheme="minorHAnsi"/>
                <w:b/>
                <w:color w:val="FFFFFF" w:themeColor="background1"/>
                <w:sz w:val="18"/>
              </w:rPr>
              <w:t>p</w:t>
            </w:r>
            <w:r w:rsidRPr="00025436">
              <w:rPr>
                <w:rFonts w:asciiTheme="minorHAnsi" w:hAnsiTheme="minorHAnsi" w:cstheme="minorHAnsi"/>
                <w:b/>
                <w:color w:val="FFFFFF" w:themeColor="background1"/>
                <w:sz w:val="18"/>
              </w:rPr>
              <w:t xml:space="preserve">otential </w:t>
            </w:r>
            <w:r w:rsidR="00604793">
              <w:rPr>
                <w:rFonts w:asciiTheme="minorHAnsi" w:hAnsiTheme="minorHAnsi" w:cstheme="minorHAnsi"/>
                <w:b/>
                <w:color w:val="FFFFFF" w:themeColor="background1"/>
                <w:sz w:val="18"/>
              </w:rPr>
              <w:t>d</w:t>
            </w:r>
            <w:r w:rsidRPr="00025436">
              <w:rPr>
                <w:rFonts w:asciiTheme="minorHAnsi" w:hAnsiTheme="minorHAnsi" w:cstheme="minorHAnsi"/>
                <w:b/>
                <w:color w:val="FFFFFF" w:themeColor="background1"/>
                <w:sz w:val="18"/>
              </w:rPr>
              <w:t>onor)</w:t>
            </w:r>
          </w:p>
          <w:p w14:paraId="1D7085CD" w14:textId="77777777" w:rsidR="00EB728C" w:rsidRPr="00025436" w:rsidRDefault="00EB728C" w:rsidP="003B3300">
            <w:pPr>
              <w:spacing w:after="0"/>
              <w:rPr>
                <w:rFonts w:asciiTheme="minorHAnsi" w:hAnsiTheme="minorHAnsi" w:cstheme="minorHAnsi"/>
                <w:b/>
                <w:color w:val="FFFFFF" w:themeColor="background1"/>
                <w:sz w:val="18"/>
              </w:rPr>
            </w:pPr>
          </w:p>
        </w:tc>
        <w:tc>
          <w:tcPr>
            <w:tcW w:w="536" w:type="pct"/>
            <w:shd w:val="clear" w:color="auto" w:fill="7F7F7F" w:themeFill="text1" w:themeFillTint="80"/>
          </w:tcPr>
          <w:p w14:paraId="00C9C8CB" w14:textId="77777777" w:rsidR="00EB728C" w:rsidRPr="00025436" w:rsidRDefault="00EB728C" w:rsidP="003B3300">
            <w:pPr>
              <w:spacing w:after="0"/>
              <w:rPr>
                <w:rFonts w:asciiTheme="minorHAnsi" w:hAnsiTheme="minorHAnsi" w:cstheme="minorHAnsi"/>
                <w:b/>
                <w:color w:val="FFFFFF" w:themeColor="background1"/>
                <w:sz w:val="18"/>
                <w:u w:val="single"/>
              </w:rPr>
            </w:pPr>
            <w:r w:rsidRPr="00025436">
              <w:rPr>
                <w:rFonts w:asciiTheme="minorHAnsi" w:hAnsiTheme="minorHAnsi" w:cstheme="minorHAnsi"/>
                <w:b/>
                <w:color w:val="FFFFFF" w:themeColor="background1"/>
                <w:sz w:val="18"/>
                <w:u w:val="single"/>
              </w:rPr>
              <w:t>Element 3</w:t>
            </w:r>
          </w:p>
          <w:p w14:paraId="5828B384" w14:textId="4326C595" w:rsidR="00EB728C" w:rsidRPr="00025436" w:rsidRDefault="00EB728C" w:rsidP="003B3300">
            <w:pPr>
              <w:spacing w:after="0"/>
              <w:rPr>
                <w:rFonts w:asciiTheme="minorHAnsi" w:hAnsiTheme="minorHAnsi" w:cstheme="minorHAnsi"/>
                <w:b/>
                <w:color w:val="FFFFFF" w:themeColor="background1"/>
                <w:sz w:val="18"/>
              </w:rPr>
            </w:pPr>
            <w:r w:rsidRPr="00025436">
              <w:rPr>
                <w:rFonts w:asciiTheme="minorHAnsi" w:hAnsiTheme="minorHAnsi" w:cstheme="minorHAnsi"/>
                <w:b/>
                <w:color w:val="FFFFFF" w:themeColor="background1"/>
                <w:sz w:val="18"/>
              </w:rPr>
              <w:t xml:space="preserve">Organ </w:t>
            </w:r>
            <w:r w:rsidR="00604793">
              <w:rPr>
                <w:rFonts w:asciiTheme="minorHAnsi" w:hAnsiTheme="minorHAnsi" w:cstheme="minorHAnsi"/>
                <w:b/>
                <w:color w:val="FFFFFF" w:themeColor="background1"/>
                <w:sz w:val="18"/>
              </w:rPr>
              <w:t>a</w:t>
            </w:r>
            <w:r w:rsidRPr="00025436">
              <w:rPr>
                <w:rFonts w:asciiTheme="minorHAnsi" w:hAnsiTheme="minorHAnsi" w:cstheme="minorHAnsi"/>
                <w:b/>
                <w:color w:val="FFFFFF" w:themeColor="background1"/>
                <w:sz w:val="18"/>
              </w:rPr>
              <w:t>llocation</w:t>
            </w:r>
          </w:p>
        </w:tc>
        <w:tc>
          <w:tcPr>
            <w:tcW w:w="537" w:type="pct"/>
            <w:shd w:val="clear" w:color="auto" w:fill="7F7F7F" w:themeFill="text1" w:themeFillTint="80"/>
          </w:tcPr>
          <w:p w14:paraId="2C7BA965" w14:textId="77777777" w:rsidR="00EB728C" w:rsidRPr="00025436" w:rsidRDefault="00EB728C" w:rsidP="003B3300">
            <w:pPr>
              <w:spacing w:after="0"/>
              <w:rPr>
                <w:rFonts w:asciiTheme="minorHAnsi" w:hAnsiTheme="minorHAnsi" w:cstheme="minorHAnsi"/>
                <w:b/>
                <w:color w:val="FFFFFF" w:themeColor="background1"/>
                <w:sz w:val="18"/>
                <w:u w:val="single"/>
              </w:rPr>
            </w:pPr>
            <w:r w:rsidRPr="00025436">
              <w:rPr>
                <w:rFonts w:asciiTheme="minorHAnsi" w:hAnsiTheme="minorHAnsi" w:cstheme="minorHAnsi"/>
                <w:b/>
                <w:color w:val="FFFFFF" w:themeColor="background1"/>
                <w:sz w:val="18"/>
                <w:u w:val="single"/>
              </w:rPr>
              <w:t>Element 4</w:t>
            </w:r>
          </w:p>
          <w:p w14:paraId="1F1E4FDA" w14:textId="4176AC9C" w:rsidR="00EB728C" w:rsidRPr="00025436" w:rsidRDefault="00EB728C" w:rsidP="003B3300">
            <w:pPr>
              <w:spacing w:after="0"/>
              <w:rPr>
                <w:rFonts w:asciiTheme="minorHAnsi" w:hAnsiTheme="minorHAnsi" w:cstheme="minorHAnsi"/>
                <w:b/>
                <w:color w:val="FFFFFF" w:themeColor="background1"/>
                <w:sz w:val="18"/>
              </w:rPr>
            </w:pPr>
            <w:r w:rsidRPr="00025436">
              <w:rPr>
                <w:rFonts w:asciiTheme="minorHAnsi" w:hAnsiTheme="minorHAnsi" w:cstheme="minorHAnsi"/>
                <w:b/>
                <w:color w:val="FFFFFF" w:themeColor="background1"/>
                <w:sz w:val="18"/>
              </w:rPr>
              <w:t xml:space="preserve">Organ </w:t>
            </w:r>
            <w:r w:rsidR="00604793">
              <w:rPr>
                <w:rFonts w:asciiTheme="minorHAnsi" w:hAnsiTheme="minorHAnsi" w:cstheme="minorHAnsi"/>
                <w:b/>
                <w:color w:val="FFFFFF" w:themeColor="background1"/>
                <w:sz w:val="18"/>
              </w:rPr>
              <w:t>o</w:t>
            </w:r>
            <w:r w:rsidRPr="00025436">
              <w:rPr>
                <w:rFonts w:asciiTheme="minorHAnsi" w:hAnsiTheme="minorHAnsi" w:cstheme="minorHAnsi"/>
                <w:b/>
                <w:color w:val="FFFFFF" w:themeColor="background1"/>
                <w:sz w:val="18"/>
              </w:rPr>
              <w:t>ffer</w:t>
            </w:r>
          </w:p>
        </w:tc>
        <w:tc>
          <w:tcPr>
            <w:tcW w:w="536" w:type="pct"/>
            <w:shd w:val="clear" w:color="auto" w:fill="7F7F7F" w:themeFill="text1" w:themeFillTint="80"/>
          </w:tcPr>
          <w:p w14:paraId="68EA0E99" w14:textId="77777777" w:rsidR="00EB728C" w:rsidRPr="00025436" w:rsidRDefault="00EB728C" w:rsidP="003B3300">
            <w:pPr>
              <w:spacing w:after="0"/>
              <w:rPr>
                <w:rFonts w:asciiTheme="minorHAnsi" w:hAnsiTheme="minorHAnsi" w:cstheme="minorHAnsi"/>
                <w:b/>
                <w:color w:val="FFFFFF" w:themeColor="background1"/>
                <w:sz w:val="18"/>
                <w:u w:val="single"/>
              </w:rPr>
            </w:pPr>
            <w:r w:rsidRPr="00025436">
              <w:rPr>
                <w:rFonts w:asciiTheme="minorHAnsi" w:hAnsiTheme="minorHAnsi" w:cstheme="minorHAnsi"/>
                <w:b/>
                <w:color w:val="FFFFFF" w:themeColor="background1"/>
                <w:sz w:val="18"/>
                <w:u w:val="single"/>
              </w:rPr>
              <w:t>Element 5</w:t>
            </w:r>
          </w:p>
          <w:p w14:paraId="763EEA75" w14:textId="00C8C174" w:rsidR="00EB728C" w:rsidRPr="00025436" w:rsidRDefault="00EB728C" w:rsidP="003B3300">
            <w:pPr>
              <w:spacing w:after="0"/>
              <w:rPr>
                <w:rFonts w:asciiTheme="minorHAnsi" w:hAnsiTheme="minorHAnsi" w:cstheme="minorHAnsi"/>
                <w:b/>
                <w:color w:val="FFFFFF" w:themeColor="background1"/>
                <w:sz w:val="18"/>
              </w:rPr>
            </w:pPr>
            <w:r w:rsidRPr="00025436">
              <w:rPr>
                <w:rFonts w:asciiTheme="minorHAnsi" w:hAnsiTheme="minorHAnsi" w:cstheme="minorHAnsi"/>
                <w:b/>
                <w:color w:val="FFFFFF" w:themeColor="background1"/>
                <w:sz w:val="18"/>
              </w:rPr>
              <w:t xml:space="preserve">Organ </w:t>
            </w:r>
            <w:r w:rsidR="00604793">
              <w:rPr>
                <w:rFonts w:asciiTheme="minorHAnsi" w:hAnsiTheme="minorHAnsi" w:cstheme="minorHAnsi"/>
                <w:b/>
                <w:color w:val="FFFFFF" w:themeColor="background1"/>
                <w:sz w:val="18"/>
              </w:rPr>
              <w:t>a</w:t>
            </w:r>
            <w:r w:rsidRPr="00025436">
              <w:rPr>
                <w:rFonts w:asciiTheme="minorHAnsi" w:hAnsiTheme="minorHAnsi" w:cstheme="minorHAnsi"/>
                <w:b/>
                <w:color w:val="FFFFFF" w:themeColor="background1"/>
                <w:sz w:val="18"/>
              </w:rPr>
              <w:t>cceptance</w:t>
            </w:r>
          </w:p>
        </w:tc>
        <w:tc>
          <w:tcPr>
            <w:tcW w:w="585" w:type="pct"/>
            <w:shd w:val="clear" w:color="auto" w:fill="7F7F7F" w:themeFill="text1" w:themeFillTint="80"/>
          </w:tcPr>
          <w:p w14:paraId="66B57367" w14:textId="77777777" w:rsidR="00EB728C" w:rsidRPr="00025436" w:rsidRDefault="00EB728C" w:rsidP="003B3300">
            <w:pPr>
              <w:spacing w:after="0"/>
              <w:rPr>
                <w:rFonts w:asciiTheme="minorHAnsi" w:hAnsiTheme="minorHAnsi" w:cstheme="minorHAnsi"/>
                <w:b/>
                <w:color w:val="FFFFFF" w:themeColor="background1"/>
                <w:sz w:val="18"/>
                <w:u w:val="single"/>
              </w:rPr>
            </w:pPr>
            <w:r w:rsidRPr="00025436">
              <w:rPr>
                <w:rFonts w:asciiTheme="minorHAnsi" w:hAnsiTheme="minorHAnsi" w:cstheme="minorHAnsi"/>
                <w:b/>
                <w:color w:val="FFFFFF" w:themeColor="background1"/>
                <w:sz w:val="18"/>
                <w:u w:val="single"/>
              </w:rPr>
              <w:t>Element 6</w:t>
            </w:r>
          </w:p>
          <w:p w14:paraId="5A191BA5" w14:textId="410FF4C4" w:rsidR="00EB728C" w:rsidRPr="00025436" w:rsidRDefault="00F33AE6" w:rsidP="003B3300">
            <w:pPr>
              <w:spacing w:after="0"/>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R</w:t>
            </w:r>
            <w:r w:rsidR="00EB728C" w:rsidRPr="00025436">
              <w:rPr>
                <w:rFonts w:asciiTheme="minorHAnsi" w:hAnsiTheme="minorHAnsi" w:cstheme="minorHAnsi"/>
                <w:b/>
                <w:color w:val="FFFFFF" w:themeColor="background1"/>
                <w:sz w:val="18"/>
              </w:rPr>
              <w:t>etrieval</w:t>
            </w:r>
            <w:r w:rsidR="00EB728C" w:rsidRPr="00025436">
              <w:rPr>
                <w:rFonts w:asciiTheme="minorHAnsi" w:hAnsiTheme="minorHAnsi" w:cstheme="minorHAnsi"/>
                <w:b/>
                <w:color w:val="FFFFFF" w:themeColor="background1"/>
                <w:sz w:val="18"/>
              </w:rPr>
              <w:br/>
              <w:t>(</w:t>
            </w:r>
            <w:r w:rsidR="00604793">
              <w:rPr>
                <w:rFonts w:asciiTheme="minorHAnsi" w:hAnsiTheme="minorHAnsi" w:cstheme="minorHAnsi"/>
                <w:b/>
                <w:color w:val="FFFFFF" w:themeColor="background1"/>
                <w:sz w:val="18"/>
              </w:rPr>
              <w:t>d</w:t>
            </w:r>
            <w:r w:rsidR="00EB728C" w:rsidRPr="00025436">
              <w:rPr>
                <w:rFonts w:asciiTheme="minorHAnsi" w:hAnsiTheme="minorHAnsi" w:cstheme="minorHAnsi"/>
                <w:b/>
                <w:color w:val="FFFFFF" w:themeColor="background1"/>
                <w:sz w:val="18"/>
              </w:rPr>
              <w:t>onor)</w:t>
            </w:r>
          </w:p>
        </w:tc>
        <w:tc>
          <w:tcPr>
            <w:tcW w:w="585" w:type="pct"/>
            <w:shd w:val="clear" w:color="auto" w:fill="7F7F7F" w:themeFill="text1" w:themeFillTint="80"/>
          </w:tcPr>
          <w:p w14:paraId="104671FE" w14:textId="77777777" w:rsidR="00EB728C" w:rsidRPr="00025436" w:rsidRDefault="00EB728C" w:rsidP="003B3300">
            <w:pPr>
              <w:spacing w:after="0"/>
              <w:rPr>
                <w:rFonts w:asciiTheme="minorHAnsi" w:hAnsiTheme="minorHAnsi" w:cstheme="minorHAnsi"/>
                <w:b/>
                <w:color w:val="FFFFFF" w:themeColor="background1"/>
                <w:sz w:val="18"/>
                <w:u w:val="single"/>
              </w:rPr>
            </w:pPr>
            <w:r w:rsidRPr="00025436">
              <w:rPr>
                <w:rFonts w:asciiTheme="minorHAnsi" w:hAnsiTheme="minorHAnsi" w:cstheme="minorHAnsi"/>
                <w:b/>
                <w:color w:val="FFFFFF" w:themeColor="background1"/>
                <w:sz w:val="18"/>
                <w:u w:val="single"/>
              </w:rPr>
              <w:t>Element 7</w:t>
            </w:r>
          </w:p>
          <w:p w14:paraId="798FEA12" w14:textId="1C2DED44" w:rsidR="00EB728C" w:rsidRPr="00025436" w:rsidRDefault="00EB728C" w:rsidP="003B3300">
            <w:pPr>
              <w:spacing w:after="0"/>
              <w:rPr>
                <w:rFonts w:asciiTheme="minorHAnsi" w:hAnsiTheme="minorHAnsi" w:cstheme="minorHAnsi"/>
                <w:b/>
                <w:color w:val="FFFFFF" w:themeColor="background1"/>
                <w:sz w:val="18"/>
              </w:rPr>
            </w:pPr>
            <w:r w:rsidRPr="00025436">
              <w:rPr>
                <w:rFonts w:asciiTheme="minorHAnsi" w:hAnsiTheme="minorHAnsi" w:cstheme="minorHAnsi"/>
                <w:b/>
                <w:color w:val="FFFFFF" w:themeColor="background1"/>
                <w:sz w:val="18"/>
              </w:rPr>
              <w:t>Transplantation</w:t>
            </w:r>
            <w:r w:rsidRPr="00025436">
              <w:rPr>
                <w:rFonts w:asciiTheme="minorHAnsi" w:hAnsiTheme="minorHAnsi" w:cstheme="minorHAnsi"/>
                <w:b/>
                <w:color w:val="FFFFFF" w:themeColor="background1"/>
                <w:sz w:val="18"/>
              </w:rPr>
              <w:br/>
              <w:t>(</w:t>
            </w:r>
            <w:r w:rsidR="00604793">
              <w:rPr>
                <w:rFonts w:asciiTheme="minorHAnsi" w:hAnsiTheme="minorHAnsi" w:cstheme="minorHAnsi"/>
                <w:b/>
                <w:color w:val="FFFFFF" w:themeColor="background1"/>
                <w:sz w:val="18"/>
              </w:rPr>
              <w:t>r</w:t>
            </w:r>
            <w:r w:rsidRPr="00025436">
              <w:rPr>
                <w:rFonts w:asciiTheme="minorHAnsi" w:hAnsiTheme="minorHAnsi" w:cstheme="minorHAnsi"/>
                <w:b/>
                <w:color w:val="FFFFFF" w:themeColor="background1"/>
                <w:sz w:val="18"/>
              </w:rPr>
              <w:t>ecipient)</w:t>
            </w:r>
          </w:p>
        </w:tc>
        <w:tc>
          <w:tcPr>
            <w:tcW w:w="370" w:type="pct"/>
            <w:shd w:val="clear" w:color="auto" w:fill="7F7F7F" w:themeFill="text1" w:themeFillTint="80"/>
          </w:tcPr>
          <w:p w14:paraId="2113BBB6" w14:textId="77777777" w:rsidR="00EB728C" w:rsidRPr="00025436" w:rsidRDefault="00EB728C" w:rsidP="003B3300">
            <w:pPr>
              <w:spacing w:after="0"/>
              <w:rPr>
                <w:rFonts w:asciiTheme="minorHAnsi" w:hAnsiTheme="minorHAnsi" w:cstheme="minorHAnsi"/>
                <w:b/>
                <w:color w:val="FFFFFF" w:themeColor="background1"/>
                <w:sz w:val="18"/>
                <w:u w:val="single"/>
              </w:rPr>
            </w:pPr>
            <w:r w:rsidRPr="00025436">
              <w:rPr>
                <w:rFonts w:asciiTheme="minorHAnsi" w:hAnsiTheme="minorHAnsi" w:cstheme="minorHAnsi"/>
                <w:b/>
                <w:color w:val="FFFFFF" w:themeColor="background1"/>
                <w:sz w:val="18"/>
                <w:u w:val="single"/>
              </w:rPr>
              <w:t>Element 8</w:t>
            </w:r>
          </w:p>
          <w:p w14:paraId="0D1502AC" w14:textId="28F414A2" w:rsidR="00EB728C" w:rsidRPr="00025436" w:rsidRDefault="00EB728C" w:rsidP="003B3300">
            <w:pPr>
              <w:spacing w:after="0"/>
              <w:rPr>
                <w:rFonts w:asciiTheme="minorHAnsi" w:hAnsiTheme="minorHAnsi" w:cstheme="minorHAnsi"/>
                <w:b/>
                <w:color w:val="FFFFFF" w:themeColor="background1"/>
                <w:sz w:val="18"/>
              </w:rPr>
            </w:pPr>
            <w:r w:rsidRPr="00025436">
              <w:rPr>
                <w:rFonts w:asciiTheme="minorHAnsi" w:hAnsiTheme="minorHAnsi" w:cstheme="minorHAnsi"/>
                <w:b/>
                <w:color w:val="FFFFFF" w:themeColor="background1"/>
                <w:sz w:val="18"/>
              </w:rPr>
              <w:t>Post Transplant-ation (</w:t>
            </w:r>
            <w:r w:rsidR="00604793">
              <w:rPr>
                <w:rFonts w:asciiTheme="minorHAnsi" w:hAnsiTheme="minorHAnsi" w:cstheme="minorHAnsi"/>
                <w:b/>
                <w:color w:val="FFFFFF" w:themeColor="background1"/>
                <w:sz w:val="18"/>
              </w:rPr>
              <w:t>r</w:t>
            </w:r>
            <w:r w:rsidRPr="00025436">
              <w:rPr>
                <w:rFonts w:asciiTheme="minorHAnsi" w:hAnsiTheme="minorHAnsi" w:cstheme="minorHAnsi"/>
                <w:b/>
                <w:color w:val="FFFFFF" w:themeColor="background1"/>
                <w:sz w:val="18"/>
              </w:rPr>
              <w:t>ecipient)</w:t>
            </w:r>
          </w:p>
        </w:tc>
      </w:tr>
      <w:tr w:rsidR="00EB728C" w:rsidRPr="00FA1F63" w14:paraId="65EBDE30" w14:textId="77777777" w:rsidTr="003B3300">
        <w:trPr>
          <w:cantSplit/>
          <w:trHeight w:val="1408"/>
        </w:trPr>
        <w:tc>
          <w:tcPr>
            <w:tcW w:w="145" w:type="pct"/>
            <w:tcBorders>
              <w:bottom w:val="nil"/>
            </w:tcBorders>
            <w:shd w:val="clear" w:color="auto" w:fill="7F7F7F" w:themeFill="text1" w:themeFillTint="80"/>
            <w:textDirection w:val="btLr"/>
          </w:tcPr>
          <w:p w14:paraId="7417562A" w14:textId="77777777" w:rsidR="00EB728C" w:rsidRPr="00FA1F63" w:rsidRDefault="00EB728C" w:rsidP="003B3300">
            <w:pPr>
              <w:ind w:left="113" w:right="113"/>
              <w:jc w:val="center"/>
              <w:rPr>
                <w:rFonts w:asciiTheme="minorHAnsi" w:hAnsiTheme="minorHAnsi" w:cstheme="minorHAnsi"/>
                <w:b/>
                <w:sz w:val="18"/>
              </w:rPr>
            </w:pPr>
            <w:r w:rsidRPr="00025436">
              <w:rPr>
                <w:rFonts w:asciiTheme="minorHAnsi" w:hAnsiTheme="minorHAnsi" w:cstheme="minorHAnsi"/>
                <w:b/>
                <w:color w:val="FFFFFF" w:themeColor="background1"/>
                <w:sz w:val="18"/>
              </w:rPr>
              <w:t>Guidelines and Standard Operating Procedures</w:t>
            </w:r>
          </w:p>
        </w:tc>
        <w:tc>
          <w:tcPr>
            <w:tcW w:w="487" w:type="pct"/>
            <w:tcBorders>
              <w:bottom w:val="nil"/>
            </w:tcBorders>
            <w:shd w:val="clear" w:color="auto" w:fill="FFFFFF" w:themeFill="background1"/>
          </w:tcPr>
          <w:p w14:paraId="3E518D35" w14:textId="77777777" w:rsidR="00EB728C" w:rsidRPr="00FA1F63" w:rsidRDefault="00EB728C" w:rsidP="00EB728C">
            <w:pPr>
              <w:pStyle w:val="ListParagraph"/>
              <w:widowControl/>
              <w:numPr>
                <w:ilvl w:val="0"/>
                <w:numId w:val="52"/>
              </w:numPr>
              <w:autoSpaceDE/>
              <w:autoSpaceDN/>
              <w:adjustRightInd/>
              <w:spacing w:after="0"/>
              <w:ind w:left="138" w:hanging="142"/>
              <w:rPr>
                <w:rFonts w:asciiTheme="minorHAnsi" w:hAnsiTheme="minorHAnsi" w:cstheme="minorHAnsi"/>
                <w:sz w:val="18"/>
              </w:rPr>
            </w:pPr>
            <w:r w:rsidRPr="00FA1F63">
              <w:rPr>
                <w:rFonts w:asciiTheme="minorHAnsi" w:hAnsiTheme="minorHAnsi" w:cstheme="minorHAnsi"/>
                <w:sz w:val="18"/>
              </w:rPr>
              <w:t xml:space="preserve">NHMRC, 2016, </w:t>
            </w:r>
            <w:r w:rsidRPr="00FA1F63">
              <w:rPr>
                <w:rFonts w:asciiTheme="minorHAnsi" w:hAnsiTheme="minorHAnsi" w:cstheme="minorHAnsi"/>
                <w:i/>
                <w:sz w:val="18"/>
              </w:rPr>
              <w:t>‘Ethical Guidelines for Organ Transplantation from Deceased Donors’</w:t>
            </w:r>
            <w:r w:rsidRPr="00FA1F63">
              <w:rPr>
                <w:rFonts w:asciiTheme="minorHAnsi" w:hAnsiTheme="minorHAnsi" w:cstheme="minorHAnsi"/>
                <w:sz w:val="18"/>
              </w:rPr>
              <w:t>, 2016 Version 1.0</w:t>
            </w:r>
          </w:p>
          <w:p w14:paraId="59A2FF25" w14:textId="77777777" w:rsidR="00EB728C" w:rsidRPr="007B269E" w:rsidRDefault="00EB728C" w:rsidP="00EB728C">
            <w:pPr>
              <w:pStyle w:val="ListParagraph"/>
              <w:widowControl/>
              <w:numPr>
                <w:ilvl w:val="0"/>
                <w:numId w:val="52"/>
              </w:numPr>
              <w:autoSpaceDE/>
              <w:autoSpaceDN/>
              <w:adjustRightInd/>
              <w:spacing w:after="0"/>
              <w:ind w:left="138" w:hanging="142"/>
              <w:rPr>
                <w:rFonts w:asciiTheme="minorHAnsi" w:hAnsiTheme="minorHAnsi" w:cstheme="minorHAnsi"/>
                <w:b/>
                <w:sz w:val="18"/>
              </w:rPr>
            </w:pPr>
            <w:r w:rsidRPr="007B269E">
              <w:rPr>
                <w:rFonts w:asciiTheme="minorHAnsi" w:hAnsiTheme="minorHAnsi" w:cstheme="minorHAnsi"/>
                <w:sz w:val="18"/>
              </w:rPr>
              <w:t xml:space="preserve">TSANZ, 2017, </w:t>
            </w:r>
            <w:r w:rsidRPr="007B269E">
              <w:rPr>
                <w:rFonts w:asciiTheme="minorHAnsi" w:hAnsiTheme="minorHAnsi" w:cstheme="minorHAnsi"/>
                <w:i/>
                <w:sz w:val="18"/>
              </w:rPr>
              <w:t>‘Clinical Guidelines for Organ Transplantation from Deceased Donors’</w:t>
            </w:r>
            <w:r w:rsidRPr="007B269E">
              <w:rPr>
                <w:rFonts w:asciiTheme="minorHAnsi" w:hAnsiTheme="minorHAnsi" w:cstheme="minorHAnsi"/>
                <w:sz w:val="18"/>
              </w:rPr>
              <w:t>, May 2017 Version 1.1</w:t>
            </w:r>
            <w:r w:rsidRPr="007B269E">
              <w:rPr>
                <w:rFonts w:asciiTheme="minorHAnsi" w:hAnsiTheme="minorHAnsi" w:cstheme="minorHAnsi"/>
                <w:strike/>
                <w:sz w:val="18"/>
              </w:rPr>
              <w:t xml:space="preserve"> </w:t>
            </w:r>
          </w:p>
        </w:tc>
        <w:tc>
          <w:tcPr>
            <w:tcW w:w="1219" w:type="pct"/>
            <w:tcBorders>
              <w:bottom w:val="nil"/>
            </w:tcBorders>
            <w:shd w:val="clear" w:color="auto" w:fill="FFFFFF" w:themeFill="background1"/>
          </w:tcPr>
          <w:p w14:paraId="5D2326ED" w14:textId="77777777" w:rsidR="00EB728C" w:rsidRPr="007B269E" w:rsidRDefault="00EB728C" w:rsidP="00EB728C">
            <w:pPr>
              <w:pStyle w:val="ListParagraph"/>
              <w:widowControl/>
              <w:numPr>
                <w:ilvl w:val="0"/>
                <w:numId w:val="52"/>
              </w:numPr>
              <w:autoSpaceDE/>
              <w:autoSpaceDN/>
              <w:adjustRightInd/>
              <w:spacing w:after="0"/>
              <w:ind w:left="163" w:hanging="142"/>
              <w:rPr>
                <w:rFonts w:asciiTheme="minorHAnsi" w:hAnsiTheme="minorHAnsi" w:cstheme="minorHAnsi"/>
                <w:sz w:val="18"/>
              </w:rPr>
            </w:pPr>
            <w:r w:rsidRPr="007B269E">
              <w:rPr>
                <w:rFonts w:asciiTheme="minorHAnsi" w:hAnsiTheme="minorHAnsi" w:cstheme="minorHAnsi"/>
                <w:sz w:val="18"/>
              </w:rPr>
              <w:t xml:space="preserve">NHMRC, 2016, </w:t>
            </w:r>
            <w:r w:rsidRPr="007B269E">
              <w:rPr>
                <w:rFonts w:asciiTheme="minorHAnsi" w:hAnsiTheme="minorHAnsi" w:cstheme="minorHAnsi"/>
                <w:i/>
                <w:sz w:val="18"/>
              </w:rPr>
              <w:t>‘Ethical Guidelines for Organ Transplantation from Deceased Donors’</w:t>
            </w:r>
            <w:r w:rsidRPr="007B269E">
              <w:rPr>
                <w:rFonts w:asciiTheme="minorHAnsi" w:hAnsiTheme="minorHAnsi" w:cstheme="minorHAnsi"/>
                <w:sz w:val="18"/>
              </w:rPr>
              <w:t>, 2016 Version 1.0</w:t>
            </w:r>
          </w:p>
          <w:p w14:paraId="28992EF0" w14:textId="77777777" w:rsidR="00EB728C" w:rsidRPr="007B269E" w:rsidRDefault="00EB728C" w:rsidP="00EB728C">
            <w:pPr>
              <w:pStyle w:val="ListParagraph"/>
              <w:widowControl/>
              <w:numPr>
                <w:ilvl w:val="0"/>
                <w:numId w:val="52"/>
              </w:numPr>
              <w:autoSpaceDE/>
              <w:autoSpaceDN/>
              <w:adjustRightInd/>
              <w:spacing w:after="0"/>
              <w:ind w:left="163" w:hanging="142"/>
              <w:rPr>
                <w:rFonts w:asciiTheme="minorHAnsi" w:hAnsiTheme="minorHAnsi" w:cstheme="minorHAnsi"/>
                <w:strike/>
                <w:sz w:val="18"/>
              </w:rPr>
            </w:pPr>
            <w:r w:rsidRPr="007B269E">
              <w:rPr>
                <w:rFonts w:asciiTheme="minorHAnsi" w:hAnsiTheme="minorHAnsi" w:cstheme="minorHAnsi"/>
                <w:sz w:val="18"/>
              </w:rPr>
              <w:t xml:space="preserve">TSANZ, 2017, </w:t>
            </w:r>
            <w:r w:rsidRPr="007B269E">
              <w:rPr>
                <w:rFonts w:asciiTheme="minorHAnsi" w:hAnsiTheme="minorHAnsi" w:cstheme="minorHAnsi"/>
                <w:i/>
                <w:sz w:val="18"/>
              </w:rPr>
              <w:t>‘Clinical Guidelines for Organ Transplantation from Deceased Donors’</w:t>
            </w:r>
            <w:r w:rsidRPr="007B269E">
              <w:rPr>
                <w:rFonts w:asciiTheme="minorHAnsi" w:hAnsiTheme="minorHAnsi" w:cstheme="minorHAnsi"/>
                <w:sz w:val="18"/>
              </w:rPr>
              <w:t>, May 2017 Version 1.1</w:t>
            </w:r>
            <w:r w:rsidRPr="007B269E">
              <w:rPr>
                <w:rFonts w:asciiTheme="minorHAnsi" w:hAnsiTheme="minorHAnsi" w:cstheme="minorHAnsi"/>
                <w:strike/>
                <w:sz w:val="18"/>
              </w:rPr>
              <w:t xml:space="preserve"> </w:t>
            </w:r>
          </w:p>
          <w:p w14:paraId="17AA62B0" w14:textId="77777777" w:rsidR="00EB728C" w:rsidRPr="007B269E" w:rsidRDefault="00EB728C" w:rsidP="00EB728C">
            <w:pPr>
              <w:pStyle w:val="ListParagraph"/>
              <w:widowControl/>
              <w:numPr>
                <w:ilvl w:val="0"/>
                <w:numId w:val="52"/>
              </w:numPr>
              <w:autoSpaceDE/>
              <w:autoSpaceDN/>
              <w:adjustRightInd/>
              <w:spacing w:after="0"/>
              <w:ind w:left="163" w:hanging="142"/>
              <w:rPr>
                <w:rStyle w:val="Hyperlink"/>
                <w:rFonts w:asciiTheme="minorHAnsi" w:hAnsiTheme="minorHAnsi" w:cstheme="minorHAnsi"/>
                <w:sz w:val="18"/>
              </w:rPr>
            </w:pPr>
            <w:r w:rsidRPr="007B269E">
              <w:rPr>
                <w:rStyle w:val="Hyperlink"/>
                <w:rFonts w:asciiTheme="minorHAnsi" w:hAnsiTheme="minorHAnsi" w:cstheme="minorHAnsi"/>
                <w:sz w:val="18"/>
              </w:rPr>
              <w:t xml:space="preserve">ANZICS, 2013, </w:t>
            </w:r>
            <w:r w:rsidRPr="007B269E">
              <w:rPr>
                <w:rStyle w:val="Hyperlink"/>
                <w:rFonts w:asciiTheme="minorHAnsi" w:hAnsiTheme="minorHAnsi" w:cstheme="minorHAnsi"/>
                <w:i/>
                <w:sz w:val="18"/>
              </w:rPr>
              <w:t>‘ANZICS Statement on Death and Organ Donation’</w:t>
            </w:r>
            <w:r w:rsidRPr="007B269E">
              <w:rPr>
                <w:rStyle w:val="Hyperlink"/>
                <w:rFonts w:asciiTheme="minorHAnsi" w:hAnsiTheme="minorHAnsi" w:cstheme="minorHAnsi"/>
                <w:sz w:val="18"/>
              </w:rPr>
              <w:t>, Edition 3.2, 2013</w:t>
            </w:r>
          </w:p>
          <w:p w14:paraId="7E98C7EF" w14:textId="77777777" w:rsidR="00EB728C" w:rsidRPr="007B269E" w:rsidRDefault="00EB728C" w:rsidP="00EB728C">
            <w:pPr>
              <w:pStyle w:val="ListParagraph"/>
              <w:widowControl/>
              <w:numPr>
                <w:ilvl w:val="0"/>
                <w:numId w:val="52"/>
              </w:numPr>
              <w:autoSpaceDE/>
              <w:autoSpaceDN/>
              <w:adjustRightInd/>
              <w:spacing w:after="0"/>
              <w:ind w:left="163" w:hanging="142"/>
              <w:rPr>
                <w:rFonts w:asciiTheme="minorHAnsi" w:hAnsiTheme="minorHAnsi" w:cstheme="minorHAnsi"/>
                <w:sz w:val="18"/>
              </w:rPr>
            </w:pPr>
            <w:r w:rsidRPr="007B269E">
              <w:rPr>
                <w:rFonts w:asciiTheme="minorHAnsi" w:hAnsiTheme="minorHAnsi" w:cstheme="minorHAnsi"/>
                <w:sz w:val="18"/>
              </w:rPr>
              <w:t xml:space="preserve">ANZICS, XXXX, </w:t>
            </w:r>
            <w:r w:rsidRPr="007B269E">
              <w:rPr>
                <w:rFonts w:asciiTheme="minorHAnsi" w:hAnsiTheme="minorHAnsi" w:cstheme="minorHAnsi"/>
                <w:i/>
                <w:sz w:val="18"/>
              </w:rPr>
              <w:t>‘Statement on Brain Death Determination’</w:t>
            </w:r>
            <w:r w:rsidRPr="007B269E">
              <w:rPr>
                <w:rFonts w:asciiTheme="minorHAnsi" w:hAnsiTheme="minorHAnsi" w:cstheme="minorHAnsi"/>
                <w:sz w:val="18"/>
              </w:rPr>
              <w:t>, XXXX</w:t>
            </w:r>
          </w:p>
          <w:p w14:paraId="463B1F66" w14:textId="77777777" w:rsidR="00EB728C" w:rsidRPr="007B269E" w:rsidRDefault="00EB728C" w:rsidP="00EB728C">
            <w:pPr>
              <w:pStyle w:val="ListParagraph"/>
              <w:widowControl/>
              <w:numPr>
                <w:ilvl w:val="0"/>
                <w:numId w:val="52"/>
              </w:numPr>
              <w:autoSpaceDE/>
              <w:autoSpaceDN/>
              <w:adjustRightInd/>
              <w:spacing w:after="0"/>
              <w:ind w:left="163" w:hanging="142"/>
              <w:rPr>
                <w:rFonts w:asciiTheme="minorHAnsi" w:hAnsiTheme="minorHAnsi" w:cstheme="minorHAnsi"/>
                <w:sz w:val="18"/>
              </w:rPr>
            </w:pPr>
            <w:r w:rsidRPr="007B269E">
              <w:rPr>
                <w:rFonts w:asciiTheme="minorHAnsi" w:hAnsiTheme="minorHAnsi" w:cstheme="minorHAnsi"/>
                <w:sz w:val="18"/>
              </w:rPr>
              <w:t xml:space="preserve">ANZICS, XXXX, </w:t>
            </w:r>
            <w:r w:rsidRPr="007B269E">
              <w:rPr>
                <w:rFonts w:asciiTheme="minorHAnsi" w:hAnsiTheme="minorHAnsi" w:cstheme="minorHAnsi"/>
                <w:i/>
                <w:sz w:val="18"/>
              </w:rPr>
              <w:t>‘Statement on Circulatory Death Determination’ XXXX</w:t>
            </w:r>
          </w:p>
          <w:p w14:paraId="65306465" w14:textId="77777777" w:rsidR="00EB728C" w:rsidRPr="007B269E" w:rsidRDefault="00EB728C" w:rsidP="00EB728C">
            <w:pPr>
              <w:pStyle w:val="ListParagraph"/>
              <w:widowControl/>
              <w:numPr>
                <w:ilvl w:val="0"/>
                <w:numId w:val="52"/>
              </w:numPr>
              <w:autoSpaceDE/>
              <w:autoSpaceDN/>
              <w:adjustRightInd/>
              <w:spacing w:after="0"/>
              <w:ind w:left="161" w:hanging="142"/>
              <w:rPr>
                <w:rFonts w:asciiTheme="minorHAnsi" w:hAnsiTheme="minorHAnsi" w:cstheme="minorHAnsi"/>
                <w:sz w:val="18"/>
              </w:rPr>
            </w:pPr>
            <w:r w:rsidRPr="007B269E">
              <w:rPr>
                <w:rFonts w:asciiTheme="minorHAnsi" w:hAnsiTheme="minorHAnsi" w:cstheme="minorHAnsi"/>
                <w:sz w:val="18"/>
              </w:rPr>
              <w:t xml:space="preserve">ANZICS, 2014, </w:t>
            </w:r>
            <w:r w:rsidRPr="007B269E">
              <w:rPr>
                <w:rFonts w:asciiTheme="minorHAnsi" w:hAnsiTheme="minorHAnsi" w:cstheme="minorHAnsi"/>
                <w:i/>
                <w:sz w:val="18"/>
              </w:rPr>
              <w:t>‘Statement on Care and Decision</w:t>
            </w:r>
            <w:r>
              <w:rPr>
                <w:rFonts w:asciiTheme="minorHAnsi" w:hAnsiTheme="minorHAnsi" w:cstheme="minorHAnsi"/>
                <w:i/>
                <w:sz w:val="18"/>
              </w:rPr>
              <w:t xml:space="preserve"> </w:t>
            </w:r>
            <w:r w:rsidRPr="007B269E">
              <w:rPr>
                <w:rFonts w:asciiTheme="minorHAnsi" w:hAnsiTheme="minorHAnsi" w:cstheme="minorHAnsi"/>
                <w:i/>
                <w:sz w:val="18"/>
              </w:rPr>
              <w:t>Making at the End of Life for the Critically Ill’</w:t>
            </w:r>
            <w:r w:rsidRPr="007B269E">
              <w:rPr>
                <w:rFonts w:asciiTheme="minorHAnsi" w:hAnsiTheme="minorHAnsi" w:cstheme="minorHAnsi"/>
                <w:sz w:val="18"/>
              </w:rPr>
              <w:t>, 2014</w:t>
            </w:r>
          </w:p>
          <w:p w14:paraId="0C885674" w14:textId="77777777" w:rsidR="00EB728C" w:rsidRPr="007B269E" w:rsidRDefault="00EB728C" w:rsidP="00EB728C">
            <w:pPr>
              <w:pStyle w:val="ListParagraph"/>
              <w:widowControl/>
              <w:numPr>
                <w:ilvl w:val="0"/>
                <w:numId w:val="52"/>
              </w:numPr>
              <w:autoSpaceDE/>
              <w:autoSpaceDN/>
              <w:adjustRightInd/>
              <w:spacing w:after="0"/>
              <w:ind w:left="161" w:hanging="142"/>
              <w:rPr>
                <w:rStyle w:val="Hyperlink"/>
                <w:rFonts w:asciiTheme="minorHAnsi" w:hAnsiTheme="minorHAnsi" w:cstheme="minorHAnsi"/>
                <w:sz w:val="18"/>
              </w:rPr>
            </w:pPr>
            <w:r w:rsidRPr="007B269E">
              <w:rPr>
                <w:rStyle w:val="Hyperlink"/>
                <w:rFonts w:asciiTheme="minorHAnsi" w:hAnsiTheme="minorHAnsi" w:cstheme="minorHAnsi"/>
                <w:sz w:val="18"/>
              </w:rPr>
              <w:t xml:space="preserve">OTA, 2010, </w:t>
            </w:r>
            <w:r w:rsidRPr="007B269E">
              <w:rPr>
                <w:rStyle w:val="Hyperlink"/>
                <w:rFonts w:asciiTheme="minorHAnsi" w:hAnsiTheme="minorHAnsi" w:cstheme="minorHAnsi"/>
                <w:i/>
                <w:sz w:val="18"/>
              </w:rPr>
              <w:t>‘National Protocol for Donation after Cardiac Death’</w:t>
            </w:r>
            <w:r w:rsidRPr="007B269E">
              <w:rPr>
                <w:rStyle w:val="Hyperlink"/>
                <w:rFonts w:asciiTheme="minorHAnsi" w:hAnsiTheme="minorHAnsi" w:cstheme="minorHAnsi"/>
                <w:sz w:val="18"/>
              </w:rPr>
              <w:t>, July 2010</w:t>
            </w:r>
          </w:p>
          <w:p w14:paraId="656958DC" w14:textId="77777777" w:rsidR="00EB728C" w:rsidRPr="007B269E" w:rsidRDefault="00EB728C" w:rsidP="00EB728C">
            <w:pPr>
              <w:pStyle w:val="ListParagraph"/>
              <w:widowControl/>
              <w:numPr>
                <w:ilvl w:val="0"/>
                <w:numId w:val="52"/>
              </w:numPr>
              <w:autoSpaceDE/>
              <w:autoSpaceDN/>
              <w:adjustRightInd/>
              <w:spacing w:after="0"/>
              <w:ind w:left="161" w:hanging="142"/>
              <w:rPr>
                <w:rFonts w:asciiTheme="minorHAnsi" w:hAnsiTheme="minorHAnsi" w:cstheme="minorHAnsi"/>
                <w:sz w:val="18"/>
              </w:rPr>
            </w:pPr>
            <w:r w:rsidRPr="007B269E">
              <w:rPr>
                <w:rStyle w:val="Hyperlink"/>
                <w:rFonts w:asciiTheme="minorHAnsi" w:hAnsiTheme="minorHAnsi" w:cstheme="minorHAnsi"/>
                <w:sz w:val="18"/>
              </w:rPr>
              <w:t xml:space="preserve">OTA, 2017, </w:t>
            </w:r>
            <w:r w:rsidRPr="007B269E">
              <w:rPr>
                <w:rStyle w:val="Hyperlink"/>
                <w:rFonts w:asciiTheme="minorHAnsi" w:hAnsiTheme="minorHAnsi" w:cstheme="minorHAnsi"/>
                <w:i/>
                <w:sz w:val="18"/>
              </w:rPr>
              <w:t>‘Best Practice Guideline for Offering Organ and Tissue Donation in Australia’</w:t>
            </w:r>
            <w:r w:rsidRPr="007B269E">
              <w:rPr>
                <w:rStyle w:val="Hyperlink"/>
                <w:rFonts w:asciiTheme="minorHAnsi" w:hAnsiTheme="minorHAnsi" w:cstheme="minorHAnsi"/>
                <w:sz w:val="18"/>
              </w:rPr>
              <w:t>, June 2017</w:t>
            </w:r>
          </w:p>
          <w:p w14:paraId="1582DD05" w14:textId="77777777" w:rsidR="00EB728C" w:rsidRPr="007B269E" w:rsidRDefault="00EB728C" w:rsidP="00EB728C">
            <w:pPr>
              <w:pStyle w:val="ListParagraph"/>
              <w:widowControl/>
              <w:numPr>
                <w:ilvl w:val="0"/>
                <w:numId w:val="52"/>
              </w:numPr>
              <w:autoSpaceDE/>
              <w:autoSpaceDN/>
              <w:adjustRightInd/>
              <w:spacing w:after="0"/>
              <w:ind w:left="161" w:hanging="142"/>
              <w:rPr>
                <w:rFonts w:asciiTheme="minorHAnsi" w:hAnsiTheme="minorHAnsi" w:cstheme="minorHAnsi"/>
                <w:sz w:val="18"/>
              </w:rPr>
            </w:pPr>
            <w:r w:rsidRPr="007B269E">
              <w:rPr>
                <w:rFonts w:asciiTheme="minorHAnsi" w:hAnsiTheme="minorHAnsi" w:cstheme="minorHAnsi"/>
                <w:sz w:val="18"/>
              </w:rPr>
              <w:t xml:space="preserve">TSANZ, 2017, </w:t>
            </w:r>
            <w:r w:rsidRPr="007B269E">
              <w:rPr>
                <w:rFonts w:asciiTheme="minorHAnsi" w:hAnsiTheme="minorHAnsi" w:cstheme="minorHAnsi"/>
                <w:i/>
                <w:sz w:val="18"/>
              </w:rPr>
              <w:t>‘Clinical Guidelines for Organ Transplantation from Deceased Donors’</w:t>
            </w:r>
            <w:r w:rsidRPr="007B269E">
              <w:rPr>
                <w:rFonts w:asciiTheme="minorHAnsi" w:hAnsiTheme="minorHAnsi" w:cstheme="minorHAnsi"/>
                <w:sz w:val="18"/>
              </w:rPr>
              <w:t>, May 2017 Version 1.1</w:t>
            </w:r>
          </w:p>
          <w:p w14:paraId="5865CE46" w14:textId="77777777" w:rsidR="00EB728C" w:rsidRPr="007B269E" w:rsidRDefault="00EB728C" w:rsidP="00EB728C">
            <w:pPr>
              <w:pStyle w:val="ListParagraph"/>
              <w:widowControl/>
              <w:numPr>
                <w:ilvl w:val="0"/>
                <w:numId w:val="52"/>
              </w:numPr>
              <w:autoSpaceDE/>
              <w:autoSpaceDN/>
              <w:adjustRightInd/>
              <w:spacing w:after="0"/>
              <w:ind w:left="161" w:hanging="142"/>
              <w:rPr>
                <w:rFonts w:asciiTheme="minorHAnsi" w:hAnsiTheme="minorHAnsi" w:cstheme="minorHAnsi"/>
                <w:b/>
                <w:sz w:val="18"/>
              </w:rPr>
            </w:pPr>
            <w:r w:rsidRPr="007B269E">
              <w:rPr>
                <w:rFonts w:asciiTheme="minorHAnsi" w:hAnsiTheme="minorHAnsi" w:cstheme="minorHAnsi"/>
                <w:sz w:val="18"/>
              </w:rPr>
              <w:t>OTA, 2016, ‘Australian</w:t>
            </w:r>
            <w:r w:rsidRPr="007B269E">
              <w:rPr>
                <w:rFonts w:asciiTheme="minorHAnsi" w:hAnsiTheme="minorHAnsi" w:cstheme="minorHAnsi"/>
                <w:i/>
                <w:sz w:val="18"/>
              </w:rPr>
              <w:t xml:space="preserve"> Vigilance and Surveillance Framework for Program Donation for Transplantation,’ </w:t>
            </w:r>
            <w:r w:rsidRPr="007B269E">
              <w:rPr>
                <w:rFonts w:asciiTheme="minorHAnsi" w:hAnsiTheme="minorHAnsi" w:cstheme="minorHAnsi"/>
                <w:sz w:val="18"/>
              </w:rPr>
              <w:t>September 2016</w:t>
            </w:r>
            <w:r w:rsidRPr="007B269E">
              <w:rPr>
                <w:rFonts w:asciiTheme="minorHAnsi" w:hAnsiTheme="minorHAnsi" w:cstheme="minorHAnsi"/>
                <w:i/>
                <w:sz w:val="18"/>
              </w:rPr>
              <w:t xml:space="preserve">, </w:t>
            </w:r>
            <w:r w:rsidRPr="007B269E">
              <w:rPr>
                <w:rFonts w:asciiTheme="minorHAnsi" w:hAnsiTheme="minorHAnsi" w:cstheme="minorHAnsi"/>
                <w:sz w:val="18"/>
              </w:rPr>
              <w:t>Version 1.0</w:t>
            </w:r>
            <w:r w:rsidRPr="007B269E">
              <w:rPr>
                <w:rStyle w:val="Hyperlink"/>
                <w:rFonts w:asciiTheme="minorHAnsi" w:hAnsiTheme="minorHAnsi" w:cstheme="minorHAnsi"/>
                <w:sz w:val="18"/>
              </w:rPr>
              <w:t>ATCA Guidelines 4</w:t>
            </w:r>
            <w:r w:rsidRPr="007B269E">
              <w:rPr>
                <w:rStyle w:val="Hyperlink"/>
                <w:rFonts w:asciiTheme="minorHAnsi" w:hAnsiTheme="minorHAnsi" w:cstheme="minorHAnsi"/>
                <w:sz w:val="18"/>
                <w:vertAlign w:val="superscript"/>
              </w:rPr>
              <w:t>th</w:t>
            </w:r>
            <w:r w:rsidRPr="007B269E">
              <w:rPr>
                <w:rStyle w:val="Hyperlink"/>
                <w:rFonts w:asciiTheme="minorHAnsi" w:hAnsiTheme="minorHAnsi" w:cstheme="minorHAnsi"/>
                <w:sz w:val="18"/>
              </w:rPr>
              <w:t xml:space="preserve"> Edition 2008</w:t>
            </w:r>
          </w:p>
        </w:tc>
        <w:tc>
          <w:tcPr>
            <w:tcW w:w="536" w:type="pct"/>
            <w:tcBorders>
              <w:bottom w:val="nil"/>
            </w:tcBorders>
            <w:shd w:val="clear" w:color="auto" w:fill="FFFFFF" w:themeFill="background1"/>
          </w:tcPr>
          <w:p w14:paraId="54A73BE1" w14:textId="77777777" w:rsidR="00EB728C" w:rsidRPr="007B269E" w:rsidRDefault="00EB728C" w:rsidP="00EB728C">
            <w:pPr>
              <w:pStyle w:val="ListParagraph"/>
              <w:widowControl/>
              <w:numPr>
                <w:ilvl w:val="0"/>
                <w:numId w:val="52"/>
              </w:numPr>
              <w:autoSpaceDE/>
              <w:autoSpaceDN/>
              <w:adjustRightInd/>
              <w:spacing w:after="0"/>
              <w:ind w:left="175" w:hanging="142"/>
              <w:rPr>
                <w:rFonts w:asciiTheme="minorHAnsi" w:hAnsiTheme="minorHAnsi" w:cstheme="minorHAnsi"/>
                <w:sz w:val="18"/>
              </w:rPr>
            </w:pPr>
            <w:r w:rsidRPr="007B269E">
              <w:rPr>
                <w:rFonts w:asciiTheme="minorHAnsi" w:hAnsiTheme="minorHAnsi" w:cstheme="minorHAnsi"/>
                <w:sz w:val="18"/>
              </w:rPr>
              <w:t xml:space="preserve">TSANZ, 2017, </w:t>
            </w:r>
            <w:r w:rsidRPr="007B269E">
              <w:rPr>
                <w:rFonts w:asciiTheme="minorHAnsi" w:hAnsiTheme="minorHAnsi" w:cstheme="minorHAnsi"/>
                <w:i/>
                <w:sz w:val="18"/>
              </w:rPr>
              <w:t>‘Clinical Guidelines for Organ Transplantation from Deceased Donors’</w:t>
            </w:r>
            <w:r w:rsidRPr="007B269E">
              <w:rPr>
                <w:rFonts w:asciiTheme="minorHAnsi" w:hAnsiTheme="minorHAnsi" w:cstheme="minorHAnsi"/>
                <w:sz w:val="18"/>
              </w:rPr>
              <w:t>, May 2017 Version 1.1 (Appendices - algorithms  payback)</w:t>
            </w:r>
          </w:p>
          <w:p w14:paraId="2EB10885" w14:textId="77777777" w:rsidR="00EB728C" w:rsidRPr="007B269E" w:rsidRDefault="00EB728C" w:rsidP="00EB728C">
            <w:pPr>
              <w:pStyle w:val="ListParagraph"/>
              <w:widowControl/>
              <w:numPr>
                <w:ilvl w:val="0"/>
                <w:numId w:val="52"/>
              </w:numPr>
              <w:autoSpaceDE/>
              <w:autoSpaceDN/>
              <w:adjustRightInd/>
              <w:spacing w:after="0"/>
              <w:ind w:left="175" w:hanging="142"/>
              <w:rPr>
                <w:rFonts w:asciiTheme="minorHAnsi" w:hAnsiTheme="minorHAnsi" w:cstheme="minorHAnsi"/>
                <w:b/>
                <w:sz w:val="18"/>
              </w:rPr>
            </w:pPr>
            <w:r w:rsidRPr="007B269E">
              <w:rPr>
                <w:rFonts w:asciiTheme="minorHAnsi" w:hAnsiTheme="minorHAnsi" w:cstheme="minorHAnsi"/>
                <w:sz w:val="18"/>
              </w:rPr>
              <w:t xml:space="preserve">ATCA, 2017, </w:t>
            </w:r>
            <w:r w:rsidRPr="007B269E">
              <w:rPr>
                <w:rFonts w:asciiTheme="minorHAnsi" w:hAnsiTheme="minorHAnsi" w:cstheme="minorHAnsi"/>
                <w:i/>
                <w:sz w:val="18"/>
              </w:rPr>
              <w:t>‘National Standard Operating Procedures – Organ Allocation, Organ Rotation, Urgent Listing, Auditing Process’</w:t>
            </w:r>
            <w:r w:rsidRPr="007B269E">
              <w:rPr>
                <w:rFonts w:asciiTheme="minorHAnsi" w:hAnsiTheme="minorHAnsi" w:cstheme="minorHAnsi"/>
                <w:sz w:val="18"/>
              </w:rPr>
              <w:t>, Version 2.1 ATCA-TSANZ SOP 001/2017</w:t>
            </w:r>
          </w:p>
        </w:tc>
        <w:tc>
          <w:tcPr>
            <w:tcW w:w="537" w:type="pct"/>
            <w:tcBorders>
              <w:bottom w:val="nil"/>
            </w:tcBorders>
            <w:shd w:val="clear" w:color="auto" w:fill="FFFFFF" w:themeFill="background1"/>
          </w:tcPr>
          <w:p w14:paraId="58A0B1BA" w14:textId="77777777" w:rsidR="00EB728C" w:rsidRPr="007B269E" w:rsidRDefault="00EB728C" w:rsidP="00EB728C">
            <w:pPr>
              <w:pStyle w:val="ListParagraph"/>
              <w:widowControl/>
              <w:numPr>
                <w:ilvl w:val="0"/>
                <w:numId w:val="52"/>
              </w:numPr>
              <w:autoSpaceDE/>
              <w:autoSpaceDN/>
              <w:adjustRightInd/>
              <w:spacing w:after="0"/>
              <w:ind w:left="176" w:hanging="142"/>
              <w:rPr>
                <w:rFonts w:asciiTheme="minorHAnsi" w:hAnsiTheme="minorHAnsi" w:cstheme="minorHAnsi"/>
                <w:sz w:val="18"/>
              </w:rPr>
            </w:pPr>
            <w:r w:rsidRPr="007B269E">
              <w:rPr>
                <w:rFonts w:asciiTheme="minorHAnsi" w:hAnsiTheme="minorHAnsi" w:cstheme="minorHAnsi"/>
                <w:sz w:val="18"/>
              </w:rPr>
              <w:t xml:space="preserve">NHMRC, 2016, </w:t>
            </w:r>
            <w:r w:rsidRPr="007B269E">
              <w:rPr>
                <w:rFonts w:asciiTheme="minorHAnsi" w:hAnsiTheme="minorHAnsi" w:cstheme="minorHAnsi"/>
                <w:i/>
                <w:sz w:val="18"/>
              </w:rPr>
              <w:t>‘Ethical Guidelines for Organ Transplantation from Deceased Donors’</w:t>
            </w:r>
            <w:r w:rsidRPr="007B269E">
              <w:rPr>
                <w:rFonts w:asciiTheme="minorHAnsi" w:hAnsiTheme="minorHAnsi" w:cstheme="minorHAnsi"/>
                <w:sz w:val="18"/>
              </w:rPr>
              <w:t>, 2016 Version 1.0</w:t>
            </w:r>
          </w:p>
          <w:p w14:paraId="27CF1D7D" w14:textId="77777777" w:rsidR="00EB728C" w:rsidRPr="007B269E" w:rsidRDefault="00EB728C" w:rsidP="00EB728C">
            <w:pPr>
              <w:pStyle w:val="ListParagraph"/>
              <w:widowControl/>
              <w:numPr>
                <w:ilvl w:val="0"/>
                <w:numId w:val="52"/>
              </w:numPr>
              <w:autoSpaceDE/>
              <w:autoSpaceDN/>
              <w:adjustRightInd/>
              <w:spacing w:after="0"/>
              <w:ind w:left="176" w:hanging="142"/>
              <w:rPr>
                <w:rFonts w:asciiTheme="minorHAnsi" w:hAnsiTheme="minorHAnsi" w:cstheme="minorHAnsi"/>
                <w:b/>
                <w:sz w:val="18"/>
              </w:rPr>
            </w:pPr>
            <w:r w:rsidRPr="007B269E">
              <w:rPr>
                <w:rFonts w:asciiTheme="minorHAnsi" w:hAnsiTheme="minorHAnsi" w:cstheme="minorHAnsi"/>
                <w:sz w:val="18"/>
              </w:rPr>
              <w:t xml:space="preserve">ATCA, 2017, </w:t>
            </w:r>
            <w:r w:rsidRPr="007B269E">
              <w:rPr>
                <w:rFonts w:asciiTheme="minorHAnsi" w:hAnsiTheme="minorHAnsi" w:cstheme="minorHAnsi"/>
                <w:i/>
                <w:sz w:val="18"/>
              </w:rPr>
              <w:t>‘National Standard Operating Procedures – Organ Allocation, Organ Rotation, Urgent Listing, Auditing Process’</w:t>
            </w:r>
            <w:r w:rsidRPr="007B269E">
              <w:rPr>
                <w:rFonts w:asciiTheme="minorHAnsi" w:hAnsiTheme="minorHAnsi" w:cstheme="minorHAnsi"/>
                <w:sz w:val="18"/>
              </w:rPr>
              <w:t>, Version 2.1 ATCA-TSANZ SOP 001/2017</w:t>
            </w:r>
          </w:p>
        </w:tc>
        <w:tc>
          <w:tcPr>
            <w:tcW w:w="536" w:type="pct"/>
            <w:tcBorders>
              <w:bottom w:val="nil"/>
            </w:tcBorders>
            <w:shd w:val="clear" w:color="auto" w:fill="FFFFFF" w:themeFill="background1"/>
          </w:tcPr>
          <w:p w14:paraId="4FAB13FC" w14:textId="77777777" w:rsidR="00EB728C" w:rsidRPr="007B269E" w:rsidRDefault="00EB728C" w:rsidP="00EB728C">
            <w:pPr>
              <w:pStyle w:val="ListParagraph"/>
              <w:numPr>
                <w:ilvl w:val="0"/>
                <w:numId w:val="56"/>
              </w:numPr>
              <w:spacing w:after="0"/>
              <w:ind w:left="174" w:hanging="174"/>
              <w:rPr>
                <w:rFonts w:asciiTheme="minorHAnsi" w:hAnsiTheme="minorHAnsi" w:cstheme="minorHAnsi"/>
                <w:b/>
                <w:sz w:val="18"/>
              </w:rPr>
            </w:pPr>
            <w:r w:rsidRPr="007B269E">
              <w:rPr>
                <w:rFonts w:asciiTheme="minorHAnsi" w:hAnsiTheme="minorHAnsi" w:cstheme="minorHAnsi"/>
                <w:sz w:val="18"/>
              </w:rPr>
              <w:t xml:space="preserve">ATCA, 2017, </w:t>
            </w:r>
            <w:r w:rsidRPr="007B269E">
              <w:rPr>
                <w:rFonts w:asciiTheme="minorHAnsi" w:hAnsiTheme="minorHAnsi" w:cstheme="minorHAnsi"/>
                <w:i/>
                <w:sz w:val="18"/>
              </w:rPr>
              <w:t>‘National Standard Operating Procedures – Organ Allocation, Organ Rotation, Urgent Listing, Auditing Process’</w:t>
            </w:r>
            <w:r w:rsidRPr="007B269E">
              <w:rPr>
                <w:rFonts w:asciiTheme="minorHAnsi" w:hAnsiTheme="minorHAnsi" w:cstheme="minorHAnsi"/>
                <w:sz w:val="18"/>
              </w:rPr>
              <w:t>, Version 2.1 ATCA-TSANZ SOP 001/2017</w:t>
            </w:r>
          </w:p>
        </w:tc>
        <w:tc>
          <w:tcPr>
            <w:tcW w:w="585" w:type="pct"/>
            <w:tcBorders>
              <w:bottom w:val="nil"/>
            </w:tcBorders>
            <w:shd w:val="clear" w:color="auto" w:fill="FFFFFF" w:themeFill="background1"/>
          </w:tcPr>
          <w:p w14:paraId="712A80A3" w14:textId="77777777" w:rsidR="00EB728C" w:rsidRPr="007B269E" w:rsidRDefault="00EB728C" w:rsidP="00EB728C">
            <w:pPr>
              <w:pStyle w:val="ListParagraph"/>
              <w:widowControl/>
              <w:numPr>
                <w:ilvl w:val="0"/>
                <w:numId w:val="52"/>
              </w:numPr>
              <w:autoSpaceDE/>
              <w:autoSpaceDN/>
              <w:adjustRightInd/>
              <w:spacing w:after="0"/>
              <w:ind w:left="172" w:hanging="142"/>
              <w:rPr>
                <w:rFonts w:asciiTheme="minorHAnsi" w:hAnsiTheme="minorHAnsi" w:cstheme="minorHAnsi"/>
                <w:strike/>
                <w:sz w:val="18"/>
              </w:rPr>
            </w:pPr>
            <w:r w:rsidRPr="007B269E">
              <w:rPr>
                <w:rFonts w:asciiTheme="minorHAnsi" w:hAnsiTheme="minorHAnsi" w:cstheme="minorHAnsi"/>
                <w:sz w:val="18"/>
              </w:rPr>
              <w:t>TSANZ, 2017,</w:t>
            </w:r>
            <w:r w:rsidRPr="007B269E">
              <w:rPr>
                <w:rFonts w:asciiTheme="minorHAnsi" w:hAnsiTheme="minorHAnsi" w:cstheme="minorHAnsi"/>
                <w:i/>
                <w:sz w:val="18"/>
              </w:rPr>
              <w:t>’Guidelines for Hospitals to Assist Credentialing of Transplant Surgeons in Australia and New Zealand,’</w:t>
            </w:r>
            <w:r w:rsidRPr="007B269E">
              <w:rPr>
                <w:rFonts w:asciiTheme="minorHAnsi" w:hAnsiTheme="minorHAnsi" w:cstheme="minorHAnsi"/>
                <w:sz w:val="18"/>
              </w:rPr>
              <w:t xml:space="preserve"> Version 1.01.0,May 2017</w:t>
            </w:r>
          </w:p>
          <w:p w14:paraId="0695E21B" w14:textId="77777777" w:rsidR="00EB728C" w:rsidRPr="007B269E" w:rsidRDefault="00EB728C" w:rsidP="00EB728C">
            <w:pPr>
              <w:pStyle w:val="ListParagraph"/>
              <w:widowControl/>
              <w:numPr>
                <w:ilvl w:val="0"/>
                <w:numId w:val="52"/>
              </w:numPr>
              <w:autoSpaceDE/>
              <w:autoSpaceDN/>
              <w:adjustRightInd/>
              <w:spacing w:after="0"/>
              <w:ind w:left="172" w:hanging="142"/>
              <w:rPr>
                <w:rFonts w:asciiTheme="minorHAnsi" w:hAnsiTheme="minorHAnsi" w:cstheme="minorHAnsi"/>
                <w:strike/>
                <w:sz w:val="18"/>
              </w:rPr>
            </w:pPr>
            <w:r w:rsidRPr="007B269E">
              <w:rPr>
                <w:rFonts w:asciiTheme="minorHAnsi" w:hAnsiTheme="minorHAnsi" w:cstheme="minorHAnsi"/>
                <w:sz w:val="18"/>
              </w:rPr>
              <w:t xml:space="preserve">ATCA, 2016, </w:t>
            </w:r>
            <w:r w:rsidRPr="007B269E">
              <w:rPr>
                <w:rFonts w:asciiTheme="minorHAnsi" w:hAnsiTheme="minorHAnsi" w:cstheme="minorHAnsi"/>
                <w:i/>
                <w:sz w:val="18"/>
              </w:rPr>
              <w:t>‘National Standard Operating Procedures – Packaging, Labelling, Storage and Documentation of Deceased Vessels,’</w:t>
            </w:r>
            <w:r w:rsidRPr="007B269E">
              <w:rPr>
                <w:rFonts w:asciiTheme="minorHAnsi" w:hAnsiTheme="minorHAnsi" w:cstheme="minorHAnsi"/>
                <w:sz w:val="18"/>
              </w:rPr>
              <w:t xml:space="preserve"> Version 2.0, 2016 ATCA-TSANZ SOP 003/2016</w:t>
            </w:r>
          </w:p>
          <w:p w14:paraId="3F0FE712" w14:textId="77777777" w:rsidR="00EB728C" w:rsidRPr="007B269E" w:rsidRDefault="00EB728C" w:rsidP="00EB728C">
            <w:pPr>
              <w:pStyle w:val="ListParagraph"/>
              <w:widowControl/>
              <w:numPr>
                <w:ilvl w:val="0"/>
                <w:numId w:val="52"/>
              </w:numPr>
              <w:autoSpaceDE/>
              <w:autoSpaceDN/>
              <w:adjustRightInd/>
              <w:spacing w:after="0"/>
              <w:ind w:left="172" w:hanging="142"/>
              <w:rPr>
                <w:rFonts w:asciiTheme="minorHAnsi" w:hAnsiTheme="minorHAnsi" w:cstheme="minorHAnsi"/>
                <w:b/>
                <w:sz w:val="18"/>
              </w:rPr>
            </w:pPr>
            <w:r w:rsidRPr="007B269E">
              <w:rPr>
                <w:rStyle w:val="Hyperlink"/>
                <w:rFonts w:asciiTheme="minorHAnsi" w:hAnsiTheme="minorHAnsi" w:cstheme="minorHAnsi"/>
                <w:sz w:val="18"/>
              </w:rPr>
              <w:t>ATCA Guidelines 4</w:t>
            </w:r>
            <w:r w:rsidRPr="007B269E">
              <w:rPr>
                <w:rStyle w:val="Hyperlink"/>
                <w:rFonts w:asciiTheme="minorHAnsi" w:hAnsiTheme="minorHAnsi" w:cstheme="minorHAnsi"/>
                <w:sz w:val="18"/>
                <w:vertAlign w:val="superscript"/>
              </w:rPr>
              <w:t>th</w:t>
            </w:r>
            <w:r w:rsidRPr="007B269E">
              <w:rPr>
                <w:rStyle w:val="Hyperlink"/>
                <w:rFonts w:asciiTheme="minorHAnsi" w:hAnsiTheme="minorHAnsi" w:cstheme="minorHAnsi"/>
                <w:sz w:val="18"/>
              </w:rPr>
              <w:t xml:space="preserve"> Edition 2008</w:t>
            </w:r>
          </w:p>
        </w:tc>
        <w:tc>
          <w:tcPr>
            <w:tcW w:w="585" w:type="pct"/>
            <w:tcBorders>
              <w:bottom w:val="nil"/>
            </w:tcBorders>
            <w:shd w:val="clear" w:color="auto" w:fill="FFFFFF" w:themeFill="background1"/>
          </w:tcPr>
          <w:p w14:paraId="60207F65" w14:textId="77777777" w:rsidR="00EB728C" w:rsidRPr="007B269E" w:rsidRDefault="00EB728C" w:rsidP="00EB728C">
            <w:pPr>
              <w:pStyle w:val="ListParagraph"/>
              <w:widowControl/>
              <w:numPr>
                <w:ilvl w:val="0"/>
                <w:numId w:val="52"/>
              </w:numPr>
              <w:autoSpaceDE/>
              <w:autoSpaceDN/>
              <w:adjustRightInd/>
              <w:spacing w:after="0"/>
              <w:ind w:left="175" w:hanging="142"/>
              <w:rPr>
                <w:rFonts w:asciiTheme="minorHAnsi" w:hAnsiTheme="minorHAnsi" w:cstheme="minorHAnsi"/>
                <w:sz w:val="18"/>
              </w:rPr>
            </w:pPr>
            <w:r w:rsidRPr="007B269E">
              <w:rPr>
                <w:rFonts w:asciiTheme="minorHAnsi" w:hAnsiTheme="minorHAnsi" w:cstheme="minorHAnsi"/>
                <w:sz w:val="18"/>
              </w:rPr>
              <w:t xml:space="preserve">ATCA, 2016, </w:t>
            </w:r>
            <w:r w:rsidRPr="007B269E">
              <w:rPr>
                <w:rFonts w:asciiTheme="minorHAnsi" w:hAnsiTheme="minorHAnsi" w:cstheme="minorHAnsi"/>
                <w:i/>
                <w:sz w:val="18"/>
              </w:rPr>
              <w:t>‘National Standard Operating Procedures – Packaging, Labelling, Storage and Documentation of Deceased Vessels,’</w:t>
            </w:r>
            <w:r w:rsidRPr="007B269E">
              <w:rPr>
                <w:rFonts w:asciiTheme="minorHAnsi" w:hAnsiTheme="minorHAnsi" w:cstheme="minorHAnsi"/>
                <w:sz w:val="18"/>
              </w:rPr>
              <w:t xml:space="preserve"> Version 2.0, 2016 ATCA-TSANZ SOP 003/2016</w:t>
            </w:r>
          </w:p>
          <w:p w14:paraId="59C42812" w14:textId="77777777" w:rsidR="00EB728C" w:rsidRPr="007B269E" w:rsidRDefault="00EB728C" w:rsidP="00EB728C">
            <w:pPr>
              <w:pStyle w:val="ListParagraph"/>
              <w:widowControl/>
              <w:numPr>
                <w:ilvl w:val="0"/>
                <w:numId w:val="52"/>
              </w:numPr>
              <w:autoSpaceDE/>
              <w:autoSpaceDN/>
              <w:adjustRightInd/>
              <w:spacing w:after="0"/>
              <w:ind w:left="175" w:hanging="175"/>
              <w:rPr>
                <w:rFonts w:asciiTheme="minorHAnsi" w:hAnsiTheme="minorHAnsi" w:cstheme="minorHAnsi"/>
                <w:b/>
                <w:sz w:val="18"/>
              </w:rPr>
            </w:pPr>
            <w:r w:rsidRPr="007B269E">
              <w:rPr>
                <w:rStyle w:val="Hyperlink"/>
                <w:rFonts w:asciiTheme="minorHAnsi" w:hAnsiTheme="minorHAnsi" w:cstheme="minorHAnsi"/>
                <w:sz w:val="18"/>
              </w:rPr>
              <w:t>ATCA Guidelines 4</w:t>
            </w:r>
            <w:r w:rsidRPr="007B269E">
              <w:rPr>
                <w:rStyle w:val="Hyperlink"/>
                <w:rFonts w:asciiTheme="minorHAnsi" w:hAnsiTheme="minorHAnsi" w:cstheme="minorHAnsi"/>
                <w:sz w:val="18"/>
                <w:vertAlign w:val="superscript"/>
              </w:rPr>
              <w:t>th</w:t>
            </w:r>
            <w:r w:rsidRPr="007B269E">
              <w:rPr>
                <w:rStyle w:val="Hyperlink"/>
                <w:rFonts w:asciiTheme="minorHAnsi" w:hAnsiTheme="minorHAnsi" w:cstheme="minorHAnsi"/>
                <w:sz w:val="18"/>
              </w:rPr>
              <w:t xml:space="preserve"> Edition 2008</w:t>
            </w:r>
            <w:r w:rsidRPr="007B269E">
              <w:rPr>
                <w:rFonts w:asciiTheme="minorHAnsi" w:hAnsiTheme="minorHAnsi" w:cstheme="minorHAnsi"/>
                <w:sz w:val="18"/>
              </w:rPr>
              <w:t>TSANZ, 2017,</w:t>
            </w:r>
            <w:r w:rsidRPr="007B269E">
              <w:rPr>
                <w:rFonts w:asciiTheme="minorHAnsi" w:hAnsiTheme="minorHAnsi" w:cstheme="minorHAnsi"/>
                <w:i/>
                <w:sz w:val="18"/>
              </w:rPr>
              <w:t>’Guidelines for Hospitals to Assist Credentialing of Transplant Surgeons in Australia and New Zealand,’</w:t>
            </w:r>
            <w:r w:rsidRPr="007B269E">
              <w:rPr>
                <w:rFonts w:asciiTheme="minorHAnsi" w:hAnsiTheme="minorHAnsi" w:cstheme="minorHAnsi"/>
                <w:sz w:val="18"/>
              </w:rPr>
              <w:t xml:space="preserve"> Version 1.0, May 2017</w:t>
            </w:r>
          </w:p>
        </w:tc>
        <w:tc>
          <w:tcPr>
            <w:tcW w:w="370" w:type="pct"/>
            <w:tcBorders>
              <w:bottom w:val="nil"/>
            </w:tcBorders>
            <w:shd w:val="clear" w:color="auto" w:fill="FFFFFF" w:themeFill="background1"/>
          </w:tcPr>
          <w:p w14:paraId="55422755" w14:textId="77777777" w:rsidR="00EB728C" w:rsidRPr="007B269E" w:rsidRDefault="00EB728C" w:rsidP="003B3300">
            <w:pPr>
              <w:spacing w:after="0"/>
              <w:rPr>
                <w:rFonts w:asciiTheme="minorHAnsi" w:hAnsiTheme="minorHAnsi" w:cstheme="minorHAnsi"/>
                <w:sz w:val="18"/>
              </w:rPr>
            </w:pPr>
            <w:r w:rsidRPr="007B269E">
              <w:rPr>
                <w:rFonts w:asciiTheme="minorHAnsi" w:hAnsiTheme="minorHAnsi" w:cstheme="minorHAnsi"/>
                <w:sz w:val="18"/>
              </w:rPr>
              <w:t>-</w:t>
            </w:r>
          </w:p>
        </w:tc>
      </w:tr>
    </w:tbl>
    <w:tbl>
      <w:tblPr>
        <w:tblStyle w:val="TableGrid"/>
        <w:tblpPr w:leftFromText="180" w:rightFromText="180" w:vertAnchor="text" w:tblpY="-1439"/>
        <w:tblW w:w="5000" w:type="pct"/>
        <w:tblLayout w:type="fixed"/>
        <w:tblLook w:val="04A0" w:firstRow="1" w:lastRow="0" w:firstColumn="1" w:lastColumn="0" w:noHBand="0" w:noVBand="1"/>
        <w:tblCaption w:val="Appendix D, the guidelines, standard operating procedures and governance structure for each element of donation, retrieval and transplantation"/>
      </w:tblPr>
      <w:tblGrid>
        <w:gridCol w:w="422"/>
        <w:gridCol w:w="1643"/>
        <w:gridCol w:w="1468"/>
        <w:gridCol w:w="1468"/>
        <w:gridCol w:w="1468"/>
        <w:gridCol w:w="1468"/>
        <w:gridCol w:w="1840"/>
        <w:gridCol w:w="1986"/>
        <w:gridCol w:w="2774"/>
      </w:tblGrid>
      <w:tr w:rsidR="00EB728C" w:rsidRPr="00FA1F63" w14:paraId="6561AE28" w14:textId="77777777" w:rsidTr="001E0301">
        <w:trPr>
          <w:trHeight w:val="1408"/>
          <w:tblHeader/>
        </w:trPr>
        <w:tc>
          <w:tcPr>
            <w:tcW w:w="145" w:type="pct"/>
            <w:tcBorders>
              <w:top w:val="nil"/>
            </w:tcBorders>
            <w:shd w:val="clear" w:color="auto" w:fill="7F7F7F" w:themeFill="text1" w:themeFillTint="80"/>
          </w:tcPr>
          <w:p w14:paraId="58A6AF81" w14:textId="77777777" w:rsidR="00EB728C" w:rsidRPr="00025436" w:rsidRDefault="00EB728C" w:rsidP="003B3300">
            <w:pPr>
              <w:rPr>
                <w:rFonts w:asciiTheme="minorHAnsi" w:hAnsiTheme="minorHAnsi" w:cstheme="minorHAnsi"/>
                <w:b/>
                <w:color w:val="FFFFFF" w:themeColor="background1"/>
                <w:sz w:val="18"/>
              </w:rPr>
            </w:pPr>
          </w:p>
        </w:tc>
        <w:tc>
          <w:tcPr>
            <w:tcW w:w="565" w:type="pct"/>
            <w:tcBorders>
              <w:top w:val="nil"/>
            </w:tcBorders>
            <w:shd w:val="clear" w:color="auto" w:fill="7F7F7F" w:themeFill="text1" w:themeFillTint="80"/>
          </w:tcPr>
          <w:p w14:paraId="0DA7DA48" w14:textId="77777777" w:rsidR="00EB728C" w:rsidRPr="00025436" w:rsidRDefault="00EB728C" w:rsidP="003B3300">
            <w:pPr>
              <w:spacing w:after="0"/>
              <w:rPr>
                <w:rFonts w:asciiTheme="minorHAnsi" w:hAnsiTheme="minorHAnsi" w:cstheme="minorHAnsi"/>
                <w:b/>
                <w:color w:val="FFFFFF" w:themeColor="background1"/>
                <w:sz w:val="18"/>
                <w:u w:val="single"/>
              </w:rPr>
            </w:pPr>
            <w:r w:rsidRPr="00025436">
              <w:rPr>
                <w:rFonts w:asciiTheme="minorHAnsi" w:hAnsiTheme="minorHAnsi" w:cstheme="minorHAnsi"/>
                <w:b/>
                <w:color w:val="FFFFFF" w:themeColor="background1"/>
                <w:sz w:val="18"/>
                <w:u w:val="single"/>
              </w:rPr>
              <w:t>Element 1</w:t>
            </w:r>
          </w:p>
          <w:p w14:paraId="7B6DBDA4" w14:textId="77777777" w:rsidR="00EB728C" w:rsidRPr="00025436" w:rsidRDefault="00EB728C" w:rsidP="003B3300">
            <w:pPr>
              <w:spacing w:after="0"/>
              <w:rPr>
                <w:rFonts w:asciiTheme="minorHAnsi" w:hAnsiTheme="minorHAnsi" w:cstheme="minorHAnsi"/>
                <w:b/>
                <w:color w:val="FFFFFF" w:themeColor="background1"/>
                <w:sz w:val="18"/>
              </w:rPr>
            </w:pPr>
            <w:r w:rsidRPr="00025436">
              <w:rPr>
                <w:rFonts w:asciiTheme="minorHAnsi" w:hAnsiTheme="minorHAnsi" w:cstheme="minorHAnsi"/>
                <w:b/>
                <w:color w:val="FFFFFF" w:themeColor="background1"/>
                <w:sz w:val="18"/>
              </w:rPr>
              <w:t xml:space="preserve">Initial Assessment &amp; Waitlist Management </w:t>
            </w:r>
            <w:r w:rsidRPr="00025436">
              <w:rPr>
                <w:rFonts w:asciiTheme="minorHAnsi" w:hAnsiTheme="minorHAnsi" w:cstheme="minorHAnsi"/>
                <w:b/>
                <w:color w:val="FFFFFF" w:themeColor="background1"/>
                <w:sz w:val="18"/>
              </w:rPr>
              <w:br/>
              <w:t>(Potential Recipient)</w:t>
            </w:r>
          </w:p>
        </w:tc>
        <w:tc>
          <w:tcPr>
            <w:tcW w:w="505" w:type="pct"/>
            <w:tcBorders>
              <w:top w:val="nil"/>
            </w:tcBorders>
            <w:shd w:val="clear" w:color="auto" w:fill="7F7F7F" w:themeFill="text1" w:themeFillTint="80"/>
          </w:tcPr>
          <w:p w14:paraId="3C113357" w14:textId="77777777" w:rsidR="00EB728C" w:rsidRPr="00025436" w:rsidRDefault="00EB728C" w:rsidP="003B3300">
            <w:pPr>
              <w:spacing w:after="0"/>
              <w:rPr>
                <w:rFonts w:asciiTheme="minorHAnsi" w:hAnsiTheme="minorHAnsi" w:cstheme="minorHAnsi"/>
                <w:b/>
                <w:color w:val="FFFFFF" w:themeColor="background1"/>
                <w:sz w:val="18"/>
                <w:u w:val="single"/>
              </w:rPr>
            </w:pPr>
            <w:r w:rsidRPr="00025436">
              <w:rPr>
                <w:rFonts w:asciiTheme="minorHAnsi" w:hAnsiTheme="minorHAnsi" w:cstheme="minorHAnsi"/>
                <w:b/>
                <w:color w:val="FFFFFF" w:themeColor="background1"/>
                <w:sz w:val="18"/>
                <w:u w:val="single"/>
              </w:rPr>
              <w:t>Element 2</w:t>
            </w:r>
          </w:p>
          <w:p w14:paraId="7AEB66B2" w14:textId="77777777" w:rsidR="00EB728C" w:rsidRPr="00025436" w:rsidRDefault="00EB728C" w:rsidP="003B3300">
            <w:pPr>
              <w:spacing w:after="0"/>
              <w:rPr>
                <w:rFonts w:asciiTheme="minorHAnsi" w:hAnsiTheme="minorHAnsi" w:cstheme="minorHAnsi"/>
                <w:b/>
                <w:color w:val="FFFFFF" w:themeColor="background1"/>
                <w:sz w:val="18"/>
              </w:rPr>
            </w:pPr>
            <w:r w:rsidRPr="00025436">
              <w:rPr>
                <w:rFonts w:asciiTheme="minorHAnsi" w:hAnsiTheme="minorHAnsi" w:cstheme="minorHAnsi"/>
                <w:b/>
                <w:color w:val="FFFFFF" w:themeColor="background1"/>
                <w:sz w:val="18"/>
              </w:rPr>
              <w:t>Deceased Donation</w:t>
            </w:r>
            <w:r w:rsidRPr="00025436">
              <w:rPr>
                <w:rFonts w:asciiTheme="minorHAnsi" w:hAnsiTheme="minorHAnsi" w:cstheme="minorHAnsi"/>
                <w:b/>
                <w:color w:val="FFFFFF" w:themeColor="background1"/>
                <w:sz w:val="18"/>
              </w:rPr>
              <w:br/>
              <w:t>(Potential Donor)</w:t>
            </w:r>
          </w:p>
          <w:p w14:paraId="33CFAF8E" w14:textId="77777777" w:rsidR="00EB728C" w:rsidRPr="00025436" w:rsidRDefault="00EB728C" w:rsidP="003B3300">
            <w:pPr>
              <w:spacing w:after="0"/>
              <w:rPr>
                <w:rFonts w:asciiTheme="minorHAnsi" w:hAnsiTheme="minorHAnsi" w:cstheme="minorHAnsi"/>
                <w:b/>
                <w:color w:val="FFFFFF" w:themeColor="background1"/>
                <w:sz w:val="18"/>
              </w:rPr>
            </w:pPr>
          </w:p>
        </w:tc>
        <w:tc>
          <w:tcPr>
            <w:tcW w:w="505" w:type="pct"/>
            <w:tcBorders>
              <w:top w:val="nil"/>
            </w:tcBorders>
            <w:shd w:val="clear" w:color="auto" w:fill="7F7F7F" w:themeFill="text1" w:themeFillTint="80"/>
          </w:tcPr>
          <w:p w14:paraId="418E9BD9" w14:textId="77777777" w:rsidR="00EB728C" w:rsidRPr="00025436" w:rsidRDefault="00EB728C" w:rsidP="003B3300">
            <w:pPr>
              <w:spacing w:after="0"/>
              <w:rPr>
                <w:rFonts w:asciiTheme="minorHAnsi" w:hAnsiTheme="minorHAnsi" w:cstheme="minorHAnsi"/>
                <w:b/>
                <w:color w:val="FFFFFF" w:themeColor="background1"/>
                <w:sz w:val="18"/>
                <w:u w:val="single"/>
              </w:rPr>
            </w:pPr>
            <w:r w:rsidRPr="00025436">
              <w:rPr>
                <w:rFonts w:asciiTheme="minorHAnsi" w:hAnsiTheme="minorHAnsi" w:cstheme="minorHAnsi"/>
                <w:b/>
                <w:color w:val="FFFFFF" w:themeColor="background1"/>
                <w:sz w:val="18"/>
                <w:u w:val="single"/>
              </w:rPr>
              <w:t>Element 3</w:t>
            </w:r>
          </w:p>
          <w:p w14:paraId="16FDB5B1" w14:textId="77777777" w:rsidR="00EB728C" w:rsidRPr="00025436" w:rsidRDefault="00EB728C" w:rsidP="003B3300">
            <w:pPr>
              <w:spacing w:after="0"/>
              <w:rPr>
                <w:rFonts w:asciiTheme="minorHAnsi" w:hAnsiTheme="minorHAnsi" w:cstheme="minorHAnsi"/>
                <w:b/>
                <w:color w:val="FFFFFF" w:themeColor="background1"/>
                <w:sz w:val="18"/>
              </w:rPr>
            </w:pPr>
            <w:r w:rsidRPr="00025436">
              <w:rPr>
                <w:rFonts w:asciiTheme="minorHAnsi" w:hAnsiTheme="minorHAnsi" w:cstheme="minorHAnsi"/>
                <w:b/>
                <w:color w:val="FFFFFF" w:themeColor="background1"/>
                <w:sz w:val="18"/>
              </w:rPr>
              <w:t>Organ Allocation</w:t>
            </w:r>
          </w:p>
        </w:tc>
        <w:tc>
          <w:tcPr>
            <w:tcW w:w="505" w:type="pct"/>
            <w:tcBorders>
              <w:top w:val="nil"/>
            </w:tcBorders>
            <w:shd w:val="clear" w:color="auto" w:fill="7F7F7F" w:themeFill="text1" w:themeFillTint="80"/>
          </w:tcPr>
          <w:p w14:paraId="1E300352" w14:textId="77777777" w:rsidR="00EB728C" w:rsidRPr="00025436" w:rsidRDefault="00EB728C" w:rsidP="003B3300">
            <w:pPr>
              <w:spacing w:after="0"/>
              <w:rPr>
                <w:rFonts w:asciiTheme="minorHAnsi" w:hAnsiTheme="minorHAnsi" w:cstheme="minorHAnsi"/>
                <w:b/>
                <w:color w:val="FFFFFF" w:themeColor="background1"/>
                <w:sz w:val="18"/>
                <w:u w:val="single"/>
              </w:rPr>
            </w:pPr>
            <w:r w:rsidRPr="00025436">
              <w:rPr>
                <w:rFonts w:asciiTheme="minorHAnsi" w:hAnsiTheme="minorHAnsi" w:cstheme="minorHAnsi"/>
                <w:b/>
                <w:color w:val="FFFFFF" w:themeColor="background1"/>
                <w:sz w:val="18"/>
                <w:u w:val="single"/>
              </w:rPr>
              <w:t>Element 4</w:t>
            </w:r>
          </w:p>
          <w:p w14:paraId="32FC2739" w14:textId="77777777" w:rsidR="00EB728C" w:rsidRPr="00025436" w:rsidRDefault="00EB728C" w:rsidP="003B3300">
            <w:pPr>
              <w:spacing w:after="0"/>
              <w:rPr>
                <w:rFonts w:asciiTheme="minorHAnsi" w:hAnsiTheme="minorHAnsi" w:cstheme="minorHAnsi"/>
                <w:b/>
                <w:color w:val="FFFFFF" w:themeColor="background1"/>
                <w:sz w:val="18"/>
                <w:u w:val="single"/>
              </w:rPr>
            </w:pPr>
            <w:r w:rsidRPr="00025436">
              <w:rPr>
                <w:rFonts w:asciiTheme="minorHAnsi" w:hAnsiTheme="minorHAnsi" w:cstheme="minorHAnsi"/>
                <w:b/>
                <w:color w:val="FFFFFF" w:themeColor="background1"/>
                <w:sz w:val="18"/>
              </w:rPr>
              <w:t>Organ Offer</w:t>
            </w:r>
          </w:p>
        </w:tc>
        <w:tc>
          <w:tcPr>
            <w:tcW w:w="505" w:type="pct"/>
            <w:tcBorders>
              <w:top w:val="nil"/>
            </w:tcBorders>
            <w:shd w:val="clear" w:color="auto" w:fill="7F7F7F" w:themeFill="text1" w:themeFillTint="80"/>
          </w:tcPr>
          <w:p w14:paraId="0E7985A9" w14:textId="77777777" w:rsidR="00EB728C" w:rsidRPr="00025436" w:rsidRDefault="00EB728C" w:rsidP="003B3300">
            <w:pPr>
              <w:spacing w:after="0"/>
              <w:rPr>
                <w:rFonts w:asciiTheme="minorHAnsi" w:hAnsiTheme="minorHAnsi" w:cstheme="minorHAnsi"/>
                <w:b/>
                <w:color w:val="FFFFFF" w:themeColor="background1"/>
                <w:sz w:val="18"/>
                <w:u w:val="single"/>
              </w:rPr>
            </w:pPr>
            <w:r w:rsidRPr="00025436">
              <w:rPr>
                <w:rFonts w:asciiTheme="minorHAnsi" w:hAnsiTheme="minorHAnsi" w:cstheme="minorHAnsi"/>
                <w:b/>
                <w:color w:val="FFFFFF" w:themeColor="background1"/>
                <w:sz w:val="18"/>
                <w:u w:val="single"/>
              </w:rPr>
              <w:t>Element 5</w:t>
            </w:r>
          </w:p>
          <w:p w14:paraId="6709509A" w14:textId="77777777" w:rsidR="00EB728C" w:rsidRPr="00025436" w:rsidRDefault="00EB728C" w:rsidP="003B3300">
            <w:pPr>
              <w:spacing w:after="0"/>
              <w:rPr>
                <w:rFonts w:asciiTheme="minorHAnsi" w:hAnsiTheme="minorHAnsi" w:cstheme="minorHAnsi"/>
                <w:b/>
                <w:color w:val="FFFFFF" w:themeColor="background1"/>
                <w:sz w:val="18"/>
              </w:rPr>
            </w:pPr>
            <w:r w:rsidRPr="00025436">
              <w:rPr>
                <w:rFonts w:asciiTheme="minorHAnsi" w:hAnsiTheme="minorHAnsi" w:cstheme="minorHAnsi"/>
                <w:b/>
                <w:color w:val="FFFFFF" w:themeColor="background1"/>
                <w:sz w:val="18"/>
              </w:rPr>
              <w:t>Organ Acceptance</w:t>
            </w:r>
          </w:p>
        </w:tc>
        <w:tc>
          <w:tcPr>
            <w:tcW w:w="633" w:type="pct"/>
            <w:tcBorders>
              <w:top w:val="nil"/>
            </w:tcBorders>
            <w:shd w:val="clear" w:color="auto" w:fill="7F7F7F" w:themeFill="text1" w:themeFillTint="80"/>
          </w:tcPr>
          <w:p w14:paraId="6B66043A" w14:textId="77777777" w:rsidR="00EB728C" w:rsidRPr="00025436" w:rsidRDefault="00EB728C" w:rsidP="003B3300">
            <w:pPr>
              <w:spacing w:after="0"/>
              <w:rPr>
                <w:rFonts w:asciiTheme="minorHAnsi" w:hAnsiTheme="minorHAnsi" w:cstheme="minorHAnsi"/>
                <w:b/>
                <w:color w:val="FFFFFF" w:themeColor="background1"/>
                <w:sz w:val="18"/>
                <w:u w:val="single"/>
              </w:rPr>
            </w:pPr>
            <w:r w:rsidRPr="00025436">
              <w:rPr>
                <w:rFonts w:asciiTheme="minorHAnsi" w:hAnsiTheme="minorHAnsi" w:cstheme="minorHAnsi"/>
                <w:b/>
                <w:color w:val="FFFFFF" w:themeColor="background1"/>
                <w:sz w:val="18"/>
                <w:u w:val="single"/>
              </w:rPr>
              <w:t>Element 6</w:t>
            </w:r>
          </w:p>
          <w:p w14:paraId="43BD0E92" w14:textId="77777777" w:rsidR="00EB728C" w:rsidRPr="00025436" w:rsidRDefault="00EB728C" w:rsidP="003B3300">
            <w:pPr>
              <w:spacing w:after="0"/>
              <w:rPr>
                <w:rFonts w:asciiTheme="minorHAnsi" w:hAnsiTheme="minorHAnsi" w:cstheme="minorHAnsi"/>
                <w:b/>
                <w:color w:val="FFFFFF" w:themeColor="background1"/>
                <w:sz w:val="18"/>
              </w:rPr>
            </w:pPr>
            <w:r w:rsidRPr="00025436">
              <w:rPr>
                <w:rFonts w:asciiTheme="minorHAnsi" w:hAnsiTheme="minorHAnsi" w:cstheme="minorHAnsi"/>
                <w:b/>
                <w:color w:val="FFFFFF" w:themeColor="background1"/>
                <w:sz w:val="18"/>
              </w:rPr>
              <w:t>Donated cadaveric organ retrieval</w:t>
            </w:r>
            <w:r w:rsidRPr="00025436">
              <w:rPr>
                <w:rFonts w:asciiTheme="minorHAnsi" w:hAnsiTheme="minorHAnsi" w:cstheme="minorHAnsi"/>
                <w:b/>
                <w:color w:val="FFFFFF" w:themeColor="background1"/>
                <w:sz w:val="18"/>
              </w:rPr>
              <w:br/>
              <w:t>(Donor)</w:t>
            </w:r>
          </w:p>
        </w:tc>
        <w:tc>
          <w:tcPr>
            <w:tcW w:w="683" w:type="pct"/>
            <w:tcBorders>
              <w:top w:val="nil"/>
            </w:tcBorders>
            <w:shd w:val="clear" w:color="auto" w:fill="7F7F7F" w:themeFill="text1" w:themeFillTint="80"/>
          </w:tcPr>
          <w:p w14:paraId="46E4C74A" w14:textId="77777777" w:rsidR="00EB728C" w:rsidRPr="00025436" w:rsidRDefault="00EB728C" w:rsidP="003B3300">
            <w:pPr>
              <w:spacing w:after="0"/>
              <w:rPr>
                <w:rFonts w:asciiTheme="minorHAnsi" w:hAnsiTheme="minorHAnsi" w:cstheme="minorHAnsi"/>
                <w:b/>
                <w:color w:val="FFFFFF" w:themeColor="background1"/>
                <w:sz w:val="18"/>
                <w:u w:val="single"/>
              </w:rPr>
            </w:pPr>
            <w:r w:rsidRPr="00025436">
              <w:rPr>
                <w:rFonts w:asciiTheme="minorHAnsi" w:hAnsiTheme="minorHAnsi" w:cstheme="minorHAnsi"/>
                <w:b/>
                <w:color w:val="FFFFFF" w:themeColor="background1"/>
                <w:sz w:val="18"/>
                <w:u w:val="single"/>
              </w:rPr>
              <w:t>Element 7</w:t>
            </w:r>
          </w:p>
          <w:p w14:paraId="51BE29F7" w14:textId="77777777" w:rsidR="00EB728C" w:rsidRPr="00025436" w:rsidRDefault="00EB728C" w:rsidP="003B3300">
            <w:pPr>
              <w:spacing w:after="0"/>
              <w:rPr>
                <w:rFonts w:asciiTheme="minorHAnsi" w:hAnsiTheme="minorHAnsi" w:cstheme="minorHAnsi"/>
                <w:b/>
                <w:color w:val="FFFFFF" w:themeColor="background1"/>
                <w:sz w:val="18"/>
              </w:rPr>
            </w:pPr>
            <w:r w:rsidRPr="00025436">
              <w:rPr>
                <w:rFonts w:asciiTheme="minorHAnsi" w:hAnsiTheme="minorHAnsi" w:cstheme="minorHAnsi"/>
                <w:b/>
                <w:color w:val="FFFFFF" w:themeColor="background1"/>
                <w:sz w:val="18"/>
              </w:rPr>
              <w:t>Transplantation</w:t>
            </w:r>
            <w:r w:rsidRPr="00025436">
              <w:rPr>
                <w:rFonts w:asciiTheme="minorHAnsi" w:hAnsiTheme="minorHAnsi" w:cstheme="minorHAnsi"/>
                <w:b/>
                <w:color w:val="FFFFFF" w:themeColor="background1"/>
                <w:sz w:val="18"/>
              </w:rPr>
              <w:br/>
              <w:t>(Recipient)</w:t>
            </w:r>
          </w:p>
        </w:tc>
        <w:tc>
          <w:tcPr>
            <w:tcW w:w="954" w:type="pct"/>
            <w:tcBorders>
              <w:top w:val="nil"/>
            </w:tcBorders>
            <w:shd w:val="clear" w:color="auto" w:fill="7F7F7F" w:themeFill="text1" w:themeFillTint="80"/>
          </w:tcPr>
          <w:p w14:paraId="075CB888" w14:textId="77777777" w:rsidR="00EB728C" w:rsidRPr="00025436" w:rsidRDefault="00EB728C" w:rsidP="003B3300">
            <w:pPr>
              <w:spacing w:after="0"/>
              <w:rPr>
                <w:rFonts w:asciiTheme="minorHAnsi" w:hAnsiTheme="minorHAnsi" w:cstheme="minorHAnsi"/>
                <w:b/>
                <w:color w:val="FFFFFF" w:themeColor="background1"/>
                <w:sz w:val="18"/>
                <w:u w:val="single"/>
              </w:rPr>
            </w:pPr>
            <w:r w:rsidRPr="00025436">
              <w:rPr>
                <w:rFonts w:asciiTheme="minorHAnsi" w:hAnsiTheme="minorHAnsi" w:cstheme="minorHAnsi"/>
                <w:b/>
                <w:color w:val="FFFFFF" w:themeColor="background1"/>
                <w:sz w:val="18"/>
                <w:u w:val="single"/>
              </w:rPr>
              <w:t>Element 8</w:t>
            </w:r>
          </w:p>
          <w:p w14:paraId="0B1FFE0B" w14:textId="77777777" w:rsidR="00EB728C" w:rsidRPr="00025436" w:rsidRDefault="00EB728C" w:rsidP="003B3300">
            <w:pPr>
              <w:spacing w:after="0"/>
              <w:rPr>
                <w:rFonts w:asciiTheme="minorHAnsi" w:hAnsiTheme="minorHAnsi" w:cstheme="minorHAnsi"/>
                <w:b/>
                <w:color w:val="FFFFFF" w:themeColor="background1"/>
                <w:sz w:val="18"/>
              </w:rPr>
            </w:pPr>
            <w:r w:rsidRPr="00025436">
              <w:rPr>
                <w:rFonts w:asciiTheme="minorHAnsi" w:hAnsiTheme="minorHAnsi" w:cstheme="minorHAnsi"/>
                <w:b/>
                <w:color w:val="FFFFFF" w:themeColor="background1"/>
                <w:sz w:val="18"/>
              </w:rPr>
              <w:t>Post Transplantation (Recipient)</w:t>
            </w:r>
          </w:p>
        </w:tc>
      </w:tr>
      <w:tr w:rsidR="00EB728C" w:rsidRPr="006F5A16" w14:paraId="100F0B11" w14:textId="77777777" w:rsidTr="003B3300">
        <w:trPr>
          <w:cantSplit/>
          <w:trHeight w:val="1408"/>
        </w:trPr>
        <w:tc>
          <w:tcPr>
            <w:tcW w:w="145" w:type="pct"/>
            <w:shd w:val="clear" w:color="auto" w:fill="7F7F7F" w:themeFill="text1" w:themeFillTint="80"/>
            <w:textDirection w:val="btLr"/>
            <w:vAlign w:val="center"/>
          </w:tcPr>
          <w:p w14:paraId="6F631D47" w14:textId="77777777" w:rsidR="00EB728C" w:rsidRPr="00FA1F63" w:rsidRDefault="00EB728C" w:rsidP="003B3300">
            <w:pPr>
              <w:ind w:left="113" w:right="113"/>
              <w:jc w:val="center"/>
              <w:rPr>
                <w:rFonts w:asciiTheme="minorHAnsi" w:hAnsiTheme="minorHAnsi" w:cstheme="minorHAnsi"/>
                <w:b/>
                <w:sz w:val="18"/>
              </w:rPr>
            </w:pPr>
            <w:r w:rsidRPr="00025436">
              <w:rPr>
                <w:rFonts w:asciiTheme="minorHAnsi" w:hAnsiTheme="minorHAnsi" w:cstheme="minorHAnsi"/>
                <w:b/>
                <w:color w:val="FFFFFF" w:themeColor="background1"/>
                <w:sz w:val="18"/>
              </w:rPr>
              <w:t>Oversight and Governance</w:t>
            </w:r>
          </w:p>
        </w:tc>
        <w:tc>
          <w:tcPr>
            <w:tcW w:w="565" w:type="pct"/>
            <w:shd w:val="clear" w:color="auto" w:fill="FFFFFF" w:themeFill="background1"/>
          </w:tcPr>
          <w:p w14:paraId="48672A73" w14:textId="77777777" w:rsidR="00EB728C" w:rsidRPr="00FA1F63" w:rsidRDefault="00EB728C" w:rsidP="00EB728C">
            <w:pPr>
              <w:pStyle w:val="ListParagraph"/>
              <w:widowControl/>
              <w:numPr>
                <w:ilvl w:val="0"/>
                <w:numId w:val="52"/>
              </w:numPr>
              <w:autoSpaceDE/>
              <w:autoSpaceDN/>
              <w:adjustRightInd/>
              <w:spacing w:after="0"/>
              <w:ind w:left="139" w:hanging="139"/>
              <w:rPr>
                <w:rFonts w:asciiTheme="minorHAnsi" w:hAnsiTheme="minorHAnsi" w:cstheme="minorHAnsi"/>
                <w:sz w:val="18"/>
              </w:rPr>
            </w:pPr>
            <w:r w:rsidRPr="00FA1F63">
              <w:rPr>
                <w:rFonts w:asciiTheme="minorHAnsi" w:hAnsiTheme="minorHAnsi" w:cstheme="minorHAnsi"/>
                <w:sz w:val="18"/>
              </w:rPr>
              <w:t xml:space="preserve">Transplant Society Australia &amp; New Zealand (TSANZ) Council </w:t>
            </w:r>
          </w:p>
          <w:p w14:paraId="38D448C8" w14:textId="77777777" w:rsidR="00EB728C" w:rsidRPr="00FA1F63" w:rsidRDefault="00EB728C" w:rsidP="00EB728C">
            <w:pPr>
              <w:pStyle w:val="ListParagraph"/>
              <w:widowControl/>
              <w:numPr>
                <w:ilvl w:val="0"/>
                <w:numId w:val="52"/>
              </w:numPr>
              <w:autoSpaceDE/>
              <w:autoSpaceDN/>
              <w:adjustRightInd/>
              <w:spacing w:after="0"/>
              <w:ind w:left="139" w:hanging="139"/>
              <w:rPr>
                <w:rFonts w:asciiTheme="minorHAnsi" w:hAnsiTheme="minorHAnsi" w:cstheme="minorHAnsi"/>
                <w:sz w:val="18"/>
              </w:rPr>
            </w:pPr>
            <w:r w:rsidRPr="00FA1F63">
              <w:rPr>
                <w:rFonts w:asciiTheme="minorHAnsi" w:hAnsiTheme="minorHAnsi" w:cstheme="minorHAnsi"/>
                <w:sz w:val="18"/>
              </w:rPr>
              <w:t>Society of Nephrologists (ANZSN)</w:t>
            </w:r>
          </w:p>
          <w:p w14:paraId="42F8F3AD" w14:textId="77777777" w:rsidR="00EB728C" w:rsidRPr="00FA1F63" w:rsidRDefault="00EB728C" w:rsidP="00EB728C">
            <w:pPr>
              <w:pStyle w:val="ListParagraph"/>
              <w:widowControl/>
              <w:numPr>
                <w:ilvl w:val="0"/>
                <w:numId w:val="52"/>
              </w:numPr>
              <w:autoSpaceDE/>
              <w:autoSpaceDN/>
              <w:adjustRightInd/>
              <w:spacing w:after="0"/>
              <w:ind w:left="139" w:hanging="139"/>
              <w:rPr>
                <w:rFonts w:asciiTheme="minorHAnsi" w:hAnsiTheme="minorHAnsi" w:cstheme="minorHAnsi"/>
                <w:sz w:val="18"/>
              </w:rPr>
            </w:pPr>
            <w:r w:rsidRPr="00FA1F63">
              <w:rPr>
                <w:rFonts w:asciiTheme="minorHAnsi" w:hAnsiTheme="minorHAnsi" w:cstheme="minorHAnsi"/>
                <w:sz w:val="18"/>
              </w:rPr>
              <w:t>Transplant Liaison Reference Group (TLRG)</w:t>
            </w:r>
          </w:p>
          <w:p w14:paraId="63A91793" w14:textId="77777777" w:rsidR="00EB728C" w:rsidRPr="00FA1F63" w:rsidRDefault="00EB728C" w:rsidP="00EB728C">
            <w:pPr>
              <w:pStyle w:val="ListParagraph"/>
              <w:widowControl/>
              <w:numPr>
                <w:ilvl w:val="0"/>
                <w:numId w:val="52"/>
              </w:numPr>
              <w:autoSpaceDE/>
              <w:autoSpaceDN/>
              <w:adjustRightInd/>
              <w:spacing w:after="0"/>
              <w:ind w:left="139" w:hanging="139"/>
              <w:rPr>
                <w:rFonts w:asciiTheme="minorHAnsi" w:hAnsiTheme="minorHAnsi" w:cstheme="minorHAnsi"/>
                <w:sz w:val="18"/>
              </w:rPr>
            </w:pPr>
            <w:r w:rsidRPr="00FA1F63">
              <w:rPr>
                <w:rFonts w:asciiTheme="minorHAnsi" w:hAnsiTheme="minorHAnsi" w:cstheme="minorHAnsi"/>
                <w:sz w:val="18"/>
              </w:rPr>
              <w:t>Transplant Society Australia &amp; New Zealand (TSANZ) Council</w:t>
            </w:r>
          </w:p>
          <w:p w14:paraId="68FA5989" w14:textId="77777777" w:rsidR="00EB728C" w:rsidRPr="00FA1F63" w:rsidRDefault="00EB728C" w:rsidP="00EB728C">
            <w:pPr>
              <w:widowControl/>
              <w:numPr>
                <w:ilvl w:val="0"/>
                <w:numId w:val="52"/>
              </w:numPr>
              <w:tabs>
                <w:tab w:val="num" w:pos="442"/>
              </w:tabs>
              <w:autoSpaceDE/>
              <w:autoSpaceDN/>
              <w:adjustRightInd/>
              <w:spacing w:after="0"/>
              <w:ind w:left="139" w:hanging="139"/>
              <w:rPr>
                <w:rFonts w:asciiTheme="minorHAnsi" w:hAnsiTheme="minorHAnsi" w:cstheme="minorHAnsi"/>
                <w:sz w:val="18"/>
              </w:rPr>
            </w:pPr>
            <w:r>
              <w:rPr>
                <w:rFonts w:asciiTheme="minorHAnsi" w:hAnsiTheme="minorHAnsi" w:cstheme="minorHAnsi"/>
                <w:sz w:val="18"/>
              </w:rPr>
              <w:t xml:space="preserve">Cardiac </w:t>
            </w:r>
            <w:r w:rsidRPr="00FA1F63">
              <w:rPr>
                <w:rFonts w:asciiTheme="minorHAnsi" w:hAnsiTheme="minorHAnsi" w:cstheme="minorHAnsi"/>
                <w:sz w:val="18"/>
              </w:rPr>
              <w:t>AC</w:t>
            </w:r>
          </w:p>
          <w:p w14:paraId="6749D5A0" w14:textId="77777777" w:rsidR="00EB728C" w:rsidRPr="00FA1F63" w:rsidRDefault="00EB728C" w:rsidP="00EB728C">
            <w:pPr>
              <w:widowControl/>
              <w:numPr>
                <w:ilvl w:val="0"/>
                <w:numId w:val="52"/>
              </w:numPr>
              <w:tabs>
                <w:tab w:val="num" w:pos="442"/>
              </w:tabs>
              <w:autoSpaceDE/>
              <w:autoSpaceDN/>
              <w:adjustRightInd/>
              <w:spacing w:after="0"/>
              <w:ind w:left="139" w:hanging="139"/>
              <w:rPr>
                <w:rFonts w:asciiTheme="minorHAnsi" w:hAnsiTheme="minorHAnsi" w:cstheme="minorHAnsi"/>
                <w:sz w:val="18"/>
              </w:rPr>
            </w:pPr>
            <w:r w:rsidRPr="00FA1F63">
              <w:rPr>
                <w:rFonts w:asciiTheme="minorHAnsi" w:hAnsiTheme="minorHAnsi" w:cstheme="minorHAnsi"/>
                <w:sz w:val="18"/>
              </w:rPr>
              <w:t>Liver &amp; Intestinal AC</w:t>
            </w:r>
          </w:p>
          <w:p w14:paraId="16955ACE" w14:textId="77777777" w:rsidR="00EB728C" w:rsidRPr="00FA1F63" w:rsidRDefault="00EB728C" w:rsidP="00EB728C">
            <w:pPr>
              <w:widowControl/>
              <w:numPr>
                <w:ilvl w:val="0"/>
                <w:numId w:val="52"/>
              </w:numPr>
              <w:tabs>
                <w:tab w:val="num" w:pos="442"/>
              </w:tabs>
              <w:autoSpaceDE/>
              <w:autoSpaceDN/>
              <w:adjustRightInd/>
              <w:spacing w:after="0"/>
              <w:ind w:left="139" w:hanging="139"/>
              <w:rPr>
                <w:rFonts w:asciiTheme="minorHAnsi" w:hAnsiTheme="minorHAnsi" w:cstheme="minorHAnsi"/>
                <w:sz w:val="18"/>
              </w:rPr>
            </w:pPr>
            <w:r w:rsidRPr="00FA1F63">
              <w:rPr>
                <w:rFonts w:asciiTheme="minorHAnsi" w:hAnsiTheme="minorHAnsi" w:cstheme="minorHAnsi"/>
                <w:sz w:val="18"/>
              </w:rPr>
              <w:t>Lung AC</w:t>
            </w:r>
          </w:p>
          <w:p w14:paraId="7AC95817" w14:textId="77777777" w:rsidR="00EB728C" w:rsidRPr="00FA1F63" w:rsidRDefault="00EB728C" w:rsidP="00EB728C">
            <w:pPr>
              <w:widowControl/>
              <w:numPr>
                <w:ilvl w:val="0"/>
                <w:numId w:val="52"/>
              </w:numPr>
              <w:tabs>
                <w:tab w:val="num" w:pos="442"/>
              </w:tabs>
              <w:autoSpaceDE/>
              <w:autoSpaceDN/>
              <w:adjustRightInd/>
              <w:spacing w:after="0"/>
              <w:ind w:left="139" w:hanging="139"/>
              <w:rPr>
                <w:rFonts w:asciiTheme="minorHAnsi" w:hAnsiTheme="minorHAnsi" w:cstheme="minorHAnsi"/>
                <w:sz w:val="18"/>
              </w:rPr>
            </w:pPr>
            <w:r w:rsidRPr="00FA1F63">
              <w:rPr>
                <w:rFonts w:asciiTheme="minorHAnsi" w:hAnsiTheme="minorHAnsi" w:cstheme="minorHAnsi"/>
                <w:sz w:val="18"/>
              </w:rPr>
              <w:t>Paed AC</w:t>
            </w:r>
          </w:p>
          <w:p w14:paraId="19456098" w14:textId="77777777" w:rsidR="00EB728C" w:rsidRDefault="00EB728C" w:rsidP="00EB728C">
            <w:pPr>
              <w:widowControl/>
              <w:numPr>
                <w:ilvl w:val="0"/>
                <w:numId w:val="52"/>
              </w:numPr>
              <w:tabs>
                <w:tab w:val="num" w:pos="442"/>
              </w:tabs>
              <w:autoSpaceDE/>
              <w:autoSpaceDN/>
              <w:adjustRightInd/>
              <w:spacing w:after="0"/>
              <w:ind w:left="139" w:hanging="139"/>
              <w:rPr>
                <w:rFonts w:asciiTheme="minorHAnsi" w:hAnsiTheme="minorHAnsi" w:cstheme="minorHAnsi"/>
                <w:sz w:val="18"/>
              </w:rPr>
            </w:pPr>
            <w:r w:rsidRPr="00FA1F63">
              <w:rPr>
                <w:rFonts w:asciiTheme="minorHAnsi" w:hAnsiTheme="minorHAnsi" w:cstheme="minorHAnsi"/>
                <w:sz w:val="18"/>
              </w:rPr>
              <w:t>Pancreas &amp; Islet AC</w:t>
            </w:r>
          </w:p>
          <w:p w14:paraId="159772F9" w14:textId="77777777" w:rsidR="00EB728C" w:rsidRPr="00FA1F63" w:rsidRDefault="00EB728C" w:rsidP="00EB728C">
            <w:pPr>
              <w:widowControl/>
              <w:numPr>
                <w:ilvl w:val="0"/>
                <w:numId w:val="52"/>
              </w:numPr>
              <w:tabs>
                <w:tab w:val="num" w:pos="442"/>
              </w:tabs>
              <w:autoSpaceDE/>
              <w:autoSpaceDN/>
              <w:adjustRightInd/>
              <w:spacing w:after="0"/>
              <w:ind w:left="139" w:hanging="139"/>
              <w:rPr>
                <w:rFonts w:asciiTheme="minorHAnsi" w:hAnsiTheme="minorHAnsi" w:cstheme="minorHAnsi"/>
                <w:sz w:val="18"/>
              </w:rPr>
            </w:pPr>
            <w:r>
              <w:rPr>
                <w:rFonts w:asciiTheme="minorHAnsi" w:hAnsiTheme="minorHAnsi" w:cstheme="minorHAnsi"/>
                <w:sz w:val="18"/>
              </w:rPr>
              <w:t>Renal Transplantation Advisory Committee (RTAC)</w:t>
            </w:r>
          </w:p>
          <w:p w14:paraId="6E22866F" w14:textId="77777777" w:rsidR="00EB728C" w:rsidRPr="00FA1F63" w:rsidRDefault="00EB728C" w:rsidP="003B3300">
            <w:pPr>
              <w:widowControl/>
              <w:autoSpaceDE/>
              <w:autoSpaceDN/>
              <w:adjustRightInd/>
              <w:spacing w:after="0"/>
              <w:ind w:left="871"/>
              <w:rPr>
                <w:rFonts w:asciiTheme="minorHAnsi" w:hAnsiTheme="minorHAnsi" w:cstheme="minorHAnsi"/>
                <w:b/>
                <w:sz w:val="18"/>
              </w:rPr>
            </w:pPr>
          </w:p>
        </w:tc>
        <w:tc>
          <w:tcPr>
            <w:tcW w:w="505" w:type="pct"/>
            <w:shd w:val="clear" w:color="auto" w:fill="FFFFFF" w:themeFill="background1"/>
          </w:tcPr>
          <w:p w14:paraId="3D8C3135" w14:textId="77777777" w:rsidR="00EB728C" w:rsidRPr="00FA1F63" w:rsidRDefault="00EB728C" w:rsidP="00EB728C">
            <w:pPr>
              <w:pStyle w:val="ListParagraph"/>
              <w:widowControl/>
              <w:numPr>
                <w:ilvl w:val="0"/>
                <w:numId w:val="52"/>
              </w:numPr>
              <w:autoSpaceDE/>
              <w:autoSpaceDN/>
              <w:adjustRightInd/>
              <w:spacing w:after="0"/>
              <w:ind w:left="163" w:hanging="163"/>
              <w:rPr>
                <w:rFonts w:asciiTheme="minorHAnsi" w:hAnsiTheme="minorHAnsi" w:cstheme="minorHAnsi"/>
                <w:sz w:val="18"/>
              </w:rPr>
            </w:pPr>
            <w:r w:rsidRPr="00FA1F63">
              <w:rPr>
                <w:rFonts w:asciiTheme="minorHAnsi" w:hAnsiTheme="minorHAnsi" w:cstheme="minorHAnsi"/>
                <w:sz w:val="18"/>
              </w:rPr>
              <w:t>OTA JAG</w:t>
            </w:r>
          </w:p>
          <w:p w14:paraId="464892D9" w14:textId="77777777" w:rsidR="00EB728C" w:rsidRPr="00FA1F63" w:rsidRDefault="00EB728C" w:rsidP="00EB728C">
            <w:pPr>
              <w:pStyle w:val="ListParagraph"/>
              <w:widowControl/>
              <w:numPr>
                <w:ilvl w:val="0"/>
                <w:numId w:val="52"/>
              </w:numPr>
              <w:autoSpaceDE/>
              <w:autoSpaceDN/>
              <w:adjustRightInd/>
              <w:spacing w:after="0"/>
              <w:ind w:left="163" w:hanging="163"/>
              <w:rPr>
                <w:rFonts w:asciiTheme="minorHAnsi" w:hAnsiTheme="minorHAnsi" w:cstheme="minorHAnsi"/>
                <w:sz w:val="18"/>
              </w:rPr>
            </w:pPr>
            <w:r w:rsidRPr="00FA1F63">
              <w:rPr>
                <w:rFonts w:asciiTheme="minorHAnsi" w:hAnsiTheme="minorHAnsi" w:cstheme="minorHAnsi"/>
                <w:sz w:val="18"/>
              </w:rPr>
              <w:t xml:space="preserve">OTA Vigilance &amp; Surveillance Expert Advisory Committee </w:t>
            </w:r>
          </w:p>
          <w:p w14:paraId="69366B71" w14:textId="77777777" w:rsidR="00EB728C" w:rsidRPr="00FA1F63" w:rsidRDefault="00EB728C" w:rsidP="00EB728C">
            <w:pPr>
              <w:pStyle w:val="ListParagraph"/>
              <w:widowControl/>
              <w:numPr>
                <w:ilvl w:val="0"/>
                <w:numId w:val="52"/>
              </w:numPr>
              <w:autoSpaceDE/>
              <w:autoSpaceDN/>
              <w:adjustRightInd/>
              <w:spacing w:after="0"/>
              <w:ind w:left="163" w:hanging="163"/>
              <w:rPr>
                <w:rFonts w:asciiTheme="minorHAnsi" w:hAnsiTheme="minorHAnsi" w:cstheme="minorHAnsi"/>
                <w:sz w:val="18"/>
              </w:rPr>
            </w:pPr>
            <w:r w:rsidRPr="00FA1F63">
              <w:rPr>
                <w:rFonts w:asciiTheme="minorHAnsi" w:hAnsiTheme="minorHAnsi" w:cstheme="minorHAnsi"/>
                <w:sz w:val="18"/>
              </w:rPr>
              <w:t>Australian and NZ Intensive Care Society (ANZICS)</w:t>
            </w:r>
          </w:p>
          <w:p w14:paraId="67C4BB5E" w14:textId="77777777" w:rsidR="00EB728C" w:rsidRPr="00FA1F63" w:rsidRDefault="00EB728C" w:rsidP="00EB728C">
            <w:pPr>
              <w:pStyle w:val="ListParagraph"/>
              <w:widowControl/>
              <w:numPr>
                <w:ilvl w:val="0"/>
                <w:numId w:val="52"/>
              </w:numPr>
              <w:autoSpaceDE/>
              <w:autoSpaceDN/>
              <w:adjustRightInd/>
              <w:spacing w:after="0"/>
              <w:ind w:left="163" w:hanging="163"/>
              <w:rPr>
                <w:rFonts w:asciiTheme="minorHAnsi" w:hAnsiTheme="minorHAnsi" w:cstheme="minorHAnsi"/>
                <w:sz w:val="18"/>
              </w:rPr>
            </w:pPr>
            <w:r w:rsidRPr="00FA1F63">
              <w:rPr>
                <w:rFonts w:asciiTheme="minorHAnsi" w:hAnsiTheme="minorHAnsi" w:cstheme="minorHAnsi"/>
                <w:sz w:val="18"/>
              </w:rPr>
              <w:t>College of Intensive Care Medicine of Australia and NZ (CICM)</w:t>
            </w:r>
          </w:p>
          <w:p w14:paraId="015505E1" w14:textId="77777777" w:rsidR="00EB728C" w:rsidRPr="00FA1F63" w:rsidRDefault="00EB728C" w:rsidP="003B3300">
            <w:pPr>
              <w:rPr>
                <w:rFonts w:asciiTheme="minorHAnsi" w:hAnsiTheme="minorHAnsi" w:cstheme="minorHAnsi"/>
                <w:b/>
                <w:sz w:val="18"/>
              </w:rPr>
            </w:pPr>
          </w:p>
        </w:tc>
        <w:tc>
          <w:tcPr>
            <w:tcW w:w="505" w:type="pct"/>
            <w:shd w:val="clear" w:color="auto" w:fill="FFFFFF" w:themeFill="background1"/>
          </w:tcPr>
          <w:p w14:paraId="35CF3E76" w14:textId="77777777" w:rsidR="00EB728C" w:rsidRPr="00FA1F63" w:rsidRDefault="00EB728C" w:rsidP="00EB728C">
            <w:pPr>
              <w:pStyle w:val="ListParagraph"/>
              <w:widowControl/>
              <w:numPr>
                <w:ilvl w:val="0"/>
                <w:numId w:val="52"/>
              </w:numPr>
              <w:autoSpaceDE/>
              <w:autoSpaceDN/>
              <w:adjustRightInd/>
              <w:spacing w:after="0"/>
              <w:ind w:left="113" w:hanging="142"/>
              <w:rPr>
                <w:rFonts w:asciiTheme="minorHAnsi" w:hAnsiTheme="minorHAnsi" w:cstheme="minorHAnsi"/>
                <w:sz w:val="18"/>
              </w:rPr>
            </w:pPr>
            <w:r>
              <w:rPr>
                <w:rFonts w:asciiTheme="minorHAnsi" w:hAnsiTheme="minorHAnsi" w:cstheme="minorHAnsi"/>
                <w:sz w:val="18"/>
              </w:rPr>
              <w:t>Australasian Transplant Coordinators Association</w:t>
            </w:r>
            <w:r w:rsidRPr="00FA1F63">
              <w:rPr>
                <w:rFonts w:asciiTheme="minorHAnsi" w:hAnsiTheme="minorHAnsi" w:cstheme="minorHAnsi"/>
                <w:sz w:val="18"/>
              </w:rPr>
              <w:t xml:space="preserve"> (ATCA)</w:t>
            </w:r>
          </w:p>
          <w:p w14:paraId="6A9C17C5" w14:textId="77777777" w:rsidR="00EB728C" w:rsidRPr="00FA1F63" w:rsidRDefault="00EB728C" w:rsidP="00EB728C">
            <w:pPr>
              <w:pStyle w:val="ListParagraph"/>
              <w:widowControl/>
              <w:numPr>
                <w:ilvl w:val="0"/>
                <w:numId w:val="52"/>
              </w:numPr>
              <w:autoSpaceDE/>
              <w:autoSpaceDN/>
              <w:adjustRightInd/>
              <w:spacing w:after="0"/>
              <w:ind w:left="113" w:hanging="142"/>
              <w:rPr>
                <w:rFonts w:asciiTheme="minorHAnsi" w:hAnsiTheme="minorHAnsi" w:cstheme="minorHAnsi"/>
                <w:sz w:val="18"/>
              </w:rPr>
            </w:pPr>
            <w:r w:rsidRPr="00FA1F63">
              <w:rPr>
                <w:rFonts w:asciiTheme="minorHAnsi" w:hAnsiTheme="minorHAnsi" w:cstheme="minorHAnsi"/>
                <w:sz w:val="18"/>
              </w:rPr>
              <w:t>State based transplant Advisory Committees</w:t>
            </w:r>
          </w:p>
          <w:p w14:paraId="0148E33F" w14:textId="77777777" w:rsidR="00EB728C" w:rsidRPr="00FA1F63" w:rsidRDefault="00EB728C" w:rsidP="00EB728C">
            <w:pPr>
              <w:pStyle w:val="ListParagraph"/>
              <w:widowControl/>
              <w:numPr>
                <w:ilvl w:val="0"/>
                <w:numId w:val="52"/>
              </w:numPr>
              <w:autoSpaceDE/>
              <w:autoSpaceDN/>
              <w:adjustRightInd/>
              <w:spacing w:after="0"/>
              <w:ind w:left="113" w:hanging="142"/>
              <w:rPr>
                <w:rFonts w:asciiTheme="minorHAnsi" w:hAnsiTheme="minorHAnsi" w:cstheme="minorHAnsi"/>
                <w:sz w:val="18"/>
              </w:rPr>
            </w:pPr>
            <w:r w:rsidRPr="00FA1F63">
              <w:rPr>
                <w:rFonts w:asciiTheme="minorHAnsi" w:hAnsiTheme="minorHAnsi" w:cstheme="minorHAnsi"/>
                <w:sz w:val="18"/>
              </w:rPr>
              <w:t>Transplant Liaison Reference Group (TLRG)</w:t>
            </w:r>
          </w:p>
          <w:p w14:paraId="644292F8" w14:textId="77777777" w:rsidR="00EB728C" w:rsidRPr="00FA1F63" w:rsidRDefault="00EB728C" w:rsidP="00EB728C">
            <w:pPr>
              <w:pStyle w:val="ListParagraph"/>
              <w:widowControl/>
              <w:numPr>
                <w:ilvl w:val="0"/>
                <w:numId w:val="52"/>
              </w:numPr>
              <w:autoSpaceDE/>
              <w:autoSpaceDN/>
              <w:adjustRightInd/>
              <w:spacing w:after="0"/>
              <w:ind w:left="113" w:hanging="142"/>
              <w:rPr>
                <w:rFonts w:asciiTheme="minorHAnsi" w:hAnsiTheme="minorHAnsi" w:cstheme="minorHAnsi"/>
                <w:sz w:val="18"/>
              </w:rPr>
            </w:pPr>
            <w:r w:rsidRPr="00FA1F63">
              <w:rPr>
                <w:rFonts w:asciiTheme="minorHAnsi" w:hAnsiTheme="minorHAnsi" w:cstheme="minorHAnsi"/>
                <w:sz w:val="18"/>
              </w:rPr>
              <w:t xml:space="preserve">Transplant Society Australia &amp; New Zealand (TSANZ) Council – </w:t>
            </w:r>
          </w:p>
          <w:p w14:paraId="690D1EF1" w14:textId="77777777" w:rsidR="00EB728C" w:rsidRPr="00FA1F63" w:rsidRDefault="00EB728C" w:rsidP="00EB728C">
            <w:pPr>
              <w:widowControl/>
              <w:numPr>
                <w:ilvl w:val="0"/>
                <w:numId w:val="52"/>
              </w:numPr>
              <w:tabs>
                <w:tab w:val="num" w:pos="442"/>
              </w:tabs>
              <w:autoSpaceDE/>
              <w:autoSpaceDN/>
              <w:adjustRightInd/>
              <w:spacing w:after="0"/>
              <w:ind w:left="113" w:hanging="142"/>
              <w:rPr>
                <w:rFonts w:asciiTheme="minorHAnsi" w:hAnsiTheme="minorHAnsi" w:cstheme="minorHAnsi"/>
                <w:sz w:val="18"/>
              </w:rPr>
            </w:pPr>
            <w:r>
              <w:rPr>
                <w:rFonts w:asciiTheme="minorHAnsi" w:hAnsiTheme="minorHAnsi" w:cstheme="minorHAnsi"/>
                <w:sz w:val="18"/>
              </w:rPr>
              <w:t xml:space="preserve">Cardiac </w:t>
            </w:r>
            <w:r w:rsidRPr="00FA1F63">
              <w:rPr>
                <w:rFonts w:asciiTheme="minorHAnsi" w:hAnsiTheme="minorHAnsi" w:cstheme="minorHAnsi"/>
                <w:sz w:val="18"/>
              </w:rPr>
              <w:t>AC</w:t>
            </w:r>
          </w:p>
          <w:p w14:paraId="3768E99B" w14:textId="77777777" w:rsidR="00EB728C" w:rsidRPr="00FA1F63" w:rsidRDefault="00EB728C" w:rsidP="00EB728C">
            <w:pPr>
              <w:widowControl/>
              <w:numPr>
                <w:ilvl w:val="0"/>
                <w:numId w:val="52"/>
              </w:numPr>
              <w:tabs>
                <w:tab w:val="num" w:pos="442"/>
              </w:tabs>
              <w:autoSpaceDE/>
              <w:autoSpaceDN/>
              <w:adjustRightInd/>
              <w:spacing w:after="0"/>
              <w:ind w:left="113" w:hanging="142"/>
              <w:rPr>
                <w:rFonts w:asciiTheme="minorHAnsi" w:hAnsiTheme="minorHAnsi" w:cstheme="minorHAnsi"/>
                <w:sz w:val="18"/>
              </w:rPr>
            </w:pPr>
            <w:r w:rsidRPr="00FA1F63">
              <w:rPr>
                <w:rFonts w:asciiTheme="minorHAnsi" w:hAnsiTheme="minorHAnsi" w:cstheme="minorHAnsi"/>
                <w:sz w:val="18"/>
              </w:rPr>
              <w:t>Liver &amp; Intestinal AC</w:t>
            </w:r>
          </w:p>
          <w:p w14:paraId="4ED6A1EB" w14:textId="77777777" w:rsidR="00EB728C" w:rsidRPr="00FA1F63" w:rsidRDefault="00EB728C" w:rsidP="00EB728C">
            <w:pPr>
              <w:widowControl/>
              <w:numPr>
                <w:ilvl w:val="0"/>
                <w:numId w:val="52"/>
              </w:numPr>
              <w:tabs>
                <w:tab w:val="num" w:pos="442"/>
              </w:tabs>
              <w:autoSpaceDE/>
              <w:autoSpaceDN/>
              <w:adjustRightInd/>
              <w:spacing w:after="0"/>
              <w:ind w:left="113" w:hanging="142"/>
              <w:rPr>
                <w:rFonts w:asciiTheme="minorHAnsi" w:hAnsiTheme="minorHAnsi" w:cstheme="minorHAnsi"/>
                <w:sz w:val="18"/>
              </w:rPr>
            </w:pPr>
            <w:r w:rsidRPr="00FA1F63">
              <w:rPr>
                <w:rFonts w:asciiTheme="minorHAnsi" w:hAnsiTheme="minorHAnsi" w:cstheme="minorHAnsi"/>
                <w:sz w:val="18"/>
              </w:rPr>
              <w:t>Lung AC</w:t>
            </w:r>
          </w:p>
          <w:p w14:paraId="1B0EA092" w14:textId="77777777" w:rsidR="00EB728C" w:rsidRPr="00FA1F63" w:rsidRDefault="00EB728C" w:rsidP="00EB728C">
            <w:pPr>
              <w:widowControl/>
              <w:numPr>
                <w:ilvl w:val="0"/>
                <w:numId w:val="52"/>
              </w:numPr>
              <w:tabs>
                <w:tab w:val="num" w:pos="442"/>
              </w:tabs>
              <w:autoSpaceDE/>
              <w:autoSpaceDN/>
              <w:adjustRightInd/>
              <w:spacing w:after="0"/>
              <w:ind w:left="113" w:hanging="142"/>
              <w:rPr>
                <w:rFonts w:asciiTheme="minorHAnsi" w:hAnsiTheme="minorHAnsi" w:cstheme="minorHAnsi"/>
                <w:sz w:val="18"/>
              </w:rPr>
            </w:pPr>
            <w:r w:rsidRPr="00FA1F63">
              <w:rPr>
                <w:rFonts w:asciiTheme="minorHAnsi" w:hAnsiTheme="minorHAnsi" w:cstheme="minorHAnsi"/>
                <w:sz w:val="18"/>
              </w:rPr>
              <w:t>Paed AC</w:t>
            </w:r>
          </w:p>
          <w:p w14:paraId="1B32BF9B" w14:textId="77777777" w:rsidR="00EB728C" w:rsidRDefault="00EB728C" w:rsidP="00EB728C">
            <w:pPr>
              <w:widowControl/>
              <w:numPr>
                <w:ilvl w:val="0"/>
                <w:numId w:val="52"/>
              </w:numPr>
              <w:tabs>
                <w:tab w:val="num" w:pos="442"/>
              </w:tabs>
              <w:autoSpaceDE/>
              <w:autoSpaceDN/>
              <w:adjustRightInd/>
              <w:spacing w:after="0"/>
              <w:ind w:left="113" w:hanging="142"/>
              <w:rPr>
                <w:rFonts w:asciiTheme="minorHAnsi" w:hAnsiTheme="minorHAnsi" w:cstheme="minorHAnsi"/>
                <w:sz w:val="18"/>
              </w:rPr>
            </w:pPr>
            <w:r w:rsidRPr="00FA1F63">
              <w:rPr>
                <w:rFonts w:asciiTheme="minorHAnsi" w:hAnsiTheme="minorHAnsi" w:cstheme="minorHAnsi"/>
                <w:sz w:val="18"/>
              </w:rPr>
              <w:t>Pancreas &amp; Islet AC</w:t>
            </w:r>
          </w:p>
          <w:p w14:paraId="04ED6A7D" w14:textId="77777777" w:rsidR="00EB728C" w:rsidRPr="00FA1F63" w:rsidRDefault="00EB728C" w:rsidP="00EB728C">
            <w:pPr>
              <w:widowControl/>
              <w:numPr>
                <w:ilvl w:val="0"/>
                <w:numId w:val="52"/>
              </w:numPr>
              <w:tabs>
                <w:tab w:val="num" w:pos="442"/>
              </w:tabs>
              <w:autoSpaceDE/>
              <w:autoSpaceDN/>
              <w:adjustRightInd/>
              <w:spacing w:after="0"/>
              <w:ind w:left="113" w:hanging="142"/>
              <w:rPr>
                <w:rFonts w:asciiTheme="minorHAnsi" w:hAnsiTheme="minorHAnsi" w:cstheme="minorHAnsi"/>
                <w:sz w:val="18"/>
              </w:rPr>
            </w:pPr>
            <w:r>
              <w:rPr>
                <w:rFonts w:asciiTheme="minorHAnsi" w:hAnsiTheme="minorHAnsi" w:cstheme="minorHAnsi"/>
                <w:sz w:val="18"/>
              </w:rPr>
              <w:t>Renal Transplantation Advisory Committee (RTAC)</w:t>
            </w:r>
          </w:p>
          <w:p w14:paraId="231AF456" w14:textId="77777777" w:rsidR="00EB728C" w:rsidRPr="00FA1F63" w:rsidRDefault="00EB728C" w:rsidP="003B3300">
            <w:pPr>
              <w:widowControl/>
              <w:autoSpaceDE/>
              <w:autoSpaceDN/>
              <w:adjustRightInd/>
              <w:spacing w:after="0"/>
              <w:ind w:left="1026"/>
              <w:rPr>
                <w:rFonts w:asciiTheme="minorHAnsi" w:hAnsiTheme="minorHAnsi" w:cstheme="minorHAnsi"/>
                <w:b/>
                <w:sz w:val="18"/>
              </w:rPr>
            </w:pPr>
          </w:p>
        </w:tc>
        <w:tc>
          <w:tcPr>
            <w:tcW w:w="505" w:type="pct"/>
            <w:shd w:val="clear" w:color="auto" w:fill="FFFFFF" w:themeFill="background1"/>
          </w:tcPr>
          <w:p w14:paraId="5C1C4030" w14:textId="77777777" w:rsidR="00EB728C" w:rsidRPr="00FA1F63" w:rsidRDefault="00EB728C" w:rsidP="00EB728C">
            <w:pPr>
              <w:pStyle w:val="ListParagraph"/>
              <w:widowControl/>
              <w:numPr>
                <w:ilvl w:val="0"/>
                <w:numId w:val="52"/>
              </w:numPr>
              <w:autoSpaceDE/>
              <w:autoSpaceDN/>
              <w:adjustRightInd/>
              <w:spacing w:after="0"/>
              <w:ind w:left="137" w:hanging="137"/>
              <w:rPr>
                <w:rFonts w:asciiTheme="minorHAnsi" w:hAnsiTheme="minorHAnsi" w:cstheme="minorHAnsi"/>
                <w:sz w:val="18"/>
              </w:rPr>
            </w:pPr>
            <w:r>
              <w:rPr>
                <w:rFonts w:asciiTheme="minorHAnsi" w:hAnsiTheme="minorHAnsi" w:cstheme="minorHAnsi"/>
                <w:sz w:val="18"/>
              </w:rPr>
              <w:t>Australasian Transplant Coordinators Association</w:t>
            </w:r>
            <w:r w:rsidRPr="00FA1F63">
              <w:rPr>
                <w:rFonts w:asciiTheme="minorHAnsi" w:hAnsiTheme="minorHAnsi" w:cstheme="minorHAnsi"/>
                <w:sz w:val="18"/>
              </w:rPr>
              <w:t xml:space="preserve"> (ATCA)</w:t>
            </w:r>
          </w:p>
          <w:p w14:paraId="42D74D13" w14:textId="77777777" w:rsidR="00EB728C" w:rsidRPr="00FA1F63" w:rsidRDefault="00EB728C" w:rsidP="00EB728C">
            <w:pPr>
              <w:pStyle w:val="ListParagraph"/>
              <w:widowControl/>
              <w:numPr>
                <w:ilvl w:val="0"/>
                <w:numId w:val="52"/>
              </w:numPr>
              <w:autoSpaceDE/>
              <w:autoSpaceDN/>
              <w:adjustRightInd/>
              <w:spacing w:after="0"/>
              <w:ind w:left="137" w:hanging="137"/>
              <w:rPr>
                <w:rFonts w:asciiTheme="minorHAnsi" w:hAnsiTheme="minorHAnsi" w:cstheme="minorHAnsi"/>
                <w:sz w:val="18"/>
              </w:rPr>
            </w:pPr>
            <w:r w:rsidRPr="00FA1F63">
              <w:rPr>
                <w:rFonts w:asciiTheme="minorHAnsi" w:hAnsiTheme="minorHAnsi" w:cstheme="minorHAnsi"/>
                <w:sz w:val="18"/>
              </w:rPr>
              <w:t>State based transplant Advisory Committees</w:t>
            </w:r>
          </w:p>
          <w:p w14:paraId="58B4B15C" w14:textId="77777777" w:rsidR="00EB728C" w:rsidRPr="00FA1F63" w:rsidRDefault="00EB728C" w:rsidP="00EB728C">
            <w:pPr>
              <w:pStyle w:val="ListParagraph"/>
              <w:widowControl/>
              <w:numPr>
                <w:ilvl w:val="0"/>
                <w:numId w:val="52"/>
              </w:numPr>
              <w:autoSpaceDE/>
              <w:autoSpaceDN/>
              <w:adjustRightInd/>
              <w:spacing w:after="0"/>
              <w:ind w:left="137" w:hanging="137"/>
              <w:rPr>
                <w:rFonts w:asciiTheme="minorHAnsi" w:hAnsiTheme="minorHAnsi" w:cstheme="minorHAnsi"/>
                <w:sz w:val="18"/>
              </w:rPr>
            </w:pPr>
            <w:r w:rsidRPr="00FA1F63">
              <w:rPr>
                <w:rFonts w:asciiTheme="minorHAnsi" w:hAnsiTheme="minorHAnsi" w:cstheme="minorHAnsi"/>
                <w:sz w:val="18"/>
              </w:rPr>
              <w:t>Transplant Liaison Reference Group (TLRG)</w:t>
            </w:r>
          </w:p>
          <w:p w14:paraId="2704FFFF" w14:textId="77777777" w:rsidR="00EB728C" w:rsidRPr="00FA1F63" w:rsidRDefault="00EB728C" w:rsidP="00EB728C">
            <w:pPr>
              <w:pStyle w:val="ListParagraph"/>
              <w:widowControl/>
              <w:numPr>
                <w:ilvl w:val="0"/>
                <w:numId w:val="52"/>
              </w:numPr>
              <w:autoSpaceDE/>
              <w:autoSpaceDN/>
              <w:adjustRightInd/>
              <w:spacing w:after="0"/>
              <w:ind w:left="137" w:hanging="137"/>
              <w:rPr>
                <w:rFonts w:asciiTheme="minorHAnsi" w:hAnsiTheme="minorHAnsi" w:cstheme="minorHAnsi"/>
                <w:sz w:val="18"/>
              </w:rPr>
            </w:pPr>
            <w:r w:rsidRPr="00FA1F63">
              <w:rPr>
                <w:rFonts w:asciiTheme="minorHAnsi" w:hAnsiTheme="minorHAnsi" w:cstheme="minorHAnsi"/>
                <w:sz w:val="18"/>
              </w:rPr>
              <w:t xml:space="preserve">Transplant Society Australia &amp; New Zealand (TSANZ) Council – </w:t>
            </w:r>
          </w:p>
          <w:p w14:paraId="05DDB0DB" w14:textId="77777777" w:rsidR="00EB728C" w:rsidRPr="00FA1F63" w:rsidRDefault="00EB728C" w:rsidP="00EB728C">
            <w:pPr>
              <w:widowControl/>
              <w:numPr>
                <w:ilvl w:val="0"/>
                <w:numId w:val="52"/>
              </w:numPr>
              <w:tabs>
                <w:tab w:val="num" w:pos="442"/>
              </w:tabs>
              <w:autoSpaceDE/>
              <w:autoSpaceDN/>
              <w:adjustRightInd/>
              <w:spacing w:after="0"/>
              <w:ind w:left="137" w:hanging="137"/>
              <w:rPr>
                <w:rFonts w:asciiTheme="minorHAnsi" w:hAnsiTheme="minorHAnsi" w:cstheme="minorHAnsi"/>
                <w:sz w:val="18"/>
              </w:rPr>
            </w:pPr>
            <w:r>
              <w:rPr>
                <w:rFonts w:asciiTheme="minorHAnsi" w:hAnsiTheme="minorHAnsi" w:cstheme="minorHAnsi"/>
                <w:sz w:val="18"/>
              </w:rPr>
              <w:t xml:space="preserve">Cardiac </w:t>
            </w:r>
            <w:r w:rsidRPr="00FA1F63">
              <w:rPr>
                <w:rFonts w:asciiTheme="minorHAnsi" w:hAnsiTheme="minorHAnsi" w:cstheme="minorHAnsi"/>
                <w:sz w:val="18"/>
              </w:rPr>
              <w:t>AC</w:t>
            </w:r>
          </w:p>
          <w:p w14:paraId="24D68585" w14:textId="77777777" w:rsidR="00EB728C" w:rsidRPr="00FA1F63" w:rsidRDefault="00EB728C" w:rsidP="00EB728C">
            <w:pPr>
              <w:widowControl/>
              <w:numPr>
                <w:ilvl w:val="0"/>
                <w:numId w:val="52"/>
              </w:numPr>
              <w:tabs>
                <w:tab w:val="num" w:pos="442"/>
              </w:tabs>
              <w:autoSpaceDE/>
              <w:autoSpaceDN/>
              <w:adjustRightInd/>
              <w:spacing w:after="0"/>
              <w:ind w:left="137" w:hanging="137"/>
              <w:rPr>
                <w:rFonts w:asciiTheme="minorHAnsi" w:hAnsiTheme="minorHAnsi" w:cstheme="minorHAnsi"/>
                <w:sz w:val="18"/>
              </w:rPr>
            </w:pPr>
            <w:r w:rsidRPr="00FA1F63">
              <w:rPr>
                <w:rFonts w:asciiTheme="minorHAnsi" w:hAnsiTheme="minorHAnsi" w:cstheme="minorHAnsi"/>
                <w:sz w:val="18"/>
              </w:rPr>
              <w:t>Liver &amp; Intestinal AC</w:t>
            </w:r>
          </w:p>
          <w:p w14:paraId="54CD0F7D" w14:textId="77777777" w:rsidR="00EB728C" w:rsidRPr="00FA1F63" w:rsidRDefault="00EB728C" w:rsidP="00EB728C">
            <w:pPr>
              <w:widowControl/>
              <w:numPr>
                <w:ilvl w:val="0"/>
                <w:numId w:val="52"/>
              </w:numPr>
              <w:tabs>
                <w:tab w:val="num" w:pos="442"/>
              </w:tabs>
              <w:autoSpaceDE/>
              <w:autoSpaceDN/>
              <w:adjustRightInd/>
              <w:spacing w:after="0"/>
              <w:ind w:left="137" w:hanging="137"/>
              <w:rPr>
                <w:rFonts w:asciiTheme="minorHAnsi" w:hAnsiTheme="minorHAnsi" w:cstheme="minorHAnsi"/>
                <w:sz w:val="18"/>
              </w:rPr>
            </w:pPr>
            <w:r w:rsidRPr="00FA1F63">
              <w:rPr>
                <w:rFonts w:asciiTheme="minorHAnsi" w:hAnsiTheme="minorHAnsi" w:cstheme="minorHAnsi"/>
                <w:sz w:val="18"/>
              </w:rPr>
              <w:t>Lung AC</w:t>
            </w:r>
          </w:p>
          <w:p w14:paraId="59D815E3" w14:textId="77777777" w:rsidR="00EB728C" w:rsidRPr="00FA1F63" w:rsidRDefault="00EB728C" w:rsidP="00EB728C">
            <w:pPr>
              <w:widowControl/>
              <w:numPr>
                <w:ilvl w:val="0"/>
                <w:numId w:val="52"/>
              </w:numPr>
              <w:tabs>
                <w:tab w:val="num" w:pos="442"/>
              </w:tabs>
              <w:autoSpaceDE/>
              <w:autoSpaceDN/>
              <w:adjustRightInd/>
              <w:spacing w:after="0"/>
              <w:ind w:left="137" w:hanging="137"/>
              <w:rPr>
                <w:rFonts w:asciiTheme="minorHAnsi" w:hAnsiTheme="minorHAnsi" w:cstheme="minorHAnsi"/>
                <w:sz w:val="18"/>
              </w:rPr>
            </w:pPr>
            <w:r w:rsidRPr="00FA1F63">
              <w:rPr>
                <w:rFonts w:asciiTheme="minorHAnsi" w:hAnsiTheme="minorHAnsi" w:cstheme="minorHAnsi"/>
                <w:sz w:val="18"/>
              </w:rPr>
              <w:t>Paed AC</w:t>
            </w:r>
          </w:p>
          <w:p w14:paraId="51CC7962" w14:textId="77777777" w:rsidR="00EB728C" w:rsidRDefault="00EB728C" w:rsidP="00EB728C">
            <w:pPr>
              <w:widowControl/>
              <w:numPr>
                <w:ilvl w:val="0"/>
                <w:numId w:val="52"/>
              </w:numPr>
              <w:tabs>
                <w:tab w:val="num" w:pos="442"/>
              </w:tabs>
              <w:autoSpaceDE/>
              <w:autoSpaceDN/>
              <w:adjustRightInd/>
              <w:spacing w:after="0"/>
              <w:ind w:left="137" w:hanging="137"/>
              <w:rPr>
                <w:rFonts w:asciiTheme="minorHAnsi" w:hAnsiTheme="minorHAnsi" w:cstheme="minorHAnsi"/>
                <w:sz w:val="18"/>
              </w:rPr>
            </w:pPr>
            <w:r w:rsidRPr="00FA1F63">
              <w:rPr>
                <w:rFonts w:asciiTheme="minorHAnsi" w:hAnsiTheme="minorHAnsi" w:cstheme="minorHAnsi"/>
                <w:sz w:val="18"/>
              </w:rPr>
              <w:t>Pancreas &amp; Islet AC</w:t>
            </w:r>
          </w:p>
          <w:p w14:paraId="2C598F3A" w14:textId="77777777" w:rsidR="00EB728C" w:rsidRPr="00FA1F63" w:rsidRDefault="00EB728C" w:rsidP="00EB728C">
            <w:pPr>
              <w:widowControl/>
              <w:numPr>
                <w:ilvl w:val="0"/>
                <w:numId w:val="52"/>
              </w:numPr>
              <w:tabs>
                <w:tab w:val="num" w:pos="442"/>
              </w:tabs>
              <w:autoSpaceDE/>
              <w:autoSpaceDN/>
              <w:adjustRightInd/>
              <w:spacing w:after="0"/>
              <w:ind w:left="137" w:hanging="137"/>
              <w:rPr>
                <w:rFonts w:asciiTheme="minorHAnsi" w:hAnsiTheme="minorHAnsi" w:cstheme="minorHAnsi"/>
                <w:sz w:val="18"/>
              </w:rPr>
            </w:pPr>
            <w:r>
              <w:rPr>
                <w:rFonts w:asciiTheme="minorHAnsi" w:hAnsiTheme="minorHAnsi" w:cstheme="minorHAnsi"/>
                <w:sz w:val="18"/>
              </w:rPr>
              <w:t>Renal Transplantation Advisory Committee (RTAC)</w:t>
            </w:r>
          </w:p>
          <w:p w14:paraId="02D869C2" w14:textId="77777777" w:rsidR="00EB728C" w:rsidRPr="00FA1F63" w:rsidRDefault="00EB728C" w:rsidP="003B3300">
            <w:pPr>
              <w:widowControl/>
              <w:autoSpaceDE/>
              <w:autoSpaceDN/>
              <w:adjustRightInd/>
              <w:spacing w:after="0"/>
              <w:ind w:left="137" w:hanging="137"/>
              <w:rPr>
                <w:rFonts w:asciiTheme="minorHAnsi" w:hAnsiTheme="minorHAnsi" w:cstheme="minorHAnsi"/>
                <w:sz w:val="18"/>
              </w:rPr>
            </w:pPr>
          </w:p>
          <w:p w14:paraId="435DE81B" w14:textId="77777777" w:rsidR="00EB728C" w:rsidRPr="00FA1F63" w:rsidRDefault="00EB728C" w:rsidP="003B3300">
            <w:pPr>
              <w:rPr>
                <w:rFonts w:asciiTheme="minorHAnsi" w:hAnsiTheme="minorHAnsi" w:cstheme="minorHAnsi"/>
                <w:b/>
                <w:sz w:val="18"/>
              </w:rPr>
            </w:pPr>
          </w:p>
        </w:tc>
        <w:tc>
          <w:tcPr>
            <w:tcW w:w="505" w:type="pct"/>
            <w:shd w:val="clear" w:color="auto" w:fill="FFFFFF" w:themeFill="background1"/>
          </w:tcPr>
          <w:p w14:paraId="049E293C" w14:textId="77777777" w:rsidR="00EB728C" w:rsidRPr="00FA1F63" w:rsidRDefault="00EB728C" w:rsidP="00EB728C">
            <w:pPr>
              <w:pStyle w:val="ListParagraph"/>
              <w:widowControl/>
              <w:numPr>
                <w:ilvl w:val="0"/>
                <w:numId w:val="52"/>
              </w:numPr>
              <w:autoSpaceDE/>
              <w:autoSpaceDN/>
              <w:adjustRightInd/>
              <w:spacing w:after="0"/>
              <w:ind w:left="176" w:hanging="141"/>
              <w:rPr>
                <w:rFonts w:asciiTheme="minorHAnsi" w:hAnsiTheme="minorHAnsi" w:cstheme="minorHAnsi"/>
                <w:sz w:val="18"/>
              </w:rPr>
            </w:pPr>
            <w:r>
              <w:rPr>
                <w:rFonts w:asciiTheme="minorHAnsi" w:hAnsiTheme="minorHAnsi" w:cstheme="minorHAnsi"/>
                <w:sz w:val="18"/>
              </w:rPr>
              <w:t>Australasian Transplant Coordinators Association</w:t>
            </w:r>
            <w:r w:rsidRPr="00FA1F63">
              <w:rPr>
                <w:rFonts w:asciiTheme="minorHAnsi" w:hAnsiTheme="minorHAnsi" w:cstheme="minorHAnsi"/>
                <w:sz w:val="18"/>
              </w:rPr>
              <w:t xml:space="preserve"> (ATCA)</w:t>
            </w:r>
          </w:p>
          <w:p w14:paraId="42A0899C" w14:textId="77777777" w:rsidR="00EB728C" w:rsidRPr="00FA1F63" w:rsidRDefault="00EB728C" w:rsidP="00EB728C">
            <w:pPr>
              <w:pStyle w:val="ListParagraph"/>
              <w:widowControl/>
              <w:numPr>
                <w:ilvl w:val="0"/>
                <w:numId w:val="52"/>
              </w:numPr>
              <w:autoSpaceDE/>
              <w:autoSpaceDN/>
              <w:adjustRightInd/>
              <w:spacing w:after="0"/>
              <w:ind w:left="176" w:hanging="141"/>
              <w:rPr>
                <w:rFonts w:asciiTheme="minorHAnsi" w:hAnsiTheme="minorHAnsi" w:cstheme="minorHAnsi"/>
                <w:sz w:val="18"/>
              </w:rPr>
            </w:pPr>
            <w:r w:rsidRPr="00FA1F63">
              <w:rPr>
                <w:rFonts w:asciiTheme="minorHAnsi" w:hAnsiTheme="minorHAnsi" w:cstheme="minorHAnsi"/>
                <w:sz w:val="18"/>
              </w:rPr>
              <w:t>Advisory Committees</w:t>
            </w:r>
          </w:p>
          <w:p w14:paraId="23CC02F6" w14:textId="77777777" w:rsidR="00EB728C" w:rsidRPr="00FA1F63" w:rsidRDefault="00EB728C" w:rsidP="00EB728C">
            <w:pPr>
              <w:pStyle w:val="ListParagraph"/>
              <w:widowControl/>
              <w:numPr>
                <w:ilvl w:val="0"/>
                <w:numId w:val="52"/>
              </w:numPr>
              <w:autoSpaceDE/>
              <w:autoSpaceDN/>
              <w:adjustRightInd/>
              <w:spacing w:after="0"/>
              <w:ind w:left="176" w:hanging="141"/>
              <w:rPr>
                <w:rFonts w:asciiTheme="minorHAnsi" w:hAnsiTheme="minorHAnsi" w:cstheme="minorHAnsi"/>
                <w:sz w:val="18"/>
              </w:rPr>
            </w:pPr>
            <w:r w:rsidRPr="00FA1F63">
              <w:rPr>
                <w:rFonts w:asciiTheme="minorHAnsi" w:hAnsiTheme="minorHAnsi" w:cstheme="minorHAnsi"/>
                <w:sz w:val="18"/>
              </w:rPr>
              <w:t>Transplant Liaison Reference Group (TLRG)</w:t>
            </w:r>
          </w:p>
          <w:p w14:paraId="649A5050" w14:textId="77777777" w:rsidR="00EB728C" w:rsidRPr="00FA1F63" w:rsidRDefault="00EB728C" w:rsidP="00EB728C">
            <w:pPr>
              <w:pStyle w:val="ListParagraph"/>
              <w:widowControl/>
              <w:numPr>
                <w:ilvl w:val="0"/>
                <w:numId w:val="52"/>
              </w:numPr>
              <w:autoSpaceDE/>
              <w:autoSpaceDN/>
              <w:adjustRightInd/>
              <w:spacing w:after="0"/>
              <w:ind w:left="176" w:hanging="141"/>
              <w:rPr>
                <w:rFonts w:asciiTheme="minorHAnsi" w:hAnsiTheme="minorHAnsi" w:cstheme="minorHAnsi"/>
                <w:sz w:val="18"/>
              </w:rPr>
            </w:pPr>
            <w:r w:rsidRPr="00FA1F63">
              <w:rPr>
                <w:rFonts w:asciiTheme="minorHAnsi" w:hAnsiTheme="minorHAnsi" w:cstheme="minorHAnsi"/>
                <w:sz w:val="18"/>
              </w:rPr>
              <w:t xml:space="preserve">Transplant Society Australia &amp; New Zealand (TSANZ) Council – </w:t>
            </w:r>
          </w:p>
          <w:p w14:paraId="0F07E8B4" w14:textId="77777777" w:rsidR="00EB728C" w:rsidRPr="00FA1F63" w:rsidRDefault="00EB728C" w:rsidP="00EB728C">
            <w:pPr>
              <w:widowControl/>
              <w:numPr>
                <w:ilvl w:val="0"/>
                <w:numId w:val="52"/>
              </w:numPr>
              <w:tabs>
                <w:tab w:val="num" w:pos="442"/>
              </w:tabs>
              <w:autoSpaceDE/>
              <w:autoSpaceDN/>
              <w:adjustRightInd/>
              <w:spacing w:after="0"/>
              <w:ind w:left="176" w:hanging="141"/>
              <w:rPr>
                <w:rFonts w:asciiTheme="minorHAnsi" w:hAnsiTheme="minorHAnsi" w:cstheme="minorHAnsi"/>
                <w:sz w:val="18"/>
              </w:rPr>
            </w:pPr>
            <w:r>
              <w:rPr>
                <w:rFonts w:asciiTheme="minorHAnsi" w:hAnsiTheme="minorHAnsi" w:cstheme="minorHAnsi"/>
                <w:sz w:val="18"/>
              </w:rPr>
              <w:t xml:space="preserve">Cardiac </w:t>
            </w:r>
            <w:r w:rsidRPr="00FA1F63">
              <w:rPr>
                <w:rFonts w:asciiTheme="minorHAnsi" w:hAnsiTheme="minorHAnsi" w:cstheme="minorHAnsi"/>
                <w:sz w:val="18"/>
              </w:rPr>
              <w:t>AC</w:t>
            </w:r>
          </w:p>
          <w:p w14:paraId="3D76FA7D" w14:textId="77777777" w:rsidR="00EB728C" w:rsidRPr="00FA1F63" w:rsidRDefault="00EB728C" w:rsidP="00EB728C">
            <w:pPr>
              <w:widowControl/>
              <w:numPr>
                <w:ilvl w:val="0"/>
                <w:numId w:val="52"/>
              </w:numPr>
              <w:tabs>
                <w:tab w:val="num" w:pos="442"/>
              </w:tabs>
              <w:autoSpaceDE/>
              <w:autoSpaceDN/>
              <w:adjustRightInd/>
              <w:spacing w:after="0"/>
              <w:ind w:left="176" w:hanging="141"/>
              <w:rPr>
                <w:rFonts w:asciiTheme="minorHAnsi" w:hAnsiTheme="minorHAnsi" w:cstheme="minorHAnsi"/>
                <w:sz w:val="18"/>
              </w:rPr>
            </w:pPr>
            <w:r w:rsidRPr="00FA1F63">
              <w:rPr>
                <w:rFonts w:asciiTheme="minorHAnsi" w:hAnsiTheme="minorHAnsi" w:cstheme="minorHAnsi"/>
                <w:sz w:val="18"/>
              </w:rPr>
              <w:t>Liver &amp; Intestinal AC</w:t>
            </w:r>
          </w:p>
          <w:p w14:paraId="187450A0" w14:textId="77777777" w:rsidR="00EB728C" w:rsidRPr="00FA1F63" w:rsidRDefault="00EB728C" w:rsidP="00EB728C">
            <w:pPr>
              <w:widowControl/>
              <w:numPr>
                <w:ilvl w:val="0"/>
                <w:numId w:val="52"/>
              </w:numPr>
              <w:tabs>
                <w:tab w:val="num" w:pos="442"/>
              </w:tabs>
              <w:autoSpaceDE/>
              <w:autoSpaceDN/>
              <w:adjustRightInd/>
              <w:spacing w:after="0"/>
              <w:ind w:left="176" w:hanging="141"/>
              <w:rPr>
                <w:rFonts w:asciiTheme="minorHAnsi" w:hAnsiTheme="minorHAnsi" w:cstheme="minorHAnsi"/>
                <w:sz w:val="18"/>
              </w:rPr>
            </w:pPr>
            <w:r w:rsidRPr="00FA1F63">
              <w:rPr>
                <w:rFonts w:asciiTheme="minorHAnsi" w:hAnsiTheme="minorHAnsi" w:cstheme="minorHAnsi"/>
                <w:sz w:val="18"/>
              </w:rPr>
              <w:t>Lung AC</w:t>
            </w:r>
          </w:p>
          <w:p w14:paraId="4145BAFA" w14:textId="77777777" w:rsidR="00EB728C" w:rsidRPr="00FA1F63" w:rsidRDefault="00EB728C" w:rsidP="00EB728C">
            <w:pPr>
              <w:widowControl/>
              <w:numPr>
                <w:ilvl w:val="0"/>
                <w:numId w:val="52"/>
              </w:numPr>
              <w:tabs>
                <w:tab w:val="num" w:pos="442"/>
              </w:tabs>
              <w:autoSpaceDE/>
              <w:autoSpaceDN/>
              <w:adjustRightInd/>
              <w:spacing w:after="0"/>
              <w:ind w:left="176" w:hanging="141"/>
              <w:rPr>
                <w:rFonts w:asciiTheme="minorHAnsi" w:hAnsiTheme="minorHAnsi" w:cstheme="minorHAnsi"/>
                <w:sz w:val="18"/>
              </w:rPr>
            </w:pPr>
            <w:r w:rsidRPr="00FA1F63">
              <w:rPr>
                <w:rFonts w:asciiTheme="minorHAnsi" w:hAnsiTheme="minorHAnsi" w:cstheme="minorHAnsi"/>
                <w:sz w:val="18"/>
              </w:rPr>
              <w:t>Paed AC</w:t>
            </w:r>
          </w:p>
          <w:p w14:paraId="2B22F325" w14:textId="77777777" w:rsidR="00EB728C" w:rsidRDefault="00EB728C" w:rsidP="00EB728C">
            <w:pPr>
              <w:widowControl/>
              <w:numPr>
                <w:ilvl w:val="0"/>
                <w:numId w:val="52"/>
              </w:numPr>
              <w:tabs>
                <w:tab w:val="num" w:pos="442"/>
              </w:tabs>
              <w:autoSpaceDE/>
              <w:autoSpaceDN/>
              <w:adjustRightInd/>
              <w:spacing w:after="0"/>
              <w:ind w:left="176" w:hanging="141"/>
              <w:rPr>
                <w:rFonts w:asciiTheme="minorHAnsi" w:hAnsiTheme="minorHAnsi" w:cstheme="minorHAnsi"/>
                <w:sz w:val="18"/>
              </w:rPr>
            </w:pPr>
            <w:r w:rsidRPr="00FA1F63">
              <w:rPr>
                <w:rFonts w:asciiTheme="minorHAnsi" w:hAnsiTheme="minorHAnsi" w:cstheme="minorHAnsi"/>
                <w:sz w:val="18"/>
              </w:rPr>
              <w:t>Pancreas &amp; Islet AC</w:t>
            </w:r>
          </w:p>
          <w:p w14:paraId="76D6A29D" w14:textId="77777777" w:rsidR="00EB728C" w:rsidRPr="00FA1F63" w:rsidRDefault="00EB728C" w:rsidP="00EB728C">
            <w:pPr>
              <w:widowControl/>
              <w:numPr>
                <w:ilvl w:val="0"/>
                <w:numId w:val="52"/>
              </w:numPr>
              <w:tabs>
                <w:tab w:val="num" w:pos="442"/>
              </w:tabs>
              <w:autoSpaceDE/>
              <w:autoSpaceDN/>
              <w:adjustRightInd/>
              <w:spacing w:after="0"/>
              <w:ind w:left="176" w:hanging="141"/>
              <w:rPr>
                <w:rFonts w:asciiTheme="minorHAnsi" w:hAnsiTheme="minorHAnsi" w:cstheme="minorHAnsi"/>
                <w:sz w:val="18"/>
              </w:rPr>
            </w:pPr>
            <w:r>
              <w:rPr>
                <w:rFonts w:asciiTheme="minorHAnsi" w:hAnsiTheme="minorHAnsi" w:cstheme="minorHAnsi"/>
                <w:sz w:val="18"/>
              </w:rPr>
              <w:t>Renal Transplantation Advisory Committee (RTAC)</w:t>
            </w:r>
          </w:p>
          <w:p w14:paraId="23294883" w14:textId="77777777" w:rsidR="00EB728C" w:rsidRPr="00FA1F63" w:rsidRDefault="00EB728C" w:rsidP="003B3300">
            <w:pPr>
              <w:rPr>
                <w:rFonts w:asciiTheme="minorHAnsi" w:hAnsiTheme="minorHAnsi" w:cstheme="minorHAnsi"/>
                <w:b/>
                <w:sz w:val="18"/>
              </w:rPr>
            </w:pPr>
          </w:p>
        </w:tc>
        <w:tc>
          <w:tcPr>
            <w:tcW w:w="633" w:type="pct"/>
            <w:shd w:val="clear" w:color="auto" w:fill="FFFFFF" w:themeFill="background1"/>
          </w:tcPr>
          <w:p w14:paraId="01CF9D97" w14:textId="77777777" w:rsidR="00EB728C" w:rsidRPr="00FA1F63" w:rsidRDefault="00EB728C" w:rsidP="00EB728C">
            <w:pPr>
              <w:pStyle w:val="ListParagraph"/>
              <w:widowControl/>
              <w:numPr>
                <w:ilvl w:val="0"/>
                <w:numId w:val="52"/>
              </w:numPr>
              <w:autoSpaceDE/>
              <w:autoSpaceDN/>
              <w:adjustRightInd/>
              <w:spacing w:after="0"/>
              <w:ind w:left="185" w:hanging="185"/>
              <w:rPr>
                <w:rFonts w:asciiTheme="minorHAnsi" w:hAnsiTheme="minorHAnsi" w:cstheme="minorHAnsi"/>
                <w:sz w:val="18"/>
              </w:rPr>
            </w:pPr>
            <w:r w:rsidRPr="00FA1F63">
              <w:rPr>
                <w:rFonts w:asciiTheme="minorHAnsi" w:hAnsiTheme="minorHAnsi" w:cstheme="minorHAnsi"/>
                <w:sz w:val="18"/>
              </w:rPr>
              <w:t>Australian College of Perioperative Nurses (ACORN)</w:t>
            </w:r>
          </w:p>
          <w:p w14:paraId="14DD4EB9" w14:textId="77777777" w:rsidR="00EB728C" w:rsidRPr="00FA1F63" w:rsidRDefault="00EB728C" w:rsidP="00EB728C">
            <w:pPr>
              <w:pStyle w:val="ListParagraph"/>
              <w:widowControl/>
              <w:numPr>
                <w:ilvl w:val="0"/>
                <w:numId w:val="52"/>
              </w:numPr>
              <w:autoSpaceDE/>
              <w:autoSpaceDN/>
              <w:adjustRightInd/>
              <w:spacing w:after="0"/>
              <w:ind w:left="185" w:hanging="185"/>
              <w:rPr>
                <w:rFonts w:asciiTheme="minorHAnsi" w:hAnsiTheme="minorHAnsi" w:cstheme="minorHAnsi"/>
                <w:sz w:val="18"/>
              </w:rPr>
            </w:pPr>
            <w:r>
              <w:rPr>
                <w:rFonts w:asciiTheme="minorHAnsi" w:hAnsiTheme="minorHAnsi" w:cstheme="minorHAnsi"/>
                <w:sz w:val="18"/>
              </w:rPr>
              <w:t>Australasian Transplant Coordinators Association</w:t>
            </w:r>
            <w:r w:rsidRPr="00FA1F63">
              <w:rPr>
                <w:rFonts w:asciiTheme="minorHAnsi" w:hAnsiTheme="minorHAnsi" w:cstheme="minorHAnsi"/>
                <w:sz w:val="18"/>
              </w:rPr>
              <w:t xml:space="preserve"> (ATCA)</w:t>
            </w:r>
          </w:p>
          <w:p w14:paraId="0921D0C6" w14:textId="77777777" w:rsidR="00EB728C" w:rsidRPr="00FA1F63" w:rsidRDefault="00EB728C" w:rsidP="00EB728C">
            <w:pPr>
              <w:pStyle w:val="ListParagraph"/>
              <w:widowControl/>
              <w:numPr>
                <w:ilvl w:val="0"/>
                <w:numId w:val="52"/>
              </w:numPr>
              <w:autoSpaceDE/>
              <w:autoSpaceDN/>
              <w:adjustRightInd/>
              <w:spacing w:after="0"/>
              <w:ind w:left="185" w:hanging="185"/>
              <w:rPr>
                <w:rFonts w:asciiTheme="minorHAnsi" w:hAnsiTheme="minorHAnsi" w:cstheme="minorHAnsi"/>
                <w:sz w:val="18"/>
              </w:rPr>
            </w:pPr>
            <w:r w:rsidRPr="00FA1F63">
              <w:rPr>
                <w:rFonts w:asciiTheme="minorHAnsi" w:hAnsiTheme="minorHAnsi" w:cstheme="minorHAnsi"/>
                <w:sz w:val="18"/>
              </w:rPr>
              <w:t>Royal Australian College of Surgeons (RACS)</w:t>
            </w:r>
          </w:p>
          <w:p w14:paraId="715303EF" w14:textId="77777777" w:rsidR="00EB728C" w:rsidRPr="00FA1F63" w:rsidRDefault="00EB728C" w:rsidP="00EB728C">
            <w:pPr>
              <w:pStyle w:val="ListParagraph"/>
              <w:widowControl/>
              <w:numPr>
                <w:ilvl w:val="0"/>
                <w:numId w:val="52"/>
              </w:numPr>
              <w:autoSpaceDE/>
              <w:autoSpaceDN/>
              <w:adjustRightInd/>
              <w:spacing w:after="0"/>
              <w:ind w:left="185" w:hanging="185"/>
              <w:rPr>
                <w:rFonts w:asciiTheme="minorHAnsi" w:hAnsiTheme="minorHAnsi" w:cstheme="minorHAnsi"/>
                <w:sz w:val="18"/>
              </w:rPr>
            </w:pPr>
            <w:r w:rsidRPr="00FA1F63">
              <w:rPr>
                <w:rFonts w:asciiTheme="minorHAnsi" w:hAnsiTheme="minorHAnsi" w:cstheme="minorHAnsi"/>
                <w:sz w:val="18"/>
              </w:rPr>
              <w:t>Transplant Nurses’ Association (TNA)</w:t>
            </w:r>
          </w:p>
          <w:p w14:paraId="18CAD705" w14:textId="77777777" w:rsidR="00EB728C" w:rsidRPr="00FA1F63" w:rsidRDefault="00EB728C" w:rsidP="00EB728C">
            <w:pPr>
              <w:pStyle w:val="ListParagraph"/>
              <w:widowControl/>
              <w:numPr>
                <w:ilvl w:val="0"/>
                <w:numId w:val="52"/>
              </w:numPr>
              <w:autoSpaceDE/>
              <w:autoSpaceDN/>
              <w:adjustRightInd/>
              <w:spacing w:after="0"/>
              <w:ind w:left="185" w:hanging="185"/>
              <w:rPr>
                <w:rFonts w:asciiTheme="minorHAnsi" w:hAnsiTheme="minorHAnsi" w:cstheme="minorHAnsi"/>
                <w:sz w:val="18"/>
              </w:rPr>
            </w:pPr>
            <w:r w:rsidRPr="00FA1F63">
              <w:rPr>
                <w:rFonts w:asciiTheme="minorHAnsi" w:hAnsiTheme="minorHAnsi" w:cstheme="minorHAnsi"/>
                <w:sz w:val="18"/>
              </w:rPr>
              <w:t xml:space="preserve">Transplant Society Australia &amp; New Zealand (TSANZ) Council – </w:t>
            </w:r>
          </w:p>
          <w:p w14:paraId="38A7A393" w14:textId="77777777" w:rsidR="00EB728C" w:rsidRPr="00FA1F63" w:rsidRDefault="00EB728C" w:rsidP="00EB728C">
            <w:pPr>
              <w:widowControl/>
              <w:numPr>
                <w:ilvl w:val="0"/>
                <w:numId w:val="52"/>
              </w:numPr>
              <w:tabs>
                <w:tab w:val="clear" w:pos="644"/>
                <w:tab w:val="num" w:pos="469"/>
              </w:tabs>
              <w:autoSpaceDE/>
              <w:autoSpaceDN/>
              <w:adjustRightInd/>
              <w:spacing w:after="0"/>
              <w:ind w:left="185" w:hanging="185"/>
              <w:rPr>
                <w:rFonts w:asciiTheme="minorHAnsi" w:hAnsiTheme="minorHAnsi" w:cstheme="minorHAnsi"/>
                <w:sz w:val="18"/>
              </w:rPr>
            </w:pPr>
            <w:r w:rsidRPr="00FA1F63">
              <w:rPr>
                <w:rFonts w:asciiTheme="minorHAnsi" w:hAnsiTheme="minorHAnsi" w:cstheme="minorHAnsi"/>
                <w:sz w:val="18"/>
              </w:rPr>
              <w:t>Donor Surgeons/ Donor Coordinator Advisory Committee(DSDCC)</w:t>
            </w:r>
          </w:p>
          <w:p w14:paraId="123B0031" w14:textId="77777777" w:rsidR="00EB728C" w:rsidRPr="00FA1F63" w:rsidRDefault="00EB728C" w:rsidP="00EB728C">
            <w:pPr>
              <w:widowControl/>
              <w:numPr>
                <w:ilvl w:val="0"/>
                <w:numId w:val="52"/>
              </w:numPr>
              <w:tabs>
                <w:tab w:val="num" w:pos="442"/>
              </w:tabs>
              <w:autoSpaceDE/>
              <w:autoSpaceDN/>
              <w:adjustRightInd/>
              <w:spacing w:after="0"/>
              <w:ind w:left="185" w:hanging="185"/>
              <w:rPr>
                <w:rFonts w:asciiTheme="minorHAnsi" w:hAnsiTheme="minorHAnsi" w:cstheme="minorHAnsi"/>
                <w:sz w:val="18"/>
              </w:rPr>
            </w:pPr>
            <w:r>
              <w:rPr>
                <w:rFonts w:asciiTheme="minorHAnsi" w:hAnsiTheme="minorHAnsi" w:cstheme="minorHAnsi"/>
                <w:sz w:val="18"/>
              </w:rPr>
              <w:t xml:space="preserve">Cardiac </w:t>
            </w:r>
            <w:r w:rsidRPr="00FA1F63">
              <w:rPr>
                <w:rFonts w:asciiTheme="minorHAnsi" w:hAnsiTheme="minorHAnsi" w:cstheme="minorHAnsi"/>
                <w:sz w:val="18"/>
              </w:rPr>
              <w:t>AC</w:t>
            </w:r>
          </w:p>
          <w:p w14:paraId="7C831DB5" w14:textId="77777777" w:rsidR="00EB728C" w:rsidRPr="00FA1F63" w:rsidRDefault="00EB728C" w:rsidP="00EB728C">
            <w:pPr>
              <w:widowControl/>
              <w:numPr>
                <w:ilvl w:val="0"/>
                <w:numId w:val="52"/>
              </w:numPr>
              <w:tabs>
                <w:tab w:val="num" w:pos="442"/>
              </w:tabs>
              <w:autoSpaceDE/>
              <w:autoSpaceDN/>
              <w:adjustRightInd/>
              <w:spacing w:after="0"/>
              <w:ind w:left="185" w:hanging="185"/>
              <w:rPr>
                <w:rFonts w:asciiTheme="minorHAnsi" w:hAnsiTheme="minorHAnsi" w:cstheme="minorHAnsi"/>
                <w:sz w:val="18"/>
              </w:rPr>
            </w:pPr>
            <w:r w:rsidRPr="00FA1F63">
              <w:rPr>
                <w:rFonts w:asciiTheme="minorHAnsi" w:hAnsiTheme="minorHAnsi" w:cstheme="minorHAnsi"/>
                <w:sz w:val="18"/>
              </w:rPr>
              <w:t>Liver &amp; Intestinal AC</w:t>
            </w:r>
          </w:p>
          <w:p w14:paraId="4D1794A6" w14:textId="77777777" w:rsidR="00EB728C" w:rsidRPr="00FA1F63" w:rsidRDefault="00EB728C" w:rsidP="00EB728C">
            <w:pPr>
              <w:widowControl/>
              <w:numPr>
                <w:ilvl w:val="0"/>
                <w:numId w:val="52"/>
              </w:numPr>
              <w:tabs>
                <w:tab w:val="num" w:pos="442"/>
              </w:tabs>
              <w:autoSpaceDE/>
              <w:autoSpaceDN/>
              <w:adjustRightInd/>
              <w:spacing w:after="0"/>
              <w:ind w:left="185" w:hanging="185"/>
              <w:rPr>
                <w:rFonts w:asciiTheme="minorHAnsi" w:hAnsiTheme="minorHAnsi" w:cstheme="minorHAnsi"/>
                <w:sz w:val="18"/>
              </w:rPr>
            </w:pPr>
            <w:r w:rsidRPr="00FA1F63">
              <w:rPr>
                <w:rFonts w:asciiTheme="minorHAnsi" w:hAnsiTheme="minorHAnsi" w:cstheme="minorHAnsi"/>
                <w:sz w:val="18"/>
              </w:rPr>
              <w:t>Lung AC</w:t>
            </w:r>
          </w:p>
          <w:p w14:paraId="1CAE93BA" w14:textId="77777777" w:rsidR="00EB728C" w:rsidRPr="00FA1F63" w:rsidRDefault="00EB728C" w:rsidP="00EB728C">
            <w:pPr>
              <w:widowControl/>
              <w:numPr>
                <w:ilvl w:val="0"/>
                <w:numId w:val="52"/>
              </w:numPr>
              <w:tabs>
                <w:tab w:val="num" w:pos="442"/>
              </w:tabs>
              <w:autoSpaceDE/>
              <w:autoSpaceDN/>
              <w:adjustRightInd/>
              <w:spacing w:after="0"/>
              <w:ind w:left="185" w:hanging="185"/>
              <w:rPr>
                <w:rFonts w:asciiTheme="minorHAnsi" w:hAnsiTheme="minorHAnsi" w:cstheme="minorHAnsi"/>
                <w:sz w:val="18"/>
              </w:rPr>
            </w:pPr>
            <w:r w:rsidRPr="00FA1F63">
              <w:rPr>
                <w:rFonts w:asciiTheme="minorHAnsi" w:hAnsiTheme="minorHAnsi" w:cstheme="minorHAnsi"/>
                <w:sz w:val="18"/>
              </w:rPr>
              <w:t>Paed AC</w:t>
            </w:r>
          </w:p>
          <w:p w14:paraId="7065FDDD" w14:textId="77777777" w:rsidR="00EB728C" w:rsidRDefault="00EB728C" w:rsidP="00EB728C">
            <w:pPr>
              <w:widowControl/>
              <w:numPr>
                <w:ilvl w:val="0"/>
                <w:numId w:val="52"/>
              </w:numPr>
              <w:tabs>
                <w:tab w:val="num" w:pos="442"/>
              </w:tabs>
              <w:autoSpaceDE/>
              <w:autoSpaceDN/>
              <w:adjustRightInd/>
              <w:spacing w:after="0"/>
              <w:ind w:left="185" w:hanging="185"/>
              <w:rPr>
                <w:rFonts w:asciiTheme="minorHAnsi" w:hAnsiTheme="minorHAnsi" w:cstheme="minorHAnsi"/>
                <w:sz w:val="18"/>
              </w:rPr>
            </w:pPr>
            <w:r w:rsidRPr="00FA1F63">
              <w:rPr>
                <w:rFonts w:asciiTheme="minorHAnsi" w:hAnsiTheme="minorHAnsi" w:cstheme="minorHAnsi"/>
                <w:sz w:val="18"/>
              </w:rPr>
              <w:t>Pancreas &amp; Islet AC</w:t>
            </w:r>
          </w:p>
          <w:p w14:paraId="13C90970" w14:textId="77777777" w:rsidR="00EB728C" w:rsidRPr="00FA1F63" w:rsidRDefault="00EB728C" w:rsidP="00EB728C">
            <w:pPr>
              <w:widowControl/>
              <w:numPr>
                <w:ilvl w:val="0"/>
                <w:numId w:val="52"/>
              </w:numPr>
              <w:tabs>
                <w:tab w:val="num" w:pos="442"/>
              </w:tabs>
              <w:autoSpaceDE/>
              <w:autoSpaceDN/>
              <w:adjustRightInd/>
              <w:spacing w:after="0"/>
              <w:ind w:left="185" w:hanging="185"/>
              <w:rPr>
                <w:rFonts w:asciiTheme="minorHAnsi" w:hAnsiTheme="minorHAnsi" w:cstheme="minorHAnsi"/>
                <w:sz w:val="18"/>
              </w:rPr>
            </w:pPr>
            <w:r>
              <w:rPr>
                <w:rFonts w:asciiTheme="minorHAnsi" w:hAnsiTheme="minorHAnsi" w:cstheme="minorHAnsi"/>
                <w:sz w:val="18"/>
              </w:rPr>
              <w:t>Renal Transplantation Advisory Committee (RTAC)</w:t>
            </w:r>
          </w:p>
          <w:p w14:paraId="227BD4CC" w14:textId="77777777" w:rsidR="00EB728C" w:rsidRPr="00FA1F63" w:rsidRDefault="00EB728C" w:rsidP="003B3300">
            <w:pPr>
              <w:rPr>
                <w:rFonts w:asciiTheme="minorHAnsi" w:hAnsiTheme="minorHAnsi" w:cstheme="minorHAnsi"/>
                <w:b/>
                <w:sz w:val="18"/>
              </w:rPr>
            </w:pPr>
          </w:p>
        </w:tc>
        <w:tc>
          <w:tcPr>
            <w:tcW w:w="683" w:type="pct"/>
            <w:shd w:val="clear" w:color="auto" w:fill="FFFFFF" w:themeFill="background1"/>
          </w:tcPr>
          <w:p w14:paraId="039F580D" w14:textId="77777777" w:rsidR="00EB728C" w:rsidRPr="00FA1F63" w:rsidRDefault="00EB728C" w:rsidP="00EB728C">
            <w:pPr>
              <w:pStyle w:val="ListParagraph"/>
              <w:widowControl/>
              <w:numPr>
                <w:ilvl w:val="0"/>
                <w:numId w:val="52"/>
              </w:numPr>
              <w:autoSpaceDE/>
              <w:autoSpaceDN/>
              <w:adjustRightInd/>
              <w:spacing w:after="0"/>
              <w:ind w:left="176" w:hanging="176"/>
              <w:rPr>
                <w:rFonts w:asciiTheme="minorHAnsi" w:hAnsiTheme="minorHAnsi" w:cstheme="minorHAnsi"/>
                <w:sz w:val="18"/>
              </w:rPr>
            </w:pPr>
            <w:r w:rsidRPr="00FA1F63">
              <w:rPr>
                <w:rFonts w:asciiTheme="minorHAnsi" w:hAnsiTheme="minorHAnsi" w:cstheme="minorHAnsi"/>
                <w:sz w:val="18"/>
              </w:rPr>
              <w:t>Australian College of Perioperative Nurses (ACORN)</w:t>
            </w:r>
          </w:p>
          <w:p w14:paraId="13019835" w14:textId="77777777" w:rsidR="00EB728C" w:rsidRPr="00FA1F63" w:rsidRDefault="00EB728C" w:rsidP="00EB728C">
            <w:pPr>
              <w:pStyle w:val="ListParagraph"/>
              <w:widowControl/>
              <w:numPr>
                <w:ilvl w:val="0"/>
                <w:numId w:val="52"/>
              </w:numPr>
              <w:autoSpaceDE/>
              <w:autoSpaceDN/>
              <w:adjustRightInd/>
              <w:spacing w:after="0"/>
              <w:ind w:left="176" w:hanging="176"/>
              <w:rPr>
                <w:rFonts w:asciiTheme="minorHAnsi" w:hAnsiTheme="minorHAnsi" w:cstheme="minorHAnsi"/>
                <w:sz w:val="18"/>
              </w:rPr>
            </w:pPr>
            <w:r w:rsidRPr="00FA1F63">
              <w:rPr>
                <w:rFonts w:asciiTheme="minorHAnsi" w:hAnsiTheme="minorHAnsi" w:cstheme="minorHAnsi"/>
                <w:sz w:val="18"/>
              </w:rPr>
              <w:t>Royal Australian College of Surgeons (RACS)</w:t>
            </w:r>
          </w:p>
          <w:p w14:paraId="3F38E68C" w14:textId="77777777" w:rsidR="00EB728C" w:rsidRPr="00FA1F63" w:rsidRDefault="00EB728C" w:rsidP="00EB728C">
            <w:pPr>
              <w:pStyle w:val="ListParagraph"/>
              <w:widowControl/>
              <w:numPr>
                <w:ilvl w:val="0"/>
                <w:numId w:val="52"/>
              </w:numPr>
              <w:autoSpaceDE/>
              <w:autoSpaceDN/>
              <w:adjustRightInd/>
              <w:spacing w:after="0"/>
              <w:ind w:left="176" w:hanging="176"/>
              <w:rPr>
                <w:rFonts w:asciiTheme="minorHAnsi" w:hAnsiTheme="minorHAnsi" w:cstheme="minorHAnsi"/>
                <w:sz w:val="18"/>
              </w:rPr>
            </w:pPr>
            <w:r w:rsidRPr="00FA1F63">
              <w:rPr>
                <w:rFonts w:asciiTheme="minorHAnsi" w:hAnsiTheme="minorHAnsi" w:cstheme="minorHAnsi"/>
                <w:sz w:val="18"/>
              </w:rPr>
              <w:t>State based transplant Advisory Committees</w:t>
            </w:r>
          </w:p>
          <w:p w14:paraId="04F152AB" w14:textId="77777777" w:rsidR="00EB728C" w:rsidRPr="00FA1F63" w:rsidRDefault="00EB728C" w:rsidP="00EB728C">
            <w:pPr>
              <w:pStyle w:val="ListParagraph"/>
              <w:widowControl/>
              <w:numPr>
                <w:ilvl w:val="0"/>
                <w:numId w:val="52"/>
              </w:numPr>
              <w:autoSpaceDE/>
              <w:autoSpaceDN/>
              <w:adjustRightInd/>
              <w:spacing w:after="0"/>
              <w:ind w:left="176" w:hanging="176"/>
              <w:rPr>
                <w:rFonts w:asciiTheme="minorHAnsi" w:hAnsiTheme="minorHAnsi" w:cstheme="minorHAnsi"/>
                <w:sz w:val="18"/>
              </w:rPr>
            </w:pPr>
            <w:r w:rsidRPr="00FA1F63">
              <w:rPr>
                <w:rFonts w:asciiTheme="minorHAnsi" w:hAnsiTheme="minorHAnsi" w:cstheme="minorHAnsi"/>
                <w:sz w:val="18"/>
              </w:rPr>
              <w:t>Transplant Liaison Reference Group (TLRG)</w:t>
            </w:r>
          </w:p>
          <w:p w14:paraId="38FD1A60" w14:textId="77777777" w:rsidR="00EB728C" w:rsidRPr="00FA1F63" w:rsidRDefault="00EB728C" w:rsidP="00EB728C">
            <w:pPr>
              <w:pStyle w:val="ListParagraph"/>
              <w:widowControl/>
              <w:numPr>
                <w:ilvl w:val="0"/>
                <w:numId w:val="52"/>
              </w:numPr>
              <w:autoSpaceDE/>
              <w:autoSpaceDN/>
              <w:adjustRightInd/>
              <w:spacing w:after="0"/>
              <w:ind w:left="176" w:hanging="176"/>
              <w:rPr>
                <w:rFonts w:asciiTheme="minorHAnsi" w:hAnsiTheme="minorHAnsi" w:cstheme="minorHAnsi"/>
                <w:sz w:val="18"/>
              </w:rPr>
            </w:pPr>
            <w:r w:rsidRPr="00FA1F63">
              <w:rPr>
                <w:rFonts w:asciiTheme="minorHAnsi" w:hAnsiTheme="minorHAnsi" w:cstheme="minorHAnsi"/>
                <w:sz w:val="18"/>
              </w:rPr>
              <w:t>Transplant Nurses’ Association (TNA)</w:t>
            </w:r>
          </w:p>
          <w:p w14:paraId="60E9ADD0" w14:textId="77777777" w:rsidR="00EB728C" w:rsidRPr="00FA1F63" w:rsidRDefault="00EB728C" w:rsidP="00EB728C">
            <w:pPr>
              <w:pStyle w:val="ListParagraph"/>
              <w:widowControl/>
              <w:numPr>
                <w:ilvl w:val="0"/>
                <w:numId w:val="52"/>
              </w:numPr>
              <w:autoSpaceDE/>
              <w:autoSpaceDN/>
              <w:adjustRightInd/>
              <w:spacing w:after="0"/>
              <w:ind w:left="176" w:hanging="176"/>
              <w:rPr>
                <w:rFonts w:asciiTheme="minorHAnsi" w:hAnsiTheme="minorHAnsi" w:cstheme="minorHAnsi"/>
                <w:sz w:val="18"/>
              </w:rPr>
            </w:pPr>
            <w:r w:rsidRPr="00FA1F63">
              <w:rPr>
                <w:rFonts w:asciiTheme="minorHAnsi" w:hAnsiTheme="minorHAnsi" w:cstheme="minorHAnsi"/>
                <w:sz w:val="18"/>
              </w:rPr>
              <w:t xml:space="preserve">Transplant Society Australia &amp; New Zealand (TSANZ) Council </w:t>
            </w:r>
          </w:p>
          <w:p w14:paraId="7FBDF5B3" w14:textId="77777777" w:rsidR="00EB728C" w:rsidRPr="00FA1F63" w:rsidRDefault="00EB728C" w:rsidP="00EB728C">
            <w:pPr>
              <w:widowControl/>
              <w:numPr>
                <w:ilvl w:val="0"/>
                <w:numId w:val="52"/>
              </w:numPr>
              <w:tabs>
                <w:tab w:val="clear" w:pos="644"/>
                <w:tab w:val="num" w:pos="460"/>
              </w:tabs>
              <w:autoSpaceDE/>
              <w:autoSpaceDN/>
              <w:adjustRightInd/>
              <w:spacing w:after="0"/>
              <w:ind w:left="176" w:hanging="176"/>
              <w:rPr>
                <w:rFonts w:asciiTheme="minorHAnsi" w:hAnsiTheme="minorHAnsi" w:cstheme="minorHAnsi"/>
                <w:sz w:val="18"/>
              </w:rPr>
            </w:pPr>
            <w:r w:rsidRPr="00FA1F63">
              <w:rPr>
                <w:rFonts w:asciiTheme="minorHAnsi" w:hAnsiTheme="minorHAnsi" w:cstheme="minorHAnsi"/>
                <w:sz w:val="18"/>
              </w:rPr>
              <w:t>Donor Surgeons/ Donor Coordinator Advisory Committee(DSDCC)</w:t>
            </w:r>
          </w:p>
          <w:p w14:paraId="3587DEDF" w14:textId="77777777" w:rsidR="00EB728C" w:rsidRPr="00FA1F63" w:rsidRDefault="00EB728C" w:rsidP="00EB728C">
            <w:pPr>
              <w:widowControl/>
              <w:numPr>
                <w:ilvl w:val="0"/>
                <w:numId w:val="52"/>
              </w:numPr>
              <w:tabs>
                <w:tab w:val="num" w:pos="442"/>
              </w:tabs>
              <w:autoSpaceDE/>
              <w:autoSpaceDN/>
              <w:adjustRightInd/>
              <w:spacing w:after="0"/>
              <w:ind w:left="176" w:hanging="176"/>
              <w:rPr>
                <w:rFonts w:asciiTheme="minorHAnsi" w:hAnsiTheme="minorHAnsi" w:cstheme="minorHAnsi"/>
                <w:sz w:val="18"/>
              </w:rPr>
            </w:pPr>
            <w:r>
              <w:rPr>
                <w:rFonts w:asciiTheme="minorHAnsi" w:hAnsiTheme="minorHAnsi" w:cstheme="minorHAnsi"/>
                <w:sz w:val="18"/>
              </w:rPr>
              <w:t xml:space="preserve">Cardiac </w:t>
            </w:r>
            <w:r w:rsidRPr="00FA1F63">
              <w:rPr>
                <w:rFonts w:asciiTheme="minorHAnsi" w:hAnsiTheme="minorHAnsi" w:cstheme="minorHAnsi"/>
                <w:sz w:val="18"/>
              </w:rPr>
              <w:t>AC</w:t>
            </w:r>
          </w:p>
          <w:p w14:paraId="387DDAD1" w14:textId="77777777" w:rsidR="00EB728C" w:rsidRPr="00FA1F63" w:rsidRDefault="00EB728C" w:rsidP="00EB728C">
            <w:pPr>
              <w:widowControl/>
              <w:numPr>
                <w:ilvl w:val="0"/>
                <w:numId w:val="52"/>
              </w:numPr>
              <w:tabs>
                <w:tab w:val="num" w:pos="442"/>
              </w:tabs>
              <w:autoSpaceDE/>
              <w:autoSpaceDN/>
              <w:adjustRightInd/>
              <w:spacing w:after="0"/>
              <w:ind w:left="176" w:hanging="176"/>
              <w:rPr>
                <w:rFonts w:asciiTheme="minorHAnsi" w:hAnsiTheme="minorHAnsi" w:cstheme="minorHAnsi"/>
                <w:sz w:val="18"/>
              </w:rPr>
            </w:pPr>
            <w:r w:rsidRPr="00FA1F63">
              <w:rPr>
                <w:rFonts w:asciiTheme="minorHAnsi" w:hAnsiTheme="minorHAnsi" w:cstheme="minorHAnsi"/>
                <w:sz w:val="18"/>
              </w:rPr>
              <w:t>Liver &amp; Intestinal AC</w:t>
            </w:r>
          </w:p>
          <w:p w14:paraId="4F405A8B" w14:textId="77777777" w:rsidR="00EB728C" w:rsidRPr="00FA1F63" w:rsidRDefault="00EB728C" w:rsidP="00EB728C">
            <w:pPr>
              <w:widowControl/>
              <w:numPr>
                <w:ilvl w:val="0"/>
                <w:numId w:val="52"/>
              </w:numPr>
              <w:tabs>
                <w:tab w:val="num" w:pos="442"/>
              </w:tabs>
              <w:autoSpaceDE/>
              <w:autoSpaceDN/>
              <w:adjustRightInd/>
              <w:spacing w:after="0"/>
              <w:ind w:left="176" w:hanging="176"/>
              <w:rPr>
                <w:rFonts w:asciiTheme="minorHAnsi" w:hAnsiTheme="minorHAnsi" w:cstheme="minorHAnsi"/>
                <w:sz w:val="18"/>
              </w:rPr>
            </w:pPr>
            <w:r w:rsidRPr="00FA1F63">
              <w:rPr>
                <w:rFonts w:asciiTheme="minorHAnsi" w:hAnsiTheme="minorHAnsi" w:cstheme="minorHAnsi"/>
                <w:sz w:val="18"/>
              </w:rPr>
              <w:t>Lung AC</w:t>
            </w:r>
          </w:p>
          <w:p w14:paraId="72DE5F6F" w14:textId="77777777" w:rsidR="00EB728C" w:rsidRPr="00FA1F63" w:rsidRDefault="00EB728C" w:rsidP="00EB728C">
            <w:pPr>
              <w:widowControl/>
              <w:numPr>
                <w:ilvl w:val="0"/>
                <w:numId w:val="52"/>
              </w:numPr>
              <w:tabs>
                <w:tab w:val="num" w:pos="442"/>
              </w:tabs>
              <w:autoSpaceDE/>
              <w:autoSpaceDN/>
              <w:adjustRightInd/>
              <w:spacing w:after="0"/>
              <w:ind w:left="176" w:hanging="176"/>
              <w:rPr>
                <w:rFonts w:asciiTheme="minorHAnsi" w:hAnsiTheme="minorHAnsi" w:cstheme="minorHAnsi"/>
                <w:sz w:val="18"/>
              </w:rPr>
            </w:pPr>
            <w:r w:rsidRPr="00FA1F63">
              <w:rPr>
                <w:rFonts w:asciiTheme="minorHAnsi" w:hAnsiTheme="minorHAnsi" w:cstheme="minorHAnsi"/>
                <w:sz w:val="18"/>
              </w:rPr>
              <w:t>Paed AC</w:t>
            </w:r>
          </w:p>
          <w:p w14:paraId="58001677" w14:textId="77777777" w:rsidR="00EB728C" w:rsidRDefault="00EB728C" w:rsidP="00EB728C">
            <w:pPr>
              <w:widowControl/>
              <w:numPr>
                <w:ilvl w:val="0"/>
                <w:numId w:val="52"/>
              </w:numPr>
              <w:tabs>
                <w:tab w:val="num" w:pos="442"/>
              </w:tabs>
              <w:autoSpaceDE/>
              <w:autoSpaceDN/>
              <w:adjustRightInd/>
              <w:spacing w:after="0"/>
              <w:ind w:left="176" w:hanging="176"/>
              <w:rPr>
                <w:rFonts w:asciiTheme="minorHAnsi" w:hAnsiTheme="minorHAnsi" w:cstheme="minorHAnsi"/>
                <w:sz w:val="18"/>
              </w:rPr>
            </w:pPr>
            <w:r w:rsidRPr="00FA1F63">
              <w:rPr>
                <w:rFonts w:asciiTheme="minorHAnsi" w:hAnsiTheme="minorHAnsi" w:cstheme="minorHAnsi"/>
                <w:sz w:val="18"/>
              </w:rPr>
              <w:t>Pancreas &amp; Islet AC</w:t>
            </w:r>
          </w:p>
          <w:p w14:paraId="166AB7DD" w14:textId="77777777" w:rsidR="00EB728C" w:rsidRPr="00FA1F63" w:rsidRDefault="00EB728C" w:rsidP="00EB728C">
            <w:pPr>
              <w:widowControl/>
              <w:numPr>
                <w:ilvl w:val="0"/>
                <w:numId w:val="52"/>
              </w:numPr>
              <w:tabs>
                <w:tab w:val="num" w:pos="442"/>
              </w:tabs>
              <w:autoSpaceDE/>
              <w:autoSpaceDN/>
              <w:adjustRightInd/>
              <w:spacing w:after="0"/>
              <w:ind w:left="176" w:hanging="176"/>
              <w:rPr>
                <w:rFonts w:asciiTheme="minorHAnsi" w:hAnsiTheme="minorHAnsi" w:cstheme="minorHAnsi"/>
                <w:sz w:val="18"/>
              </w:rPr>
            </w:pPr>
            <w:r>
              <w:rPr>
                <w:rFonts w:asciiTheme="minorHAnsi" w:hAnsiTheme="minorHAnsi" w:cstheme="minorHAnsi"/>
                <w:sz w:val="18"/>
              </w:rPr>
              <w:t>Renal Transplantation Advisory Committee (RTAC)</w:t>
            </w:r>
          </w:p>
          <w:p w14:paraId="171C4A97" w14:textId="77777777" w:rsidR="00EB728C" w:rsidRPr="00FA1F63" w:rsidRDefault="00EB728C" w:rsidP="003B3300">
            <w:pPr>
              <w:rPr>
                <w:rFonts w:asciiTheme="minorHAnsi" w:hAnsiTheme="minorHAnsi" w:cstheme="minorHAnsi"/>
                <w:b/>
                <w:sz w:val="18"/>
              </w:rPr>
            </w:pPr>
          </w:p>
        </w:tc>
        <w:tc>
          <w:tcPr>
            <w:tcW w:w="954" w:type="pct"/>
            <w:shd w:val="clear" w:color="auto" w:fill="FFFFFF" w:themeFill="background1"/>
          </w:tcPr>
          <w:p w14:paraId="33664A43" w14:textId="77777777" w:rsidR="00EB728C" w:rsidRPr="00FA1F63" w:rsidRDefault="00EB728C" w:rsidP="00EB728C">
            <w:pPr>
              <w:pStyle w:val="ListParagraph"/>
              <w:widowControl/>
              <w:numPr>
                <w:ilvl w:val="0"/>
                <w:numId w:val="52"/>
              </w:numPr>
              <w:autoSpaceDE/>
              <w:autoSpaceDN/>
              <w:adjustRightInd/>
              <w:spacing w:after="0"/>
              <w:ind w:left="143" w:hanging="142"/>
              <w:rPr>
                <w:rFonts w:asciiTheme="minorHAnsi" w:hAnsiTheme="minorHAnsi" w:cstheme="minorHAnsi"/>
                <w:sz w:val="18"/>
              </w:rPr>
            </w:pPr>
            <w:r w:rsidRPr="00FA1F63">
              <w:rPr>
                <w:rFonts w:asciiTheme="minorHAnsi" w:hAnsiTheme="minorHAnsi" w:cstheme="minorHAnsi"/>
                <w:sz w:val="18"/>
              </w:rPr>
              <w:t xml:space="preserve">Australia &amp; NZ Organ Donation Registry (ANZOD) and Organ Specific Registries </w:t>
            </w:r>
          </w:p>
          <w:p w14:paraId="763BCA26" w14:textId="77777777" w:rsidR="00EB728C" w:rsidRPr="00FA1F63" w:rsidRDefault="00EB728C" w:rsidP="00EB728C">
            <w:pPr>
              <w:widowControl/>
              <w:numPr>
                <w:ilvl w:val="0"/>
                <w:numId w:val="52"/>
              </w:numPr>
              <w:tabs>
                <w:tab w:val="clear" w:pos="644"/>
                <w:tab w:val="num" w:pos="285"/>
              </w:tabs>
              <w:autoSpaceDE/>
              <w:autoSpaceDN/>
              <w:adjustRightInd/>
              <w:spacing w:after="0"/>
              <w:ind w:left="285" w:hanging="142"/>
              <w:rPr>
                <w:rFonts w:asciiTheme="minorHAnsi" w:hAnsiTheme="minorHAnsi" w:cstheme="minorHAnsi"/>
                <w:sz w:val="18"/>
              </w:rPr>
            </w:pPr>
            <w:r w:rsidRPr="00FA1F63">
              <w:rPr>
                <w:rFonts w:asciiTheme="minorHAnsi" w:hAnsiTheme="minorHAnsi" w:cstheme="minorHAnsi"/>
                <w:sz w:val="18"/>
              </w:rPr>
              <w:t>Dialysis and Transplant Registry (ANZDATA)</w:t>
            </w:r>
          </w:p>
          <w:p w14:paraId="6EC6FD87" w14:textId="77777777" w:rsidR="00EB728C" w:rsidRPr="00FA1F63" w:rsidRDefault="00EB728C" w:rsidP="00EB728C">
            <w:pPr>
              <w:widowControl/>
              <w:numPr>
                <w:ilvl w:val="0"/>
                <w:numId w:val="52"/>
              </w:numPr>
              <w:tabs>
                <w:tab w:val="clear" w:pos="644"/>
                <w:tab w:val="num" w:pos="285"/>
              </w:tabs>
              <w:autoSpaceDE/>
              <w:autoSpaceDN/>
              <w:adjustRightInd/>
              <w:spacing w:after="0"/>
              <w:ind w:left="285" w:hanging="142"/>
              <w:rPr>
                <w:rFonts w:asciiTheme="minorHAnsi" w:hAnsiTheme="minorHAnsi" w:cstheme="minorHAnsi"/>
                <w:sz w:val="18"/>
              </w:rPr>
            </w:pPr>
            <w:r w:rsidRPr="00FA1F63">
              <w:rPr>
                <w:rFonts w:asciiTheme="minorHAnsi" w:hAnsiTheme="minorHAnsi" w:cstheme="minorHAnsi"/>
                <w:sz w:val="18"/>
              </w:rPr>
              <w:t>Islet and Pancreas Transplant Registry (ANZIPTR),</w:t>
            </w:r>
          </w:p>
          <w:p w14:paraId="62F90945" w14:textId="77777777" w:rsidR="00EB728C" w:rsidRPr="00FA1F63" w:rsidRDefault="00EB728C" w:rsidP="00EB728C">
            <w:pPr>
              <w:widowControl/>
              <w:numPr>
                <w:ilvl w:val="0"/>
                <w:numId w:val="52"/>
              </w:numPr>
              <w:tabs>
                <w:tab w:val="clear" w:pos="644"/>
                <w:tab w:val="num" w:pos="285"/>
              </w:tabs>
              <w:autoSpaceDE/>
              <w:autoSpaceDN/>
              <w:adjustRightInd/>
              <w:spacing w:after="0"/>
              <w:ind w:left="285" w:hanging="142"/>
              <w:rPr>
                <w:rFonts w:asciiTheme="minorHAnsi" w:hAnsiTheme="minorHAnsi" w:cstheme="minorHAnsi"/>
                <w:sz w:val="18"/>
              </w:rPr>
            </w:pPr>
            <w:r w:rsidRPr="00FA1F63">
              <w:rPr>
                <w:rFonts w:asciiTheme="minorHAnsi" w:hAnsiTheme="minorHAnsi" w:cstheme="minorHAnsi"/>
                <w:sz w:val="18"/>
              </w:rPr>
              <w:t>Australia and New Zealand Liver Transplant Registry (ANZLTR)</w:t>
            </w:r>
          </w:p>
          <w:p w14:paraId="06E58532" w14:textId="77777777" w:rsidR="00EB728C" w:rsidRPr="00FA1F63" w:rsidRDefault="00EB728C" w:rsidP="00EB728C">
            <w:pPr>
              <w:widowControl/>
              <w:numPr>
                <w:ilvl w:val="0"/>
                <w:numId w:val="52"/>
              </w:numPr>
              <w:tabs>
                <w:tab w:val="clear" w:pos="644"/>
                <w:tab w:val="num" w:pos="285"/>
              </w:tabs>
              <w:autoSpaceDE/>
              <w:autoSpaceDN/>
              <w:adjustRightInd/>
              <w:spacing w:after="0"/>
              <w:ind w:left="285" w:hanging="142"/>
              <w:rPr>
                <w:rFonts w:asciiTheme="minorHAnsi" w:hAnsiTheme="minorHAnsi" w:cstheme="minorHAnsi"/>
                <w:sz w:val="18"/>
              </w:rPr>
            </w:pPr>
            <w:r w:rsidRPr="00FA1F63">
              <w:rPr>
                <w:rFonts w:asciiTheme="minorHAnsi" w:hAnsiTheme="minorHAnsi" w:cstheme="minorHAnsi"/>
                <w:sz w:val="18"/>
              </w:rPr>
              <w:t>Society of Nephrologists (ANZSN)</w:t>
            </w:r>
          </w:p>
          <w:p w14:paraId="2E337C92" w14:textId="77777777" w:rsidR="00EB728C" w:rsidRPr="00FA1F63" w:rsidRDefault="00EB728C" w:rsidP="00EB728C">
            <w:pPr>
              <w:widowControl/>
              <w:numPr>
                <w:ilvl w:val="0"/>
                <w:numId w:val="52"/>
              </w:numPr>
              <w:tabs>
                <w:tab w:val="clear" w:pos="644"/>
                <w:tab w:val="num" w:pos="285"/>
              </w:tabs>
              <w:autoSpaceDE/>
              <w:autoSpaceDN/>
              <w:adjustRightInd/>
              <w:spacing w:after="0"/>
              <w:ind w:left="285" w:hanging="142"/>
              <w:rPr>
                <w:rFonts w:asciiTheme="minorHAnsi" w:hAnsiTheme="minorHAnsi" w:cstheme="minorHAnsi"/>
                <w:sz w:val="18"/>
              </w:rPr>
            </w:pPr>
            <w:r w:rsidRPr="00FA1F63">
              <w:rPr>
                <w:rFonts w:asciiTheme="minorHAnsi" w:hAnsiTheme="minorHAnsi" w:cstheme="minorHAnsi"/>
                <w:sz w:val="18"/>
              </w:rPr>
              <w:t xml:space="preserve">Cardiothoracic Organ Transplant Registry (ANZCOTR) </w:t>
            </w:r>
          </w:p>
          <w:p w14:paraId="083EC9BB" w14:textId="77777777" w:rsidR="00EB728C" w:rsidRPr="00FA1F63" w:rsidRDefault="00EB728C" w:rsidP="00EB728C">
            <w:pPr>
              <w:pStyle w:val="ListParagraph"/>
              <w:widowControl/>
              <w:numPr>
                <w:ilvl w:val="0"/>
                <w:numId w:val="52"/>
              </w:numPr>
              <w:autoSpaceDE/>
              <w:autoSpaceDN/>
              <w:adjustRightInd/>
              <w:spacing w:after="0"/>
              <w:ind w:left="173" w:hanging="142"/>
              <w:rPr>
                <w:rFonts w:asciiTheme="minorHAnsi" w:hAnsiTheme="minorHAnsi" w:cstheme="minorHAnsi"/>
                <w:sz w:val="18"/>
              </w:rPr>
            </w:pPr>
            <w:r w:rsidRPr="00FA1F63">
              <w:rPr>
                <w:rFonts w:asciiTheme="minorHAnsi" w:hAnsiTheme="minorHAnsi" w:cstheme="minorHAnsi"/>
                <w:sz w:val="18"/>
              </w:rPr>
              <w:t xml:space="preserve">Community groups </w:t>
            </w:r>
          </w:p>
          <w:p w14:paraId="6BCDB27E" w14:textId="77777777" w:rsidR="00EB728C" w:rsidRPr="00FA1F63" w:rsidRDefault="00EB728C" w:rsidP="00EB728C">
            <w:pPr>
              <w:widowControl/>
              <w:numPr>
                <w:ilvl w:val="0"/>
                <w:numId w:val="52"/>
              </w:numPr>
              <w:tabs>
                <w:tab w:val="num" w:pos="884"/>
              </w:tabs>
              <w:autoSpaceDE/>
              <w:autoSpaceDN/>
              <w:adjustRightInd/>
              <w:spacing w:after="0"/>
              <w:ind w:left="285" w:hanging="142"/>
              <w:rPr>
                <w:rFonts w:asciiTheme="minorHAnsi" w:hAnsiTheme="minorHAnsi" w:cstheme="minorHAnsi"/>
                <w:sz w:val="18"/>
              </w:rPr>
            </w:pPr>
            <w:r w:rsidRPr="00FA1F63">
              <w:rPr>
                <w:rFonts w:asciiTheme="minorHAnsi" w:hAnsiTheme="minorHAnsi" w:cstheme="minorHAnsi"/>
                <w:sz w:val="18"/>
              </w:rPr>
              <w:t>Transplant Australia</w:t>
            </w:r>
          </w:p>
          <w:p w14:paraId="4D458861" w14:textId="77777777" w:rsidR="00EB728C" w:rsidRPr="00FA1F63" w:rsidRDefault="00EB728C" w:rsidP="00EB728C">
            <w:pPr>
              <w:widowControl/>
              <w:numPr>
                <w:ilvl w:val="0"/>
                <w:numId w:val="52"/>
              </w:numPr>
              <w:tabs>
                <w:tab w:val="clear" w:pos="644"/>
                <w:tab w:val="num" w:pos="884"/>
              </w:tabs>
              <w:autoSpaceDE/>
              <w:autoSpaceDN/>
              <w:adjustRightInd/>
              <w:spacing w:after="0"/>
              <w:ind w:left="285" w:hanging="142"/>
              <w:rPr>
                <w:rFonts w:asciiTheme="minorHAnsi" w:hAnsiTheme="minorHAnsi" w:cstheme="minorHAnsi"/>
                <w:sz w:val="18"/>
              </w:rPr>
            </w:pPr>
            <w:r w:rsidRPr="00FA1F63">
              <w:rPr>
                <w:rFonts w:asciiTheme="minorHAnsi" w:hAnsiTheme="minorHAnsi" w:cstheme="minorHAnsi"/>
                <w:sz w:val="18"/>
              </w:rPr>
              <w:t xml:space="preserve">Kidney Health Australia </w:t>
            </w:r>
          </w:p>
          <w:p w14:paraId="7F8DCDC5" w14:textId="77777777" w:rsidR="00EB728C" w:rsidRPr="00FA1F63" w:rsidRDefault="00EB728C" w:rsidP="00EB728C">
            <w:pPr>
              <w:pStyle w:val="ListParagraph"/>
              <w:widowControl/>
              <w:numPr>
                <w:ilvl w:val="0"/>
                <w:numId w:val="52"/>
              </w:numPr>
              <w:autoSpaceDE/>
              <w:autoSpaceDN/>
              <w:adjustRightInd/>
              <w:spacing w:after="0"/>
              <w:ind w:left="173" w:hanging="142"/>
              <w:rPr>
                <w:rFonts w:asciiTheme="minorHAnsi" w:hAnsiTheme="minorHAnsi" w:cstheme="minorHAnsi"/>
                <w:sz w:val="18"/>
              </w:rPr>
            </w:pPr>
            <w:r w:rsidRPr="00FA1F63">
              <w:rPr>
                <w:rFonts w:asciiTheme="minorHAnsi" w:hAnsiTheme="minorHAnsi" w:cstheme="minorHAnsi"/>
                <w:sz w:val="18"/>
              </w:rPr>
              <w:t>Transplant Liaison Reference Group (TLRG)</w:t>
            </w:r>
          </w:p>
          <w:p w14:paraId="7E1C0B47" w14:textId="77777777" w:rsidR="00EB728C" w:rsidRPr="00FA1F63" w:rsidRDefault="00EB728C" w:rsidP="00EB728C">
            <w:pPr>
              <w:pStyle w:val="ListParagraph"/>
              <w:widowControl/>
              <w:numPr>
                <w:ilvl w:val="0"/>
                <w:numId w:val="52"/>
              </w:numPr>
              <w:autoSpaceDE/>
              <w:autoSpaceDN/>
              <w:adjustRightInd/>
              <w:spacing w:after="0"/>
              <w:ind w:left="173" w:hanging="142"/>
              <w:rPr>
                <w:rFonts w:asciiTheme="minorHAnsi" w:hAnsiTheme="minorHAnsi" w:cstheme="minorHAnsi"/>
                <w:sz w:val="18"/>
              </w:rPr>
            </w:pPr>
            <w:r w:rsidRPr="00FA1F63">
              <w:rPr>
                <w:rFonts w:asciiTheme="minorHAnsi" w:hAnsiTheme="minorHAnsi" w:cstheme="minorHAnsi"/>
                <w:sz w:val="18"/>
              </w:rPr>
              <w:t>Transplant Nurses’ Association (TNA)</w:t>
            </w:r>
          </w:p>
          <w:p w14:paraId="14E9A7CB" w14:textId="77777777" w:rsidR="00EB728C" w:rsidRPr="00FA1F63" w:rsidRDefault="00EB728C" w:rsidP="00EB728C">
            <w:pPr>
              <w:pStyle w:val="ListParagraph"/>
              <w:widowControl/>
              <w:numPr>
                <w:ilvl w:val="0"/>
                <w:numId w:val="52"/>
              </w:numPr>
              <w:autoSpaceDE/>
              <w:autoSpaceDN/>
              <w:adjustRightInd/>
              <w:spacing w:after="0"/>
              <w:ind w:left="173" w:hanging="142"/>
              <w:rPr>
                <w:rFonts w:asciiTheme="minorHAnsi" w:hAnsiTheme="minorHAnsi" w:cstheme="minorHAnsi"/>
                <w:sz w:val="18"/>
              </w:rPr>
            </w:pPr>
            <w:r w:rsidRPr="00FA1F63">
              <w:rPr>
                <w:rFonts w:asciiTheme="minorHAnsi" w:hAnsiTheme="minorHAnsi" w:cstheme="minorHAnsi"/>
                <w:sz w:val="18"/>
              </w:rPr>
              <w:t xml:space="preserve">Transplant Society Australia &amp; New Zealand (TSANZ) Council </w:t>
            </w:r>
          </w:p>
          <w:p w14:paraId="62D6DA1B" w14:textId="77777777" w:rsidR="00EB728C" w:rsidRPr="007B269E" w:rsidRDefault="00EB728C" w:rsidP="00EB728C">
            <w:pPr>
              <w:pStyle w:val="ListParagraph"/>
              <w:widowControl/>
              <w:numPr>
                <w:ilvl w:val="0"/>
                <w:numId w:val="52"/>
              </w:numPr>
              <w:autoSpaceDE/>
              <w:autoSpaceDN/>
              <w:adjustRightInd/>
              <w:spacing w:after="0"/>
              <w:ind w:left="173" w:hanging="142"/>
              <w:rPr>
                <w:rFonts w:asciiTheme="minorHAnsi" w:hAnsiTheme="minorHAnsi" w:cstheme="minorHAnsi"/>
                <w:sz w:val="18"/>
              </w:rPr>
            </w:pPr>
            <w:r w:rsidRPr="007B269E">
              <w:rPr>
                <w:rFonts w:asciiTheme="minorHAnsi" w:hAnsiTheme="minorHAnsi" w:cstheme="minorHAnsi"/>
                <w:sz w:val="18"/>
              </w:rPr>
              <w:t>Donor Surgeons/ Donor Coordinator Advisory Committee(DSDCC)</w:t>
            </w:r>
          </w:p>
          <w:p w14:paraId="677A22F6" w14:textId="77777777" w:rsidR="00EB728C" w:rsidRPr="00FA1F63" w:rsidRDefault="00EB728C" w:rsidP="00EB728C">
            <w:pPr>
              <w:widowControl/>
              <w:numPr>
                <w:ilvl w:val="0"/>
                <w:numId w:val="52"/>
              </w:numPr>
              <w:tabs>
                <w:tab w:val="clear" w:pos="644"/>
                <w:tab w:val="num" w:pos="315"/>
                <w:tab w:val="num" w:pos="426"/>
              </w:tabs>
              <w:autoSpaceDE/>
              <w:autoSpaceDN/>
              <w:adjustRightInd/>
              <w:spacing w:after="0"/>
              <w:ind w:left="173" w:hanging="142"/>
              <w:rPr>
                <w:rFonts w:asciiTheme="minorHAnsi" w:hAnsiTheme="minorHAnsi" w:cstheme="minorHAnsi"/>
                <w:sz w:val="18"/>
              </w:rPr>
            </w:pPr>
            <w:r>
              <w:rPr>
                <w:rFonts w:asciiTheme="minorHAnsi" w:hAnsiTheme="minorHAnsi" w:cstheme="minorHAnsi"/>
                <w:sz w:val="18"/>
              </w:rPr>
              <w:t xml:space="preserve">Cardiac </w:t>
            </w:r>
            <w:r w:rsidRPr="00FA1F63">
              <w:rPr>
                <w:rFonts w:asciiTheme="minorHAnsi" w:hAnsiTheme="minorHAnsi" w:cstheme="minorHAnsi"/>
                <w:sz w:val="18"/>
              </w:rPr>
              <w:t>AC</w:t>
            </w:r>
          </w:p>
          <w:p w14:paraId="539C1973" w14:textId="77777777" w:rsidR="00EB728C" w:rsidRPr="00FA1F63" w:rsidRDefault="00EB728C" w:rsidP="00EB728C">
            <w:pPr>
              <w:widowControl/>
              <w:numPr>
                <w:ilvl w:val="0"/>
                <w:numId w:val="52"/>
              </w:numPr>
              <w:tabs>
                <w:tab w:val="clear" w:pos="644"/>
                <w:tab w:val="num" w:pos="315"/>
                <w:tab w:val="num" w:pos="426"/>
              </w:tabs>
              <w:autoSpaceDE/>
              <w:autoSpaceDN/>
              <w:adjustRightInd/>
              <w:spacing w:after="0"/>
              <w:ind w:left="173" w:hanging="142"/>
              <w:rPr>
                <w:rFonts w:asciiTheme="minorHAnsi" w:hAnsiTheme="minorHAnsi" w:cstheme="minorHAnsi"/>
                <w:sz w:val="18"/>
              </w:rPr>
            </w:pPr>
            <w:r w:rsidRPr="00FA1F63">
              <w:rPr>
                <w:rFonts w:asciiTheme="minorHAnsi" w:hAnsiTheme="minorHAnsi" w:cstheme="minorHAnsi"/>
                <w:sz w:val="18"/>
              </w:rPr>
              <w:t>Liver &amp; Intestinal AC</w:t>
            </w:r>
          </w:p>
          <w:p w14:paraId="268921B4" w14:textId="77777777" w:rsidR="00EB728C" w:rsidRPr="00FA1F63" w:rsidRDefault="00EB728C" w:rsidP="00EB728C">
            <w:pPr>
              <w:widowControl/>
              <w:numPr>
                <w:ilvl w:val="0"/>
                <w:numId w:val="52"/>
              </w:numPr>
              <w:tabs>
                <w:tab w:val="clear" w:pos="644"/>
                <w:tab w:val="num" w:pos="315"/>
                <w:tab w:val="num" w:pos="426"/>
              </w:tabs>
              <w:autoSpaceDE/>
              <w:autoSpaceDN/>
              <w:adjustRightInd/>
              <w:spacing w:after="0"/>
              <w:ind w:left="173" w:hanging="142"/>
              <w:rPr>
                <w:rFonts w:asciiTheme="minorHAnsi" w:hAnsiTheme="minorHAnsi" w:cstheme="minorHAnsi"/>
                <w:sz w:val="18"/>
              </w:rPr>
            </w:pPr>
            <w:r w:rsidRPr="00FA1F63">
              <w:rPr>
                <w:rFonts w:asciiTheme="minorHAnsi" w:hAnsiTheme="minorHAnsi" w:cstheme="minorHAnsi"/>
                <w:sz w:val="18"/>
              </w:rPr>
              <w:t>Lung AC</w:t>
            </w:r>
          </w:p>
          <w:p w14:paraId="75DEB075" w14:textId="77777777" w:rsidR="00EB728C" w:rsidRPr="00FA1F63" w:rsidRDefault="00EB728C" w:rsidP="00EB728C">
            <w:pPr>
              <w:widowControl/>
              <w:numPr>
                <w:ilvl w:val="0"/>
                <w:numId w:val="52"/>
              </w:numPr>
              <w:tabs>
                <w:tab w:val="clear" w:pos="644"/>
                <w:tab w:val="num" w:pos="315"/>
                <w:tab w:val="num" w:pos="426"/>
              </w:tabs>
              <w:autoSpaceDE/>
              <w:autoSpaceDN/>
              <w:adjustRightInd/>
              <w:spacing w:after="0"/>
              <w:ind w:left="173" w:hanging="142"/>
              <w:rPr>
                <w:rFonts w:asciiTheme="minorHAnsi" w:hAnsiTheme="minorHAnsi" w:cstheme="minorHAnsi"/>
                <w:sz w:val="18"/>
              </w:rPr>
            </w:pPr>
            <w:r w:rsidRPr="00FA1F63">
              <w:rPr>
                <w:rFonts w:asciiTheme="minorHAnsi" w:hAnsiTheme="minorHAnsi" w:cstheme="minorHAnsi"/>
                <w:sz w:val="18"/>
              </w:rPr>
              <w:t>Paed AC</w:t>
            </w:r>
          </w:p>
          <w:p w14:paraId="7B246FF0" w14:textId="77777777" w:rsidR="00EB728C" w:rsidRDefault="00EB728C" w:rsidP="00EB728C">
            <w:pPr>
              <w:widowControl/>
              <w:numPr>
                <w:ilvl w:val="0"/>
                <w:numId w:val="52"/>
              </w:numPr>
              <w:tabs>
                <w:tab w:val="num" w:pos="173"/>
                <w:tab w:val="num" w:pos="315"/>
              </w:tabs>
              <w:autoSpaceDE/>
              <w:autoSpaceDN/>
              <w:adjustRightInd/>
              <w:spacing w:after="0"/>
              <w:ind w:left="445" w:hanging="414"/>
              <w:rPr>
                <w:rFonts w:asciiTheme="minorHAnsi" w:hAnsiTheme="minorHAnsi" w:cstheme="minorHAnsi"/>
                <w:sz w:val="18"/>
              </w:rPr>
            </w:pPr>
            <w:r w:rsidRPr="00FA1F63">
              <w:rPr>
                <w:rFonts w:asciiTheme="minorHAnsi" w:hAnsiTheme="minorHAnsi" w:cstheme="minorHAnsi"/>
                <w:sz w:val="18"/>
              </w:rPr>
              <w:t>Pancreas &amp; Islet AC</w:t>
            </w:r>
          </w:p>
          <w:p w14:paraId="3FE738B5" w14:textId="77777777" w:rsidR="00EB728C" w:rsidRDefault="00EB728C" w:rsidP="00EB728C">
            <w:pPr>
              <w:widowControl/>
              <w:numPr>
                <w:ilvl w:val="0"/>
                <w:numId w:val="52"/>
              </w:numPr>
              <w:tabs>
                <w:tab w:val="num" w:pos="173"/>
                <w:tab w:val="num" w:pos="315"/>
              </w:tabs>
              <w:autoSpaceDE/>
              <w:autoSpaceDN/>
              <w:adjustRightInd/>
              <w:spacing w:after="0"/>
              <w:ind w:left="173" w:hanging="142"/>
              <w:rPr>
                <w:rFonts w:asciiTheme="minorHAnsi" w:hAnsiTheme="minorHAnsi" w:cstheme="minorHAnsi"/>
                <w:sz w:val="18"/>
              </w:rPr>
            </w:pPr>
            <w:r>
              <w:rPr>
                <w:rFonts w:asciiTheme="minorHAnsi" w:hAnsiTheme="minorHAnsi" w:cstheme="minorHAnsi"/>
                <w:sz w:val="18"/>
              </w:rPr>
              <w:t>Renal Transplantation Advisory Committee (RTAC)</w:t>
            </w:r>
          </w:p>
          <w:p w14:paraId="24774E99" w14:textId="77777777" w:rsidR="00EB728C" w:rsidRPr="006F5A16" w:rsidRDefault="00EB728C" w:rsidP="00EB728C">
            <w:pPr>
              <w:widowControl/>
              <w:numPr>
                <w:ilvl w:val="0"/>
                <w:numId w:val="52"/>
              </w:numPr>
              <w:tabs>
                <w:tab w:val="num" w:pos="173"/>
              </w:tabs>
              <w:autoSpaceDE/>
              <w:autoSpaceDN/>
              <w:adjustRightInd/>
              <w:spacing w:after="0"/>
              <w:ind w:left="173" w:hanging="142"/>
              <w:rPr>
                <w:rFonts w:asciiTheme="minorHAnsi" w:hAnsiTheme="minorHAnsi" w:cstheme="minorHAnsi"/>
                <w:sz w:val="18"/>
              </w:rPr>
            </w:pPr>
            <w:r w:rsidRPr="006F5A16">
              <w:rPr>
                <w:rFonts w:asciiTheme="minorHAnsi" w:hAnsiTheme="minorHAnsi" w:cstheme="minorHAnsi"/>
                <w:sz w:val="18"/>
              </w:rPr>
              <w:t xml:space="preserve">Vigilance &amp; Surveillance Expert Advisory Committee </w:t>
            </w:r>
          </w:p>
        </w:tc>
      </w:tr>
    </w:tbl>
    <w:p w14:paraId="2C284998" w14:textId="77777777" w:rsidR="00EB728C" w:rsidRPr="00165FDF" w:rsidRDefault="00EB728C" w:rsidP="00EB728C">
      <w:pPr>
        <w:tabs>
          <w:tab w:val="center" w:pos="7273"/>
        </w:tabs>
        <w:rPr>
          <w:lang w:val="en-GB"/>
        </w:rPr>
        <w:sectPr w:rsidR="00EB728C" w:rsidRPr="00165FDF" w:rsidSect="00EB39DF">
          <w:pgSz w:w="16838" w:h="11906" w:orient="landscape"/>
          <w:pgMar w:top="1440" w:right="1440" w:bottom="1440" w:left="851" w:header="708" w:footer="567" w:gutter="0"/>
          <w:cols w:space="708"/>
          <w:docGrid w:linePitch="360"/>
        </w:sectPr>
      </w:pPr>
    </w:p>
    <w:p w14:paraId="209C0B76" w14:textId="77777777" w:rsidR="00EB728C" w:rsidRPr="00F526D8" w:rsidRDefault="00EB728C" w:rsidP="00F437A8">
      <w:pPr>
        <w:pStyle w:val="Heading2"/>
        <w:numPr>
          <w:ilvl w:val="0"/>
          <w:numId w:val="0"/>
        </w:numPr>
        <w:rPr>
          <w:rFonts w:asciiTheme="minorHAnsi" w:hAnsiTheme="minorHAnsi" w:cstheme="minorHAnsi"/>
          <w:color w:val="808080"/>
          <w:sz w:val="40"/>
        </w:rPr>
      </w:pPr>
      <w:bookmarkStart w:id="856" w:name="_Toc530492152"/>
      <w:bookmarkStart w:id="857" w:name="_Ref531773076"/>
      <w:bookmarkStart w:id="858" w:name="_Toc532301711"/>
      <w:r w:rsidRPr="00F526D8">
        <w:rPr>
          <w:rFonts w:asciiTheme="minorHAnsi" w:hAnsiTheme="minorHAnsi" w:cstheme="minorHAnsi"/>
          <w:color w:val="808080"/>
          <w:sz w:val="40"/>
        </w:rPr>
        <w:t xml:space="preserve">Appendix </w:t>
      </w:r>
      <w:r w:rsidR="00F77399" w:rsidRPr="00F526D8">
        <w:rPr>
          <w:rFonts w:asciiTheme="minorHAnsi" w:hAnsiTheme="minorHAnsi" w:cstheme="minorHAnsi"/>
          <w:color w:val="808080"/>
          <w:sz w:val="40"/>
        </w:rPr>
        <w:t>E</w:t>
      </w:r>
      <w:r w:rsidRPr="00F526D8">
        <w:rPr>
          <w:rFonts w:asciiTheme="minorHAnsi" w:hAnsiTheme="minorHAnsi" w:cstheme="minorHAnsi"/>
          <w:color w:val="808080"/>
          <w:sz w:val="40"/>
        </w:rPr>
        <w:t>: Terms of Reference</w:t>
      </w:r>
      <w:bookmarkEnd w:id="856"/>
      <w:bookmarkEnd w:id="857"/>
      <w:bookmarkEnd w:id="858"/>
      <w:r w:rsidRPr="00F526D8">
        <w:rPr>
          <w:rFonts w:asciiTheme="minorHAnsi" w:hAnsiTheme="minorHAnsi" w:cstheme="minorHAnsi"/>
          <w:color w:val="808080"/>
          <w:sz w:val="40"/>
        </w:rPr>
        <w:t xml:space="preserve"> </w:t>
      </w:r>
    </w:p>
    <w:p w14:paraId="1D706D09"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 xml:space="preserve">The Terms of Reference for the </w:t>
      </w:r>
      <w:r>
        <w:rPr>
          <w:rFonts w:asciiTheme="minorHAnsi" w:hAnsiTheme="minorHAnsi" w:cstheme="minorHAnsi"/>
          <w:sz w:val="24"/>
        </w:rPr>
        <w:t xml:space="preserve">2015 </w:t>
      </w:r>
      <w:r w:rsidRPr="00D21F72">
        <w:rPr>
          <w:rFonts w:asciiTheme="minorHAnsi" w:hAnsiTheme="minorHAnsi" w:cstheme="minorHAnsi"/>
          <w:sz w:val="24"/>
        </w:rPr>
        <w:t>Review were as follows:</w:t>
      </w:r>
    </w:p>
    <w:p w14:paraId="7D13AA76"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A.</w:t>
      </w:r>
      <w:r w:rsidRPr="00D21F72">
        <w:rPr>
          <w:rFonts w:asciiTheme="minorHAnsi" w:hAnsiTheme="minorHAnsi" w:cstheme="minorHAnsi"/>
          <w:sz w:val="24"/>
        </w:rPr>
        <w:tab/>
        <w:t>Having regard for the objectives and elements that were agreed by COAG when endorsing the national reform agenda in 2008 (see below), and the goals that governments subsequently endorsed, the review will investigate and report on:</w:t>
      </w:r>
    </w:p>
    <w:p w14:paraId="767F79E8" w14:textId="77777777" w:rsidR="00EB728C" w:rsidRPr="00D21F72" w:rsidRDefault="00EB728C" w:rsidP="00335B9D">
      <w:pPr>
        <w:pStyle w:val="EYBodytextwithparaspace"/>
        <w:rPr>
          <w:rFonts w:asciiTheme="minorHAnsi" w:hAnsiTheme="minorHAnsi" w:cstheme="minorHAnsi"/>
          <w:sz w:val="24"/>
        </w:rPr>
      </w:pPr>
      <w:r>
        <w:rPr>
          <w:rFonts w:asciiTheme="minorHAnsi" w:hAnsiTheme="minorHAnsi" w:cstheme="minorHAnsi"/>
          <w:sz w:val="24"/>
        </w:rPr>
        <w:t>1.</w:t>
      </w:r>
      <w:r>
        <w:rPr>
          <w:rFonts w:asciiTheme="minorHAnsi" w:hAnsiTheme="minorHAnsi" w:cstheme="minorHAnsi"/>
          <w:sz w:val="24"/>
        </w:rPr>
        <w:tab/>
        <w:t>How effectively the program</w:t>
      </w:r>
      <w:r w:rsidRPr="00D21F72">
        <w:rPr>
          <w:rFonts w:asciiTheme="minorHAnsi" w:hAnsiTheme="minorHAnsi" w:cstheme="minorHAnsi"/>
          <w:sz w:val="24"/>
        </w:rPr>
        <w:t xml:space="preserve"> has been: </w:t>
      </w:r>
    </w:p>
    <w:p w14:paraId="1374C207"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(a)</w:t>
      </w:r>
      <w:r w:rsidRPr="00D21F72">
        <w:rPr>
          <w:rFonts w:asciiTheme="minorHAnsi" w:hAnsiTheme="minorHAnsi" w:cstheme="minorHAnsi"/>
          <w:sz w:val="24"/>
        </w:rPr>
        <w:tab/>
        <w:t xml:space="preserve">led by </w:t>
      </w:r>
      <w:r>
        <w:rPr>
          <w:rFonts w:asciiTheme="minorHAnsi" w:hAnsiTheme="minorHAnsi" w:cstheme="minorHAnsi"/>
          <w:sz w:val="24"/>
        </w:rPr>
        <w:t xml:space="preserve">the </w:t>
      </w:r>
      <w:r w:rsidRPr="00D21F72">
        <w:rPr>
          <w:rFonts w:asciiTheme="minorHAnsi" w:hAnsiTheme="minorHAnsi" w:cstheme="minorHAnsi"/>
          <w:sz w:val="24"/>
        </w:rPr>
        <w:t xml:space="preserve">OTA, particularly through: </w:t>
      </w:r>
    </w:p>
    <w:p w14:paraId="01444D0E"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i.</w:t>
      </w:r>
      <w:r w:rsidRPr="00D21F72">
        <w:rPr>
          <w:rFonts w:asciiTheme="minorHAnsi" w:hAnsiTheme="minorHAnsi" w:cstheme="minorHAnsi"/>
          <w:sz w:val="24"/>
        </w:rPr>
        <w:tab/>
        <w:t>translating the</w:t>
      </w:r>
      <w:r>
        <w:rPr>
          <w:rFonts w:asciiTheme="minorHAnsi" w:hAnsiTheme="minorHAnsi" w:cstheme="minorHAnsi"/>
          <w:sz w:val="24"/>
        </w:rPr>
        <w:t xml:space="preserve"> national agenda into programs</w:t>
      </w:r>
      <w:r w:rsidRPr="00D21F72">
        <w:rPr>
          <w:rFonts w:asciiTheme="minorHAnsi" w:hAnsiTheme="minorHAnsi" w:cstheme="minorHAnsi"/>
          <w:sz w:val="24"/>
        </w:rPr>
        <w:t xml:space="preserve">; </w:t>
      </w:r>
    </w:p>
    <w:p w14:paraId="344CC2A4"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ii.</w:t>
      </w:r>
      <w:r w:rsidRPr="00D21F72">
        <w:rPr>
          <w:rFonts w:asciiTheme="minorHAnsi" w:hAnsiTheme="minorHAnsi" w:cstheme="minorHAnsi"/>
          <w:sz w:val="24"/>
        </w:rPr>
        <w:tab/>
        <w:t>communicating</w:t>
      </w:r>
      <w:r>
        <w:rPr>
          <w:rFonts w:asciiTheme="minorHAnsi" w:hAnsiTheme="minorHAnsi" w:cstheme="minorHAnsi"/>
          <w:sz w:val="24"/>
        </w:rPr>
        <w:t xml:space="preserve"> program aims, and negotiating program</w:t>
      </w:r>
      <w:r w:rsidRPr="00D21F72">
        <w:rPr>
          <w:rFonts w:asciiTheme="minorHAnsi" w:hAnsiTheme="minorHAnsi" w:cstheme="minorHAnsi"/>
          <w:sz w:val="24"/>
        </w:rPr>
        <w:t xml:space="preserve"> methods with states and territories and other relevant stakeholders; and</w:t>
      </w:r>
    </w:p>
    <w:p w14:paraId="7FD3DC07"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iii.</w:t>
      </w:r>
      <w:r w:rsidRPr="00D21F72">
        <w:rPr>
          <w:rFonts w:asciiTheme="minorHAnsi" w:hAnsiTheme="minorHAnsi" w:cstheme="minorHAnsi"/>
          <w:sz w:val="24"/>
        </w:rPr>
        <w:tab/>
        <w:t>monitoring and reporting on performance.</w:t>
      </w:r>
    </w:p>
    <w:p w14:paraId="7DACE4B3"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(b)</w:t>
      </w:r>
      <w:r w:rsidRPr="00D21F72">
        <w:rPr>
          <w:rFonts w:asciiTheme="minorHAnsi" w:hAnsiTheme="minorHAnsi" w:cstheme="minorHAnsi"/>
          <w:sz w:val="24"/>
        </w:rPr>
        <w:tab/>
        <w:t>translated into policy and practice by state health authorities and DonateLife agencies</w:t>
      </w:r>
    </w:p>
    <w:p w14:paraId="6CCE9BB0"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(c)</w:t>
      </w:r>
      <w:r w:rsidRPr="00D21F72">
        <w:rPr>
          <w:rFonts w:asciiTheme="minorHAnsi" w:hAnsiTheme="minorHAnsi" w:cstheme="minorHAnsi"/>
          <w:sz w:val="24"/>
        </w:rPr>
        <w:tab/>
        <w:t>delivered by hospitals and DonateLife and other staff directly involved in the donation or transplantation of organs.</w:t>
      </w:r>
    </w:p>
    <w:p w14:paraId="4D37A819"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2.</w:t>
      </w:r>
      <w:r w:rsidRPr="00D21F72">
        <w:rPr>
          <w:rFonts w:asciiTheme="minorHAnsi" w:hAnsiTheme="minorHAnsi" w:cstheme="minorHAnsi"/>
          <w:sz w:val="24"/>
        </w:rPr>
        <w:tab/>
        <w:t>The key factors that have influenced the pace and extent of the achievements to date.</w:t>
      </w:r>
    </w:p>
    <w:p w14:paraId="6B3895FB"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3.</w:t>
      </w:r>
      <w:r w:rsidRPr="00D21F72">
        <w:rPr>
          <w:rFonts w:asciiTheme="minorHAnsi" w:hAnsiTheme="minorHAnsi" w:cstheme="minorHAnsi"/>
          <w:sz w:val="24"/>
        </w:rPr>
        <w:tab/>
        <w:t>The relevance and utility/value of: the performance and progress re</w:t>
      </w:r>
      <w:r>
        <w:rPr>
          <w:rFonts w:asciiTheme="minorHAnsi" w:hAnsiTheme="minorHAnsi" w:cstheme="minorHAnsi"/>
          <w:sz w:val="24"/>
        </w:rPr>
        <w:t>ports issued about the Program</w:t>
      </w:r>
      <w:r w:rsidRPr="00D21F72">
        <w:rPr>
          <w:rFonts w:asciiTheme="minorHAnsi" w:hAnsiTheme="minorHAnsi" w:cstheme="minorHAnsi"/>
          <w:sz w:val="24"/>
        </w:rPr>
        <w:t xml:space="preserve">, and; the measures used to assess and report on performance, progress and achievement against targets. </w:t>
      </w:r>
    </w:p>
    <w:p w14:paraId="74DEA249"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B.</w:t>
      </w:r>
      <w:r w:rsidRPr="00D21F72">
        <w:rPr>
          <w:rFonts w:asciiTheme="minorHAnsi" w:hAnsiTheme="minorHAnsi" w:cstheme="minorHAnsi"/>
          <w:sz w:val="24"/>
        </w:rPr>
        <w:tab/>
        <w:t xml:space="preserve">In light of findings in relation to (A), the review will make recommendations on any changes in the design, administration, delivery, monitoring, reporting, </w:t>
      </w:r>
      <w:r>
        <w:rPr>
          <w:rFonts w:asciiTheme="minorHAnsi" w:hAnsiTheme="minorHAnsi" w:cstheme="minorHAnsi"/>
          <w:sz w:val="24"/>
        </w:rPr>
        <w:t>or other aspect of the Program</w:t>
      </w:r>
      <w:r w:rsidRPr="00D21F72">
        <w:rPr>
          <w:rFonts w:asciiTheme="minorHAnsi" w:hAnsiTheme="minorHAnsi" w:cstheme="minorHAnsi"/>
          <w:sz w:val="24"/>
        </w:rPr>
        <w:t xml:space="preserve"> that would improve:</w:t>
      </w:r>
    </w:p>
    <w:p w14:paraId="1C04BE23"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1.</w:t>
      </w:r>
      <w:r w:rsidRPr="00D21F72">
        <w:rPr>
          <w:rFonts w:asciiTheme="minorHAnsi" w:hAnsiTheme="minorHAnsi" w:cstheme="minorHAnsi"/>
          <w:sz w:val="24"/>
        </w:rPr>
        <w:tab/>
        <w:t xml:space="preserve">progress towards, and achievement of, the national goals and targets; and/or </w:t>
      </w:r>
    </w:p>
    <w:p w14:paraId="7CFF02AD"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2.</w:t>
      </w:r>
      <w:r w:rsidRPr="00D21F72">
        <w:rPr>
          <w:rFonts w:asciiTheme="minorHAnsi" w:hAnsiTheme="minorHAnsi" w:cstheme="minorHAnsi"/>
          <w:sz w:val="24"/>
        </w:rPr>
        <w:tab/>
        <w:t>value for money.</w:t>
      </w:r>
    </w:p>
    <w:p w14:paraId="5E16AF5E"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C.</w:t>
      </w:r>
      <w:r w:rsidRPr="00D21F72">
        <w:rPr>
          <w:rFonts w:asciiTheme="minorHAnsi" w:hAnsiTheme="minorHAnsi" w:cstheme="minorHAnsi"/>
          <w:sz w:val="24"/>
        </w:rPr>
        <w:tab/>
        <w:t xml:space="preserve">The review will have regard to: </w:t>
      </w:r>
    </w:p>
    <w:p w14:paraId="27528131"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1.</w:t>
      </w:r>
      <w:r w:rsidRPr="00D21F72">
        <w:rPr>
          <w:rFonts w:asciiTheme="minorHAnsi" w:hAnsiTheme="minorHAnsi" w:cstheme="minorHAnsi"/>
          <w:sz w:val="24"/>
        </w:rPr>
        <w:tab/>
        <w:t xml:space="preserve">Australian Healthcare Associates, Organ and Tissue Donation Reform Package, Mid-Point Review Report, July 2011. </w:t>
      </w:r>
    </w:p>
    <w:p w14:paraId="2332F8B0"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2.</w:t>
      </w:r>
      <w:r w:rsidRPr="00D21F72">
        <w:rPr>
          <w:rFonts w:asciiTheme="minorHAnsi" w:hAnsiTheme="minorHAnsi" w:cstheme="minorHAnsi"/>
          <w:sz w:val="24"/>
        </w:rPr>
        <w:tab/>
        <w:t xml:space="preserve">Australian Government, Response to the Mid-Point Implementation Review of the National Reform Agenda – a World’s Best Practice Approach to Organ and Tissue Donation in Australia. </w:t>
      </w:r>
    </w:p>
    <w:p w14:paraId="757B4124"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3.</w:t>
      </w:r>
      <w:r w:rsidRPr="00D21F72">
        <w:rPr>
          <w:rFonts w:asciiTheme="minorHAnsi" w:hAnsiTheme="minorHAnsi" w:cstheme="minorHAnsi"/>
          <w:sz w:val="24"/>
        </w:rPr>
        <w:tab/>
        <w:t>Australian National Audit Office, Report No.33, 2014–15, Performance Audit Organ and Tissue Donation: Community Awareness, Professional Education and Family Support, Australian Organ and Tissue Donation and Transplantation Authority, April 2015.</w:t>
      </w:r>
    </w:p>
    <w:p w14:paraId="147EEDAE"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D.</w:t>
      </w:r>
      <w:r w:rsidRPr="00D21F72">
        <w:rPr>
          <w:rFonts w:asciiTheme="minorHAnsi" w:hAnsiTheme="minorHAnsi" w:cstheme="minorHAnsi"/>
          <w:sz w:val="24"/>
        </w:rPr>
        <w:tab/>
        <w:t xml:space="preserve">In addition to reviewing relevant data and written information, the reviewers will consult with: </w:t>
      </w:r>
    </w:p>
    <w:p w14:paraId="6470D964"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1.</w:t>
      </w:r>
      <w:r w:rsidRPr="00D21F72">
        <w:rPr>
          <w:rFonts w:asciiTheme="minorHAnsi" w:hAnsiTheme="minorHAnsi" w:cstheme="minorHAnsi"/>
          <w:sz w:val="24"/>
        </w:rPr>
        <w:tab/>
        <w:t>The Chief Executive Officer and the Chair and members of the Advisory Council of the OTA</w:t>
      </w:r>
    </w:p>
    <w:p w14:paraId="5850BF79"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2.</w:t>
      </w:r>
      <w:r w:rsidRPr="00D21F72">
        <w:rPr>
          <w:rFonts w:asciiTheme="minorHAnsi" w:hAnsiTheme="minorHAnsi" w:cstheme="minorHAnsi"/>
          <w:sz w:val="24"/>
        </w:rPr>
        <w:tab/>
        <w:t>Relevant executives in State and Territory Departments and Ministries of Health</w:t>
      </w:r>
    </w:p>
    <w:p w14:paraId="2CCE5F3F"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3.</w:t>
      </w:r>
      <w:r w:rsidRPr="00D21F72">
        <w:rPr>
          <w:rFonts w:asciiTheme="minorHAnsi" w:hAnsiTheme="minorHAnsi" w:cstheme="minorHAnsi"/>
          <w:sz w:val="24"/>
        </w:rPr>
        <w:tab/>
        <w:t>Relevant executives in Local Hospital Networks and public hospitals</w:t>
      </w:r>
    </w:p>
    <w:p w14:paraId="0428C902" w14:textId="77777777" w:rsidR="00EB728C" w:rsidRPr="00D21F72" w:rsidRDefault="00EB728C" w:rsidP="00335B9D">
      <w:pPr>
        <w:pStyle w:val="EYBodytextwithparaspace"/>
        <w:rPr>
          <w:rFonts w:asciiTheme="minorHAnsi" w:hAnsiTheme="minorHAnsi" w:cstheme="minorHAnsi"/>
          <w:sz w:val="24"/>
        </w:rPr>
      </w:pPr>
      <w:r w:rsidRPr="00D21F72">
        <w:rPr>
          <w:rFonts w:asciiTheme="minorHAnsi" w:hAnsiTheme="minorHAnsi" w:cstheme="minorHAnsi"/>
          <w:sz w:val="24"/>
        </w:rPr>
        <w:t>4.</w:t>
      </w:r>
      <w:r w:rsidRPr="00D21F72">
        <w:rPr>
          <w:rFonts w:asciiTheme="minorHAnsi" w:hAnsiTheme="minorHAnsi" w:cstheme="minorHAnsi"/>
          <w:sz w:val="24"/>
        </w:rPr>
        <w:tab/>
        <w:t>Relevant lead clinicians in participating public hospitals</w:t>
      </w:r>
    </w:p>
    <w:p w14:paraId="2BB41264" w14:textId="7D1FE279" w:rsidR="00EB728C" w:rsidRPr="00D40C14" w:rsidRDefault="00EB728C" w:rsidP="00335B9D">
      <w:pPr>
        <w:pStyle w:val="EYBodytextwithparaspace"/>
      </w:pPr>
      <w:r w:rsidRPr="00D21F72">
        <w:rPr>
          <w:rFonts w:asciiTheme="minorHAnsi" w:hAnsiTheme="minorHAnsi" w:cstheme="minorHAnsi"/>
          <w:sz w:val="24"/>
        </w:rPr>
        <w:t>5.</w:t>
      </w:r>
      <w:r w:rsidRPr="00D21F72">
        <w:rPr>
          <w:rFonts w:asciiTheme="minorHAnsi" w:hAnsiTheme="minorHAnsi" w:cstheme="minorHAnsi"/>
          <w:sz w:val="24"/>
        </w:rPr>
        <w:tab/>
        <w:t>Other key stakeholders as identified by the reviewers.</w:t>
      </w:r>
      <w:r w:rsidRPr="00D40C14">
        <w:t xml:space="preserve"> </w:t>
      </w:r>
    </w:p>
    <w:bookmarkEnd w:id="842"/>
    <w:p w14:paraId="0A7CF5AF" w14:textId="5D235A81" w:rsidR="003B6E72" w:rsidRDefault="003B6E72" w:rsidP="00A02BB0">
      <w:pPr>
        <w:ind w:firstLine="720"/>
        <w:rPr>
          <w:lang w:eastAsia="en-AU"/>
        </w:rPr>
        <w:sectPr w:rsidR="003B6E72" w:rsidSect="00EB39DF">
          <w:headerReference w:type="even" r:id="rId54"/>
          <w:headerReference w:type="default" r:id="rId55"/>
          <w:footerReference w:type="default" r:id="rId56"/>
          <w:headerReference w:type="first" r:id="rId57"/>
          <w:pgSz w:w="11906" w:h="16838"/>
          <w:pgMar w:top="1440" w:right="1440" w:bottom="851" w:left="1440" w:header="708" w:footer="567" w:gutter="0"/>
          <w:cols w:space="708"/>
          <w:docGrid w:linePitch="360"/>
        </w:sectPr>
      </w:pPr>
    </w:p>
    <w:p w14:paraId="3B0E698E" w14:textId="77777777" w:rsidR="00EB728C" w:rsidRDefault="00EB728C">
      <w:pPr>
        <w:widowControl/>
        <w:autoSpaceDE/>
        <w:autoSpaceDN/>
        <w:adjustRightInd/>
        <w:spacing w:after="200" w:line="276" w:lineRule="auto"/>
        <w:rPr>
          <w:rFonts w:asciiTheme="minorHAnsi" w:hAnsiTheme="minorHAnsi" w:cstheme="minorHAnsi"/>
        </w:rPr>
      </w:pPr>
      <w:r>
        <w:rPr>
          <w:rFonts w:asciiTheme="minorHAnsi" w:hAnsiTheme="minorHAnsi" w:cstheme="minorHAnsi"/>
        </w:rPr>
        <w:lastRenderedPageBreak/>
        <w:br w:type="page"/>
      </w:r>
    </w:p>
    <w:p w14:paraId="46E667A5" w14:textId="77777777" w:rsidR="00433B50" w:rsidRPr="00A91D02" w:rsidRDefault="00433B50" w:rsidP="00433B50">
      <w:pPr>
        <w:rPr>
          <w:rFonts w:ascii="EYInterstate" w:hAnsi="EYInterstate" w:cs="Arial"/>
          <w:color w:val="000000" w:themeColor="text1"/>
        </w:rPr>
      </w:pPr>
      <w:r w:rsidRPr="00A91D02">
        <w:rPr>
          <w:rFonts w:ascii="EYInterstate" w:hAnsi="EYInterstate" w:cs="Arial"/>
          <w:color w:val="000000" w:themeColor="text1"/>
        </w:rPr>
        <w:lastRenderedPageBreak/>
        <w:t>EY | Assurance | Tax | Transactions | Advisory</w:t>
      </w:r>
    </w:p>
    <w:p w14:paraId="1023109E" w14:textId="77777777" w:rsidR="00433B50" w:rsidRPr="00A91D02" w:rsidRDefault="00433B50" w:rsidP="00433B50">
      <w:pPr>
        <w:rPr>
          <w:rFonts w:ascii="EYInterstate" w:hAnsi="EYInterstate" w:cs="Arial"/>
          <w:color w:val="000000" w:themeColor="text1"/>
        </w:rPr>
      </w:pPr>
      <w:r w:rsidRPr="00A91D02">
        <w:rPr>
          <w:rFonts w:ascii="EYInterstate" w:hAnsi="EYInterstate" w:cs="Arial"/>
          <w:color w:val="000000" w:themeColor="text1"/>
        </w:rPr>
        <w:t>About EY</w:t>
      </w:r>
    </w:p>
    <w:p w14:paraId="2C41318D" w14:textId="77777777" w:rsidR="00433B50" w:rsidRPr="00A91D02" w:rsidRDefault="00433B50" w:rsidP="00433B50">
      <w:pPr>
        <w:rPr>
          <w:rFonts w:cs="Arial"/>
          <w:color w:val="000000" w:themeColor="text1"/>
          <w:sz w:val="16"/>
          <w:szCs w:val="16"/>
        </w:rPr>
      </w:pPr>
      <w:r w:rsidRPr="00A91D02">
        <w:rPr>
          <w:rFonts w:cs="Arial"/>
          <w:color w:val="000000" w:themeColor="text1"/>
          <w:sz w:val="16"/>
          <w:szCs w:val="16"/>
        </w:rPr>
        <w:t>EY is a global leader in assurance, tax, transaction and advisory services. The insights and quality services we deliver help build trust and confidence in the capital markets and in economies the world over. We develop outstanding leaders who team to deliver on our promises to all of our stakeholders. In so doing, we play a critical role in building a better working world for our people, for our clients and for our communities.</w:t>
      </w:r>
    </w:p>
    <w:p w14:paraId="5C16B1E2" w14:textId="77777777" w:rsidR="00433B50" w:rsidRPr="00A91D02" w:rsidRDefault="00433B50" w:rsidP="00433B50">
      <w:pPr>
        <w:rPr>
          <w:rFonts w:cs="Helv"/>
          <w:color w:val="000000" w:themeColor="text1"/>
          <w:sz w:val="16"/>
          <w:szCs w:val="16"/>
        </w:rPr>
      </w:pPr>
      <w:r w:rsidRPr="00A91D02">
        <w:rPr>
          <w:rFonts w:cs="Arial"/>
          <w:color w:val="000000" w:themeColor="text1"/>
          <w:sz w:val="16"/>
          <w:szCs w:val="16"/>
        </w:rPr>
        <w:t>EY refers to the global organisation and may refer to one or more of the member firms of Ernst &amp; Young Global Limited, each of which is a separate legal entity. Ernst &amp; Young Global Limited, a UK company limited by guarantee, does not provide services to clients. For more information about our organisation, please visit ey.com.</w:t>
      </w:r>
    </w:p>
    <w:p w14:paraId="6DB305C3" w14:textId="77777777" w:rsidR="00433B50" w:rsidRPr="00A91D02" w:rsidRDefault="00433B50" w:rsidP="00433B50">
      <w:pPr>
        <w:rPr>
          <w:rFonts w:cs="Arial"/>
          <w:color w:val="000000" w:themeColor="text1"/>
          <w:sz w:val="16"/>
          <w:szCs w:val="16"/>
        </w:rPr>
      </w:pPr>
      <w:r w:rsidRPr="00A91D02">
        <w:rPr>
          <w:rFonts w:cs="Arial"/>
          <w:color w:val="000000" w:themeColor="text1"/>
          <w:sz w:val="16"/>
          <w:szCs w:val="16"/>
        </w:rPr>
        <w:t>© 201</w:t>
      </w:r>
      <w:r>
        <w:rPr>
          <w:rFonts w:cs="Arial"/>
          <w:color w:val="000000" w:themeColor="text1"/>
          <w:sz w:val="16"/>
          <w:szCs w:val="16"/>
        </w:rPr>
        <w:t>8</w:t>
      </w:r>
      <w:r w:rsidRPr="00A91D02">
        <w:rPr>
          <w:rFonts w:cs="Arial"/>
          <w:color w:val="000000" w:themeColor="text1"/>
          <w:sz w:val="16"/>
          <w:szCs w:val="16"/>
        </w:rPr>
        <w:t xml:space="preserve"> Ernst &amp; Young, Australia.</w:t>
      </w:r>
      <w:r>
        <w:rPr>
          <w:rFonts w:cs="Arial"/>
          <w:color w:val="000000" w:themeColor="text1"/>
          <w:sz w:val="16"/>
          <w:szCs w:val="16"/>
        </w:rPr>
        <w:br/>
      </w:r>
      <w:r w:rsidRPr="00A91D02">
        <w:rPr>
          <w:rFonts w:cs="Arial"/>
          <w:color w:val="000000" w:themeColor="text1"/>
          <w:sz w:val="16"/>
          <w:szCs w:val="16"/>
        </w:rPr>
        <w:t>All Rights Reserved.</w:t>
      </w:r>
    </w:p>
    <w:p w14:paraId="07F101CE" w14:textId="77777777" w:rsidR="00433B50" w:rsidRDefault="00433B50" w:rsidP="00433B50">
      <w:pPr>
        <w:rPr>
          <w:rFonts w:cs="Arial"/>
          <w:color w:val="000000" w:themeColor="text1"/>
          <w:sz w:val="16"/>
          <w:szCs w:val="12"/>
        </w:rPr>
      </w:pPr>
      <w:r w:rsidRPr="00F239E0">
        <w:rPr>
          <w:rFonts w:cs="Arial"/>
          <w:color w:val="000000" w:themeColor="text1"/>
          <w:sz w:val="16"/>
          <w:szCs w:val="12"/>
        </w:rPr>
        <w:t xml:space="preserve">Ernst &amp; Young is a registered trademark. Our report may be relied upon by </w:t>
      </w:r>
      <w:r w:rsidR="00A40F53">
        <w:rPr>
          <w:rFonts w:cs="Arial"/>
          <w:color w:val="000000" w:themeColor="text1"/>
          <w:sz w:val="16"/>
          <w:szCs w:val="12"/>
        </w:rPr>
        <w:t>the Australian Government Department of Health</w:t>
      </w:r>
      <w:r w:rsidRPr="00F239E0">
        <w:rPr>
          <w:rFonts w:cs="Arial"/>
          <w:color w:val="000000" w:themeColor="text1"/>
          <w:sz w:val="16"/>
          <w:szCs w:val="12"/>
        </w:rPr>
        <w:t xml:space="preserve"> for the purpose of </w:t>
      </w:r>
      <w:r w:rsidR="00A40F53">
        <w:rPr>
          <w:rFonts w:cs="Arial"/>
          <w:color w:val="000000" w:themeColor="text1"/>
          <w:sz w:val="16"/>
          <w:szCs w:val="12"/>
        </w:rPr>
        <w:t xml:space="preserve">the </w:t>
      </w:r>
      <w:r w:rsidR="00510065">
        <w:rPr>
          <w:rFonts w:cs="Arial"/>
          <w:color w:val="000000" w:themeColor="text1"/>
          <w:sz w:val="16"/>
          <w:szCs w:val="12"/>
        </w:rPr>
        <w:t xml:space="preserve">Review of donation, retrieval and transplantation </w:t>
      </w:r>
      <w:r w:rsidRPr="00F239E0">
        <w:rPr>
          <w:rFonts w:cs="Arial"/>
          <w:color w:val="000000" w:themeColor="text1"/>
          <w:sz w:val="16"/>
          <w:szCs w:val="12"/>
        </w:rPr>
        <w:t xml:space="preserve">only pursuant to the terms of our engagement letter dated </w:t>
      </w:r>
      <w:r w:rsidR="00510065">
        <w:rPr>
          <w:rFonts w:cs="Arial"/>
          <w:color w:val="000000" w:themeColor="text1"/>
          <w:sz w:val="16"/>
          <w:szCs w:val="12"/>
        </w:rPr>
        <w:t>31 May 2018</w:t>
      </w:r>
      <w:r w:rsidRPr="00F239E0">
        <w:rPr>
          <w:rFonts w:cs="Arial"/>
          <w:color w:val="000000" w:themeColor="text1"/>
          <w:sz w:val="16"/>
          <w:szCs w:val="12"/>
        </w:rPr>
        <w:t>. We disclaim all responsibility to any other party for any loss or liability that the other party may suffer or incur arising from or relating to or in any way connected with the contents of our report, the provision of our report to the other party or the reliance upon our report by the other party.</w:t>
      </w:r>
    </w:p>
    <w:p w14:paraId="43DEE7F8" w14:textId="77777777" w:rsidR="00433B50" w:rsidRDefault="00433B50" w:rsidP="00433B50">
      <w:pPr>
        <w:rPr>
          <w:rFonts w:cs="Arial"/>
          <w:color w:val="000000" w:themeColor="text1"/>
          <w:sz w:val="16"/>
          <w:szCs w:val="16"/>
        </w:rPr>
      </w:pPr>
      <w:r w:rsidRPr="00F239E0">
        <w:rPr>
          <w:rFonts w:cs="Arial"/>
          <w:color w:val="000000" w:themeColor="text1"/>
          <w:sz w:val="16"/>
          <w:szCs w:val="16"/>
        </w:rPr>
        <w:t>Liability limited by a scheme approved under Professional Standards Legislation.</w:t>
      </w:r>
    </w:p>
    <w:p w14:paraId="5975EE68" w14:textId="77777777" w:rsidR="003B6E72" w:rsidRPr="00433B50" w:rsidRDefault="00433B50" w:rsidP="00433B50">
      <w:pPr>
        <w:tabs>
          <w:tab w:val="left" w:pos="-720"/>
          <w:tab w:val="left" w:pos="0"/>
          <w:tab w:val="left" w:pos="720"/>
          <w:tab w:val="left" w:pos="1440"/>
          <w:tab w:val="left" w:pos="2160"/>
          <w:tab w:val="left" w:pos="2880"/>
          <w:tab w:val="left" w:pos="3600"/>
          <w:tab w:val="left" w:pos="4320"/>
        </w:tabs>
      </w:pPr>
      <w:r>
        <w:rPr>
          <w:rFonts w:ascii="EYInterstate" w:hAnsi="EYInterstate" w:cs="Arial"/>
          <w:color w:val="000000" w:themeColor="text1"/>
        </w:rPr>
        <w:t>ey.com</w:t>
      </w:r>
    </w:p>
    <w:sectPr w:rsidR="003B6E72" w:rsidRPr="00433B50" w:rsidSect="00EB39DF">
      <w:type w:val="continuous"/>
      <w:pgSz w:w="11906" w:h="16838"/>
      <w:pgMar w:top="1440" w:right="4393" w:bottom="851"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6F576" w14:textId="77777777" w:rsidR="00D930F7" w:rsidRDefault="00D930F7" w:rsidP="005032B6">
      <w:r>
        <w:separator/>
      </w:r>
    </w:p>
    <w:p w14:paraId="4E45C9F8" w14:textId="77777777" w:rsidR="00D930F7" w:rsidRDefault="00D930F7"/>
  </w:endnote>
  <w:endnote w:type="continuationSeparator" w:id="0">
    <w:p w14:paraId="1D207A4F" w14:textId="77777777" w:rsidR="00D930F7" w:rsidRDefault="00D930F7" w:rsidP="005032B6">
      <w:r>
        <w:continuationSeparator/>
      </w:r>
    </w:p>
    <w:p w14:paraId="20EA11C9" w14:textId="77777777" w:rsidR="00D930F7" w:rsidRDefault="00D930F7"/>
  </w:endnote>
  <w:endnote w:type="continuationNotice" w:id="1">
    <w:p w14:paraId="7741EE0D" w14:textId="77777777" w:rsidR="00D930F7" w:rsidRDefault="00D930F7">
      <w:pPr>
        <w:spacing w:after="0"/>
      </w:pPr>
    </w:p>
    <w:p w14:paraId="73FA7696" w14:textId="77777777" w:rsidR="00D930F7" w:rsidRDefault="00D930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w:altName w:val="Corbel"/>
    <w:charset w:val="00"/>
    <w:family w:val="auto"/>
    <w:pitch w:val="variable"/>
    <w:sig w:usb0="800002AF" w:usb1="5000204A" w:usb2="00000000" w:usb3="00000000" w:csb0="0000009F" w:csb1="00000000"/>
  </w:font>
  <w:font w:name="EYInterstate Light">
    <w:altName w:val="Franklin Gothic Medium Cond"/>
    <w:charset w:val="00"/>
    <w:family w:val="auto"/>
    <w:pitch w:val="variable"/>
    <w:sig w:usb0="A00002AF" w:usb1="5000206A"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EYInterstate Regular">
    <w:altName w:val="Corbel"/>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EYInterstate-Regular">
    <w:altName w:val="EYInterstate Regular"/>
    <w:panose1 w:val="00000000000000000000"/>
    <w:charset w:val="4D"/>
    <w:family w:val="auto"/>
    <w:notTrueType/>
    <w:pitch w:val="default"/>
    <w:sig w:usb0="00000003" w:usb1="00000000" w:usb2="00000000" w:usb3="00000000" w:csb0="00000001" w:csb1="00000000"/>
  </w:font>
  <w:font w:name="EYInterstate-Light">
    <w:altName w:val="EYInterstate Light"/>
    <w:panose1 w:val="00000000000000000000"/>
    <w:charset w:val="4D"/>
    <w:family w:val="auto"/>
    <w:notTrueType/>
    <w:pitch w:val="default"/>
    <w:sig w:usb0="00000003" w:usb1="00000000" w:usb2="00000000" w:usb3="00000000" w:csb0="00000001" w:csb1="00000000"/>
  </w:font>
  <w:font w:name="FS Me Light">
    <w:altName w:val="FS Me Ligh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Open Sans">
    <w:altName w:val="Tahoma"/>
    <w:charset w:val="00"/>
    <w:family w:val="swiss"/>
    <w:pitch w:val="variable"/>
    <w:sig w:usb0="E00002EF" w:usb1="4000205B" w:usb2="00000028" w:usb3="00000000" w:csb0="0000019F" w:csb1="00000000"/>
  </w:font>
  <w:font w:name="+mn-e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Light">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Look w:val="0000" w:firstRow="0" w:lastRow="0" w:firstColumn="0" w:lastColumn="0" w:noHBand="0" w:noVBand="0"/>
    </w:tblPr>
    <w:tblGrid>
      <w:gridCol w:w="7483"/>
      <w:gridCol w:w="1546"/>
    </w:tblGrid>
    <w:tr w:rsidR="00D930F7" w:rsidRPr="00D9165D" w14:paraId="368F0453" w14:textId="77777777" w:rsidTr="001C091C">
      <w:trPr>
        <w:trHeight w:val="187"/>
        <w:jc w:val="right"/>
      </w:trPr>
      <w:tc>
        <w:tcPr>
          <w:tcW w:w="4144" w:type="pct"/>
        </w:tcPr>
        <w:p w14:paraId="6B35A0A6" w14:textId="77777777" w:rsidR="00D930F7" w:rsidRPr="00D9165D" w:rsidRDefault="00D930F7" w:rsidP="00290D89">
          <w:pPr>
            <w:spacing w:after="0"/>
            <w:rPr>
              <w:rFonts w:ascii="Arial" w:hAnsi="Arial" w:cs="Arial"/>
              <w:sz w:val="12"/>
              <w:szCs w:val="12"/>
            </w:rPr>
          </w:pPr>
        </w:p>
      </w:tc>
      <w:tc>
        <w:tcPr>
          <w:tcW w:w="856" w:type="pct"/>
        </w:tcPr>
        <w:p w14:paraId="0360E071" w14:textId="77777777" w:rsidR="00D930F7" w:rsidRPr="00D9165D" w:rsidRDefault="00D930F7" w:rsidP="00290D89">
          <w:pPr>
            <w:pStyle w:val="Footer"/>
            <w:spacing w:after="0"/>
            <w:rPr>
              <w:rFonts w:ascii="Arial" w:hAnsi="Arial" w:cs="Arial"/>
              <w:sz w:val="12"/>
              <w:szCs w:val="12"/>
            </w:rPr>
          </w:pPr>
        </w:p>
      </w:tc>
    </w:tr>
    <w:tr w:rsidR="00D930F7" w:rsidRPr="00D9165D" w14:paraId="595E451A" w14:textId="77777777" w:rsidTr="001C091C">
      <w:trPr>
        <w:trHeight w:val="187"/>
        <w:jc w:val="right"/>
      </w:trPr>
      <w:tc>
        <w:tcPr>
          <w:tcW w:w="4144" w:type="pct"/>
        </w:tcPr>
        <w:p w14:paraId="27A5C39D" w14:textId="77777777" w:rsidR="00D930F7" w:rsidRPr="00D9165D" w:rsidRDefault="00D930F7" w:rsidP="00290D89">
          <w:pPr>
            <w:spacing w:after="0"/>
            <w:rPr>
              <w:rFonts w:ascii="Arial" w:hAnsi="Arial" w:cs="Arial"/>
              <w:sz w:val="12"/>
              <w:szCs w:val="12"/>
            </w:rPr>
          </w:pPr>
        </w:p>
      </w:tc>
      <w:tc>
        <w:tcPr>
          <w:tcW w:w="856" w:type="pct"/>
        </w:tcPr>
        <w:p w14:paraId="1D4E2140" w14:textId="77777777" w:rsidR="00D930F7" w:rsidRPr="00D9165D" w:rsidRDefault="00D930F7" w:rsidP="00290D89">
          <w:pPr>
            <w:pStyle w:val="Footer"/>
            <w:spacing w:after="0"/>
            <w:jc w:val="right"/>
            <w:rPr>
              <w:rFonts w:ascii="Arial" w:hAnsi="Arial" w:cs="Arial"/>
              <w:sz w:val="12"/>
              <w:szCs w:val="12"/>
            </w:rPr>
          </w:pPr>
          <w:r w:rsidRPr="00D9165D">
            <w:rPr>
              <w:rFonts w:ascii="Arial" w:hAnsi="Arial" w:cs="Arial"/>
              <w:sz w:val="12"/>
              <w:szCs w:val="12"/>
            </w:rPr>
            <w:t xml:space="preserve">EY   </w:t>
          </w:r>
          <w:r w:rsidRPr="00D9165D">
            <w:rPr>
              <w:rFonts w:ascii="Arial" w:hAnsi="Arial" w:cs="Arial"/>
              <w:sz w:val="12"/>
              <w:szCs w:val="12"/>
            </w:rPr>
            <w:sym w:font="Symbol" w:char="F0F7"/>
          </w:r>
          <w:r w:rsidRPr="00D9165D">
            <w:rPr>
              <w:rFonts w:ascii="Arial" w:hAnsi="Arial" w:cs="Arial"/>
              <w:sz w:val="12"/>
              <w:szCs w:val="12"/>
            </w:rPr>
            <w:t xml:space="preserve">   </w:t>
          </w:r>
          <w:r w:rsidRPr="00D9165D">
            <w:rPr>
              <w:rFonts w:ascii="Arial" w:hAnsi="Arial" w:cs="Arial"/>
              <w:sz w:val="12"/>
              <w:szCs w:val="12"/>
            </w:rPr>
            <w:fldChar w:fldCharType="begin"/>
          </w:r>
          <w:r w:rsidRPr="00D9165D">
            <w:rPr>
              <w:rFonts w:ascii="Arial" w:hAnsi="Arial" w:cs="Arial"/>
              <w:sz w:val="12"/>
              <w:szCs w:val="12"/>
            </w:rPr>
            <w:instrText xml:space="preserve"> PAGE   \* MERGEFORMAT </w:instrText>
          </w:r>
          <w:r w:rsidRPr="00D9165D">
            <w:rPr>
              <w:rFonts w:ascii="Arial" w:hAnsi="Arial" w:cs="Arial"/>
              <w:sz w:val="12"/>
              <w:szCs w:val="12"/>
            </w:rPr>
            <w:fldChar w:fldCharType="separate"/>
          </w:r>
          <w:r>
            <w:rPr>
              <w:rFonts w:ascii="Arial" w:hAnsi="Arial" w:cs="Arial"/>
              <w:noProof/>
              <w:sz w:val="12"/>
              <w:szCs w:val="12"/>
            </w:rPr>
            <w:t>2</w:t>
          </w:r>
          <w:r w:rsidRPr="00D9165D">
            <w:rPr>
              <w:rFonts w:ascii="Arial" w:hAnsi="Arial" w:cs="Arial"/>
              <w:noProof/>
              <w:sz w:val="12"/>
              <w:szCs w:val="12"/>
            </w:rPr>
            <w:fldChar w:fldCharType="end"/>
          </w:r>
          <w:r w:rsidRPr="00D9165D">
            <w:rPr>
              <w:rFonts w:ascii="Arial" w:hAnsi="Arial" w:cs="Arial"/>
              <w:sz w:val="12"/>
              <w:szCs w:val="12"/>
            </w:rPr>
            <w:t xml:space="preserve">  </w:t>
          </w:r>
        </w:p>
      </w:tc>
    </w:tr>
  </w:tbl>
  <w:p w14:paraId="108DE0C6" w14:textId="77777777" w:rsidR="00D930F7" w:rsidRPr="00290D89" w:rsidRDefault="00D930F7" w:rsidP="00290D89">
    <w:pPr>
      <w:pStyle w:val="Footer"/>
      <w:spacing w:after="0"/>
      <w:rPr>
        <w:b/>
        <w:color w:val="FF0000"/>
      </w:rPr>
    </w:pPr>
    <w:r w:rsidRPr="005B4B8B">
      <w:rPr>
        <w:b/>
        <w:color w:val="FF0000"/>
      </w:rPr>
      <w:t>DRAFT</w:t>
    </w:r>
    <w:r>
      <w:rPr>
        <w:b/>
        <w:color w:val="FF0000"/>
      </w:rPr>
      <w:t xml:space="preserve"> FINAL REPORT V1.0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1CE79" w14:textId="77777777" w:rsidR="00D930F7" w:rsidRDefault="00D930F7">
    <w:pPr>
      <w:pStyle w:val="Footer"/>
    </w:pPr>
    <w:r>
      <w:rPr>
        <w:noProof/>
        <w:lang w:eastAsia="en-AU"/>
      </w:rPr>
      <mc:AlternateContent>
        <mc:Choice Requires="wpg">
          <w:drawing>
            <wp:anchor distT="0" distB="0" distL="114300" distR="114300" simplePos="0" relativeHeight="251682304" behindDoc="0" locked="0" layoutInCell="1" allowOverlap="1" wp14:anchorId="7C9E0443" wp14:editId="13DCC4E3">
              <wp:simplePos x="0" y="0"/>
              <wp:positionH relativeFrom="column">
                <wp:posOffset>5152027</wp:posOffset>
              </wp:positionH>
              <wp:positionV relativeFrom="paragraph">
                <wp:posOffset>-812800</wp:posOffset>
              </wp:positionV>
              <wp:extent cx="987552" cy="1152626"/>
              <wp:effectExtent l="0" t="0" r="3175" b="0"/>
              <wp:wrapNone/>
              <wp:docPr id="15" name="Group 8" descr="EY logo"/>
              <wp:cNvGraphicFramePr/>
              <a:graphic xmlns:a="http://schemas.openxmlformats.org/drawingml/2006/main">
                <a:graphicData uri="http://schemas.microsoft.com/office/word/2010/wordprocessingGroup">
                  <wpg:wgp>
                    <wpg:cNvGrpSpPr/>
                    <wpg:grpSpPr>
                      <a:xfrm>
                        <a:off x="0" y="0"/>
                        <a:ext cx="987552" cy="1152626"/>
                        <a:chOff x="0" y="0"/>
                        <a:chExt cx="1082675" cy="1263650"/>
                      </a:xfrm>
                    </wpg:grpSpPr>
                    <wps:wsp>
                      <wps:cNvPr id="16" name="Freeform 16"/>
                      <wps:cNvSpPr>
                        <a:spLocks/>
                      </wps:cNvSpPr>
                      <wps:spPr bwMode="auto">
                        <a:xfrm>
                          <a:off x="0" y="0"/>
                          <a:ext cx="866775" cy="314325"/>
                        </a:xfrm>
                        <a:custGeom>
                          <a:avLst/>
                          <a:gdLst>
                            <a:gd name="T0" fmla="*/ 546 w 546"/>
                            <a:gd name="T1" fmla="*/ 0 h 198"/>
                            <a:gd name="T2" fmla="*/ 0 w 546"/>
                            <a:gd name="T3" fmla="*/ 198 h 198"/>
                            <a:gd name="T4" fmla="*/ 546 w 546"/>
                            <a:gd name="T5" fmla="*/ 102 h 198"/>
                            <a:gd name="T6" fmla="*/ 546 w 546"/>
                            <a:gd name="T7" fmla="*/ 0 h 198"/>
                          </a:gdLst>
                          <a:ahLst/>
                          <a:cxnLst>
                            <a:cxn ang="0">
                              <a:pos x="T0" y="T1"/>
                            </a:cxn>
                            <a:cxn ang="0">
                              <a:pos x="T2" y="T3"/>
                            </a:cxn>
                            <a:cxn ang="0">
                              <a:pos x="T4" y="T5"/>
                            </a:cxn>
                            <a:cxn ang="0">
                              <a:pos x="T6" y="T7"/>
                            </a:cxn>
                          </a:cxnLst>
                          <a:rect l="0" t="0" r="r" b="b"/>
                          <a:pathLst>
                            <a:path w="546" h="198">
                              <a:moveTo>
                                <a:pt x="546" y="0"/>
                              </a:moveTo>
                              <a:lnTo>
                                <a:pt x="0" y="198"/>
                              </a:lnTo>
                              <a:lnTo>
                                <a:pt x="546" y="102"/>
                              </a:lnTo>
                              <a:lnTo>
                                <a:pt x="546" y="0"/>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17"/>
                      <wps:cNvSpPr>
                        <a:spLocks noEditPoints="1"/>
                      </wps:cNvSpPr>
                      <wps:spPr bwMode="auto">
                        <a:xfrm>
                          <a:off x="0" y="447675"/>
                          <a:ext cx="1082675" cy="815975"/>
                        </a:xfrm>
                        <a:custGeom>
                          <a:avLst/>
                          <a:gdLst>
                            <a:gd name="T0" fmla="*/ 6 w 682"/>
                            <a:gd name="T1" fmla="*/ 342 h 514"/>
                            <a:gd name="T2" fmla="*/ 38 w 682"/>
                            <a:gd name="T3" fmla="*/ 380 h 514"/>
                            <a:gd name="T4" fmla="*/ 34 w 682"/>
                            <a:gd name="T5" fmla="*/ 354 h 514"/>
                            <a:gd name="T6" fmla="*/ 78 w 682"/>
                            <a:gd name="T7" fmla="*/ 392 h 514"/>
                            <a:gd name="T8" fmla="*/ 96 w 682"/>
                            <a:gd name="T9" fmla="*/ 406 h 514"/>
                            <a:gd name="T10" fmla="*/ 250 w 682"/>
                            <a:gd name="T11" fmla="*/ 364 h 514"/>
                            <a:gd name="T12" fmla="*/ 266 w 682"/>
                            <a:gd name="T13" fmla="*/ 372 h 514"/>
                            <a:gd name="T14" fmla="*/ 132 w 682"/>
                            <a:gd name="T15" fmla="*/ 380 h 514"/>
                            <a:gd name="T16" fmla="*/ 164 w 682"/>
                            <a:gd name="T17" fmla="*/ 374 h 514"/>
                            <a:gd name="T18" fmla="*/ 192 w 682"/>
                            <a:gd name="T19" fmla="*/ 364 h 514"/>
                            <a:gd name="T20" fmla="*/ 192 w 682"/>
                            <a:gd name="T21" fmla="*/ 374 h 514"/>
                            <a:gd name="T22" fmla="*/ 446 w 682"/>
                            <a:gd name="T23" fmla="*/ 406 h 514"/>
                            <a:gd name="T24" fmla="*/ 456 w 682"/>
                            <a:gd name="T25" fmla="*/ 358 h 514"/>
                            <a:gd name="T26" fmla="*/ 446 w 682"/>
                            <a:gd name="T27" fmla="*/ 394 h 514"/>
                            <a:gd name="T28" fmla="*/ 290 w 682"/>
                            <a:gd name="T29" fmla="*/ 384 h 514"/>
                            <a:gd name="T30" fmla="*/ 304 w 682"/>
                            <a:gd name="T31" fmla="*/ 420 h 514"/>
                            <a:gd name="T32" fmla="*/ 320 w 682"/>
                            <a:gd name="T33" fmla="*/ 394 h 514"/>
                            <a:gd name="T34" fmla="*/ 316 w 682"/>
                            <a:gd name="T35" fmla="*/ 372 h 514"/>
                            <a:gd name="T36" fmla="*/ 380 w 682"/>
                            <a:gd name="T37" fmla="*/ 376 h 514"/>
                            <a:gd name="T38" fmla="*/ 402 w 682"/>
                            <a:gd name="T39" fmla="*/ 410 h 514"/>
                            <a:gd name="T40" fmla="*/ 374 w 682"/>
                            <a:gd name="T41" fmla="*/ 388 h 514"/>
                            <a:gd name="T42" fmla="*/ 514 w 682"/>
                            <a:gd name="T43" fmla="*/ 394 h 514"/>
                            <a:gd name="T44" fmla="*/ 512 w 682"/>
                            <a:gd name="T45" fmla="*/ 360 h 514"/>
                            <a:gd name="T46" fmla="*/ 522 w 682"/>
                            <a:gd name="T47" fmla="*/ 402 h 514"/>
                            <a:gd name="T48" fmla="*/ 632 w 682"/>
                            <a:gd name="T49" fmla="*/ 394 h 514"/>
                            <a:gd name="T50" fmla="*/ 620 w 682"/>
                            <a:gd name="T51" fmla="*/ 358 h 514"/>
                            <a:gd name="T52" fmla="*/ 632 w 682"/>
                            <a:gd name="T53" fmla="*/ 394 h 514"/>
                            <a:gd name="T54" fmla="*/ 584 w 682"/>
                            <a:gd name="T55" fmla="*/ 396 h 514"/>
                            <a:gd name="T56" fmla="*/ 562 w 682"/>
                            <a:gd name="T57" fmla="*/ 372 h 514"/>
                            <a:gd name="T58" fmla="*/ 548 w 682"/>
                            <a:gd name="T59" fmla="*/ 410 h 514"/>
                            <a:gd name="T60" fmla="*/ 548 w 682"/>
                            <a:gd name="T61" fmla="*/ 372 h 514"/>
                            <a:gd name="T62" fmla="*/ 664 w 682"/>
                            <a:gd name="T63" fmla="*/ 374 h 514"/>
                            <a:gd name="T64" fmla="*/ 678 w 682"/>
                            <a:gd name="T65" fmla="*/ 374 h 514"/>
                            <a:gd name="T66" fmla="*/ 228 w 682"/>
                            <a:gd name="T67" fmla="*/ 354 h 514"/>
                            <a:gd name="T68" fmla="*/ 530 w 682"/>
                            <a:gd name="T69" fmla="*/ 470 h 514"/>
                            <a:gd name="T70" fmla="*/ 552 w 682"/>
                            <a:gd name="T71" fmla="*/ 484 h 514"/>
                            <a:gd name="T72" fmla="*/ 560 w 682"/>
                            <a:gd name="T73" fmla="*/ 480 h 514"/>
                            <a:gd name="T74" fmla="*/ 120 w 682"/>
                            <a:gd name="T75" fmla="*/ 494 h 514"/>
                            <a:gd name="T76" fmla="*/ 42 w 682"/>
                            <a:gd name="T77" fmla="*/ 494 h 514"/>
                            <a:gd name="T78" fmla="*/ 20 w 682"/>
                            <a:gd name="T79" fmla="*/ 476 h 514"/>
                            <a:gd name="T80" fmla="*/ 70 w 682"/>
                            <a:gd name="T81" fmla="*/ 460 h 514"/>
                            <a:gd name="T82" fmla="*/ 106 w 682"/>
                            <a:gd name="T83" fmla="*/ 452 h 514"/>
                            <a:gd name="T84" fmla="*/ 90 w 682"/>
                            <a:gd name="T85" fmla="*/ 456 h 514"/>
                            <a:gd name="T86" fmla="*/ 496 w 682"/>
                            <a:gd name="T87" fmla="*/ 458 h 514"/>
                            <a:gd name="T88" fmla="*/ 494 w 682"/>
                            <a:gd name="T89" fmla="*/ 444 h 514"/>
                            <a:gd name="T90" fmla="*/ 376 w 682"/>
                            <a:gd name="T91" fmla="*/ 494 h 514"/>
                            <a:gd name="T92" fmla="*/ 398 w 682"/>
                            <a:gd name="T93" fmla="*/ 476 h 514"/>
                            <a:gd name="T94" fmla="*/ 442 w 682"/>
                            <a:gd name="T95" fmla="*/ 496 h 514"/>
                            <a:gd name="T96" fmla="*/ 438 w 682"/>
                            <a:gd name="T97" fmla="*/ 484 h 514"/>
                            <a:gd name="T98" fmla="*/ 452 w 682"/>
                            <a:gd name="T99" fmla="*/ 470 h 514"/>
                            <a:gd name="T100" fmla="*/ 170 w 682"/>
                            <a:gd name="T101" fmla="*/ 426 h 514"/>
                            <a:gd name="T102" fmla="*/ 254 w 682"/>
                            <a:gd name="T103" fmla="*/ 444 h 514"/>
                            <a:gd name="T104" fmla="*/ 252 w 682"/>
                            <a:gd name="T105" fmla="*/ 456 h 514"/>
                            <a:gd name="T106" fmla="*/ 280 w 682"/>
                            <a:gd name="T107" fmla="*/ 470 h 514"/>
                            <a:gd name="T108" fmla="*/ 296 w 682"/>
                            <a:gd name="T109" fmla="*/ 506 h 514"/>
                            <a:gd name="T110" fmla="*/ 310 w 682"/>
                            <a:gd name="T111" fmla="*/ 480 h 514"/>
                            <a:gd name="T112" fmla="*/ 308 w 682"/>
                            <a:gd name="T113" fmla="*/ 458 h 514"/>
                            <a:gd name="T114" fmla="*/ 220 w 682"/>
                            <a:gd name="T115" fmla="*/ 432 h 514"/>
                            <a:gd name="T116" fmla="*/ 6 w 682"/>
                            <a:gd name="T117" fmla="*/ 0 h 514"/>
                            <a:gd name="T118" fmla="*/ 464 w 682"/>
                            <a:gd name="T119" fmla="*/ 0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82" h="514">
                              <a:moveTo>
                                <a:pt x="58" y="388"/>
                              </a:moveTo>
                              <a:lnTo>
                                <a:pt x="58" y="388"/>
                              </a:lnTo>
                              <a:lnTo>
                                <a:pt x="56" y="382"/>
                              </a:lnTo>
                              <a:lnTo>
                                <a:pt x="54" y="378"/>
                              </a:lnTo>
                              <a:lnTo>
                                <a:pt x="48" y="372"/>
                              </a:lnTo>
                              <a:lnTo>
                                <a:pt x="48" y="372"/>
                              </a:lnTo>
                              <a:lnTo>
                                <a:pt x="54" y="368"/>
                              </a:lnTo>
                              <a:lnTo>
                                <a:pt x="56" y="360"/>
                              </a:lnTo>
                              <a:lnTo>
                                <a:pt x="56" y="360"/>
                              </a:lnTo>
                              <a:lnTo>
                                <a:pt x="54" y="352"/>
                              </a:lnTo>
                              <a:lnTo>
                                <a:pt x="50" y="346"/>
                              </a:lnTo>
                              <a:lnTo>
                                <a:pt x="44" y="344"/>
                              </a:lnTo>
                              <a:lnTo>
                                <a:pt x="34" y="342"/>
                              </a:lnTo>
                              <a:lnTo>
                                <a:pt x="6" y="342"/>
                              </a:lnTo>
                              <a:lnTo>
                                <a:pt x="6" y="410"/>
                              </a:lnTo>
                              <a:lnTo>
                                <a:pt x="34" y="410"/>
                              </a:lnTo>
                              <a:lnTo>
                                <a:pt x="34" y="410"/>
                              </a:lnTo>
                              <a:lnTo>
                                <a:pt x="44" y="408"/>
                              </a:lnTo>
                              <a:lnTo>
                                <a:pt x="52" y="404"/>
                              </a:lnTo>
                              <a:lnTo>
                                <a:pt x="56" y="396"/>
                              </a:lnTo>
                              <a:lnTo>
                                <a:pt x="58" y="388"/>
                              </a:lnTo>
                              <a:lnTo>
                                <a:pt x="58" y="388"/>
                              </a:lnTo>
                              <a:close/>
                              <a:moveTo>
                                <a:pt x="34" y="398"/>
                              </a:moveTo>
                              <a:lnTo>
                                <a:pt x="18" y="398"/>
                              </a:lnTo>
                              <a:lnTo>
                                <a:pt x="18" y="378"/>
                              </a:lnTo>
                              <a:lnTo>
                                <a:pt x="34" y="378"/>
                              </a:lnTo>
                              <a:lnTo>
                                <a:pt x="34" y="378"/>
                              </a:lnTo>
                              <a:lnTo>
                                <a:pt x="38" y="380"/>
                              </a:lnTo>
                              <a:lnTo>
                                <a:pt x="42" y="380"/>
                              </a:lnTo>
                              <a:lnTo>
                                <a:pt x="44" y="384"/>
                              </a:lnTo>
                              <a:lnTo>
                                <a:pt x="44" y="388"/>
                              </a:lnTo>
                              <a:lnTo>
                                <a:pt x="44" y="388"/>
                              </a:lnTo>
                              <a:lnTo>
                                <a:pt x="44" y="392"/>
                              </a:lnTo>
                              <a:lnTo>
                                <a:pt x="42" y="396"/>
                              </a:lnTo>
                              <a:lnTo>
                                <a:pt x="38" y="398"/>
                              </a:lnTo>
                              <a:lnTo>
                                <a:pt x="34" y="398"/>
                              </a:lnTo>
                              <a:lnTo>
                                <a:pt x="34" y="398"/>
                              </a:lnTo>
                              <a:close/>
                              <a:moveTo>
                                <a:pt x="34" y="368"/>
                              </a:moveTo>
                              <a:lnTo>
                                <a:pt x="18" y="368"/>
                              </a:lnTo>
                              <a:lnTo>
                                <a:pt x="18" y="354"/>
                              </a:lnTo>
                              <a:lnTo>
                                <a:pt x="34" y="354"/>
                              </a:lnTo>
                              <a:lnTo>
                                <a:pt x="34" y="354"/>
                              </a:lnTo>
                              <a:lnTo>
                                <a:pt x="40" y="356"/>
                              </a:lnTo>
                              <a:lnTo>
                                <a:pt x="42" y="358"/>
                              </a:lnTo>
                              <a:lnTo>
                                <a:pt x="42" y="360"/>
                              </a:lnTo>
                              <a:lnTo>
                                <a:pt x="42" y="360"/>
                              </a:lnTo>
                              <a:lnTo>
                                <a:pt x="40" y="366"/>
                              </a:lnTo>
                              <a:lnTo>
                                <a:pt x="38" y="366"/>
                              </a:lnTo>
                              <a:lnTo>
                                <a:pt x="34" y="368"/>
                              </a:lnTo>
                              <a:lnTo>
                                <a:pt x="34" y="368"/>
                              </a:lnTo>
                              <a:close/>
                              <a:moveTo>
                                <a:pt x="66" y="388"/>
                              </a:moveTo>
                              <a:lnTo>
                                <a:pt x="66" y="360"/>
                              </a:lnTo>
                              <a:lnTo>
                                <a:pt x="78" y="360"/>
                              </a:lnTo>
                              <a:lnTo>
                                <a:pt x="78" y="388"/>
                              </a:lnTo>
                              <a:lnTo>
                                <a:pt x="78" y="388"/>
                              </a:lnTo>
                              <a:lnTo>
                                <a:pt x="78" y="392"/>
                              </a:lnTo>
                              <a:lnTo>
                                <a:pt x="80" y="396"/>
                              </a:lnTo>
                              <a:lnTo>
                                <a:pt x="84" y="398"/>
                              </a:lnTo>
                              <a:lnTo>
                                <a:pt x="88" y="400"/>
                              </a:lnTo>
                              <a:lnTo>
                                <a:pt x="88" y="400"/>
                              </a:lnTo>
                              <a:lnTo>
                                <a:pt x="92" y="398"/>
                              </a:lnTo>
                              <a:lnTo>
                                <a:pt x="94" y="396"/>
                              </a:lnTo>
                              <a:lnTo>
                                <a:pt x="96" y="392"/>
                              </a:lnTo>
                              <a:lnTo>
                                <a:pt x="96" y="388"/>
                              </a:lnTo>
                              <a:lnTo>
                                <a:pt x="96" y="360"/>
                              </a:lnTo>
                              <a:lnTo>
                                <a:pt x="108" y="360"/>
                              </a:lnTo>
                              <a:lnTo>
                                <a:pt x="108" y="410"/>
                              </a:lnTo>
                              <a:lnTo>
                                <a:pt x="96" y="410"/>
                              </a:lnTo>
                              <a:lnTo>
                                <a:pt x="96" y="406"/>
                              </a:lnTo>
                              <a:lnTo>
                                <a:pt x="96" y="406"/>
                              </a:lnTo>
                              <a:lnTo>
                                <a:pt x="92" y="408"/>
                              </a:lnTo>
                              <a:lnTo>
                                <a:pt x="84" y="410"/>
                              </a:lnTo>
                              <a:lnTo>
                                <a:pt x="84" y="410"/>
                              </a:lnTo>
                              <a:lnTo>
                                <a:pt x="80" y="410"/>
                              </a:lnTo>
                              <a:lnTo>
                                <a:pt x="74" y="408"/>
                              </a:lnTo>
                              <a:lnTo>
                                <a:pt x="70" y="402"/>
                              </a:lnTo>
                              <a:lnTo>
                                <a:pt x="66" y="394"/>
                              </a:lnTo>
                              <a:lnTo>
                                <a:pt x="66" y="388"/>
                              </a:lnTo>
                              <a:lnTo>
                                <a:pt x="66" y="388"/>
                              </a:lnTo>
                              <a:close/>
                              <a:moveTo>
                                <a:pt x="250" y="410"/>
                              </a:moveTo>
                              <a:lnTo>
                                <a:pt x="238" y="410"/>
                              </a:lnTo>
                              <a:lnTo>
                                <a:pt x="238" y="360"/>
                              </a:lnTo>
                              <a:lnTo>
                                <a:pt x="250" y="360"/>
                              </a:lnTo>
                              <a:lnTo>
                                <a:pt x="250" y="364"/>
                              </a:lnTo>
                              <a:lnTo>
                                <a:pt x="250" y="364"/>
                              </a:lnTo>
                              <a:lnTo>
                                <a:pt x="256" y="360"/>
                              </a:lnTo>
                              <a:lnTo>
                                <a:pt x="262" y="358"/>
                              </a:lnTo>
                              <a:lnTo>
                                <a:pt x="262" y="358"/>
                              </a:lnTo>
                              <a:lnTo>
                                <a:pt x="270" y="360"/>
                              </a:lnTo>
                              <a:lnTo>
                                <a:pt x="276" y="364"/>
                              </a:lnTo>
                              <a:lnTo>
                                <a:pt x="280" y="372"/>
                              </a:lnTo>
                              <a:lnTo>
                                <a:pt x="280" y="382"/>
                              </a:lnTo>
                              <a:lnTo>
                                <a:pt x="280" y="410"/>
                              </a:lnTo>
                              <a:lnTo>
                                <a:pt x="268" y="410"/>
                              </a:lnTo>
                              <a:lnTo>
                                <a:pt x="268" y="382"/>
                              </a:lnTo>
                              <a:lnTo>
                                <a:pt x="268" y="382"/>
                              </a:lnTo>
                              <a:lnTo>
                                <a:pt x="268" y="376"/>
                              </a:lnTo>
                              <a:lnTo>
                                <a:pt x="266" y="372"/>
                              </a:lnTo>
                              <a:lnTo>
                                <a:pt x="264" y="370"/>
                              </a:lnTo>
                              <a:lnTo>
                                <a:pt x="260" y="370"/>
                              </a:lnTo>
                              <a:lnTo>
                                <a:pt x="260" y="370"/>
                              </a:lnTo>
                              <a:lnTo>
                                <a:pt x="256" y="370"/>
                              </a:lnTo>
                              <a:lnTo>
                                <a:pt x="254" y="374"/>
                              </a:lnTo>
                              <a:lnTo>
                                <a:pt x="252" y="376"/>
                              </a:lnTo>
                              <a:lnTo>
                                <a:pt x="250" y="382"/>
                              </a:lnTo>
                              <a:lnTo>
                                <a:pt x="250" y="410"/>
                              </a:lnTo>
                              <a:close/>
                              <a:moveTo>
                                <a:pt x="132" y="380"/>
                              </a:moveTo>
                              <a:lnTo>
                                <a:pt x="132" y="410"/>
                              </a:lnTo>
                              <a:lnTo>
                                <a:pt x="120" y="410"/>
                              </a:lnTo>
                              <a:lnTo>
                                <a:pt x="120" y="360"/>
                              </a:lnTo>
                              <a:lnTo>
                                <a:pt x="132" y="360"/>
                              </a:lnTo>
                              <a:lnTo>
                                <a:pt x="132" y="380"/>
                              </a:lnTo>
                              <a:close/>
                              <a:moveTo>
                                <a:pt x="142" y="346"/>
                              </a:moveTo>
                              <a:lnTo>
                                <a:pt x="154" y="340"/>
                              </a:lnTo>
                              <a:lnTo>
                                <a:pt x="154" y="348"/>
                              </a:lnTo>
                              <a:lnTo>
                                <a:pt x="154" y="410"/>
                              </a:lnTo>
                              <a:lnTo>
                                <a:pt x="142" y="410"/>
                              </a:lnTo>
                              <a:lnTo>
                                <a:pt x="142" y="346"/>
                              </a:lnTo>
                              <a:close/>
                              <a:moveTo>
                                <a:pt x="192" y="364"/>
                              </a:moveTo>
                              <a:lnTo>
                                <a:pt x="192" y="364"/>
                              </a:lnTo>
                              <a:lnTo>
                                <a:pt x="188" y="360"/>
                              </a:lnTo>
                              <a:lnTo>
                                <a:pt x="182" y="358"/>
                              </a:lnTo>
                              <a:lnTo>
                                <a:pt x="182" y="358"/>
                              </a:lnTo>
                              <a:lnTo>
                                <a:pt x="174" y="360"/>
                              </a:lnTo>
                              <a:lnTo>
                                <a:pt x="168" y="366"/>
                              </a:lnTo>
                              <a:lnTo>
                                <a:pt x="164" y="374"/>
                              </a:lnTo>
                              <a:lnTo>
                                <a:pt x="162" y="384"/>
                              </a:lnTo>
                              <a:lnTo>
                                <a:pt x="162" y="384"/>
                              </a:lnTo>
                              <a:lnTo>
                                <a:pt x="164" y="394"/>
                              </a:lnTo>
                              <a:lnTo>
                                <a:pt x="168" y="404"/>
                              </a:lnTo>
                              <a:lnTo>
                                <a:pt x="174" y="408"/>
                              </a:lnTo>
                              <a:lnTo>
                                <a:pt x="182" y="410"/>
                              </a:lnTo>
                              <a:lnTo>
                                <a:pt x="182" y="410"/>
                              </a:lnTo>
                              <a:lnTo>
                                <a:pt x="188" y="408"/>
                              </a:lnTo>
                              <a:lnTo>
                                <a:pt x="192" y="406"/>
                              </a:lnTo>
                              <a:lnTo>
                                <a:pt x="192" y="410"/>
                              </a:lnTo>
                              <a:lnTo>
                                <a:pt x="204" y="410"/>
                              </a:lnTo>
                              <a:lnTo>
                                <a:pt x="204" y="340"/>
                              </a:lnTo>
                              <a:lnTo>
                                <a:pt x="192" y="346"/>
                              </a:lnTo>
                              <a:lnTo>
                                <a:pt x="192" y="364"/>
                              </a:lnTo>
                              <a:close/>
                              <a:moveTo>
                                <a:pt x="184" y="398"/>
                              </a:moveTo>
                              <a:lnTo>
                                <a:pt x="184" y="398"/>
                              </a:lnTo>
                              <a:lnTo>
                                <a:pt x="180" y="398"/>
                              </a:lnTo>
                              <a:lnTo>
                                <a:pt x="178" y="396"/>
                              </a:lnTo>
                              <a:lnTo>
                                <a:pt x="176" y="392"/>
                              </a:lnTo>
                              <a:lnTo>
                                <a:pt x="174" y="384"/>
                              </a:lnTo>
                              <a:lnTo>
                                <a:pt x="174" y="384"/>
                              </a:lnTo>
                              <a:lnTo>
                                <a:pt x="176" y="376"/>
                              </a:lnTo>
                              <a:lnTo>
                                <a:pt x="178" y="372"/>
                              </a:lnTo>
                              <a:lnTo>
                                <a:pt x="180" y="370"/>
                              </a:lnTo>
                              <a:lnTo>
                                <a:pt x="184" y="370"/>
                              </a:lnTo>
                              <a:lnTo>
                                <a:pt x="184" y="370"/>
                              </a:lnTo>
                              <a:lnTo>
                                <a:pt x="190" y="372"/>
                              </a:lnTo>
                              <a:lnTo>
                                <a:pt x="192" y="374"/>
                              </a:lnTo>
                              <a:lnTo>
                                <a:pt x="192" y="394"/>
                              </a:lnTo>
                              <a:lnTo>
                                <a:pt x="192" y="394"/>
                              </a:lnTo>
                              <a:lnTo>
                                <a:pt x="190" y="398"/>
                              </a:lnTo>
                              <a:lnTo>
                                <a:pt x="184" y="398"/>
                              </a:lnTo>
                              <a:lnTo>
                                <a:pt x="184" y="398"/>
                              </a:lnTo>
                              <a:close/>
                              <a:moveTo>
                                <a:pt x="456" y="358"/>
                              </a:moveTo>
                              <a:lnTo>
                                <a:pt x="456" y="358"/>
                              </a:lnTo>
                              <a:lnTo>
                                <a:pt x="452" y="360"/>
                              </a:lnTo>
                              <a:lnTo>
                                <a:pt x="446" y="364"/>
                              </a:lnTo>
                              <a:lnTo>
                                <a:pt x="446" y="340"/>
                              </a:lnTo>
                              <a:lnTo>
                                <a:pt x="434" y="346"/>
                              </a:lnTo>
                              <a:lnTo>
                                <a:pt x="434" y="410"/>
                              </a:lnTo>
                              <a:lnTo>
                                <a:pt x="446" y="410"/>
                              </a:lnTo>
                              <a:lnTo>
                                <a:pt x="446" y="406"/>
                              </a:lnTo>
                              <a:lnTo>
                                <a:pt x="446" y="406"/>
                              </a:lnTo>
                              <a:lnTo>
                                <a:pt x="450" y="408"/>
                              </a:lnTo>
                              <a:lnTo>
                                <a:pt x="458" y="410"/>
                              </a:lnTo>
                              <a:lnTo>
                                <a:pt x="458" y="410"/>
                              </a:lnTo>
                              <a:lnTo>
                                <a:pt x="466" y="408"/>
                              </a:lnTo>
                              <a:lnTo>
                                <a:pt x="472" y="404"/>
                              </a:lnTo>
                              <a:lnTo>
                                <a:pt x="474" y="396"/>
                              </a:lnTo>
                              <a:lnTo>
                                <a:pt x="476" y="384"/>
                              </a:lnTo>
                              <a:lnTo>
                                <a:pt x="476" y="384"/>
                              </a:lnTo>
                              <a:lnTo>
                                <a:pt x="474" y="374"/>
                              </a:lnTo>
                              <a:lnTo>
                                <a:pt x="470" y="366"/>
                              </a:lnTo>
                              <a:lnTo>
                                <a:pt x="464" y="360"/>
                              </a:lnTo>
                              <a:lnTo>
                                <a:pt x="456" y="358"/>
                              </a:lnTo>
                              <a:lnTo>
                                <a:pt x="456" y="358"/>
                              </a:lnTo>
                              <a:close/>
                              <a:moveTo>
                                <a:pt x="454" y="370"/>
                              </a:moveTo>
                              <a:lnTo>
                                <a:pt x="454" y="370"/>
                              </a:lnTo>
                              <a:lnTo>
                                <a:pt x="458" y="370"/>
                              </a:lnTo>
                              <a:lnTo>
                                <a:pt x="460" y="374"/>
                              </a:lnTo>
                              <a:lnTo>
                                <a:pt x="462" y="378"/>
                              </a:lnTo>
                              <a:lnTo>
                                <a:pt x="464" y="384"/>
                              </a:lnTo>
                              <a:lnTo>
                                <a:pt x="464" y="384"/>
                              </a:lnTo>
                              <a:lnTo>
                                <a:pt x="464" y="390"/>
                              </a:lnTo>
                              <a:lnTo>
                                <a:pt x="462" y="396"/>
                              </a:lnTo>
                              <a:lnTo>
                                <a:pt x="458" y="398"/>
                              </a:lnTo>
                              <a:lnTo>
                                <a:pt x="454" y="398"/>
                              </a:lnTo>
                              <a:lnTo>
                                <a:pt x="454" y="398"/>
                              </a:lnTo>
                              <a:lnTo>
                                <a:pt x="450" y="398"/>
                              </a:lnTo>
                              <a:lnTo>
                                <a:pt x="446" y="394"/>
                              </a:lnTo>
                              <a:lnTo>
                                <a:pt x="446" y="376"/>
                              </a:lnTo>
                              <a:lnTo>
                                <a:pt x="446" y="376"/>
                              </a:lnTo>
                              <a:lnTo>
                                <a:pt x="450" y="372"/>
                              </a:lnTo>
                              <a:lnTo>
                                <a:pt x="454" y="370"/>
                              </a:lnTo>
                              <a:lnTo>
                                <a:pt x="454" y="370"/>
                              </a:lnTo>
                              <a:close/>
                              <a:moveTo>
                                <a:pt x="320" y="364"/>
                              </a:moveTo>
                              <a:lnTo>
                                <a:pt x="320" y="364"/>
                              </a:lnTo>
                              <a:lnTo>
                                <a:pt x="314" y="360"/>
                              </a:lnTo>
                              <a:lnTo>
                                <a:pt x="308" y="358"/>
                              </a:lnTo>
                              <a:lnTo>
                                <a:pt x="308" y="358"/>
                              </a:lnTo>
                              <a:lnTo>
                                <a:pt x="300" y="360"/>
                              </a:lnTo>
                              <a:lnTo>
                                <a:pt x="294" y="366"/>
                              </a:lnTo>
                              <a:lnTo>
                                <a:pt x="290" y="374"/>
                              </a:lnTo>
                              <a:lnTo>
                                <a:pt x="290" y="384"/>
                              </a:lnTo>
                              <a:lnTo>
                                <a:pt x="290" y="384"/>
                              </a:lnTo>
                              <a:lnTo>
                                <a:pt x="290" y="394"/>
                              </a:lnTo>
                              <a:lnTo>
                                <a:pt x="294" y="404"/>
                              </a:lnTo>
                              <a:lnTo>
                                <a:pt x="300" y="408"/>
                              </a:lnTo>
                              <a:lnTo>
                                <a:pt x="308" y="410"/>
                              </a:lnTo>
                              <a:lnTo>
                                <a:pt x="308" y="410"/>
                              </a:lnTo>
                              <a:lnTo>
                                <a:pt x="314" y="408"/>
                              </a:lnTo>
                              <a:lnTo>
                                <a:pt x="320" y="406"/>
                              </a:lnTo>
                              <a:lnTo>
                                <a:pt x="320" y="406"/>
                              </a:lnTo>
                              <a:lnTo>
                                <a:pt x="320" y="406"/>
                              </a:lnTo>
                              <a:lnTo>
                                <a:pt x="318" y="410"/>
                              </a:lnTo>
                              <a:lnTo>
                                <a:pt x="318" y="414"/>
                              </a:lnTo>
                              <a:lnTo>
                                <a:pt x="312" y="418"/>
                              </a:lnTo>
                              <a:lnTo>
                                <a:pt x="304" y="420"/>
                              </a:lnTo>
                              <a:lnTo>
                                <a:pt x="302" y="420"/>
                              </a:lnTo>
                              <a:lnTo>
                                <a:pt x="308" y="428"/>
                              </a:lnTo>
                              <a:lnTo>
                                <a:pt x="308" y="428"/>
                              </a:lnTo>
                              <a:lnTo>
                                <a:pt x="308" y="428"/>
                              </a:lnTo>
                              <a:lnTo>
                                <a:pt x="318" y="428"/>
                              </a:lnTo>
                              <a:lnTo>
                                <a:pt x="326" y="422"/>
                              </a:lnTo>
                              <a:lnTo>
                                <a:pt x="330" y="416"/>
                              </a:lnTo>
                              <a:lnTo>
                                <a:pt x="332" y="404"/>
                              </a:lnTo>
                              <a:lnTo>
                                <a:pt x="332" y="360"/>
                              </a:lnTo>
                              <a:lnTo>
                                <a:pt x="320" y="360"/>
                              </a:lnTo>
                              <a:lnTo>
                                <a:pt x="320" y="364"/>
                              </a:lnTo>
                              <a:close/>
                              <a:moveTo>
                                <a:pt x="320" y="374"/>
                              </a:moveTo>
                              <a:lnTo>
                                <a:pt x="320" y="394"/>
                              </a:lnTo>
                              <a:lnTo>
                                <a:pt x="320" y="394"/>
                              </a:lnTo>
                              <a:lnTo>
                                <a:pt x="316" y="398"/>
                              </a:lnTo>
                              <a:lnTo>
                                <a:pt x="310" y="398"/>
                              </a:lnTo>
                              <a:lnTo>
                                <a:pt x="310" y="398"/>
                              </a:lnTo>
                              <a:lnTo>
                                <a:pt x="308" y="398"/>
                              </a:lnTo>
                              <a:lnTo>
                                <a:pt x="304" y="396"/>
                              </a:lnTo>
                              <a:lnTo>
                                <a:pt x="302" y="392"/>
                              </a:lnTo>
                              <a:lnTo>
                                <a:pt x="302" y="384"/>
                              </a:lnTo>
                              <a:lnTo>
                                <a:pt x="302" y="384"/>
                              </a:lnTo>
                              <a:lnTo>
                                <a:pt x="302" y="376"/>
                              </a:lnTo>
                              <a:lnTo>
                                <a:pt x="304" y="372"/>
                              </a:lnTo>
                              <a:lnTo>
                                <a:pt x="308" y="370"/>
                              </a:lnTo>
                              <a:lnTo>
                                <a:pt x="310" y="370"/>
                              </a:lnTo>
                              <a:lnTo>
                                <a:pt x="310" y="370"/>
                              </a:lnTo>
                              <a:lnTo>
                                <a:pt x="316" y="372"/>
                              </a:lnTo>
                              <a:lnTo>
                                <a:pt x="320" y="374"/>
                              </a:lnTo>
                              <a:lnTo>
                                <a:pt x="320" y="374"/>
                              </a:lnTo>
                              <a:close/>
                              <a:moveTo>
                                <a:pt x="368" y="372"/>
                              </a:moveTo>
                              <a:lnTo>
                                <a:pt x="368" y="372"/>
                              </a:lnTo>
                              <a:lnTo>
                                <a:pt x="374" y="370"/>
                              </a:lnTo>
                              <a:lnTo>
                                <a:pt x="382" y="368"/>
                              </a:lnTo>
                              <a:lnTo>
                                <a:pt x="382" y="368"/>
                              </a:lnTo>
                              <a:lnTo>
                                <a:pt x="388" y="370"/>
                              </a:lnTo>
                              <a:lnTo>
                                <a:pt x="390" y="372"/>
                              </a:lnTo>
                              <a:lnTo>
                                <a:pt x="390" y="376"/>
                              </a:lnTo>
                              <a:lnTo>
                                <a:pt x="390" y="380"/>
                              </a:lnTo>
                              <a:lnTo>
                                <a:pt x="390" y="380"/>
                              </a:lnTo>
                              <a:lnTo>
                                <a:pt x="380" y="376"/>
                              </a:lnTo>
                              <a:lnTo>
                                <a:pt x="380" y="376"/>
                              </a:lnTo>
                              <a:lnTo>
                                <a:pt x="372" y="378"/>
                              </a:lnTo>
                              <a:lnTo>
                                <a:pt x="366" y="380"/>
                              </a:lnTo>
                              <a:lnTo>
                                <a:pt x="362" y="386"/>
                              </a:lnTo>
                              <a:lnTo>
                                <a:pt x="360" y="392"/>
                              </a:lnTo>
                              <a:lnTo>
                                <a:pt x="360" y="392"/>
                              </a:lnTo>
                              <a:lnTo>
                                <a:pt x="362" y="400"/>
                              </a:lnTo>
                              <a:lnTo>
                                <a:pt x="366" y="406"/>
                              </a:lnTo>
                              <a:lnTo>
                                <a:pt x="372" y="410"/>
                              </a:lnTo>
                              <a:lnTo>
                                <a:pt x="378" y="410"/>
                              </a:lnTo>
                              <a:lnTo>
                                <a:pt x="378" y="410"/>
                              </a:lnTo>
                              <a:lnTo>
                                <a:pt x="384" y="408"/>
                              </a:lnTo>
                              <a:lnTo>
                                <a:pt x="390" y="406"/>
                              </a:lnTo>
                              <a:lnTo>
                                <a:pt x="390" y="410"/>
                              </a:lnTo>
                              <a:lnTo>
                                <a:pt x="402" y="410"/>
                              </a:lnTo>
                              <a:lnTo>
                                <a:pt x="402" y="376"/>
                              </a:lnTo>
                              <a:lnTo>
                                <a:pt x="402" y="376"/>
                              </a:lnTo>
                              <a:lnTo>
                                <a:pt x="400" y="368"/>
                              </a:lnTo>
                              <a:lnTo>
                                <a:pt x="398" y="364"/>
                              </a:lnTo>
                              <a:lnTo>
                                <a:pt x="390" y="360"/>
                              </a:lnTo>
                              <a:lnTo>
                                <a:pt x="382" y="358"/>
                              </a:lnTo>
                              <a:lnTo>
                                <a:pt x="382" y="358"/>
                              </a:lnTo>
                              <a:lnTo>
                                <a:pt x="372" y="360"/>
                              </a:lnTo>
                              <a:lnTo>
                                <a:pt x="364" y="364"/>
                              </a:lnTo>
                              <a:lnTo>
                                <a:pt x="368" y="372"/>
                              </a:lnTo>
                              <a:close/>
                              <a:moveTo>
                                <a:pt x="372" y="392"/>
                              </a:moveTo>
                              <a:lnTo>
                                <a:pt x="372" y="392"/>
                              </a:lnTo>
                              <a:lnTo>
                                <a:pt x="372" y="390"/>
                              </a:lnTo>
                              <a:lnTo>
                                <a:pt x="374" y="388"/>
                              </a:lnTo>
                              <a:lnTo>
                                <a:pt x="380" y="386"/>
                              </a:lnTo>
                              <a:lnTo>
                                <a:pt x="380" y="386"/>
                              </a:lnTo>
                              <a:lnTo>
                                <a:pt x="386" y="386"/>
                              </a:lnTo>
                              <a:lnTo>
                                <a:pt x="390" y="388"/>
                              </a:lnTo>
                              <a:lnTo>
                                <a:pt x="390" y="394"/>
                              </a:lnTo>
                              <a:lnTo>
                                <a:pt x="390" y="394"/>
                              </a:lnTo>
                              <a:lnTo>
                                <a:pt x="386" y="398"/>
                              </a:lnTo>
                              <a:lnTo>
                                <a:pt x="380" y="400"/>
                              </a:lnTo>
                              <a:lnTo>
                                <a:pt x="380" y="400"/>
                              </a:lnTo>
                              <a:lnTo>
                                <a:pt x="374" y="398"/>
                              </a:lnTo>
                              <a:lnTo>
                                <a:pt x="372" y="396"/>
                              </a:lnTo>
                              <a:lnTo>
                                <a:pt x="372" y="392"/>
                              </a:lnTo>
                              <a:lnTo>
                                <a:pt x="372" y="392"/>
                              </a:lnTo>
                              <a:close/>
                              <a:moveTo>
                                <a:pt x="514" y="394"/>
                              </a:moveTo>
                              <a:lnTo>
                                <a:pt x="514" y="394"/>
                              </a:lnTo>
                              <a:lnTo>
                                <a:pt x="510" y="398"/>
                              </a:lnTo>
                              <a:lnTo>
                                <a:pt x="506" y="398"/>
                              </a:lnTo>
                              <a:lnTo>
                                <a:pt x="506" y="398"/>
                              </a:lnTo>
                              <a:lnTo>
                                <a:pt x="500" y="398"/>
                              </a:lnTo>
                              <a:lnTo>
                                <a:pt x="496" y="394"/>
                              </a:lnTo>
                              <a:lnTo>
                                <a:pt x="494" y="388"/>
                              </a:lnTo>
                              <a:lnTo>
                                <a:pt x="524" y="388"/>
                              </a:lnTo>
                              <a:lnTo>
                                <a:pt x="524" y="388"/>
                              </a:lnTo>
                              <a:lnTo>
                                <a:pt x="524" y="384"/>
                              </a:lnTo>
                              <a:lnTo>
                                <a:pt x="524" y="384"/>
                              </a:lnTo>
                              <a:lnTo>
                                <a:pt x="524" y="374"/>
                              </a:lnTo>
                              <a:lnTo>
                                <a:pt x="518" y="366"/>
                              </a:lnTo>
                              <a:lnTo>
                                <a:pt x="512" y="360"/>
                              </a:lnTo>
                              <a:lnTo>
                                <a:pt x="504" y="358"/>
                              </a:lnTo>
                              <a:lnTo>
                                <a:pt x="504" y="358"/>
                              </a:lnTo>
                              <a:lnTo>
                                <a:pt x="496" y="360"/>
                              </a:lnTo>
                              <a:lnTo>
                                <a:pt x="488" y="366"/>
                              </a:lnTo>
                              <a:lnTo>
                                <a:pt x="484" y="374"/>
                              </a:lnTo>
                              <a:lnTo>
                                <a:pt x="482" y="384"/>
                              </a:lnTo>
                              <a:lnTo>
                                <a:pt x="482" y="384"/>
                              </a:lnTo>
                              <a:lnTo>
                                <a:pt x="484" y="396"/>
                              </a:lnTo>
                              <a:lnTo>
                                <a:pt x="488" y="404"/>
                              </a:lnTo>
                              <a:lnTo>
                                <a:pt x="496" y="408"/>
                              </a:lnTo>
                              <a:lnTo>
                                <a:pt x="506" y="410"/>
                              </a:lnTo>
                              <a:lnTo>
                                <a:pt x="506" y="410"/>
                              </a:lnTo>
                              <a:lnTo>
                                <a:pt x="514" y="408"/>
                              </a:lnTo>
                              <a:lnTo>
                                <a:pt x="522" y="402"/>
                              </a:lnTo>
                              <a:lnTo>
                                <a:pt x="514" y="394"/>
                              </a:lnTo>
                              <a:close/>
                              <a:moveTo>
                                <a:pt x="494" y="380"/>
                              </a:moveTo>
                              <a:lnTo>
                                <a:pt x="494" y="380"/>
                              </a:lnTo>
                              <a:lnTo>
                                <a:pt x="496" y="376"/>
                              </a:lnTo>
                              <a:lnTo>
                                <a:pt x="498" y="372"/>
                              </a:lnTo>
                              <a:lnTo>
                                <a:pt x="500" y="370"/>
                              </a:lnTo>
                              <a:lnTo>
                                <a:pt x="504" y="370"/>
                              </a:lnTo>
                              <a:lnTo>
                                <a:pt x="504" y="370"/>
                              </a:lnTo>
                              <a:lnTo>
                                <a:pt x="508" y="370"/>
                              </a:lnTo>
                              <a:lnTo>
                                <a:pt x="510" y="372"/>
                              </a:lnTo>
                              <a:lnTo>
                                <a:pt x="512" y="380"/>
                              </a:lnTo>
                              <a:lnTo>
                                <a:pt x="494" y="380"/>
                              </a:lnTo>
                              <a:close/>
                              <a:moveTo>
                                <a:pt x="632" y="394"/>
                              </a:moveTo>
                              <a:lnTo>
                                <a:pt x="632" y="394"/>
                              </a:lnTo>
                              <a:lnTo>
                                <a:pt x="628" y="398"/>
                              </a:lnTo>
                              <a:lnTo>
                                <a:pt x="622" y="398"/>
                              </a:lnTo>
                              <a:lnTo>
                                <a:pt x="622" y="398"/>
                              </a:lnTo>
                              <a:lnTo>
                                <a:pt x="616" y="398"/>
                              </a:lnTo>
                              <a:lnTo>
                                <a:pt x="612" y="394"/>
                              </a:lnTo>
                              <a:lnTo>
                                <a:pt x="612" y="388"/>
                              </a:lnTo>
                              <a:lnTo>
                                <a:pt x="642" y="388"/>
                              </a:lnTo>
                              <a:lnTo>
                                <a:pt x="642" y="388"/>
                              </a:lnTo>
                              <a:lnTo>
                                <a:pt x="642" y="384"/>
                              </a:lnTo>
                              <a:lnTo>
                                <a:pt x="642" y="384"/>
                              </a:lnTo>
                              <a:lnTo>
                                <a:pt x="640" y="374"/>
                              </a:lnTo>
                              <a:lnTo>
                                <a:pt x="636" y="366"/>
                              </a:lnTo>
                              <a:lnTo>
                                <a:pt x="630" y="360"/>
                              </a:lnTo>
                              <a:lnTo>
                                <a:pt x="620" y="358"/>
                              </a:lnTo>
                              <a:lnTo>
                                <a:pt x="620" y="358"/>
                              </a:lnTo>
                              <a:lnTo>
                                <a:pt x="612" y="360"/>
                              </a:lnTo>
                              <a:lnTo>
                                <a:pt x="606" y="366"/>
                              </a:lnTo>
                              <a:lnTo>
                                <a:pt x="600" y="374"/>
                              </a:lnTo>
                              <a:lnTo>
                                <a:pt x="598" y="384"/>
                              </a:lnTo>
                              <a:lnTo>
                                <a:pt x="598" y="384"/>
                              </a:lnTo>
                              <a:lnTo>
                                <a:pt x="600" y="396"/>
                              </a:lnTo>
                              <a:lnTo>
                                <a:pt x="606" y="404"/>
                              </a:lnTo>
                              <a:lnTo>
                                <a:pt x="612" y="408"/>
                              </a:lnTo>
                              <a:lnTo>
                                <a:pt x="622" y="410"/>
                              </a:lnTo>
                              <a:lnTo>
                                <a:pt x="622" y="410"/>
                              </a:lnTo>
                              <a:lnTo>
                                <a:pt x="632" y="408"/>
                              </a:lnTo>
                              <a:lnTo>
                                <a:pt x="640" y="402"/>
                              </a:lnTo>
                              <a:lnTo>
                                <a:pt x="632" y="394"/>
                              </a:lnTo>
                              <a:close/>
                              <a:moveTo>
                                <a:pt x="612" y="380"/>
                              </a:moveTo>
                              <a:lnTo>
                                <a:pt x="612" y="380"/>
                              </a:lnTo>
                              <a:lnTo>
                                <a:pt x="612" y="376"/>
                              </a:lnTo>
                              <a:lnTo>
                                <a:pt x="614" y="372"/>
                              </a:lnTo>
                              <a:lnTo>
                                <a:pt x="616" y="370"/>
                              </a:lnTo>
                              <a:lnTo>
                                <a:pt x="620" y="370"/>
                              </a:lnTo>
                              <a:lnTo>
                                <a:pt x="620" y="370"/>
                              </a:lnTo>
                              <a:lnTo>
                                <a:pt x="624" y="370"/>
                              </a:lnTo>
                              <a:lnTo>
                                <a:pt x="628" y="372"/>
                              </a:lnTo>
                              <a:lnTo>
                                <a:pt x="630" y="380"/>
                              </a:lnTo>
                              <a:lnTo>
                                <a:pt x="612" y="380"/>
                              </a:lnTo>
                              <a:close/>
                              <a:moveTo>
                                <a:pt x="582" y="392"/>
                              </a:moveTo>
                              <a:lnTo>
                                <a:pt x="582" y="392"/>
                              </a:lnTo>
                              <a:lnTo>
                                <a:pt x="584" y="396"/>
                              </a:lnTo>
                              <a:lnTo>
                                <a:pt x="588" y="398"/>
                              </a:lnTo>
                              <a:lnTo>
                                <a:pt x="588" y="398"/>
                              </a:lnTo>
                              <a:lnTo>
                                <a:pt x="594" y="396"/>
                              </a:lnTo>
                              <a:lnTo>
                                <a:pt x="594" y="408"/>
                              </a:lnTo>
                              <a:lnTo>
                                <a:pt x="594" y="408"/>
                              </a:lnTo>
                              <a:lnTo>
                                <a:pt x="588" y="410"/>
                              </a:lnTo>
                              <a:lnTo>
                                <a:pt x="584" y="410"/>
                              </a:lnTo>
                              <a:lnTo>
                                <a:pt x="584" y="410"/>
                              </a:lnTo>
                              <a:lnTo>
                                <a:pt x="578" y="408"/>
                              </a:lnTo>
                              <a:lnTo>
                                <a:pt x="572" y="406"/>
                              </a:lnTo>
                              <a:lnTo>
                                <a:pt x="570" y="400"/>
                              </a:lnTo>
                              <a:lnTo>
                                <a:pt x="570" y="396"/>
                              </a:lnTo>
                              <a:lnTo>
                                <a:pt x="570" y="372"/>
                              </a:lnTo>
                              <a:lnTo>
                                <a:pt x="562" y="372"/>
                              </a:lnTo>
                              <a:lnTo>
                                <a:pt x="562" y="360"/>
                              </a:lnTo>
                              <a:lnTo>
                                <a:pt x="570" y="360"/>
                              </a:lnTo>
                              <a:lnTo>
                                <a:pt x="570" y="348"/>
                              </a:lnTo>
                              <a:lnTo>
                                <a:pt x="582" y="342"/>
                              </a:lnTo>
                              <a:lnTo>
                                <a:pt x="582" y="360"/>
                              </a:lnTo>
                              <a:lnTo>
                                <a:pt x="594" y="360"/>
                              </a:lnTo>
                              <a:lnTo>
                                <a:pt x="594" y="372"/>
                              </a:lnTo>
                              <a:lnTo>
                                <a:pt x="582" y="372"/>
                              </a:lnTo>
                              <a:lnTo>
                                <a:pt x="582" y="392"/>
                              </a:lnTo>
                              <a:close/>
                              <a:moveTo>
                                <a:pt x="558" y="408"/>
                              </a:moveTo>
                              <a:lnTo>
                                <a:pt x="558" y="408"/>
                              </a:lnTo>
                              <a:lnTo>
                                <a:pt x="554" y="410"/>
                              </a:lnTo>
                              <a:lnTo>
                                <a:pt x="548" y="410"/>
                              </a:lnTo>
                              <a:lnTo>
                                <a:pt x="548" y="410"/>
                              </a:lnTo>
                              <a:lnTo>
                                <a:pt x="542" y="408"/>
                              </a:lnTo>
                              <a:lnTo>
                                <a:pt x="538" y="406"/>
                              </a:lnTo>
                              <a:lnTo>
                                <a:pt x="536" y="400"/>
                              </a:lnTo>
                              <a:lnTo>
                                <a:pt x="536" y="396"/>
                              </a:lnTo>
                              <a:lnTo>
                                <a:pt x="536" y="372"/>
                              </a:lnTo>
                              <a:lnTo>
                                <a:pt x="528" y="372"/>
                              </a:lnTo>
                              <a:lnTo>
                                <a:pt x="528" y="360"/>
                              </a:lnTo>
                              <a:lnTo>
                                <a:pt x="536" y="360"/>
                              </a:lnTo>
                              <a:lnTo>
                                <a:pt x="536" y="348"/>
                              </a:lnTo>
                              <a:lnTo>
                                <a:pt x="548" y="342"/>
                              </a:lnTo>
                              <a:lnTo>
                                <a:pt x="548" y="360"/>
                              </a:lnTo>
                              <a:lnTo>
                                <a:pt x="558" y="360"/>
                              </a:lnTo>
                              <a:lnTo>
                                <a:pt x="558" y="372"/>
                              </a:lnTo>
                              <a:lnTo>
                                <a:pt x="548" y="372"/>
                              </a:lnTo>
                              <a:lnTo>
                                <a:pt x="548" y="392"/>
                              </a:lnTo>
                              <a:lnTo>
                                <a:pt x="548" y="392"/>
                              </a:lnTo>
                              <a:lnTo>
                                <a:pt x="548" y="396"/>
                              </a:lnTo>
                              <a:lnTo>
                                <a:pt x="552" y="398"/>
                              </a:lnTo>
                              <a:lnTo>
                                <a:pt x="552" y="398"/>
                              </a:lnTo>
                              <a:lnTo>
                                <a:pt x="560" y="396"/>
                              </a:lnTo>
                              <a:lnTo>
                                <a:pt x="558" y="408"/>
                              </a:lnTo>
                              <a:close/>
                              <a:moveTo>
                                <a:pt x="678" y="374"/>
                              </a:moveTo>
                              <a:lnTo>
                                <a:pt x="678" y="374"/>
                              </a:lnTo>
                              <a:lnTo>
                                <a:pt x="674" y="372"/>
                              </a:lnTo>
                              <a:lnTo>
                                <a:pt x="670" y="372"/>
                              </a:lnTo>
                              <a:lnTo>
                                <a:pt x="670" y="372"/>
                              </a:lnTo>
                              <a:lnTo>
                                <a:pt x="666" y="372"/>
                              </a:lnTo>
                              <a:lnTo>
                                <a:pt x="664" y="374"/>
                              </a:lnTo>
                              <a:lnTo>
                                <a:pt x="662" y="378"/>
                              </a:lnTo>
                              <a:lnTo>
                                <a:pt x="662" y="382"/>
                              </a:lnTo>
                              <a:lnTo>
                                <a:pt x="662" y="410"/>
                              </a:lnTo>
                              <a:lnTo>
                                <a:pt x="650" y="410"/>
                              </a:lnTo>
                              <a:lnTo>
                                <a:pt x="650" y="360"/>
                              </a:lnTo>
                              <a:lnTo>
                                <a:pt x="662" y="360"/>
                              </a:lnTo>
                              <a:lnTo>
                                <a:pt x="662" y="364"/>
                              </a:lnTo>
                              <a:lnTo>
                                <a:pt x="662" y="364"/>
                              </a:lnTo>
                              <a:lnTo>
                                <a:pt x="666" y="360"/>
                              </a:lnTo>
                              <a:lnTo>
                                <a:pt x="672" y="358"/>
                              </a:lnTo>
                              <a:lnTo>
                                <a:pt x="672" y="358"/>
                              </a:lnTo>
                              <a:lnTo>
                                <a:pt x="678" y="360"/>
                              </a:lnTo>
                              <a:lnTo>
                                <a:pt x="682" y="362"/>
                              </a:lnTo>
                              <a:lnTo>
                                <a:pt x="678" y="374"/>
                              </a:lnTo>
                              <a:close/>
                              <a:moveTo>
                                <a:pt x="132" y="346"/>
                              </a:moveTo>
                              <a:lnTo>
                                <a:pt x="132" y="354"/>
                              </a:lnTo>
                              <a:lnTo>
                                <a:pt x="120" y="354"/>
                              </a:lnTo>
                              <a:lnTo>
                                <a:pt x="120" y="340"/>
                              </a:lnTo>
                              <a:lnTo>
                                <a:pt x="132" y="340"/>
                              </a:lnTo>
                              <a:lnTo>
                                <a:pt x="132" y="346"/>
                              </a:lnTo>
                              <a:close/>
                              <a:moveTo>
                                <a:pt x="216" y="360"/>
                              </a:moveTo>
                              <a:lnTo>
                                <a:pt x="228" y="360"/>
                              </a:lnTo>
                              <a:lnTo>
                                <a:pt x="228" y="382"/>
                              </a:lnTo>
                              <a:lnTo>
                                <a:pt x="228" y="410"/>
                              </a:lnTo>
                              <a:lnTo>
                                <a:pt x="216" y="410"/>
                              </a:lnTo>
                              <a:lnTo>
                                <a:pt x="216" y="360"/>
                              </a:lnTo>
                              <a:close/>
                              <a:moveTo>
                                <a:pt x="228" y="346"/>
                              </a:moveTo>
                              <a:lnTo>
                                <a:pt x="228" y="354"/>
                              </a:lnTo>
                              <a:lnTo>
                                <a:pt x="216" y="354"/>
                              </a:lnTo>
                              <a:lnTo>
                                <a:pt x="216" y="340"/>
                              </a:lnTo>
                              <a:lnTo>
                                <a:pt x="228" y="340"/>
                              </a:lnTo>
                              <a:lnTo>
                                <a:pt x="228" y="346"/>
                              </a:lnTo>
                              <a:close/>
                              <a:moveTo>
                                <a:pt x="560" y="450"/>
                              </a:moveTo>
                              <a:lnTo>
                                <a:pt x="560" y="450"/>
                              </a:lnTo>
                              <a:lnTo>
                                <a:pt x="556" y="446"/>
                              </a:lnTo>
                              <a:lnTo>
                                <a:pt x="550" y="444"/>
                              </a:lnTo>
                              <a:lnTo>
                                <a:pt x="550" y="444"/>
                              </a:lnTo>
                              <a:lnTo>
                                <a:pt x="542" y="446"/>
                              </a:lnTo>
                              <a:lnTo>
                                <a:pt x="536" y="452"/>
                              </a:lnTo>
                              <a:lnTo>
                                <a:pt x="532" y="460"/>
                              </a:lnTo>
                              <a:lnTo>
                                <a:pt x="530" y="470"/>
                              </a:lnTo>
                              <a:lnTo>
                                <a:pt x="530" y="470"/>
                              </a:lnTo>
                              <a:lnTo>
                                <a:pt x="532" y="480"/>
                              </a:lnTo>
                              <a:lnTo>
                                <a:pt x="536" y="488"/>
                              </a:lnTo>
                              <a:lnTo>
                                <a:pt x="542" y="494"/>
                              </a:lnTo>
                              <a:lnTo>
                                <a:pt x="550" y="496"/>
                              </a:lnTo>
                              <a:lnTo>
                                <a:pt x="550" y="496"/>
                              </a:lnTo>
                              <a:lnTo>
                                <a:pt x="556" y="494"/>
                              </a:lnTo>
                              <a:lnTo>
                                <a:pt x="560" y="490"/>
                              </a:lnTo>
                              <a:lnTo>
                                <a:pt x="560" y="494"/>
                              </a:lnTo>
                              <a:lnTo>
                                <a:pt x="572" y="494"/>
                              </a:lnTo>
                              <a:lnTo>
                                <a:pt x="572" y="426"/>
                              </a:lnTo>
                              <a:lnTo>
                                <a:pt x="560" y="432"/>
                              </a:lnTo>
                              <a:lnTo>
                                <a:pt x="560" y="450"/>
                              </a:lnTo>
                              <a:close/>
                              <a:moveTo>
                                <a:pt x="552" y="484"/>
                              </a:moveTo>
                              <a:lnTo>
                                <a:pt x="552" y="484"/>
                              </a:lnTo>
                              <a:lnTo>
                                <a:pt x="548" y="484"/>
                              </a:lnTo>
                              <a:lnTo>
                                <a:pt x="546" y="482"/>
                              </a:lnTo>
                              <a:lnTo>
                                <a:pt x="544" y="478"/>
                              </a:lnTo>
                              <a:lnTo>
                                <a:pt x="542" y="470"/>
                              </a:lnTo>
                              <a:lnTo>
                                <a:pt x="542" y="470"/>
                              </a:lnTo>
                              <a:lnTo>
                                <a:pt x="544" y="462"/>
                              </a:lnTo>
                              <a:lnTo>
                                <a:pt x="546" y="458"/>
                              </a:lnTo>
                              <a:lnTo>
                                <a:pt x="548" y="456"/>
                              </a:lnTo>
                              <a:lnTo>
                                <a:pt x="552" y="456"/>
                              </a:lnTo>
                              <a:lnTo>
                                <a:pt x="552" y="456"/>
                              </a:lnTo>
                              <a:lnTo>
                                <a:pt x="558" y="458"/>
                              </a:lnTo>
                              <a:lnTo>
                                <a:pt x="560" y="460"/>
                              </a:lnTo>
                              <a:lnTo>
                                <a:pt x="560" y="480"/>
                              </a:lnTo>
                              <a:lnTo>
                                <a:pt x="560" y="480"/>
                              </a:lnTo>
                              <a:lnTo>
                                <a:pt x="558" y="484"/>
                              </a:lnTo>
                              <a:lnTo>
                                <a:pt x="552" y="484"/>
                              </a:lnTo>
                              <a:lnTo>
                                <a:pt x="552" y="484"/>
                              </a:lnTo>
                              <a:close/>
                              <a:moveTo>
                                <a:pt x="148" y="460"/>
                              </a:moveTo>
                              <a:lnTo>
                                <a:pt x="148" y="460"/>
                              </a:lnTo>
                              <a:lnTo>
                                <a:pt x="146" y="458"/>
                              </a:lnTo>
                              <a:lnTo>
                                <a:pt x="140" y="456"/>
                              </a:lnTo>
                              <a:lnTo>
                                <a:pt x="140" y="456"/>
                              </a:lnTo>
                              <a:lnTo>
                                <a:pt x="138" y="458"/>
                              </a:lnTo>
                              <a:lnTo>
                                <a:pt x="134" y="460"/>
                              </a:lnTo>
                              <a:lnTo>
                                <a:pt x="132" y="464"/>
                              </a:lnTo>
                              <a:lnTo>
                                <a:pt x="132" y="468"/>
                              </a:lnTo>
                              <a:lnTo>
                                <a:pt x="132" y="494"/>
                              </a:lnTo>
                              <a:lnTo>
                                <a:pt x="120" y="494"/>
                              </a:lnTo>
                              <a:lnTo>
                                <a:pt x="120" y="446"/>
                              </a:lnTo>
                              <a:lnTo>
                                <a:pt x="132" y="446"/>
                              </a:lnTo>
                              <a:lnTo>
                                <a:pt x="132" y="450"/>
                              </a:lnTo>
                              <a:lnTo>
                                <a:pt x="132" y="450"/>
                              </a:lnTo>
                              <a:lnTo>
                                <a:pt x="138" y="446"/>
                              </a:lnTo>
                              <a:lnTo>
                                <a:pt x="144" y="444"/>
                              </a:lnTo>
                              <a:lnTo>
                                <a:pt x="144" y="444"/>
                              </a:lnTo>
                              <a:lnTo>
                                <a:pt x="148" y="446"/>
                              </a:lnTo>
                              <a:lnTo>
                                <a:pt x="152" y="448"/>
                              </a:lnTo>
                              <a:lnTo>
                                <a:pt x="148" y="460"/>
                              </a:lnTo>
                              <a:close/>
                              <a:moveTo>
                                <a:pt x="54" y="446"/>
                              </a:moveTo>
                              <a:lnTo>
                                <a:pt x="66" y="446"/>
                              </a:lnTo>
                              <a:lnTo>
                                <a:pt x="52" y="494"/>
                              </a:lnTo>
                              <a:lnTo>
                                <a:pt x="42" y="494"/>
                              </a:lnTo>
                              <a:lnTo>
                                <a:pt x="36" y="474"/>
                              </a:lnTo>
                              <a:lnTo>
                                <a:pt x="36" y="474"/>
                              </a:lnTo>
                              <a:lnTo>
                                <a:pt x="34" y="464"/>
                              </a:lnTo>
                              <a:lnTo>
                                <a:pt x="34" y="464"/>
                              </a:lnTo>
                              <a:lnTo>
                                <a:pt x="30" y="474"/>
                              </a:lnTo>
                              <a:lnTo>
                                <a:pt x="26" y="494"/>
                              </a:lnTo>
                              <a:lnTo>
                                <a:pt x="14" y="494"/>
                              </a:lnTo>
                              <a:lnTo>
                                <a:pt x="14" y="494"/>
                              </a:lnTo>
                              <a:lnTo>
                                <a:pt x="0" y="446"/>
                              </a:lnTo>
                              <a:lnTo>
                                <a:pt x="14" y="446"/>
                              </a:lnTo>
                              <a:lnTo>
                                <a:pt x="18" y="464"/>
                              </a:lnTo>
                              <a:lnTo>
                                <a:pt x="18" y="464"/>
                              </a:lnTo>
                              <a:lnTo>
                                <a:pt x="20" y="476"/>
                              </a:lnTo>
                              <a:lnTo>
                                <a:pt x="20" y="476"/>
                              </a:lnTo>
                              <a:lnTo>
                                <a:pt x="24" y="464"/>
                              </a:lnTo>
                              <a:lnTo>
                                <a:pt x="28" y="446"/>
                              </a:lnTo>
                              <a:lnTo>
                                <a:pt x="38" y="446"/>
                              </a:lnTo>
                              <a:lnTo>
                                <a:pt x="44" y="464"/>
                              </a:lnTo>
                              <a:lnTo>
                                <a:pt x="44" y="464"/>
                              </a:lnTo>
                              <a:lnTo>
                                <a:pt x="46" y="476"/>
                              </a:lnTo>
                              <a:lnTo>
                                <a:pt x="46" y="476"/>
                              </a:lnTo>
                              <a:lnTo>
                                <a:pt x="50" y="464"/>
                              </a:lnTo>
                              <a:lnTo>
                                <a:pt x="54" y="446"/>
                              </a:lnTo>
                              <a:close/>
                              <a:moveTo>
                                <a:pt x="90" y="444"/>
                              </a:moveTo>
                              <a:lnTo>
                                <a:pt x="90" y="444"/>
                              </a:lnTo>
                              <a:lnTo>
                                <a:pt x="82" y="446"/>
                              </a:lnTo>
                              <a:lnTo>
                                <a:pt x="74" y="452"/>
                              </a:lnTo>
                              <a:lnTo>
                                <a:pt x="70" y="460"/>
                              </a:lnTo>
                              <a:lnTo>
                                <a:pt x="68" y="470"/>
                              </a:lnTo>
                              <a:lnTo>
                                <a:pt x="68" y="470"/>
                              </a:lnTo>
                              <a:lnTo>
                                <a:pt x="70" y="480"/>
                              </a:lnTo>
                              <a:lnTo>
                                <a:pt x="74" y="488"/>
                              </a:lnTo>
                              <a:lnTo>
                                <a:pt x="82" y="494"/>
                              </a:lnTo>
                              <a:lnTo>
                                <a:pt x="90" y="496"/>
                              </a:lnTo>
                              <a:lnTo>
                                <a:pt x="90" y="496"/>
                              </a:lnTo>
                              <a:lnTo>
                                <a:pt x="100" y="494"/>
                              </a:lnTo>
                              <a:lnTo>
                                <a:pt x="106" y="488"/>
                              </a:lnTo>
                              <a:lnTo>
                                <a:pt x="110" y="480"/>
                              </a:lnTo>
                              <a:lnTo>
                                <a:pt x="112" y="470"/>
                              </a:lnTo>
                              <a:lnTo>
                                <a:pt x="112" y="470"/>
                              </a:lnTo>
                              <a:lnTo>
                                <a:pt x="110" y="460"/>
                              </a:lnTo>
                              <a:lnTo>
                                <a:pt x="106" y="452"/>
                              </a:lnTo>
                              <a:lnTo>
                                <a:pt x="100" y="446"/>
                              </a:lnTo>
                              <a:lnTo>
                                <a:pt x="90" y="444"/>
                              </a:lnTo>
                              <a:lnTo>
                                <a:pt x="90" y="444"/>
                              </a:lnTo>
                              <a:close/>
                              <a:moveTo>
                                <a:pt x="90" y="484"/>
                              </a:moveTo>
                              <a:lnTo>
                                <a:pt x="90" y="484"/>
                              </a:lnTo>
                              <a:lnTo>
                                <a:pt x="86" y="484"/>
                              </a:lnTo>
                              <a:lnTo>
                                <a:pt x="84" y="480"/>
                              </a:lnTo>
                              <a:lnTo>
                                <a:pt x="82" y="476"/>
                              </a:lnTo>
                              <a:lnTo>
                                <a:pt x="80" y="470"/>
                              </a:lnTo>
                              <a:lnTo>
                                <a:pt x="80" y="470"/>
                              </a:lnTo>
                              <a:lnTo>
                                <a:pt x="82" y="464"/>
                              </a:lnTo>
                              <a:lnTo>
                                <a:pt x="84" y="460"/>
                              </a:lnTo>
                              <a:lnTo>
                                <a:pt x="86" y="456"/>
                              </a:lnTo>
                              <a:lnTo>
                                <a:pt x="90" y="456"/>
                              </a:lnTo>
                              <a:lnTo>
                                <a:pt x="90" y="456"/>
                              </a:lnTo>
                              <a:lnTo>
                                <a:pt x="94" y="456"/>
                              </a:lnTo>
                              <a:lnTo>
                                <a:pt x="98" y="460"/>
                              </a:lnTo>
                              <a:lnTo>
                                <a:pt x="100" y="464"/>
                              </a:lnTo>
                              <a:lnTo>
                                <a:pt x="100" y="470"/>
                              </a:lnTo>
                              <a:lnTo>
                                <a:pt x="100" y="470"/>
                              </a:lnTo>
                              <a:lnTo>
                                <a:pt x="100" y="476"/>
                              </a:lnTo>
                              <a:lnTo>
                                <a:pt x="98" y="480"/>
                              </a:lnTo>
                              <a:lnTo>
                                <a:pt x="94" y="484"/>
                              </a:lnTo>
                              <a:lnTo>
                                <a:pt x="90" y="484"/>
                              </a:lnTo>
                              <a:lnTo>
                                <a:pt x="90" y="484"/>
                              </a:lnTo>
                              <a:close/>
                              <a:moveTo>
                                <a:pt x="500" y="460"/>
                              </a:moveTo>
                              <a:lnTo>
                                <a:pt x="500" y="460"/>
                              </a:lnTo>
                              <a:lnTo>
                                <a:pt x="496" y="458"/>
                              </a:lnTo>
                              <a:lnTo>
                                <a:pt x="492" y="456"/>
                              </a:lnTo>
                              <a:lnTo>
                                <a:pt x="492" y="456"/>
                              </a:lnTo>
                              <a:lnTo>
                                <a:pt x="488" y="458"/>
                              </a:lnTo>
                              <a:lnTo>
                                <a:pt x="486" y="460"/>
                              </a:lnTo>
                              <a:lnTo>
                                <a:pt x="484" y="464"/>
                              </a:lnTo>
                              <a:lnTo>
                                <a:pt x="484" y="468"/>
                              </a:lnTo>
                              <a:lnTo>
                                <a:pt x="484" y="494"/>
                              </a:lnTo>
                              <a:lnTo>
                                <a:pt x="472" y="494"/>
                              </a:lnTo>
                              <a:lnTo>
                                <a:pt x="472" y="446"/>
                              </a:lnTo>
                              <a:lnTo>
                                <a:pt x="484" y="446"/>
                              </a:lnTo>
                              <a:lnTo>
                                <a:pt x="484" y="450"/>
                              </a:lnTo>
                              <a:lnTo>
                                <a:pt x="484" y="450"/>
                              </a:lnTo>
                              <a:lnTo>
                                <a:pt x="488" y="446"/>
                              </a:lnTo>
                              <a:lnTo>
                                <a:pt x="494" y="444"/>
                              </a:lnTo>
                              <a:lnTo>
                                <a:pt x="494" y="444"/>
                              </a:lnTo>
                              <a:lnTo>
                                <a:pt x="500" y="446"/>
                              </a:lnTo>
                              <a:lnTo>
                                <a:pt x="504" y="448"/>
                              </a:lnTo>
                              <a:lnTo>
                                <a:pt x="500" y="460"/>
                              </a:lnTo>
                              <a:close/>
                              <a:moveTo>
                                <a:pt x="406" y="446"/>
                              </a:moveTo>
                              <a:lnTo>
                                <a:pt x="418" y="446"/>
                              </a:lnTo>
                              <a:lnTo>
                                <a:pt x="404" y="494"/>
                              </a:lnTo>
                              <a:lnTo>
                                <a:pt x="394" y="494"/>
                              </a:lnTo>
                              <a:lnTo>
                                <a:pt x="388" y="474"/>
                              </a:lnTo>
                              <a:lnTo>
                                <a:pt x="388" y="474"/>
                              </a:lnTo>
                              <a:lnTo>
                                <a:pt x="384" y="464"/>
                              </a:lnTo>
                              <a:lnTo>
                                <a:pt x="384" y="464"/>
                              </a:lnTo>
                              <a:lnTo>
                                <a:pt x="382" y="474"/>
                              </a:lnTo>
                              <a:lnTo>
                                <a:pt x="376" y="494"/>
                              </a:lnTo>
                              <a:lnTo>
                                <a:pt x="366" y="494"/>
                              </a:lnTo>
                              <a:lnTo>
                                <a:pt x="366" y="494"/>
                              </a:lnTo>
                              <a:lnTo>
                                <a:pt x="352" y="446"/>
                              </a:lnTo>
                              <a:lnTo>
                                <a:pt x="366" y="446"/>
                              </a:lnTo>
                              <a:lnTo>
                                <a:pt x="370" y="464"/>
                              </a:lnTo>
                              <a:lnTo>
                                <a:pt x="370" y="464"/>
                              </a:lnTo>
                              <a:lnTo>
                                <a:pt x="372" y="476"/>
                              </a:lnTo>
                              <a:lnTo>
                                <a:pt x="372" y="476"/>
                              </a:lnTo>
                              <a:lnTo>
                                <a:pt x="374" y="464"/>
                              </a:lnTo>
                              <a:lnTo>
                                <a:pt x="380" y="446"/>
                              </a:lnTo>
                              <a:lnTo>
                                <a:pt x="390" y="446"/>
                              </a:lnTo>
                              <a:lnTo>
                                <a:pt x="396" y="464"/>
                              </a:lnTo>
                              <a:lnTo>
                                <a:pt x="396" y="464"/>
                              </a:lnTo>
                              <a:lnTo>
                                <a:pt x="398" y="476"/>
                              </a:lnTo>
                              <a:lnTo>
                                <a:pt x="398" y="476"/>
                              </a:lnTo>
                              <a:lnTo>
                                <a:pt x="400" y="464"/>
                              </a:lnTo>
                              <a:lnTo>
                                <a:pt x="406" y="446"/>
                              </a:lnTo>
                              <a:close/>
                              <a:moveTo>
                                <a:pt x="442" y="444"/>
                              </a:moveTo>
                              <a:lnTo>
                                <a:pt x="442" y="444"/>
                              </a:lnTo>
                              <a:lnTo>
                                <a:pt x="434" y="446"/>
                              </a:lnTo>
                              <a:lnTo>
                                <a:pt x="426" y="452"/>
                              </a:lnTo>
                              <a:lnTo>
                                <a:pt x="422" y="460"/>
                              </a:lnTo>
                              <a:lnTo>
                                <a:pt x="420" y="470"/>
                              </a:lnTo>
                              <a:lnTo>
                                <a:pt x="420" y="470"/>
                              </a:lnTo>
                              <a:lnTo>
                                <a:pt x="422" y="480"/>
                              </a:lnTo>
                              <a:lnTo>
                                <a:pt x="426" y="488"/>
                              </a:lnTo>
                              <a:lnTo>
                                <a:pt x="434" y="494"/>
                              </a:lnTo>
                              <a:lnTo>
                                <a:pt x="442" y="496"/>
                              </a:lnTo>
                              <a:lnTo>
                                <a:pt x="442" y="496"/>
                              </a:lnTo>
                              <a:lnTo>
                                <a:pt x="450" y="494"/>
                              </a:lnTo>
                              <a:lnTo>
                                <a:pt x="458" y="488"/>
                              </a:lnTo>
                              <a:lnTo>
                                <a:pt x="462" y="480"/>
                              </a:lnTo>
                              <a:lnTo>
                                <a:pt x="464" y="470"/>
                              </a:lnTo>
                              <a:lnTo>
                                <a:pt x="464" y="470"/>
                              </a:lnTo>
                              <a:lnTo>
                                <a:pt x="462" y="460"/>
                              </a:lnTo>
                              <a:lnTo>
                                <a:pt x="458" y="452"/>
                              </a:lnTo>
                              <a:lnTo>
                                <a:pt x="450" y="446"/>
                              </a:lnTo>
                              <a:lnTo>
                                <a:pt x="442" y="444"/>
                              </a:lnTo>
                              <a:lnTo>
                                <a:pt x="442" y="444"/>
                              </a:lnTo>
                              <a:close/>
                              <a:moveTo>
                                <a:pt x="442" y="484"/>
                              </a:moveTo>
                              <a:lnTo>
                                <a:pt x="442" y="484"/>
                              </a:lnTo>
                              <a:lnTo>
                                <a:pt x="438" y="484"/>
                              </a:lnTo>
                              <a:lnTo>
                                <a:pt x="434" y="480"/>
                              </a:lnTo>
                              <a:lnTo>
                                <a:pt x="432" y="476"/>
                              </a:lnTo>
                              <a:lnTo>
                                <a:pt x="432" y="470"/>
                              </a:lnTo>
                              <a:lnTo>
                                <a:pt x="432" y="470"/>
                              </a:lnTo>
                              <a:lnTo>
                                <a:pt x="432" y="464"/>
                              </a:lnTo>
                              <a:lnTo>
                                <a:pt x="434" y="460"/>
                              </a:lnTo>
                              <a:lnTo>
                                <a:pt x="438" y="456"/>
                              </a:lnTo>
                              <a:lnTo>
                                <a:pt x="442" y="456"/>
                              </a:lnTo>
                              <a:lnTo>
                                <a:pt x="442" y="456"/>
                              </a:lnTo>
                              <a:lnTo>
                                <a:pt x="446" y="456"/>
                              </a:lnTo>
                              <a:lnTo>
                                <a:pt x="450" y="460"/>
                              </a:lnTo>
                              <a:lnTo>
                                <a:pt x="452" y="464"/>
                              </a:lnTo>
                              <a:lnTo>
                                <a:pt x="452" y="470"/>
                              </a:lnTo>
                              <a:lnTo>
                                <a:pt x="452" y="470"/>
                              </a:lnTo>
                              <a:lnTo>
                                <a:pt x="452" y="476"/>
                              </a:lnTo>
                              <a:lnTo>
                                <a:pt x="450" y="480"/>
                              </a:lnTo>
                              <a:lnTo>
                                <a:pt x="446" y="484"/>
                              </a:lnTo>
                              <a:lnTo>
                                <a:pt x="442" y="484"/>
                              </a:lnTo>
                              <a:lnTo>
                                <a:pt x="442" y="484"/>
                              </a:lnTo>
                              <a:close/>
                              <a:moveTo>
                                <a:pt x="186" y="462"/>
                              </a:moveTo>
                              <a:lnTo>
                                <a:pt x="200" y="494"/>
                              </a:lnTo>
                              <a:lnTo>
                                <a:pt x="186" y="494"/>
                              </a:lnTo>
                              <a:lnTo>
                                <a:pt x="176" y="472"/>
                              </a:lnTo>
                              <a:lnTo>
                                <a:pt x="170" y="480"/>
                              </a:lnTo>
                              <a:lnTo>
                                <a:pt x="170" y="494"/>
                              </a:lnTo>
                              <a:lnTo>
                                <a:pt x="158" y="494"/>
                              </a:lnTo>
                              <a:lnTo>
                                <a:pt x="158" y="432"/>
                              </a:lnTo>
                              <a:lnTo>
                                <a:pt x="170" y="426"/>
                              </a:lnTo>
                              <a:lnTo>
                                <a:pt x="170" y="464"/>
                              </a:lnTo>
                              <a:lnTo>
                                <a:pt x="170" y="464"/>
                              </a:lnTo>
                              <a:lnTo>
                                <a:pt x="174" y="458"/>
                              </a:lnTo>
                              <a:lnTo>
                                <a:pt x="184" y="446"/>
                              </a:lnTo>
                              <a:lnTo>
                                <a:pt x="198" y="446"/>
                              </a:lnTo>
                              <a:lnTo>
                                <a:pt x="186" y="462"/>
                              </a:lnTo>
                              <a:close/>
                              <a:moveTo>
                                <a:pt x="242" y="494"/>
                              </a:moveTo>
                              <a:lnTo>
                                <a:pt x="230" y="494"/>
                              </a:lnTo>
                              <a:lnTo>
                                <a:pt x="230" y="446"/>
                              </a:lnTo>
                              <a:lnTo>
                                <a:pt x="242" y="446"/>
                              </a:lnTo>
                              <a:lnTo>
                                <a:pt x="242" y="450"/>
                              </a:lnTo>
                              <a:lnTo>
                                <a:pt x="242" y="450"/>
                              </a:lnTo>
                              <a:lnTo>
                                <a:pt x="248" y="446"/>
                              </a:lnTo>
                              <a:lnTo>
                                <a:pt x="254" y="444"/>
                              </a:lnTo>
                              <a:lnTo>
                                <a:pt x="254" y="444"/>
                              </a:lnTo>
                              <a:lnTo>
                                <a:pt x="262" y="446"/>
                              </a:lnTo>
                              <a:lnTo>
                                <a:pt x="268" y="450"/>
                              </a:lnTo>
                              <a:lnTo>
                                <a:pt x="272" y="458"/>
                              </a:lnTo>
                              <a:lnTo>
                                <a:pt x="272" y="466"/>
                              </a:lnTo>
                              <a:lnTo>
                                <a:pt x="272" y="494"/>
                              </a:lnTo>
                              <a:lnTo>
                                <a:pt x="260" y="494"/>
                              </a:lnTo>
                              <a:lnTo>
                                <a:pt x="260" y="468"/>
                              </a:lnTo>
                              <a:lnTo>
                                <a:pt x="260" y="468"/>
                              </a:lnTo>
                              <a:lnTo>
                                <a:pt x="260" y="462"/>
                              </a:lnTo>
                              <a:lnTo>
                                <a:pt x="258" y="458"/>
                              </a:lnTo>
                              <a:lnTo>
                                <a:pt x="256" y="456"/>
                              </a:lnTo>
                              <a:lnTo>
                                <a:pt x="252" y="456"/>
                              </a:lnTo>
                              <a:lnTo>
                                <a:pt x="252" y="456"/>
                              </a:lnTo>
                              <a:lnTo>
                                <a:pt x="248" y="456"/>
                              </a:lnTo>
                              <a:lnTo>
                                <a:pt x="244" y="458"/>
                              </a:lnTo>
                              <a:lnTo>
                                <a:pt x="244" y="462"/>
                              </a:lnTo>
                              <a:lnTo>
                                <a:pt x="242" y="468"/>
                              </a:lnTo>
                              <a:lnTo>
                                <a:pt x="242" y="494"/>
                              </a:lnTo>
                              <a:close/>
                              <a:moveTo>
                                <a:pt x="310" y="450"/>
                              </a:moveTo>
                              <a:lnTo>
                                <a:pt x="310" y="450"/>
                              </a:lnTo>
                              <a:lnTo>
                                <a:pt x="306" y="446"/>
                              </a:lnTo>
                              <a:lnTo>
                                <a:pt x="300" y="444"/>
                              </a:lnTo>
                              <a:lnTo>
                                <a:pt x="300" y="444"/>
                              </a:lnTo>
                              <a:lnTo>
                                <a:pt x="292" y="446"/>
                              </a:lnTo>
                              <a:lnTo>
                                <a:pt x="286" y="452"/>
                              </a:lnTo>
                              <a:lnTo>
                                <a:pt x="282" y="460"/>
                              </a:lnTo>
                              <a:lnTo>
                                <a:pt x="280" y="470"/>
                              </a:lnTo>
                              <a:lnTo>
                                <a:pt x="280" y="470"/>
                              </a:lnTo>
                              <a:lnTo>
                                <a:pt x="282" y="480"/>
                              </a:lnTo>
                              <a:lnTo>
                                <a:pt x="286" y="488"/>
                              </a:lnTo>
                              <a:lnTo>
                                <a:pt x="292" y="494"/>
                              </a:lnTo>
                              <a:lnTo>
                                <a:pt x="300" y="496"/>
                              </a:lnTo>
                              <a:lnTo>
                                <a:pt x="300" y="496"/>
                              </a:lnTo>
                              <a:lnTo>
                                <a:pt x="306" y="494"/>
                              </a:lnTo>
                              <a:lnTo>
                                <a:pt x="310" y="490"/>
                              </a:lnTo>
                              <a:lnTo>
                                <a:pt x="310" y="492"/>
                              </a:lnTo>
                              <a:lnTo>
                                <a:pt x="310" y="492"/>
                              </a:lnTo>
                              <a:lnTo>
                                <a:pt x="310" y="496"/>
                              </a:lnTo>
                              <a:lnTo>
                                <a:pt x="310" y="500"/>
                              </a:lnTo>
                              <a:lnTo>
                                <a:pt x="304" y="504"/>
                              </a:lnTo>
                              <a:lnTo>
                                <a:pt x="296" y="506"/>
                              </a:lnTo>
                              <a:lnTo>
                                <a:pt x="294" y="506"/>
                              </a:lnTo>
                              <a:lnTo>
                                <a:pt x="300" y="514"/>
                              </a:lnTo>
                              <a:lnTo>
                                <a:pt x="300" y="514"/>
                              </a:lnTo>
                              <a:lnTo>
                                <a:pt x="300" y="514"/>
                              </a:lnTo>
                              <a:lnTo>
                                <a:pt x="310" y="512"/>
                              </a:lnTo>
                              <a:lnTo>
                                <a:pt x="318" y="508"/>
                              </a:lnTo>
                              <a:lnTo>
                                <a:pt x="322" y="500"/>
                              </a:lnTo>
                              <a:lnTo>
                                <a:pt x="324" y="490"/>
                              </a:lnTo>
                              <a:lnTo>
                                <a:pt x="324" y="446"/>
                              </a:lnTo>
                              <a:lnTo>
                                <a:pt x="310" y="446"/>
                              </a:lnTo>
                              <a:lnTo>
                                <a:pt x="310" y="450"/>
                              </a:lnTo>
                              <a:close/>
                              <a:moveTo>
                                <a:pt x="310" y="460"/>
                              </a:moveTo>
                              <a:lnTo>
                                <a:pt x="310" y="480"/>
                              </a:lnTo>
                              <a:lnTo>
                                <a:pt x="310" y="480"/>
                              </a:lnTo>
                              <a:lnTo>
                                <a:pt x="308" y="484"/>
                              </a:lnTo>
                              <a:lnTo>
                                <a:pt x="302" y="484"/>
                              </a:lnTo>
                              <a:lnTo>
                                <a:pt x="302" y="484"/>
                              </a:lnTo>
                              <a:lnTo>
                                <a:pt x="300" y="484"/>
                              </a:lnTo>
                              <a:lnTo>
                                <a:pt x="296" y="482"/>
                              </a:lnTo>
                              <a:lnTo>
                                <a:pt x="294" y="478"/>
                              </a:lnTo>
                              <a:lnTo>
                                <a:pt x="294" y="470"/>
                              </a:lnTo>
                              <a:lnTo>
                                <a:pt x="294" y="470"/>
                              </a:lnTo>
                              <a:lnTo>
                                <a:pt x="294" y="462"/>
                              </a:lnTo>
                              <a:lnTo>
                                <a:pt x="296" y="458"/>
                              </a:lnTo>
                              <a:lnTo>
                                <a:pt x="300" y="456"/>
                              </a:lnTo>
                              <a:lnTo>
                                <a:pt x="302" y="456"/>
                              </a:lnTo>
                              <a:lnTo>
                                <a:pt x="302" y="456"/>
                              </a:lnTo>
                              <a:lnTo>
                                <a:pt x="308" y="458"/>
                              </a:lnTo>
                              <a:lnTo>
                                <a:pt x="310" y="460"/>
                              </a:lnTo>
                              <a:lnTo>
                                <a:pt x="310" y="460"/>
                              </a:lnTo>
                              <a:close/>
                              <a:moveTo>
                                <a:pt x="208" y="446"/>
                              </a:moveTo>
                              <a:lnTo>
                                <a:pt x="220" y="446"/>
                              </a:lnTo>
                              <a:lnTo>
                                <a:pt x="220" y="468"/>
                              </a:lnTo>
                              <a:lnTo>
                                <a:pt x="220" y="494"/>
                              </a:lnTo>
                              <a:lnTo>
                                <a:pt x="208" y="494"/>
                              </a:lnTo>
                              <a:lnTo>
                                <a:pt x="208" y="446"/>
                              </a:lnTo>
                              <a:close/>
                              <a:moveTo>
                                <a:pt x="220" y="432"/>
                              </a:moveTo>
                              <a:lnTo>
                                <a:pt x="220" y="438"/>
                              </a:lnTo>
                              <a:lnTo>
                                <a:pt x="208" y="438"/>
                              </a:lnTo>
                              <a:lnTo>
                                <a:pt x="208" y="426"/>
                              </a:lnTo>
                              <a:lnTo>
                                <a:pt x="220" y="426"/>
                              </a:lnTo>
                              <a:lnTo>
                                <a:pt x="220" y="432"/>
                              </a:lnTo>
                              <a:close/>
                              <a:moveTo>
                                <a:pt x="510" y="432"/>
                              </a:moveTo>
                              <a:lnTo>
                                <a:pt x="522" y="426"/>
                              </a:lnTo>
                              <a:lnTo>
                                <a:pt x="522" y="470"/>
                              </a:lnTo>
                              <a:lnTo>
                                <a:pt x="522" y="494"/>
                              </a:lnTo>
                              <a:lnTo>
                                <a:pt x="510" y="494"/>
                              </a:lnTo>
                              <a:lnTo>
                                <a:pt x="510" y="432"/>
                              </a:lnTo>
                              <a:close/>
                              <a:moveTo>
                                <a:pt x="88" y="166"/>
                              </a:moveTo>
                              <a:lnTo>
                                <a:pt x="188" y="166"/>
                              </a:lnTo>
                              <a:lnTo>
                                <a:pt x="188" y="108"/>
                              </a:lnTo>
                              <a:lnTo>
                                <a:pt x="88" y="108"/>
                              </a:lnTo>
                              <a:lnTo>
                                <a:pt x="88" y="62"/>
                              </a:lnTo>
                              <a:lnTo>
                                <a:pt x="198" y="62"/>
                              </a:lnTo>
                              <a:lnTo>
                                <a:pt x="162" y="0"/>
                              </a:lnTo>
                              <a:lnTo>
                                <a:pt x="6" y="0"/>
                              </a:lnTo>
                              <a:lnTo>
                                <a:pt x="6" y="274"/>
                              </a:lnTo>
                              <a:lnTo>
                                <a:pt x="226" y="274"/>
                              </a:lnTo>
                              <a:lnTo>
                                <a:pt x="226" y="212"/>
                              </a:lnTo>
                              <a:lnTo>
                                <a:pt x="88" y="212"/>
                              </a:lnTo>
                              <a:lnTo>
                                <a:pt x="88" y="166"/>
                              </a:lnTo>
                              <a:close/>
                              <a:moveTo>
                                <a:pt x="374" y="0"/>
                              </a:moveTo>
                              <a:lnTo>
                                <a:pt x="326" y="90"/>
                              </a:lnTo>
                              <a:lnTo>
                                <a:pt x="280" y="0"/>
                              </a:lnTo>
                              <a:lnTo>
                                <a:pt x="188" y="0"/>
                              </a:lnTo>
                              <a:lnTo>
                                <a:pt x="284" y="166"/>
                              </a:lnTo>
                              <a:lnTo>
                                <a:pt x="284" y="274"/>
                              </a:lnTo>
                              <a:lnTo>
                                <a:pt x="366" y="274"/>
                              </a:lnTo>
                              <a:lnTo>
                                <a:pt x="366" y="166"/>
                              </a:lnTo>
                              <a:lnTo>
                                <a:pt x="464" y="0"/>
                              </a:lnTo>
                              <a:lnTo>
                                <a:pt x="37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B24271C" id="Group 8" o:spid="_x0000_s1026" alt="EY logo" style="position:absolute;margin-left:405.65pt;margin-top:-64pt;width:77.75pt;height:90.75pt;z-index:251682304" coordsize="10826,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">
              <v:shape id="Freeform 16" o:spid="_x0000_s1027" style="position:absolute;width:8667;height:3143;visibility:visible;mso-wrap-style:square;v-text-anchor:top" coordsize="54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" path="m546,l,198,546,102,546,xe" fillcolor="#ffe600" stroked="f">
                <v:path arrowok="t" o:connecttype="custom" o:connectlocs="866775,0;0,314325;866775,161925;866775,0" o:connectangles="0,0,0,0"/>
              </v:shape>
              <v:shape id="Freeform 17" o:spid="_x0000_s1028" style="position:absolute;top:4476;width:10826;height:8160;visibility:visible;mso-wrap-style:square;v-text-anchor:top" coordsize="68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" path="m58,388r,l56,382r-2,-4l48,372r,l54,368r2,-8l56,360r-2,-8l50,346r-6,-2l34,342r-28,l6,410r28,l34,410r10,-2l52,404r4,-8l58,388r,xm34,398r-16,l18,378r16,l34,378r4,2l42,380r2,4l44,388r,l44,392r-2,4l38,398r-4,l34,398xm34,368r-16,l18,354r16,l34,354r6,2l42,358r,2l42,360r-2,6l38,366r-4,2l34,368xm66,388r,-28l78,360r,28l78,388r,4l80,396r4,2l88,400r,l92,398r2,-2l96,392r,-4l96,360r12,l108,410r-12,l96,406r,l92,408r-8,2l84,410r-4,l74,408r-4,-6l66,394r,-6l66,388xm250,410r-12,l238,360r12,l250,364r,l256,360r6,-2l262,358r8,2l276,364r4,8l280,382r,28l268,410r,-28l268,382r,-6l266,372r-2,-2l260,370r,l256,370r-2,4l252,376r-2,6l250,410xm132,380r,30l120,410r,-50l132,360r,20xm142,346r12,-6l154,348r,62l142,410r,-64xm192,364r,l188,360r-6,-2l182,358r-8,2l168,366r-4,8l162,384r,l164,394r4,10l174,408r8,2l182,410r6,-2l192,406r,4l204,410r,-70l192,346r,18xm184,398r,l180,398r-2,-2l176,392r-2,-8l174,384r2,-8l178,372r2,-2l184,370r,l190,372r2,2l192,394r,l190,398r-6,l184,398xm456,358r,l452,360r-6,4l446,340r-12,6l434,410r12,l446,406r,l450,408r8,2l458,410r8,-2l472,404r2,-8l476,384r,l474,374r-4,-8l464,360r-8,-2l456,358xm454,370r,l458,370r2,4l462,378r2,6l464,384r,6l462,396r-4,2l454,398r,l450,398r-4,-4l446,376r,l450,372r4,-2l454,370xm320,364r,l314,360r-6,-2l308,358r-8,2l294,366r-4,8l290,384r,l290,394r4,10l300,408r8,2l308,410r6,-2l320,406r,l320,406r-2,4l318,414r-6,4l304,420r-2,l308,428r,l308,428r10,l326,422r4,-6l332,404r,-44l320,360r,4xm320,374r,20l320,394r-4,4l310,398r,l308,398r-4,-2l302,392r,-8l302,384r,-8l304,372r4,-2l310,370r,l316,372r4,2l320,374xm368,372r,l374,370r8,-2l382,368r6,2l390,372r,4l390,380r,l380,376r,l372,378r-6,2l362,386r-2,6l360,392r2,8l366,406r6,4l378,410r,l384,408r6,-2l390,410r12,l402,376r,l400,368r-2,-4l390,360r-8,-2l382,358r-10,2l364,364r4,8xm372,392r,l372,390r2,-2l380,386r,l386,386r4,2l390,394r,l386,398r-6,2l380,400r-6,-2l372,396r,-4l372,392xm514,394r,l510,398r-4,l506,398r-6,l496,394r-2,-6l524,388r,l524,384r,l524,374r-6,-8l512,360r-8,-2l504,358r-8,2l488,366r-4,8l482,384r,l484,396r4,8l496,408r10,2l506,410r8,-2l522,402r-8,-8xm494,380r,l496,376r2,-4l500,370r4,l504,370r4,l510,372r2,8l494,380xm632,394r,l628,398r-6,l622,398r-6,l612,394r,-6l642,388r,l642,384r,l640,374r-4,-8l630,360r-10,-2l620,358r-8,2l606,366r-6,8l598,384r,l600,396r6,8l612,408r10,2l622,410r10,-2l640,402r-8,-8xm612,380r,l612,376r2,-4l616,370r4,l620,370r4,l628,372r2,8l612,380xm582,392r,l584,396r4,2l588,398r6,-2l594,408r,l588,410r-4,l584,410r-6,-2l572,406r-2,-6l570,396r,-24l562,372r,-12l570,360r,-12l582,342r,18l594,360r,12l582,372r,20xm558,408r,l554,410r-6,l548,410r-6,-2l538,406r-2,-6l536,396r,-24l528,372r,-12l536,360r,-12l548,342r,18l558,360r,12l548,372r,20l548,392r,4l552,398r,l560,396r-2,12xm678,374r,l674,372r-4,l670,372r-4,l664,374r-2,4l662,382r,28l650,410r,-50l662,360r,4l662,364r4,-4l672,358r,l678,360r4,2l678,374xm132,346r,8l120,354r,-14l132,340r,6xm216,360r12,l228,382r,28l216,410r,-50xm228,346r,8l216,354r,-14l228,340r,6xm560,450r,l556,446r-6,-2l550,444r-8,2l536,452r-4,8l530,470r,l532,480r4,8l542,494r8,2l550,496r6,-2l560,490r,4l572,494r,-68l560,432r,18xm552,484r,l548,484r-2,-2l544,478r-2,-8l542,470r2,-8l546,458r2,-2l552,456r,l558,458r2,2l560,480r,l558,484r-6,l552,484xm148,460r,l146,458r-6,-2l140,456r-2,2l134,460r-2,4l132,468r,26l120,494r,-48l132,446r,4l132,450r6,-4l144,444r,l148,446r4,2l148,460xm54,446r12,l52,494r-10,l36,474r,l34,464r,l30,474r-4,20l14,494r,l,446r14,l18,464r,l20,476r,l24,464r4,-18l38,446r6,18l44,464r2,12l46,476r4,-12l54,446xm90,444r,l82,446r-8,6l70,460r-2,10l68,470r2,10l74,488r8,6l90,496r,l100,494r6,-6l110,480r2,-10l112,470r-2,-10l106,452r-6,-6l90,444r,xm90,484r,l86,484r-2,-4l82,476r-2,-6l80,470r2,-6l84,460r2,-4l90,456r,l94,456r4,4l100,464r,6l100,470r,6l98,480r-4,4l90,484r,xm500,460r,l496,458r-4,-2l492,456r-4,2l486,460r-2,4l484,468r,26l472,494r,-48l484,446r,4l484,450r4,-4l494,444r,l500,446r4,2l500,460xm406,446r12,l404,494r-10,l388,474r,l384,464r,l382,474r-6,20l366,494r,l352,446r14,l370,464r,l372,476r,l374,464r6,-18l390,446r6,18l396,464r2,12l398,476r2,-12l406,446xm442,444r,l434,446r-8,6l422,460r-2,10l420,470r2,10l426,488r8,6l442,496r,l450,494r8,-6l462,480r2,-10l464,470r-2,-10l458,452r-8,-6l442,444r,xm442,484r,l438,484r-4,-4l432,476r,-6l432,470r,-6l434,460r4,-4l442,456r,l446,456r4,4l452,464r,6l452,470r,6l450,480r-4,4l442,484r,xm186,462r14,32l186,494,176,472r-6,8l170,494r-12,l158,432r12,-6l170,464r,l174,458r10,-12l198,446r-12,16xm242,494r-12,l230,446r12,l242,450r,l248,446r6,-2l254,444r8,2l268,450r4,8l272,466r,28l260,494r,-26l260,468r,-6l258,458r-2,-2l252,456r,l248,456r-4,2l244,462r-2,6l242,494xm310,450r,l306,446r-6,-2l300,444r-8,2l286,452r-4,8l280,470r,l282,480r4,8l292,494r8,2l300,496r6,-2l310,490r,2l310,492r,4l310,500r-6,4l296,506r-2,l300,514r,l300,514r10,-2l318,508r4,-8l324,490r,-44l310,446r,4xm310,460r,20l310,480r-2,4l302,484r,l300,484r-4,-2l294,478r,-8l294,470r,-8l296,458r4,-2l302,456r,l308,458r2,2l310,460xm208,446r12,l220,468r,26l208,494r,-48xm220,432r,6l208,438r,-12l220,426r,6xm510,432r12,-6l522,470r,24l510,494r,-62xm88,166r100,l188,108r-100,l88,62r110,l162,,6,r,274l226,274r,-62l88,212r,-46xm374,l326,90,280,,188,r96,166l284,274r82,l366,166,464,,374,xe" fillcolor="gray" stroked="f">
                <v:path arrowok="t" o:connecttype="custom" o:connectlocs="9525,542925;60325,603250;53975,561975;123825,622300;152400,644525;396875,577850;422275,590550;209550,603250;260350,593725;304800,577850;304800,593725;708025,644525;723900,568325;708025,625475;460375,609600;482600,666750;508000,625475;501650,590550;603250,596900;638175,650875;593725,615950;815975,625475;812800,571500;828675,638175;1003300,625475;984250,568325;1003300,625475;927100,628650;892175,590550;869950,650875;869950,590550;1054100,593725;1076325,593725;361950,561975;841375,746125;876300,768350;889000,762000;190500,784225;66675,784225;31750,755650;111125,730250;168275,717550;142875,723900;787400,727075;784225,704850;596900,784225;631825,755650;701675,787400;695325,768350;717550,746125;269875,676275;403225,704850;400050,723900;444500,746125;469900,803275;492125,762000;488950,727075;349250,685800;9525,0;736600,0" o:connectangles="0,0,0,0,0,0,0,0,0,0,0,0,0,0,0,0,0,0,0,0,0,0,0,0,0,0,0,0,0,0,0,0,0,0,0,0,0,0,0,0,0,0,0,0,0,0,0,0,0,0,0,0,0,0,0,0,0,0,0,0"/>
                <o:lock v:ext="edit" verticies="t"/>
              </v:shape>
            </v:group>
          </w:pict>
        </mc:Fallback>
      </mc:AlternateContent>
    </w:r>
    <w:r>
      <w:rPr>
        <w:noProof/>
        <w:lang w:eastAsia="en-AU"/>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979EE" w14:textId="77777777" w:rsidR="00D930F7" w:rsidRPr="00290D89" w:rsidRDefault="00D930F7" w:rsidP="006B6C3C">
    <w:pPr>
      <w:pStyle w:val="Footer"/>
      <w:spacing w:after="0"/>
      <w:rPr>
        <w:b/>
        <w:color w:val="FF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Look w:val="0000" w:firstRow="0" w:lastRow="0" w:firstColumn="0" w:lastColumn="0" w:noHBand="0" w:noVBand="0"/>
    </w:tblPr>
    <w:tblGrid>
      <w:gridCol w:w="7481"/>
      <w:gridCol w:w="1545"/>
    </w:tblGrid>
    <w:tr w:rsidR="00D930F7" w:rsidRPr="00D9165D" w14:paraId="3217D80F" w14:textId="77777777" w:rsidTr="00455311">
      <w:trPr>
        <w:trHeight w:val="187"/>
        <w:jc w:val="right"/>
      </w:trPr>
      <w:tc>
        <w:tcPr>
          <w:tcW w:w="4144" w:type="pct"/>
        </w:tcPr>
        <w:p w14:paraId="0EF1AC6A" w14:textId="77777777" w:rsidR="00D930F7" w:rsidRPr="00D9165D" w:rsidRDefault="00D930F7" w:rsidP="002316CF">
          <w:pPr>
            <w:spacing w:after="0"/>
            <w:rPr>
              <w:rFonts w:ascii="Arial" w:hAnsi="Arial" w:cs="Arial"/>
              <w:sz w:val="12"/>
              <w:szCs w:val="12"/>
            </w:rPr>
          </w:pPr>
        </w:p>
      </w:tc>
      <w:tc>
        <w:tcPr>
          <w:tcW w:w="856" w:type="pct"/>
        </w:tcPr>
        <w:p w14:paraId="68702A68" w14:textId="77777777" w:rsidR="00D930F7" w:rsidRPr="00D9165D" w:rsidRDefault="00D930F7" w:rsidP="002316CF">
          <w:pPr>
            <w:pStyle w:val="Footer"/>
            <w:spacing w:after="0"/>
            <w:rPr>
              <w:rFonts w:ascii="Arial" w:hAnsi="Arial" w:cs="Arial"/>
              <w:sz w:val="12"/>
              <w:szCs w:val="12"/>
            </w:rPr>
          </w:pPr>
        </w:p>
      </w:tc>
    </w:tr>
    <w:tr w:rsidR="00D930F7" w:rsidRPr="00D9165D" w14:paraId="4961A3B9" w14:textId="77777777" w:rsidTr="00455311">
      <w:trPr>
        <w:trHeight w:val="187"/>
        <w:jc w:val="right"/>
      </w:trPr>
      <w:tc>
        <w:tcPr>
          <w:tcW w:w="4144" w:type="pct"/>
        </w:tcPr>
        <w:p w14:paraId="57C89017" w14:textId="77777777" w:rsidR="00D930F7" w:rsidRPr="00D9165D" w:rsidRDefault="00D930F7" w:rsidP="002316CF">
          <w:pPr>
            <w:spacing w:after="0"/>
            <w:rPr>
              <w:rFonts w:ascii="Arial" w:hAnsi="Arial" w:cs="Arial"/>
              <w:sz w:val="12"/>
              <w:szCs w:val="12"/>
            </w:rPr>
          </w:pPr>
        </w:p>
      </w:tc>
      <w:tc>
        <w:tcPr>
          <w:tcW w:w="856" w:type="pct"/>
        </w:tcPr>
        <w:p w14:paraId="444C97A0" w14:textId="0FC8E21D" w:rsidR="00D930F7" w:rsidRPr="00D9165D" w:rsidRDefault="00D930F7" w:rsidP="002316CF">
          <w:pPr>
            <w:pStyle w:val="Footer"/>
            <w:spacing w:after="0"/>
            <w:jc w:val="right"/>
            <w:rPr>
              <w:rFonts w:ascii="Arial" w:hAnsi="Arial" w:cs="Arial"/>
              <w:sz w:val="12"/>
              <w:szCs w:val="12"/>
            </w:rPr>
          </w:pPr>
          <w:r w:rsidRPr="00D9165D">
            <w:rPr>
              <w:rFonts w:ascii="Arial" w:hAnsi="Arial" w:cs="Arial"/>
              <w:sz w:val="12"/>
              <w:szCs w:val="12"/>
            </w:rPr>
            <w:t xml:space="preserve">EY   </w:t>
          </w:r>
          <w:r w:rsidRPr="00D9165D">
            <w:rPr>
              <w:rFonts w:ascii="Arial" w:hAnsi="Arial" w:cs="Arial"/>
              <w:sz w:val="12"/>
              <w:szCs w:val="12"/>
            </w:rPr>
            <w:sym w:font="Symbol" w:char="F0F7"/>
          </w:r>
          <w:r w:rsidRPr="00D9165D">
            <w:rPr>
              <w:rFonts w:ascii="Arial" w:hAnsi="Arial" w:cs="Arial"/>
              <w:sz w:val="12"/>
              <w:szCs w:val="12"/>
            </w:rPr>
            <w:t xml:space="preserve">   </w:t>
          </w:r>
          <w:r w:rsidRPr="00D9165D">
            <w:rPr>
              <w:rFonts w:ascii="Arial" w:hAnsi="Arial" w:cs="Arial"/>
              <w:sz w:val="12"/>
              <w:szCs w:val="12"/>
            </w:rPr>
            <w:fldChar w:fldCharType="begin"/>
          </w:r>
          <w:r w:rsidRPr="00D9165D">
            <w:rPr>
              <w:rFonts w:ascii="Arial" w:hAnsi="Arial" w:cs="Arial"/>
              <w:sz w:val="12"/>
              <w:szCs w:val="12"/>
            </w:rPr>
            <w:instrText xml:space="preserve"> PAGE   \* MERGEFORMAT </w:instrText>
          </w:r>
          <w:r w:rsidRPr="00D9165D">
            <w:rPr>
              <w:rFonts w:ascii="Arial" w:hAnsi="Arial" w:cs="Arial"/>
              <w:sz w:val="12"/>
              <w:szCs w:val="12"/>
            </w:rPr>
            <w:fldChar w:fldCharType="separate"/>
          </w:r>
          <w:r w:rsidR="00F9164A">
            <w:rPr>
              <w:rFonts w:ascii="Arial" w:hAnsi="Arial" w:cs="Arial"/>
              <w:noProof/>
              <w:sz w:val="12"/>
              <w:szCs w:val="12"/>
            </w:rPr>
            <w:t>166</w:t>
          </w:r>
          <w:r w:rsidRPr="00D9165D">
            <w:rPr>
              <w:rFonts w:ascii="Arial" w:hAnsi="Arial" w:cs="Arial"/>
              <w:noProof/>
              <w:sz w:val="12"/>
              <w:szCs w:val="12"/>
            </w:rPr>
            <w:fldChar w:fldCharType="end"/>
          </w:r>
          <w:r w:rsidRPr="00D9165D">
            <w:rPr>
              <w:rFonts w:ascii="Arial" w:hAnsi="Arial" w:cs="Arial"/>
              <w:sz w:val="12"/>
              <w:szCs w:val="12"/>
            </w:rPr>
            <w:t xml:space="preserve">  </w:t>
          </w:r>
        </w:p>
      </w:tc>
    </w:tr>
  </w:tbl>
  <w:p w14:paraId="41D2DECD" w14:textId="77777777" w:rsidR="00D930F7" w:rsidRDefault="00D930F7" w:rsidP="00290D89">
    <w:pPr>
      <w:spacing w:after="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Look w:val="0000" w:firstRow="0" w:lastRow="0" w:firstColumn="0" w:lastColumn="0" w:noHBand="0" w:noVBand="0"/>
    </w:tblPr>
    <w:tblGrid>
      <w:gridCol w:w="7481"/>
      <w:gridCol w:w="1545"/>
    </w:tblGrid>
    <w:tr w:rsidR="00D930F7" w:rsidRPr="00D9165D" w14:paraId="2CC3ABBC" w14:textId="77777777" w:rsidTr="00455311">
      <w:trPr>
        <w:trHeight w:val="187"/>
        <w:jc w:val="right"/>
      </w:trPr>
      <w:tc>
        <w:tcPr>
          <w:tcW w:w="4144" w:type="pct"/>
        </w:tcPr>
        <w:p w14:paraId="46B3C38B" w14:textId="77777777" w:rsidR="00D930F7" w:rsidRPr="00D9165D" w:rsidRDefault="00D930F7" w:rsidP="002316CF">
          <w:pPr>
            <w:spacing w:after="0"/>
            <w:rPr>
              <w:rFonts w:ascii="Arial" w:hAnsi="Arial" w:cs="Arial"/>
              <w:sz w:val="12"/>
              <w:szCs w:val="12"/>
            </w:rPr>
          </w:pPr>
        </w:p>
      </w:tc>
      <w:tc>
        <w:tcPr>
          <w:tcW w:w="856" w:type="pct"/>
        </w:tcPr>
        <w:p w14:paraId="796181F6" w14:textId="77777777" w:rsidR="00D930F7" w:rsidRPr="00D9165D" w:rsidRDefault="00D930F7" w:rsidP="002316CF">
          <w:pPr>
            <w:pStyle w:val="Footer"/>
            <w:spacing w:after="0"/>
            <w:rPr>
              <w:rFonts w:ascii="Arial" w:hAnsi="Arial" w:cs="Arial"/>
              <w:sz w:val="12"/>
              <w:szCs w:val="12"/>
            </w:rPr>
          </w:pPr>
        </w:p>
      </w:tc>
    </w:tr>
    <w:tr w:rsidR="00D930F7" w:rsidRPr="00D9165D" w14:paraId="1F585232" w14:textId="77777777" w:rsidTr="00455311">
      <w:trPr>
        <w:trHeight w:val="187"/>
        <w:jc w:val="right"/>
      </w:trPr>
      <w:tc>
        <w:tcPr>
          <w:tcW w:w="4144" w:type="pct"/>
        </w:tcPr>
        <w:p w14:paraId="69A01E64" w14:textId="77777777" w:rsidR="00D930F7" w:rsidRPr="00D9165D" w:rsidRDefault="00D930F7" w:rsidP="002316CF">
          <w:pPr>
            <w:spacing w:after="0"/>
            <w:rPr>
              <w:rFonts w:ascii="Arial" w:hAnsi="Arial" w:cs="Arial"/>
              <w:sz w:val="12"/>
              <w:szCs w:val="12"/>
            </w:rPr>
          </w:pPr>
        </w:p>
      </w:tc>
      <w:tc>
        <w:tcPr>
          <w:tcW w:w="856" w:type="pct"/>
        </w:tcPr>
        <w:p w14:paraId="3EBACD07" w14:textId="77777777" w:rsidR="00D930F7" w:rsidRPr="00D9165D" w:rsidRDefault="00D930F7" w:rsidP="002316CF">
          <w:pPr>
            <w:pStyle w:val="Footer"/>
            <w:spacing w:after="0"/>
            <w:jc w:val="right"/>
            <w:rPr>
              <w:rFonts w:ascii="Arial" w:hAnsi="Arial" w:cs="Arial"/>
              <w:sz w:val="12"/>
              <w:szCs w:val="12"/>
            </w:rPr>
          </w:pPr>
          <w:r w:rsidRPr="00D9165D">
            <w:rPr>
              <w:rFonts w:ascii="Arial" w:hAnsi="Arial" w:cs="Arial"/>
              <w:sz w:val="12"/>
              <w:szCs w:val="12"/>
            </w:rPr>
            <w:t xml:space="preserve">  </w:t>
          </w:r>
        </w:p>
      </w:tc>
    </w:tr>
  </w:tbl>
  <w:p w14:paraId="1A561B0A" w14:textId="77777777" w:rsidR="00D930F7" w:rsidRDefault="00D930F7" w:rsidP="00290D89">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71192" w14:textId="77777777" w:rsidR="00D930F7" w:rsidRDefault="00D930F7" w:rsidP="005032B6">
      <w:r>
        <w:separator/>
      </w:r>
    </w:p>
    <w:p w14:paraId="75B35D4C" w14:textId="77777777" w:rsidR="00D930F7" w:rsidRDefault="00D930F7"/>
  </w:footnote>
  <w:footnote w:type="continuationSeparator" w:id="0">
    <w:p w14:paraId="293D1F68" w14:textId="77777777" w:rsidR="00D930F7" w:rsidRDefault="00D930F7" w:rsidP="005032B6">
      <w:r>
        <w:continuationSeparator/>
      </w:r>
    </w:p>
    <w:p w14:paraId="3348EC70" w14:textId="77777777" w:rsidR="00D930F7" w:rsidRDefault="00D930F7"/>
  </w:footnote>
  <w:footnote w:type="continuationNotice" w:id="1">
    <w:p w14:paraId="49C5C9A1" w14:textId="77777777" w:rsidR="00D930F7" w:rsidRDefault="00D930F7">
      <w:pPr>
        <w:spacing w:after="0"/>
      </w:pPr>
    </w:p>
    <w:p w14:paraId="7E4B7B5B" w14:textId="77777777" w:rsidR="00D930F7" w:rsidRDefault="00D930F7"/>
  </w:footnote>
  <w:footnote w:id="2">
    <w:p w14:paraId="4E2C80E2" w14:textId="77777777" w:rsidR="00D930F7" w:rsidRPr="00602EDC" w:rsidRDefault="00D930F7" w:rsidP="00806F34">
      <w:pPr>
        <w:pStyle w:val="FootnoteText"/>
        <w:rPr>
          <w:rFonts w:asciiTheme="minorHAnsi" w:hAnsiTheme="minorHAnsi" w:cstheme="minorHAnsi"/>
          <w:sz w:val="16"/>
          <w:szCs w:val="16"/>
          <w:lang w:val="en-AU"/>
        </w:rPr>
      </w:pPr>
      <w:r w:rsidRPr="00602EDC">
        <w:rPr>
          <w:rStyle w:val="FootnoteReference"/>
          <w:rFonts w:asciiTheme="minorHAnsi" w:hAnsiTheme="minorHAnsi" w:cstheme="minorHAnsi"/>
          <w:sz w:val="16"/>
          <w:szCs w:val="16"/>
        </w:rPr>
        <w:footnoteRef/>
      </w:r>
      <w:r w:rsidRPr="00602EDC">
        <w:rPr>
          <w:rFonts w:asciiTheme="minorHAnsi" w:hAnsiTheme="minorHAnsi" w:cstheme="minorHAnsi"/>
          <w:sz w:val="16"/>
          <w:szCs w:val="16"/>
        </w:rPr>
        <w:t xml:space="preserve"> </w:t>
      </w:r>
      <w:r>
        <w:rPr>
          <w:rFonts w:asciiTheme="minorHAnsi" w:hAnsiTheme="minorHAnsi" w:cstheme="minorHAnsi"/>
          <w:sz w:val="16"/>
          <w:szCs w:val="16"/>
          <w:lang w:val="en-AU"/>
        </w:rPr>
        <w:t>The Transplantation Society of Australia and New Zealand (TSANZ)</w:t>
      </w:r>
      <w:r w:rsidRPr="00A104EC">
        <w:rPr>
          <w:rFonts w:asciiTheme="minorHAnsi" w:hAnsiTheme="minorHAnsi" w:cstheme="minorHAnsi"/>
          <w:sz w:val="16"/>
          <w:szCs w:val="16"/>
          <w:lang w:val="en-AU"/>
        </w:rPr>
        <w:t xml:space="preserve"> 2016, </w:t>
      </w:r>
      <w:r w:rsidRPr="00EF2596">
        <w:rPr>
          <w:rFonts w:asciiTheme="minorHAnsi" w:hAnsiTheme="minorHAnsi" w:cstheme="minorHAnsi"/>
          <w:i/>
          <w:sz w:val="16"/>
          <w:szCs w:val="16"/>
          <w:lang w:val="en-AU"/>
        </w:rPr>
        <w:t>Clinical Guidelines for Organ Transplantation from Deceased Donors Version 1.0 – April 2016</w:t>
      </w:r>
      <w:r>
        <w:rPr>
          <w:rFonts w:asciiTheme="minorHAnsi" w:hAnsiTheme="minorHAnsi" w:cstheme="minorHAnsi"/>
          <w:sz w:val="16"/>
          <w:szCs w:val="16"/>
          <w:lang w:val="en-AU"/>
        </w:rPr>
        <w:t xml:space="preserve">, viewed June 2018 </w:t>
      </w:r>
      <w:r w:rsidRPr="00CF3BDB">
        <w:rPr>
          <w:rFonts w:asciiTheme="minorHAnsi" w:hAnsiTheme="minorHAnsi" w:cstheme="minorHAnsi"/>
          <w:sz w:val="16"/>
          <w:szCs w:val="16"/>
          <w:lang w:val="en-AU"/>
        </w:rPr>
        <w:t>&lt;</w:t>
      </w:r>
      <w:r w:rsidRPr="00CF3BDB">
        <w:rPr>
          <w:rStyle w:val="Hyperlink"/>
          <w:rFonts w:asciiTheme="minorHAnsi" w:hAnsiTheme="minorHAnsi" w:cstheme="minorHAnsi"/>
          <w:color w:val="auto"/>
          <w:sz w:val="16"/>
          <w:szCs w:val="16"/>
          <w:u w:val="none"/>
          <w:lang w:val="en-AU"/>
        </w:rPr>
        <w:t>https://donatelife.gov.au/sites/default/files/TSANZ%20Clinical%20Guidelines%20for%20Organ%20Transplantation%20from%20Deceased%20Donors_Version%201.0_April%202016.pdf</w:t>
      </w:r>
      <w:r w:rsidRPr="00CF3BDB">
        <w:rPr>
          <w:rFonts w:asciiTheme="minorHAnsi" w:hAnsiTheme="minorHAnsi" w:cstheme="minorHAnsi"/>
          <w:sz w:val="16"/>
          <w:szCs w:val="16"/>
          <w:lang w:val="en-AU"/>
        </w:rPr>
        <w:t>&gt;.</w:t>
      </w:r>
    </w:p>
  </w:footnote>
  <w:footnote w:id="3">
    <w:p w14:paraId="1C5938C4" w14:textId="77777777" w:rsidR="00D930F7" w:rsidRPr="00602EDC" w:rsidRDefault="00D930F7" w:rsidP="00806F34">
      <w:pPr>
        <w:pStyle w:val="FootnoteText"/>
        <w:rPr>
          <w:rFonts w:asciiTheme="minorHAnsi" w:hAnsiTheme="minorHAnsi" w:cstheme="minorHAnsi"/>
          <w:sz w:val="16"/>
          <w:szCs w:val="16"/>
          <w:lang w:val="en-AU"/>
        </w:rPr>
      </w:pPr>
      <w:r w:rsidRPr="00602EDC">
        <w:rPr>
          <w:rStyle w:val="FootnoteReference"/>
          <w:rFonts w:asciiTheme="minorHAnsi" w:hAnsiTheme="minorHAnsi" w:cstheme="minorHAnsi"/>
          <w:sz w:val="16"/>
          <w:szCs w:val="16"/>
        </w:rPr>
        <w:footnoteRef/>
      </w:r>
      <w:r w:rsidRPr="00602EDC">
        <w:rPr>
          <w:rFonts w:asciiTheme="minorHAnsi" w:hAnsiTheme="minorHAnsi" w:cstheme="minorHAnsi"/>
          <w:sz w:val="16"/>
          <w:szCs w:val="16"/>
        </w:rPr>
        <w:t xml:space="preserve"> </w:t>
      </w:r>
      <w:r>
        <w:rPr>
          <w:rFonts w:asciiTheme="minorHAnsi" w:hAnsiTheme="minorHAnsi" w:cstheme="minorHAnsi"/>
          <w:sz w:val="16"/>
          <w:szCs w:val="16"/>
        </w:rPr>
        <w:t xml:space="preserve">U.S. National </w:t>
      </w:r>
      <w:r w:rsidRPr="00CF3BDB">
        <w:rPr>
          <w:rFonts w:asciiTheme="minorHAnsi" w:hAnsiTheme="minorHAnsi" w:cstheme="minorHAnsi"/>
          <w:sz w:val="16"/>
          <w:szCs w:val="16"/>
        </w:rPr>
        <w:t>Library of</w:t>
      </w:r>
      <w:r>
        <w:rPr>
          <w:rFonts w:asciiTheme="minorHAnsi" w:hAnsiTheme="minorHAnsi" w:cstheme="minorHAnsi"/>
          <w:sz w:val="16"/>
          <w:szCs w:val="16"/>
        </w:rPr>
        <w:t xml:space="preserve"> Medicine 2018, </w:t>
      </w:r>
      <w:r w:rsidRPr="00EF2596">
        <w:rPr>
          <w:rFonts w:asciiTheme="minorHAnsi" w:hAnsiTheme="minorHAnsi" w:cstheme="minorHAnsi"/>
          <w:i/>
          <w:sz w:val="16"/>
          <w:szCs w:val="16"/>
          <w:lang w:val="en-AU"/>
        </w:rPr>
        <w:t>Medline Plus</w:t>
      </w:r>
      <w:r>
        <w:rPr>
          <w:rFonts w:asciiTheme="minorHAnsi" w:hAnsiTheme="minorHAnsi" w:cstheme="minorHAnsi"/>
          <w:i/>
          <w:sz w:val="16"/>
          <w:szCs w:val="16"/>
          <w:lang w:val="en-AU"/>
        </w:rPr>
        <w:t>:</w:t>
      </w:r>
      <w:r w:rsidRPr="00EF2596">
        <w:rPr>
          <w:rFonts w:asciiTheme="minorHAnsi" w:hAnsiTheme="minorHAnsi" w:cstheme="minorHAnsi"/>
          <w:i/>
          <w:sz w:val="16"/>
          <w:szCs w:val="16"/>
          <w:lang w:val="en-AU"/>
        </w:rPr>
        <w:t xml:space="preserve"> Organ Donation</w:t>
      </w:r>
      <w:r>
        <w:rPr>
          <w:rFonts w:asciiTheme="minorHAnsi" w:hAnsiTheme="minorHAnsi" w:cstheme="minorHAnsi"/>
          <w:sz w:val="16"/>
          <w:szCs w:val="16"/>
          <w:lang w:val="en-AU"/>
        </w:rPr>
        <w:t>, viewed November 2018 &lt;</w:t>
      </w:r>
      <w:r w:rsidRPr="00A104EC">
        <w:rPr>
          <w:rFonts w:asciiTheme="minorHAnsi" w:hAnsiTheme="minorHAnsi" w:cstheme="minorHAnsi"/>
          <w:sz w:val="16"/>
          <w:szCs w:val="16"/>
          <w:lang w:val="en-AU"/>
        </w:rPr>
        <w:t>https://medlineplus.gov/organdonation.html?PHPSESSID=acbbc427bed0eff2d9555e2f5caa4524</w:t>
      </w:r>
      <w:r>
        <w:rPr>
          <w:rFonts w:asciiTheme="minorHAnsi" w:hAnsiTheme="minorHAnsi" w:cstheme="minorHAnsi"/>
          <w:sz w:val="16"/>
          <w:szCs w:val="16"/>
          <w:lang w:val="en-AU"/>
        </w:rPr>
        <w:t>&gt;.</w:t>
      </w:r>
    </w:p>
  </w:footnote>
  <w:footnote w:id="4">
    <w:p w14:paraId="25E388CD" w14:textId="77777777" w:rsidR="00D930F7" w:rsidRPr="003A517E" w:rsidRDefault="00D930F7" w:rsidP="00EF2596">
      <w:pPr>
        <w:spacing w:before="40" w:after="40"/>
        <w:rPr>
          <w:rFonts w:asciiTheme="minorHAnsi" w:hAnsiTheme="minorHAnsi" w:cstheme="minorHAnsi"/>
          <w:sz w:val="16"/>
          <w:szCs w:val="16"/>
        </w:rPr>
      </w:pPr>
      <w:r w:rsidRPr="00602EDC">
        <w:rPr>
          <w:rStyle w:val="FootnoteReference"/>
          <w:rFonts w:asciiTheme="minorHAnsi" w:hAnsiTheme="minorHAnsi" w:cstheme="minorHAnsi"/>
          <w:sz w:val="16"/>
          <w:szCs w:val="16"/>
        </w:rPr>
        <w:footnoteRef/>
      </w:r>
      <w:r w:rsidRPr="003A517E">
        <w:rPr>
          <w:rFonts w:asciiTheme="minorHAnsi" w:hAnsiTheme="minorHAnsi" w:cstheme="minorHAnsi"/>
          <w:sz w:val="16"/>
          <w:szCs w:val="16"/>
        </w:rPr>
        <w:t xml:space="preserve"> </w:t>
      </w:r>
      <w:r>
        <w:rPr>
          <w:rFonts w:asciiTheme="minorHAnsi" w:eastAsiaTheme="minorHAnsi" w:hAnsiTheme="minorHAnsi" w:cstheme="minorHAnsi"/>
          <w:sz w:val="16"/>
          <w:szCs w:val="22"/>
        </w:rPr>
        <w:t>The Australian Organ and Tissue Donation and Transplantation Authority</w:t>
      </w:r>
      <w:r w:rsidRPr="00447661">
        <w:rPr>
          <w:rFonts w:asciiTheme="minorHAnsi" w:eastAsiaTheme="minorHAnsi" w:hAnsiTheme="minorHAnsi" w:cstheme="minorHAnsi"/>
          <w:sz w:val="16"/>
          <w:szCs w:val="22"/>
        </w:rPr>
        <w:t xml:space="preserve">, 2017, </w:t>
      </w:r>
      <w:r w:rsidRPr="00EF2596">
        <w:rPr>
          <w:rFonts w:asciiTheme="minorHAnsi" w:eastAsiaTheme="minorHAnsi" w:hAnsiTheme="minorHAnsi" w:cstheme="minorHAnsi"/>
          <w:i/>
          <w:sz w:val="16"/>
          <w:szCs w:val="22"/>
        </w:rPr>
        <w:t>Australian Donation and Transplantation Activity Report 2017</w:t>
      </w:r>
      <w:r w:rsidRPr="00447661">
        <w:rPr>
          <w:rFonts w:asciiTheme="minorHAnsi" w:eastAsiaTheme="minorHAnsi" w:hAnsiTheme="minorHAnsi" w:cstheme="minorHAnsi"/>
          <w:sz w:val="16"/>
          <w:szCs w:val="22"/>
        </w:rPr>
        <w:t xml:space="preserve">, </w:t>
      </w:r>
      <w:r>
        <w:rPr>
          <w:rFonts w:asciiTheme="minorHAnsi" w:eastAsiaTheme="minorHAnsi" w:hAnsiTheme="minorHAnsi" w:cstheme="minorHAnsi"/>
          <w:sz w:val="16"/>
          <w:szCs w:val="22"/>
        </w:rPr>
        <w:t>viewed September 2018, &lt;</w:t>
      </w:r>
      <w:r w:rsidRPr="00447661">
        <w:rPr>
          <w:rFonts w:asciiTheme="minorHAnsi" w:eastAsiaTheme="minorHAnsi" w:hAnsiTheme="minorHAnsi" w:cstheme="minorHAnsi"/>
          <w:sz w:val="16"/>
          <w:szCs w:val="22"/>
        </w:rPr>
        <w:t>https://donatelife.gov.au/sites/default/files/2017%20Australian%20Donations%20and%20Transplantation%20Activity%20Report.pdf</w:t>
      </w:r>
      <w:r>
        <w:rPr>
          <w:rFonts w:asciiTheme="minorHAnsi" w:eastAsiaTheme="minorHAnsi" w:hAnsiTheme="minorHAnsi" w:cstheme="minorHAnsi"/>
          <w:sz w:val="16"/>
          <w:szCs w:val="22"/>
        </w:rPr>
        <w:t>&gt;.</w:t>
      </w:r>
    </w:p>
  </w:footnote>
  <w:footnote w:id="5">
    <w:p w14:paraId="2503F2E5" w14:textId="77777777" w:rsidR="00D930F7" w:rsidRPr="00EF2596" w:rsidRDefault="00D930F7">
      <w:pPr>
        <w:pStyle w:val="FootnoteText"/>
        <w:rPr>
          <w:lang w:val="en-AU"/>
        </w:rPr>
      </w:pPr>
      <w:r w:rsidRPr="003A517E">
        <w:rPr>
          <w:rStyle w:val="FootnoteReference"/>
          <w:rFonts w:asciiTheme="minorHAnsi" w:hAnsiTheme="minorHAnsi" w:cstheme="minorHAnsi"/>
          <w:sz w:val="16"/>
          <w:szCs w:val="16"/>
        </w:rPr>
        <w:footnoteRef/>
      </w:r>
      <w:r w:rsidRPr="003A517E">
        <w:rPr>
          <w:rFonts w:asciiTheme="minorHAnsi" w:hAnsiTheme="minorHAnsi" w:cstheme="minorHAnsi"/>
          <w:sz w:val="16"/>
          <w:szCs w:val="16"/>
        </w:rPr>
        <w:t xml:space="preserve"> </w:t>
      </w:r>
      <w:r>
        <w:rPr>
          <w:rFonts w:asciiTheme="minorHAnsi" w:hAnsiTheme="minorHAnsi" w:cstheme="minorHAnsi"/>
          <w:i/>
          <w:sz w:val="16"/>
        </w:rPr>
        <w:t xml:space="preserve">Organ transplant system </w:t>
      </w:r>
      <w:r w:rsidRPr="00EF2596">
        <w:rPr>
          <w:rFonts w:asciiTheme="minorHAnsi" w:hAnsiTheme="minorHAnsi" w:cstheme="minorHAnsi"/>
          <w:i/>
          <w:sz w:val="16"/>
        </w:rPr>
        <w:t>tipped towards non-Indigenous patients</w:t>
      </w:r>
      <w:r>
        <w:rPr>
          <w:rFonts w:asciiTheme="minorHAnsi" w:hAnsiTheme="minorHAnsi" w:cstheme="minorHAnsi"/>
          <w:i/>
          <w:sz w:val="16"/>
        </w:rPr>
        <w:t>,</w:t>
      </w:r>
      <w:r w:rsidRPr="00EF2596">
        <w:rPr>
          <w:rFonts w:asciiTheme="minorHAnsi" w:hAnsiTheme="minorHAnsi" w:cstheme="minorHAnsi"/>
          <w:i/>
          <w:sz w:val="16"/>
        </w:rPr>
        <w:t xml:space="preserve"> </w:t>
      </w:r>
      <w:r w:rsidRPr="00EF2596">
        <w:rPr>
          <w:rFonts w:asciiTheme="minorHAnsi" w:hAnsiTheme="minorHAnsi" w:cstheme="minorHAnsi"/>
          <w:sz w:val="16"/>
        </w:rPr>
        <w:t>2017, radio program, ABC Radio, Sydney 14 December 2017</w:t>
      </w:r>
      <w:r>
        <w:rPr>
          <w:rFonts w:asciiTheme="minorHAnsi" w:hAnsiTheme="minorHAnsi" w:cstheme="minorHAnsi"/>
          <w:sz w:val="16"/>
        </w:rPr>
        <w:t>.</w:t>
      </w:r>
    </w:p>
  </w:footnote>
  <w:footnote w:id="6">
    <w:p w14:paraId="238A0D8A" w14:textId="77777777" w:rsidR="00D930F7" w:rsidRPr="00D16A5C" w:rsidRDefault="00D930F7" w:rsidP="00CF6D36">
      <w:pPr>
        <w:pStyle w:val="FootnoteText"/>
        <w:rPr>
          <w:rFonts w:asciiTheme="minorHAnsi" w:hAnsiTheme="minorHAnsi" w:cstheme="minorHAnsi"/>
          <w:sz w:val="16"/>
          <w:szCs w:val="16"/>
        </w:rPr>
      </w:pPr>
      <w:r w:rsidRPr="008B044B">
        <w:rPr>
          <w:rStyle w:val="FootnoteReference"/>
          <w:rFonts w:asciiTheme="minorHAnsi" w:hAnsiTheme="minorHAnsi" w:cstheme="minorHAnsi"/>
          <w:sz w:val="16"/>
          <w:szCs w:val="16"/>
        </w:rPr>
        <w:footnoteRef/>
      </w:r>
      <w:r w:rsidRPr="008B044B">
        <w:rPr>
          <w:rFonts w:asciiTheme="minorHAnsi" w:hAnsiTheme="minorHAnsi" w:cstheme="minorHAnsi"/>
          <w:sz w:val="16"/>
          <w:szCs w:val="16"/>
        </w:rPr>
        <w:t xml:space="preserve"> </w:t>
      </w:r>
      <w:r>
        <w:rPr>
          <w:rFonts w:asciiTheme="minorHAnsi" w:hAnsiTheme="minorHAnsi" w:cstheme="minorHAnsi"/>
          <w:sz w:val="16"/>
        </w:rPr>
        <w:t>Chinnaratha</w:t>
      </w:r>
      <w:r w:rsidRPr="00447661">
        <w:rPr>
          <w:rFonts w:asciiTheme="minorHAnsi" w:hAnsiTheme="minorHAnsi" w:cstheme="minorHAnsi"/>
          <w:sz w:val="16"/>
        </w:rPr>
        <w:t xml:space="preserve"> M,</w:t>
      </w:r>
      <w:r>
        <w:rPr>
          <w:rFonts w:asciiTheme="minorHAnsi" w:hAnsiTheme="minorHAnsi" w:cstheme="minorHAnsi"/>
          <w:sz w:val="16"/>
        </w:rPr>
        <w:t xml:space="preserve"> et al,</w:t>
      </w:r>
      <w:r w:rsidRPr="00447661">
        <w:rPr>
          <w:rFonts w:asciiTheme="minorHAnsi" w:hAnsiTheme="minorHAnsi" w:cstheme="minorHAnsi"/>
          <w:sz w:val="16"/>
        </w:rPr>
        <w:t xml:space="preserve"> 2014, </w:t>
      </w:r>
      <w:r>
        <w:rPr>
          <w:rFonts w:asciiTheme="minorHAnsi" w:hAnsiTheme="minorHAnsi" w:cstheme="minorHAnsi"/>
          <w:sz w:val="16"/>
        </w:rPr>
        <w:t>‘</w:t>
      </w:r>
      <w:r w:rsidRPr="00447661">
        <w:rPr>
          <w:rFonts w:asciiTheme="minorHAnsi" w:hAnsiTheme="minorHAnsi" w:cstheme="minorHAnsi"/>
          <w:sz w:val="16"/>
        </w:rPr>
        <w:t>Liver transplantation outcomes for Australian Aboriginal and Torres Strait Islanders</w:t>
      </w:r>
      <w:r>
        <w:rPr>
          <w:rFonts w:asciiTheme="minorHAnsi" w:hAnsiTheme="minorHAnsi" w:cstheme="minorHAnsi"/>
          <w:sz w:val="16"/>
        </w:rPr>
        <w:t xml:space="preserve">’, </w:t>
      </w:r>
      <w:r>
        <w:rPr>
          <w:rFonts w:asciiTheme="minorHAnsi" w:hAnsiTheme="minorHAnsi" w:cstheme="minorHAnsi"/>
          <w:i/>
          <w:sz w:val="16"/>
        </w:rPr>
        <w:t>Liver Transplantation</w:t>
      </w:r>
      <w:r>
        <w:rPr>
          <w:rFonts w:asciiTheme="minorHAnsi" w:hAnsiTheme="minorHAnsi" w:cstheme="minorHAnsi"/>
          <w:sz w:val="16"/>
        </w:rPr>
        <w:t xml:space="preserve"> vol. </w:t>
      </w:r>
      <w:r w:rsidRPr="00447661">
        <w:rPr>
          <w:rFonts w:asciiTheme="minorHAnsi" w:hAnsiTheme="minorHAnsi" w:cstheme="minorHAnsi"/>
          <w:sz w:val="16"/>
        </w:rPr>
        <w:t xml:space="preserve">20 </w:t>
      </w:r>
      <w:r>
        <w:rPr>
          <w:rFonts w:asciiTheme="minorHAnsi" w:hAnsiTheme="minorHAnsi" w:cstheme="minorHAnsi"/>
          <w:sz w:val="16"/>
        </w:rPr>
        <w:t xml:space="preserve">No.7, pp. </w:t>
      </w:r>
      <w:r w:rsidRPr="00447661">
        <w:rPr>
          <w:rFonts w:asciiTheme="minorHAnsi" w:hAnsiTheme="minorHAnsi" w:cstheme="minorHAnsi"/>
          <w:sz w:val="16"/>
        </w:rPr>
        <w:t>798-806</w:t>
      </w:r>
      <w:r>
        <w:rPr>
          <w:rFonts w:asciiTheme="minorHAnsi" w:hAnsiTheme="minorHAnsi" w:cstheme="minorHAnsi"/>
          <w:sz w:val="16"/>
        </w:rPr>
        <w:t>.</w:t>
      </w:r>
    </w:p>
  </w:footnote>
  <w:footnote w:id="7">
    <w:p w14:paraId="02363284" w14:textId="77777777" w:rsidR="00D930F7" w:rsidRPr="0085695A" w:rsidRDefault="00D930F7">
      <w:pPr>
        <w:pStyle w:val="FootnoteText"/>
        <w:rPr>
          <w:rFonts w:asciiTheme="minorHAnsi" w:hAnsiTheme="minorHAnsi" w:cstheme="minorHAnsi"/>
          <w:sz w:val="16"/>
          <w:szCs w:val="16"/>
          <w:lang w:val="en-AU"/>
        </w:rPr>
      </w:pPr>
      <w:r w:rsidRPr="0085695A">
        <w:rPr>
          <w:rStyle w:val="FootnoteReference"/>
          <w:rFonts w:asciiTheme="minorHAnsi" w:hAnsiTheme="minorHAnsi" w:cstheme="minorHAnsi"/>
          <w:sz w:val="16"/>
          <w:szCs w:val="16"/>
        </w:rPr>
        <w:footnoteRef/>
      </w:r>
      <w:r w:rsidRPr="0085695A">
        <w:rPr>
          <w:rFonts w:asciiTheme="minorHAnsi" w:hAnsiTheme="minorHAnsi" w:cstheme="minorHAnsi"/>
          <w:sz w:val="16"/>
          <w:szCs w:val="16"/>
        </w:rPr>
        <w:t xml:space="preserve"> </w:t>
      </w:r>
      <w:r w:rsidRPr="00447661">
        <w:rPr>
          <w:rFonts w:asciiTheme="minorHAnsi" w:hAnsiTheme="minorHAnsi" w:cstheme="minorHAnsi"/>
          <w:sz w:val="16"/>
          <w:lang w:val="en-AU"/>
        </w:rPr>
        <w:t xml:space="preserve">World Health Organisation 2018, </w:t>
      </w:r>
      <w:r w:rsidRPr="00EF2596">
        <w:rPr>
          <w:rFonts w:asciiTheme="minorHAnsi" w:hAnsiTheme="minorHAnsi" w:cstheme="minorHAnsi"/>
          <w:i/>
          <w:sz w:val="16"/>
          <w:lang w:val="en-AU"/>
        </w:rPr>
        <w:t>Donation and transplantation: WHO Task Force on Donation and Transplantation of Human Organs and Tissues</w:t>
      </w:r>
      <w:r>
        <w:rPr>
          <w:rFonts w:asciiTheme="minorHAnsi" w:hAnsiTheme="minorHAnsi" w:cstheme="minorHAnsi"/>
          <w:sz w:val="16"/>
          <w:lang w:val="en-AU"/>
        </w:rPr>
        <w:t>, viewed November 2018, &lt;</w:t>
      </w:r>
      <w:r w:rsidRPr="00447661">
        <w:rPr>
          <w:rFonts w:asciiTheme="minorHAnsi" w:hAnsiTheme="minorHAnsi" w:cstheme="minorHAnsi"/>
          <w:sz w:val="16"/>
          <w:lang w:val="en-AU"/>
        </w:rPr>
        <w:t>http://www.who.int/transplantation/donation/taskforce-transplantation/en/</w:t>
      </w:r>
      <w:r>
        <w:rPr>
          <w:rFonts w:asciiTheme="minorHAnsi" w:hAnsiTheme="minorHAnsi" w:cstheme="minorHAnsi"/>
          <w:sz w:val="16"/>
          <w:lang w:val="en-AU"/>
        </w:rPr>
        <w:t>&gt;.</w:t>
      </w:r>
    </w:p>
  </w:footnote>
  <w:footnote w:id="8">
    <w:p w14:paraId="743C9B16" w14:textId="77777777" w:rsidR="00D930F7" w:rsidRPr="003A517E" w:rsidRDefault="00D930F7" w:rsidP="00FB39F4">
      <w:pPr>
        <w:pStyle w:val="FootnoteText"/>
        <w:rPr>
          <w:rFonts w:asciiTheme="minorHAnsi" w:hAnsiTheme="minorHAnsi" w:cstheme="minorHAnsi"/>
          <w:sz w:val="16"/>
          <w:szCs w:val="16"/>
          <w:lang w:val="en-AU"/>
        </w:rPr>
      </w:pPr>
      <w:r w:rsidRPr="008B044B">
        <w:rPr>
          <w:rStyle w:val="FootnoteReference"/>
          <w:rFonts w:asciiTheme="minorHAnsi" w:hAnsiTheme="minorHAnsi" w:cstheme="minorHAnsi"/>
          <w:sz w:val="16"/>
          <w:szCs w:val="16"/>
        </w:rPr>
        <w:footnoteRef/>
      </w:r>
      <w:r w:rsidRPr="008B044B">
        <w:rPr>
          <w:rFonts w:asciiTheme="minorHAnsi" w:hAnsiTheme="minorHAnsi" w:cstheme="minorHAnsi"/>
          <w:sz w:val="16"/>
          <w:szCs w:val="16"/>
        </w:rPr>
        <w:t xml:space="preserve"> </w:t>
      </w:r>
      <w:r>
        <w:rPr>
          <w:rFonts w:asciiTheme="minorHAnsi" w:hAnsiTheme="minorHAnsi" w:cstheme="minorHAnsi"/>
          <w:sz w:val="16"/>
          <w:lang w:val="en-AU"/>
        </w:rPr>
        <w:t>Chapman C, Kanellis J, 2018, ‘</w:t>
      </w:r>
      <w:r w:rsidRPr="00891468">
        <w:rPr>
          <w:rFonts w:asciiTheme="minorHAnsi" w:hAnsiTheme="minorHAnsi" w:cstheme="minorHAnsi"/>
          <w:sz w:val="16"/>
          <w:lang w:val="en-AU"/>
        </w:rPr>
        <w:t>Kidney donation and transplantation in Australia: more than a supply and demand equation’</w:t>
      </w:r>
      <w:r>
        <w:rPr>
          <w:rFonts w:asciiTheme="minorHAnsi" w:hAnsiTheme="minorHAnsi" w:cstheme="minorHAnsi"/>
          <w:sz w:val="16"/>
          <w:lang w:val="en-AU"/>
        </w:rPr>
        <w:t xml:space="preserve">, </w:t>
      </w:r>
      <w:r w:rsidRPr="00EF2596">
        <w:rPr>
          <w:rFonts w:asciiTheme="minorHAnsi" w:hAnsiTheme="minorHAnsi" w:cstheme="minorHAnsi"/>
          <w:i/>
          <w:sz w:val="16"/>
          <w:lang w:val="en-AU"/>
        </w:rPr>
        <w:t>Medical Journal of Australia</w:t>
      </w:r>
      <w:r>
        <w:rPr>
          <w:rFonts w:asciiTheme="minorHAnsi" w:hAnsiTheme="minorHAnsi" w:cstheme="minorHAnsi"/>
          <w:i/>
          <w:sz w:val="16"/>
          <w:lang w:val="en-AU"/>
        </w:rPr>
        <w:t xml:space="preserve"> </w:t>
      </w:r>
      <w:r>
        <w:rPr>
          <w:rFonts w:asciiTheme="minorHAnsi" w:hAnsiTheme="minorHAnsi" w:cstheme="minorHAnsi"/>
          <w:sz w:val="16"/>
          <w:lang w:val="en-AU"/>
        </w:rPr>
        <w:t>Vol. 209, No. 6, pp. 242-243.</w:t>
      </w:r>
    </w:p>
  </w:footnote>
  <w:footnote w:id="9">
    <w:p w14:paraId="5416907B" w14:textId="77777777" w:rsidR="00D930F7" w:rsidRPr="003A517E" w:rsidRDefault="00D930F7">
      <w:pPr>
        <w:pStyle w:val="FootnoteText"/>
        <w:rPr>
          <w:rFonts w:asciiTheme="minorHAnsi" w:hAnsiTheme="minorHAnsi" w:cstheme="minorHAnsi"/>
          <w:sz w:val="16"/>
          <w:szCs w:val="16"/>
          <w:lang w:val="en-AU"/>
        </w:rPr>
      </w:pPr>
      <w:r w:rsidRPr="003A517E">
        <w:rPr>
          <w:rStyle w:val="FootnoteReference"/>
          <w:rFonts w:asciiTheme="minorHAnsi" w:hAnsiTheme="minorHAnsi" w:cstheme="minorHAnsi"/>
          <w:sz w:val="16"/>
          <w:szCs w:val="16"/>
        </w:rPr>
        <w:footnoteRef/>
      </w:r>
      <w:r w:rsidRPr="003A517E">
        <w:rPr>
          <w:rFonts w:asciiTheme="minorHAnsi" w:hAnsiTheme="minorHAnsi" w:cstheme="minorHAnsi"/>
          <w:sz w:val="16"/>
          <w:szCs w:val="16"/>
        </w:rPr>
        <w:t xml:space="preserve"> </w:t>
      </w:r>
      <w:r>
        <w:rPr>
          <w:rFonts w:asciiTheme="minorHAnsi" w:hAnsiTheme="minorHAnsi" w:cstheme="minorHAnsi"/>
          <w:sz w:val="16"/>
          <w:szCs w:val="16"/>
        </w:rPr>
        <w:t>Khanal N et al</w:t>
      </w:r>
      <w:r w:rsidRPr="00EF2596">
        <w:rPr>
          <w:rFonts w:asciiTheme="minorHAnsi" w:hAnsiTheme="minorHAnsi" w:cstheme="minorHAnsi"/>
          <w:sz w:val="16"/>
          <w:szCs w:val="16"/>
        </w:rPr>
        <w:t xml:space="preserve">, 2018 ‘Disparity of access to </w:t>
      </w:r>
      <w:r w:rsidRPr="004E37B3">
        <w:rPr>
          <w:rFonts w:asciiTheme="minorHAnsi" w:hAnsiTheme="minorHAnsi" w:cstheme="minorHAnsi"/>
          <w:sz w:val="16"/>
          <w:szCs w:val="16"/>
        </w:rPr>
        <w:t>kidney</w:t>
      </w:r>
      <w:r w:rsidRPr="00F61967">
        <w:rPr>
          <w:rFonts w:asciiTheme="minorHAnsi" w:hAnsiTheme="minorHAnsi" w:cstheme="minorHAnsi"/>
          <w:sz w:val="16"/>
          <w:szCs w:val="16"/>
        </w:rPr>
        <w:t xml:space="preserve"> transplantation by </w:t>
      </w:r>
      <w:r>
        <w:rPr>
          <w:rFonts w:asciiTheme="minorHAnsi" w:hAnsiTheme="minorHAnsi" w:cstheme="minorHAnsi"/>
          <w:sz w:val="16"/>
          <w:szCs w:val="16"/>
        </w:rPr>
        <w:t>I</w:t>
      </w:r>
      <w:r w:rsidRPr="00F61967">
        <w:rPr>
          <w:rFonts w:asciiTheme="minorHAnsi" w:hAnsiTheme="minorHAnsi" w:cstheme="minorHAnsi"/>
          <w:sz w:val="16"/>
          <w:szCs w:val="16"/>
        </w:rPr>
        <w:t>ndigenous and non-</w:t>
      </w:r>
      <w:r>
        <w:rPr>
          <w:rFonts w:asciiTheme="minorHAnsi" w:hAnsiTheme="minorHAnsi" w:cstheme="minorHAnsi"/>
          <w:sz w:val="16"/>
          <w:szCs w:val="16"/>
        </w:rPr>
        <w:t>I</w:t>
      </w:r>
      <w:r w:rsidRPr="00F61967">
        <w:rPr>
          <w:rFonts w:asciiTheme="minorHAnsi" w:hAnsiTheme="minorHAnsi" w:cstheme="minorHAnsi"/>
          <w:sz w:val="16"/>
          <w:szCs w:val="16"/>
        </w:rPr>
        <w:t xml:space="preserve">ndigenous Australians’ </w:t>
      </w:r>
      <w:r w:rsidRPr="00F61967">
        <w:rPr>
          <w:rFonts w:asciiTheme="minorHAnsi" w:hAnsiTheme="minorHAnsi" w:cstheme="minorHAnsi"/>
          <w:i/>
          <w:sz w:val="16"/>
          <w:szCs w:val="16"/>
        </w:rPr>
        <w:t xml:space="preserve">Medical Journal of Australia </w:t>
      </w:r>
      <w:r w:rsidRPr="005D0FA0">
        <w:rPr>
          <w:rFonts w:asciiTheme="minorHAnsi" w:hAnsiTheme="minorHAnsi" w:cstheme="minorHAnsi"/>
          <w:sz w:val="16"/>
          <w:szCs w:val="16"/>
        </w:rPr>
        <w:t>Vol. 209 No. 6 pp. 261 – 266.</w:t>
      </w:r>
    </w:p>
  </w:footnote>
  <w:footnote w:id="10">
    <w:p w14:paraId="00B1A869" w14:textId="77777777" w:rsidR="00D930F7" w:rsidRPr="00F17564" w:rsidRDefault="00D930F7" w:rsidP="00506886">
      <w:pPr>
        <w:pStyle w:val="FootnoteText"/>
        <w:rPr>
          <w:lang w:val="en-AU"/>
        </w:rPr>
      </w:pPr>
      <w:r w:rsidRPr="003A517E">
        <w:rPr>
          <w:rStyle w:val="FootnoteReference"/>
          <w:rFonts w:asciiTheme="minorHAnsi" w:hAnsiTheme="minorHAnsi" w:cstheme="minorHAnsi"/>
          <w:sz w:val="16"/>
          <w:szCs w:val="16"/>
        </w:rPr>
        <w:footnoteRef/>
      </w:r>
      <w:r w:rsidRPr="003A517E">
        <w:rPr>
          <w:rFonts w:asciiTheme="minorHAnsi" w:hAnsiTheme="minorHAnsi" w:cstheme="minorHAnsi"/>
          <w:sz w:val="16"/>
          <w:szCs w:val="16"/>
        </w:rPr>
        <w:t xml:space="preserve"> </w:t>
      </w:r>
      <w:r>
        <w:rPr>
          <w:rFonts w:asciiTheme="minorHAnsi" w:hAnsiTheme="minorHAnsi" w:cstheme="minorHAnsi"/>
          <w:sz w:val="16"/>
          <w:szCs w:val="16"/>
        </w:rPr>
        <w:t>Ibid.</w:t>
      </w:r>
    </w:p>
  </w:footnote>
  <w:footnote w:id="11">
    <w:p w14:paraId="3A9682EF" w14:textId="77777777" w:rsidR="00D930F7" w:rsidRPr="00272028" w:rsidRDefault="00D930F7">
      <w:pPr>
        <w:pStyle w:val="FootnoteText"/>
        <w:rPr>
          <w:lang w:val="en-AU"/>
        </w:rPr>
      </w:pPr>
      <w:r w:rsidRPr="00272028">
        <w:rPr>
          <w:rStyle w:val="FootnoteReference"/>
          <w:rFonts w:asciiTheme="minorHAnsi" w:hAnsiTheme="minorHAnsi" w:cstheme="minorHAnsi"/>
          <w:sz w:val="16"/>
        </w:rPr>
        <w:footnoteRef/>
      </w:r>
      <w:r w:rsidRPr="00272028">
        <w:rPr>
          <w:rFonts w:asciiTheme="minorHAnsi" w:hAnsiTheme="minorHAnsi" w:cstheme="minorHAnsi"/>
          <w:sz w:val="16"/>
        </w:rPr>
        <w:t xml:space="preserve"> The Australian Organ and Tissue Donation and Transplantation Authority, “DonateLife Audit 2018” (received December 2018)</w:t>
      </w:r>
      <w:r>
        <w:rPr>
          <w:rFonts w:asciiTheme="minorHAnsi" w:hAnsiTheme="minorHAnsi" w:cstheme="minorHAnsi"/>
          <w:sz w:val="16"/>
        </w:rPr>
        <w:t xml:space="preserve">. </w:t>
      </w:r>
    </w:p>
  </w:footnote>
  <w:footnote w:id="12">
    <w:p w14:paraId="3B29ECE8" w14:textId="77777777" w:rsidR="00D930F7" w:rsidRPr="00EF2596" w:rsidRDefault="00D930F7" w:rsidP="00EF2596">
      <w:pPr>
        <w:widowControl/>
        <w:autoSpaceDE/>
        <w:autoSpaceDN/>
        <w:adjustRightInd/>
        <w:spacing w:after="0"/>
        <w:rPr>
          <w:rFonts w:ascii="Calibri" w:hAnsi="Calibri" w:cs="Calibri"/>
          <w:color w:val="000000"/>
          <w:sz w:val="16"/>
          <w:szCs w:val="16"/>
          <w:lang w:eastAsia="en-AU"/>
        </w:rPr>
      </w:pPr>
      <w:r w:rsidRPr="00447661">
        <w:rPr>
          <w:rStyle w:val="FootnoteReference"/>
          <w:rFonts w:asciiTheme="minorHAnsi" w:hAnsiTheme="minorHAnsi" w:cstheme="minorHAnsi"/>
          <w:sz w:val="16"/>
        </w:rPr>
        <w:footnoteRef/>
      </w:r>
      <w:r w:rsidRPr="00447661">
        <w:rPr>
          <w:rFonts w:asciiTheme="minorHAnsi" w:hAnsiTheme="minorHAnsi" w:cstheme="minorHAnsi"/>
          <w:sz w:val="16"/>
        </w:rPr>
        <w:t xml:space="preserve"> </w:t>
      </w:r>
      <w:r>
        <w:rPr>
          <w:rFonts w:asciiTheme="minorHAnsi" w:hAnsiTheme="minorHAnsi" w:cstheme="minorHAnsi"/>
          <w:sz w:val="16"/>
        </w:rPr>
        <w:t xml:space="preserve">Khanal N, </w:t>
      </w:r>
      <w:r>
        <w:rPr>
          <w:rFonts w:ascii="Calibri" w:hAnsi="Calibri" w:cs="Calibri"/>
          <w:color w:val="000000"/>
          <w:sz w:val="16"/>
          <w:szCs w:val="16"/>
          <w:lang w:eastAsia="en-AU"/>
        </w:rPr>
        <w:t>above n.8.</w:t>
      </w:r>
      <w:r w:rsidRPr="00813524">
        <w:rPr>
          <w:rFonts w:ascii="Calibri" w:hAnsi="Calibri" w:cs="Calibri"/>
          <w:color w:val="000000"/>
          <w:sz w:val="16"/>
          <w:szCs w:val="16"/>
          <w:lang w:eastAsia="en-AU"/>
        </w:rPr>
        <w:t xml:space="preserve"> </w:t>
      </w:r>
    </w:p>
  </w:footnote>
  <w:footnote w:id="13">
    <w:p w14:paraId="52725CAB"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Pr>
          <w:rFonts w:asciiTheme="minorHAnsi" w:hAnsiTheme="minorHAnsi" w:cstheme="minorHAnsi"/>
          <w:sz w:val="16"/>
          <w:szCs w:val="16"/>
        </w:rPr>
        <w:t xml:space="preserve">Australian Bureau of Statistics, 2017 </w:t>
      </w:r>
      <w:r>
        <w:rPr>
          <w:rFonts w:asciiTheme="minorHAnsi" w:hAnsiTheme="minorHAnsi" w:cstheme="minorHAnsi"/>
          <w:i/>
          <w:sz w:val="16"/>
          <w:szCs w:val="16"/>
          <w:lang w:val="en-AU"/>
        </w:rPr>
        <w:t xml:space="preserve">Regional Population Growth: Australia, 2016 – 17, </w:t>
      </w:r>
      <w:r>
        <w:rPr>
          <w:rFonts w:asciiTheme="minorHAnsi" w:hAnsiTheme="minorHAnsi" w:cstheme="minorHAnsi"/>
          <w:sz w:val="16"/>
          <w:szCs w:val="16"/>
          <w:lang w:val="en-AU"/>
        </w:rPr>
        <w:t>Catalogue No: 3218.0, Canberra, viewed October 2018 &lt;</w:t>
      </w:r>
      <w:r w:rsidRPr="00DE703D">
        <w:rPr>
          <w:rStyle w:val="Hyperlink"/>
          <w:rFonts w:asciiTheme="minorHAnsi" w:hAnsiTheme="minorHAnsi" w:cstheme="minorHAnsi"/>
          <w:color w:val="auto"/>
          <w:sz w:val="16"/>
          <w:szCs w:val="16"/>
          <w:u w:val="none"/>
          <w:lang w:val="en-AU"/>
        </w:rPr>
        <w:t>http://www.abs.gov.au/AUSSTATS/abs@.nsf/Lookup/3218.0Main+Features12016-17?OpenDocument</w:t>
      </w:r>
      <w:r w:rsidRPr="00DE703D">
        <w:rPr>
          <w:rFonts w:asciiTheme="minorHAnsi" w:hAnsiTheme="minorHAnsi" w:cstheme="minorHAnsi"/>
          <w:sz w:val="16"/>
          <w:szCs w:val="16"/>
          <w:lang w:val="en-AU"/>
        </w:rPr>
        <w:t>&gt;.</w:t>
      </w:r>
    </w:p>
  </w:footnote>
  <w:footnote w:id="14">
    <w:p w14:paraId="0859E48A"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sidRPr="00F913B6">
        <w:rPr>
          <w:rFonts w:asciiTheme="minorHAnsi" w:hAnsiTheme="minorHAnsi" w:cstheme="minorHAnsi"/>
          <w:sz w:val="16"/>
          <w:szCs w:val="16"/>
          <w:lang w:val="en-AU"/>
        </w:rPr>
        <w:t>Australian Institute of Health and Welfare, 2018, Australia’s Health 2018, Australia’s health series no. 16. AUS221, Canberra, viewed October 2018 &lt;https://www.aihw.gov.au/reports/australias-health/australias-health-2018/contents/table-of-contents&gt;.</w:t>
      </w:r>
    </w:p>
  </w:footnote>
  <w:footnote w:id="15">
    <w:p w14:paraId="7BA1427E" w14:textId="77777777" w:rsidR="00D930F7" w:rsidRPr="0068318F" w:rsidRDefault="00D930F7" w:rsidP="004332BF">
      <w:pPr>
        <w:pStyle w:val="FootnoteText"/>
        <w:rPr>
          <w:lang w:val="en-AU"/>
        </w:rPr>
      </w:pPr>
      <w:r w:rsidRPr="0068318F">
        <w:rPr>
          <w:rStyle w:val="FootnoteReference"/>
          <w:rFonts w:asciiTheme="minorHAnsi" w:hAnsiTheme="minorHAnsi" w:cstheme="minorHAnsi"/>
          <w:sz w:val="16"/>
          <w:szCs w:val="16"/>
        </w:rPr>
        <w:footnoteRef/>
      </w:r>
      <w:r w:rsidRPr="0068318F">
        <w:rPr>
          <w:rFonts w:asciiTheme="minorHAnsi" w:hAnsiTheme="minorHAnsi" w:cstheme="minorHAnsi"/>
          <w:sz w:val="16"/>
          <w:szCs w:val="16"/>
        </w:rPr>
        <w:t xml:space="preserve"> </w:t>
      </w:r>
      <w:r>
        <w:rPr>
          <w:rFonts w:asciiTheme="minorHAnsi" w:hAnsiTheme="minorHAnsi" w:cstheme="minorHAnsi"/>
          <w:sz w:val="16"/>
          <w:szCs w:val="16"/>
          <w:lang w:val="en-AU"/>
        </w:rPr>
        <w:t>Ibid; Australia and New Zealand Dialysis and Transplant Registry, “Remoteness Dialysis and Transplantation Data 2013 – 2016” (received September 2018).</w:t>
      </w:r>
    </w:p>
  </w:footnote>
  <w:footnote w:id="16">
    <w:p w14:paraId="7480DD19"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Pr>
          <w:rFonts w:asciiTheme="minorHAnsi" w:hAnsiTheme="minorHAnsi" w:cstheme="minorHAnsi"/>
          <w:sz w:val="16"/>
          <w:szCs w:val="16"/>
          <w:lang w:val="en-AU"/>
        </w:rPr>
        <w:t>Ibid.</w:t>
      </w:r>
    </w:p>
  </w:footnote>
  <w:footnote w:id="17">
    <w:p w14:paraId="0EAEF5B5" w14:textId="77777777" w:rsidR="00D930F7" w:rsidRPr="00043531" w:rsidRDefault="00D930F7">
      <w:pPr>
        <w:pStyle w:val="FootnoteText"/>
        <w:rPr>
          <w:rFonts w:asciiTheme="minorHAnsi" w:hAnsiTheme="minorHAnsi" w:cstheme="minorHAnsi"/>
          <w:sz w:val="16"/>
          <w:szCs w:val="16"/>
          <w:lang w:val="en-AU"/>
        </w:rPr>
      </w:pPr>
      <w:r w:rsidRPr="00043531">
        <w:rPr>
          <w:rStyle w:val="FootnoteReference"/>
          <w:rFonts w:asciiTheme="minorHAnsi" w:hAnsiTheme="minorHAnsi" w:cstheme="minorHAnsi"/>
          <w:sz w:val="16"/>
          <w:szCs w:val="16"/>
        </w:rPr>
        <w:footnoteRef/>
      </w:r>
      <w:r w:rsidRPr="00043531">
        <w:rPr>
          <w:rFonts w:asciiTheme="minorHAnsi" w:hAnsiTheme="minorHAnsi" w:cstheme="minorHAnsi"/>
          <w:sz w:val="16"/>
          <w:szCs w:val="16"/>
        </w:rPr>
        <w:t xml:space="preserve"> </w:t>
      </w:r>
      <w:r>
        <w:rPr>
          <w:rFonts w:asciiTheme="minorHAnsi" w:hAnsiTheme="minorHAnsi" w:cstheme="minorHAnsi"/>
          <w:sz w:val="16"/>
          <w:szCs w:val="16"/>
          <w:lang w:val="en-AU"/>
        </w:rPr>
        <w:t>The Australian Organ and Tissue Donation and Transplantation Authority, “Dialysis and Transplant Numbers per state by Remoteness” (received October 2018).</w:t>
      </w:r>
    </w:p>
  </w:footnote>
  <w:footnote w:id="18">
    <w:p w14:paraId="6914CA56"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Pr>
          <w:rFonts w:asciiTheme="minorHAnsi" w:hAnsiTheme="minorHAnsi" w:cstheme="minorHAnsi"/>
          <w:sz w:val="16"/>
          <w:szCs w:val="16"/>
        </w:rPr>
        <w:t>The Transplantation Society of Australia and New Zealand, 2017, above n.1.</w:t>
      </w:r>
    </w:p>
  </w:footnote>
  <w:footnote w:id="19">
    <w:p w14:paraId="5DA33E2D" w14:textId="77777777" w:rsidR="00D930F7" w:rsidRPr="00EF2596" w:rsidRDefault="00D930F7" w:rsidP="00EF2596">
      <w:pPr>
        <w:widowControl/>
        <w:autoSpaceDE/>
        <w:autoSpaceDN/>
        <w:adjustRightInd/>
        <w:spacing w:after="0"/>
        <w:rPr>
          <w:rFonts w:ascii="Calibri" w:hAnsi="Calibri" w:cs="Calibri"/>
          <w:color w:val="000000"/>
          <w:sz w:val="16"/>
          <w:szCs w:val="16"/>
          <w:lang w:eastAsia="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sidRPr="00695027">
        <w:rPr>
          <w:rFonts w:ascii="Calibri" w:hAnsi="Calibri" w:cs="Calibri"/>
          <w:color w:val="000000"/>
          <w:sz w:val="16"/>
          <w:szCs w:val="16"/>
          <w:lang w:val="en-US" w:eastAsia="en-AU"/>
        </w:rPr>
        <w:t>U.S. Nat</w:t>
      </w:r>
      <w:r>
        <w:rPr>
          <w:rFonts w:ascii="Calibri" w:hAnsi="Calibri" w:cs="Calibri"/>
          <w:color w:val="000000"/>
          <w:sz w:val="16"/>
          <w:szCs w:val="16"/>
          <w:lang w:val="en-US" w:eastAsia="en-AU"/>
        </w:rPr>
        <w:t>ional Library of Medicine, 2018 above n.2.</w:t>
      </w:r>
    </w:p>
  </w:footnote>
  <w:footnote w:id="20">
    <w:p w14:paraId="5A9524A1" w14:textId="77777777" w:rsidR="00D930F7" w:rsidRPr="00447661" w:rsidRDefault="00D930F7">
      <w:pPr>
        <w:pStyle w:val="FootnoteText"/>
        <w:rPr>
          <w:rFonts w:asciiTheme="minorHAnsi" w:hAnsiTheme="minorHAnsi" w:cstheme="minorHAnsi"/>
          <w:sz w:val="16"/>
          <w:lang w:val="en-AU"/>
        </w:rPr>
      </w:pPr>
      <w:r w:rsidRPr="00447661">
        <w:rPr>
          <w:rStyle w:val="FootnoteReference"/>
          <w:rFonts w:asciiTheme="minorHAnsi" w:hAnsiTheme="minorHAnsi" w:cstheme="minorHAnsi"/>
          <w:sz w:val="16"/>
        </w:rPr>
        <w:footnoteRef/>
      </w:r>
      <w:r w:rsidRPr="00447661">
        <w:rPr>
          <w:rFonts w:asciiTheme="minorHAnsi" w:hAnsiTheme="minorHAnsi" w:cstheme="minorHAnsi"/>
          <w:sz w:val="16"/>
        </w:rPr>
        <w:t xml:space="preserve"> </w:t>
      </w:r>
      <w:r w:rsidRPr="00F913B6">
        <w:rPr>
          <w:rFonts w:asciiTheme="minorHAnsi" w:hAnsiTheme="minorHAnsi" w:cstheme="minorHAnsi"/>
          <w:i/>
          <w:sz w:val="16"/>
        </w:rPr>
        <w:t xml:space="preserve">Explanatory Memorandum, </w:t>
      </w:r>
      <w:r w:rsidRPr="00F913B6">
        <w:rPr>
          <w:rFonts w:asciiTheme="minorHAnsi" w:hAnsiTheme="minorHAnsi" w:cstheme="minorHAnsi"/>
          <w:i/>
          <w:sz w:val="16"/>
          <w:lang w:val="en-AU"/>
        </w:rPr>
        <w:t>Australia Organ and Tissue Donation and Transplantation Authority Bill 2008</w:t>
      </w:r>
      <w:r>
        <w:rPr>
          <w:rFonts w:asciiTheme="minorHAnsi" w:hAnsiTheme="minorHAnsi" w:cstheme="minorHAnsi"/>
          <w:sz w:val="16"/>
          <w:lang w:val="en-AU"/>
        </w:rPr>
        <w:t xml:space="preserve"> (Cth).</w:t>
      </w:r>
    </w:p>
  </w:footnote>
  <w:footnote w:id="21">
    <w:p w14:paraId="26AB1DFD" w14:textId="77777777" w:rsidR="00D930F7" w:rsidRPr="00F17564" w:rsidRDefault="00D930F7" w:rsidP="00EF2596">
      <w:pPr>
        <w:spacing w:before="40" w:after="40"/>
      </w:pPr>
      <w:r w:rsidRPr="00447661">
        <w:rPr>
          <w:rStyle w:val="FootnoteReference"/>
          <w:rFonts w:asciiTheme="minorHAnsi" w:hAnsiTheme="minorHAnsi" w:cstheme="minorHAnsi"/>
          <w:sz w:val="16"/>
        </w:rPr>
        <w:footnoteRef/>
      </w:r>
      <w:r w:rsidRPr="00447661">
        <w:rPr>
          <w:rFonts w:asciiTheme="minorHAnsi" w:hAnsiTheme="minorHAnsi" w:cstheme="minorHAnsi"/>
          <w:sz w:val="18"/>
        </w:rPr>
        <w:t xml:space="preserve"> </w:t>
      </w:r>
      <w:r w:rsidRPr="00DE703D">
        <w:rPr>
          <w:rFonts w:ascii="Calibri" w:hAnsi="Calibri" w:cs="Calibri"/>
          <w:color w:val="000000"/>
          <w:sz w:val="16"/>
          <w:szCs w:val="16"/>
          <w:lang w:eastAsia="en-AU"/>
        </w:rPr>
        <w:t>The Australian Organ and Tissue Donation and Transplantation Authority,</w:t>
      </w:r>
      <w:r>
        <w:rPr>
          <w:rFonts w:ascii="Calibri" w:hAnsi="Calibri" w:cs="Calibri"/>
          <w:color w:val="000000"/>
          <w:sz w:val="16"/>
          <w:szCs w:val="16"/>
          <w:lang w:eastAsia="en-AU"/>
        </w:rPr>
        <w:t xml:space="preserve"> 2017,</w:t>
      </w:r>
      <w:r w:rsidRPr="00DE703D">
        <w:rPr>
          <w:rFonts w:ascii="Calibri" w:hAnsi="Calibri" w:cs="Calibri"/>
          <w:color w:val="000000"/>
          <w:sz w:val="16"/>
          <w:szCs w:val="16"/>
          <w:lang w:eastAsia="en-AU"/>
        </w:rPr>
        <w:t xml:space="preserve"> </w:t>
      </w:r>
      <w:r>
        <w:rPr>
          <w:rFonts w:ascii="Calibri" w:hAnsi="Calibri" w:cs="Calibri"/>
          <w:color w:val="000000"/>
          <w:sz w:val="16"/>
          <w:szCs w:val="16"/>
          <w:lang w:eastAsia="en-AU"/>
        </w:rPr>
        <w:t>above n.3.</w:t>
      </w:r>
    </w:p>
  </w:footnote>
  <w:footnote w:id="22">
    <w:p w14:paraId="0DAA4329" w14:textId="77777777" w:rsidR="00D930F7" w:rsidRPr="00EF2596" w:rsidRDefault="00D930F7" w:rsidP="00EF2596">
      <w:pPr>
        <w:widowControl/>
        <w:autoSpaceDE/>
        <w:autoSpaceDN/>
        <w:adjustRightInd/>
        <w:spacing w:after="0"/>
        <w:rPr>
          <w:rFonts w:ascii="Calibri" w:hAnsi="Calibri" w:cs="Calibri"/>
          <w:i/>
          <w:iCs/>
          <w:color w:val="000000"/>
          <w:sz w:val="16"/>
          <w:szCs w:val="16"/>
          <w:lang w:eastAsia="en-AU"/>
        </w:rPr>
      </w:pPr>
      <w:r w:rsidRPr="00447661">
        <w:rPr>
          <w:rStyle w:val="FootnoteReference"/>
          <w:rFonts w:asciiTheme="minorHAnsi" w:hAnsiTheme="minorHAnsi" w:cstheme="minorHAnsi"/>
          <w:sz w:val="16"/>
        </w:rPr>
        <w:footnoteRef/>
      </w:r>
      <w:r w:rsidRPr="00447661">
        <w:rPr>
          <w:rFonts w:asciiTheme="minorHAnsi" w:hAnsiTheme="minorHAnsi" w:cstheme="minorHAnsi"/>
          <w:sz w:val="16"/>
        </w:rPr>
        <w:t xml:space="preserve"> </w:t>
      </w:r>
      <w:r>
        <w:rPr>
          <w:rFonts w:ascii="Calibri" w:hAnsi="Calibri" w:cs="Calibri"/>
          <w:iCs/>
          <w:color w:val="000000"/>
          <w:sz w:val="16"/>
          <w:szCs w:val="16"/>
          <w:lang w:eastAsia="en-AU"/>
        </w:rPr>
        <w:t>ABC Radio, 2017, above n.4.</w:t>
      </w:r>
    </w:p>
  </w:footnote>
  <w:footnote w:id="23">
    <w:p w14:paraId="57DF43F9" w14:textId="77777777" w:rsidR="00D930F7" w:rsidRPr="00A200D7" w:rsidRDefault="00D930F7">
      <w:pPr>
        <w:pStyle w:val="FootnoteText"/>
        <w:rPr>
          <w:rFonts w:asciiTheme="minorHAnsi" w:hAnsiTheme="minorHAnsi" w:cstheme="minorHAnsi"/>
          <w:sz w:val="16"/>
          <w:szCs w:val="16"/>
          <w:lang w:val="en-AU"/>
        </w:rPr>
      </w:pPr>
      <w:r w:rsidRPr="00A200D7">
        <w:rPr>
          <w:rStyle w:val="FootnoteReference"/>
          <w:rFonts w:asciiTheme="minorHAnsi" w:hAnsiTheme="minorHAnsi" w:cstheme="minorHAnsi"/>
          <w:sz w:val="16"/>
          <w:szCs w:val="16"/>
        </w:rPr>
        <w:footnoteRef/>
      </w:r>
      <w:r w:rsidRPr="00A200D7">
        <w:rPr>
          <w:rFonts w:asciiTheme="minorHAnsi" w:hAnsiTheme="minorHAnsi" w:cstheme="minorHAnsi"/>
          <w:sz w:val="16"/>
          <w:szCs w:val="16"/>
        </w:rPr>
        <w:t xml:space="preserve"> </w:t>
      </w:r>
      <w:r w:rsidRPr="00A200D7">
        <w:rPr>
          <w:rFonts w:asciiTheme="minorHAnsi" w:hAnsiTheme="minorHAnsi" w:cstheme="minorHAnsi"/>
          <w:sz w:val="16"/>
          <w:szCs w:val="16"/>
          <w:lang w:val="en-AU"/>
        </w:rPr>
        <w:t>Ibid.</w:t>
      </w:r>
    </w:p>
  </w:footnote>
  <w:footnote w:id="24">
    <w:p w14:paraId="2B3F9D9F" w14:textId="77777777" w:rsidR="00D930F7" w:rsidRPr="00F913B6" w:rsidRDefault="00D930F7" w:rsidP="00695027">
      <w:pPr>
        <w:widowControl/>
        <w:autoSpaceDE/>
        <w:autoSpaceDN/>
        <w:adjustRightInd/>
        <w:spacing w:after="0"/>
        <w:rPr>
          <w:rFonts w:ascii="Calibri" w:hAnsi="Calibri" w:cs="Calibri"/>
          <w:iCs/>
          <w:color w:val="000000"/>
          <w:sz w:val="16"/>
          <w:szCs w:val="16"/>
          <w:lang w:eastAsia="en-AU"/>
        </w:rPr>
      </w:pPr>
      <w:r w:rsidRPr="00447661">
        <w:rPr>
          <w:rStyle w:val="FootnoteReference"/>
          <w:rFonts w:asciiTheme="minorHAnsi" w:hAnsiTheme="minorHAnsi" w:cstheme="minorHAnsi"/>
          <w:sz w:val="16"/>
        </w:rPr>
        <w:footnoteRef/>
      </w:r>
      <w:r w:rsidRPr="00447661">
        <w:rPr>
          <w:rFonts w:asciiTheme="minorHAnsi" w:hAnsiTheme="minorHAnsi" w:cstheme="minorHAnsi"/>
          <w:sz w:val="16"/>
        </w:rPr>
        <w:t xml:space="preserve"> </w:t>
      </w:r>
      <w:r>
        <w:rPr>
          <w:rFonts w:ascii="Calibri" w:hAnsi="Calibri" w:cs="Calibri"/>
          <w:iCs/>
          <w:color w:val="000000"/>
          <w:sz w:val="16"/>
          <w:szCs w:val="16"/>
          <w:lang w:eastAsia="en-AU"/>
        </w:rPr>
        <w:t>Ibid.</w:t>
      </w:r>
    </w:p>
    <w:p w14:paraId="428EA165" w14:textId="77777777" w:rsidR="00D930F7" w:rsidRPr="00F17564" w:rsidRDefault="00D930F7">
      <w:pPr>
        <w:pStyle w:val="FootnoteText"/>
        <w:rPr>
          <w:lang w:val="en-AU"/>
        </w:rPr>
      </w:pPr>
    </w:p>
  </w:footnote>
  <w:footnote w:id="25">
    <w:p w14:paraId="74D28837" w14:textId="77777777" w:rsidR="00D930F7" w:rsidRPr="00EF2596" w:rsidRDefault="00D930F7" w:rsidP="00B46DA0">
      <w:pPr>
        <w:pStyle w:val="FootnoteText"/>
        <w:rPr>
          <w:rFonts w:asciiTheme="minorHAnsi" w:hAnsiTheme="minorHAnsi" w:cstheme="minorHAnsi"/>
          <w: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Pr>
          <w:rFonts w:asciiTheme="minorHAnsi" w:hAnsiTheme="minorHAnsi" w:cstheme="minorHAnsi"/>
          <w:sz w:val="16"/>
          <w:szCs w:val="16"/>
          <w:lang w:val="en-AU"/>
        </w:rPr>
        <w:t>Ernst and Young</w:t>
      </w:r>
      <w:r w:rsidRPr="00EF2596">
        <w:rPr>
          <w:rFonts w:asciiTheme="minorHAnsi" w:hAnsiTheme="minorHAnsi" w:cstheme="minorHAnsi"/>
          <w:sz w:val="16"/>
          <w:szCs w:val="16"/>
          <w:lang w:val="en-AU"/>
        </w:rPr>
        <w:t xml:space="preserve">, 2015, </w:t>
      </w:r>
      <w:r w:rsidRPr="00EF2596">
        <w:rPr>
          <w:rFonts w:asciiTheme="minorHAnsi" w:hAnsiTheme="minorHAnsi" w:cstheme="minorHAnsi"/>
          <w:i/>
          <w:sz w:val="16"/>
          <w:szCs w:val="16"/>
          <w:lang w:val="en-AU"/>
        </w:rPr>
        <w:t xml:space="preserve">Review of the implementation of </w:t>
      </w:r>
      <w:r w:rsidRPr="00EF2596">
        <w:rPr>
          <w:rFonts w:asciiTheme="minorHAnsi" w:hAnsiTheme="minorHAnsi" w:cstheme="minorHAnsi"/>
          <w:i/>
          <w:color w:val="000000" w:themeColor="text1"/>
          <w:sz w:val="16"/>
          <w:szCs w:val="16"/>
        </w:rPr>
        <w:t>the national reform agenda on organ and tissue donation and transplantation</w:t>
      </w:r>
      <w:r w:rsidRPr="00EF2596">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 xml:space="preserve">Australian Government Department of Health, Canberra, </w:t>
      </w:r>
      <w:r w:rsidRPr="00EF2596">
        <w:rPr>
          <w:rFonts w:asciiTheme="minorHAnsi" w:hAnsiTheme="minorHAnsi" w:cstheme="minorHAnsi"/>
          <w:color w:val="000000" w:themeColor="text1"/>
          <w:sz w:val="16"/>
          <w:szCs w:val="16"/>
        </w:rPr>
        <w:t xml:space="preserve">viewed June 2018, </w:t>
      </w:r>
      <w:r w:rsidRPr="00BF7443">
        <w:rPr>
          <w:rFonts w:asciiTheme="minorHAnsi" w:hAnsiTheme="minorHAnsi" w:cstheme="minorHAnsi"/>
          <w:sz w:val="16"/>
          <w:szCs w:val="16"/>
        </w:rPr>
        <w:t>&lt;</w:t>
      </w:r>
      <w:r w:rsidRPr="00BF7443">
        <w:rPr>
          <w:rStyle w:val="Hyperlink"/>
          <w:rFonts w:asciiTheme="minorHAnsi" w:hAnsiTheme="minorHAnsi" w:cstheme="minorHAnsi"/>
          <w:color w:val="auto"/>
          <w:sz w:val="16"/>
          <w:szCs w:val="16"/>
          <w:u w:val="none"/>
        </w:rPr>
        <w:t>https://www.health.gov.au/internet/main/publishing.nsf/Content/B3432FD1002E6DC5CA257FB1001C4622/$File/Review%20of%20the%20implementation%20of%20the%20national%20reform%20agenda%20on%20organ%20and%20tissue%20donation%20and%20transplantation.pdf</w:t>
      </w:r>
      <w:r w:rsidRPr="00BF7443">
        <w:rPr>
          <w:rFonts w:asciiTheme="minorHAnsi" w:hAnsiTheme="minorHAnsi" w:cstheme="minorHAnsi"/>
          <w:sz w:val="16"/>
          <w:szCs w:val="16"/>
        </w:rPr>
        <w:t>&gt;.</w:t>
      </w:r>
    </w:p>
  </w:footnote>
  <w:footnote w:id="26">
    <w:p w14:paraId="4BC08EBB" w14:textId="77777777" w:rsidR="00D930F7" w:rsidRPr="00323A35" w:rsidRDefault="00D930F7" w:rsidP="00B46DA0">
      <w:pPr>
        <w:pStyle w:val="FootnoteText"/>
        <w:rPr>
          <w:rFonts w:asciiTheme="minorHAnsi" w:hAnsiTheme="minorHAnsi" w:cstheme="minorHAnsi"/>
          <w:sz w:val="16"/>
          <w:szCs w:val="16"/>
          <w:lang w:val="en-AU"/>
        </w:rPr>
      </w:pPr>
      <w:r w:rsidRPr="00323A35">
        <w:rPr>
          <w:rStyle w:val="FootnoteReference"/>
          <w:rFonts w:asciiTheme="minorHAnsi" w:hAnsiTheme="minorHAnsi" w:cstheme="minorHAnsi"/>
          <w:sz w:val="16"/>
          <w:szCs w:val="16"/>
        </w:rPr>
        <w:footnoteRef/>
      </w:r>
      <w:r w:rsidRPr="00323A35">
        <w:rPr>
          <w:rFonts w:asciiTheme="minorHAnsi" w:hAnsiTheme="minorHAnsi" w:cstheme="minorHAnsi"/>
          <w:sz w:val="16"/>
          <w:szCs w:val="16"/>
        </w:rPr>
        <w:t xml:space="preserve"> </w:t>
      </w:r>
      <w:r>
        <w:rPr>
          <w:rFonts w:asciiTheme="minorHAnsi" w:hAnsiTheme="minorHAnsi" w:cstheme="minorHAnsi"/>
          <w:sz w:val="16"/>
          <w:szCs w:val="16"/>
        </w:rPr>
        <w:t xml:space="preserve">Ibid. </w:t>
      </w:r>
      <w:r>
        <w:rPr>
          <w:rFonts w:asciiTheme="minorHAnsi" w:hAnsiTheme="minorHAnsi" w:cstheme="minorHAnsi"/>
          <w:sz w:val="16"/>
          <w:szCs w:val="16"/>
          <w:lang w:val="en-AU"/>
        </w:rPr>
        <w:t xml:space="preserve"> </w:t>
      </w:r>
    </w:p>
  </w:footnote>
  <w:footnote w:id="27">
    <w:p w14:paraId="35307360" w14:textId="77777777" w:rsidR="00D930F7" w:rsidRPr="00EF2596" w:rsidRDefault="00D930F7" w:rsidP="00B46DA0">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The Australian Organ and Tissue Donation and Transplantation Authority, 201</w:t>
      </w:r>
      <w:r>
        <w:rPr>
          <w:rFonts w:asciiTheme="minorHAnsi" w:hAnsiTheme="minorHAnsi" w:cstheme="minorHAnsi"/>
          <w:sz w:val="16"/>
          <w:szCs w:val="16"/>
        </w:rPr>
        <w:t>8</w:t>
      </w:r>
      <w:r w:rsidRPr="00EF2596">
        <w:rPr>
          <w:rFonts w:asciiTheme="minorHAnsi" w:hAnsiTheme="minorHAnsi" w:cstheme="minorHAnsi"/>
          <w:sz w:val="16"/>
          <w:szCs w:val="16"/>
        </w:rPr>
        <w:t xml:space="preserve">, </w:t>
      </w:r>
      <w:r w:rsidRPr="00EF2596">
        <w:rPr>
          <w:rFonts w:asciiTheme="minorHAnsi" w:hAnsiTheme="minorHAnsi" w:cstheme="minorHAnsi"/>
          <w:i/>
          <w:color w:val="000000" w:themeColor="text1"/>
          <w:sz w:val="16"/>
          <w:szCs w:val="16"/>
        </w:rPr>
        <w:t>201</w:t>
      </w:r>
      <w:r>
        <w:rPr>
          <w:rFonts w:asciiTheme="minorHAnsi" w:hAnsiTheme="minorHAnsi" w:cstheme="minorHAnsi"/>
          <w:i/>
          <w:color w:val="000000" w:themeColor="text1"/>
          <w:sz w:val="16"/>
          <w:szCs w:val="16"/>
        </w:rPr>
        <w:t>8</w:t>
      </w:r>
      <w:r w:rsidRPr="00EF2596">
        <w:rPr>
          <w:rFonts w:asciiTheme="minorHAnsi" w:hAnsiTheme="minorHAnsi" w:cstheme="minorHAnsi"/>
          <w:i/>
          <w:color w:val="000000" w:themeColor="text1"/>
          <w:sz w:val="16"/>
          <w:szCs w:val="16"/>
        </w:rPr>
        <w:t>-202</w:t>
      </w:r>
      <w:r>
        <w:rPr>
          <w:rFonts w:asciiTheme="minorHAnsi" w:hAnsiTheme="minorHAnsi" w:cstheme="minorHAnsi"/>
          <w:i/>
          <w:color w:val="000000" w:themeColor="text1"/>
          <w:sz w:val="16"/>
          <w:szCs w:val="16"/>
        </w:rPr>
        <w:t>2</w:t>
      </w:r>
      <w:r w:rsidRPr="00EF2596">
        <w:rPr>
          <w:rFonts w:asciiTheme="minorHAnsi" w:hAnsiTheme="minorHAnsi" w:cstheme="minorHAnsi"/>
          <w:i/>
          <w:color w:val="000000" w:themeColor="text1"/>
          <w:sz w:val="16"/>
          <w:szCs w:val="16"/>
        </w:rPr>
        <w:t xml:space="preserve"> OTA Strategic Plan: Progressing Australian organ and tissue donation and transplantation to 202</w:t>
      </w:r>
      <w:r>
        <w:rPr>
          <w:rFonts w:asciiTheme="minorHAnsi" w:hAnsiTheme="minorHAnsi" w:cstheme="minorHAnsi"/>
          <w:i/>
          <w:color w:val="000000" w:themeColor="text1"/>
          <w:sz w:val="16"/>
          <w:szCs w:val="16"/>
        </w:rPr>
        <w:t>2</w:t>
      </w:r>
      <w:r w:rsidRPr="00EF2596">
        <w:rPr>
          <w:rFonts w:asciiTheme="minorHAnsi" w:hAnsiTheme="minorHAnsi" w:cstheme="minorHAnsi"/>
          <w:sz w:val="16"/>
          <w:szCs w:val="16"/>
        </w:rPr>
        <w:t>, viewed July 2018, &lt;https://donatelife.gov.au/sites/default/files/OTA%202017-18%20Strategic%20Plan.pdf&gt;.</w:t>
      </w:r>
    </w:p>
  </w:footnote>
  <w:footnote w:id="28">
    <w:p w14:paraId="1EC702BE" w14:textId="77777777" w:rsidR="00D930F7" w:rsidRPr="00EF2596" w:rsidRDefault="00D930F7" w:rsidP="00B46DA0">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sidRPr="00100A57">
        <w:rPr>
          <w:rFonts w:asciiTheme="minorHAnsi" w:hAnsiTheme="minorHAnsi" w:cstheme="minorHAnsi"/>
          <w:sz w:val="16"/>
          <w:szCs w:val="16"/>
        </w:rPr>
        <w:t>The Australian Organ and Tissue Donation and Transplantation Authority, “2015 EY Review – Implementation of the recommendations” (received September 2018).</w:t>
      </w:r>
    </w:p>
  </w:footnote>
  <w:footnote w:id="29">
    <w:p w14:paraId="53C0F6D5" w14:textId="77777777" w:rsidR="00D930F7" w:rsidRPr="00F17564" w:rsidRDefault="00D930F7" w:rsidP="00B46DA0">
      <w:pPr>
        <w:pStyle w:val="FootnoteText"/>
        <w:rPr>
          <w:rFonts w:asciiTheme="minorHAnsi" w:hAnsiTheme="minorHAnsi" w:cstheme="minorHAnsi"/>
          <w:lang w:val="en-AU"/>
        </w:rPr>
      </w:pPr>
      <w:r w:rsidRPr="003A038E">
        <w:rPr>
          <w:rStyle w:val="FootnoteReference"/>
          <w:rFonts w:asciiTheme="minorHAnsi" w:hAnsiTheme="minorHAnsi" w:cstheme="minorHAnsi"/>
          <w:sz w:val="16"/>
          <w:szCs w:val="16"/>
        </w:rPr>
        <w:footnoteRef/>
      </w:r>
      <w:r w:rsidRPr="00142622">
        <w:rPr>
          <w:rFonts w:asciiTheme="minorHAnsi" w:hAnsiTheme="minorHAnsi" w:cstheme="minorHAnsi"/>
          <w:sz w:val="16"/>
          <w:szCs w:val="16"/>
        </w:rPr>
        <w:t xml:space="preserve"> Note: </w:t>
      </w:r>
      <w:r w:rsidRPr="00142622">
        <w:rPr>
          <w:rFonts w:asciiTheme="minorHAnsi" w:hAnsiTheme="minorHAnsi" w:cstheme="minorHAnsi"/>
          <w:spacing w:val="-2"/>
          <w:sz w:val="16"/>
          <w:szCs w:val="16"/>
        </w:rPr>
        <w:t>The system functionality has the capacity to improve allocation algorithms in elements such as survival matching, improved immunological matching and specific donor registries (e.g. Hepatitis C positive donors, increased viral risk donors). Post-implementation, the Commonwealth and Jurisdictions have agreed to optimise the f</w:t>
      </w:r>
      <w:r w:rsidRPr="00EF2596">
        <w:rPr>
          <w:rFonts w:asciiTheme="minorHAnsi" w:hAnsiTheme="minorHAnsi" w:cstheme="minorHAnsi"/>
          <w:spacing w:val="-2"/>
          <w:sz w:val="16"/>
          <w:szCs w:val="16"/>
        </w:rPr>
        <w:t>unctionality of OrganMatch to enhance patient outcomes.</w:t>
      </w:r>
    </w:p>
  </w:footnote>
  <w:footnote w:id="30">
    <w:p w14:paraId="2CCA31FB" w14:textId="77777777" w:rsidR="00D930F7" w:rsidRPr="00447661" w:rsidRDefault="00D930F7" w:rsidP="00B46DA0">
      <w:pPr>
        <w:pStyle w:val="OTABodycopy"/>
        <w:spacing w:after="0" w:line="240" w:lineRule="auto"/>
        <w:rPr>
          <w:rFonts w:asciiTheme="minorHAnsi" w:hAnsiTheme="minorHAnsi" w:cstheme="minorHAnsi"/>
          <w:sz w:val="16"/>
          <w:szCs w:val="16"/>
        </w:rPr>
      </w:pPr>
      <w:r w:rsidRPr="00447661">
        <w:rPr>
          <w:rStyle w:val="FootnoteReference"/>
          <w:rFonts w:asciiTheme="minorHAnsi" w:hAnsiTheme="minorHAnsi" w:cstheme="minorHAnsi"/>
          <w:sz w:val="16"/>
          <w:szCs w:val="16"/>
        </w:rPr>
        <w:footnoteRef/>
      </w:r>
      <w:r w:rsidRPr="00447661">
        <w:rPr>
          <w:rFonts w:asciiTheme="minorHAnsi" w:hAnsiTheme="minorHAnsi" w:cstheme="minorHAnsi"/>
          <w:sz w:val="16"/>
          <w:szCs w:val="16"/>
        </w:rPr>
        <w:t xml:space="preserve"> </w:t>
      </w:r>
      <w:r>
        <w:rPr>
          <w:rFonts w:asciiTheme="minorHAnsi" w:hAnsiTheme="minorHAnsi" w:cstheme="minorHAnsi"/>
          <w:sz w:val="16"/>
          <w:szCs w:val="16"/>
        </w:rPr>
        <w:t xml:space="preserve">Note: </w:t>
      </w:r>
      <w:r w:rsidRPr="00447661">
        <w:rPr>
          <w:rFonts w:asciiTheme="minorHAnsi" w:hAnsiTheme="minorHAnsi" w:cstheme="minorHAnsi"/>
          <w:sz w:val="16"/>
          <w:szCs w:val="16"/>
        </w:rPr>
        <w:t>Initial funding for posthumous organ donation activity, including retrieval was applied in 2016 through an increased price weight for the NEP for transplant activity by approximately 2%. In 2017 of the 1,467 transplanted organs retrieved 732 (50%) were not retrieved by the transplanting unit. 20% of all retrievals are undertaken by a team from a different state to the transplant</w:t>
      </w:r>
      <w:r>
        <w:rPr>
          <w:rFonts w:asciiTheme="minorHAnsi" w:hAnsiTheme="minorHAnsi" w:cstheme="minorHAnsi"/>
          <w:sz w:val="16"/>
          <w:szCs w:val="16"/>
        </w:rPr>
        <w:t>ation</w:t>
      </w:r>
      <w:r w:rsidRPr="00447661">
        <w:rPr>
          <w:rFonts w:asciiTheme="minorHAnsi" w:hAnsiTheme="minorHAnsi" w:cstheme="minorHAnsi"/>
          <w:sz w:val="16"/>
          <w:szCs w:val="16"/>
        </w:rPr>
        <w:t xml:space="preserve"> unit.</w:t>
      </w:r>
      <w:r w:rsidRPr="00B91EB3">
        <w:rPr>
          <w:rFonts w:asciiTheme="minorHAnsi" w:hAnsiTheme="minorHAnsi" w:cstheme="minorHAnsi"/>
          <w:sz w:val="16"/>
          <w:szCs w:val="16"/>
        </w:rPr>
        <w:t xml:space="preserve"> </w:t>
      </w:r>
      <w:r w:rsidRPr="00447661">
        <w:rPr>
          <w:rFonts w:asciiTheme="minorHAnsi" w:hAnsiTheme="minorHAnsi" w:cstheme="minorHAnsi"/>
          <w:sz w:val="16"/>
          <w:szCs w:val="16"/>
        </w:rPr>
        <w:t>There are also a number of cases where resources and costs are incurred in working up the donor but no retrieval surgery subsequently occurs. In 2017 this occurred in 132 cases (21%)</w:t>
      </w:r>
      <w:r>
        <w:rPr>
          <w:rFonts w:asciiTheme="minorHAnsi" w:hAnsiTheme="minorHAnsi" w:cstheme="minorHAnsi"/>
          <w:sz w:val="16"/>
          <w:szCs w:val="16"/>
        </w:rPr>
        <w:t xml:space="preserve">. </w:t>
      </w:r>
      <w:r w:rsidRPr="00447661">
        <w:rPr>
          <w:rFonts w:asciiTheme="minorHAnsi" w:hAnsiTheme="minorHAnsi" w:cstheme="minorHAnsi"/>
          <w:sz w:val="16"/>
          <w:szCs w:val="16"/>
        </w:rPr>
        <w:t>In 2017 there were also 104 organs retrieved but not transplanted due to the medical suitability of the organ for transplant.</w:t>
      </w:r>
      <w:r w:rsidRPr="00B91EB3">
        <w:rPr>
          <w:rFonts w:asciiTheme="minorHAnsi" w:hAnsiTheme="minorHAnsi" w:cstheme="minorHAnsi"/>
          <w:sz w:val="16"/>
          <w:szCs w:val="16"/>
        </w:rPr>
        <w:t xml:space="preserve"> </w:t>
      </w:r>
    </w:p>
    <w:p w14:paraId="63EC3389" w14:textId="5D8B2F10" w:rsidR="00D930F7" w:rsidRPr="00447661" w:rsidRDefault="00D930F7" w:rsidP="00B46DA0">
      <w:pPr>
        <w:pStyle w:val="FootnoteText"/>
        <w:rPr>
          <w:rFonts w:asciiTheme="minorHAnsi" w:hAnsiTheme="minorHAnsi" w:cstheme="minorHAnsi"/>
          <w:sz w:val="16"/>
          <w:szCs w:val="16"/>
          <w:lang w:val="en-AU"/>
        </w:rPr>
      </w:pPr>
      <w:r w:rsidRPr="00447661">
        <w:rPr>
          <w:rFonts w:asciiTheme="minorHAnsi" w:hAnsiTheme="minorHAnsi" w:cstheme="minorHAnsi"/>
          <w:sz w:val="16"/>
          <w:szCs w:val="16"/>
        </w:rPr>
        <w:t>IHPA have also identified inconsistent reporting of posthumous organ procurement activity across jurisdictions AIHW is looking at reviewing definitions of care type to inform how best to recognise when posthumous care types are applied and also a review of application in circulatory death cases.</w:t>
      </w:r>
    </w:p>
  </w:footnote>
  <w:footnote w:id="31">
    <w:p w14:paraId="7782084D" w14:textId="77777777" w:rsidR="00D930F7" w:rsidRPr="00F17564" w:rsidRDefault="00D930F7" w:rsidP="00B46DA0">
      <w:pPr>
        <w:pStyle w:val="FootnoteText"/>
        <w:rPr>
          <w:rFonts w:asciiTheme="minorHAnsi" w:hAnsiTheme="minorHAnsi" w:cstheme="minorHAnsi"/>
          <w:szCs w:val="18"/>
          <w:lang w:val="en-AU"/>
        </w:rPr>
      </w:pPr>
      <w:r w:rsidRPr="00447661">
        <w:rPr>
          <w:rStyle w:val="FootnoteReference"/>
          <w:rFonts w:asciiTheme="minorHAnsi" w:hAnsiTheme="minorHAnsi" w:cstheme="minorHAnsi"/>
          <w:sz w:val="16"/>
          <w:szCs w:val="16"/>
        </w:rPr>
        <w:footnoteRef/>
      </w:r>
      <w:r w:rsidRPr="00447661">
        <w:rPr>
          <w:rFonts w:asciiTheme="minorHAnsi" w:hAnsiTheme="minorHAnsi" w:cstheme="minorHAnsi"/>
          <w:sz w:val="16"/>
          <w:szCs w:val="16"/>
        </w:rPr>
        <w:t xml:space="preserve"> </w:t>
      </w:r>
      <w:r>
        <w:rPr>
          <w:rFonts w:asciiTheme="minorHAnsi" w:hAnsiTheme="minorHAnsi" w:cstheme="minorHAnsi"/>
          <w:sz w:val="16"/>
          <w:szCs w:val="16"/>
        </w:rPr>
        <w:t xml:space="preserve">Note: </w:t>
      </w:r>
      <w:r w:rsidRPr="00447661">
        <w:rPr>
          <w:rFonts w:asciiTheme="minorHAnsi" w:hAnsiTheme="minorHAnsi" w:cstheme="minorHAnsi"/>
          <w:sz w:val="16"/>
          <w:szCs w:val="16"/>
        </w:rPr>
        <w:t>Jurisdictions will continue to work on consistent development and application of Care Type definitions, including revision for brain death. In addition, IHPA is to consider de-coupled funding for posthumous organ donation activity from Transplantation.</w:t>
      </w:r>
    </w:p>
  </w:footnote>
  <w:footnote w:id="32">
    <w:p w14:paraId="528563A3" w14:textId="77777777" w:rsidR="00D930F7" w:rsidRPr="0036685D" w:rsidRDefault="00D930F7" w:rsidP="0036685D">
      <w:pPr>
        <w:widowControl/>
        <w:autoSpaceDE/>
        <w:autoSpaceDN/>
        <w:adjustRightInd/>
        <w:spacing w:after="0"/>
        <w:rPr>
          <w:rFonts w:ascii="Calibri" w:hAnsi="Calibri" w:cs="Calibri"/>
          <w:color w:val="000000"/>
          <w:sz w:val="16"/>
          <w:szCs w:val="16"/>
          <w:lang w:eastAsia="en-AU"/>
        </w:rPr>
      </w:pPr>
      <w:r w:rsidRPr="00323A35">
        <w:rPr>
          <w:rStyle w:val="FootnoteReference"/>
          <w:rFonts w:asciiTheme="minorHAnsi" w:hAnsiTheme="minorHAnsi" w:cstheme="minorHAnsi"/>
          <w:sz w:val="16"/>
          <w:szCs w:val="16"/>
        </w:rPr>
        <w:footnoteRef/>
      </w:r>
      <w:r w:rsidRPr="00323A35">
        <w:rPr>
          <w:rFonts w:asciiTheme="minorHAnsi" w:hAnsiTheme="minorHAnsi" w:cstheme="minorHAnsi"/>
          <w:sz w:val="16"/>
          <w:szCs w:val="16"/>
        </w:rPr>
        <w:t xml:space="preserve"> </w:t>
      </w:r>
      <w:r w:rsidRPr="00DE703D">
        <w:rPr>
          <w:rFonts w:ascii="Calibri" w:hAnsi="Calibri" w:cs="Calibri"/>
          <w:color w:val="000000"/>
          <w:sz w:val="16"/>
          <w:szCs w:val="16"/>
          <w:lang w:eastAsia="en-AU"/>
        </w:rPr>
        <w:t xml:space="preserve">The Australian Organ and Tissue Donation and Transplantation Authority, </w:t>
      </w:r>
      <w:r>
        <w:rPr>
          <w:rFonts w:ascii="Calibri" w:hAnsi="Calibri" w:cs="Calibri"/>
          <w:color w:val="000000"/>
          <w:sz w:val="16"/>
          <w:szCs w:val="16"/>
          <w:lang w:eastAsia="en-AU"/>
        </w:rPr>
        <w:t xml:space="preserve">above n.3. </w:t>
      </w:r>
    </w:p>
    <w:p w14:paraId="624C532F" w14:textId="77777777" w:rsidR="00D930F7" w:rsidRPr="00323A35" w:rsidRDefault="00D930F7">
      <w:pPr>
        <w:pStyle w:val="FootnoteText"/>
        <w:rPr>
          <w:rFonts w:asciiTheme="minorHAnsi" w:hAnsiTheme="minorHAnsi" w:cstheme="minorHAnsi"/>
          <w:sz w:val="16"/>
          <w:szCs w:val="16"/>
          <w:lang w:val="en-AU"/>
        </w:rPr>
      </w:pPr>
    </w:p>
  </w:footnote>
  <w:footnote w:id="33">
    <w:p w14:paraId="25200C4A" w14:textId="77777777" w:rsidR="00D930F7" w:rsidRPr="00EF2596" w:rsidRDefault="00D930F7">
      <w:pPr>
        <w:pStyle w:val="FootnoteText"/>
        <w:rPr>
          <w:lang w:val="en-AU"/>
        </w:rPr>
      </w:pPr>
      <w:r w:rsidRPr="00F913B6">
        <w:rPr>
          <w:rStyle w:val="FootnoteReference"/>
          <w:rFonts w:asciiTheme="minorHAnsi" w:hAnsiTheme="minorHAnsi" w:cstheme="minorHAnsi"/>
          <w:sz w:val="16"/>
          <w:szCs w:val="16"/>
        </w:rPr>
        <w:footnoteRef/>
      </w:r>
      <w:r w:rsidRPr="00F913B6">
        <w:rPr>
          <w:rFonts w:asciiTheme="minorHAnsi" w:hAnsiTheme="minorHAnsi" w:cstheme="minorHAnsi"/>
          <w:sz w:val="16"/>
          <w:szCs w:val="16"/>
        </w:rPr>
        <w:t xml:space="preserve"> </w:t>
      </w:r>
      <w:r w:rsidRPr="00F913B6">
        <w:rPr>
          <w:rFonts w:asciiTheme="minorHAnsi" w:hAnsiTheme="minorHAnsi" w:cstheme="minorHAnsi"/>
          <w:color w:val="000000"/>
          <w:sz w:val="16"/>
          <w:szCs w:val="16"/>
          <w:lang w:eastAsia="en-AU"/>
        </w:rPr>
        <w:t>The Australian Organ and Tissue</w:t>
      </w:r>
      <w:r w:rsidRPr="00DE703D">
        <w:rPr>
          <w:rFonts w:ascii="Calibri" w:hAnsi="Calibri" w:cs="Calibri"/>
          <w:color w:val="000000"/>
          <w:sz w:val="16"/>
          <w:szCs w:val="16"/>
          <w:lang w:eastAsia="en-AU"/>
        </w:rPr>
        <w:t xml:space="preserve"> Donation and Transplantation Authority, </w:t>
      </w:r>
      <w:r>
        <w:rPr>
          <w:rFonts w:ascii="Calibri" w:hAnsi="Calibri" w:cs="Calibri"/>
          <w:color w:val="000000"/>
          <w:sz w:val="16"/>
          <w:szCs w:val="16"/>
          <w:lang w:eastAsia="en-AU"/>
        </w:rPr>
        <w:t>above n.3.</w:t>
      </w:r>
    </w:p>
  </w:footnote>
  <w:footnote w:id="34">
    <w:p w14:paraId="59844108" w14:textId="77777777" w:rsidR="00D930F7" w:rsidRPr="003A517E" w:rsidRDefault="00D930F7">
      <w:pPr>
        <w:pStyle w:val="FootnoteText"/>
        <w:rPr>
          <w:rFonts w:asciiTheme="minorHAnsi" w:hAnsiTheme="minorHAnsi" w:cstheme="minorHAnsi"/>
          <w:sz w:val="16"/>
          <w:szCs w:val="16"/>
          <w:lang w:val="en-AU"/>
        </w:rPr>
      </w:pPr>
      <w:r w:rsidRPr="00FA7E3A">
        <w:rPr>
          <w:rStyle w:val="FootnoteReference"/>
          <w:rFonts w:asciiTheme="minorHAnsi" w:hAnsiTheme="minorHAnsi" w:cstheme="minorHAnsi"/>
          <w:sz w:val="16"/>
          <w:szCs w:val="16"/>
        </w:rPr>
        <w:footnoteRef/>
      </w:r>
      <w:r w:rsidRPr="00FA7E3A">
        <w:rPr>
          <w:rFonts w:asciiTheme="minorHAnsi" w:hAnsiTheme="minorHAnsi" w:cstheme="minorHAnsi"/>
          <w:sz w:val="16"/>
          <w:szCs w:val="16"/>
        </w:rPr>
        <w:t xml:space="preserve"> </w:t>
      </w:r>
      <w:r w:rsidRPr="00FA7E3A">
        <w:rPr>
          <w:rFonts w:asciiTheme="minorHAnsi" w:hAnsiTheme="minorHAnsi" w:cstheme="minorHAnsi"/>
          <w:i/>
          <w:sz w:val="16"/>
          <w:szCs w:val="16"/>
        </w:rPr>
        <w:t xml:space="preserve">Australian Organ and Tissue Donation and Transplantation Authority Amendment (New Governance Arrangements) Act 2016 </w:t>
      </w:r>
      <w:r>
        <w:rPr>
          <w:rFonts w:asciiTheme="minorHAnsi" w:hAnsiTheme="minorHAnsi" w:cstheme="minorHAnsi"/>
          <w:sz w:val="16"/>
          <w:szCs w:val="16"/>
        </w:rPr>
        <w:t xml:space="preserve">(Cth). </w:t>
      </w:r>
    </w:p>
  </w:footnote>
  <w:footnote w:id="35">
    <w:p w14:paraId="41BFBB0E" w14:textId="77777777" w:rsidR="00D930F7" w:rsidRPr="00FA7E3A" w:rsidRDefault="00D930F7" w:rsidP="00056310">
      <w:pPr>
        <w:pStyle w:val="FootnoteText"/>
        <w:rPr>
          <w:rFonts w:asciiTheme="minorHAnsi" w:hAnsiTheme="minorHAnsi" w:cstheme="minorHAnsi"/>
          <w:sz w:val="16"/>
          <w:szCs w:val="16"/>
          <w:lang w:val="en-AU"/>
        </w:rPr>
      </w:pPr>
      <w:r w:rsidRPr="00FA7E3A">
        <w:rPr>
          <w:rStyle w:val="FootnoteReference"/>
          <w:rFonts w:asciiTheme="minorHAnsi" w:hAnsiTheme="minorHAnsi" w:cstheme="minorHAnsi"/>
          <w:sz w:val="16"/>
          <w:szCs w:val="16"/>
        </w:rPr>
        <w:footnoteRef/>
      </w:r>
      <w:r w:rsidRPr="00FA7E3A">
        <w:rPr>
          <w:rFonts w:asciiTheme="minorHAnsi" w:hAnsiTheme="minorHAnsi" w:cstheme="minorHAnsi"/>
          <w:sz w:val="16"/>
          <w:szCs w:val="16"/>
        </w:rPr>
        <w:t xml:space="preserve"> The Australian Organ and Tissue Donation and Trans</w:t>
      </w:r>
      <w:r>
        <w:rPr>
          <w:rFonts w:asciiTheme="minorHAnsi" w:hAnsiTheme="minorHAnsi" w:cstheme="minorHAnsi"/>
          <w:sz w:val="16"/>
          <w:szCs w:val="16"/>
        </w:rPr>
        <w:t xml:space="preserve">plantation Authority, </w:t>
      </w:r>
      <w:r w:rsidRPr="00F913B6">
        <w:rPr>
          <w:rFonts w:asciiTheme="minorHAnsi" w:hAnsiTheme="minorHAnsi" w:cstheme="minorHAnsi"/>
          <w:i/>
          <w:sz w:val="16"/>
          <w:szCs w:val="16"/>
        </w:rPr>
        <w:t>About Us</w:t>
      </w:r>
      <w:r w:rsidRPr="00FA7E3A">
        <w:rPr>
          <w:rFonts w:asciiTheme="minorHAnsi" w:hAnsiTheme="minorHAnsi" w:cstheme="minorHAnsi"/>
          <w:sz w:val="16"/>
          <w:szCs w:val="16"/>
        </w:rPr>
        <w:t>, viewed June 2018</w:t>
      </w:r>
      <w:r>
        <w:rPr>
          <w:rFonts w:asciiTheme="minorHAnsi" w:hAnsiTheme="minorHAnsi" w:cstheme="minorHAnsi"/>
          <w:sz w:val="16"/>
          <w:szCs w:val="16"/>
        </w:rPr>
        <w:t>,</w:t>
      </w:r>
      <w:r w:rsidRPr="00FA7E3A">
        <w:rPr>
          <w:rFonts w:asciiTheme="minorHAnsi" w:hAnsiTheme="minorHAnsi" w:cstheme="minorHAnsi"/>
          <w:sz w:val="16"/>
          <w:szCs w:val="16"/>
        </w:rPr>
        <w:t xml:space="preserve"> &lt;https://donatelife.gov.au/about-us&gt;.</w:t>
      </w:r>
    </w:p>
  </w:footnote>
  <w:footnote w:id="36">
    <w:p w14:paraId="7377D82E" w14:textId="77777777" w:rsidR="00D930F7" w:rsidRPr="00CB1834" w:rsidRDefault="00D930F7">
      <w:pPr>
        <w:pStyle w:val="FootnoteText"/>
        <w:rPr>
          <w:rFonts w:asciiTheme="minorHAnsi" w:hAnsiTheme="minorHAnsi" w:cstheme="minorHAnsi"/>
          <w:sz w:val="16"/>
          <w:szCs w:val="16"/>
          <w:lang w:val="en-AU"/>
        </w:rPr>
      </w:pPr>
      <w:r w:rsidRPr="00CB1834">
        <w:rPr>
          <w:rStyle w:val="FootnoteReference"/>
          <w:rFonts w:asciiTheme="minorHAnsi" w:hAnsiTheme="minorHAnsi" w:cstheme="minorHAnsi"/>
          <w:sz w:val="16"/>
          <w:szCs w:val="16"/>
        </w:rPr>
        <w:footnoteRef/>
      </w:r>
      <w:r w:rsidRPr="00CB1834">
        <w:rPr>
          <w:rFonts w:asciiTheme="minorHAnsi" w:hAnsiTheme="minorHAnsi" w:cstheme="minorHAnsi"/>
          <w:sz w:val="16"/>
          <w:szCs w:val="16"/>
        </w:rPr>
        <w:t xml:space="preserve"> </w:t>
      </w:r>
      <w:r w:rsidRPr="003E6F1F">
        <w:rPr>
          <w:rFonts w:asciiTheme="minorHAnsi" w:hAnsiTheme="minorHAnsi" w:cstheme="minorHAnsi"/>
          <w:sz w:val="16"/>
          <w:szCs w:val="16"/>
        </w:rPr>
        <w:t>The Australian Organ and Tissue Donatio</w:t>
      </w:r>
      <w:r>
        <w:rPr>
          <w:rFonts w:asciiTheme="minorHAnsi" w:hAnsiTheme="minorHAnsi" w:cstheme="minorHAnsi"/>
          <w:sz w:val="16"/>
          <w:szCs w:val="16"/>
        </w:rPr>
        <w:t xml:space="preserve">n and Transplantation Authority, </w:t>
      </w:r>
      <w:r w:rsidRPr="003E6F1F">
        <w:rPr>
          <w:rFonts w:asciiTheme="minorHAnsi" w:hAnsiTheme="minorHAnsi" w:cstheme="minorHAnsi"/>
          <w:sz w:val="16"/>
          <w:szCs w:val="16"/>
        </w:rPr>
        <w:t xml:space="preserve">2018, </w:t>
      </w:r>
      <w:r w:rsidRPr="008F7007">
        <w:rPr>
          <w:rFonts w:asciiTheme="minorHAnsi" w:hAnsiTheme="minorHAnsi" w:cstheme="minorHAnsi"/>
          <w:i/>
          <w:sz w:val="16"/>
          <w:szCs w:val="16"/>
        </w:rPr>
        <w:t>Annual Report 2017 – 2018,</w:t>
      </w:r>
      <w:r w:rsidRPr="003E6F1F">
        <w:rPr>
          <w:rFonts w:asciiTheme="minorHAnsi" w:hAnsiTheme="minorHAnsi" w:cstheme="minorHAnsi"/>
          <w:sz w:val="16"/>
          <w:szCs w:val="16"/>
        </w:rPr>
        <w:t xml:space="preserve"> </w:t>
      </w:r>
      <w:r>
        <w:rPr>
          <w:rFonts w:asciiTheme="minorHAnsi" w:hAnsiTheme="minorHAnsi" w:cstheme="minorHAnsi"/>
          <w:sz w:val="16"/>
          <w:szCs w:val="16"/>
        </w:rPr>
        <w:t>Canberra, viewed November 2018, &lt;</w:t>
      </w:r>
      <w:r w:rsidRPr="008F7007">
        <w:rPr>
          <w:rFonts w:asciiTheme="minorHAnsi" w:hAnsiTheme="minorHAnsi" w:cstheme="minorHAnsi"/>
          <w:sz w:val="16"/>
          <w:szCs w:val="16"/>
        </w:rPr>
        <w:t>https://donatelife.gov.au/about-us/strategy-and-performance/annual-report-0</w:t>
      </w:r>
      <w:r>
        <w:rPr>
          <w:rFonts w:asciiTheme="minorHAnsi" w:hAnsiTheme="minorHAnsi" w:cstheme="minorHAnsi"/>
          <w:sz w:val="16"/>
          <w:szCs w:val="16"/>
        </w:rPr>
        <w:t>&gt;.</w:t>
      </w:r>
    </w:p>
  </w:footnote>
  <w:footnote w:id="37">
    <w:p w14:paraId="57AD6395" w14:textId="77777777" w:rsidR="00D930F7" w:rsidRPr="00EF2596" w:rsidRDefault="00D930F7" w:rsidP="00EF2596">
      <w:pPr>
        <w:widowControl/>
        <w:autoSpaceDE/>
        <w:autoSpaceDN/>
        <w:adjustRightInd/>
        <w:spacing w:after="0"/>
        <w:rPr>
          <w:rFonts w:ascii="Calibri" w:hAnsi="Calibri" w:cs="Calibri"/>
          <w:color w:val="000000"/>
          <w:sz w:val="16"/>
          <w:szCs w:val="16"/>
          <w:lang w:eastAsia="en-AU"/>
        </w:rPr>
      </w:pPr>
      <w:r w:rsidRPr="00323A35">
        <w:rPr>
          <w:rStyle w:val="FootnoteReference"/>
          <w:rFonts w:asciiTheme="minorHAnsi" w:hAnsiTheme="minorHAnsi" w:cstheme="minorHAnsi"/>
          <w:sz w:val="16"/>
          <w:szCs w:val="16"/>
        </w:rPr>
        <w:footnoteRef/>
      </w:r>
      <w:r w:rsidRPr="00323A35">
        <w:rPr>
          <w:rFonts w:asciiTheme="minorHAnsi" w:hAnsiTheme="minorHAnsi" w:cstheme="minorHAnsi"/>
          <w:sz w:val="16"/>
          <w:szCs w:val="16"/>
        </w:rPr>
        <w:t xml:space="preserve"> </w:t>
      </w:r>
      <w:hyperlink r:id="rId1" w:history="1">
        <w:r w:rsidRPr="0060525B">
          <w:rPr>
            <w:rFonts w:ascii="Calibri" w:hAnsi="Calibri" w:cs="Calibri"/>
            <w:color w:val="000000"/>
            <w:sz w:val="16"/>
            <w:szCs w:val="16"/>
            <w:lang w:eastAsia="en-AU"/>
          </w:rPr>
          <w:t>The Transplantation Society of Australia and New Zealand</w:t>
        </w:r>
        <w:r>
          <w:rPr>
            <w:rFonts w:ascii="Calibri" w:hAnsi="Calibri" w:cs="Calibri"/>
            <w:color w:val="000000"/>
            <w:sz w:val="16"/>
            <w:szCs w:val="16"/>
            <w:lang w:eastAsia="en-AU"/>
          </w:rPr>
          <w:t>,</w:t>
        </w:r>
      </w:hyperlink>
      <w:r>
        <w:rPr>
          <w:rFonts w:ascii="Calibri" w:hAnsi="Calibri" w:cs="Calibri"/>
          <w:color w:val="000000"/>
          <w:sz w:val="16"/>
          <w:szCs w:val="16"/>
          <w:lang w:eastAsia="en-AU"/>
        </w:rPr>
        <w:t xml:space="preserve"> 2017, above n.1.</w:t>
      </w:r>
    </w:p>
  </w:footnote>
  <w:footnote w:id="38">
    <w:p w14:paraId="31D2232C" w14:textId="77777777" w:rsidR="00D930F7" w:rsidRPr="00EF2596" w:rsidRDefault="00D930F7">
      <w:pPr>
        <w:pStyle w:val="FootnoteText"/>
        <w:rPr>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The National Medical Health and Research Council (NMHRC) 2016, </w:t>
      </w:r>
      <w:r w:rsidRPr="00EF2596">
        <w:rPr>
          <w:rFonts w:asciiTheme="minorHAnsi" w:hAnsiTheme="minorHAnsi" w:cstheme="minorHAnsi"/>
          <w:i/>
          <w:sz w:val="16"/>
          <w:szCs w:val="16"/>
        </w:rPr>
        <w:t>Ethical Guidelines for Organ Transplantation from deceased Donors,</w:t>
      </w:r>
      <w:r>
        <w:rPr>
          <w:rFonts w:asciiTheme="minorHAnsi" w:hAnsiTheme="minorHAnsi" w:cstheme="minorHAnsi"/>
          <w:sz w:val="16"/>
          <w:szCs w:val="16"/>
        </w:rPr>
        <w:t xml:space="preserve"> Australian Government, Canberra,</w:t>
      </w:r>
      <w:r w:rsidRPr="00EF2596">
        <w:rPr>
          <w:rFonts w:asciiTheme="minorHAnsi" w:hAnsiTheme="minorHAnsi" w:cstheme="minorHAnsi"/>
          <w:i/>
          <w:sz w:val="16"/>
          <w:szCs w:val="16"/>
        </w:rPr>
        <w:t xml:space="preserve"> </w:t>
      </w:r>
      <w:r w:rsidRPr="00EF2596">
        <w:rPr>
          <w:rFonts w:asciiTheme="minorHAnsi" w:hAnsiTheme="minorHAnsi" w:cstheme="minorHAnsi"/>
          <w:sz w:val="16"/>
          <w:szCs w:val="16"/>
        </w:rPr>
        <w:t>viewed June 2018</w:t>
      </w:r>
      <w:r>
        <w:rPr>
          <w:rFonts w:asciiTheme="minorHAnsi" w:hAnsiTheme="minorHAnsi" w:cstheme="minorHAnsi"/>
          <w:sz w:val="16"/>
          <w:szCs w:val="16"/>
        </w:rPr>
        <w:t xml:space="preserve">, &lt;https://www.tsanz.com.au/organallocationguidelines/documents/NHMRCEthicalGuidelinesforOrganTransplantationfromDeceasedDonors.pdf&gt;; </w:t>
      </w:r>
      <w:r w:rsidRPr="003E6F1F">
        <w:rPr>
          <w:rFonts w:asciiTheme="minorHAnsi" w:hAnsiTheme="minorHAnsi" w:cstheme="minorHAnsi"/>
          <w:color w:val="000000" w:themeColor="text1"/>
          <w:sz w:val="16"/>
          <w:szCs w:val="16"/>
        </w:rPr>
        <w:t>Please note that the 2007 Guidelines for ethical practice for health professionals are currently under review</w:t>
      </w:r>
      <w:r w:rsidRPr="000103FF">
        <w:t xml:space="preserve"> </w:t>
      </w:r>
      <w:r w:rsidRPr="000103FF">
        <w:rPr>
          <w:rFonts w:asciiTheme="minorHAnsi" w:hAnsiTheme="minorHAnsi" w:cstheme="minorHAnsi"/>
          <w:color w:val="000000" w:themeColor="text1"/>
          <w:sz w:val="16"/>
          <w:szCs w:val="16"/>
        </w:rPr>
        <w:t>currency, relevance and consolidation</w:t>
      </w:r>
      <w:r>
        <w:rPr>
          <w:rFonts w:asciiTheme="minorHAnsi" w:hAnsiTheme="minorHAnsi" w:cstheme="minorHAnsi"/>
          <w:color w:val="000000" w:themeColor="text1"/>
          <w:sz w:val="16"/>
          <w:szCs w:val="16"/>
        </w:rPr>
        <w:t>.</w:t>
      </w:r>
    </w:p>
  </w:footnote>
  <w:footnote w:id="39">
    <w:p w14:paraId="659C12DE" w14:textId="77777777" w:rsidR="00D930F7" w:rsidRPr="00FC0FD7" w:rsidRDefault="00D930F7" w:rsidP="00D107C0">
      <w:pPr>
        <w:pStyle w:val="FootnoteText"/>
        <w:rPr>
          <w:rFonts w:asciiTheme="minorHAnsi" w:hAnsiTheme="minorHAnsi" w:cstheme="minorHAnsi"/>
          <w:sz w:val="16"/>
          <w:szCs w:val="16"/>
        </w:rPr>
      </w:pPr>
      <w:r w:rsidRPr="00FC0FD7">
        <w:rPr>
          <w:rStyle w:val="FootnoteReference"/>
          <w:rFonts w:asciiTheme="minorHAnsi" w:hAnsiTheme="minorHAnsi" w:cstheme="minorHAnsi"/>
          <w:sz w:val="16"/>
          <w:szCs w:val="16"/>
        </w:rPr>
        <w:footnoteRef/>
      </w:r>
      <w:r w:rsidRPr="00FC0FD7">
        <w:rPr>
          <w:rFonts w:asciiTheme="minorHAnsi" w:hAnsiTheme="minorHAnsi" w:cstheme="minorHAnsi"/>
          <w:sz w:val="16"/>
          <w:szCs w:val="16"/>
        </w:rPr>
        <w:t xml:space="preserve"> </w:t>
      </w:r>
      <w:r>
        <w:rPr>
          <w:rFonts w:asciiTheme="minorHAnsi" w:hAnsiTheme="minorHAnsi" w:cstheme="minorHAnsi"/>
          <w:sz w:val="16"/>
          <w:szCs w:val="16"/>
        </w:rPr>
        <w:t>Ibid.</w:t>
      </w:r>
    </w:p>
  </w:footnote>
  <w:footnote w:id="40">
    <w:p w14:paraId="456A2F94" w14:textId="77777777" w:rsidR="00D930F7" w:rsidRPr="0011622A" w:rsidRDefault="00D930F7" w:rsidP="00EF3660">
      <w:pPr>
        <w:pStyle w:val="FootnoteText"/>
        <w:rPr>
          <w:rFonts w:asciiTheme="minorHAnsi" w:hAnsiTheme="minorHAnsi" w:cstheme="minorHAnsi"/>
          <w:sz w:val="16"/>
          <w:szCs w:val="16"/>
          <w:lang w:val="en-AU"/>
        </w:rPr>
      </w:pPr>
      <w:r w:rsidRPr="0011622A">
        <w:rPr>
          <w:rStyle w:val="FootnoteReference"/>
          <w:rFonts w:asciiTheme="minorHAnsi" w:hAnsiTheme="minorHAnsi" w:cstheme="minorHAnsi"/>
          <w:sz w:val="16"/>
          <w:szCs w:val="16"/>
        </w:rPr>
        <w:footnoteRef/>
      </w:r>
      <w:r>
        <w:rPr>
          <w:rFonts w:ascii="Calibri" w:hAnsi="Calibri" w:cs="Calibri"/>
          <w:color w:val="000000"/>
          <w:sz w:val="16"/>
          <w:szCs w:val="16"/>
          <w:lang w:eastAsia="en-AU"/>
        </w:rPr>
        <w:t xml:space="preserve"> Ibid. </w:t>
      </w:r>
    </w:p>
  </w:footnote>
  <w:footnote w:id="41">
    <w:p w14:paraId="15B01450" w14:textId="77777777" w:rsidR="00D930F7" w:rsidRPr="007F74C3" w:rsidRDefault="00D930F7">
      <w:pPr>
        <w:pStyle w:val="FootnoteText"/>
        <w:rPr>
          <w:lang w:val="en-AU"/>
        </w:rPr>
      </w:pPr>
      <w:r w:rsidRPr="007F74C3">
        <w:rPr>
          <w:rStyle w:val="FootnoteReference"/>
          <w:rFonts w:asciiTheme="minorHAnsi" w:hAnsiTheme="minorHAnsi" w:cstheme="minorHAnsi"/>
          <w:sz w:val="16"/>
          <w:szCs w:val="16"/>
        </w:rPr>
        <w:footnoteRef/>
      </w:r>
      <w:r w:rsidRPr="007F74C3">
        <w:rPr>
          <w:rStyle w:val="FootnoteReference"/>
          <w:rFonts w:asciiTheme="minorHAnsi" w:hAnsiTheme="minorHAnsi" w:cstheme="minorHAnsi"/>
          <w:sz w:val="16"/>
          <w:szCs w:val="16"/>
        </w:rPr>
        <w:t xml:space="preserve"> </w:t>
      </w:r>
      <w:r w:rsidRPr="007F74C3">
        <w:rPr>
          <w:rFonts w:ascii="Calibri" w:hAnsi="Calibri" w:cs="Calibri"/>
          <w:color w:val="000000"/>
          <w:sz w:val="16"/>
          <w:szCs w:val="16"/>
          <w:lang w:eastAsia="en-AU"/>
        </w:rPr>
        <w:t xml:space="preserve">Ibid. </w:t>
      </w:r>
    </w:p>
  </w:footnote>
  <w:footnote w:id="42">
    <w:p w14:paraId="1F0808D9" w14:textId="77777777" w:rsidR="00D930F7" w:rsidRPr="003A5397" w:rsidRDefault="00D930F7">
      <w:pPr>
        <w:pStyle w:val="FootnoteText"/>
        <w:rPr>
          <w:rFonts w:ascii="Calibri" w:hAnsi="Calibri" w:cs="Calibri"/>
          <w:color w:val="000000"/>
          <w:sz w:val="16"/>
          <w:szCs w:val="16"/>
          <w:lang w:eastAsia="en-AU"/>
        </w:rPr>
      </w:pPr>
      <w:r w:rsidRPr="003A5397">
        <w:rPr>
          <w:rStyle w:val="FootnoteReference"/>
          <w:rFonts w:asciiTheme="minorHAnsi" w:hAnsiTheme="minorHAnsi" w:cstheme="minorHAnsi"/>
          <w:sz w:val="16"/>
          <w:szCs w:val="16"/>
        </w:rPr>
        <w:footnoteRef/>
      </w:r>
      <w:r w:rsidRPr="003A5397">
        <w:rPr>
          <w:rStyle w:val="FootnoteReference"/>
          <w:rFonts w:asciiTheme="minorHAnsi" w:hAnsiTheme="minorHAnsi"/>
          <w:sz w:val="16"/>
          <w:szCs w:val="16"/>
        </w:rPr>
        <w:t xml:space="preserve"> </w:t>
      </w:r>
      <w:r w:rsidRPr="003A5397">
        <w:rPr>
          <w:rFonts w:ascii="Calibri" w:hAnsi="Calibri" w:cs="Calibri"/>
          <w:color w:val="000000"/>
          <w:sz w:val="16"/>
          <w:szCs w:val="16"/>
          <w:lang w:eastAsia="en-AU"/>
        </w:rPr>
        <w:t xml:space="preserve">The Honorable Ken Wyatt, 2018, </w:t>
      </w:r>
      <w:r>
        <w:rPr>
          <w:rFonts w:ascii="Calibri" w:hAnsi="Calibri" w:cs="Calibri"/>
          <w:color w:val="000000"/>
          <w:sz w:val="16"/>
          <w:szCs w:val="16"/>
          <w:lang w:eastAsia="en-AU"/>
        </w:rPr>
        <w:t>‘</w:t>
      </w:r>
      <w:r w:rsidRPr="003A5397">
        <w:rPr>
          <w:rFonts w:ascii="Calibri" w:hAnsi="Calibri" w:cs="Calibri"/>
          <w:color w:val="000000"/>
          <w:sz w:val="16"/>
          <w:szCs w:val="16"/>
          <w:lang w:eastAsia="en-AU"/>
        </w:rPr>
        <w:t>Making giving the gift of life your new year’s resolution</w:t>
      </w:r>
      <w:r>
        <w:rPr>
          <w:rFonts w:ascii="Calibri" w:hAnsi="Calibri" w:cs="Calibri"/>
          <w:color w:val="000000"/>
          <w:sz w:val="16"/>
          <w:szCs w:val="16"/>
          <w:lang w:eastAsia="en-AU"/>
        </w:rPr>
        <w:t>’</w:t>
      </w:r>
      <w:r w:rsidRPr="003A5397">
        <w:rPr>
          <w:rFonts w:ascii="Calibri" w:hAnsi="Calibri" w:cs="Calibri"/>
          <w:color w:val="000000"/>
          <w:sz w:val="16"/>
          <w:szCs w:val="16"/>
          <w:lang w:eastAsia="en-AU"/>
        </w:rPr>
        <w:t>, media release, 31 December 2017, viewed June 2018 &lt;http://www.health.gov.au/internet/ministers/publishing.nsf/Content/health-mediarel-yr2018-wyatt001.htm&gt;.</w:t>
      </w:r>
    </w:p>
  </w:footnote>
  <w:footnote w:id="43">
    <w:p w14:paraId="124820C3"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Pr>
          <w:rFonts w:asciiTheme="minorHAnsi" w:hAnsiTheme="minorHAnsi" w:cstheme="minorHAnsi"/>
          <w:sz w:val="16"/>
          <w:szCs w:val="16"/>
        </w:rPr>
        <w:t xml:space="preserve">Ibid. </w:t>
      </w:r>
    </w:p>
  </w:footnote>
  <w:footnote w:id="44">
    <w:p w14:paraId="741D8798" w14:textId="77777777" w:rsidR="00D930F7" w:rsidRPr="00D40C14" w:rsidRDefault="00D930F7">
      <w:pPr>
        <w:pStyle w:val="FootnoteText"/>
        <w:rPr>
          <w:rFonts w:asciiTheme="minorHAnsi" w:hAnsiTheme="minorHAnsi" w:cstheme="minorHAnsi"/>
          <w:sz w:val="16"/>
          <w:szCs w:val="16"/>
          <w:lang w:val="en-AU"/>
        </w:rPr>
      </w:pPr>
      <w:r w:rsidRPr="00D40C14">
        <w:rPr>
          <w:rStyle w:val="FootnoteReference"/>
          <w:rFonts w:asciiTheme="minorHAnsi" w:hAnsiTheme="minorHAnsi" w:cstheme="minorHAnsi"/>
          <w:sz w:val="16"/>
          <w:szCs w:val="16"/>
        </w:rPr>
        <w:footnoteRef/>
      </w:r>
      <w:r w:rsidRPr="00D40C14">
        <w:rPr>
          <w:rFonts w:asciiTheme="minorHAnsi" w:hAnsiTheme="minorHAnsi" w:cstheme="minorHAnsi"/>
          <w:sz w:val="16"/>
          <w:szCs w:val="16"/>
        </w:rPr>
        <w:t xml:space="preserve"> </w:t>
      </w:r>
      <w:r w:rsidRPr="00D40C14">
        <w:rPr>
          <w:rFonts w:asciiTheme="minorHAnsi" w:hAnsiTheme="minorHAnsi" w:cstheme="minorHAnsi"/>
          <w:sz w:val="16"/>
          <w:szCs w:val="16"/>
          <w:lang w:val="en-AU"/>
        </w:rPr>
        <w:t xml:space="preserve">See </w:t>
      </w:r>
      <w:r w:rsidRPr="00D40C14">
        <w:rPr>
          <w:rFonts w:asciiTheme="minorHAnsi" w:eastAsia="Times New Roman" w:hAnsiTheme="minorHAnsi" w:cstheme="minorHAnsi"/>
          <w:i/>
          <w:iCs/>
          <w:sz w:val="16"/>
          <w:szCs w:val="16"/>
          <w:lang w:val="en-AU"/>
        </w:rPr>
        <w:t>Human Tissue Act 1983</w:t>
      </w:r>
      <w:r w:rsidRPr="00D40C14">
        <w:rPr>
          <w:rFonts w:asciiTheme="minorHAnsi" w:eastAsia="Times New Roman" w:hAnsiTheme="minorHAnsi" w:cstheme="minorHAnsi"/>
          <w:sz w:val="16"/>
          <w:szCs w:val="16"/>
          <w:lang w:val="en-AU"/>
        </w:rPr>
        <w:t xml:space="preserve"> (NSW); </w:t>
      </w:r>
      <w:r w:rsidRPr="00D40C14">
        <w:rPr>
          <w:rFonts w:asciiTheme="minorHAnsi" w:eastAsia="Times New Roman" w:hAnsiTheme="minorHAnsi" w:cstheme="minorHAnsi"/>
          <w:i/>
          <w:iCs/>
          <w:sz w:val="16"/>
          <w:szCs w:val="16"/>
          <w:lang w:val="en-AU"/>
        </w:rPr>
        <w:t>Transplantation and Anatomy Act 1979</w:t>
      </w:r>
      <w:r w:rsidRPr="00D40C14">
        <w:rPr>
          <w:rFonts w:asciiTheme="minorHAnsi" w:eastAsia="Times New Roman" w:hAnsiTheme="minorHAnsi" w:cstheme="minorHAnsi"/>
          <w:sz w:val="16"/>
          <w:szCs w:val="16"/>
          <w:lang w:val="en-AU"/>
        </w:rPr>
        <w:t xml:space="preserve"> (Qld); </w:t>
      </w:r>
      <w:r w:rsidRPr="00D40C14">
        <w:rPr>
          <w:rFonts w:asciiTheme="minorHAnsi" w:eastAsia="Times New Roman" w:hAnsiTheme="minorHAnsi" w:cstheme="minorHAnsi"/>
          <w:i/>
          <w:iCs/>
          <w:sz w:val="16"/>
          <w:szCs w:val="16"/>
          <w:lang w:val="en-AU"/>
        </w:rPr>
        <w:t>Transplantation and Anatomy Act 1983</w:t>
      </w:r>
      <w:r w:rsidRPr="00D40C14">
        <w:rPr>
          <w:rFonts w:asciiTheme="minorHAnsi" w:eastAsia="Times New Roman" w:hAnsiTheme="minorHAnsi" w:cstheme="minorHAnsi"/>
          <w:sz w:val="16"/>
          <w:szCs w:val="16"/>
          <w:lang w:val="en-AU"/>
        </w:rPr>
        <w:t xml:space="preserve"> (SA); </w:t>
      </w:r>
      <w:r w:rsidRPr="00D40C14">
        <w:rPr>
          <w:rFonts w:asciiTheme="minorHAnsi" w:eastAsia="Times New Roman" w:hAnsiTheme="minorHAnsi" w:cstheme="minorHAnsi"/>
          <w:i/>
          <w:iCs/>
          <w:sz w:val="16"/>
          <w:szCs w:val="16"/>
          <w:lang w:val="en-AU"/>
        </w:rPr>
        <w:t>Human Tissue Act 1985</w:t>
      </w:r>
      <w:r w:rsidRPr="00D40C14">
        <w:rPr>
          <w:rFonts w:asciiTheme="minorHAnsi" w:eastAsia="Times New Roman" w:hAnsiTheme="minorHAnsi" w:cstheme="minorHAnsi"/>
          <w:sz w:val="16"/>
          <w:szCs w:val="16"/>
          <w:lang w:val="en-AU"/>
        </w:rPr>
        <w:t xml:space="preserve"> (Tas); </w:t>
      </w:r>
      <w:r w:rsidRPr="00D40C14">
        <w:rPr>
          <w:rFonts w:asciiTheme="minorHAnsi" w:eastAsia="Times New Roman" w:hAnsiTheme="minorHAnsi" w:cstheme="minorHAnsi"/>
          <w:i/>
          <w:iCs/>
          <w:sz w:val="16"/>
          <w:szCs w:val="16"/>
          <w:lang w:val="en-AU"/>
        </w:rPr>
        <w:t>Human Tissue Act 1982</w:t>
      </w:r>
      <w:r w:rsidRPr="00D40C14">
        <w:rPr>
          <w:rFonts w:asciiTheme="minorHAnsi" w:eastAsia="Times New Roman" w:hAnsiTheme="minorHAnsi" w:cstheme="minorHAnsi"/>
          <w:sz w:val="16"/>
          <w:szCs w:val="16"/>
          <w:lang w:val="en-AU"/>
        </w:rPr>
        <w:t xml:space="preserve"> (Vic); </w:t>
      </w:r>
      <w:r w:rsidRPr="00D40C14">
        <w:rPr>
          <w:rFonts w:asciiTheme="minorHAnsi" w:eastAsia="Times New Roman" w:hAnsiTheme="minorHAnsi" w:cstheme="minorHAnsi"/>
          <w:i/>
          <w:iCs/>
          <w:sz w:val="16"/>
          <w:szCs w:val="16"/>
          <w:lang w:val="en-AU"/>
        </w:rPr>
        <w:t>Human Tissue and Transplant Act 1982</w:t>
      </w:r>
      <w:r w:rsidRPr="00D40C14">
        <w:rPr>
          <w:rFonts w:asciiTheme="minorHAnsi" w:eastAsia="Times New Roman" w:hAnsiTheme="minorHAnsi" w:cstheme="minorHAnsi"/>
          <w:sz w:val="16"/>
          <w:szCs w:val="16"/>
          <w:lang w:val="en-AU"/>
        </w:rPr>
        <w:t xml:space="preserve"> (WA); </w:t>
      </w:r>
      <w:r w:rsidRPr="00D40C14">
        <w:rPr>
          <w:rFonts w:asciiTheme="minorHAnsi" w:eastAsia="Times New Roman" w:hAnsiTheme="minorHAnsi" w:cstheme="minorHAnsi"/>
          <w:i/>
          <w:iCs/>
          <w:sz w:val="16"/>
          <w:szCs w:val="16"/>
          <w:lang w:val="en-AU"/>
        </w:rPr>
        <w:t>Transplantation and Anatomy Act 1978</w:t>
      </w:r>
      <w:r w:rsidRPr="00D40C14">
        <w:rPr>
          <w:rFonts w:asciiTheme="minorHAnsi" w:eastAsia="Times New Roman" w:hAnsiTheme="minorHAnsi" w:cstheme="minorHAnsi"/>
          <w:sz w:val="16"/>
          <w:szCs w:val="16"/>
          <w:lang w:val="en-AU"/>
        </w:rPr>
        <w:t xml:space="preserve"> (ACT); </w:t>
      </w:r>
      <w:r w:rsidRPr="00D40C14">
        <w:rPr>
          <w:rFonts w:asciiTheme="minorHAnsi" w:eastAsia="Times New Roman" w:hAnsiTheme="minorHAnsi" w:cstheme="minorHAnsi"/>
          <w:i/>
          <w:iCs/>
          <w:sz w:val="16"/>
          <w:szCs w:val="16"/>
          <w:lang w:val="en-AU"/>
        </w:rPr>
        <w:t>Human Tissue Transplant Act 1979</w:t>
      </w:r>
      <w:r w:rsidRPr="00D40C14">
        <w:rPr>
          <w:rFonts w:asciiTheme="minorHAnsi" w:eastAsia="Times New Roman" w:hAnsiTheme="minorHAnsi" w:cstheme="minorHAnsi"/>
          <w:sz w:val="16"/>
          <w:szCs w:val="16"/>
          <w:lang w:val="en-AU"/>
        </w:rPr>
        <w:t xml:space="preserve"> (NT).</w:t>
      </w:r>
    </w:p>
  </w:footnote>
  <w:footnote w:id="45">
    <w:p w14:paraId="2BE7B93F" w14:textId="77777777" w:rsidR="00D930F7" w:rsidRPr="00EF2596" w:rsidRDefault="00D930F7" w:rsidP="00363C68">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sidRPr="00EF2596">
        <w:rPr>
          <w:rFonts w:asciiTheme="minorHAnsi" w:hAnsiTheme="minorHAnsi" w:cstheme="minorHAnsi"/>
          <w:sz w:val="16"/>
          <w:szCs w:val="16"/>
          <w:lang w:val="en-AU"/>
        </w:rPr>
        <w:t>The Australian Organ and Tissue Donation and Transplantation Authority</w:t>
      </w:r>
      <w:r>
        <w:rPr>
          <w:rFonts w:asciiTheme="minorHAnsi" w:hAnsiTheme="minorHAnsi" w:cstheme="minorHAnsi"/>
          <w:sz w:val="16"/>
          <w:szCs w:val="16"/>
          <w:lang w:val="en-AU"/>
        </w:rPr>
        <w:t>,</w:t>
      </w:r>
      <w:r w:rsidRPr="00EF2596">
        <w:rPr>
          <w:rFonts w:asciiTheme="minorHAnsi" w:hAnsiTheme="minorHAnsi" w:cstheme="minorHAnsi"/>
          <w:sz w:val="16"/>
          <w:szCs w:val="16"/>
          <w:lang w:val="en-AU"/>
        </w:rPr>
        <w:t xml:space="preserve"> “Donor family consent” (Received October 2018).</w:t>
      </w:r>
    </w:p>
  </w:footnote>
  <w:footnote w:id="46">
    <w:p w14:paraId="0FDEED94"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Pr>
          <w:rFonts w:asciiTheme="minorHAnsi" w:hAnsiTheme="minorHAnsi" w:cstheme="minorHAnsi"/>
          <w:sz w:val="16"/>
          <w:szCs w:val="16"/>
          <w:lang w:val="en-AU"/>
        </w:rPr>
        <w:t>The Australian Organ and Tissue Donation and Transplantation Authority, “Growth in Organ Donation” (received July 2018); The Australian Organ and Tissue Donation and Transplantation Authority, “Donation Numbers 2000 - 2017” (received July 2018).</w:t>
      </w:r>
    </w:p>
  </w:footnote>
  <w:footnote w:id="47">
    <w:p w14:paraId="764D0434" w14:textId="77777777" w:rsidR="00D930F7" w:rsidRPr="00EF2596" w:rsidRDefault="00D930F7">
      <w:pPr>
        <w:pStyle w:val="FootnoteText"/>
        <w:rPr>
          <w:lang w:val="en-AU"/>
        </w:rPr>
      </w:pPr>
      <w:r w:rsidRPr="00C339A5">
        <w:rPr>
          <w:rStyle w:val="FootnoteReference"/>
          <w:rFonts w:asciiTheme="minorHAnsi" w:hAnsiTheme="minorHAnsi" w:cstheme="minorHAnsi"/>
          <w:sz w:val="16"/>
        </w:rPr>
        <w:footnoteRef/>
      </w:r>
      <w:r>
        <w:t xml:space="preserve"> </w:t>
      </w:r>
      <w:r>
        <w:rPr>
          <w:rFonts w:asciiTheme="minorHAnsi" w:hAnsiTheme="minorHAnsi" w:cstheme="minorHAnsi"/>
          <w:sz w:val="16"/>
          <w:lang w:val="en-AU"/>
        </w:rPr>
        <w:t>The Australian Organ and Tissue Donation and Transplantation Authority,</w:t>
      </w:r>
      <w:r w:rsidRPr="00EF2596">
        <w:rPr>
          <w:rFonts w:asciiTheme="minorHAnsi" w:hAnsiTheme="minorHAnsi" w:cstheme="minorHAnsi"/>
          <w:sz w:val="16"/>
          <w:lang w:val="en-AU"/>
        </w:rPr>
        <w:t xml:space="preserve"> “</w:t>
      </w:r>
      <w:r>
        <w:rPr>
          <w:rFonts w:asciiTheme="minorHAnsi" w:hAnsiTheme="minorHAnsi" w:cstheme="minorHAnsi"/>
          <w:sz w:val="16"/>
          <w:lang w:val="en-AU"/>
        </w:rPr>
        <w:t xml:space="preserve">Kidney </w:t>
      </w:r>
      <w:r w:rsidRPr="00EF2596">
        <w:rPr>
          <w:rFonts w:asciiTheme="minorHAnsi" w:hAnsiTheme="minorHAnsi" w:cstheme="minorHAnsi"/>
          <w:sz w:val="16"/>
          <w:lang w:val="en-AU"/>
        </w:rPr>
        <w:t xml:space="preserve">Proportion of Offers and </w:t>
      </w:r>
      <w:r>
        <w:rPr>
          <w:rFonts w:asciiTheme="minorHAnsi" w:hAnsiTheme="minorHAnsi" w:cstheme="minorHAnsi"/>
          <w:sz w:val="16"/>
          <w:lang w:val="en-AU"/>
        </w:rPr>
        <w:t xml:space="preserve">Acceptances for 2017” (received </w:t>
      </w:r>
      <w:r w:rsidRPr="00EF2596">
        <w:rPr>
          <w:rFonts w:asciiTheme="minorHAnsi" w:hAnsiTheme="minorHAnsi" w:cstheme="minorHAnsi"/>
          <w:sz w:val="16"/>
          <w:lang w:val="en-AU"/>
        </w:rPr>
        <w:t>September 2018).</w:t>
      </w:r>
    </w:p>
  </w:footnote>
  <w:footnote w:id="48">
    <w:p w14:paraId="03A73D00" w14:textId="77777777" w:rsidR="00D930F7" w:rsidRPr="00EF2596" w:rsidRDefault="00D930F7">
      <w:pPr>
        <w:pStyle w:val="FootnoteText"/>
        <w:rPr>
          <w:rFonts w:asciiTheme="minorHAnsi" w:hAnsiTheme="minorHAnsi" w:cstheme="minorHAnsi"/>
          <w:i/>
          <w:sz w:val="16"/>
          <w:lang w:val="en-AU"/>
        </w:rPr>
      </w:pPr>
      <w:r w:rsidRPr="00EF2596">
        <w:rPr>
          <w:rStyle w:val="FootnoteReference"/>
          <w:rFonts w:asciiTheme="minorHAnsi" w:hAnsiTheme="minorHAnsi" w:cstheme="minorHAnsi"/>
          <w:sz w:val="16"/>
        </w:rPr>
        <w:footnoteRef/>
      </w:r>
      <w:r w:rsidRPr="00EF2596">
        <w:rPr>
          <w:rFonts w:asciiTheme="minorHAnsi" w:hAnsiTheme="minorHAnsi" w:cstheme="minorHAnsi"/>
          <w:sz w:val="16"/>
        </w:rPr>
        <w:t xml:space="preserve"> </w:t>
      </w:r>
      <w:r w:rsidRPr="00EF2596">
        <w:rPr>
          <w:rFonts w:asciiTheme="minorHAnsi" w:hAnsiTheme="minorHAnsi" w:cstheme="minorHAnsi"/>
          <w:sz w:val="16"/>
          <w:lang w:val="en-AU"/>
        </w:rPr>
        <w:t xml:space="preserve">The </w:t>
      </w:r>
      <w:r>
        <w:rPr>
          <w:rFonts w:asciiTheme="minorHAnsi" w:hAnsiTheme="minorHAnsi" w:cstheme="minorHAnsi"/>
          <w:sz w:val="16"/>
          <w:lang w:val="en-AU"/>
        </w:rPr>
        <w:t>Australian Organ and Tissue Donation and Transplantation Authority</w:t>
      </w:r>
      <w:r w:rsidRPr="00EF2596">
        <w:rPr>
          <w:rFonts w:asciiTheme="minorHAnsi" w:hAnsiTheme="minorHAnsi" w:cstheme="minorHAnsi"/>
          <w:sz w:val="16"/>
          <w:lang w:val="en-AU"/>
        </w:rPr>
        <w:t xml:space="preserve"> “Organ Retrieval and Transplantation by Jurisdiction</w:t>
      </w:r>
      <w:r>
        <w:rPr>
          <w:rFonts w:asciiTheme="minorHAnsi" w:hAnsiTheme="minorHAnsi" w:cstheme="minorHAnsi"/>
          <w:sz w:val="16"/>
          <w:lang w:val="en-AU"/>
        </w:rPr>
        <w:t xml:space="preserve"> 2017</w:t>
      </w:r>
      <w:r w:rsidRPr="00EF2596">
        <w:rPr>
          <w:rFonts w:asciiTheme="minorHAnsi" w:hAnsiTheme="minorHAnsi" w:cstheme="minorHAnsi"/>
          <w:sz w:val="16"/>
          <w:lang w:val="en-AU"/>
        </w:rPr>
        <w:t>” (received August 2018).</w:t>
      </w:r>
    </w:p>
  </w:footnote>
  <w:footnote w:id="49">
    <w:p w14:paraId="41DBD116" w14:textId="77777777" w:rsidR="00D930F7" w:rsidRPr="00EF2596" w:rsidRDefault="00D930F7" w:rsidP="00EF2596">
      <w:pPr>
        <w:widowControl/>
        <w:autoSpaceDE/>
        <w:autoSpaceDN/>
        <w:adjustRightInd/>
        <w:spacing w:after="0"/>
        <w:rPr>
          <w:rFonts w:ascii="Calibri" w:hAnsi="Calibri" w:cs="Calibri"/>
          <w:color w:val="000000"/>
          <w:sz w:val="16"/>
          <w:szCs w:val="16"/>
          <w:lang w:eastAsia="en-AU"/>
        </w:rPr>
      </w:pPr>
      <w:r w:rsidRPr="00447661">
        <w:rPr>
          <w:rStyle w:val="FootnoteReference"/>
          <w:rFonts w:asciiTheme="minorHAnsi" w:hAnsiTheme="minorHAnsi" w:cstheme="minorHAnsi"/>
          <w:sz w:val="16"/>
          <w:szCs w:val="16"/>
        </w:rPr>
        <w:footnoteRef/>
      </w:r>
      <w:r w:rsidRPr="00447661">
        <w:rPr>
          <w:rFonts w:asciiTheme="minorHAnsi" w:hAnsiTheme="minorHAnsi" w:cstheme="minorHAnsi"/>
          <w:sz w:val="16"/>
          <w:szCs w:val="16"/>
        </w:rPr>
        <w:t xml:space="preserve"> </w:t>
      </w:r>
      <w:r>
        <w:rPr>
          <w:rFonts w:asciiTheme="minorHAnsi" w:hAnsiTheme="minorHAnsi" w:cstheme="minorHAnsi"/>
          <w:sz w:val="16"/>
        </w:rPr>
        <w:t>National Organ Matching System, as provided by the OTA</w:t>
      </w:r>
      <w:r w:rsidRPr="00EF2596">
        <w:rPr>
          <w:rFonts w:asciiTheme="minorHAnsi" w:hAnsiTheme="minorHAnsi" w:cstheme="minorHAnsi"/>
          <w:sz w:val="16"/>
        </w:rPr>
        <w:t xml:space="preserve"> “</w:t>
      </w:r>
      <w:r>
        <w:rPr>
          <w:rFonts w:asciiTheme="minorHAnsi" w:hAnsiTheme="minorHAnsi" w:cstheme="minorHAnsi"/>
          <w:sz w:val="16"/>
        </w:rPr>
        <w:t xml:space="preserve">Kidney </w:t>
      </w:r>
      <w:r w:rsidRPr="00EF2596">
        <w:rPr>
          <w:rFonts w:asciiTheme="minorHAnsi" w:hAnsiTheme="minorHAnsi" w:cstheme="minorHAnsi"/>
          <w:sz w:val="16"/>
        </w:rPr>
        <w:t>Proportion of Offers and Acceptances for 2017” received (September 2018)</w:t>
      </w:r>
      <w:r>
        <w:rPr>
          <w:rFonts w:asciiTheme="minorHAnsi" w:hAnsiTheme="minorHAnsi" w:cstheme="minorHAnsi"/>
          <w:sz w:val="16"/>
        </w:rPr>
        <w:t xml:space="preserve">; </w:t>
      </w:r>
      <w:r w:rsidRPr="00EF2596">
        <w:rPr>
          <w:rFonts w:asciiTheme="minorHAnsi" w:hAnsiTheme="minorHAnsi" w:cstheme="minorHAnsi"/>
          <w:sz w:val="16"/>
        </w:rPr>
        <w:t xml:space="preserve">The </w:t>
      </w:r>
      <w:r>
        <w:rPr>
          <w:rFonts w:asciiTheme="minorHAnsi" w:hAnsiTheme="minorHAnsi" w:cstheme="minorHAnsi"/>
          <w:sz w:val="16"/>
        </w:rPr>
        <w:t>Australian Organ and Tissue Donation and Transplantation Authority</w:t>
      </w:r>
      <w:r w:rsidRPr="00EF2596">
        <w:rPr>
          <w:rFonts w:asciiTheme="minorHAnsi" w:hAnsiTheme="minorHAnsi" w:cstheme="minorHAnsi"/>
          <w:sz w:val="16"/>
        </w:rPr>
        <w:t xml:space="preserve"> “Organ Retrieval and Transplantation by Jurisdiction</w:t>
      </w:r>
      <w:r>
        <w:rPr>
          <w:rFonts w:asciiTheme="minorHAnsi" w:hAnsiTheme="minorHAnsi" w:cstheme="minorHAnsi"/>
          <w:sz w:val="16"/>
        </w:rPr>
        <w:t xml:space="preserve"> 2017</w:t>
      </w:r>
      <w:r w:rsidRPr="00EF2596">
        <w:rPr>
          <w:rFonts w:asciiTheme="minorHAnsi" w:hAnsiTheme="minorHAnsi" w:cstheme="minorHAnsi"/>
          <w:sz w:val="16"/>
        </w:rPr>
        <w:t>” (received August 2018).</w:t>
      </w:r>
    </w:p>
  </w:footnote>
  <w:footnote w:id="50">
    <w:p w14:paraId="28F119A7" w14:textId="77777777" w:rsidR="00D930F7" w:rsidRPr="009D5EBC" w:rsidRDefault="00D930F7" w:rsidP="008E68F4">
      <w:pPr>
        <w:pStyle w:val="FootnoteText"/>
        <w:rPr>
          <w:rFonts w:asciiTheme="minorHAnsi" w:hAnsiTheme="minorHAnsi" w:cstheme="minorHAnsi"/>
          <w:sz w:val="16"/>
          <w:szCs w:val="16"/>
          <w:lang w:val="en-AU"/>
        </w:rPr>
      </w:pPr>
      <w:r w:rsidRPr="00AA607F">
        <w:rPr>
          <w:rStyle w:val="FootnoteReference"/>
          <w:rFonts w:asciiTheme="minorHAnsi" w:hAnsiTheme="minorHAnsi" w:cstheme="minorHAnsi"/>
          <w:sz w:val="16"/>
          <w:szCs w:val="16"/>
        </w:rPr>
        <w:footnoteRef/>
      </w:r>
      <w:r w:rsidRPr="00AA607F">
        <w:rPr>
          <w:rFonts w:asciiTheme="minorHAnsi" w:hAnsiTheme="minorHAnsi" w:cstheme="minorHAnsi"/>
          <w:sz w:val="16"/>
          <w:szCs w:val="16"/>
        </w:rPr>
        <w:t xml:space="preserve"> </w:t>
      </w:r>
      <w:r w:rsidRPr="00EB5889">
        <w:rPr>
          <w:rFonts w:asciiTheme="minorHAnsi" w:hAnsiTheme="minorHAnsi" w:cstheme="minorHAnsi"/>
          <w:sz w:val="16"/>
          <w:szCs w:val="16"/>
        </w:rPr>
        <w:t>The Australasian Transplantation Coordinators Associatio</w:t>
      </w:r>
      <w:r>
        <w:rPr>
          <w:rFonts w:asciiTheme="minorHAnsi" w:hAnsiTheme="minorHAnsi" w:cstheme="minorHAnsi"/>
          <w:sz w:val="16"/>
          <w:szCs w:val="16"/>
        </w:rPr>
        <w:t xml:space="preserve">n et al, </w:t>
      </w:r>
      <w:r w:rsidRPr="00056DA1">
        <w:rPr>
          <w:rFonts w:asciiTheme="minorHAnsi" w:hAnsiTheme="minorHAnsi" w:cstheme="minorHAnsi"/>
          <w:sz w:val="16"/>
          <w:szCs w:val="16"/>
          <w:lang w:val="en-AU"/>
        </w:rPr>
        <w:t xml:space="preserve">2017, </w:t>
      </w:r>
      <w:r w:rsidRPr="00EF2596">
        <w:rPr>
          <w:rFonts w:asciiTheme="minorHAnsi" w:hAnsiTheme="minorHAnsi" w:cstheme="minorHAnsi"/>
          <w:i/>
          <w:sz w:val="16"/>
          <w:szCs w:val="16"/>
          <w:lang w:val="en-AU"/>
        </w:rPr>
        <w:t>National Standard Operating Procedures: Organ allocation, organ rotation, urgent listing an</w:t>
      </w:r>
      <w:r>
        <w:rPr>
          <w:rFonts w:asciiTheme="minorHAnsi" w:hAnsiTheme="minorHAnsi" w:cstheme="minorHAnsi"/>
          <w:i/>
          <w:sz w:val="16"/>
          <w:szCs w:val="16"/>
          <w:lang w:val="en-AU"/>
        </w:rPr>
        <w:t xml:space="preserve">d auditing process, Version 2.1, </w:t>
      </w:r>
      <w:r>
        <w:rPr>
          <w:rFonts w:asciiTheme="minorHAnsi" w:hAnsiTheme="minorHAnsi" w:cstheme="minorHAnsi"/>
          <w:sz w:val="16"/>
          <w:szCs w:val="16"/>
          <w:lang w:val="en-AU"/>
        </w:rPr>
        <w:t>Canberra, viewed August 2018, &lt;</w:t>
      </w:r>
      <w:r w:rsidRPr="00056DA1">
        <w:rPr>
          <w:rFonts w:asciiTheme="minorHAnsi" w:hAnsiTheme="minorHAnsi" w:cstheme="minorHAnsi"/>
          <w:sz w:val="16"/>
          <w:szCs w:val="16"/>
          <w:lang w:val="en-AU"/>
        </w:rPr>
        <w:t>http://www.atca</w:t>
      </w:r>
      <w:r w:rsidRPr="003A55C0">
        <w:rPr>
          <w:rFonts w:asciiTheme="minorHAnsi" w:hAnsiTheme="minorHAnsi" w:cstheme="minorHAnsi"/>
          <w:sz w:val="16"/>
          <w:szCs w:val="16"/>
          <w:lang w:val="en-AU"/>
        </w:rPr>
        <w:t>.org.au/files/ATCA_TSANZ%20SOP%20001.2017.pdf</w:t>
      </w:r>
      <w:r>
        <w:rPr>
          <w:rFonts w:asciiTheme="minorHAnsi" w:hAnsiTheme="minorHAnsi" w:cstheme="minorHAnsi"/>
          <w:sz w:val="16"/>
          <w:szCs w:val="16"/>
          <w:lang w:val="en-AU"/>
        </w:rPr>
        <w:t>&gt;.</w:t>
      </w:r>
    </w:p>
  </w:footnote>
  <w:footnote w:id="51">
    <w:p w14:paraId="4471DB48" w14:textId="77777777" w:rsidR="00D930F7" w:rsidRPr="00C339A5" w:rsidRDefault="00D930F7" w:rsidP="00EF2596">
      <w:pPr>
        <w:widowControl/>
        <w:autoSpaceDE/>
        <w:autoSpaceDN/>
        <w:adjustRightInd/>
        <w:spacing w:after="0"/>
        <w:rPr>
          <w:rFonts w:asciiTheme="minorHAnsi" w:hAnsiTheme="minorHAnsi" w:cstheme="minorHAnsi"/>
          <w:color w:val="000000"/>
          <w:sz w:val="16"/>
          <w:szCs w:val="16"/>
          <w:lang w:eastAsia="en-AU"/>
        </w:rPr>
      </w:pPr>
      <w:r w:rsidRPr="00C339A5">
        <w:rPr>
          <w:rStyle w:val="FootnoteReference"/>
          <w:rFonts w:asciiTheme="minorHAnsi" w:hAnsiTheme="minorHAnsi" w:cstheme="minorHAnsi"/>
          <w:sz w:val="16"/>
          <w:szCs w:val="16"/>
        </w:rPr>
        <w:footnoteRef/>
      </w:r>
      <w:r w:rsidRPr="00C339A5">
        <w:rPr>
          <w:rFonts w:asciiTheme="minorHAnsi" w:hAnsiTheme="minorHAnsi" w:cstheme="minorHAnsi"/>
          <w:sz w:val="16"/>
          <w:szCs w:val="16"/>
        </w:rPr>
        <w:t xml:space="preserve"> </w:t>
      </w:r>
      <w:r w:rsidRPr="00641CEC">
        <w:rPr>
          <w:rFonts w:asciiTheme="minorHAnsi" w:eastAsiaTheme="minorHAnsi" w:hAnsiTheme="minorHAnsi" w:cstheme="minorHAnsi"/>
          <w:sz w:val="16"/>
          <w:szCs w:val="16"/>
          <w:lang w:val="en-US"/>
        </w:rPr>
        <w:t>The National Medical Health and Research Council, above n. 37.</w:t>
      </w:r>
    </w:p>
  </w:footnote>
  <w:footnote w:id="52">
    <w:p w14:paraId="5EF63B29" w14:textId="77777777" w:rsidR="00D930F7" w:rsidRPr="00EF2596" w:rsidRDefault="00D930F7">
      <w:pPr>
        <w:pStyle w:val="FootnoteText"/>
        <w:rPr>
          <w:lang w:val="en-AU"/>
        </w:rPr>
      </w:pPr>
      <w:r w:rsidRPr="00C339A5">
        <w:rPr>
          <w:rStyle w:val="FootnoteReference"/>
          <w:rFonts w:asciiTheme="minorHAnsi" w:hAnsiTheme="minorHAnsi" w:cstheme="minorHAnsi"/>
          <w:sz w:val="16"/>
          <w:szCs w:val="16"/>
        </w:rPr>
        <w:footnoteRef/>
      </w:r>
      <w:r w:rsidRPr="00C339A5">
        <w:rPr>
          <w:rFonts w:asciiTheme="minorHAnsi" w:hAnsiTheme="minorHAnsi" w:cstheme="minorHAnsi"/>
          <w:sz w:val="16"/>
          <w:szCs w:val="16"/>
        </w:rPr>
        <w:t xml:space="preserve"> The Australasian Transplantation Coordinators Association, </w:t>
      </w:r>
      <w:r>
        <w:rPr>
          <w:rFonts w:asciiTheme="minorHAnsi" w:hAnsiTheme="minorHAnsi" w:cstheme="minorHAnsi"/>
          <w:sz w:val="16"/>
          <w:szCs w:val="16"/>
          <w:lang w:val="en-AU"/>
        </w:rPr>
        <w:t>above n.54</w:t>
      </w:r>
      <w:r w:rsidRPr="00C339A5">
        <w:rPr>
          <w:rFonts w:asciiTheme="minorHAnsi" w:hAnsiTheme="minorHAnsi" w:cstheme="minorHAnsi"/>
          <w:sz w:val="16"/>
          <w:szCs w:val="16"/>
          <w:lang w:val="en-AU"/>
        </w:rPr>
        <w:t>.</w:t>
      </w:r>
    </w:p>
  </w:footnote>
  <w:footnote w:id="53">
    <w:p w14:paraId="5098EBE1" w14:textId="77777777" w:rsidR="00D930F7" w:rsidRPr="00D40C14" w:rsidRDefault="00D930F7" w:rsidP="00C43CA7">
      <w:pPr>
        <w:pStyle w:val="FootnoteText"/>
        <w:rPr>
          <w:rFonts w:asciiTheme="minorHAnsi" w:hAnsiTheme="minorHAnsi" w:cstheme="minorHAnsi"/>
          <w:sz w:val="16"/>
          <w:szCs w:val="16"/>
          <w:lang w:val="en-AU"/>
        </w:rPr>
      </w:pPr>
      <w:r w:rsidRPr="00D40C14">
        <w:rPr>
          <w:rStyle w:val="FootnoteReference"/>
          <w:rFonts w:asciiTheme="minorHAnsi" w:hAnsiTheme="minorHAnsi" w:cstheme="minorHAnsi"/>
          <w:sz w:val="16"/>
          <w:szCs w:val="16"/>
        </w:rPr>
        <w:footnoteRef/>
      </w:r>
      <w:r w:rsidRPr="00D40C14">
        <w:rPr>
          <w:rFonts w:asciiTheme="minorHAnsi" w:hAnsiTheme="minorHAnsi" w:cstheme="minorHAnsi"/>
          <w:sz w:val="16"/>
          <w:szCs w:val="16"/>
        </w:rPr>
        <w:t xml:space="preserve"> Schraufnagel DP</w:t>
      </w:r>
      <w:r>
        <w:rPr>
          <w:rFonts w:asciiTheme="minorHAnsi" w:hAnsiTheme="minorHAnsi" w:cstheme="minorHAnsi"/>
          <w:sz w:val="16"/>
          <w:szCs w:val="16"/>
        </w:rPr>
        <w:t xml:space="preserve"> et al, </w:t>
      </w:r>
      <w:r w:rsidRPr="00D40C14">
        <w:rPr>
          <w:rFonts w:asciiTheme="minorHAnsi" w:hAnsiTheme="minorHAnsi" w:cstheme="minorHAnsi"/>
          <w:sz w:val="16"/>
          <w:szCs w:val="16"/>
        </w:rPr>
        <w:t>2018</w:t>
      </w:r>
      <w:r>
        <w:rPr>
          <w:rFonts w:asciiTheme="minorHAnsi" w:hAnsiTheme="minorHAnsi" w:cstheme="minorHAnsi"/>
          <w:sz w:val="16"/>
          <w:szCs w:val="16"/>
        </w:rPr>
        <w:t>, ‘</w:t>
      </w:r>
      <w:r w:rsidRPr="000928C6">
        <w:rPr>
          <w:rFonts w:asciiTheme="minorHAnsi" w:hAnsiTheme="minorHAnsi" w:cstheme="minorHAnsi"/>
          <w:sz w:val="16"/>
          <w:szCs w:val="16"/>
        </w:rPr>
        <w:t>Devices for ex vivo heart and lung perfusion</w:t>
      </w:r>
      <w:r>
        <w:rPr>
          <w:rFonts w:asciiTheme="minorHAnsi" w:hAnsiTheme="minorHAnsi" w:cstheme="minorHAnsi"/>
          <w:i/>
          <w:sz w:val="16"/>
          <w:szCs w:val="16"/>
        </w:rPr>
        <w:t>’</w:t>
      </w:r>
      <w:r>
        <w:rPr>
          <w:rFonts w:asciiTheme="minorHAnsi" w:hAnsiTheme="minorHAnsi" w:cstheme="minorHAnsi"/>
          <w:sz w:val="16"/>
          <w:szCs w:val="16"/>
        </w:rPr>
        <w:t xml:space="preserve">, </w:t>
      </w:r>
      <w:r>
        <w:rPr>
          <w:rFonts w:asciiTheme="minorHAnsi" w:hAnsiTheme="minorHAnsi" w:cstheme="minorHAnsi"/>
          <w:i/>
          <w:sz w:val="16"/>
          <w:szCs w:val="16"/>
        </w:rPr>
        <w:t>Expert Review of Medical Devices</w:t>
      </w:r>
      <w:r>
        <w:rPr>
          <w:rFonts w:asciiTheme="minorHAnsi" w:hAnsiTheme="minorHAnsi" w:cstheme="minorHAnsi"/>
          <w:sz w:val="16"/>
          <w:szCs w:val="16"/>
        </w:rPr>
        <w:t xml:space="preserve"> vol. 15, Issue.3, pp.</w:t>
      </w:r>
      <w:r w:rsidRPr="00D40C14">
        <w:rPr>
          <w:rFonts w:asciiTheme="minorHAnsi" w:hAnsiTheme="minorHAnsi" w:cstheme="minorHAnsi"/>
          <w:sz w:val="16"/>
          <w:szCs w:val="16"/>
          <w:lang w:val="en"/>
        </w:rPr>
        <w:t>183-191</w:t>
      </w:r>
      <w:r>
        <w:rPr>
          <w:rFonts w:asciiTheme="minorHAnsi" w:hAnsiTheme="minorHAnsi" w:cstheme="minorHAnsi"/>
          <w:sz w:val="16"/>
          <w:szCs w:val="16"/>
          <w:lang w:val="en"/>
        </w:rPr>
        <w:t>.</w:t>
      </w:r>
    </w:p>
  </w:footnote>
  <w:footnote w:id="54">
    <w:p w14:paraId="159E03FD" w14:textId="77777777" w:rsidR="00D930F7" w:rsidRPr="006925E1" w:rsidRDefault="00D930F7">
      <w:pPr>
        <w:pStyle w:val="FootnoteText"/>
        <w:rPr>
          <w:rFonts w:asciiTheme="minorHAnsi" w:hAnsiTheme="minorHAnsi" w:cstheme="minorHAnsi"/>
          <w:sz w:val="16"/>
          <w:szCs w:val="16"/>
          <w:lang w:val="en-AU"/>
        </w:rPr>
      </w:pPr>
      <w:r w:rsidRPr="006925E1">
        <w:rPr>
          <w:rStyle w:val="FootnoteReference"/>
          <w:rFonts w:asciiTheme="minorHAnsi" w:hAnsiTheme="minorHAnsi" w:cstheme="minorHAnsi"/>
          <w:sz w:val="16"/>
          <w:szCs w:val="16"/>
        </w:rPr>
        <w:footnoteRef/>
      </w:r>
      <w:r w:rsidRPr="006925E1">
        <w:rPr>
          <w:rFonts w:asciiTheme="minorHAnsi" w:hAnsiTheme="minorHAnsi" w:cstheme="minorHAnsi"/>
          <w:sz w:val="16"/>
          <w:szCs w:val="16"/>
        </w:rPr>
        <w:t xml:space="preserve"> </w:t>
      </w:r>
      <w:r>
        <w:rPr>
          <w:rFonts w:asciiTheme="minorHAnsi" w:hAnsiTheme="minorHAnsi" w:cstheme="minorHAnsi"/>
          <w:sz w:val="16"/>
          <w:szCs w:val="16"/>
        </w:rPr>
        <w:t xml:space="preserve">Note: </w:t>
      </w:r>
      <w:r w:rsidRPr="006925E1">
        <w:rPr>
          <w:rFonts w:asciiTheme="minorHAnsi" w:hAnsiTheme="minorHAnsi" w:cstheme="minorHAnsi"/>
          <w:sz w:val="16"/>
          <w:szCs w:val="16"/>
          <w:lang w:val="en-AU"/>
        </w:rPr>
        <w:t>Costing of Ex Vivo perfusion technology varies between organs and international literature.</w:t>
      </w:r>
    </w:p>
  </w:footnote>
  <w:footnote w:id="55">
    <w:p w14:paraId="03DDC034" w14:textId="77777777" w:rsidR="00D930F7" w:rsidRPr="00914D3B" w:rsidRDefault="00D930F7" w:rsidP="001E17E5">
      <w:pPr>
        <w:pStyle w:val="FootnoteText"/>
        <w:rPr>
          <w:rFonts w:asciiTheme="minorHAnsi" w:hAnsiTheme="minorHAnsi" w:cstheme="minorHAnsi"/>
          <w:sz w:val="16"/>
          <w:szCs w:val="16"/>
          <w:lang w:val="en-AU"/>
        </w:rPr>
      </w:pPr>
      <w:r w:rsidRPr="00914D3B">
        <w:rPr>
          <w:rStyle w:val="FootnoteReference"/>
          <w:rFonts w:asciiTheme="minorHAnsi" w:hAnsiTheme="minorHAnsi" w:cstheme="minorHAnsi"/>
          <w:sz w:val="16"/>
          <w:szCs w:val="16"/>
        </w:rPr>
        <w:footnoteRef/>
      </w:r>
      <w:r w:rsidRPr="00914D3B">
        <w:rPr>
          <w:rFonts w:asciiTheme="minorHAnsi" w:hAnsiTheme="minorHAnsi" w:cstheme="minorHAnsi"/>
          <w:sz w:val="16"/>
          <w:szCs w:val="16"/>
        </w:rPr>
        <w:t xml:space="preserve"> </w:t>
      </w:r>
      <w:r>
        <w:rPr>
          <w:rFonts w:asciiTheme="minorHAnsi" w:hAnsiTheme="minorHAnsi" w:cstheme="minorHAnsi"/>
          <w:sz w:val="16"/>
          <w:szCs w:val="16"/>
        </w:rPr>
        <w:t>Dhital KK, 2015, above n.51.</w:t>
      </w:r>
    </w:p>
  </w:footnote>
  <w:footnote w:id="56">
    <w:p w14:paraId="10592B81" w14:textId="77777777" w:rsidR="00D930F7" w:rsidRPr="00914D3B" w:rsidRDefault="00D930F7" w:rsidP="001E17E5">
      <w:pPr>
        <w:pStyle w:val="FootnoteText"/>
        <w:rPr>
          <w:rFonts w:asciiTheme="minorHAnsi" w:hAnsiTheme="minorHAnsi" w:cstheme="minorHAnsi"/>
          <w:sz w:val="16"/>
          <w:szCs w:val="16"/>
          <w:lang w:val="en-AU"/>
        </w:rPr>
      </w:pPr>
      <w:r w:rsidRPr="00914D3B">
        <w:rPr>
          <w:rStyle w:val="FootnoteReference"/>
          <w:rFonts w:asciiTheme="minorHAnsi" w:hAnsiTheme="minorHAnsi" w:cstheme="minorHAnsi"/>
          <w:sz w:val="16"/>
          <w:szCs w:val="16"/>
        </w:rPr>
        <w:footnoteRef/>
      </w:r>
      <w:r w:rsidRPr="00914D3B">
        <w:rPr>
          <w:rFonts w:asciiTheme="minorHAnsi" w:hAnsiTheme="minorHAnsi" w:cstheme="minorHAnsi"/>
          <w:sz w:val="16"/>
          <w:szCs w:val="16"/>
        </w:rPr>
        <w:t xml:space="preserve"> Cypel M, Keshavjee S, 2016,</w:t>
      </w:r>
      <w:r>
        <w:rPr>
          <w:rFonts w:asciiTheme="minorHAnsi" w:hAnsiTheme="minorHAnsi" w:cstheme="minorHAnsi"/>
          <w:sz w:val="16"/>
          <w:szCs w:val="16"/>
        </w:rPr>
        <w:t xml:space="preserve"> above n.52</w:t>
      </w:r>
    </w:p>
  </w:footnote>
  <w:footnote w:id="57">
    <w:p w14:paraId="7485C935" w14:textId="77777777" w:rsidR="00D930F7" w:rsidRPr="00EF2596" w:rsidRDefault="00D930F7" w:rsidP="001E17E5">
      <w:pPr>
        <w:pStyle w:val="FootnoteText"/>
        <w:rPr>
          <w:lang w:val="en-AU"/>
        </w:rPr>
      </w:pPr>
      <w:r w:rsidRPr="00914D3B">
        <w:rPr>
          <w:rStyle w:val="FootnoteReference"/>
          <w:rFonts w:asciiTheme="minorHAnsi" w:hAnsiTheme="minorHAnsi" w:cstheme="minorHAnsi"/>
          <w:sz w:val="16"/>
          <w:szCs w:val="16"/>
        </w:rPr>
        <w:footnoteRef/>
      </w:r>
      <w:r w:rsidRPr="00914D3B">
        <w:rPr>
          <w:rFonts w:asciiTheme="minorHAnsi" w:hAnsiTheme="minorHAnsi" w:cstheme="minorHAnsi"/>
          <w:sz w:val="16"/>
          <w:szCs w:val="16"/>
        </w:rPr>
        <w:t xml:space="preserve"> </w:t>
      </w:r>
      <w:r>
        <w:rPr>
          <w:rFonts w:asciiTheme="minorHAnsi" w:hAnsiTheme="minorHAnsi" w:cstheme="minorHAnsi"/>
          <w:sz w:val="16"/>
          <w:szCs w:val="16"/>
          <w:lang w:val="en-AU"/>
        </w:rPr>
        <w:t>Ibid.</w:t>
      </w:r>
    </w:p>
  </w:footnote>
  <w:footnote w:id="58">
    <w:p w14:paraId="6A0BADF1"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sidRPr="00EF2596">
        <w:rPr>
          <w:rFonts w:asciiTheme="minorHAnsi" w:hAnsiTheme="minorHAnsi" w:cstheme="minorHAnsi"/>
          <w:sz w:val="16"/>
          <w:szCs w:val="16"/>
          <w:lang w:val="en-AU"/>
        </w:rPr>
        <w:t>Th</w:t>
      </w:r>
      <w:r>
        <w:rPr>
          <w:rFonts w:asciiTheme="minorHAnsi" w:hAnsiTheme="minorHAnsi" w:cstheme="minorHAnsi"/>
          <w:sz w:val="16"/>
          <w:szCs w:val="16"/>
          <w:lang w:val="en-AU"/>
        </w:rPr>
        <w:t>e Australia and New Zealand Organ Registry, as received by the OTA</w:t>
      </w:r>
      <w:r w:rsidRPr="00EF2596">
        <w:rPr>
          <w:rFonts w:asciiTheme="minorHAnsi" w:hAnsiTheme="minorHAnsi" w:cstheme="minorHAnsi"/>
          <w:sz w:val="16"/>
          <w:szCs w:val="16"/>
          <w:lang w:val="en-AU"/>
        </w:rPr>
        <w:t>, “Retrievals by unit 2009 – 2018 Ja</w:t>
      </w:r>
      <w:r>
        <w:rPr>
          <w:rFonts w:asciiTheme="minorHAnsi" w:hAnsiTheme="minorHAnsi" w:cstheme="minorHAnsi"/>
          <w:sz w:val="16"/>
          <w:szCs w:val="16"/>
          <w:lang w:val="en-AU"/>
        </w:rPr>
        <w:t>n-Sept” (Received October 2018</w:t>
      </w:r>
      <w:r w:rsidRPr="00EF2596">
        <w:rPr>
          <w:rFonts w:asciiTheme="minorHAnsi" w:hAnsiTheme="minorHAnsi" w:cstheme="minorHAnsi"/>
          <w:sz w:val="16"/>
          <w:szCs w:val="16"/>
          <w:lang w:val="en-AU"/>
        </w:rPr>
        <w:t xml:space="preserve">). </w:t>
      </w:r>
    </w:p>
  </w:footnote>
  <w:footnote w:id="59">
    <w:p w14:paraId="5D1CD6C2" w14:textId="77777777" w:rsidR="00D930F7" w:rsidRPr="00BB2B83" w:rsidRDefault="00D930F7">
      <w:pPr>
        <w:pStyle w:val="FootnoteText"/>
        <w:rPr>
          <w:rFonts w:asciiTheme="minorHAnsi" w:hAnsiTheme="minorHAnsi" w:cstheme="minorHAnsi"/>
          <w:lang w:val="en-AU"/>
        </w:rPr>
      </w:pPr>
      <w:r w:rsidRPr="00BB2B83">
        <w:rPr>
          <w:rStyle w:val="FootnoteReference"/>
          <w:rFonts w:asciiTheme="minorHAnsi" w:hAnsiTheme="minorHAnsi" w:cstheme="minorHAnsi"/>
          <w:sz w:val="16"/>
        </w:rPr>
        <w:footnoteRef/>
      </w:r>
      <w:r w:rsidRPr="00BB2B83">
        <w:rPr>
          <w:rFonts w:asciiTheme="minorHAnsi" w:hAnsiTheme="minorHAnsi" w:cstheme="minorHAnsi"/>
          <w:sz w:val="16"/>
        </w:rPr>
        <w:t xml:space="preserve"> </w:t>
      </w:r>
      <w:r>
        <w:rPr>
          <w:rFonts w:asciiTheme="minorHAnsi" w:hAnsiTheme="minorHAnsi" w:cstheme="minorHAnsi"/>
          <w:sz w:val="16"/>
          <w:szCs w:val="16"/>
          <w:lang w:val="en-AU"/>
        </w:rPr>
        <w:t>Ibid.</w:t>
      </w:r>
    </w:p>
  </w:footnote>
  <w:footnote w:id="60">
    <w:p w14:paraId="3667B302" w14:textId="77777777" w:rsidR="00D930F7" w:rsidRPr="00EF2596" w:rsidRDefault="00D930F7" w:rsidP="00EF2596">
      <w:pPr>
        <w:widowControl/>
        <w:autoSpaceDE/>
        <w:autoSpaceDN/>
        <w:adjustRightInd/>
        <w:spacing w:after="0"/>
        <w:rPr>
          <w:rFonts w:ascii="Calibri" w:hAnsi="Calibri" w:cs="Calibri"/>
          <w:color w:val="000000"/>
          <w:sz w:val="16"/>
          <w:szCs w:val="16"/>
          <w:lang w:eastAsia="en-AU"/>
        </w:rPr>
      </w:pPr>
      <w:r w:rsidRPr="00D40C14">
        <w:rPr>
          <w:rStyle w:val="FootnoteReference"/>
          <w:rFonts w:asciiTheme="minorHAnsi" w:hAnsiTheme="minorHAnsi" w:cstheme="minorHAnsi"/>
          <w:sz w:val="16"/>
          <w:szCs w:val="16"/>
        </w:rPr>
        <w:footnoteRef/>
      </w:r>
      <w:r w:rsidRPr="00D40C14">
        <w:rPr>
          <w:rFonts w:asciiTheme="minorHAnsi" w:hAnsiTheme="minorHAnsi" w:cstheme="minorHAnsi"/>
          <w:sz w:val="16"/>
          <w:szCs w:val="16"/>
        </w:rPr>
        <w:t xml:space="preserve"> </w:t>
      </w:r>
      <w:r>
        <w:rPr>
          <w:rFonts w:ascii="Calibri" w:hAnsi="Calibri" w:cs="Calibri"/>
          <w:color w:val="000000"/>
          <w:sz w:val="16"/>
          <w:szCs w:val="16"/>
          <w:lang w:eastAsia="en-AU"/>
        </w:rPr>
        <w:t>The Australian Organ and Tissue Donation and Transplantation Authority, above n. 44.</w:t>
      </w:r>
    </w:p>
  </w:footnote>
  <w:footnote w:id="61">
    <w:p w14:paraId="434B2819" w14:textId="77777777" w:rsidR="00D930F7" w:rsidRPr="00EF2596" w:rsidRDefault="00D930F7">
      <w:pPr>
        <w:pStyle w:val="FootnoteText"/>
        <w:rPr>
          <w:lang w:val="en-AU"/>
        </w:rPr>
      </w:pPr>
      <w:r w:rsidRPr="00EF2596">
        <w:rPr>
          <w:rStyle w:val="FootnoteReference"/>
          <w:rFonts w:asciiTheme="minorHAnsi" w:hAnsiTheme="minorHAnsi" w:cstheme="minorHAnsi"/>
          <w:sz w:val="16"/>
        </w:rPr>
        <w:footnoteRef/>
      </w:r>
      <w:r w:rsidRPr="00EF2596">
        <w:rPr>
          <w:rFonts w:asciiTheme="minorHAnsi" w:hAnsiTheme="minorHAnsi" w:cstheme="minorHAnsi"/>
          <w:sz w:val="16"/>
        </w:rPr>
        <w:t xml:space="preserve"> </w:t>
      </w:r>
      <w:r w:rsidRPr="001D7C3C">
        <w:rPr>
          <w:rFonts w:asciiTheme="minorHAnsi" w:hAnsiTheme="minorHAnsi" w:cstheme="minorHAnsi"/>
          <w:sz w:val="16"/>
          <w:szCs w:val="16"/>
          <w:lang w:val="en-AU"/>
        </w:rPr>
        <w:t xml:space="preserve">The Australia and New Zealand Dialysis and Transplant Registry, </w:t>
      </w:r>
      <w:r>
        <w:rPr>
          <w:rFonts w:asciiTheme="minorHAnsi" w:hAnsiTheme="minorHAnsi" w:cstheme="minorHAnsi"/>
          <w:sz w:val="16"/>
          <w:szCs w:val="16"/>
          <w:lang w:val="en-AU"/>
        </w:rPr>
        <w:t>above n.56.</w:t>
      </w:r>
    </w:p>
  </w:footnote>
  <w:footnote w:id="62">
    <w:p w14:paraId="652164F4" w14:textId="77777777" w:rsidR="00D930F7" w:rsidRPr="00C339A5" w:rsidRDefault="00D930F7" w:rsidP="00F23D1D">
      <w:pPr>
        <w:pStyle w:val="FootnoteText"/>
        <w:rPr>
          <w:rFonts w:asciiTheme="minorHAnsi" w:hAnsiTheme="minorHAnsi" w:cstheme="minorHAnsi"/>
          <w:sz w:val="16"/>
          <w:szCs w:val="16"/>
          <w:lang w:val="en-AU"/>
        </w:rPr>
      </w:pPr>
      <w:r w:rsidRPr="00C339A5">
        <w:rPr>
          <w:rStyle w:val="FootnoteReference"/>
          <w:rFonts w:asciiTheme="minorHAnsi" w:hAnsiTheme="minorHAnsi" w:cstheme="minorHAnsi"/>
          <w:sz w:val="16"/>
          <w:szCs w:val="16"/>
        </w:rPr>
        <w:footnoteRef/>
      </w:r>
      <w:r w:rsidRPr="00C339A5">
        <w:rPr>
          <w:rFonts w:asciiTheme="minorHAnsi" w:hAnsiTheme="minorHAnsi" w:cstheme="minorHAnsi"/>
          <w:sz w:val="16"/>
          <w:szCs w:val="16"/>
        </w:rPr>
        <w:t xml:space="preserve"> </w:t>
      </w:r>
      <w:r>
        <w:rPr>
          <w:rFonts w:asciiTheme="minorHAnsi" w:hAnsiTheme="minorHAnsi" w:cstheme="minorHAnsi"/>
          <w:sz w:val="16"/>
          <w:szCs w:val="16"/>
          <w:lang w:val="en-AU"/>
        </w:rPr>
        <w:t>Australia and New Zealand Organ Registry, as received by the OTA</w:t>
      </w:r>
      <w:r w:rsidRPr="00C339A5">
        <w:rPr>
          <w:rFonts w:asciiTheme="minorHAnsi" w:hAnsiTheme="minorHAnsi" w:cstheme="minorHAnsi"/>
          <w:sz w:val="16"/>
          <w:szCs w:val="16"/>
        </w:rPr>
        <w:t xml:space="preserve">, “Transplant Procedure Growth 2009 – 2017 – Lung” (received September 2018). </w:t>
      </w:r>
    </w:p>
  </w:footnote>
  <w:footnote w:id="63">
    <w:p w14:paraId="7544AE72" w14:textId="77777777" w:rsidR="00D930F7" w:rsidRPr="00C339A5" w:rsidRDefault="00D930F7" w:rsidP="003F621E">
      <w:pPr>
        <w:pStyle w:val="FootnoteText"/>
        <w:rPr>
          <w:rFonts w:asciiTheme="minorHAnsi" w:hAnsiTheme="minorHAnsi" w:cstheme="minorHAnsi"/>
          <w:sz w:val="16"/>
          <w:szCs w:val="16"/>
          <w:lang w:val="en-AU"/>
        </w:rPr>
      </w:pPr>
      <w:r w:rsidRPr="00C339A5">
        <w:rPr>
          <w:rStyle w:val="FootnoteReference"/>
          <w:rFonts w:asciiTheme="minorHAnsi" w:hAnsiTheme="minorHAnsi" w:cstheme="minorHAnsi"/>
          <w:sz w:val="16"/>
          <w:szCs w:val="16"/>
        </w:rPr>
        <w:footnoteRef/>
      </w:r>
      <w:r w:rsidRPr="00C339A5">
        <w:rPr>
          <w:rFonts w:asciiTheme="minorHAnsi" w:hAnsiTheme="minorHAnsi" w:cstheme="minorHAnsi"/>
          <w:sz w:val="16"/>
          <w:szCs w:val="16"/>
        </w:rPr>
        <w:t xml:space="preserve"> </w:t>
      </w:r>
      <w:r>
        <w:rPr>
          <w:rFonts w:asciiTheme="minorHAnsi" w:hAnsiTheme="minorHAnsi" w:cstheme="minorHAnsi"/>
          <w:sz w:val="16"/>
          <w:szCs w:val="16"/>
          <w:lang w:val="en-AU"/>
        </w:rPr>
        <w:t>Australia and New Zealand Organ Registry, as received by the OTA</w:t>
      </w:r>
      <w:r>
        <w:rPr>
          <w:rFonts w:asciiTheme="minorHAnsi" w:hAnsiTheme="minorHAnsi" w:cstheme="minorHAnsi"/>
          <w:sz w:val="16"/>
          <w:szCs w:val="16"/>
        </w:rPr>
        <w:t xml:space="preserve">, </w:t>
      </w:r>
      <w:r w:rsidRPr="00C339A5">
        <w:rPr>
          <w:rFonts w:asciiTheme="minorHAnsi" w:hAnsiTheme="minorHAnsi" w:cstheme="minorHAnsi"/>
          <w:sz w:val="16"/>
          <w:szCs w:val="16"/>
        </w:rPr>
        <w:t>“Transplant Procedure Growth 2009 – 2017 – Heart” (received September 2018).</w:t>
      </w:r>
    </w:p>
  </w:footnote>
  <w:footnote w:id="64">
    <w:p w14:paraId="115BD243" w14:textId="77777777" w:rsidR="00D930F7" w:rsidRPr="00C339A5" w:rsidRDefault="00D930F7" w:rsidP="003F621E">
      <w:pPr>
        <w:pStyle w:val="FootnoteText"/>
        <w:rPr>
          <w:rFonts w:asciiTheme="minorHAnsi" w:hAnsiTheme="minorHAnsi" w:cstheme="minorHAnsi"/>
          <w:sz w:val="16"/>
          <w:szCs w:val="16"/>
          <w:lang w:val="en-AU"/>
        </w:rPr>
      </w:pPr>
      <w:r w:rsidRPr="00C339A5">
        <w:rPr>
          <w:rStyle w:val="FootnoteReference"/>
          <w:rFonts w:asciiTheme="minorHAnsi" w:hAnsiTheme="minorHAnsi" w:cstheme="minorHAnsi"/>
          <w:sz w:val="16"/>
          <w:szCs w:val="16"/>
        </w:rPr>
        <w:footnoteRef/>
      </w:r>
      <w:r w:rsidRPr="00C339A5">
        <w:rPr>
          <w:rFonts w:asciiTheme="minorHAnsi" w:hAnsiTheme="minorHAnsi" w:cstheme="minorHAnsi"/>
          <w:sz w:val="16"/>
          <w:szCs w:val="16"/>
        </w:rPr>
        <w:t xml:space="preserve"> </w:t>
      </w:r>
      <w:r>
        <w:rPr>
          <w:rFonts w:asciiTheme="minorHAnsi" w:hAnsiTheme="minorHAnsi" w:cstheme="minorHAnsi"/>
          <w:sz w:val="16"/>
          <w:szCs w:val="16"/>
          <w:lang w:val="en-AU"/>
        </w:rPr>
        <w:t>Australia and New Zealand Organ Registry, as received by the OTA,</w:t>
      </w:r>
      <w:r w:rsidRPr="00C339A5" w:rsidDel="00237017">
        <w:rPr>
          <w:rFonts w:asciiTheme="minorHAnsi" w:hAnsiTheme="minorHAnsi" w:cstheme="minorHAnsi"/>
          <w:sz w:val="16"/>
          <w:szCs w:val="16"/>
        </w:rPr>
        <w:t xml:space="preserve"> </w:t>
      </w:r>
      <w:r w:rsidRPr="00C339A5">
        <w:rPr>
          <w:rFonts w:asciiTheme="minorHAnsi" w:hAnsiTheme="minorHAnsi" w:cstheme="minorHAnsi"/>
          <w:sz w:val="16"/>
          <w:szCs w:val="16"/>
        </w:rPr>
        <w:t>“Transplant Procedure Growth 2009 – 2017 – Liver” (received September 2018).</w:t>
      </w:r>
    </w:p>
  </w:footnote>
  <w:footnote w:id="65">
    <w:p w14:paraId="574BD439" w14:textId="77777777" w:rsidR="00D930F7" w:rsidRPr="00C339A5" w:rsidRDefault="00D930F7" w:rsidP="007F0188">
      <w:pPr>
        <w:pStyle w:val="FootnoteText"/>
        <w:rPr>
          <w:rFonts w:asciiTheme="minorHAnsi" w:hAnsiTheme="minorHAnsi" w:cstheme="minorHAnsi"/>
          <w:sz w:val="16"/>
          <w:szCs w:val="16"/>
          <w:lang w:val="en-AU"/>
        </w:rPr>
      </w:pPr>
      <w:r w:rsidRPr="00C339A5">
        <w:rPr>
          <w:rStyle w:val="FootnoteReference"/>
          <w:rFonts w:asciiTheme="minorHAnsi" w:hAnsiTheme="minorHAnsi" w:cstheme="minorHAnsi"/>
          <w:sz w:val="16"/>
          <w:szCs w:val="16"/>
        </w:rPr>
        <w:footnoteRef/>
      </w:r>
      <w:r w:rsidRPr="00C339A5">
        <w:rPr>
          <w:rFonts w:asciiTheme="minorHAnsi" w:hAnsiTheme="minorHAnsi" w:cstheme="minorHAnsi"/>
          <w:sz w:val="16"/>
          <w:szCs w:val="16"/>
        </w:rPr>
        <w:t xml:space="preserve"> </w:t>
      </w:r>
      <w:r>
        <w:rPr>
          <w:rFonts w:asciiTheme="minorHAnsi" w:hAnsiTheme="minorHAnsi" w:cstheme="minorHAnsi"/>
          <w:sz w:val="16"/>
          <w:szCs w:val="16"/>
          <w:lang w:val="en-AU"/>
        </w:rPr>
        <w:t>Australia and New Zealand Organ Registry, as received by the OTA</w:t>
      </w:r>
      <w:r>
        <w:rPr>
          <w:rFonts w:asciiTheme="minorHAnsi" w:hAnsiTheme="minorHAnsi" w:cstheme="minorHAnsi"/>
          <w:sz w:val="16"/>
          <w:szCs w:val="16"/>
        </w:rPr>
        <w:t>,</w:t>
      </w:r>
      <w:r w:rsidRPr="00C339A5">
        <w:rPr>
          <w:rFonts w:asciiTheme="minorHAnsi" w:hAnsiTheme="minorHAnsi" w:cstheme="minorHAnsi"/>
          <w:sz w:val="16"/>
          <w:szCs w:val="16"/>
        </w:rPr>
        <w:t xml:space="preserve"> “Transplant Procedure Growth 2009 – 2017 – Kidney” (received September 2018).</w:t>
      </w:r>
    </w:p>
  </w:footnote>
  <w:footnote w:id="66">
    <w:p w14:paraId="1EDCEED3" w14:textId="77777777" w:rsidR="00D930F7" w:rsidRPr="00C339A5" w:rsidRDefault="00D930F7" w:rsidP="007F0188">
      <w:pPr>
        <w:pStyle w:val="FootnoteText"/>
        <w:rPr>
          <w:rFonts w:asciiTheme="minorHAnsi" w:hAnsiTheme="minorHAnsi" w:cstheme="minorHAnsi"/>
          <w:sz w:val="16"/>
          <w:szCs w:val="16"/>
          <w:lang w:val="en-AU"/>
        </w:rPr>
      </w:pPr>
      <w:r w:rsidRPr="00C339A5">
        <w:rPr>
          <w:rStyle w:val="FootnoteReference"/>
          <w:rFonts w:asciiTheme="minorHAnsi" w:hAnsiTheme="minorHAnsi" w:cstheme="minorHAnsi"/>
          <w:sz w:val="16"/>
          <w:szCs w:val="16"/>
        </w:rPr>
        <w:footnoteRef/>
      </w:r>
      <w:r w:rsidRPr="00C339A5">
        <w:rPr>
          <w:rFonts w:asciiTheme="minorHAnsi" w:hAnsiTheme="minorHAnsi" w:cstheme="minorHAnsi"/>
          <w:sz w:val="16"/>
          <w:szCs w:val="16"/>
        </w:rPr>
        <w:t xml:space="preserve"> </w:t>
      </w:r>
      <w:r>
        <w:rPr>
          <w:rFonts w:asciiTheme="minorHAnsi" w:hAnsiTheme="minorHAnsi" w:cstheme="minorHAnsi"/>
          <w:sz w:val="16"/>
          <w:szCs w:val="16"/>
          <w:lang w:val="en-AU"/>
        </w:rPr>
        <w:t>Australia and New Zealand Organ Registry, as received by the OTA</w:t>
      </w:r>
      <w:r>
        <w:rPr>
          <w:rFonts w:asciiTheme="minorHAnsi" w:hAnsiTheme="minorHAnsi" w:cstheme="minorHAnsi"/>
          <w:sz w:val="16"/>
          <w:szCs w:val="16"/>
        </w:rPr>
        <w:t xml:space="preserve">, </w:t>
      </w:r>
      <w:r w:rsidRPr="00C339A5">
        <w:rPr>
          <w:rFonts w:asciiTheme="minorHAnsi" w:hAnsiTheme="minorHAnsi" w:cstheme="minorHAnsi"/>
          <w:sz w:val="16"/>
          <w:szCs w:val="16"/>
        </w:rPr>
        <w:t>“Transplant Procedure Growth 2009 – 2017 – Intestine” (received September 2018).</w:t>
      </w:r>
    </w:p>
  </w:footnote>
  <w:footnote w:id="67">
    <w:p w14:paraId="35E24C70" w14:textId="77777777" w:rsidR="00D930F7" w:rsidRPr="00F51157" w:rsidRDefault="00D930F7" w:rsidP="007F0188">
      <w:pPr>
        <w:pStyle w:val="FootnoteText"/>
        <w:rPr>
          <w:lang w:val="en-AU"/>
        </w:rPr>
      </w:pPr>
      <w:r w:rsidRPr="00C339A5">
        <w:rPr>
          <w:rStyle w:val="FootnoteReference"/>
          <w:rFonts w:asciiTheme="minorHAnsi" w:hAnsiTheme="minorHAnsi" w:cstheme="minorHAnsi"/>
          <w:sz w:val="16"/>
          <w:szCs w:val="16"/>
        </w:rPr>
        <w:footnoteRef/>
      </w:r>
      <w:r w:rsidRPr="00C339A5">
        <w:rPr>
          <w:rFonts w:asciiTheme="minorHAnsi" w:hAnsiTheme="minorHAnsi" w:cstheme="minorHAnsi"/>
          <w:sz w:val="16"/>
          <w:szCs w:val="16"/>
        </w:rPr>
        <w:t xml:space="preserve"> </w:t>
      </w:r>
      <w:r>
        <w:rPr>
          <w:rFonts w:asciiTheme="minorHAnsi" w:hAnsiTheme="minorHAnsi" w:cstheme="minorHAnsi"/>
          <w:sz w:val="16"/>
          <w:szCs w:val="16"/>
          <w:lang w:val="en-AU"/>
        </w:rPr>
        <w:t>Australia and New Zealand Organ Registry, as received by the OTA</w:t>
      </w:r>
      <w:r>
        <w:rPr>
          <w:rFonts w:asciiTheme="minorHAnsi" w:hAnsiTheme="minorHAnsi" w:cstheme="minorHAnsi"/>
          <w:sz w:val="16"/>
          <w:szCs w:val="16"/>
        </w:rPr>
        <w:t xml:space="preserve">, </w:t>
      </w:r>
      <w:r w:rsidRPr="00F51157">
        <w:rPr>
          <w:rFonts w:asciiTheme="minorHAnsi" w:hAnsiTheme="minorHAnsi" w:cstheme="minorHAnsi"/>
          <w:sz w:val="16"/>
          <w:szCs w:val="16"/>
        </w:rPr>
        <w:t xml:space="preserve">“Transplant Procedure Growth 2009 – 2017 – </w:t>
      </w:r>
      <w:r>
        <w:rPr>
          <w:rFonts w:asciiTheme="minorHAnsi" w:hAnsiTheme="minorHAnsi" w:cstheme="minorHAnsi"/>
          <w:sz w:val="16"/>
          <w:szCs w:val="16"/>
        </w:rPr>
        <w:t>Pancreas</w:t>
      </w:r>
      <w:r w:rsidRPr="00F51157">
        <w:rPr>
          <w:rFonts w:asciiTheme="minorHAnsi" w:hAnsiTheme="minorHAnsi" w:cstheme="minorHAnsi"/>
          <w:sz w:val="16"/>
          <w:szCs w:val="16"/>
        </w:rPr>
        <w:t>” (received September 2018).</w:t>
      </w:r>
    </w:p>
  </w:footnote>
  <w:footnote w:id="68">
    <w:p w14:paraId="2C3539C9" w14:textId="77777777" w:rsidR="00D930F7" w:rsidRPr="00EF2596" w:rsidRDefault="00D930F7">
      <w:pPr>
        <w:pStyle w:val="FootnoteText"/>
        <w:rPr>
          <w:rFonts w:asciiTheme="minorHAnsi" w:hAnsiTheme="minorHAnsi" w:cstheme="minorHAnsi"/>
          <w:lang w:val="en-AU"/>
        </w:rPr>
      </w:pPr>
      <w:r w:rsidRPr="00EF2596">
        <w:rPr>
          <w:rStyle w:val="FootnoteReference"/>
          <w:rFonts w:asciiTheme="minorHAnsi" w:hAnsiTheme="minorHAnsi" w:cstheme="minorHAnsi"/>
          <w:sz w:val="16"/>
        </w:rPr>
        <w:footnoteRef/>
      </w:r>
      <w:r w:rsidRPr="00EF2596">
        <w:rPr>
          <w:rFonts w:asciiTheme="minorHAnsi" w:hAnsiTheme="minorHAnsi" w:cstheme="minorHAnsi"/>
          <w:sz w:val="16"/>
        </w:rPr>
        <w:t xml:space="preserve"> </w:t>
      </w:r>
      <w:r w:rsidRPr="00EF2596">
        <w:rPr>
          <w:rFonts w:asciiTheme="minorHAnsi" w:hAnsiTheme="minorHAnsi" w:cstheme="minorHAnsi"/>
          <w:i/>
          <w:sz w:val="16"/>
          <w:lang w:val="en-AU"/>
        </w:rPr>
        <w:t>The Privacy Act 1988</w:t>
      </w:r>
      <w:r w:rsidRPr="00EF2596">
        <w:rPr>
          <w:rFonts w:asciiTheme="minorHAnsi" w:hAnsiTheme="minorHAnsi" w:cstheme="minorHAnsi"/>
          <w:sz w:val="16"/>
          <w:lang w:val="en-AU"/>
        </w:rPr>
        <w:t xml:space="preserve"> (Cth)</w:t>
      </w:r>
      <w:r>
        <w:rPr>
          <w:rFonts w:asciiTheme="minorHAnsi" w:hAnsiTheme="minorHAnsi" w:cstheme="minorHAnsi"/>
          <w:sz w:val="16"/>
          <w:lang w:val="en-AU"/>
        </w:rPr>
        <w:t>.</w:t>
      </w:r>
    </w:p>
  </w:footnote>
  <w:footnote w:id="69">
    <w:p w14:paraId="10F6A745"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sidRPr="00EF2596">
        <w:rPr>
          <w:rFonts w:asciiTheme="minorHAnsi" w:hAnsiTheme="minorHAnsi" w:cstheme="minorHAnsi"/>
          <w:sz w:val="16"/>
          <w:szCs w:val="16"/>
          <w:lang w:val="en-AU"/>
        </w:rPr>
        <w:t xml:space="preserve">Schedule 1; </w:t>
      </w:r>
      <w:r w:rsidRPr="003A038E">
        <w:rPr>
          <w:rFonts w:asciiTheme="minorHAnsi" w:hAnsiTheme="minorHAnsi" w:cstheme="minorHAnsi"/>
          <w:i/>
          <w:sz w:val="16"/>
          <w:szCs w:val="16"/>
          <w:lang w:val="en-AU"/>
        </w:rPr>
        <w:t>The Privacy Act 1988</w:t>
      </w:r>
      <w:r w:rsidRPr="00142622">
        <w:rPr>
          <w:rFonts w:asciiTheme="minorHAnsi" w:hAnsiTheme="minorHAnsi" w:cstheme="minorHAnsi"/>
          <w:sz w:val="16"/>
          <w:szCs w:val="16"/>
          <w:lang w:val="en-AU"/>
        </w:rPr>
        <w:t xml:space="preserve"> (Cth)</w:t>
      </w:r>
      <w:r>
        <w:rPr>
          <w:rFonts w:asciiTheme="minorHAnsi" w:hAnsiTheme="minorHAnsi" w:cstheme="minorHAnsi"/>
          <w:sz w:val="16"/>
          <w:szCs w:val="16"/>
          <w:lang w:val="en-AU"/>
        </w:rPr>
        <w:t>.</w:t>
      </w:r>
    </w:p>
  </w:footnote>
  <w:footnote w:id="70">
    <w:p w14:paraId="617BADF9"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sidRPr="00EF2596">
        <w:rPr>
          <w:rFonts w:asciiTheme="minorHAnsi" w:hAnsiTheme="minorHAnsi" w:cstheme="minorHAnsi"/>
          <w:i/>
          <w:sz w:val="16"/>
          <w:szCs w:val="16"/>
        </w:rPr>
        <w:t>The Australian Organ and Tissue Donation and Transplantation Authority Act</w:t>
      </w:r>
      <w:r w:rsidRPr="00EF2596">
        <w:rPr>
          <w:rFonts w:asciiTheme="minorHAnsi" w:hAnsiTheme="minorHAnsi" w:cstheme="minorHAnsi"/>
          <w:sz w:val="16"/>
          <w:szCs w:val="16"/>
        </w:rPr>
        <w:t xml:space="preserve"> 2008 (Cth)</w:t>
      </w:r>
      <w:r>
        <w:rPr>
          <w:rFonts w:asciiTheme="minorHAnsi" w:hAnsiTheme="minorHAnsi" w:cstheme="minorHAnsi"/>
          <w:sz w:val="16"/>
          <w:szCs w:val="16"/>
        </w:rPr>
        <w:t>.</w:t>
      </w:r>
    </w:p>
  </w:footnote>
  <w:footnote w:id="71">
    <w:p w14:paraId="60CE143A" w14:textId="77777777" w:rsidR="00D930F7" w:rsidRPr="00EF2596" w:rsidRDefault="00D930F7">
      <w:pPr>
        <w:pStyle w:val="FootnoteText"/>
        <w:rPr>
          <w:rFonts w:asciiTheme="minorHAnsi" w:hAnsiTheme="minorHAnsi" w:cstheme="minorHAnsi"/>
          <w:lang w:val="en-AU"/>
        </w:rPr>
      </w:pPr>
      <w:r w:rsidRPr="00EF2596">
        <w:rPr>
          <w:rStyle w:val="FootnoteReference"/>
          <w:rFonts w:asciiTheme="minorHAnsi" w:hAnsiTheme="minorHAnsi" w:cstheme="minorHAnsi"/>
          <w:sz w:val="16"/>
        </w:rPr>
        <w:footnoteRef/>
      </w:r>
      <w:r w:rsidRPr="00EF2596">
        <w:rPr>
          <w:rFonts w:asciiTheme="minorHAnsi" w:hAnsiTheme="minorHAnsi" w:cstheme="minorHAnsi"/>
          <w:sz w:val="16"/>
        </w:rPr>
        <w:t xml:space="preserve"> </w:t>
      </w:r>
      <w:r w:rsidRPr="00EF2596">
        <w:rPr>
          <w:rFonts w:asciiTheme="minorHAnsi" w:hAnsiTheme="minorHAnsi" w:cstheme="minorHAnsi"/>
          <w:sz w:val="16"/>
          <w:lang w:val="en-AU"/>
        </w:rPr>
        <w:t>The Australian Organ and Tissue Donation and Transplantation Authority, “System funding and resourcing” (received July 2018)</w:t>
      </w:r>
      <w:r>
        <w:rPr>
          <w:rFonts w:asciiTheme="minorHAnsi" w:hAnsiTheme="minorHAnsi" w:cstheme="minorHAnsi"/>
          <w:sz w:val="16"/>
          <w:lang w:val="en-AU"/>
        </w:rPr>
        <w:t>.</w:t>
      </w:r>
    </w:p>
  </w:footnote>
  <w:footnote w:id="72">
    <w:p w14:paraId="5CEAEF0D"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sidRPr="00100A57">
        <w:rPr>
          <w:rFonts w:asciiTheme="minorHAnsi" w:hAnsiTheme="minorHAnsi" w:cstheme="minorHAnsi"/>
          <w:sz w:val="16"/>
          <w:szCs w:val="16"/>
        </w:rPr>
        <w:t xml:space="preserve">The Australian Organ and Tissue Donation and Transplantation Authority, 2018, </w:t>
      </w:r>
      <w:r w:rsidRPr="00100A57">
        <w:rPr>
          <w:rFonts w:asciiTheme="minorHAnsi" w:hAnsiTheme="minorHAnsi" w:cstheme="minorHAnsi"/>
          <w:i/>
          <w:color w:val="000000" w:themeColor="text1"/>
          <w:sz w:val="16"/>
          <w:szCs w:val="16"/>
        </w:rPr>
        <w:t>2018-2022 OTA Strategic Plan: Progressing Australian organ and tissue donation and transplantation to 2021</w:t>
      </w:r>
      <w:r w:rsidRPr="00100A57">
        <w:rPr>
          <w:rFonts w:asciiTheme="minorHAnsi" w:hAnsiTheme="minorHAnsi" w:cstheme="minorHAnsi"/>
          <w:sz w:val="16"/>
          <w:szCs w:val="16"/>
        </w:rPr>
        <w:t>, viewed September 2018, &lt;</w:t>
      </w:r>
      <w:r w:rsidRPr="00EF2596">
        <w:rPr>
          <w:rFonts w:asciiTheme="minorHAnsi" w:hAnsiTheme="minorHAnsi" w:cstheme="minorHAnsi"/>
          <w:sz w:val="16"/>
          <w:szCs w:val="16"/>
        </w:rPr>
        <w:t>https://donatelife.gov.au/sites/default/files/ota_strategic_plan_2018-2022.pdf&gt;</w:t>
      </w:r>
      <w:r>
        <w:rPr>
          <w:rFonts w:asciiTheme="minorHAnsi" w:hAnsiTheme="minorHAnsi" w:cstheme="minorHAnsi"/>
          <w:sz w:val="16"/>
          <w:szCs w:val="16"/>
        </w:rPr>
        <w:t>.</w:t>
      </w:r>
    </w:p>
  </w:footnote>
  <w:footnote w:id="73">
    <w:p w14:paraId="3BE1BAD6" w14:textId="77777777" w:rsidR="00D930F7" w:rsidRPr="00EF2596" w:rsidRDefault="00D930F7" w:rsidP="002925A3">
      <w:pPr>
        <w:pStyle w:val="FootnoteText"/>
        <w:rPr>
          <w:rFonts w:asciiTheme="minorHAnsi" w:hAnsiTheme="minorHAnsi" w:cstheme="minorHAnsi"/>
          <w:sz w:val="16"/>
          <w:szCs w:val="16"/>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International Registry in Organ Donation and Transplantation, 2017</w:t>
      </w:r>
      <w:r>
        <w:rPr>
          <w:rFonts w:asciiTheme="minorHAnsi" w:hAnsiTheme="minorHAnsi" w:cstheme="minorHAnsi"/>
          <w:sz w:val="16"/>
          <w:szCs w:val="16"/>
        </w:rPr>
        <w:t>,</w:t>
      </w:r>
      <w:r w:rsidRPr="00EF2596">
        <w:rPr>
          <w:rFonts w:asciiTheme="minorHAnsi" w:hAnsiTheme="minorHAnsi" w:cstheme="minorHAnsi"/>
          <w:i/>
          <w:sz w:val="16"/>
          <w:szCs w:val="16"/>
        </w:rPr>
        <w:t xml:space="preserve"> Final Numbers 201</w:t>
      </w:r>
      <w:r>
        <w:rPr>
          <w:rFonts w:asciiTheme="minorHAnsi" w:hAnsiTheme="minorHAnsi" w:cstheme="minorHAnsi"/>
          <w:i/>
          <w:sz w:val="16"/>
          <w:szCs w:val="16"/>
        </w:rPr>
        <w:t>6</w:t>
      </w:r>
      <w:r>
        <w:rPr>
          <w:rFonts w:asciiTheme="minorHAnsi" w:hAnsiTheme="minorHAnsi" w:cstheme="minorHAnsi"/>
          <w:sz w:val="16"/>
          <w:szCs w:val="16"/>
        </w:rPr>
        <w:t xml:space="preserve">, viewed July 2018, </w:t>
      </w:r>
      <w:r w:rsidRPr="00BF7443">
        <w:rPr>
          <w:rFonts w:asciiTheme="minorHAnsi" w:hAnsiTheme="minorHAnsi" w:cstheme="minorHAnsi"/>
          <w:sz w:val="16"/>
          <w:szCs w:val="16"/>
        </w:rPr>
        <w:t>&lt;</w:t>
      </w:r>
      <w:r w:rsidRPr="00BF7443">
        <w:rPr>
          <w:rStyle w:val="Hyperlink"/>
          <w:rFonts w:asciiTheme="minorHAnsi" w:hAnsiTheme="minorHAnsi" w:cstheme="minorHAnsi"/>
          <w:color w:val="auto"/>
          <w:sz w:val="16"/>
          <w:szCs w:val="16"/>
          <w:u w:val="none"/>
        </w:rPr>
        <w:t>www.irodat.org/img/database/pdf/IRODaT%20newletter%20Final%202016.pdf</w:t>
      </w:r>
      <w:r w:rsidRPr="00BF7443">
        <w:rPr>
          <w:rFonts w:asciiTheme="minorHAnsi" w:hAnsiTheme="minorHAnsi" w:cstheme="minorHAnsi"/>
          <w:sz w:val="16"/>
          <w:szCs w:val="16"/>
        </w:rPr>
        <w:t xml:space="preserve">&gt;; </w:t>
      </w:r>
      <w:r>
        <w:rPr>
          <w:rFonts w:asciiTheme="minorHAnsi" w:hAnsiTheme="minorHAnsi" w:cstheme="minorHAnsi"/>
          <w:sz w:val="16"/>
          <w:szCs w:val="16"/>
        </w:rPr>
        <w:t>Manyalich M, Costa AN, Paez G, 2010,</w:t>
      </w:r>
      <w:r w:rsidRPr="00A8416F">
        <w:t xml:space="preserve"> </w:t>
      </w:r>
      <w:r>
        <w:t>‘</w:t>
      </w:r>
      <w:r w:rsidRPr="00EF2596">
        <w:rPr>
          <w:rFonts w:asciiTheme="minorHAnsi" w:hAnsiTheme="minorHAnsi" w:cstheme="minorHAnsi"/>
          <w:sz w:val="16"/>
          <w:szCs w:val="16"/>
        </w:rPr>
        <w:t>2009 International Donation and transplantation activity</w:t>
      </w:r>
      <w:r>
        <w:rPr>
          <w:rFonts w:asciiTheme="minorHAnsi" w:hAnsiTheme="minorHAnsi" w:cstheme="minorHAnsi"/>
          <w:sz w:val="16"/>
          <w:szCs w:val="16"/>
        </w:rPr>
        <w:t>’</w:t>
      </w:r>
      <w:r w:rsidRPr="00EF2596">
        <w:rPr>
          <w:rFonts w:asciiTheme="minorHAnsi" w:hAnsiTheme="minorHAnsi" w:cstheme="minorHAnsi"/>
          <w:sz w:val="16"/>
          <w:szCs w:val="16"/>
        </w:rPr>
        <w:t>,</w:t>
      </w:r>
      <w:r>
        <w:rPr>
          <w:rFonts w:asciiTheme="minorHAnsi" w:hAnsiTheme="minorHAnsi" w:cstheme="minorHAnsi"/>
          <w:sz w:val="16"/>
          <w:szCs w:val="16"/>
        </w:rPr>
        <w:t xml:space="preserve"> </w:t>
      </w:r>
      <w:r>
        <w:rPr>
          <w:rFonts w:asciiTheme="minorHAnsi" w:hAnsiTheme="minorHAnsi" w:cstheme="minorHAnsi"/>
          <w:i/>
          <w:sz w:val="16"/>
          <w:szCs w:val="16"/>
        </w:rPr>
        <w:t xml:space="preserve">Organ and Tissue Cells </w:t>
      </w:r>
      <w:r>
        <w:rPr>
          <w:rFonts w:asciiTheme="minorHAnsi" w:hAnsiTheme="minorHAnsi" w:cstheme="minorHAnsi"/>
          <w:sz w:val="16"/>
          <w:szCs w:val="16"/>
        </w:rPr>
        <w:t xml:space="preserve">vol. 13, pp. 146 – 150; </w:t>
      </w:r>
      <w:r w:rsidRPr="00BF7443">
        <w:rPr>
          <w:rFonts w:asciiTheme="minorHAnsi" w:hAnsiTheme="minorHAnsi" w:cstheme="minorHAnsi"/>
          <w:sz w:val="16"/>
          <w:szCs w:val="16"/>
        </w:rPr>
        <w:t xml:space="preserve">The Australia Organ and Tissue Donation and Transplantation Authority, 2017, </w:t>
      </w:r>
      <w:r w:rsidRPr="00BF7443">
        <w:rPr>
          <w:rFonts w:asciiTheme="minorHAnsi" w:hAnsiTheme="minorHAnsi" w:cstheme="minorHAnsi"/>
          <w:i/>
          <w:sz w:val="16"/>
          <w:szCs w:val="16"/>
        </w:rPr>
        <w:t>Comparing International Organ Donation Outcomes 2017</w:t>
      </w:r>
      <w:r w:rsidRPr="00BF7443">
        <w:rPr>
          <w:rFonts w:asciiTheme="minorHAnsi" w:hAnsiTheme="minorHAnsi" w:cstheme="minorHAnsi"/>
          <w:sz w:val="16"/>
          <w:szCs w:val="16"/>
        </w:rPr>
        <w:t xml:space="preserve">, viewed July 2018 </w:t>
      </w:r>
      <w:r w:rsidRPr="002836B2">
        <w:rPr>
          <w:rStyle w:val="Hyperlink"/>
          <w:rFonts w:asciiTheme="minorHAnsi" w:hAnsiTheme="minorHAnsi" w:cstheme="minorHAnsi"/>
          <w:color w:val="auto"/>
          <w:sz w:val="16"/>
          <w:szCs w:val="16"/>
          <w:u w:val="none"/>
        </w:rPr>
        <w:t>http://www.donatelife.gov.au/sites/default/files/9_2017%20Comparing%20International%20Organ%20Donation%20Outcomes.pdf</w:t>
      </w:r>
      <w:r>
        <w:rPr>
          <w:rFonts w:asciiTheme="minorHAnsi" w:hAnsiTheme="minorHAnsi" w:cstheme="minorHAnsi"/>
          <w:sz w:val="16"/>
          <w:szCs w:val="16"/>
        </w:rPr>
        <w:t xml:space="preserve">; Note: Measurement of donation performance, for example the definition of DPMP may very depending on each country. </w:t>
      </w:r>
    </w:p>
  </w:footnote>
  <w:footnote w:id="74">
    <w:p w14:paraId="75FF540B" w14:textId="77777777" w:rsidR="00D930F7" w:rsidRPr="00EF2596" w:rsidRDefault="00D930F7" w:rsidP="00C30067">
      <w:pPr>
        <w:pStyle w:val="FootnoteText"/>
        <w:rPr>
          <w:rFonts w:asciiTheme="minorHAnsi" w:hAnsiTheme="minorHAnsi" w:cstheme="minorHAnsi"/>
          <w:color w:val="000000" w:themeColor="text1"/>
          <w:sz w:val="16"/>
          <w:szCs w:val="16"/>
          <w:lang w:val="en-AU"/>
        </w:rPr>
      </w:pPr>
      <w:r w:rsidRPr="00EF2596">
        <w:rPr>
          <w:rStyle w:val="FootnoteReference"/>
          <w:rFonts w:asciiTheme="minorHAnsi" w:hAnsiTheme="minorHAnsi" w:cstheme="minorHAnsi"/>
          <w:color w:val="000000" w:themeColor="text1"/>
          <w:sz w:val="16"/>
          <w:szCs w:val="16"/>
        </w:rPr>
        <w:footnoteRef/>
      </w:r>
      <w:r w:rsidRPr="00EF2596">
        <w:rPr>
          <w:rFonts w:asciiTheme="minorHAnsi" w:hAnsiTheme="minorHAnsi" w:cstheme="minorHAnsi"/>
          <w:color w:val="000000" w:themeColor="text1"/>
          <w:sz w:val="16"/>
          <w:szCs w:val="16"/>
        </w:rPr>
        <w:t xml:space="preserve"> </w:t>
      </w:r>
      <w:r w:rsidRPr="00EF2596">
        <w:rPr>
          <w:rFonts w:asciiTheme="minorHAnsi" w:hAnsiTheme="minorHAnsi" w:cstheme="minorHAnsi"/>
          <w:color w:val="000000" w:themeColor="text1"/>
          <w:sz w:val="16"/>
          <w:szCs w:val="16"/>
          <w:lang w:val="en"/>
        </w:rPr>
        <w:t xml:space="preserve">Matesanz R, </w:t>
      </w:r>
      <w:r>
        <w:rPr>
          <w:rFonts w:asciiTheme="minorHAnsi" w:hAnsiTheme="minorHAnsi" w:cstheme="minorHAnsi"/>
          <w:color w:val="000000" w:themeColor="text1"/>
          <w:sz w:val="16"/>
          <w:szCs w:val="16"/>
          <w:lang w:val="en"/>
        </w:rPr>
        <w:t xml:space="preserve">et al, </w:t>
      </w:r>
      <w:r w:rsidRPr="00EF2596">
        <w:rPr>
          <w:rFonts w:asciiTheme="minorHAnsi" w:hAnsiTheme="minorHAnsi" w:cstheme="minorHAnsi"/>
          <w:color w:val="000000" w:themeColor="text1"/>
          <w:sz w:val="16"/>
          <w:szCs w:val="16"/>
          <w:lang w:val="en"/>
        </w:rPr>
        <w:t xml:space="preserve">2017, </w:t>
      </w:r>
      <w:r>
        <w:rPr>
          <w:rFonts w:asciiTheme="minorHAnsi" w:hAnsiTheme="minorHAnsi" w:cstheme="minorHAnsi"/>
          <w:color w:val="000000" w:themeColor="text1"/>
          <w:sz w:val="16"/>
          <w:szCs w:val="16"/>
          <w:lang w:val="en"/>
        </w:rPr>
        <w:t>‘</w:t>
      </w:r>
      <w:r w:rsidRPr="00EF2596">
        <w:rPr>
          <w:rFonts w:asciiTheme="minorHAnsi" w:hAnsiTheme="minorHAnsi" w:cstheme="minorHAnsi"/>
          <w:color w:val="000000" w:themeColor="text1"/>
          <w:sz w:val="16"/>
          <w:szCs w:val="16"/>
          <w:lang w:val="en"/>
        </w:rPr>
        <w:t>How Spain reached 40 deceased organ donors per million population</w:t>
      </w:r>
      <w:r>
        <w:rPr>
          <w:rFonts w:asciiTheme="minorHAnsi" w:hAnsiTheme="minorHAnsi" w:cstheme="minorHAnsi"/>
          <w:color w:val="000000" w:themeColor="text1"/>
          <w:sz w:val="16"/>
          <w:szCs w:val="16"/>
          <w:lang w:val="en"/>
        </w:rPr>
        <w:t xml:space="preserve">’, </w:t>
      </w:r>
      <w:r w:rsidRPr="00EF2596">
        <w:rPr>
          <w:rFonts w:asciiTheme="minorHAnsi" w:hAnsiTheme="minorHAnsi" w:cstheme="minorHAnsi"/>
          <w:i/>
          <w:color w:val="000000" w:themeColor="text1"/>
          <w:sz w:val="16"/>
          <w:szCs w:val="16"/>
          <w:lang w:val="en"/>
        </w:rPr>
        <w:t>American Journal of Transplantation</w:t>
      </w:r>
      <w:r>
        <w:rPr>
          <w:rFonts w:asciiTheme="minorHAnsi" w:hAnsiTheme="minorHAnsi" w:cstheme="minorHAnsi"/>
          <w:color w:val="000000" w:themeColor="text1"/>
          <w:sz w:val="16"/>
          <w:szCs w:val="16"/>
          <w:lang w:val="en"/>
        </w:rPr>
        <w:t xml:space="preserve"> Vol.</w:t>
      </w:r>
      <w:r w:rsidRPr="00EF2596">
        <w:rPr>
          <w:rFonts w:asciiTheme="minorHAnsi" w:hAnsiTheme="minorHAnsi" w:cstheme="minorHAnsi"/>
          <w:color w:val="000000" w:themeColor="text1"/>
          <w:sz w:val="16"/>
          <w:szCs w:val="16"/>
          <w:lang w:val="en"/>
        </w:rPr>
        <w:t>17</w:t>
      </w:r>
      <w:r>
        <w:rPr>
          <w:rFonts w:asciiTheme="minorHAnsi" w:hAnsiTheme="minorHAnsi" w:cstheme="minorHAnsi"/>
          <w:color w:val="000000" w:themeColor="text1"/>
          <w:sz w:val="16"/>
          <w:szCs w:val="16"/>
          <w:lang w:val="en"/>
        </w:rPr>
        <w:t xml:space="preserve"> Issue: 6, pp. </w:t>
      </w:r>
      <w:r w:rsidRPr="00EF2596">
        <w:rPr>
          <w:rFonts w:asciiTheme="minorHAnsi" w:hAnsiTheme="minorHAnsi" w:cstheme="minorHAnsi"/>
          <w:color w:val="000000" w:themeColor="text1"/>
          <w:sz w:val="16"/>
          <w:szCs w:val="16"/>
          <w:lang w:val="en"/>
        </w:rPr>
        <w:t>1447-1454</w:t>
      </w:r>
      <w:r>
        <w:rPr>
          <w:rFonts w:asciiTheme="minorHAnsi" w:hAnsiTheme="minorHAnsi" w:cstheme="minorHAnsi"/>
          <w:color w:val="000000" w:themeColor="text1"/>
          <w:sz w:val="16"/>
          <w:szCs w:val="16"/>
          <w:lang w:val="en"/>
        </w:rPr>
        <w:t>.</w:t>
      </w:r>
    </w:p>
  </w:footnote>
  <w:footnote w:id="75">
    <w:p w14:paraId="5F48101F" w14:textId="77777777" w:rsidR="00D930F7" w:rsidRPr="004938CA" w:rsidRDefault="00D930F7" w:rsidP="00C3006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color w:val="000000" w:themeColor="text1"/>
          <w:sz w:val="16"/>
          <w:szCs w:val="16"/>
        </w:rPr>
        <w:footnoteRef/>
      </w:r>
      <w:r w:rsidRPr="00EF2596">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lang w:val="en-AU"/>
        </w:rPr>
        <w:t>Wiley, 2017,</w:t>
      </w:r>
      <w:r w:rsidRPr="00EF2596">
        <w:rPr>
          <w:rFonts w:asciiTheme="minorHAnsi" w:hAnsiTheme="minorHAnsi" w:cstheme="minorHAnsi"/>
          <w:color w:val="000000" w:themeColor="text1"/>
          <w:sz w:val="16"/>
          <w:szCs w:val="16"/>
          <w:lang w:val="en-AU"/>
        </w:rPr>
        <w:t xml:space="preserve"> </w:t>
      </w:r>
      <w:r w:rsidRPr="00EF2596">
        <w:rPr>
          <w:rFonts w:asciiTheme="minorHAnsi" w:hAnsiTheme="minorHAnsi" w:cstheme="minorHAnsi"/>
          <w:i/>
          <w:color w:val="000000" w:themeColor="text1"/>
          <w:sz w:val="16"/>
          <w:szCs w:val="16"/>
          <w:lang w:val="en-AU"/>
        </w:rPr>
        <w:t>How Spain achieved a remarkably high rate of deceased organ donation</w:t>
      </w:r>
      <w:r>
        <w:rPr>
          <w:rFonts w:asciiTheme="minorHAnsi" w:hAnsiTheme="minorHAnsi" w:cstheme="minorHAnsi"/>
          <w:color w:val="000000" w:themeColor="text1"/>
          <w:sz w:val="16"/>
          <w:szCs w:val="16"/>
          <w:lang w:val="en-AU"/>
        </w:rPr>
        <w:t>, viewed July 2018 &lt;</w:t>
      </w:r>
      <w:r w:rsidRPr="00EF2596">
        <w:rPr>
          <w:rFonts w:asciiTheme="minorHAnsi" w:hAnsiTheme="minorHAnsi" w:cstheme="minorHAnsi"/>
          <w:color w:val="000000" w:themeColor="text1"/>
          <w:sz w:val="16"/>
          <w:szCs w:val="16"/>
          <w:lang w:val="en-AU"/>
        </w:rPr>
        <w:t>https://www.eurekalert.org/pub_releases/2017-01/w-hsa010617.php</w:t>
      </w:r>
      <w:r>
        <w:rPr>
          <w:rFonts w:asciiTheme="minorHAnsi" w:hAnsiTheme="minorHAnsi" w:cstheme="minorHAnsi"/>
          <w:color w:val="000000" w:themeColor="text1"/>
          <w:sz w:val="16"/>
          <w:szCs w:val="16"/>
          <w:lang w:val="en-AU"/>
        </w:rPr>
        <w:t>&gt;.</w:t>
      </w:r>
    </w:p>
  </w:footnote>
  <w:footnote w:id="76">
    <w:p w14:paraId="6A9F6547" w14:textId="77777777" w:rsidR="00D930F7" w:rsidRPr="004938CA" w:rsidRDefault="00D930F7" w:rsidP="00C3006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color w:val="000000" w:themeColor="text1"/>
          <w:sz w:val="16"/>
          <w:szCs w:val="16"/>
        </w:rPr>
        <w:footnoteRef/>
      </w:r>
      <w:r w:rsidRPr="00EF2596">
        <w:rPr>
          <w:rFonts w:asciiTheme="minorHAnsi" w:hAnsiTheme="minorHAnsi" w:cstheme="minorHAnsi"/>
          <w:color w:val="000000" w:themeColor="text1"/>
          <w:sz w:val="16"/>
          <w:szCs w:val="16"/>
        </w:rPr>
        <w:t xml:space="preserve"> </w:t>
      </w:r>
      <w:hyperlink r:id="rId2" w:history="1">
        <w:r w:rsidRPr="001D7C3C">
          <w:rPr>
            <w:rFonts w:asciiTheme="minorHAnsi" w:hAnsiTheme="minorHAnsi" w:cstheme="minorHAnsi"/>
            <w:color w:val="000000" w:themeColor="text1"/>
            <w:sz w:val="16"/>
            <w:szCs w:val="16"/>
            <w:lang w:val="en"/>
          </w:rPr>
          <w:t>Matesanz R</w:t>
        </w:r>
      </w:hyperlink>
      <w:r w:rsidRPr="001D7C3C">
        <w:rPr>
          <w:rFonts w:asciiTheme="minorHAnsi" w:hAnsiTheme="minorHAnsi" w:cstheme="minorHAnsi"/>
          <w:color w:val="000000" w:themeColor="text1"/>
          <w:sz w:val="16"/>
          <w:szCs w:val="16"/>
          <w:lang w:val="en"/>
        </w:rPr>
        <w:t>,</w:t>
      </w:r>
      <w:r>
        <w:rPr>
          <w:rFonts w:asciiTheme="minorHAnsi" w:hAnsiTheme="minorHAnsi" w:cstheme="minorHAnsi"/>
          <w:color w:val="000000" w:themeColor="text1"/>
          <w:sz w:val="16"/>
          <w:szCs w:val="16"/>
          <w:lang w:val="en"/>
        </w:rPr>
        <w:t xml:space="preserve"> 2017,</w:t>
      </w:r>
      <w:r w:rsidRPr="001D7C3C">
        <w:rPr>
          <w:rFonts w:asciiTheme="minorHAnsi" w:hAnsiTheme="minorHAnsi" w:cstheme="minorHAnsi"/>
          <w:color w:val="000000" w:themeColor="text1"/>
          <w:sz w:val="16"/>
          <w:szCs w:val="16"/>
          <w:lang w:val="en"/>
        </w:rPr>
        <w:t xml:space="preserve"> </w:t>
      </w:r>
      <w:r>
        <w:rPr>
          <w:rFonts w:asciiTheme="minorHAnsi" w:hAnsiTheme="minorHAnsi" w:cstheme="minorHAnsi"/>
          <w:color w:val="000000" w:themeColor="text1"/>
          <w:sz w:val="16"/>
          <w:szCs w:val="16"/>
          <w:lang w:val="en"/>
        </w:rPr>
        <w:t xml:space="preserve">above n.85.  </w:t>
      </w:r>
    </w:p>
  </w:footnote>
  <w:footnote w:id="77">
    <w:p w14:paraId="7FFD43D5" w14:textId="77777777" w:rsidR="00D930F7" w:rsidRPr="004938CA" w:rsidRDefault="00D930F7" w:rsidP="00C30067">
      <w:pPr>
        <w:pStyle w:val="FootnoteText"/>
        <w:rPr>
          <w:rFonts w:asciiTheme="minorHAnsi" w:hAnsiTheme="minorHAnsi" w:cstheme="minorHAnsi"/>
          <w:sz w:val="16"/>
          <w:szCs w:val="16"/>
          <w:lang w:val="en-AU"/>
        </w:rPr>
      </w:pPr>
      <w:r w:rsidRPr="004938CA">
        <w:rPr>
          <w:rStyle w:val="FootnoteReference"/>
          <w:rFonts w:asciiTheme="minorHAnsi" w:hAnsiTheme="minorHAnsi" w:cstheme="minorHAnsi"/>
          <w:sz w:val="16"/>
          <w:szCs w:val="16"/>
        </w:rPr>
        <w:footnoteRef/>
      </w:r>
      <w:r w:rsidRPr="004938CA">
        <w:rPr>
          <w:rFonts w:asciiTheme="minorHAnsi" w:hAnsiTheme="minorHAnsi" w:cstheme="minorHAnsi"/>
          <w:sz w:val="16"/>
          <w:szCs w:val="16"/>
        </w:rPr>
        <w:t xml:space="preserve"> </w:t>
      </w:r>
      <w:r>
        <w:rPr>
          <w:rFonts w:asciiTheme="minorHAnsi" w:hAnsiTheme="minorHAnsi" w:cstheme="minorHAnsi"/>
          <w:sz w:val="16"/>
          <w:szCs w:val="16"/>
        </w:rPr>
        <w:t>Kucirka, L M,</w:t>
      </w:r>
      <w:r w:rsidRPr="00EA5314">
        <w:rPr>
          <w:rFonts w:asciiTheme="minorHAnsi" w:hAnsiTheme="minorHAnsi" w:cstheme="minorHAnsi"/>
          <w:sz w:val="16"/>
          <w:szCs w:val="16"/>
        </w:rPr>
        <w:t xml:space="preserve"> </w:t>
      </w:r>
      <w:r>
        <w:rPr>
          <w:rFonts w:asciiTheme="minorHAnsi" w:hAnsiTheme="minorHAnsi" w:cstheme="minorHAnsi"/>
          <w:sz w:val="16"/>
          <w:szCs w:val="16"/>
        </w:rPr>
        <w:t>Purnell, T S, &amp; Segev, D L, 2015,</w:t>
      </w:r>
      <w:r w:rsidRPr="00EA5314">
        <w:rPr>
          <w:rFonts w:asciiTheme="minorHAnsi" w:hAnsiTheme="minorHAnsi" w:cstheme="minorHAnsi"/>
          <w:sz w:val="16"/>
          <w:szCs w:val="16"/>
        </w:rPr>
        <w:t xml:space="preserve"> </w:t>
      </w:r>
      <w:r>
        <w:rPr>
          <w:rFonts w:asciiTheme="minorHAnsi" w:hAnsiTheme="minorHAnsi" w:cstheme="minorHAnsi"/>
          <w:sz w:val="16"/>
          <w:szCs w:val="16"/>
        </w:rPr>
        <w:t>‘</w:t>
      </w:r>
      <w:r w:rsidRPr="00EA5314">
        <w:rPr>
          <w:rFonts w:asciiTheme="minorHAnsi" w:hAnsiTheme="minorHAnsi" w:cstheme="minorHAnsi"/>
          <w:sz w:val="16"/>
          <w:szCs w:val="16"/>
        </w:rPr>
        <w:t>Improving Access to Kidney Transplantation: Referral is Not Enough</w:t>
      </w:r>
      <w:r>
        <w:rPr>
          <w:rFonts w:asciiTheme="minorHAnsi" w:hAnsiTheme="minorHAnsi" w:cstheme="minorHAnsi"/>
          <w:sz w:val="16"/>
          <w:szCs w:val="16"/>
        </w:rPr>
        <w:t>’</w:t>
      </w:r>
      <w:r w:rsidRPr="00EA5314">
        <w:rPr>
          <w:rFonts w:asciiTheme="minorHAnsi" w:hAnsiTheme="minorHAnsi" w:cstheme="minorHAnsi"/>
          <w:sz w:val="16"/>
          <w:szCs w:val="16"/>
        </w:rPr>
        <w:t xml:space="preserve">. </w:t>
      </w:r>
      <w:r>
        <w:rPr>
          <w:rFonts w:asciiTheme="minorHAnsi" w:hAnsiTheme="minorHAnsi" w:cstheme="minorHAnsi"/>
          <w:i/>
          <w:sz w:val="16"/>
          <w:szCs w:val="16"/>
        </w:rPr>
        <w:t xml:space="preserve">The Journal of the American Medical Association </w:t>
      </w:r>
      <w:r>
        <w:rPr>
          <w:rFonts w:asciiTheme="minorHAnsi" w:hAnsiTheme="minorHAnsi" w:cstheme="minorHAnsi"/>
          <w:sz w:val="16"/>
          <w:szCs w:val="16"/>
        </w:rPr>
        <w:t xml:space="preserve">Vol. </w:t>
      </w:r>
      <w:r w:rsidRPr="00EA5314">
        <w:rPr>
          <w:rFonts w:asciiTheme="minorHAnsi" w:hAnsiTheme="minorHAnsi" w:cstheme="minorHAnsi"/>
          <w:sz w:val="16"/>
          <w:szCs w:val="16"/>
        </w:rPr>
        <w:t>314</w:t>
      </w:r>
      <w:r>
        <w:rPr>
          <w:rFonts w:asciiTheme="minorHAnsi" w:hAnsiTheme="minorHAnsi" w:cstheme="minorHAnsi"/>
          <w:sz w:val="16"/>
          <w:szCs w:val="16"/>
        </w:rPr>
        <w:t xml:space="preserve"> Issue 6, pp.</w:t>
      </w:r>
      <w:r w:rsidRPr="00EA5314">
        <w:rPr>
          <w:rFonts w:asciiTheme="minorHAnsi" w:hAnsiTheme="minorHAnsi" w:cstheme="minorHAnsi"/>
          <w:sz w:val="16"/>
          <w:szCs w:val="16"/>
        </w:rPr>
        <w:t>565–567.</w:t>
      </w:r>
    </w:p>
  </w:footnote>
  <w:footnote w:id="78">
    <w:p w14:paraId="322049ED" w14:textId="77777777" w:rsidR="00D930F7" w:rsidRPr="00F2677D" w:rsidRDefault="00D930F7" w:rsidP="00C30067">
      <w:pPr>
        <w:pStyle w:val="FootnoteText"/>
        <w:rPr>
          <w:rFonts w:asciiTheme="minorHAnsi" w:hAnsiTheme="minorHAnsi" w:cstheme="minorHAnsi"/>
          <w:sz w:val="16"/>
          <w:szCs w:val="16"/>
          <w:lang w:val="en-AU"/>
        </w:rPr>
      </w:pPr>
      <w:r w:rsidRPr="004938CA">
        <w:rPr>
          <w:rStyle w:val="FootnoteReference"/>
          <w:rFonts w:asciiTheme="minorHAnsi" w:hAnsiTheme="minorHAnsi" w:cstheme="minorHAnsi"/>
          <w:sz w:val="16"/>
          <w:szCs w:val="16"/>
        </w:rPr>
        <w:footnoteRef/>
      </w:r>
      <w:r w:rsidRPr="004938CA">
        <w:rPr>
          <w:rFonts w:asciiTheme="minorHAnsi" w:hAnsiTheme="minorHAnsi" w:cstheme="minorHAnsi"/>
          <w:sz w:val="16"/>
          <w:szCs w:val="16"/>
        </w:rPr>
        <w:t xml:space="preserve"> </w:t>
      </w:r>
      <w:r>
        <w:rPr>
          <w:rFonts w:asciiTheme="minorHAnsi" w:hAnsiTheme="minorHAnsi" w:cstheme="minorHAnsi"/>
          <w:sz w:val="16"/>
          <w:szCs w:val="16"/>
        </w:rPr>
        <w:t>The Australia and New Zealand Dialysis and Transplantation</w:t>
      </w:r>
      <w:r w:rsidRPr="004938CA">
        <w:rPr>
          <w:rFonts w:asciiTheme="minorHAnsi" w:hAnsiTheme="minorHAnsi" w:cstheme="minorHAnsi"/>
          <w:sz w:val="16"/>
          <w:szCs w:val="16"/>
        </w:rPr>
        <w:t xml:space="preserve"> Registry</w:t>
      </w:r>
      <w:r>
        <w:rPr>
          <w:rFonts w:asciiTheme="minorHAnsi" w:hAnsiTheme="minorHAnsi" w:cstheme="minorHAnsi"/>
          <w:sz w:val="16"/>
          <w:szCs w:val="16"/>
        </w:rPr>
        <w:t>, 2016,</w:t>
      </w:r>
      <w:r w:rsidRPr="004938CA">
        <w:rPr>
          <w:rFonts w:asciiTheme="minorHAnsi" w:hAnsiTheme="minorHAnsi" w:cstheme="minorHAnsi"/>
          <w:sz w:val="16"/>
          <w:szCs w:val="16"/>
        </w:rPr>
        <w:t xml:space="preserve"> </w:t>
      </w:r>
      <w:r w:rsidRPr="00EF2596">
        <w:rPr>
          <w:rFonts w:asciiTheme="minorHAnsi" w:hAnsiTheme="minorHAnsi" w:cstheme="minorHAnsi"/>
          <w:i/>
          <w:sz w:val="16"/>
          <w:szCs w:val="16"/>
        </w:rPr>
        <w:t>38th Report, Chapter 1: Incidence of End Stage Kidney Disease</w:t>
      </w:r>
      <w:r>
        <w:rPr>
          <w:rFonts w:asciiTheme="minorHAnsi" w:hAnsiTheme="minorHAnsi" w:cstheme="minorHAnsi"/>
          <w:sz w:val="16"/>
          <w:szCs w:val="16"/>
        </w:rPr>
        <w:t xml:space="preserve">, </w:t>
      </w:r>
      <w:r w:rsidRPr="004938CA">
        <w:rPr>
          <w:rFonts w:asciiTheme="minorHAnsi" w:hAnsiTheme="minorHAnsi" w:cstheme="minorHAnsi"/>
          <w:sz w:val="16"/>
          <w:szCs w:val="16"/>
        </w:rPr>
        <w:t xml:space="preserve">Australia and New Zealand Dialysis and Transplant Registry, Adelaide, </w:t>
      </w:r>
      <w:r>
        <w:rPr>
          <w:rFonts w:asciiTheme="minorHAnsi" w:hAnsiTheme="minorHAnsi" w:cstheme="minorHAnsi"/>
          <w:sz w:val="16"/>
          <w:szCs w:val="16"/>
        </w:rPr>
        <w:t xml:space="preserve">viewed October 2018 </w:t>
      </w:r>
      <w:r w:rsidRPr="004938CA">
        <w:rPr>
          <w:rFonts w:asciiTheme="minorHAnsi" w:hAnsiTheme="minorHAnsi" w:cstheme="minorHAnsi"/>
          <w:sz w:val="16"/>
          <w:szCs w:val="16"/>
        </w:rPr>
        <w:t xml:space="preserve"> </w:t>
      </w:r>
      <w:r>
        <w:rPr>
          <w:rFonts w:asciiTheme="minorHAnsi" w:hAnsiTheme="minorHAnsi" w:cstheme="minorHAnsi"/>
          <w:sz w:val="16"/>
          <w:szCs w:val="16"/>
        </w:rPr>
        <w:t>&lt;</w:t>
      </w:r>
      <w:r w:rsidRPr="004938CA">
        <w:rPr>
          <w:rFonts w:asciiTheme="minorHAnsi" w:hAnsiTheme="minorHAnsi" w:cstheme="minorHAnsi"/>
          <w:sz w:val="16"/>
          <w:szCs w:val="16"/>
        </w:rPr>
        <w:t>http://www.anzdata.org.au</w:t>
      </w:r>
      <w:r>
        <w:rPr>
          <w:rFonts w:asciiTheme="minorHAnsi" w:hAnsiTheme="minorHAnsi" w:cstheme="minorHAnsi"/>
          <w:sz w:val="16"/>
          <w:szCs w:val="16"/>
        </w:rPr>
        <w:t>&gt;.</w:t>
      </w:r>
    </w:p>
  </w:footnote>
  <w:footnote w:id="79">
    <w:p w14:paraId="1BC0D334" w14:textId="77777777" w:rsidR="00D930F7" w:rsidRPr="004938CA" w:rsidRDefault="00D930F7" w:rsidP="00C30067">
      <w:pPr>
        <w:pStyle w:val="FootnoteText"/>
        <w:rPr>
          <w:lang w:val="en-AU"/>
        </w:rPr>
      </w:pPr>
      <w:r w:rsidRPr="004938CA">
        <w:rPr>
          <w:rStyle w:val="FootnoteReference"/>
          <w:rFonts w:asciiTheme="minorHAnsi" w:hAnsiTheme="minorHAnsi" w:cstheme="minorHAnsi"/>
          <w:sz w:val="16"/>
          <w:szCs w:val="16"/>
        </w:rPr>
        <w:footnoteRef/>
      </w:r>
      <w:r w:rsidRPr="004938CA">
        <w:rPr>
          <w:rFonts w:asciiTheme="minorHAnsi" w:hAnsiTheme="minorHAnsi" w:cstheme="minorHAnsi"/>
          <w:sz w:val="16"/>
          <w:szCs w:val="16"/>
        </w:rPr>
        <w:t xml:space="preserve"> </w:t>
      </w:r>
      <w:r>
        <w:rPr>
          <w:rFonts w:asciiTheme="minorHAnsi" w:hAnsiTheme="minorHAnsi" w:cstheme="minorHAnsi"/>
          <w:sz w:val="16"/>
          <w:szCs w:val="16"/>
          <w:lang w:val="en-AU"/>
        </w:rPr>
        <w:t xml:space="preserve">The Australian Organ and Tissue Donation and Transplantation Authority, </w:t>
      </w:r>
      <w:r w:rsidRPr="004938CA">
        <w:rPr>
          <w:rFonts w:asciiTheme="minorHAnsi" w:hAnsiTheme="minorHAnsi" w:cstheme="minorHAnsi"/>
          <w:sz w:val="16"/>
          <w:szCs w:val="16"/>
          <w:lang w:val="en-AU"/>
        </w:rPr>
        <w:t xml:space="preserve">2013, </w:t>
      </w:r>
      <w:r w:rsidRPr="00EF2596">
        <w:rPr>
          <w:rFonts w:asciiTheme="minorHAnsi" w:hAnsiTheme="minorHAnsi" w:cstheme="minorHAnsi"/>
          <w:i/>
          <w:sz w:val="16"/>
          <w:szCs w:val="16"/>
          <w:lang w:val="en-AU"/>
        </w:rPr>
        <w:t>Fact Sheet: International approaches to organ donation reform</w:t>
      </w:r>
      <w:r>
        <w:rPr>
          <w:rFonts w:asciiTheme="minorHAnsi" w:hAnsiTheme="minorHAnsi" w:cstheme="minorHAnsi"/>
          <w:sz w:val="16"/>
          <w:szCs w:val="16"/>
          <w:lang w:val="en-AU"/>
        </w:rPr>
        <w:t>, viewed August 2018, &lt;</w:t>
      </w:r>
      <w:r w:rsidRPr="004938CA">
        <w:rPr>
          <w:rFonts w:asciiTheme="minorHAnsi" w:hAnsiTheme="minorHAnsi" w:cstheme="minorHAnsi"/>
          <w:sz w:val="16"/>
          <w:szCs w:val="16"/>
          <w:lang w:val="en-AU"/>
        </w:rPr>
        <w:t>https://donatelife.gov.au/sites/defau</w:t>
      </w:r>
      <w:r>
        <w:rPr>
          <w:rFonts w:asciiTheme="minorHAnsi" w:hAnsiTheme="minorHAnsi" w:cstheme="minorHAnsi"/>
          <w:sz w:val="16"/>
          <w:szCs w:val="16"/>
          <w:lang w:val="en-AU"/>
        </w:rPr>
        <w:t>lt/files/files/OTA_Fact_Sheets_</w:t>
      </w:r>
      <w:r w:rsidRPr="004938CA">
        <w:rPr>
          <w:rFonts w:asciiTheme="minorHAnsi" w:hAnsiTheme="minorHAnsi" w:cstheme="minorHAnsi"/>
          <w:sz w:val="16"/>
          <w:szCs w:val="16"/>
          <w:lang w:val="en-AU"/>
        </w:rPr>
        <w:t>_International_approaches_to_organ_d</w:t>
      </w:r>
      <w:r>
        <w:rPr>
          <w:rFonts w:asciiTheme="minorHAnsi" w:hAnsiTheme="minorHAnsi" w:cstheme="minorHAnsi"/>
          <w:sz w:val="16"/>
          <w:szCs w:val="16"/>
          <w:lang w:val="en-AU"/>
        </w:rPr>
        <w:t>onation_reform_November_2013.pd&gt;.</w:t>
      </w:r>
    </w:p>
  </w:footnote>
  <w:footnote w:id="80">
    <w:p w14:paraId="4F733E04" w14:textId="77777777" w:rsidR="00D930F7" w:rsidRPr="004938CA" w:rsidRDefault="00D930F7" w:rsidP="00C30067">
      <w:pPr>
        <w:pStyle w:val="FootnoteText"/>
        <w:rPr>
          <w:rFonts w:asciiTheme="minorHAnsi" w:hAnsiTheme="minorHAnsi" w:cstheme="minorHAnsi"/>
          <w:sz w:val="16"/>
          <w:szCs w:val="16"/>
          <w:lang w:val="en-AU"/>
        </w:rPr>
      </w:pPr>
      <w:r w:rsidRPr="004938CA">
        <w:rPr>
          <w:rStyle w:val="FootnoteReference"/>
          <w:rFonts w:asciiTheme="minorHAnsi" w:hAnsiTheme="minorHAnsi" w:cstheme="minorHAnsi"/>
          <w:sz w:val="16"/>
          <w:szCs w:val="16"/>
        </w:rPr>
        <w:footnoteRef/>
      </w:r>
      <w:r w:rsidRPr="004938CA">
        <w:rPr>
          <w:rFonts w:asciiTheme="minorHAnsi" w:hAnsiTheme="minorHAnsi" w:cstheme="minorHAnsi"/>
          <w:sz w:val="16"/>
          <w:szCs w:val="16"/>
        </w:rPr>
        <w:t xml:space="preserve"> In line with the National Reform Agenda’s objectives to establish a safe equitable and transparent national transplantation process, The Transplantation Society of Australia and New Zealand has developed a set of eligibility criteria, inclusive and exclusive, for patients to be listed for organ transplantation as part of the Clinical Guidelines. Decisions relating to eligibility will not take into consideration ethically irrelevant factors, including race, religion, gender, sexual orientation, social status, capacity to pay and the need for transplant arising out of past behaviour. The criteria does however take into consideration factors relating to urgency of need, medical factors, severity of illness, time on the wait list as well as likelihood that the recipient will comply with ongoing treatment after transplantation. The eligibility criteria is different for each organ.</w:t>
      </w:r>
    </w:p>
  </w:footnote>
  <w:footnote w:id="81">
    <w:p w14:paraId="131F0E46" w14:textId="77777777" w:rsidR="00D930F7" w:rsidRPr="004938CA" w:rsidRDefault="00D930F7" w:rsidP="00C30067">
      <w:pPr>
        <w:pStyle w:val="FootnoteText"/>
        <w:rPr>
          <w:rFonts w:asciiTheme="minorHAnsi" w:hAnsiTheme="minorHAnsi" w:cstheme="minorHAnsi"/>
          <w:sz w:val="16"/>
          <w:szCs w:val="18"/>
          <w:lang w:val="en-AU"/>
        </w:rPr>
      </w:pPr>
      <w:r w:rsidRPr="004938CA">
        <w:rPr>
          <w:rStyle w:val="FootnoteReference"/>
          <w:rFonts w:asciiTheme="minorHAnsi" w:hAnsiTheme="minorHAnsi" w:cstheme="minorHAnsi"/>
          <w:sz w:val="16"/>
          <w:szCs w:val="18"/>
        </w:rPr>
        <w:footnoteRef/>
      </w:r>
      <w:r w:rsidRPr="004938CA">
        <w:rPr>
          <w:rFonts w:asciiTheme="minorHAnsi" w:hAnsiTheme="minorHAnsi" w:cstheme="minorHAnsi"/>
          <w:sz w:val="16"/>
          <w:szCs w:val="18"/>
        </w:rPr>
        <w:t xml:space="preserve"> Hulley J</w:t>
      </w:r>
      <w:r>
        <w:rPr>
          <w:rFonts w:asciiTheme="minorHAnsi" w:hAnsiTheme="minorHAnsi" w:cstheme="minorHAnsi"/>
          <w:sz w:val="16"/>
          <w:szCs w:val="18"/>
        </w:rPr>
        <w:t xml:space="preserve"> </w:t>
      </w:r>
      <w:r w:rsidRPr="004938CA">
        <w:rPr>
          <w:rFonts w:asciiTheme="minorHAnsi" w:hAnsiTheme="minorHAnsi" w:cstheme="minorHAnsi"/>
          <w:sz w:val="16"/>
          <w:szCs w:val="18"/>
        </w:rPr>
        <w:t>L</w:t>
      </w:r>
      <w:r>
        <w:rPr>
          <w:rFonts w:asciiTheme="minorHAnsi" w:hAnsiTheme="minorHAnsi" w:cstheme="minorHAnsi"/>
          <w:sz w:val="16"/>
          <w:szCs w:val="18"/>
        </w:rPr>
        <w:t xml:space="preserve"> et al, </w:t>
      </w:r>
      <w:r w:rsidRPr="004938CA">
        <w:rPr>
          <w:rFonts w:asciiTheme="minorHAnsi" w:hAnsiTheme="minorHAnsi" w:cstheme="minorHAnsi"/>
          <w:sz w:val="16"/>
          <w:szCs w:val="18"/>
        </w:rPr>
        <w:t xml:space="preserve">2013, </w:t>
      </w:r>
      <w:r>
        <w:rPr>
          <w:rFonts w:asciiTheme="minorHAnsi" w:hAnsiTheme="minorHAnsi" w:cstheme="minorHAnsi"/>
          <w:sz w:val="16"/>
          <w:szCs w:val="18"/>
        </w:rPr>
        <w:t>‘</w:t>
      </w:r>
      <w:r w:rsidRPr="004938CA">
        <w:rPr>
          <w:rFonts w:asciiTheme="minorHAnsi" w:hAnsiTheme="minorHAnsi" w:cstheme="minorHAnsi"/>
          <w:sz w:val="16"/>
          <w:szCs w:val="18"/>
        </w:rPr>
        <w:t>PTH-150 Benefits of a Liver Transplant Outreach Clinic: Increased Referrals and Patient Satisfaction</w:t>
      </w:r>
      <w:r>
        <w:rPr>
          <w:rFonts w:asciiTheme="minorHAnsi" w:hAnsiTheme="minorHAnsi" w:cstheme="minorHAnsi"/>
          <w:sz w:val="16"/>
          <w:szCs w:val="18"/>
        </w:rPr>
        <w:t xml:space="preserve">’, </w:t>
      </w:r>
      <w:r>
        <w:rPr>
          <w:rFonts w:asciiTheme="minorHAnsi" w:hAnsiTheme="minorHAnsi" w:cstheme="minorHAnsi"/>
          <w:i/>
          <w:sz w:val="16"/>
          <w:szCs w:val="18"/>
        </w:rPr>
        <w:t xml:space="preserve">British Medical Journal, </w:t>
      </w:r>
      <w:r w:rsidRPr="004938CA">
        <w:rPr>
          <w:rFonts w:asciiTheme="minorHAnsi" w:hAnsiTheme="minorHAnsi" w:cstheme="minorHAnsi"/>
          <w:sz w:val="16"/>
          <w:szCs w:val="18"/>
        </w:rPr>
        <w:t>Vol</w:t>
      </w:r>
      <w:r>
        <w:rPr>
          <w:rFonts w:asciiTheme="minorHAnsi" w:hAnsiTheme="minorHAnsi" w:cstheme="minorHAnsi"/>
          <w:sz w:val="16"/>
          <w:szCs w:val="18"/>
        </w:rPr>
        <w:t xml:space="preserve">. 62 Issue: 1, pp. </w:t>
      </w:r>
      <w:r w:rsidRPr="004938CA">
        <w:rPr>
          <w:rFonts w:asciiTheme="minorHAnsi" w:hAnsiTheme="minorHAnsi" w:cstheme="minorHAnsi"/>
          <w:sz w:val="16"/>
          <w:szCs w:val="18"/>
        </w:rPr>
        <w:t>272.</w:t>
      </w:r>
    </w:p>
  </w:footnote>
  <w:footnote w:id="82">
    <w:p w14:paraId="29735FB5" w14:textId="77777777" w:rsidR="00D930F7" w:rsidRPr="004938CA" w:rsidRDefault="00D930F7" w:rsidP="00C30067">
      <w:pPr>
        <w:pStyle w:val="FootnoteText"/>
        <w:rPr>
          <w:rFonts w:asciiTheme="minorHAnsi" w:hAnsiTheme="minorHAnsi" w:cstheme="minorHAnsi"/>
          <w:sz w:val="16"/>
          <w:szCs w:val="16"/>
          <w:lang w:val="en-AU"/>
        </w:rPr>
      </w:pPr>
      <w:r w:rsidRPr="004938CA">
        <w:rPr>
          <w:rStyle w:val="FootnoteReference"/>
          <w:rFonts w:asciiTheme="minorHAnsi" w:hAnsiTheme="minorHAnsi" w:cstheme="minorHAnsi"/>
          <w:sz w:val="16"/>
          <w:szCs w:val="18"/>
        </w:rPr>
        <w:footnoteRef/>
      </w:r>
      <w:r w:rsidRPr="004938CA">
        <w:rPr>
          <w:rFonts w:asciiTheme="minorHAnsi" w:hAnsiTheme="minorHAnsi" w:cstheme="minorHAnsi"/>
          <w:sz w:val="16"/>
          <w:szCs w:val="18"/>
        </w:rPr>
        <w:t xml:space="preserve"> </w:t>
      </w:r>
      <w:r>
        <w:rPr>
          <w:rFonts w:asciiTheme="minorHAnsi" w:hAnsiTheme="minorHAnsi" w:cstheme="minorHAnsi"/>
          <w:sz w:val="16"/>
          <w:szCs w:val="18"/>
          <w:lang w:val="en-AU"/>
        </w:rPr>
        <w:t>Note</w:t>
      </w:r>
      <w:r w:rsidRPr="004938CA">
        <w:rPr>
          <w:rFonts w:asciiTheme="minorHAnsi" w:hAnsiTheme="minorHAnsi" w:cstheme="minorHAnsi"/>
          <w:sz w:val="16"/>
          <w:szCs w:val="18"/>
          <w:lang w:val="en-AU"/>
        </w:rPr>
        <w:t xml:space="preserve">: Due to the </w:t>
      </w:r>
      <w:r>
        <w:rPr>
          <w:rFonts w:asciiTheme="minorHAnsi" w:hAnsiTheme="minorHAnsi" w:cstheme="minorHAnsi"/>
          <w:sz w:val="16"/>
          <w:szCs w:val="18"/>
          <w:lang w:val="en-AU"/>
        </w:rPr>
        <w:t xml:space="preserve">ad hoc collection of data relating to </w:t>
      </w:r>
      <w:r w:rsidRPr="004938CA">
        <w:rPr>
          <w:rFonts w:asciiTheme="minorHAnsi" w:hAnsiTheme="minorHAnsi" w:cstheme="minorHAnsi"/>
          <w:sz w:val="16"/>
          <w:szCs w:val="18"/>
          <w:lang w:val="en-AU"/>
        </w:rPr>
        <w:t>the non-renal organ waiting lists as described above, this information may not be completely accurate</w:t>
      </w:r>
      <w:r>
        <w:rPr>
          <w:rFonts w:asciiTheme="minorHAnsi" w:hAnsiTheme="minorHAnsi" w:cstheme="minorHAnsi"/>
          <w:sz w:val="16"/>
          <w:szCs w:val="18"/>
          <w:lang w:val="en-AU"/>
        </w:rPr>
        <w:t xml:space="preserve">. In addition, the wait lists are extremely dynamic in nature hence the expression of wait list numbers at a single point in time. As discussed throughout this Report, it is currently impossible to identify the demand for non-renal transplantation. As such, a denominator cannot be expressed for these figures; National Organ Matching System as received by the OTA, “Active Recipients on NOMS October 2018”, (received November 2018). </w:t>
      </w:r>
    </w:p>
  </w:footnote>
  <w:footnote w:id="83">
    <w:p w14:paraId="4A2B7925"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Pr>
          <w:rFonts w:asciiTheme="minorHAnsi" w:hAnsiTheme="minorHAnsi" w:cstheme="minorHAnsi"/>
          <w:sz w:val="16"/>
          <w:szCs w:val="16"/>
          <w:lang w:val="en-AU"/>
        </w:rPr>
        <w:t xml:space="preserve">The Australia and New Zealand Organ Registry as </w:t>
      </w:r>
      <w:r w:rsidRPr="00EF2596">
        <w:rPr>
          <w:rFonts w:asciiTheme="minorHAnsi" w:hAnsiTheme="minorHAnsi" w:cstheme="minorHAnsi"/>
          <w:sz w:val="16"/>
          <w:szCs w:val="16"/>
          <w:lang w:val="en-AU"/>
        </w:rPr>
        <w:t>provided by the OTA</w:t>
      </w:r>
      <w:r>
        <w:rPr>
          <w:rFonts w:asciiTheme="minorHAnsi" w:hAnsiTheme="minorHAnsi" w:cstheme="minorHAnsi"/>
          <w:sz w:val="16"/>
          <w:szCs w:val="16"/>
          <w:lang w:val="en-AU"/>
        </w:rPr>
        <w:t>, “Remote Dialysis Patients 31 December 2016” (received November 2018);</w:t>
      </w:r>
      <w:r w:rsidRPr="00EC24DF">
        <w:rPr>
          <w:rFonts w:asciiTheme="minorHAnsi" w:hAnsiTheme="minorHAnsi" w:cstheme="minorHAnsi"/>
          <w:sz w:val="16"/>
          <w:szCs w:val="16"/>
          <w:lang w:val="en-AU"/>
        </w:rPr>
        <w:t xml:space="preserve"> </w:t>
      </w:r>
      <w:r>
        <w:rPr>
          <w:rFonts w:asciiTheme="minorHAnsi" w:hAnsiTheme="minorHAnsi" w:cstheme="minorHAnsi"/>
          <w:sz w:val="16"/>
          <w:szCs w:val="16"/>
          <w:lang w:val="en-AU"/>
        </w:rPr>
        <w:t xml:space="preserve">The Australia and New Zealand Organ Registry as </w:t>
      </w:r>
      <w:r w:rsidRPr="001D7C3C">
        <w:rPr>
          <w:rFonts w:asciiTheme="minorHAnsi" w:hAnsiTheme="minorHAnsi" w:cstheme="minorHAnsi"/>
          <w:sz w:val="16"/>
          <w:szCs w:val="16"/>
          <w:lang w:val="en-AU"/>
        </w:rPr>
        <w:t>provided by the OTA</w:t>
      </w:r>
      <w:r>
        <w:rPr>
          <w:rFonts w:asciiTheme="minorHAnsi" w:hAnsiTheme="minorHAnsi" w:cstheme="minorHAnsi"/>
          <w:sz w:val="16"/>
          <w:szCs w:val="16"/>
          <w:lang w:val="en-AU"/>
        </w:rPr>
        <w:t xml:space="preserve">, “Prevalent Transplant Recipients by Remoteness 31 December 2016” (received November 2018). </w:t>
      </w:r>
    </w:p>
  </w:footnote>
  <w:footnote w:id="84">
    <w:p w14:paraId="00D36AD8" w14:textId="77777777" w:rsidR="00D930F7" w:rsidRPr="00EF2596" w:rsidRDefault="00D930F7">
      <w:pPr>
        <w:pStyle w:val="FootnoteText"/>
        <w:rPr>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Pr>
          <w:rFonts w:asciiTheme="minorHAnsi" w:hAnsiTheme="minorHAnsi" w:cstheme="minorHAnsi"/>
          <w:sz w:val="16"/>
          <w:szCs w:val="16"/>
          <w:lang w:val="en-AU"/>
        </w:rPr>
        <w:t>Ibid.</w:t>
      </w:r>
    </w:p>
  </w:footnote>
  <w:footnote w:id="85">
    <w:p w14:paraId="49B6913F" w14:textId="77777777" w:rsidR="00D930F7" w:rsidRPr="004938CA" w:rsidRDefault="00D930F7" w:rsidP="00C30067">
      <w:pPr>
        <w:pStyle w:val="FootnoteText"/>
        <w:rPr>
          <w:rFonts w:asciiTheme="minorHAnsi" w:hAnsiTheme="minorHAnsi" w:cstheme="minorHAnsi"/>
          <w:color w:val="000000" w:themeColor="text1"/>
          <w:sz w:val="16"/>
          <w:szCs w:val="16"/>
          <w:lang w:val="en-AU"/>
        </w:rPr>
      </w:pPr>
      <w:r w:rsidRPr="004938CA">
        <w:rPr>
          <w:rStyle w:val="FootnoteReference"/>
          <w:rFonts w:asciiTheme="minorHAnsi" w:hAnsiTheme="minorHAnsi" w:cstheme="minorHAnsi"/>
          <w:color w:val="000000" w:themeColor="text1"/>
          <w:sz w:val="16"/>
          <w:szCs w:val="16"/>
        </w:rPr>
        <w:footnoteRef/>
      </w:r>
      <w:r w:rsidRPr="004938CA">
        <w:rPr>
          <w:rFonts w:asciiTheme="minorHAnsi" w:hAnsiTheme="minorHAnsi" w:cstheme="minorHAnsi"/>
          <w:color w:val="000000" w:themeColor="text1"/>
          <w:sz w:val="16"/>
          <w:szCs w:val="16"/>
        </w:rPr>
        <w:t xml:space="preserve"> </w:t>
      </w:r>
      <w:r>
        <w:rPr>
          <w:rFonts w:asciiTheme="minorHAnsi" w:hAnsiTheme="minorHAnsi" w:cstheme="minorHAnsi"/>
          <w:sz w:val="16"/>
          <w:szCs w:val="16"/>
        </w:rPr>
        <w:t>Kucirka, L M, 2015, above n. 88.</w:t>
      </w:r>
    </w:p>
  </w:footnote>
  <w:footnote w:id="86">
    <w:p w14:paraId="7BEF013D" w14:textId="77777777" w:rsidR="00D930F7" w:rsidRPr="00E82962" w:rsidRDefault="00D930F7" w:rsidP="00C30067">
      <w:pPr>
        <w:pStyle w:val="NormalWeb"/>
        <w:spacing w:before="0" w:beforeAutospacing="0" w:after="0" w:afterAutospacing="0"/>
        <w:rPr>
          <w:rFonts w:asciiTheme="minorHAnsi" w:hAnsiTheme="minorHAnsi" w:cstheme="minorHAnsi"/>
          <w:color w:val="333333"/>
          <w:sz w:val="16"/>
          <w:szCs w:val="16"/>
        </w:rPr>
      </w:pPr>
      <w:r w:rsidRPr="004938CA">
        <w:rPr>
          <w:rStyle w:val="FootnoteReference"/>
          <w:rFonts w:asciiTheme="minorHAnsi" w:eastAsiaTheme="minorHAnsi" w:hAnsiTheme="minorHAnsi" w:cstheme="minorHAnsi"/>
          <w:color w:val="000000" w:themeColor="text1"/>
          <w:sz w:val="16"/>
          <w:szCs w:val="16"/>
        </w:rPr>
        <w:footnoteRef/>
      </w:r>
      <w:r w:rsidRPr="004938CA">
        <w:rPr>
          <w:rStyle w:val="FootnoteReference"/>
          <w:rFonts w:asciiTheme="minorHAnsi" w:hAnsiTheme="minorHAnsi" w:cstheme="minorHAnsi"/>
          <w:color w:val="000000" w:themeColor="text1"/>
          <w:sz w:val="16"/>
          <w:szCs w:val="16"/>
        </w:rPr>
        <w:t xml:space="preserve"> </w:t>
      </w:r>
      <w:r w:rsidRPr="004938CA">
        <w:rPr>
          <w:rFonts w:asciiTheme="minorHAnsi" w:eastAsiaTheme="minorHAnsi" w:hAnsiTheme="minorHAnsi" w:cstheme="minorHAnsi"/>
          <w:color w:val="000000" w:themeColor="text1"/>
          <w:sz w:val="16"/>
          <w:szCs w:val="16"/>
          <w:lang w:val="en-US" w:eastAsia="en-US"/>
        </w:rPr>
        <w:t>Lawton</w:t>
      </w:r>
      <w:r>
        <w:rPr>
          <w:rFonts w:asciiTheme="minorHAnsi" w:eastAsiaTheme="minorHAnsi" w:hAnsiTheme="minorHAnsi" w:cstheme="minorHAnsi"/>
          <w:color w:val="000000" w:themeColor="text1"/>
          <w:sz w:val="16"/>
          <w:szCs w:val="16"/>
          <w:lang w:val="en-US" w:eastAsia="en-US"/>
        </w:rPr>
        <w:t xml:space="preserve"> P et al, </w:t>
      </w:r>
      <w:r w:rsidRPr="004938CA">
        <w:rPr>
          <w:rFonts w:asciiTheme="minorHAnsi" w:eastAsiaTheme="minorHAnsi" w:hAnsiTheme="minorHAnsi" w:cstheme="minorHAnsi"/>
          <w:color w:val="000000" w:themeColor="text1"/>
          <w:sz w:val="16"/>
          <w:szCs w:val="16"/>
          <w:lang w:val="en-US" w:eastAsia="en-US"/>
        </w:rPr>
        <w:t>2017</w:t>
      </w:r>
      <w:r>
        <w:rPr>
          <w:rFonts w:asciiTheme="minorHAnsi" w:eastAsiaTheme="minorHAnsi" w:hAnsiTheme="minorHAnsi" w:cstheme="minorHAnsi"/>
          <w:color w:val="000000" w:themeColor="text1"/>
          <w:sz w:val="16"/>
          <w:szCs w:val="16"/>
          <w:lang w:val="en-US" w:eastAsia="en-US"/>
        </w:rPr>
        <w:t>, ‘</w:t>
      </w:r>
      <w:r w:rsidRPr="004938CA">
        <w:rPr>
          <w:rFonts w:asciiTheme="minorHAnsi" w:eastAsiaTheme="minorHAnsi" w:hAnsiTheme="minorHAnsi" w:cstheme="minorHAnsi"/>
          <w:color w:val="000000" w:themeColor="text1"/>
          <w:sz w:val="16"/>
          <w:szCs w:val="16"/>
          <w:lang w:val="en-US" w:eastAsia="en-US"/>
        </w:rPr>
        <w:t>Organ Transplantation in Australia: Inequities in Access and Outcome for Indigenous Australians</w:t>
      </w:r>
      <w:r>
        <w:rPr>
          <w:rFonts w:asciiTheme="minorHAnsi" w:eastAsiaTheme="minorHAnsi" w:hAnsiTheme="minorHAnsi" w:cstheme="minorHAnsi"/>
          <w:color w:val="000000" w:themeColor="text1"/>
          <w:sz w:val="16"/>
          <w:szCs w:val="16"/>
          <w:lang w:val="en-US" w:eastAsia="en-US"/>
        </w:rPr>
        <w:t>’</w:t>
      </w:r>
      <w:r w:rsidRPr="004938CA">
        <w:rPr>
          <w:rFonts w:asciiTheme="minorHAnsi" w:eastAsiaTheme="minorHAnsi" w:hAnsiTheme="minorHAnsi" w:cstheme="minorHAnsi"/>
          <w:color w:val="000000" w:themeColor="text1"/>
          <w:sz w:val="16"/>
          <w:szCs w:val="16"/>
          <w:lang w:val="en-US" w:eastAsia="en-US"/>
        </w:rPr>
        <w:t xml:space="preserve"> </w:t>
      </w:r>
      <w:r>
        <w:rPr>
          <w:rFonts w:asciiTheme="minorHAnsi" w:eastAsiaTheme="minorHAnsi" w:hAnsiTheme="minorHAnsi" w:cstheme="minorHAnsi"/>
          <w:i/>
          <w:color w:val="000000" w:themeColor="text1"/>
          <w:sz w:val="16"/>
          <w:szCs w:val="16"/>
          <w:lang w:val="en-US" w:eastAsia="en-US"/>
        </w:rPr>
        <w:t xml:space="preserve">The Official Journal of the Transplantation Society and the International Liver Transplantation Society, </w:t>
      </w:r>
      <w:r>
        <w:rPr>
          <w:rFonts w:asciiTheme="minorHAnsi" w:eastAsiaTheme="minorHAnsi" w:hAnsiTheme="minorHAnsi" w:cstheme="minorHAnsi"/>
          <w:color w:val="000000" w:themeColor="text1"/>
          <w:sz w:val="16"/>
          <w:szCs w:val="16"/>
          <w:lang w:val="en-US" w:eastAsia="en-US"/>
        </w:rPr>
        <w:t xml:space="preserve">Vol: </w:t>
      </w:r>
      <w:r w:rsidRPr="004938CA">
        <w:rPr>
          <w:rFonts w:asciiTheme="minorHAnsi" w:eastAsiaTheme="minorHAnsi" w:hAnsiTheme="minorHAnsi" w:cstheme="minorHAnsi"/>
          <w:color w:val="000000" w:themeColor="text1"/>
          <w:sz w:val="16"/>
          <w:szCs w:val="16"/>
          <w:lang w:val="en-US" w:eastAsia="en-US"/>
        </w:rPr>
        <w:t>101</w:t>
      </w:r>
      <w:r>
        <w:rPr>
          <w:rFonts w:asciiTheme="minorHAnsi" w:eastAsiaTheme="minorHAnsi" w:hAnsiTheme="minorHAnsi" w:cstheme="minorHAnsi"/>
          <w:color w:val="000000" w:themeColor="text1"/>
          <w:sz w:val="16"/>
          <w:szCs w:val="16"/>
          <w:lang w:val="en-US" w:eastAsia="en-US"/>
        </w:rPr>
        <w:t xml:space="preserve"> Issue: </w:t>
      </w:r>
      <w:r w:rsidRPr="004938CA">
        <w:rPr>
          <w:rFonts w:asciiTheme="minorHAnsi" w:eastAsiaTheme="minorHAnsi" w:hAnsiTheme="minorHAnsi" w:cstheme="minorHAnsi"/>
          <w:color w:val="000000" w:themeColor="text1"/>
          <w:sz w:val="16"/>
          <w:szCs w:val="16"/>
          <w:lang w:val="en-US" w:eastAsia="en-US"/>
        </w:rPr>
        <w:t>11</w:t>
      </w:r>
      <w:r>
        <w:rPr>
          <w:rFonts w:asciiTheme="minorHAnsi" w:eastAsiaTheme="minorHAnsi" w:hAnsiTheme="minorHAnsi" w:cstheme="minorHAnsi"/>
          <w:color w:val="000000" w:themeColor="text1"/>
          <w:sz w:val="16"/>
          <w:szCs w:val="16"/>
          <w:lang w:val="en-US" w:eastAsia="en-US"/>
        </w:rPr>
        <w:t>, pp. 3</w:t>
      </w:r>
      <w:r w:rsidRPr="004938CA">
        <w:rPr>
          <w:rFonts w:asciiTheme="minorHAnsi" w:eastAsiaTheme="minorHAnsi" w:hAnsiTheme="minorHAnsi" w:cstheme="minorHAnsi"/>
          <w:color w:val="000000" w:themeColor="text1"/>
          <w:sz w:val="16"/>
          <w:szCs w:val="16"/>
          <w:lang w:val="en-US" w:eastAsia="en-US"/>
        </w:rPr>
        <w:t>45-346</w:t>
      </w:r>
      <w:r>
        <w:rPr>
          <w:rFonts w:asciiTheme="minorHAnsi" w:eastAsiaTheme="minorHAnsi" w:hAnsiTheme="minorHAnsi" w:cstheme="minorHAnsi"/>
          <w:color w:val="000000" w:themeColor="text1"/>
          <w:sz w:val="16"/>
          <w:szCs w:val="16"/>
          <w:lang w:val="en-US" w:eastAsia="en-US"/>
        </w:rPr>
        <w:t>.</w:t>
      </w:r>
    </w:p>
  </w:footnote>
  <w:footnote w:id="87">
    <w:p w14:paraId="1B0F8749" w14:textId="77777777" w:rsidR="00D930F7" w:rsidRPr="00E82962" w:rsidRDefault="00D930F7" w:rsidP="00C30067">
      <w:pPr>
        <w:pStyle w:val="FootnoteText"/>
        <w:rPr>
          <w:rFonts w:asciiTheme="minorHAnsi" w:hAnsiTheme="minorHAnsi" w:cstheme="minorHAnsi"/>
          <w:sz w:val="16"/>
          <w:szCs w:val="16"/>
          <w:lang w:val="en-AU"/>
        </w:rPr>
      </w:pPr>
      <w:r w:rsidRPr="00E82962">
        <w:rPr>
          <w:rStyle w:val="FootnoteReference"/>
          <w:rFonts w:asciiTheme="minorHAnsi" w:hAnsiTheme="minorHAnsi" w:cstheme="minorHAnsi"/>
          <w:sz w:val="16"/>
          <w:szCs w:val="16"/>
        </w:rPr>
        <w:footnoteRef/>
      </w:r>
      <w:r w:rsidRPr="00E82962">
        <w:rPr>
          <w:rFonts w:asciiTheme="minorHAnsi" w:hAnsiTheme="minorHAnsi" w:cstheme="minorHAnsi"/>
          <w:sz w:val="16"/>
          <w:szCs w:val="16"/>
        </w:rPr>
        <w:t xml:space="preserve"> Australia &amp; New Zealand Dialysis &amp; Transplant Registry. </w:t>
      </w:r>
      <w:r w:rsidRPr="00EF2596">
        <w:rPr>
          <w:rFonts w:asciiTheme="minorHAnsi" w:hAnsiTheme="minorHAnsi" w:cstheme="minorHAnsi"/>
          <w:i/>
          <w:sz w:val="16"/>
          <w:szCs w:val="16"/>
        </w:rPr>
        <w:t>The 39th Annual ANZDATA Report</w:t>
      </w:r>
      <w:r>
        <w:rPr>
          <w:rFonts w:asciiTheme="minorHAnsi" w:hAnsiTheme="minorHAnsi" w:cstheme="minorHAnsi"/>
          <w:sz w:val="16"/>
          <w:szCs w:val="16"/>
        </w:rPr>
        <w:t>, viewed October 2018 &lt;</w:t>
      </w:r>
      <w:r w:rsidRPr="00E82962">
        <w:rPr>
          <w:rFonts w:asciiTheme="minorHAnsi" w:hAnsiTheme="minorHAnsi" w:cstheme="minorHAnsi"/>
          <w:sz w:val="16"/>
          <w:szCs w:val="16"/>
        </w:rPr>
        <w:t>http://www.anzdata.org.au/v1/report_2016.html. Updated January 30 2017</w:t>
      </w:r>
      <w:r>
        <w:rPr>
          <w:rFonts w:asciiTheme="minorHAnsi" w:hAnsiTheme="minorHAnsi" w:cstheme="minorHAnsi"/>
          <w:sz w:val="16"/>
          <w:szCs w:val="16"/>
        </w:rPr>
        <w:t>&gt;.</w:t>
      </w:r>
    </w:p>
  </w:footnote>
  <w:footnote w:id="88">
    <w:p w14:paraId="3DC5B464" w14:textId="77777777" w:rsidR="00D930F7" w:rsidRPr="0024202F" w:rsidRDefault="00D930F7">
      <w:pPr>
        <w:pStyle w:val="FootnoteText"/>
        <w:rPr>
          <w:rFonts w:asciiTheme="minorHAnsi" w:hAnsiTheme="minorHAnsi" w:cstheme="minorHAnsi"/>
          <w:sz w:val="16"/>
          <w:szCs w:val="16"/>
          <w:lang w:val="en-AU"/>
        </w:rPr>
      </w:pPr>
      <w:r w:rsidRPr="0024202F">
        <w:rPr>
          <w:rStyle w:val="FootnoteReference"/>
          <w:rFonts w:asciiTheme="minorHAnsi" w:hAnsiTheme="minorHAnsi" w:cstheme="minorHAnsi"/>
          <w:sz w:val="16"/>
          <w:szCs w:val="16"/>
        </w:rPr>
        <w:footnoteRef/>
      </w:r>
      <w:r w:rsidRPr="0024202F">
        <w:rPr>
          <w:rFonts w:asciiTheme="minorHAnsi" w:hAnsiTheme="minorHAnsi" w:cstheme="minorHAnsi"/>
          <w:sz w:val="16"/>
          <w:szCs w:val="16"/>
        </w:rPr>
        <w:t xml:space="preserve"> </w:t>
      </w:r>
      <w:r>
        <w:rPr>
          <w:rFonts w:asciiTheme="minorHAnsi" w:hAnsiTheme="minorHAnsi" w:cstheme="minorHAnsi"/>
          <w:sz w:val="16"/>
          <w:szCs w:val="16"/>
          <w:lang w:val="en-AU"/>
        </w:rPr>
        <w:t>The Australia and New Zealand Dialysis and Transplantation Authority, as provide by the OTA</w:t>
      </w:r>
      <w:r w:rsidRPr="0024202F">
        <w:rPr>
          <w:rFonts w:asciiTheme="minorHAnsi" w:hAnsiTheme="minorHAnsi" w:cstheme="minorHAnsi"/>
          <w:sz w:val="16"/>
          <w:szCs w:val="16"/>
          <w:lang w:val="en-AU"/>
        </w:rPr>
        <w:t xml:space="preserve"> “EY Data: Dialysis and Waiting List” (received August 2018).</w:t>
      </w:r>
    </w:p>
  </w:footnote>
  <w:footnote w:id="89">
    <w:p w14:paraId="64A634FF" w14:textId="77777777" w:rsidR="00D930F7" w:rsidRPr="00447661" w:rsidRDefault="00D930F7" w:rsidP="00C30067">
      <w:pPr>
        <w:pStyle w:val="FootnoteText"/>
        <w:rPr>
          <w:rFonts w:asciiTheme="minorHAnsi" w:hAnsiTheme="minorHAnsi" w:cstheme="minorHAnsi"/>
          <w:color w:val="000000" w:themeColor="text1"/>
          <w:sz w:val="16"/>
          <w:szCs w:val="16"/>
          <w:lang w:val="en-AU"/>
        </w:rPr>
      </w:pPr>
      <w:r w:rsidRPr="00447661">
        <w:rPr>
          <w:rStyle w:val="FootnoteReference"/>
          <w:rFonts w:asciiTheme="minorHAnsi" w:hAnsiTheme="minorHAnsi" w:cstheme="minorHAnsi"/>
          <w:color w:val="000000" w:themeColor="text1"/>
          <w:sz w:val="16"/>
          <w:szCs w:val="16"/>
        </w:rPr>
        <w:footnoteRef/>
      </w:r>
      <w:r w:rsidRPr="00447661">
        <w:rPr>
          <w:rFonts w:asciiTheme="minorHAnsi" w:hAnsiTheme="minorHAnsi" w:cstheme="minorHAnsi"/>
          <w:color w:val="000000" w:themeColor="text1"/>
          <w:sz w:val="16"/>
          <w:szCs w:val="16"/>
        </w:rPr>
        <w:t xml:space="preserve"> </w:t>
      </w:r>
      <w:r w:rsidRPr="005602EE">
        <w:rPr>
          <w:rFonts w:asciiTheme="minorHAnsi" w:hAnsiTheme="minorHAnsi" w:cstheme="minorHAnsi"/>
          <w:color w:val="000000" w:themeColor="text1"/>
          <w:sz w:val="16"/>
          <w:szCs w:val="16"/>
        </w:rPr>
        <w:t>La</w:t>
      </w:r>
      <w:r>
        <w:rPr>
          <w:rFonts w:asciiTheme="minorHAnsi" w:hAnsiTheme="minorHAnsi" w:cstheme="minorHAnsi"/>
          <w:color w:val="000000" w:themeColor="text1"/>
          <w:sz w:val="16"/>
          <w:szCs w:val="16"/>
        </w:rPr>
        <w:t>wton P, 2017, above n. 97.</w:t>
      </w:r>
    </w:p>
  </w:footnote>
  <w:footnote w:id="90">
    <w:p w14:paraId="574BFE37" w14:textId="77777777" w:rsidR="00D930F7" w:rsidRPr="00447661" w:rsidRDefault="00D930F7" w:rsidP="00C30067">
      <w:pPr>
        <w:pStyle w:val="FootnoteText"/>
        <w:rPr>
          <w:rFonts w:asciiTheme="minorHAnsi" w:hAnsiTheme="minorHAnsi" w:cstheme="minorHAnsi"/>
          <w:color w:val="000000" w:themeColor="text1"/>
          <w:sz w:val="16"/>
          <w:szCs w:val="16"/>
          <w:lang w:val="en-AU"/>
        </w:rPr>
      </w:pPr>
      <w:r w:rsidRPr="00545923">
        <w:rPr>
          <w:rStyle w:val="FootnoteReference"/>
          <w:rFonts w:asciiTheme="minorHAnsi" w:hAnsiTheme="minorHAnsi" w:cstheme="minorHAnsi"/>
          <w:color w:val="000000" w:themeColor="text1"/>
          <w:sz w:val="16"/>
          <w:szCs w:val="16"/>
        </w:rPr>
        <w:footnoteRef/>
      </w:r>
      <w:r>
        <w:rPr>
          <w:rFonts w:asciiTheme="minorHAnsi" w:hAnsiTheme="minorHAnsi" w:cstheme="minorHAnsi"/>
          <w:color w:val="000000" w:themeColor="text1"/>
          <w:sz w:val="16"/>
          <w:szCs w:val="16"/>
        </w:rPr>
        <w:t xml:space="preserve"> Khanal, N. et al,</w:t>
      </w:r>
      <w:r w:rsidRPr="00545923">
        <w:rPr>
          <w:rFonts w:asciiTheme="minorHAnsi" w:hAnsiTheme="minorHAnsi" w:cstheme="minorHAnsi"/>
          <w:color w:val="000000" w:themeColor="text1"/>
          <w:sz w:val="16"/>
          <w:szCs w:val="16"/>
        </w:rPr>
        <w:t xml:space="preserve"> 2015, ‘Differences in access to kidney transplanta</w:t>
      </w:r>
      <w:r>
        <w:rPr>
          <w:rFonts w:asciiTheme="minorHAnsi" w:hAnsiTheme="minorHAnsi" w:cstheme="minorHAnsi"/>
          <w:color w:val="000000" w:themeColor="text1"/>
          <w:sz w:val="16"/>
          <w:szCs w:val="16"/>
        </w:rPr>
        <w:t>tion for Indigenous Australians’</w:t>
      </w:r>
      <w:r w:rsidRPr="00545923">
        <w:rPr>
          <w:rFonts w:asciiTheme="minorHAnsi" w:hAnsiTheme="minorHAnsi" w:cstheme="minorHAnsi"/>
          <w:color w:val="000000" w:themeColor="text1"/>
          <w:sz w:val="16"/>
          <w:szCs w:val="16"/>
        </w:rPr>
        <w:t xml:space="preserve"> </w:t>
      </w:r>
      <w:r w:rsidRPr="007B18EF">
        <w:rPr>
          <w:rFonts w:asciiTheme="minorHAnsi" w:hAnsiTheme="minorHAnsi" w:cstheme="minorHAnsi"/>
          <w:i/>
          <w:color w:val="000000" w:themeColor="text1"/>
          <w:sz w:val="16"/>
          <w:szCs w:val="16"/>
        </w:rPr>
        <w:t>World Congress of Nephrology</w:t>
      </w:r>
      <w:r w:rsidRPr="00545923">
        <w:rPr>
          <w:rFonts w:asciiTheme="minorHAnsi" w:hAnsiTheme="minorHAnsi" w:cstheme="minorHAnsi"/>
          <w:color w:val="000000" w:themeColor="text1"/>
          <w:sz w:val="16"/>
          <w:szCs w:val="16"/>
        </w:rPr>
        <w:t>, Cape Town, South Africa</w:t>
      </w:r>
      <w:r>
        <w:rPr>
          <w:rFonts w:asciiTheme="minorHAnsi" w:hAnsiTheme="minorHAnsi" w:cstheme="minorHAnsi"/>
          <w:color w:val="000000" w:themeColor="text1"/>
          <w:sz w:val="16"/>
          <w:szCs w:val="16"/>
        </w:rPr>
        <w:t>.</w:t>
      </w:r>
    </w:p>
  </w:footnote>
  <w:footnote w:id="91">
    <w:p w14:paraId="19646D2F" w14:textId="77777777" w:rsidR="00D930F7" w:rsidRPr="007B18EF" w:rsidRDefault="00D930F7" w:rsidP="007B18EF">
      <w:pPr>
        <w:pStyle w:val="FootnoteText"/>
        <w:rPr>
          <w:rFonts w:asciiTheme="minorHAnsi" w:hAnsiTheme="minorHAnsi" w:cstheme="minorHAnsi"/>
          <w:color w:val="000000" w:themeColor="text1"/>
          <w:sz w:val="16"/>
          <w:szCs w:val="16"/>
        </w:rPr>
      </w:pPr>
      <w:r w:rsidRPr="00447661">
        <w:rPr>
          <w:rStyle w:val="FootnoteReference"/>
          <w:rFonts w:asciiTheme="minorHAnsi" w:hAnsiTheme="minorHAnsi" w:cstheme="minorHAnsi"/>
          <w:color w:val="000000" w:themeColor="text1"/>
          <w:sz w:val="16"/>
          <w:szCs w:val="16"/>
        </w:rPr>
        <w:footnoteRef/>
      </w:r>
      <w:r w:rsidRPr="00447661">
        <w:rPr>
          <w:rFonts w:asciiTheme="minorHAnsi" w:hAnsiTheme="minorHAnsi" w:cstheme="minorHAnsi"/>
          <w:color w:val="000000" w:themeColor="text1"/>
          <w:sz w:val="16"/>
          <w:szCs w:val="16"/>
        </w:rPr>
        <w:t xml:space="preserve"> </w:t>
      </w:r>
      <w:r w:rsidRPr="005602EE">
        <w:rPr>
          <w:rFonts w:asciiTheme="minorHAnsi" w:hAnsiTheme="minorHAnsi" w:cstheme="minorHAnsi"/>
          <w:color w:val="000000" w:themeColor="text1"/>
          <w:sz w:val="16"/>
          <w:szCs w:val="16"/>
        </w:rPr>
        <w:t>Lawton P et al, 2017,</w:t>
      </w:r>
      <w:r>
        <w:rPr>
          <w:rFonts w:asciiTheme="minorHAnsi" w:hAnsiTheme="minorHAnsi" w:cstheme="minorHAnsi"/>
          <w:color w:val="000000" w:themeColor="text1"/>
          <w:sz w:val="16"/>
          <w:szCs w:val="16"/>
        </w:rPr>
        <w:t xml:space="preserve"> above n. 97; </w:t>
      </w:r>
      <w:r w:rsidRPr="00447661">
        <w:rPr>
          <w:rFonts w:asciiTheme="minorHAnsi" w:hAnsiTheme="minorHAnsi" w:cstheme="minorHAnsi"/>
          <w:color w:val="000000" w:themeColor="text1"/>
          <w:sz w:val="16"/>
          <w:szCs w:val="16"/>
        </w:rPr>
        <w:t>Cass</w:t>
      </w:r>
      <w:r>
        <w:rPr>
          <w:rFonts w:asciiTheme="minorHAnsi" w:hAnsiTheme="minorHAnsi" w:cstheme="minorHAnsi"/>
          <w:color w:val="000000" w:themeColor="text1"/>
          <w:sz w:val="16"/>
          <w:szCs w:val="16"/>
        </w:rPr>
        <w:t xml:space="preserve"> A. et al, </w:t>
      </w:r>
      <w:r w:rsidRPr="00447661">
        <w:rPr>
          <w:rFonts w:asciiTheme="minorHAnsi" w:hAnsiTheme="minorHAnsi" w:cstheme="minorHAnsi"/>
          <w:color w:val="000000" w:themeColor="text1"/>
          <w:sz w:val="16"/>
          <w:szCs w:val="16"/>
        </w:rPr>
        <w:t xml:space="preserve">2003, </w:t>
      </w:r>
      <w:r>
        <w:rPr>
          <w:rFonts w:asciiTheme="minorHAnsi" w:hAnsiTheme="minorHAnsi" w:cstheme="minorHAnsi"/>
          <w:color w:val="000000" w:themeColor="text1"/>
          <w:sz w:val="16"/>
          <w:szCs w:val="16"/>
        </w:rPr>
        <w:t>‘</w:t>
      </w:r>
      <w:r w:rsidRPr="00447661">
        <w:rPr>
          <w:rFonts w:asciiTheme="minorHAnsi" w:hAnsiTheme="minorHAnsi" w:cstheme="minorHAnsi"/>
          <w:color w:val="000000" w:themeColor="text1"/>
          <w:sz w:val="16"/>
          <w:szCs w:val="16"/>
        </w:rPr>
        <w:t xml:space="preserve">Renal Transplantation for Indigenous Australians: Identifying the </w:t>
      </w:r>
      <w:r>
        <w:rPr>
          <w:rFonts w:asciiTheme="minorHAnsi" w:hAnsiTheme="minorHAnsi" w:cstheme="minorHAnsi"/>
          <w:color w:val="000000" w:themeColor="text1"/>
          <w:sz w:val="16"/>
          <w:szCs w:val="16"/>
        </w:rPr>
        <w:t xml:space="preserve">Barriers to </w:t>
      </w:r>
      <w:r w:rsidRPr="00447661">
        <w:rPr>
          <w:rFonts w:asciiTheme="minorHAnsi" w:hAnsiTheme="minorHAnsi" w:cstheme="minorHAnsi"/>
          <w:color w:val="000000" w:themeColor="text1"/>
          <w:sz w:val="16"/>
          <w:szCs w:val="16"/>
        </w:rPr>
        <w:t>Equitable Access</w:t>
      </w:r>
      <w:r>
        <w:rPr>
          <w:rFonts w:asciiTheme="minorHAnsi" w:hAnsiTheme="minorHAnsi" w:cstheme="minorHAnsi"/>
          <w:color w:val="000000" w:themeColor="text1"/>
          <w:sz w:val="16"/>
          <w:szCs w:val="16"/>
        </w:rPr>
        <w:t>’</w:t>
      </w:r>
      <w:r w:rsidRPr="00447661">
        <w:rPr>
          <w:rFonts w:asciiTheme="minorHAnsi" w:hAnsiTheme="minorHAnsi" w:cstheme="minorHAnsi"/>
          <w:color w:val="000000" w:themeColor="text1"/>
          <w:sz w:val="16"/>
          <w:szCs w:val="16"/>
        </w:rPr>
        <w:t xml:space="preserve">, </w:t>
      </w:r>
      <w:r w:rsidRPr="003E6F1F">
        <w:rPr>
          <w:rFonts w:asciiTheme="minorHAnsi" w:hAnsiTheme="minorHAnsi" w:cstheme="minorHAnsi"/>
          <w:i/>
          <w:color w:val="000000" w:themeColor="text1"/>
          <w:sz w:val="16"/>
          <w:szCs w:val="16"/>
        </w:rPr>
        <w:t>Ethnicity and Health</w:t>
      </w:r>
      <w:r>
        <w:rPr>
          <w:rFonts w:asciiTheme="minorHAnsi" w:hAnsiTheme="minorHAnsi" w:cstheme="minorHAnsi"/>
          <w:color w:val="000000" w:themeColor="text1"/>
          <w:sz w:val="16"/>
          <w:szCs w:val="16"/>
        </w:rPr>
        <w:t xml:space="preserve"> Vol.8, no. 3, pp. </w:t>
      </w:r>
      <w:r w:rsidRPr="00447661">
        <w:rPr>
          <w:rFonts w:asciiTheme="minorHAnsi" w:hAnsiTheme="minorHAnsi" w:cstheme="minorHAnsi"/>
          <w:color w:val="000000" w:themeColor="text1"/>
          <w:sz w:val="16"/>
          <w:szCs w:val="16"/>
        </w:rPr>
        <w:t>111-119</w:t>
      </w:r>
      <w:r>
        <w:rPr>
          <w:rFonts w:asciiTheme="minorHAnsi" w:hAnsiTheme="minorHAnsi" w:cstheme="minorHAnsi"/>
          <w:color w:val="000000" w:themeColor="text1"/>
          <w:sz w:val="16"/>
          <w:szCs w:val="16"/>
        </w:rPr>
        <w:t>.</w:t>
      </w:r>
    </w:p>
  </w:footnote>
  <w:footnote w:id="92">
    <w:p w14:paraId="3CBD5873" w14:textId="77777777" w:rsidR="00D930F7" w:rsidRPr="00BD1C04" w:rsidRDefault="00D930F7" w:rsidP="001D2769">
      <w:pPr>
        <w:pStyle w:val="FootnoteText"/>
        <w:rPr>
          <w:rFonts w:asciiTheme="minorHAnsi" w:hAnsiTheme="minorHAnsi" w:cstheme="minorHAnsi"/>
          <w:lang w:val="en-AU"/>
        </w:rPr>
      </w:pPr>
      <w:r w:rsidRPr="003E6F1F">
        <w:rPr>
          <w:rStyle w:val="FootnoteReference"/>
          <w:rFonts w:asciiTheme="minorHAnsi" w:hAnsiTheme="minorHAnsi" w:cstheme="minorHAnsi"/>
          <w:sz w:val="16"/>
        </w:rPr>
        <w:footnoteRef/>
      </w:r>
      <w:r w:rsidRPr="003E6F1F">
        <w:rPr>
          <w:rFonts w:asciiTheme="minorHAnsi" w:hAnsiTheme="minorHAnsi" w:cstheme="minorHAnsi"/>
          <w:sz w:val="16"/>
        </w:rPr>
        <w:t xml:space="preserve"> </w:t>
      </w:r>
      <w:r>
        <w:rPr>
          <w:rFonts w:asciiTheme="minorHAnsi" w:hAnsiTheme="minorHAnsi" w:cstheme="minorHAnsi"/>
          <w:sz w:val="16"/>
          <w:szCs w:val="16"/>
          <w:lang w:val="en-AU"/>
        </w:rPr>
        <w:t>The Australia and New Zealand Dialysis and Transplantation Authority</w:t>
      </w:r>
      <w:r w:rsidRPr="00BD1C04">
        <w:rPr>
          <w:rFonts w:asciiTheme="minorHAnsi" w:hAnsiTheme="minorHAnsi" w:cstheme="minorHAnsi"/>
          <w:sz w:val="16"/>
          <w:lang w:val="en-AU"/>
        </w:rPr>
        <w:t>, as received by OTA, “2016 Kidney Waitlist data by remoteness” (received October 2018).</w:t>
      </w:r>
    </w:p>
  </w:footnote>
  <w:footnote w:id="93">
    <w:p w14:paraId="46F70C58" w14:textId="77777777" w:rsidR="00D930F7" w:rsidRPr="003E6F1F" w:rsidRDefault="00D930F7">
      <w:pPr>
        <w:pStyle w:val="FootnoteText"/>
        <w:rPr>
          <w:rFonts w:asciiTheme="minorHAnsi" w:hAnsiTheme="minorHAnsi" w:cstheme="minorHAnsi"/>
          <w:lang w:val="en-AU"/>
        </w:rPr>
      </w:pPr>
      <w:r w:rsidRPr="003E6F1F">
        <w:rPr>
          <w:rStyle w:val="FootnoteReference"/>
          <w:rFonts w:asciiTheme="minorHAnsi" w:hAnsiTheme="minorHAnsi" w:cstheme="minorHAnsi"/>
          <w:sz w:val="16"/>
        </w:rPr>
        <w:footnoteRef/>
      </w:r>
      <w:r w:rsidRPr="003E6F1F">
        <w:rPr>
          <w:rFonts w:asciiTheme="minorHAnsi" w:hAnsiTheme="minorHAnsi" w:cstheme="minorHAnsi"/>
          <w:sz w:val="16"/>
        </w:rPr>
        <w:t xml:space="preserve"> </w:t>
      </w:r>
      <w:r>
        <w:rPr>
          <w:rFonts w:asciiTheme="minorHAnsi" w:hAnsiTheme="minorHAnsi" w:cstheme="minorHAnsi"/>
          <w:sz w:val="16"/>
          <w:lang w:val="en-AU"/>
        </w:rPr>
        <w:t>Ibid.</w:t>
      </w:r>
    </w:p>
  </w:footnote>
  <w:footnote w:id="94">
    <w:p w14:paraId="0EA15A46" w14:textId="77777777" w:rsidR="00D930F7" w:rsidRPr="003E6F1F" w:rsidRDefault="00D930F7">
      <w:pPr>
        <w:pStyle w:val="FootnoteText"/>
        <w:rPr>
          <w:rFonts w:asciiTheme="minorHAnsi" w:hAnsiTheme="minorHAnsi" w:cstheme="minorHAnsi"/>
          <w:lang w:val="en-AU"/>
        </w:rPr>
      </w:pPr>
      <w:r w:rsidRPr="003E6F1F">
        <w:rPr>
          <w:rStyle w:val="FootnoteReference"/>
          <w:rFonts w:asciiTheme="minorHAnsi" w:hAnsiTheme="minorHAnsi" w:cstheme="minorHAnsi"/>
        </w:rPr>
        <w:footnoteRef/>
      </w:r>
      <w:r w:rsidRPr="003E6F1F">
        <w:rPr>
          <w:rFonts w:asciiTheme="minorHAnsi" w:hAnsiTheme="minorHAnsi" w:cstheme="minorHAnsi"/>
        </w:rPr>
        <w:t xml:space="preserve"> </w:t>
      </w:r>
      <w:r w:rsidRPr="00BD1C04">
        <w:rPr>
          <w:rFonts w:asciiTheme="minorHAnsi" w:hAnsiTheme="minorHAnsi" w:cstheme="minorHAnsi"/>
          <w:sz w:val="16"/>
          <w:lang w:val="en-AU"/>
        </w:rPr>
        <w:t>The Australia and New Zealand Dialysis and Transplantation Registry, as received by the OTA, “Transplantation rate by remoteness 2013 - 2016” (received October 2018).</w:t>
      </w:r>
    </w:p>
  </w:footnote>
  <w:footnote w:id="95">
    <w:p w14:paraId="5F10DBC9" w14:textId="77777777" w:rsidR="00D930F7" w:rsidRPr="00F30C35" w:rsidRDefault="00D930F7" w:rsidP="001D2769">
      <w:pPr>
        <w:pStyle w:val="FootnoteText"/>
        <w:rPr>
          <w:rFonts w:asciiTheme="minorHAnsi" w:hAnsiTheme="minorHAnsi" w:cstheme="minorHAnsi"/>
          <w:szCs w:val="18"/>
          <w:lang w:val="en-AU"/>
        </w:rPr>
      </w:pPr>
      <w:r w:rsidRPr="00F526D8">
        <w:rPr>
          <w:rStyle w:val="FootnoteReference"/>
          <w:rFonts w:asciiTheme="minorHAnsi" w:hAnsiTheme="minorHAnsi" w:cstheme="minorHAnsi"/>
          <w:szCs w:val="18"/>
        </w:rPr>
        <w:footnoteRef/>
      </w:r>
      <w:r w:rsidRPr="00F526D8">
        <w:rPr>
          <w:rFonts w:asciiTheme="minorHAnsi" w:hAnsiTheme="minorHAnsi" w:cstheme="minorHAnsi"/>
          <w:szCs w:val="18"/>
        </w:rPr>
        <w:t xml:space="preserve"> </w:t>
      </w:r>
      <w:r w:rsidRPr="00F526D8">
        <w:rPr>
          <w:rFonts w:asciiTheme="minorHAnsi" w:hAnsiTheme="minorHAnsi" w:cstheme="minorHAnsi"/>
          <w:szCs w:val="18"/>
          <w:lang w:val="en-AU"/>
        </w:rPr>
        <w:t>The Australia and New Zealand Dialysis and Transplantation Registry, as received by the OTA, “Transplantation rate by remoteness 2013 - 2016” (received October 2018); Note: Low sample sizes for remote and very remote categories result in a large variability in percentages.</w:t>
      </w:r>
    </w:p>
  </w:footnote>
  <w:footnote w:id="96">
    <w:p w14:paraId="24CC9C3E" w14:textId="77777777" w:rsidR="00D930F7" w:rsidRPr="00F526D8" w:rsidRDefault="00D930F7">
      <w:pPr>
        <w:pStyle w:val="FootnoteText"/>
        <w:rPr>
          <w:rFonts w:asciiTheme="minorHAnsi" w:hAnsiTheme="minorHAnsi" w:cstheme="minorHAnsi"/>
          <w:szCs w:val="18"/>
          <w:lang w:val="en-AU"/>
        </w:rPr>
      </w:pPr>
      <w:r w:rsidRPr="00F526D8">
        <w:rPr>
          <w:rStyle w:val="FootnoteReference"/>
          <w:rFonts w:asciiTheme="minorHAnsi" w:hAnsiTheme="minorHAnsi" w:cstheme="minorHAnsi"/>
          <w:szCs w:val="18"/>
        </w:rPr>
        <w:footnoteRef/>
      </w:r>
      <w:r w:rsidRPr="00F526D8">
        <w:rPr>
          <w:rFonts w:asciiTheme="minorHAnsi" w:hAnsiTheme="minorHAnsi" w:cstheme="minorHAnsi"/>
          <w:szCs w:val="18"/>
        </w:rPr>
        <w:t xml:space="preserve"> </w:t>
      </w:r>
      <w:r w:rsidRPr="00F526D8">
        <w:rPr>
          <w:rFonts w:asciiTheme="minorHAnsi" w:hAnsiTheme="minorHAnsi" w:cstheme="minorHAnsi"/>
          <w:szCs w:val="18"/>
          <w:lang w:val="en-AU"/>
        </w:rPr>
        <w:t>Ibid.</w:t>
      </w:r>
    </w:p>
  </w:footnote>
  <w:footnote w:id="97">
    <w:p w14:paraId="5892B16A" w14:textId="77777777" w:rsidR="00D930F7" w:rsidRPr="003E6F1F" w:rsidRDefault="00D930F7">
      <w:pPr>
        <w:pStyle w:val="FootnoteText"/>
        <w:rPr>
          <w:lang w:val="en-AU"/>
        </w:rPr>
      </w:pPr>
      <w:r w:rsidRPr="00F526D8">
        <w:rPr>
          <w:rStyle w:val="FootnoteReference"/>
          <w:rFonts w:asciiTheme="minorHAnsi" w:hAnsiTheme="minorHAnsi" w:cstheme="minorHAnsi"/>
          <w:szCs w:val="18"/>
        </w:rPr>
        <w:footnoteRef/>
      </w:r>
      <w:r w:rsidRPr="00F526D8">
        <w:rPr>
          <w:rFonts w:asciiTheme="minorHAnsi" w:hAnsiTheme="minorHAnsi" w:cstheme="minorHAnsi"/>
          <w:szCs w:val="18"/>
        </w:rPr>
        <w:t xml:space="preserve"> </w:t>
      </w:r>
      <w:r w:rsidRPr="00F526D8">
        <w:rPr>
          <w:rFonts w:asciiTheme="minorHAnsi" w:hAnsiTheme="minorHAnsi" w:cstheme="minorHAnsi"/>
          <w:szCs w:val="18"/>
          <w:lang w:val="en-AU"/>
        </w:rPr>
        <w:t>Ibid.</w:t>
      </w:r>
      <w:r>
        <w:rPr>
          <w:rFonts w:asciiTheme="minorHAnsi" w:hAnsiTheme="minorHAnsi" w:cstheme="minorHAnsi"/>
          <w:sz w:val="16"/>
          <w:lang w:val="en-AU"/>
        </w:rPr>
        <w:t xml:space="preserve"> </w:t>
      </w:r>
    </w:p>
  </w:footnote>
  <w:footnote w:id="98">
    <w:p w14:paraId="0EAD26DF" w14:textId="77777777" w:rsidR="00D930F7" w:rsidRPr="00DF34B8" w:rsidRDefault="00D930F7">
      <w:pPr>
        <w:pStyle w:val="FootnoteText"/>
        <w:rPr>
          <w:rFonts w:asciiTheme="minorHAnsi" w:hAnsiTheme="minorHAnsi" w:cstheme="minorHAnsi"/>
          <w:sz w:val="16"/>
          <w:szCs w:val="16"/>
          <w:lang w:val="en-AU"/>
        </w:rPr>
      </w:pPr>
      <w:r w:rsidRPr="00DF34B8">
        <w:rPr>
          <w:rStyle w:val="FootnoteReference"/>
          <w:rFonts w:asciiTheme="minorHAnsi" w:hAnsiTheme="minorHAnsi" w:cstheme="minorHAnsi"/>
          <w:sz w:val="16"/>
          <w:szCs w:val="16"/>
        </w:rPr>
        <w:footnoteRef/>
      </w:r>
      <w:r w:rsidRPr="00DF34B8">
        <w:rPr>
          <w:rFonts w:asciiTheme="minorHAnsi" w:hAnsiTheme="minorHAnsi" w:cstheme="minorHAnsi"/>
          <w:sz w:val="16"/>
          <w:szCs w:val="16"/>
        </w:rPr>
        <w:t xml:space="preserve"> The Australia and New Zealand Dialysis and Transplant Registry, 2017 </w:t>
      </w:r>
      <w:r w:rsidRPr="00DF34B8">
        <w:rPr>
          <w:rFonts w:asciiTheme="minorHAnsi" w:hAnsiTheme="minorHAnsi" w:cstheme="minorHAnsi"/>
          <w:i/>
          <w:sz w:val="16"/>
          <w:szCs w:val="16"/>
        </w:rPr>
        <w:t>40</w:t>
      </w:r>
      <w:r w:rsidRPr="00DF34B8">
        <w:rPr>
          <w:rFonts w:asciiTheme="minorHAnsi" w:hAnsiTheme="minorHAnsi" w:cstheme="minorHAnsi"/>
          <w:i/>
          <w:sz w:val="16"/>
          <w:szCs w:val="16"/>
          <w:vertAlign w:val="superscript"/>
        </w:rPr>
        <w:t>th</w:t>
      </w:r>
      <w:r w:rsidRPr="00DF34B8">
        <w:rPr>
          <w:rFonts w:asciiTheme="minorHAnsi" w:hAnsiTheme="minorHAnsi" w:cstheme="minorHAnsi"/>
          <w:i/>
          <w:sz w:val="16"/>
          <w:szCs w:val="16"/>
        </w:rPr>
        <w:t xml:space="preserve"> Annual ANZDATA Report Chapter 6: Australian Transplant Waiting list, </w:t>
      </w:r>
      <w:r w:rsidRPr="00DF34B8">
        <w:rPr>
          <w:rFonts w:asciiTheme="minorHAnsi" w:hAnsiTheme="minorHAnsi" w:cstheme="minorHAnsi"/>
          <w:sz w:val="16"/>
          <w:szCs w:val="16"/>
        </w:rPr>
        <w:t>viewed August 2018, &lt;</w:t>
      </w:r>
      <w:r w:rsidRPr="00DF34B8">
        <w:rPr>
          <w:rStyle w:val="Hyperlink"/>
          <w:rFonts w:asciiTheme="minorHAnsi" w:hAnsiTheme="minorHAnsi" w:cstheme="minorHAnsi"/>
          <w:color w:val="auto"/>
          <w:sz w:val="16"/>
          <w:szCs w:val="16"/>
          <w:u w:val="none"/>
        </w:rPr>
        <w:t>http://www.anzdata.org.au/v1/report_2017.html</w:t>
      </w:r>
      <w:r w:rsidRPr="00DF34B8">
        <w:rPr>
          <w:rFonts w:asciiTheme="minorHAnsi" w:hAnsiTheme="minorHAnsi" w:cstheme="minorHAnsi"/>
          <w:sz w:val="16"/>
          <w:szCs w:val="16"/>
        </w:rPr>
        <w:t>&gt;.</w:t>
      </w:r>
    </w:p>
  </w:footnote>
  <w:footnote w:id="99">
    <w:p w14:paraId="23B8FA0D" w14:textId="77777777" w:rsidR="00D930F7" w:rsidRPr="00DF34B8" w:rsidRDefault="00D930F7" w:rsidP="00C30067">
      <w:pPr>
        <w:pStyle w:val="FootnoteText"/>
        <w:rPr>
          <w:rFonts w:asciiTheme="minorHAnsi" w:hAnsiTheme="minorHAnsi" w:cstheme="minorHAnsi"/>
          <w:sz w:val="16"/>
          <w:szCs w:val="16"/>
          <w:lang w:val="en-AU"/>
        </w:rPr>
      </w:pPr>
      <w:r w:rsidRPr="00DF34B8">
        <w:rPr>
          <w:rStyle w:val="FootnoteReference"/>
          <w:rFonts w:asciiTheme="minorHAnsi" w:hAnsiTheme="minorHAnsi" w:cstheme="minorHAnsi"/>
          <w:sz w:val="16"/>
          <w:szCs w:val="16"/>
        </w:rPr>
        <w:footnoteRef/>
      </w:r>
      <w:r w:rsidRPr="00DF34B8">
        <w:rPr>
          <w:rFonts w:asciiTheme="minorHAnsi" w:hAnsiTheme="minorHAnsi" w:cstheme="minorHAnsi"/>
          <w:sz w:val="16"/>
          <w:szCs w:val="16"/>
        </w:rPr>
        <w:t xml:space="preserve"> </w:t>
      </w:r>
      <w:r w:rsidRPr="00DF34B8">
        <w:rPr>
          <w:rFonts w:asciiTheme="minorHAnsi" w:hAnsiTheme="minorHAnsi" w:cstheme="minorHAnsi"/>
          <w:color w:val="000000"/>
          <w:sz w:val="16"/>
          <w:szCs w:val="16"/>
          <w:lang w:eastAsia="en-AU"/>
        </w:rPr>
        <w:t>The Australia and New Zealand Dialysis and Transplant Registry</w:t>
      </w:r>
      <w:r>
        <w:rPr>
          <w:rFonts w:asciiTheme="minorHAnsi" w:hAnsiTheme="minorHAnsi" w:cstheme="minorHAnsi"/>
          <w:color w:val="000000"/>
          <w:sz w:val="16"/>
          <w:szCs w:val="16"/>
          <w:lang w:eastAsia="en-AU"/>
        </w:rPr>
        <w:t>,</w:t>
      </w:r>
      <w:r w:rsidRPr="00DF34B8">
        <w:rPr>
          <w:rFonts w:asciiTheme="minorHAnsi" w:hAnsiTheme="minorHAnsi" w:cstheme="minorHAnsi"/>
          <w:color w:val="000000"/>
          <w:sz w:val="16"/>
          <w:szCs w:val="16"/>
          <w:lang w:eastAsia="en-AU"/>
        </w:rPr>
        <w:t>as provided by OTA, “EY Data: Wait listing – kidney (2016)” (received August 2018).</w:t>
      </w:r>
    </w:p>
  </w:footnote>
  <w:footnote w:id="100">
    <w:p w14:paraId="0A5D91AD" w14:textId="77777777" w:rsidR="00D930F7" w:rsidRPr="00DF34B8" w:rsidRDefault="00D930F7" w:rsidP="00514783">
      <w:pPr>
        <w:widowControl/>
        <w:autoSpaceDE/>
        <w:autoSpaceDN/>
        <w:adjustRightInd/>
        <w:spacing w:after="0"/>
        <w:rPr>
          <w:rFonts w:asciiTheme="minorHAnsi" w:hAnsiTheme="minorHAnsi" w:cstheme="minorHAnsi"/>
          <w:color w:val="000000"/>
          <w:sz w:val="16"/>
          <w:szCs w:val="16"/>
          <w:lang w:eastAsia="en-AU"/>
        </w:rPr>
      </w:pPr>
      <w:r w:rsidRPr="00DF34B8">
        <w:rPr>
          <w:rStyle w:val="FootnoteReference"/>
          <w:rFonts w:asciiTheme="minorHAnsi" w:hAnsiTheme="minorHAnsi" w:cstheme="minorHAnsi"/>
          <w:sz w:val="16"/>
          <w:szCs w:val="16"/>
        </w:rPr>
        <w:footnoteRef/>
      </w:r>
      <w:r w:rsidRPr="00DF34B8">
        <w:rPr>
          <w:rFonts w:asciiTheme="minorHAnsi" w:hAnsiTheme="minorHAnsi" w:cstheme="minorHAnsi"/>
          <w:sz w:val="16"/>
          <w:szCs w:val="16"/>
        </w:rPr>
        <w:t xml:space="preserve"> </w:t>
      </w:r>
      <w:r>
        <w:rPr>
          <w:rFonts w:asciiTheme="minorHAnsi" w:hAnsiTheme="minorHAnsi" w:cstheme="minorHAnsi"/>
          <w:color w:val="000000"/>
          <w:sz w:val="16"/>
          <w:szCs w:val="16"/>
          <w:lang w:eastAsia="en-AU"/>
        </w:rPr>
        <w:t>Ibid.</w:t>
      </w:r>
    </w:p>
  </w:footnote>
  <w:footnote w:id="101">
    <w:p w14:paraId="42AA623B" w14:textId="77777777" w:rsidR="00D930F7" w:rsidRPr="00514783" w:rsidRDefault="00D930F7" w:rsidP="00514783">
      <w:pPr>
        <w:widowControl/>
        <w:autoSpaceDE/>
        <w:autoSpaceDN/>
        <w:adjustRightInd/>
        <w:spacing w:after="0"/>
        <w:rPr>
          <w:rFonts w:ascii="Calibri" w:hAnsi="Calibri" w:cs="Calibri"/>
          <w:color w:val="000000"/>
          <w:sz w:val="16"/>
          <w:szCs w:val="16"/>
          <w:lang w:eastAsia="en-AU"/>
        </w:rPr>
      </w:pPr>
      <w:r w:rsidRPr="00DF34B8">
        <w:rPr>
          <w:rStyle w:val="FootnoteReference"/>
          <w:rFonts w:asciiTheme="minorHAnsi" w:hAnsiTheme="minorHAnsi" w:cstheme="minorHAnsi"/>
          <w:sz w:val="16"/>
          <w:szCs w:val="16"/>
        </w:rPr>
        <w:footnoteRef/>
      </w:r>
      <w:r w:rsidRPr="00DF34B8">
        <w:rPr>
          <w:rFonts w:asciiTheme="minorHAnsi" w:hAnsiTheme="minorHAnsi" w:cstheme="minorHAnsi"/>
          <w:sz w:val="16"/>
          <w:szCs w:val="16"/>
        </w:rPr>
        <w:t xml:space="preserve"> </w:t>
      </w:r>
      <w:r w:rsidRPr="00DF34B8">
        <w:rPr>
          <w:rFonts w:asciiTheme="minorHAnsi" w:hAnsiTheme="minorHAnsi" w:cstheme="minorHAnsi"/>
          <w:color w:val="000000"/>
          <w:sz w:val="16"/>
          <w:szCs w:val="16"/>
          <w:lang w:eastAsia="en-AU"/>
        </w:rPr>
        <w:t>Ibid.</w:t>
      </w:r>
      <w:r>
        <w:rPr>
          <w:rFonts w:ascii="Calibri" w:hAnsi="Calibri" w:cs="Calibri"/>
          <w:color w:val="000000"/>
          <w:sz w:val="16"/>
          <w:szCs w:val="16"/>
          <w:lang w:eastAsia="en-AU"/>
        </w:rPr>
        <w:t xml:space="preserve"> </w:t>
      </w:r>
      <w:r w:rsidRPr="00514783">
        <w:rPr>
          <w:rFonts w:ascii="Calibri" w:hAnsi="Calibri" w:cs="Calibri"/>
          <w:color w:val="000000"/>
          <w:sz w:val="16"/>
          <w:szCs w:val="16"/>
          <w:lang w:eastAsia="en-AU"/>
        </w:rPr>
        <w:t xml:space="preserve"> </w:t>
      </w:r>
    </w:p>
  </w:footnote>
  <w:footnote w:id="102">
    <w:p w14:paraId="1D8736BF" w14:textId="77777777" w:rsidR="00D930F7" w:rsidRPr="00514783" w:rsidRDefault="00D930F7">
      <w:pPr>
        <w:pStyle w:val="FootnoteText"/>
        <w:rPr>
          <w:rFonts w:asciiTheme="minorHAnsi" w:hAnsiTheme="minorHAnsi" w:cstheme="minorHAnsi"/>
          <w:sz w:val="16"/>
          <w:szCs w:val="16"/>
          <w:lang w:val="en-AU"/>
        </w:rPr>
      </w:pPr>
      <w:r w:rsidRPr="00514783">
        <w:rPr>
          <w:rStyle w:val="FootnoteReference"/>
          <w:rFonts w:asciiTheme="minorHAnsi" w:hAnsiTheme="minorHAnsi" w:cstheme="minorHAnsi"/>
          <w:sz w:val="16"/>
          <w:szCs w:val="16"/>
        </w:rPr>
        <w:footnoteRef/>
      </w:r>
      <w:r w:rsidRPr="00514783">
        <w:rPr>
          <w:rFonts w:asciiTheme="minorHAnsi" w:hAnsiTheme="minorHAnsi" w:cstheme="minorHAnsi"/>
          <w:sz w:val="16"/>
          <w:szCs w:val="16"/>
        </w:rPr>
        <w:t xml:space="preserve"> The National Organ Matching System as proved by the OTA, “EY Data: Wait listing – Kidney July 2018” (received August 2018).</w:t>
      </w:r>
    </w:p>
  </w:footnote>
  <w:footnote w:id="103">
    <w:p w14:paraId="674BF189" w14:textId="77777777" w:rsidR="00D930F7" w:rsidRPr="00665835" w:rsidRDefault="00D930F7" w:rsidP="00C30067">
      <w:pPr>
        <w:pStyle w:val="FootnoteText"/>
        <w:rPr>
          <w:rFonts w:asciiTheme="minorHAnsi" w:hAnsiTheme="minorHAnsi" w:cstheme="minorHAnsi"/>
          <w:sz w:val="16"/>
          <w:szCs w:val="16"/>
          <w:lang w:val="en-AU"/>
        </w:rPr>
      </w:pPr>
      <w:r w:rsidRPr="004938CA">
        <w:rPr>
          <w:rStyle w:val="FootnoteReference"/>
          <w:rFonts w:asciiTheme="minorHAnsi" w:hAnsiTheme="minorHAnsi" w:cstheme="minorHAnsi"/>
          <w:sz w:val="16"/>
          <w:szCs w:val="16"/>
        </w:rPr>
        <w:footnoteRef/>
      </w:r>
      <w:r w:rsidRPr="004938CA">
        <w:rPr>
          <w:rFonts w:asciiTheme="minorHAnsi" w:hAnsiTheme="minorHAnsi" w:cstheme="minorHAnsi"/>
          <w:sz w:val="16"/>
          <w:szCs w:val="16"/>
        </w:rPr>
        <w:t xml:space="preserve"> </w:t>
      </w:r>
      <w:r w:rsidRPr="004938CA">
        <w:rPr>
          <w:rFonts w:asciiTheme="minorHAnsi" w:hAnsiTheme="minorHAnsi" w:cstheme="minorHAnsi"/>
          <w:sz w:val="16"/>
          <w:szCs w:val="16"/>
          <w:lang w:val="en-AU"/>
        </w:rPr>
        <w:t>E</w:t>
      </w:r>
      <w:r>
        <w:rPr>
          <w:rFonts w:asciiTheme="minorHAnsi" w:hAnsiTheme="minorHAnsi" w:cstheme="minorHAnsi"/>
          <w:sz w:val="16"/>
          <w:szCs w:val="16"/>
          <w:lang w:val="en-AU"/>
        </w:rPr>
        <w:t>rnst and Young, 2015, above n.34.</w:t>
      </w:r>
    </w:p>
  </w:footnote>
  <w:footnote w:id="104">
    <w:p w14:paraId="677DFECA" w14:textId="77777777" w:rsidR="00D930F7" w:rsidRPr="00665835" w:rsidRDefault="00D930F7" w:rsidP="00665835">
      <w:pPr>
        <w:widowControl/>
        <w:autoSpaceDE/>
        <w:autoSpaceDN/>
        <w:adjustRightInd/>
        <w:spacing w:after="0"/>
        <w:rPr>
          <w:rFonts w:ascii="Calibri" w:hAnsi="Calibri" w:cs="Calibri"/>
          <w:color w:val="000000"/>
          <w:sz w:val="16"/>
          <w:szCs w:val="16"/>
          <w:lang w:eastAsia="en-AU"/>
        </w:rPr>
      </w:pPr>
      <w:r w:rsidRPr="004938CA">
        <w:rPr>
          <w:rStyle w:val="FootnoteReference"/>
          <w:rFonts w:asciiTheme="minorHAnsi" w:hAnsiTheme="minorHAnsi" w:cstheme="minorHAnsi"/>
          <w:sz w:val="16"/>
          <w:szCs w:val="16"/>
        </w:rPr>
        <w:footnoteRef/>
      </w:r>
      <w:r w:rsidRPr="004938CA">
        <w:rPr>
          <w:rFonts w:asciiTheme="minorHAnsi" w:hAnsiTheme="minorHAnsi" w:cstheme="minorHAnsi"/>
          <w:sz w:val="16"/>
          <w:szCs w:val="16"/>
        </w:rPr>
        <w:t xml:space="preserve"> </w:t>
      </w:r>
      <w:r>
        <w:rPr>
          <w:rFonts w:ascii="Calibri" w:hAnsi="Calibri" w:cs="Calibri"/>
          <w:color w:val="000000"/>
          <w:sz w:val="16"/>
          <w:szCs w:val="16"/>
          <w:lang w:eastAsia="en-AU"/>
        </w:rPr>
        <w:t>The Australian Organ and Tissue Donation and Transplantation Report, 2017, above n.3.</w:t>
      </w:r>
    </w:p>
  </w:footnote>
  <w:footnote w:id="105">
    <w:p w14:paraId="67A48C68" w14:textId="77777777" w:rsidR="00D930F7" w:rsidRPr="00665835" w:rsidRDefault="00D930F7" w:rsidP="00665835">
      <w:pPr>
        <w:widowControl/>
        <w:autoSpaceDE/>
        <w:autoSpaceDN/>
        <w:adjustRightInd/>
        <w:spacing w:after="0"/>
        <w:rPr>
          <w:rFonts w:ascii="Calibri" w:hAnsi="Calibri" w:cs="Calibri"/>
          <w:color w:val="000000"/>
          <w:sz w:val="16"/>
          <w:szCs w:val="16"/>
          <w:lang w:eastAsia="en-AU"/>
        </w:rPr>
      </w:pPr>
      <w:r w:rsidRPr="004938CA">
        <w:rPr>
          <w:rStyle w:val="FootnoteReference"/>
          <w:rFonts w:asciiTheme="minorHAnsi" w:hAnsiTheme="minorHAnsi" w:cstheme="minorHAnsi"/>
          <w:sz w:val="16"/>
          <w:szCs w:val="16"/>
        </w:rPr>
        <w:footnoteRef/>
      </w:r>
      <w:r w:rsidRPr="004938CA">
        <w:rPr>
          <w:rFonts w:asciiTheme="minorHAnsi" w:hAnsiTheme="minorHAnsi" w:cstheme="minorHAnsi"/>
          <w:sz w:val="16"/>
          <w:szCs w:val="16"/>
        </w:rPr>
        <w:t xml:space="preserve"> </w:t>
      </w:r>
      <w:r>
        <w:rPr>
          <w:rFonts w:ascii="Calibri" w:hAnsi="Calibri" w:cs="Calibri"/>
          <w:color w:val="000000"/>
          <w:sz w:val="16"/>
          <w:szCs w:val="16"/>
          <w:lang w:eastAsia="en-AU"/>
        </w:rPr>
        <w:t>Ibid.</w:t>
      </w:r>
    </w:p>
  </w:footnote>
  <w:footnote w:id="106">
    <w:p w14:paraId="2EAB69BE" w14:textId="77777777" w:rsidR="00D930F7" w:rsidRPr="00665835" w:rsidRDefault="00D930F7" w:rsidP="00665835">
      <w:pPr>
        <w:widowControl/>
        <w:autoSpaceDE/>
        <w:autoSpaceDN/>
        <w:adjustRightInd/>
        <w:spacing w:after="0"/>
        <w:rPr>
          <w:rFonts w:ascii="Calibri" w:hAnsi="Calibri" w:cs="Calibri"/>
          <w:color w:val="000000"/>
          <w:sz w:val="16"/>
          <w:szCs w:val="16"/>
          <w:lang w:eastAsia="en-AU"/>
        </w:rPr>
      </w:pPr>
      <w:r w:rsidRPr="004938CA">
        <w:rPr>
          <w:rStyle w:val="FootnoteReference"/>
          <w:rFonts w:asciiTheme="minorHAnsi" w:hAnsiTheme="minorHAnsi" w:cstheme="minorHAnsi"/>
          <w:sz w:val="16"/>
          <w:szCs w:val="16"/>
        </w:rPr>
        <w:footnoteRef/>
      </w:r>
      <w:r>
        <w:rPr>
          <w:rFonts w:ascii="Calibri" w:hAnsi="Calibri" w:cs="Calibri"/>
          <w:color w:val="000000"/>
          <w:sz w:val="16"/>
          <w:szCs w:val="16"/>
          <w:lang w:eastAsia="en-AU"/>
        </w:rPr>
        <w:t>Ibid.</w:t>
      </w:r>
    </w:p>
    <w:p w14:paraId="01047073" w14:textId="77777777" w:rsidR="00D930F7" w:rsidRPr="004938CA" w:rsidRDefault="00D930F7" w:rsidP="00C30067">
      <w:pPr>
        <w:pStyle w:val="FootnoteText"/>
        <w:rPr>
          <w:rFonts w:asciiTheme="minorHAnsi" w:hAnsiTheme="minorHAnsi" w:cstheme="minorHAnsi"/>
          <w:sz w:val="16"/>
          <w:szCs w:val="16"/>
          <w:lang w:val="en-AU"/>
        </w:rPr>
      </w:pPr>
    </w:p>
  </w:footnote>
  <w:footnote w:id="107">
    <w:p w14:paraId="225A97C3" w14:textId="77777777" w:rsidR="00D930F7" w:rsidRPr="001271F5" w:rsidRDefault="00D930F7" w:rsidP="00C30067">
      <w:pPr>
        <w:pStyle w:val="FootnoteText"/>
        <w:rPr>
          <w:rFonts w:asciiTheme="minorHAnsi" w:hAnsiTheme="minorHAnsi" w:cstheme="minorHAnsi"/>
          <w:sz w:val="16"/>
          <w:szCs w:val="16"/>
          <w:lang w:val="en-AU"/>
        </w:rPr>
      </w:pPr>
      <w:r w:rsidRPr="001271F5">
        <w:rPr>
          <w:rStyle w:val="FootnoteReference"/>
          <w:rFonts w:asciiTheme="minorHAnsi" w:hAnsiTheme="minorHAnsi" w:cstheme="minorHAnsi"/>
          <w:sz w:val="16"/>
          <w:szCs w:val="16"/>
        </w:rPr>
        <w:footnoteRef/>
      </w:r>
      <w:r w:rsidRPr="001271F5">
        <w:rPr>
          <w:rFonts w:asciiTheme="minorHAnsi" w:hAnsiTheme="minorHAnsi" w:cstheme="minorHAnsi"/>
          <w:sz w:val="16"/>
          <w:szCs w:val="16"/>
        </w:rPr>
        <w:t xml:space="preserve"> International Registry of D</w:t>
      </w:r>
      <w:r>
        <w:rPr>
          <w:rFonts w:asciiTheme="minorHAnsi" w:hAnsiTheme="minorHAnsi" w:cstheme="minorHAnsi"/>
          <w:sz w:val="16"/>
          <w:szCs w:val="16"/>
        </w:rPr>
        <w:t xml:space="preserve">onation and Transplantation, 2018, </w:t>
      </w:r>
      <w:r>
        <w:rPr>
          <w:rFonts w:asciiTheme="minorHAnsi" w:hAnsiTheme="minorHAnsi" w:cstheme="minorHAnsi"/>
          <w:i/>
          <w:sz w:val="16"/>
          <w:szCs w:val="16"/>
        </w:rPr>
        <w:t>IRODaT International Registry in Organ Donation and Transplantation, Preliminary Numbers 2017,</w:t>
      </w:r>
      <w:r>
        <w:rPr>
          <w:rFonts w:asciiTheme="minorHAnsi" w:hAnsiTheme="minorHAnsi" w:cstheme="minorHAnsi"/>
          <w:sz w:val="16"/>
          <w:szCs w:val="16"/>
        </w:rPr>
        <w:t xml:space="preserve"> viewed August 2018</w:t>
      </w:r>
      <w:r w:rsidRPr="0052005D">
        <w:rPr>
          <w:rFonts w:asciiTheme="minorHAnsi" w:hAnsiTheme="minorHAnsi" w:cstheme="minorHAnsi"/>
          <w:sz w:val="16"/>
          <w:szCs w:val="16"/>
        </w:rPr>
        <w:t xml:space="preserve">, </w:t>
      </w:r>
      <w:r w:rsidRPr="0052005D">
        <w:rPr>
          <w:rFonts w:asciiTheme="minorHAnsi" w:hAnsiTheme="minorHAnsi" w:cstheme="minorHAnsi"/>
          <w:i/>
          <w:sz w:val="16"/>
          <w:szCs w:val="16"/>
        </w:rPr>
        <w:t>&lt;</w:t>
      </w:r>
      <w:r w:rsidRPr="0052005D">
        <w:rPr>
          <w:rStyle w:val="Hyperlink"/>
          <w:rFonts w:asciiTheme="minorHAnsi" w:hAnsiTheme="minorHAnsi" w:cstheme="minorHAnsi"/>
          <w:color w:val="auto"/>
          <w:sz w:val="16"/>
          <w:szCs w:val="16"/>
          <w:u w:val="none"/>
        </w:rPr>
        <w:t>http://www.irodat.org/img/database/pdf/NEWSLETTER2018_June.pdf&gt;.</w:t>
      </w:r>
    </w:p>
  </w:footnote>
  <w:footnote w:id="108">
    <w:p w14:paraId="087CDF39" w14:textId="77777777" w:rsidR="00D930F7" w:rsidRPr="004938CA" w:rsidRDefault="00D930F7" w:rsidP="00C30067">
      <w:pPr>
        <w:pStyle w:val="FootnoteText"/>
        <w:rPr>
          <w:rFonts w:asciiTheme="minorHAnsi" w:hAnsiTheme="minorHAnsi" w:cstheme="minorHAnsi"/>
          <w:sz w:val="16"/>
          <w:szCs w:val="16"/>
        </w:rPr>
      </w:pPr>
      <w:r w:rsidRPr="004938CA">
        <w:rPr>
          <w:rStyle w:val="FootnoteReference"/>
          <w:rFonts w:asciiTheme="minorHAnsi" w:hAnsiTheme="minorHAnsi" w:cstheme="minorHAnsi"/>
          <w:sz w:val="16"/>
          <w:szCs w:val="16"/>
        </w:rPr>
        <w:footnoteRef/>
      </w:r>
      <w:r w:rsidRPr="004938CA">
        <w:rPr>
          <w:rFonts w:asciiTheme="minorHAnsi" w:hAnsiTheme="minorHAnsi" w:cstheme="minorHAnsi"/>
          <w:sz w:val="16"/>
          <w:szCs w:val="16"/>
        </w:rPr>
        <w:t xml:space="preserve"> </w:t>
      </w:r>
      <w:r>
        <w:rPr>
          <w:rFonts w:asciiTheme="minorHAnsi" w:hAnsiTheme="minorHAnsi" w:cstheme="minorHAnsi"/>
          <w:sz w:val="16"/>
          <w:szCs w:val="16"/>
        </w:rPr>
        <w:t xml:space="preserve">The Australian Organ and Tissue Donation and Transplantation Authority, 2017, </w:t>
      </w:r>
      <w:r w:rsidRPr="00C2213F">
        <w:rPr>
          <w:rFonts w:asciiTheme="minorHAnsi" w:hAnsiTheme="minorHAnsi" w:cstheme="minorHAnsi"/>
          <w:i/>
          <w:sz w:val="16"/>
          <w:szCs w:val="16"/>
        </w:rPr>
        <w:t>Comparing Internation</w:t>
      </w:r>
      <w:r>
        <w:rPr>
          <w:rFonts w:asciiTheme="minorHAnsi" w:hAnsiTheme="minorHAnsi" w:cstheme="minorHAnsi"/>
          <w:i/>
          <w:sz w:val="16"/>
          <w:szCs w:val="16"/>
        </w:rPr>
        <w:t xml:space="preserve">al Organ Donation Outcomes 2017, </w:t>
      </w:r>
      <w:r>
        <w:rPr>
          <w:rFonts w:asciiTheme="minorHAnsi" w:hAnsiTheme="minorHAnsi" w:cstheme="minorHAnsi"/>
          <w:sz w:val="16"/>
          <w:szCs w:val="16"/>
        </w:rPr>
        <w:t xml:space="preserve">viewed August 2018, </w:t>
      </w:r>
      <w:r w:rsidRPr="0052005D">
        <w:rPr>
          <w:rFonts w:asciiTheme="minorHAnsi" w:hAnsiTheme="minorHAnsi" w:cstheme="minorHAnsi"/>
          <w:sz w:val="16"/>
          <w:szCs w:val="16"/>
        </w:rPr>
        <w:t>&lt;</w:t>
      </w:r>
      <w:r w:rsidRPr="0052005D">
        <w:rPr>
          <w:rStyle w:val="Hyperlink"/>
          <w:rFonts w:asciiTheme="minorHAnsi" w:hAnsiTheme="minorHAnsi" w:cstheme="minorHAnsi"/>
          <w:color w:val="auto"/>
          <w:sz w:val="16"/>
          <w:szCs w:val="16"/>
          <w:u w:val="none"/>
        </w:rPr>
        <w:t>http://www.donatelife.gov.au/sites/default/files/9_2017%20Comparing%20International%20Organ%20Donation%20Outcomes.pdf</w:t>
      </w:r>
      <w:r w:rsidRPr="0052005D">
        <w:rPr>
          <w:rFonts w:asciiTheme="minorHAnsi" w:hAnsiTheme="minorHAnsi" w:cstheme="minorHAnsi"/>
          <w:sz w:val="16"/>
          <w:szCs w:val="16"/>
        </w:rPr>
        <w:t>&gt;.</w:t>
      </w:r>
    </w:p>
  </w:footnote>
  <w:footnote w:id="109">
    <w:p w14:paraId="398C4258" w14:textId="77777777" w:rsidR="00D930F7" w:rsidRPr="00C2213F" w:rsidRDefault="00D930F7">
      <w:pPr>
        <w:pStyle w:val="FootnoteText"/>
        <w:rPr>
          <w:rFonts w:asciiTheme="minorHAnsi" w:hAnsiTheme="minorHAnsi" w:cstheme="minorHAnsi"/>
          <w:sz w:val="16"/>
          <w:szCs w:val="16"/>
          <w:lang w:val="en-AU"/>
        </w:rPr>
      </w:pPr>
      <w:r w:rsidRPr="00C2213F">
        <w:rPr>
          <w:rStyle w:val="FootnoteReference"/>
          <w:rFonts w:asciiTheme="minorHAnsi" w:hAnsiTheme="minorHAnsi" w:cstheme="minorHAnsi"/>
          <w:sz w:val="16"/>
          <w:szCs w:val="16"/>
        </w:rPr>
        <w:footnoteRef/>
      </w:r>
      <w:r w:rsidRPr="00C2213F">
        <w:rPr>
          <w:rFonts w:asciiTheme="minorHAnsi" w:hAnsiTheme="minorHAnsi" w:cstheme="minorHAnsi"/>
          <w:sz w:val="16"/>
          <w:szCs w:val="16"/>
        </w:rPr>
        <w:t xml:space="preserve"> The Australia and New Zealand Organ Donation Registry, as provided by the OTA, “Growth in Organ Donation”, (received July 2018).</w:t>
      </w:r>
    </w:p>
  </w:footnote>
  <w:footnote w:id="110">
    <w:p w14:paraId="54DA07BE" w14:textId="77777777" w:rsidR="00D930F7" w:rsidRPr="004938CA" w:rsidRDefault="00D930F7" w:rsidP="00C30067">
      <w:pPr>
        <w:pStyle w:val="FootnoteText"/>
        <w:rPr>
          <w:lang w:val="en-AU"/>
        </w:rPr>
      </w:pPr>
      <w:r w:rsidRPr="004938CA">
        <w:rPr>
          <w:rStyle w:val="FootnoteReference"/>
          <w:rFonts w:asciiTheme="minorHAnsi" w:hAnsiTheme="minorHAnsi" w:cstheme="minorHAnsi"/>
          <w:sz w:val="16"/>
          <w:szCs w:val="16"/>
        </w:rPr>
        <w:footnoteRef/>
      </w:r>
      <w:r w:rsidRPr="004938CA">
        <w:rPr>
          <w:rFonts w:asciiTheme="minorHAnsi" w:hAnsiTheme="minorHAnsi" w:cstheme="minorHAnsi"/>
          <w:sz w:val="16"/>
          <w:szCs w:val="16"/>
        </w:rPr>
        <w:t xml:space="preserve"> </w:t>
      </w:r>
      <w:r>
        <w:rPr>
          <w:rFonts w:asciiTheme="minorHAnsi" w:hAnsiTheme="minorHAnsi" w:cstheme="minorHAnsi"/>
          <w:sz w:val="16"/>
          <w:szCs w:val="16"/>
        </w:rPr>
        <w:t>The Australia and New Zealand Organ Donation Registry</w:t>
      </w:r>
      <w:r>
        <w:rPr>
          <w:rFonts w:asciiTheme="minorHAnsi" w:hAnsiTheme="minorHAnsi" w:cstheme="minorHAnsi"/>
          <w:sz w:val="16"/>
          <w:szCs w:val="16"/>
          <w:lang w:val="en-AU"/>
        </w:rPr>
        <w:t>, 2018,</w:t>
      </w:r>
      <w:r w:rsidRPr="004938CA">
        <w:rPr>
          <w:rFonts w:asciiTheme="minorHAnsi" w:hAnsiTheme="minorHAnsi" w:cstheme="minorHAnsi"/>
          <w:sz w:val="16"/>
          <w:szCs w:val="16"/>
          <w:lang w:val="en-AU"/>
        </w:rPr>
        <w:t xml:space="preserve"> </w:t>
      </w:r>
      <w:r w:rsidRPr="00C2213F">
        <w:rPr>
          <w:rFonts w:asciiTheme="minorHAnsi" w:hAnsiTheme="minorHAnsi" w:cstheme="minorHAnsi"/>
          <w:i/>
          <w:sz w:val="16"/>
          <w:szCs w:val="16"/>
          <w:lang w:val="en-AU"/>
        </w:rPr>
        <w:t>ANZOD Annual Report Metrics 2018</w:t>
      </w:r>
      <w:r>
        <w:rPr>
          <w:rFonts w:asciiTheme="minorHAnsi" w:hAnsiTheme="minorHAnsi" w:cstheme="minorHAnsi"/>
          <w:sz w:val="16"/>
          <w:szCs w:val="16"/>
          <w:lang w:val="en-AU"/>
        </w:rPr>
        <w:t>, The Australian Organ and Tissue Donation and Transplantation Authority, Canberra, viewed September 2018 &lt;</w:t>
      </w:r>
      <w:r w:rsidRPr="004938CA">
        <w:rPr>
          <w:rFonts w:asciiTheme="minorHAnsi" w:hAnsiTheme="minorHAnsi" w:cstheme="minorHAnsi"/>
          <w:sz w:val="16"/>
          <w:szCs w:val="16"/>
          <w:lang w:val="en-AU"/>
        </w:rPr>
        <w:t>https://donatelife.gov.au/about-us/strategy-and-performance/national-performance-data</w:t>
      </w:r>
      <w:r>
        <w:rPr>
          <w:rFonts w:asciiTheme="minorHAnsi" w:hAnsiTheme="minorHAnsi" w:cstheme="minorHAnsi"/>
          <w:sz w:val="16"/>
          <w:szCs w:val="16"/>
          <w:lang w:val="en-AU"/>
        </w:rPr>
        <w:t>&gt;.</w:t>
      </w:r>
    </w:p>
  </w:footnote>
  <w:footnote w:id="111">
    <w:p w14:paraId="4B67D70B" w14:textId="77777777" w:rsidR="00D930F7" w:rsidRPr="004938CA" w:rsidRDefault="00D930F7" w:rsidP="00C30067">
      <w:pPr>
        <w:pStyle w:val="FootnoteText"/>
        <w:rPr>
          <w:rFonts w:asciiTheme="minorHAnsi" w:hAnsiTheme="minorHAnsi" w:cstheme="minorHAnsi"/>
          <w:sz w:val="16"/>
          <w:szCs w:val="16"/>
        </w:rPr>
      </w:pPr>
      <w:r w:rsidRPr="004938CA">
        <w:rPr>
          <w:rStyle w:val="FootnoteReference"/>
          <w:rFonts w:asciiTheme="minorHAnsi" w:hAnsiTheme="minorHAnsi" w:cstheme="minorHAnsi"/>
          <w:sz w:val="16"/>
          <w:szCs w:val="16"/>
        </w:rPr>
        <w:footnoteRef/>
      </w:r>
      <w:r w:rsidRPr="004938CA">
        <w:rPr>
          <w:rFonts w:asciiTheme="minorHAnsi" w:hAnsiTheme="minorHAnsi" w:cstheme="minorHAnsi"/>
          <w:sz w:val="16"/>
          <w:szCs w:val="16"/>
        </w:rPr>
        <w:t xml:space="preserve"> Matesanz, R, </w:t>
      </w:r>
      <w:r>
        <w:rPr>
          <w:rFonts w:asciiTheme="minorHAnsi" w:hAnsiTheme="minorHAnsi" w:cstheme="minorHAnsi"/>
          <w:sz w:val="16"/>
          <w:szCs w:val="16"/>
        </w:rPr>
        <w:t>2017. Above n. 86.</w:t>
      </w:r>
    </w:p>
  </w:footnote>
  <w:footnote w:id="112">
    <w:p w14:paraId="69B1A4B9" w14:textId="77777777" w:rsidR="00D930F7" w:rsidRPr="003E6F1F" w:rsidRDefault="00D930F7">
      <w:pPr>
        <w:pStyle w:val="FootnoteText"/>
        <w:rPr>
          <w:rFonts w:asciiTheme="minorHAnsi" w:hAnsiTheme="minorHAnsi" w:cstheme="minorHAnsi"/>
          <w:sz w:val="16"/>
          <w:szCs w:val="16"/>
          <w:lang w:val="en-AU"/>
        </w:rPr>
      </w:pPr>
      <w:r w:rsidRPr="003E6F1F">
        <w:rPr>
          <w:rStyle w:val="FootnoteReference"/>
          <w:rFonts w:asciiTheme="minorHAnsi" w:hAnsiTheme="minorHAnsi" w:cstheme="minorHAnsi"/>
          <w:sz w:val="16"/>
          <w:szCs w:val="16"/>
        </w:rPr>
        <w:footnoteRef/>
      </w:r>
      <w:r w:rsidRPr="003E6F1F">
        <w:rPr>
          <w:rFonts w:asciiTheme="minorHAnsi" w:hAnsiTheme="minorHAnsi" w:cstheme="minorHAnsi"/>
          <w:sz w:val="16"/>
          <w:szCs w:val="16"/>
        </w:rPr>
        <w:t xml:space="preserve"> </w:t>
      </w:r>
      <w:r w:rsidRPr="00D72901">
        <w:rPr>
          <w:rFonts w:asciiTheme="minorHAnsi" w:hAnsiTheme="minorHAnsi" w:cstheme="minorHAnsi"/>
          <w:sz w:val="16"/>
          <w:szCs w:val="16"/>
        </w:rPr>
        <w:t>A National Weighted Activity Unit (NWAU) is a measure of health service activity expressed as a common unit which is used to compare and value each public hospital service.</w:t>
      </w:r>
    </w:p>
  </w:footnote>
  <w:footnote w:id="113">
    <w:p w14:paraId="5F094457" w14:textId="77777777" w:rsidR="00D930F7" w:rsidRPr="00447661" w:rsidRDefault="00D930F7" w:rsidP="00C30067">
      <w:pPr>
        <w:pStyle w:val="FootnoteText"/>
        <w:rPr>
          <w:rFonts w:asciiTheme="minorHAnsi" w:hAnsiTheme="minorHAnsi" w:cstheme="minorHAnsi"/>
          <w:sz w:val="16"/>
          <w:szCs w:val="16"/>
          <w:lang w:val="en-AU"/>
        </w:rPr>
      </w:pPr>
      <w:r w:rsidRPr="00B91EB3">
        <w:rPr>
          <w:rStyle w:val="FootnoteReference"/>
          <w:rFonts w:asciiTheme="minorHAnsi" w:hAnsiTheme="minorHAnsi" w:cstheme="minorHAnsi"/>
          <w:sz w:val="16"/>
          <w:szCs w:val="16"/>
        </w:rPr>
        <w:footnoteRef/>
      </w:r>
      <w:r w:rsidRPr="00B91EB3">
        <w:rPr>
          <w:rFonts w:asciiTheme="minorHAnsi" w:hAnsiTheme="minorHAnsi" w:cstheme="minorHAnsi"/>
          <w:sz w:val="16"/>
          <w:szCs w:val="16"/>
        </w:rPr>
        <w:t xml:space="preserve"> </w:t>
      </w:r>
      <w:r>
        <w:rPr>
          <w:rFonts w:asciiTheme="minorHAnsi" w:hAnsiTheme="minorHAnsi" w:cstheme="minorHAnsi"/>
          <w:sz w:val="16"/>
          <w:szCs w:val="16"/>
        </w:rPr>
        <w:t xml:space="preserve">The Australian Organ and Tissue Donation and Transplantation Authority, above n. 120. </w:t>
      </w:r>
      <w:r w:rsidRPr="00447661">
        <w:rPr>
          <w:rFonts w:asciiTheme="minorHAnsi" w:hAnsiTheme="minorHAnsi" w:cstheme="minorHAnsi"/>
          <w:sz w:val="16"/>
          <w:szCs w:val="16"/>
        </w:rPr>
        <w:t xml:space="preserve"> </w:t>
      </w:r>
    </w:p>
  </w:footnote>
  <w:footnote w:id="114">
    <w:p w14:paraId="018FB678" w14:textId="77777777" w:rsidR="00D930F7" w:rsidRPr="0084734A" w:rsidRDefault="00D930F7" w:rsidP="00C30067">
      <w:pPr>
        <w:pStyle w:val="FootnoteText"/>
        <w:rPr>
          <w:rFonts w:asciiTheme="minorHAnsi" w:hAnsiTheme="minorHAnsi" w:cstheme="minorHAnsi"/>
          <w:sz w:val="16"/>
          <w:szCs w:val="16"/>
          <w:lang w:val="en-AU"/>
        </w:rPr>
      </w:pPr>
      <w:r w:rsidRPr="00447661">
        <w:rPr>
          <w:rStyle w:val="FootnoteReference"/>
          <w:rFonts w:asciiTheme="minorHAnsi" w:hAnsiTheme="minorHAnsi" w:cstheme="minorHAnsi"/>
          <w:sz w:val="16"/>
          <w:szCs w:val="16"/>
        </w:rPr>
        <w:footnoteRef/>
      </w:r>
      <w:r w:rsidRPr="00447661">
        <w:rPr>
          <w:rFonts w:asciiTheme="minorHAnsi" w:hAnsiTheme="minorHAnsi" w:cstheme="minorHAnsi"/>
          <w:sz w:val="16"/>
          <w:szCs w:val="16"/>
        </w:rPr>
        <w:t xml:space="preserve"> </w:t>
      </w:r>
      <w:r>
        <w:rPr>
          <w:rFonts w:asciiTheme="minorHAnsi" w:hAnsiTheme="minorHAnsi" w:cstheme="minorHAnsi"/>
          <w:sz w:val="16"/>
          <w:szCs w:val="16"/>
          <w:lang w:val="en-AU"/>
        </w:rPr>
        <w:t>The Australian Organ and Tissue Donation and Transplantation Authority</w:t>
      </w:r>
      <w:r w:rsidRPr="00B91EB3">
        <w:rPr>
          <w:rFonts w:asciiTheme="minorHAnsi" w:hAnsiTheme="minorHAnsi" w:cstheme="minorHAnsi"/>
          <w:sz w:val="16"/>
          <w:szCs w:val="16"/>
          <w:lang w:val="en-AU"/>
        </w:rPr>
        <w:t>,</w:t>
      </w:r>
      <w:r>
        <w:rPr>
          <w:rFonts w:asciiTheme="minorHAnsi" w:hAnsiTheme="minorHAnsi" w:cstheme="minorHAnsi"/>
          <w:sz w:val="16"/>
          <w:szCs w:val="16"/>
          <w:lang w:val="en-AU"/>
        </w:rPr>
        <w:t xml:space="preserve"> 2018,</w:t>
      </w:r>
      <w:r w:rsidRPr="00B91EB3">
        <w:rPr>
          <w:rFonts w:asciiTheme="minorHAnsi" w:hAnsiTheme="minorHAnsi" w:cstheme="minorHAnsi"/>
          <w:sz w:val="16"/>
          <w:szCs w:val="16"/>
          <w:lang w:val="en-AU"/>
        </w:rPr>
        <w:t xml:space="preserve"> </w:t>
      </w:r>
      <w:r w:rsidRPr="0052005D">
        <w:rPr>
          <w:rFonts w:asciiTheme="minorHAnsi" w:hAnsiTheme="minorHAnsi" w:cstheme="minorHAnsi"/>
          <w:i/>
          <w:sz w:val="16"/>
          <w:szCs w:val="16"/>
          <w:lang w:val="en-AU"/>
        </w:rPr>
        <w:t xml:space="preserve">Progressing Australian organ and tissue donation and </w:t>
      </w:r>
      <w:r w:rsidRPr="0084734A">
        <w:rPr>
          <w:rFonts w:asciiTheme="minorHAnsi" w:hAnsiTheme="minorHAnsi" w:cstheme="minorHAnsi"/>
          <w:i/>
          <w:sz w:val="16"/>
          <w:szCs w:val="16"/>
          <w:lang w:val="en-AU"/>
        </w:rPr>
        <w:t>transplantation to 2022</w:t>
      </w:r>
      <w:r w:rsidRPr="0084734A">
        <w:rPr>
          <w:rFonts w:asciiTheme="minorHAnsi" w:hAnsiTheme="minorHAnsi" w:cstheme="minorHAnsi"/>
          <w:sz w:val="16"/>
          <w:szCs w:val="16"/>
          <w:lang w:val="en-AU"/>
        </w:rPr>
        <w:t>, Canberra, viewed October 2018, &lt;https://donatelife.gov.au/sites/default/files/ota_strategic_plan_2018-2022.pdf&gt;.</w:t>
      </w:r>
    </w:p>
  </w:footnote>
  <w:footnote w:id="115">
    <w:p w14:paraId="0157CC8D" w14:textId="77777777" w:rsidR="00D930F7" w:rsidRPr="001124A6" w:rsidRDefault="00D930F7">
      <w:pPr>
        <w:pStyle w:val="FootnoteText"/>
        <w:rPr>
          <w:lang w:val="en-AU"/>
        </w:rPr>
      </w:pPr>
      <w:r w:rsidRPr="001124A6">
        <w:rPr>
          <w:rStyle w:val="FootnoteReference"/>
          <w:rFonts w:asciiTheme="minorHAnsi" w:hAnsiTheme="minorHAnsi" w:cstheme="minorHAnsi"/>
          <w:sz w:val="16"/>
          <w:szCs w:val="16"/>
        </w:rPr>
        <w:footnoteRef/>
      </w:r>
      <w:r w:rsidRPr="001124A6">
        <w:rPr>
          <w:rFonts w:asciiTheme="minorHAnsi" w:hAnsiTheme="minorHAnsi" w:cstheme="minorHAnsi"/>
          <w:sz w:val="16"/>
          <w:szCs w:val="16"/>
        </w:rPr>
        <w:t xml:space="preserve"> </w:t>
      </w:r>
      <w:r w:rsidRPr="0084734A">
        <w:rPr>
          <w:rFonts w:asciiTheme="minorHAnsi" w:hAnsiTheme="minorHAnsi" w:cstheme="minorHAnsi"/>
          <w:sz w:val="16"/>
          <w:szCs w:val="16"/>
          <w:lang w:val="en-AU"/>
        </w:rPr>
        <w:t>The</w:t>
      </w:r>
      <w:r>
        <w:rPr>
          <w:rFonts w:asciiTheme="minorHAnsi" w:hAnsiTheme="minorHAnsi" w:cstheme="minorHAnsi"/>
          <w:sz w:val="16"/>
          <w:szCs w:val="16"/>
          <w:lang w:val="en-AU"/>
        </w:rPr>
        <w:t xml:space="preserve"> Australian Organ and Tissue Donation and Transplantation Authority</w:t>
      </w:r>
      <w:r w:rsidRPr="00B91EB3">
        <w:rPr>
          <w:rFonts w:asciiTheme="minorHAnsi" w:hAnsiTheme="minorHAnsi" w:cstheme="minorHAnsi"/>
          <w:sz w:val="16"/>
          <w:szCs w:val="16"/>
          <w:lang w:val="en-AU"/>
        </w:rPr>
        <w:t>,</w:t>
      </w:r>
      <w:r>
        <w:rPr>
          <w:rFonts w:asciiTheme="minorHAnsi" w:hAnsiTheme="minorHAnsi" w:cstheme="minorHAnsi"/>
          <w:sz w:val="16"/>
          <w:szCs w:val="16"/>
          <w:lang w:val="en-AU"/>
        </w:rPr>
        <w:t xml:space="preserve"> “Growth in Organ Donation” (received August 2018). </w:t>
      </w:r>
    </w:p>
  </w:footnote>
  <w:footnote w:id="116">
    <w:p w14:paraId="204EDE1F" w14:textId="77777777" w:rsidR="00D930F7" w:rsidRPr="004938CA" w:rsidRDefault="00D930F7" w:rsidP="00C30067">
      <w:pPr>
        <w:pStyle w:val="FootnoteText"/>
        <w:rPr>
          <w:rFonts w:asciiTheme="minorHAnsi" w:hAnsiTheme="minorHAnsi" w:cstheme="minorHAnsi"/>
          <w:sz w:val="16"/>
          <w:szCs w:val="18"/>
          <w:lang w:val="en-AU"/>
        </w:rPr>
      </w:pPr>
      <w:r w:rsidRPr="004938CA">
        <w:rPr>
          <w:rStyle w:val="FootnoteReference"/>
          <w:rFonts w:asciiTheme="minorHAnsi" w:hAnsiTheme="minorHAnsi" w:cstheme="minorHAnsi"/>
          <w:sz w:val="16"/>
          <w:szCs w:val="18"/>
        </w:rPr>
        <w:footnoteRef/>
      </w:r>
      <w:r w:rsidRPr="004938CA">
        <w:rPr>
          <w:rFonts w:asciiTheme="minorHAnsi" w:hAnsiTheme="minorHAnsi" w:cstheme="minorHAnsi"/>
          <w:sz w:val="16"/>
          <w:szCs w:val="18"/>
        </w:rPr>
        <w:t xml:space="preserve"> </w:t>
      </w:r>
      <w:r w:rsidRPr="0052005D">
        <w:rPr>
          <w:rFonts w:asciiTheme="minorHAnsi" w:hAnsiTheme="minorHAnsi" w:cstheme="minorHAnsi"/>
          <w:sz w:val="16"/>
          <w:szCs w:val="18"/>
          <w:lang w:val="en-AU"/>
        </w:rPr>
        <w:t>The Australia and New Zealand Dialysi</w:t>
      </w:r>
      <w:r>
        <w:rPr>
          <w:rFonts w:asciiTheme="minorHAnsi" w:hAnsiTheme="minorHAnsi" w:cstheme="minorHAnsi"/>
          <w:sz w:val="16"/>
          <w:szCs w:val="18"/>
          <w:lang w:val="en-AU"/>
        </w:rPr>
        <w:t xml:space="preserve">s and Transplant Registry, 2017, </w:t>
      </w:r>
      <w:r w:rsidRPr="00F30C88">
        <w:rPr>
          <w:rFonts w:asciiTheme="minorHAnsi" w:hAnsiTheme="minorHAnsi" w:cstheme="minorHAnsi"/>
          <w:i/>
          <w:sz w:val="16"/>
          <w:szCs w:val="18"/>
          <w:lang w:val="en-AU"/>
        </w:rPr>
        <w:t xml:space="preserve">40th Annual ANZDATA Report Section 4: Deceased organ donor profile, </w:t>
      </w:r>
      <w:r>
        <w:rPr>
          <w:rFonts w:asciiTheme="minorHAnsi" w:hAnsiTheme="minorHAnsi" w:cstheme="minorHAnsi"/>
          <w:sz w:val="16"/>
          <w:szCs w:val="18"/>
          <w:lang w:val="en-AU"/>
        </w:rPr>
        <w:t>viewed October 2018, &lt;</w:t>
      </w:r>
      <w:r w:rsidRPr="004938CA">
        <w:rPr>
          <w:rFonts w:asciiTheme="minorHAnsi" w:hAnsiTheme="minorHAnsi" w:cstheme="minorHAnsi"/>
          <w:sz w:val="16"/>
          <w:szCs w:val="18"/>
          <w:lang w:val="en-AU"/>
        </w:rPr>
        <w:t>http://www.anzdata.org.au/anzod/ANZODReport/2017/c04_profile_v1.0_20171109.pdf</w:t>
      </w:r>
      <w:r>
        <w:rPr>
          <w:rFonts w:asciiTheme="minorHAnsi" w:hAnsiTheme="minorHAnsi" w:cstheme="minorHAnsi"/>
          <w:sz w:val="16"/>
          <w:szCs w:val="18"/>
          <w:lang w:val="en-AU"/>
        </w:rPr>
        <w:t>&gt;.</w:t>
      </w:r>
    </w:p>
  </w:footnote>
  <w:footnote w:id="117">
    <w:p w14:paraId="3D9340AE" w14:textId="77777777" w:rsidR="00D930F7" w:rsidRPr="003D68D8" w:rsidRDefault="00D930F7" w:rsidP="00097917">
      <w:pPr>
        <w:pStyle w:val="FootnoteText"/>
        <w:rPr>
          <w:rFonts w:asciiTheme="minorHAnsi" w:hAnsiTheme="minorHAnsi" w:cstheme="minorHAnsi"/>
          <w:sz w:val="16"/>
          <w:szCs w:val="16"/>
          <w:lang w:val="en-AU"/>
        </w:rPr>
      </w:pPr>
      <w:r w:rsidRPr="001124A6">
        <w:rPr>
          <w:rStyle w:val="FootnoteReference"/>
          <w:rFonts w:asciiTheme="minorHAnsi" w:hAnsiTheme="minorHAnsi" w:cstheme="minorHAnsi"/>
          <w:sz w:val="16"/>
          <w:szCs w:val="16"/>
        </w:rPr>
        <w:footnoteRef/>
      </w:r>
      <w:r w:rsidRPr="001124A6">
        <w:rPr>
          <w:rFonts w:asciiTheme="minorHAnsi" w:hAnsiTheme="minorHAnsi" w:cstheme="minorHAnsi"/>
          <w:sz w:val="16"/>
          <w:szCs w:val="16"/>
        </w:rPr>
        <w:t xml:space="preserve"> </w:t>
      </w:r>
      <w:r w:rsidRPr="007E785C">
        <w:rPr>
          <w:rFonts w:asciiTheme="minorHAnsi" w:hAnsiTheme="minorHAnsi" w:cstheme="minorHAnsi"/>
          <w:sz w:val="16"/>
          <w:szCs w:val="16"/>
        </w:rPr>
        <w:t>The Australian Organ and Tissue Donation and Transplantation Authority, “The 2018 DonateLife Audit” (received December 2018)</w:t>
      </w:r>
    </w:p>
  </w:footnote>
  <w:footnote w:id="118">
    <w:p w14:paraId="55251ABB" w14:textId="77777777" w:rsidR="00D930F7" w:rsidRPr="004938CA" w:rsidRDefault="00D930F7" w:rsidP="00097917">
      <w:pPr>
        <w:pStyle w:val="FootnoteText"/>
        <w:rPr>
          <w:rFonts w:asciiTheme="minorHAnsi" w:hAnsiTheme="minorHAnsi" w:cstheme="minorHAnsi"/>
          <w:sz w:val="16"/>
          <w:szCs w:val="18"/>
          <w:lang w:val="en-AU"/>
        </w:rPr>
      </w:pPr>
      <w:r w:rsidRPr="004938CA">
        <w:rPr>
          <w:rStyle w:val="FootnoteReference"/>
          <w:rFonts w:asciiTheme="minorHAnsi" w:hAnsiTheme="minorHAnsi" w:cstheme="minorHAnsi"/>
          <w:sz w:val="16"/>
          <w:szCs w:val="18"/>
        </w:rPr>
        <w:footnoteRef/>
      </w:r>
      <w:r w:rsidRPr="004938CA">
        <w:rPr>
          <w:rFonts w:asciiTheme="minorHAnsi" w:hAnsiTheme="minorHAnsi" w:cstheme="minorHAnsi"/>
          <w:sz w:val="16"/>
          <w:szCs w:val="18"/>
        </w:rPr>
        <w:t xml:space="preserve"> </w:t>
      </w:r>
      <w:r w:rsidRPr="004938CA">
        <w:rPr>
          <w:rFonts w:asciiTheme="minorHAnsi" w:hAnsiTheme="minorHAnsi" w:cstheme="minorHAnsi"/>
          <w:sz w:val="16"/>
          <w:szCs w:val="18"/>
          <w:lang w:val="en-AU"/>
        </w:rPr>
        <w:t>Kidney Health Australia</w:t>
      </w:r>
      <w:r>
        <w:rPr>
          <w:rFonts w:asciiTheme="minorHAnsi" w:hAnsiTheme="minorHAnsi" w:cstheme="minorHAnsi"/>
          <w:sz w:val="16"/>
          <w:szCs w:val="18"/>
          <w:lang w:val="en-AU"/>
        </w:rPr>
        <w:t xml:space="preserve">, 2018, </w:t>
      </w:r>
      <w:r>
        <w:rPr>
          <w:rFonts w:asciiTheme="minorHAnsi" w:hAnsiTheme="minorHAnsi" w:cstheme="minorHAnsi"/>
          <w:i/>
          <w:sz w:val="16"/>
          <w:szCs w:val="18"/>
          <w:lang w:val="en-AU"/>
        </w:rPr>
        <w:t xml:space="preserve">Kidney Fast Facts: Fact Sheet, </w:t>
      </w:r>
      <w:r>
        <w:rPr>
          <w:rFonts w:asciiTheme="minorHAnsi" w:hAnsiTheme="minorHAnsi" w:cstheme="minorHAnsi"/>
          <w:sz w:val="16"/>
          <w:szCs w:val="18"/>
          <w:lang w:val="en-AU"/>
        </w:rPr>
        <w:t>viewed October 2018</w:t>
      </w:r>
      <w:r w:rsidRPr="00F30C88">
        <w:rPr>
          <w:rFonts w:asciiTheme="minorHAnsi" w:hAnsiTheme="minorHAnsi" w:cstheme="minorHAnsi"/>
          <w:sz w:val="16"/>
          <w:szCs w:val="18"/>
          <w:lang w:val="en-AU"/>
        </w:rPr>
        <w:t>, &lt;</w:t>
      </w:r>
      <w:r w:rsidRPr="00F30C88">
        <w:rPr>
          <w:rStyle w:val="Hyperlink"/>
          <w:rFonts w:asciiTheme="minorHAnsi" w:hAnsiTheme="minorHAnsi" w:cstheme="minorHAnsi"/>
          <w:color w:val="auto"/>
          <w:sz w:val="16"/>
          <w:szCs w:val="18"/>
          <w:u w:val="none"/>
          <w:lang w:val="en-AU"/>
        </w:rPr>
        <w:t xml:space="preserve">https://kidney.org.au/cms_uploads/docs/kidney-fast-facts-fact-sheet.pdf&gt;. </w:t>
      </w:r>
      <w:r w:rsidRPr="00F30C88">
        <w:rPr>
          <w:rFonts w:asciiTheme="minorHAnsi" w:hAnsiTheme="minorHAnsi" w:cstheme="minorHAnsi"/>
          <w:sz w:val="16"/>
          <w:szCs w:val="18"/>
          <w:lang w:val="en-AU"/>
        </w:rPr>
        <w:t xml:space="preserve"> </w:t>
      </w:r>
    </w:p>
  </w:footnote>
  <w:footnote w:id="119">
    <w:p w14:paraId="0B7F4D0E" w14:textId="77777777" w:rsidR="00D930F7" w:rsidRPr="00781BF8" w:rsidRDefault="00D930F7" w:rsidP="00C30067">
      <w:pPr>
        <w:pStyle w:val="FootnoteText"/>
        <w:rPr>
          <w:lang w:val="en-AU"/>
        </w:rPr>
      </w:pPr>
      <w:r w:rsidRPr="004938CA">
        <w:rPr>
          <w:rStyle w:val="FootnoteReference"/>
          <w:rFonts w:asciiTheme="minorHAnsi" w:hAnsiTheme="minorHAnsi" w:cstheme="minorHAnsi"/>
          <w:sz w:val="16"/>
          <w:szCs w:val="18"/>
        </w:rPr>
        <w:footnoteRef/>
      </w:r>
      <w:r w:rsidRPr="004938CA">
        <w:rPr>
          <w:rFonts w:asciiTheme="minorHAnsi" w:hAnsiTheme="minorHAnsi" w:cstheme="minorHAnsi"/>
          <w:sz w:val="16"/>
          <w:szCs w:val="18"/>
        </w:rPr>
        <w:t xml:space="preserve"> </w:t>
      </w:r>
      <w:r w:rsidRPr="004938CA">
        <w:rPr>
          <w:rFonts w:asciiTheme="minorHAnsi" w:hAnsiTheme="minorHAnsi" w:cstheme="minorHAnsi"/>
          <w:sz w:val="16"/>
          <w:szCs w:val="18"/>
          <w:lang w:val="en-AU"/>
        </w:rPr>
        <w:t xml:space="preserve">Australian Institute of Health and Welfare 2018, </w:t>
      </w:r>
      <w:r>
        <w:rPr>
          <w:rFonts w:asciiTheme="minorHAnsi" w:hAnsiTheme="minorHAnsi" w:cstheme="minorHAnsi"/>
          <w:sz w:val="16"/>
          <w:szCs w:val="18"/>
          <w:lang w:val="en-AU"/>
        </w:rPr>
        <w:t>above n. 13.</w:t>
      </w:r>
    </w:p>
  </w:footnote>
  <w:footnote w:id="120">
    <w:p w14:paraId="2DBBD2C0" w14:textId="77777777" w:rsidR="00D930F7" w:rsidRPr="00664C01" w:rsidRDefault="00D930F7">
      <w:pPr>
        <w:pStyle w:val="FootnoteText"/>
        <w:rPr>
          <w:rFonts w:asciiTheme="minorHAnsi" w:hAnsiTheme="minorHAnsi" w:cstheme="minorHAnsi"/>
          <w:lang w:val="en-AU"/>
        </w:rPr>
      </w:pPr>
      <w:r w:rsidRPr="00664C01">
        <w:rPr>
          <w:rStyle w:val="FootnoteReference"/>
          <w:rFonts w:asciiTheme="minorHAnsi" w:hAnsiTheme="minorHAnsi" w:cstheme="minorHAnsi"/>
          <w:sz w:val="16"/>
        </w:rPr>
        <w:footnoteRef/>
      </w:r>
      <w:r w:rsidRPr="00664C01">
        <w:rPr>
          <w:rFonts w:asciiTheme="minorHAnsi" w:hAnsiTheme="minorHAnsi" w:cstheme="minorHAnsi"/>
          <w:sz w:val="16"/>
        </w:rPr>
        <w:t xml:space="preserve"> Anderson,K et al, 2008, ‘All they said was my kidneys were dead: Indigenous Australian patients’ understanding of their chronic kidney disease, </w:t>
      </w:r>
      <w:r w:rsidRPr="00664C01">
        <w:rPr>
          <w:rFonts w:asciiTheme="minorHAnsi" w:hAnsiTheme="minorHAnsi" w:cstheme="minorHAnsi"/>
          <w:i/>
          <w:sz w:val="16"/>
        </w:rPr>
        <w:t>Medical Journal of</w:t>
      </w:r>
      <w:r w:rsidRPr="00664C01">
        <w:rPr>
          <w:rFonts w:asciiTheme="minorHAnsi" w:hAnsiTheme="minorHAnsi" w:cstheme="minorHAnsi"/>
          <w:sz w:val="16"/>
        </w:rPr>
        <w:t xml:space="preserve"> </w:t>
      </w:r>
      <w:r w:rsidRPr="00664C01">
        <w:rPr>
          <w:rFonts w:asciiTheme="minorHAnsi" w:hAnsiTheme="minorHAnsi" w:cstheme="minorHAnsi"/>
          <w:i/>
          <w:sz w:val="16"/>
        </w:rPr>
        <w:t>Australia,</w:t>
      </w:r>
      <w:r w:rsidRPr="00664C01">
        <w:rPr>
          <w:rFonts w:asciiTheme="minorHAnsi" w:hAnsiTheme="minorHAnsi" w:cstheme="minorHAnsi"/>
          <w:sz w:val="16"/>
        </w:rPr>
        <w:t xml:space="preserve"> Volume. 189, Issue: 9, pp. 499-503.  </w:t>
      </w:r>
    </w:p>
  </w:footnote>
  <w:footnote w:id="121">
    <w:p w14:paraId="1990E03A" w14:textId="77777777" w:rsidR="00D930F7" w:rsidRPr="004938CA" w:rsidRDefault="00D930F7" w:rsidP="00C30067">
      <w:pPr>
        <w:pStyle w:val="FootnoteText"/>
        <w:rPr>
          <w:rFonts w:asciiTheme="minorHAnsi" w:hAnsiTheme="minorHAnsi" w:cstheme="minorHAnsi"/>
          <w:lang w:val="en-AU"/>
        </w:rPr>
      </w:pPr>
      <w:r w:rsidRPr="004938CA">
        <w:rPr>
          <w:rStyle w:val="FootnoteReference"/>
          <w:rFonts w:asciiTheme="minorHAnsi" w:hAnsiTheme="minorHAnsi" w:cstheme="minorHAnsi"/>
          <w:sz w:val="16"/>
        </w:rPr>
        <w:footnoteRef/>
      </w:r>
      <w:r w:rsidRPr="004938CA">
        <w:rPr>
          <w:rFonts w:asciiTheme="minorHAnsi" w:hAnsiTheme="minorHAnsi" w:cstheme="minorHAnsi"/>
          <w:sz w:val="16"/>
        </w:rPr>
        <w:t xml:space="preserve"> </w:t>
      </w:r>
      <w:r>
        <w:rPr>
          <w:rFonts w:asciiTheme="minorHAnsi" w:hAnsiTheme="minorHAnsi" w:cstheme="minorHAnsi"/>
          <w:sz w:val="16"/>
        </w:rPr>
        <w:t xml:space="preserve">Yeates.K et al, 2009, ‘Indigenous people in Australia, Canada, New Zealand and the United States are less likely to receive renal transplantation’ </w:t>
      </w:r>
      <w:r>
        <w:rPr>
          <w:rFonts w:asciiTheme="minorHAnsi" w:hAnsiTheme="minorHAnsi" w:cstheme="minorHAnsi"/>
          <w:i/>
          <w:sz w:val="16"/>
        </w:rPr>
        <w:t xml:space="preserve">Official Journal of the International Society of Nephrology, </w:t>
      </w:r>
      <w:r>
        <w:rPr>
          <w:rFonts w:asciiTheme="minorHAnsi" w:hAnsiTheme="minorHAnsi" w:cstheme="minorHAnsi"/>
          <w:sz w:val="16"/>
        </w:rPr>
        <w:t>vol. 76, Issue. 6, pp 659 – 664.</w:t>
      </w:r>
    </w:p>
  </w:footnote>
  <w:footnote w:id="122">
    <w:p w14:paraId="65F6C7B1"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sidRPr="00EF2596">
        <w:rPr>
          <w:rFonts w:asciiTheme="minorHAnsi" w:hAnsiTheme="minorHAnsi" w:cstheme="minorHAnsi"/>
          <w:sz w:val="16"/>
          <w:szCs w:val="16"/>
          <w:lang w:val="en-AU"/>
        </w:rPr>
        <w:t xml:space="preserve">Australian </w:t>
      </w:r>
      <w:r>
        <w:rPr>
          <w:rFonts w:asciiTheme="minorHAnsi" w:hAnsiTheme="minorHAnsi" w:cstheme="minorHAnsi"/>
          <w:sz w:val="16"/>
          <w:szCs w:val="16"/>
          <w:lang w:val="en-AU"/>
        </w:rPr>
        <w:t>Institute of Health and Welfare, 2018, above n.14.</w:t>
      </w:r>
    </w:p>
  </w:footnote>
  <w:footnote w:id="123">
    <w:p w14:paraId="4757BB19" w14:textId="77777777" w:rsidR="00D930F7" w:rsidRPr="004938CA" w:rsidRDefault="00D930F7" w:rsidP="00C30067">
      <w:pPr>
        <w:pStyle w:val="FootnoteText"/>
        <w:rPr>
          <w:rFonts w:asciiTheme="minorHAnsi" w:hAnsiTheme="minorHAnsi" w:cstheme="minorHAnsi"/>
          <w:sz w:val="16"/>
          <w:szCs w:val="16"/>
          <w:lang w:val="en-AU"/>
        </w:rPr>
      </w:pPr>
      <w:r w:rsidRPr="004938CA">
        <w:rPr>
          <w:rStyle w:val="FootnoteReference"/>
          <w:rFonts w:asciiTheme="minorHAnsi" w:hAnsiTheme="minorHAnsi" w:cstheme="minorHAnsi"/>
          <w:sz w:val="16"/>
          <w:szCs w:val="16"/>
        </w:rPr>
        <w:footnoteRef/>
      </w:r>
      <w:r w:rsidRPr="004938CA">
        <w:rPr>
          <w:rFonts w:asciiTheme="minorHAnsi" w:hAnsiTheme="minorHAnsi" w:cstheme="minorHAnsi"/>
          <w:sz w:val="16"/>
          <w:szCs w:val="16"/>
        </w:rPr>
        <w:t xml:space="preserve"> </w:t>
      </w:r>
      <w:hyperlink r:id="rId3" w:history="1">
        <w:r w:rsidRPr="00EF2596">
          <w:rPr>
            <w:rFonts w:asciiTheme="minorHAnsi" w:hAnsiTheme="minorHAnsi" w:cstheme="minorHAnsi"/>
            <w:color w:val="000000" w:themeColor="text1"/>
            <w:sz w:val="16"/>
            <w:szCs w:val="16"/>
            <w:lang w:val="en"/>
          </w:rPr>
          <w:t>Matesanz R</w:t>
        </w:r>
      </w:hyperlink>
      <w:r>
        <w:rPr>
          <w:rFonts w:asciiTheme="minorHAnsi" w:hAnsiTheme="minorHAnsi" w:cstheme="minorHAnsi"/>
          <w:color w:val="000000" w:themeColor="text1"/>
          <w:sz w:val="16"/>
          <w:szCs w:val="16"/>
          <w:lang w:val="en"/>
        </w:rPr>
        <w:t>, 2017, above n.85.</w:t>
      </w:r>
    </w:p>
  </w:footnote>
  <w:footnote w:id="124">
    <w:p w14:paraId="0BB19A35" w14:textId="77777777" w:rsidR="00D930F7" w:rsidRPr="00347EB9" w:rsidRDefault="00D930F7" w:rsidP="00347EB9">
      <w:pPr>
        <w:widowControl/>
        <w:autoSpaceDE/>
        <w:autoSpaceDN/>
        <w:adjustRightInd/>
        <w:spacing w:after="0"/>
        <w:rPr>
          <w:rFonts w:ascii="Calibri" w:hAnsi="Calibri" w:cs="Calibri"/>
          <w:color w:val="000000"/>
          <w:sz w:val="16"/>
          <w:szCs w:val="16"/>
          <w:lang w:eastAsia="en-AU"/>
        </w:rPr>
      </w:pPr>
      <w:r w:rsidRPr="004938CA">
        <w:rPr>
          <w:rStyle w:val="FootnoteReference"/>
          <w:rFonts w:asciiTheme="minorHAnsi" w:hAnsiTheme="minorHAnsi" w:cstheme="minorHAnsi"/>
          <w:sz w:val="16"/>
          <w:szCs w:val="16"/>
        </w:rPr>
        <w:footnoteRef/>
      </w:r>
      <w:r w:rsidRPr="004938CA">
        <w:rPr>
          <w:rFonts w:asciiTheme="minorHAnsi" w:hAnsiTheme="minorHAnsi" w:cstheme="minorHAnsi"/>
          <w:sz w:val="16"/>
          <w:szCs w:val="16"/>
        </w:rPr>
        <w:t xml:space="preserve"> </w:t>
      </w:r>
      <w:r>
        <w:rPr>
          <w:rFonts w:ascii="Calibri" w:hAnsi="Calibri" w:cs="Calibri"/>
          <w:color w:val="000000"/>
          <w:sz w:val="16"/>
          <w:szCs w:val="16"/>
          <w:lang w:eastAsia="en-AU"/>
        </w:rPr>
        <w:t>The Australian Organ and Tissue Donation and Transplantation Authority, 2017 above n.3.</w:t>
      </w:r>
    </w:p>
  </w:footnote>
  <w:footnote w:id="125">
    <w:p w14:paraId="37759ADA" w14:textId="77777777" w:rsidR="00D930F7" w:rsidRPr="003E6F1F" w:rsidRDefault="00D930F7">
      <w:pPr>
        <w:pStyle w:val="FootnoteText"/>
        <w:rPr>
          <w:rFonts w:asciiTheme="minorHAnsi" w:hAnsiTheme="minorHAnsi" w:cstheme="minorHAnsi"/>
          <w:sz w:val="16"/>
          <w:szCs w:val="16"/>
          <w:lang w:val="en-AU"/>
        </w:rPr>
      </w:pPr>
      <w:r w:rsidRPr="003E6F1F">
        <w:rPr>
          <w:rStyle w:val="FootnoteReference"/>
          <w:rFonts w:asciiTheme="minorHAnsi" w:hAnsiTheme="minorHAnsi" w:cstheme="minorHAnsi"/>
          <w:sz w:val="16"/>
          <w:szCs w:val="16"/>
        </w:rPr>
        <w:footnoteRef/>
      </w:r>
      <w:r w:rsidRPr="003E6F1F">
        <w:rPr>
          <w:rFonts w:asciiTheme="minorHAnsi" w:hAnsiTheme="minorHAnsi" w:cstheme="minorHAnsi"/>
          <w:sz w:val="16"/>
          <w:szCs w:val="16"/>
        </w:rPr>
        <w:t xml:space="preserve"> The Australian Organ and Tissue Donation and Transplantation Authority, “2017 potential donors, percentage of requests and percentage assessed not medically suitable” (received November 2018).</w:t>
      </w:r>
    </w:p>
  </w:footnote>
  <w:footnote w:id="126">
    <w:p w14:paraId="35C26E7E" w14:textId="77777777" w:rsidR="00D930F7" w:rsidRPr="003E6F1F" w:rsidRDefault="00D930F7">
      <w:pPr>
        <w:pStyle w:val="FootnoteText"/>
        <w:rPr>
          <w:rFonts w:asciiTheme="minorHAnsi" w:hAnsiTheme="minorHAnsi" w:cstheme="minorHAnsi"/>
          <w:sz w:val="16"/>
          <w:szCs w:val="16"/>
          <w:lang w:val="en-AU"/>
        </w:rPr>
      </w:pPr>
      <w:r w:rsidRPr="003E6F1F">
        <w:rPr>
          <w:rStyle w:val="FootnoteReference"/>
          <w:rFonts w:asciiTheme="minorHAnsi" w:hAnsiTheme="minorHAnsi" w:cstheme="minorHAnsi"/>
          <w:sz w:val="16"/>
          <w:szCs w:val="16"/>
        </w:rPr>
        <w:footnoteRef/>
      </w:r>
      <w:r w:rsidRPr="003E6F1F">
        <w:rPr>
          <w:rFonts w:asciiTheme="minorHAnsi" w:hAnsiTheme="minorHAnsi" w:cstheme="minorHAnsi"/>
          <w:sz w:val="16"/>
          <w:szCs w:val="16"/>
        </w:rPr>
        <w:t xml:space="preserve"> Note: This definition of “potential donor” is consistent with the OTA’s definition, used for internal comparisons.</w:t>
      </w:r>
      <w:r w:rsidRPr="003E6F1F">
        <w:rPr>
          <w:rFonts w:asciiTheme="minorHAnsi" w:hAnsiTheme="minorHAnsi" w:cstheme="minorHAnsi"/>
          <w:sz w:val="16"/>
          <w:szCs w:val="16"/>
          <w:lang w:val="en-GB"/>
        </w:rPr>
        <w:t xml:space="preserve"> The pool of potential donors is derived from the number of neurological deaths, where the donor did not have Cancer or HIV, was intubated and did not have an unexpected cardiac arrest.</w:t>
      </w:r>
    </w:p>
  </w:footnote>
  <w:footnote w:id="127">
    <w:p w14:paraId="7EC18067" w14:textId="77777777" w:rsidR="00D930F7" w:rsidRDefault="00D930F7" w:rsidP="00B63197">
      <w:pPr>
        <w:pStyle w:val="FootnoteText"/>
      </w:pPr>
      <w:r w:rsidRPr="003E6F1F">
        <w:rPr>
          <w:rStyle w:val="FootnoteReference"/>
          <w:rFonts w:asciiTheme="minorHAnsi" w:hAnsiTheme="minorHAnsi" w:cstheme="minorHAnsi"/>
          <w:sz w:val="16"/>
          <w:szCs w:val="16"/>
        </w:rPr>
        <w:footnoteRef/>
      </w:r>
      <w:r w:rsidRPr="003E6F1F">
        <w:rPr>
          <w:rFonts w:asciiTheme="minorHAnsi" w:hAnsiTheme="minorHAnsi" w:cstheme="minorHAnsi"/>
          <w:sz w:val="16"/>
          <w:szCs w:val="16"/>
        </w:rPr>
        <w:t xml:space="preserve"> The Australian Organ and Tissue Donation and Transplantation Authority,</w:t>
      </w:r>
      <w:r>
        <w:rPr>
          <w:rFonts w:asciiTheme="minorHAnsi" w:hAnsiTheme="minorHAnsi" w:cstheme="minorHAnsi"/>
          <w:sz w:val="16"/>
          <w:szCs w:val="16"/>
        </w:rPr>
        <w:t xml:space="preserve"> above n.134.</w:t>
      </w:r>
    </w:p>
  </w:footnote>
  <w:footnote w:id="128">
    <w:p w14:paraId="6067DFBC"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Australian Health Ministers’ Conference, Joint Communiqué: </w:t>
      </w:r>
      <w:r w:rsidRPr="003E1FB8">
        <w:rPr>
          <w:rFonts w:asciiTheme="minorHAnsi" w:hAnsiTheme="minorHAnsi" w:cstheme="minorHAnsi"/>
          <w:i/>
          <w:sz w:val="16"/>
          <w:szCs w:val="16"/>
        </w:rPr>
        <w:t>Transplant donor’s wishes to prevail,</w:t>
      </w:r>
      <w:r w:rsidRPr="00EF2596">
        <w:rPr>
          <w:rFonts w:asciiTheme="minorHAnsi" w:hAnsiTheme="minorHAnsi" w:cstheme="minorHAnsi"/>
          <w:sz w:val="16"/>
          <w:szCs w:val="16"/>
        </w:rPr>
        <w:t xml:space="preserve"> </w:t>
      </w:r>
      <w:r>
        <w:rPr>
          <w:rFonts w:asciiTheme="minorHAnsi" w:hAnsiTheme="minorHAnsi" w:cstheme="minorHAnsi"/>
          <w:sz w:val="16"/>
          <w:szCs w:val="16"/>
        </w:rPr>
        <w:t>media release, 28 January 2005, viewed September 2018 &lt;</w:t>
      </w:r>
      <w:r w:rsidRPr="00EF2596">
        <w:rPr>
          <w:rFonts w:asciiTheme="minorHAnsi" w:hAnsiTheme="minorHAnsi" w:cstheme="minorHAnsi"/>
          <w:sz w:val="16"/>
          <w:szCs w:val="16"/>
        </w:rPr>
        <w:t>http://www.health.gov.au/internet/main/publishing.nsf/Content/health-medi</w:t>
      </w:r>
      <w:r>
        <w:rPr>
          <w:rFonts w:asciiTheme="minorHAnsi" w:hAnsiTheme="minorHAnsi" w:cstheme="minorHAnsi"/>
          <w:sz w:val="16"/>
          <w:szCs w:val="16"/>
        </w:rPr>
        <w:t>arel-yr2005- jointcom-jc005.htm&gt;.</w:t>
      </w:r>
    </w:p>
  </w:footnote>
  <w:footnote w:id="129">
    <w:p w14:paraId="0BFF13EE" w14:textId="77777777" w:rsidR="00D930F7" w:rsidRPr="004938CA" w:rsidRDefault="00D930F7" w:rsidP="00347EB9">
      <w:pPr>
        <w:pStyle w:val="FootnoteText"/>
        <w:rPr>
          <w:rFonts w:asciiTheme="minorHAnsi" w:hAnsiTheme="minorHAnsi" w:cstheme="minorHAnsi"/>
          <w:sz w:val="16"/>
          <w:szCs w:val="16"/>
          <w:lang w:val="en-AU"/>
        </w:rPr>
      </w:pPr>
      <w:r w:rsidRPr="00FC0FD7">
        <w:rPr>
          <w:rStyle w:val="FootnoteReference"/>
          <w:rFonts w:asciiTheme="minorHAnsi" w:hAnsiTheme="minorHAnsi" w:cstheme="minorHAnsi"/>
          <w:sz w:val="16"/>
          <w:szCs w:val="16"/>
        </w:rPr>
        <w:footnoteRef/>
      </w:r>
      <w:r w:rsidRPr="00FC0FD7">
        <w:rPr>
          <w:rFonts w:asciiTheme="minorHAnsi" w:hAnsiTheme="minorHAnsi" w:cstheme="minorHAnsi"/>
          <w:sz w:val="16"/>
          <w:szCs w:val="16"/>
        </w:rPr>
        <w:t xml:space="preserve"> </w:t>
      </w:r>
      <w:r>
        <w:rPr>
          <w:rFonts w:asciiTheme="minorHAnsi" w:hAnsiTheme="minorHAnsi" w:cstheme="minorHAnsi"/>
          <w:sz w:val="16"/>
          <w:szCs w:val="16"/>
        </w:rPr>
        <w:t xml:space="preserve">Australian Government </w:t>
      </w:r>
      <w:r w:rsidRPr="00FC0FD7">
        <w:rPr>
          <w:rFonts w:asciiTheme="minorHAnsi" w:hAnsiTheme="minorHAnsi" w:cstheme="minorHAnsi"/>
          <w:sz w:val="16"/>
          <w:szCs w:val="16"/>
          <w:lang w:val="en-AU"/>
        </w:rPr>
        <w:t xml:space="preserve">Department of Human Services, </w:t>
      </w:r>
      <w:r>
        <w:rPr>
          <w:rFonts w:asciiTheme="minorHAnsi" w:hAnsiTheme="minorHAnsi" w:cstheme="minorHAnsi"/>
          <w:sz w:val="16"/>
          <w:szCs w:val="16"/>
          <w:lang w:val="en-AU"/>
        </w:rPr>
        <w:t>“AODR July 2018: Grand Total Intent Registrations by Age Group” (received August 2018).</w:t>
      </w:r>
    </w:p>
  </w:footnote>
  <w:footnote w:id="130">
    <w:p w14:paraId="53AC42C3" w14:textId="77777777" w:rsidR="00D930F7" w:rsidRPr="00E82962" w:rsidRDefault="00D930F7" w:rsidP="00C30067">
      <w:pPr>
        <w:pStyle w:val="FootnoteText"/>
        <w:rPr>
          <w:rFonts w:asciiTheme="minorHAnsi" w:hAnsiTheme="minorHAnsi" w:cstheme="minorHAnsi"/>
          <w:sz w:val="16"/>
          <w:szCs w:val="16"/>
          <w:lang w:val="en-AU"/>
        </w:rPr>
      </w:pPr>
      <w:r w:rsidRPr="004938CA">
        <w:rPr>
          <w:rStyle w:val="FootnoteReference"/>
          <w:rFonts w:asciiTheme="minorHAnsi" w:hAnsiTheme="minorHAnsi" w:cstheme="minorHAnsi"/>
          <w:sz w:val="16"/>
          <w:szCs w:val="16"/>
        </w:rPr>
        <w:footnoteRef/>
      </w:r>
      <w:r w:rsidRPr="004938CA">
        <w:rPr>
          <w:rFonts w:asciiTheme="minorHAnsi" w:hAnsiTheme="minorHAnsi" w:cstheme="minorHAnsi"/>
          <w:sz w:val="16"/>
          <w:szCs w:val="16"/>
        </w:rPr>
        <w:t xml:space="preserve"> </w:t>
      </w:r>
      <w:r>
        <w:rPr>
          <w:rFonts w:asciiTheme="minorHAnsi" w:hAnsiTheme="minorHAnsi" w:cstheme="minorHAnsi"/>
          <w:sz w:val="16"/>
          <w:szCs w:val="16"/>
        </w:rPr>
        <w:t xml:space="preserve">Note: </w:t>
      </w:r>
      <w:r w:rsidRPr="004938CA">
        <w:rPr>
          <w:rFonts w:asciiTheme="minorHAnsi" w:hAnsiTheme="minorHAnsi" w:cstheme="minorHAnsi"/>
          <w:sz w:val="16"/>
          <w:szCs w:val="16"/>
          <w:lang w:val="en-AU"/>
        </w:rPr>
        <w:t>In South Australia, residents can register their intent to be an organ donor through the drivers’ licensing system. South Australian drivers’ licensing paperwork includes a section for residents to complete regarding their organ donation preferences. However, the current system runs separately from the AODR.</w:t>
      </w:r>
      <w:r w:rsidRPr="0079441C">
        <w:rPr>
          <w:rFonts w:asciiTheme="minorHAnsi" w:hAnsiTheme="minorHAnsi" w:cstheme="minorHAnsi"/>
          <w:szCs w:val="16"/>
          <w:lang w:val="en-AU"/>
        </w:rPr>
        <w:t xml:space="preserve"> </w:t>
      </w:r>
    </w:p>
  </w:footnote>
  <w:footnote w:id="131">
    <w:p w14:paraId="128A209D" w14:textId="77777777" w:rsidR="00D930F7" w:rsidRPr="004938CA" w:rsidRDefault="00D930F7" w:rsidP="00C30067">
      <w:pPr>
        <w:pStyle w:val="FootnoteText"/>
        <w:rPr>
          <w:rFonts w:asciiTheme="minorHAnsi" w:hAnsiTheme="minorHAnsi" w:cstheme="minorHAnsi"/>
          <w:sz w:val="16"/>
          <w:lang w:val="en-AU"/>
        </w:rPr>
      </w:pPr>
      <w:r w:rsidRPr="004938CA">
        <w:rPr>
          <w:rStyle w:val="FootnoteReference"/>
          <w:rFonts w:asciiTheme="minorHAnsi" w:hAnsiTheme="minorHAnsi" w:cstheme="minorHAnsi"/>
          <w:sz w:val="16"/>
        </w:rPr>
        <w:footnoteRef/>
      </w:r>
      <w:r w:rsidRPr="004938CA">
        <w:rPr>
          <w:rFonts w:asciiTheme="minorHAnsi" w:hAnsiTheme="minorHAnsi" w:cstheme="minorHAnsi"/>
          <w:sz w:val="16"/>
        </w:rPr>
        <w:t>Kidney Health Australia</w:t>
      </w:r>
      <w:r>
        <w:rPr>
          <w:rFonts w:asciiTheme="minorHAnsi" w:hAnsiTheme="minorHAnsi" w:cstheme="minorHAnsi"/>
          <w:sz w:val="16"/>
        </w:rPr>
        <w:t>, 2017, “</w:t>
      </w:r>
      <w:r w:rsidRPr="004938CA">
        <w:rPr>
          <w:rFonts w:asciiTheme="minorHAnsi" w:hAnsiTheme="minorHAnsi" w:cstheme="minorHAnsi"/>
          <w:sz w:val="16"/>
        </w:rPr>
        <w:t>Organ Donation Consumer Survey 2017</w:t>
      </w:r>
      <w:r>
        <w:rPr>
          <w:rFonts w:asciiTheme="minorHAnsi" w:hAnsiTheme="minorHAnsi" w:cstheme="minorHAnsi"/>
          <w:sz w:val="16"/>
        </w:rPr>
        <w:t xml:space="preserve">” (received September 2018). </w:t>
      </w:r>
    </w:p>
  </w:footnote>
  <w:footnote w:id="132">
    <w:p w14:paraId="5811DE7B" w14:textId="77777777" w:rsidR="00D930F7" w:rsidRPr="00412E53" w:rsidRDefault="00D930F7" w:rsidP="00C30067">
      <w:pPr>
        <w:pStyle w:val="FootnoteText"/>
        <w:rPr>
          <w:lang w:val="en-AU"/>
        </w:rPr>
      </w:pPr>
      <w:r w:rsidRPr="004938CA">
        <w:rPr>
          <w:rStyle w:val="FootnoteReference"/>
          <w:rFonts w:asciiTheme="minorHAnsi" w:hAnsiTheme="minorHAnsi" w:cstheme="minorHAnsi"/>
          <w:sz w:val="16"/>
        </w:rPr>
        <w:footnoteRef/>
      </w:r>
      <w:r w:rsidRPr="004938CA">
        <w:rPr>
          <w:rFonts w:asciiTheme="minorHAnsi" w:hAnsiTheme="minorHAnsi" w:cstheme="minorHAnsi"/>
          <w:sz w:val="16"/>
        </w:rPr>
        <w:t xml:space="preserve"> </w:t>
      </w:r>
      <w:r>
        <w:rPr>
          <w:rFonts w:asciiTheme="minorHAnsi" w:hAnsiTheme="minorHAnsi" w:cstheme="minorHAnsi"/>
          <w:sz w:val="16"/>
          <w:lang w:val="en-AU"/>
        </w:rPr>
        <w:t>The Aust</w:t>
      </w:r>
      <w:r w:rsidRPr="00A953C8">
        <w:rPr>
          <w:rFonts w:asciiTheme="minorHAnsi" w:hAnsiTheme="minorHAnsi" w:cstheme="minorHAnsi"/>
          <w:sz w:val="16"/>
          <w:lang w:val="en-AU"/>
        </w:rPr>
        <w:t>ralian Organ and Tissue Donation and Transplantation Report, “Jurisdictional Hospital Dashboard Jan – Jun 201</w:t>
      </w:r>
      <w:r w:rsidRPr="007B43EF">
        <w:rPr>
          <w:rFonts w:asciiTheme="minorHAnsi" w:hAnsiTheme="minorHAnsi" w:cstheme="minorHAnsi"/>
          <w:sz w:val="16"/>
          <w:lang w:val="en-AU"/>
        </w:rPr>
        <w:t>8” (received July 2018)</w:t>
      </w:r>
      <w:r>
        <w:rPr>
          <w:rFonts w:asciiTheme="minorHAnsi" w:hAnsiTheme="minorHAnsi" w:cstheme="minorHAnsi"/>
          <w:sz w:val="16"/>
          <w:lang w:val="en-AU"/>
        </w:rPr>
        <w:t>.</w:t>
      </w:r>
    </w:p>
  </w:footnote>
  <w:footnote w:id="133">
    <w:p w14:paraId="4090FE68"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Pr>
          <w:rFonts w:asciiTheme="minorHAnsi" w:hAnsiTheme="minorHAnsi" w:cstheme="minorHAnsi"/>
          <w:sz w:val="16"/>
          <w:szCs w:val="16"/>
          <w:lang w:val="en-AU"/>
        </w:rPr>
        <w:t xml:space="preserve">Australian Government Department of Health of Human Services as provided by the OTA, “AODR Registration Numbers 2007 – 2017” (received November 2018). </w:t>
      </w:r>
    </w:p>
  </w:footnote>
  <w:footnote w:id="134">
    <w:p w14:paraId="157CC0F0" w14:textId="77777777" w:rsidR="00D930F7" w:rsidRPr="00684654" w:rsidRDefault="00D930F7">
      <w:pPr>
        <w:pStyle w:val="FootnoteText"/>
        <w:rPr>
          <w:rFonts w:asciiTheme="minorHAnsi" w:hAnsiTheme="minorHAnsi" w:cstheme="minorHAnsi"/>
          <w:lang w:val="en-AU"/>
        </w:rPr>
      </w:pPr>
      <w:r w:rsidRPr="00684654">
        <w:rPr>
          <w:rStyle w:val="FootnoteReference"/>
          <w:rFonts w:asciiTheme="minorHAnsi" w:hAnsiTheme="minorHAnsi" w:cstheme="minorHAnsi"/>
          <w:sz w:val="16"/>
        </w:rPr>
        <w:footnoteRef/>
      </w:r>
      <w:r w:rsidRPr="00684654">
        <w:rPr>
          <w:rFonts w:asciiTheme="minorHAnsi" w:hAnsiTheme="minorHAnsi" w:cstheme="minorHAnsi"/>
          <w:sz w:val="16"/>
        </w:rPr>
        <w:t xml:space="preserve"> </w:t>
      </w:r>
      <w:r w:rsidRPr="00684654">
        <w:rPr>
          <w:rFonts w:asciiTheme="minorHAnsi" w:hAnsiTheme="minorHAnsi" w:cstheme="minorHAnsi"/>
          <w:sz w:val="16"/>
          <w:lang w:val="en-AU"/>
        </w:rPr>
        <w:t>Ibid.</w:t>
      </w:r>
    </w:p>
  </w:footnote>
  <w:footnote w:id="135">
    <w:p w14:paraId="6E0272E7" w14:textId="77777777" w:rsidR="00D930F7" w:rsidRPr="0068318F" w:rsidRDefault="00D930F7" w:rsidP="009B17B9">
      <w:pPr>
        <w:pStyle w:val="FootnoteText"/>
        <w:rPr>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sidRPr="003E6F1F">
        <w:rPr>
          <w:rFonts w:asciiTheme="minorHAnsi" w:hAnsiTheme="minorHAnsi" w:cstheme="minorHAnsi"/>
          <w:i/>
          <w:color w:val="000000"/>
          <w:sz w:val="16"/>
          <w:szCs w:val="16"/>
          <w:lang w:eastAsia="en-AU"/>
        </w:rPr>
        <w:t>Human Tissue Act 1983</w:t>
      </w:r>
      <w:r w:rsidRPr="00EF2596">
        <w:rPr>
          <w:rFonts w:asciiTheme="minorHAnsi" w:hAnsiTheme="minorHAnsi" w:cstheme="minorHAnsi"/>
          <w:color w:val="000000"/>
          <w:sz w:val="16"/>
          <w:szCs w:val="16"/>
          <w:lang w:eastAsia="en-AU"/>
        </w:rPr>
        <w:t xml:space="preserve"> (NSW); </w:t>
      </w:r>
      <w:r w:rsidRPr="003E6F1F">
        <w:rPr>
          <w:rFonts w:asciiTheme="minorHAnsi" w:hAnsiTheme="minorHAnsi" w:cstheme="minorHAnsi"/>
          <w:i/>
          <w:color w:val="000000"/>
          <w:sz w:val="16"/>
          <w:szCs w:val="16"/>
          <w:lang w:eastAsia="en-AU"/>
        </w:rPr>
        <w:t>Transplantation and Anatomy Act 1979</w:t>
      </w:r>
      <w:r w:rsidRPr="00EF2596">
        <w:rPr>
          <w:rFonts w:asciiTheme="minorHAnsi" w:hAnsiTheme="minorHAnsi" w:cstheme="minorHAnsi"/>
          <w:color w:val="000000"/>
          <w:sz w:val="16"/>
          <w:szCs w:val="16"/>
          <w:lang w:eastAsia="en-AU"/>
        </w:rPr>
        <w:t xml:space="preserve"> (Qld); </w:t>
      </w:r>
      <w:r w:rsidRPr="003E6F1F">
        <w:rPr>
          <w:rFonts w:asciiTheme="minorHAnsi" w:hAnsiTheme="minorHAnsi" w:cstheme="minorHAnsi"/>
          <w:i/>
          <w:color w:val="000000"/>
          <w:sz w:val="16"/>
          <w:szCs w:val="16"/>
          <w:lang w:eastAsia="en-AU"/>
        </w:rPr>
        <w:t>Transplantation and Anatomy Act 1983</w:t>
      </w:r>
      <w:r w:rsidRPr="00EF2596">
        <w:rPr>
          <w:rFonts w:asciiTheme="minorHAnsi" w:hAnsiTheme="minorHAnsi" w:cstheme="minorHAnsi"/>
          <w:color w:val="000000"/>
          <w:sz w:val="16"/>
          <w:szCs w:val="16"/>
          <w:lang w:eastAsia="en-AU"/>
        </w:rPr>
        <w:t xml:space="preserve"> (SA); </w:t>
      </w:r>
      <w:r w:rsidRPr="003E6F1F">
        <w:rPr>
          <w:rFonts w:asciiTheme="minorHAnsi" w:hAnsiTheme="minorHAnsi" w:cstheme="minorHAnsi"/>
          <w:i/>
          <w:color w:val="000000"/>
          <w:sz w:val="16"/>
          <w:szCs w:val="16"/>
          <w:lang w:eastAsia="en-AU"/>
        </w:rPr>
        <w:t>Human Tissue Act 1985</w:t>
      </w:r>
      <w:r w:rsidRPr="00EF2596">
        <w:rPr>
          <w:rFonts w:asciiTheme="minorHAnsi" w:hAnsiTheme="minorHAnsi" w:cstheme="minorHAnsi"/>
          <w:color w:val="000000"/>
          <w:sz w:val="16"/>
          <w:szCs w:val="16"/>
          <w:lang w:eastAsia="en-AU"/>
        </w:rPr>
        <w:t xml:space="preserve"> (Tas); </w:t>
      </w:r>
      <w:r w:rsidRPr="003E6F1F">
        <w:rPr>
          <w:rFonts w:asciiTheme="minorHAnsi" w:hAnsiTheme="minorHAnsi" w:cstheme="minorHAnsi"/>
          <w:i/>
          <w:color w:val="000000"/>
          <w:sz w:val="16"/>
          <w:szCs w:val="16"/>
          <w:lang w:eastAsia="en-AU"/>
        </w:rPr>
        <w:t>Human Tissue Act 1982</w:t>
      </w:r>
      <w:r w:rsidRPr="00EF2596">
        <w:rPr>
          <w:rFonts w:asciiTheme="minorHAnsi" w:hAnsiTheme="minorHAnsi" w:cstheme="minorHAnsi"/>
          <w:color w:val="000000"/>
          <w:sz w:val="16"/>
          <w:szCs w:val="16"/>
          <w:lang w:eastAsia="en-AU"/>
        </w:rPr>
        <w:t xml:space="preserve"> (Vic); </w:t>
      </w:r>
      <w:r w:rsidRPr="003E6F1F">
        <w:rPr>
          <w:rFonts w:asciiTheme="minorHAnsi" w:hAnsiTheme="minorHAnsi" w:cstheme="minorHAnsi"/>
          <w:i/>
          <w:color w:val="000000"/>
          <w:sz w:val="16"/>
          <w:szCs w:val="16"/>
          <w:lang w:eastAsia="en-AU"/>
        </w:rPr>
        <w:t>Human Tissue and Transplant Act 1982</w:t>
      </w:r>
      <w:r w:rsidRPr="00EF2596">
        <w:rPr>
          <w:rFonts w:asciiTheme="minorHAnsi" w:hAnsiTheme="minorHAnsi" w:cstheme="minorHAnsi"/>
          <w:color w:val="000000"/>
          <w:sz w:val="16"/>
          <w:szCs w:val="16"/>
          <w:lang w:eastAsia="en-AU"/>
        </w:rPr>
        <w:t xml:space="preserve"> (WA); </w:t>
      </w:r>
      <w:r w:rsidRPr="003E6F1F">
        <w:rPr>
          <w:rFonts w:asciiTheme="minorHAnsi" w:hAnsiTheme="minorHAnsi" w:cstheme="minorHAnsi"/>
          <w:i/>
          <w:color w:val="000000"/>
          <w:sz w:val="16"/>
          <w:szCs w:val="16"/>
          <w:lang w:eastAsia="en-AU"/>
        </w:rPr>
        <w:t>Transplantation and Anatomy Act</w:t>
      </w:r>
      <w:r w:rsidRPr="00EF2596">
        <w:rPr>
          <w:rFonts w:asciiTheme="minorHAnsi" w:hAnsiTheme="minorHAnsi" w:cstheme="minorHAnsi"/>
          <w:color w:val="000000"/>
          <w:sz w:val="16"/>
          <w:szCs w:val="16"/>
          <w:lang w:eastAsia="en-AU"/>
        </w:rPr>
        <w:t xml:space="preserve"> 1978 (ACT); </w:t>
      </w:r>
      <w:r w:rsidRPr="003E6F1F">
        <w:rPr>
          <w:rFonts w:asciiTheme="minorHAnsi" w:hAnsiTheme="minorHAnsi" w:cstheme="minorHAnsi"/>
          <w:i/>
          <w:color w:val="000000"/>
          <w:sz w:val="16"/>
          <w:szCs w:val="16"/>
          <w:lang w:eastAsia="en-AU"/>
        </w:rPr>
        <w:t>Human Tissue Transplant Act 1979</w:t>
      </w:r>
      <w:r w:rsidRPr="00EF2596">
        <w:rPr>
          <w:rFonts w:asciiTheme="minorHAnsi" w:hAnsiTheme="minorHAnsi" w:cstheme="minorHAnsi"/>
          <w:color w:val="000000"/>
          <w:sz w:val="16"/>
          <w:szCs w:val="16"/>
          <w:lang w:eastAsia="en-AU"/>
        </w:rPr>
        <w:t xml:space="preserve"> (NT)</w:t>
      </w:r>
      <w:r>
        <w:rPr>
          <w:rFonts w:asciiTheme="minorHAnsi" w:hAnsiTheme="minorHAnsi" w:cstheme="minorHAnsi"/>
          <w:color w:val="000000"/>
          <w:sz w:val="16"/>
          <w:szCs w:val="16"/>
          <w:lang w:eastAsia="en-AU"/>
        </w:rPr>
        <w:t>.</w:t>
      </w:r>
    </w:p>
  </w:footnote>
  <w:footnote w:id="136">
    <w:p w14:paraId="6EFEFF34" w14:textId="77777777" w:rsidR="00D930F7" w:rsidRPr="00EF2596" w:rsidRDefault="00D930F7" w:rsidP="009B17B9">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Pr>
          <w:rFonts w:asciiTheme="minorHAnsi" w:hAnsiTheme="minorHAnsi" w:cstheme="minorHAnsi"/>
          <w:sz w:val="16"/>
          <w:szCs w:val="16"/>
        </w:rPr>
        <w:t>Martin. D, 2017, ‘</w:t>
      </w:r>
      <w:r w:rsidRPr="00A953C8">
        <w:rPr>
          <w:rFonts w:asciiTheme="minorHAnsi" w:hAnsiTheme="minorHAnsi" w:cstheme="minorHAnsi"/>
          <w:sz w:val="16"/>
          <w:szCs w:val="16"/>
        </w:rPr>
        <w:t>Report on the Community Consultative Forum: Contact between Donor Families and transplant recipients</w:t>
      </w:r>
      <w:r w:rsidRPr="007B43EF">
        <w:rPr>
          <w:rFonts w:asciiTheme="minorHAnsi" w:hAnsiTheme="minorHAnsi" w:cstheme="minorHAnsi"/>
          <w:sz w:val="16"/>
          <w:szCs w:val="16"/>
        </w:rPr>
        <w:t>’,</w:t>
      </w:r>
      <w:r w:rsidRPr="007B43EF">
        <w:rPr>
          <w:rFonts w:asciiTheme="minorHAnsi" w:hAnsiTheme="minorHAnsi" w:cstheme="minorHAnsi"/>
          <w:i/>
          <w:sz w:val="16"/>
          <w:szCs w:val="16"/>
        </w:rPr>
        <w:t xml:space="preserve"> </w:t>
      </w:r>
      <w:r>
        <w:rPr>
          <w:rFonts w:asciiTheme="minorHAnsi" w:hAnsiTheme="minorHAnsi" w:cstheme="minorHAnsi"/>
          <w:sz w:val="16"/>
          <w:szCs w:val="16"/>
        </w:rPr>
        <w:t xml:space="preserve">Community Consultative Forum, </w:t>
      </w:r>
      <w:r w:rsidRPr="007B43EF">
        <w:rPr>
          <w:rFonts w:asciiTheme="minorHAnsi" w:hAnsiTheme="minorHAnsi" w:cstheme="minorHAnsi"/>
          <w:i/>
          <w:sz w:val="16"/>
          <w:szCs w:val="16"/>
        </w:rPr>
        <w:t>The Australian Organ and Tissue Donation and Transplantation Authority,</w:t>
      </w:r>
      <w:r>
        <w:rPr>
          <w:rFonts w:asciiTheme="minorHAnsi" w:hAnsiTheme="minorHAnsi" w:cstheme="minorHAnsi"/>
          <w:sz w:val="16"/>
          <w:szCs w:val="16"/>
        </w:rPr>
        <w:t xml:space="preserve"> Victoria, viewed November 2018, </w:t>
      </w:r>
      <w:r w:rsidRPr="0034421B">
        <w:rPr>
          <w:rFonts w:asciiTheme="minorHAnsi" w:hAnsiTheme="minorHAnsi" w:cstheme="minorHAnsi"/>
          <w:sz w:val="16"/>
          <w:szCs w:val="16"/>
        </w:rPr>
        <w:t>&lt;</w:t>
      </w:r>
      <w:r w:rsidRPr="0034421B">
        <w:rPr>
          <w:rStyle w:val="Hyperlink"/>
          <w:rFonts w:asciiTheme="minorHAnsi" w:hAnsiTheme="minorHAnsi" w:cstheme="minorHAnsi"/>
          <w:color w:val="auto"/>
          <w:sz w:val="16"/>
          <w:szCs w:val="16"/>
          <w:u w:val="none"/>
        </w:rPr>
        <w:t>https://donatelife.gov.au/sites/default/files/Report%20on%20the%20community%20consultative%20forum.pdf</w:t>
      </w:r>
      <w:r w:rsidRPr="0034421B">
        <w:rPr>
          <w:rFonts w:asciiTheme="minorHAnsi" w:hAnsiTheme="minorHAnsi" w:cstheme="minorHAnsi"/>
          <w:sz w:val="16"/>
          <w:szCs w:val="16"/>
        </w:rPr>
        <w:t>&gt;.</w:t>
      </w:r>
    </w:p>
  </w:footnote>
  <w:footnote w:id="137">
    <w:p w14:paraId="2FB0B5FD" w14:textId="77777777" w:rsidR="00D930F7" w:rsidRPr="001271F5" w:rsidRDefault="00D930F7" w:rsidP="006F4E24">
      <w:pPr>
        <w:pStyle w:val="FootnoteText"/>
        <w:rPr>
          <w:rFonts w:asciiTheme="minorHAnsi" w:hAnsiTheme="minorHAnsi" w:cstheme="minorHAnsi"/>
          <w:sz w:val="16"/>
          <w:szCs w:val="16"/>
        </w:rPr>
      </w:pPr>
      <w:r w:rsidRPr="001271F5">
        <w:rPr>
          <w:rStyle w:val="FootnoteReference"/>
          <w:rFonts w:asciiTheme="minorHAnsi" w:hAnsiTheme="minorHAnsi" w:cstheme="minorHAnsi"/>
          <w:sz w:val="16"/>
          <w:szCs w:val="16"/>
        </w:rPr>
        <w:footnoteRef/>
      </w:r>
      <w:r w:rsidRPr="001271F5">
        <w:rPr>
          <w:rFonts w:asciiTheme="minorHAnsi" w:hAnsiTheme="minorHAnsi" w:cstheme="minorHAnsi"/>
          <w:sz w:val="16"/>
          <w:szCs w:val="16"/>
        </w:rPr>
        <w:t xml:space="preserve"> Farrell</w:t>
      </w:r>
      <w:r>
        <w:rPr>
          <w:rFonts w:asciiTheme="minorHAnsi" w:hAnsiTheme="minorHAnsi" w:cstheme="minorHAnsi"/>
          <w:sz w:val="16"/>
          <w:szCs w:val="16"/>
        </w:rPr>
        <w:t xml:space="preserve"> </w:t>
      </w:r>
      <w:r w:rsidRPr="001271F5">
        <w:rPr>
          <w:rFonts w:asciiTheme="minorHAnsi" w:hAnsiTheme="minorHAnsi" w:cstheme="minorHAnsi"/>
          <w:sz w:val="16"/>
          <w:szCs w:val="16"/>
        </w:rPr>
        <w:t>C</w:t>
      </w:r>
      <w:r>
        <w:rPr>
          <w:rFonts w:asciiTheme="minorHAnsi" w:hAnsiTheme="minorHAnsi" w:cstheme="minorHAnsi"/>
          <w:sz w:val="16"/>
          <w:szCs w:val="16"/>
        </w:rPr>
        <w:t>.</w:t>
      </w:r>
      <w:r w:rsidRPr="001271F5">
        <w:rPr>
          <w:rFonts w:asciiTheme="minorHAnsi" w:hAnsiTheme="minorHAnsi" w:cstheme="minorHAnsi"/>
          <w:sz w:val="16"/>
          <w:szCs w:val="16"/>
        </w:rPr>
        <w:t xml:space="preserve"> 2004, </w:t>
      </w:r>
      <w:r>
        <w:rPr>
          <w:rFonts w:asciiTheme="minorHAnsi" w:hAnsiTheme="minorHAnsi" w:cstheme="minorHAnsi"/>
          <w:sz w:val="16"/>
          <w:szCs w:val="16"/>
        </w:rPr>
        <w:t>‘</w:t>
      </w:r>
      <w:r w:rsidRPr="001271F5">
        <w:rPr>
          <w:rFonts w:asciiTheme="minorHAnsi" w:hAnsiTheme="minorHAnsi" w:cstheme="minorHAnsi"/>
          <w:sz w:val="16"/>
          <w:szCs w:val="16"/>
        </w:rPr>
        <w:t>Patient and public involvement in health</w:t>
      </w:r>
      <w:r>
        <w:rPr>
          <w:rFonts w:asciiTheme="minorHAnsi" w:hAnsiTheme="minorHAnsi" w:cstheme="minorHAnsi"/>
          <w:sz w:val="16"/>
          <w:szCs w:val="16"/>
        </w:rPr>
        <w:t xml:space="preserve">: The evidence for policy implementation’ United Kingdom Department of Health, London, viewed October 2018, </w:t>
      </w:r>
      <w:r w:rsidRPr="00684654">
        <w:rPr>
          <w:rStyle w:val="Hyperlink"/>
          <w:rFonts w:asciiTheme="minorHAnsi" w:hAnsiTheme="minorHAnsi" w:cstheme="minorHAnsi"/>
          <w:color w:val="auto"/>
          <w:sz w:val="16"/>
          <w:szCs w:val="16"/>
          <w:u w:val="none"/>
        </w:rPr>
        <w:t>http://www.dh.gov.uk/prod_consum_dh/groups/dh_digitalassets/@dh/@en/documents/digitalasset/dh_4082334.pdf</w:t>
      </w:r>
      <w:r>
        <w:rPr>
          <w:rFonts w:asciiTheme="minorHAnsi" w:hAnsiTheme="minorHAnsi" w:cstheme="minorHAnsi"/>
          <w:sz w:val="16"/>
          <w:szCs w:val="16"/>
        </w:rPr>
        <w:t xml:space="preserve">; </w:t>
      </w:r>
      <w:r w:rsidRPr="00776982">
        <w:rPr>
          <w:rFonts w:asciiTheme="minorHAnsi" w:hAnsiTheme="minorHAnsi" w:cstheme="minorHAnsi"/>
          <w:sz w:val="16"/>
          <w:szCs w:val="16"/>
        </w:rPr>
        <w:t xml:space="preserve"> </w:t>
      </w:r>
      <w:r w:rsidRPr="001271F5">
        <w:rPr>
          <w:rFonts w:asciiTheme="minorHAnsi" w:hAnsiTheme="minorHAnsi" w:cstheme="minorHAnsi"/>
          <w:sz w:val="16"/>
          <w:szCs w:val="16"/>
        </w:rPr>
        <w:t>Nilsen ES</w:t>
      </w:r>
      <w:r>
        <w:rPr>
          <w:rFonts w:asciiTheme="minorHAnsi" w:hAnsiTheme="minorHAnsi" w:cstheme="minorHAnsi"/>
          <w:sz w:val="16"/>
          <w:szCs w:val="16"/>
        </w:rPr>
        <w:t xml:space="preserve"> et al, 2006, ‘M</w:t>
      </w:r>
      <w:r w:rsidRPr="001271F5">
        <w:rPr>
          <w:rFonts w:asciiTheme="minorHAnsi" w:hAnsiTheme="minorHAnsi" w:cstheme="minorHAnsi"/>
          <w:sz w:val="16"/>
          <w:szCs w:val="16"/>
        </w:rPr>
        <w:t>ethods of consumer involvement in developing healthcare policy and research, clinical practice guidelines and patient information material</w:t>
      </w:r>
      <w:r>
        <w:rPr>
          <w:rFonts w:asciiTheme="minorHAnsi" w:hAnsiTheme="minorHAnsi" w:cstheme="minorHAnsi"/>
          <w:sz w:val="16"/>
          <w:szCs w:val="16"/>
        </w:rPr>
        <w:t xml:space="preserve">’, </w:t>
      </w:r>
      <w:r w:rsidRPr="007B43EF">
        <w:rPr>
          <w:rFonts w:asciiTheme="minorHAnsi" w:hAnsiTheme="minorHAnsi" w:cstheme="minorHAnsi"/>
          <w:i/>
          <w:sz w:val="16"/>
          <w:szCs w:val="16"/>
        </w:rPr>
        <w:t>Cochrane Database of Systematic Reviews</w:t>
      </w:r>
      <w:r w:rsidRPr="001271F5">
        <w:rPr>
          <w:rFonts w:asciiTheme="minorHAnsi" w:hAnsiTheme="minorHAnsi" w:cstheme="minorHAnsi"/>
          <w:sz w:val="16"/>
          <w:szCs w:val="16"/>
        </w:rPr>
        <w:t xml:space="preserve"> </w:t>
      </w:r>
      <w:r>
        <w:rPr>
          <w:rFonts w:asciiTheme="minorHAnsi" w:hAnsiTheme="minorHAnsi" w:cstheme="minorHAnsi"/>
          <w:sz w:val="16"/>
          <w:szCs w:val="16"/>
        </w:rPr>
        <w:t>Vol. 3, viewed October 2018 &lt;</w:t>
      </w:r>
      <w:r w:rsidRPr="00B72549">
        <w:rPr>
          <w:rFonts w:asciiTheme="minorHAnsi" w:hAnsiTheme="minorHAnsi" w:cstheme="minorHAnsi"/>
          <w:sz w:val="16"/>
          <w:szCs w:val="16"/>
        </w:rPr>
        <w:t>https://www.ncbi.nlm.nih.gov/pubmed/16856050/</w:t>
      </w:r>
      <w:r>
        <w:rPr>
          <w:rFonts w:asciiTheme="minorHAnsi" w:hAnsiTheme="minorHAnsi" w:cstheme="minorHAnsi"/>
          <w:sz w:val="16"/>
          <w:szCs w:val="16"/>
        </w:rPr>
        <w:t>&gt;.</w:t>
      </w:r>
    </w:p>
  </w:footnote>
  <w:footnote w:id="138">
    <w:p w14:paraId="2942740B" w14:textId="77777777" w:rsidR="00D930F7" w:rsidRPr="001271F5" w:rsidRDefault="00D930F7" w:rsidP="006F4E24">
      <w:pPr>
        <w:pStyle w:val="FootnoteText"/>
        <w:rPr>
          <w:rFonts w:asciiTheme="minorHAnsi" w:hAnsiTheme="minorHAnsi" w:cstheme="minorHAnsi"/>
          <w:sz w:val="16"/>
          <w:szCs w:val="16"/>
        </w:rPr>
      </w:pPr>
      <w:r w:rsidRPr="001271F5">
        <w:rPr>
          <w:rStyle w:val="FootnoteReference"/>
          <w:rFonts w:asciiTheme="minorHAnsi" w:hAnsiTheme="minorHAnsi" w:cstheme="minorHAnsi"/>
          <w:sz w:val="16"/>
          <w:szCs w:val="16"/>
        </w:rPr>
        <w:footnoteRef/>
      </w:r>
      <w:r w:rsidRPr="001271F5">
        <w:rPr>
          <w:rFonts w:asciiTheme="minorHAnsi" w:hAnsiTheme="minorHAnsi" w:cstheme="minorHAnsi"/>
          <w:sz w:val="16"/>
          <w:szCs w:val="16"/>
        </w:rPr>
        <w:t xml:space="preserve"> Tong</w:t>
      </w:r>
      <w:r>
        <w:rPr>
          <w:rFonts w:asciiTheme="minorHAnsi" w:hAnsiTheme="minorHAnsi" w:cstheme="minorHAnsi"/>
          <w:sz w:val="16"/>
          <w:szCs w:val="16"/>
        </w:rPr>
        <w:t>, A,</w:t>
      </w:r>
      <w:r w:rsidRPr="001271F5">
        <w:rPr>
          <w:rFonts w:asciiTheme="minorHAnsi" w:hAnsiTheme="minorHAnsi" w:cstheme="minorHAnsi"/>
          <w:sz w:val="16"/>
          <w:szCs w:val="16"/>
        </w:rPr>
        <w:t xml:space="preserve"> et al. 2012, </w:t>
      </w:r>
      <w:r>
        <w:rPr>
          <w:rFonts w:asciiTheme="minorHAnsi" w:hAnsiTheme="minorHAnsi" w:cstheme="minorHAnsi"/>
          <w:sz w:val="16"/>
          <w:szCs w:val="16"/>
        </w:rPr>
        <w:t>‘</w:t>
      </w:r>
      <w:r w:rsidRPr="001271F5">
        <w:rPr>
          <w:rFonts w:asciiTheme="minorHAnsi" w:hAnsiTheme="minorHAnsi" w:cstheme="minorHAnsi"/>
          <w:sz w:val="16"/>
          <w:szCs w:val="16"/>
        </w:rPr>
        <w:t>Patient preferences for the allocation of deceased donor kidneys for transplantation: a mixed methods study</w:t>
      </w:r>
      <w:r>
        <w:rPr>
          <w:rFonts w:asciiTheme="minorHAnsi" w:hAnsiTheme="minorHAnsi" w:cstheme="minorHAnsi"/>
          <w:sz w:val="16"/>
          <w:szCs w:val="16"/>
        </w:rPr>
        <w:t xml:space="preserve">’, </w:t>
      </w:r>
      <w:r w:rsidRPr="007B43EF">
        <w:rPr>
          <w:rFonts w:asciiTheme="minorHAnsi" w:hAnsiTheme="minorHAnsi" w:cstheme="minorHAnsi"/>
          <w:i/>
          <w:sz w:val="16"/>
          <w:szCs w:val="16"/>
        </w:rPr>
        <w:t xml:space="preserve">BMC Nephrology </w:t>
      </w:r>
      <w:r>
        <w:rPr>
          <w:rFonts w:asciiTheme="minorHAnsi" w:hAnsiTheme="minorHAnsi" w:cstheme="minorHAnsi"/>
          <w:sz w:val="16"/>
          <w:szCs w:val="16"/>
        </w:rPr>
        <w:t xml:space="preserve">Vol. </w:t>
      </w:r>
      <w:r w:rsidRPr="001271F5">
        <w:rPr>
          <w:rFonts w:asciiTheme="minorHAnsi" w:hAnsiTheme="minorHAnsi" w:cstheme="minorHAnsi"/>
          <w:sz w:val="16"/>
          <w:szCs w:val="16"/>
        </w:rPr>
        <w:t>13</w:t>
      </w:r>
      <w:r>
        <w:rPr>
          <w:rFonts w:asciiTheme="minorHAnsi" w:hAnsiTheme="minorHAnsi" w:cstheme="minorHAnsi"/>
          <w:sz w:val="16"/>
          <w:szCs w:val="16"/>
        </w:rPr>
        <w:t>, No. 1</w:t>
      </w:r>
      <w:r w:rsidRPr="001271F5">
        <w:rPr>
          <w:rFonts w:asciiTheme="minorHAnsi" w:hAnsiTheme="minorHAnsi" w:cstheme="minorHAnsi"/>
          <w:sz w:val="16"/>
          <w:szCs w:val="16"/>
        </w:rPr>
        <w:t>8</w:t>
      </w:r>
      <w:r>
        <w:rPr>
          <w:rFonts w:asciiTheme="minorHAnsi" w:hAnsiTheme="minorHAnsi" w:cstheme="minorHAnsi"/>
          <w:sz w:val="16"/>
          <w:szCs w:val="16"/>
        </w:rPr>
        <w:t>, viewed October 2018, &lt;</w:t>
      </w:r>
      <w:r w:rsidRPr="0034421B">
        <w:rPr>
          <w:rStyle w:val="Hyperlink"/>
          <w:rFonts w:asciiTheme="minorHAnsi" w:hAnsiTheme="minorHAnsi" w:cstheme="minorHAnsi"/>
          <w:color w:val="auto"/>
          <w:sz w:val="16"/>
          <w:szCs w:val="16"/>
          <w:u w:val="none"/>
        </w:rPr>
        <w:t>https://bmcnephrol.biomedcentral.com/articles/10.1186/1471-2369-13-18</w:t>
      </w:r>
      <w:r w:rsidRPr="0034421B">
        <w:rPr>
          <w:rFonts w:asciiTheme="minorHAnsi" w:hAnsiTheme="minorHAnsi" w:cstheme="minorHAnsi"/>
          <w:sz w:val="16"/>
          <w:szCs w:val="16"/>
        </w:rPr>
        <w:t>&gt;.</w:t>
      </w:r>
    </w:p>
  </w:footnote>
  <w:footnote w:id="139">
    <w:p w14:paraId="756A8842" w14:textId="77777777" w:rsidR="00D930F7" w:rsidRPr="004938CA" w:rsidRDefault="00D930F7" w:rsidP="006F4E24">
      <w:pPr>
        <w:pStyle w:val="FootnoteText"/>
        <w:rPr>
          <w:rFonts w:asciiTheme="minorHAnsi" w:hAnsiTheme="minorHAnsi" w:cstheme="minorHAnsi"/>
          <w:sz w:val="16"/>
          <w:szCs w:val="16"/>
          <w:lang w:val="en-AU"/>
        </w:rPr>
      </w:pPr>
      <w:r w:rsidRPr="004938CA">
        <w:rPr>
          <w:rStyle w:val="FootnoteReference"/>
          <w:rFonts w:asciiTheme="minorHAnsi" w:hAnsiTheme="minorHAnsi" w:cstheme="minorHAnsi"/>
          <w:sz w:val="16"/>
          <w:szCs w:val="16"/>
        </w:rPr>
        <w:footnoteRef/>
      </w:r>
      <w:r w:rsidRPr="004938CA">
        <w:rPr>
          <w:rFonts w:asciiTheme="minorHAnsi" w:hAnsiTheme="minorHAnsi" w:cstheme="minorHAnsi"/>
          <w:sz w:val="16"/>
          <w:szCs w:val="16"/>
        </w:rPr>
        <w:t xml:space="preserve"> </w:t>
      </w:r>
      <w:r>
        <w:rPr>
          <w:rFonts w:asciiTheme="minorHAnsi" w:hAnsiTheme="minorHAnsi" w:cstheme="minorHAnsi"/>
          <w:sz w:val="16"/>
          <w:szCs w:val="16"/>
        </w:rPr>
        <w:t xml:space="preserve">The National Organ Matching System, as provided by the OTA, “EY Data: National Payback” (received August 2018); Note: </w:t>
      </w:r>
      <w:r w:rsidRPr="004938CA">
        <w:rPr>
          <w:rFonts w:asciiTheme="minorHAnsi" w:hAnsiTheme="minorHAnsi" w:cstheme="minorHAnsi"/>
          <w:sz w:val="16"/>
          <w:szCs w:val="16"/>
        </w:rPr>
        <w:t>KDPI is a multi-factor score internationally recognised as an indicator of kidney quality.  The lower the KDPI the better the kidney.  The principal component of the score is age but there are other medical factors included.</w:t>
      </w:r>
    </w:p>
  </w:footnote>
  <w:footnote w:id="140">
    <w:p w14:paraId="12FA4A02" w14:textId="77777777" w:rsidR="00D930F7" w:rsidRPr="001271F5" w:rsidRDefault="00D930F7" w:rsidP="006F4E24">
      <w:pPr>
        <w:pStyle w:val="FootnoteText"/>
        <w:rPr>
          <w:rFonts w:asciiTheme="minorHAnsi" w:hAnsiTheme="minorHAnsi" w:cstheme="minorHAnsi"/>
          <w:sz w:val="16"/>
          <w:szCs w:val="16"/>
          <w:lang w:val="en-AU"/>
        </w:rPr>
      </w:pPr>
      <w:r w:rsidRPr="001271F5">
        <w:rPr>
          <w:rStyle w:val="FootnoteReference"/>
          <w:rFonts w:asciiTheme="minorHAnsi" w:hAnsiTheme="minorHAnsi" w:cstheme="minorHAnsi"/>
          <w:sz w:val="16"/>
          <w:szCs w:val="16"/>
        </w:rPr>
        <w:footnoteRef/>
      </w:r>
      <w:r w:rsidRPr="001271F5">
        <w:rPr>
          <w:rFonts w:asciiTheme="minorHAnsi" w:hAnsiTheme="minorHAnsi" w:cstheme="minorHAnsi"/>
          <w:sz w:val="16"/>
          <w:szCs w:val="16"/>
        </w:rPr>
        <w:t xml:space="preserve"> </w:t>
      </w:r>
      <w:r>
        <w:rPr>
          <w:rFonts w:asciiTheme="minorHAnsi" w:hAnsiTheme="minorHAnsi" w:cstheme="minorHAnsi"/>
          <w:sz w:val="16"/>
          <w:szCs w:val="16"/>
        </w:rPr>
        <w:t>The National Organ Matching System, as provided by the OTA, “EY Data: Proportion of Offers and Acceptances for 2017” (received August 2018).</w:t>
      </w:r>
    </w:p>
  </w:footnote>
  <w:footnote w:id="141">
    <w:p w14:paraId="26F5F649" w14:textId="77777777" w:rsidR="00D930F7" w:rsidRPr="007B43EF" w:rsidRDefault="00D930F7">
      <w:pPr>
        <w:pStyle w:val="FootnoteText"/>
        <w:rPr>
          <w:rFonts w:asciiTheme="minorHAnsi" w:hAnsiTheme="minorHAnsi" w:cstheme="minorHAnsi"/>
          <w:sz w:val="16"/>
          <w:szCs w:val="16"/>
          <w:lang w:val="en-AU"/>
        </w:rPr>
      </w:pPr>
      <w:r w:rsidRPr="007B43EF">
        <w:rPr>
          <w:rStyle w:val="FootnoteReference"/>
          <w:rFonts w:asciiTheme="minorHAnsi" w:hAnsiTheme="minorHAnsi" w:cstheme="minorHAnsi"/>
          <w:sz w:val="16"/>
          <w:szCs w:val="16"/>
        </w:rPr>
        <w:footnoteRef/>
      </w:r>
      <w:r w:rsidRPr="007B43EF">
        <w:rPr>
          <w:rFonts w:asciiTheme="minorHAnsi" w:hAnsiTheme="minorHAnsi" w:cstheme="minorHAnsi"/>
          <w:sz w:val="16"/>
          <w:szCs w:val="16"/>
        </w:rPr>
        <w:t xml:space="preserve"> The Australasian Transplant Coordinators Association et al, 2017, </w:t>
      </w:r>
      <w:r w:rsidRPr="007B43EF">
        <w:rPr>
          <w:rFonts w:asciiTheme="minorHAnsi" w:hAnsiTheme="minorHAnsi" w:cstheme="minorHAnsi"/>
          <w:i/>
          <w:sz w:val="16"/>
          <w:szCs w:val="16"/>
        </w:rPr>
        <w:t>National Standard Operating Procedures: Organ allocation, organ rotation, urgent listing, auditing process,</w:t>
      </w:r>
      <w:r w:rsidRPr="007B43EF">
        <w:rPr>
          <w:rFonts w:asciiTheme="minorHAnsi" w:hAnsiTheme="minorHAnsi" w:cstheme="minorHAnsi"/>
          <w:sz w:val="16"/>
          <w:szCs w:val="16"/>
        </w:rPr>
        <w:t xml:space="preserve"> Annual Report 2017, Ca</w:t>
      </w:r>
      <w:r>
        <w:rPr>
          <w:rFonts w:asciiTheme="minorHAnsi" w:hAnsiTheme="minorHAnsi" w:cstheme="minorHAnsi"/>
          <w:sz w:val="16"/>
          <w:szCs w:val="16"/>
        </w:rPr>
        <w:t xml:space="preserve">nberra, viewed September 2018 </w:t>
      </w:r>
      <w:r w:rsidRPr="0034421B">
        <w:rPr>
          <w:rFonts w:asciiTheme="minorHAnsi" w:hAnsiTheme="minorHAnsi" w:cstheme="minorHAnsi"/>
          <w:sz w:val="16"/>
          <w:szCs w:val="16"/>
        </w:rPr>
        <w:t>&lt;</w:t>
      </w:r>
      <w:r w:rsidRPr="0034421B">
        <w:rPr>
          <w:rStyle w:val="Hyperlink"/>
          <w:rFonts w:asciiTheme="minorHAnsi" w:hAnsiTheme="minorHAnsi" w:cstheme="minorHAnsi"/>
          <w:color w:val="auto"/>
          <w:sz w:val="16"/>
          <w:szCs w:val="16"/>
          <w:u w:val="none"/>
        </w:rPr>
        <w:t>http://www.atca.org.au/files/ATCA_TSANZ%20SOP%20001.2017.pdf</w:t>
      </w:r>
      <w:r w:rsidRPr="0034421B">
        <w:rPr>
          <w:rFonts w:asciiTheme="minorHAnsi" w:hAnsiTheme="minorHAnsi" w:cstheme="minorHAnsi"/>
          <w:sz w:val="16"/>
          <w:szCs w:val="16"/>
        </w:rPr>
        <w:t xml:space="preserve">&gt;. </w:t>
      </w:r>
      <w:r w:rsidRPr="0034421B">
        <w:rPr>
          <w:rFonts w:asciiTheme="minorHAnsi" w:hAnsiTheme="minorHAnsi" w:cstheme="minorHAnsi"/>
          <w:sz w:val="16"/>
          <w:szCs w:val="16"/>
          <w:lang w:val="en-AU"/>
        </w:rPr>
        <w:t xml:space="preserve"> </w:t>
      </w:r>
    </w:p>
  </w:footnote>
  <w:footnote w:id="142">
    <w:p w14:paraId="44F613E7" w14:textId="77777777" w:rsidR="00D930F7" w:rsidRPr="00EC2952" w:rsidRDefault="00D930F7" w:rsidP="006F4E24">
      <w:pPr>
        <w:pStyle w:val="FootnoteText"/>
        <w:rPr>
          <w:rFonts w:asciiTheme="minorHAnsi" w:hAnsiTheme="minorHAnsi" w:cstheme="minorHAnsi"/>
          <w:sz w:val="16"/>
          <w:szCs w:val="16"/>
          <w:lang w:val="en-AU"/>
        </w:rPr>
      </w:pPr>
      <w:r w:rsidRPr="00EC2952">
        <w:rPr>
          <w:rStyle w:val="FootnoteReference"/>
          <w:rFonts w:asciiTheme="minorHAnsi" w:hAnsiTheme="minorHAnsi" w:cstheme="minorHAnsi"/>
          <w:sz w:val="16"/>
          <w:szCs w:val="16"/>
        </w:rPr>
        <w:footnoteRef/>
      </w:r>
      <w:r w:rsidRPr="00EC2952">
        <w:rPr>
          <w:rFonts w:asciiTheme="minorHAnsi" w:hAnsiTheme="minorHAnsi" w:cstheme="minorHAnsi"/>
          <w:sz w:val="16"/>
          <w:szCs w:val="16"/>
        </w:rPr>
        <w:t xml:space="preserve"> </w:t>
      </w:r>
      <w:r>
        <w:rPr>
          <w:rFonts w:asciiTheme="minorHAnsi" w:hAnsiTheme="minorHAnsi" w:cstheme="minorHAnsi"/>
          <w:sz w:val="16"/>
          <w:szCs w:val="16"/>
        </w:rPr>
        <w:t>Ibid.</w:t>
      </w:r>
      <w:r w:rsidRPr="00FD5C02">
        <w:rPr>
          <w:rFonts w:asciiTheme="minorHAnsi" w:hAnsiTheme="minorHAnsi" w:cstheme="minorHAnsi"/>
          <w:sz w:val="16"/>
          <w:szCs w:val="16"/>
        </w:rPr>
        <w:t xml:space="preserve">  </w:t>
      </w:r>
    </w:p>
  </w:footnote>
  <w:footnote w:id="143">
    <w:p w14:paraId="2F666667" w14:textId="77777777" w:rsidR="00D930F7" w:rsidRPr="00EC2952" w:rsidRDefault="00D930F7" w:rsidP="006F4E24">
      <w:pPr>
        <w:pStyle w:val="FootnoteText"/>
        <w:rPr>
          <w:rFonts w:asciiTheme="minorHAnsi" w:hAnsiTheme="minorHAnsi" w:cstheme="minorHAnsi"/>
          <w:sz w:val="16"/>
          <w:szCs w:val="16"/>
          <w:lang w:val="en-AU"/>
        </w:rPr>
      </w:pPr>
      <w:r w:rsidRPr="00EC2952">
        <w:rPr>
          <w:rStyle w:val="FootnoteReference"/>
          <w:rFonts w:asciiTheme="minorHAnsi" w:hAnsiTheme="minorHAnsi" w:cstheme="minorHAnsi"/>
          <w:sz w:val="16"/>
          <w:szCs w:val="16"/>
        </w:rPr>
        <w:footnoteRef/>
      </w:r>
      <w:r w:rsidRPr="00EC2952">
        <w:rPr>
          <w:rFonts w:asciiTheme="minorHAnsi" w:hAnsiTheme="minorHAnsi" w:cstheme="minorHAnsi"/>
          <w:sz w:val="16"/>
          <w:szCs w:val="16"/>
        </w:rPr>
        <w:t xml:space="preserve"> </w:t>
      </w:r>
      <w:r>
        <w:rPr>
          <w:rFonts w:asciiTheme="minorHAnsi" w:hAnsiTheme="minorHAnsi" w:cstheme="minorHAnsi"/>
          <w:sz w:val="16"/>
          <w:szCs w:val="16"/>
        </w:rPr>
        <w:t>Ibid.</w:t>
      </w:r>
      <w:r w:rsidRPr="00FD5C02">
        <w:rPr>
          <w:rFonts w:asciiTheme="minorHAnsi" w:hAnsiTheme="minorHAnsi" w:cstheme="minorHAnsi"/>
          <w:sz w:val="16"/>
          <w:szCs w:val="16"/>
        </w:rPr>
        <w:t xml:space="preserve">  </w:t>
      </w:r>
    </w:p>
  </w:footnote>
  <w:footnote w:id="144">
    <w:p w14:paraId="06733CF6"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Pr>
          <w:rFonts w:asciiTheme="minorHAnsi" w:hAnsiTheme="minorHAnsi" w:cstheme="minorHAnsi"/>
          <w:sz w:val="16"/>
          <w:szCs w:val="16"/>
          <w:lang w:val="en-AU"/>
        </w:rPr>
        <w:t>The National Organ Matching System, as provided by OTA, The Australian Organ and Tissue Donation and Transplantation Authority,</w:t>
      </w:r>
      <w:r w:rsidRPr="00EF2596">
        <w:rPr>
          <w:rFonts w:asciiTheme="minorHAnsi" w:hAnsiTheme="minorHAnsi" w:cstheme="minorHAnsi"/>
          <w:sz w:val="16"/>
          <w:szCs w:val="16"/>
          <w:lang w:val="en-AU"/>
        </w:rPr>
        <w:t xml:space="preserve"> “</w:t>
      </w:r>
      <w:r>
        <w:rPr>
          <w:rFonts w:asciiTheme="minorHAnsi" w:hAnsiTheme="minorHAnsi" w:cstheme="minorHAnsi"/>
          <w:sz w:val="16"/>
          <w:szCs w:val="16"/>
          <w:lang w:val="en-AU"/>
        </w:rPr>
        <w:t>Offer and Acceptances by transplanting state for kidneys</w:t>
      </w:r>
      <w:r w:rsidRPr="00EF2596">
        <w:rPr>
          <w:rFonts w:asciiTheme="minorHAnsi" w:hAnsiTheme="minorHAnsi" w:cstheme="minorHAnsi"/>
          <w:sz w:val="16"/>
          <w:szCs w:val="16"/>
          <w:lang w:val="en-AU"/>
        </w:rPr>
        <w:t xml:space="preserve">” (Received </w:t>
      </w:r>
      <w:r>
        <w:rPr>
          <w:rFonts w:asciiTheme="minorHAnsi" w:hAnsiTheme="minorHAnsi" w:cstheme="minorHAnsi"/>
          <w:sz w:val="16"/>
          <w:szCs w:val="16"/>
          <w:lang w:val="en-AU"/>
        </w:rPr>
        <w:t>November</w:t>
      </w:r>
      <w:r w:rsidRPr="00EF2596">
        <w:rPr>
          <w:rFonts w:asciiTheme="minorHAnsi" w:hAnsiTheme="minorHAnsi" w:cstheme="minorHAnsi"/>
          <w:sz w:val="16"/>
          <w:szCs w:val="16"/>
          <w:lang w:val="en-AU"/>
        </w:rPr>
        <w:t xml:space="preserve"> 2018)</w:t>
      </w:r>
      <w:r>
        <w:rPr>
          <w:rFonts w:asciiTheme="minorHAnsi" w:hAnsiTheme="minorHAnsi" w:cstheme="minorHAnsi"/>
          <w:sz w:val="16"/>
          <w:szCs w:val="16"/>
          <w:lang w:val="en-AU"/>
        </w:rPr>
        <w:t>.</w:t>
      </w:r>
    </w:p>
  </w:footnote>
  <w:footnote w:id="145">
    <w:p w14:paraId="0DF65E0C" w14:textId="77777777" w:rsidR="00D930F7" w:rsidRPr="00146E46" w:rsidRDefault="00D930F7">
      <w:pPr>
        <w:pStyle w:val="FootnoteText"/>
        <w:rPr>
          <w:rFonts w:asciiTheme="minorHAnsi" w:hAnsiTheme="minorHAnsi" w:cstheme="minorHAnsi"/>
          <w:sz w:val="16"/>
          <w:szCs w:val="16"/>
          <w:lang w:val="en-AU"/>
        </w:rPr>
      </w:pPr>
      <w:r w:rsidRPr="00146E46">
        <w:rPr>
          <w:rStyle w:val="FootnoteReference"/>
          <w:rFonts w:asciiTheme="minorHAnsi" w:hAnsiTheme="minorHAnsi" w:cstheme="minorHAnsi"/>
          <w:sz w:val="16"/>
          <w:szCs w:val="16"/>
        </w:rPr>
        <w:footnoteRef/>
      </w:r>
      <w:r w:rsidRPr="00146E46">
        <w:rPr>
          <w:rFonts w:asciiTheme="minorHAnsi" w:hAnsiTheme="minorHAnsi" w:cstheme="minorHAnsi"/>
          <w:sz w:val="16"/>
          <w:szCs w:val="16"/>
        </w:rPr>
        <w:t xml:space="preserve"> </w:t>
      </w:r>
      <w:r w:rsidRPr="00146E46">
        <w:rPr>
          <w:rFonts w:asciiTheme="minorHAnsi" w:hAnsiTheme="minorHAnsi" w:cstheme="minorHAnsi"/>
          <w:sz w:val="16"/>
          <w:szCs w:val="16"/>
          <w:lang w:val="en-AU"/>
        </w:rPr>
        <w:t>Ibid.</w:t>
      </w:r>
    </w:p>
  </w:footnote>
  <w:footnote w:id="146">
    <w:p w14:paraId="3F829A12" w14:textId="77777777" w:rsidR="00D930F7" w:rsidRPr="00EF2596" w:rsidRDefault="00D930F7" w:rsidP="00666B99">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Pr>
          <w:rFonts w:asciiTheme="minorHAnsi" w:hAnsiTheme="minorHAnsi" w:cstheme="minorHAnsi"/>
          <w:sz w:val="16"/>
          <w:szCs w:val="16"/>
          <w:lang w:val="en-AU"/>
        </w:rPr>
        <w:t xml:space="preserve">The Australasian Transplant Coordinators Association, “Organ Allocation Rotations Audit and Quality Control Report” (received August 2018). </w:t>
      </w:r>
    </w:p>
  </w:footnote>
  <w:footnote w:id="147">
    <w:p w14:paraId="105D88B9" w14:textId="77777777" w:rsidR="00D930F7" w:rsidRPr="00AF2C98" w:rsidRDefault="00D930F7" w:rsidP="006F4E24">
      <w:pPr>
        <w:pStyle w:val="FootnoteText"/>
        <w:rPr>
          <w:lang w:val="en-AU"/>
        </w:rPr>
      </w:pPr>
      <w:r w:rsidRPr="007B43EF">
        <w:rPr>
          <w:rStyle w:val="FootnoteReference"/>
          <w:rFonts w:asciiTheme="minorHAnsi" w:hAnsiTheme="minorHAnsi" w:cstheme="minorHAnsi"/>
          <w:sz w:val="16"/>
          <w:szCs w:val="16"/>
        </w:rPr>
        <w:footnoteRef/>
      </w:r>
      <w:r w:rsidRPr="007B43EF">
        <w:rPr>
          <w:rFonts w:asciiTheme="minorHAnsi" w:hAnsiTheme="minorHAnsi" w:cstheme="minorHAnsi"/>
          <w:sz w:val="16"/>
          <w:szCs w:val="16"/>
        </w:rPr>
        <w:t xml:space="preserve"> </w:t>
      </w:r>
      <w:r w:rsidRPr="000A4A71">
        <w:rPr>
          <w:rFonts w:asciiTheme="minorHAnsi" w:hAnsiTheme="minorHAnsi" w:cstheme="minorHAnsi"/>
          <w:sz w:val="16"/>
          <w:lang w:val="en-AU"/>
        </w:rPr>
        <w:t>The Australian Organ and Tissue</w:t>
      </w:r>
      <w:r>
        <w:rPr>
          <w:rFonts w:asciiTheme="minorHAnsi" w:hAnsiTheme="minorHAnsi" w:cstheme="minorHAnsi"/>
          <w:sz w:val="16"/>
          <w:lang w:val="en-AU"/>
        </w:rPr>
        <w:t xml:space="preserve"> Donation and Transplantation Authority, above n. 141.</w:t>
      </w:r>
    </w:p>
  </w:footnote>
  <w:footnote w:id="148">
    <w:p w14:paraId="6F52CF10" w14:textId="77777777" w:rsidR="00D930F7" w:rsidRPr="007B43EF" w:rsidRDefault="00D930F7">
      <w:pPr>
        <w:pStyle w:val="FootnoteText"/>
        <w:rPr>
          <w:lang w:val="en-AU"/>
        </w:rPr>
      </w:pPr>
      <w:r>
        <w:rPr>
          <w:rStyle w:val="FootnoteReference"/>
        </w:rPr>
        <w:footnoteRef/>
      </w:r>
      <w:r>
        <w:t xml:space="preserve"> </w:t>
      </w:r>
      <w:r>
        <w:rPr>
          <w:rFonts w:asciiTheme="minorHAnsi" w:hAnsiTheme="minorHAnsi" w:cstheme="minorHAnsi"/>
          <w:sz w:val="16"/>
          <w:lang w:val="en-AU"/>
        </w:rPr>
        <w:t>The Aust</w:t>
      </w:r>
      <w:r w:rsidRPr="00FD5C02">
        <w:rPr>
          <w:rFonts w:asciiTheme="minorHAnsi" w:hAnsiTheme="minorHAnsi" w:cstheme="minorHAnsi"/>
          <w:sz w:val="16"/>
          <w:lang w:val="en-AU"/>
        </w:rPr>
        <w:t>ralian Organ and Tissue Donation and Transplantation Report, “</w:t>
      </w:r>
      <w:r>
        <w:rPr>
          <w:rFonts w:asciiTheme="minorHAnsi" w:hAnsiTheme="minorHAnsi" w:cstheme="minorHAnsi"/>
          <w:sz w:val="16"/>
          <w:lang w:val="en-AU"/>
        </w:rPr>
        <w:t>Kidney Dialysis Scenario</w:t>
      </w:r>
      <w:r w:rsidRPr="00FD5C02">
        <w:rPr>
          <w:rFonts w:asciiTheme="minorHAnsi" w:hAnsiTheme="minorHAnsi" w:cstheme="minorHAnsi"/>
          <w:sz w:val="16"/>
          <w:lang w:val="en-AU"/>
        </w:rPr>
        <w:t xml:space="preserve">” (received </w:t>
      </w:r>
      <w:r>
        <w:rPr>
          <w:rFonts w:asciiTheme="minorHAnsi" w:hAnsiTheme="minorHAnsi" w:cstheme="minorHAnsi"/>
          <w:sz w:val="16"/>
          <w:lang w:val="en-AU"/>
        </w:rPr>
        <w:t>October</w:t>
      </w:r>
      <w:r w:rsidRPr="00FD5C02">
        <w:rPr>
          <w:rFonts w:asciiTheme="minorHAnsi" w:hAnsiTheme="minorHAnsi" w:cstheme="minorHAnsi"/>
          <w:sz w:val="16"/>
          <w:lang w:val="en-AU"/>
        </w:rPr>
        <w:t xml:space="preserve"> 2018)</w:t>
      </w:r>
      <w:r>
        <w:rPr>
          <w:rFonts w:asciiTheme="minorHAnsi" w:hAnsiTheme="minorHAnsi" w:cstheme="minorHAnsi"/>
          <w:sz w:val="16"/>
          <w:lang w:val="en-AU"/>
        </w:rPr>
        <w:t>.</w:t>
      </w:r>
    </w:p>
  </w:footnote>
  <w:footnote w:id="149">
    <w:p w14:paraId="56DE78F2" w14:textId="77777777" w:rsidR="00D930F7" w:rsidRPr="00C07C72" w:rsidRDefault="00D930F7" w:rsidP="00146E46">
      <w:pPr>
        <w:widowControl/>
        <w:autoSpaceDE/>
        <w:autoSpaceDN/>
        <w:adjustRightInd/>
        <w:spacing w:after="0"/>
        <w:rPr>
          <w:rFonts w:asciiTheme="minorHAnsi" w:hAnsiTheme="minorHAnsi" w:cstheme="minorHAnsi"/>
          <w:sz w:val="16"/>
          <w:szCs w:val="16"/>
        </w:rPr>
      </w:pPr>
      <w:r w:rsidRPr="00C07C72">
        <w:rPr>
          <w:rStyle w:val="FootnoteReference"/>
          <w:rFonts w:asciiTheme="minorHAnsi" w:hAnsiTheme="minorHAnsi" w:cstheme="minorHAnsi"/>
          <w:sz w:val="16"/>
          <w:szCs w:val="16"/>
        </w:rPr>
        <w:footnoteRef/>
      </w:r>
      <w:r w:rsidRPr="00C07C72">
        <w:rPr>
          <w:rFonts w:asciiTheme="minorHAnsi" w:hAnsiTheme="minorHAnsi" w:cstheme="minorHAnsi"/>
          <w:sz w:val="16"/>
          <w:szCs w:val="16"/>
        </w:rPr>
        <w:t xml:space="preserve"> </w:t>
      </w:r>
      <w:r w:rsidRPr="000A4A71">
        <w:rPr>
          <w:rFonts w:ascii="Calibri" w:hAnsi="Calibri" w:cs="Calibri"/>
          <w:color w:val="000000"/>
          <w:sz w:val="16"/>
          <w:szCs w:val="16"/>
          <w:lang w:eastAsia="en-AU"/>
        </w:rPr>
        <w:t>The Australasian Transp</w:t>
      </w:r>
      <w:r>
        <w:rPr>
          <w:rFonts w:ascii="Calibri" w:hAnsi="Calibri" w:cs="Calibri"/>
          <w:color w:val="000000"/>
          <w:sz w:val="16"/>
          <w:szCs w:val="16"/>
          <w:lang w:eastAsia="en-AU"/>
        </w:rPr>
        <w:t xml:space="preserve">lant Coordinators Association, above n. 158. </w:t>
      </w:r>
      <w:r w:rsidRPr="000A4A71">
        <w:rPr>
          <w:rFonts w:ascii="Calibri" w:hAnsi="Calibri" w:cs="Calibri"/>
          <w:color w:val="000000"/>
          <w:sz w:val="16"/>
          <w:szCs w:val="16"/>
          <w:lang w:eastAsia="en-AU"/>
        </w:rPr>
        <w:t xml:space="preserve"> </w:t>
      </w:r>
    </w:p>
  </w:footnote>
  <w:footnote w:id="150">
    <w:p w14:paraId="2FD2B78D" w14:textId="77777777" w:rsidR="00D930F7" w:rsidRPr="00AF2C98" w:rsidRDefault="00D930F7" w:rsidP="00276398">
      <w:pPr>
        <w:pStyle w:val="FootnoteText"/>
        <w:rPr>
          <w:color w:val="000000" w:themeColor="text1"/>
          <w:lang w:val="en-AU"/>
        </w:rPr>
      </w:pPr>
      <w:r w:rsidRPr="00AF2C98">
        <w:rPr>
          <w:rStyle w:val="FootnoteReference"/>
          <w:rFonts w:asciiTheme="minorHAnsi" w:hAnsiTheme="minorHAnsi" w:cstheme="minorHAnsi"/>
          <w:color w:val="000000" w:themeColor="text1"/>
          <w:sz w:val="16"/>
          <w:szCs w:val="16"/>
        </w:rPr>
        <w:footnoteRef/>
      </w:r>
      <w:r w:rsidRPr="00AF2C98">
        <w:rPr>
          <w:rFonts w:asciiTheme="minorHAnsi" w:hAnsiTheme="minorHAnsi" w:cstheme="minorHAnsi"/>
          <w:color w:val="000000" w:themeColor="text1"/>
          <w:sz w:val="16"/>
          <w:szCs w:val="16"/>
        </w:rPr>
        <w:t xml:space="preserve"> </w:t>
      </w:r>
      <w:hyperlink r:id="rId4" w:history="1">
        <w:r w:rsidRPr="00EF2596">
          <w:rPr>
            <w:rFonts w:asciiTheme="minorHAnsi" w:hAnsiTheme="minorHAnsi" w:cstheme="minorHAnsi"/>
            <w:color w:val="000000" w:themeColor="text1"/>
            <w:sz w:val="16"/>
            <w:szCs w:val="16"/>
            <w:lang w:val="en"/>
          </w:rPr>
          <w:t>Matesanz R</w:t>
        </w:r>
      </w:hyperlink>
      <w:r>
        <w:rPr>
          <w:rFonts w:asciiTheme="minorHAnsi" w:hAnsiTheme="minorHAnsi" w:cstheme="minorHAnsi"/>
          <w:color w:val="000000" w:themeColor="text1"/>
          <w:sz w:val="16"/>
          <w:szCs w:val="16"/>
          <w:lang w:val="en"/>
        </w:rPr>
        <w:t xml:space="preserve">, 2017, above n. 85.  </w:t>
      </w:r>
    </w:p>
  </w:footnote>
  <w:footnote w:id="151">
    <w:p w14:paraId="41D87BAE" w14:textId="77777777" w:rsidR="00D930F7" w:rsidRPr="008E64B3" w:rsidRDefault="00D930F7">
      <w:pPr>
        <w:pStyle w:val="FootnoteText"/>
        <w:rPr>
          <w:rFonts w:asciiTheme="minorHAnsi" w:hAnsiTheme="minorHAnsi" w:cstheme="minorHAnsi"/>
          <w:sz w:val="16"/>
          <w:szCs w:val="16"/>
          <w:lang w:val="en-AU"/>
        </w:rPr>
      </w:pPr>
      <w:r w:rsidRPr="008E64B3">
        <w:rPr>
          <w:rStyle w:val="FootnoteReference"/>
          <w:rFonts w:asciiTheme="minorHAnsi" w:hAnsiTheme="minorHAnsi" w:cstheme="minorHAnsi"/>
          <w:sz w:val="16"/>
          <w:szCs w:val="16"/>
        </w:rPr>
        <w:footnoteRef/>
      </w:r>
      <w:r w:rsidRPr="008E64B3">
        <w:rPr>
          <w:rFonts w:asciiTheme="minorHAnsi" w:hAnsiTheme="minorHAnsi" w:cstheme="minorHAnsi"/>
          <w:sz w:val="16"/>
          <w:szCs w:val="16"/>
        </w:rPr>
        <w:t xml:space="preserve"> </w:t>
      </w:r>
      <w:r w:rsidRPr="00450B9E">
        <w:rPr>
          <w:rFonts w:asciiTheme="minorHAnsi" w:hAnsiTheme="minorHAnsi" w:cstheme="minorHAnsi"/>
          <w:sz w:val="16"/>
          <w:szCs w:val="16"/>
          <w:lang w:val="en-AU"/>
        </w:rPr>
        <w:t xml:space="preserve">Organ Procurement and Transplantation Network, 2018, </w:t>
      </w:r>
      <w:r w:rsidRPr="007B43EF">
        <w:rPr>
          <w:rFonts w:asciiTheme="minorHAnsi" w:hAnsiTheme="minorHAnsi" w:cstheme="minorHAnsi"/>
          <w:i/>
          <w:sz w:val="16"/>
          <w:szCs w:val="16"/>
          <w:lang w:val="en-AU"/>
        </w:rPr>
        <w:t xml:space="preserve">Organ Procurement and Transplantation Network: Policies – Policy 3.5.1, </w:t>
      </w:r>
      <w:r w:rsidRPr="00450B9E">
        <w:rPr>
          <w:rFonts w:asciiTheme="minorHAnsi" w:hAnsiTheme="minorHAnsi" w:cstheme="minorHAnsi"/>
          <w:sz w:val="16"/>
          <w:szCs w:val="16"/>
          <w:lang w:val="en-AU"/>
        </w:rPr>
        <w:t>U.S Department of Health and Human Services, viewed Novem</w:t>
      </w:r>
      <w:r w:rsidRPr="007B43EF">
        <w:rPr>
          <w:rFonts w:asciiTheme="minorHAnsi" w:hAnsiTheme="minorHAnsi" w:cstheme="minorHAnsi"/>
          <w:sz w:val="16"/>
          <w:szCs w:val="16"/>
          <w:lang w:val="en-AU"/>
        </w:rPr>
        <w:t>ber 2018 &lt;</w:t>
      </w:r>
      <w:r w:rsidRPr="00925F19">
        <w:rPr>
          <w:rStyle w:val="Hyperlink"/>
          <w:rFonts w:asciiTheme="minorHAnsi" w:hAnsiTheme="minorHAnsi" w:cstheme="minorHAnsi"/>
          <w:color w:val="auto"/>
          <w:sz w:val="16"/>
          <w:szCs w:val="16"/>
          <w:u w:val="none"/>
          <w:lang w:val="en-AU"/>
        </w:rPr>
        <w:t>https://optn.transplant.hrsa.gov/media/1200/optn_policies.pdf</w:t>
      </w:r>
      <w:r w:rsidRPr="00925F19">
        <w:rPr>
          <w:rFonts w:asciiTheme="minorHAnsi" w:hAnsiTheme="minorHAnsi" w:cstheme="minorHAnsi"/>
          <w:sz w:val="16"/>
          <w:szCs w:val="16"/>
          <w:lang w:val="en-AU"/>
        </w:rPr>
        <w:t>&gt;.</w:t>
      </w:r>
    </w:p>
  </w:footnote>
  <w:footnote w:id="152">
    <w:p w14:paraId="0C84153D" w14:textId="77777777" w:rsidR="00D930F7" w:rsidRPr="00494ED0" w:rsidRDefault="00D930F7">
      <w:pPr>
        <w:pStyle w:val="FootnoteText"/>
        <w:rPr>
          <w:rFonts w:asciiTheme="minorHAnsi" w:hAnsiTheme="minorHAnsi" w:cstheme="minorHAnsi"/>
          <w:sz w:val="16"/>
          <w:szCs w:val="16"/>
          <w:lang w:val="en-AU"/>
        </w:rPr>
      </w:pPr>
      <w:r w:rsidRPr="00494ED0">
        <w:rPr>
          <w:rStyle w:val="FootnoteReference"/>
          <w:rFonts w:asciiTheme="minorHAnsi" w:hAnsiTheme="minorHAnsi" w:cstheme="minorHAnsi"/>
          <w:sz w:val="16"/>
          <w:szCs w:val="16"/>
        </w:rPr>
        <w:footnoteRef/>
      </w:r>
      <w:r w:rsidRPr="00494ED0">
        <w:rPr>
          <w:rFonts w:asciiTheme="minorHAnsi" w:hAnsiTheme="minorHAnsi" w:cstheme="minorHAnsi"/>
          <w:sz w:val="16"/>
          <w:szCs w:val="16"/>
        </w:rPr>
        <w:t xml:space="preserve"> </w:t>
      </w:r>
      <w:r w:rsidRPr="00494ED0">
        <w:rPr>
          <w:rFonts w:asciiTheme="minorHAnsi" w:hAnsiTheme="minorHAnsi" w:cstheme="minorHAnsi"/>
          <w:sz w:val="16"/>
          <w:szCs w:val="16"/>
          <w:lang w:val="en-AU"/>
        </w:rPr>
        <w:t>Note: The Kidney Donor Risk Index (KDRI) and the Kidney Donor Profile Index (KDPI) are separate metrics to measure kidney quality. The KDPI is a conversion of the KDRI into a percentile and is more commonly used in practice. The conversion of KDRI to KDPI depends on the profile of recent donors, and changes each year. Nevertheless, a KDRI score of greater than 2, when converted to KDPI approximately equates to a score of around 90 per cent</w:t>
      </w:r>
      <w:r>
        <w:rPr>
          <w:rFonts w:asciiTheme="minorHAnsi" w:hAnsiTheme="minorHAnsi" w:cstheme="minorHAnsi"/>
          <w:sz w:val="16"/>
          <w:szCs w:val="16"/>
          <w:lang w:val="en-AU"/>
        </w:rPr>
        <w:t xml:space="preserve"> (ANZDATA)</w:t>
      </w:r>
      <w:r w:rsidRPr="00494ED0">
        <w:rPr>
          <w:rFonts w:asciiTheme="minorHAnsi" w:hAnsiTheme="minorHAnsi" w:cstheme="minorHAnsi"/>
          <w:sz w:val="16"/>
          <w:szCs w:val="16"/>
          <w:lang w:val="en-AU"/>
        </w:rPr>
        <w:t>.</w:t>
      </w:r>
    </w:p>
  </w:footnote>
  <w:footnote w:id="153">
    <w:p w14:paraId="422F891F" w14:textId="77777777" w:rsidR="00D930F7" w:rsidRPr="00EA0445" w:rsidRDefault="00D930F7" w:rsidP="00276398">
      <w:pPr>
        <w:pStyle w:val="FootnoteText"/>
        <w:rPr>
          <w:rFonts w:asciiTheme="minorHAnsi" w:hAnsiTheme="minorHAnsi" w:cstheme="minorHAnsi"/>
          <w:sz w:val="16"/>
          <w:szCs w:val="16"/>
          <w:lang w:val="en-AU"/>
        </w:rPr>
      </w:pPr>
      <w:r w:rsidRPr="008E64B3">
        <w:rPr>
          <w:rStyle w:val="FootnoteReference"/>
          <w:rFonts w:asciiTheme="minorHAnsi" w:hAnsiTheme="minorHAnsi" w:cstheme="minorHAnsi"/>
          <w:sz w:val="16"/>
          <w:szCs w:val="16"/>
        </w:rPr>
        <w:footnoteRef/>
      </w:r>
      <w:r w:rsidRPr="008E64B3">
        <w:rPr>
          <w:rFonts w:asciiTheme="minorHAnsi" w:hAnsiTheme="minorHAnsi" w:cstheme="minorHAnsi"/>
          <w:sz w:val="16"/>
          <w:szCs w:val="16"/>
        </w:rPr>
        <w:t xml:space="preserve"> </w:t>
      </w:r>
      <w:r>
        <w:rPr>
          <w:rFonts w:asciiTheme="minorHAnsi" w:hAnsiTheme="minorHAnsi" w:cstheme="minorHAnsi"/>
          <w:sz w:val="16"/>
          <w:szCs w:val="16"/>
          <w:lang w:val="en-AU"/>
        </w:rPr>
        <w:t>The Australia and New Zealand Dialysis and Transplantation Registry</w:t>
      </w:r>
      <w:r w:rsidRPr="00EA0445">
        <w:rPr>
          <w:rFonts w:asciiTheme="minorHAnsi" w:hAnsiTheme="minorHAnsi" w:cstheme="minorHAnsi"/>
          <w:sz w:val="16"/>
          <w:szCs w:val="16"/>
          <w:lang w:val="en-AU"/>
        </w:rPr>
        <w:t>,</w:t>
      </w:r>
      <w:r>
        <w:rPr>
          <w:rFonts w:asciiTheme="minorHAnsi" w:hAnsiTheme="minorHAnsi" w:cstheme="minorHAnsi"/>
          <w:sz w:val="16"/>
          <w:szCs w:val="16"/>
          <w:lang w:val="en-AU"/>
        </w:rPr>
        <w:t xml:space="preserve"> “</w:t>
      </w:r>
      <w:r w:rsidRPr="00EA0445">
        <w:rPr>
          <w:rFonts w:asciiTheme="minorHAnsi" w:hAnsiTheme="minorHAnsi" w:cstheme="minorHAnsi"/>
          <w:sz w:val="16"/>
          <w:szCs w:val="16"/>
          <w:lang w:val="en-AU"/>
        </w:rPr>
        <w:t>Marginal Donor Kidney Data</w:t>
      </w:r>
      <w:r>
        <w:rPr>
          <w:rFonts w:asciiTheme="minorHAnsi" w:hAnsiTheme="minorHAnsi" w:cstheme="minorHAnsi"/>
          <w:sz w:val="16"/>
          <w:szCs w:val="16"/>
          <w:lang w:val="en-AU"/>
        </w:rPr>
        <w:t xml:space="preserve"> </w:t>
      </w:r>
      <w:r w:rsidRPr="00EA0445">
        <w:rPr>
          <w:rFonts w:asciiTheme="minorHAnsi" w:hAnsiTheme="minorHAnsi" w:cstheme="minorHAnsi"/>
          <w:sz w:val="16"/>
          <w:szCs w:val="16"/>
          <w:lang w:val="en-AU"/>
        </w:rPr>
        <w:t>2014-2016</w:t>
      </w:r>
      <w:r>
        <w:rPr>
          <w:rFonts w:asciiTheme="minorHAnsi" w:hAnsiTheme="minorHAnsi" w:cstheme="minorHAnsi"/>
          <w:sz w:val="16"/>
          <w:szCs w:val="16"/>
          <w:lang w:val="en-AU"/>
        </w:rPr>
        <w:t>”</w:t>
      </w:r>
      <w:r w:rsidRPr="00EA0445">
        <w:rPr>
          <w:rFonts w:asciiTheme="minorHAnsi" w:hAnsiTheme="minorHAnsi" w:cstheme="minorHAnsi"/>
          <w:sz w:val="16"/>
          <w:szCs w:val="16"/>
          <w:lang w:val="en-AU"/>
        </w:rPr>
        <w:t xml:space="preserve"> (received November 2018)</w:t>
      </w:r>
      <w:r>
        <w:rPr>
          <w:rFonts w:asciiTheme="minorHAnsi" w:hAnsiTheme="minorHAnsi" w:cstheme="minorHAnsi"/>
          <w:sz w:val="16"/>
          <w:szCs w:val="16"/>
          <w:lang w:val="en-AU"/>
        </w:rPr>
        <w:t>.</w:t>
      </w:r>
    </w:p>
  </w:footnote>
  <w:footnote w:id="154">
    <w:p w14:paraId="34AC3A70" w14:textId="77777777" w:rsidR="00D930F7" w:rsidRPr="00EA0445" w:rsidRDefault="00D930F7" w:rsidP="00276398">
      <w:pPr>
        <w:pStyle w:val="FootnoteText"/>
        <w:rPr>
          <w:lang w:val="en-AU"/>
        </w:rPr>
      </w:pPr>
      <w:r w:rsidRPr="00EA0445">
        <w:rPr>
          <w:rStyle w:val="FootnoteReference"/>
          <w:rFonts w:asciiTheme="minorHAnsi" w:hAnsiTheme="minorHAnsi" w:cstheme="minorHAnsi"/>
          <w:sz w:val="16"/>
        </w:rPr>
        <w:footnoteRef/>
      </w:r>
      <w:r w:rsidRPr="00EA0445">
        <w:rPr>
          <w:rFonts w:asciiTheme="minorHAnsi" w:hAnsiTheme="minorHAnsi" w:cstheme="minorHAnsi"/>
          <w:sz w:val="16"/>
        </w:rPr>
        <w:t xml:space="preserve"> </w:t>
      </w:r>
      <w:r>
        <w:rPr>
          <w:rFonts w:asciiTheme="minorHAnsi" w:hAnsiTheme="minorHAnsi" w:cstheme="minorHAnsi"/>
          <w:sz w:val="16"/>
          <w:szCs w:val="16"/>
          <w:lang w:val="en-AU"/>
        </w:rPr>
        <w:t xml:space="preserve">Ibid; </w:t>
      </w:r>
      <w:r w:rsidRPr="00EA0445">
        <w:rPr>
          <w:rFonts w:asciiTheme="minorHAnsi" w:hAnsiTheme="minorHAnsi" w:cstheme="minorHAnsi"/>
          <w:sz w:val="16"/>
          <w:szCs w:val="16"/>
          <w:lang w:val="en-AU"/>
        </w:rPr>
        <w:t>Note: Percentage variability not necessarily to scale due to large variation in transplantation numbers across each state and territory</w:t>
      </w:r>
      <w:r>
        <w:rPr>
          <w:lang w:val="en-AU"/>
        </w:rPr>
        <w:t>.</w:t>
      </w:r>
    </w:p>
  </w:footnote>
  <w:footnote w:id="155">
    <w:p w14:paraId="4E4A9BCD" w14:textId="77777777" w:rsidR="00D930F7" w:rsidRPr="001271F5" w:rsidRDefault="00D930F7" w:rsidP="006F4E24">
      <w:pPr>
        <w:pStyle w:val="FootnoteText"/>
        <w:rPr>
          <w:lang w:val="en-AU"/>
        </w:rPr>
      </w:pPr>
      <w:r w:rsidRPr="00AF2C98">
        <w:rPr>
          <w:rStyle w:val="FootnoteReference"/>
          <w:rFonts w:asciiTheme="minorHAnsi" w:hAnsiTheme="minorHAnsi" w:cstheme="minorHAnsi"/>
          <w:color w:val="000000" w:themeColor="text1"/>
          <w:sz w:val="16"/>
          <w:szCs w:val="16"/>
        </w:rPr>
        <w:footnoteRef/>
      </w:r>
      <w:r w:rsidRPr="00AF2C98">
        <w:rPr>
          <w:rFonts w:asciiTheme="minorHAnsi" w:hAnsiTheme="minorHAnsi" w:cstheme="minorHAnsi"/>
          <w:color w:val="000000" w:themeColor="text1"/>
          <w:sz w:val="16"/>
          <w:szCs w:val="16"/>
        </w:rPr>
        <w:t xml:space="preserve"> </w:t>
      </w:r>
      <w:hyperlink r:id="rId5" w:history="1">
        <w:r w:rsidRPr="00EF2596">
          <w:rPr>
            <w:rFonts w:asciiTheme="minorHAnsi" w:hAnsiTheme="minorHAnsi" w:cstheme="minorHAnsi"/>
            <w:color w:val="000000" w:themeColor="text1"/>
            <w:sz w:val="16"/>
            <w:szCs w:val="16"/>
            <w:lang w:val="en"/>
          </w:rPr>
          <w:t>Matesanz R</w:t>
        </w:r>
      </w:hyperlink>
      <w:r w:rsidRPr="00EF2596">
        <w:rPr>
          <w:rFonts w:asciiTheme="minorHAnsi" w:hAnsiTheme="minorHAnsi" w:cstheme="minorHAnsi"/>
          <w:color w:val="000000" w:themeColor="text1"/>
          <w:sz w:val="16"/>
          <w:szCs w:val="16"/>
          <w:lang w:val="en"/>
        </w:rPr>
        <w:t xml:space="preserve">, </w:t>
      </w:r>
      <w:r>
        <w:rPr>
          <w:rFonts w:asciiTheme="minorHAnsi" w:hAnsiTheme="minorHAnsi" w:cstheme="minorHAnsi"/>
          <w:color w:val="000000" w:themeColor="text1"/>
          <w:sz w:val="16"/>
          <w:szCs w:val="16"/>
          <w:lang w:val="en"/>
        </w:rPr>
        <w:t>2017, above n. 85.</w:t>
      </w:r>
    </w:p>
  </w:footnote>
  <w:footnote w:id="156">
    <w:p w14:paraId="1F47DB65" w14:textId="77777777" w:rsidR="00D930F7" w:rsidRPr="007B43EF" w:rsidRDefault="00D930F7" w:rsidP="007B43EF">
      <w:pPr>
        <w:widowControl/>
        <w:autoSpaceDE/>
        <w:autoSpaceDN/>
        <w:adjustRightInd/>
        <w:spacing w:after="0"/>
        <w:rPr>
          <w:rFonts w:asciiTheme="minorHAnsi" w:hAnsiTheme="minorHAnsi" w:cstheme="minorHAnsi"/>
          <w:color w:val="000000"/>
          <w:sz w:val="16"/>
          <w:szCs w:val="16"/>
          <w:lang w:eastAsia="en-AU"/>
        </w:rPr>
      </w:pPr>
      <w:r w:rsidRPr="007B43EF">
        <w:rPr>
          <w:rStyle w:val="FootnoteReference"/>
          <w:rFonts w:asciiTheme="minorHAnsi" w:hAnsiTheme="minorHAnsi" w:cstheme="minorHAnsi"/>
          <w:sz w:val="16"/>
          <w:szCs w:val="16"/>
        </w:rPr>
        <w:footnoteRef/>
      </w:r>
      <w:r w:rsidRPr="007B43EF">
        <w:rPr>
          <w:rFonts w:asciiTheme="minorHAnsi" w:hAnsiTheme="minorHAnsi" w:cstheme="minorHAnsi"/>
          <w:sz w:val="16"/>
          <w:szCs w:val="16"/>
        </w:rPr>
        <w:t xml:space="preserve"> </w:t>
      </w:r>
      <w:r>
        <w:rPr>
          <w:rFonts w:asciiTheme="minorHAnsi" w:hAnsiTheme="minorHAnsi" w:cstheme="minorHAnsi"/>
          <w:color w:val="000000"/>
          <w:sz w:val="16"/>
          <w:szCs w:val="16"/>
          <w:lang w:eastAsia="en-AU"/>
        </w:rPr>
        <w:t>The Australia and New Zealand Organ Donation Registry as provided by the OTA</w:t>
      </w:r>
      <w:r w:rsidRPr="007B43EF">
        <w:rPr>
          <w:rFonts w:asciiTheme="minorHAnsi" w:hAnsiTheme="minorHAnsi" w:cstheme="minorHAnsi"/>
          <w:color w:val="000000"/>
          <w:sz w:val="16"/>
          <w:szCs w:val="16"/>
          <w:lang w:eastAsia="en-AU"/>
        </w:rPr>
        <w:t>, “EY Data</w:t>
      </w:r>
      <w:r>
        <w:rPr>
          <w:rFonts w:asciiTheme="minorHAnsi" w:hAnsiTheme="minorHAnsi" w:cstheme="minorHAnsi"/>
          <w:color w:val="000000"/>
          <w:sz w:val="16"/>
          <w:szCs w:val="16"/>
          <w:lang w:eastAsia="en-AU"/>
        </w:rPr>
        <w:t>: Transplants by Donor Age - Kidney</w:t>
      </w:r>
      <w:r w:rsidRPr="007B43EF">
        <w:rPr>
          <w:rFonts w:asciiTheme="minorHAnsi" w:hAnsiTheme="minorHAnsi" w:cstheme="minorHAnsi"/>
          <w:color w:val="000000"/>
          <w:sz w:val="16"/>
          <w:szCs w:val="16"/>
          <w:lang w:eastAsia="en-AU"/>
        </w:rPr>
        <w:t xml:space="preserve">” (received August 2018). </w:t>
      </w:r>
    </w:p>
  </w:footnote>
  <w:footnote w:id="157">
    <w:p w14:paraId="22B875F4" w14:textId="77777777" w:rsidR="00D930F7" w:rsidRPr="007B43EF" w:rsidRDefault="00D930F7">
      <w:pPr>
        <w:pStyle w:val="FootnoteText"/>
        <w:rPr>
          <w:lang w:val="en-AU"/>
        </w:rPr>
      </w:pPr>
      <w:r w:rsidRPr="007B43EF">
        <w:rPr>
          <w:rStyle w:val="FootnoteReference"/>
          <w:rFonts w:asciiTheme="minorHAnsi" w:hAnsiTheme="minorHAnsi" w:cstheme="minorHAnsi"/>
          <w:sz w:val="16"/>
          <w:szCs w:val="16"/>
        </w:rPr>
        <w:footnoteRef/>
      </w:r>
      <w:r w:rsidRPr="007B43EF">
        <w:rPr>
          <w:rFonts w:asciiTheme="minorHAnsi" w:hAnsiTheme="minorHAnsi" w:cstheme="minorHAnsi"/>
          <w:sz w:val="16"/>
          <w:szCs w:val="16"/>
        </w:rPr>
        <w:t xml:space="preserve"> </w:t>
      </w:r>
      <w:r>
        <w:rPr>
          <w:rFonts w:asciiTheme="minorHAnsi" w:hAnsiTheme="minorHAnsi" w:cstheme="minorHAnsi"/>
          <w:color w:val="000000"/>
          <w:sz w:val="16"/>
          <w:szCs w:val="16"/>
          <w:lang w:eastAsia="en-AU"/>
        </w:rPr>
        <w:t xml:space="preserve">Ibid. </w:t>
      </w:r>
    </w:p>
  </w:footnote>
  <w:footnote w:id="158">
    <w:p w14:paraId="1991D754" w14:textId="77777777" w:rsidR="00D930F7" w:rsidRPr="007B43EF" w:rsidRDefault="00D930F7">
      <w:pPr>
        <w:pStyle w:val="FootnoteText"/>
        <w:rPr>
          <w:lang w:val="en-AU"/>
        </w:rPr>
      </w:pPr>
      <w:r>
        <w:rPr>
          <w:rStyle w:val="FootnoteReference"/>
        </w:rPr>
        <w:footnoteRef/>
      </w:r>
      <w:r>
        <w:t xml:space="preserve"> </w:t>
      </w:r>
      <w:r>
        <w:rPr>
          <w:rFonts w:asciiTheme="minorHAnsi" w:hAnsiTheme="minorHAnsi" w:cstheme="minorHAnsi"/>
          <w:color w:val="000000"/>
          <w:sz w:val="16"/>
          <w:szCs w:val="16"/>
          <w:lang w:eastAsia="en-AU"/>
        </w:rPr>
        <w:t>Australia and New Zealand Organ Donation Registry as provided by the OTA</w:t>
      </w:r>
      <w:r w:rsidRPr="00FD5C02">
        <w:rPr>
          <w:rFonts w:asciiTheme="minorHAnsi" w:hAnsiTheme="minorHAnsi" w:cstheme="minorHAnsi"/>
          <w:color w:val="000000"/>
          <w:sz w:val="16"/>
          <w:szCs w:val="16"/>
          <w:lang w:eastAsia="en-AU"/>
        </w:rPr>
        <w:t>, “EY Data</w:t>
      </w:r>
      <w:r>
        <w:rPr>
          <w:rFonts w:asciiTheme="minorHAnsi" w:hAnsiTheme="minorHAnsi" w:cstheme="minorHAnsi"/>
          <w:color w:val="000000"/>
          <w:sz w:val="16"/>
          <w:szCs w:val="16"/>
          <w:lang w:eastAsia="en-AU"/>
        </w:rPr>
        <w:t>: Transplants by Donor Age - Lung</w:t>
      </w:r>
      <w:r w:rsidRPr="00FD5C02">
        <w:rPr>
          <w:rFonts w:asciiTheme="minorHAnsi" w:hAnsiTheme="minorHAnsi" w:cstheme="minorHAnsi"/>
          <w:color w:val="000000"/>
          <w:sz w:val="16"/>
          <w:szCs w:val="16"/>
          <w:lang w:eastAsia="en-AU"/>
        </w:rPr>
        <w:t>” (received August 2018).</w:t>
      </w:r>
    </w:p>
  </w:footnote>
  <w:footnote w:id="159">
    <w:p w14:paraId="0AFE6226" w14:textId="77777777" w:rsidR="00D930F7" w:rsidRPr="007B43EF" w:rsidRDefault="00D930F7">
      <w:pPr>
        <w:pStyle w:val="FootnoteText"/>
        <w:rPr>
          <w:lang w:val="en-AU"/>
        </w:rPr>
      </w:pPr>
      <w:r>
        <w:rPr>
          <w:rStyle w:val="FootnoteReference"/>
        </w:rPr>
        <w:footnoteRef/>
      </w:r>
      <w:r>
        <w:t xml:space="preserve"> </w:t>
      </w:r>
      <w:r>
        <w:rPr>
          <w:rFonts w:asciiTheme="minorHAnsi" w:hAnsiTheme="minorHAnsi" w:cstheme="minorHAnsi"/>
          <w:color w:val="000000"/>
          <w:sz w:val="16"/>
          <w:szCs w:val="16"/>
          <w:lang w:eastAsia="en-AU"/>
        </w:rPr>
        <w:t xml:space="preserve">Australia and New Zealand Organ Donation Registry as provided by the OTA, </w:t>
      </w:r>
      <w:r w:rsidRPr="00FD5C02">
        <w:rPr>
          <w:rFonts w:asciiTheme="minorHAnsi" w:hAnsiTheme="minorHAnsi" w:cstheme="minorHAnsi"/>
          <w:color w:val="000000"/>
          <w:sz w:val="16"/>
          <w:szCs w:val="16"/>
          <w:lang w:eastAsia="en-AU"/>
        </w:rPr>
        <w:t>“EY Data</w:t>
      </w:r>
      <w:r>
        <w:rPr>
          <w:rFonts w:asciiTheme="minorHAnsi" w:hAnsiTheme="minorHAnsi" w:cstheme="minorHAnsi"/>
          <w:color w:val="000000"/>
          <w:sz w:val="16"/>
          <w:szCs w:val="16"/>
          <w:lang w:eastAsia="en-AU"/>
        </w:rPr>
        <w:t>: Transplants by Donor Age - Liver</w:t>
      </w:r>
      <w:r w:rsidRPr="00FD5C02">
        <w:rPr>
          <w:rFonts w:asciiTheme="minorHAnsi" w:hAnsiTheme="minorHAnsi" w:cstheme="minorHAnsi"/>
          <w:color w:val="000000"/>
          <w:sz w:val="16"/>
          <w:szCs w:val="16"/>
          <w:lang w:eastAsia="en-AU"/>
        </w:rPr>
        <w:t>” (received August 2018).</w:t>
      </w:r>
    </w:p>
  </w:footnote>
  <w:footnote w:id="160">
    <w:tbl>
      <w:tblPr>
        <w:tblW w:w="8509" w:type="dxa"/>
        <w:tblCellMar>
          <w:left w:w="0" w:type="dxa"/>
          <w:right w:w="0" w:type="dxa"/>
        </w:tblCellMar>
        <w:tblLook w:val="04A0" w:firstRow="1" w:lastRow="0" w:firstColumn="1" w:lastColumn="0" w:noHBand="0" w:noVBand="1"/>
      </w:tblPr>
      <w:tblGrid>
        <w:gridCol w:w="8509"/>
      </w:tblGrid>
      <w:tr w:rsidR="00D930F7" w:rsidRPr="00450B9E" w14:paraId="6786FC0B" w14:textId="77777777" w:rsidTr="00146E46">
        <w:trPr>
          <w:trHeight w:val="257"/>
        </w:trPr>
        <w:tc>
          <w:tcPr>
            <w:tcW w:w="8509" w:type="dxa"/>
            <w:tcBorders>
              <w:top w:val="nil"/>
              <w:left w:val="nil"/>
              <w:bottom w:val="nil"/>
              <w:right w:val="nil"/>
            </w:tcBorders>
            <w:shd w:val="clear" w:color="auto" w:fill="auto"/>
            <w:tcMar>
              <w:top w:w="15" w:type="dxa"/>
              <w:left w:w="15" w:type="dxa"/>
              <w:bottom w:w="0" w:type="dxa"/>
              <w:right w:w="15" w:type="dxa"/>
            </w:tcMar>
            <w:vAlign w:val="bottom"/>
            <w:hideMark/>
          </w:tcPr>
          <w:p w14:paraId="7411BCDA" w14:textId="77777777" w:rsidR="00D930F7" w:rsidRPr="00450B9E" w:rsidRDefault="00D930F7" w:rsidP="00265C4E">
            <w:pPr>
              <w:widowControl/>
              <w:autoSpaceDE/>
              <w:autoSpaceDN/>
              <w:adjustRightInd/>
              <w:spacing w:after="0"/>
              <w:rPr>
                <w:rFonts w:ascii="Calibri" w:hAnsi="Calibri" w:cs="Calibri"/>
                <w:color w:val="000000"/>
                <w:sz w:val="16"/>
                <w:szCs w:val="16"/>
              </w:rPr>
            </w:pPr>
            <w:r w:rsidRPr="00450B9E">
              <w:rPr>
                <w:rStyle w:val="FootnoteReference"/>
                <w:rFonts w:asciiTheme="minorHAnsi" w:hAnsiTheme="minorHAnsi" w:cstheme="minorHAnsi"/>
                <w:sz w:val="16"/>
                <w:szCs w:val="16"/>
              </w:rPr>
              <w:footnoteRef/>
            </w:r>
            <w:r w:rsidRPr="00450B9E">
              <w:rPr>
                <w:rFonts w:asciiTheme="minorHAnsi" w:hAnsiTheme="minorHAnsi" w:cstheme="minorHAnsi"/>
                <w:sz w:val="16"/>
                <w:szCs w:val="16"/>
              </w:rPr>
              <w:t xml:space="preserve"> </w:t>
            </w:r>
            <w:hyperlink r:id="rId6" w:history="1">
              <w:r w:rsidRPr="007B43EF">
                <w:rPr>
                  <w:rStyle w:val="Hyperlink"/>
                  <w:rFonts w:ascii="Calibri" w:hAnsi="Calibri" w:cs="Calibri"/>
                  <w:color w:val="000000"/>
                  <w:sz w:val="16"/>
                  <w:szCs w:val="16"/>
                  <w:u w:val="none"/>
                </w:rPr>
                <w:t>The Transplantation Society of Australia and New Zealand</w:t>
              </w:r>
              <w:r>
                <w:rPr>
                  <w:rStyle w:val="Hyperlink"/>
                  <w:rFonts w:ascii="Calibri" w:hAnsi="Calibri" w:cs="Calibri"/>
                  <w:color w:val="000000"/>
                  <w:sz w:val="16"/>
                  <w:szCs w:val="16"/>
                  <w:u w:val="none"/>
                </w:rPr>
                <w:t>,</w:t>
              </w:r>
            </w:hyperlink>
            <w:r>
              <w:rPr>
                <w:rStyle w:val="Hyperlink"/>
                <w:rFonts w:ascii="Calibri" w:hAnsi="Calibri" w:cs="Calibri"/>
                <w:color w:val="000000"/>
                <w:sz w:val="16"/>
                <w:szCs w:val="16"/>
                <w:u w:val="none"/>
              </w:rPr>
              <w:t xml:space="preserve"> 2016, above n.1.</w:t>
            </w:r>
          </w:p>
        </w:tc>
      </w:tr>
    </w:tbl>
    <w:p w14:paraId="40800DC9" w14:textId="77777777" w:rsidR="00D930F7" w:rsidRPr="001271F5" w:rsidRDefault="00D930F7" w:rsidP="00D72966">
      <w:pPr>
        <w:pStyle w:val="FootnoteText"/>
        <w:rPr>
          <w:rFonts w:asciiTheme="minorHAnsi" w:hAnsiTheme="minorHAnsi" w:cstheme="minorHAnsi"/>
          <w:sz w:val="16"/>
          <w:szCs w:val="16"/>
          <w:lang w:val="en-AU"/>
        </w:rPr>
      </w:pPr>
      <w:r w:rsidRPr="001271F5" w:rsidDel="00265C4E">
        <w:rPr>
          <w:rFonts w:asciiTheme="minorHAnsi" w:hAnsiTheme="minorHAnsi" w:cstheme="minorHAnsi"/>
          <w:sz w:val="16"/>
          <w:szCs w:val="16"/>
          <w:lang w:val="en-AU"/>
        </w:rPr>
        <w:t xml:space="preserve"> </w:t>
      </w:r>
    </w:p>
  </w:footnote>
  <w:footnote w:id="161">
    <w:p w14:paraId="0B9D9F0E" w14:textId="77777777" w:rsidR="00D930F7" w:rsidRPr="007B43EF" w:rsidRDefault="00D930F7">
      <w:pPr>
        <w:pStyle w:val="FootnoteText"/>
        <w:rPr>
          <w:rFonts w:asciiTheme="minorHAnsi" w:hAnsiTheme="minorHAnsi" w:cstheme="minorHAnsi"/>
          <w:sz w:val="16"/>
          <w:szCs w:val="16"/>
          <w:lang w:val="en-AU"/>
        </w:rPr>
      </w:pPr>
      <w:r w:rsidRPr="007B43EF">
        <w:rPr>
          <w:rStyle w:val="FootnoteReference"/>
          <w:rFonts w:asciiTheme="minorHAnsi" w:hAnsiTheme="minorHAnsi" w:cstheme="minorHAnsi"/>
          <w:sz w:val="16"/>
          <w:szCs w:val="16"/>
        </w:rPr>
        <w:footnoteRef/>
      </w:r>
      <w:r w:rsidRPr="007B43EF">
        <w:rPr>
          <w:rFonts w:asciiTheme="minorHAnsi" w:hAnsiTheme="minorHAnsi" w:cstheme="minorHAnsi"/>
          <w:sz w:val="16"/>
          <w:szCs w:val="16"/>
        </w:rPr>
        <w:t xml:space="preserve"> The Australian and New Zealand </w:t>
      </w:r>
      <w:r>
        <w:rPr>
          <w:rFonts w:asciiTheme="minorHAnsi" w:hAnsiTheme="minorHAnsi" w:cstheme="minorHAnsi"/>
          <w:sz w:val="16"/>
          <w:szCs w:val="16"/>
        </w:rPr>
        <w:t>Organ Donation</w:t>
      </w:r>
      <w:r w:rsidRPr="007B43EF">
        <w:rPr>
          <w:rFonts w:asciiTheme="minorHAnsi" w:hAnsiTheme="minorHAnsi" w:cstheme="minorHAnsi"/>
          <w:sz w:val="16"/>
          <w:szCs w:val="16"/>
        </w:rPr>
        <w:t xml:space="preserve"> Registry, “Number of Retrievals by Unit 2009 – 2018 Jan – Sept” (received October 2018)</w:t>
      </w:r>
      <w:r>
        <w:rPr>
          <w:rFonts w:asciiTheme="minorHAnsi" w:hAnsiTheme="minorHAnsi" w:cstheme="minorHAnsi"/>
          <w:sz w:val="16"/>
          <w:szCs w:val="16"/>
        </w:rPr>
        <w:t>.</w:t>
      </w:r>
    </w:p>
  </w:footnote>
  <w:footnote w:id="162">
    <w:p w14:paraId="38EB970E" w14:textId="77777777" w:rsidR="00D930F7" w:rsidRPr="007B43EF" w:rsidRDefault="00D930F7" w:rsidP="007B43EF">
      <w:pPr>
        <w:widowControl/>
        <w:autoSpaceDE/>
        <w:autoSpaceDN/>
        <w:adjustRightInd/>
        <w:spacing w:after="0"/>
        <w:rPr>
          <w:rFonts w:ascii="Calibri" w:hAnsi="Calibri" w:cs="Calibri"/>
          <w:color w:val="000000"/>
          <w:sz w:val="16"/>
          <w:szCs w:val="16"/>
          <w:lang w:eastAsia="en-AU"/>
        </w:rPr>
      </w:pPr>
      <w:r w:rsidRPr="007B43EF">
        <w:rPr>
          <w:rStyle w:val="FootnoteReference"/>
          <w:rFonts w:asciiTheme="minorHAnsi" w:hAnsiTheme="minorHAnsi" w:cstheme="minorHAnsi"/>
          <w:sz w:val="16"/>
          <w:szCs w:val="16"/>
        </w:rPr>
        <w:footnoteRef/>
      </w:r>
      <w:r w:rsidRPr="007B43EF">
        <w:rPr>
          <w:rFonts w:asciiTheme="minorHAnsi" w:hAnsiTheme="minorHAnsi" w:cstheme="minorHAnsi"/>
          <w:sz w:val="16"/>
          <w:szCs w:val="16"/>
        </w:rPr>
        <w:t xml:space="preserve"> </w:t>
      </w:r>
      <w:r w:rsidRPr="00C61CF4">
        <w:rPr>
          <w:rFonts w:ascii="Calibri" w:hAnsi="Calibri" w:cs="Calibri"/>
          <w:color w:val="000000"/>
          <w:sz w:val="16"/>
          <w:szCs w:val="16"/>
          <w:lang w:eastAsia="en-AU"/>
        </w:rPr>
        <w:t>The Australia</w:t>
      </w:r>
      <w:r>
        <w:rPr>
          <w:rFonts w:ascii="Calibri" w:hAnsi="Calibri" w:cs="Calibri"/>
          <w:color w:val="000000"/>
          <w:sz w:val="16"/>
          <w:szCs w:val="16"/>
          <w:lang w:eastAsia="en-AU"/>
        </w:rPr>
        <w:t xml:space="preserve"> and New Zealand Organ Registry, as provided by the OTA, </w:t>
      </w:r>
      <w:r w:rsidRPr="00C61CF4">
        <w:rPr>
          <w:rFonts w:ascii="Calibri" w:hAnsi="Calibri" w:cs="Calibri"/>
          <w:color w:val="000000"/>
          <w:sz w:val="16"/>
          <w:szCs w:val="16"/>
          <w:lang w:eastAsia="en-AU"/>
        </w:rPr>
        <w:t>, “</w:t>
      </w:r>
      <w:r>
        <w:rPr>
          <w:rFonts w:ascii="Calibri" w:hAnsi="Calibri" w:cs="Calibri"/>
          <w:color w:val="000000"/>
          <w:sz w:val="16"/>
          <w:szCs w:val="16"/>
          <w:lang w:eastAsia="en-AU"/>
        </w:rPr>
        <w:t>Organ retrieval and transplantation by jurisdiction (Australia 2017)</w:t>
      </w:r>
      <w:r w:rsidRPr="00C61CF4">
        <w:rPr>
          <w:rFonts w:ascii="Calibri" w:hAnsi="Calibri" w:cs="Calibri"/>
          <w:color w:val="000000"/>
          <w:sz w:val="16"/>
          <w:szCs w:val="16"/>
          <w:lang w:eastAsia="en-AU"/>
        </w:rPr>
        <w:t>” (received July 2018).</w:t>
      </w:r>
    </w:p>
  </w:footnote>
  <w:footnote w:id="163">
    <w:p w14:paraId="6FB6F200"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Pr>
          <w:rFonts w:asciiTheme="minorHAnsi" w:hAnsiTheme="minorHAnsi" w:cstheme="minorHAnsi"/>
          <w:sz w:val="16"/>
          <w:szCs w:val="16"/>
          <w:lang w:val="en-AU"/>
        </w:rPr>
        <w:t xml:space="preserve">The Australia and New Zealand Dialysis and Transplantation Registry as provided by the OTA, “Organ Offer Declines 2015 – August 2018” (received October 2018). </w:t>
      </w:r>
    </w:p>
  </w:footnote>
  <w:footnote w:id="164">
    <w:p w14:paraId="586EDDB0" w14:textId="77777777" w:rsidR="00D930F7" w:rsidRPr="001271F5" w:rsidRDefault="00D930F7" w:rsidP="006F4E24">
      <w:pPr>
        <w:pStyle w:val="FootnoteText"/>
        <w:rPr>
          <w:lang w:val="en-AU"/>
        </w:rPr>
      </w:pPr>
      <w:r w:rsidRPr="001271F5">
        <w:rPr>
          <w:rStyle w:val="FootnoteReference"/>
          <w:rFonts w:asciiTheme="minorHAnsi" w:hAnsiTheme="minorHAnsi" w:cstheme="minorHAnsi"/>
          <w:sz w:val="16"/>
          <w:szCs w:val="16"/>
        </w:rPr>
        <w:footnoteRef/>
      </w:r>
      <w:r w:rsidRPr="001271F5">
        <w:rPr>
          <w:rFonts w:asciiTheme="minorHAnsi" w:hAnsiTheme="minorHAnsi" w:cstheme="minorHAnsi"/>
          <w:sz w:val="16"/>
          <w:szCs w:val="16"/>
        </w:rPr>
        <w:t xml:space="preserve"> National Health Service Blood and Transplant 2015</w:t>
      </w:r>
      <w:r w:rsidRPr="007B43EF">
        <w:rPr>
          <w:rFonts w:asciiTheme="minorHAnsi" w:hAnsiTheme="minorHAnsi" w:cstheme="minorHAnsi"/>
          <w:i/>
          <w:sz w:val="16"/>
          <w:szCs w:val="16"/>
        </w:rPr>
        <w:t xml:space="preserve">, </w:t>
      </w:r>
      <w:r w:rsidRPr="007B43EF">
        <w:rPr>
          <w:rFonts w:asciiTheme="minorHAnsi" w:hAnsiTheme="minorHAnsi" w:cstheme="minorHAnsi"/>
          <w:i/>
          <w:sz w:val="16"/>
          <w:szCs w:val="16"/>
          <w:lang w:val="en-AU"/>
        </w:rPr>
        <w:t>National Organ Retrieval Service Review 2015</w:t>
      </w:r>
      <w:r>
        <w:rPr>
          <w:rFonts w:asciiTheme="minorHAnsi" w:hAnsiTheme="minorHAnsi" w:cstheme="minorHAnsi"/>
          <w:sz w:val="16"/>
          <w:szCs w:val="16"/>
          <w:lang w:val="en-AU"/>
        </w:rPr>
        <w:t>, United Kingdom, viewed September 2018, &lt;</w:t>
      </w:r>
      <w:r w:rsidRPr="001271F5">
        <w:rPr>
          <w:rFonts w:asciiTheme="minorHAnsi" w:hAnsiTheme="minorHAnsi" w:cstheme="minorHAnsi"/>
          <w:sz w:val="16"/>
          <w:szCs w:val="16"/>
          <w:lang w:val="en-AU"/>
        </w:rPr>
        <w:t>https://nhsbtdbe.blob.core.windows.net/umbraco-assets-corp/1411/nors_review_report_2015.pdf</w:t>
      </w:r>
      <w:r>
        <w:rPr>
          <w:rFonts w:asciiTheme="minorHAnsi" w:hAnsiTheme="minorHAnsi" w:cstheme="minorHAnsi"/>
          <w:sz w:val="16"/>
          <w:szCs w:val="16"/>
          <w:lang w:val="en-AU"/>
        </w:rPr>
        <w:t>&gt;.</w:t>
      </w:r>
    </w:p>
  </w:footnote>
  <w:footnote w:id="165">
    <w:p w14:paraId="303B9429" w14:textId="77777777" w:rsidR="00D930F7" w:rsidRPr="007B43EF" w:rsidRDefault="00D930F7">
      <w:pPr>
        <w:pStyle w:val="FootnoteText"/>
        <w:rPr>
          <w:lang w:val="en-AU"/>
        </w:rPr>
      </w:pPr>
      <w:r>
        <w:rPr>
          <w:rStyle w:val="FootnoteReference"/>
        </w:rPr>
        <w:footnoteRef/>
      </w:r>
      <w:r>
        <w:t xml:space="preserve"> </w:t>
      </w:r>
      <w:r>
        <w:rPr>
          <w:rFonts w:asciiTheme="minorHAnsi" w:hAnsiTheme="minorHAnsi" w:cstheme="minorHAnsi"/>
          <w:sz w:val="16"/>
          <w:szCs w:val="16"/>
        </w:rPr>
        <w:t>The Australia and New Zealand Organ Donation Registry as provided by the OTA</w:t>
      </w:r>
      <w:r w:rsidRPr="00FD5C02">
        <w:rPr>
          <w:rFonts w:asciiTheme="minorHAnsi" w:hAnsiTheme="minorHAnsi" w:cstheme="minorHAnsi"/>
          <w:sz w:val="16"/>
          <w:szCs w:val="16"/>
        </w:rPr>
        <w:t>, “</w:t>
      </w:r>
      <w:r>
        <w:rPr>
          <w:rFonts w:asciiTheme="minorHAnsi" w:hAnsiTheme="minorHAnsi" w:cstheme="minorHAnsi"/>
          <w:sz w:val="16"/>
          <w:szCs w:val="16"/>
        </w:rPr>
        <w:t>2018 Retrievals Total: Organ Retrievals, Kidney, Liver Heart and Lung</w:t>
      </w:r>
      <w:r w:rsidRPr="00FD5C02">
        <w:rPr>
          <w:rFonts w:asciiTheme="minorHAnsi" w:hAnsiTheme="minorHAnsi" w:cstheme="minorHAnsi"/>
          <w:sz w:val="16"/>
          <w:szCs w:val="16"/>
        </w:rPr>
        <w:t>” (received October 2018)</w:t>
      </w:r>
      <w:r>
        <w:rPr>
          <w:rFonts w:asciiTheme="minorHAnsi" w:hAnsiTheme="minorHAnsi" w:cstheme="minorHAnsi"/>
          <w:sz w:val="16"/>
          <w:szCs w:val="16"/>
        </w:rPr>
        <w:t xml:space="preserve">. </w:t>
      </w:r>
    </w:p>
  </w:footnote>
  <w:footnote w:id="166">
    <w:p w14:paraId="78AFBFF5" w14:textId="77777777" w:rsidR="00D930F7" w:rsidRPr="00E00120" w:rsidRDefault="00D930F7" w:rsidP="006F4E24">
      <w:pPr>
        <w:pStyle w:val="FootnoteText"/>
        <w:rPr>
          <w:rFonts w:asciiTheme="minorHAnsi" w:hAnsiTheme="minorHAnsi" w:cstheme="minorHAnsi"/>
          <w:sz w:val="16"/>
          <w:szCs w:val="16"/>
        </w:rPr>
      </w:pPr>
      <w:r w:rsidRPr="001271F5">
        <w:rPr>
          <w:rStyle w:val="FootnoteReference"/>
          <w:rFonts w:asciiTheme="minorHAnsi" w:hAnsiTheme="minorHAnsi" w:cstheme="minorHAnsi"/>
          <w:sz w:val="16"/>
          <w:szCs w:val="16"/>
        </w:rPr>
        <w:footnoteRef/>
      </w:r>
      <w:r w:rsidRPr="001271F5">
        <w:rPr>
          <w:rFonts w:asciiTheme="minorHAnsi" w:hAnsiTheme="minorHAnsi" w:cstheme="minorHAnsi"/>
          <w:sz w:val="16"/>
          <w:szCs w:val="16"/>
        </w:rPr>
        <w:t xml:space="preserve"> Makdisi,</w:t>
      </w:r>
      <w:r>
        <w:rPr>
          <w:rFonts w:asciiTheme="minorHAnsi" w:hAnsiTheme="minorHAnsi" w:cstheme="minorHAnsi"/>
          <w:sz w:val="16"/>
          <w:szCs w:val="16"/>
        </w:rPr>
        <w:t xml:space="preserve"> G, et al,</w:t>
      </w:r>
      <w:r w:rsidRPr="001271F5">
        <w:rPr>
          <w:rFonts w:asciiTheme="minorHAnsi" w:hAnsiTheme="minorHAnsi" w:cstheme="minorHAnsi"/>
          <w:sz w:val="16"/>
          <w:szCs w:val="16"/>
        </w:rPr>
        <w:t xml:space="preserve"> 2017, </w:t>
      </w:r>
      <w:r>
        <w:rPr>
          <w:rFonts w:asciiTheme="minorHAnsi" w:hAnsiTheme="minorHAnsi" w:cstheme="minorHAnsi"/>
          <w:sz w:val="16"/>
          <w:szCs w:val="16"/>
        </w:rPr>
        <w:t>‘</w:t>
      </w:r>
      <w:r w:rsidRPr="001271F5">
        <w:rPr>
          <w:rFonts w:asciiTheme="minorHAnsi" w:hAnsiTheme="minorHAnsi" w:cstheme="minorHAnsi"/>
          <w:sz w:val="16"/>
          <w:szCs w:val="16"/>
        </w:rPr>
        <w:t>Ex vivo lung perfusion review of a revolutionary technology</w:t>
      </w:r>
      <w:r>
        <w:rPr>
          <w:rFonts w:asciiTheme="minorHAnsi" w:hAnsiTheme="minorHAnsi" w:cstheme="minorHAnsi"/>
          <w:sz w:val="16"/>
          <w:szCs w:val="16"/>
        </w:rPr>
        <w:t>’</w:t>
      </w:r>
      <w:r w:rsidRPr="001271F5">
        <w:rPr>
          <w:rFonts w:asciiTheme="minorHAnsi" w:hAnsiTheme="minorHAnsi" w:cstheme="minorHAnsi"/>
          <w:sz w:val="16"/>
          <w:szCs w:val="16"/>
        </w:rPr>
        <w:t xml:space="preserve">. </w:t>
      </w:r>
      <w:r>
        <w:rPr>
          <w:rFonts w:asciiTheme="minorHAnsi" w:hAnsiTheme="minorHAnsi" w:cstheme="minorHAnsi"/>
          <w:i/>
          <w:sz w:val="16"/>
          <w:szCs w:val="16"/>
        </w:rPr>
        <w:t>Annals of Translational Medicine</w:t>
      </w:r>
      <w:r>
        <w:rPr>
          <w:rFonts w:asciiTheme="minorHAnsi" w:hAnsiTheme="minorHAnsi" w:cstheme="minorHAnsi"/>
          <w:sz w:val="16"/>
          <w:szCs w:val="16"/>
        </w:rPr>
        <w:t xml:space="preserve">, Vol. 5, No. </w:t>
      </w:r>
      <w:r w:rsidRPr="001271F5">
        <w:rPr>
          <w:rFonts w:asciiTheme="minorHAnsi" w:hAnsiTheme="minorHAnsi" w:cstheme="minorHAnsi"/>
          <w:sz w:val="16"/>
          <w:szCs w:val="16"/>
        </w:rPr>
        <w:t>17</w:t>
      </w:r>
      <w:r>
        <w:rPr>
          <w:rFonts w:asciiTheme="minorHAnsi" w:hAnsiTheme="minorHAnsi" w:cstheme="minorHAnsi"/>
          <w:sz w:val="16"/>
          <w:szCs w:val="16"/>
        </w:rPr>
        <w:t>, pp.</w:t>
      </w:r>
      <w:r w:rsidRPr="001271F5">
        <w:rPr>
          <w:rFonts w:asciiTheme="minorHAnsi" w:hAnsiTheme="minorHAnsi" w:cstheme="minorHAnsi"/>
          <w:sz w:val="16"/>
          <w:szCs w:val="16"/>
        </w:rPr>
        <w:t xml:space="preserve"> 343.</w:t>
      </w:r>
    </w:p>
  </w:footnote>
  <w:footnote w:id="167">
    <w:p w14:paraId="09641CC2" w14:textId="77777777" w:rsidR="00D930F7" w:rsidRPr="001271F5" w:rsidRDefault="00D930F7" w:rsidP="006F4E24">
      <w:pPr>
        <w:pStyle w:val="FootnoteText"/>
        <w:rPr>
          <w:rFonts w:asciiTheme="minorHAnsi" w:hAnsiTheme="minorHAnsi" w:cstheme="minorHAnsi"/>
          <w:sz w:val="16"/>
          <w:szCs w:val="16"/>
          <w:lang w:val="en-AU"/>
        </w:rPr>
      </w:pPr>
      <w:r w:rsidRPr="001271F5">
        <w:rPr>
          <w:rStyle w:val="FootnoteReference"/>
          <w:rFonts w:asciiTheme="minorHAnsi" w:hAnsiTheme="minorHAnsi" w:cstheme="minorHAnsi"/>
          <w:sz w:val="16"/>
          <w:szCs w:val="16"/>
        </w:rPr>
        <w:footnoteRef/>
      </w:r>
      <w:r w:rsidRPr="001271F5">
        <w:rPr>
          <w:rFonts w:asciiTheme="minorHAnsi" w:hAnsiTheme="minorHAnsi" w:cstheme="minorHAnsi"/>
          <w:sz w:val="16"/>
          <w:szCs w:val="16"/>
        </w:rPr>
        <w:t xml:space="preserve"> </w:t>
      </w:r>
      <w:r>
        <w:rPr>
          <w:rFonts w:asciiTheme="minorHAnsi" w:hAnsiTheme="minorHAnsi" w:cstheme="minorHAnsi"/>
          <w:sz w:val="16"/>
          <w:szCs w:val="16"/>
        </w:rPr>
        <w:t>The Australian Organ and Tissue Donation and Transplantation Authority, above n. 4.</w:t>
      </w:r>
    </w:p>
  </w:footnote>
  <w:footnote w:id="168">
    <w:tbl>
      <w:tblPr>
        <w:tblW w:w="8580" w:type="dxa"/>
        <w:tblCellMar>
          <w:left w:w="0" w:type="dxa"/>
          <w:right w:w="0" w:type="dxa"/>
        </w:tblCellMar>
        <w:tblLook w:val="04A0" w:firstRow="1" w:lastRow="0" w:firstColumn="1" w:lastColumn="0" w:noHBand="0" w:noVBand="1"/>
      </w:tblPr>
      <w:tblGrid>
        <w:gridCol w:w="8580"/>
      </w:tblGrid>
      <w:tr w:rsidR="00D930F7" w14:paraId="58AE31A4" w14:textId="77777777" w:rsidTr="00146E46">
        <w:trPr>
          <w:trHeight w:val="290"/>
        </w:trPr>
        <w:tc>
          <w:tcPr>
            <w:tcW w:w="8580" w:type="dxa"/>
            <w:tcBorders>
              <w:top w:val="nil"/>
              <w:left w:val="nil"/>
              <w:bottom w:val="nil"/>
              <w:right w:val="nil"/>
            </w:tcBorders>
            <w:shd w:val="clear" w:color="auto" w:fill="auto"/>
            <w:noWrap/>
            <w:tcMar>
              <w:top w:w="15" w:type="dxa"/>
              <w:left w:w="15" w:type="dxa"/>
              <w:bottom w:w="0" w:type="dxa"/>
              <w:right w:w="15" w:type="dxa"/>
            </w:tcMar>
            <w:vAlign w:val="bottom"/>
            <w:hideMark/>
          </w:tcPr>
          <w:p w14:paraId="60AFF09A" w14:textId="77777777" w:rsidR="00D930F7" w:rsidRDefault="00D930F7" w:rsidP="0054092F">
            <w:pPr>
              <w:widowControl/>
              <w:autoSpaceDE/>
              <w:autoSpaceDN/>
              <w:adjustRightInd/>
              <w:spacing w:after="0"/>
              <w:rPr>
                <w:rFonts w:ascii="Calibri" w:hAnsi="Calibri" w:cs="Calibri"/>
                <w:color w:val="0563C1"/>
                <w:sz w:val="22"/>
                <w:szCs w:val="22"/>
                <w:u w:val="single"/>
              </w:rPr>
            </w:pPr>
            <w:r w:rsidRPr="00146E46">
              <w:rPr>
                <w:rFonts w:asciiTheme="minorHAnsi" w:eastAsiaTheme="minorHAnsi" w:hAnsiTheme="minorHAnsi" w:cstheme="minorHAnsi"/>
                <w:sz w:val="16"/>
                <w:vertAlign w:val="superscript"/>
              </w:rPr>
              <w:footnoteRef/>
            </w:r>
            <w:r w:rsidRPr="00146E46">
              <w:rPr>
                <w:rFonts w:asciiTheme="minorHAnsi" w:eastAsiaTheme="minorHAnsi" w:hAnsiTheme="minorHAnsi" w:cstheme="minorHAnsi"/>
                <w:sz w:val="12"/>
                <w:szCs w:val="16"/>
                <w:vertAlign w:val="superscript"/>
              </w:rPr>
              <w:t xml:space="preserve"> </w:t>
            </w:r>
            <w:r w:rsidRPr="00925F19">
              <w:rPr>
                <w:rFonts w:asciiTheme="minorHAnsi" w:hAnsiTheme="minorHAnsi" w:cstheme="minorHAnsi"/>
                <w:sz w:val="16"/>
                <w:szCs w:val="16"/>
              </w:rPr>
              <w:t>The Australia</w:t>
            </w:r>
            <w:r w:rsidRPr="007B43EF">
              <w:rPr>
                <w:rFonts w:asciiTheme="minorHAnsi" w:hAnsiTheme="minorHAnsi" w:cstheme="minorHAnsi"/>
                <w:sz w:val="16"/>
                <w:szCs w:val="16"/>
              </w:rPr>
              <w:t xml:space="preserve"> and New Zealand Dialysis and Transplant Registry, 2017 40th</w:t>
            </w:r>
            <w:r w:rsidRPr="00450B9E">
              <w:rPr>
                <w:rFonts w:asciiTheme="minorHAnsi" w:hAnsiTheme="minorHAnsi" w:cstheme="minorHAnsi"/>
                <w:sz w:val="16"/>
                <w:szCs w:val="16"/>
              </w:rPr>
              <w:t xml:space="preserve"> Annual ANZDATA Report Chapter 7</w:t>
            </w:r>
            <w:r w:rsidRPr="007B43EF">
              <w:rPr>
                <w:rFonts w:asciiTheme="minorHAnsi" w:hAnsiTheme="minorHAnsi" w:cstheme="minorHAnsi"/>
                <w:sz w:val="16"/>
                <w:szCs w:val="16"/>
              </w:rPr>
              <w:t>: Australian Transplant Waiting list, viewed August 2018, &lt; http://www.anzdata.org.au/v1/report_2017.html&gt;.</w:t>
            </w:r>
          </w:p>
        </w:tc>
      </w:tr>
    </w:tbl>
    <w:p w14:paraId="2DB3376C" w14:textId="77777777" w:rsidR="00D930F7" w:rsidRPr="003B1371" w:rsidRDefault="00D930F7" w:rsidP="006F4E24">
      <w:pPr>
        <w:pStyle w:val="FootnoteText"/>
        <w:rPr>
          <w:rFonts w:asciiTheme="minorHAnsi" w:hAnsiTheme="minorHAnsi" w:cstheme="minorHAnsi"/>
          <w:szCs w:val="16"/>
          <w:lang w:val="en-AU"/>
        </w:rPr>
      </w:pPr>
    </w:p>
  </w:footnote>
  <w:footnote w:id="169">
    <w:p w14:paraId="4F61F1B7" w14:textId="77777777" w:rsidR="00D930F7" w:rsidRPr="001271F5" w:rsidRDefault="00D930F7" w:rsidP="006F4E24">
      <w:pPr>
        <w:pStyle w:val="FootnoteText"/>
        <w:rPr>
          <w:sz w:val="16"/>
          <w:szCs w:val="16"/>
          <w:lang w:val="en-AU"/>
        </w:rPr>
      </w:pPr>
      <w:r w:rsidRPr="001271F5">
        <w:rPr>
          <w:rStyle w:val="FootnoteReference"/>
          <w:rFonts w:asciiTheme="minorHAnsi" w:hAnsiTheme="minorHAnsi" w:cstheme="minorHAnsi"/>
          <w:sz w:val="16"/>
          <w:szCs w:val="16"/>
        </w:rPr>
        <w:footnoteRef/>
      </w:r>
      <w:r w:rsidRPr="001271F5">
        <w:rPr>
          <w:rFonts w:asciiTheme="minorHAnsi" w:hAnsiTheme="minorHAnsi" w:cstheme="minorHAnsi"/>
          <w:sz w:val="16"/>
          <w:szCs w:val="16"/>
        </w:rPr>
        <w:t xml:space="preserve"> </w:t>
      </w:r>
      <w:r w:rsidRPr="001271F5">
        <w:rPr>
          <w:rFonts w:asciiTheme="minorHAnsi" w:hAnsiTheme="minorHAnsi" w:cstheme="minorHAnsi"/>
          <w:sz w:val="16"/>
          <w:szCs w:val="16"/>
          <w:lang w:val="en-AU"/>
        </w:rPr>
        <w:t>Kidney Health Australia, 2015</w:t>
      </w:r>
      <w:r>
        <w:rPr>
          <w:rFonts w:asciiTheme="minorHAnsi" w:hAnsiTheme="minorHAnsi" w:cstheme="minorHAnsi"/>
          <w:sz w:val="16"/>
          <w:szCs w:val="16"/>
          <w:lang w:val="en-AU"/>
        </w:rPr>
        <w:t xml:space="preserve">, </w:t>
      </w:r>
      <w:r w:rsidRPr="007B43EF">
        <w:rPr>
          <w:rFonts w:asciiTheme="minorHAnsi" w:hAnsiTheme="minorHAnsi" w:cstheme="minorHAnsi"/>
          <w:i/>
          <w:sz w:val="16"/>
          <w:szCs w:val="16"/>
          <w:lang w:val="en-AU"/>
        </w:rPr>
        <w:t>Organ donation in Australia</w:t>
      </w:r>
      <w:r>
        <w:rPr>
          <w:rFonts w:asciiTheme="minorHAnsi" w:hAnsiTheme="minorHAnsi" w:cstheme="minorHAnsi"/>
          <w:i/>
          <w:sz w:val="16"/>
          <w:szCs w:val="16"/>
          <w:lang w:val="en-AU"/>
        </w:rPr>
        <w:t xml:space="preserve">, </w:t>
      </w:r>
      <w:r>
        <w:rPr>
          <w:rFonts w:asciiTheme="minorHAnsi" w:hAnsiTheme="minorHAnsi" w:cstheme="minorHAnsi"/>
          <w:sz w:val="16"/>
          <w:szCs w:val="16"/>
          <w:lang w:val="en-AU"/>
        </w:rPr>
        <w:t>viewed November 2018, &lt;</w:t>
      </w:r>
      <w:r w:rsidRPr="001271F5">
        <w:rPr>
          <w:rFonts w:asciiTheme="minorHAnsi" w:hAnsiTheme="minorHAnsi" w:cstheme="minorHAnsi"/>
          <w:sz w:val="16"/>
          <w:szCs w:val="16"/>
          <w:lang w:val="en-AU"/>
        </w:rPr>
        <w:t>https://kidney.org.au/your-kidneys/support/organ-donation/organ-donation-in-australia</w:t>
      </w:r>
      <w:r>
        <w:rPr>
          <w:rFonts w:asciiTheme="minorHAnsi" w:hAnsiTheme="minorHAnsi" w:cstheme="minorHAnsi"/>
          <w:sz w:val="16"/>
          <w:szCs w:val="16"/>
          <w:lang w:val="en-AU"/>
        </w:rPr>
        <w:t>&gt;.</w:t>
      </w:r>
    </w:p>
  </w:footnote>
  <w:footnote w:id="170">
    <w:p w14:paraId="7B82DE41" w14:textId="77777777" w:rsidR="00D930F7" w:rsidRPr="004C4921" w:rsidRDefault="00D930F7" w:rsidP="006F4E24">
      <w:pPr>
        <w:pStyle w:val="FootnoteText"/>
        <w:rPr>
          <w:rFonts w:asciiTheme="minorHAnsi" w:hAnsiTheme="minorHAnsi" w:cstheme="minorHAnsi"/>
          <w:sz w:val="16"/>
          <w:szCs w:val="16"/>
          <w:lang w:val="en-AU"/>
        </w:rPr>
      </w:pPr>
      <w:r w:rsidRPr="00AF2C98">
        <w:rPr>
          <w:rStyle w:val="FootnoteReference"/>
          <w:rFonts w:asciiTheme="minorHAnsi" w:hAnsiTheme="minorHAnsi" w:cstheme="minorHAnsi"/>
          <w:sz w:val="16"/>
          <w:szCs w:val="16"/>
        </w:rPr>
        <w:footnoteRef/>
      </w:r>
      <w:r w:rsidRPr="00AF2C98">
        <w:rPr>
          <w:rFonts w:asciiTheme="minorHAnsi" w:hAnsiTheme="minorHAnsi" w:cstheme="minorHAnsi"/>
          <w:sz w:val="16"/>
          <w:szCs w:val="16"/>
        </w:rPr>
        <w:t xml:space="preserve"> </w:t>
      </w:r>
      <w:r w:rsidRPr="00AF2C98">
        <w:rPr>
          <w:rFonts w:asciiTheme="minorHAnsi" w:hAnsiTheme="minorHAnsi" w:cstheme="minorHAnsi"/>
          <w:sz w:val="16"/>
          <w:szCs w:val="16"/>
          <w:lang w:val="en-AU"/>
        </w:rPr>
        <w:t xml:space="preserve">Paraskeva.M et al, Lung transplantation in Australia, </w:t>
      </w:r>
      <w:r>
        <w:rPr>
          <w:rFonts w:asciiTheme="minorHAnsi" w:hAnsiTheme="minorHAnsi" w:cstheme="minorHAnsi"/>
          <w:sz w:val="16"/>
          <w:szCs w:val="16"/>
          <w:lang w:val="en-AU"/>
        </w:rPr>
        <w:t>2018, ‘</w:t>
      </w:r>
      <w:r w:rsidRPr="00AF2C98">
        <w:rPr>
          <w:rFonts w:asciiTheme="minorHAnsi" w:hAnsiTheme="minorHAnsi" w:cstheme="minorHAnsi"/>
          <w:sz w:val="16"/>
          <w:szCs w:val="16"/>
          <w:lang w:val="en-AU"/>
        </w:rPr>
        <w:t xml:space="preserve">1986 </w:t>
      </w:r>
      <w:r>
        <w:rPr>
          <w:rFonts w:asciiTheme="minorHAnsi" w:hAnsiTheme="minorHAnsi" w:cstheme="minorHAnsi"/>
          <w:sz w:val="16"/>
          <w:szCs w:val="16"/>
          <w:lang w:val="en-AU"/>
        </w:rPr>
        <w:t>-</w:t>
      </w:r>
      <w:r w:rsidRPr="00AF2C98">
        <w:rPr>
          <w:rFonts w:asciiTheme="minorHAnsi" w:hAnsiTheme="minorHAnsi" w:cstheme="minorHAnsi"/>
          <w:sz w:val="16"/>
          <w:szCs w:val="16"/>
          <w:lang w:val="en-AU"/>
        </w:rPr>
        <w:t xml:space="preserve"> 2018; more than 30 years in the making</w:t>
      </w:r>
      <w:r>
        <w:rPr>
          <w:rFonts w:asciiTheme="minorHAnsi" w:hAnsiTheme="minorHAnsi" w:cstheme="minorHAnsi"/>
          <w:sz w:val="16"/>
          <w:szCs w:val="16"/>
          <w:lang w:val="en-AU"/>
        </w:rPr>
        <w:t xml:space="preserve">’, </w:t>
      </w:r>
      <w:r>
        <w:rPr>
          <w:rFonts w:asciiTheme="minorHAnsi" w:hAnsiTheme="minorHAnsi" w:cstheme="minorHAnsi"/>
          <w:i/>
          <w:sz w:val="16"/>
          <w:szCs w:val="16"/>
          <w:lang w:val="en-AU"/>
        </w:rPr>
        <w:t xml:space="preserve">The Medical Journal of Australia </w:t>
      </w:r>
      <w:r>
        <w:rPr>
          <w:rFonts w:asciiTheme="minorHAnsi" w:hAnsiTheme="minorHAnsi" w:cstheme="minorHAnsi"/>
          <w:sz w:val="16"/>
          <w:szCs w:val="16"/>
          <w:lang w:val="en-AU"/>
        </w:rPr>
        <w:t xml:space="preserve">Vol.208 No.10 viewed October </w:t>
      </w:r>
      <w:r w:rsidRPr="00925F19">
        <w:rPr>
          <w:rFonts w:asciiTheme="minorHAnsi" w:hAnsiTheme="minorHAnsi" w:cstheme="minorHAnsi"/>
          <w:sz w:val="16"/>
          <w:szCs w:val="16"/>
          <w:lang w:val="en-AU"/>
        </w:rPr>
        <w:t>2018, &lt;</w:t>
      </w:r>
      <w:r w:rsidRPr="00925F19">
        <w:rPr>
          <w:rStyle w:val="Hyperlink"/>
          <w:rFonts w:asciiTheme="minorHAnsi" w:hAnsiTheme="minorHAnsi" w:cstheme="minorHAnsi"/>
          <w:color w:val="auto"/>
          <w:sz w:val="16"/>
          <w:szCs w:val="16"/>
          <w:u w:val="none"/>
          <w:lang w:val="en-AU"/>
        </w:rPr>
        <w:t>https://www.mja.com.au/system/files/issues/208_10/10.5694mja17.00909.pdf</w:t>
      </w:r>
      <w:r w:rsidRPr="00925F19">
        <w:rPr>
          <w:rFonts w:asciiTheme="minorHAnsi" w:hAnsiTheme="minorHAnsi" w:cstheme="minorHAnsi"/>
          <w:sz w:val="16"/>
          <w:szCs w:val="16"/>
          <w:lang w:val="en-AU"/>
        </w:rPr>
        <w:t>&gt;.</w:t>
      </w:r>
    </w:p>
  </w:footnote>
  <w:footnote w:id="171">
    <w:p w14:paraId="5AEF29CE" w14:textId="77777777" w:rsidR="00D930F7" w:rsidRPr="001271F5" w:rsidRDefault="00D930F7" w:rsidP="006F4E24">
      <w:pPr>
        <w:pStyle w:val="FootnoteText"/>
        <w:rPr>
          <w:rFonts w:asciiTheme="minorHAnsi" w:hAnsiTheme="minorHAnsi" w:cstheme="minorHAnsi"/>
          <w:sz w:val="16"/>
          <w:szCs w:val="16"/>
          <w:lang w:val="en-AU"/>
        </w:rPr>
      </w:pPr>
      <w:r w:rsidRPr="001271F5">
        <w:rPr>
          <w:rStyle w:val="FootnoteReference"/>
          <w:rFonts w:asciiTheme="minorHAnsi" w:hAnsiTheme="minorHAnsi" w:cstheme="minorHAnsi"/>
          <w:sz w:val="16"/>
          <w:szCs w:val="16"/>
        </w:rPr>
        <w:footnoteRef/>
      </w:r>
      <w:r w:rsidRPr="001271F5">
        <w:rPr>
          <w:rFonts w:asciiTheme="minorHAnsi" w:hAnsiTheme="minorHAnsi" w:cstheme="minorHAnsi"/>
          <w:sz w:val="16"/>
          <w:szCs w:val="16"/>
        </w:rPr>
        <w:t xml:space="preserve"> </w:t>
      </w:r>
      <w:r w:rsidRPr="001271F5">
        <w:rPr>
          <w:rFonts w:asciiTheme="minorHAnsi" w:hAnsiTheme="minorHAnsi" w:cstheme="minorHAnsi"/>
          <w:sz w:val="16"/>
          <w:szCs w:val="16"/>
          <w:lang w:val="en-AU"/>
        </w:rPr>
        <w:t xml:space="preserve">Kidney Health Australia, 2018, </w:t>
      </w:r>
      <w:r w:rsidRPr="007B43EF">
        <w:rPr>
          <w:rFonts w:asciiTheme="minorHAnsi" w:hAnsiTheme="minorHAnsi" w:cstheme="minorHAnsi"/>
          <w:i/>
          <w:sz w:val="16"/>
          <w:szCs w:val="16"/>
          <w:lang w:val="en-AU"/>
        </w:rPr>
        <w:t>Kidney Health Australia to develop pioneering youth program</w:t>
      </w:r>
      <w:r w:rsidRPr="001271F5">
        <w:rPr>
          <w:rFonts w:asciiTheme="minorHAnsi" w:hAnsiTheme="minorHAnsi" w:cstheme="minorHAnsi"/>
          <w:sz w:val="16"/>
          <w:szCs w:val="16"/>
          <w:lang w:val="en-AU"/>
        </w:rPr>
        <w:t>, Media release</w:t>
      </w:r>
      <w:r>
        <w:rPr>
          <w:rFonts w:asciiTheme="minorHAnsi" w:hAnsiTheme="minorHAnsi" w:cstheme="minorHAnsi"/>
          <w:sz w:val="16"/>
          <w:szCs w:val="16"/>
          <w:lang w:val="en-AU"/>
        </w:rPr>
        <w:t>, viewed September 2018 &lt;</w:t>
      </w:r>
      <w:r w:rsidRPr="00D46FFB">
        <w:t xml:space="preserve"> </w:t>
      </w:r>
      <w:r w:rsidRPr="00D46FFB">
        <w:rPr>
          <w:rFonts w:asciiTheme="minorHAnsi" w:hAnsiTheme="minorHAnsi" w:cstheme="minorHAnsi"/>
          <w:sz w:val="16"/>
          <w:szCs w:val="16"/>
          <w:lang w:val="en-AU"/>
        </w:rPr>
        <w:t>https://kidney.org.au/cms_uploads/docs/media-release-kha-youth-program-funding-grant-2018.pdf</w:t>
      </w:r>
      <w:r>
        <w:rPr>
          <w:rFonts w:asciiTheme="minorHAnsi" w:hAnsiTheme="minorHAnsi" w:cstheme="minorHAnsi"/>
          <w:sz w:val="16"/>
          <w:szCs w:val="16"/>
          <w:lang w:val="en-AU"/>
        </w:rPr>
        <w:t>&gt;.</w:t>
      </w:r>
    </w:p>
  </w:footnote>
  <w:footnote w:id="172">
    <w:p w14:paraId="2423A685"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Pr>
          <w:rFonts w:asciiTheme="minorHAnsi" w:hAnsiTheme="minorHAnsi" w:cstheme="minorHAnsi"/>
          <w:sz w:val="16"/>
          <w:szCs w:val="16"/>
          <w:lang w:val="en-AU"/>
        </w:rPr>
        <w:t>Ibid.</w:t>
      </w:r>
    </w:p>
  </w:footnote>
  <w:footnote w:id="173">
    <w:p w14:paraId="06B7F843" w14:textId="77777777" w:rsidR="00D930F7" w:rsidRPr="001271F5" w:rsidRDefault="00D930F7" w:rsidP="006F4E24">
      <w:pPr>
        <w:pStyle w:val="FootnoteText"/>
        <w:rPr>
          <w:lang w:val="en-AU"/>
        </w:rPr>
      </w:pPr>
      <w:r w:rsidRPr="001271F5">
        <w:rPr>
          <w:rStyle w:val="FootnoteReference"/>
          <w:rFonts w:asciiTheme="minorHAnsi" w:hAnsiTheme="minorHAnsi" w:cstheme="minorHAnsi"/>
          <w:sz w:val="16"/>
          <w:szCs w:val="16"/>
        </w:rPr>
        <w:footnoteRef/>
      </w:r>
      <w:r w:rsidRPr="001271F5">
        <w:rPr>
          <w:rFonts w:asciiTheme="minorHAnsi" w:hAnsiTheme="minorHAnsi" w:cstheme="minorHAnsi"/>
          <w:sz w:val="16"/>
          <w:szCs w:val="16"/>
        </w:rPr>
        <w:t xml:space="preserve"> </w:t>
      </w:r>
      <w:r>
        <w:rPr>
          <w:rFonts w:asciiTheme="minorHAnsi" w:hAnsiTheme="minorHAnsi" w:cstheme="minorHAnsi"/>
          <w:sz w:val="16"/>
          <w:szCs w:val="16"/>
        </w:rPr>
        <w:t>Khanal N, 2018, above n. 9.</w:t>
      </w:r>
    </w:p>
  </w:footnote>
  <w:footnote w:id="174">
    <w:p w14:paraId="5ABBE1CE" w14:textId="77777777" w:rsidR="00D930F7" w:rsidRPr="00EF2596" w:rsidRDefault="00D930F7">
      <w:pPr>
        <w:pStyle w:val="FootnoteText"/>
        <w:rPr>
          <w:rFonts w:asciiTheme="minorHAnsi" w:hAnsiTheme="minorHAnsi" w:cstheme="minorHAnsi"/>
          <w:sz w:val="16"/>
          <w:szCs w:val="16"/>
          <w:lang w:val="en-AU"/>
        </w:rPr>
      </w:pPr>
      <w:r w:rsidRPr="00EF2596">
        <w:rPr>
          <w:rStyle w:val="FootnoteReference"/>
          <w:rFonts w:asciiTheme="minorHAnsi" w:hAnsiTheme="minorHAnsi" w:cstheme="minorHAnsi"/>
          <w:sz w:val="16"/>
          <w:szCs w:val="16"/>
        </w:rPr>
        <w:footnoteRef/>
      </w:r>
      <w:r w:rsidRPr="00EF2596">
        <w:rPr>
          <w:rFonts w:asciiTheme="minorHAnsi" w:hAnsiTheme="minorHAnsi" w:cstheme="minorHAnsi"/>
          <w:sz w:val="16"/>
          <w:szCs w:val="16"/>
        </w:rPr>
        <w:t xml:space="preserve"> </w:t>
      </w:r>
      <w:r w:rsidRPr="00EF2596">
        <w:rPr>
          <w:rFonts w:asciiTheme="minorHAnsi" w:hAnsiTheme="minorHAnsi" w:cstheme="minorHAnsi"/>
          <w:sz w:val="16"/>
          <w:szCs w:val="16"/>
          <w:lang w:val="en-AU"/>
        </w:rPr>
        <w:t xml:space="preserve">The Hon Ken Wyatt AM, MP, 2018, </w:t>
      </w:r>
      <w:r w:rsidRPr="007B43EF">
        <w:rPr>
          <w:rFonts w:asciiTheme="minorHAnsi" w:hAnsiTheme="minorHAnsi" w:cstheme="minorHAnsi"/>
          <w:i/>
          <w:sz w:val="16"/>
          <w:szCs w:val="16"/>
          <w:lang w:val="en-AU"/>
        </w:rPr>
        <w:t>First Nations People to Guide a Healthier Renal Future</w:t>
      </w:r>
      <w:r>
        <w:rPr>
          <w:rFonts w:asciiTheme="minorHAnsi" w:hAnsiTheme="minorHAnsi" w:cstheme="minorHAnsi"/>
          <w:sz w:val="16"/>
          <w:szCs w:val="16"/>
          <w:lang w:val="en-AU"/>
        </w:rPr>
        <w:t xml:space="preserve">, </w:t>
      </w:r>
      <w:r w:rsidRPr="00EF2596">
        <w:rPr>
          <w:rFonts w:asciiTheme="minorHAnsi" w:hAnsiTheme="minorHAnsi" w:cstheme="minorHAnsi"/>
          <w:sz w:val="16"/>
          <w:szCs w:val="16"/>
          <w:lang w:val="en-AU"/>
        </w:rPr>
        <w:t>Australian Government Department of Health: Canberra</w:t>
      </w:r>
      <w:r>
        <w:rPr>
          <w:rFonts w:asciiTheme="minorHAnsi" w:hAnsiTheme="minorHAnsi" w:cstheme="minorHAnsi"/>
          <w:sz w:val="16"/>
          <w:szCs w:val="16"/>
          <w:lang w:val="en-AU"/>
        </w:rPr>
        <w:t>, viewed October 2018 &lt;</w:t>
      </w:r>
      <w:r w:rsidRPr="00EF2596">
        <w:rPr>
          <w:rFonts w:asciiTheme="minorHAnsi" w:hAnsiTheme="minorHAnsi" w:cstheme="minorHAnsi"/>
          <w:sz w:val="16"/>
          <w:szCs w:val="16"/>
          <w:lang w:val="en-AU"/>
        </w:rPr>
        <w:t>http://www.health.gov.au/internet/ministers/publishing.nsf/Content/health-mediarel-yr2018-wyatt152.htm</w:t>
      </w:r>
      <w:r>
        <w:rPr>
          <w:rFonts w:asciiTheme="minorHAnsi" w:hAnsiTheme="minorHAnsi" w:cstheme="minorHAnsi"/>
          <w:sz w:val="16"/>
          <w:szCs w:val="16"/>
          <w:lang w:val="en-AU"/>
        </w:rPr>
        <w:t>&gt;.</w:t>
      </w:r>
    </w:p>
  </w:footnote>
  <w:footnote w:id="175">
    <w:p w14:paraId="74D26FE7" w14:textId="77777777" w:rsidR="00D930F7" w:rsidRPr="008A0219" w:rsidRDefault="00D930F7">
      <w:pPr>
        <w:pStyle w:val="FootnoteText"/>
        <w:rPr>
          <w:rFonts w:asciiTheme="minorHAnsi" w:hAnsiTheme="minorHAnsi" w:cstheme="minorHAnsi"/>
          <w:lang w:val="en-AU"/>
        </w:rPr>
      </w:pPr>
      <w:r w:rsidRPr="008A0219">
        <w:rPr>
          <w:rStyle w:val="FootnoteReference"/>
          <w:rFonts w:asciiTheme="minorHAnsi" w:hAnsiTheme="minorHAnsi" w:cstheme="minorHAnsi"/>
          <w:sz w:val="16"/>
        </w:rPr>
        <w:footnoteRef/>
      </w:r>
      <w:r w:rsidRPr="008A0219">
        <w:rPr>
          <w:rFonts w:asciiTheme="minorHAnsi" w:hAnsiTheme="minorHAnsi" w:cstheme="minorHAnsi"/>
          <w:sz w:val="16"/>
        </w:rPr>
        <w:t xml:space="preserve"> </w:t>
      </w:r>
      <w:r w:rsidRPr="008A0219">
        <w:rPr>
          <w:rFonts w:asciiTheme="minorHAnsi" w:hAnsiTheme="minorHAnsi" w:cstheme="minorHAnsi"/>
          <w:sz w:val="16"/>
          <w:lang w:val="en-AU"/>
        </w:rPr>
        <w:t xml:space="preserve">The Australian Organ and Tissue Donation and Transplantation Authority, “Financing Agreements 2018 – 2020” (received December 2018). </w:t>
      </w:r>
    </w:p>
  </w:footnote>
  <w:footnote w:id="176">
    <w:p w14:paraId="481BE97A" w14:textId="77777777" w:rsidR="00D930F7" w:rsidRPr="00146E46" w:rsidRDefault="00D930F7" w:rsidP="000A7D05">
      <w:pPr>
        <w:pStyle w:val="FootnoteText"/>
        <w:rPr>
          <w:rFonts w:asciiTheme="minorHAnsi" w:hAnsiTheme="minorHAnsi" w:cstheme="minorHAnsi"/>
          <w:sz w:val="16"/>
          <w:szCs w:val="16"/>
          <w:lang w:val="en-AU"/>
        </w:rPr>
      </w:pPr>
      <w:r w:rsidRPr="00146E46">
        <w:rPr>
          <w:rStyle w:val="FootnoteReference"/>
          <w:rFonts w:asciiTheme="minorHAnsi" w:hAnsiTheme="minorHAnsi" w:cstheme="minorHAnsi"/>
          <w:sz w:val="16"/>
          <w:szCs w:val="16"/>
        </w:rPr>
        <w:footnoteRef/>
      </w:r>
      <w:r w:rsidRPr="00146E46">
        <w:rPr>
          <w:rFonts w:asciiTheme="minorHAnsi" w:hAnsiTheme="minorHAnsi" w:cstheme="minorHAnsi"/>
          <w:sz w:val="16"/>
          <w:szCs w:val="16"/>
        </w:rPr>
        <w:t xml:space="preserve"> The Independent Hospital Pricing Authority, “Number of separations and NWAUs 2015 – 2018 per organ by state” (received November 2018); Note: </w:t>
      </w:r>
      <w:r w:rsidRPr="00146E46">
        <w:rPr>
          <w:rFonts w:asciiTheme="minorHAnsi" w:hAnsiTheme="minorHAnsi" w:cstheme="minorHAnsi"/>
          <w:sz w:val="16"/>
          <w:szCs w:val="16"/>
          <w:lang w:val="en-AU"/>
        </w:rPr>
        <w:t xml:space="preserve">These projections are calculated based on average national expenditure growth from FY2016 – FY2018. More detailed modelling is required to accurately account for forecasted number of transplants, NWAU and NEP each year. </w:t>
      </w:r>
    </w:p>
  </w:footnote>
  <w:footnote w:id="177">
    <w:p w14:paraId="71D8D132" w14:textId="77777777" w:rsidR="00D930F7" w:rsidRPr="007B43EF" w:rsidRDefault="00D930F7">
      <w:pPr>
        <w:pStyle w:val="FootnoteText"/>
        <w:rPr>
          <w:lang w:val="en-AU"/>
        </w:rPr>
      </w:pPr>
      <w:r w:rsidRPr="00146E46">
        <w:rPr>
          <w:rStyle w:val="FootnoteReference"/>
          <w:rFonts w:asciiTheme="minorHAnsi" w:hAnsiTheme="minorHAnsi" w:cstheme="minorHAnsi"/>
          <w:sz w:val="16"/>
          <w:szCs w:val="16"/>
        </w:rPr>
        <w:footnoteRef/>
      </w:r>
      <w:r w:rsidRPr="00146E46">
        <w:rPr>
          <w:rFonts w:asciiTheme="minorHAnsi" w:hAnsiTheme="minorHAnsi" w:cstheme="minorHAnsi"/>
          <w:sz w:val="16"/>
          <w:szCs w:val="16"/>
        </w:rPr>
        <w:t xml:space="preserve"> Ibid.</w:t>
      </w:r>
    </w:p>
  </w:footnote>
  <w:footnote w:id="178">
    <w:p w14:paraId="25DE703D" w14:textId="77777777" w:rsidR="00D930F7" w:rsidRPr="001D081D" w:rsidRDefault="00D930F7" w:rsidP="000A7D05">
      <w:pPr>
        <w:pStyle w:val="FootnoteText"/>
        <w:rPr>
          <w:lang w:val="en-AU"/>
        </w:rPr>
      </w:pPr>
      <w:r w:rsidRPr="001D081D">
        <w:rPr>
          <w:rStyle w:val="FootnoteReference"/>
          <w:rFonts w:asciiTheme="minorHAnsi" w:hAnsiTheme="minorHAnsi" w:cstheme="minorHAnsi"/>
          <w:sz w:val="16"/>
          <w:szCs w:val="16"/>
        </w:rPr>
        <w:footnoteRef/>
      </w:r>
      <w:r w:rsidRPr="001D081D">
        <w:rPr>
          <w:rFonts w:asciiTheme="minorHAnsi" w:hAnsiTheme="minorHAnsi" w:cstheme="minorHAnsi"/>
          <w:sz w:val="16"/>
          <w:szCs w:val="16"/>
        </w:rPr>
        <w:t xml:space="preserve"> The cost of each transplantation can be calculated by multiplying the annual National Efficient Price (NEP) and the NWAU). The NWAU and NEP will be updated annually by the Independent Hospital Pricing Authority</w:t>
      </w:r>
      <w:r>
        <w:rPr>
          <w:rFonts w:asciiTheme="minorHAnsi" w:hAnsiTheme="minorHAnsi" w:cstheme="minorHAnsi"/>
          <w:sz w:val="16"/>
          <w:szCs w:val="16"/>
        </w:rPr>
        <w:t xml:space="preserve">. </w:t>
      </w:r>
    </w:p>
  </w:footnote>
  <w:footnote w:id="179">
    <w:p w14:paraId="61849E6A" w14:textId="77777777" w:rsidR="00D930F7" w:rsidRPr="007B43EF" w:rsidRDefault="00D930F7">
      <w:pPr>
        <w:pStyle w:val="FootnoteText"/>
        <w:rPr>
          <w:lang w:val="en-AU"/>
        </w:rPr>
      </w:pPr>
      <w:r>
        <w:rPr>
          <w:rStyle w:val="FootnoteReference"/>
        </w:rPr>
        <w:footnoteRef/>
      </w:r>
      <w:r>
        <w:t xml:space="preserve"> </w:t>
      </w:r>
      <w:r>
        <w:rPr>
          <w:rFonts w:asciiTheme="minorHAnsi" w:hAnsiTheme="minorHAnsi" w:cstheme="minorHAnsi"/>
          <w:sz w:val="16"/>
          <w:szCs w:val="16"/>
        </w:rPr>
        <w:t>The Independent Hospital Pricing Authority, above n. 194.</w:t>
      </w:r>
    </w:p>
  </w:footnote>
  <w:footnote w:id="180">
    <w:p w14:paraId="37BE2293" w14:textId="77777777" w:rsidR="00D930F7" w:rsidRPr="00664C01" w:rsidRDefault="00D930F7">
      <w:pPr>
        <w:pStyle w:val="FootnoteText"/>
        <w:rPr>
          <w:rFonts w:asciiTheme="minorHAnsi" w:hAnsiTheme="minorHAnsi" w:cstheme="minorHAnsi"/>
          <w:lang w:val="en-AU"/>
        </w:rPr>
      </w:pPr>
      <w:r w:rsidRPr="008C2B47">
        <w:rPr>
          <w:rStyle w:val="FootnoteReference"/>
          <w:rFonts w:asciiTheme="minorHAnsi" w:hAnsiTheme="minorHAnsi" w:cstheme="minorHAnsi"/>
        </w:rPr>
        <w:footnoteRef/>
      </w:r>
      <w:r w:rsidRPr="008C2B47">
        <w:rPr>
          <w:rFonts w:asciiTheme="minorHAnsi" w:hAnsiTheme="minorHAnsi" w:cstheme="minorHAnsi"/>
        </w:rPr>
        <w:t xml:space="preserve"> </w:t>
      </w:r>
      <w:r w:rsidRPr="008C2B47">
        <w:rPr>
          <w:rFonts w:asciiTheme="minorHAnsi" w:hAnsiTheme="minorHAnsi" w:cstheme="minorHAnsi"/>
          <w:sz w:val="16"/>
        </w:rPr>
        <w:t>The Australian Government Department of Health, 2018, General Explanatory Notes 13.33; Medicare Benefits Schedule, Canberra, viewed November 2018 &lt;http://www.mbsonline.gov.au/internet/mbsonline/publishing.nsf/Content/04AA67013FD6E6C0CA25834700038565/$File/201812-MBS.pdf&gt;.</w:t>
      </w:r>
      <w:r w:rsidRPr="008C2B47">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1A5D7" w14:textId="2B1334A4" w:rsidR="00D930F7" w:rsidRDefault="00D930F7">
    <w:pPr>
      <w:pStyle w:val="Header"/>
    </w:pPr>
    <w:r>
      <w:rPr>
        <w:noProof/>
        <w:lang w:eastAsia="en-AU"/>
      </w:rPr>
      <mc:AlternateContent>
        <mc:Choice Requires="wps">
          <w:drawing>
            <wp:anchor distT="0" distB="0" distL="114300" distR="114300" simplePos="0" relativeHeight="251657728" behindDoc="1" locked="0" layoutInCell="1" allowOverlap="1" wp14:anchorId="681EC5DE" wp14:editId="7F99C4D7">
              <wp:simplePos x="0" y="0"/>
              <wp:positionH relativeFrom="column">
                <wp:posOffset>1543685</wp:posOffset>
              </wp:positionH>
              <wp:positionV relativeFrom="paragraph">
                <wp:posOffset>3886200</wp:posOffset>
              </wp:positionV>
              <wp:extent cx="2575560" cy="773430"/>
              <wp:effectExtent l="0" t="504825" r="33655" b="495300"/>
              <wp:wrapNone/>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7734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0F1B0FE" w14:textId="77777777" w:rsidR="00D930F7" w:rsidRDefault="00D930F7" w:rsidP="00644C3E">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1EC5DE" id="_x0000_t202" coordsize="21600,21600" o:spt="202" path="m,l,21600r21600,l21600,xe">
              <v:stroke joinstyle="miter"/>
              <v:path gradientshapeok="t" o:connecttype="rect"/>
            </v:shapetype>
            <v:shape id="WordArt 3" o:spid="_x0000_s1027" type="#_x0000_t202" style="position:absolute;margin-left:121.55pt;margin-top:306pt;width:202.8pt;height:60.9pt;rotation:-3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" filled="f" stroked="f">
              <v:stroke joinstyle="round"/>
              <o:lock v:ext="edit" shapetype="t"/>
              <v:textbox style="mso-fit-shape-to-text:t">
                <w:txbxContent>
                  <w:p w14:paraId="50F1B0FE" w14:textId="77777777" w:rsidR="00D930F7" w:rsidRDefault="00D930F7" w:rsidP="00644C3E">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9D3B5" w14:textId="3351E84B" w:rsidR="00D930F7" w:rsidRDefault="00D930F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97172" w14:textId="68495471" w:rsidR="00D930F7" w:rsidRDefault="00D930F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4A002" w14:textId="7BF2F946" w:rsidR="00D930F7" w:rsidRDefault="00D930F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F1FC8" w14:textId="16FEB6AD" w:rsidR="00D930F7" w:rsidRDefault="00D930F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BB7F8" w14:textId="44B2CA3D" w:rsidR="00D930F7" w:rsidRDefault="00D930F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A84D3" w14:textId="60397307" w:rsidR="00D930F7" w:rsidRDefault="00D93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14EF4" w14:textId="1AD739D1" w:rsidR="00D930F7" w:rsidRPr="00645D25" w:rsidRDefault="00D930F7" w:rsidP="00120DE4">
    <w:pPr>
      <w:tabs>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CFB23" w14:textId="4BE4FEE3" w:rsidR="00D930F7" w:rsidRPr="00622DC9" w:rsidRDefault="00D930F7" w:rsidP="00120DE4">
    <w:pPr>
      <w:rPr>
        <w:szCs w:val="24"/>
      </w:rPr>
    </w:pPr>
    <w:r>
      <w:rPr>
        <w:noProof/>
        <w:lang w:eastAsia="en-AU"/>
      </w:rPr>
      <mc:AlternateContent>
        <mc:Choice Requires="wps">
          <w:drawing>
            <wp:anchor distT="0" distB="0" distL="114300" distR="114300" simplePos="0" relativeHeight="251680256" behindDoc="1" locked="0" layoutInCell="1" allowOverlap="1" wp14:anchorId="11467AB4" wp14:editId="1381529F">
              <wp:simplePos x="0" y="0"/>
              <wp:positionH relativeFrom="page">
                <wp:posOffset>870124</wp:posOffset>
              </wp:positionH>
              <wp:positionV relativeFrom="page">
                <wp:posOffset>1427137</wp:posOffset>
              </wp:positionV>
              <wp:extent cx="4136571" cy="4244400"/>
              <wp:effectExtent l="0" t="0" r="0" b="3810"/>
              <wp:wrapNone/>
              <wp:docPr id="1" name="Freeform 1" descr="Review of the Australian organ donation, retrieval and transplantation syste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6571" cy="4244400"/>
                      </a:xfrm>
                      <a:custGeom>
                        <a:avLst/>
                        <a:gdLst>
                          <a:gd name="T0" fmla="*/ 0 w 2074"/>
                          <a:gd name="T1" fmla="*/ 367 h 3182"/>
                          <a:gd name="T2" fmla="*/ 0 w 2074"/>
                          <a:gd name="T3" fmla="*/ 3182 h 3182"/>
                          <a:gd name="T4" fmla="*/ 2074 w 2074"/>
                          <a:gd name="T5" fmla="*/ 3182 h 3182"/>
                          <a:gd name="T6" fmla="*/ 2074 w 2074"/>
                          <a:gd name="T7" fmla="*/ 0 h 3182"/>
                          <a:gd name="T8" fmla="*/ 0 w 2074"/>
                          <a:gd name="T9" fmla="*/ 367 h 3182"/>
                          <a:gd name="connsiteX0" fmla="*/ 0 w 10000"/>
                          <a:gd name="connsiteY0" fmla="*/ 1153 h 10000"/>
                          <a:gd name="connsiteX1" fmla="*/ 0 w 10000"/>
                          <a:gd name="connsiteY1" fmla="*/ 8036 h 10000"/>
                          <a:gd name="connsiteX2" fmla="*/ 10000 w 10000"/>
                          <a:gd name="connsiteY2" fmla="*/ 10000 h 10000"/>
                          <a:gd name="connsiteX3" fmla="*/ 10000 w 10000"/>
                          <a:gd name="connsiteY3" fmla="*/ 0 h 10000"/>
                          <a:gd name="connsiteX4" fmla="*/ 0 w 10000"/>
                          <a:gd name="connsiteY4" fmla="*/ 1153 h 10000"/>
                          <a:gd name="connsiteX0" fmla="*/ 0 w 10000"/>
                          <a:gd name="connsiteY0" fmla="*/ 1153 h 8085"/>
                          <a:gd name="connsiteX1" fmla="*/ 0 w 10000"/>
                          <a:gd name="connsiteY1" fmla="*/ 8036 h 8085"/>
                          <a:gd name="connsiteX2" fmla="*/ 10000 w 10000"/>
                          <a:gd name="connsiteY2" fmla="*/ 8085 h 8085"/>
                          <a:gd name="connsiteX3" fmla="*/ 10000 w 10000"/>
                          <a:gd name="connsiteY3" fmla="*/ 0 h 8085"/>
                          <a:gd name="connsiteX4" fmla="*/ 0 w 10000"/>
                          <a:gd name="connsiteY4" fmla="*/ 1153 h 8085"/>
                          <a:gd name="connsiteX0" fmla="*/ 0 w 10000"/>
                          <a:gd name="connsiteY0" fmla="*/ 1426 h 10000"/>
                          <a:gd name="connsiteX1" fmla="*/ 0 w 10000"/>
                          <a:gd name="connsiteY1" fmla="*/ 9939 h 10000"/>
                          <a:gd name="connsiteX2" fmla="*/ 10000 w 10000"/>
                          <a:gd name="connsiteY2" fmla="*/ 10000 h 10000"/>
                          <a:gd name="connsiteX3" fmla="*/ 10000 w 10000"/>
                          <a:gd name="connsiteY3" fmla="*/ 0 h 10000"/>
                          <a:gd name="connsiteX4" fmla="*/ 0 w 10000"/>
                          <a:gd name="connsiteY4" fmla="*/ 1426 h 10000"/>
                          <a:gd name="connsiteX0" fmla="*/ 0 w 10000"/>
                          <a:gd name="connsiteY0" fmla="*/ 1426 h 10000"/>
                          <a:gd name="connsiteX1" fmla="*/ 0 w 10000"/>
                          <a:gd name="connsiteY1" fmla="*/ 9939 h 10000"/>
                          <a:gd name="connsiteX2" fmla="*/ 10000 w 10000"/>
                          <a:gd name="connsiteY2" fmla="*/ 10000 h 10000"/>
                          <a:gd name="connsiteX3" fmla="*/ 10000 w 10000"/>
                          <a:gd name="connsiteY3" fmla="*/ 0 h 10000"/>
                          <a:gd name="connsiteX4" fmla="*/ 0 w 10000"/>
                          <a:gd name="connsiteY4" fmla="*/ 142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426"/>
                            </a:moveTo>
                            <a:lnTo>
                              <a:pt x="0" y="9939"/>
                            </a:lnTo>
                            <a:lnTo>
                              <a:pt x="10000" y="10000"/>
                            </a:lnTo>
                            <a:lnTo>
                              <a:pt x="10000" y="0"/>
                            </a:lnTo>
                            <a:lnTo>
                              <a:pt x="0" y="142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11388F" id="Freeform 1" o:spid="_x0000_s1026" alt="Review of the Australian organ donation, retrieval and transplantation system" style="position:absolute;margin-left:68.5pt;margin-top:112.35pt;width:325.7pt;height:334.2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" path="m,1426l,9939r10000,61l10000,,,1426xe" fillcolor="#ffe600" stroked="f">
              <v:path arrowok="t" o:connecttype="custom" o:connectlocs="0,605251;0,4218509;4136571,4244400;4136571,0;0,605251" o:connectangles="0,0,0,0,0"/>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9D15B" w14:textId="05302D55" w:rsidR="00D930F7" w:rsidRDefault="00D930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ED5DC" w14:textId="2447BAD2" w:rsidR="00D930F7" w:rsidRDefault="00D930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ACE2B" w14:textId="4DD1D048" w:rsidR="00D930F7" w:rsidRDefault="00D930F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6CA54" w14:textId="42629589" w:rsidR="00D930F7" w:rsidRDefault="00D930F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42333" w14:textId="5B0F7B1D" w:rsidR="00D930F7" w:rsidRDefault="00D930F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51632" w14:textId="6ED6D2D1" w:rsidR="00D930F7" w:rsidRDefault="00D930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514A8"/>
    <w:multiLevelType w:val="multilevel"/>
    <w:tmpl w:val="93B406C4"/>
    <w:lvl w:ilvl="0">
      <w:start w:val="1"/>
      <w:numFmt w:val="decimal"/>
      <w:lvlRestart w:val="0"/>
      <w:pStyle w:val="Heading1"/>
      <w:lvlText w:val="%1."/>
      <w:lvlJc w:val="left"/>
      <w:pPr>
        <w:tabs>
          <w:tab w:val="num" w:pos="1559"/>
        </w:tabs>
        <w:ind w:left="0" w:firstLine="0"/>
      </w:pPr>
      <w:rPr>
        <w:rFonts w:asciiTheme="minorHAnsi" w:hAnsiTheme="minorHAnsi" w:cstheme="minorHAnsi" w:hint="default"/>
        <w:b w:val="0"/>
        <w:i w:val="0"/>
        <w:color w:val="7F7E82"/>
        <w:sz w:val="48"/>
      </w:rPr>
    </w:lvl>
    <w:lvl w:ilvl="1">
      <w:start w:val="1"/>
      <w:numFmt w:val="decimal"/>
      <w:pStyle w:val="Heading2"/>
      <w:lvlText w:val="%1.%2"/>
      <w:lvlJc w:val="left"/>
      <w:pPr>
        <w:tabs>
          <w:tab w:val="num" w:pos="1559"/>
        </w:tabs>
        <w:ind w:left="0" w:firstLine="0"/>
      </w:pPr>
      <w:rPr>
        <w:rFonts w:asciiTheme="minorHAnsi" w:hAnsiTheme="minorHAnsi" w:cstheme="minorHAnsi" w:hint="default"/>
        <w:b w:val="0"/>
        <w:i w:val="0"/>
        <w:color w:val="7F7F7F" w:themeColor="text1" w:themeTint="80"/>
        <w:sz w:val="36"/>
        <w:szCs w:val="36"/>
      </w:rPr>
    </w:lvl>
    <w:lvl w:ilvl="2">
      <w:start w:val="1"/>
      <w:numFmt w:val="decimal"/>
      <w:pStyle w:val="Heading3"/>
      <w:lvlText w:val="%1.%2.%3"/>
      <w:lvlJc w:val="left"/>
      <w:pPr>
        <w:tabs>
          <w:tab w:val="num" w:pos="1843"/>
        </w:tabs>
        <w:ind w:left="284" w:firstLine="0"/>
      </w:pPr>
      <w:rPr>
        <w:rFonts w:asciiTheme="minorHAnsi" w:hAnsiTheme="minorHAnsi" w:cstheme="minorHAnsi" w:hint="default"/>
        <w:b w:val="0"/>
        <w:i w:val="0"/>
        <w:color w:val="7F7F7F" w:themeColor="text1" w:themeTint="80"/>
        <w:sz w:val="30"/>
        <w:szCs w:val="30"/>
      </w:rPr>
    </w:lvl>
    <w:lvl w:ilvl="3">
      <w:start w:val="1"/>
      <w:numFmt w:val="decimal"/>
      <w:lvlText w:val="%1.%2.%3.%4"/>
      <w:lvlJc w:val="left"/>
      <w:pPr>
        <w:tabs>
          <w:tab w:val="num" w:pos="1559"/>
        </w:tabs>
        <w:ind w:left="0" w:firstLine="0"/>
      </w:pPr>
      <w:rPr>
        <w:rFonts w:asciiTheme="minorHAnsi" w:hAnsiTheme="minorHAnsi" w:cstheme="minorHAnsi" w:hint="default"/>
        <w:b w:val="0"/>
        <w:i/>
        <w:color w:val="7F7F7F" w:themeColor="text1" w:themeTint="80"/>
        <w:sz w:val="24"/>
        <w:szCs w:val="28"/>
      </w:rPr>
    </w:lvl>
    <w:lvl w:ilvl="4">
      <w:start w:val="1"/>
      <w:numFmt w:val="none"/>
      <w:lvlText w:val=""/>
      <w:lvlJc w:val="left"/>
      <w:pPr>
        <w:tabs>
          <w:tab w:val="num" w:pos="1559"/>
        </w:tabs>
        <w:ind w:left="0" w:firstLine="0"/>
      </w:pPr>
      <w:rPr>
        <w:rFonts w:hint="default"/>
      </w:rPr>
    </w:lvl>
    <w:lvl w:ilvl="5">
      <w:start w:val="1"/>
      <w:numFmt w:val="none"/>
      <w:lvlText w:val=""/>
      <w:lvlJc w:val="left"/>
      <w:pPr>
        <w:tabs>
          <w:tab w:val="num" w:pos="1559"/>
        </w:tabs>
        <w:ind w:left="0" w:firstLine="0"/>
      </w:pPr>
      <w:rPr>
        <w:rFonts w:hint="default"/>
      </w:rPr>
    </w:lvl>
    <w:lvl w:ilvl="6">
      <w:start w:val="1"/>
      <w:numFmt w:val="none"/>
      <w:lvlText w:val=""/>
      <w:lvlJc w:val="left"/>
      <w:pPr>
        <w:tabs>
          <w:tab w:val="num" w:pos="1559"/>
        </w:tabs>
        <w:ind w:left="0" w:firstLine="0"/>
      </w:pPr>
      <w:rPr>
        <w:rFonts w:hint="default"/>
      </w:rPr>
    </w:lvl>
    <w:lvl w:ilvl="7">
      <w:start w:val="1"/>
      <w:numFmt w:val="none"/>
      <w:lvlText w:val=""/>
      <w:lvlJc w:val="left"/>
      <w:pPr>
        <w:tabs>
          <w:tab w:val="num" w:pos="1559"/>
        </w:tabs>
        <w:ind w:left="0" w:firstLine="0"/>
      </w:pPr>
      <w:rPr>
        <w:rFonts w:hint="default"/>
      </w:rPr>
    </w:lvl>
    <w:lvl w:ilvl="8">
      <w:start w:val="1"/>
      <w:numFmt w:val="none"/>
      <w:lvlText w:val=""/>
      <w:lvlJc w:val="left"/>
      <w:pPr>
        <w:tabs>
          <w:tab w:val="num" w:pos="1559"/>
        </w:tabs>
        <w:ind w:left="0" w:firstLine="0"/>
      </w:pPr>
      <w:rPr>
        <w:rFonts w:hint="default"/>
      </w:rPr>
    </w:lvl>
  </w:abstractNum>
  <w:abstractNum w:abstractNumId="1" w15:restartNumberingAfterBreak="0">
    <w:nsid w:val="0984408E"/>
    <w:multiLevelType w:val="multilevel"/>
    <w:tmpl w:val="EE3860A0"/>
    <w:styleLink w:val="PwCListNumbers1"/>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 w15:restartNumberingAfterBreak="0">
    <w:nsid w:val="0B100CE5"/>
    <w:multiLevelType w:val="hybridMultilevel"/>
    <w:tmpl w:val="F3A2561E"/>
    <w:lvl w:ilvl="0" w:tplc="EFF4094C">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EE6418"/>
    <w:multiLevelType w:val="multilevel"/>
    <w:tmpl w:val="123493D2"/>
    <w:lvl w:ilvl="0">
      <w:start w:val="1"/>
      <w:numFmt w:val="decimal"/>
      <w:pStyle w:val="Heading1A"/>
      <w:lvlText w:val="C%1"/>
      <w:lvlJc w:val="left"/>
      <w:pPr>
        <w:tabs>
          <w:tab w:val="num" w:pos="924"/>
        </w:tabs>
        <w:ind w:left="924" w:hanging="924"/>
      </w:pPr>
    </w:lvl>
    <w:lvl w:ilvl="1">
      <w:start w:val="1"/>
      <w:numFmt w:val="decimal"/>
      <w:pStyle w:val="PFNumLevel2"/>
      <w:lvlText w:val="B%1.%2"/>
      <w:lvlJc w:val="left"/>
      <w:pPr>
        <w:tabs>
          <w:tab w:val="num" w:pos="924"/>
        </w:tabs>
        <w:ind w:left="924" w:hanging="924"/>
      </w:pPr>
    </w:lvl>
    <w:lvl w:ilvl="2">
      <w:start w:val="1"/>
      <w:numFmt w:val="decimal"/>
      <w:pStyle w:val="PFNumLevel3"/>
      <w:lvlText w:val="%1.%2.%3"/>
      <w:lvlJc w:val="left"/>
      <w:pPr>
        <w:tabs>
          <w:tab w:val="num" w:pos="1848"/>
        </w:tabs>
        <w:ind w:left="1848" w:hanging="924"/>
      </w:pPr>
    </w:lvl>
    <w:lvl w:ilvl="3">
      <w:start w:val="1"/>
      <w:numFmt w:val="lowerLetter"/>
      <w:pStyle w:val="PFNumLevel4"/>
      <w:lvlText w:val="(%4)"/>
      <w:lvlJc w:val="left"/>
      <w:pPr>
        <w:tabs>
          <w:tab w:val="num" w:pos="2773"/>
        </w:tabs>
        <w:ind w:left="2773" w:hanging="925"/>
      </w:pPr>
    </w:lvl>
    <w:lvl w:ilvl="4">
      <w:start w:val="1"/>
      <w:numFmt w:val="lowerLetter"/>
      <w:pStyle w:val="PFNumLevel5"/>
      <w:lvlText w:val="(%5)"/>
      <w:lvlJc w:val="left"/>
      <w:pPr>
        <w:tabs>
          <w:tab w:val="num" w:pos="1848"/>
        </w:tabs>
        <w:ind w:left="1848" w:hanging="924"/>
      </w:pPr>
    </w:lvl>
    <w:lvl w:ilvl="5">
      <w:start w:val="1"/>
      <w:numFmt w:val="lowerRoman"/>
      <w:lvlRestart w:val="4"/>
      <w:pStyle w:val="PFNumLevel6"/>
      <w:lvlText w:val="(%6)"/>
      <w:lvlJc w:val="left"/>
      <w:pPr>
        <w:tabs>
          <w:tab w:val="num" w:pos="3697"/>
        </w:tabs>
        <w:ind w:left="3697" w:hanging="924"/>
      </w:pPr>
    </w:lvl>
    <w:lvl w:ilvl="6">
      <w:start w:val="1"/>
      <w:numFmt w:val="none"/>
      <w:suff w:val="nothing"/>
      <w:lvlText w:val=""/>
      <w:lvlJc w:val="left"/>
      <w:pPr>
        <w:ind w:left="0" w:firstLine="0"/>
      </w:pPr>
    </w:lvl>
    <w:lvl w:ilvl="7">
      <w:start w:val="1"/>
      <w:numFmt w:val="none"/>
      <w:suff w:val="nothing"/>
      <w:lvlText w:val=""/>
      <w:lvlJc w:val="left"/>
      <w:pPr>
        <w:ind w:left="-32767" w:firstLine="32767"/>
      </w:pPr>
    </w:lvl>
    <w:lvl w:ilvl="8">
      <w:start w:val="1"/>
      <w:numFmt w:val="none"/>
      <w:suff w:val="nothing"/>
      <w:lvlText w:val=""/>
      <w:lvlJc w:val="left"/>
      <w:pPr>
        <w:ind w:left="0" w:firstLine="0"/>
      </w:pPr>
    </w:lvl>
  </w:abstractNum>
  <w:abstractNum w:abstractNumId="4" w15:restartNumberingAfterBreak="0">
    <w:nsid w:val="0F335229"/>
    <w:multiLevelType w:val="hybridMultilevel"/>
    <w:tmpl w:val="C85AC49E"/>
    <w:lvl w:ilvl="0" w:tplc="86CA6CD2">
      <w:start w:val="1"/>
      <w:numFmt w:val="bullet"/>
      <w:pStyle w:val="EYBulletedtext1"/>
      <w:lvlText w:val="•"/>
      <w:lvlJc w:val="left"/>
      <w:pPr>
        <w:ind w:left="360" w:hanging="360"/>
      </w:pPr>
      <w:rPr>
        <w:rFonts w:ascii="EYInterstate" w:hAnsi="EYInterstate" w:hint="default"/>
        <w:color w:val="FFE600"/>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954A04"/>
    <w:multiLevelType w:val="hybridMultilevel"/>
    <w:tmpl w:val="5A26C4F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7E8E7F6E">
      <w:start w:val="1"/>
      <w:numFmt w:val="decimal"/>
      <w:lvlText w:val="%3."/>
      <w:lvlJc w:val="left"/>
      <w:pPr>
        <w:ind w:left="2340" w:hanging="360"/>
      </w:pPr>
      <w:rPr>
        <w:rFonts w:hint="default"/>
      </w:rPr>
    </w:lvl>
    <w:lvl w:ilvl="3" w:tplc="06401D00">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3C4B44"/>
    <w:multiLevelType w:val="multilevel"/>
    <w:tmpl w:val="4E5C847A"/>
    <w:styleLink w:val="Indents"/>
    <w:lvl w:ilvl="0">
      <w:start w:val="1"/>
      <w:numFmt w:val="none"/>
      <w:suff w:val="nothing"/>
      <w:lvlText w:val=""/>
      <w:lvlJc w:val="left"/>
      <w:pPr>
        <w:ind w:left="0" w:firstLine="0"/>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835" w:firstLine="0"/>
      </w:pPr>
      <w:rPr>
        <w:rFonts w:hint="default"/>
      </w:rPr>
    </w:lvl>
    <w:lvl w:ilvl="6">
      <w:start w:val="1"/>
      <w:numFmt w:val="none"/>
      <w:suff w:val="nothing"/>
      <w:lvlText w:val=""/>
      <w:lvlJc w:val="left"/>
      <w:pPr>
        <w:ind w:left="3402" w:firstLine="0"/>
      </w:pPr>
      <w:rPr>
        <w:rFonts w:hint="default"/>
      </w:rPr>
    </w:lvl>
    <w:lvl w:ilvl="7">
      <w:start w:val="1"/>
      <w:numFmt w:val="none"/>
      <w:suff w:val="nothing"/>
      <w:lvlText w:val=""/>
      <w:lvlJc w:val="left"/>
      <w:pPr>
        <w:ind w:left="3969" w:firstLine="0"/>
      </w:pPr>
      <w:rPr>
        <w:rFonts w:hint="default"/>
      </w:rPr>
    </w:lvl>
    <w:lvl w:ilvl="8">
      <w:start w:val="1"/>
      <w:numFmt w:val="none"/>
      <w:suff w:val="nothing"/>
      <w:lvlText w:val=""/>
      <w:lvlJc w:val="left"/>
      <w:pPr>
        <w:ind w:left="4536" w:firstLine="0"/>
      </w:pPr>
      <w:rPr>
        <w:rFonts w:hint="default"/>
      </w:rPr>
    </w:lvl>
  </w:abstractNum>
  <w:abstractNum w:abstractNumId="7" w15:restartNumberingAfterBreak="0">
    <w:nsid w:val="115A6114"/>
    <w:multiLevelType w:val="hybridMultilevel"/>
    <w:tmpl w:val="2DDE0526"/>
    <w:lvl w:ilvl="0" w:tplc="548008A6">
      <w:start w:val="1"/>
      <w:numFmt w:val="bullet"/>
      <w:pStyle w:val="Bullet1"/>
      <w:lvlText w:val=""/>
      <w:lvlJc w:val="left"/>
      <w:pPr>
        <w:tabs>
          <w:tab w:val="num" w:pos="357"/>
        </w:tabs>
        <w:ind w:left="357" w:hanging="357"/>
      </w:pPr>
      <w:rPr>
        <w:rFonts w:ascii="Symbol" w:hAnsi="Symbol" w:hint="default"/>
        <w:b w:val="0"/>
        <w:i w:val="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5C1B4B"/>
    <w:multiLevelType w:val="hybridMultilevel"/>
    <w:tmpl w:val="964C70BA"/>
    <w:lvl w:ilvl="0" w:tplc="FC4234B2">
      <w:start w:val="1"/>
      <w:numFmt w:val="bullet"/>
      <w:lvlText w:val="•"/>
      <w:lvlJc w:val="left"/>
      <w:pPr>
        <w:ind w:left="720" w:hanging="360"/>
      </w:pPr>
      <w:rPr>
        <w:rFonts w:asciiTheme="minorHAnsi" w:hAnsiTheme="minorHAns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C832B8"/>
    <w:multiLevelType w:val="hybridMultilevel"/>
    <w:tmpl w:val="F8821AD8"/>
    <w:lvl w:ilvl="0" w:tplc="0C090001">
      <w:start w:val="1"/>
      <w:numFmt w:val="bullet"/>
      <w:lvlText w:val=""/>
      <w:lvlJc w:val="left"/>
      <w:pPr>
        <w:ind w:left="360" w:hanging="360"/>
      </w:pPr>
      <w:rPr>
        <w:rFonts w:ascii="Symbol" w:hAnsi="Symbol" w:hint="default"/>
      </w:rPr>
    </w:lvl>
    <w:lvl w:ilvl="1" w:tplc="014E442C">
      <w:numFmt w:val="bullet"/>
      <w:lvlText w:val="-"/>
      <w:lvlJc w:val="left"/>
      <w:pPr>
        <w:ind w:left="1080" w:hanging="360"/>
      </w:pPr>
      <w:rPr>
        <w:rFonts w:ascii="EYInterstate Light" w:eastAsia="Times New Roman" w:hAnsi="EYInterstate Light" w:cstheme="minorHAns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CD55DC2"/>
    <w:multiLevelType w:val="hybridMultilevel"/>
    <w:tmpl w:val="3F8095B4"/>
    <w:lvl w:ilvl="0" w:tplc="0C09000F">
      <w:start w:val="1"/>
      <w:numFmt w:val="decimal"/>
      <w:lvlText w:val="%1."/>
      <w:lvlJc w:val="left"/>
      <w:pPr>
        <w:ind w:left="360" w:hanging="360"/>
      </w:pPr>
      <w:rPr>
        <w:rFonts w:hint="default"/>
      </w:rPr>
    </w:lvl>
    <w:lvl w:ilvl="1" w:tplc="014E442C">
      <w:numFmt w:val="bullet"/>
      <w:lvlText w:val="-"/>
      <w:lvlJc w:val="left"/>
      <w:pPr>
        <w:ind w:left="1080" w:hanging="360"/>
      </w:pPr>
      <w:rPr>
        <w:rFonts w:ascii="EYInterstate Light" w:eastAsia="Times New Roman" w:hAnsi="EYInterstate Light" w:cstheme="minorHAns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F4C6CFF"/>
    <w:multiLevelType w:val="hybridMultilevel"/>
    <w:tmpl w:val="E1643E50"/>
    <w:lvl w:ilvl="0" w:tplc="4A46F01C">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033BB5"/>
    <w:multiLevelType w:val="hybridMultilevel"/>
    <w:tmpl w:val="7B0CE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103DD2"/>
    <w:multiLevelType w:val="multilevel"/>
    <w:tmpl w:val="A6E4E968"/>
    <w:lvl w:ilvl="0">
      <w:start w:val="1"/>
      <w:numFmt w:val="bullet"/>
      <w:lvlText w:val=""/>
      <w:lvlJc w:val="left"/>
      <w:pPr>
        <w:tabs>
          <w:tab w:val="num" w:pos="360"/>
        </w:tabs>
        <w:ind w:left="360" w:hanging="360"/>
      </w:pPr>
      <w:rPr>
        <w:rFonts w:ascii="Symbol" w:hAnsi="Symbol" w:hint="default"/>
        <w:color w:val="auto"/>
        <w:sz w:val="20"/>
        <w:szCs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4A224D5"/>
    <w:multiLevelType w:val="hybridMultilevel"/>
    <w:tmpl w:val="90D016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BF45E4E"/>
    <w:multiLevelType w:val="hybridMultilevel"/>
    <w:tmpl w:val="43A69A38"/>
    <w:lvl w:ilvl="0" w:tplc="F6A4A80E">
      <w:start w:val="1"/>
      <w:numFmt w:val="bullet"/>
      <w:lvlText w:val="-"/>
      <w:lvlJc w:val="left"/>
      <w:pPr>
        <w:ind w:left="720" w:hanging="360"/>
      </w:pPr>
      <w:rPr>
        <w:rFonts w:ascii="Courier New" w:hAnsi="Courier New" w:hint="default"/>
      </w:rPr>
    </w:lvl>
    <w:lvl w:ilvl="1" w:tplc="0C090019">
      <w:start w:val="1"/>
      <w:numFmt w:val="lowerLetter"/>
      <w:lvlText w:val="%2."/>
      <w:lvlJc w:val="left"/>
      <w:pPr>
        <w:ind w:left="1440" w:hanging="360"/>
      </w:pPr>
    </w:lvl>
    <w:lvl w:ilvl="2" w:tplc="7E8E7F6E">
      <w:start w:val="1"/>
      <w:numFmt w:val="decimal"/>
      <w:lvlText w:val="%3."/>
      <w:lvlJc w:val="left"/>
      <w:pPr>
        <w:ind w:left="2340" w:hanging="360"/>
      </w:pPr>
      <w:rPr>
        <w:rFonts w:hint="default"/>
      </w:rPr>
    </w:lvl>
    <w:lvl w:ilvl="3" w:tplc="06401D00">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F876DE"/>
    <w:multiLevelType w:val="multilevel"/>
    <w:tmpl w:val="B7F496D4"/>
    <w:lvl w:ilvl="0">
      <w:start w:val="1"/>
      <w:numFmt w:val="bullet"/>
      <w:lvlRestart w:val="0"/>
      <w:pStyle w:val="TableBullet1Small"/>
      <w:lvlText w:val=""/>
      <w:lvlJc w:val="left"/>
      <w:pPr>
        <w:tabs>
          <w:tab w:val="num" w:pos="284"/>
        </w:tabs>
        <w:ind w:left="170" w:hanging="170"/>
      </w:pPr>
      <w:rPr>
        <w:rFonts w:ascii="Symbol" w:hAnsi="Symbol" w:hint="default"/>
        <w:b w:val="0"/>
        <w:i w:val="0"/>
        <w:color w:val="auto"/>
      </w:rPr>
    </w:lvl>
    <w:lvl w:ilvl="1">
      <w:start w:val="1"/>
      <w:numFmt w:val="bullet"/>
      <w:lvlRestart w:val="0"/>
      <w:pStyle w:val="TableBullet2Small"/>
      <w:lvlText w:val="–"/>
      <w:lvlJc w:val="left"/>
      <w:pPr>
        <w:tabs>
          <w:tab w:val="num" w:pos="567"/>
        </w:tabs>
        <w:ind w:left="340" w:hanging="170"/>
      </w:pPr>
      <w:rPr>
        <w:rFonts w:ascii="Arial" w:hAnsi="Arial" w:hint="default"/>
        <w:b w:val="0"/>
        <w:i w:val="0"/>
        <w:color w:val="auto"/>
      </w:rPr>
    </w:lvl>
    <w:lvl w:ilvl="2">
      <w:start w:val="1"/>
      <w:numFmt w:val="bullet"/>
      <w:lvlRestart w:val="0"/>
      <w:pStyle w:val="TableBullet3Small"/>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7" w15:restartNumberingAfterBreak="0">
    <w:nsid w:val="2CBD7AC8"/>
    <w:multiLevelType w:val="hybridMultilevel"/>
    <w:tmpl w:val="3B56CB20"/>
    <w:lvl w:ilvl="0" w:tplc="92207A7C">
      <w:start w:val="1"/>
      <w:numFmt w:val="bullet"/>
      <w:pStyle w:val="dotpointlistlas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2F8A040A"/>
    <w:multiLevelType w:val="hybridMultilevel"/>
    <w:tmpl w:val="8C948CBA"/>
    <w:lvl w:ilvl="0" w:tplc="62F271D0">
      <w:start w:val="1"/>
      <w:numFmt w:val="decimal"/>
      <w:lvlText w:val="%1."/>
      <w:lvlJc w:val="left"/>
      <w:pPr>
        <w:ind w:left="360" w:hanging="360"/>
      </w:pPr>
      <w:rPr>
        <w:rFonts w:hint="default"/>
        <w:sz w:val="24"/>
      </w:rPr>
    </w:lvl>
    <w:lvl w:ilvl="1" w:tplc="014E442C">
      <w:numFmt w:val="bullet"/>
      <w:lvlText w:val="-"/>
      <w:lvlJc w:val="left"/>
      <w:pPr>
        <w:ind w:left="1080" w:hanging="360"/>
      </w:pPr>
      <w:rPr>
        <w:rFonts w:ascii="EYInterstate Light" w:eastAsia="Times New Roman" w:hAnsi="EYInterstate Light" w:cstheme="minorHAns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1664D81"/>
    <w:multiLevelType w:val="hybridMultilevel"/>
    <w:tmpl w:val="15DA934C"/>
    <w:lvl w:ilvl="0" w:tplc="0F602136">
      <w:numFmt w:val="bullet"/>
      <w:lvlText w:val="•"/>
      <w:lvlJc w:val="left"/>
      <w:pPr>
        <w:ind w:left="1137" w:hanging="720"/>
      </w:pPr>
      <w:rPr>
        <w:rFonts w:ascii="Calibri" w:eastAsia="Times New Roman" w:hAnsi="Calibri" w:cs="Calibri"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0" w15:restartNumberingAfterBreak="0">
    <w:nsid w:val="38D4583D"/>
    <w:multiLevelType w:val="multilevel"/>
    <w:tmpl w:val="CFCA17F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3C1F384C"/>
    <w:multiLevelType w:val="hybridMultilevel"/>
    <w:tmpl w:val="0090CC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CAD7C82"/>
    <w:multiLevelType w:val="multilevel"/>
    <w:tmpl w:val="A1D615B4"/>
    <w:lvl w:ilvl="0">
      <w:start w:val="1"/>
      <w:numFmt w:val="bullet"/>
      <w:pStyle w:val="EYBulletedList1"/>
      <w:lvlText w:val="►"/>
      <w:lvlJc w:val="left"/>
      <w:pPr>
        <w:ind w:left="360" w:hanging="360"/>
      </w:pPr>
      <w:rPr>
        <w:rFonts w:ascii="Arial" w:hAnsi="Arial" w:hint="default"/>
        <w:b w:val="0"/>
        <w:i w:val="0"/>
        <w:color w:val="FFE600"/>
        <w:sz w:val="15"/>
        <w:szCs w:val="15"/>
      </w:rPr>
    </w:lvl>
    <w:lvl w:ilvl="1">
      <w:start w:val="1"/>
      <w:numFmt w:val="bullet"/>
      <w:lvlText w:val="•"/>
      <w:lvlJc w:val="left"/>
      <w:pPr>
        <w:tabs>
          <w:tab w:val="num" w:pos="576"/>
        </w:tabs>
        <w:ind w:left="576" w:hanging="288"/>
      </w:pPr>
      <w:rPr>
        <w:rFonts w:ascii="EYInterstate Light" w:hAnsi="EYInterstate Light" w:hint="default"/>
        <w:b w:val="0"/>
        <w:i w:val="0"/>
        <w:color w:val="FFE600"/>
        <w:sz w:val="20"/>
        <w:szCs w:val="24"/>
      </w:rPr>
    </w:lvl>
    <w:lvl w:ilvl="2">
      <w:start w:val="1"/>
      <w:numFmt w:val="bullet"/>
      <w:lvlText w:val="•"/>
      <w:lvlJc w:val="left"/>
      <w:pPr>
        <w:tabs>
          <w:tab w:val="num" w:pos="864"/>
        </w:tabs>
        <w:ind w:left="864" w:hanging="288"/>
      </w:pPr>
      <w:rPr>
        <w:rFonts w:ascii="EYInterstate Light" w:hAnsi="EYInterstate Light" w:hint="default"/>
        <w:b w:val="0"/>
        <w:i w:val="0"/>
        <w:color w:val="FFE6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23" w15:restartNumberingAfterBreak="0">
    <w:nsid w:val="3CEC6E40"/>
    <w:multiLevelType w:val="hybridMultilevel"/>
    <w:tmpl w:val="C7328164"/>
    <w:lvl w:ilvl="0" w:tplc="0C090001">
      <w:start w:val="1"/>
      <w:numFmt w:val="bullet"/>
      <w:lvlText w:val=""/>
      <w:lvlJc w:val="left"/>
      <w:pPr>
        <w:ind w:left="720" w:hanging="360"/>
      </w:pPr>
      <w:rPr>
        <w:rFonts w:ascii="Symbol" w:hAnsi="Symbol" w:hint="default"/>
      </w:rPr>
    </w:lvl>
    <w:lvl w:ilvl="1" w:tplc="7BC260E6">
      <w:start w:val="1"/>
      <w:numFmt w:val="bullet"/>
      <w:pStyle w:val="EYBulletedList2"/>
      <w:lvlText w:val="►"/>
      <w:lvlJc w:val="left"/>
      <w:pPr>
        <w:ind w:left="1440" w:hanging="360"/>
      </w:pPr>
      <w:rPr>
        <w:rFonts w:ascii="Arial" w:hAnsi="Arial" w:hint="default"/>
        <w:color w:val="FFE600"/>
        <w:sz w:val="15"/>
        <w:szCs w:val="15"/>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477108"/>
    <w:multiLevelType w:val="hybridMultilevel"/>
    <w:tmpl w:val="3A52C5C6"/>
    <w:lvl w:ilvl="0" w:tplc="A6906564">
      <w:start w:val="4"/>
      <w:numFmt w:val="bullet"/>
      <w:lvlText w:val="-"/>
      <w:lvlJc w:val="left"/>
      <w:pPr>
        <w:ind w:left="720" w:hanging="360"/>
      </w:pPr>
      <w:rPr>
        <w:rFonts w:ascii="Calibri" w:eastAsia="Times New Roman" w:hAnsi="Calibri" w:cs="Calibri"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CA7CE2"/>
    <w:multiLevelType w:val="hybridMultilevel"/>
    <w:tmpl w:val="8AFC47D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40064DD"/>
    <w:multiLevelType w:val="hybridMultilevel"/>
    <w:tmpl w:val="429CDD0C"/>
    <w:lvl w:ilvl="0" w:tplc="C3C4D7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6542A2"/>
    <w:multiLevelType w:val="hybridMultilevel"/>
    <w:tmpl w:val="0CAEB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662D20"/>
    <w:multiLevelType w:val="multilevel"/>
    <w:tmpl w:val="BA7236B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Times New Roman" w:hAnsi="Times New Roman"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48AB18C9"/>
    <w:multiLevelType w:val="hybridMultilevel"/>
    <w:tmpl w:val="6B7AB60A"/>
    <w:lvl w:ilvl="0" w:tplc="EFF4094C">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AB5470"/>
    <w:multiLevelType w:val="multilevel"/>
    <w:tmpl w:val="94DC5112"/>
    <w:lvl w:ilvl="0">
      <w:start w:val="1"/>
      <w:numFmt w:val="bullet"/>
      <w:lvlRestart w:val="0"/>
      <w:pStyle w:val="ListBullet"/>
      <w:lvlText w:val=""/>
      <w:lvlJc w:val="left"/>
      <w:pPr>
        <w:tabs>
          <w:tab w:val="num" w:pos="567"/>
        </w:tabs>
        <w:ind w:left="567" w:hanging="567"/>
      </w:pPr>
      <w:rPr>
        <w:rFonts w:ascii="Symbol" w:hAnsi="Symbol" w:hint="default"/>
        <w:b w:val="0"/>
        <w:i w:val="0"/>
        <w:color w:val="auto"/>
      </w:rPr>
    </w:lvl>
    <w:lvl w:ilvl="1">
      <w:start w:val="1"/>
      <w:numFmt w:val="bullet"/>
      <w:pStyle w:val="ListBullet2"/>
      <w:lvlText w:val="–"/>
      <w:lvlJc w:val="left"/>
      <w:pPr>
        <w:tabs>
          <w:tab w:val="num" w:pos="1134"/>
        </w:tabs>
        <w:ind w:left="1134" w:hanging="567"/>
      </w:pPr>
      <w:rPr>
        <w:rFonts w:ascii="Arial" w:hAnsi="Arial" w:hint="default"/>
        <w:b w:val="0"/>
        <w:i w:val="0"/>
        <w:color w:val="auto"/>
      </w:rPr>
    </w:lvl>
    <w:lvl w:ilvl="2">
      <w:start w:val="1"/>
      <w:numFmt w:val="bullet"/>
      <w:pStyle w:val="ListBullet3"/>
      <w:lvlText w:val="◦"/>
      <w:lvlJc w:val="left"/>
      <w:pPr>
        <w:tabs>
          <w:tab w:val="num" w:pos="1701"/>
        </w:tabs>
        <w:ind w:left="1701" w:hanging="567"/>
      </w:pPr>
      <w:rPr>
        <w:rFonts w:ascii="Georgia" w:hAnsi="Georgia" w:hint="default"/>
        <w:b w:val="0"/>
        <w:i w:val="0"/>
        <w:color w:val="auto"/>
        <w:sz w:val="18"/>
        <w:szCs w:val="10"/>
      </w:rPr>
    </w:lvl>
    <w:lvl w:ilvl="3">
      <w:start w:val="1"/>
      <w:numFmt w:val="bullet"/>
      <w:pStyle w:val="ListBullet4"/>
      <w:lvlText w:val=""/>
      <w:lvlJc w:val="left"/>
      <w:pPr>
        <w:tabs>
          <w:tab w:val="num" w:pos="2268"/>
        </w:tabs>
        <w:ind w:left="2268" w:hanging="567"/>
      </w:pPr>
      <w:rPr>
        <w:rFonts w:ascii="Symbol" w:hAnsi="Symbol" w:hint="default"/>
        <w:b w:val="0"/>
        <w:i w:val="0"/>
        <w:color w:val="auto"/>
        <w:sz w:val="20"/>
        <w:szCs w:val="10"/>
      </w:rPr>
    </w:lvl>
    <w:lvl w:ilvl="4">
      <w:start w:val="1"/>
      <w:numFmt w:val="bullet"/>
      <w:pStyle w:val="ListBullet5"/>
      <w:lvlText w:val="~"/>
      <w:lvlJc w:val="left"/>
      <w:pPr>
        <w:tabs>
          <w:tab w:val="num" w:pos="2835"/>
        </w:tabs>
        <w:ind w:left="2835" w:hanging="567"/>
      </w:pPr>
      <w:rPr>
        <w:rFonts w:ascii="Georgia" w:hAnsi="Georgia" w:hint="default"/>
        <w:color w:val="auto"/>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1" w15:restartNumberingAfterBreak="0">
    <w:nsid w:val="4C18701D"/>
    <w:multiLevelType w:val="multilevel"/>
    <w:tmpl w:val="F1669212"/>
    <w:styleLink w:val="EYAlphaNumList"/>
    <w:lvl w:ilvl="0">
      <w:start w:val="1"/>
      <w:numFmt w:val="decimal"/>
      <w:pStyle w:val="EY1Number"/>
      <w:lvlText w:val="%1."/>
      <w:lvlJc w:val="left"/>
      <w:pPr>
        <w:ind w:left="425" w:hanging="425"/>
      </w:pPr>
      <w:rPr>
        <w:rFonts w:hint="default"/>
      </w:rPr>
    </w:lvl>
    <w:lvl w:ilvl="1">
      <w:start w:val="1"/>
      <w:numFmt w:val="lowerLetter"/>
      <w:pStyle w:val="EY2Letter"/>
      <w:lvlText w:val="%2."/>
      <w:lvlJc w:val="left"/>
      <w:pPr>
        <w:ind w:left="851" w:hanging="426"/>
      </w:pPr>
      <w:rPr>
        <w:rFonts w:hint="default"/>
      </w:rPr>
    </w:lvl>
    <w:lvl w:ilvl="2">
      <w:start w:val="1"/>
      <w:numFmt w:val="lowerRoman"/>
      <w:pStyle w:val="EY3Roman"/>
      <w:lvlText w:val="%3."/>
      <w:lvlJc w:val="left"/>
      <w:pPr>
        <w:ind w:left="1276" w:hanging="425"/>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4CBE49A6"/>
    <w:multiLevelType w:val="hybridMultilevel"/>
    <w:tmpl w:val="95267DB8"/>
    <w:lvl w:ilvl="0" w:tplc="71809FB8">
      <w:start w:val="1"/>
      <w:numFmt w:val="bullet"/>
      <w:lvlText w:val="-"/>
      <w:lvlJc w:val="left"/>
      <w:pPr>
        <w:ind w:left="720" w:hanging="360"/>
      </w:pPr>
      <w:rPr>
        <w:rFonts w:ascii="Courier New" w:hAnsi="Courier New"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902CC7"/>
    <w:multiLevelType w:val="hybridMultilevel"/>
    <w:tmpl w:val="D5BC49A4"/>
    <w:lvl w:ilvl="0" w:tplc="0C090001">
      <w:start w:val="1"/>
      <w:numFmt w:val="bullet"/>
      <w:lvlText w:val=""/>
      <w:lvlJc w:val="left"/>
      <w:pPr>
        <w:ind w:left="360" w:hanging="360"/>
      </w:pPr>
      <w:rPr>
        <w:rFonts w:ascii="Symbol" w:hAnsi="Symbol" w:hint="default"/>
      </w:rPr>
    </w:lvl>
    <w:lvl w:ilvl="1" w:tplc="014E442C">
      <w:numFmt w:val="bullet"/>
      <w:lvlText w:val="-"/>
      <w:lvlJc w:val="left"/>
      <w:pPr>
        <w:ind w:left="1080" w:hanging="360"/>
      </w:pPr>
      <w:rPr>
        <w:rFonts w:ascii="EYInterstate Light" w:eastAsia="Times New Roman" w:hAnsi="EYInterstate Light" w:cstheme="minorHAns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3547F99"/>
    <w:multiLevelType w:val="hybridMultilevel"/>
    <w:tmpl w:val="C54C76D8"/>
    <w:lvl w:ilvl="0" w:tplc="0C090017">
      <w:start w:val="1"/>
      <w:numFmt w:val="lowerLetter"/>
      <w:lvlText w:val="%1)"/>
      <w:lvlJc w:val="left"/>
      <w:pPr>
        <w:ind w:left="717" w:hanging="360"/>
      </w:pPr>
    </w:lvl>
    <w:lvl w:ilvl="1" w:tplc="0C090019">
      <w:start w:val="1"/>
      <w:numFmt w:val="lowerLetter"/>
      <w:lvlText w:val="%2."/>
      <w:lvlJc w:val="left"/>
      <w:pPr>
        <w:ind w:left="1437" w:hanging="360"/>
      </w:pPr>
    </w:lvl>
    <w:lvl w:ilvl="2" w:tplc="0C09001B">
      <w:start w:val="1"/>
      <w:numFmt w:val="lowerRoman"/>
      <w:lvlText w:val="%3."/>
      <w:lvlJc w:val="right"/>
      <w:pPr>
        <w:ind w:left="2157" w:hanging="180"/>
      </w:pPr>
    </w:lvl>
    <w:lvl w:ilvl="3" w:tplc="0C09000F">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5" w15:restartNumberingAfterBreak="0">
    <w:nsid w:val="567B6658"/>
    <w:multiLevelType w:val="hybridMultilevel"/>
    <w:tmpl w:val="E0907D20"/>
    <w:lvl w:ilvl="0" w:tplc="3DB23904">
      <w:start w:val="2018"/>
      <w:numFmt w:val="bullet"/>
      <w:lvlText w:val="-"/>
      <w:lvlJc w:val="left"/>
      <w:pPr>
        <w:ind w:left="720" w:hanging="360"/>
      </w:pPr>
      <w:rPr>
        <w:rFonts w:ascii="EYInterstate Light" w:eastAsia="Times New Roman" w:hAnsi="EYInterstate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C13FE7"/>
    <w:multiLevelType w:val="multilevel"/>
    <w:tmpl w:val="07D48CA4"/>
    <w:styleLink w:val="AppList"/>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5AEA0450"/>
    <w:multiLevelType w:val="hybridMultilevel"/>
    <w:tmpl w:val="648CB0B8"/>
    <w:lvl w:ilvl="0" w:tplc="EFF4094C">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026CD8"/>
    <w:multiLevelType w:val="hybridMultilevel"/>
    <w:tmpl w:val="419A0F7C"/>
    <w:lvl w:ilvl="0" w:tplc="46CC562A">
      <w:start w:val="1"/>
      <w:numFmt w:val="bullet"/>
      <w:pStyle w:val="dotpointlis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093C73"/>
    <w:multiLevelType w:val="hybridMultilevel"/>
    <w:tmpl w:val="8B189394"/>
    <w:lvl w:ilvl="0" w:tplc="0F602136">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917BB9"/>
    <w:multiLevelType w:val="multilevel"/>
    <w:tmpl w:val="4E5C847A"/>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567" w:firstLine="0"/>
      </w:pPr>
      <w:rPr>
        <w:rFonts w:hint="default"/>
      </w:rPr>
    </w:lvl>
    <w:lvl w:ilvl="2">
      <w:start w:val="1"/>
      <w:numFmt w:val="none"/>
      <w:pStyle w:val="Indent2"/>
      <w:suff w:val="nothing"/>
      <w:lvlText w:val=""/>
      <w:lvlJc w:val="left"/>
      <w:pPr>
        <w:ind w:left="1134" w:firstLine="0"/>
      </w:pPr>
      <w:rPr>
        <w:rFonts w:hint="default"/>
      </w:rPr>
    </w:lvl>
    <w:lvl w:ilvl="3">
      <w:start w:val="1"/>
      <w:numFmt w:val="none"/>
      <w:pStyle w:val="Indent3"/>
      <w:suff w:val="nothing"/>
      <w:lvlText w:val=""/>
      <w:lvlJc w:val="left"/>
      <w:pPr>
        <w:ind w:left="1701" w:firstLine="0"/>
      </w:pPr>
      <w:rPr>
        <w:rFonts w:hint="default"/>
      </w:rPr>
    </w:lvl>
    <w:lvl w:ilvl="4">
      <w:start w:val="1"/>
      <w:numFmt w:val="none"/>
      <w:pStyle w:val="Indent4"/>
      <w:suff w:val="nothing"/>
      <w:lvlText w:val=""/>
      <w:lvlJc w:val="left"/>
      <w:pPr>
        <w:ind w:left="2268" w:firstLine="0"/>
      </w:pPr>
      <w:rPr>
        <w:rFonts w:hint="default"/>
      </w:rPr>
    </w:lvl>
    <w:lvl w:ilvl="5">
      <w:start w:val="1"/>
      <w:numFmt w:val="none"/>
      <w:pStyle w:val="Indent5"/>
      <w:suff w:val="nothing"/>
      <w:lvlText w:val=""/>
      <w:lvlJc w:val="left"/>
      <w:pPr>
        <w:ind w:left="2835" w:firstLine="0"/>
      </w:pPr>
      <w:rPr>
        <w:rFonts w:hint="default"/>
      </w:rPr>
    </w:lvl>
    <w:lvl w:ilvl="6">
      <w:start w:val="1"/>
      <w:numFmt w:val="none"/>
      <w:pStyle w:val="Indent6"/>
      <w:suff w:val="nothing"/>
      <w:lvlText w:val=""/>
      <w:lvlJc w:val="left"/>
      <w:pPr>
        <w:ind w:left="3402" w:firstLine="0"/>
      </w:pPr>
      <w:rPr>
        <w:rFonts w:hint="default"/>
      </w:rPr>
    </w:lvl>
    <w:lvl w:ilvl="7">
      <w:start w:val="1"/>
      <w:numFmt w:val="none"/>
      <w:pStyle w:val="Indent7"/>
      <w:suff w:val="nothing"/>
      <w:lvlText w:val=""/>
      <w:lvlJc w:val="left"/>
      <w:pPr>
        <w:ind w:left="3969" w:firstLine="0"/>
      </w:pPr>
      <w:rPr>
        <w:rFonts w:hint="default"/>
      </w:rPr>
    </w:lvl>
    <w:lvl w:ilvl="8">
      <w:start w:val="1"/>
      <w:numFmt w:val="none"/>
      <w:pStyle w:val="Indent8"/>
      <w:suff w:val="nothing"/>
      <w:lvlText w:val=""/>
      <w:lvlJc w:val="left"/>
      <w:pPr>
        <w:ind w:left="4536" w:firstLine="0"/>
      </w:pPr>
      <w:rPr>
        <w:rFonts w:hint="default"/>
      </w:rPr>
    </w:lvl>
  </w:abstractNum>
  <w:abstractNum w:abstractNumId="41" w15:restartNumberingAfterBreak="0">
    <w:nsid w:val="64055CF6"/>
    <w:multiLevelType w:val="hybridMultilevel"/>
    <w:tmpl w:val="22EE7E16"/>
    <w:lvl w:ilvl="0" w:tplc="74403DCC">
      <w:start w:val="1"/>
      <w:numFmt w:val="lowerLetter"/>
      <w:pStyle w:val="Heading4"/>
      <w:lvlText w:val="(%1)"/>
      <w:lvlJc w:val="left"/>
      <w:pPr>
        <w:ind w:left="360" w:hanging="360"/>
      </w:pPr>
      <w:rPr>
        <w:rFonts w:hint="default"/>
      </w:rPr>
    </w:lvl>
    <w:lvl w:ilvl="1" w:tplc="0C090019" w:tentative="1">
      <w:start w:val="1"/>
      <w:numFmt w:val="lowerLetter"/>
      <w:lvlText w:val="%2."/>
      <w:lvlJc w:val="left"/>
      <w:pPr>
        <w:ind w:left="590" w:hanging="360"/>
      </w:pPr>
    </w:lvl>
    <w:lvl w:ilvl="2" w:tplc="0C09001B" w:tentative="1">
      <w:start w:val="1"/>
      <w:numFmt w:val="lowerRoman"/>
      <w:lvlText w:val="%3."/>
      <w:lvlJc w:val="right"/>
      <w:pPr>
        <w:ind w:left="1310" w:hanging="180"/>
      </w:pPr>
    </w:lvl>
    <w:lvl w:ilvl="3" w:tplc="0C09000F" w:tentative="1">
      <w:start w:val="1"/>
      <w:numFmt w:val="decimal"/>
      <w:lvlText w:val="%4."/>
      <w:lvlJc w:val="left"/>
      <w:pPr>
        <w:ind w:left="2030" w:hanging="360"/>
      </w:pPr>
    </w:lvl>
    <w:lvl w:ilvl="4" w:tplc="0C090019" w:tentative="1">
      <w:start w:val="1"/>
      <w:numFmt w:val="lowerLetter"/>
      <w:lvlText w:val="%5."/>
      <w:lvlJc w:val="left"/>
      <w:pPr>
        <w:ind w:left="2750" w:hanging="360"/>
      </w:pPr>
    </w:lvl>
    <w:lvl w:ilvl="5" w:tplc="0C09001B" w:tentative="1">
      <w:start w:val="1"/>
      <w:numFmt w:val="lowerRoman"/>
      <w:lvlText w:val="%6."/>
      <w:lvlJc w:val="right"/>
      <w:pPr>
        <w:ind w:left="3470" w:hanging="180"/>
      </w:pPr>
    </w:lvl>
    <w:lvl w:ilvl="6" w:tplc="0C09000F" w:tentative="1">
      <w:start w:val="1"/>
      <w:numFmt w:val="decimal"/>
      <w:lvlText w:val="%7."/>
      <w:lvlJc w:val="left"/>
      <w:pPr>
        <w:ind w:left="4190" w:hanging="360"/>
      </w:pPr>
    </w:lvl>
    <w:lvl w:ilvl="7" w:tplc="0C090019" w:tentative="1">
      <w:start w:val="1"/>
      <w:numFmt w:val="lowerLetter"/>
      <w:lvlText w:val="%8."/>
      <w:lvlJc w:val="left"/>
      <w:pPr>
        <w:ind w:left="4910" w:hanging="360"/>
      </w:pPr>
    </w:lvl>
    <w:lvl w:ilvl="8" w:tplc="0C09001B" w:tentative="1">
      <w:start w:val="1"/>
      <w:numFmt w:val="lowerRoman"/>
      <w:lvlText w:val="%9."/>
      <w:lvlJc w:val="right"/>
      <w:pPr>
        <w:ind w:left="5630" w:hanging="180"/>
      </w:pPr>
    </w:lvl>
  </w:abstractNum>
  <w:abstractNum w:abstractNumId="42" w15:restartNumberingAfterBreak="0">
    <w:nsid w:val="640C5D09"/>
    <w:multiLevelType w:val="multilevel"/>
    <w:tmpl w:val="559CB980"/>
    <w:lvl w:ilvl="0">
      <w:start w:val="1"/>
      <w:numFmt w:val="upperLetter"/>
      <w:pStyle w:val="EYAppendix"/>
      <w:lvlText w:val="Appendix %1"/>
      <w:lvlJc w:val="left"/>
      <w:pPr>
        <w:tabs>
          <w:tab w:val="num" w:pos="4962"/>
        </w:tabs>
        <w:ind w:left="4962" w:hanging="2268"/>
      </w:pPr>
      <w:rPr>
        <w:rFonts w:hint="default"/>
        <w:b w:val="0"/>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43" w15:restartNumberingAfterBreak="0">
    <w:nsid w:val="65C21AC2"/>
    <w:multiLevelType w:val="multilevel"/>
    <w:tmpl w:val="DC5C51F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687B026B"/>
    <w:multiLevelType w:val="hybridMultilevel"/>
    <w:tmpl w:val="F33A7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99F4D8A"/>
    <w:multiLevelType w:val="hybridMultilevel"/>
    <w:tmpl w:val="D31C62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CC470B2"/>
    <w:multiLevelType w:val="hybridMultilevel"/>
    <w:tmpl w:val="597685A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CF94F40"/>
    <w:multiLevelType w:val="hybridMultilevel"/>
    <w:tmpl w:val="40101130"/>
    <w:lvl w:ilvl="0" w:tplc="B180EFC6">
      <w:start w:val="1"/>
      <w:numFmt w:val="bullet"/>
      <w:lvlText w:val="•"/>
      <w:lvlJc w:val="left"/>
      <w:pPr>
        <w:ind w:left="752" w:hanging="360"/>
      </w:pPr>
      <w:rPr>
        <w:rFonts w:ascii="Times New Roman" w:hAnsi="Times New Roman"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48" w15:restartNumberingAfterBreak="0">
    <w:nsid w:val="6DF51A5C"/>
    <w:multiLevelType w:val="multilevel"/>
    <w:tmpl w:val="3D4A96F2"/>
    <w:lvl w:ilvl="0">
      <w:start w:val="1"/>
      <w:numFmt w:val="bullet"/>
      <w:lvlText w:val=""/>
      <w:lvlJc w:val="left"/>
      <w:pPr>
        <w:tabs>
          <w:tab w:val="num" w:pos="644"/>
        </w:tabs>
        <w:ind w:left="644" w:hanging="360"/>
      </w:pPr>
      <w:rPr>
        <w:rFonts w:ascii="Symbol" w:hAnsi="Symbol" w:hint="default"/>
        <w:color w:val="auto"/>
        <w:spacing w:val="-20"/>
        <w:w w:val="80"/>
        <w:kern w:val="16"/>
        <w:position w:val="0"/>
        <w:sz w:val="14"/>
        <w:szCs w:val="20"/>
        <w14:cntxtAlts w14:val="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0B11342"/>
    <w:multiLevelType w:val="multilevel"/>
    <w:tmpl w:val="7DF2207E"/>
    <w:lvl w:ilvl="0">
      <w:start w:val="1"/>
      <w:numFmt w:val="bullet"/>
      <w:pStyle w:val="EYBulletedText10"/>
      <w:lvlText w:val="►"/>
      <w:lvlJc w:val="left"/>
      <w:pPr>
        <w:tabs>
          <w:tab w:val="num" w:pos="425"/>
        </w:tabs>
        <w:ind w:left="425" w:hanging="425"/>
      </w:pPr>
      <w:rPr>
        <w:rFonts w:ascii="Arial" w:hAnsi="Arial" w:cs="Times New Roman" w:hint="default"/>
        <w:color w:val="FFE600"/>
        <w:sz w:val="16"/>
        <w:szCs w:val="16"/>
      </w:rPr>
    </w:lvl>
    <w:lvl w:ilvl="1">
      <w:start w:val="1"/>
      <w:numFmt w:val="bullet"/>
      <w:pStyle w:val="EYBulletedText2"/>
      <w:lvlText w:val="►"/>
      <w:lvlJc w:val="left"/>
      <w:pPr>
        <w:tabs>
          <w:tab w:val="num" w:pos="851"/>
        </w:tabs>
        <w:ind w:left="851" w:hanging="426"/>
      </w:pPr>
      <w:rPr>
        <w:rFonts w:ascii="Arial" w:hAnsi="Arial" w:cs="Times New Roman" w:hint="default"/>
        <w:color w:val="auto"/>
        <w:sz w:val="16"/>
        <w:szCs w:val="16"/>
      </w:rPr>
    </w:lvl>
    <w:lvl w:ilvl="2">
      <w:start w:val="1"/>
      <w:numFmt w:val="bullet"/>
      <w:pStyle w:val="EYBulletedText3"/>
      <w:lvlText w:val="►"/>
      <w:lvlJc w:val="left"/>
      <w:pPr>
        <w:tabs>
          <w:tab w:val="num" w:pos="1276"/>
        </w:tabs>
        <w:ind w:left="1276" w:hanging="425"/>
      </w:pPr>
      <w:rPr>
        <w:rFonts w:ascii="Arial" w:hAnsi="Arial" w:cs="Times New Roman" w:hint="default"/>
        <w:color w:val="auto"/>
        <w:sz w:val="16"/>
        <w:szCs w:val="16"/>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4320" w:firstLine="0"/>
      </w:pPr>
      <w:rPr>
        <w:rFonts w:hint="default"/>
      </w:rPr>
    </w:lvl>
    <w:lvl w:ilvl="8">
      <w:start w:val="1"/>
      <w:numFmt w:val="none"/>
      <w:suff w:val="nothing"/>
      <w:lvlText w:val=""/>
      <w:lvlJc w:val="left"/>
      <w:pPr>
        <w:ind w:left="4320" w:firstLine="0"/>
      </w:pPr>
      <w:rPr>
        <w:rFonts w:hint="default"/>
      </w:rPr>
    </w:lvl>
  </w:abstractNum>
  <w:abstractNum w:abstractNumId="50" w15:restartNumberingAfterBreak="0">
    <w:nsid w:val="73A37718"/>
    <w:multiLevelType w:val="multilevel"/>
    <w:tmpl w:val="D1AEB25E"/>
    <w:lvl w:ilvl="0">
      <w:start w:val="1"/>
      <w:numFmt w:val="bullet"/>
      <w:pStyle w:val="EYTablebullet1"/>
      <w:lvlText w:val="►"/>
      <w:lvlJc w:val="left"/>
      <w:pPr>
        <w:tabs>
          <w:tab w:val="num" w:pos="284"/>
        </w:tabs>
        <w:ind w:left="284" w:hanging="284"/>
      </w:pPr>
      <w:rPr>
        <w:rFonts w:ascii="Arial" w:hAnsi="Arial" w:hint="default"/>
        <w:b w:val="0"/>
        <w:bCs/>
        <w:i w:val="0"/>
        <w:color w:val="FFE600"/>
        <w:sz w:val="15"/>
        <w:szCs w:val="15"/>
      </w:rPr>
    </w:lvl>
    <w:lvl w:ilvl="1">
      <w:start w:val="1"/>
      <w:numFmt w:val="bullet"/>
      <w:pStyle w:val="EYTablebullet2"/>
      <w:lvlText w:val="►"/>
      <w:lvlJc w:val="left"/>
      <w:pPr>
        <w:tabs>
          <w:tab w:val="num" w:pos="567"/>
        </w:tabs>
        <w:ind w:left="567" w:hanging="283"/>
      </w:pPr>
      <w:rPr>
        <w:rFonts w:ascii="Arial" w:hAnsi="Arial" w:cs="Times New Roman"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51" w15:restartNumberingAfterBreak="0">
    <w:nsid w:val="75A221DB"/>
    <w:multiLevelType w:val="hybridMultilevel"/>
    <w:tmpl w:val="0E7E3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5F87E4F"/>
    <w:multiLevelType w:val="multilevel"/>
    <w:tmpl w:val="F8D0D2EC"/>
    <w:lvl w:ilvl="0">
      <w:start w:val="1"/>
      <w:numFmt w:val="bullet"/>
      <w:lvlText w:val="►"/>
      <w:lvlJc w:val="left"/>
      <w:pPr>
        <w:tabs>
          <w:tab w:val="num" w:pos="284"/>
        </w:tabs>
        <w:ind w:left="284" w:hanging="284"/>
      </w:pPr>
      <w:rPr>
        <w:rFonts w:ascii="Arial" w:hAnsi="Arial" w:cs="Times New Roman" w:hint="default"/>
        <w:b w:val="0"/>
        <w:bCs/>
        <w:i w:val="0"/>
        <w:color w:val="auto"/>
        <w:sz w:val="12"/>
        <w:szCs w:val="24"/>
      </w:rPr>
    </w:lvl>
    <w:lvl w:ilvl="1">
      <w:start w:val="1"/>
      <w:numFmt w:val="bullet"/>
      <w:lvlText w:val="-"/>
      <w:lvlJc w:val="left"/>
      <w:pPr>
        <w:tabs>
          <w:tab w:val="num" w:pos="567"/>
        </w:tabs>
        <w:ind w:left="567" w:hanging="283"/>
      </w:pPr>
      <w:rPr>
        <w:rFonts w:ascii="Courier New" w:hAnsi="Courier New" w:hint="default"/>
        <w:b w:val="0"/>
        <w:i w:val="0"/>
        <w:color w:val="auto"/>
        <w:sz w:val="12"/>
        <w:szCs w:val="24"/>
      </w:rPr>
    </w:lvl>
    <w:lvl w:ilvl="2">
      <w:start w:val="1"/>
      <w:numFmt w:val="none"/>
      <w:lvlText w:val=""/>
      <w:lvlJc w:val="left"/>
      <w:pPr>
        <w:tabs>
          <w:tab w:val="num" w:pos="0"/>
        </w:tabs>
        <w:ind w:left="0" w:firstLine="0"/>
      </w:pPr>
      <w:rPr>
        <w:color w:val="002261"/>
      </w:rPr>
    </w:lvl>
    <w:lvl w:ilvl="3">
      <w:start w:val="1"/>
      <w:numFmt w:val="none"/>
      <w:lvlText w:val=""/>
      <w:lvlJc w:val="left"/>
      <w:pPr>
        <w:tabs>
          <w:tab w:val="num" w:pos="0"/>
        </w:tabs>
        <w:ind w:left="0" w:firstLine="0"/>
      </w:pPr>
    </w:lvl>
    <w:lvl w:ilvl="4">
      <w:start w:val="1"/>
      <w:numFmt w:val="none"/>
      <w:lvlText w:val=""/>
      <w:lvlJc w:val="left"/>
      <w:pPr>
        <w:tabs>
          <w:tab w:val="num" w:pos="3240"/>
        </w:tabs>
        <w:ind w:left="2232" w:hanging="792"/>
      </w:pPr>
    </w:lvl>
    <w:lvl w:ilvl="5">
      <w:start w:val="1"/>
      <w:numFmt w:val="none"/>
      <w:lvlText w:val=""/>
      <w:lvlJc w:val="left"/>
      <w:pPr>
        <w:tabs>
          <w:tab w:val="num" w:pos="3960"/>
        </w:tabs>
        <w:ind w:left="2736" w:hanging="936"/>
      </w:pPr>
    </w:lvl>
    <w:lvl w:ilvl="6">
      <w:start w:val="1"/>
      <w:numFmt w:val="none"/>
      <w:lvlText w:val=""/>
      <w:lvlJc w:val="left"/>
      <w:pPr>
        <w:tabs>
          <w:tab w:val="num" w:pos="4680"/>
        </w:tabs>
        <w:ind w:left="3240" w:hanging="1080"/>
      </w:pPr>
    </w:lvl>
    <w:lvl w:ilvl="7">
      <w:start w:val="1"/>
      <w:numFmt w:val="none"/>
      <w:lvlText w:val=""/>
      <w:lvlJc w:val="left"/>
      <w:pPr>
        <w:tabs>
          <w:tab w:val="num" w:pos="5400"/>
        </w:tabs>
        <w:ind w:left="3744" w:hanging="1224"/>
      </w:pPr>
    </w:lvl>
    <w:lvl w:ilvl="8">
      <w:start w:val="1"/>
      <w:numFmt w:val="none"/>
      <w:lvlText w:val=""/>
      <w:lvlJc w:val="left"/>
      <w:pPr>
        <w:tabs>
          <w:tab w:val="num" w:pos="5760"/>
        </w:tabs>
        <w:ind w:left="4320" w:hanging="1440"/>
      </w:pPr>
    </w:lvl>
  </w:abstractNum>
  <w:abstractNum w:abstractNumId="53" w15:restartNumberingAfterBreak="0">
    <w:nsid w:val="763779E7"/>
    <w:multiLevelType w:val="hybridMultilevel"/>
    <w:tmpl w:val="B8423CAE"/>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D270BB9"/>
    <w:multiLevelType w:val="hybridMultilevel"/>
    <w:tmpl w:val="5B1A4E6C"/>
    <w:lvl w:ilvl="0" w:tplc="F008E82A">
      <w:start w:val="1"/>
      <w:numFmt w:val="bullet"/>
      <w:lvlText w:val=""/>
      <w:lvlJc w:val="left"/>
      <w:pPr>
        <w:ind w:left="360" w:hanging="360"/>
      </w:pPr>
      <w:rPr>
        <w:rFonts w:ascii="Symbol" w:hAnsi="Symbol" w:hint="default"/>
        <w:color w:val="000000" w:themeColor="text1"/>
      </w:rPr>
    </w:lvl>
    <w:lvl w:ilvl="1" w:tplc="014E442C">
      <w:numFmt w:val="bullet"/>
      <w:lvlText w:val="-"/>
      <w:lvlJc w:val="left"/>
      <w:pPr>
        <w:ind w:left="1080" w:hanging="360"/>
      </w:pPr>
      <w:rPr>
        <w:rFonts w:ascii="EYInterstate Light" w:eastAsia="Times New Roman" w:hAnsi="EYInterstate Light" w:cstheme="minorHAns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F5E0962"/>
    <w:multiLevelType w:val="hybridMultilevel"/>
    <w:tmpl w:val="9E965162"/>
    <w:lvl w:ilvl="0" w:tplc="55A2A926">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2"/>
  </w:num>
  <w:num w:numId="2">
    <w:abstractNumId w:val="41"/>
  </w:num>
  <w:num w:numId="3">
    <w:abstractNumId w:val="7"/>
  </w:num>
  <w:num w:numId="4">
    <w:abstractNumId w:val="23"/>
  </w:num>
  <w:num w:numId="5">
    <w:abstractNumId w:val="50"/>
  </w:num>
  <w:num w:numId="6">
    <w:abstractNumId w:val="49"/>
  </w:num>
  <w:num w:numId="7">
    <w:abstractNumId w:val="42"/>
  </w:num>
  <w:num w:numId="8">
    <w:abstractNumId w:val="36"/>
  </w:num>
  <w:num w:numId="9">
    <w:abstractNumId w:val="4"/>
  </w:num>
  <w:num w:numId="10">
    <w:abstractNumId w:val="0"/>
  </w:num>
  <w:num w:numId="11">
    <w:abstractNumId w:val="40"/>
  </w:num>
  <w:num w:numId="12">
    <w:abstractNumId w:val="30"/>
  </w:num>
  <w:num w:numId="13">
    <w:abstractNumId w:val="1"/>
  </w:num>
  <w:num w:numId="14">
    <w:abstractNumId w:val="6"/>
  </w:num>
  <w:num w:numId="15">
    <w:abstractNumId w:val="16"/>
  </w:num>
  <w:num w:numId="16">
    <w:abstractNumId w:val="38"/>
  </w:num>
  <w:num w:numId="17">
    <w:abstractNumId w:val="17"/>
  </w:num>
  <w:num w:numId="18">
    <w:abstractNumId w:val="33"/>
  </w:num>
  <w:num w:numId="19">
    <w:abstractNumId w:val="31"/>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num>
  <w:num w:numId="22">
    <w:abstractNumId w:val="25"/>
  </w:num>
  <w:num w:numId="23">
    <w:abstractNumId w:val="54"/>
  </w:num>
  <w:num w:numId="24">
    <w:abstractNumId w:val="15"/>
  </w:num>
  <w:num w:numId="25">
    <w:abstractNumId w:val="34"/>
  </w:num>
  <w:num w:numId="26">
    <w:abstractNumId w:val="9"/>
  </w:num>
  <w:num w:numId="27">
    <w:abstractNumId w:val="32"/>
  </w:num>
  <w:num w:numId="28">
    <w:abstractNumId w:val="27"/>
  </w:num>
  <w:num w:numId="29">
    <w:abstractNumId w:val="45"/>
  </w:num>
  <w:num w:numId="30">
    <w:abstractNumId w:val="12"/>
  </w:num>
  <w:num w:numId="31">
    <w:abstractNumId w:val="51"/>
  </w:num>
  <w:num w:numId="32">
    <w:abstractNumId w:val="39"/>
  </w:num>
  <w:num w:numId="33">
    <w:abstractNumId w:val="19"/>
  </w:num>
  <w:num w:numId="34">
    <w:abstractNumId w:val="53"/>
  </w:num>
  <w:num w:numId="35">
    <w:abstractNumId w:val="43"/>
  </w:num>
  <w:num w:numId="36">
    <w:abstractNumId w:val="13"/>
  </w:num>
  <w:num w:numId="37">
    <w:abstractNumId w:val="18"/>
  </w:num>
  <w:num w:numId="38">
    <w:abstractNumId w:val="5"/>
  </w:num>
  <w:num w:numId="39">
    <w:abstractNumId w:val="14"/>
  </w:num>
  <w:num w:numId="40">
    <w:abstractNumId w:val="35"/>
  </w:num>
  <w:num w:numId="41">
    <w:abstractNumId w:val="0"/>
  </w:num>
  <w:num w:numId="42">
    <w:abstractNumId w:val="0"/>
  </w:num>
  <w:num w:numId="43">
    <w:abstractNumId w:val="0"/>
  </w:num>
  <w:num w:numId="44">
    <w:abstractNumId w:val="24"/>
  </w:num>
  <w:num w:numId="45">
    <w:abstractNumId w:val="21"/>
  </w:num>
  <w:num w:numId="46">
    <w:abstractNumId w:val="46"/>
  </w:num>
  <w:num w:numId="47">
    <w:abstractNumId w:val="0"/>
  </w:num>
  <w:num w:numId="48">
    <w:abstractNumId w:val="8"/>
  </w:num>
  <w:num w:numId="49">
    <w:abstractNumId w:val="20"/>
  </w:num>
  <w:num w:numId="50">
    <w:abstractNumId w:val="0"/>
  </w:num>
  <w:num w:numId="51">
    <w:abstractNumId w:val="0"/>
  </w:num>
  <w:num w:numId="52">
    <w:abstractNumId w:val="48"/>
  </w:num>
  <w:num w:numId="53">
    <w:abstractNumId w:val="2"/>
  </w:num>
  <w:num w:numId="54">
    <w:abstractNumId w:val="29"/>
  </w:num>
  <w:num w:numId="55">
    <w:abstractNumId w:val="37"/>
  </w:num>
  <w:num w:numId="56">
    <w:abstractNumId w:val="47"/>
  </w:num>
  <w:num w:numId="57">
    <w:abstractNumId w:val="28"/>
  </w:num>
  <w:num w:numId="58">
    <w:abstractNumId w:val="44"/>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0"/>
  </w:num>
  <w:num w:numId="68">
    <w:abstractNumId w:val="0"/>
  </w:num>
  <w:num w:numId="69">
    <w:abstractNumId w:val="55"/>
  </w:num>
  <w:num w:numId="70">
    <w:abstractNumId w:val="26"/>
  </w:num>
  <w:num w:numId="71">
    <w:abstractNumId w:val="11"/>
  </w:num>
  <w:num w:numId="72">
    <w:abstractNumId w:val="10"/>
  </w:num>
  <w:num w:numId="73">
    <w:abstractNumId w:val="0"/>
  </w:num>
  <w:num w:numId="74">
    <w:abstractNumId w:val="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removePersonalInformation/>
  <w:removeDateAndTime/>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s-AR" w:vendorID="64" w:dllVersion="6" w:nlCheck="1" w:checkStyle="1"/>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2B6"/>
    <w:rsid w:val="0000013E"/>
    <w:rsid w:val="00000820"/>
    <w:rsid w:val="000009A2"/>
    <w:rsid w:val="00000BB5"/>
    <w:rsid w:val="00000F27"/>
    <w:rsid w:val="000010A5"/>
    <w:rsid w:val="000012D6"/>
    <w:rsid w:val="00001FBD"/>
    <w:rsid w:val="00002032"/>
    <w:rsid w:val="000020CC"/>
    <w:rsid w:val="00002370"/>
    <w:rsid w:val="0000264C"/>
    <w:rsid w:val="00002A6B"/>
    <w:rsid w:val="000041C2"/>
    <w:rsid w:val="000041E6"/>
    <w:rsid w:val="000047BE"/>
    <w:rsid w:val="00004F22"/>
    <w:rsid w:val="0000573E"/>
    <w:rsid w:val="0000578A"/>
    <w:rsid w:val="00005D10"/>
    <w:rsid w:val="000060EA"/>
    <w:rsid w:val="0000615D"/>
    <w:rsid w:val="000062AB"/>
    <w:rsid w:val="000064BA"/>
    <w:rsid w:val="00006C37"/>
    <w:rsid w:val="00007117"/>
    <w:rsid w:val="00007298"/>
    <w:rsid w:val="00007D6B"/>
    <w:rsid w:val="0001030D"/>
    <w:rsid w:val="000103FF"/>
    <w:rsid w:val="00010903"/>
    <w:rsid w:val="00010AC7"/>
    <w:rsid w:val="00011105"/>
    <w:rsid w:val="00011220"/>
    <w:rsid w:val="00011755"/>
    <w:rsid w:val="00011772"/>
    <w:rsid w:val="00011903"/>
    <w:rsid w:val="0001283C"/>
    <w:rsid w:val="00012953"/>
    <w:rsid w:val="00012B15"/>
    <w:rsid w:val="00012FF8"/>
    <w:rsid w:val="0001360A"/>
    <w:rsid w:val="00013856"/>
    <w:rsid w:val="00013B2B"/>
    <w:rsid w:val="0001419B"/>
    <w:rsid w:val="00014474"/>
    <w:rsid w:val="00014676"/>
    <w:rsid w:val="00014A70"/>
    <w:rsid w:val="0001501A"/>
    <w:rsid w:val="000150DC"/>
    <w:rsid w:val="00015B40"/>
    <w:rsid w:val="00015B74"/>
    <w:rsid w:val="00015CDB"/>
    <w:rsid w:val="00015DCD"/>
    <w:rsid w:val="00015F67"/>
    <w:rsid w:val="00016581"/>
    <w:rsid w:val="000168A8"/>
    <w:rsid w:val="00016BE8"/>
    <w:rsid w:val="000174E9"/>
    <w:rsid w:val="00020099"/>
    <w:rsid w:val="0002011E"/>
    <w:rsid w:val="000201C2"/>
    <w:rsid w:val="000206AA"/>
    <w:rsid w:val="00020914"/>
    <w:rsid w:val="00021050"/>
    <w:rsid w:val="00021522"/>
    <w:rsid w:val="0002153B"/>
    <w:rsid w:val="00021BB2"/>
    <w:rsid w:val="00021D30"/>
    <w:rsid w:val="000220FE"/>
    <w:rsid w:val="0002246A"/>
    <w:rsid w:val="0002285D"/>
    <w:rsid w:val="00022ABC"/>
    <w:rsid w:val="00022D58"/>
    <w:rsid w:val="00023276"/>
    <w:rsid w:val="0002346E"/>
    <w:rsid w:val="000236D0"/>
    <w:rsid w:val="00023BEF"/>
    <w:rsid w:val="00024276"/>
    <w:rsid w:val="000242E0"/>
    <w:rsid w:val="00024838"/>
    <w:rsid w:val="000249E8"/>
    <w:rsid w:val="00025728"/>
    <w:rsid w:val="000258D4"/>
    <w:rsid w:val="0002606E"/>
    <w:rsid w:val="00026FA2"/>
    <w:rsid w:val="00027321"/>
    <w:rsid w:val="000274E8"/>
    <w:rsid w:val="00030359"/>
    <w:rsid w:val="000306C5"/>
    <w:rsid w:val="00030E60"/>
    <w:rsid w:val="00031010"/>
    <w:rsid w:val="000316D6"/>
    <w:rsid w:val="00031AF5"/>
    <w:rsid w:val="0003257B"/>
    <w:rsid w:val="00032B1A"/>
    <w:rsid w:val="00033302"/>
    <w:rsid w:val="000344C7"/>
    <w:rsid w:val="00034619"/>
    <w:rsid w:val="000347BB"/>
    <w:rsid w:val="00034881"/>
    <w:rsid w:val="00034E91"/>
    <w:rsid w:val="00035380"/>
    <w:rsid w:val="00035710"/>
    <w:rsid w:val="0003587B"/>
    <w:rsid w:val="00035B64"/>
    <w:rsid w:val="000362F0"/>
    <w:rsid w:val="00036AB6"/>
    <w:rsid w:val="00036D04"/>
    <w:rsid w:val="00036DEC"/>
    <w:rsid w:val="000371FC"/>
    <w:rsid w:val="000372B9"/>
    <w:rsid w:val="00037930"/>
    <w:rsid w:val="00037984"/>
    <w:rsid w:val="00037A51"/>
    <w:rsid w:val="00037B32"/>
    <w:rsid w:val="00037D8A"/>
    <w:rsid w:val="000400E9"/>
    <w:rsid w:val="00040802"/>
    <w:rsid w:val="00040AB2"/>
    <w:rsid w:val="000416BB"/>
    <w:rsid w:val="000418F7"/>
    <w:rsid w:val="00041CEE"/>
    <w:rsid w:val="00042160"/>
    <w:rsid w:val="00042808"/>
    <w:rsid w:val="00042A4B"/>
    <w:rsid w:val="00042CBF"/>
    <w:rsid w:val="00042D05"/>
    <w:rsid w:val="000432FB"/>
    <w:rsid w:val="000433C7"/>
    <w:rsid w:val="000434F5"/>
    <w:rsid w:val="00043531"/>
    <w:rsid w:val="00043BBE"/>
    <w:rsid w:val="00043E03"/>
    <w:rsid w:val="00044277"/>
    <w:rsid w:val="000445C0"/>
    <w:rsid w:val="00044C21"/>
    <w:rsid w:val="000457C1"/>
    <w:rsid w:val="000459D3"/>
    <w:rsid w:val="00046411"/>
    <w:rsid w:val="00046D78"/>
    <w:rsid w:val="0004787D"/>
    <w:rsid w:val="00047FC7"/>
    <w:rsid w:val="0005002D"/>
    <w:rsid w:val="00050173"/>
    <w:rsid w:val="000501CE"/>
    <w:rsid w:val="000506DB"/>
    <w:rsid w:val="00050AD4"/>
    <w:rsid w:val="00051444"/>
    <w:rsid w:val="00051763"/>
    <w:rsid w:val="000525AB"/>
    <w:rsid w:val="00052DE7"/>
    <w:rsid w:val="00052EE3"/>
    <w:rsid w:val="000535C5"/>
    <w:rsid w:val="00053666"/>
    <w:rsid w:val="000539C7"/>
    <w:rsid w:val="00053C09"/>
    <w:rsid w:val="000542D3"/>
    <w:rsid w:val="00054720"/>
    <w:rsid w:val="00054D92"/>
    <w:rsid w:val="00054EFB"/>
    <w:rsid w:val="00055229"/>
    <w:rsid w:val="00055246"/>
    <w:rsid w:val="000553F0"/>
    <w:rsid w:val="00056068"/>
    <w:rsid w:val="00056099"/>
    <w:rsid w:val="000561F6"/>
    <w:rsid w:val="00056310"/>
    <w:rsid w:val="00056449"/>
    <w:rsid w:val="0005663E"/>
    <w:rsid w:val="000569EB"/>
    <w:rsid w:val="00056C90"/>
    <w:rsid w:val="00056DA1"/>
    <w:rsid w:val="000571A1"/>
    <w:rsid w:val="00057E08"/>
    <w:rsid w:val="000602C5"/>
    <w:rsid w:val="000604E3"/>
    <w:rsid w:val="00060A80"/>
    <w:rsid w:val="00061239"/>
    <w:rsid w:val="0006137F"/>
    <w:rsid w:val="00061784"/>
    <w:rsid w:val="000618EA"/>
    <w:rsid w:val="0006243D"/>
    <w:rsid w:val="00063334"/>
    <w:rsid w:val="0006335B"/>
    <w:rsid w:val="00063937"/>
    <w:rsid w:val="00063CB9"/>
    <w:rsid w:val="00063E46"/>
    <w:rsid w:val="000642B6"/>
    <w:rsid w:val="00064B82"/>
    <w:rsid w:val="00064EAA"/>
    <w:rsid w:val="00064FCD"/>
    <w:rsid w:val="0006527C"/>
    <w:rsid w:val="00065DD6"/>
    <w:rsid w:val="00065ED1"/>
    <w:rsid w:val="0006614F"/>
    <w:rsid w:val="000670A5"/>
    <w:rsid w:val="0006777C"/>
    <w:rsid w:val="000679FB"/>
    <w:rsid w:val="00067F4C"/>
    <w:rsid w:val="00070868"/>
    <w:rsid w:val="00070C6B"/>
    <w:rsid w:val="00070E40"/>
    <w:rsid w:val="000715AD"/>
    <w:rsid w:val="000719B1"/>
    <w:rsid w:val="00071ACB"/>
    <w:rsid w:val="00071C83"/>
    <w:rsid w:val="00072225"/>
    <w:rsid w:val="0007234B"/>
    <w:rsid w:val="00072A24"/>
    <w:rsid w:val="00072AA3"/>
    <w:rsid w:val="00073145"/>
    <w:rsid w:val="000734A7"/>
    <w:rsid w:val="00073542"/>
    <w:rsid w:val="000739CF"/>
    <w:rsid w:val="00073AC4"/>
    <w:rsid w:val="000741DA"/>
    <w:rsid w:val="00074262"/>
    <w:rsid w:val="000745CC"/>
    <w:rsid w:val="0007484A"/>
    <w:rsid w:val="00074944"/>
    <w:rsid w:val="00074C6D"/>
    <w:rsid w:val="00074DBD"/>
    <w:rsid w:val="00074DC4"/>
    <w:rsid w:val="00075007"/>
    <w:rsid w:val="00075387"/>
    <w:rsid w:val="00075971"/>
    <w:rsid w:val="00075D8B"/>
    <w:rsid w:val="00075E70"/>
    <w:rsid w:val="00076420"/>
    <w:rsid w:val="00076D4E"/>
    <w:rsid w:val="00076F3A"/>
    <w:rsid w:val="000775A8"/>
    <w:rsid w:val="000775D7"/>
    <w:rsid w:val="0007767F"/>
    <w:rsid w:val="000777CE"/>
    <w:rsid w:val="00077A68"/>
    <w:rsid w:val="00077E40"/>
    <w:rsid w:val="00080362"/>
    <w:rsid w:val="00080475"/>
    <w:rsid w:val="00080729"/>
    <w:rsid w:val="00080748"/>
    <w:rsid w:val="00080776"/>
    <w:rsid w:val="00080BB0"/>
    <w:rsid w:val="00080E93"/>
    <w:rsid w:val="000817F1"/>
    <w:rsid w:val="00081D36"/>
    <w:rsid w:val="00081F77"/>
    <w:rsid w:val="0008296E"/>
    <w:rsid w:val="00082A4A"/>
    <w:rsid w:val="000834E3"/>
    <w:rsid w:val="0008360F"/>
    <w:rsid w:val="000839FD"/>
    <w:rsid w:val="00083FE9"/>
    <w:rsid w:val="00084049"/>
    <w:rsid w:val="00084C89"/>
    <w:rsid w:val="000851AA"/>
    <w:rsid w:val="0008586F"/>
    <w:rsid w:val="00085B93"/>
    <w:rsid w:val="00086190"/>
    <w:rsid w:val="00086409"/>
    <w:rsid w:val="000865C1"/>
    <w:rsid w:val="000865FA"/>
    <w:rsid w:val="00086E1B"/>
    <w:rsid w:val="00086F2D"/>
    <w:rsid w:val="00087783"/>
    <w:rsid w:val="000878D8"/>
    <w:rsid w:val="00087926"/>
    <w:rsid w:val="00087E9D"/>
    <w:rsid w:val="0009048D"/>
    <w:rsid w:val="0009096F"/>
    <w:rsid w:val="0009127F"/>
    <w:rsid w:val="00091385"/>
    <w:rsid w:val="00091391"/>
    <w:rsid w:val="00091435"/>
    <w:rsid w:val="00091D06"/>
    <w:rsid w:val="00091D3B"/>
    <w:rsid w:val="00092158"/>
    <w:rsid w:val="00092533"/>
    <w:rsid w:val="0009278F"/>
    <w:rsid w:val="000928C6"/>
    <w:rsid w:val="00092D16"/>
    <w:rsid w:val="00092F80"/>
    <w:rsid w:val="00093845"/>
    <w:rsid w:val="000938E4"/>
    <w:rsid w:val="00093D24"/>
    <w:rsid w:val="00093D6A"/>
    <w:rsid w:val="00093E0A"/>
    <w:rsid w:val="00093E28"/>
    <w:rsid w:val="00094271"/>
    <w:rsid w:val="00094391"/>
    <w:rsid w:val="00094A5A"/>
    <w:rsid w:val="00094BBC"/>
    <w:rsid w:val="00094EC3"/>
    <w:rsid w:val="00095924"/>
    <w:rsid w:val="000965FE"/>
    <w:rsid w:val="00096BEE"/>
    <w:rsid w:val="0009740A"/>
    <w:rsid w:val="00097917"/>
    <w:rsid w:val="00097A76"/>
    <w:rsid w:val="00097A8A"/>
    <w:rsid w:val="00097F4A"/>
    <w:rsid w:val="000A08C0"/>
    <w:rsid w:val="000A0DC6"/>
    <w:rsid w:val="000A0F08"/>
    <w:rsid w:val="000A11F1"/>
    <w:rsid w:val="000A1202"/>
    <w:rsid w:val="000A1660"/>
    <w:rsid w:val="000A170C"/>
    <w:rsid w:val="000A1929"/>
    <w:rsid w:val="000A1DCD"/>
    <w:rsid w:val="000A22FC"/>
    <w:rsid w:val="000A2A74"/>
    <w:rsid w:val="000A3072"/>
    <w:rsid w:val="000A3D54"/>
    <w:rsid w:val="000A3F66"/>
    <w:rsid w:val="000A4000"/>
    <w:rsid w:val="000A4180"/>
    <w:rsid w:val="000A4439"/>
    <w:rsid w:val="000A44C9"/>
    <w:rsid w:val="000A4A71"/>
    <w:rsid w:val="000A4EA8"/>
    <w:rsid w:val="000A5857"/>
    <w:rsid w:val="000A6232"/>
    <w:rsid w:val="000A6A33"/>
    <w:rsid w:val="000A6BB0"/>
    <w:rsid w:val="000A6C92"/>
    <w:rsid w:val="000A7211"/>
    <w:rsid w:val="000A7AEB"/>
    <w:rsid w:val="000A7D05"/>
    <w:rsid w:val="000A7E6E"/>
    <w:rsid w:val="000A7F1A"/>
    <w:rsid w:val="000B0076"/>
    <w:rsid w:val="000B0449"/>
    <w:rsid w:val="000B07FB"/>
    <w:rsid w:val="000B124D"/>
    <w:rsid w:val="000B126F"/>
    <w:rsid w:val="000B1375"/>
    <w:rsid w:val="000B13BA"/>
    <w:rsid w:val="000B2190"/>
    <w:rsid w:val="000B23C1"/>
    <w:rsid w:val="000B25AD"/>
    <w:rsid w:val="000B28F6"/>
    <w:rsid w:val="000B2B0D"/>
    <w:rsid w:val="000B2BF2"/>
    <w:rsid w:val="000B2D3D"/>
    <w:rsid w:val="000B375F"/>
    <w:rsid w:val="000B3B47"/>
    <w:rsid w:val="000B3D21"/>
    <w:rsid w:val="000B4496"/>
    <w:rsid w:val="000B4598"/>
    <w:rsid w:val="000B507E"/>
    <w:rsid w:val="000B5411"/>
    <w:rsid w:val="000B5B85"/>
    <w:rsid w:val="000B61DF"/>
    <w:rsid w:val="000B6718"/>
    <w:rsid w:val="000B6F37"/>
    <w:rsid w:val="000B71F1"/>
    <w:rsid w:val="000B793C"/>
    <w:rsid w:val="000C03FF"/>
    <w:rsid w:val="000C04BA"/>
    <w:rsid w:val="000C0A70"/>
    <w:rsid w:val="000C1647"/>
    <w:rsid w:val="000C18C2"/>
    <w:rsid w:val="000C23D6"/>
    <w:rsid w:val="000C27AB"/>
    <w:rsid w:val="000C2C3D"/>
    <w:rsid w:val="000C2F56"/>
    <w:rsid w:val="000C30FA"/>
    <w:rsid w:val="000C35B7"/>
    <w:rsid w:val="000C360F"/>
    <w:rsid w:val="000C3850"/>
    <w:rsid w:val="000C3A5E"/>
    <w:rsid w:val="000C3AE4"/>
    <w:rsid w:val="000C3EDB"/>
    <w:rsid w:val="000C430E"/>
    <w:rsid w:val="000C4381"/>
    <w:rsid w:val="000C43BD"/>
    <w:rsid w:val="000C44A8"/>
    <w:rsid w:val="000C44C5"/>
    <w:rsid w:val="000C44FB"/>
    <w:rsid w:val="000C4D69"/>
    <w:rsid w:val="000C4EEE"/>
    <w:rsid w:val="000C5A27"/>
    <w:rsid w:val="000C601A"/>
    <w:rsid w:val="000C646D"/>
    <w:rsid w:val="000C68EA"/>
    <w:rsid w:val="000C6C0E"/>
    <w:rsid w:val="000C6DCD"/>
    <w:rsid w:val="000C7AB2"/>
    <w:rsid w:val="000D0413"/>
    <w:rsid w:val="000D0621"/>
    <w:rsid w:val="000D11CE"/>
    <w:rsid w:val="000D1345"/>
    <w:rsid w:val="000D150B"/>
    <w:rsid w:val="000D1B29"/>
    <w:rsid w:val="000D1CB7"/>
    <w:rsid w:val="000D1EC9"/>
    <w:rsid w:val="000D1F6B"/>
    <w:rsid w:val="000D238C"/>
    <w:rsid w:val="000D27AA"/>
    <w:rsid w:val="000D2B4F"/>
    <w:rsid w:val="000D2F24"/>
    <w:rsid w:val="000D4677"/>
    <w:rsid w:val="000D46C4"/>
    <w:rsid w:val="000D5A2D"/>
    <w:rsid w:val="000D6067"/>
    <w:rsid w:val="000D61E5"/>
    <w:rsid w:val="000D69C4"/>
    <w:rsid w:val="000D6DFD"/>
    <w:rsid w:val="000D6EB7"/>
    <w:rsid w:val="000D73E8"/>
    <w:rsid w:val="000D755E"/>
    <w:rsid w:val="000D7872"/>
    <w:rsid w:val="000D7A37"/>
    <w:rsid w:val="000D7B5C"/>
    <w:rsid w:val="000D7F25"/>
    <w:rsid w:val="000E02CF"/>
    <w:rsid w:val="000E03A0"/>
    <w:rsid w:val="000E0503"/>
    <w:rsid w:val="000E13DB"/>
    <w:rsid w:val="000E13E5"/>
    <w:rsid w:val="000E1CAD"/>
    <w:rsid w:val="000E20AD"/>
    <w:rsid w:val="000E20B1"/>
    <w:rsid w:val="000E2297"/>
    <w:rsid w:val="000E2880"/>
    <w:rsid w:val="000E2C3A"/>
    <w:rsid w:val="000E2E7D"/>
    <w:rsid w:val="000E36B7"/>
    <w:rsid w:val="000E37A4"/>
    <w:rsid w:val="000E3907"/>
    <w:rsid w:val="000E3BB2"/>
    <w:rsid w:val="000E3D0A"/>
    <w:rsid w:val="000E3E3B"/>
    <w:rsid w:val="000E3F60"/>
    <w:rsid w:val="000E413A"/>
    <w:rsid w:val="000E43D9"/>
    <w:rsid w:val="000E4A77"/>
    <w:rsid w:val="000E519E"/>
    <w:rsid w:val="000E53C8"/>
    <w:rsid w:val="000E542E"/>
    <w:rsid w:val="000E555B"/>
    <w:rsid w:val="000E56B8"/>
    <w:rsid w:val="000E5731"/>
    <w:rsid w:val="000E57E9"/>
    <w:rsid w:val="000E60A7"/>
    <w:rsid w:val="000E6AA3"/>
    <w:rsid w:val="000E6DD4"/>
    <w:rsid w:val="000E6EC6"/>
    <w:rsid w:val="000F05C9"/>
    <w:rsid w:val="000F07F5"/>
    <w:rsid w:val="000F0B37"/>
    <w:rsid w:val="000F0DDF"/>
    <w:rsid w:val="000F0F43"/>
    <w:rsid w:val="000F0F91"/>
    <w:rsid w:val="000F1143"/>
    <w:rsid w:val="000F11D9"/>
    <w:rsid w:val="000F16E6"/>
    <w:rsid w:val="000F171C"/>
    <w:rsid w:val="000F19B1"/>
    <w:rsid w:val="000F23B1"/>
    <w:rsid w:val="000F2ADC"/>
    <w:rsid w:val="000F3449"/>
    <w:rsid w:val="000F43AF"/>
    <w:rsid w:val="000F4960"/>
    <w:rsid w:val="000F49EB"/>
    <w:rsid w:val="000F49F6"/>
    <w:rsid w:val="000F4AA0"/>
    <w:rsid w:val="000F4F06"/>
    <w:rsid w:val="000F5F95"/>
    <w:rsid w:val="000F6311"/>
    <w:rsid w:val="000F640C"/>
    <w:rsid w:val="000F6592"/>
    <w:rsid w:val="000F65A3"/>
    <w:rsid w:val="000F6B35"/>
    <w:rsid w:val="000F710D"/>
    <w:rsid w:val="000F767D"/>
    <w:rsid w:val="000F76D5"/>
    <w:rsid w:val="000F77FA"/>
    <w:rsid w:val="000F7DE5"/>
    <w:rsid w:val="00100A57"/>
    <w:rsid w:val="00100B30"/>
    <w:rsid w:val="00100D39"/>
    <w:rsid w:val="00101035"/>
    <w:rsid w:val="00101333"/>
    <w:rsid w:val="00101378"/>
    <w:rsid w:val="0010184F"/>
    <w:rsid w:val="0010185D"/>
    <w:rsid w:val="00101AAB"/>
    <w:rsid w:val="00102323"/>
    <w:rsid w:val="00102587"/>
    <w:rsid w:val="00102A7F"/>
    <w:rsid w:val="001032E3"/>
    <w:rsid w:val="00103859"/>
    <w:rsid w:val="0010409C"/>
    <w:rsid w:val="001041A4"/>
    <w:rsid w:val="0010443E"/>
    <w:rsid w:val="00104823"/>
    <w:rsid w:val="00104A71"/>
    <w:rsid w:val="001051CC"/>
    <w:rsid w:val="00105432"/>
    <w:rsid w:val="0010553B"/>
    <w:rsid w:val="0010570C"/>
    <w:rsid w:val="0010597D"/>
    <w:rsid w:val="00105C7B"/>
    <w:rsid w:val="0010640B"/>
    <w:rsid w:val="0010666A"/>
    <w:rsid w:val="00106992"/>
    <w:rsid w:val="00106D04"/>
    <w:rsid w:val="00106FF7"/>
    <w:rsid w:val="00107378"/>
    <w:rsid w:val="001073C8"/>
    <w:rsid w:val="001076F6"/>
    <w:rsid w:val="0010789B"/>
    <w:rsid w:val="0010798B"/>
    <w:rsid w:val="001079BD"/>
    <w:rsid w:val="00110094"/>
    <w:rsid w:val="00110314"/>
    <w:rsid w:val="00111174"/>
    <w:rsid w:val="001112E5"/>
    <w:rsid w:val="0011136E"/>
    <w:rsid w:val="001113F3"/>
    <w:rsid w:val="001118FA"/>
    <w:rsid w:val="00111A6E"/>
    <w:rsid w:val="00111D41"/>
    <w:rsid w:val="00111E0F"/>
    <w:rsid w:val="00111FFD"/>
    <w:rsid w:val="001120E5"/>
    <w:rsid w:val="001124A6"/>
    <w:rsid w:val="00112700"/>
    <w:rsid w:val="001129BE"/>
    <w:rsid w:val="001129DD"/>
    <w:rsid w:val="00112B3D"/>
    <w:rsid w:val="00113100"/>
    <w:rsid w:val="001133B9"/>
    <w:rsid w:val="001139F7"/>
    <w:rsid w:val="00113E00"/>
    <w:rsid w:val="001148B1"/>
    <w:rsid w:val="00114A0D"/>
    <w:rsid w:val="00114E21"/>
    <w:rsid w:val="00115342"/>
    <w:rsid w:val="00115524"/>
    <w:rsid w:val="001156AC"/>
    <w:rsid w:val="00115792"/>
    <w:rsid w:val="001157B0"/>
    <w:rsid w:val="00115A28"/>
    <w:rsid w:val="0011619E"/>
    <w:rsid w:val="00116244"/>
    <w:rsid w:val="00116EC5"/>
    <w:rsid w:val="00117030"/>
    <w:rsid w:val="00117044"/>
    <w:rsid w:val="00117305"/>
    <w:rsid w:val="001173DF"/>
    <w:rsid w:val="00117670"/>
    <w:rsid w:val="001179B5"/>
    <w:rsid w:val="00117CA1"/>
    <w:rsid w:val="001201FC"/>
    <w:rsid w:val="001203DE"/>
    <w:rsid w:val="001204DA"/>
    <w:rsid w:val="00120995"/>
    <w:rsid w:val="00120DE4"/>
    <w:rsid w:val="001210AF"/>
    <w:rsid w:val="00121C20"/>
    <w:rsid w:val="00121EBD"/>
    <w:rsid w:val="001220F1"/>
    <w:rsid w:val="00122665"/>
    <w:rsid w:val="001227B2"/>
    <w:rsid w:val="0012296B"/>
    <w:rsid w:val="001229A2"/>
    <w:rsid w:val="00122A7B"/>
    <w:rsid w:val="00122BDC"/>
    <w:rsid w:val="00123F47"/>
    <w:rsid w:val="001240F5"/>
    <w:rsid w:val="001243EE"/>
    <w:rsid w:val="00124C24"/>
    <w:rsid w:val="00124CC7"/>
    <w:rsid w:val="00124DFC"/>
    <w:rsid w:val="00125CF4"/>
    <w:rsid w:val="0012627E"/>
    <w:rsid w:val="001264C0"/>
    <w:rsid w:val="00126A4A"/>
    <w:rsid w:val="00126B25"/>
    <w:rsid w:val="00126F04"/>
    <w:rsid w:val="0012723B"/>
    <w:rsid w:val="001276F1"/>
    <w:rsid w:val="00127760"/>
    <w:rsid w:val="001279D4"/>
    <w:rsid w:val="00127F96"/>
    <w:rsid w:val="0013005C"/>
    <w:rsid w:val="00130240"/>
    <w:rsid w:val="001307F7"/>
    <w:rsid w:val="00130B8F"/>
    <w:rsid w:val="00130E67"/>
    <w:rsid w:val="0013101A"/>
    <w:rsid w:val="00131228"/>
    <w:rsid w:val="00132088"/>
    <w:rsid w:val="0013210A"/>
    <w:rsid w:val="00132119"/>
    <w:rsid w:val="00132496"/>
    <w:rsid w:val="00132846"/>
    <w:rsid w:val="00132C68"/>
    <w:rsid w:val="00132EB7"/>
    <w:rsid w:val="001336A7"/>
    <w:rsid w:val="0013388F"/>
    <w:rsid w:val="001339DB"/>
    <w:rsid w:val="00133AF1"/>
    <w:rsid w:val="00133DC7"/>
    <w:rsid w:val="00133F69"/>
    <w:rsid w:val="00133FDC"/>
    <w:rsid w:val="00134031"/>
    <w:rsid w:val="001344C6"/>
    <w:rsid w:val="0013459E"/>
    <w:rsid w:val="0013494D"/>
    <w:rsid w:val="00134A81"/>
    <w:rsid w:val="00134CD9"/>
    <w:rsid w:val="00134E4D"/>
    <w:rsid w:val="00135037"/>
    <w:rsid w:val="0013536B"/>
    <w:rsid w:val="001353E1"/>
    <w:rsid w:val="00135511"/>
    <w:rsid w:val="00135BF0"/>
    <w:rsid w:val="00135EAD"/>
    <w:rsid w:val="00135EDE"/>
    <w:rsid w:val="001377F9"/>
    <w:rsid w:val="00137EB5"/>
    <w:rsid w:val="00140047"/>
    <w:rsid w:val="00140397"/>
    <w:rsid w:val="001403B4"/>
    <w:rsid w:val="0014089D"/>
    <w:rsid w:val="00140F76"/>
    <w:rsid w:val="00141B79"/>
    <w:rsid w:val="001421FC"/>
    <w:rsid w:val="001422EB"/>
    <w:rsid w:val="001424ED"/>
    <w:rsid w:val="00142622"/>
    <w:rsid w:val="0014332F"/>
    <w:rsid w:val="00143598"/>
    <w:rsid w:val="00143935"/>
    <w:rsid w:val="00143D0B"/>
    <w:rsid w:val="00144B71"/>
    <w:rsid w:val="00144DED"/>
    <w:rsid w:val="00144E20"/>
    <w:rsid w:val="00145B2E"/>
    <w:rsid w:val="00146289"/>
    <w:rsid w:val="00146E29"/>
    <w:rsid w:val="00146E46"/>
    <w:rsid w:val="001474A7"/>
    <w:rsid w:val="00147745"/>
    <w:rsid w:val="001477C4"/>
    <w:rsid w:val="00147D8E"/>
    <w:rsid w:val="00147E10"/>
    <w:rsid w:val="00147E27"/>
    <w:rsid w:val="00150204"/>
    <w:rsid w:val="00150900"/>
    <w:rsid w:val="00150987"/>
    <w:rsid w:val="00150B1C"/>
    <w:rsid w:val="00150F2D"/>
    <w:rsid w:val="0015120D"/>
    <w:rsid w:val="00151741"/>
    <w:rsid w:val="0015178B"/>
    <w:rsid w:val="00151E77"/>
    <w:rsid w:val="0015250D"/>
    <w:rsid w:val="00153353"/>
    <w:rsid w:val="001537B5"/>
    <w:rsid w:val="0015395D"/>
    <w:rsid w:val="00154378"/>
    <w:rsid w:val="001547C1"/>
    <w:rsid w:val="00154A04"/>
    <w:rsid w:val="00154ADF"/>
    <w:rsid w:val="00154D87"/>
    <w:rsid w:val="00155123"/>
    <w:rsid w:val="001555C8"/>
    <w:rsid w:val="00155DA4"/>
    <w:rsid w:val="00156246"/>
    <w:rsid w:val="0015688F"/>
    <w:rsid w:val="00156997"/>
    <w:rsid w:val="00156C5D"/>
    <w:rsid w:val="001573EA"/>
    <w:rsid w:val="00157B43"/>
    <w:rsid w:val="00160D81"/>
    <w:rsid w:val="001616EC"/>
    <w:rsid w:val="00161741"/>
    <w:rsid w:val="00161CD3"/>
    <w:rsid w:val="00161E9A"/>
    <w:rsid w:val="00161F67"/>
    <w:rsid w:val="00162180"/>
    <w:rsid w:val="00162AE3"/>
    <w:rsid w:val="0016303B"/>
    <w:rsid w:val="00163387"/>
    <w:rsid w:val="0016359A"/>
    <w:rsid w:val="00163812"/>
    <w:rsid w:val="00163D99"/>
    <w:rsid w:val="00163EEF"/>
    <w:rsid w:val="00164B76"/>
    <w:rsid w:val="00164C27"/>
    <w:rsid w:val="00164E98"/>
    <w:rsid w:val="001651EE"/>
    <w:rsid w:val="00165362"/>
    <w:rsid w:val="00165C95"/>
    <w:rsid w:val="00165DF5"/>
    <w:rsid w:val="00165FDE"/>
    <w:rsid w:val="00165FDF"/>
    <w:rsid w:val="0016630F"/>
    <w:rsid w:val="00166E05"/>
    <w:rsid w:val="00166E31"/>
    <w:rsid w:val="001671C6"/>
    <w:rsid w:val="00167552"/>
    <w:rsid w:val="00167C50"/>
    <w:rsid w:val="00167D47"/>
    <w:rsid w:val="00167E12"/>
    <w:rsid w:val="00167F26"/>
    <w:rsid w:val="00170062"/>
    <w:rsid w:val="0017020C"/>
    <w:rsid w:val="001704B5"/>
    <w:rsid w:val="00170642"/>
    <w:rsid w:val="001708A9"/>
    <w:rsid w:val="0017111F"/>
    <w:rsid w:val="0017168B"/>
    <w:rsid w:val="001719C1"/>
    <w:rsid w:val="00171A19"/>
    <w:rsid w:val="00171B67"/>
    <w:rsid w:val="00172101"/>
    <w:rsid w:val="0017249F"/>
    <w:rsid w:val="001724E9"/>
    <w:rsid w:val="001725F0"/>
    <w:rsid w:val="00172F38"/>
    <w:rsid w:val="0017304A"/>
    <w:rsid w:val="001732C2"/>
    <w:rsid w:val="00173503"/>
    <w:rsid w:val="00173AE7"/>
    <w:rsid w:val="00173E20"/>
    <w:rsid w:val="00173FE1"/>
    <w:rsid w:val="0017420A"/>
    <w:rsid w:val="001742F4"/>
    <w:rsid w:val="001747E8"/>
    <w:rsid w:val="001749AC"/>
    <w:rsid w:val="00174D47"/>
    <w:rsid w:val="001751E7"/>
    <w:rsid w:val="00175839"/>
    <w:rsid w:val="00175971"/>
    <w:rsid w:val="00175D26"/>
    <w:rsid w:val="0017614C"/>
    <w:rsid w:val="0017692A"/>
    <w:rsid w:val="00176CE8"/>
    <w:rsid w:val="00176D7A"/>
    <w:rsid w:val="001773B6"/>
    <w:rsid w:val="00177678"/>
    <w:rsid w:val="00177910"/>
    <w:rsid w:val="00177FDC"/>
    <w:rsid w:val="00180D01"/>
    <w:rsid w:val="001815D4"/>
    <w:rsid w:val="0018171C"/>
    <w:rsid w:val="0018230D"/>
    <w:rsid w:val="00182933"/>
    <w:rsid w:val="00183E95"/>
    <w:rsid w:val="00183F90"/>
    <w:rsid w:val="001841F2"/>
    <w:rsid w:val="00184640"/>
    <w:rsid w:val="001848C7"/>
    <w:rsid w:val="001850EC"/>
    <w:rsid w:val="0018510C"/>
    <w:rsid w:val="0018586E"/>
    <w:rsid w:val="001859EB"/>
    <w:rsid w:val="00185B78"/>
    <w:rsid w:val="00185B9B"/>
    <w:rsid w:val="00185E21"/>
    <w:rsid w:val="00185EC9"/>
    <w:rsid w:val="00185EFE"/>
    <w:rsid w:val="001862BD"/>
    <w:rsid w:val="001864B7"/>
    <w:rsid w:val="00186530"/>
    <w:rsid w:val="0018659D"/>
    <w:rsid w:val="00186E5B"/>
    <w:rsid w:val="00187439"/>
    <w:rsid w:val="00187525"/>
    <w:rsid w:val="00187694"/>
    <w:rsid w:val="00187E03"/>
    <w:rsid w:val="00187E07"/>
    <w:rsid w:val="00190391"/>
    <w:rsid w:val="001909F7"/>
    <w:rsid w:val="00191165"/>
    <w:rsid w:val="001913D2"/>
    <w:rsid w:val="00191936"/>
    <w:rsid w:val="00191A5A"/>
    <w:rsid w:val="001925D3"/>
    <w:rsid w:val="0019351A"/>
    <w:rsid w:val="00193835"/>
    <w:rsid w:val="00193DB4"/>
    <w:rsid w:val="00193F11"/>
    <w:rsid w:val="00193F28"/>
    <w:rsid w:val="00194782"/>
    <w:rsid w:val="001949BF"/>
    <w:rsid w:val="00194B88"/>
    <w:rsid w:val="00194FD7"/>
    <w:rsid w:val="0019593D"/>
    <w:rsid w:val="00195C66"/>
    <w:rsid w:val="00195FD5"/>
    <w:rsid w:val="001960DD"/>
    <w:rsid w:val="001961D1"/>
    <w:rsid w:val="001965C8"/>
    <w:rsid w:val="001966D3"/>
    <w:rsid w:val="001977A5"/>
    <w:rsid w:val="001977AE"/>
    <w:rsid w:val="00197AF6"/>
    <w:rsid w:val="00197B06"/>
    <w:rsid w:val="00197F56"/>
    <w:rsid w:val="001A006F"/>
    <w:rsid w:val="001A03D9"/>
    <w:rsid w:val="001A073E"/>
    <w:rsid w:val="001A10DC"/>
    <w:rsid w:val="001A14B7"/>
    <w:rsid w:val="001A1989"/>
    <w:rsid w:val="001A1AC0"/>
    <w:rsid w:val="001A1B72"/>
    <w:rsid w:val="001A218E"/>
    <w:rsid w:val="001A226B"/>
    <w:rsid w:val="001A2301"/>
    <w:rsid w:val="001A23CC"/>
    <w:rsid w:val="001A2419"/>
    <w:rsid w:val="001A2533"/>
    <w:rsid w:val="001A2ABC"/>
    <w:rsid w:val="001A2D96"/>
    <w:rsid w:val="001A2DA0"/>
    <w:rsid w:val="001A2E99"/>
    <w:rsid w:val="001A405E"/>
    <w:rsid w:val="001A40DF"/>
    <w:rsid w:val="001A4339"/>
    <w:rsid w:val="001A46AD"/>
    <w:rsid w:val="001A46C6"/>
    <w:rsid w:val="001A4C72"/>
    <w:rsid w:val="001A563C"/>
    <w:rsid w:val="001A5998"/>
    <w:rsid w:val="001A5BA9"/>
    <w:rsid w:val="001A5C07"/>
    <w:rsid w:val="001A609B"/>
    <w:rsid w:val="001A60F0"/>
    <w:rsid w:val="001A68CF"/>
    <w:rsid w:val="001A71AE"/>
    <w:rsid w:val="001A738B"/>
    <w:rsid w:val="001A761E"/>
    <w:rsid w:val="001A7769"/>
    <w:rsid w:val="001A7920"/>
    <w:rsid w:val="001A7934"/>
    <w:rsid w:val="001A795B"/>
    <w:rsid w:val="001B0393"/>
    <w:rsid w:val="001B050E"/>
    <w:rsid w:val="001B0CEA"/>
    <w:rsid w:val="001B17D2"/>
    <w:rsid w:val="001B18F9"/>
    <w:rsid w:val="001B25D3"/>
    <w:rsid w:val="001B3D7D"/>
    <w:rsid w:val="001B4BC2"/>
    <w:rsid w:val="001B4D13"/>
    <w:rsid w:val="001B5775"/>
    <w:rsid w:val="001B5F48"/>
    <w:rsid w:val="001B607E"/>
    <w:rsid w:val="001B6330"/>
    <w:rsid w:val="001B643E"/>
    <w:rsid w:val="001B716B"/>
    <w:rsid w:val="001B743F"/>
    <w:rsid w:val="001B7476"/>
    <w:rsid w:val="001B7995"/>
    <w:rsid w:val="001B7B5E"/>
    <w:rsid w:val="001B7BDC"/>
    <w:rsid w:val="001B7E86"/>
    <w:rsid w:val="001B7EFD"/>
    <w:rsid w:val="001C0240"/>
    <w:rsid w:val="001C0282"/>
    <w:rsid w:val="001C03B7"/>
    <w:rsid w:val="001C0808"/>
    <w:rsid w:val="001C08DC"/>
    <w:rsid w:val="001C08FD"/>
    <w:rsid w:val="001C091C"/>
    <w:rsid w:val="001C0AA6"/>
    <w:rsid w:val="001C164B"/>
    <w:rsid w:val="001C1764"/>
    <w:rsid w:val="001C1E3E"/>
    <w:rsid w:val="001C2A06"/>
    <w:rsid w:val="001C2F24"/>
    <w:rsid w:val="001C39B8"/>
    <w:rsid w:val="001C401E"/>
    <w:rsid w:val="001C41FA"/>
    <w:rsid w:val="001C4D76"/>
    <w:rsid w:val="001C4DB7"/>
    <w:rsid w:val="001C5706"/>
    <w:rsid w:val="001C5848"/>
    <w:rsid w:val="001C5BDE"/>
    <w:rsid w:val="001C6178"/>
    <w:rsid w:val="001C67A1"/>
    <w:rsid w:val="001C699D"/>
    <w:rsid w:val="001C6B16"/>
    <w:rsid w:val="001C6E3F"/>
    <w:rsid w:val="001C71BB"/>
    <w:rsid w:val="001C73F2"/>
    <w:rsid w:val="001C7C2C"/>
    <w:rsid w:val="001C7CE9"/>
    <w:rsid w:val="001D0132"/>
    <w:rsid w:val="001D041F"/>
    <w:rsid w:val="001D0F92"/>
    <w:rsid w:val="001D1061"/>
    <w:rsid w:val="001D1115"/>
    <w:rsid w:val="001D1155"/>
    <w:rsid w:val="001D13E9"/>
    <w:rsid w:val="001D1757"/>
    <w:rsid w:val="001D1D74"/>
    <w:rsid w:val="001D206A"/>
    <w:rsid w:val="001D2225"/>
    <w:rsid w:val="001D2769"/>
    <w:rsid w:val="001D281D"/>
    <w:rsid w:val="001D28E8"/>
    <w:rsid w:val="001D2A1D"/>
    <w:rsid w:val="001D2DDC"/>
    <w:rsid w:val="001D2E16"/>
    <w:rsid w:val="001D306C"/>
    <w:rsid w:val="001D3799"/>
    <w:rsid w:val="001D3ED6"/>
    <w:rsid w:val="001D5431"/>
    <w:rsid w:val="001D5710"/>
    <w:rsid w:val="001D5CBA"/>
    <w:rsid w:val="001D63F3"/>
    <w:rsid w:val="001D672B"/>
    <w:rsid w:val="001D6C00"/>
    <w:rsid w:val="001D6F23"/>
    <w:rsid w:val="001D6FDA"/>
    <w:rsid w:val="001D7296"/>
    <w:rsid w:val="001D7702"/>
    <w:rsid w:val="001E00E1"/>
    <w:rsid w:val="001E02B1"/>
    <w:rsid w:val="001E0301"/>
    <w:rsid w:val="001E074E"/>
    <w:rsid w:val="001E0DBC"/>
    <w:rsid w:val="001E0F6D"/>
    <w:rsid w:val="001E1338"/>
    <w:rsid w:val="001E17E5"/>
    <w:rsid w:val="001E25F6"/>
    <w:rsid w:val="001E2E67"/>
    <w:rsid w:val="001E2F50"/>
    <w:rsid w:val="001E32A2"/>
    <w:rsid w:val="001E3BE9"/>
    <w:rsid w:val="001E3C03"/>
    <w:rsid w:val="001E4092"/>
    <w:rsid w:val="001E43DF"/>
    <w:rsid w:val="001E4931"/>
    <w:rsid w:val="001E4BF9"/>
    <w:rsid w:val="001E4C18"/>
    <w:rsid w:val="001E4EDC"/>
    <w:rsid w:val="001E4F80"/>
    <w:rsid w:val="001E6160"/>
    <w:rsid w:val="001E62C5"/>
    <w:rsid w:val="001E63B4"/>
    <w:rsid w:val="001E6A50"/>
    <w:rsid w:val="001E6CE1"/>
    <w:rsid w:val="001E6E2D"/>
    <w:rsid w:val="001E7060"/>
    <w:rsid w:val="001E77BE"/>
    <w:rsid w:val="001F0386"/>
    <w:rsid w:val="001F124C"/>
    <w:rsid w:val="001F1496"/>
    <w:rsid w:val="001F1634"/>
    <w:rsid w:val="001F16D8"/>
    <w:rsid w:val="001F1835"/>
    <w:rsid w:val="001F1873"/>
    <w:rsid w:val="001F18F3"/>
    <w:rsid w:val="001F1AC1"/>
    <w:rsid w:val="001F1C34"/>
    <w:rsid w:val="001F1CF0"/>
    <w:rsid w:val="001F21D8"/>
    <w:rsid w:val="001F23D6"/>
    <w:rsid w:val="001F2F32"/>
    <w:rsid w:val="001F32D3"/>
    <w:rsid w:val="001F34F9"/>
    <w:rsid w:val="001F3D28"/>
    <w:rsid w:val="001F3D86"/>
    <w:rsid w:val="001F421D"/>
    <w:rsid w:val="001F42F9"/>
    <w:rsid w:val="001F503D"/>
    <w:rsid w:val="001F54CA"/>
    <w:rsid w:val="001F557A"/>
    <w:rsid w:val="001F5A8A"/>
    <w:rsid w:val="001F5AA1"/>
    <w:rsid w:val="001F5D0D"/>
    <w:rsid w:val="001F5DA4"/>
    <w:rsid w:val="001F5E37"/>
    <w:rsid w:val="001F65B8"/>
    <w:rsid w:val="001F6961"/>
    <w:rsid w:val="001F6B57"/>
    <w:rsid w:val="001F79CD"/>
    <w:rsid w:val="001F7A0A"/>
    <w:rsid w:val="00200028"/>
    <w:rsid w:val="002009FB"/>
    <w:rsid w:val="00200A4A"/>
    <w:rsid w:val="0020115F"/>
    <w:rsid w:val="002016FC"/>
    <w:rsid w:val="00201C45"/>
    <w:rsid w:val="00201C9C"/>
    <w:rsid w:val="00201E29"/>
    <w:rsid w:val="0020225B"/>
    <w:rsid w:val="002025D4"/>
    <w:rsid w:val="00202671"/>
    <w:rsid w:val="00202CE4"/>
    <w:rsid w:val="00203019"/>
    <w:rsid w:val="002030DD"/>
    <w:rsid w:val="00203727"/>
    <w:rsid w:val="00203812"/>
    <w:rsid w:val="00203CAB"/>
    <w:rsid w:val="0020412E"/>
    <w:rsid w:val="002041B0"/>
    <w:rsid w:val="002043F7"/>
    <w:rsid w:val="002045E8"/>
    <w:rsid w:val="0020471C"/>
    <w:rsid w:val="00204AA9"/>
    <w:rsid w:val="00204BE0"/>
    <w:rsid w:val="00204D37"/>
    <w:rsid w:val="002051C6"/>
    <w:rsid w:val="002055E1"/>
    <w:rsid w:val="00205B64"/>
    <w:rsid w:val="0020733B"/>
    <w:rsid w:val="00207624"/>
    <w:rsid w:val="0020783B"/>
    <w:rsid w:val="002078F8"/>
    <w:rsid w:val="00207B2D"/>
    <w:rsid w:val="00210B65"/>
    <w:rsid w:val="002110C4"/>
    <w:rsid w:val="00211670"/>
    <w:rsid w:val="0021181F"/>
    <w:rsid w:val="00211B6D"/>
    <w:rsid w:val="00211E4F"/>
    <w:rsid w:val="002123AB"/>
    <w:rsid w:val="00212F97"/>
    <w:rsid w:val="002132B9"/>
    <w:rsid w:val="0021353B"/>
    <w:rsid w:val="002139AA"/>
    <w:rsid w:val="00213C19"/>
    <w:rsid w:val="002141AF"/>
    <w:rsid w:val="002148B5"/>
    <w:rsid w:val="002149D5"/>
    <w:rsid w:val="00214C56"/>
    <w:rsid w:val="00214D07"/>
    <w:rsid w:val="00214DA1"/>
    <w:rsid w:val="00214E44"/>
    <w:rsid w:val="002153C7"/>
    <w:rsid w:val="0021542A"/>
    <w:rsid w:val="002168C6"/>
    <w:rsid w:val="002170DC"/>
    <w:rsid w:val="00217228"/>
    <w:rsid w:val="0021742C"/>
    <w:rsid w:val="00217490"/>
    <w:rsid w:val="002178DD"/>
    <w:rsid w:val="00217929"/>
    <w:rsid w:val="002179A9"/>
    <w:rsid w:val="002200D0"/>
    <w:rsid w:val="002203B3"/>
    <w:rsid w:val="0022043C"/>
    <w:rsid w:val="00220AF1"/>
    <w:rsid w:val="00220B0B"/>
    <w:rsid w:val="00221283"/>
    <w:rsid w:val="002213B4"/>
    <w:rsid w:val="002214DC"/>
    <w:rsid w:val="00221FAC"/>
    <w:rsid w:val="00222022"/>
    <w:rsid w:val="00222382"/>
    <w:rsid w:val="00222405"/>
    <w:rsid w:val="00222D46"/>
    <w:rsid w:val="00223181"/>
    <w:rsid w:val="00223802"/>
    <w:rsid w:val="0022412C"/>
    <w:rsid w:val="002244E8"/>
    <w:rsid w:val="0022478E"/>
    <w:rsid w:val="002249BC"/>
    <w:rsid w:val="00225915"/>
    <w:rsid w:val="00225D2F"/>
    <w:rsid w:val="00225FB8"/>
    <w:rsid w:val="0022634A"/>
    <w:rsid w:val="0022681C"/>
    <w:rsid w:val="00226B8A"/>
    <w:rsid w:val="00226F6E"/>
    <w:rsid w:val="00227066"/>
    <w:rsid w:val="00227112"/>
    <w:rsid w:val="00227137"/>
    <w:rsid w:val="0022748B"/>
    <w:rsid w:val="00227573"/>
    <w:rsid w:val="002276A1"/>
    <w:rsid w:val="00227B3A"/>
    <w:rsid w:val="00227BDE"/>
    <w:rsid w:val="0023001B"/>
    <w:rsid w:val="0023022D"/>
    <w:rsid w:val="0023061A"/>
    <w:rsid w:val="002310D4"/>
    <w:rsid w:val="00231151"/>
    <w:rsid w:val="002316CF"/>
    <w:rsid w:val="002316E1"/>
    <w:rsid w:val="00231FBC"/>
    <w:rsid w:val="00232198"/>
    <w:rsid w:val="002327D8"/>
    <w:rsid w:val="0023281B"/>
    <w:rsid w:val="00232ADB"/>
    <w:rsid w:val="00232B7B"/>
    <w:rsid w:val="00233071"/>
    <w:rsid w:val="00233224"/>
    <w:rsid w:val="00233482"/>
    <w:rsid w:val="00233483"/>
    <w:rsid w:val="0023384F"/>
    <w:rsid w:val="00233AD0"/>
    <w:rsid w:val="002343C7"/>
    <w:rsid w:val="002346F5"/>
    <w:rsid w:val="00235144"/>
    <w:rsid w:val="00235545"/>
    <w:rsid w:val="0023579E"/>
    <w:rsid w:val="00235E1C"/>
    <w:rsid w:val="002365B2"/>
    <w:rsid w:val="002369E7"/>
    <w:rsid w:val="00236ABB"/>
    <w:rsid w:val="00236D1F"/>
    <w:rsid w:val="00236D3A"/>
    <w:rsid w:val="00236F0F"/>
    <w:rsid w:val="00236F35"/>
    <w:rsid w:val="00237017"/>
    <w:rsid w:val="002373CE"/>
    <w:rsid w:val="00237604"/>
    <w:rsid w:val="00237905"/>
    <w:rsid w:val="00237F6E"/>
    <w:rsid w:val="00240140"/>
    <w:rsid w:val="002402B2"/>
    <w:rsid w:val="00240565"/>
    <w:rsid w:val="00240DCC"/>
    <w:rsid w:val="00241A70"/>
    <w:rsid w:val="00241B05"/>
    <w:rsid w:val="00241BF5"/>
    <w:rsid w:val="0024202F"/>
    <w:rsid w:val="0024317A"/>
    <w:rsid w:val="00243AC7"/>
    <w:rsid w:val="00243DDF"/>
    <w:rsid w:val="00244355"/>
    <w:rsid w:val="0024481F"/>
    <w:rsid w:val="00244F12"/>
    <w:rsid w:val="0024544F"/>
    <w:rsid w:val="002455C6"/>
    <w:rsid w:val="002457A0"/>
    <w:rsid w:val="0024592A"/>
    <w:rsid w:val="00245B69"/>
    <w:rsid w:val="0024640F"/>
    <w:rsid w:val="00246950"/>
    <w:rsid w:val="00246B59"/>
    <w:rsid w:val="00246C69"/>
    <w:rsid w:val="00246D8C"/>
    <w:rsid w:val="00247188"/>
    <w:rsid w:val="0024732E"/>
    <w:rsid w:val="00247675"/>
    <w:rsid w:val="00247F4C"/>
    <w:rsid w:val="00250186"/>
    <w:rsid w:val="00250492"/>
    <w:rsid w:val="0025069C"/>
    <w:rsid w:val="002506B6"/>
    <w:rsid w:val="00250B6B"/>
    <w:rsid w:val="002513DB"/>
    <w:rsid w:val="0025146C"/>
    <w:rsid w:val="002514B2"/>
    <w:rsid w:val="00251BB9"/>
    <w:rsid w:val="002525B8"/>
    <w:rsid w:val="00253AC1"/>
    <w:rsid w:val="00253BB6"/>
    <w:rsid w:val="0025421D"/>
    <w:rsid w:val="002543D8"/>
    <w:rsid w:val="002544B9"/>
    <w:rsid w:val="002546CB"/>
    <w:rsid w:val="00254A87"/>
    <w:rsid w:val="00254CDB"/>
    <w:rsid w:val="002552DA"/>
    <w:rsid w:val="00255ACC"/>
    <w:rsid w:val="002563A1"/>
    <w:rsid w:val="002564C1"/>
    <w:rsid w:val="002565CF"/>
    <w:rsid w:val="00256860"/>
    <w:rsid w:val="00256AAD"/>
    <w:rsid w:val="00256BAA"/>
    <w:rsid w:val="00256C98"/>
    <w:rsid w:val="00257530"/>
    <w:rsid w:val="0025760F"/>
    <w:rsid w:val="00257670"/>
    <w:rsid w:val="002579FD"/>
    <w:rsid w:val="00257B4A"/>
    <w:rsid w:val="00257D4E"/>
    <w:rsid w:val="002602F8"/>
    <w:rsid w:val="00260426"/>
    <w:rsid w:val="00260A72"/>
    <w:rsid w:val="00260CEF"/>
    <w:rsid w:val="00260F95"/>
    <w:rsid w:val="002610F6"/>
    <w:rsid w:val="0026114E"/>
    <w:rsid w:val="002614F1"/>
    <w:rsid w:val="00261678"/>
    <w:rsid w:val="002618D9"/>
    <w:rsid w:val="00261E76"/>
    <w:rsid w:val="0026246E"/>
    <w:rsid w:val="0026256F"/>
    <w:rsid w:val="002629C7"/>
    <w:rsid w:val="00262C2B"/>
    <w:rsid w:val="00262E77"/>
    <w:rsid w:val="00263070"/>
    <w:rsid w:val="0026327E"/>
    <w:rsid w:val="00263356"/>
    <w:rsid w:val="0026404E"/>
    <w:rsid w:val="00265045"/>
    <w:rsid w:val="00265AD7"/>
    <w:rsid w:val="00265C4E"/>
    <w:rsid w:val="002666C8"/>
    <w:rsid w:val="00266A77"/>
    <w:rsid w:val="00266BA1"/>
    <w:rsid w:val="00266E16"/>
    <w:rsid w:val="00266ECE"/>
    <w:rsid w:val="00267942"/>
    <w:rsid w:val="00267989"/>
    <w:rsid w:val="00267994"/>
    <w:rsid w:val="00267C73"/>
    <w:rsid w:val="00267EBD"/>
    <w:rsid w:val="00270EEE"/>
    <w:rsid w:val="002710EB"/>
    <w:rsid w:val="0027132B"/>
    <w:rsid w:val="002718BD"/>
    <w:rsid w:val="00271EE1"/>
    <w:rsid w:val="00271F1D"/>
    <w:rsid w:val="00272028"/>
    <w:rsid w:val="002730F8"/>
    <w:rsid w:val="002731E4"/>
    <w:rsid w:val="00273538"/>
    <w:rsid w:val="00273E35"/>
    <w:rsid w:val="0027400E"/>
    <w:rsid w:val="00274293"/>
    <w:rsid w:val="002743A2"/>
    <w:rsid w:val="002744AD"/>
    <w:rsid w:val="00274563"/>
    <w:rsid w:val="00274814"/>
    <w:rsid w:val="00274F3C"/>
    <w:rsid w:val="00275184"/>
    <w:rsid w:val="002752CA"/>
    <w:rsid w:val="00275729"/>
    <w:rsid w:val="00276276"/>
    <w:rsid w:val="00276398"/>
    <w:rsid w:val="00276424"/>
    <w:rsid w:val="00276553"/>
    <w:rsid w:val="002771F3"/>
    <w:rsid w:val="00277588"/>
    <w:rsid w:val="002778D8"/>
    <w:rsid w:val="00277997"/>
    <w:rsid w:val="00277D56"/>
    <w:rsid w:val="002801E3"/>
    <w:rsid w:val="002802D2"/>
    <w:rsid w:val="002804FD"/>
    <w:rsid w:val="002806E2"/>
    <w:rsid w:val="00280AD3"/>
    <w:rsid w:val="00280EBA"/>
    <w:rsid w:val="0028132B"/>
    <w:rsid w:val="00281818"/>
    <w:rsid w:val="0028184B"/>
    <w:rsid w:val="00281C3F"/>
    <w:rsid w:val="002820F1"/>
    <w:rsid w:val="002822B5"/>
    <w:rsid w:val="002823E6"/>
    <w:rsid w:val="002826C1"/>
    <w:rsid w:val="00282DAD"/>
    <w:rsid w:val="00282FF1"/>
    <w:rsid w:val="0028313B"/>
    <w:rsid w:val="00283205"/>
    <w:rsid w:val="002832C4"/>
    <w:rsid w:val="0028334F"/>
    <w:rsid w:val="002833FA"/>
    <w:rsid w:val="002836B2"/>
    <w:rsid w:val="002837DF"/>
    <w:rsid w:val="0028387B"/>
    <w:rsid w:val="00283E08"/>
    <w:rsid w:val="00283FD2"/>
    <w:rsid w:val="0028468B"/>
    <w:rsid w:val="002848A7"/>
    <w:rsid w:val="00284B06"/>
    <w:rsid w:val="00284C76"/>
    <w:rsid w:val="002859C0"/>
    <w:rsid w:val="00285A69"/>
    <w:rsid w:val="00285B65"/>
    <w:rsid w:val="00285E0E"/>
    <w:rsid w:val="00286258"/>
    <w:rsid w:val="002864BC"/>
    <w:rsid w:val="00286680"/>
    <w:rsid w:val="002867F4"/>
    <w:rsid w:val="0028687B"/>
    <w:rsid w:val="00287C66"/>
    <w:rsid w:val="00287CBD"/>
    <w:rsid w:val="00287DCE"/>
    <w:rsid w:val="00290607"/>
    <w:rsid w:val="002906FC"/>
    <w:rsid w:val="00290D89"/>
    <w:rsid w:val="00291258"/>
    <w:rsid w:val="00291849"/>
    <w:rsid w:val="00291B2A"/>
    <w:rsid w:val="00291D53"/>
    <w:rsid w:val="002920AC"/>
    <w:rsid w:val="00292566"/>
    <w:rsid w:val="002925A3"/>
    <w:rsid w:val="00292929"/>
    <w:rsid w:val="00292BFA"/>
    <w:rsid w:val="00292FA6"/>
    <w:rsid w:val="002933C1"/>
    <w:rsid w:val="00293718"/>
    <w:rsid w:val="0029398A"/>
    <w:rsid w:val="0029413B"/>
    <w:rsid w:val="002941B0"/>
    <w:rsid w:val="002951C3"/>
    <w:rsid w:val="0029535F"/>
    <w:rsid w:val="00295536"/>
    <w:rsid w:val="0029557A"/>
    <w:rsid w:val="0029572A"/>
    <w:rsid w:val="002960FC"/>
    <w:rsid w:val="002968E5"/>
    <w:rsid w:val="00296972"/>
    <w:rsid w:val="00296973"/>
    <w:rsid w:val="002971DF"/>
    <w:rsid w:val="0029721D"/>
    <w:rsid w:val="00297658"/>
    <w:rsid w:val="00297C0A"/>
    <w:rsid w:val="00297DDE"/>
    <w:rsid w:val="00297F34"/>
    <w:rsid w:val="002A07DE"/>
    <w:rsid w:val="002A0AB8"/>
    <w:rsid w:val="002A0E29"/>
    <w:rsid w:val="002A12A9"/>
    <w:rsid w:val="002A14E7"/>
    <w:rsid w:val="002A1579"/>
    <w:rsid w:val="002A1902"/>
    <w:rsid w:val="002A1F3C"/>
    <w:rsid w:val="002A27FE"/>
    <w:rsid w:val="002A2D74"/>
    <w:rsid w:val="002A3063"/>
    <w:rsid w:val="002A3261"/>
    <w:rsid w:val="002A38F8"/>
    <w:rsid w:val="002A4039"/>
    <w:rsid w:val="002A407C"/>
    <w:rsid w:val="002A41E6"/>
    <w:rsid w:val="002A58D1"/>
    <w:rsid w:val="002A5B9C"/>
    <w:rsid w:val="002A6427"/>
    <w:rsid w:val="002A6AFB"/>
    <w:rsid w:val="002A6F34"/>
    <w:rsid w:val="002A705F"/>
    <w:rsid w:val="002A72FF"/>
    <w:rsid w:val="002A7F19"/>
    <w:rsid w:val="002A7F25"/>
    <w:rsid w:val="002B0017"/>
    <w:rsid w:val="002B00FF"/>
    <w:rsid w:val="002B0170"/>
    <w:rsid w:val="002B0C39"/>
    <w:rsid w:val="002B0DE2"/>
    <w:rsid w:val="002B0E7E"/>
    <w:rsid w:val="002B1278"/>
    <w:rsid w:val="002B1631"/>
    <w:rsid w:val="002B163B"/>
    <w:rsid w:val="002B19CA"/>
    <w:rsid w:val="002B19CB"/>
    <w:rsid w:val="002B1DD7"/>
    <w:rsid w:val="002B2035"/>
    <w:rsid w:val="002B26DC"/>
    <w:rsid w:val="002B2C5E"/>
    <w:rsid w:val="002B2E28"/>
    <w:rsid w:val="002B3274"/>
    <w:rsid w:val="002B3892"/>
    <w:rsid w:val="002B3899"/>
    <w:rsid w:val="002B3B70"/>
    <w:rsid w:val="002B4226"/>
    <w:rsid w:val="002B424A"/>
    <w:rsid w:val="002B4309"/>
    <w:rsid w:val="002B44F7"/>
    <w:rsid w:val="002B47F0"/>
    <w:rsid w:val="002B4F40"/>
    <w:rsid w:val="002B5151"/>
    <w:rsid w:val="002B5D82"/>
    <w:rsid w:val="002B5E87"/>
    <w:rsid w:val="002B6259"/>
    <w:rsid w:val="002B67FD"/>
    <w:rsid w:val="002B682B"/>
    <w:rsid w:val="002B6873"/>
    <w:rsid w:val="002B6B5D"/>
    <w:rsid w:val="002B6D4B"/>
    <w:rsid w:val="002B6FF3"/>
    <w:rsid w:val="002B71AC"/>
    <w:rsid w:val="002B76E5"/>
    <w:rsid w:val="002B77DA"/>
    <w:rsid w:val="002B7ABC"/>
    <w:rsid w:val="002B7EF7"/>
    <w:rsid w:val="002B7F54"/>
    <w:rsid w:val="002C05C5"/>
    <w:rsid w:val="002C07A0"/>
    <w:rsid w:val="002C0903"/>
    <w:rsid w:val="002C1566"/>
    <w:rsid w:val="002C16E0"/>
    <w:rsid w:val="002C18B5"/>
    <w:rsid w:val="002C1D37"/>
    <w:rsid w:val="002C20CC"/>
    <w:rsid w:val="002C2EE9"/>
    <w:rsid w:val="002C3544"/>
    <w:rsid w:val="002C35E5"/>
    <w:rsid w:val="002C39BB"/>
    <w:rsid w:val="002C42B9"/>
    <w:rsid w:val="002C50ED"/>
    <w:rsid w:val="002C511A"/>
    <w:rsid w:val="002C55B2"/>
    <w:rsid w:val="002C5B9D"/>
    <w:rsid w:val="002C64B0"/>
    <w:rsid w:val="002C6549"/>
    <w:rsid w:val="002C65D6"/>
    <w:rsid w:val="002C67BA"/>
    <w:rsid w:val="002C6AB1"/>
    <w:rsid w:val="002C6AD8"/>
    <w:rsid w:val="002C6F22"/>
    <w:rsid w:val="002C7139"/>
    <w:rsid w:val="002C7E64"/>
    <w:rsid w:val="002D0159"/>
    <w:rsid w:val="002D01DE"/>
    <w:rsid w:val="002D05E2"/>
    <w:rsid w:val="002D07D9"/>
    <w:rsid w:val="002D0B5F"/>
    <w:rsid w:val="002D0FD2"/>
    <w:rsid w:val="002D1981"/>
    <w:rsid w:val="002D1B41"/>
    <w:rsid w:val="002D21E5"/>
    <w:rsid w:val="002D269F"/>
    <w:rsid w:val="002D27E1"/>
    <w:rsid w:val="002D2A8F"/>
    <w:rsid w:val="002D2B3D"/>
    <w:rsid w:val="002D2E3A"/>
    <w:rsid w:val="002D2EE0"/>
    <w:rsid w:val="002D315D"/>
    <w:rsid w:val="002D3338"/>
    <w:rsid w:val="002D33EF"/>
    <w:rsid w:val="002D38A6"/>
    <w:rsid w:val="002D3925"/>
    <w:rsid w:val="002D3D90"/>
    <w:rsid w:val="002D4A85"/>
    <w:rsid w:val="002D4BB8"/>
    <w:rsid w:val="002D6083"/>
    <w:rsid w:val="002D695E"/>
    <w:rsid w:val="002D6B23"/>
    <w:rsid w:val="002D6B3B"/>
    <w:rsid w:val="002D6BB5"/>
    <w:rsid w:val="002D6CD8"/>
    <w:rsid w:val="002D6D3A"/>
    <w:rsid w:val="002D74E6"/>
    <w:rsid w:val="002D7E93"/>
    <w:rsid w:val="002E00AC"/>
    <w:rsid w:val="002E015F"/>
    <w:rsid w:val="002E0628"/>
    <w:rsid w:val="002E08DD"/>
    <w:rsid w:val="002E0A3F"/>
    <w:rsid w:val="002E0A99"/>
    <w:rsid w:val="002E0D70"/>
    <w:rsid w:val="002E12E8"/>
    <w:rsid w:val="002E186B"/>
    <w:rsid w:val="002E1B43"/>
    <w:rsid w:val="002E2553"/>
    <w:rsid w:val="002E2824"/>
    <w:rsid w:val="002E2ECE"/>
    <w:rsid w:val="002E32A6"/>
    <w:rsid w:val="002E35CB"/>
    <w:rsid w:val="002E36ED"/>
    <w:rsid w:val="002E3C49"/>
    <w:rsid w:val="002E48C1"/>
    <w:rsid w:val="002E4CC4"/>
    <w:rsid w:val="002E5411"/>
    <w:rsid w:val="002E5DCD"/>
    <w:rsid w:val="002E60D3"/>
    <w:rsid w:val="002E624B"/>
    <w:rsid w:val="002E62AE"/>
    <w:rsid w:val="002E66EB"/>
    <w:rsid w:val="002E6B03"/>
    <w:rsid w:val="002E6F8C"/>
    <w:rsid w:val="002E70FF"/>
    <w:rsid w:val="002E7130"/>
    <w:rsid w:val="002E7633"/>
    <w:rsid w:val="002E789B"/>
    <w:rsid w:val="002E7968"/>
    <w:rsid w:val="002E7BCF"/>
    <w:rsid w:val="002E7CE7"/>
    <w:rsid w:val="002E7CFE"/>
    <w:rsid w:val="002E7D48"/>
    <w:rsid w:val="002F004B"/>
    <w:rsid w:val="002F098A"/>
    <w:rsid w:val="002F0EA4"/>
    <w:rsid w:val="002F101D"/>
    <w:rsid w:val="002F10F3"/>
    <w:rsid w:val="002F22C5"/>
    <w:rsid w:val="002F2405"/>
    <w:rsid w:val="002F2535"/>
    <w:rsid w:val="002F2AD9"/>
    <w:rsid w:val="002F2CC0"/>
    <w:rsid w:val="002F2D16"/>
    <w:rsid w:val="002F3124"/>
    <w:rsid w:val="002F3250"/>
    <w:rsid w:val="002F3459"/>
    <w:rsid w:val="002F3970"/>
    <w:rsid w:val="002F3B2D"/>
    <w:rsid w:val="002F3B76"/>
    <w:rsid w:val="002F3BF0"/>
    <w:rsid w:val="002F3E5B"/>
    <w:rsid w:val="002F3E83"/>
    <w:rsid w:val="002F4014"/>
    <w:rsid w:val="002F4175"/>
    <w:rsid w:val="002F4310"/>
    <w:rsid w:val="002F48E5"/>
    <w:rsid w:val="002F4B9E"/>
    <w:rsid w:val="002F5389"/>
    <w:rsid w:val="002F53AA"/>
    <w:rsid w:val="002F55AF"/>
    <w:rsid w:val="002F5B39"/>
    <w:rsid w:val="002F5B7F"/>
    <w:rsid w:val="002F662D"/>
    <w:rsid w:val="002F68C4"/>
    <w:rsid w:val="002F6CF8"/>
    <w:rsid w:val="002F6DB3"/>
    <w:rsid w:val="002F7296"/>
    <w:rsid w:val="002F7604"/>
    <w:rsid w:val="002F765F"/>
    <w:rsid w:val="003001E2"/>
    <w:rsid w:val="003004FD"/>
    <w:rsid w:val="00300579"/>
    <w:rsid w:val="00300E5A"/>
    <w:rsid w:val="00300EAB"/>
    <w:rsid w:val="00300F6F"/>
    <w:rsid w:val="00301490"/>
    <w:rsid w:val="00301DFD"/>
    <w:rsid w:val="00302230"/>
    <w:rsid w:val="0030261E"/>
    <w:rsid w:val="0030281A"/>
    <w:rsid w:val="00302B9E"/>
    <w:rsid w:val="00302DCC"/>
    <w:rsid w:val="00303217"/>
    <w:rsid w:val="0030380E"/>
    <w:rsid w:val="00303E3C"/>
    <w:rsid w:val="00304022"/>
    <w:rsid w:val="0030412D"/>
    <w:rsid w:val="00304174"/>
    <w:rsid w:val="003044B5"/>
    <w:rsid w:val="00304F17"/>
    <w:rsid w:val="00304F2C"/>
    <w:rsid w:val="003052B8"/>
    <w:rsid w:val="003052F9"/>
    <w:rsid w:val="00305D63"/>
    <w:rsid w:val="0030653A"/>
    <w:rsid w:val="003069DA"/>
    <w:rsid w:val="00306C47"/>
    <w:rsid w:val="003077E6"/>
    <w:rsid w:val="00307CC4"/>
    <w:rsid w:val="00307DE9"/>
    <w:rsid w:val="00307E53"/>
    <w:rsid w:val="00310C7A"/>
    <w:rsid w:val="00310EC7"/>
    <w:rsid w:val="00311C25"/>
    <w:rsid w:val="0031205E"/>
    <w:rsid w:val="003120F4"/>
    <w:rsid w:val="003124D7"/>
    <w:rsid w:val="0031257B"/>
    <w:rsid w:val="003128CA"/>
    <w:rsid w:val="00312A41"/>
    <w:rsid w:val="00312A8E"/>
    <w:rsid w:val="00312D47"/>
    <w:rsid w:val="00313720"/>
    <w:rsid w:val="00313A07"/>
    <w:rsid w:val="00314688"/>
    <w:rsid w:val="003146BD"/>
    <w:rsid w:val="003149FB"/>
    <w:rsid w:val="00314C1B"/>
    <w:rsid w:val="003155C8"/>
    <w:rsid w:val="00315AE4"/>
    <w:rsid w:val="00315DFB"/>
    <w:rsid w:val="00315F78"/>
    <w:rsid w:val="003169B4"/>
    <w:rsid w:val="003171AF"/>
    <w:rsid w:val="0031747F"/>
    <w:rsid w:val="00317549"/>
    <w:rsid w:val="003177D0"/>
    <w:rsid w:val="00320200"/>
    <w:rsid w:val="00320BD7"/>
    <w:rsid w:val="00320F54"/>
    <w:rsid w:val="0032107F"/>
    <w:rsid w:val="003212C4"/>
    <w:rsid w:val="00321418"/>
    <w:rsid w:val="00321443"/>
    <w:rsid w:val="003216C2"/>
    <w:rsid w:val="00321CCA"/>
    <w:rsid w:val="003220A4"/>
    <w:rsid w:val="003224E2"/>
    <w:rsid w:val="003225F1"/>
    <w:rsid w:val="00322E15"/>
    <w:rsid w:val="003233C5"/>
    <w:rsid w:val="00323941"/>
    <w:rsid w:val="00323A35"/>
    <w:rsid w:val="00323C8C"/>
    <w:rsid w:val="00323F4C"/>
    <w:rsid w:val="003245D0"/>
    <w:rsid w:val="003247D8"/>
    <w:rsid w:val="003248F7"/>
    <w:rsid w:val="00324BB3"/>
    <w:rsid w:val="00324DEB"/>
    <w:rsid w:val="003252BB"/>
    <w:rsid w:val="0032542A"/>
    <w:rsid w:val="003259BB"/>
    <w:rsid w:val="00325A60"/>
    <w:rsid w:val="00325EE3"/>
    <w:rsid w:val="0032615B"/>
    <w:rsid w:val="00326878"/>
    <w:rsid w:val="003270CE"/>
    <w:rsid w:val="00327172"/>
    <w:rsid w:val="00327878"/>
    <w:rsid w:val="00327AB9"/>
    <w:rsid w:val="00327B38"/>
    <w:rsid w:val="00327B40"/>
    <w:rsid w:val="00327E43"/>
    <w:rsid w:val="00327F0F"/>
    <w:rsid w:val="003300EB"/>
    <w:rsid w:val="00330280"/>
    <w:rsid w:val="003302DE"/>
    <w:rsid w:val="0033178B"/>
    <w:rsid w:val="00331950"/>
    <w:rsid w:val="00331A73"/>
    <w:rsid w:val="00331FE3"/>
    <w:rsid w:val="0033250B"/>
    <w:rsid w:val="00332B78"/>
    <w:rsid w:val="00332CAA"/>
    <w:rsid w:val="00332CB0"/>
    <w:rsid w:val="00332E2E"/>
    <w:rsid w:val="003332FD"/>
    <w:rsid w:val="00333406"/>
    <w:rsid w:val="00333AD1"/>
    <w:rsid w:val="00333F03"/>
    <w:rsid w:val="003341CC"/>
    <w:rsid w:val="00334328"/>
    <w:rsid w:val="00334D16"/>
    <w:rsid w:val="003353AD"/>
    <w:rsid w:val="00335702"/>
    <w:rsid w:val="00335B9D"/>
    <w:rsid w:val="00335DCE"/>
    <w:rsid w:val="003364F2"/>
    <w:rsid w:val="00336FA0"/>
    <w:rsid w:val="00337B57"/>
    <w:rsid w:val="00337C25"/>
    <w:rsid w:val="00337C2F"/>
    <w:rsid w:val="00337E52"/>
    <w:rsid w:val="00337F2B"/>
    <w:rsid w:val="00337F9F"/>
    <w:rsid w:val="0034065C"/>
    <w:rsid w:val="003407CE"/>
    <w:rsid w:val="00340800"/>
    <w:rsid w:val="003409C8"/>
    <w:rsid w:val="00341380"/>
    <w:rsid w:val="003415B6"/>
    <w:rsid w:val="003416D1"/>
    <w:rsid w:val="003419AC"/>
    <w:rsid w:val="00341AE9"/>
    <w:rsid w:val="00341C53"/>
    <w:rsid w:val="00341FAF"/>
    <w:rsid w:val="003429DF"/>
    <w:rsid w:val="00342A55"/>
    <w:rsid w:val="00343884"/>
    <w:rsid w:val="003439F3"/>
    <w:rsid w:val="00343A14"/>
    <w:rsid w:val="00343BD3"/>
    <w:rsid w:val="00343D70"/>
    <w:rsid w:val="0034462C"/>
    <w:rsid w:val="00344D89"/>
    <w:rsid w:val="00344F75"/>
    <w:rsid w:val="003450B2"/>
    <w:rsid w:val="00345225"/>
    <w:rsid w:val="00345269"/>
    <w:rsid w:val="00345AF0"/>
    <w:rsid w:val="00345E70"/>
    <w:rsid w:val="00346424"/>
    <w:rsid w:val="00346560"/>
    <w:rsid w:val="00346B5A"/>
    <w:rsid w:val="00346C7C"/>
    <w:rsid w:val="00347266"/>
    <w:rsid w:val="003474F5"/>
    <w:rsid w:val="00347D38"/>
    <w:rsid w:val="00347EB9"/>
    <w:rsid w:val="0035007D"/>
    <w:rsid w:val="003501C5"/>
    <w:rsid w:val="0035039C"/>
    <w:rsid w:val="003504D6"/>
    <w:rsid w:val="003506A4"/>
    <w:rsid w:val="00350936"/>
    <w:rsid w:val="00350DFC"/>
    <w:rsid w:val="00350E79"/>
    <w:rsid w:val="00351040"/>
    <w:rsid w:val="003512DB"/>
    <w:rsid w:val="003513A7"/>
    <w:rsid w:val="003515F5"/>
    <w:rsid w:val="00351629"/>
    <w:rsid w:val="003521FB"/>
    <w:rsid w:val="0035226C"/>
    <w:rsid w:val="003524BB"/>
    <w:rsid w:val="003527C3"/>
    <w:rsid w:val="003528E7"/>
    <w:rsid w:val="00352E49"/>
    <w:rsid w:val="003538DF"/>
    <w:rsid w:val="00353996"/>
    <w:rsid w:val="003539FE"/>
    <w:rsid w:val="00355173"/>
    <w:rsid w:val="0035562B"/>
    <w:rsid w:val="003558AC"/>
    <w:rsid w:val="003558F5"/>
    <w:rsid w:val="00355F2E"/>
    <w:rsid w:val="00355F60"/>
    <w:rsid w:val="0035675F"/>
    <w:rsid w:val="00356F0C"/>
    <w:rsid w:val="0035706C"/>
    <w:rsid w:val="003576B8"/>
    <w:rsid w:val="00357F3D"/>
    <w:rsid w:val="00357F72"/>
    <w:rsid w:val="00360697"/>
    <w:rsid w:val="003609C1"/>
    <w:rsid w:val="0036102B"/>
    <w:rsid w:val="0036109A"/>
    <w:rsid w:val="00361222"/>
    <w:rsid w:val="0036139A"/>
    <w:rsid w:val="00361668"/>
    <w:rsid w:val="00361E4E"/>
    <w:rsid w:val="00361FDB"/>
    <w:rsid w:val="003620BD"/>
    <w:rsid w:val="00362276"/>
    <w:rsid w:val="003624EE"/>
    <w:rsid w:val="0036289C"/>
    <w:rsid w:val="003629AA"/>
    <w:rsid w:val="00362D67"/>
    <w:rsid w:val="00362E68"/>
    <w:rsid w:val="00362F9F"/>
    <w:rsid w:val="00363AA2"/>
    <w:rsid w:val="00363BB2"/>
    <w:rsid w:val="00363C68"/>
    <w:rsid w:val="00364065"/>
    <w:rsid w:val="0036430C"/>
    <w:rsid w:val="00364620"/>
    <w:rsid w:val="00364B0D"/>
    <w:rsid w:val="00364B34"/>
    <w:rsid w:val="00364D3E"/>
    <w:rsid w:val="00364FFB"/>
    <w:rsid w:val="00365305"/>
    <w:rsid w:val="00365584"/>
    <w:rsid w:val="00365AEF"/>
    <w:rsid w:val="00365B2D"/>
    <w:rsid w:val="00365CDC"/>
    <w:rsid w:val="00365DAF"/>
    <w:rsid w:val="0036635C"/>
    <w:rsid w:val="00366635"/>
    <w:rsid w:val="003667D5"/>
    <w:rsid w:val="0036685D"/>
    <w:rsid w:val="00366DE6"/>
    <w:rsid w:val="0036702E"/>
    <w:rsid w:val="003670A8"/>
    <w:rsid w:val="00367C36"/>
    <w:rsid w:val="00367FD5"/>
    <w:rsid w:val="0037020B"/>
    <w:rsid w:val="00370380"/>
    <w:rsid w:val="00370593"/>
    <w:rsid w:val="00370C1D"/>
    <w:rsid w:val="00370D7B"/>
    <w:rsid w:val="00371466"/>
    <w:rsid w:val="00371487"/>
    <w:rsid w:val="00371715"/>
    <w:rsid w:val="00371D10"/>
    <w:rsid w:val="00372167"/>
    <w:rsid w:val="003723AA"/>
    <w:rsid w:val="00372ACA"/>
    <w:rsid w:val="00372AF3"/>
    <w:rsid w:val="00372F57"/>
    <w:rsid w:val="00373347"/>
    <w:rsid w:val="003736F8"/>
    <w:rsid w:val="00374C09"/>
    <w:rsid w:val="00374F26"/>
    <w:rsid w:val="003754CB"/>
    <w:rsid w:val="003761EC"/>
    <w:rsid w:val="00376555"/>
    <w:rsid w:val="003765B9"/>
    <w:rsid w:val="00376944"/>
    <w:rsid w:val="00376D38"/>
    <w:rsid w:val="00376F1C"/>
    <w:rsid w:val="00377038"/>
    <w:rsid w:val="0037739A"/>
    <w:rsid w:val="003776E6"/>
    <w:rsid w:val="003778F4"/>
    <w:rsid w:val="00377A0C"/>
    <w:rsid w:val="00380167"/>
    <w:rsid w:val="0038018D"/>
    <w:rsid w:val="0038025F"/>
    <w:rsid w:val="003806E1"/>
    <w:rsid w:val="003807E5"/>
    <w:rsid w:val="003809E1"/>
    <w:rsid w:val="00380CC5"/>
    <w:rsid w:val="0038127E"/>
    <w:rsid w:val="00381326"/>
    <w:rsid w:val="003813D1"/>
    <w:rsid w:val="00381555"/>
    <w:rsid w:val="00381582"/>
    <w:rsid w:val="00381A51"/>
    <w:rsid w:val="00381F37"/>
    <w:rsid w:val="00382A42"/>
    <w:rsid w:val="00382ADD"/>
    <w:rsid w:val="00382AE8"/>
    <w:rsid w:val="0038309E"/>
    <w:rsid w:val="003835AB"/>
    <w:rsid w:val="00383C62"/>
    <w:rsid w:val="00384378"/>
    <w:rsid w:val="003848B3"/>
    <w:rsid w:val="00384CCC"/>
    <w:rsid w:val="00384EFD"/>
    <w:rsid w:val="00384F64"/>
    <w:rsid w:val="00385141"/>
    <w:rsid w:val="0038544A"/>
    <w:rsid w:val="00385E51"/>
    <w:rsid w:val="003860FF"/>
    <w:rsid w:val="0038637A"/>
    <w:rsid w:val="003866FB"/>
    <w:rsid w:val="00386F00"/>
    <w:rsid w:val="00387241"/>
    <w:rsid w:val="003873E6"/>
    <w:rsid w:val="00387616"/>
    <w:rsid w:val="00387774"/>
    <w:rsid w:val="00387936"/>
    <w:rsid w:val="00387D99"/>
    <w:rsid w:val="003902D4"/>
    <w:rsid w:val="00390809"/>
    <w:rsid w:val="00390D52"/>
    <w:rsid w:val="003913E6"/>
    <w:rsid w:val="00391459"/>
    <w:rsid w:val="0039174A"/>
    <w:rsid w:val="003918E7"/>
    <w:rsid w:val="003919E9"/>
    <w:rsid w:val="00391D3A"/>
    <w:rsid w:val="0039203D"/>
    <w:rsid w:val="00392290"/>
    <w:rsid w:val="003924AD"/>
    <w:rsid w:val="00392C5E"/>
    <w:rsid w:val="00392F97"/>
    <w:rsid w:val="0039395F"/>
    <w:rsid w:val="003939C7"/>
    <w:rsid w:val="00393CB3"/>
    <w:rsid w:val="00393E3F"/>
    <w:rsid w:val="0039412C"/>
    <w:rsid w:val="0039413F"/>
    <w:rsid w:val="003942C9"/>
    <w:rsid w:val="00394658"/>
    <w:rsid w:val="003949FD"/>
    <w:rsid w:val="00395022"/>
    <w:rsid w:val="00395244"/>
    <w:rsid w:val="00395313"/>
    <w:rsid w:val="0039553F"/>
    <w:rsid w:val="00395F08"/>
    <w:rsid w:val="0039636A"/>
    <w:rsid w:val="0039700B"/>
    <w:rsid w:val="0039733C"/>
    <w:rsid w:val="003973E6"/>
    <w:rsid w:val="00397446"/>
    <w:rsid w:val="0039748A"/>
    <w:rsid w:val="003974EE"/>
    <w:rsid w:val="0039793F"/>
    <w:rsid w:val="00397D75"/>
    <w:rsid w:val="00397EC5"/>
    <w:rsid w:val="003A038E"/>
    <w:rsid w:val="003A05C7"/>
    <w:rsid w:val="003A0739"/>
    <w:rsid w:val="003A0AAA"/>
    <w:rsid w:val="003A0E2F"/>
    <w:rsid w:val="003A0FAA"/>
    <w:rsid w:val="003A15FE"/>
    <w:rsid w:val="003A1654"/>
    <w:rsid w:val="003A178C"/>
    <w:rsid w:val="003A1E2E"/>
    <w:rsid w:val="003A2064"/>
    <w:rsid w:val="003A2765"/>
    <w:rsid w:val="003A2A4E"/>
    <w:rsid w:val="003A2B85"/>
    <w:rsid w:val="003A2CAC"/>
    <w:rsid w:val="003A2CB8"/>
    <w:rsid w:val="003A32FD"/>
    <w:rsid w:val="003A36DE"/>
    <w:rsid w:val="003A39DE"/>
    <w:rsid w:val="003A406A"/>
    <w:rsid w:val="003A42FA"/>
    <w:rsid w:val="003A4517"/>
    <w:rsid w:val="003A517E"/>
    <w:rsid w:val="003A5397"/>
    <w:rsid w:val="003A549F"/>
    <w:rsid w:val="003A55C0"/>
    <w:rsid w:val="003A563B"/>
    <w:rsid w:val="003A5686"/>
    <w:rsid w:val="003A5834"/>
    <w:rsid w:val="003A676A"/>
    <w:rsid w:val="003A6DAD"/>
    <w:rsid w:val="003A7002"/>
    <w:rsid w:val="003B0773"/>
    <w:rsid w:val="003B0967"/>
    <w:rsid w:val="003B0A7A"/>
    <w:rsid w:val="003B158F"/>
    <w:rsid w:val="003B1609"/>
    <w:rsid w:val="003B18F1"/>
    <w:rsid w:val="003B1A5C"/>
    <w:rsid w:val="003B1A6E"/>
    <w:rsid w:val="003B1D27"/>
    <w:rsid w:val="003B1EAB"/>
    <w:rsid w:val="003B1F10"/>
    <w:rsid w:val="003B1F95"/>
    <w:rsid w:val="003B23A8"/>
    <w:rsid w:val="003B249D"/>
    <w:rsid w:val="003B25D9"/>
    <w:rsid w:val="003B2804"/>
    <w:rsid w:val="003B2881"/>
    <w:rsid w:val="003B2C73"/>
    <w:rsid w:val="003B307A"/>
    <w:rsid w:val="003B3107"/>
    <w:rsid w:val="003B3300"/>
    <w:rsid w:val="003B33C0"/>
    <w:rsid w:val="003B36F4"/>
    <w:rsid w:val="003B3BB5"/>
    <w:rsid w:val="003B4176"/>
    <w:rsid w:val="003B445A"/>
    <w:rsid w:val="003B4556"/>
    <w:rsid w:val="003B468F"/>
    <w:rsid w:val="003B484F"/>
    <w:rsid w:val="003B513B"/>
    <w:rsid w:val="003B53A8"/>
    <w:rsid w:val="003B64CA"/>
    <w:rsid w:val="003B66BA"/>
    <w:rsid w:val="003B685D"/>
    <w:rsid w:val="003B6877"/>
    <w:rsid w:val="003B696D"/>
    <w:rsid w:val="003B6E72"/>
    <w:rsid w:val="003B7365"/>
    <w:rsid w:val="003B7557"/>
    <w:rsid w:val="003B76F9"/>
    <w:rsid w:val="003C0038"/>
    <w:rsid w:val="003C016E"/>
    <w:rsid w:val="003C0457"/>
    <w:rsid w:val="003C09AF"/>
    <w:rsid w:val="003C0F15"/>
    <w:rsid w:val="003C1EF1"/>
    <w:rsid w:val="003C20CE"/>
    <w:rsid w:val="003C252D"/>
    <w:rsid w:val="003C2600"/>
    <w:rsid w:val="003C2AE2"/>
    <w:rsid w:val="003C2B19"/>
    <w:rsid w:val="003C3481"/>
    <w:rsid w:val="003C3A2E"/>
    <w:rsid w:val="003C3E0D"/>
    <w:rsid w:val="003C4070"/>
    <w:rsid w:val="003C45A0"/>
    <w:rsid w:val="003C48D9"/>
    <w:rsid w:val="003C4E94"/>
    <w:rsid w:val="003C56A2"/>
    <w:rsid w:val="003C5991"/>
    <w:rsid w:val="003C5C03"/>
    <w:rsid w:val="003C5DD1"/>
    <w:rsid w:val="003C5E07"/>
    <w:rsid w:val="003C68E9"/>
    <w:rsid w:val="003C6998"/>
    <w:rsid w:val="003C6CC8"/>
    <w:rsid w:val="003C6E06"/>
    <w:rsid w:val="003C7161"/>
    <w:rsid w:val="003C7D84"/>
    <w:rsid w:val="003D0427"/>
    <w:rsid w:val="003D068F"/>
    <w:rsid w:val="003D0731"/>
    <w:rsid w:val="003D0DA2"/>
    <w:rsid w:val="003D0F99"/>
    <w:rsid w:val="003D1A4A"/>
    <w:rsid w:val="003D2073"/>
    <w:rsid w:val="003D273F"/>
    <w:rsid w:val="003D2CD4"/>
    <w:rsid w:val="003D2F55"/>
    <w:rsid w:val="003D3230"/>
    <w:rsid w:val="003D37A2"/>
    <w:rsid w:val="003D3A1F"/>
    <w:rsid w:val="003D3A51"/>
    <w:rsid w:val="003D3DFC"/>
    <w:rsid w:val="003D448B"/>
    <w:rsid w:val="003D456D"/>
    <w:rsid w:val="003D4A30"/>
    <w:rsid w:val="003D53EB"/>
    <w:rsid w:val="003D5485"/>
    <w:rsid w:val="003D5648"/>
    <w:rsid w:val="003D5CD3"/>
    <w:rsid w:val="003D5E45"/>
    <w:rsid w:val="003D62A5"/>
    <w:rsid w:val="003D6466"/>
    <w:rsid w:val="003D6D5A"/>
    <w:rsid w:val="003D7D19"/>
    <w:rsid w:val="003D7E58"/>
    <w:rsid w:val="003E01A0"/>
    <w:rsid w:val="003E02F3"/>
    <w:rsid w:val="003E0AA9"/>
    <w:rsid w:val="003E0F56"/>
    <w:rsid w:val="003E0FCE"/>
    <w:rsid w:val="003E1088"/>
    <w:rsid w:val="003E18B0"/>
    <w:rsid w:val="003E1FB8"/>
    <w:rsid w:val="003E228C"/>
    <w:rsid w:val="003E236A"/>
    <w:rsid w:val="003E27C2"/>
    <w:rsid w:val="003E2D97"/>
    <w:rsid w:val="003E2E54"/>
    <w:rsid w:val="003E3383"/>
    <w:rsid w:val="003E39D8"/>
    <w:rsid w:val="003E3D2A"/>
    <w:rsid w:val="003E3E7B"/>
    <w:rsid w:val="003E3FAF"/>
    <w:rsid w:val="003E471E"/>
    <w:rsid w:val="003E4C0B"/>
    <w:rsid w:val="003E4F58"/>
    <w:rsid w:val="003E54E1"/>
    <w:rsid w:val="003E5F25"/>
    <w:rsid w:val="003E5FED"/>
    <w:rsid w:val="003E6083"/>
    <w:rsid w:val="003E61DB"/>
    <w:rsid w:val="003E6405"/>
    <w:rsid w:val="003E645F"/>
    <w:rsid w:val="003E64A0"/>
    <w:rsid w:val="003E688F"/>
    <w:rsid w:val="003E6A89"/>
    <w:rsid w:val="003E6F1F"/>
    <w:rsid w:val="003E7941"/>
    <w:rsid w:val="003E79CE"/>
    <w:rsid w:val="003E7B9A"/>
    <w:rsid w:val="003E7F7C"/>
    <w:rsid w:val="003F003A"/>
    <w:rsid w:val="003F0403"/>
    <w:rsid w:val="003F093C"/>
    <w:rsid w:val="003F2800"/>
    <w:rsid w:val="003F2B5B"/>
    <w:rsid w:val="003F2C90"/>
    <w:rsid w:val="003F2E84"/>
    <w:rsid w:val="003F2F2B"/>
    <w:rsid w:val="003F2FAB"/>
    <w:rsid w:val="003F34FF"/>
    <w:rsid w:val="003F3CB6"/>
    <w:rsid w:val="003F473C"/>
    <w:rsid w:val="003F4952"/>
    <w:rsid w:val="003F4A04"/>
    <w:rsid w:val="003F4D33"/>
    <w:rsid w:val="003F4FE3"/>
    <w:rsid w:val="003F55C1"/>
    <w:rsid w:val="003F5AF5"/>
    <w:rsid w:val="003F6127"/>
    <w:rsid w:val="003F621E"/>
    <w:rsid w:val="003F63FE"/>
    <w:rsid w:val="003F6774"/>
    <w:rsid w:val="003F6A64"/>
    <w:rsid w:val="003F6C9A"/>
    <w:rsid w:val="003F6F04"/>
    <w:rsid w:val="003F7279"/>
    <w:rsid w:val="003F7688"/>
    <w:rsid w:val="003F7A9B"/>
    <w:rsid w:val="00400904"/>
    <w:rsid w:val="00400DB8"/>
    <w:rsid w:val="00401452"/>
    <w:rsid w:val="004018CA"/>
    <w:rsid w:val="004019FE"/>
    <w:rsid w:val="00401AFA"/>
    <w:rsid w:val="004022E7"/>
    <w:rsid w:val="00402835"/>
    <w:rsid w:val="0040290F"/>
    <w:rsid w:val="0040296D"/>
    <w:rsid w:val="00402C29"/>
    <w:rsid w:val="00402E10"/>
    <w:rsid w:val="00402E60"/>
    <w:rsid w:val="00403183"/>
    <w:rsid w:val="00403385"/>
    <w:rsid w:val="0040343B"/>
    <w:rsid w:val="00403821"/>
    <w:rsid w:val="00403823"/>
    <w:rsid w:val="00403E4C"/>
    <w:rsid w:val="004040E3"/>
    <w:rsid w:val="004048E6"/>
    <w:rsid w:val="00404A79"/>
    <w:rsid w:val="00404A8F"/>
    <w:rsid w:val="0040507E"/>
    <w:rsid w:val="00405D20"/>
    <w:rsid w:val="00406110"/>
    <w:rsid w:val="004068C1"/>
    <w:rsid w:val="00406DDA"/>
    <w:rsid w:val="0040724A"/>
    <w:rsid w:val="004078BC"/>
    <w:rsid w:val="0040797B"/>
    <w:rsid w:val="00407DB0"/>
    <w:rsid w:val="00407DC7"/>
    <w:rsid w:val="00407DDF"/>
    <w:rsid w:val="00407F30"/>
    <w:rsid w:val="00410259"/>
    <w:rsid w:val="0041052C"/>
    <w:rsid w:val="004107D8"/>
    <w:rsid w:val="00410D1D"/>
    <w:rsid w:val="00410FB9"/>
    <w:rsid w:val="004112B0"/>
    <w:rsid w:val="00411730"/>
    <w:rsid w:val="004117C9"/>
    <w:rsid w:val="00411CFC"/>
    <w:rsid w:val="00412646"/>
    <w:rsid w:val="00412748"/>
    <w:rsid w:val="004127EA"/>
    <w:rsid w:val="0041288F"/>
    <w:rsid w:val="004131C1"/>
    <w:rsid w:val="00413530"/>
    <w:rsid w:val="00413541"/>
    <w:rsid w:val="00413C88"/>
    <w:rsid w:val="00413DC9"/>
    <w:rsid w:val="0041404F"/>
    <w:rsid w:val="00414099"/>
    <w:rsid w:val="00414208"/>
    <w:rsid w:val="00414711"/>
    <w:rsid w:val="004149CE"/>
    <w:rsid w:val="00414C1F"/>
    <w:rsid w:val="00415442"/>
    <w:rsid w:val="0041592C"/>
    <w:rsid w:val="00416139"/>
    <w:rsid w:val="00416C37"/>
    <w:rsid w:val="00416C7C"/>
    <w:rsid w:val="00416D65"/>
    <w:rsid w:val="00417B8B"/>
    <w:rsid w:val="004201CF"/>
    <w:rsid w:val="0042053F"/>
    <w:rsid w:val="00421202"/>
    <w:rsid w:val="0042129D"/>
    <w:rsid w:val="004213E1"/>
    <w:rsid w:val="004213F9"/>
    <w:rsid w:val="004215B3"/>
    <w:rsid w:val="004219A7"/>
    <w:rsid w:val="00421B5C"/>
    <w:rsid w:val="00422006"/>
    <w:rsid w:val="00422429"/>
    <w:rsid w:val="0042270B"/>
    <w:rsid w:val="004229F2"/>
    <w:rsid w:val="00422D09"/>
    <w:rsid w:val="0042383C"/>
    <w:rsid w:val="00423C98"/>
    <w:rsid w:val="0042448F"/>
    <w:rsid w:val="00424B91"/>
    <w:rsid w:val="00424DDE"/>
    <w:rsid w:val="00424DE7"/>
    <w:rsid w:val="00424F30"/>
    <w:rsid w:val="004253A0"/>
    <w:rsid w:val="00425810"/>
    <w:rsid w:val="0042725B"/>
    <w:rsid w:val="0042789C"/>
    <w:rsid w:val="00427B5B"/>
    <w:rsid w:val="00427C83"/>
    <w:rsid w:val="00427DF0"/>
    <w:rsid w:val="004302BF"/>
    <w:rsid w:val="0043070E"/>
    <w:rsid w:val="004309AB"/>
    <w:rsid w:val="00430DDF"/>
    <w:rsid w:val="004310C6"/>
    <w:rsid w:val="00431381"/>
    <w:rsid w:val="0043178B"/>
    <w:rsid w:val="00431A18"/>
    <w:rsid w:val="00431C9B"/>
    <w:rsid w:val="00431D0A"/>
    <w:rsid w:val="00431E7F"/>
    <w:rsid w:val="00432151"/>
    <w:rsid w:val="004332BF"/>
    <w:rsid w:val="00433424"/>
    <w:rsid w:val="00433B50"/>
    <w:rsid w:val="00433C1D"/>
    <w:rsid w:val="00433CC0"/>
    <w:rsid w:val="00433D79"/>
    <w:rsid w:val="00433E79"/>
    <w:rsid w:val="00434228"/>
    <w:rsid w:val="004346AB"/>
    <w:rsid w:val="00434977"/>
    <w:rsid w:val="00434B38"/>
    <w:rsid w:val="00434F58"/>
    <w:rsid w:val="0043540A"/>
    <w:rsid w:val="004357D3"/>
    <w:rsid w:val="004357EE"/>
    <w:rsid w:val="00435B88"/>
    <w:rsid w:val="00435D0E"/>
    <w:rsid w:val="00436292"/>
    <w:rsid w:val="004369AD"/>
    <w:rsid w:val="00437396"/>
    <w:rsid w:val="0043754D"/>
    <w:rsid w:val="004377E5"/>
    <w:rsid w:val="0043793E"/>
    <w:rsid w:val="00437942"/>
    <w:rsid w:val="00437B5C"/>
    <w:rsid w:val="00437FEF"/>
    <w:rsid w:val="00440A4F"/>
    <w:rsid w:val="00440D45"/>
    <w:rsid w:val="00440F31"/>
    <w:rsid w:val="004411A2"/>
    <w:rsid w:val="004411F3"/>
    <w:rsid w:val="00441710"/>
    <w:rsid w:val="00441A52"/>
    <w:rsid w:val="00441BEF"/>
    <w:rsid w:val="00441D74"/>
    <w:rsid w:val="00441E9B"/>
    <w:rsid w:val="00442045"/>
    <w:rsid w:val="004426DF"/>
    <w:rsid w:val="00442750"/>
    <w:rsid w:val="0044285C"/>
    <w:rsid w:val="004431C0"/>
    <w:rsid w:val="0044335F"/>
    <w:rsid w:val="0044362B"/>
    <w:rsid w:val="0044383D"/>
    <w:rsid w:val="004438F5"/>
    <w:rsid w:val="00443CC1"/>
    <w:rsid w:val="00443FF4"/>
    <w:rsid w:val="00444066"/>
    <w:rsid w:val="00444241"/>
    <w:rsid w:val="00444986"/>
    <w:rsid w:val="00444C61"/>
    <w:rsid w:val="00444DE8"/>
    <w:rsid w:val="00444E00"/>
    <w:rsid w:val="00445BC0"/>
    <w:rsid w:val="0044652B"/>
    <w:rsid w:val="00446B01"/>
    <w:rsid w:val="00446C48"/>
    <w:rsid w:val="004474B4"/>
    <w:rsid w:val="00447661"/>
    <w:rsid w:val="004476D7"/>
    <w:rsid w:val="00447751"/>
    <w:rsid w:val="00447D7A"/>
    <w:rsid w:val="00447D87"/>
    <w:rsid w:val="00447D89"/>
    <w:rsid w:val="004501D4"/>
    <w:rsid w:val="004502F4"/>
    <w:rsid w:val="00450481"/>
    <w:rsid w:val="00450B9E"/>
    <w:rsid w:val="00450BEC"/>
    <w:rsid w:val="00450D8E"/>
    <w:rsid w:val="00451162"/>
    <w:rsid w:val="00451273"/>
    <w:rsid w:val="0045153C"/>
    <w:rsid w:val="0045203D"/>
    <w:rsid w:val="004520F2"/>
    <w:rsid w:val="00452B3D"/>
    <w:rsid w:val="00452F59"/>
    <w:rsid w:val="0045356E"/>
    <w:rsid w:val="00453B7B"/>
    <w:rsid w:val="004540FD"/>
    <w:rsid w:val="00454547"/>
    <w:rsid w:val="004549C8"/>
    <w:rsid w:val="00454AEF"/>
    <w:rsid w:val="0045507E"/>
    <w:rsid w:val="0045510F"/>
    <w:rsid w:val="0045524B"/>
    <w:rsid w:val="00455311"/>
    <w:rsid w:val="004555D7"/>
    <w:rsid w:val="004556C0"/>
    <w:rsid w:val="00455D0F"/>
    <w:rsid w:val="00455DAC"/>
    <w:rsid w:val="00455E93"/>
    <w:rsid w:val="004561D8"/>
    <w:rsid w:val="0045635F"/>
    <w:rsid w:val="00456381"/>
    <w:rsid w:val="00456576"/>
    <w:rsid w:val="004566A4"/>
    <w:rsid w:val="0045672F"/>
    <w:rsid w:val="00456D80"/>
    <w:rsid w:val="00456DF6"/>
    <w:rsid w:val="00457880"/>
    <w:rsid w:val="00457A46"/>
    <w:rsid w:val="00457B96"/>
    <w:rsid w:val="00457CEF"/>
    <w:rsid w:val="0046002D"/>
    <w:rsid w:val="004605D6"/>
    <w:rsid w:val="00460A39"/>
    <w:rsid w:val="00460D75"/>
    <w:rsid w:val="00460FB4"/>
    <w:rsid w:val="004616C9"/>
    <w:rsid w:val="004617EF"/>
    <w:rsid w:val="00461856"/>
    <w:rsid w:val="00461CC7"/>
    <w:rsid w:val="004621EA"/>
    <w:rsid w:val="00462797"/>
    <w:rsid w:val="00462A7E"/>
    <w:rsid w:val="0046315A"/>
    <w:rsid w:val="00463FF1"/>
    <w:rsid w:val="00464176"/>
    <w:rsid w:val="00464912"/>
    <w:rsid w:val="00464B63"/>
    <w:rsid w:val="00464C3E"/>
    <w:rsid w:val="004656C0"/>
    <w:rsid w:val="004659D3"/>
    <w:rsid w:val="00465D29"/>
    <w:rsid w:val="00466033"/>
    <w:rsid w:val="00466063"/>
    <w:rsid w:val="00466711"/>
    <w:rsid w:val="00466DBE"/>
    <w:rsid w:val="0046700D"/>
    <w:rsid w:val="004672A4"/>
    <w:rsid w:val="004675DB"/>
    <w:rsid w:val="00467AC9"/>
    <w:rsid w:val="00467DB5"/>
    <w:rsid w:val="004701EA"/>
    <w:rsid w:val="00470476"/>
    <w:rsid w:val="004705A3"/>
    <w:rsid w:val="00471985"/>
    <w:rsid w:val="00471C7A"/>
    <w:rsid w:val="00471D47"/>
    <w:rsid w:val="0047202C"/>
    <w:rsid w:val="00472537"/>
    <w:rsid w:val="00472814"/>
    <w:rsid w:val="00472931"/>
    <w:rsid w:val="00473B03"/>
    <w:rsid w:val="00473CF4"/>
    <w:rsid w:val="00473DBF"/>
    <w:rsid w:val="00473DC3"/>
    <w:rsid w:val="004740D1"/>
    <w:rsid w:val="004745DE"/>
    <w:rsid w:val="004746E5"/>
    <w:rsid w:val="00475155"/>
    <w:rsid w:val="0047533D"/>
    <w:rsid w:val="004758F4"/>
    <w:rsid w:val="00475918"/>
    <w:rsid w:val="00475B7C"/>
    <w:rsid w:val="00475E39"/>
    <w:rsid w:val="004760E5"/>
    <w:rsid w:val="00476353"/>
    <w:rsid w:val="00476DBA"/>
    <w:rsid w:val="00476DFE"/>
    <w:rsid w:val="00480055"/>
    <w:rsid w:val="004804FF"/>
    <w:rsid w:val="00480A49"/>
    <w:rsid w:val="0048157B"/>
    <w:rsid w:val="00481A6A"/>
    <w:rsid w:val="00482052"/>
    <w:rsid w:val="0048280B"/>
    <w:rsid w:val="004830DA"/>
    <w:rsid w:val="00483183"/>
    <w:rsid w:val="004831D8"/>
    <w:rsid w:val="0048335A"/>
    <w:rsid w:val="00483965"/>
    <w:rsid w:val="00483AA4"/>
    <w:rsid w:val="00483AD1"/>
    <w:rsid w:val="00483BC0"/>
    <w:rsid w:val="0048441E"/>
    <w:rsid w:val="00484533"/>
    <w:rsid w:val="00485369"/>
    <w:rsid w:val="0048536F"/>
    <w:rsid w:val="00485485"/>
    <w:rsid w:val="004855B0"/>
    <w:rsid w:val="004857F3"/>
    <w:rsid w:val="00485E42"/>
    <w:rsid w:val="00486007"/>
    <w:rsid w:val="004861C3"/>
    <w:rsid w:val="00486386"/>
    <w:rsid w:val="004868D6"/>
    <w:rsid w:val="00486A1A"/>
    <w:rsid w:val="00486E36"/>
    <w:rsid w:val="004873F5"/>
    <w:rsid w:val="00490028"/>
    <w:rsid w:val="004904A5"/>
    <w:rsid w:val="00490ACC"/>
    <w:rsid w:val="00490D67"/>
    <w:rsid w:val="00490E36"/>
    <w:rsid w:val="00490FC8"/>
    <w:rsid w:val="00491368"/>
    <w:rsid w:val="00491602"/>
    <w:rsid w:val="004916F5"/>
    <w:rsid w:val="00491794"/>
    <w:rsid w:val="00491839"/>
    <w:rsid w:val="00491F49"/>
    <w:rsid w:val="00492026"/>
    <w:rsid w:val="00492200"/>
    <w:rsid w:val="004927AF"/>
    <w:rsid w:val="00492832"/>
    <w:rsid w:val="00492BD8"/>
    <w:rsid w:val="00492C44"/>
    <w:rsid w:val="00492DAC"/>
    <w:rsid w:val="00492DBC"/>
    <w:rsid w:val="0049336C"/>
    <w:rsid w:val="00493457"/>
    <w:rsid w:val="00493842"/>
    <w:rsid w:val="00493A67"/>
    <w:rsid w:val="00493A99"/>
    <w:rsid w:val="00493C95"/>
    <w:rsid w:val="00493D9C"/>
    <w:rsid w:val="00493DCE"/>
    <w:rsid w:val="004941BD"/>
    <w:rsid w:val="00494571"/>
    <w:rsid w:val="004948AC"/>
    <w:rsid w:val="00494ED0"/>
    <w:rsid w:val="0049514D"/>
    <w:rsid w:val="00495A52"/>
    <w:rsid w:val="00495C87"/>
    <w:rsid w:val="00495E7A"/>
    <w:rsid w:val="00496302"/>
    <w:rsid w:val="0049663B"/>
    <w:rsid w:val="004966A2"/>
    <w:rsid w:val="004966F6"/>
    <w:rsid w:val="004967DE"/>
    <w:rsid w:val="0049694C"/>
    <w:rsid w:val="00496C9B"/>
    <w:rsid w:val="00496DF1"/>
    <w:rsid w:val="00496F45"/>
    <w:rsid w:val="00497019"/>
    <w:rsid w:val="004976FE"/>
    <w:rsid w:val="004A0246"/>
    <w:rsid w:val="004A0821"/>
    <w:rsid w:val="004A117F"/>
    <w:rsid w:val="004A1426"/>
    <w:rsid w:val="004A1B4D"/>
    <w:rsid w:val="004A1CD4"/>
    <w:rsid w:val="004A2649"/>
    <w:rsid w:val="004A27BE"/>
    <w:rsid w:val="004A2916"/>
    <w:rsid w:val="004A2F2D"/>
    <w:rsid w:val="004A2FC3"/>
    <w:rsid w:val="004A380E"/>
    <w:rsid w:val="004A3CCF"/>
    <w:rsid w:val="004A3F89"/>
    <w:rsid w:val="004A43DF"/>
    <w:rsid w:val="004A5129"/>
    <w:rsid w:val="004A515E"/>
    <w:rsid w:val="004A51A0"/>
    <w:rsid w:val="004A56B2"/>
    <w:rsid w:val="004A5711"/>
    <w:rsid w:val="004A57FE"/>
    <w:rsid w:val="004A595E"/>
    <w:rsid w:val="004A5BB4"/>
    <w:rsid w:val="004A683D"/>
    <w:rsid w:val="004A6C36"/>
    <w:rsid w:val="004A6E5A"/>
    <w:rsid w:val="004A6F76"/>
    <w:rsid w:val="004A70B4"/>
    <w:rsid w:val="004A7143"/>
    <w:rsid w:val="004A7295"/>
    <w:rsid w:val="004A7356"/>
    <w:rsid w:val="004A76DC"/>
    <w:rsid w:val="004A7BCD"/>
    <w:rsid w:val="004B0230"/>
    <w:rsid w:val="004B0566"/>
    <w:rsid w:val="004B05FC"/>
    <w:rsid w:val="004B1181"/>
    <w:rsid w:val="004B1504"/>
    <w:rsid w:val="004B15DC"/>
    <w:rsid w:val="004B1742"/>
    <w:rsid w:val="004B1903"/>
    <w:rsid w:val="004B2D3C"/>
    <w:rsid w:val="004B3B56"/>
    <w:rsid w:val="004B3D78"/>
    <w:rsid w:val="004B416E"/>
    <w:rsid w:val="004B474A"/>
    <w:rsid w:val="004B4986"/>
    <w:rsid w:val="004B4F3A"/>
    <w:rsid w:val="004B5101"/>
    <w:rsid w:val="004B51FF"/>
    <w:rsid w:val="004B5907"/>
    <w:rsid w:val="004B5ADE"/>
    <w:rsid w:val="004B5B62"/>
    <w:rsid w:val="004B5FC0"/>
    <w:rsid w:val="004B6375"/>
    <w:rsid w:val="004B6536"/>
    <w:rsid w:val="004B6569"/>
    <w:rsid w:val="004B65BB"/>
    <w:rsid w:val="004B6811"/>
    <w:rsid w:val="004B686E"/>
    <w:rsid w:val="004B6C4C"/>
    <w:rsid w:val="004B6E10"/>
    <w:rsid w:val="004B7555"/>
    <w:rsid w:val="004B7C4F"/>
    <w:rsid w:val="004B7F2C"/>
    <w:rsid w:val="004C0296"/>
    <w:rsid w:val="004C0365"/>
    <w:rsid w:val="004C0497"/>
    <w:rsid w:val="004C058C"/>
    <w:rsid w:val="004C0CC2"/>
    <w:rsid w:val="004C0CE0"/>
    <w:rsid w:val="004C11C3"/>
    <w:rsid w:val="004C1904"/>
    <w:rsid w:val="004C1A3C"/>
    <w:rsid w:val="004C222A"/>
    <w:rsid w:val="004C2860"/>
    <w:rsid w:val="004C28D2"/>
    <w:rsid w:val="004C296C"/>
    <w:rsid w:val="004C313A"/>
    <w:rsid w:val="004C37A1"/>
    <w:rsid w:val="004C412A"/>
    <w:rsid w:val="004C4211"/>
    <w:rsid w:val="004C43B3"/>
    <w:rsid w:val="004C4C9C"/>
    <w:rsid w:val="004C4CB4"/>
    <w:rsid w:val="004C5035"/>
    <w:rsid w:val="004C57F6"/>
    <w:rsid w:val="004C58E4"/>
    <w:rsid w:val="004C5DF4"/>
    <w:rsid w:val="004C5E5F"/>
    <w:rsid w:val="004C6232"/>
    <w:rsid w:val="004C666A"/>
    <w:rsid w:val="004C6A5A"/>
    <w:rsid w:val="004C6BB6"/>
    <w:rsid w:val="004C778F"/>
    <w:rsid w:val="004C7911"/>
    <w:rsid w:val="004C7C6A"/>
    <w:rsid w:val="004C7E7D"/>
    <w:rsid w:val="004D0595"/>
    <w:rsid w:val="004D06D2"/>
    <w:rsid w:val="004D07A7"/>
    <w:rsid w:val="004D0ADE"/>
    <w:rsid w:val="004D0DA0"/>
    <w:rsid w:val="004D1198"/>
    <w:rsid w:val="004D131A"/>
    <w:rsid w:val="004D143C"/>
    <w:rsid w:val="004D1A36"/>
    <w:rsid w:val="004D1CCE"/>
    <w:rsid w:val="004D1F61"/>
    <w:rsid w:val="004D22E4"/>
    <w:rsid w:val="004D28B7"/>
    <w:rsid w:val="004D2DA0"/>
    <w:rsid w:val="004D2EDA"/>
    <w:rsid w:val="004D2F6E"/>
    <w:rsid w:val="004D31B7"/>
    <w:rsid w:val="004D32DE"/>
    <w:rsid w:val="004D355A"/>
    <w:rsid w:val="004D39FC"/>
    <w:rsid w:val="004D3AE0"/>
    <w:rsid w:val="004D3F96"/>
    <w:rsid w:val="004D41ED"/>
    <w:rsid w:val="004D4518"/>
    <w:rsid w:val="004D487F"/>
    <w:rsid w:val="004D48E0"/>
    <w:rsid w:val="004D4A77"/>
    <w:rsid w:val="004D4CE3"/>
    <w:rsid w:val="004D4D4E"/>
    <w:rsid w:val="004D4D72"/>
    <w:rsid w:val="004D4FBB"/>
    <w:rsid w:val="004D566D"/>
    <w:rsid w:val="004D5CCF"/>
    <w:rsid w:val="004D6879"/>
    <w:rsid w:val="004D71FE"/>
    <w:rsid w:val="004E0449"/>
    <w:rsid w:val="004E05C7"/>
    <w:rsid w:val="004E0B48"/>
    <w:rsid w:val="004E0D59"/>
    <w:rsid w:val="004E14C3"/>
    <w:rsid w:val="004E18C4"/>
    <w:rsid w:val="004E1C19"/>
    <w:rsid w:val="004E21C1"/>
    <w:rsid w:val="004E2C24"/>
    <w:rsid w:val="004E3063"/>
    <w:rsid w:val="004E330A"/>
    <w:rsid w:val="004E36A6"/>
    <w:rsid w:val="004E37B3"/>
    <w:rsid w:val="004E3B31"/>
    <w:rsid w:val="004E3BF4"/>
    <w:rsid w:val="004E3D3E"/>
    <w:rsid w:val="004E4139"/>
    <w:rsid w:val="004E4FEE"/>
    <w:rsid w:val="004E512A"/>
    <w:rsid w:val="004E532E"/>
    <w:rsid w:val="004E59A0"/>
    <w:rsid w:val="004E5EBD"/>
    <w:rsid w:val="004E612E"/>
    <w:rsid w:val="004E67EB"/>
    <w:rsid w:val="004E6D46"/>
    <w:rsid w:val="004E768E"/>
    <w:rsid w:val="004E7906"/>
    <w:rsid w:val="004E799E"/>
    <w:rsid w:val="004E7CE0"/>
    <w:rsid w:val="004F00E0"/>
    <w:rsid w:val="004F020F"/>
    <w:rsid w:val="004F075B"/>
    <w:rsid w:val="004F0BF7"/>
    <w:rsid w:val="004F15F3"/>
    <w:rsid w:val="004F1D99"/>
    <w:rsid w:val="004F2292"/>
    <w:rsid w:val="004F22FF"/>
    <w:rsid w:val="004F2C50"/>
    <w:rsid w:val="004F2E95"/>
    <w:rsid w:val="004F2FC9"/>
    <w:rsid w:val="004F32F0"/>
    <w:rsid w:val="004F3484"/>
    <w:rsid w:val="004F3DCD"/>
    <w:rsid w:val="004F3FA4"/>
    <w:rsid w:val="004F43E9"/>
    <w:rsid w:val="004F4DC5"/>
    <w:rsid w:val="004F4F5E"/>
    <w:rsid w:val="004F52AE"/>
    <w:rsid w:val="004F52B5"/>
    <w:rsid w:val="004F57C8"/>
    <w:rsid w:val="004F5A48"/>
    <w:rsid w:val="004F5B2C"/>
    <w:rsid w:val="004F5F3F"/>
    <w:rsid w:val="004F6206"/>
    <w:rsid w:val="004F6B3F"/>
    <w:rsid w:val="004F6EA1"/>
    <w:rsid w:val="004F7A0C"/>
    <w:rsid w:val="004F7CB2"/>
    <w:rsid w:val="004F7DF0"/>
    <w:rsid w:val="00500228"/>
    <w:rsid w:val="00500B4F"/>
    <w:rsid w:val="00500C48"/>
    <w:rsid w:val="00500C68"/>
    <w:rsid w:val="00500F8D"/>
    <w:rsid w:val="00500FA6"/>
    <w:rsid w:val="00501D2C"/>
    <w:rsid w:val="00502263"/>
    <w:rsid w:val="005025E5"/>
    <w:rsid w:val="005027F5"/>
    <w:rsid w:val="00502BEA"/>
    <w:rsid w:val="00502CB4"/>
    <w:rsid w:val="0050313F"/>
    <w:rsid w:val="005032B6"/>
    <w:rsid w:val="00503CDE"/>
    <w:rsid w:val="00503FD9"/>
    <w:rsid w:val="0050415A"/>
    <w:rsid w:val="0050432B"/>
    <w:rsid w:val="005047E5"/>
    <w:rsid w:val="005048EA"/>
    <w:rsid w:val="00504A4A"/>
    <w:rsid w:val="00504F86"/>
    <w:rsid w:val="0050514F"/>
    <w:rsid w:val="005054AA"/>
    <w:rsid w:val="00505BF2"/>
    <w:rsid w:val="00505C46"/>
    <w:rsid w:val="00506117"/>
    <w:rsid w:val="005065B3"/>
    <w:rsid w:val="005067CA"/>
    <w:rsid w:val="00506886"/>
    <w:rsid w:val="005068E8"/>
    <w:rsid w:val="00506F82"/>
    <w:rsid w:val="005071D7"/>
    <w:rsid w:val="00507B43"/>
    <w:rsid w:val="00507C7F"/>
    <w:rsid w:val="00507EF0"/>
    <w:rsid w:val="00507F6D"/>
    <w:rsid w:val="00510065"/>
    <w:rsid w:val="0051068A"/>
    <w:rsid w:val="00510997"/>
    <w:rsid w:val="00510A70"/>
    <w:rsid w:val="00510AF4"/>
    <w:rsid w:val="00510BCE"/>
    <w:rsid w:val="00510CB7"/>
    <w:rsid w:val="00510CE1"/>
    <w:rsid w:val="00510D7A"/>
    <w:rsid w:val="00511130"/>
    <w:rsid w:val="00512083"/>
    <w:rsid w:val="00512209"/>
    <w:rsid w:val="005123E6"/>
    <w:rsid w:val="00512B6B"/>
    <w:rsid w:val="00512D91"/>
    <w:rsid w:val="00512DB2"/>
    <w:rsid w:val="00513DD5"/>
    <w:rsid w:val="0051441D"/>
    <w:rsid w:val="00514486"/>
    <w:rsid w:val="00514682"/>
    <w:rsid w:val="00514783"/>
    <w:rsid w:val="00514C9B"/>
    <w:rsid w:val="005152CA"/>
    <w:rsid w:val="0051553D"/>
    <w:rsid w:val="005159B0"/>
    <w:rsid w:val="005159F6"/>
    <w:rsid w:val="00515B4E"/>
    <w:rsid w:val="005162CF"/>
    <w:rsid w:val="005166C4"/>
    <w:rsid w:val="005167F1"/>
    <w:rsid w:val="00520115"/>
    <w:rsid w:val="00520589"/>
    <w:rsid w:val="005206FE"/>
    <w:rsid w:val="005215AF"/>
    <w:rsid w:val="00521FAF"/>
    <w:rsid w:val="00522113"/>
    <w:rsid w:val="005221FC"/>
    <w:rsid w:val="0052251F"/>
    <w:rsid w:val="00522D0C"/>
    <w:rsid w:val="0052307F"/>
    <w:rsid w:val="00523505"/>
    <w:rsid w:val="0052358D"/>
    <w:rsid w:val="00523BDC"/>
    <w:rsid w:val="00523C4B"/>
    <w:rsid w:val="005240DA"/>
    <w:rsid w:val="005248BD"/>
    <w:rsid w:val="00524A41"/>
    <w:rsid w:val="00525486"/>
    <w:rsid w:val="005254CC"/>
    <w:rsid w:val="00525ADC"/>
    <w:rsid w:val="00525D39"/>
    <w:rsid w:val="0052614B"/>
    <w:rsid w:val="00526D2C"/>
    <w:rsid w:val="00526E79"/>
    <w:rsid w:val="00526F40"/>
    <w:rsid w:val="005274D2"/>
    <w:rsid w:val="00527DDF"/>
    <w:rsid w:val="005300D0"/>
    <w:rsid w:val="00530ABE"/>
    <w:rsid w:val="00530AE3"/>
    <w:rsid w:val="00531610"/>
    <w:rsid w:val="005317CC"/>
    <w:rsid w:val="00531CC4"/>
    <w:rsid w:val="0053208E"/>
    <w:rsid w:val="0053219F"/>
    <w:rsid w:val="00532908"/>
    <w:rsid w:val="00532951"/>
    <w:rsid w:val="00533A53"/>
    <w:rsid w:val="00533D14"/>
    <w:rsid w:val="00533EED"/>
    <w:rsid w:val="00534403"/>
    <w:rsid w:val="005344DA"/>
    <w:rsid w:val="00534642"/>
    <w:rsid w:val="00534F66"/>
    <w:rsid w:val="0053540F"/>
    <w:rsid w:val="00535A0B"/>
    <w:rsid w:val="00536A3D"/>
    <w:rsid w:val="00536BA3"/>
    <w:rsid w:val="00536CC1"/>
    <w:rsid w:val="00536F9C"/>
    <w:rsid w:val="00537195"/>
    <w:rsid w:val="005376EB"/>
    <w:rsid w:val="0053774B"/>
    <w:rsid w:val="005379FC"/>
    <w:rsid w:val="00537E72"/>
    <w:rsid w:val="005403D7"/>
    <w:rsid w:val="00540421"/>
    <w:rsid w:val="0054055B"/>
    <w:rsid w:val="005405A4"/>
    <w:rsid w:val="0054092F"/>
    <w:rsid w:val="00540B14"/>
    <w:rsid w:val="00540BB0"/>
    <w:rsid w:val="00540D74"/>
    <w:rsid w:val="00540D8D"/>
    <w:rsid w:val="0054109C"/>
    <w:rsid w:val="0054144D"/>
    <w:rsid w:val="00541DE2"/>
    <w:rsid w:val="005424E6"/>
    <w:rsid w:val="00542F8F"/>
    <w:rsid w:val="0054376E"/>
    <w:rsid w:val="00543910"/>
    <w:rsid w:val="00543B09"/>
    <w:rsid w:val="00543E2B"/>
    <w:rsid w:val="00543F62"/>
    <w:rsid w:val="00543F91"/>
    <w:rsid w:val="0054463D"/>
    <w:rsid w:val="00544845"/>
    <w:rsid w:val="0054490B"/>
    <w:rsid w:val="00544B2B"/>
    <w:rsid w:val="00544B78"/>
    <w:rsid w:val="00544DE8"/>
    <w:rsid w:val="00545748"/>
    <w:rsid w:val="00545923"/>
    <w:rsid w:val="00546545"/>
    <w:rsid w:val="005469DB"/>
    <w:rsid w:val="00546D86"/>
    <w:rsid w:val="00547042"/>
    <w:rsid w:val="0054785F"/>
    <w:rsid w:val="005501F7"/>
    <w:rsid w:val="005505BB"/>
    <w:rsid w:val="00550F73"/>
    <w:rsid w:val="00551465"/>
    <w:rsid w:val="00551500"/>
    <w:rsid w:val="00551DDB"/>
    <w:rsid w:val="00552D85"/>
    <w:rsid w:val="0055362C"/>
    <w:rsid w:val="0055366A"/>
    <w:rsid w:val="00553FC4"/>
    <w:rsid w:val="005544CE"/>
    <w:rsid w:val="00554633"/>
    <w:rsid w:val="005549A1"/>
    <w:rsid w:val="00554E1F"/>
    <w:rsid w:val="00554E2D"/>
    <w:rsid w:val="00554EB3"/>
    <w:rsid w:val="00554F1F"/>
    <w:rsid w:val="00554FEC"/>
    <w:rsid w:val="0055643E"/>
    <w:rsid w:val="00556A75"/>
    <w:rsid w:val="00556B66"/>
    <w:rsid w:val="00556B8A"/>
    <w:rsid w:val="005576C4"/>
    <w:rsid w:val="005578DD"/>
    <w:rsid w:val="005602EE"/>
    <w:rsid w:val="0056044A"/>
    <w:rsid w:val="00560505"/>
    <w:rsid w:val="00560C4F"/>
    <w:rsid w:val="00560CF8"/>
    <w:rsid w:val="0056119A"/>
    <w:rsid w:val="00561243"/>
    <w:rsid w:val="005617DE"/>
    <w:rsid w:val="00561B9E"/>
    <w:rsid w:val="00562348"/>
    <w:rsid w:val="00562501"/>
    <w:rsid w:val="00562792"/>
    <w:rsid w:val="00562D8B"/>
    <w:rsid w:val="00562D94"/>
    <w:rsid w:val="00563144"/>
    <w:rsid w:val="00563234"/>
    <w:rsid w:val="00563324"/>
    <w:rsid w:val="005639BD"/>
    <w:rsid w:val="005640E7"/>
    <w:rsid w:val="005640EA"/>
    <w:rsid w:val="0056432D"/>
    <w:rsid w:val="005649BA"/>
    <w:rsid w:val="00564C38"/>
    <w:rsid w:val="00564D80"/>
    <w:rsid w:val="0056504E"/>
    <w:rsid w:val="0056517E"/>
    <w:rsid w:val="00566559"/>
    <w:rsid w:val="005665A8"/>
    <w:rsid w:val="0056669A"/>
    <w:rsid w:val="00566A33"/>
    <w:rsid w:val="00566BE5"/>
    <w:rsid w:val="00566D32"/>
    <w:rsid w:val="005671BC"/>
    <w:rsid w:val="00567880"/>
    <w:rsid w:val="00567A74"/>
    <w:rsid w:val="00567A98"/>
    <w:rsid w:val="00567E88"/>
    <w:rsid w:val="00567F39"/>
    <w:rsid w:val="0057018B"/>
    <w:rsid w:val="005702D4"/>
    <w:rsid w:val="005707B1"/>
    <w:rsid w:val="00570842"/>
    <w:rsid w:val="00570E54"/>
    <w:rsid w:val="00571133"/>
    <w:rsid w:val="005722B6"/>
    <w:rsid w:val="0057292F"/>
    <w:rsid w:val="00572E23"/>
    <w:rsid w:val="005731E8"/>
    <w:rsid w:val="005734CB"/>
    <w:rsid w:val="00573A2C"/>
    <w:rsid w:val="00573E77"/>
    <w:rsid w:val="00573EB6"/>
    <w:rsid w:val="0057410E"/>
    <w:rsid w:val="005741E7"/>
    <w:rsid w:val="00574673"/>
    <w:rsid w:val="005746DE"/>
    <w:rsid w:val="00574797"/>
    <w:rsid w:val="00574AD8"/>
    <w:rsid w:val="00574F36"/>
    <w:rsid w:val="00575239"/>
    <w:rsid w:val="005753B4"/>
    <w:rsid w:val="005756E9"/>
    <w:rsid w:val="00576240"/>
    <w:rsid w:val="00576255"/>
    <w:rsid w:val="0057627B"/>
    <w:rsid w:val="0057638C"/>
    <w:rsid w:val="005766DC"/>
    <w:rsid w:val="00576749"/>
    <w:rsid w:val="00576C15"/>
    <w:rsid w:val="005771F6"/>
    <w:rsid w:val="0057755D"/>
    <w:rsid w:val="0057759A"/>
    <w:rsid w:val="00577698"/>
    <w:rsid w:val="005778DE"/>
    <w:rsid w:val="005800CB"/>
    <w:rsid w:val="0058076C"/>
    <w:rsid w:val="00580C17"/>
    <w:rsid w:val="00580C53"/>
    <w:rsid w:val="0058143E"/>
    <w:rsid w:val="0058186E"/>
    <w:rsid w:val="00581DC0"/>
    <w:rsid w:val="005822C2"/>
    <w:rsid w:val="00582967"/>
    <w:rsid w:val="00582CE9"/>
    <w:rsid w:val="00582F65"/>
    <w:rsid w:val="00583485"/>
    <w:rsid w:val="005837D8"/>
    <w:rsid w:val="005839A3"/>
    <w:rsid w:val="00583AC1"/>
    <w:rsid w:val="00583B06"/>
    <w:rsid w:val="00583E01"/>
    <w:rsid w:val="0058430B"/>
    <w:rsid w:val="00584536"/>
    <w:rsid w:val="00584722"/>
    <w:rsid w:val="00584C6F"/>
    <w:rsid w:val="00584E1C"/>
    <w:rsid w:val="00585296"/>
    <w:rsid w:val="0058554F"/>
    <w:rsid w:val="0058585E"/>
    <w:rsid w:val="00585AFB"/>
    <w:rsid w:val="00585C21"/>
    <w:rsid w:val="00585DBA"/>
    <w:rsid w:val="005861D7"/>
    <w:rsid w:val="00586CFE"/>
    <w:rsid w:val="00586E98"/>
    <w:rsid w:val="00586FFA"/>
    <w:rsid w:val="005877E0"/>
    <w:rsid w:val="0058796E"/>
    <w:rsid w:val="00590397"/>
    <w:rsid w:val="0059079A"/>
    <w:rsid w:val="00590BCC"/>
    <w:rsid w:val="00590C14"/>
    <w:rsid w:val="005912F1"/>
    <w:rsid w:val="00591573"/>
    <w:rsid w:val="0059239D"/>
    <w:rsid w:val="00592FDB"/>
    <w:rsid w:val="005930E4"/>
    <w:rsid w:val="005931F8"/>
    <w:rsid w:val="00593699"/>
    <w:rsid w:val="005947BD"/>
    <w:rsid w:val="00594AFF"/>
    <w:rsid w:val="00594C7E"/>
    <w:rsid w:val="00594CE0"/>
    <w:rsid w:val="00594D6D"/>
    <w:rsid w:val="00594D77"/>
    <w:rsid w:val="005950D5"/>
    <w:rsid w:val="00595100"/>
    <w:rsid w:val="00595193"/>
    <w:rsid w:val="005952A1"/>
    <w:rsid w:val="005955C4"/>
    <w:rsid w:val="00595702"/>
    <w:rsid w:val="0059608F"/>
    <w:rsid w:val="005961EB"/>
    <w:rsid w:val="00596228"/>
    <w:rsid w:val="0059659F"/>
    <w:rsid w:val="0059677C"/>
    <w:rsid w:val="00596CEB"/>
    <w:rsid w:val="00596D21"/>
    <w:rsid w:val="00596EAC"/>
    <w:rsid w:val="00597123"/>
    <w:rsid w:val="005971FA"/>
    <w:rsid w:val="00597380"/>
    <w:rsid w:val="005A065F"/>
    <w:rsid w:val="005A0BB8"/>
    <w:rsid w:val="005A0E14"/>
    <w:rsid w:val="005A13FC"/>
    <w:rsid w:val="005A164B"/>
    <w:rsid w:val="005A1928"/>
    <w:rsid w:val="005A1C54"/>
    <w:rsid w:val="005A21EC"/>
    <w:rsid w:val="005A2429"/>
    <w:rsid w:val="005A246E"/>
    <w:rsid w:val="005A28E1"/>
    <w:rsid w:val="005A2DB9"/>
    <w:rsid w:val="005A2ECB"/>
    <w:rsid w:val="005A3C58"/>
    <w:rsid w:val="005A3C74"/>
    <w:rsid w:val="005A3EC5"/>
    <w:rsid w:val="005A4136"/>
    <w:rsid w:val="005A42D5"/>
    <w:rsid w:val="005A45AA"/>
    <w:rsid w:val="005A4F31"/>
    <w:rsid w:val="005A54A3"/>
    <w:rsid w:val="005A5532"/>
    <w:rsid w:val="005A5F10"/>
    <w:rsid w:val="005A5F65"/>
    <w:rsid w:val="005A627A"/>
    <w:rsid w:val="005A62C5"/>
    <w:rsid w:val="005A6425"/>
    <w:rsid w:val="005A64D6"/>
    <w:rsid w:val="005A6BF5"/>
    <w:rsid w:val="005A71D5"/>
    <w:rsid w:val="005A71FF"/>
    <w:rsid w:val="005A7551"/>
    <w:rsid w:val="005A761A"/>
    <w:rsid w:val="005A7639"/>
    <w:rsid w:val="005A7670"/>
    <w:rsid w:val="005A7D51"/>
    <w:rsid w:val="005A7E57"/>
    <w:rsid w:val="005A7F01"/>
    <w:rsid w:val="005B009C"/>
    <w:rsid w:val="005B0DD1"/>
    <w:rsid w:val="005B1088"/>
    <w:rsid w:val="005B117B"/>
    <w:rsid w:val="005B1483"/>
    <w:rsid w:val="005B1783"/>
    <w:rsid w:val="005B1E19"/>
    <w:rsid w:val="005B2A0C"/>
    <w:rsid w:val="005B2D59"/>
    <w:rsid w:val="005B31DF"/>
    <w:rsid w:val="005B3234"/>
    <w:rsid w:val="005B328A"/>
    <w:rsid w:val="005B3678"/>
    <w:rsid w:val="005B38B3"/>
    <w:rsid w:val="005B3A34"/>
    <w:rsid w:val="005B3F16"/>
    <w:rsid w:val="005B3F4F"/>
    <w:rsid w:val="005B410D"/>
    <w:rsid w:val="005B5104"/>
    <w:rsid w:val="005B543A"/>
    <w:rsid w:val="005B55E2"/>
    <w:rsid w:val="005B56FF"/>
    <w:rsid w:val="005B586C"/>
    <w:rsid w:val="005B58CE"/>
    <w:rsid w:val="005B6286"/>
    <w:rsid w:val="005B63F2"/>
    <w:rsid w:val="005B64EC"/>
    <w:rsid w:val="005B6A08"/>
    <w:rsid w:val="005B6D0B"/>
    <w:rsid w:val="005B6DF9"/>
    <w:rsid w:val="005B702B"/>
    <w:rsid w:val="005B712D"/>
    <w:rsid w:val="005B7356"/>
    <w:rsid w:val="005B73A9"/>
    <w:rsid w:val="005B73D6"/>
    <w:rsid w:val="005B7425"/>
    <w:rsid w:val="005B750B"/>
    <w:rsid w:val="005B7ADE"/>
    <w:rsid w:val="005B7C65"/>
    <w:rsid w:val="005C02BE"/>
    <w:rsid w:val="005C03B8"/>
    <w:rsid w:val="005C04EE"/>
    <w:rsid w:val="005C07FB"/>
    <w:rsid w:val="005C09B9"/>
    <w:rsid w:val="005C0C1F"/>
    <w:rsid w:val="005C0F49"/>
    <w:rsid w:val="005C1359"/>
    <w:rsid w:val="005C1658"/>
    <w:rsid w:val="005C1854"/>
    <w:rsid w:val="005C1AC2"/>
    <w:rsid w:val="005C24D3"/>
    <w:rsid w:val="005C288F"/>
    <w:rsid w:val="005C2E22"/>
    <w:rsid w:val="005C33B5"/>
    <w:rsid w:val="005C3607"/>
    <w:rsid w:val="005C36D8"/>
    <w:rsid w:val="005C37F6"/>
    <w:rsid w:val="005C3823"/>
    <w:rsid w:val="005C38C7"/>
    <w:rsid w:val="005C3904"/>
    <w:rsid w:val="005C3996"/>
    <w:rsid w:val="005C3B11"/>
    <w:rsid w:val="005C3BDF"/>
    <w:rsid w:val="005C3F2B"/>
    <w:rsid w:val="005C3F68"/>
    <w:rsid w:val="005C42B8"/>
    <w:rsid w:val="005C4789"/>
    <w:rsid w:val="005C4C53"/>
    <w:rsid w:val="005C5114"/>
    <w:rsid w:val="005C54BB"/>
    <w:rsid w:val="005C5BF6"/>
    <w:rsid w:val="005C5EF6"/>
    <w:rsid w:val="005C6C5E"/>
    <w:rsid w:val="005C6EBB"/>
    <w:rsid w:val="005C6F3A"/>
    <w:rsid w:val="005C7C86"/>
    <w:rsid w:val="005C7CA0"/>
    <w:rsid w:val="005D0103"/>
    <w:rsid w:val="005D0524"/>
    <w:rsid w:val="005D05DC"/>
    <w:rsid w:val="005D06F7"/>
    <w:rsid w:val="005D0A6E"/>
    <w:rsid w:val="005D0AE4"/>
    <w:rsid w:val="005D0B7C"/>
    <w:rsid w:val="005D0DDA"/>
    <w:rsid w:val="005D0FA0"/>
    <w:rsid w:val="005D130F"/>
    <w:rsid w:val="005D13A0"/>
    <w:rsid w:val="005D147D"/>
    <w:rsid w:val="005D1492"/>
    <w:rsid w:val="005D1DCA"/>
    <w:rsid w:val="005D2186"/>
    <w:rsid w:val="005D21F0"/>
    <w:rsid w:val="005D2CD4"/>
    <w:rsid w:val="005D3767"/>
    <w:rsid w:val="005D383D"/>
    <w:rsid w:val="005D3854"/>
    <w:rsid w:val="005D3A3F"/>
    <w:rsid w:val="005D4F60"/>
    <w:rsid w:val="005D536B"/>
    <w:rsid w:val="005D5AE4"/>
    <w:rsid w:val="005D5C48"/>
    <w:rsid w:val="005D5FC9"/>
    <w:rsid w:val="005D605F"/>
    <w:rsid w:val="005D6297"/>
    <w:rsid w:val="005D62F0"/>
    <w:rsid w:val="005D65D5"/>
    <w:rsid w:val="005D67C7"/>
    <w:rsid w:val="005D692C"/>
    <w:rsid w:val="005D6C1D"/>
    <w:rsid w:val="005D6ED7"/>
    <w:rsid w:val="005D72CD"/>
    <w:rsid w:val="005D76F3"/>
    <w:rsid w:val="005D776E"/>
    <w:rsid w:val="005D7884"/>
    <w:rsid w:val="005D7996"/>
    <w:rsid w:val="005D79BD"/>
    <w:rsid w:val="005D7F6E"/>
    <w:rsid w:val="005E08C3"/>
    <w:rsid w:val="005E0B50"/>
    <w:rsid w:val="005E1464"/>
    <w:rsid w:val="005E179C"/>
    <w:rsid w:val="005E1F14"/>
    <w:rsid w:val="005E1F2C"/>
    <w:rsid w:val="005E20B3"/>
    <w:rsid w:val="005E20F7"/>
    <w:rsid w:val="005E21C0"/>
    <w:rsid w:val="005E2452"/>
    <w:rsid w:val="005E272B"/>
    <w:rsid w:val="005E2E18"/>
    <w:rsid w:val="005E3025"/>
    <w:rsid w:val="005E3610"/>
    <w:rsid w:val="005E38CC"/>
    <w:rsid w:val="005E3A74"/>
    <w:rsid w:val="005E3AC8"/>
    <w:rsid w:val="005E3F1B"/>
    <w:rsid w:val="005E447A"/>
    <w:rsid w:val="005E45DB"/>
    <w:rsid w:val="005E49B5"/>
    <w:rsid w:val="005E49DF"/>
    <w:rsid w:val="005E4C36"/>
    <w:rsid w:val="005E4E92"/>
    <w:rsid w:val="005E52CD"/>
    <w:rsid w:val="005E544D"/>
    <w:rsid w:val="005E5840"/>
    <w:rsid w:val="005E62B3"/>
    <w:rsid w:val="005E6D4C"/>
    <w:rsid w:val="005E6E35"/>
    <w:rsid w:val="005E7024"/>
    <w:rsid w:val="005E7309"/>
    <w:rsid w:val="005E79AE"/>
    <w:rsid w:val="005F00FE"/>
    <w:rsid w:val="005F02A8"/>
    <w:rsid w:val="005F04F4"/>
    <w:rsid w:val="005F0BBE"/>
    <w:rsid w:val="005F0D23"/>
    <w:rsid w:val="005F0E84"/>
    <w:rsid w:val="005F0E89"/>
    <w:rsid w:val="005F1064"/>
    <w:rsid w:val="005F110E"/>
    <w:rsid w:val="005F14E0"/>
    <w:rsid w:val="005F17F6"/>
    <w:rsid w:val="005F18E2"/>
    <w:rsid w:val="005F1D66"/>
    <w:rsid w:val="005F1E2A"/>
    <w:rsid w:val="005F1F93"/>
    <w:rsid w:val="005F2391"/>
    <w:rsid w:val="005F2854"/>
    <w:rsid w:val="005F288B"/>
    <w:rsid w:val="005F2CA9"/>
    <w:rsid w:val="005F3428"/>
    <w:rsid w:val="005F3991"/>
    <w:rsid w:val="005F3D4B"/>
    <w:rsid w:val="005F42B8"/>
    <w:rsid w:val="005F4319"/>
    <w:rsid w:val="005F453A"/>
    <w:rsid w:val="005F4B75"/>
    <w:rsid w:val="005F50AB"/>
    <w:rsid w:val="005F5739"/>
    <w:rsid w:val="005F5BB1"/>
    <w:rsid w:val="005F5CB8"/>
    <w:rsid w:val="005F5D04"/>
    <w:rsid w:val="005F620F"/>
    <w:rsid w:val="005F6358"/>
    <w:rsid w:val="005F666A"/>
    <w:rsid w:val="005F6A87"/>
    <w:rsid w:val="005F6B56"/>
    <w:rsid w:val="005F73D7"/>
    <w:rsid w:val="005F741E"/>
    <w:rsid w:val="005F74B8"/>
    <w:rsid w:val="005F7DB3"/>
    <w:rsid w:val="005F7EDB"/>
    <w:rsid w:val="0060077A"/>
    <w:rsid w:val="00600BD9"/>
    <w:rsid w:val="00600C3B"/>
    <w:rsid w:val="00600C50"/>
    <w:rsid w:val="0060186D"/>
    <w:rsid w:val="00601B79"/>
    <w:rsid w:val="00601CF8"/>
    <w:rsid w:val="00602072"/>
    <w:rsid w:val="006020E1"/>
    <w:rsid w:val="006022FF"/>
    <w:rsid w:val="00602560"/>
    <w:rsid w:val="00602EDC"/>
    <w:rsid w:val="00603059"/>
    <w:rsid w:val="006030F7"/>
    <w:rsid w:val="00603323"/>
    <w:rsid w:val="00603455"/>
    <w:rsid w:val="006037EA"/>
    <w:rsid w:val="00603934"/>
    <w:rsid w:val="00603C84"/>
    <w:rsid w:val="00604150"/>
    <w:rsid w:val="00604793"/>
    <w:rsid w:val="006047A3"/>
    <w:rsid w:val="0060486B"/>
    <w:rsid w:val="00604E4E"/>
    <w:rsid w:val="0060525B"/>
    <w:rsid w:val="0060556E"/>
    <w:rsid w:val="00605A62"/>
    <w:rsid w:val="00605F4C"/>
    <w:rsid w:val="00605F5F"/>
    <w:rsid w:val="0060601C"/>
    <w:rsid w:val="00606255"/>
    <w:rsid w:val="0060662A"/>
    <w:rsid w:val="00610070"/>
    <w:rsid w:val="006101BB"/>
    <w:rsid w:val="00610528"/>
    <w:rsid w:val="00610905"/>
    <w:rsid w:val="00610C9A"/>
    <w:rsid w:val="00610CFF"/>
    <w:rsid w:val="006115C7"/>
    <w:rsid w:val="006116D4"/>
    <w:rsid w:val="00611711"/>
    <w:rsid w:val="0061172A"/>
    <w:rsid w:val="006119F6"/>
    <w:rsid w:val="00612034"/>
    <w:rsid w:val="0061257D"/>
    <w:rsid w:val="00612698"/>
    <w:rsid w:val="00612795"/>
    <w:rsid w:val="006128A6"/>
    <w:rsid w:val="00612F64"/>
    <w:rsid w:val="00613263"/>
    <w:rsid w:val="00613962"/>
    <w:rsid w:val="00613AC4"/>
    <w:rsid w:val="00613B4E"/>
    <w:rsid w:val="00613D93"/>
    <w:rsid w:val="00613DDC"/>
    <w:rsid w:val="006142A0"/>
    <w:rsid w:val="00614CE6"/>
    <w:rsid w:val="00614EEC"/>
    <w:rsid w:val="00614F82"/>
    <w:rsid w:val="00615355"/>
    <w:rsid w:val="00615944"/>
    <w:rsid w:val="00615C17"/>
    <w:rsid w:val="006161B1"/>
    <w:rsid w:val="00616462"/>
    <w:rsid w:val="00616779"/>
    <w:rsid w:val="00616B8B"/>
    <w:rsid w:val="00616ECE"/>
    <w:rsid w:val="006177DB"/>
    <w:rsid w:val="006178BF"/>
    <w:rsid w:val="00617E4C"/>
    <w:rsid w:val="00620A6B"/>
    <w:rsid w:val="00620AEE"/>
    <w:rsid w:val="00620D6B"/>
    <w:rsid w:val="00621154"/>
    <w:rsid w:val="006211BA"/>
    <w:rsid w:val="00621405"/>
    <w:rsid w:val="006214B2"/>
    <w:rsid w:val="00621528"/>
    <w:rsid w:val="00621C75"/>
    <w:rsid w:val="00621CA4"/>
    <w:rsid w:val="00621E49"/>
    <w:rsid w:val="00622241"/>
    <w:rsid w:val="006228BD"/>
    <w:rsid w:val="00622A8E"/>
    <w:rsid w:val="00622F54"/>
    <w:rsid w:val="006244CF"/>
    <w:rsid w:val="00624D7B"/>
    <w:rsid w:val="00624E14"/>
    <w:rsid w:val="00625235"/>
    <w:rsid w:val="006255C7"/>
    <w:rsid w:val="006255E0"/>
    <w:rsid w:val="00625AAC"/>
    <w:rsid w:val="00625D36"/>
    <w:rsid w:val="00625F34"/>
    <w:rsid w:val="00626498"/>
    <w:rsid w:val="0062695F"/>
    <w:rsid w:val="0062702E"/>
    <w:rsid w:val="006273AD"/>
    <w:rsid w:val="0062760C"/>
    <w:rsid w:val="00627959"/>
    <w:rsid w:val="006300F7"/>
    <w:rsid w:val="006308D9"/>
    <w:rsid w:val="00630B23"/>
    <w:rsid w:val="00630D01"/>
    <w:rsid w:val="00630DBD"/>
    <w:rsid w:val="00631066"/>
    <w:rsid w:val="00631319"/>
    <w:rsid w:val="0063150B"/>
    <w:rsid w:val="00631701"/>
    <w:rsid w:val="00631A29"/>
    <w:rsid w:val="00631A99"/>
    <w:rsid w:val="00632CF4"/>
    <w:rsid w:val="00632D29"/>
    <w:rsid w:val="006330C1"/>
    <w:rsid w:val="00633344"/>
    <w:rsid w:val="006337B2"/>
    <w:rsid w:val="006339BB"/>
    <w:rsid w:val="00634071"/>
    <w:rsid w:val="00634431"/>
    <w:rsid w:val="0063492B"/>
    <w:rsid w:val="00634D81"/>
    <w:rsid w:val="00634FD1"/>
    <w:rsid w:val="00635086"/>
    <w:rsid w:val="00635089"/>
    <w:rsid w:val="00635130"/>
    <w:rsid w:val="00635225"/>
    <w:rsid w:val="006353D6"/>
    <w:rsid w:val="00635561"/>
    <w:rsid w:val="00635D7A"/>
    <w:rsid w:val="006369B7"/>
    <w:rsid w:val="00636B36"/>
    <w:rsid w:val="00636E27"/>
    <w:rsid w:val="00636EC7"/>
    <w:rsid w:val="00637515"/>
    <w:rsid w:val="0063765B"/>
    <w:rsid w:val="00637901"/>
    <w:rsid w:val="00640171"/>
    <w:rsid w:val="006404F5"/>
    <w:rsid w:val="00640658"/>
    <w:rsid w:val="00640817"/>
    <w:rsid w:val="00640B7E"/>
    <w:rsid w:val="00640E59"/>
    <w:rsid w:val="00641478"/>
    <w:rsid w:val="00641634"/>
    <w:rsid w:val="006417C1"/>
    <w:rsid w:val="006418F5"/>
    <w:rsid w:val="00641CEC"/>
    <w:rsid w:val="00641E32"/>
    <w:rsid w:val="00642364"/>
    <w:rsid w:val="006423FA"/>
    <w:rsid w:val="00642674"/>
    <w:rsid w:val="006426F2"/>
    <w:rsid w:val="0064295F"/>
    <w:rsid w:val="00642C32"/>
    <w:rsid w:val="00642F97"/>
    <w:rsid w:val="00643566"/>
    <w:rsid w:val="00643706"/>
    <w:rsid w:val="00643ACB"/>
    <w:rsid w:val="006447F3"/>
    <w:rsid w:val="006449E1"/>
    <w:rsid w:val="00644A07"/>
    <w:rsid w:val="00644A9B"/>
    <w:rsid w:val="00644C3E"/>
    <w:rsid w:val="00645EBF"/>
    <w:rsid w:val="00646118"/>
    <w:rsid w:val="00646475"/>
    <w:rsid w:val="00646C2D"/>
    <w:rsid w:val="0064727E"/>
    <w:rsid w:val="00647282"/>
    <w:rsid w:val="006472B1"/>
    <w:rsid w:val="00647470"/>
    <w:rsid w:val="00647891"/>
    <w:rsid w:val="006478E4"/>
    <w:rsid w:val="00647932"/>
    <w:rsid w:val="00647CDC"/>
    <w:rsid w:val="00647E31"/>
    <w:rsid w:val="00647F5F"/>
    <w:rsid w:val="006503E7"/>
    <w:rsid w:val="00650576"/>
    <w:rsid w:val="006505C9"/>
    <w:rsid w:val="0065095A"/>
    <w:rsid w:val="006509AE"/>
    <w:rsid w:val="006513A4"/>
    <w:rsid w:val="00651D30"/>
    <w:rsid w:val="00651DB0"/>
    <w:rsid w:val="006524E0"/>
    <w:rsid w:val="00652674"/>
    <w:rsid w:val="00652F55"/>
    <w:rsid w:val="00653104"/>
    <w:rsid w:val="006532C1"/>
    <w:rsid w:val="0065364C"/>
    <w:rsid w:val="00653817"/>
    <w:rsid w:val="00653B83"/>
    <w:rsid w:val="00653C2F"/>
    <w:rsid w:val="00654184"/>
    <w:rsid w:val="00654482"/>
    <w:rsid w:val="0065465A"/>
    <w:rsid w:val="006548DE"/>
    <w:rsid w:val="006549E1"/>
    <w:rsid w:val="00654AD2"/>
    <w:rsid w:val="00654D9D"/>
    <w:rsid w:val="00655D0D"/>
    <w:rsid w:val="00656182"/>
    <w:rsid w:val="006561B3"/>
    <w:rsid w:val="006566AF"/>
    <w:rsid w:val="0065677B"/>
    <w:rsid w:val="0065694A"/>
    <w:rsid w:val="00656988"/>
    <w:rsid w:val="00656BB8"/>
    <w:rsid w:val="00656E88"/>
    <w:rsid w:val="0065702B"/>
    <w:rsid w:val="0065793E"/>
    <w:rsid w:val="00660002"/>
    <w:rsid w:val="00660038"/>
    <w:rsid w:val="00660526"/>
    <w:rsid w:val="00660726"/>
    <w:rsid w:val="00660C2C"/>
    <w:rsid w:val="006611D7"/>
    <w:rsid w:val="0066132A"/>
    <w:rsid w:val="006616FA"/>
    <w:rsid w:val="00661820"/>
    <w:rsid w:val="00661B1F"/>
    <w:rsid w:val="00661BA4"/>
    <w:rsid w:val="00661E3C"/>
    <w:rsid w:val="00662018"/>
    <w:rsid w:val="006624EC"/>
    <w:rsid w:val="00662760"/>
    <w:rsid w:val="00662C76"/>
    <w:rsid w:val="00662E6F"/>
    <w:rsid w:val="0066319D"/>
    <w:rsid w:val="00663651"/>
    <w:rsid w:val="006647A2"/>
    <w:rsid w:val="00664C01"/>
    <w:rsid w:val="00665317"/>
    <w:rsid w:val="0066565C"/>
    <w:rsid w:val="00665835"/>
    <w:rsid w:val="00665E95"/>
    <w:rsid w:val="00666344"/>
    <w:rsid w:val="00666833"/>
    <w:rsid w:val="00666885"/>
    <w:rsid w:val="00666956"/>
    <w:rsid w:val="00666B99"/>
    <w:rsid w:val="0066710A"/>
    <w:rsid w:val="006671A3"/>
    <w:rsid w:val="0066747B"/>
    <w:rsid w:val="00667C45"/>
    <w:rsid w:val="00667F2D"/>
    <w:rsid w:val="006701E3"/>
    <w:rsid w:val="006707A1"/>
    <w:rsid w:val="006708B4"/>
    <w:rsid w:val="0067106E"/>
    <w:rsid w:val="0067186B"/>
    <w:rsid w:val="00671A69"/>
    <w:rsid w:val="0067397A"/>
    <w:rsid w:val="00673999"/>
    <w:rsid w:val="00673CEE"/>
    <w:rsid w:val="006744A7"/>
    <w:rsid w:val="0067492E"/>
    <w:rsid w:val="006752E3"/>
    <w:rsid w:val="0067559D"/>
    <w:rsid w:val="006755C1"/>
    <w:rsid w:val="006760B9"/>
    <w:rsid w:val="00676758"/>
    <w:rsid w:val="00676839"/>
    <w:rsid w:val="006768CE"/>
    <w:rsid w:val="00676A75"/>
    <w:rsid w:val="00676A92"/>
    <w:rsid w:val="00676BD6"/>
    <w:rsid w:val="00676C9E"/>
    <w:rsid w:val="006772A1"/>
    <w:rsid w:val="0067731A"/>
    <w:rsid w:val="006776CD"/>
    <w:rsid w:val="0067792D"/>
    <w:rsid w:val="006779BE"/>
    <w:rsid w:val="00677C08"/>
    <w:rsid w:val="00677D7C"/>
    <w:rsid w:val="00680C12"/>
    <w:rsid w:val="00680F93"/>
    <w:rsid w:val="0068102C"/>
    <w:rsid w:val="00681617"/>
    <w:rsid w:val="006819B0"/>
    <w:rsid w:val="00681A8C"/>
    <w:rsid w:val="00681B43"/>
    <w:rsid w:val="00681D8E"/>
    <w:rsid w:val="006824A6"/>
    <w:rsid w:val="00682AAF"/>
    <w:rsid w:val="00682DBE"/>
    <w:rsid w:val="006831F8"/>
    <w:rsid w:val="00683AD3"/>
    <w:rsid w:val="00683ED8"/>
    <w:rsid w:val="00684654"/>
    <w:rsid w:val="00684780"/>
    <w:rsid w:val="0068524E"/>
    <w:rsid w:val="00685397"/>
    <w:rsid w:val="006855D9"/>
    <w:rsid w:val="006855F4"/>
    <w:rsid w:val="006858F1"/>
    <w:rsid w:val="00685A36"/>
    <w:rsid w:val="00685B6C"/>
    <w:rsid w:val="00685D9C"/>
    <w:rsid w:val="00685DC6"/>
    <w:rsid w:val="00685F10"/>
    <w:rsid w:val="006863C1"/>
    <w:rsid w:val="0068659D"/>
    <w:rsid w:val="00686C2E"/>
    <w:rsid w:val="00686C6F"/>
    <w:rsid w:val="0068779C"/>
    <w:rsid w:val="006878D7"/>
    <w:rsid w:val="006904A9"/>
    <w:rsid w:val="00690945"/>
    <w:rsid w:val="00690C68"/>
    <w:rsid w:val="00690DE1"/>
    <w:rsid w:val="00690EA1"/>
    <w:rsid w:val="00691553"/>
    <w:rsid w:val="00692219"/>
    <w:rsid w:val="006925E1"/>
    <w:rsid w:val="00692FD0"/>
    <w:rsid w:val="006942EE"/>
    <w:rsid w:val="006945EB"/>
    <w:rsid w:val="00694B6E"/>
    <w:rsid w:val="00694F38"/>
    <w:rsid w:val="00695027"/>
    <w:rsid w:val="0069541F"/>
    <w:rsid w:val="00695617"/>
    <w:rsid w:val="00695DBC"/>
    <w:rsid w:val="006961EF"/>
    <w:rsid w:val="00696659"/>
    <w:rsid w:val="00696686"/>
    <w:rsid w:val="00696FA8"/>
    <w:rsid w:val="00697223"/>
    <w:rsid w:val="00697292"/>
    <w:rsid w:val="006979CE"/>
    <w:rsid w:val="00697B20"/>
    <w:rsid w:val="006A163C"/>
    <w:rsid w:val="006A1768"/>
    <w:rsid w:val="006A194D"/>
    <w:rsid w:val="006A265A"/>
    <w:rsid w:val="006A27BB"/>
    <w:rsid w:val="006A2E87"/>
    <w:rsid w:val="006A341F"/>
    <w:rsid w:val="006A38A9"/>
    <w:rsid w:val="006A397C"/>
    <w:rsid w:val="006A39B3"/>
    <w:rsid w:val="006A3CE9"/>
    <w:rsid w:val="006A44FD"/>
    <w:rsid w:val="006A4952"/>
    <w:rsid w:val="006A49FE"/>
    <w:rsid w:val="006A4CEE"/>
    <w:rsid w:val="006A4E7A"/>
    <w:rsid w:val="006A62B2"/>
    <w:rsid w:val="006A630C"/>
    <w:rsid w:val="006A6722"/>
    <w:rsid w:val="006A68FE"/>
    <w:rsid w:val="006A69AA"/>
    <w:rsid w:val="006A6E02"/>
    <w:rsid w:val="006A7591"/>
    <w:rsid w:val="006A76CA"/>
    <w:rsid w:val="006A7A07"/>
    <w:rsid w:val="006B01AB"/>
    <w:rsid w:val="006B03FB"/>
    <w:rsid w:val="006B0787"/>
    <w:rsid w:val="006B0D00"/>
    <w:rsid w:val="006B105C"/>
    <w:rsid w:val="006B12C2"/>
    <w:rsid w:val="006B1A0C"/>
    <w:rsid w:val="006B1DDD"/>
    <w:rsid w:val="006B20CF"/>
    <w:rsid w:val="006B2174"/>
    <w:rsid w:val="006B23F0"/>
    <w:rsid w:val="006B25D2"/>
    <w:rsid w:val="006B2971"/>
    <w:rsid w:val="006B2C23"/>
    <w:rsid w:val="006B2E13"/>
    <w:rsid w:val="006B3113"/>
    <w:rsid w:val="006B33E3"/>
    <w:rsid w:val="006B3AAB"/>
    <w:rsid w:val="006B3AEF"/>
    <w:rsid w:val="006B3FA6"/>
    <w:rsid w:val="006B4084"/>
    <w:rsid w:val="006B4DD4"/>
    <w:rsid w:val="006B4FE6"/>
    <w:rsid w:val="006B5125"/>
    <w:rsid w:val="006B5202"/>
    <w:rsid w:val="006B63FB"/>
    <w:rsid w:val="006B683D"/>
    <w:rsid w:val="006B697E"/>
    <w:rsid w:val="006B6C3C"/>
    <w:rsid w:val="006B7AC7"/>
    <w:rsid w:val="006C07CF"/>
    <w:rsid w:val="006C0AD1"/>
    <w:rsid w:val="006C0B29"/>
    <w:rsid w:val="006C1502"/>
    <w:rsid w:val="006C1AB4"/>
    <w:rsid w:val="006C1C63"/>
    <w:rsid w:val="006C2390"/>
    <w:rsid w:val="006C2B67"/>
    <w:rsid w:val="006C2CB4"/>
    <w:rsid w:val="006C2D6A"/>
    <w:rsid w:val="006C2F1A"/>
    <w:rsid w:val="006C35D8"/>
    <w:rsid w:val="006C3A5D"/>
    <w:rsid w:val="006C3DC9"/>
    <w:rsid w:val="006C3F97"/>
    <w:rsid w:val="006C62A0"/>
    <w:rsid w:val="006C62D7"/>
    <w:rsid w:val="006C6300"/>
    <w:rsid w:val="006C6476"/>
    <w:rsid w:val="006C6805"/>
    <w:rsid w:val="006C6A34"/>
    <w:rsid w:val="006C6C44"/>
    <w:rsid w:val="006C6EC8"/>
    <w:rsid w:val="006C733A"/>
    <w:rsid w:val="006C78B0"/>
    <w:rsid w:val="006C7984"/>
    <w:rsid w:val="006C79AF"/>
    <w:rsid w:val="006C7BDD"/>
    <w:rsid w:val="006D09B6"/>
    <w:rsid w:val="006D1080"/>
    <w:rsid w:val="006D15E1"/>
    <w:rsid w:val="006D19E1"/>
    <w:rsid w:val="006D1D31"/>
    <w:rsid w:val="006D236D"/>
    <w:rsid w:val="006D2603"/>
    <w:rsid w:val="006D287F"/>
    <w:rsid w:val="006D3622"/>
    <w:rsid w:val="006D3A36"/>
    <w:rsid w:val="006D4319"/>
    <w:rsid w:val="006D434A"/>
    <w:rsid w:val="006D44F0"/>
    <w:rsid w:val="006D46F5"/>
    <w:rsid w:val="006D4EE0"/>
    <w:rsid w:val="006D5BAF"/>
    <w:rsid w:val="006D70D2"/>
    <w:rsid w:val="006D7A89"/>
    <w:rsid w:val="006E0BEC"/>
    <w:rsid w:val="006E0BF1"/>
    <w:rsid w:val="006E108D"/>
    <w:rsid w:val="006E1329"/>
    <w:rsid w:val="006E1427"/>
    <w:rsid w:val="006E174C"/>
    <w:rsid w:val="006E186D"/>
    <w:rsid w:val="006E1B84"/>
    <w:rsid w:val="006E1BD2"/>
    <w:rsid w:val="006E2017"/>
    <w:rsid w:val="006E2336"/>
    <w:rsid w:val="006E2545"/>
    <w:rsid w:val="006E2C69"/>
    <w:rsid w:val="006E2CBC"/>
    <w:rsid w:val="006E36E2"/>
    <w:rsid w:val="006E3B00"/>
    <w:rsid w:val="006E3CA4"/>
    <w:rsid w:val="006E3E92"/>
    <w:rsid w:val="006E3F47"/>
    <w:rsid w:val="006E4110"/>
    <w:rsid w:val="006E4261"/>
    <w:rsid w:val="006E4B2A"/>
    <w:rsid w:val="006E4D71"/>
    <w:rsid w:val="006E54AF"/>
    <w:rsid w:val="006E58DB"/>
    <w:rsid w:val="006E5A90"/>
    <w:rsid w:val="006E5E43"/>
    <w:rsid w:val="006E60D9"/>
    <w:rsid w:val="006E65B8"/>
    <w:rsid w:val="006E65DA"/>
    <w:rsid w:val="006E66E8"/>
    <w:rsid w:val="006E69B9"/>
    <w:rsid w:val="006E6DA3"/>
    <w:rsid w:val="006E719D"/>
    <w:rsid w:val="006E7A3B"/>
    <w:rsid w:val="006F03F4"/>
    <w:rsid w:val="006F087B"/>
    <w:rsid w:val="006F0E4A"/>
    <w:rsid w:val="006F1507"/>
    <w:rsid w:val="006F15C0"/>
    <w:rsid w:val="006F1838"/>
    <w:rsid w:val="006F18F3"/>
    <w:rsid w:val="006F1A40"/>
    <w:rsid w:val="006F1EFD"/>
    <w:rsid w:val="006F1F3B"/>
    <w:rsid w:val="006F2091"/>
    <w:rsid w:val="006F21DF"/>
    <w:rsid w:val="006F2562"/>
    <w:rsid w:val="006F29A4"/>
    <w:rsid w:val="006F2BC9"/>
    <w:rsid w:val="006F3210"/>
    <w:rsid w:val="006F323C"/>
    <w:rsid w:val="006F33B3"/>
    <w:rsid w:val="006F3403"/>
    <w:rsid w:val="006F34C2"/>
    <w:rsid w:val="006F3518"/>
    <w:rsid w:val="006F39AE"/>
    <w:rsid w:val="006F3A27"/>
    <w:rsid w:val="006F3BB5"/>
    <w:rsid w:val="006F3E5B"/>
    <w:rsid w:val="006F3EEA"/>
    <w:rsid w:val="006F412B"/>
    <w:rsid w:val="006F42C1"/>
    <w:rsid w:val="006F4E24"/>
    <w:rsid w:val="006F4EEF"/>
    <w:rsid w:val="006F56E8"/>
    <w:rsid w:val="006F5A8F"/>
    <w:rsid w:val="006F5C58"/>
    <w:rsid w:val="006F5C80"/>
    <w:rsid w:val="006F63F2"/>
    <w:rsid w:val="006F65F4"/>
    <w:rsid w:val="006F6F0C"/>
    <w:rsid w:val="006F704B"/>
    <w:rsid w:val="006F707A"/>
    <w:rsid w:val="006F71D9"/>
    <w:rsid w:val="006F72C4"/>
    <w:rsid w:val="006F766D"/>
    <w:rsid w:val="006F77AC"/>
    <w:rsid w:val="006F77FF"/>
    <w:rsid w:val="00700325"/>
    <w:rsid w:val="007006EB"/>
    <w:rsid w:val="007007AF"/>
    <w:rsid w:val="00700E6A"/>
    <w:rsid w:val="00701313"/>
    <w:rsid w:val="00701E0C"/>
    <w:rsid w:val="00702BBA"/>
    <w:rsid w:val="00703BCC"/>
    <w:rsid w:val="007040A1"/>
    <w:rsid w:val="0070441D"/>
    <w:rsid w:val="00704715"/>
    <w:rsid w:val="00704B86"/>
    <w:rsid w:val="00704BE3"/>
    <w:rsid w:val="00704EF2"/>
    <w:rsid w:val="007050D6"/>
    <w:rsid w:val="0070520D"/>
    <w:rsid w:val="00705412"/>
    <w:rsid w:val="007059AF"/>
    <w:rsid w:val="007062A1"/>
    <w:rsid w:val="00706FC6"/>
    <w:rsid w:val="00707007"/>
    <w:rsid w:val="0070708C"/>
    <w:rsid w:val="00707318"/>
    <w:rsid w:val="007074D0"/>
    <w:rsid w:val="00707670"/>
    <w:rsid w:val="00707A85"/>
    <w:rsid w:val="00707E8C"/>
    <w:rsid w:val="00707FAB"/>
    <w:rsid w:val="0071033C"/>
    <w:rsid w:val="0071044A"/>
    <w:rsid w:val="00710514"/>
    <w:rsid w:val="007105B7"/>
    <w:rsid w:val="00710932"/>
    <w:rsid w:val="00710BA3"/>
    <w:rsid w:val="00710F00"/>
    <w:rsid w:val="00711422"/>
    <w:rsid w:val="007117C7"/>
    <w:rsid w:val="00712E99"/>
    <w:rsid w:val="007135E8"/>
    <w:rsid w:val="00713E69"/>
    <w:rsid w:val="00713FEE"/>
    <w:rsid w:val="00714205"/>
    <w:rsid w:val="00714397"/>
    <w:rsid w:val="007144D3"/>
    <w:rsid w:val="0071472D"/>
    <w:rsid w:val="0071476E"/>
    <w:rsid w:val="00714992"/>
    <w:rsid w:val="00715743"/>
    <w:rsid w:val="00715DD7"/>
    <w:rsid w:val="00715E0C"/>
    <w:rsid w:val="007164E6"/>
    <w:rsid w:val="00716599"/>
    <w:rsid w:val="00716B0F"/>
    <w:rsid w:val="00716C1F"/>
    <w:rsid w:val="007170C7"/>
    <w:rsid w:val="0071793E"/>
    <w:rsid w:val="00717EF3"/>
    <w:rsid w:val="00717FBF"/>
    <w:rsid w:val="007205BE"/>
    <w:rsid w:val="0072064E"/>
    <w:rsid w:val="00720B5C"/>
    <w:rsid w:val="00720E7B"/>
    <w:rsid w:val="0072106A"/>
    <w:rsid w:val="007212C6"/>
    <w:rsid w:val="007215EB"/>
    <w:rsid w:val="007216CA"/>
    <w:rsid w:val="0072183E"/>
    <w:rsid w:val="00721B94"/>
    <w:rsid w:val="007221A9"/>
    <w:rsid w:val="00722542"/>
    <w:rsid w:val="00722720"/>
    <w:rsid w:val="007230CA"/>
    <w:rsid w:val="00723248"/>
    <w:rsid w:val="00723273"/>
    <w:rsid w:val="00723950"/>
    <w:rsid w:val="00723E8C"/>
    <w:rsid w:val="00724107"/>
    <w:rsid w:val="00724799"/>
    <w:rsid w:val="00724949"/>
    <w:rsid w:val="00724A00"/>
    <w:rsid w:val="00725440"/>
    <w:rsid w:val="0072574C"/>
    <w:rsid w:val="00725A78"/>
    <w:rsid w:val="007264F8"/>
    <w:rsid w:val="007267CA"/>
    <w:rsid w:val="007269F1"/>
    <w:rsid w:val="00726B45"/>
    <w:rsid w:val="007272AE"/>
    <w:rsid w:val="00727592"/>
    <w:rsid w:val="007279D6"/>
    <w:rsid w:val="00727A93"/>
    <w:rsid w:val="00727F42"/>
    <w:rsid w:val="00730047"/>
    <w:rsid w:val="00730368"/>
    <w:rsid w:val="00730566"/>
    <w:rsid w:val="0073083C"/>
    <w:rsid w:val="00730D3B"/>
    <w:rsid w:val="007313F4"/>
    <w:rsid w:val="00731917"/>
    <w:rsid w:val="00731AA1"/>
    <w:rsid w:val="00731D78"/>
    <w:rsid w:val="0073208D"/>
    <w:rsid w:val="00732162"/>
    <w:rsid w:val="00732197"/>
    <w:rsid w:val="00732457"/>
    <w:rsid w:val="00732ADC"/>
    <w:rsid w:val="00732C54"/>
    <w:rsid w:val="00732CD8"/>
    <w:rsid w:val="00733159"/>
    <w:rsid w:val="007333A0"/>
    <w:rsid w:val="007333B3"/>
    <w:rsid w:val="007336B0"/>
    <w:rsid w:val="007339A0"/>
    <w:rsid w:val="00733FC2"/>
    <w:rsid w:val="00734211"/>
    <w:rsid w:val="00734561"/>
    <w:rsid w:val="007346BF"/>
    <w:rsid w:val="00734A36"/>
    <w:rsid w:val="00734B18"/>
    <w:rsid w:val="00734BAD"/>
    <w:rsid w:val="0073506E"/>
    <w:rsid w:val="00735261"/>
    <w:rsid w:val="0073571F"/>
    <w:rsid w:val="0073584A"/>
    <w:rsid w:val="00735A88"/>
    <w:rsid w:val="00736549"/>
    <w:rsid w:val="0073657E"/>
    <w:rsid w:val="007369FA"/>
    <w:rsid w:val="00737083"/>
    <w:rsid w:val="00737A4A"/>
    <w:rsid w:val="00737A94"/>
    <w:rsid w:val="0074000C"/>
    <w:rsid w:val="00740EA8"/>
    <w:rsid w:val="007411D9"/>
    <w:rsid w:val="007419D9"/>
    <w:rsid w:val="00741D8A"/>
    <w:rsid w:val="00741D96"/>
    <w:rsid w:val="00742250"/>
    <w:rsid w:val="00742332"/>
    <w:rsid w:val="00742363"/>
    <w:rsid w:val="007424DB"/>
    <w:rsid w:val="0074304B"/>
    <w:rsid w:val="007440DC"/>
    <w:rsid w:val="00744B0C"/>
    <w:rsid w:val="00744B2E"/>
    <w:rsid w:val="00744E37"/>
    <w:rsid w:val="0074515A"/>
    <w:rsid w:val="00745160"/>
    <w:rsid w:val="0074592C"/>
    <w:rsid w:val="00745D58"/>
    <w:rsid w:val="00746078"/>
    <w:rsid w:val="0074620E"/>
    <w:rsid w:val="0074654A"/>
    <w:rsid w:val="00746599"/>
    <w:rsid w:val="00747348"/>
    <w:rsid w:val="00747E49"/>
    <w:rsid w:val="00747F62"/>
    <w:rsid w:val="00750813"/>
    <w:rsid w:val="007509F1"/>
    <w:rsid w:val="00750A03"/>
    <w:rsid w:val="00751195"/>
    <w:rsid w:val="0075168C"/>
    <w:rsid w:val="007516B9"/>
    <w:rsid w:val="00751BC3"/>
    <w:rsid w:val="00751C7E"/>
    <w:rsid w:val="00751F00"/>
    <w:rsid w:val="00752070"/>
    <w:rsid w:val="0075255E"/>
    <w:rsid w:val="00752D1D"/>
    <w:rsid w:val="00752F9F"/>
    <w:rsid w:val="00753271"/>
    <w:rsid w:val="007532B0"/>
    <w:rsid w:val="00753484"/>
    <w:rsid w:val="00753787"/>
    <w:rsid w:val="007538D7"/>
    <w:rsid w:val="00753DE1"/>
    <w:rsid w:val="00753F03"/>
    <w:rsid w:val="00753FB0"/>
    <w:rsid w:val="007540C2"/>
    <w:rsid w:val="00754159"/>
    <w:rsid w:val="007542BF"/>
    <w:rsid w:val="0075449A"/>
    <w:rsid w:val="00754558"/>
    <w:rsid w:val="007553E1"/>
    <w:rsid w:val="00755437"/>
    <w:rsid w:val="0075545B"/>
    <w:rsid w:val="00755707"/>
    <w:rsid w:val="0075584F"/>
    <w:rsid w:val="00755D4E"/>
    <w:rsid w:val="007565A9"/>
    <w:rsid w:val="00757431"/>
    <w:rsid w:val="00757E25"/>
    <w:rsid w:val="00757F10"/>
    <w:rsid w:val="0076032E"/>
    <w:rsid w:val="007603B8"/>
    <w:rsid w:val="00760F44"/>
    <w:rsid w:val="007615B6"/>
    <w:rsid w:val="00761892"/>
    <w:rsid w:val="00761F06"/>
    <w:rsid w:val="007633CF"/>
    <w:rsid w:val="00763E59"/>
    <w:rsid w:val="0076475E"/>
    <w:rsid w:val="00764A7D"/>
    <w:rsid w:val="00764E9A"/>
    <w:rsid w:val="00764FBD"/>
    <w:rsid w:val="007651A3"/>
    <w:rsid w:val="00766377"/>
    <w:rsid w:val="007664A6"/>
    <w:rsid w:val="0076755A"/>
    <w:rsid w:val="00767B3C"/>
    <w:rsid w:val="00770570"/>
    <w:rsid w:val="00770B40"/>
    <w:rsid w:val="0077100E"/>
    <w:rsid w:val="007713E4"/>
    <w:rsid w:val="00771B54"/>
    <w:rsid w:val="007720CA"/>
    <w:rsid w:val="007723DE"/>
    <w:rsid w:val="00772CA3"/>
    <w:rsid w:val="00772F2B"/>
    <w:rsid w:val="0077346A"/>
    <w:rsid w:val="00773688"/>
    <w:rsid w:val="00773CA0"/>
    <w:rsid w:val="007740E4"/>
    <w:rsid w:val="00774721"/>
    <w:rsid w:val="00774764"/>
    <w:rsid w:val="007748C5"/>
    <w:rsid w:val="00774B30"/>
    <w:rsid w:val="00774BDE"/>
    <w:rsid w:val="00774F88"/>
    <w:rsid w:val="007751EC"/>
    <w:rsid w:val="00775453"/>
    <w:rsid w:val="007760D5"/>
    <w:rsid w:val="00776810"/>
    <w:rsid w:val="00776982"/>
    <w:rsid w:val="00776EF4"/>
    <w:rsid w:val="007770F7"/>
    <w:rsid w:val="00777173"/>
    <w:rsid w:val="0077737F"/>
    <w:rsid w:val="00777529"/>
    <w:rsid w:val="00777678"/>
    <w:rsid w:val="007778A7"/>
    <w:rsid w:val="00777BF6"/>
    <w:rsid w:val="007800FD"/>
    <w:rsid w:val="00780189"/>
    <w:rsid w:val="00780592"/>
    <w:rsid w:val="007806DF"/>
    <w:rsid w:val="00780854"/>
    <w:rsid w:val="007809F8"/>
    <w:rsid w:val="00780C47"/>
    <w:rsid w:val="007811BD"/>
    <w:rsid w:val="0078180E"/>
    <w:rsid w:val="00781BF8"/>
    <w:rsid w:val="00781C67"/>
    <w:rsid w:val="00781C74"/>
    <w:rsid w:val="00781C90"/>
    <w:rsid w:val="00781D40"/>
    <w:rsid w:val="007823A2"/>
    <w:rsid w:val="00782432"/>
    <w:rsid w:val="0078283A"/>
    <w:rsid w:val="00782B0D"/>
    <w:rsid w:val="00782D4A"/>
    <w:rsid w:val="00783611"/>
    <w:rsid w:val="007837F0"/>
    <w:rsid w:val="00783EED"/>
    <w:rsid w:val="007842F1"/>
    <w:rsid w:val="007847EC"/>
    <w:rsid w:val="00784D32"/>
    <w:rsid w:val="00784E9A"/>
    <w:rsid w:val="00785159"/>
    <w:rsid w:val="00785E33"/>
    <w:rsid w:val="00786368"/>
    <w:rsid w:val="0078673B"/>
    <w:rsid w:val="00786E63"/>
    <w:rsid w:val="00786F32"/>
    <w:rsid w:val="00787040"/>
    <w:rsid w:val="00787644"/>
    <w:rsid w:val="007876B5"/>
    <w:rsid w:val="007876BF"/>
    <w:rsid w:val="00787948"/>
    <w:rsid w:val="00787AB8"/>
    <w:rsid w:val="00790376"/>
    <w:rsid w:val="00790532"/>
    <w:rsid w:val="00790B55"/>
    <w:rsid w:val="007913A4"/>
    <w:rsid w:val="0079147A"/>
    <w:rsid w:val="007914FA"/>
    <w:rsid w:val="00792114"/>
    <w:rsid w:val="00792450"/>
    <w:rsid w:val="00792618"/>
    <w:rsid w:val="0079284F"/>
    <w:rsid w:val="00792BEE"/>
    <w:rsid w:val="007931E0"/>
    <w:rsid w:val="00793DCA"/>
    <w:rsid w:val="00793E35"/>
    <w:rsid w:val="0079475C"/>
    <w:rsid w:val="0079478B"/>
    <w:rsid w:val="00794ABF"/>
    <w:rsid w:val="00794E4C"/>
    <w:rsid w:val="007952D5"/>
    <w:rsid w:val="007955A3"/>
    <w:rsid w:val="00795D8A"/>
    <w:rsid w:val="0079609E"/>
    <w:rsid w:val="007961CE"/>
    <w:rsid w:val="00796323"/>
    <w:rsid w:val="00796641"/>
    <w:rsid w:val="00797158"/>
    <w:rsid w:val="0079717D"/>
    <w:rsid w:val="00797795"/>
    <w:rsid w:val="00797960"/>
    <w:rsid w:val="00797D4D"/>
    <w:rsid w:val="007A077D"/>
    <w:rsid w:val="007A07C2"/>
    <w:rsid w:val="007A099A"/>
    <w:rsid w:val="007A0A3C"/>
    <w:rsid w:val="007A0C20"/>
    <w:rsid w:val="007A12EB"/>
    <w:rsid w:val="007A18E7"/>
    <w:rsid w:val="007A193B"/>
    <w:rsid w:val="007A2258"/>
    <w:rsid w:val="007A23AB"/>
    <w:rsid w:val="007A2A6F"/>
    <w:rsid w:val="007A2BEB"/>
    <w:rsid w:val="007A2F02"/>
    <w:rsid w:val="007A30C7"/>
    <w:rsid w:val="007A3163"/>
    <w:rsid w:val="007A356A"/>
    <w:rsid w:val="007A3749"/>
    <w:rsid w:val="007A3BD7"/>
    <w:rsid w:val="007A4024"/>
    <w:rsid w:val="007A423C"/>
    <w:rsid w:val="007A42C2"/>
    <w:rsid w:val="007A44F5"/>
    <w:rsid w:val="007A47E4"/>
    <w:rsid w:val="007A4919"/>
    <w:rsid w:val="007A49F2"/>
    <w:rsid w:val="007A4AB8"/>
    <w:rsid w:val="007A4D99"/>
    <w:rsid w:val="007A59CB"/>
    <w:rsid w:val="007A5DE1"/>
    <w:rsid w:val="007A67BC"/>
    <w:rsid w:val="007A7497"/>
    <w:rsid w:val="007A79C4"/>
    <w:rsid w:val="007A7E7F"/>
    <w:rsid w:val="007A7FBD"/>
    <w:rsid w:val="007B0030"/>
    <w:rsid w:val="007B0137"/>
    <w:rsid w:val="007B03E1"/>
    <w:rsid w:val="007B0A4E"/>
    <w:rsid w:val="007B0F27"/>
    <w:rsid w:val="007B1319"/>
    <w:rsid w:val="007B1501"/>
    <w:rsid w:val="007B1861"/>
    <w:rsid w:val="007B18EF"/>
    <w:rsid w:val="007B1DDB"/>
    <w:rsid w:val="007B24F4"/>
    <w:rsid w:val="007B2927"/>
    <w:rsid w:val="007B311E"/>
    <w:rsid w:val="007B3A7B"/>
    <w:rsid w:val="007B3B1A"/>
    <w:rsid w:val="007B3BC3"/>
    <w:rsid w:val="007B3D5C"/>
    <w:rsid w:val="007B3F64"/>
    <w:rsid w:val="007B3FCB"/>
    <w:rsid w:val="007B414A"/>
    <w:rsid w:val="007B43EF"/>
    <w:rsid w:val="007B462A"/>
    <w:rsid w:val="007B48ED"/>
    <w:rsid w:val="007B4B86"/>
    <w:rsid w:val="007B562A"/>
    <w:rsid w:val="007B6209"/>
    <w:rsid w:val="007B62BD"/>
    <w:rsid w:val="007B66C2"/>
    <w:rsid w:val="007B66E0"/>
    <w:rsid w:val="007B6908"/>
    <w:rsid w:val="007B6A09"/>
    <w:rsid w:val="007B7131"/>
    <w:rsid w:val="007B7295"/>
    <w:rsid w:val="007B74DE"/>
    <w:rsid w:val="007B7843"/>
    <w:rsid w:val="007B78E1"/>
    <w:rsid w:val="007B7C2A"/>
    <w:rsid w:val="007B7D09"/>
    <w:rsid w:val="007B7F63"/>
    <w:rsid w:val="007C01E9"/>
    <w:rsid w:val="007C02DD"/>
    <w:rsid w:val="007C0D29"/>
    <w:rsid w:val="007C0E29"/>
    <w:rsid w:val="007C121E"/>
    <w:rsid w:val="007C13AC"/>
    <w:rsid w:val="007C1519"/>
    <w:rsid w:val="007C1562"/>
    <w:rsid w:val="007C1863"/>
    <w:rsid w:val="007C19EB"/>
    <w:rsid w:val="007C1C9B"/>
    <w:rsid w:val="007C20CF"/>
    <w:rsid w:val="007C20F4"/>
    <w:rsid w:val="007C2924"/>
    <w:rsid w:val="007C2A24"/>
    <w:rsid w:val="007C2B3D"/>
    <w:rsid w:val="007C2BB4"/>
    <w:rsid w:val="007C2D9F"/>
    <w:rsid w:val="007C2F53"/>
    <w:rsid w:val="007C33B1"/>
    <w:rsid w:val="007C35CF"/>
    <w:rsid w:val="007C46BD"/>
    <w:rsid w:val="007C51EE"/>
    <w:rsid w:val="007C6CCE"/>
    <w:rsid w:val="007C6D2A"/>
    <w:rsid w:val="007C74A6"/>
    <w:rsid w:val="007C7530"/>
    <w:rsid w:val="007C7800"/>
    <w:rsid w:val="007C78B6"/>
    <w:rsid w:val="007C798B"/>
    <w:rsid w:val="007C7A24"/>
    <w:rsid w:val="007C7C4A"/>
    <w:rsid w:val="007D00D9"/>
    <w:rsid w:val="007D0205"/>
    <w:rsid w:val="007D08F9"/>
    <w:rsid w:val="007D0CB9"/>
    <w:rsid w:val="007D266C"/>
    <w:rsid w:val="007D271D"/>
    <w:rsid w:val="007D2AD7"/>
    <w:rsid w:val="007D2D06"/>
    <w:rsid w:val="007D2F0D"/>
    <w:rsid w:val="007D30CF"/>
    <w:rsid w:val="007D3620"/>
    <w:rsid w:val="007D4482"/>
    <w:rsid w:val="007D45E0"/>
    <w:rsid w:val="007D4798"/>
    <w:rsid w:val="007D4BE7"/>
    <w:rsid w:val="007D4BF0"/>
    <w:rsid w:val="007D52A1"/>
    <w:rsid w:val="007D5430"/>
    <w:rsid w:val="007D5990"/>
    <w:rsid w:val="007D644D"/>
    <w:rsid w:val="007D68A3"/>
    <w:rsid w:val="007D6928"/>
    <w:rsid w:val="007D6CB0"/>
    <w:rsid w:val="007D6D17"/>
    <w:rsid w:val="007D6EDF"/>
    <w:rsid w:val="007E0163"/>
    <w:rsid w:val="007E0248"/>
    <w:rsid w:val="007E02FA"/>
    <w:rsid w:val="007E0350"/>
    <w:rsid w:val="007E0917"/>
    <w:rsid w:val="007E15EE"/>
    <w:rsid w:val="007E197E"/>
    <w:rsid w:val="007E1A11"/>
    <w:rsid w:val="007E1D3B"/>
    <w:rsid w:val="007E203B"/>
    <w:rsid w:val="007E232E"/>
    <w:rsid w:val="007E257F"/>
    <w:rsid w:val="007E29FC"/>
    <w:rsid w:val="007E2B17"/>
    <w:rsid w:val="007E2BF2"/>
    <w:rsid w:val="007E2CCC"/>
    <w:rsid w:val="007E3373"/>
    <w:rsid w:val="007E33B6"/>
    <w:rsid w:val="007E37FA"/>
    <w:rsid w:val="007E39C7"/>
    <w:rsid w:val="007E39DB"/>
    <w:rsid w:val="007E3BAE"/>
    <w:rsid w:val="007E3D52"/>
    <w:rsid w:val="007E3DCF"/>
    <w:rsid w:val="007E4FEC"/>
    <w:rsid w:val="007E5364"/>
    <w:rsid w:val="007E53BE"/>
    <w:rsid w:val="007E5411"/>
    <w:rsid w:val="007E5479"/>
    <w:rsid w:val="007E5575"/>
    <w:rsid w:val="007E55D5"/>
    <w:rsid w:val="007E5811"/>
    <w:rsid w:val="007E60F4"/>
    <w:rsid w:val="007E63A9"/>
    <w:rsid w:val="007E6431"/>
    <w:rsid w:val="007E6505"/>
    <w:rsid w:val="007E66D2"/>
    <w:rsid w:val="007E6870"/>
    <w:rsid w:val="007E6EF9"/>
    <w:rsid w:val="007E75C7"/>
    <w:rsid w:val="007E785C"/>
    <w:rsid w:val="007E7924"/>
    <w:rsid w:val="007F010B"/>
    <w:rsid w:val="007F0188"/>
    <w:rsid w:val="007F01BE"/>
    <w:rsid w:val="007F01C0"/>
    <w:rsid w:val="007F030D"/>
    <w:rsid w:val="007F0831"/>
    <w:rsid w:val="007F0D03"/>
    <w:rsid w:val="007F0E1B"/>
    <w:rsid w:val="007F1025"/>
    <w:rsid w:val="007F1250"/>
    <w:rsid w:val="007F1580"/>
    <w:rsid w:val="007F19FE"/>
    <w:rsid w:val="007F1AAA"/>
    <w:rsid w:val="007F1BE4"/>
    <w:rsid w:val="007F1D76"/>
    <w:rsid w:val="007F1D7C"/>
    <w:rsid w:val="007F24B9"/>
    <w:rsid w:val="007F24FE"/>
    <w:rsid w:val="007F2741"/>
    <w:rsid w:val="007F2EC2"/>
    <w:rsid w:val="007F3105"/>
    <w:rsid w:val="007F349D"/>
    <w:rsid w:val="007F4423"/>
    <w:rsid w:val="007F4454"/>
    <w:rsid w:val="007F49A1"/>
    <w:rsid w:val="007F4BE3"/>
    <w:rsid w:val="007F4EDF"/>
    <w:rsid w:val="007F4F41"/>
    <w:rsid w:val="007F5372"/>
    <w:rsid w:val="007F5921"/>
    <w:rsid w:val="007F6771"/>
    <w:rsid w:val="007F7362"/>
    <w:rsid w:val="007F74C3"/>
    <w:rsid w:val="007F776D"/>
    <w:rsid w:val="007F7DCD"/>
    <w:rsid w:val="00800106"/>
    <w:rsid w:val="0080044B"/>
    <w:rsid w:val="00800CC2"/>
    <w:rsid w:val="00801827"/>
    <w:rsid w:val="0080189E"/>
    <w:rsid w:val="00801D4B"/>
    <w:rsid w:val="008027B8"/>
    <w:rsid w:val="0080288A"/>
    <w:rsid w:val="00802C2E"/>
    <w:rsid w:val="00802E6E"/>
    <w:rsid w:val="00803578"/>
    <w:rsid w:val="00803D2C"/>
    <w:rsid w:val="008040A7"/>
    <w:rsid w:val="0080452B"/>
    <w:rsid w:val="00804660"/>
    <w:rsid w:val="00804933"/>
    <w:rsid w:val="00804D4D"/>
    <w:rsid w:val="0080536D"/>
    <w:rsid w:val="00806665"/>
    <w:rsid w:val="00806B9B"/>
    <w:rsid w:val="00806E36"/>
    <w:rsid w:val="00806F34"/>
    <w:rsid w:val="008070AB"/>
    <w:rsid w:val="008078FF"/>
    <w:rsid w:val="00807A19"/>
    <w:rsid w:val="00807B1F"/>
    <w:rsid w:val="00810957"/>
    <w:rsid w:val="008110A5"/>
    <w:rsid w:val="008110C4"/>
    <w:rsid w:val="0081147A"/>
    <w:rsid w:val="00811714"/>
    <w:rsid w:val="00811D07"/>
    <w:rsid w:val="00811D96"/>
    <w:rsid w:val="00811F36"/>
    <w:rsid w:val="008128F1"/>
    <w:rsid w:val="00812A51"/>
    <w:rsid w:val="008133A7"/>
    <w:rsid w:val="00813524"/>
    <w:rsid w:val="00813AE4"/>
    <w:rsid w:val="00813F14"/>
    <w:rsid w:val="0081429A"/>
    <w:rsid w:val="00814BE1"/>
    <w:rsid w:val="00814D6F"/>
    <w:rsid w:val="00814F91"/>
    <w:rsid w:val="00815378"/>
    <w:rsid w:val="00815412"/>
    <w:rsid w:val="0081583B"/>
    <w:rsid w:val="00815CA2"/>
    <w:rsid w:val="00815FD6"/>
    <w:rsid w:val="008167B3"/>
    <w:rsid w:val="008169AC"/>
    <w:rsid w:val="0081744B"/>
    <w:rsid w:val="00817A46"/>
    <w:rsid w:val="00817C81"/>
    <w:rsid w:val="00817D14"/>
    <w:rsid w:val="008201DA"/>
    <w:rsid w:val="00820586"/>
    <w:rsid w:val="00820E18"/>
    <w:rsid w:val="00821B0B"/>
    <w:rsid w:val="00822B2E"/>
    <w:rsid w:val="00822D6C"/>
    <w:rsid w:val="008230CF"/>
    <w:rsid w:val="00823122"/>
    <w:rsid w:val="0082331F"/>
    <w:rsid w:val="00823AC3"/>
    <w:rsid w:val="00823ACD"/>
    <w:rsid w:val="00823FEB"/>
    <w:rsid w:val="008243C8"/>
    <w:rsid w:val="008244E3"/>
    <w:rsid w:val="008246F1"/>
    <w:rsid w:val="00824AD4"/>
    <w:rsid w:val="00824B77"/>
    <w:rsid w:val="00824F4D"/>
    <w:rsid w:val="0082519D"/>
    <w:rsid w:val="0082549E"/>
    <w:rsid w:val="00825594"/>
    <w:rsid w:val="008255C9"/>
    <w:rsid w:val="00825840"/>
    <w:rsid w:val="008258EC"/>
    <w:rsid w:val="00825B03"/>
    <w:rsid w:val="00825EB8"/>
    <w:rsid w:val="008260AB"/>
    <w:rsid w:val="0082614C"/>
    <w:rsid w:val="0082626C"/>
    <w:rsid w:val="0082664B"/>
    <w:rsid w:val="008267A1"/>
    <w:rsid w:val="008269D5"/>
    <w:rsid w:val="00826AE2"/>
    <w:rsid w:val="00827C96"/>
    <w:rsid w:val="0083055C"/>
    <w:rsid w:val="00830905"/>
    <w:rsid w:val="00830A45"/>
    <w:rsid w:val="00830AE2"/>
    <w:rsid w:val="00830C15"/>
    <w:rsid w:val="00830E30"/>
    <w:rsid w:val="00831623"/>
    <w:rsid w:val="00831648"/>
    <w:rsid w:val="00832200"/>
    <w:rsid w:val="0083244D"/>
    <w:rsid w:val="008328FA"/>
    <w:rsid w:val="00833191"/>
    <w:rsid w:val="00833CC9"/>
    <w:rsid w:val="00833E5E"/>
    <w:rsid w:val="0083402F"/>
    <w:rsid w:val="0083421F"/>
    <w:rsid w:val="0083443A"/>
    <w:rsid w:val="008344EB"/>
    <w:rsid w:val="008345D9"/>
    <w:rsid w:val="00834611"/>
    <w:rsid w:val="00834AAE"/>
    <w:rsid w:val="00834D0B"/>
    <w:rsid w:val="00834D10"/>
    <w:rsid w:val="00834DC7"/>
    <w:rsid w:val="00835A65"/>
    <w:rsid w:val="00835E0D"/>
    <w:rsid w:val="00835E1A"/>
    <w:rsid w:val="0083661C"/>
    <w:rsid w:val="00836C98"/>
    <w:rsid w:val="00837DCF"/>
    <w:rsid w:val="008402EF"/>
    <w:rsid w:val="0084081B"/>
    <w:rsid w:val="008408E7"/>
    <w:rsid w:val="00840CB8"/>
    <w:rsid w:val="008411CB"/>
    <w:rsid w:val="008412F5"/>
    <w:rsid w:val="00841923"/>
    <w:rsid w:val="00841AD4"/>
    <w:rsid w:val="00841D58"/>
    <w:rsid w:val="00841DDD"/>
    <w:rsid w:val="00841FB1"/>
    <w:rsid w:val="00842149"/>
    <w:rsid w:val="0084284E"/>
    <w:rsid w:val="00843664"/>
    <w:rsid w:val="00843829"/>
    <w:rsid w:val="008438E5"/>
    <w:rsid w:val="00843B8F"/>
    <w:rsid w:val="00843E44"/>
    <w:rsid w:val="00844041"/>
    <w:rsid w:val="00844550"/>
    <w:rsid w:val="00844F49"/>
    <w:rsid w:val="00845036"/>
    <w:rsid w:val="0084556E"/>
    <w:rsid w:val="00845AF5"/>
    <w:rsid w:val="00845FC1"/>
    <w:rsid w:val="0084634A"/>
    <w:rsid w:val="008469F7"/>
    <w:rsid w:val="00846A6C"/>
    <w:rsid w:val="00846BEF"/>
    <w:rsid w:val="00846C7A"/>
    <w:rsid w:val="00846CCA"/>
    <w:rsid w:val="008470C7"/>
    <w:rsid w:val="00847314"/>
    <w:rsid w:val="0084734A"/>
    <w:rsid w:val="008477A1"/>
    <w:rsid w:val="00847D23"/>
    <w:rsid w:val="00847EB9"/>
    <w:rsid w:val="00850351"/>
    <w:rsid w:val="00850365"/>
    <w:rsid w:val="008504FF"/>
    <w:rsid w:val="008508BF"/>
    <w:rsid w:val="00850BDF"/>
    <w:rsid w:val="00850DA4"/>
    <w:rsid w:val="00851143"/>
    <w:rsid w:val="00851353"/>
    <w:rsid w:val="00851412"/>
    <w:rsid w:val="00851483"/>
    <w:rsid w:val="00851869"/>
    <w:rsid w:val="00851AD0"/>
    <w:rsid w:val="00851B64"/>
    <w:rsid w:val="00851DB5"/>
    <w:rsid w:val="00852C8A"/>
    <w:rsid w:val="0085345E"/>
    <w:rsid w:val="008535F0"/>
    <w:rsid w:val="0085379F"/>
    <w:rsid w:val="00853DFC"/>
    <w:rsid w:val="00854175"/>
    <w:rsid w:val="00854355"/>
    <w:rsid w:val="0085441D"/>
    <w:rsid w:val="008545DF"/>
    <w:rsid w:val="00854B03"/>
    <w:rsid w:val="00854F69"/>
    <w:rsid w:val="00855B2E"/>
    <w:rsid w:val="00855BDD"/>
    <w:rsid w:val="00855CEA"/>
    <w:rsid w:val="008562F8"/>
    <w:rsid w:val="008563D8"/>
    <w:rsid w:val="0085695A"/>
    <w:rsid w:val="0085696C"/>
    <w:rsid w:val="008573C1"/>
    <w:rsid w:val="00857757"/>
    <w:rsid w:val="00860375"/>
    <w:rsid w:val="008605EA"/>
    <w:rsid w:val="0086095A"/>
    <w:rsid w:val="008613E4"/>
    <w:rsid w:val="00861422"/>
    <w:rsid w:val="00861DA1"/>
    <w:rsid w:val="00862355"/>
    <w:rsid w:val="00862731"/>
    <w:rsid w:val="00862745"/>
    <w:rsid w:val="008628E6"/>
    <w:rsid w:val="00862991"/>
    <w:rsid w:val="00862B72"/>
    <w:rsid w:val="00862C56"/>
    <w:rsid w:val="00863353"/>
    <w:rsid w:val="00863A7F"/>
    <w:rsid w:val="00863F46"/>
    <w:rsid w:val="008642E0"/>
    <w:rsid w:val="008646E2"/>
    <w:rsid w:val="00865250"/>
    <w:rsid w:val="008653CA"/>
    <w:rsid w:val="008653D8"/>
    <w:rsid w:val="008655C7"/>
    <w:rsid w:val="00865BC5"/>
    <w:rsid w:val="0086606B"/>
    <w:rsid w:val="00866659"/>
    <w:rsid w:val="008667E8"/>
    <w:rsid w:val="0086701E"/>
    <w:rsid w:val="0086702B"/>
    <w:rsid w:val="0086740E"/>
    <w:rsid w:val="00867598"/>
    <w:rsid w:val="00867971"/>
    <w:rsid w:val="00870329"/>
    <w:rsid w:val="0087037A"/>
    <w:rsid w:val="008706B0"/>
    <w:rsid w:val="00870871"/>
    <w:rsid w:val="00870E17"/>
    <w:rsid w:val="00870EDA"/>
    <w:rsid w:val="008713B2"/>
    <w:rsid w:val="0087181F"/>
    <w:rsid w:val="008720FE"/>
    <w:rsid w:val="00872174"/>
    <w:rsid w:val="00872439"/>
    <w:rsid w:val="00872845"/>
    <w:rsid w:val="00872978"/>
    <w:rsid w:val="00873250"/>
    <w:rsid w:val="0087384D"/>
    <w:rsid w:val="00873994"/>
    <w:rsid w:val="00873EED"/>
    <w:rsid w:val="008744FC"/>
    <w:rsid w:val="00874AB5"/>
    <w:rsid w:val="008752AC"/>
    <w:rsid w:val="008753B9"/>
    <w:rsid w:val="008756C0"/>
    <w:rsid w:val="00875811"/>
    <w:rsid w:val="0087598D"/>
    <w:rsid w:val="00875D4F"/>
    <w:rsid w:val="00876532"/>
    <w:rsid w:val="0087655E"/>
    <w:rsid w:val="00880E11"/>
    <w:rsid w:val="00880E84"/>
    <w:rsid w:val="00880F35"/>
    <w:rsid w:val="008810D2"/>
    <w:rsid w:val="00881139"/>
    <w:rsid w:val="00881199"/>
    <w:rsid w:val="008811CC"/>
    <w:rsid w:val="008817BA"/>
    <w:rsid w:val="008819A2"/>
    <w:rsid w:val="00881D62"/>
    <w:rsid w:val="00881DFC"/>
    <w:rsid w:val="00882077"/>
    <w:rsid w:val="00882091"/>
    <w:rsid w:val="00882527"/>
    <w:rsid w:val="00882B59"/>
    <w:rsid w:val="00882C85"/>
    <w:rsid w:val="00882FC2"/>
    <w:rsid w:val="0088387C"/>
    <w:rsid w:val="00884051"/>
    <w:rsid w:val="00884A3A"/>
    <w:rsid w:val="00884D68"/>
    <w:rsid w:val="00885061"/>
    <w:rsid w:val="0088517C"/>
    <w:rsid w:val="0088554C"/>
    <w:rsid w:val="0088593E"/>
    <w:rsid w:val="008859E3"/>
    <w:rsid w:val="00885EEA"/>
    <w:rsid w:val="00885F9C"/>
    <w:rsid w:val="008863F0"/>
    <w:rsid w:val="00886762"/>
    <w:rsid w:val="008867C8"/>
    <w:rsid w:val="00887782"/>
    <w:rsid w:val="00887A2C"/>
    <w:rsid w:val="00887C23"/>
    <w:rsid w:val="0089009F"/>
    <w:rsid w:val="008901E7"/>
    <w:rsid w:val="00890530"/>
    <w:rsid w:val="00890680"/>
    <w:rsid w:val="0089078C"/>
    <w:rsid w:val="0089094C"/>
    <w:rsid w:val="00891468"/>
    <w:rsid w:val="00891A39"/>
    <w:rsid w:val="008920A9"/>
    <w:rsid w:val="008922FD"/>
    <w:rsid w:val="008928C6"/>
    <w:rsid w:val="00892A49"/>
    <w:rsid w:val="00892A80"/>
    <w:rsid w:val="0089312F"/>
    <w:rsid w:val="00893344"/>
    <w:rsid w:val="00893527"/>
    <w:rsid w:val="00893686"/>
    <w:rsid w:val="00893865"/>
    <w:rsid w:val="00893C65"/>
    <w:rsid w:val="008941C2"/>
    <w:rsid w:val="008944B6"/>
    <w:rsid w:val="008944CA"/>
    <w:rsid w:val="00894553"/>
    <w:rsid w:val="008945B1"/>
    <w:rsid w:val="008949A6"/>
    <w:rsid w:val="00894A0A"/>
    <w:rsid w:val="00894A38"/>
    <w:rsid w:val="00894C91"/>
    <w:rsid w:val="0089510B"/>
    <w:rsid w:val="00895312"/>
    <w:rsid w:val="00895472"/>
    <w:rsid w:val="00895AB2"/>
    <w:rsid w:val="00895B61"/>
    <w:rsid w:val="00895F7F"/>
    <w:rsid w:val="00896403"/>
    <w:rsid w:val="00896B5A"/>
    <w:rsid w:val="008972BA"/>
    <w:rsid w:val="0089749F"/>
    <w:rsid w:val="00897E3F"/>
    <w:rsid w:val="00897E58"/>
    <w:rsid w:val="00897E75"/>
    <w:rsid w:val="00897F08"/>
    <w:rsid w:val="008A0219"/>
    <w:rsid w:val="008A02F0"/>
    <w:rsid w:val="008A03E9"/>
    <w:rsid w:val="008A0536"/>
    <w:rsid w:val="008A0676"/>
    <w:rsid w:val="008A08F8"/>
    <w:rsid w:val="008A1045"/>
    <w:rsid w:val="008A1C3D"/>
    <w:rsid w:val="008A1CCA"/>
    <w:rsid w:val="008A1D8F"/>
    <w:rsid w:val="008A21C6"/>
    <w:rsid w:val="008A2204"/>
    <w:rsid w:val="008A2DDF"/>
    <w:rsid w:val="008A2E13"/>
    <w:rsid w:val="008A312D"/>
    <w:rsid w:val="008A39B4"/>
    <w:rsid w:val="008A39C4"/>
    <w:rsid w:val="008A40AD"/>
    <w:rsid w:val="008A4295"/>
    <w:rsid w:val="008A4590"/>
    <w:rsid w:val="008A4A4E"/>
    <w:rsid w:val="008A5299"/>
    <w:rsid w:val="008A591E"/>
    <w:rsid w:val="008A642A"/>
    <w:rsid w:val="008A6C08"/>
    <w:rsid w:val="008A6D8D"/>
    <w:rsid w:val="008A7008"/>
    <w:rsid w:val="008A716B"/>
    <w:rsid w:val="008A77D8"/>
    <w:rsid w:val="008A78CA"/>
    <w:rsid w:val="008A7A96"/>
    <w:rsid w:val="008A7B9E"/>
    <w:rsid w:val="008B0065"/>
    <w:rsid w:val="008B0159"/>
    <w:rsid w:val="008B01F2"/>
    <w:rsid w:val="008B024C"/>
    <w:rsid w:val="008B0379"/>
    <w:rsid w:val="008B044B"/>
    <w:rsid w:val="008B0808"/>
    <w:rsid w:val="008B0E54"/>
    <w:rsid w:val="008B145F"/>
    <w:rsid w:val="008B1592"/>
    <w:rsid w:val="008B1758"/>
    <w:rsid w:val="008B1A20"/>
    <w:rsid w:val="008B1D1F"/>
    <w:rsid w:val="008B22E8"/>
    <w:rsid w:val="008B30D9"/>
    <w:rsid w:val="008B31A1"/>
    <w:rsid w:val="008B3650"/>
    <w:rsid w:val="008B36EF"/>
    <w:rsid w:val="008B3AEA"/>
    <w:rsid w:val="008B3D2E"/>
    <w:rsid w:val="008B46DD"/>
    <w:rsid w:val="008B47C4"/>
    <w:rsid w:val="008B482A"/>
    <w:rsid w:val="008B4DFF"/>
    <w:rsid w:val="008B4F31"/>
    <w:rsid w:val="008B4F86"/>
    <w:rsid w:val="008B5031"/>
    <w:rsid w:val="008B57AA"/>
    <w:rsid w:val="008B59CA"/>
    <w:rsid w:val="008B5D2C"/>
    <w:rsid w:val="008B5D91"/>
    <w:rsid w:val="008B5E53"/>
    <w:rsid w:val="008B621F"/>
    <w:rsid w:val="008B65E8"/>
    <w:rsid w:val="008B6DAB"/>
    <w:rsid w:val="008B6E54"/>
    <w:rsid w:val="008B6F89"/>
    <w:rsid w:val="008B7133"/>
    <w:rsid w:val="008B76CC"/>
    <w:rsid w:val="008C0193"/>
    <w:rsid w:val="008C0423"/>
    <w:rsid w:val="008C0B29"/>
    <w:rsid w:val="008C0F32"/>
    <w:rsid w:val="008C142F"/>
    <w:rsid w:val="008C148F"/>
    <w:rsid w:val="008C15B7"/>
    <w:rsid w:val="008C17EB"/>
    <w:rsid w:val="008C1B6D"/>
    <w:rsid w:val="008C23D0"/>
    <w:rsid w:val="008C2737"/>
    <w:rsid w:val="008C2B47"/>
    <w:rsid w:val="008C3957"/>
    <w:rsid w:val="008C3E46"/>
    <w:rsid w:val="008C4245"/>
    <w:rsid w:val="008C42BB"/>
    <w:rsid w:val="008C4D94"/>
    <w:rsid w:val="008C55CC"/>
    <w:rsid w:val="008C5740"/>
    <w:rsid w:val="008C5F1E"/>
    <w:rsid w:val="008C6050"/>
    <w:rsid w:val="008C634F"/>
    <w:rsid w:val="008C643D"/>
    <w:rsid w:val="008C654D"/>
    <w:rsid w:val="008C67DA"/>
    <w:rsid w:val="008C70E1"/>
    <w:rsid w:val="008C75C3"/>
    <w:rsid w:val="008C79EE"/>
    <w:rsid w:val="008C7E73"/>
    <w:rsid w:val="008D0102"/>
    <w:rsid w:val="008D0439"/>
    <w:rsid w:val="008D05E9"/>
    <w:rsid w:val="008D0BFA"/>
    <w:rsid w:val="008D0F3D"/>
    <w:rsid w:val="008D114C"/>
    <w:rsid w:val="008D1483"/>
    <w:rsid w:val="008D1601"/>
    <w:rsid w:val="008D1D24"/>
    <w:rsid w:val="008D1E03"/>
    <w:rsid w:val="008D1EFA"/>
    <w:rsid w:val="008D1F56"/>
    <w:rsid w:val="008D21EA"/>
    <w:rsid w:val="008D2CE2"/>
    <w:rsid w:val="008D3047"/>
    <w:rsid w:val="008D3080"/>
    <w:rsid w:val="008D3515"/>
    <w:rsid w:val="008D397B"/>
    <w:rsid w:val="008D3B17"/>
    <w:rsid w:val="008D40E8"/>
    <w:rsid w:val="008D4496"/>
    <w:rsid w:val="008D4821"/>
    <w:rsid w:val="008D4BC9"/>
    <w:rsid w:val="008D4EC7"/>
    <w:rsid w:val="008D514B"/>
    <w:rsid w:val="008D5608"/>
    <w:rsid w:val="008D5718"/>
    <w:rsid w:val="008D58C9"/>
    <w:rsid w:val="008D58D5"/>
    <w:rsid w:val="008D59C9"/>
    <w:rsid w:val="008D5B53"/>
    <w:rsid w:val="008D61EA"/>
    <w:rsid w:val="008D682C"/>
    <w:rsid w:val="008D6D8E"/>
    <w:rsid w:val="008D6E71"/>
    <w:rsid w:val="008D6FFC"/>
    <w:rsid w:val="008D722D"/>
    <w:rsid w:val="008D729D"/>
    <w:rsid w:val="008D74D6"/>
    <w:rsid w:val="008D7582"/>
    <w:rsid w:val="008D7C2F"/>
    <w:rsid w:val="008E034E"/>
    <w:rsid w:val="008E083E"/>
    <w:rsid w:val="008E0E25"/>
    <w:rsid w:val="008E0F55"/>
    <w:rsid w:val="008E17DA"/>
    <w:rsid w:val="008E19DE"/>
    <w:rsid w:val="008E1ACF"/>
    <w:rsid w:val="008E1F30"/>
    <w:rsid w:val="008E24D1"/>
    <w:rsid w:val="008E2783"/>
    <w:rsid w:val="008E2786"/>
    <w:rsid w:val="008E31B8"/>
    <w:rsid w:val="008E3328"/>
    <w:rsid w:val="008E3676"/>
    <w:rsid w:val="008E3848"/>
    <w:rsid w:val="008E3D12"/>
    <w:rsid w:val="008E49BD"/>
    <w:rsid w:val="008E4A00"/>
    <w:rsid w:val="008E4D75"/>
    <w:rsid w:val="008E53BF"/>
    <w:rsid w:val="008E5691"/>
    <w:rsid w:val="008E5791"/>
    <w:rsid w:val="008E5A72"/>
    <w:rsid w:val="008E5C31"/>
    <w:rsid w:val="008E614D"/>
    <w:rsid w:val="008E64B3"/>
    <w:rsid w:val="008E68F4"/>
    <w:rsid w:val="008E7465"/>
    <w:rsid w:val="008E7800"/>
    <w:rsid w:val="008E7872"/>
    <w:rsid w:val="008E7E41"/>
    <w:rsid w:val="008E7EF6"/>
    <w:rsid w:val="008F02CD"/>
    <w:rsid w:val="008F0DD3"/>
    <w:rsid w:val="008F0F12"/>
    <w:rsid w:val="008F0F33"/>
    <w:rsid w:val="008F100F"/>
    <w:rsid w:val="008F1067"/>
    <w:rsid w:val="008F1E7E"/>
    <w:rsid w:val="008F24E6"/>
    <w:rsid w:val="008F28E8"/>
    <w:rsid w:val="008F304B"/>
    <w:rsid w:val="008F341A"/>
    <w:rsid w:val="008F3942"/>
    <w:rsid w:val="008F3E39"/>
    <w:rsid w:val="008F40D1"/>
    <w:rsid w:val="008F41E0"/>
    <w:rsid w:val="008F498A"/>
    <w:rsid w:val="008F557B"/>
    <w:rsid w:val="008F561A"/>
    <w:rsid w:val="008F564B"/>
    <w:rsid w:val="008F577F"/>
    <w:rsid w:val="008F57A6"/>
    <w:rsid w:val="008F57A9"/>
    <w:rsid w:val="008F5996"/>
    <w:rsid w:val="008F5F9A"/>
    <w:rsid w:val="008F6327"/>
    <w:rsid w:val="008F6699"/>
    <w:rsid w:val="008F6978"/>
    <w:rsid w:val="008F6C64"/>
    <w:rsid w:val="008F714E"/>
    <w:rsid w:val="008F775A"/>
    <w:rsid w:val="008F7766"/>
    <w:rsid w:val="008F78FB"/>
    <w:rsid w:val="008F7AE0"/>
    <w:rsid w:val="008F7CF5"/>
    <w:rsid w:val="0090093C"/>
    <w:rsid w:val="00901043"/>
    <w:rsid w:val="00901187"/>
    <w:rsid w:val="00901374"/>
    <w:rsid w:val="0090164A"/>
    <w:rsid w:val="00901653"/>
    <w:rsid w:val="00901D05"/>
    <w:rsid w:val="009022B2"/>
    <w:rsid w:val="00902303"/>
    <w:rsid w:val="009033E2"/>
    <w:rsid w:val="0090343D"/>
    <w:rsid w:val="00903464"/>
    <w:rsid w:val="009036E5"/>
    <w:rsid w:val="009039DC"/>
    <w:rsid w:val="00903AFC"/>
    <w:rsid w:val="00903D69"/>
    <w:rsid w:val="009040A4"/>
    <w:rsid w:val="009041F7"/>
    <w:rsid w:val="009043E9"/>
    <w:rsid w:val="0090450D"/>
    <w:rsid w:val="0090459C"/>
    <w:rsid w:val="00904A1A"/>
    <w:rsid w:val="00904CB2"/>
    <w:rsid w:val="009054C6"/>
    <w:rsid w:val="009054F9"/>
    <w:rsid w:val="00905A4E"/>
    <w:rsid w:val="00905CA5"/>
    <w:rsid w:val="00905E9E"/>
    <w:rsid w:val="009066A1"/>
    <w:rsid w:val="00906831"/>
    <w:rsid w:val="009068E0"/>
    <w:rsid w:val="009069A9"/>
    <w:rsid w:val="00906DF5"/>
    <w:rsid w:val="00906E04"/>
    <w:rsid w:val="009071A8"/>
    <w:rsid w:val="00907784"/>
    <w:rsid w:val="00907986"/>
    <w:rsid w:val="00907B4F"/>
    <w:rsid w:val="00907CDC"/>
    <w:rsid w:val="00907F97"/>
    <w:rsid w:val="009100BB"/>
    <w:rsid w:val="009101ED"/>
    <w:rsid w:val="00910780"/>
    <w:rsid w:val="00910AAC"/>
    <w:rsid w:val="009117A3"/>
    <w:rsid w:val="00911BFF"/>
    <w:rsid w:val="00911E09"/>
    <w:rsid w:val="00912300"/>
    <w:rsid w:val="00912717"/>
    <w:rsid w:val="00912820"/>
    <w:rsid w:val="009132A1"/>
    <w:rsid w:val="00913914"/>
    <w:rsid w:val="009143FA"/>
    <w:rsid w:val="0091497B"/>
    <w:rsid w:val="00914998"/>
    <w:rsid w:val="00914A78"/>
    <w:rsid w:val="00914D3B"/>
    <w:rsid w:val="00914E90"/>
    <w:rsid w:val="009151B6"/>
    <w:rsid w:val="0091528E"/>
    <w:rsid w:val="00915F4A"/>
    <w:rsid w:val="009161EB"/>
    <w:rsid w:val="00917056"/>
    <w:rsid w:val="00917163"/>
    <w:rsid w:val="009172D7"/>
    <w:rsid w:val="009176BD"/>
    <w:rsid w:val="009178A8"/>
    <w:rsid w:val="00917D66"/>
    <w:rsid w:val="0092000D"/>
    <w:rsid w:val="009200B4"/>
    <w:rsid w:val="009205DC"/>
    <w:rsid w:val="00921012"/>
    <w:rsid w:val="009212BC"/>
    <w:rsid w:val="009219C5"/>
    <w:rsid w:val="00921C8D"/>
    <w:rsid w:val="00921E9E"/>
    <w:rsid w:val="00921F73"/>
    <w:rsid w:val="00922143"/>
    <w:rsid w:val="00922393"/>
    <w:rsid w:val="00922394"/>
    <w:rsid w:val="00922539"/>
    <w:rsid w:val="009226B3"/>
    <w:rsid w:val="009226CD"/>
    <w:rsid w:val="00922EDB"/>
    <w:rsid w:val="00923181"/>
    <w:rsid w:val="009239DA"/>
    <w:rsid w:val="00923F4D"/>
    <w:rsid w:val="0092445A"/>
    <w:rsid w:val="00924E19"/>
    <w:rsid w:val="00924F67"/>
    <w:rsid w:val="00925274"/>
    <w:rsid w:val="00925455"/>
    <w:rsid w:val="009258EF"/>
    <w:rsid w:val="009260C0"/>
    <w:rsid w:val="00926456"/>
    <w:rsid w:val="00926615"/>
    <w:rsid w:val="00926CF6"/>
    <w:rsid w:val="00926E1C"/>
    <w:rsid w:val="00927423"/>
    <w:rsid w:val="009274BC"/>
    <w:rsid w:val="009277AF"/>
    <w:rsid w:val="00930024"/>
    <w:rsid w:val="009304F2"/>
    <w:rsid w:val="009310C7"/>
    <w:rsid w:val="00931492"/>
    <w:rsid w:val="00931A59"/>
    <w:rsid w:val="00932D9E"/>
    <w:rsid w:val="00932EF6"/>
    <w:rsid w:val="00933D46"/>
    <w:rsid w:val="00933D48"/>
    <w:rsid w:val="00933E1E"/>
    <w:rsid w:val="00934073"/>
    <w:rsid w:val="00934077"/>
    <w:rsid w:val="009340E2"/>
    <w:rsid w:val="00934106"/>
    <w:rsid w:val="00934403"/>
    <w:rsid w:val="00935317"/>
    <w:rsid w:val="009361EC"/>
    <w:rsid w:val="00936FEA"/>
    <w:rsid w:val="009371D2"/>
    <w:rsid w:val="00937907"/>
    <w:rsid w:val="00937A33"/>
    <w:rsid w:val="00937A9C"/>
    <w:rsid w:val="0094058D"/>
    <w:rsid w:val="009405CC"/>
    <w:rsid w:val="009405F3"/>
    <w:rsid w:val="0094063B"/>
    <w:rsid w:val="009408B2"/>
    <w:rsid w:val="0094129F"/>
    <w:rsid w:val="00941954"/>
    <w:rsid w:val="00941C75"/>
    <w:rsid w:val="00941F11"/>
    <w:rsid w:val="009422FF"/>
    <w:rsid w:val="00942415"/>
    <w:rsid w:val="009437C9"/>
    <w:rsid w:val="00943963"/>
    <w:rsid w:val="00943B53"/>
    <w:rsid w:val="00943CC5"/>
    <w:rsid w:val="00943D7C"/>
    <w:rsid w:val="009440FA"/>
    <w:rsid w:val="00944358"/>
    <w:rsid w:val="0094440B"/>
    <w:rsid w:val="00944B04"/>
    <w:rsid w:val="00944D78"/>
    <w:rsid w:val="0094501A"/>
    <w:rsid w:val="00945451"/>
    <w:rsid w:val="009459B7"/>
    <w:rsid w:val="00945F75"/>
    <w:rsid w:val="009464D8"/>
    <w:rsid w:val="009466F4"/>
    <w:rsid w:val="009468E2"/>
    <w:rsid w:val="0094705F"/>
    <w:rsid w:val="00947731"/>
    <w:rsid w:val="009503F1"/>
    <w:rsid w:val="0095042E"/>
    <w:rsid w:val="009504F2"/>
    <w:rsid w:val="00950BB0"/>
    <w:rsid w:val="00950D76"/>
    <w:rsid w:val="00950ED5"/>
    <w:rsid w:val="0095101C"/>
    <w:rsid w:val="009512CA"/>
    <w:rsid w:val="00951674"/>
    <w:rsid w:val="009516D4"/>
    <w:rsid w:val="0095196F"/>
    <w:rsid w:val="009521FF"/>
    <w:rsid w:val="009525CA"/>
    <w:rsid w:val="00952B18"/>
    <w:rsid w:val="00952E31"/>
    <w:rsid w:val="009537DD"/>
    <w:rsid w:val="009538B9"/>
    <w:rsid w:val="00953BB4"/>
    <w:rsid w:val="00953C05"/>
    <w:rsid w:val="00953E70"/>
    <w:rsid w:val="00953FDC"/>
    <w:rsid w:val="0095453B"/>
    <w:rsid w:val="00954ABF"/>
    <w:rsid w:val="00955065"/>
    <w:rsid w:val="009550D4"/>
    <w:rsid w:val="00955411"/>
    <w:rsid w:val="00955D4B"/>
    <w:rsid w:val="00956320"/>
    <w:rsid w:val="0095652C"/>
    <w:rsid w:val="00956864"/>
    <w:rsid w:val="00956A50"/>
    <w:rsid w:val="00957682"/>
    <w:rsid w:val="00957698"/>
    <w:rsid w:val="009576EE"/>
    <w:rsid w:val="00957976"/>
    <w:rsid w:val="00957D56"/>
    <w:rsid w:val="00957D67"/>
    <w:rsid w:val="009604BB"/>
    <w:rsid w:val="00960542"/>
    <w:rsid w:val="00961312"/>
    <w:rsid w:val="00961845"/>
    <w:rsid w:val="00961AD6"/>
    <w:rsid w:val="00961C2B"/>
    <w:rsid w:val="00961CFB"/>
    <w:rsid w:val="00961DD2"/>
    <w:rsid w:val="00962057"/>
    <w:rsid w:val="0096223F"/>
    <w:rsid w:val="00962638"/>
    <w:rsid w:val="00962A97"/>
    <w:rsid w:val="00962CAD"/>
    <w:rsid w:val="00962FB8"/>
    <w:rsid w:val="0096344E"/>
    <w:rsid w:val="009634B8"/>
    <w:rsid w:val="009635CD"/>
    <w:rsid w:val="0096362A"/>
    <w:rsid w:val="0096377E"/>
    <w:rsid w:val="009639BB"/>
    <w:rsid w:val="00963E43"/>
    <w:rsid w:val="0096420F"/>
    <w:rsid w:val="0096459B"/>
    <w:rsid w:val="00964BD3"/>
    <w:rsid w:val="00964DF8"/>
    <w:rsid w:val="009653C9"/>
    <w:rsid w:val="009654DF"/>
    <w:rsid w:val="0096572E"/>
    <w:rsid w:val="009657B4"/>
    <w:rsid w:val="00965C56"/>
    <w:rsid w:val="00965DAA"/>
    <w:rsid w:val="00966657"/>
    <w:rsid w:val="00966A51"/>
    <w:rsid w:val="00967015"/>
    <w:rsid w:val="009673E7"/>
    <w:rsid w:val="0096742B"/>
    <w:rsid w:val="0096760D"/>
    <w:rsid w:val="00967619"/>
    <w:rsid w:val="009676E3"/>
    <w:rsid w:val="009677A3"/>
    <w:rsid w:val="009679FE"/>
    <w:rsid w:val="00970914"/>
    <w:rsid w:val="00970A34"/>
    <w:rsid w:val="009721AD"/>
    <w:rsid w:val="00972323"/>
    <w:rsid w:val="009726F5"/>
    <w:rsid w:val="00972997"/>
    <w:rsid w:val="00972FC8"/>
    <w:rsid w:val="00973082"/>
    <w:rsid w:val="00973384"/>
    <w:rsid w:val="0097343B"/>
    <w:rsid w:val="009735D8"/>
    <w:rsid w:val="00973773"/>
    <w:rsid w:val="00973842"/>
    <w:rsid w:val="00973A21"/>
    <w:rsid w:val="00973C5E"/>
    <w:rsid w:val="00973D67"/>
    <w:rsid w:val="009744EC"/>
    <w:rsid w:val="00974AA3"/>
    <w:rsid w:val="00974B3F"/>
    <w:rsid w:val="00974EEF"/>
    <w:rsid w:val="009751D4"/>
    <w:rsid w:val="009758BF"/>
    <w:rsid w:val="00975A13"/>
    <w:rsid w:val="00975A71"/>
    <w:rsid w:val="00975D54"/>
    <w:rsid w:val="00975E24"/>
    <w:rsid w:val="0097601D"/>
    <w:rsid w:val="009760BC"/>
    <w:rsid w:val="00976AB2"/>
    <w:rsid w:val="00977231"/>
    <w:rsid w:val="009775F5"/>
    <w:rsid w:val="00977670"/>
    <w:rsid w:val="009779DE"/>
    <w:rsid w:val="00980693"/>
    <w:rsid w:val="009806DC"/>
    <w:rsid w:val="00980AE1"/>
    <w:rsid w:val="00980E99"/>
    <w:rsid w:val="00981017"/>
    <w:rsid w:val="00981709"/>
    <w:rsid w:val="00982525"/>
    <w:rsid w:val="0098287D"/>
    <w:rsid w:val="00982BFD"/>
    <w:rsid w:val="00982C8E"/>
    <w:rsid w:val="00983480"/>
    <w:rsid w:val="0098359C"/>
    <w:rsid w:val="0098387D"/>
    <w:rsid w:val="00983ACB"/>
    <w:rsid w:val="00983CD2"/>
    <w:rsid w:val="00983D60"/>
    <w:rsid w:val="00983DDE"/>
    <w:rsid w:val="0098426C"/>
    <w:rsid w:val="00984323"/>
    <w:rsid w:val="00984692"/>
    <w:rsid w:val="009849EA"/>
    <w:rsid w:val="00984A39"/>
    <w:rsid w:val="00984B17"/>
    <w:rsid w:val="00984C49"/>
    <w:rsid w:val="00984E5C"/>
    <w:rsid w:val="00984E73"/>
    <w:rsid w:val="009851EE"/>
    <w:rsid w:val="009852C8"/>
    <w:rsid w:val="00985591"/>
    <w:rsid w:val="00986B25"/>
    <w:rsid w:val="00987392"/>
    <w:rsid w:val="0098742D"/>
    <w:rsid w:val="00987A2F"/>
    <w:rsid w:val="00987A9A"/>
    <w:rsid w:val="00987E95"/>
    <w:rsid w:val="0099012E"/>
    <w:rsid w:val="0099044B"/>
    <w:rsid w:val="00990E72"/>
    <w:rsid w:val="00990E73"/>
    <w:rsid w:val="00990F9F"/>
    <w:rsid w:val="009911E1"/>
    <w:rsid w:val="00991455"/>
    <w:rsid w:val="009918D1"/>
    <w:rsid w:val="00991AA5"/>
    <w:rsid w:val="009922A3"/>
    <w:rsid w:val="00993092"/>
    <w:rsid w:val="0099374A"/>
    <w:rsid w:val="009939A9"/>
    <w:rsid w:val="00993E94"/>
    <w:rsid w:val="00993F34"/>
    <w:rsid w:val="0099420C"/>
    <w:rsid w:val="009946D5"/>
    <w:rsid w:val="00995315"/>
    <w:rsid w:val="009956E4"/>
    <w:rsid w:val="00996443"/>
    <w:rsid w:val="0099655A"/>
    <w:rsid w:val="0099657F"/>
    <w:rsid w:val="0099663A"/>
    <w:rsid w:val="00996723"/>
    <w:rsid w:val="009970BF"/>
    <w:rsid w:val="0099728A"/>
    <w:rsid w:val="0099753A"/>
    <w:rsid w:val="009976A3"/>
    <w:rsid w:val="00997F99"/>
    <w:rsid w:val="009A008C"/>
    <w:rsid w:val="009A052C"/>
    <w:rsid w:val="009A05BA"/>
    <w:rsid w:val="009A08B5"/>
    <w:rsid w:val="009A08B7"/>
    <w:rsid w:val="009A0A10"/>
    <w:rsid w:val="009A0EA8"/>
    <w:rsid w:val="009A124E"/>
    <w:rsid w:val="009A1301"/>
    <w:rsid w:val="009A1783"/>
    <w:rsid w:val="009A206F"/>
    <w:rsid w:val="009A2F6F"/>
    <w:rsid w:val="009A2FC7"/>
    <w:rsid w:val="009A3372"/>
    <w:rsid w:val="009A34EC"/>
    <w:rsid w:val="009A3609"/>
    <w:rsid w:val="009A375B"/>
    <w:rsid w:val="009A3A92"/>
    <w:rsid w:val="009A3D41"/>
    <w:rsid w:val="009A3E71"/>
    <w:rsid w:val="009A3EBD"/>
    <w:rsid w:val="009A4191"/>
    <w:rsid w:val="009A430F"/>
    <w:rsid w:val="009A4477"/>
    <w:rsid w:val="009A4D9B"/>
    <w:rsid w:val="009A5101"/>
    <w:rsid w:val="009A5102"/>
    <w:rsid w:val="009A53FA"/>
    <w:rsid w:val="009A5562"/>
    <w:rsid w:val="009A5A2A"/>
    <w:rsid w:val="009A5A72"/>
    <w:rsid w:val="009A5C46"/>
    <w:rsid w:val="009A603E"/>
    <w:rsid w:val="009A60B5"/>
    <w:rsid w:val="009A6179"/>
    <w:rsid w:val="009A630E"/>
    <w:rsid w:val="009A6980"/>
    <w:rsid w:val="009A6F6F"/>
    <w:rsid w:val="009A7120"/>
    <w:rsid w:val="009A7778"/>
    <w:rsid w:val="009A7B22"/>
    <w:rsid w:val="009A7CA8"/>
    <w:rsid w:val="009B076A"/>
    <w:rsid w:val="009B0B10"/>
    <w:rsid w:val="009B0C6F"/>
    <w:rsid w:val="009B0CC3"/>
    <w:rsid w:val="009B0E53"/>
    <w:rsid w:val="009B1161"/>
    <w:rsid w:val="009B12CB"/>
    <w:rsid w:val="009B17B9"/>
    <w:rsid w:val="009B24FA"/>
    <w:rsid w:val="009B2CB9"/>
    <w:rsid w:val="009B2EBE"/>
    <w:rsid w:val="009B378D"/>
    <w:rsid w:val="009B3867"/>
    <w:rsid w:val="009B3DD3"/>
    <w:rsid w:val="009B419C"/>
    <w:rsid w:val="009B4810"/>
    <w:rsid w:val="009B5A5A"/>
    <w:rsid w:val="009B5E64"/>
    <w:rsid w:val="009B5E93"/>
    <w:rsid w:val="009B5F54"/>
    <w:rsid w:val="009B5FE7"/>
    <w:rsid w:val="009B607B"/>
    <w:rsid w:val="009B61E6"/>
    <w:rsid w:val="009B639C"/>
    <w:rsid w:val="009B6809"/>
    <w:rsid w:val="009B6A03"/>
    <w:rsid w:val="009B7397"/>
    <w:rsid w:val="009B7540"/>
    <w:rsid w:val="009B77E7"/>
    <w:rsid w:val="009B78C3"/>
    <w:rsid w:val="009B78C8"/>
    <w:rsid w:val="009B78F5"/>
    <w:rsid w:val="009B7D41"/>
    <w:rsid w:val="009B7F7E"/>
    <w:rsid w:val="009C0033"/>
    <w:rsid w:val="009C048F"/>
    <w:rsid w:val="009C078F"/>
    <w:rsid w:val="009C10F2"/>
    <w:rsid w:val="009C11F6"/>
    <w:rsid w:val="009C1711"/>
    <w:rsid w:val="009C17CF"/>
    <w:rsid w:val="009C1845"/>
    <w:rsid w:val="009C1C66"/>
    <w:rsid w:val="009C20FD"/>
    <w:rsid w:val="009C26D8"/>
    <w:rsid w:val="009C28C1"/>
    <w:rsid w:val="009C2971"/>
    <w:rsid w:val="009C31A2"/>
    <w:rsid w:val="009C3B3B"/>
    <w:rsid w:val="009C3BFC"/>
    <w:rsid w:val="009C3EFE"/>
    <w:rsid w:val="009C4564"/>
    <w:rsid w:val="009C456E"/>
    <w:rsid w:val="009C4953"/>
    <w:rsid w:val="009C4A12"/>
    <w:rsid w:val="009C55BB"/>
    <w:rsid w:val="009C5630"/>
    <w:rsid w:val="009C58AD"/>
    <w:rsid w:val="009C59B0"/>
    <w:rsid w:val="009C5FFA"/>
    <w:rsid w:val="009C6061"/>
    <w:rsid w:val="009C62E3"/>
    <w:rsid w:val="009C6449"/>
    <w:rsid w:val="009C69CA"/>
    <w:rsid w:val="009C7007"/>
    <w:rsid w:val="009C7361"/>
    <w:rsid w:val="009C7A33"/>
    <w:rsid w:val="009C7CB0"/>
    <w:rsid w:val="009C7D5A"/>
    <w:rsid w:val="009C7DD9"/>
    <w:rsid w:val="009D0623"/>
    <w:rsid w:val="009D0912"/>
    <w:rsid w:val="009D0A36"/>
    <w:rsid w:val="009D0CDE"/>
    <w:rsid w:val="009D0F63"/>
    <w:rsid w:val="009D0FFC"/>
    <w:rsid w:val="009D1166"/>
    <w:rsid w:val="009D145F"/>
    <w:rsid w:val="009D177B"/>
    <w:rsid w:val="009D19D4"/>
    <w:rsid w:val="009D2A34"/>
    <w:rsid w:val="009D2B58"/>
    <w:rsid w:val="009D2B6B"/>
    <w:rsid w:val="009D2BCF"/>
    <w:rsid w:val="009D2C6D"/>
    <w:rsid w:val="009D34AA"/>
    <w:rsid w:val="009D374B"/>
    <w:rsid w:val="009D3885"/>
    <w:rsid w:val="009D3BFE"/>
    <w:rsid w:val="009D3E2F"/>
    <w:rsid w:val="009D3E9F"/>
    <w:rsid w:val="009D4268"/>
    <w:rsid w:val="009D42A0"/>
    <w:rsid w:val="009D4385"/>
    <w:rsid w:val="009D46C0"/>
    <w:rsid w:val="009D4D77"/>
    <w:rsid w:val="009D5031"/>
    <w:rsid w:val="009D5054"/>
    <w:rsid w:val="009D508F"/>
    <w:rsid w:val="009D5631"/>
    <w:rsid w:val="009D59D0"/>
    <w:rsid w:val="009D5CDD"/>
    <w:rsid w:val="009D5F16"/>
    <w:rsid w:val="009D6963"/>
    <w:rsid w:val="009D6A83"/>
    <w:rsid w:val="009D74FB"/>
    <w:rsid w:val="009D7594"/>
    <w:rsid w:val="009D797D"/>
    <w:rsid w:val="009E0150"/>
    <w:rsid w:val="009E04BC"/>
    <w:rsid w:val="009E0637"/>
    <w:rsid w:val="009E0AC4"/>
    <w:rsid w:val="009E0BED"/>
    <w:rsid w:val="009E0E68"/>
    <w:rsid w:val="009E13AF"/>
    <w:rsid w:val="009E16B5"/>
    <w:rsid w:val="009E1D7B"/>
    <w:rsid w:val="009E245A"/>
    <w:rsid w:val="009E287C"/>
    <w:rsid w:val="009E29CF"/>
    <w:rsid w:val="009E2B43"/>
    <w:rsid w:val="009E2BB0"/>
    <w:rsid w:val="009E2E21"/>
    <w:rsid w:val="009E3046"/>
    <w:rsid w:val="009E32CC"/>
    <w:rsid w:val="009E3979"/>
    <w:rsid w:val="009E3A66"/>
    <w:rsid w:val="009E3A90"/>
    <w:rsid w:val="009E3D38"/>
    <w:rsid w:val="009E3E22"/>
    <w:rsid w:val="009E41B8"/>
    <w:rsid w:val="009E4275"/>
    <w:rsid w:val="009E43AA"/>
    <w:rsid w:val="009E4537"/>
    <w:rsid w:val="009E478F"/>
    <w:rsid w:val="009E49EC"/>
    <w:rsid w:val="009E538C"/>
    <w:rsid w:val="009E5DAB"/>
    <w:rsid w:val="009E626B"/>
    <w:rsid w:val="009E64DF"/>
    <w:rsid w:val="009E6940"/>
    <w:rsid w:val="009E6D51"/>
    <w:rsid w:val="009E7424"/>
    <w:rsid w:val="009E774F"/>
    <w:rsid w:val="009E79EA"/>
    <w:rsid w:val="009E7C55"/>
    <w:rsid w:val="009F0204"/>
    <w:rsid w:val="009F054A"/>
    <w:rsid w:val="009F05CA"/>
    <w:rsid w:val="009F0701"/>
    <w:rsid w:val="009F094D"/>
    <w:rsid w:val="009F0C81"/>
    <w:rsid w:val="009F17D5"/>
    <w:rsid w:val="009F1B62"/>
    <w:rsid w:val="009F1BFD"/>
    <w:rsid w:val="009F1EB5"/>
    <w:rsid w:val="009F2482"/>
    <w:rsid w:val="009F2484"/>
    <w:rsid w:val="009F2726"/>
    <w:rsid w:val="009F3837"/>
    <w:rsid w:val="009F3C7B"/>
    <w:rsid w:val="009F456A"/>
    <w:rsid w:val="009F4634"/>
    <w:rsid w:val="009F48F1"/>
    <w:rsid w:val="009F49DE"/>
    <w:rsid w:val="009F4CD1"/>
    <w:rsid w:val="009F4D6C"/>
    <w:rsid w:val="009F4F78"/>
    <w:rsid w:val="009F509F"/>
    <w:rsid w:val="009F53C5"/>
    <w:rsid w:val="009F5579"/>
    <w:rsid w:val="009F6E3E"/>
    <w:rsid w:val="009F6FB5"/>
    <w:rsid w:val="009F724C"/>
    <w:rsid w:val="009F72DC"/>
    <w:rsid w:val="009F76C5"/>
    <w:rsid w:val="009F779C"/>
    <w:rsid w:val="009F7863"/>
    <w:rsid w:val="009F7A2A"/>
    <w:rsid w:val="009F7B55"/>
    <w:rsid w:val="00A00895"/>
    <w:rsid w:val="00A0135B"/>
    <w:rsid w:val="00A0164A"/>
    <w:rsid w:val="00A0240C"/>
    <w:rsid w:val="00A0245C"/>
    <w:rsid w:val="00A02BB0"/>
    <w:rsid w:val="00A04048"/>
    <w:rsid w:val="00A04057"/>
    <w:rsid w:val="00A0449A"/>
    <w:rsid w:val="00A04765"/>
    <w:rsid w:val="00A047F4"/>
    <w:rsid w:val="00A04918"/>
    <w:rsid w:val="00A04C0B"/>
    <w:rsid w:val="00A04F63"/>
    <w:rsid w:val="00A05243"/>
    <w:rsid w:val="00A056A6"/>
    <w:rsid w:val="00A05718"/>
    <w:rsid w:val="00A05BE2"/>
    <w:rsid w:val="00A05E19"/>
    <w:rsid w:val="00A0617D"/>
    <w:rsid w:val="00A06553"/>
    <w:rsid w:val="00A06D4C"/>
    <w:rsid w:val="00A07236"/>
    <w:rsid w:val="00A07570"/>
    <w:rsid w:val="00A075BB"/>
    <w:rsid w:val="00A101AA"/>
    <w:rsid w:val="00A10320"/>
    <w:rsid w:val="00A10379"/>
    <w:rsid w:val="00A10E70"/>
    <w:rsid w:val="00A10F74"/>
    <w:rsid w:val="00A11F6A"/>
    <w:rsid w:val="00A12A29"/>
    <w:rsid w:val="00A12C12"/>
    <w:rsid w:val="00A12C92"/>
    <w:rsid w:val="00A12D37"/>
    <w:rsid w:val="00A13681"/>
    <w:rsid w:val="00A137D8"/>
    <w:rsid w:val="00A138C1"/>
    <w:rsid w:val="00A13F59"/>
    <w:rsid w:val="00A140DC"/>
    <w:rsid w:val="00A14E7C"/>
    <w:rsid w:val="00A1532E"/>
    <w:rsid w:val="00A15D1B"/>
    <w:rsid w:val="00A15F0C"/>
    <w:rsid w:val="00A15F5C"/>
    <w:rsid w:val="00A16947"/>
    <w:rsid w:val="00A16A13"/>
    <w:rsid w:val="00A16E6B"/>
    <w:rsid w:val="00A16FE8"/>
    <w:rsid w:val="00A171A6"/>
    <w:rsid w:val="00A171C7"/>
    <w:rsid w:val="00A174AC"/>
    <w:rsid w:val="00A1788F"/>
    <w:rsid w:val="00A17C82"/>
    <w:rsid w:val="00A200D7"/>
    <w:rsid w:val="00A2027C"/>
    <w:rsid w:val="00A209D9"/>
    <w:rsid w:val="00A20B11"/>
    <w:rsid w:val="00A20EBF"/>
    <w:rsid w:val="00A218CF"/>
    <w:rsid w:val="00A21A36"/>
    <w:rsid w:val="00A21BE4"/>
    <w:rsid w:val="00A21D97"/>
    <w:rsid w:val="00A22010"/>
    <w:rsid w:val="00A2246A"/>
    <w:rsid w:val="00A22745"/>
    <w:rsid w:val="00A2275A"/>
    <w:rsid w:val="00A227A4"/>
    <w:rsid w:val="00A229DF"/>
    <w:rsid w:val="00A22A2E"/>
    <w:rsid w:val="00A22D07"/>
    <w:rsid w:val="00A22FA8"/>
    <w:rsid w:val="00A2304D"/>
    <w:rsid w:val="00A230A0"/>
    <w:rsid w:val="00A232C0"/>
    <w:rsid w:val="00A23552"/>
    <w:rsid w:val="00A23989"/>
    <w:rsid w:val="00A23E94"/>
    <w:rsid w:val="00A2444A"/>
    <w:rsid w:val="00A245BA"/>
    <w:rsid w:val="00A249A9"/>
    <w:rsid w:val="00A24F2B"/>
    <w:rsid w:val="00A250AE"/>
    <w:rsid w:val="00A2528D"/>
    <w:rsid w:val="00A25374"/>
    <w:rsid w:val="00A255D6"/>
    <w:rsid w:val="00A2562F"/>
    <w:rsid w:val="00A25889"/>
    <w:rsid w:val="00A25E62"/>
    <w:rsid w:val="00A25F36"/>
    <w:rsid w:val="00A264DD"/>
    <w:rsid w:val="00A26D96"/>
    <w:rsid w:val="00A279A9"/>
    <w:rsid w:val="00A27AD6"/>
    <w:rsid w:val="00A30EAA"/>
    <w:rsid w:val="00A31476"/>
    <w:rsid w:val="00A31FD8"/>
    <w:rsid w:val="00A32088"/>
    <w:rsid w:val="00A324FB"/>
    <w:rsid w:val="00A327F2"/>
    <w:rsid w:val="00A3297C"/>
    <w:rsid w:val="00A33310"/>
    <w:rsid w:val="00A33446"/>
    <w:rsid w:val="00A334A7"/>
    <w:rsid w:val="00A33599"/>
    <w:rsid w:val="00A3363F"/>
    <w:rsid w:val="00A33D46"/>
    <w:rsid w:val="00A33DC6"/>
    <w:rsid w:val="00A33DE1"/>
    <w:rsid w:val="00A34229"/>
    <w:rsid w:val="00A3453D"/>
    <w:rsid w:val="00A34DD3"/>
    <w:rsid w:val="00A34F8F"/>
    <w:rsid w:val="00A35319"/>
    <w:rsid w:val="00A354D2"/>
    <w:rsid w:val="00A3562E"/>
    <w:rsid w:val="00A35A89"/>
    <w:rsid w:val="00A36170"/>
    <w:rsid w:val="00A36192"/>
    <w:rsid w:val="00A36AC8"/>
    <w:rsid w:val="00A3704E"/>
    <w:rsid w:val="00A37814"/>
    <w:rsid w:val="00A379CF"/>
    <w:rsid w:val="00A37B81"/>
    <w:rsid w:val="00A37CBC"/>
    <w:rsid w:val="00A402CC"/>
    <w:rsid w:val="00A40715"/>
    <w:rsid w:val="00A4075A"/>
    <w:rsid w:val="00A40C9D"/>
    <w:rsid w:val="00A40F53"/>
    <w:rsid w:val="00A413DE"/>
    <w:rsid w:val="00A41579"/>
    <w:rsid w:val="00A4158E"/>
    <w:rsid w:val="00A415B0"/>
    <w:rsid w:val="00A419B8"/>
    <w:rsid w:val="00A41E88"/>
    <w:rsid w:val="00A41ED3"/>
    <w:rsid w:val="00A423A8"/>
    <w:rsid w:val="00A42436"/>
    <w:rsid w:val="00A424AF"/>
    <w:rsid w:val="00A42904"/>
    <w:rsid w:val="00A42BD7"/>
    <w:rsid w:val="00A439F4"/>
    <w:rsid w:val="00A43A61"/>
    <w:rsid w:val="00A43B2B"/>
    <w:rsid w:val="00A441B1"/>
    <w:rsid w:val="00A442FF"/>
    <w:rsid w:val="00A44962"/>
    <w:rsid w:val="00A44E45"/>
    <w:rsid w:val="00A452C4"/>
    <w:rsid w:val="00A45393"/>
    <w:rsid w:val="00A453D9"/>
    <w:rsid w:val="00A45427"/>
    <w:rsid w:val="00A4563C"/>
    <w:rsid w:val="00A458C1"/>
    <w:rsid w:val="00A45B21"/>
    <w:rsid w:val="00A45DBF"/>
    <w:rsid w:val="00A45EE0"/>
    <w:rsid w:val="00A45FCD"/>
    <w:rsid w:val="00A46314"/>
    <w:rsid w:val="00A465BA"/>
    <w:rsid w:val="00A46695"/>
    <w:rsid w:val="00A46906"/>
    <w:rsid w:val="00A471B9"/>
    <w:rsid w:val="00A47465"/>
    <w:rsid w:val="00A474C8"/>
    <w:rsid w:val="00A477AA"/>
    <w:rsid w:val="00A47B78"/>
    <w:rsid w:val="00A47E2C"/>
    <w:rsid w:val="00A50BEA"/>
    <w:rsid w:val="00A50C21"/>
    <w:rsid w:val="00A50FCD"/>
    <w:rsid w:val="00A510AA"/>
    <w:rsid w:val="00A519B7"/>
    <w:rsid w:val="00A51D5B"/>
    <w:rsid w:val="00A51E56"/>
    <w:rsid w:val="00A52464"/>
    <w:rsid w:val="00A52790"/>
    <w:rsid w:val="00A52A4F"/>
    <w:rsid w:val="00A52CDB"/>
    <w:rsid w:val="00A52F13"/>
    <w:rsid w:val="00A53331"/>
    <w:rsid w:val="00A542E2"/>
    <w:rsid w:val="00A554AE"/>
    <w:rsid w:val="00A55920"/>
    <w:rsid w:val="00A55D82"/>
    <w:rsid w:val="00A561B1"/>
    <w:rsid w:val="00A5661C"/>
    <w:rsid w:val="00A56775"/>
    <w:rsid w:val="00A5677C"/>
    <w:rsid w:val="00A56B4E"/>
    <w:rsid w:val="00A56B75"/>
    <w:rsid w:val="00A56CE4"/>
    <w:rsid w:val="00A56EE2"/>
    <w:rsid w:val="00A57045"/>
    <w:rsid w:val="00A5768B"/>
    <w:rsid w:val="00A57A70"/>
    <w:rsid w:val="00A57D07"/>
    <w:rsid w:val="00A57D42"/>
    <w:rsid w:val="00A57E0F"/>
    <w:rsid w:val="00A6048D"/>
    <w:rsid w:val="00A60853"/>
    <w:rsid w:val="00A60CDD"/>
    <w:rsid w:val="00A61325"/>
    <w:rsid w:val="00A6171D"/>
    <w:rsid w:val="00A61B96"/>
    <w:rsid w:val="00A61E13"/>
    <w:rsid w:val="00A61E64"/>
    <w:rsid w:val="00A6229B"/>
    <w:rsid w:val="00A627CF"/>
    <w:rsid w:val="00A62B4C"/>
    <w:rsid w:val="00A62D1F"/>
    <w:rsid w:val="00A63213"/>
    <w:rsid w:val="00A6378D"/>
    <w:rsid w:val="00A65315"/>
    <w:rsid w:val="00A6586E"/>
    <w:rsid w:val="00A6625E"/>
    <w:rsid w:val="00A662AE"/>
    <w:rsid w:val="00A664AC"/>
    <w:rsid w:val="00A6665E"/>
    <w:rsid w:val="00A66AEF"/>
    <w:rsid w:val="00A66B38"/>
    <w:rsid w:val="00A66D2F"/>
    <w:rsid w:val="00A66F75"/>
    <w:rsid w:val="00A67237"/>
    <w:rsid w:val="00A67802"/>
    <w:rsid w:val="00A67A57"/>
    <w:rsid w:val="00A67F01"/>
    <w:rsid w:val="00A70254"/>
    <w:rsid w:val="00A70766"/>
    <w:rsid w:val="00A70BB9"/>
    <w:rsid w:val="00A71655"/>
    <w:rsid w:val="00A719CF"/>
    <w:rsid w:val="00A71A7E"/>
    <w:rsid w:val="00A71B2F"/>
    <w:rsid w:val="00A7256B"/>
    <w:rsid w:val="00A72705"/>
    <w:rsid w:val="00A727E0"/>
    <w:rsid w:val="00A727EF"/>
    <w:rsid w:val="00A7283B"/>
    <w:rsid w:val="00A7294F"/>
    <w:rsid w:val="00A72A6A"/>
    <w:rsid w:val="00A73523"/>
    <w:rsid w:val="00A7394B"/>
    <w:rsid w:val="00A739DB"/>
    <w:rsid w:val="00A73C17"/>
    <w:rsid w:val="00A75178"/>
    <w:rsid w:val="00A757D8"/>
    <w:rsid w:val="00A75FFE"/>
    <w:rsid w:val="00A766E6"/>
    <w:rsid w:val="00A76E33"/>
    <w:rsid w:val="00A7734F"/>
    <w:rsid w:val="00A77420"/>
    <w:rsid w:val="00A7759E"/>
    <w:rsid w:val="00A77631"/>
    <w:rsid w:val="00A77C34"/>
    <w:rsid w:val="00A77C8F"/>
    <w:rsid w:val="00A80294"/>
    <w:rsid w:val="00A807FF"/>
    <w:rsid w:val="00A80D72"/>
    <w:rsid w:val="00A81238"/>
    <w:rsid w:val="00A81467"/>
    <w:rsid w:val="00A81516"/>
    <w:rsid w:val="00A8165C"/>
    <w:rsid w:val="00A81718"/>
    <w:rsid w:val="00A81A60"/>
    <w:rsid w:val="00A821FF"/>
    <w:rsid w:val="00A83171"/>
    <w:rsid w:val="00A83559"/>
    <w:rsid w:val="00A83651"/>
    <w:rsid w:val="00A8388F"/>
    <w:rsid w:val="00A83AA8"/>
    <w:rsid w:val="00A84091"/>
    <w:rsid w:val="00A8416F"/>
    <w:rsid w:val="00A84B06"/>
    <w:rsid w:val="00A84E58"/>
    <w:rsid w:val="00A84EBF"/>
    <w:rsid w:val="00A8525B"/>
    <w:rsid w:val="00A85452"/>
    <w:rsid w:val="00A85A0C"/>
    <w:rsid w:val="00A85F57"/>
    <w:rsid w:val="00A86F70"/>
    <w:rsid w:val="00A8711A"/>
    <w:rsid w:val="00A87A69"/>
    <w:rsid w:val="00A9051B"/>
    <w:rsid w:val="00A91270"/>
    <w:rsid w:val="00A913B2"/>
    <w:rsid w:val="00A914C9"/>
    <w:rsid w:val="00A914E7"/>
    <w:rsid w:val="00A915EE"/>
    <w:rsid w:val="00A9234D"/>
    <w:rsid w:val="00A92E80"/>
    <w:rsid w:val="00A93645"/>
    <w:rsid w:val="00A93665"/>
    <w:rsid w:val="00A940BF"/>
    <w:rsid w:val="00A94373"/>
    <w:rsid w:val="00A94496"/>
    <w:rsid w:val="00A94A86"/>
    <w:rsid w:val="00A94F0A"/>
    <w:rsid w:val="00A952DF"/>
    <w:rsid w:val="00A953C8"/>
    <w:rsid w:val="00A95467"/>
    <w:rsid w:val="00A95517"/>
    <w:rsid w:val="00A95521"/>
    <w:rsid w:val="00A95552"/>
    <w:rsid w:val="00A95612"/>
    <w:rsid w:val="00A95C58"/>
    <w:rsid w:val="00A95F2D"/>
    <w:rsid w:val="00A9609A"/>
    <w:rsid w:val="00A966ED"/>
    <w:rsid w:val="00A9687A"/>
    <w:rsid w:val="00A96DAC"/>
    <w:rsid w:val="00A97109"/>
    <w:rsid w:val="00A9717A"/>
    <w:rsid w:val="00A971F7"/>
    <w:rsid w:val="00A9723E"/>
    <w:rsid w:val="00A9748F"/>
    <w:rsid w:val="00A974AD"/>
    <w:rsid w:val="00A97935"/>
    <w:rsid w:val="00A97DD9"/>
    <w:rsid w:val="00AA0384"/>
    <w:rsid w:val="00AA09A1"/>
    <w:rsid w:val="00AA0D1E"/>
    <w:rsid w:val="00AA1323"/>
    <w:rsid w:val="00AA1538"/>
    <w:rsid w:val="00AA15E3"/>
    <w:rsid w:val="00AA16A7"/>
    <w:rsid w:val="00AA16E8"/>
    <w:rsid w:val="00AA1B55"/>
    <w:rsid w:val="00AA1D40"/>
    <w:rsid w:val="00AA2A28"/>
    <w:rsid w:val="00AA3022"/>
    <w:rsid w:val="00AA34B2"/>
    <w:rsid w:val="00AA3AAA"/>
    <w:rsid w:val="00AA3D8D"/>
    <w:rsid w:val="00AA42F5"/>
    <w:rsid w:val="00AA47E4"/>
    <w:rsid w:val="00AA4944"/>
    <w:rsid w:val="00AA530B"/>
    <w:rsid w:val="00AA57F1"/>
    <w:rsid w:val="00AA5A00"/>
    <w:rsid w:val="00AA5CC4"/>
    <w:rsid w:val="00AA5D94"/>
    <w:rsid w:val="00AA607F"/>
    <w:rsid w:val="00AA65AE"/>
    <w:rsid w:val="00AA6D22"/>
    <w:rsid w:val="00AA6F19"/>
    <w:rsid w:val="00AA745C"/>
    <w:rsid w:val="00AA746C"/>
    <w:rsid w:val="00AA7990"/>
    <w:rsid w:val="00AB0430"/>
    <w:rsid w:val="00AB0629"/>
    <w:rsid w:val="00AB0AC1"/>
    <w:rsid w:val="00AB0BE8"/>
    <w:rsid w:val="00AB1431"/>
    <w:rsid w:val="00AB1750"/>
    <w:rsid w:val="00AB2000"/>
    <w:rsid w:val="00AB210D"/>
    <w:rsid w:val="00AB2493"/>
    <w:rsid w:val="00AB29F5"/>
    <w:rsid w:val="00AB2AAD"/>
    <w:rsid w:val="00AB2DF1"/>
    <w:rsid w:val="00AB2EB1"/>
    <w:rsid w:val="00AB32E2"/>
    <w:rsid w:val="00AB3461"/>
    <w:rsid w:val="00AB361D"/>
    <w:rsid w:val="00AB36DA"/>
    <w:rsid w:val="00AB36E2"/>
    <w:rsid w:val="00AB39EE"/>
    <w:rsid w:val="00AB3F9D"/>
    <w:rsid w:val="00AB449A"/>
    <w:rsid w:val="00AB45EA"/>
    <w:rsid w:val="00AB4714"/>
    <w:rsid w:val="00AB4F2F"/>
    <w:rsid w:val="00AB5418"/>
    <w:rsid w:val="00AB57F6"/>
    <w:rsid w:val="00AB620D"/>
    <w:rsid w:val="00AB66D9"/>
    <w:rsid w:val="00AB67DA"/>
    <w:rsid w:val="00AB69A4"/>
    <w:rsid w:val="00AB6C3B"/>
    <w:rsid w:val="00AB6CB7"/>
    <w:rsid w:val="00AB760F"/>
    <w:rsid w:val="00AB7662"/>
    <w:rsid w:val="00AB7A30"/>
    <w:rsid w:val="00AB7ADB"/>
    <w:rsid w:val="00AB7EDA"/>
    <w:rsid w:val="00AC006D"/>
    <w:rsid w:val="00AC088B"/>
    <w:rsid w:val="00AC09B1"/>
    <w:rsid w:val="00AC0A86"/>
    <w:rsid w:val="00AC0C8D"/>
    <w:rsid w:val="00AC0CD8"/>
    <w:rsid w:val="00AC1028"/>
    <w:rsid w:val="00AC19F1"/>
    <w:rsid w:val="00AC1B9E"/>
    <w:rsid w:val="00AC1C31"/>
    <w:rsid w:val="00AC1DFA"/>
    <w:rsid w:val="00AC2024"/>
    <w:rsid w:val="00AC2151"/>
    <w:rsid w:val="00AC2216"/>
    <w:rsid w:val="00AC2381"/>
    <w:rsid w:val="00AC291F"/>
    <w:rsid w:val="00AC2E73"/>
    <w:rsid w:val="00AC3100"/>
    <w:rsid w:val="00AC360C"/>
    <w:rsid w:val="00AC3A25"/>
    <w:rsid w:val="00AC3A76"/>
    <w:rsid w:val="00AC4956"/>
    <w:rsid w:val="00AC4C1F"/>
    <w:rsid w:val="00AC4EA4"/>
    <w:rsid w:val="00AC4F88"/>
    <w:rsid w:val="00AC5031"/>
    <w:rsid w:val="00AC5533"/>
    <w:rsid w:val="00AC5536"/>
    <w:rsid w:val="00AC582A"/>
    <w:rsid w:val="00AC58A6"/>
    <w:rsid w:val="00AC6666"/>
    <w:rsid w:val="00AC6708"/>
    <w:rsid w:val="00AC67E1"/>
    <w:rsid w:val="00AC684F"/>
    <w:rsid w:val="00AC6867"/>
    <w:rsid w:val="00AC6AAD"/>
    <w:rsid w:val="00AC6EB1"/>
    <w:rsid w:val="00AC73F5"/>
    <w:rsid w:val="00AC742F"/>
    <w:rsid w:val="00AC7549"/>
    <w:rsid w:val="00AC78ED"/>
    <w:rsid w:val="00AD0100"/>
    <w:rsid w:val="00AD08DD"/>
    <w:rsid w:val="00AD0DDA"/>
    <w:rsid w:val="00AD0EFA"/>
    <w:rsid w:val="00AD12DD"/>
    <w:rsid w:val="00AD12FE"/>
    <w:rsid w:val="00AD1382"/>
    <w:rsid w:val="00AD1E07"/>
    <w:rsid w:val="00AD21CF"/>
    <w:rsid w:val="00AD26F7"/>
    <w:rsid w:val="00AD2835"/>
    <w:rsid w:val="00AD2935"/>
    <w:rsid w:val="00AD2AB6"/>
    <w:rsid w:val="00AD3287"/>
    <w:rsid w:val="00AD3557"/>
    <w:rsid w:val="00AD3C4F"/>
    <w:rsid w:val="00AD4A9F"/>
    <w:rsid w:val="00AD50AB"/>
    <w:rsid w:val="00AD542F"/>
    <w:rsid w:val="00AD5996"/>
    <w:rsid w:val="00AD59C1"/>
    <w:rsid w:val="00AD6436"/>
    <w:rsid w:val="00AD765A"/>
    <w:rsid w:val="00AD7670"/>
    <w:rsid w:val="00AD7748"/>
    <w:rsid w:val="00AD7761"/>
    <w:rsid w:val="00AD7D38"/>
    <w:rsid w:val="00AD7E86"/>
    <w:rsid w:val="00AE0A92"/>
    <w:rsid w:val="00AE0CD0"/>
    <w:rsid w:val="00AE120D"/>
    <w:rsid w:val="00AE1225"/>
    <w:rsid w:val="00AE122A"/>
    <w:rsid w:val="00AE175E"/>
    <w:rsid w:val="00AE1970"/>
    <w:rsid w:val="00AE1A7C"/>
    <w:rsid w:val="00AE1B81"/>
    <w:rsid w:val="00AE1C54"/>
    <w:rsid w:val="00AE1F4E"/>
    <w:rsid w:val="00AE2082"/>
    <w:rsid w:val="00AE21C0"/>
    <w:rsid w:val="00AE2269"/>
    <w:rsid w:val="00AE27A6"/>
    <w:rsid w:val="00AE2A8D"/>
    <w:rsid w:val="00AE2BB4"/>
    <w:rsid w:val="00AE2E7D"/>
    <w:rsid w:val="00AE3019"/>
    <w:rsid w:val="00AE3130"/>
    <w:rsid w:val="00AE335D"/>
    <w:rsid w:val="00AE3433"/>
    <w:rsid w:val="00AE3AAD"/>
    <w:rsid w:val="00AE3B4F"/>
    <w:rsid w:val="00AE3BD2"/>
    <w:rsid w:val="00AE3CB0"/>
    <w:rsid w:val="00AE3ED1"/>
    <w:rsid w:val="00AE3F5B"/>
    <w:rsid w:val="00AE40E3"/>
    <w:rsid w:val="00AE49EA"/>
    <w:rsid w:val="00AE4A07"/>
    <w:rsid w:val="00AE4F79"/>
    <w:rsid w:val="00AE5461"/>
    <w:rsid w:val="00AE5507"/>
    <w:rsid w:val="00AE5DDF"/>
    <w:rsid w:val="00AE6213"/>
    <w:rsid w:val="00AE67EE"/>
    <w:rsid w:val="00AE6BFA"/>
    <w:rsid w:val="00AE6DB8"/>
    <w:rsid w:val="00AE6DDE"/>
    <w:rsid w:val="00AE701D"/>
    <w:rsid w:val="00AE70E8"/>
    <w:rsid w:val="00AE71DB"/>
    <w:rsid w:val="00AE72B8"/>
    <w:rsid w:val="00AE737C"/>
    <w:rsid w:val="00AE740E"/>
    <w:rsid w:val="00AE7BD9"/>
    <w:rsid w:val="00AE7C6D"/>
    <w:rsid w:val="00AE7EB2"/>
    <w:rsid w:val="00AE7EBA"/>
    <w:rsid w:val="00AF07A2"/>
    <w:rsid w:val="00AF0E11"/>
    <w:rsid w:val="00AF1004"/>
    <w:rsid w:val="00AF1759"/>
    <w:rsid w:val="00AF1CD5"/>
    <w:rsid w:val="00AF1D07"/>
    <w:rsid w:val="00AF2279"/>
    <w:rsid w:val="00AF2399"/>
    <w:rsid w:val="00AF24B8"/>
    <w:rsid w:val="00AF2660"/>
    <w:rsid w:val="00AF2973"/>
    <w:rsid w:val="00AF297E"/>
    <w:rsid w:val="00AF3C53"/>
    <w:rsid w:val="00AF3E54"/>
    <w:rsid w:val="00AF3E96"/>
    <w:rsid w:val="00AF4370"/>
    <w:rsid w:val="00AF4567"/>
    <w:rsid w:val="00AF47FC"/>
    <w:rsid w:val="00AF4E52"/>
    <w:rsid w:val="00AF5101"/>
    <w:rsid w:val="00AF5479"/>
    <w:rsid w:val="00AF5C2E"/>
    <w:rsid w:val="00AF64B5"/>
    <w:rsid w:val="00AF66BD"/>
    <w:rsid w:val="00AF66D5"/>
    <w:rsid w:val="00AF687E"/>
    <w:rsid w:val="00AF6997"/>
    <w:rsid w:val="00AF69F9"/>
    <w:rsid w:val="00AF6E38"/>
    <w:rsid w:val="00AF7108"/>
    <w:rsid w:val="00AF7556"/>
    <w:rsid w:val="00AF7575"/>
    <w:rsid w:val="00AF7766"/>
    <w:rsid w:val="00AF7A9D"/>
    <w:rsid w:val="00AF7ABC"/>
    <w:rsid w:val="00AF7C07"/>
    <w:rsid w:val="00B00144"/>
    <w:rsid w:val="00B00654"/>
    <w:rsid w:val="00B00A21"/>
    <w:rsid w:val="00B00C4E"/>
    <w:rsid w:val="00B00F35"/>
    <w:rsid w:val="00B0138C"/>
    <w:rsid w:val="00B0179E"/>
    <w:rsid w:val="00B01999"/>
    <w:rsid w:val="00B028AE"/>
    <w:rsid w:val="00B02992"/>
    <w:rsid w:val="00B0320F"/>
    <w:rsid w:val="00B0362A"/>
    <w:rsid w:val="00B0376F"/>
    <w:rsid w:val="00B03844"/>
    <w:rsid w:val="00B038C0"/>
    <w:rsid w:val="00B048BA"/>
    <w:rsid w:val="00B048E9"/>
    <w:rsid w:val="00B04E32"/>
    <w:rsid w:val="00B04F1B"/>
    <w:rsid w:val="00B055FD"/>
    <w:rsid w:val="00B058AE"/>
    <w:rsid w:val="00B05B02"/>
    <w:rsid w:val="00B05B75"/>
    <w:rsid w:val="00B05CBC"/>
    <w:rsid w:val="00B05E9F"/>
    <w:rsid w:val="00B064EF"/>
    <w:rsid w:val="00B06D1A"/>
    <w:rsid w:val="00B0714F"/>
    <w:rsid w:val="00B07362"/>
    <w:rsid w:val="00B075CB"/>
    <w:rsid w:val="00B07A38"/>
    <w:rsid w:val="00B07B7D"/>
    <w:rsid w:val="00B07DC9"/>
    <w:rsid w:val="00B101C1"/>
    <w:rsid w:val="00B10B2A"/>
    <w:rsid w:val="00B113E9"/>
    <w:rsid w:val="00B11579"/>
    <w:rsid w:val="00B116A8"/>
    <w:rsid w:val="00B11971"/>
    <w:rsid w:val="00B11B8A"/>
    <w:rsid w:val="00B1220B"/>
    <w:rsid w:val="00B1307F"/>
    <w:rsid w:val="00B137FE"/>
    <w:rsid w:val="00B13A2E"/>
    <w:rsid w:val="00B13A92"/>
    <w:rsid w:val="00B14202"/>
    <w:rsid w:val="00B142DB"/>
    <w:rsid w:val="00B1460C"/>
    <w:rsid w:val="00B1536D"/>
    <w:rsid w:val="00B15393"/>
    <w:rsid w:val="00B1558F"/>
    <w:rsid w:val="00B15718"/>
    <w:rsid w:val="00B15B2E"/>
    <w:rsid w:val="00B15D77"/>
    <w:rsid w:val="00B16225"/>
    <w:rsid w:val="00B1677C"/>
    <w:rsid w:val="00B16C9A"/>
    <w:rsid w:val="00B178C3"/>
    <w:rsid w:val="00B17F77"/>
    <w:rsid w:val="00B20378"/>
    <w:rsid w:val="00B204C7"/>
    <w:rsid w:val="00B20691"/>
    <w:rsid w:val="00B209C9"/>
    <w:rsid w:val="00B20A05"/>
    <w:rsid w:val="00B20BA2"/>
    <w:rsid w:val="00B20EA7"/>
    <w:rsid w:val="00B21067"/>
    <w:rsid w:val="00B21897"/>
    <w:rsid w:val="00B21B32"/>
    <w:rsid w:val="00B21E03"/>
    <w:rsid w:val="00B220D9"/>
    <w:rsid w:val="00B22149"/>
    <w:rsid w:val="00B22826"/>
    <w:rsid w:val="00B22E4E"/>
    <w:rsid w:val="00B23312"/>
    <w:rsid w:val="00B24118"/>
    <w:rsid w:val="00B24471"/>
    <w:rsid w:val="00B24A5A"/>
    <w:rsid w:val="00B24CF2"/>
    <w:rsid w:val="00B24EBB"/>
    <w:rsid w:val="00B25288"/>
    <w:rsid w:val="00B2534E"/>
    <w:rsid w:val="00B253C6"/>
    <w:rsid w:val="00B25934"/>
    <w:rsid w:val="00B25AE8"/>
    <w:rsid w:val="00B25B16"/>
    <w:rsid w:val="00B2679F"/>
    <w:rsid w:val="00B26DB5"/>
    <w:rsid w:val="00B26DD4"/>
    <w:rsid w:val="00B26DF9"/>
    <w:rsid w:val="00B27604"/>
    <w:rsid w:val="00B301A6"/>
    <w:rsid w:val="00B30431"/>
    <w:rsid w:val="00B30C3C"/>
    <w:rsid w:val="00B30EF4"/>
    <w:rsid w:val="00B3103C"/>
    <w:rsid w:val="00B317E5"/>
    <w:rsid w:val="00B31885"/>
    <w:rsid w:val="00B31B15"/>
    <w:rsid w:val="00B31F52"/>
    <w:rsid w:val="00B31FA5"/>
    <w:rsid w:val="00B3227F"/>
    <w:rsid w:val="00B32F50"/>
    <w:rsid w:val="00B3344B"/>
    <w:rsid w:val="00B33DFE"/>
    <w:rsid w:val="00B3427A"/>
    <w:rsid w:val="00B349B9"/>
    <w:rsid w:val="00B34CA7"/>
    <w:rsid w:val="00B34F96"/>
    <w:rsid w:val="00B35356"/>
    <w:rsid w:val="00B36298"/>
    <w:rsid w:val="00B362B1"/>
    <w:rsid w:val="00B362CD"/>
    <w:rsid w:val="00B3662A"/>
    <w:rsid w:val="00B36713"/>
    <w:rsid w:val="00B36F8B"/>
    <w:rsid w:val="00B3715B"/>
    <w:rsid w:val="00B377B0"/>
    <w:rsid w:val="00B37DE9"/>
    <w:rsid w:val="00B37E8C"/>
    <w:rsid w:val="00B4026C"/>
    <w:rsid w:val="00B4067F"/>
    <w:rsid w:val="00B40715"/>
    <w:rsid w:val="00B4072A"/>
    <w:rsid w:val="00B407DE"/>
    <w:rsid w:val="00B40E9D"/>
    <w:rsid w:val="00B41037"/>
    <w:rsid w:val="00B410A0"/>
    <w:rsid w:val="00B41278"/>
    <w:rsid w:val="00B41A79"/>
    <w:rsid w:val="00B41ABB"/>
    <w:rsid w:val="00B41E95"/>
    <w:rsid w:val="00B42399"/>
    <w:rsid w:val="00B424F4"/>
    <w:rsid w:val="00B42E71"/>
    <w:rsid w:val="00B42FDF"/>
    <w:rsid w:val="00B43442"/>
    <w:rsid w:val="00B43582"/>
    <w:rsid w:val="00B43CD8"/>
    <w:rsid w:val="00B43DEC"/>
    <w:rsid w:val="00B44005"/>
    <w:rsid w:val="00B440ED"/>
    <w:rsid w:val="00B4479F"/>
    <w:rsid w:val="00B44853"/>
    <w:rsid w:val="00B448CD"/>
    <w:rsid w:val="00B44B3A"/>
    <w:rsid w:val="00B451BA"/>
    <w:rsid w:val="00B451F0"/>
    <w:rsid w:val="00B45325"/>
    <w:rsid w:val="00B458EA"/>
    <w:rsid w:val="00B45A14"/>
    <w:rsid w:val="00B461EA"/>
    <w:rsid w:val="00B46307"/>
    <w:rsid w:val="00B46785"/>
    <w:rsid w:val="00B4678F"/>
    <w:rsid w:val="00B46A14"/>
    <w:rsid w:val="00B46C15"/>
    <w:rsid w:val="00B46C25"/>
    <w:rsid w:val="00B46DA0"/>
    <w:rsid w:val="00B46F66"/>
    <w:rsid w:val="00B47133"/>
    <w:rsid w:val="00B47838"/>
    <w:rsid w:val="00B47B2B"/>
    <w:rsid w:val="00B50931"/>
    <w:rsid w:val="00B50AE4"/>
    <w:rsid w:val="00B50BE5"/>
    <w:rsid w:val="00B5146E"/>
    <w:rsid w:val="00B514FF"/>
    <w:rsid w:val="00B5161D"/>
    <w:rsid w:val="00B51DD4"/>
    <w:rsid w:val="00B52265"/>
    <w:rsid w:val="00B52443"/>
    <w:rsid w:val="00B52AFE"/>
    <w:rsid w:val="00B52BE3"/>
    <w:rsid w:val="00B52F9F"/>
    <w:rsid w:val="00B5306B"/>
    <w:rsid w:val="00B535D4"/>
    <w:rsid w:val="00B537FD"/>
    <w:rsid w:val="00B538B0"/>
    <w:rsid w:val="00B549A0"/>
    <w:rsid w:val="00B54C82"/>
    <w:rsid w:val="00B54CCA"/>
    <w:rsid w:val="00B55FD5"/>
    <w:rsid w:val="00B56939"/>
    <w:rsid w:val="00B56B13"/>
    <w:rsid w:val="00B56CA3"/>
    <w:rsid w:val="00B56FB9"/>
    <w:rsid w:val="00B57B11"/>
    <w:rsid w:val="00B57F14"/>
    <w:rsid w:val="00B6004E"/>
    <w:rsid w:val="00B60175"/>
    <w:rsid w:val="00B601B6"/>
    <w:rsid w:val="00B60415"/>
    <w:rsid w:val="00B6057F"/>
    <w:rsid w:val="00B60670"/>
    <w:rsid w:val="00B60A37"/>
    <w:rsid w:val="00B610B3"/>
    <w:rsid w:val="00B614DC"/>
    <w:rsid w:val="00B61788"/>
    <w:rsid w:val="00B61997"/>
    <w:rsid w:val="00B61CE1"/>
    <w:rsid w:val="00B61DCD"/>
    <w:rsid w:val="00B61FC2"/>
    <w:rsid w:val="00B62071"/>
    <w:rsid w:val="00B620EC"/>
    <w:rsid w:val="00B62928"/>
    <w:rsid w:val="00B62AB9"/>
    <w:rsid w:val="00B62FB7"/>
    <w:rsid w:val="00B630EA"/>
    <w:rsid w:val="00B6317A"/>
    <w:rsid w:val="00B63197"/>
    <w:rsid w:val="00B63622"/>
    <w:rsid w:val="00B63AD0"/>
    <w:rsid w:val="00B63B70"/>
    <w:rsid w:val="00B63CFD"/>
    <w:rsid w:val="00B642A1"/>
    <w:rsid w:val="00B64588"/>
    <w:rsid w:val="00B645EF"/>
    <w:rsid w:val="00B6461E"/>
    <w:rsid w:val="00B648AD"/>
    <w:rsid w:val="00B64A32"/>
    <w:rsid w:val="00B64B64"/>
    <w:rsid w:val="00B65E19"/>
    <w:rsid w:val="00B65EF5"/>
    <w:rsid w:val="00B66268"/>
    <w:rsid w:val="00B66365"/>
    <w:rsid w:val="00B66546"/>
    <w:rsid w:val="00B6664D"/>
    <w:rsid w:val="00B666BC"/>
    <w:rsid w:val="00B667F3"/>
    <w:rsid w:val="00B66BDF"/>
    <w:rsid w:val="00B66C74"/>
    <w:rsid w:val="00B70073"/>
    <w:rsid w:val="00B70803"/>
    <w:rsid w:val="00B71591"/>
    <w:rsid w:val="00B71AA8"/>
    <w:rsid w:val="00B71D88"/>
    <w:rsid w:val="00B71FFA"/>
    <w:rsid w:val="00B72057"/>
    <w:rsid w:val="00B72251"/>
    <w:rsid w:val="00B72328"/>
    <w:rsid w:val="00B723FC"/>
    <w:rsid w:val="00B72549"/>
    <w:rsid w:val="00B72653"/>
    <w:rsid w:val="00B72678"/>
    <w:rsid w:val="00B727C2"/>
    <w:rsid w:val="00B7296E"/>
    <w:rsid w:val="00B72B18"/>
    <w:rsid w:val="00B72C8B"/>
    <w:rsid w:val="00B7306D"/>
    <w:rsid w:val="00B73096"/>
    <w:rsid w:val="00B730EE"/>
    <w:rsid w:val="00B73136"/>
    <w:rsid w:val="00B7366B"/>
    <w:rsid w:val="00B73B9F"/>
    <w:rsid w:val="00B742B5"/>
    <w:rsid w:val="00B74366"/>
    <w:rsid w:val="00B7458A"/>
    <w:rsid w:val="00B74AF3"/>
    <w:rsid w:val="00B74C81"/>
    <w:rsid w:val="00B74DB3"/>
    <w:rsid w:val="00B75102"/>
    <w:rsid w:val="00B758A5"/>
    <w:rsid w:val="00B758D7"/>
    <w:rsid w:val="00B75E45"/>
    <w:rsid w:val="00B75FD9"/>
    <w:rsid w:val="00B76323"/>
    <w:rsid w:val="00B7666F"/>
    <w:rsid w:val="00B7679B"/>
    <w:rsid w:val="00B76CF6"/>
    <w:rsid w:val="00B76D6D"/>
    <w:rsid w:val="00B7717A"/>
    <w:rsid w:val="00B772C2"/>
    <w:rsid w:val="00B775C7"/>
    <w:rsid w:val="00B77677"/>
    <w:rsid w:val="00B777E0"/>
    <w:rsid w:val="00B77C6B"/>
    <w:rsid w:val="00B81579"/>
    <w:rsid w:val="00B815FE"/>
    <w:rsid w:val="00B81713"/>
    <w:rsid w:val="00B81E8F"/>
    <w:rsid w:val="00B82111"/>
    <w:rsid w:val="00B82198"/>
    <w:rsid w:val="00B82456"/>
    <w:rsid w:val="00B82DA1"/>
    <w:rsid w:val="00B832B3"/>
    <w:rsid w:val="00B83B60"/>
    <w:rsid w:val="00B84944"/>
    <w:rsid w:val="00B84A40"/>
    <w:rsid w:val="00B84AB6"/>
    <w:rsid w:val="00B84E9D"/>
    <w:rsid w:val="00B85268"/>
    <w:rsid w:val="00B8545C"/>
    <w:rsid w:val="00B8567B"/>
    <w:rsid w:val="00B85685"/>
    <w:rsid w:val="00B85880"/>
    <w:rsid w:val="00B8592B"/>
    <w:rsid w:val="00B85C73"/>
    <w:rsid w:val="00B85ED6"/>
    <w:rsid w:val="00B85FBE"/>
    <w:rsid w:val="00B862BD"/>
    <w:rsid w:val="00B864CB"/>
    <w:rsid w:val="00B86659"/>
    <w:rsid w:val="00B87297"/>
    <w:rsid w:val="00B872CA"/>
    <w:rsid w:val="00B875DF"/>
    <w:rsid w:val="00B877E7"/>
    <w:rsid w:val="00B87B14"/>
    <w:rsid w:val="00B87F97"/>
    <w:rsid w:val="00B904D0"/>
    <w:rsid w:val="00B90BA2"/>
    <w:rsid w:val="00B90F44"/>
    <w:rsid w:val="00B91306"/>
    <w:rsid w:val="00B91BDD"/>
    <w:rsid w:val="00B91E81"/>
    <w:rsid w:val="00B91EB3"/>
    <w:rsid w:val="00B92111"/>
    <w:rsid w:val="00B924D6"/>
    <w:rsid w:val="00B928DA"/>
    <w:rsid w:val="00B93566"/>
    <w:rsid w:val="00B93AD2"/>
    <w:rsid w:val="00B93B9F"/>
    <w:rsid w:val="00B93D6C"/>
    <w:rsid w:val="00B94141"/>
    <w:rsid w:val="00B94E48"/>
    <w:rsid w:val="00B9502D"/>
    <w:rsid w:val="00B959DF"/>
    <w:rsid w:val="00B95CE1"/>
    <w:rsid w:val="00B95FFA"/>
    <w:rsid w:val="00B9604C"/>
    <w:rsid w:val="00B9610A"/>
    <w:rsid w:val="00B9626A"/>
    <w:rsid w:val="00B962D9"/>
    <w:rsid w:val="00B9683C"/>
    <w:rsid w:val="00B97164"/>
    <w:rsid w:val="00B97306"/>
    <w:rsid w:val="00B97829"/>
    <w:rsid w:val="00B97F26"/>
    <w:rsid w:val="00BA00A9"/>
    <w:rsid w:val="00BA01F4"/>
    <w:rsid w:val="00BA0282"/>
    <w:rsid w:val="00BA03FE"/>
    <w:rsid w:val="00BA0450"/>
    <w:rsid w:val="00BA06E6"/>
    <w:rsid w:val="00BA0A6F"/>
    <w:rsid w:val="00BA0E30"/>
    <w:rsid w:val="00BA0FF6"/>
    <w:rsid w:val="00BA186C"/>
    <w:rsid w:val="00BA1E8B"/>
    <w:rsid w:val="00BA2C5F"/>
    <w:rsid w:val="00BA2CF3"/>
    <w:rsid w:val="00BA2E7F"/>
    <w:rsid w:val="00BA2EBD"/>
    <w:rsid w:val="00BA305A"/>
    <w:rsid w:val="00BA318F"/>
    <w:rsid w:val="00BA33AF"/>
    <w:rsid w:val="00BA3903"/>
    <w:rsid w:val="00BA3B5D"/>
    <w:rsid w:val="00BA3BB5"/>
    <w:rsid w:val="00BA3F8B"/>
    <w:rsid w:val="00BA4756"/>
    <w:rsid w:val="00BA4864"/>
    <w:rsid w:val="00BA4A59"/>
    <w:rsid w:val="00BA5351"/>
    <w:rsid w:val="00BA5757"/>
    <w:rsid w:val="00BA5990"/>
    <w:rsid w:val="00BA5B11"/>
    <w:rsid w:val="00BA5D16"/>
    <w:rsid w:val="00BA60D2"/>
    <w:rsid w:val="00BA697B"/>
    <w:rsid w:val="00BA7332"/>
    <w:rsid w:val="00BA737B"/>
    <w:rsid w:val="00BA7451"/>
    <w:rsid w:val="00BA7482"/>
    <w:rsid w:val="00BA7553"/>
    <w:rsid w:val="00BA7883"/>
    <w:rsid w:val="00BA7976"/>
    <w:rsid w:val="00BA7BC1"/>
    <w:rsid w:val="00BB01D4"/>
    <w:rsid w:val="00BB0664"/>
    <w:rsid w:val="00BB0950"/>
    <w:rsid w:val="00BB0B1C"/>
    <w:rsid w:val="00BB1147"/>
    <w:rsid w:val="00BB1322"/>
    <w:rsid w:val="00BB15AC"/>
    <w:rsid w:val="00BB18F9"/>
    <w:rsid w:val="00BB1ABE"/>
    <w:rsid w:val="00BB1BA3"/>
    <w:rsid w:val="00BB21C1"/>
    <w:rsid w:val="00BB24AC"/>
    <w:rsid w:val="00BB2641"/>
    <w:rsid w:val="00BB28B4"/>
    <w:rsid w:val="00BB2B83"/>
    <w:rsid w:val="00BB2FDE"/>
    <w:rsid w:val="00BB3193"/>
    <w:rsid w:val="00BB340D"/>
    <w:rsid w:val="00BB35B4"/>
    <w:rsid w:val="00BB3BA2"/>
    <w:rsid w:val="00BB3BE7"/>
    <w:rsid w:val="00BB3C0A"/>
    <w:rsid w:val="00BB3C87"/>
    <w:rsid w:val="00BB3DAD"/>
    <w:rsid w:val="00BB46D0"/>
    <w:rsid w:val="00BB48B2"/>
    <w:rsid w:val="00BB4D94"/>
    <w:rsid w:val="00BB5088"/>
    <w:rsid w:val="00BB51DA"/>
    <w:rsid w:val="00BB5446"/>
    <w:rsid w:val="00BB566A"/>
    <w:rsid w:val="00BB57BE"/>
    <w:rsid w:val="00BB5922"/>
    <w:rsid w:val="00BB67E7"/>
    <w:rsid w:val="00BB6DA0"/>
    <w:rsid w:val="00BB6DAF"/>
    <w:rsid w:val="00BB6E46"/>
    <w:rsid w:val="00BB778D"/>
    <w:rsid w:val="00BB7AD8"/>
    <w:rsid w:val="00BB7E06"/>
    <w:rsid w:val="00BB7F42"/>
    <w:rsid w:val="00BC0263"/>
    <w:rsid w:val="00BC054D"/>
    <w:rsid w:val="00BC07C9"/>
    <w:rsid w:val="00BC10E5"/>
    <w:rsid w:val="00BC1523"/>
    <w:rsid w:val="00BC180C"/>
    <w:rsid w:val="00BC1AA5"/>
    <w:rsid w:val="00BC1E2A"/>
    <w:rsid w:val="00BC24D3"/>
    <w:rsid w:val="00BC24E8"/>
    <w:rsid w:val="00BC2972"/>
    <w:rsid w:val="00BC2C69"/>
    <w:rsid w:val="00BC2E5B"/>
    <w:rsid w:val="00BC2EDB"/>
    <w:rsid w:val="00BC38AF"/>
    <w:rsid w:val="00BC42C5"/>
    <w:rsid w:val="00BC4492"/>
    <w:rsid w:val="00BC474E"/>
    <w:rsid w:val="00BC48DB"/>
    <w:rsid w:val="00BC5205"/>
    <w:rsid w:val="00BC52BA"/>
    <w:rsid w:val="00BC5838"/>
    <w:rsid w:val="00BC58B0"/>
    <w:rsid w:val="00BC5950"/>
    <w:rsid w:val="00BC6165"/>
    <w:rsid w:val="00BC632C"/>
    <w:rsid w:val="00BC6775"/>
    <w:rsid w:val="00BC6822"/>
    <w:rsid w:val="00BC69BA"/>
    <w:rsid w:val="00BC6A47"/>
    <w:rsid w:val="00BC6E5D"/>
    <w:rsid w:val="00BC6EAE"/>
    <w:rsid w:val="00BC7780"/>
    <w:rsid w:val="00BD0173"/>
    <w:rsid w:val="00BD0C3E"/>
    <w:rsid w:val="00BD1C04"/>
    <w:rsid w:val="00BD1CB3"/>
    <w:rsid w:val="00BD2168"/>
    <w:rsid w:val="00BD2443"/>
    <w:rsid w:val="00BD25B0"/>
    <w:rsid w:val="00BD28EC"/>
    <w:rsid w:val="00BD2DB3"/>
    <w:rsid w:val="00BD2E2C"/>
    <w:rsid w:val="00BD30E8"/>
    <w:rsid w:val="00BD370D"/>
    <w:rsid w:val="00BD3770"/>
    <w:rsid w:val="00BD3AF7"/>
    <w:rsid w:val="00BD49A1"/>
    <w:rsid w:val="00BD4D48"/>
    <w:rsid w:val="00BD4FAE"/>
    <w:rsid w:val="00BD55F4"/>
    <w:rsid w:val="00BD56D3"/>
    <w:rsid w:val="00BD5A16"/>
    <w:rsid w:val="00BD5D7B"/>
    <w:rsid w:val="00BD5FA2"/>
    <w:rsid w:val="00BD611F"/>
    <w:rsid w:val="00BD6B8B"/>
    <w:rsid w:val="00BD6CA8"/>
    <w:rsid w:val="00BD6DAF"/>
    <w:rsid w:val="00BD70C4"/>
    <w:rsid w:val="00BD70FC"/>
    <w:rsid w:val="00BD74C9"/>
    <w:rsid w:val="00BD7557"/>
    <w:rsid w:val="00BD7BE5"/>
    <w:rsid w:val="00BE04F5"/>
    <w:rsid w:val="00BE0B82"/>
    <w:rsid w:val="00BE11E0"/>
    <w:rsid w:val="00BE127D"/>
    <w:rsid w:val="00BE1609"/>
    <w:rsid w:val="00BE1753"/>
    <w:rsid w:val="00BE19CB"/>
    <w:rsid w:val="00BE1AC9"/>
    <w:rsid w:val="00BE21A1"/>
    <w:rsid w:val="00BE21A3"/>
    <w:rsid w:val="00BE2354"/>
    <w:rsid w:val="00BE2576"/>
    <w:rsid w:val="00BE2578"/>
    <w:rsid w:val="00BE2630"/>
    <w:rsid w:val="00BE2D6C"/>
    <w:rsid w:val="00BE2D7A"/>
    <w:rsid w:val="00BE2F69"/>
    <w:rsid w:val="00BE302A"/>
    <w:rsid w:val="00BE3407"/>
    <w:rsid w:val="00BE41BB"/>
    <w:rsid w:val="00BE4485"/>
    <w:rsid w:val="00BE48F0"/>
    <w:rsid w:val="00BE4A92"/>
    <w:rsid w:val="00BE4AA5"/>
    <w:rsid w:val="00BE4E2E"/>
    <w:rsid w:val="00BE5219"/>
    <w:rsid w:val="00BE5DC0"/>
    <w:rsid w:val="00BE5F72"/>
    <w:rsid w:val="00BE601F"/>
    <w:rsid w:val="00BE63D8"/>
    <w:rsid w:val="00BE650D"/>
    <w:rsid w:val="00BE65D5"/>
    <w:rsid w:val="00BE6656"/>
    <w:rsid w:val="00BE67E0"/>
    <w:rsid w:val="00BE69BA"/>
    <w:rsid w:val="00BE69EB"/>
    <w:rsid w:val="00BE6DE7"/>
    <w:rsid w:val="00BE6EBE"/>
    <w:rsid w:val="00BE73B0"/>
    <w:rsid w:val="00BE73C5"/>
    <w:rsid w:val="00BE78FD"/>
    <w:rsid w:val="00BE79EA"/>
    <w:rsid w:val="00BE7BF1"/>
    <w:rsid w:val="00BE7FB0"/>
    <w:rsid w:val="00BF0129"/>
    <w:rsid w:val="00BF0A89"/>
    <w:rsid w:val="00BF0EBE"/>
    <w:rsid w:val="00BF0ED1"/>
    <w:rsid w:val="00BF13CA"/>
    <w:rsid w:val="00BF1517"/>
    <w:rsid w:val="00BF1BC4"/>
    <w:rsid w:val="00BF1E51"/>
    <w:rsid w:val="00BF1EB2"/>
    <w:rsid w:val="00BF2120"/>
    <w:rsid w:val="00BF212C"/>
    <w:rsid w:val="00BF3053"/>
    <w:rsid w:val="00BF30E4"/>
    <w:rsid w:val="00BF3C7C"/>
    <w:rsid w:val="00BF46A9"/>
    <w:rsid w:val="00BF4892"/>
    <w:rsid w:val="00BF4A6D"/>
    <w:rsid w:val="00BF4D72"/>
    <w:rsid w:val="00BF56AC"/>
    <w:rsid w:val="00BF58B0"/>
    <w:rsid w:val="00BF60BA"/>
    <w:rsid w:val="00BF61A0"/>
    <w:rsid w:val="00BF647E"/>
    <w:rsid w:val="00BF64D4"/>
    <w:rsid w:val="00BF6669"/>
    <w:rsid w:val="00BF69B5"/>
    <w:rsid w:val="00BF6BC3"/>
    <w:rsid w:val="00BF760A"/>
    <w:rsid w:val="00BF79A0"/>
    <w:rsid w:val="00C00236"/>
    <w:rsid w:val="00C0035B"/>
    <w:rsid w:val="00C0043E"/>
    <w:rsid w:val="00C00464"/>
    <w:rsid w:val="00C00540"/>
    <w:rsid w:val="00C00A9B"/>
    <w:rsid w:val="00C00CB5"/>
    <w:rsid w:val="00C012BF"/>
    <w:rsid w:val="00C0147D"/>
    <w:rsid w:val="00C01768"/>
    <w:rsid w:val="00C01B0D"/>
    <w:rsid w:val="00C022C0"/>
    <w:rsid w:val="00C02482"/>
    <w:rsid w:val="00C025D1"/>
    <w:rsid w:val="00C02608"/>
    <w:rsid w:val="00C028E1"/>
    <w:rsid w:val="00C02B55"/>
    <w:rsid w:val="00C02CE7"/>
    <w:rsid w:val="00C02EB7"/>
    <w:rsid w:val="00C02EC7"/>
    <w:rsid w:val="00C039FA"/>
    <w:rsid w:val="00C03BEF"/>
    <w:rsid w:val="00C03EF6"/>
    <w:rsid w:val="00C04348"/>
    <w:rsid w:val="00C044EB"/>
    <w:rsid w:val="00C04715"/>
    <w:rsid w:val="00C04902"/>
    <w:rsid w:val="00C04D36"/>
    <w:rsid w:val="00C04E68"/>
    <w:rsid w:val="00C04EBD"/>
    <w:rsid w:val="00C05213"/>
    <w:rsid w:val="00C0563C"/>
    <w:rsid w:val="00C05BAF"/>
    <w:rsid w:val="00C05E93"/>
    <w:rsid w:val="00C060B6"/>
    <w:rsid w:val="00C06949"/>
    <w:rsid w:val="00C06BB7"/>
    <w:rsid w:val="00C06DDF"/>
    <w:rsid w:val="00C07560"/>
    <w:rsid w:val="00C076F7"/>
    <w:rsid w:val="00C07A42"/>
    <w:rsid w:val="00C07A4B"/>
    <w:rsid w:val="00C07E1E"/>
    <w:rsid w:val="00C10072"/>
    <w:rsid w:val="00C100EA"/>
    <w:rsid w:val="00C101AD"/>
    <w:rsid w:val="00C104D6"/>
    <w:rsid w:val="00C10593"/>
    <w:rsid w:val="00C106BE"/>
    <w:rsid w:val="00C1082E"/>
    <w:rsid w:val="00C108BC"/>
    <w:rsid w:val="00C11678"/>
    <w:rsid w:val="00C11888"/>
    <w:rsid w:val="00C11A64"/>
    <w:rsid w:val="00C11B3D"/>
    <w:rsid w:val="00C121D1"/>
    <w:rsid w:val="00C122E7"/>
    <w:rsid w:val="00C128BC"/>
    <w:rsid w:val="00C12CE5"/>
    <w:rsid w:val="00C12D61"/>
    <w:rsid w:val="00C13861"/>
    <w:rsid w:val="00C14432"/>
    <w:rsid w:val="00C14719"/>
    <w:rsid w:val="00C1494E"/>
    <w:rsid w:val="00C14A06"/>
    <w:rsid w:val="00C14CEF"/>
    <w:rsid w:val="00C14FBC"/>
    <w:rsid w:val="00C155AD"/>
    <w:rsid w:val="00C1573D"/>
    <w:rsid w:val="00C15C29"/>
    <w:rsid w:val="00C15C9D"/>
    <w:rsid w:val="00C15D2A"/>
    <w:rsid w:val="00C1635B"/>
    <w:rsid w:val="00C1655A"/>
    <w:rsid w:val="00C16774"/>
    <w:rsid w:val="00C16874"/>
    <w:rsid w:val="00C1697A"/>
    <w:rsid w:val="00C16B8B"/>
    <w:rsid w:val="00C16BF8"/>
    <w:rsid w:val="00C16E9A"/>
    <w:rsid w:val="00C17173"/>
    <w:rsid w:val="00C1796A"/>
    <w:rsid w:val="00C17D97"/>
    <w:rsid w:val="00C17DFF"/>
    <w:rsid w:val="00C17E07"/>
    <w:rsid w:val="00C2097F"/>
    <w:rsid w:val="00C20C83"/>
    <w:rsid w:val="00C20E52"/>
    <w:rsid w:val="00C20EF2"/>
    <w:rsid w:val="00C21521"/>
    <w:rsid w:val="00C21FD9"/>
    <w:rsid w:val="00C2213F"/>
    <w:rsid w:val="00C225A0"/>
    <w:rsid w:val="00C22663"/>
    <w:rsid w:val="00C22BC0"/>
    <w:rsid w:val="00C22C55"/>
    <w:rsid w:val="00C22F01"/>
    <w:rsid w:val="00C231ED"/>
    <w:rsid w:val="00C23E1E"/>
    <w:rsid w:val="00C23E7B"/>
    <w:rsid w:val="00C2424A"/>
    <w:rsid w:val="00C2427B"/>
    <w:rsid w:val="00C24518"/>
    <w:rsid w:val="00C245F9"/>
    <w:rsid w:val="00C24E0D"/>
    <w:rsid w:val="00C25034"/>
    <w:rsid w:val="00C2506B"/>
    <w:rsid w:val="00C252E5"/>
    <w:rsid w:val="00C25A20"/>
    <w:rsid w:val="00C2605E"/>
    <w:rsid w:val="00C26D52"/>
    <w:rsid w:val="00C26E86"/>
    <w:rsid w:val="00C2747A"/>
    <w:rsid w:val="00C27688"/>
    <w:rsid w:val="00C278A7"/>
    <w:rsid w:val="00C2794C"/>
    <w:rsid w:val="00C30017"/>
    <w:rsid w:val="00C30067"/>
    <w:rsid w:val="00C300AD"/>
    <w:rsid w:val="00C3022E"/>
    <w:rsid w:val="00C303B5"/>
    <w:rsid w:val="00C305E9"/>
    <w:rsid w:val="00C309EA"/>
    <w:rsid w:val="00C30D62"/>
    <w:rsid w:val="00C30F0F"/>
    <w:rsid w:val="00C31175"/>
    <w:rsid w:val="00C31C07"/>
    <w:rsid w:val="00C31D73"/>
    <w:rsid w:val="00C31DE6"/>
    <w:rsid w:val="00C31FEA"/>
    <w:rsid w:val="00C3230C"/>
    <w:rsid w:val="00C32315"/>
    <w:rsid w:val="00C3247C"/>
    <w:rsid w:val="00C3250A"/>
    <w:rsid w:val="00C327B4"/>
    <w:rsid w:val="00C33162"/>
    <w:rsid w:val="00C332D1"/>
    <w:rsid w:val="00C33912"/>
    <w:rsid w:val="00C339A5"/>
    <w:rsid w:val="00C33E81"/>
    <w:rsid w:val="00C34D8F"/>
    <w:rsid w:val="00C35DD9"/>
    <w:rsid w:val="00C36162"/>
    <w:rsid w:val="00C362CE"/>
    <w:rsid w:val="00C36856"/>
    <w:rsid w:val="00C36B35"/>
    <w:rsid w:val="00C37D7B"/>
    <w:rsid w:val="00C37D98"/>
    <w:rsid w:val="00C40213"/>
    <w:rsid w:val="00C40572"/>
    <w:rsid w:val="00C409FC"/>
    <w:rsid w:val="00C40A1F"/>
    <w:rsid w:val="00C40A2F"/>
    <w:rsid w:val="00C40AF1"/>
    <w:rsid w:val="00C40D7B"/>
    <w:rsid w:val="00C40F31"/>
    <w:rsid w:val="00C40F3F"/>
    <w:rsid w:val="00C41B67"/>
    <w:rsid w:val="00C41D4F"/>
    <w:rsid w:val="00C42068"/>
    <w:rsid w:val="00C42404"/>
    <w:rsid w:val="00C426F4"/>
    <w:rsid w:val="00C42765"/>
    <w:rsid w:val="00C43210"/>
    <w:rsid w:val="00C43263"/>
    <w:rsid w:val="00C43451"/>
    <w:rsid w:val="00C43748"/>
    <w:rsid w:val="00C43CA7"/>
    <w:rsid w:val="00C43E04"/>
    <w:rsid w:val="00C441E2"/>
    <w:rsid w:val="00C442B2"/>
    <w:rsid w:val="00C4468D"/>
    <w:rsid w:val="00C449DD"/>
    <w:rsid w:val="00C44B16"/>
    <w:rsid w:val="00C45168"/>
    <w:rsid w:val="00C452D0"/>
    <w:rsid w:val="00C45451"/>
    <w:rsid w:val="00C45570"/>
    <w:rsid w:val="00C4573D"/>
    <w:rsid w:val="00C45A1E"/>
    <w:rsid w:val="00C45B80"/>
    <w:rsid w:val="00C45BCE"/>
    <w:rsid w:val="00C45CB5"/>
    <w:rsid w:val="00C461A1"/>
    <w:rsid w:val="00C4668D"/>
    <w:rsid w:val="00C466FB"/>
    <w:rsid w:val="00C46A67"/>
    <w:rsid w:val="00C4724D"/>
    <w:rsid w:val="00C47549"/>
    <w:rsid w:val="00C47AA9"/>
    <w:rsid w:val="00C47B71"/>
    <w:rsid w:val="00C50262"/>
    <w:rsid w:val="00C505CB"/>
    <w:rsid w:val="00C5073B"/>
    <w:rsid w:val="00C50910"/>
    <w:rsid w:val="00C50F8A"/>
    <w:rsid w:val="00C5101E"/>
    <w:rsid w:val="00C51045"/>
    <w:rsid w:val="00C514E0"/>
    <w:rsid w:val="00C51B99"/>
    <w:rsid w:val="00C51DD4"/>
    <w:rsid w:val="00C529E5"/>
    <w:rsid w:val="00C52C0C"/>
    <w:rsid w:val="00C54070"/>
    <w:rsid w:val="00C540D2"/>
    <w:rsid w:val="00C54E22"/>
    <w:rsid w:val="00C55002"/>
    <w:rsid w:val="00C55038"/>
    <w:rsid w:val="00C550B1"/>
    <w:rsid w:val="00C55414"/>
    <w:rsid w:val="00C55A05"/>
    <w:rsid w:val="00C55E22"/>
    <w:rsid w:val="00C56004"/>
    <w:rsid w:val="00C5654E"/>
    <w:rsid w:val="00C56E8D"/>
    <w:rsid w:val="00C56EBA"/>
    <w:rsid w:val="00C571F5"/>
    <w:rsid w:val="00C57408"/>
    <w:rsid w:val="00C574B7"/>
    <w:rsid w:val="00C57C5A"/>
    <w:rsid w:val="00C57DCB"/>
    <w:rsid w:val="00C60284"/>
    <w:rsid w:val="00C6070A"/>
    <w:rsid w:val="00C61087"/>
    <w:rsid w:val="00C6133C"/>
    <w:rsid w:val="00C614DD"/>
    <w:rsid w:val="00C619D3"/>
    <w:rsid w:val="00C61A80"/>
    <w:rsid w:val="00C61CF4"/>
    <w:rsid w:val="00C625EE"/>
    <w:rsid w:val="00C6288E"/>
    <w:rsid w:val="00C62967"/>
    <w:rsid w:val="00C629A7"/>
    <w:rsid w:val="00C63109"/>
    <w:rsid w:val="00C63471"/>
    <w:rsid w:val="00C6368B"/>
    <w:rsid w:val="00C6378D"/>
    <w:rsid w:val="00C63909"/>
    <w:rsid w:val="00C63C05"/>
    <w:rsid w:val="00C63DEC"/>
    <w:rsid w:val="00C641F0"/>
    <w:rsid w:val="00C642AB"/>
    <w:rsid w:val="00C64B69"/>
    <w:rsid w:val="00C64E09"/>
    <w:rsid w:val="00C6505C"/>
    <w:rsid w:val="00C65380"/>
    <w:rsid w:val="00C655CA"/>
    <w:rsid w:val="00C65748"/>
    <w:rsid w:val="00C658B7"/>
    <w:rsid w:val="00C65C11"/>
    <w:rsid w:val="00C65FBE"/>
    <w:rsid w:val="00C66330"/>
    <w:rsid w:val="00C6690B"/>
    <w:rsid w:val="00C669CD"/>
    <w:rsid w:val="00C67162"/>
    <w:rsid w:val="00C672F3"/>
    <w:rsid w:val="00C676A7"/>
    <w:rsid w:val="00C70277"/>
    <w:rsid w:val="00C704EF"/>
    <w:rsid w:val="00C70508"/>
    <w:rsid w:val="00C70593"/>
    <w:rsid w:val="00C71356"/>
    <w:rsid w:val="00C716F9"/>
    <w:rsid w:val="00C71DAF"/>
    <w:rsid w:val="00C7313A"/>
    <w:rsid w:val="00C73280"/>
    <w:rsid w:val="00C73308"/>
    <w:rsid w:val="00C73CB0"/>
    <w:rsid w:val="00C73E49"/>
    <w:rsid w:val="00C73E59"/>
    <w:rsid w:val="00C7477B"/>
    <w:rsid w:val="00C74EE7"/>
    <w:rsid w:val="00C75112"/>
    <w:rsid w:val="00C7538B"/>
    <w:rsid w:val="00C7539D"/>
    <w:rsid w:val="00C753D3"/>
    <w:rsid w:val="00C753D5"/>
    <w:rsid w:val="00C75B7C"/>
    <w:rsid w:val="00C75EE3"/>
    <w:rsid w:val="00C75FAB"/>
    <w:rsid w:val="00C75FC5"/>
    <w:rsid w:val="00C760D0"/>
    <w:rsid w:val="00C76240"/>
    <w:rsid w:val="00C7715B"/>
    <w:rsid w:val="00C77631"/>
    <w:rsid w:val="00C776BD"/>
    <w:rsid w:val="00C77788"/>
    <w:rsid w:val="00C77D41"/>
    <w:rsid w:val="00C77E0D"/>
    <w:rsid w:val="00C8024B"/>
    <w:rsid w:val="00C805DE"/>
    <w:rsid w:val="00C8165F"/>
    <w:rsid w:val="00C81F7F"/>
    <w:rsid w:val="00C821D7"/>
    <w:rsid w:val="00C8227C"/>
    <w:rsid w:val="00C82511"/>
    <w:rsid w:val="00C825A0"/>
    <w:rsid w:val="00C82999"/>
    <w:rsid w:val="00C82A1E"/>
    <w:rsid w:val="00C82E88"/>
    <w:rsid w:val="00C82EFD"/>
    <w:rsid w:val="00C8369B"/>
    <w:rsid w:val="00C83C9F"/>
    <w:rsid w:val="00C83D34"/>
    <w:rsid w:val="00C84065"/>
    <w:rsid w:val="00C84491"/>
    <w:rsid w:val="00C84DD9"/>
    <w:rsid w:val="00C84FE6"/>
    <w:rsid w:val="00C850BB"/>
    <w:rsid w:val="00C85448"/>
    <w:rsid w:val="00C85815"/>
    <w:rsid w:val="00C860BD"/>
    <w:rsid w:val="00C86377"/>
    <w:rsid w:val="00C87839"/>
    <w:rsid w:val="00C879CC"/>
    <w:rsid w:val="00C90675"/>
    <w:rsid w:val="00C90713"/>
    <w:rsid w:val="00C90735"/>
    <w:rsid w:val="00C91482"/>
    <w:rsid w:val="00C91784"/>
    <w:rsid w:val="00C91941"/>
    <w:rsid w:val="00C91C4B"/>
    <w:rsid w:val="00C928EE"/>
    <w:rsid w:val="00C929AF"/>
    <w:rsid w:val="00C92E55"/>
    <w:rsid w:val="00C92FA4"/>
    <w:rsid w:val="00C93662"/>
    <w:rsid w:val="00C9384F"/>
    <w:rsid w:val="00C93A4C"/>
    <w:rsid w:val="00C93A55"/>
    <w:rsid w:val="00C93BFA"/>
    <w:rsid w:val="00C94391"/>
    <w:rsid w:val="00C94537"/>
    <w:rsid w:val="00C94CD3"/>
    <w:rsid w:val="00C94D5C"/>
    <w:rsid w:val="00C9598E"/>
    <w:rsid w:val="00C95A3E"/>
    <w:rsid w:val="00C95B4B"/>
    <w:rsid w:val="00C95C6C"/>
    <w:rsid w:val="00C95D04"/>
    <w:rsid w:val="00C96603"/>
    <w:rsid w:val="00C96AD6"/>
    <w:rsid w:val="00C96D43"/>
    <w:rsid w:val="00C974D8"/>
    <w:rsid w:val="00C97B6A"/>
    <w:rsid w:val="00C97BE8"/>
    <w:rsid w:val="00C97F2A"/>
    <w:rsid w:val="00CA0B12"/>
    <w:rsid w:val="00CA0FBF"/>
    <w:rsid w:val="00CA10A1"/>
    <w:rsid w:val="00CA1392"/>
    <w:rsid w:val="00CA25DD"/>
    <w:rsid w:val="00CA26F4"/>
    <w:rsid w:val="00CA288D"/>
    <w:rsid w:val="00CA2C4E"/>
    <w:rsid w:val="00CA318D"/>
    <w:rsid w:val="00CA33EB"/>
    <w:rsid w:val="00CA3880"/>
    <w:rsid w:val="00CA3A1E"/>
    <w:rsid w:val="00CA3F10"/>
    <w:rsid w:val="00CA4DED"/>
    <w:rsid w:val="00CA4F5E"/>
    <w:rsid w:val="00CA5278"/>
    <w:rsid w:val="00CA5735"/>
    <w:rsid w:val="00CA5740"/>
    <w:rsid w:val="00CA5F46"/>
    <w:rsid w:val="00CA60A6"/>
    <w:rsid w:val="00CA62CA"/>
    <w:rsid w:val="00CA6434"/>
    <w:rsid w:val="00CA6ACF"/>
    <w:rsid w:val="00CA6EEC"/>
    <w:rsid w:val="00CA6F5B"/>
    <w:rsid w:val="00CA725E"/>
    <w:rsid w:val="00CA7ABC"/>
    <w:rsid w:val="00CA7CFF"/>
    <w:rsid w:val="00CB0351"/>
    <w:rsid w:val="00CB08AA"/>
    <w:rsid w:val="00CB10F3"/>
    <w:rsid w:val="00CB117B"/>
    <w:rsid w:val="00CB139F"/>
    <w:rsid w:val="00CB14EA"/>
    <w:rsid w:val="00CB1834"/>
    <w:rsid w:val="00CB1BAF"/>
    <w:rsid w:val="00CB1E51"/>
    <w:rsid w:val="00CB216A"/>
    <w:rsid w:val="00CB2493"/>
    <w:rsid w:val="00CB292F"/>
    <w:rsid w:val="00CB2A4F"/>
    <w:rsid w:val="00CB2ED0"/>
    <w:rsid w:val="00CB326E"/>
    <w:rsid w:val="00CB3381"/>
    <w:rsid w:val="00CB3AB9"/>
    <w:rsid w:val="00CB3DCA"/>
    <w:rsid w:val="00CB3E8A"/>
    <w:rsid w:val="00CB4971"/>
    <w:rsid w:val="00CB4E0F"/>
    <w:rsid w:val="00CB53AB"/>
    <w:rsid w:val="00CB56E4"/>
    <w:rsid w:val="00CB5F84"/>
    <w:rsid w:val="00CB621B"/>
    <w:rsid w:val="00CB6D5F"/>
    <w:rsid w:val="00CB7301"/>
    <w:rsid w:val="00CB7658"/>
    <w:rsid w:val="00CB7AAB"/>
    <w:rsid w:val="00CC08BD"/>
    <w:rsid w:val="00CC0969"/>
    <w:rsid w:val="00CC0E1F"/>
    <w:rsid w:val="00CC1118"/>
    <w:rsid w:val="00CC11D3"/>
    <w:rsid w:val="00CC1605"/>
    <w:rsid w:val="00CC1886"/>
    <w:rsid w:val="00CC19E8"/>
    <w:rsid w:val="00CC1A7D"/>
    <w:rsid w:val="00CC1ED5"/>
    <w:rsid w:val="00CC22AF"/>
    <w:rsid w:val="00CC22F0"/>
    <w:rsid w:val="00CC2409"/>
    <w:rsid w:val="00CC262A"/>
    <w:rsid w:val="00CC2AEE"/>
    <w:rsid w:val="00CC3143"/>
    <w:rsid w:val="00CC3AAC"/>
    <w:rsid w:val="00CC4C5D"/>
    <w:rsid w:val="00CC4EA6"/>
    <w:rsid w:val="00CC52F1"/>
    <w:rsid w:val="00CC532A"/>
    <w:rsid w:val="00CC53CD"/>
    <w:rsid w:val="00CC5542"/>
    <w:rsid w:val="00CC597D"/>
    <w:rsid w:val="00CC6378"/>
    <w:rsid w:val="00CC66CD"/>
    <w:rsid w:val="00CC6DA7"/>
    <w:rsid w:val="00CC6E46"/>
    <w:rsid w:val="00CC74D8"/>
    <w:rsid w:val="00CC766E"/>
    <w:rsid w:val="00CC7A59"/>
    <w:rsid w:val="00CC7D91"/>
    <w:rsid w:val="00CC7F42"/>
    <w:rsid w:val="00CD03B0"/>
    <w:rsid w:val="00CD0477"/>
    <w:rsid w:val="00CD057F"/>
    <w:rsid w:val="00CD0A26"/>
    <w:rsid w:val="00CD0E0E"/>
    <w:rsid w:val="00CD1019"/>
    <w:rsid w:val="00CD13EF"/>
    <w:rsid w:val="00CD175A"/>
    <w:rsid w:val="00CD1E89"/>
    <w:rsid w:val="00CD1FB1"/>
    <w:rsid w:val="00CD202F"/>
    <w:rsid w:val="00CD21FC"/>
    <w:rsid w:val="00CD2392"/>
    <w:rsid w:val="00CD258D"/>
    <w:rsid w:val="00CD2AB2"/>
    <w:rsid w:val="00CD3454"/>
    <w:rsid w:val="00CD4396"/>
    <w:rsid w:val="00CD4EA4"/>
    <w:rsid w:val="00CD4FEE"/>
    <w:rsid w:val="00CD5979"/>
    <w:rsid w:val="00CD5A42"/>
    <w:rsid w:val="00CD5BCD"/>
    <w:rsid w:val="00CD5CF0"/>
    <w:rsid w:val="00CD5F6A"/>
    <w:rsid w:val="00CD6121"/>
    <w:rsid w:val="00CD620A"/>
    <w:rsid w:val="00CD627C"/>
    <w:rsid w:val="00CD64F8"/>
    <w:rsid w:val="00CD6958"/>
    <w:rsid w:val="00CD6A07"/>
    <w:rsid w:val="00CD6C12"/>
    <w:rsid w:val="00CD6D10"/>
    <w:rsid w:val="00CD6EE5"/>
    <w:rsid w:val="00CD7212"/>
    <w:rsid w:val="00CD75B7"/>
    <w:rsid w:val="00CD78DD"/>
    <w:rsid w:val="00CD79F6"/>
    <w:rsid w:val="00CE010A"/>
    <w:rsid w:val="00CE0234"/>
    <w:rsid w:val="00CE05A2"/>
    <w:rsid w:val="00CE0D13"/>
    <w:rsid w:val="00CE0DB7"/>
    <w:rsid w:val="00CE0E89"/>
    <w:rsid w:val="00CE0E8A"/>
    <w:rsid w:val="00CE0E9F"/>
    <w:rsid w:val="00CE1808"/>
    <w:rsid w:val="00CE1A24"/>
    <w:rsid w:val="00CE1D8D"/>
    <w:rsid w:val="00CE1F71"/>
    <w:rsid w:val="00CE21C0"/>
    <w:rsid w:val="00CE2569"/>
    <w:rsid w:val="00CE2F80"/>
    <w:rsid w:val="00CE33DF"/>
    <w:rsid w:val="00CE3999"/>
    <w:rsid w:val="00CE3ECE"/>
    <w:rsid w:val="00CE3FCF"/>
    <w:rsid w:val="00CE4058"/>
    <w:rsid w:val="00CE4147"/>
    <w:rsid w:val="00CE466D"/>
    <w:rsid w:val="00CE559E"/>
    <w:rsid w:val="00CE56B3"/>
    <w:rsid w:val="00CE56F9"/>
    <w:rsid w:val="00CE5F36"/>
    <w:rsid w:val="00CE5FC6"/>
    <w:rsid w:val="00CE66CF"/>
    <w:rsid w:val="00CE67A9"/>
    <w:rsid w:val="00CE6951"/>
    <w:rsid w:val="00CE6B86"/>
    <w:rsid w:val="00CE6CAA"/>
    <w:rsid w:val="00CE74E4"/>
    <w:rsid w:val="00CE766A"/>
    <w:rsid w:val="00CE7E1B"/>
    <w:rsid w:val="00CF06BF"/>
    <w:rsid w:val="00CF07B2"/>
    <w:rsid w:val="00CF09D3"/>
    <w:rsid w:val="00CF19D8"/>
    <w:rsid w:val="00CF1E73"/>
    <w:rsid w:val="00CF226F"/>
    <w:rsid w:val="00CF2708"/>
    <w:rsid w:val="00CF2B4D"/>
    <w:rsid w:val="00CF31AC"/>
    <w:rsid w:val="00CF379E"/>
    <w:rsid w:val="00CF379F"/>
    <w:rsid w:val="00CF38F1"/>
    <w:rsid w:val="00CF397F"/>
    <w:rsid w:val="00CF3B99"/>
    <w:rsid w:val="00CF3BA2"/>
    <w:rsid w:val="00CF3E72"/>
    <w:rsid w:val="00CF3FBE"/>
    <w:rsid w:val="00CF43FF"/>
    <w:rsid w:val="00CF4646"/>
    <w:rsid w:val="00CF4892"/>
    <w:rsid w:val="00CF4DCF"/>
    <w:rsid w:val="00CF5161"/>
    <w:rsid w:val="00CF56B2"/>
    <w:rsid w:val="00CF56FD"/>
    <w:rsid w:val="00CF5D6F"/>
    <w:rsid w:val="00CF6115"/>
    <w:rsid w:val="00CF627A"/>
    <w:rsid w:val="00CF63B8"/>
    <w:rsid w:val="00CF6D36"/>
    <w:rsid w:val="00CF715F"/>
    <w:rsid w:val="00CF75F8"/>
    <w:rsid w:val="00CF77AB"/>
    <w:rsid w:val="00CF77B7"/>
    <w:rsid w:val="00CF77B8"/>
    <w:rsid w:val="00CF7934"/>
    <w:rsid w:val="00CF7D9B"/>
    <w:rsid w:val="00D00204"/>
    <w:rsid w:val="00D0032D"/>
    <w:rsid w:val="00D006A4"/>
    <w:rsid w:val="00D00B5F"/>
    <w:rsid w:val="00D00C89"/>
    <w:rsid w:val="00D00D4A"/>
    <w:rsid w:val="00D00D5B"/>
    <w:rsid w:val="00D010B6"/>
    <w:rsid w:val="00D01CE7"/>
    <w:rsid w:val="00D02015"/>
    <w:rsid w:val="00D02047"/>
    <w:rsid w:val="00D02171"/>
    <w:rsid w:val="00D02667"/>
    <w:rsid w:val="00D02777"/>
    <w:rsid w:val="00D0288A"/>
    <w:rsid w:val="00D02EBD"/>
    <w:rsid w:val="00D031A3"/>
    <w:rsid w:val="00D03AF6"/>
    <w:rsid w:val="00D03EB9"/>
    <w:rsid w:val="00D03FD8"/>
    <w:rsid w:val="00D04223"/>
    <w:rsid w:val="00D04243"/>
    <w:rsid w:val="00D04671"/>
    <w:rsid w:val="00D04744"/>
    <w:rsid w:val="00D04790"/>
    <w:rsid w:val="00D04F6D"/>
    <w:rsid w:val="00D05853"/>
    <w:rsid w:val="00D05B61"/>
    <w:rsid w:val="00D06506"/>
    <w:rsid w:val="00D069CA"/>
    <w:rsid w:val="00D06BB7"/>
    <w:rsid w:val="00D06C6F"/>
    <w:rsid w:val="00D07231"/>
    <w:rsid w:val="00D07318"/>
    <w:rsid w:val="00D073DF"/>
    <w:rsid w:val="00D07613"/>
    <w:rsid w:val="00D102D3"/>
    <w:rsid w:val="00D107C0"/>
    <w:rsid w:val="00D10A3A"/>
    <w:rsid w:val="00D10CCF"/>
    <w:rsid w:val="00D111CB"/>
    <w:rsid w:val="00D11419"/>
    <w:rsid w:val="00D11564"/>
    <w:rsid w:val="00D1159F"/>
    <w:rsid w:val="00D119B3"/>
    <w:rsid w:val="00D11AEE"/>
    <w:rsid w:val="00D11D2B"/>
    <w:rsid w:val="00D11DBD"/>
    <w:rsid w:val="00D11F32"/>
    <w:rsid w:val="00D127EF"/>
    <w:rsid w:val="00D13519"/>
    <w:rsid w:val="00D1362A"/>
    <w:rsid w:val="00D13A8C"/>
    <w:rsid w:val="00D13E86"/>
    <w:rsid w:val="00D1400F"/>
    <w:rsid w:val="00D14361"/>
    <w:rsid w:val="00D14F82"/>
    <w:rsid w:val="00D15422"/>
    <w:rsid w:val="00D155D1"/>
    <w:rsid w:val="00D156CF"/>
    <w:rsid w:val="00D15906"/>
    <w:rsid w:val="00D15927"/>
    <w:rsid w:val="00D15E44"/>
    <w:rsid w:val="00D1648B"/>
    <w:rsid w:val="00D16A5C"/>
    <w:rsid w:val="00D16A78"/>
    <w:rsid w:val="00D16C9F"/>
    <w:rsid w:val="00D172F1"/>
    <w:rsid w:val="00D17486"/>
    <w:rsid w:val="00D17735"/>
    <w:rsid w:val="00D1783B"/>
    <w:rsid w:val="00D17BD4"/>
    <w:rsid w:val="00D2031F"/>
    <w:rsid w:val="00D20469"/>
    <w:rsid w:val="00D20532"/>
    <w:rsid w:val="00D2057E"/>
    <w:rsid w:val="00D20822"/>
    <w:rsid w:val="00D20CA7"/>
    <w:rsid w:val="00D20E4C"/>
    <w:rsid w:val="00D219A5"/>
    <w:rsid w:val="00D21C61"/>
    <w:rsid w:val="00D21CAF"/>
    <w:rsid w:val="00D21F72"/>
    <w:rsid w:val="00D22288"/>
    <w:rsid w:val="00D22292"/>
    <w:rsid w:val="00D223F4"/>
    <w:rsid w:val="00D228BA"/>
    <w:rsid w:val="00D22A36"/>
    <w:rsid w:val="00D22B67"/>
    <w:rsid w:val="00D22CB7"/>
    <w:rsid w:val="00D22FBD"/>
    <w:rsid w:val="00D230AA"/>
    <w:rsid w:val="00D239DA"/>
    <w:rsid w:val="00D23DFC"/>
    <w:rsid w:val="00D242AE"/>
    <w:rsid w:val="00D245C0"/>
    <w:rsid w:val="00D2460F"/>
    <w:rsid w:val="00D248B9"/>
    <w:rsid w:val="00D253D3"/>
    <w:rsid w:val="00D2550D"/>
    <w:rsid w:val="00D256CB"/>
    <w:rsid w:val="00D2589F"/>
    <w:rsid w:val="00D25C00"/>
    <w:rsid w:val="00D25FD4"/>
    <w:rsid w:val="00D260C2"/>
    <w:rsid w:val="00D2613A"/>
    <w:rsid w:val="00D2634E"/>
    <w:rsid w:val="00D26A6A"/>
    <w:rsid w:val="00D2700D"/>
    <w:rsid w:val="00D27898"/>
    <w:rsid w:val="00D27A7A"/>
    <w:rsid w:val="00D27C13"/>
    <w:rsid w:val="00D27D4D"/>
    <w:rsid w:val="00D30036"/>
    <w:rsid w:val="00D30460"/>
    <w:rsid w:val="00D30887"/>
    <w:rsid w:val="00D30B8A"/>
    <w:rsid w:val="00D31048"/>
    <w:rsid w:val="00D31415"/>
    <w:rsid w:val="00D317A4"/>
    <w:rsid w:val="00D31C96"/>
    <w:rsid w:val="00D31D11"/>
    <w:rsid w:val="00D31D36"/>
    <w:rsid w:val="00D33D3A"/>
    <w:rsid w:val="00D33D62"/>
    <w:rsid w:val="00D33FE1"/>
    <w:rsid w:val="00D340FE"/>
    <w:rsid w:val="00D3410C"/>
    <w:rsid w:val="00D346CB"/>
    <w:rsid w:val="00D3486E"/>
    <w:rsid w:val="00D34CC1"/>
    <w:rsid w:val="00D34CC2"/>
    <w:rsid w:val="00D34D59"/>
    <w:rsid w:val="00D3500D"/>
    <w:rsid w:val="00D354F0"/>
    <w:rsid w:val="00D358EC"/>
    <w:rsid w:val="00D35B44"/>
    <w:rsid w:val="00D367F7"/>
    <w:rsid w:val="00D368A7"/>
    <w:rsid w:val="00D36916"/>
    <w:rsid w:val="00D36997"/>
    <w:rsid w:val="00D36DAE"/>
    <w:rsid w:val="00D3707C"/>
    <w:rsid w:val="00D371EC"/>
    <w:rsid w:val="00D3720F"/>
    <w:rsid w:val="00D37221"/>
    <w:rsid w:val="00D372AE"/>
    <w:rsid w:val="00D37920"/>
    <w:rsid w:val="00D37A4C"/>
    <w:rsid w:val="00D37BAA"/>
    <w:rsid w:val="00D403FC"/>
    <w:rsid w:val="00D40C14"/>
    <w:rsid w:val="00D41933"/>
    <w:rsid w:val="00D41B6C"/>
    <w:rsid w:val="00D41EA2"/>
    <w:rsid w:val="00D41FCF"/>
    <w:rsid w:val="00D420F6"/>
    <w:rsid w:val="00D426CF"/>
    <w:rsid w:val="00D42C52"/>
    <w:rsid w:val="00D43116"/>
    <w:rsid w:val="00D43196"/>
    <w:rsid w:val="00D43824"/>
    <w:rsid w:val="00D43905"/>
    <w:rsid w:val="00D43D98"/>
    <w:rsid w:val="00D44029"/>
    <w:rsid w:val="00D44D5D"/>
    <w:rsid w:val="00D450B0"/>
    <w:rsid w:val="00D45314"/>
    <w:rsid w:val="00D45898"/>
    <w:rsid w:val="00D45A9F"/>
    <w:rsid w:val="00D45DCC"/>
    <w:rsid w:val="00D46089"/>
    <w:rsid w:val="00D468DD"/>
    <w:rsid w:val="00D46C4E"/>
    <w:rsid w:val="00D46C60"/>
    <w:rsid w:val="00D46F1E"/>
    <w:rsid w:val="00D46FFB"/>
    <w:rsid w:val="00D47820"/>
    <w:rsid w:val="00D478A7"/>
    <w:rsid w:val="00D47AFE"/>
    <w:rsid w:val="00D500E8"/>
    <w:rsid w:val="00D5104E"/>
    <w:rsid w:val="00D51780"/>
    <w:rsid w:val="00D51A27"/>
    <w:rsid w:val="00D51EC8"/>
    <w:rsid w:val="00D521B2"/>
    <w:rsid w:val="00D52557"/>
    <w:rsid w:val="00D52E8B"/>
    <w:rsid w:val="00D535DF"/>
    <w:rsid w:val="00D53FF4"/>
    <w:rsid w:val="00D54F41"/>
    <w:rsid w:val="00D55031"/>
    <w:rsid w:val="00D55668"/>
    <w:rsid w:val="00D55750"/>
    <w:rsid w:val="00D560EC"/>
    <w:rsid w:val="00D561B0"/>
    <w:rsid w:val="00D56AC6"/>
    <w:rsid w:val="00D56B7B"/>
    <w:rsid w:val="00D5711B"/>
    <w:rsid w:val="00D57D7D"/>
    <w:rsid w:val="00D60180"/>
    <w:rsid w:val="00D60DD2"/>
    <w:rsid w:val="00D6104E"/>
    <w:rsid w:val="00D6125D"/>
    <w:rsid w:val="00D6154C"/>
    <w:rsid w:val="00D615D3"/>
    <w:rsid w:val="00D6189A"/>
    <w:rsid w:val="00D61B71"/>
    <w:rsid w:val="00D62189"/>
    <w:rsid w:val="00D62715"/>
    <w:rsid w:val="00D62968"/>
    <w:rsid w:val="00D629AF"/>
    <w:rsid w:val="00D631D4"/>
    <w:rsid w:val="00D63C5E"/>
    <w:rsid w:val="00D63C92"/>
    <w:rsid w:val="00D63E3D"/>
    <w:rsid w:val="00D646F9"/>
    <w:rsid w:val="00D64772"/>
    <w:rsid w:val="00D64AD2"/>
    <w:rsid w:val="00D64CDA"/>
    <w:rsid w:val="00D64E80"/>
    <w:rsid w:val="00D64F8F"/>
    <w:rsid w:val="00D64FA1"/>
    <w:rsid w:val="00D65233"/>
    <w:rsid w:val="00D653B2"/>
    <w:rsid w:val="00D65594"/>
    <w:rsid w:val="00D65A5B"/>
    <w:rsid w:val="00D65B72"/>
    <w:rsid w:val="00D65CFD"/>
    <w:rsid w:val="00D65E94"/>
    <w:rsid w:val="00D66127"/>
    <w:rsid w:val="00D66413"/>
    <w:rsid w:val="00D66A5D"/>
    <w:rsid w:val="00D66C2C"/>
    <w:rsid w:val="00D67AF5"/>
    <w:rsid w:val="00D67BD7"/>
    <w:rsid w:val="00D67F1E"/>
    <w:rsid w:val="00D67FC5"/>
    <w:rsid w:val="00D7022A"/>
    <w:rsid w:val="00D7024E"/>
    <w:rsid w:val="00D70344"/>
    <w:rsid w:val="00D70D09"/>
    <w:rsid w:val="00D711B9"/>
    <w:rsid w:val="00D721E2"/>
    <w:rsid w:val="00D72901"/>
    <w:rsid w:val="00D72966"/>
    <w:rsid w:val="00D72D38"/>
    <w:rsid w:val="00D72E62"/>
    <w:rsid w:val="00D7304B"/>
    <w:rsid w:val="00D735E5"/>
    <w:rsid w:val="00D73840"/>
    <w:rsid w:val="00D73A7E"/>
    <w:rsid w:val="00D73FD8"/>
    <w:rsid w:val="00D742AA"/>
    <w:rsid w:val="00D7469E"/>
    <w:rsid w:val="00D747BC"/>
    <w:rsid w:val="00D7497C"/>
    <w:rsid w:val="00D74C47"/>
    <w:rsid w:val="00D74F6C"/>
    <w:rsid w:val="00D74FD4"/>
    <w:rsid w:val="00D75A97"/>
    <w:rsid w:val="00D75F92"/>
    <w:rsid w:val="00D75FC5"/>
    <w:rsid w:val="00D76513"/>
    <w:rsid w:val="00D76FD9"/>
    <w:rsid w:val="00D77608"/>
    <w:rsid w:val="00D776E3"/>
    <w:rsid w:val="00D7786F"/>
    <w:rsid w:val="00D808F4"/>
    <w:rsid w:val="00D80BAB"/>
    <w:rsid w:val="00D80E53"/>
    <w:rsid w:val="00D81593"/>
    <w:rsid w:val="00D831F5"/>
    <w:rsid w:val="00D83558"/>
    <w:rsid w:val="00D83C28"/>
    <w:rsid w:val="00D8435A"/>
    <w:rsid w:val="00D843A2"/>
    <w:rsid w:val="00D8450A"/>
    <w:rsid w:val="00D84661"/>
    <w:rsid w:val="00D84669"/>
    <w:rsid w:val="00D84739"/>
    <w:rsid w:val="00D847F2"/>
    <w:rsid w:val="00D84B86"/>
    <w:rsid w:val="00D8616E"/>
    <w:rsid w:val="00D86666"/>
    <w:rsid w:val="00D869E2"/>
    <w:rsid w:val="00D8718B"/>
    <w:rsid w:val="00D87E05"/>
    <w:rsid w:val="00D90779"/>
    <w:rsid w:val="00D907E8"/>
    <w:rsid w:val="00D909A1"/>
    <w:rsid w:val="00D90DBA"/>
    <w:rsid w:val="00D90E01"/>
    <w:rsid w:val="00D9174E"/>
    <w:rsid w:val="00D91A4E"/>
    <w:rsid w:val="00D91BD9"/>
    <w:rsid w:val="00D92554"/>
    <w:rsid w:val="00D92677"/>
    <w:rsid w:val="00D92745"/>
    <w:rsid w:val="00D927CC"/>
    <w:rsid w:val="00D930F7"/>
    <w:rsid w:val="00D934F5"/>
    <w:rsid w:val="00D939AE"/>
    <w:rsid w:val="00D93AFF"/>
    <w:rsid w:val="00D93C0C"/>
    <w:rsid w:val="00D93DD6"/>
    <w:rsid w:val="00D949DC"/>
    <w:rsid w:val="00D94DDA"/>
    <w:rsid w:val="00D954A3"/>
    <w:rsid w:val="00D9551A"/>
    <w:rsid w:val="00D9557C"/>
    <w:rsid w:val="00D95703"/>
    <w:rsid w:val="00D959F9"/>
    <w:rsid w:val="00D95B11"/>
    <w:rsid w:val="00D95FAF"/>
    <w:rsid w:val="00D95FC9"/>
    <w:rsid w:val="00D96043"/>
    <w:rsid w:val="00D960D4"/>
    <w:rsid w:val="00D96367"/>
    <w:rsid w:val="00D966F6"/>
    <w:rsid w:val="00D96892"/>
    <w:rsid w:val="00D9696A"/>
    <w:rsid w:val="00D96A48"/>
    <w:rsid w:val="00D97064"/>
    <w:rsid w:val="00DA02DE"/>
    <w:rsid w:val="00DA0420"/>
    <w:rsid w:val="00DA0D58"/>
    <w:rsid w:val="00DA0F9A"/>
    <w:rsid w:val="00DA108D"/>
    <w:rsid w:val="00DA141E"/>
    <w:rsid w:val="00DA16DD"/>
    <w:rsid w:val="00DA1719"/>
    <w:rsid w:val="00DA188B"/>
    <w:rsid w:val="00DA1A50"/>
    <w:rsid w:val="00DA23F7"/>
    <w:rsid w:val="00DA2651"/>
    <w:rsid w:val="00DA2A66"/>
    <w:rsid w:val="00DA2E81"/>
    <w:rsid w:val="00DA3137"/>
    <w:rsid w:val="00DA38DB"/>
    <w:rsid w:val="00DA4165"/>
    <w:rsid w:val="00DA445E"/>
    <w:rsid w:val="00DA4750"/>
    <w:rsid w:val="00DA4B13"/>
    <w:rsid w:val="00DA4B14"/>
    <w:rsid w:val="00DA4EB1"/>
    <w:rsid w:val="00DA4F15"/>
    <w:rsid w:val="00DA4FD7"/>
    <w:rsid w:val="00DA57FB"/>
    <w:rsid w:val="00DA5875"/>
    <w:rsid w:val="00DA59D8"/>
    <w:rsid w:val="00DA5AA8"/>
    <w:rsid w:val="00DA5B4F"/>
    <w:rsid w:val="00DA5C82"/>
    <w:rsid w:val="00DA6ECC"/>
    <w:rsid w:val="00DA7A62"/>
    <w:rsid w:val="00DA7AD8"/>
    <w:rsid w:val="00DA7F3B"/>
    <w:rsid w:val="00DB028D"/>
    <w:rsid w:val="00DB0A8D"/>
    <w:rsid w:val="00DB0F05"/>
    <w:rsid w:val="00DB125D"/>
    <w:rsid w:val="00DB140A"/>
    <w:rsid w:val="00DB1551"/>
    <w:rsid w:val="00DB17ED"/>
    <w:rsid w:val="00DB1A9E"/>
    <w:rsid w:val="00DB1B6E"/>
    <w:rsid w:val="00DB2030"/>
    <w:rsid w:val="00DB2089"/>
    <w:rsid w:val="00DB26C1"/>
    <w:rsid w:val="00DB2B84"/>
    <w:rsid w:val="00DB339B"/>
    <w:rsid w:val="00DB3964"/>
    <w:rsid w:val="00DB4451"/>
    <w:rsid w:val="00DB452D"/>
    <w:rsid w:val="00DB4686"/>
    <w:rsid w:val="00DB4751"/>
    <w:rsid w:val="00DB477D"/>
    <w:rsid w:val="00DB4805"/>
    <w:rsid w:val="00DB4CBD"/>
    <w:rsid w:val="00DB4E11"/>
    <w:rsid w:val="00DB4E7E"/>
    <w:rsid w:val="00DB4EA5"/>
    <w:rsid w:val="00DB50FF"/>
    <w:rsid w:val="00DB5102"/>
    <w:rsid w:val="00DB511A"/>
    <w:rsid w:val="00DB51BF"/>
    <w:rsid w:val="00DB5922"/>
    <w:rsid w:val="00DB5A48"/>
    <w:rsid w:val="00DB5DCA"/>
    <w:rsid w:val="00DB639B"/>
    <w:rsid w:val="00DB641B"/>
    <w:rsid w:val="00DB6FAC"/>
    <w:rsid w:val="00DB701C"/>
    <w:rsid w:val="00DB70FC"/>
    <w:rsid w:val="00DB7A9E"/>
    <w:rsid w:val="00DC0043"/>
    <w:rsid w:val="00DC0BD9"/>
    <w:rsid w:val="00DC1838"/>
    <w:rsid w:val="00DC1D9C"/>
    <w:rsid w:val="00DC1EA7"/>
    <w:rsid w:val="00DC1EE5"/>
    <w:rsid w:val="00DC1F9B"/>
    <w:rsid w:val="00DC25D6"/>
    <w:rsid w:val="00DC2C9B"/>
    <w:rsid w:val="00DC2D4B"/>
    <w:rsid w:val="00DC2FBC"/>
    <w:rsid w:val="00DC32B1"/>
    <w:rsid w:val="00DC3BCA"/>
    <w:rsid w:val="00DC40B3"/>
    <w:rsid w:val="00DC4558"/>
    <w:rsid w:val="00DC45DE"/>
    <w:rsid w:val="00DC4906"/>
    <w:rsid w:val="00DC4DA0"/>
    <w:rsid w:val="00DC4E57"/>
    <w:rsid w:val="00DC4E74"/>
    <w:rsid w:val="00DC55FA"/>
    <w:rsid w:val="00DC56CF"/>
    <w:rsid w:val="00DC5BE3"/>
    <w:rsid w:val="00DC5D10"/>
    <w:rsid w:val="00DC5DF0"/>
    <w:rsid w:val="00DC6211"/>
    <w:rsid w:val="00DC6A60"/>
    <w:rsid w:val="00DC6CCA"/>
    <w:rsid w:val="00DC72B7"/>
    <w:rsid w:val="00DD0367"/>
    <w:rsid w:val="00DD1238"/>
    <w:rsid w:val="00DD1801"/>
    <w:rsid w:val="00DD2CB0"/>
    <w:rsid w:val="00DD350B"/>
    <w:rsid w:val="00DD3617"/>
    <w:rsid w:val="00DD3889"/>
    <w:rsid w:val="00DD3A81"/>
    <w:rsid w:val="00DD3B92"/>
    <w:rsid w:val="00DD3C9F"/>
    <w:rsid w:val="00DD3E3E"/>
    <w:rsid w:val="00DD401F"/>
    <w:rsid w:val="00DD4B02"/>
    <w:rsid w:val="00DD51F0"/>
    <w:rsid w:val="00DD5546"/>
    <w:rsid w:val="00DD5691"/>
    <w:rsid w:val="00DD57B1"/>
    <w:rsid w:val="00DD58C0"/>
    <w:rsid w:val="00DD5DBD"/>
    <w:rsid w:val="00DD6465"/>
    <w:rsid w:val="00DD6556"/>
    <w:rsid w:val="00DD69F1"/>
    <w:rsid w:val="00DD6A7B"/>
    <w:rsid w:val="00DD6B08"/>
    <w:rsid w:val="00DD6BD9"/>
    <w:rsid w:val="00DD7914"/>
    <w:rsid w:val="00DD7B7D"/>
    <w:rsid w:val="00DD7BE9"/>
    <w:rsid w:val="00DD7C93"/>
    <w:rsid w:val="00DE02F8"/>
    <w:rsid w:val="00DE0375"/>
    <w:rsid w:val="00DE0831"/>
    <w:rsid w:val="00DE1108"/>
    <w:rsid w:val="00DE129D"/>
    <w:rsid w:val="00DE132A"/>
    <w:rsid w:val="00DE1901"/>
    <w:rsid w:val="00DE1A89"/>
    <w:rsid w:val="00DE1BAA"/>
    <w:rsid w:val="00DE2661"/>
    <w:rsid w:val="00DE2967"/>
    <w:rsid w:val="00DE299C"/>
    <w:rsid w:val="00DE2F58"/>
    <w:rsid w:val="00DE363C"/>
    <w:rsid w:val="00DE3B74"/>
    <w:rsid w:val="00DE42D2"/>
    <w:rsid w:val="00DE42DA"/>
    <w:rsid w:val="00DE42EF"/>
    <w:rsid w:val="00DE43CA"/>
    <w:rsid w:val="00DE47D3"/>
    <w:rsid w:val="00DE4841"/>
    <w:rsid w:val="00DE4FDC"/>
    <w:rsid w:val="00DE513B"/>
    <w:rsid w:val="00DE53B6"/>
    <w:rsid w:val="00DE573B"/>
    <w:rsid w:val="00DE6716"/>
    <w:rsid w:val="00DE6B65"/>
    <w:rsid w:val="00DE6B98"/>
    <w:rsid w:val="00DE7047"/>
    <w:rsid w:val="00DE7736"/>
    <w:rsid w:val="00DE780E"/>
    <w:rsid w:val="00DE7AA7"/>
    <w:rsid w:val="00DF023C"/>
    <w:rsid w:val="00DF1436"/>
    <w:rsid w:val="00DF160E"/>
    <w:rsid w:val="00DF1796"/>
    <w:rsid w:val="00DF18C0"/>
    <w:rsid w:val="00DF18CF"/>
    <w:rsid w:val="00DF1E6C"/>
    <w:rsid w:val="00DF2401"/>
    <w:rsid w:val="00DF247C"/>
    <w:rsid w:val="00DF279A"/>
    <w:rsid w:val="00DF2BFB"/>
    <w:rsid w:val="00DF2C7C"/>
    <w:rsid w:val="00DF2C9B"/>
    <w:rsid w:val="00DF30BE"/>
    <w:rsid w:val="00DF34B8"/>
    <w:rsid w:val="00DF3565"/>
    <w:rsid w:val="00DF36AC"/>
    <w:rsid w:val="00DF3D42"/>
    <w:rsid w:val="00DF3DFC"/>
    <w:rsid w:val="00DF3F2F"/>
    <w:rsid w:val="00DF472A"/>
    <w:rsid w:val="00DF4EE7"/>
    <w:rsid w:val="00DF5027"/>
    <w:rsid w:val="00DF5486"/>
    <w:rsid w:val="00DF5506"/>
    <w:rsid w:val="00DF5631"/>
    <w:rsid w:val="00DF5CBE"/>
    <w:rsid w:val="00DF611F"/>
    <w:rsid w:val="00DF682F"/>
    <w:rsid w:val="00DF68A8"/>
    <w:rsid w:val="00DF6C2C"/>
    <w:rsid w:val="00DF6DEA"/>
    <w:rsid w:val="00DF704E"/>
    <w:rsid w:val="00DF71C0"/>
    <w:rsid w:val="00DF7822"/>
    <w:rsid w:val="00DF7EE6"/>
    <w:rsid w:val="00E0001E"/>
    <w:rsid w:val="00E0131A"/>
    <w:rsid w:val="00E01341"/>
    <w:rsid w:val="00E013CD"/>
    <w:rsid w:val="00E0153E"/>
    <w:rsid w:val="00E01857"/>
    <w:rsid w:val="00E01899"/>
    <w:rsid w:val="00E02A8F"/>
    <w:rsid w:val="00E03345"/>
    <w:rsid w:val="00E033AF"/>
    <w:rsid w:val="00E036DC"/>
    <w:rsid w:val="00E038B6"/>
    <w:rsid w:val="00E039E7"/>
    <w:rsid w:val="00E03F9C"/>
    <w:rsid w:val="00E04544"/>
    <w:rsid w:val="00E04976"/>
    <w:rsid w:val="00E049CB"/>
    <w:rsid w:val="00E05227"/>
    <w:rsid w:val="00E05975"/>
    <w:rsid w:val="00E059C9"/>
    <w:rsid w:val="00E06364"/>
    <w:rsid w:val="00E068C2"/>
    <w:rsid w:val="00E0693A"/>
    <w:rsid w:val="00E06B65"/>
    <w:rsid w:val="00E06BFF"/>
    <w:rsid w:val="00E06FB7"/>
    <w:rsid w:val="00E074B6"/>
    <w:rsid w:val="00E075BE"/>
    <w:rsid w:val="00E076D3"/>
    <w:rsid w:val="00E07F01"/>
    <w:rsid w:val="00E10240"/>
    <w:rsid w:val="00E102D4"/>
    <w:rsid w:val="00E1044D"/>
    <w:rsid w:val="00E10508"/>
    <w:rsid w:val="00E10A4F"/>
    <w:rsid w:val="00E10AFF"/>
    <w:rsid w:val="00E10D9C"/>
    <w:rsid w:val="00E110D7"/>
    <w:rsid w:val="00E113BB"/>
    <w:rsid w:val="00E114D8"/>
    <w:rsid w:val="00E11DF5"/>
    <w:rsid w:val="00E120A0"/>
    <w:rsid w:val="00E120FE"/>
    <w:rsid w:val="00E12802"/>
    <w:rsid w:val="00E12AF9"/>
    <w:rsid w:val="00E12FD1"/>
    <w:rsid w:val="00E13BDE"/>
    <w:rsid w:val="00E13CD7"/>
    <w:rsid w:val="00E1402D"/>
    <w:rsid w:val="00E14589"/>
    <w:rsid w:val="00E147DA"/>
    <w:rsid w:val="00E1512B"/>
    <w:rsid w:val="00E154A9"/>
    <w:rsid w:val="00E1575C"/>
    <w:rsid w:val="00E15BE1"/>
    <w:rsid w:val="00E16C62"/>
    <w:rsid w:val="00E170BC"/>
    <w:rsid w:val="00E1713B"/>
    <w:rsid w:val="00E17927"/>
    <w:rsid w:val="00E17B45"/>
    <w:rsid w:val="00E200C0"/>
    <w:rsid w:val="00E20145"/>
    <w:rsid w:val="00E20406"/>
    <w:rsid w:val="00E2057D"/>
    <w:rsid w:val="00E20673"/>
    <w:rsid w:val="00E20899"/>
    <w:rsid w:val="00E20D12"/>
    <w:rsid w:val="00E20E73"/>
    <w:rsid w:val="00E210BC"/>
    <w:rsid w:val="00E211BE"/>
    <w:rsid w:val="00E21590"/>
    <w:rsid w:val="00E217DC"/>
    <w:rsid w:val="00E21A0D"/>
    <w:rsid w:val="00E21AD2"/>
    <w:rsid w:val="00E21CF0"/>
    <w:rsid w:val="00E21E32"/>
    <w:rsid w:val="00E22AA6"/>
    <w:rsid w:val="00E22F56"/>
    <w:rsid w:val="00E2311F"/>
    <w:rsid w:val="00E23958"/>
    <w:rsid w:val="00E23A69"/>
    <w:rsid w:val="00E23A7C"/>
    <w:rsid w:val="00E23EFA"/>
    <w:rsid w:val="00E242AB"/>
    <w:rsid w:val="00E247EF"/>
    <w:rsid w:val="00E2515C"/>
    <w:rsid w:val="00E25B2F"/>
    <w:rsid w:val="00E25CB1"/>
    <w:rsid w:val="00E25D18"/>
    <w:rsid w:val="00E2627C"/>
    <w:rsid w:val="00E26364"/>
    <w:rsid w:val="00E265A5"/>
    <w:rsid w:val="00E26D8F"/>
    <w:rsid w:val="00E26DF5"/>
    <w:rsid w:val="00E26E03"/>
    <w:rsid w:val="00E27198"/>
    <w:rsid w:val="00E27440"/>
    <w:rsid w:val="00E27848"/>
    <w:rsid w:val="00E2791E"/>
    <w:rsid w:val="00E27B99"/>
    <w:rsid w:val="00E27F1F"/>
    <w:rsid w:val="00E303E4"/>
    <w:rsid w:val="00E3042C"/>
    <w:rsid w:val="00E304D4"/>
    <w:rsid w:val="00E3062B"/>
    <w:rsid w:val="00E3075B"/>
    <w:rsid w:val="00E3095C"/>
    <w:rsid w:val="00E30B40"/>
    <w:rsid w:val="00E3129D"/>
    <w:rsid w:val="00E3178C"/>
    <w:rsid w:val="00E31AE1"/>
    <w:rsid w:val="00E31CE1"/>
    <w:rsid w:val="00E31E70"/>
    <w:rsid w:val="00E31EE2"/>
    <w:rsid w:val="00E321A8"/>
    <w:rsid w:val="00E3222C"/>
    <w:rsid w:val="00E3254D"/>
    <w:rsid w:val="00E32602"/>
    <w:rsid w:val="00E32AB8"/>
    <w:rsid w:val="00E32CB2"/>
    <w:rsid w:val="00E32E02"/>
    <w:rsid w:val="00E33385"/>
    <w:rsid w:val="00E334CE"/>
    <w:rsid w:val="00E33662"/>
    <w:rsid w:val="00E336E3"/>
    <w:rsid w:val="00E338B9"/>
    <w:rsid w:val="00E349A4"/>
    <w:rsid w:val="00E34D5B"/>
    <w:rsid w:val="00E35123"/>
    <w:rsid w:val="00E35662"/>
    <w:rsid w:val="00E359BA"/>
    <w:rsid w:val="00E35ABE"/>
    <w:rsid w:val="00E35ACF"/>
    <w:rsid w:val="00E35E9F"/>
    <w:rsid w:val="00E35EF5"/>
    <w:rsid w:val="00E35F66"/>
    <w:rsid w:val="00E363A0"/>
    <w:rsid w:val="00E364CC"/>
    <w:rsid w:val="00E36514"/>
    <w:rsid w:val="00E3656F"/>
    <w:rsid w:val="00E37834"/>
    <w:rsid w:val="00E37DC8"/>
    <w:rsid w:val="00E37FDC"/>
    <w:rsid w:val="00E40488"/>
    <w:rsid w:val="00E40D3A"/>
    <w:rsid w:val="00E40ED0"/>
    <w:rsid w:val="00E40FAA"/>
    <w:rsid w:val="00E410AD"/>
    <w:rsid w:val="00E41260"/>
    <w:rsid w:val="00E41344"/>
    <w:rsid w:val="00E41499"/>
    <w:rsid w:val="00E4158A"/>
    <w:rsid w:val="00E41D66"/>
    <w:rsid w:val="00E4212F"/>
    <w:rsid w:val="00E42D7E"/>
    <w:rsid w:val="00E432DD"/>
    <w:rsid w:val="00E43A2E"/>
    <w:rsid w:val="00E43D03"/>
    <w:rsid w:val="00E43DC6"/>
    <w:rsid w:val="00E43E2B"/>
    <w:rsid w:val="00E44002"/>
    <w:rsid w:val="00E441B4"/>
    <w:rsid w:val="00E444A7"/>
    <w:rsid w:val="00E45AA7"/>
    <w:rsid w:val="00E469C4"/>
    <w:rsid w:val="00E473A7"/>
    <w:rsid w:val="00E47432"/>
    <w:rsid w:val="00E477CB"/>
    <w:rsid w:val="00E478F9"/>
    <w:rsid w:val="00E5005E"/>
    <w:rsid w:val="00E504E2"/>
    <w:rsid w:val="00E5058A"/>
    <w:rsid w:val="00E50FC2"/>
    <w:rsid w:val="00E51095"/>
    <w:rsid w:val="00E516F5"/>
    <w:rsid w:val="00E51DAF"/>
    <w:rsid w:val="00E52D7F"/>
    <w:rsid w:val="00E52FAF"/>
    <w:rsid w:val="00E5356B"/>
    <w:rsid w:val="00E53FEA"/>
    <w:rsid w:val="00E54176"/>
    <w:rsid w:val="00E5434D"/>
    <w:rsid w:val="00E55143"/>
    <w:rsid w:val="00E5536D"/>
    <w:rsid w:val="00E555B9"/>
    <w:rsid w:val="00E55C9F"/>
    <w:rsid w:val="00E5631F"/>
    <w:rsid w:val="00E568C1"/>
    <w:rsid w:val="00E5700D"/>
    <w:rsid w:val="00E577C9"/>
    <w:rsid w:val="00E57E91"/>
    <w:rsid w:val="00E6001A"/>
    <w:rsid w:val="00E601DD"/>
    <w:rsid w:val="00E6029F"/>
    <w:rsid w:val="00E6032A"/>
    <w:rsid w:val="00E603EE"/>
    <w:rsid w:val="00E6057B"/>
    <w:rsid w:val="00E60A9C"/>
    <w:rsid w:val="00E60B23"/>
    <w:rsid w:val="00E60BF9"/>
    <w:rsid w:val="00E60C01"/>
    <w:rsid w:val="00E619EC"/>
    <w:rsid w:val="00E6205C"/>
    <w:rsid w:val="00E6239F"/>
    <w:rsid w:val="00E62AFC"/>
    <w:rsid w:val="00E62BF7"/>
    <w:rsid w:val="00E62C44"/>
    <w:rsid w:val="00E632AF"/>
    <w:rsid w:val="00E634FA"/>
    <w:rsid w:val="00E63647"/>
    <w:rsid w:val="00E637B9"/>
    <w:rsid w:val="00E6388D"/>
    <w:rsid w:val="00E63A7D"/>
    <w:rsid w:val="00E63FE8"/>
    <w:rsid w:val="00E646D7"/>
    <w:rsid w:val="00E64C99"/>
    <w:rsid w:val="00E652CF"/>
    <w:rsid w:val="00E65389"/>
    <w:rsid w:val="00E65651"/>
    <w:rsid w:val="00E66210"/>
    <w:rsid w:val="00E66942"/>
    <w:rsid w:val="00E66A28"/>
    <w:rsid w:val="00E66E18"/>
    <w:rsid w:val="00E66EAF"/>
    <w:rsid w:val="00E673EA"/>
    <w:rsid w:val="00E67E1F"/>
    <w:rsid w:val="00E70669"/>
    <w:rsid w:val="00E7070F"/>
    <w:rsid w:val="00E70718"/>
    <w:rsid w:val="00E70A31"/>
    <w:rsid w:val="00E716E8"/>
    <w:rsid w:val="00E71D3F"/>
    <w:rsid w:val="00E71FFC"/>
    <w:rsid w:val="00E721A9"/>
    <w:rsid w:val="00E7229E"/>
    <w:rsid w:val="00E7282D"/>
    <w:rsid w:val="00E72D0A"/>
    <w:rsid w:val="00E73032"/>
    <w:rsid w:val="00E73C76"/>
    <w:rsid w:val="00E73E88"/>
    <w:rsid w:val="00E741D8"/>
    <w:rsid w:val="00E742AC"/>
    <w:rsid w:val="00E743B3"/>
    <w:rsid w:val="00E74AF5"/>
    <w:rsid w:val="00E74CC7"/>
    <w:rsid w:val="00E74CFB"/>
    <w:rsid w:val="00E7500C"/>
    <w:rsid w:val="00E759C4"/>
    <w:rsid w:val="00E75B04"/>
    <w:rsid w:val="00E75F50"/>
    <w:rsid w:val="00E7613A"/>
    <w:rsid w:val="00E7655E"/>
    <w:rsid w:val="00E76598"/>
    <w:rsid w:val="00E769E8"/>
    <w:rsid w:val="00E76FE1"/>
    <w:rsid w:val="00E77934"/>
    <w:rsid w:val="00E77A1C"/>
    <w:rsid w:val="00E804A8"/>
    <w:rsid w:val="00E807C3"/>
    <w:rsid w:val="00E810CA"/>
    <w:rsid w:val="00E815E2"/>
    <w:rsid w:val="00E81C91"/>
    <w:rsid w:val="00E81CE6"/>
    <w:rsid w:val="00E8241E"/>
    <w:rsid w:val="00E82520"/>
    <w:rsid w:val="00E82767"/>
    <w:rsid w:val="00E82870"/>
    <w:rsid w:val="00E82B72"/>
    <w:rsid w:val="00E8312B"/>
    <w:rsid w:val="00E83A7C"/>
    <w:rsid w:val="00E83AC3"/>
    <w:rsid w:val="00E83C61"/>
    <w:rsid w:val="00E8423F"/>
    <w:rsid w:val="00E8437B"/>
    <w:rsid w:val="00E846C8"/>
    <w:rsid w:val="00E8472F"/>
    <w:rsid w:val="00E84852"/>
    <w:rsid w:val="00E84ADD"/>
    <w:rsid w:val="00E84D50"/>
    <w:rsid w:val="00E84F78"/>
    <w:rsid w:val="00E8570D"/>
    <w:rsid w:val="00E8624D"/>
    <w:rsid w:val="00E869A7"/>
    <w:rsid w:val="00E86A44"/>
    <w:rsid w:val="00E871C6"/>
    <w:rsid w:val="00E87BD0"/>
    <w:rsid w:val="00E90243"/>
    <w:rsid w:val="00E90623"/>
    <w:rsid w:val="00E90BE5"/>
    <w:rsid w:val="00E90EE6"/>
    <w:rsid w:val="00E91096"/>
    <w:rsid w:val="00E91FD1"/>
    <w:rsid w:val="00E9207C"/>
    <w:rsid w:val="00E922E3"/>
    <w:rsid w:val="00E9260C"/>
    <w:rsid w:val="00E92907"/>
    <w:rsid w:val="00E92D39"/>
    <w:rsid w:val="00E92E29"/>
    <w:rsid w:val="00E93D36"/>
    <w:rsid w:val="00E943E8"/>
    <w:rsid w:val="00E9518D"/>
    <w:rsid w:val="00E95BEA"/>
    <w:rsid w:val="00E960FF"/>
    <w:rsid w:val="00E9632A"/>
    <w:rsid w:val="00E964C2"/>
    <w:rsid w:val="00E964FC"/>
    <w:rsid w:val="00E968E7"/>
    <w:rsid w:val="00E96B4A"/>
    <w:rsid w:val="00EA0A8E"/>
    <w:rsid w:val="00EA0F2A"/>
    <w:rsid w:val="00EA10AF"/>
    <w:rsid w:val="00EA10BA"/>
    <w:rsid w:val="00EA11FF"/>
    <w:rsid w:val="00EA1AA4"/>
    <w:rsid w:val="00EA1D7B"/>
    <w:rsid w:val="00EA20F3"/>
    <w:rsid w:val="00EA2499"/>
    <w:rsid w:val="00EA3020"/>
    <w:rsid w:val="00EA30CE"/>
    <w:rsid w:val="00EA341A"/>
    <w:rsid w:val="00EA342E"/>
    <w:rsid w:val="00EA3ABE"/>
    <w:rsid w:val="00EA3DB3"/>
    <w:rsid w:val="00EA3F05"/>
    <w:rsid w:val="00EA3FD5"/>
    <w:rsid w:val="00EA3FFE"/>
    <w:rsid w:val="00EA4036"/>
    <w:rsid w:val="00EA4503"/>
    <w:rsid w:val="00EA45F1"/>
    <w:rsid w:val="00EA4BD4"/>
    <w:rsid w:val="00EA4E0C"/>
    <w:rsid w:val="00EA4EE4"/>
    <w:rsid w:val="00EA50F3"/>
    <w:rsid w:val="00EA5314"/>
    <w:rsid w:val="00EA5332"/>
    <w:rsid w:val="00EA5679"/>
    <w:rsid w:val="00EA569D"/>
    <w:rsid w:val="00EA5FF5"/>
    <w:rsid w:val="00EA60C4"/>
    <w:rsid w:val="00EA6492"/>
    <w:rsid w:val="00EA6D08"/>
    <w:rsid w:val="00EA6DA4"/>
    <w:rsid w:val="00EA71FD"/>
    <w:rsid w:val="00EA728A"/>
    <w:rsid w:val="00EA7827"/>
    <w:rsid w:val="00EA783A"/>
    <w:rsid w:val="00EA798D"/>
    <w:rsid w:val="00EA7E10"/>
    <w:rsid w:val="00EA7FB2"/>
    <w:rsid w:val="00EB00C4"/>
    <w:rsid w:val="00EB0370"/>
    <w:rsid w:val="00EB0447"/>
    <w:rsid w:val="00EB06DA"/>
    <w:rsid w:val="00EB0762"/>
    <w:rsid w:val="00EB0AA5"/>
    <w:rsid w:val="00EB20ED"/>
    <w:rsid w:val="00EB2126"/>
    <w:rsid w:val="00EB2686"/>
    <w:rsid w:val="00EB2A15"/>
    <w:rsid w:val="00EB2A96"/>
    <w:rsid w:val="00EB2CCB"/>
    <w:rsid w:val="00EB2F34"/>
    <w:rsid w:val="00EB39A0"/>
    <w:rsid w:val="00EB39DF"/>
    <w:rsid w:val="00EB3A1C"/>
    <w:rsid w:val="00EB47E8"/>
    <w:rsid w:val="00EB492F"/>
    <w:rsid w:val="00EB4BC3"/>
    <w:rsid w:val="00EB4FBE"/>
    <w:rsid w:val="00EB519A"/>
    <w:rsid w:val="00EB55D7"/>
    <w:rsid w:val="00EB55FC"/>
    <w:rsid w:val="00EB56AE"/>
    <w:rsid w:val="00EB577B"/>
    <w:rsid w:val="00EB5889"/>
    <w:rsid w:val="00EB5AFF"/>
    <w:rsid w:val="00EB5B74"/>
    <w:rsid w:val="00EB632D"/>
    <w:rsid w:val="00EB6445"/>
    <w:rsid w:val="00EB67CE"/>
    <w:rsid w:val="00EB6AA7"/>
    <w:rsid w:val="00EB6CFA"/>
    <w:rsid w:val="00EB6D57"/>
    <w:rsid w:val="00EB728C"/>
    <w:rsid w:val="00EB75C4"/>
    <w:rsid w:val="00EB7951"/>
    <w:rsid w:val="00EB7FEE"/>
    <w:rsid w:val="00EC0173"/>
    <w:rsid w:val="00EC09E2"/>
    <w:rsid w:val="00EC0F9B"/>
    <w:rsid w:val="00EC1594"/>
    <w:rsid w:val="00EC1881"/>
    <w:rsid w:val="00EC19CF"/>
    <w:rsid w:val="00EC1AFE"/>
    <w:rsid w:val="00EC1F7F"/>
    <w:rsid w:val="00EC24DF"/>
    <w:rsid w:val="00EC24E9"/>
    <w:rsid w:val="00EC26B1"/>
    <w:rsid w:val="00EC26D3"/>
    <w:rsid w:val="00EC2EB9"/>
    <w:rsid w:val="00EC2ECB"/>
    <w:rsid w:val="00EC2F36"/>
    <w:rsid w:val="00EC2F72"/>
    <w:rsid w:val="00EC348E"/>
    <w:rsid w:val="00EC3591"/>
    <w:rsid w:val="00EC362F"/>
    <w:rsid w:val="00EC38AF"/>
    <w:rsid w:val="00EC4419"/>
    <w:rsid w:val="00EC4918"/>
    <w:rsid w:val="00EC49F8"/>
    <w:rsid w:val="00EC4B9B"/>
    <w:rsid w:val="00EC4E91"/>
    <w:rsid w:val="00EC5131"/>
    <w:rsid w:val="00EC525E"/>
    <w:rsid w:val="00EC5817"/>
    <w:rsid w:val="00EC5A13"/>
    <w:rsid w:val="00EC5EA8"/>
    <w:rsid w:val="00EC6490"/>
    <w:rsid w:val="00EC6562"/>
    <w:rsid w:val="00EC70B5"/>
    <w:rsid w:val="00EC7334"/>
    <w:rsid w:val="00ED0380"/>
    <w:rsid w:val="00ED052E"/>
    <w:rsid w:val="00ED0825"/>
    <w:rsid w:val="00ED08A2"/>
    <w:rsid w:val="00ED09BD"/>
    <w:rsid w:val="00ED0E30"/>
    <w:rsid w:val="00ED1549"/>
    <w:rsid w:val="00ED1569"/>
    <w:rsid w:val="00ED1D14"/>
    <w:rsid w:val="00ED1EF1"/>
    <w:rsid w:val="00ED2A60"/>
    <w:rsid w:val="00ED2A8F"/>
    <w:rsid w:val="00ED2E47"/>
    <w:rsid w:val="00ED2F53"/>
    <w:rsid w:val="00ED2F9F"/>
    <w:rsid w:val="00ED31DA"/>
    <w:rsid w:val="00ED3672"/>
    <w:rsid w:val="00ED3A4F"/>
    <w:rsid w:val="00ED3A8D"/>
    <w:rsid w:val="00ED3EC2"/>
    <w:rsid w:val="00ED42DA"/>
    <w:rsid w:val="00ED4451"/>
    <w:rsid w:val="00ED445F"/>
    <w:rsid w:val="00ED45C7"/>
    <w:rsid w:val="00ED4ABE"/>
    <w:rsid w:val="00ED4CED"/>
    <w:rsid w:val="00ED52F0"/>
    <w:rsid w:val="00ED6401"/>
    <w:rsid w:val="00ED69BC"/>
    <w:rsid w:val="00ED6E31"/>
    <w:rsid w:val="00ED7206"/>
    <w:rsid w:val="00ED720F"/>
    <w:rsid w:val="00ED7749"/>
    <w:rsid w:val="00ED7ABB"/>
    <w:rsid w:val="00ED7F6B"/>
    <w:rsid w:val="00EE01B4"/>
    <w:rsid w:val="00EE039E"/>
    <w:rsid w:val="00EE0AA9"/>
    <w:rsid w:val="00EE0B70"/>
    <w:rsid w:val="00EE12B5"/>
    <w:rsid w:val="00EE14E4"/>
    <w:rsid w:val="00EE18CD"/>
    <w:rsid w:val="00EE18EE"/>
    <w:rsid w:val="00EE1AC0"/>
    <w:rsid w:val="00EE217E"/>
    <w:rsid w:val="00EE2488"/>
    <w:rsid w:val="00EE2B1E"/>
    <w:rsid w:val="00EE2D9C"/>
    <w:rsid w:val="00EE3302"/>
    <w:rsid w:val="00EE342F"/>
    <w:rsid w:val="00EE3912"/>
    <w:rsid w:val="00EE3BBC"/>
    <w:rsid w:val="00EE454F"/>
    <w:rsid w:val="00EE46D6"/>
    <w:rsid w:val="00EE4C45"/>
    <w:rsid w:val="00EE4CCF"/>
    <w:rsid w:val="00EE4D5D"/>
    <w:rsid w:val="00EE5544"/>
    <w:rsid w:val="00EE5E7D"/>
    <w:rsid w:val="00EE5F61"/>
    <w:rsid w:val="00EE61BD"/>
    <w:rsid w:val="00EE6D64"/>
    <w:rsid w:val="00EE7180"/>
    <w:rsid w:val="00EE7550"/>
    <w:rsid w:val="00EE7D46"/>
    <w:rsid w:val="00EF01EC"/>
    <w:rsid w:val="00EF03C3"/>
    <w:rsid w:val="00EF0526"/>
    <w:rsid w:val="00EF05E0"/>
    <w:rsid w:val="00EF1145"/>
    <w:rsid w:val="00EF14BD"/>
    <w:rsid w:val="00EF1541"/>
    <w:rsid w:val="00EF1819"/>
    <w:rsid w:val="00EF184F"/>
    <w:rsid w:val="00EF1FBB"/>
    <w:rsid w:val="00EF2596"/>
    <w:rsid w:val="00EF2A8F"/>
    <w:rsid w:val="00EF2EE3"/>
    <w:rsid w:val="00EF2F26"/>
    <w:rsid w:val="00EF3586"/>
    <w:rsid w:val="00EF3660"/>
    <w:rsid w:val="00EF37E2"/>
    <w:rsid w:val="00EF3B9C"/>
    <w:rsid w:val="00EF429D"/>
    <w:rsid w:val="00EF4A8F"/>
    <w:rsid w:val="00EF4BF3"/>
    <w:rsid w:val="00EF5708"/>
    <w:rsid w:val="00EF5869"/>
    <w:rsid w:val="00EF5988"/>
    <w:rsid w:val="00EF5B71"/>
    <w:rsid w:val="00EF5CF0"/>
    <w:rsid w:val="00EF62A4"/>
    <w:rsid w:val="00EF6358"/>
    <w:rsid w:val="00EF6C9C"/>
    <w:rsid w:val="00EF6CFB"/>
    <w:rsid w:val="00EF6E4C"/>
    <w:rsid w:val="00EF72AE"/>
    <w:rsid w:val="00EF7422"/>
    <w:rsid w:val="00EF78E3"/>
    <w:rsid w:val="00EF7958"/>
    <w:rsid w:val="00F0003E"/>
    <w:rsid w:val="00F000D4"/>
    <w:rsid w:val="00F005BF"/>
    <w:rsid w:val="00F006FE"/>
    <w:rsid w:val="00F007E1"/>
    <w:rsid w:val="00F00D9D"/>
    <w:rsid w:val="00F00ECB"/>
    <w:rsid w:val="00F0171E"/>
    <w:rsid w:val="00F01BC7"/>
    <w:rsid w:val="00F01F0A"/>
    <w:rsid w:val="00F02129"/>
    <w:rsid w:val="00F023C9"/>
    <w:rsid w:val="00F02A3B"/>
    <w:rsid w:val="00F02C90"/>
    <w:rsid w:val="00F02E45"/>
    <w:rsid w:val="00F02F30"/>
    <w:rsid w:val="00F03294"/>
    <w:rsid w:val="00F035F6"/>
    <w:rsid w:val="00F03CFB"/>
    <w:rsid w:val="00F040FF"/>
    <w:rsid w:val="00F041CF"/>
    <w:rsid w:val="00F0435E"/>
    <w:rsid w:val="00F044C1"/>
    <w:rsid w:val="00F04955"/>
    <w:rsid w:val="00F04A6D"/>
    <w:rsid w:val="00F04DCB"/>
    <w:rsid w:val="00F0508B"/>
    <w:rsid w:val="00F05328"/>
    <w:rsid w:val="00F053CB"/>
    <w:rsid w:val="00F054A2"/>
    <w:rsid w:val="00F05549"/>
    <w:rsid w:val="00F0579C"/>
    <w:rsid w:val="00F05BF5"/>
    <w:rsid w:val="00F05FB1"/>
    <w:rsid w:val="00F0647C"/>
    <w:rsid w:val="00F064DD"/>
    <w:rsid w:val="00F064F1"/>
    <w:rsid w:val="00F0675C"/>
    <w:rsid w:val="00F06791"/>
    <w:rsid w:val="00F06CB2"/>
    <w:rsid w:val="00F06D70"/>
    <w:rsid w:val="00F076B1"/>
    <w:rsid w:val="00F07B01"/>
    <w:rsid w:val="00F07C78"/>
    <w:rsid w:val="00F101C4"/>
    <w:rsid w:val="00F10EBD"/>
    <w:rsid w:val="00F10FF2"/>
    <w:rsid w:val="00F112B2"/>
    <w:rsid w:val="00F113DF"/>
    <w:rsid w:val="00F11439"/>
    <w:rsid w:val="00F118AA"/>
    <w:rsid w:val="00F118E0"/>
    <w:rsid w:val="00F118ED"/>
    <w:rsid w:val="00F119D6"/>
    <w:rsid w:val="00F1212E"/>
    <w:rsid w:val="00F121FC"/>
    <w:rsid w:val="00F123A1"/>
    <w:rsid w:val="00F126B1"/>
    <w:rsid w:val="00F12842"/>
    <w:rsid w:val="00F12A11"/>
    <w:rsid w:val="00F12C6E"/>
    <w:rsid w:val="00F1331F"/>
    <w:rsid w:val="00F13546"/>
    <w:rsid w:val="00F13933"/>
    <w:rsid w:val="00F13990"/>
    <w:rsid w:val="00F15416"/>
    <w:rsid w:val="00F157CD"/>
    <w:rsid w:val="00F1625A"/>
    <w:rsid w:val="00F162AC"/>
    <w:rsid w:val="00F16474"/>
    <w:rsid w:val="00F16937"/>
    <w:rsid w:val="00F1709B"/>
    <w:rsid w:val="00F17335"/>
    <w:rsid w:val="00F17535"/>
    <w:rsid w:val="00F17564"/>
    <w:rsid w:val="00F17622"/>
    <w:rsid w:val="00F1775F"/>
    <w:rsid w:val="00F17A03"/>
    <w:rsid w:val="00F17B76"/>
    <w:rsid w:val="00F17B85"/>
    <w:rsid w:val="00F20088"/>
    <w:rsid w:val="00F2009D"/>
    <w:rsid w:val="00F20181"/>
    <w:rsid w:val="00F20752"/>
    <w:rsid w:val="00F2083C"/>
    <w:rsid w:val="00F20DAA"/>
    <w:rsid w:val="00F21062"/>
    <w:rsid w:val="00F217BA"/>
    <w:rsid w:val="00F223C8"/>
    <w:rsid w:val="00F22975"/>
    <w:rsid w:val="00F22E84"/>
    <w:rsid w:val="00F22FFB"/>
    <w:rsid w:val="00F230F8"/>
    <w:rsid w:val="00F2377D"/>
    <w:rsid w:val="00F23CEF"/>
    <w:rsid w:val="00F23D1D"/>
    <w:rsid w:val="00F23F4A"/>
    <w:rsid w:val="00F240D2"/>
    <w:rsid w:val="00F24590"/>
    <w:rsid w:val="00F248FB"/>
    <w:rsid w:val="00F24A5D"/>
    <w:rsid w:val="00F24DD7"/>
    <w:rsid w:val="00F24EBD"/>
    <w:rsid w:val="00F2556F"/>
    <w:rsid w:val="00F2569F"/>
    <w:rsid w:val="00F262C3"/>
    <w:rsid w:val="00F263DD"/>
    <w:rsid w:val="00F264EE"/>
    <w:rsid w:val="00F26502"/>
    <w:rsid w:val="00F2677D"/>
    <w:rsid w:val="00F26828"/>
    <w:rsid w:val="00F2697F"/>
    <w:rsid w:val="00F270D6"/>
    <w:rsid w:val="00F27185"/>
    <w:rsid w:val="00F2728B"/>
    <w:rsid w:val="00F274CD"/>
    <w:rsid w:val="00F276C3"/>
    <w:rsid w:val="00F277D0"/>
    <w:rsid w:val="00F27B2C"/>
    <w:rsid w:val="00F3010A"/>
    <w:rsid w:val="00F30119"/>
    <w:rsid w:val="00F3038C"/>
    <w:rsid w:val="00F3041B"/>
    <w:rsid w:val="00F30449"/>
    <w:rsid w:val="00F30470"/>
    <w:rsid w:val="00F30A41"/>
    <w:rsid w:val="00F30BB7"/>
    <w:rsid w:val="00F30C35"/>
    <w:rsid w:val="00F31C11"/>
    <w:rsid w:val="00F3226D"/>
    <w:rsid w:val="00F3284A"/>
    <w:rsid w:val="00F329FC"/>
    <w:rsid w:val="00F32EA8"/>
    <w:rsid w:val="00F332C1"/>
    <w:rsid w:val="00F3339F"/>
    <w:rsid w:val="00F33508"/>
    <w:rsid w:val="00F33A61"/>
    <w:rsid w:val="00F33AE6"/>
    <w:rsid w:val="00F33F95"/>
    <w:rsid w:val="00F3439B"/>
    <w:rsid w:val="00F34ACF"/>
    <w:rsid w:val="00F35A04"/>
    <w:rsid w:val="00F35C49"/>
    <w:rsid w:val="00F35CFB"/>
    <w:rsid w:val="00F361B1"/>
    <w:rsid w:val="00F36306"/>
    <w:rsid w:val="00F365EA"/>
    <w:rsid w:val="00F36C20"/>
    <w:rsid w:val="00F37206"/>
    <w:rsid w:val="00F37590"/>
    <w:rsid w:val="00F3771B"/>
    <w:rsid w:val="00F37BBD"/>
    <w:rsid w:val="00F37EFD"/>
    <w:rsid w:val="00F40186"/>
    <w:rsid w:val="00F40BAC"/>
    <w:rsid w:val="00F40BC9"/>
    <w:rsid w:val="00F40CAF"/>
    <w:rsid w:val="00F40CEB"/>
    <w:rsid w:val="00F411A7"/>
    <w:rsid w:val="00F414BA"/>
    <w:rsid w:val="00F422A7"/>
    <w:rsid w:val="00F427B6"/>
    <w:rsid w:val="00F4292C"/>
    <w:rsid w:val="00F42BEC"/>
    <w:rsid w:val="00F430CF"/>
    <w:rsid w:val="00F43548"/>
    <w:rsid w:val="00F436EA"/>
    <w:rsid w:val="00F437A8"/>
    <w:rsid w:val="00F43B29"/>
    <w:rsid w:val="00F43DAA"/>
    <w:rsid w:val="00F447AD"/>
    <w:rsid w:val="00F44805"/>
    <w:rsid w:val="00F4481E"/>
    <w:rsid w:val="00F45115"/>
    <w:rsid w:val="00F454AB"/>
    <w:rsid w:val="00F457B7"/>
    <w:rsid w:val="00F4585B"/>
    <w:rsid w:val="00F45A26"/>
    <w:rsid w:val="00F45A6A"/>
    <w:rsid w:val="00F45AF5"/>
    <w:rsid w:val="00F45EB7"/>
    <w:rsid w:val="00F45F85"/>
    <w:rsid w:val="00F45FEA"/>
    <w:rsid w:val="00F463B9"/>
    <w:rsid w:val="00F4645C"/>
    <w:rsid w:val="00F4653A"/>
    <w:rsid w:val="00F46849"/>
    <w:rsid w:val="00F46C80"/>
    <w:rsid w:val="00F46DDB"/>
    <w:rsid w:val="00F46F0C"/>
    <w:rsid w:val="00F46F81"/>
    <w:rsid w:val="00F47061"/>
    <w:rsid w:val="00F475FF"/>
    <w:rsid w:val="00F50154"/>
    <w:rsid w:val="00F50212"/>
    <w:rsid w:val="00F502E1"/>
    <w:rsid w:val="00F50DBA"/>
    <w:rsid w:val="00F51392"/>
    <w:rsid w:val="00F515E8"/>
    <w:rsid w:val="00F51615"/>
    <w:rsid w:val="00F5178D"/>
    <w:rsid w:val="00F52072"/>
    <w:rsid w:val="00F526D8"/>
    <w:rsid w:val="00F52965"/>
    <w:rsid w:val="00F52A2B"/>
    <w:rsid w:val="00F52E19"/>
    <w:rsid w:val="00F530EC"/>
    <w:rsid w:val="00F531BA"/>
    <w:rsid w:val="00F538AC"/>
    <w:rsid w:val="00F53B51"/>
    <w:rsid w:val="00F53E98"/>
    <w:rsid w:val="00F54AE5"/>
    <w:rsid w:val="00F55444"/>
    <w:rsid w:val="00F55598"/>
    <w:rsid w:val="00F55730"/>
    <w:rsid w:val="00F55A0C"/>
    <w:rsid w:val="00F55A66"/>
    <w:rsid w:val="00F55C9F"/>
    <w:rsid w:val="00F55CD3"/>
    <w:rsid w:val="00F55CE5"/>
    <w:rsid w:val="00F55D00"/>
    <w:rsid w:val="00F55FE7"/>
    <w:rsid w:val="00F56271"/>
    <w:rsid w:val="00F5645D"/>
    <w:rsid w:val="00F56534"/>
    <w:rsid w:val="00F565E3"/>
    <w:rsid w:val="00F56CEC"/>
    <w:rsid w:val="00F56DFB"/>
    <w:rsid w:val="00F56F11"/>
    <w:rsid w:val="00F573F7"/>
    <w:rsid w:val="00F57AC9"/>
    <w:rsid w:val="00F57DE6"/>
    <w:rsid w:val="00F60386"/>
    <w:rsid w:val="00F60449"/>
    <w:rsid w:val="00F6064E"/>
    <w:rsid w:val="00F60C05"/>
    <w:rsid w:val="00F6125F"/>
    <w:rsid w:val="00F618CB"/>
    <w:rsid w:val="00F61967"/>
    <w:rsid w:val="00F61B61"/>
    <w:rsid w:val="00F61C3E"/>
    <w:rsid w:val="00F61EAF"/>
    <w:rsid w:val="00F6200B"/>
    <w:rsid w:val="00F623FF"/>
    <w:rsid w:val="00F624DA"/>
    <w:rsid w:val="00F62659"/>
    <w:rsid w:val="00F62D47"/>
    <w:rsid w:val="00F6323A"/>
    <w:rsid w:val="00F633CF"/>
    <w:rsid w:val="00F63401"/>
    <w:rsid w:val="00F63B34"/>
    <w:rsid w:val="00F63F23"/>
    <w:rsid w:val="00F64224"/>
    <w:rsid w:val="00F64896"/>
    <w:rsid w:val="00F64D1A"/>
    <w:rsid w:val="00F64D3B"/>
    <w:rsid w:val="00F64DAE"/>
    <w:rsid w:val="00F64E2A"/>
    <w:rsid w:val="00F65032"/>
    <w:rsid w:val="00F6535F"/>
    <w:rsid w:val="00F65577"/>
    <w:rsid w:val="00F65618"/>
    <w:rsid w:val="00F65B85"/>
    <w:rsid w:val="00F65CF9"/>
    <w:rsid w:val="00F65D67"/>
    <w:rsid w:val="00F6613D"/>
    <w:rsid w:val="00F6655B"/>
    <w:rsid w:val="00F6669E"/>
    <w:rsid w:val="00F66B7B"/>
    <w:rsid w:val="00F66FF6"/>
    <w:rsid w:val="00F6720D"/>
    <w:rsid w:val="00F679B0"/>
    <w:rsid w:val="00F67A57"/>
    <w:rsid w:val="00F67C01"/>
    <w:rsid w:val="00F67D06"/>
    <w:rsid w:val="00F67D9F"/>
    <w:rsid w:val="00F70002"/>
    <w:rsid w:val="00F70588"/>
    <w:rsid w:val="00F706DB"/>
    <w:rsid w:val="00F70AA9"/>
    <w:rsid w:val="00F7180A"/>
    <w:rsid w:val="00F71934"/>
    <w:rsid w:val="00F72319"/>
    <w:rsid w:val="00F726DD"/>
    <w:rsid w:val="00F727BB"/>
    <w:rsid w:val="00F72912"/>
    <w:rsid w:val="00F7298B"/>
    <w:rsid w:val="00F72BE6"/>
    <w:rsid w:val="00F72C2E"/>
    <w:rsid w:val="00F731FA"/>
    <w:rsid w:val="00F73203"/>
    <w:rsid w:val="00F73D9E"/>
    <w:rsid w:val="00F73FF4"/>
    <w:rsid w:val="00F741AC"/>
    <w:rsid w:val="00F74AE8"/>
    <w:rsid w:val="00F75478"/>
    <w:rsid w:val="00F75AE0"/>
    <w:rsid w:val="00F75D06"/>
    <w:rsid w:val="00F75D58"/>
    <w:rsid w:val="00F7611D"/>
    <w:rsid w:val="00F76247"/>
    <w:rsid w:val="00F76804"/>
    <w:rsid w:val="00F7687F"/>
    <w:rsid w:val="00F77399"/>
    <w:rsid w:val="00F77704"/>
    <w:rsid w:val="00F77788"/>
    <w:rsid w:val="00F77DF4"/>
    <w:rsid w:val="00F77F3C"/>
    <w:rsid w:val="00F805BF"/>
    <w:rsid w:val="00F80BC3"/>
    <w:rsid w:val="00F813E2"/>
    <w:rsid w:val="00F81604"/>
    <w:rsid w:val="00F81977"/>
    <w:rsid w:val="00F819D9"/>
    <w:rsid w:val="00F81C67"/>
    <w:rsid w:val="00F81E9F"/>
    <w:rsid w:val="00F81EB9"/>
    <w:rsid w:val="00F82297"/>
    <w:rsid w:val="00F82DFE"/>
    <w:rsid w:val="00F83327"/>
    <w:rsid w:val="00F83A4C"/>
    <w:rsid w:val="00F83B94"/>
    <w:rsid w:val="00F83C9A"/>
    <w:rsid w:val="00F83CED"/>
    <w:rsid w:val="00F8431F"/>
    <w:rsid w:val="00F84591"/>
    <w:rsid w:val="00F84AB5"/>
    <w:rsid w:val="00F84C66"/>
    <w:rsid w:val="00F85616"/>
    <w:rsid w:val="00F85B6A"/>
    <w:rsid w:val="00F85C11"/>
    <w:rsid w:val="00F85C32"/>
    <w:rsid w:val="00F85EE9"/>
    <w:rsid w:val="00F861D3"/>
    <w:rsid w:val="00F8633A"/>
    <w:rsid w:val="00F863EA"/>
    <w:rsid w:val="00F8647C"/>
    <w:rsid w:val="00F8703C"/>
    <w:rsid w:val="00F87406"/>
    <w:rsid w:val="00F877B3"/>
    <w:rsid w:val="00F904E5"/>
    <w:rsid w:val="00F90711"/>
    <w:rsid w:val="00F90852"/>
    <w:rsid w:val="00F9088B"/>
    <w:rsid w:val="00F90937"/>
    <w:rsid w:val="00F913B6"/>
    <w:rsid w:val="00F9164A"/>
    <w:rsid w:val="00F91C48"/>
    <w:rsid w:val="00F91DC4"/>
    <w:rsid w:val="00F921BD"/>
    <w:rsid w:val="00F9260B"/>
    <w:rsid w:val="00F92700"/>
    <w:rsid w:val="00F92905"/>
    <w:rsid w:val="00F92F87"/>
    <w:rsid w:val="00F9353B"/>
    <w:rsid w:val="00F9382B"/>
    <w:rsid w:val="00F9397F"/>
    <w:rsid w:val="00F93C8D"/>
    <w:rsid w:val="00F943C6"/>
    <w:rsid w:val="00F9455E"/>
    <w:rsid w:val="00F94B74"/>
    <w:rsid w:val="00F94F31"/>
    <w:rsid w:val="00F94FC0"/>
    <w:rsid w:val="00F95667"/>
    <w:rsid w:val="00F9568D"/>
    <w:rsid w:val="00F95B53"/>
    <w:rsid w:val="00F95B7E"/>
    <w:rsid w:val="00F95FCD"/>
    <w:rsid w:val="00F9613E"/>
    <w:rsid w:val="00F96E26"/>
    <w:rsid w:val="00F97343"/>
    <w:rsid w:val="00F97486"/>
    <w:rsid w:val="00F97910"/>
    <w:rsid w:val="00F97921"/>
    <w:rsid w:val="00F97AB3"/>
    <w:rsid w:val="00F97B71"/>
    <w:rsid w:val="00F97DAC"/>
    <w:rsid w:val="00F97F85"/>
    <w:rsid w:val="00FA041C"/>
    <w:rsid w:val="00FA053C"/>
    <w:rsid w:val="00FA08C1"/>
    <w:rsid w:val="00FA0F18"/>
    <w:rsid w:val="00FA1C19"/>
    <w:rsid w:val="00FA20E4"/>
    <w:rsid w:val="00FA2E60"/>
    <w:rsid w:val="00FA2ECA"/>
    <w:rsid w:val="00FA2EF8"/>
    <w:rsid w:val="00FA3627"/>
    <w:rsid w:val="00FA36B6"/>
    <w:rsid w:val="00FA3A11"/>
    <w:rsid w:val="00FA3A5F"/>
    <w:rsid w:val="00FA4172"/>
    <w:rsid w:val="00FA4196"/>
    <w:rsid w:val="00FA44A7"/>
    <w:rsid w:val="00FA47A7"/>
    <w:rsid w:val="00FA4C29"/>
    <w:rsid w:val="00FA503F"/>
    <w:rsid w:val="00FA5459"/>
    <w:rsid w:val="00FA56ED"/>
    <w:rsid w:val="00FA5A3C"/>
    <w:rsid w:val="00FA6159"/>
    <w:rsid w:val="00FA6609"/>
    <w:rsid w:val="00FA6664"/>
    <w:rsid w:val="00FA67CD"/>
    <w:rsid w:val="00FA6B67"/>
    <w:rsid w:val="00FA707A"/>
    <w:rsid w:val="00FA719E"/>
    <w:rsid w:val="00FA7271"/>
    <w:rsid w:val="00FA7C88"/>
    <w:rsid w:val="00FA7E3A"/>
    <w:rsid w:val="00FB00E6"/>
    <w:rsid w:val="00FB04BA"/>
    <w:rsid w:val="00FB0D3F"/>
    <w:rsid w:val="00FB15A0"/>
    <w:rsid w:val="00FB182E"/>
    <w:rsid w:val="00FB1902"/>
    <w:rsid w:val="00FB194D"/>
    <w:rsid w:val="00FB1DC8"/>
    <w:rsid w:val="00FB21AA"/>
    <w:rsid w:val="00FB238D"/>
    <w:rsid w:val="00FB24A4"/>
    <w:rsid w:val="00FB2924"/>
    <w:rsid w:val="00FB2AE5"/>
    <w:rsid w:val="00FB2B07"/>
    <w:rsid w:val="00FB2E15"/>
    <w:rsid w:val="00FB3976"/>
    <w:rsid w:val="00FB39F4"/>
    <w:rsid w:val="00FB3A1C"/>
    <w:rsid w:val="00FB3F66"/>
    <w:rsid w:val="00FB4597"/>
    <w:rsid w:val="00FB4A37"/>
    <w:rsid w:val="00FB4CC3"/>
    <w:rsid w:val="00FB50FF"/>
    <w:rsid w:val="00FB5288"/>
    <w:rsid w:val="00FB55E5"/>
    <w:rsid w:val="00FB5FA9"/>
    <w:rsid w:val="00FB6ED1"/>
    <w:rsid w:val="00FB7477"/>
    <w:rsid w:val="00FB74E6"/>
    <w:rsid w:val="00FB76A5"/>
    <w:rsid w:val="00FB7820"/>
    <w:rsid w:val="00FB7875"/>
    <w:rsid w:val="00FC0228"/>
    <w:rsid w:val="00FC0683"/>
    <w:rsid w:val="00FC0A85"/>
    <w:rsid w:val="00FC0F73"/>
    <w:rsid w:val="00FC0FC2"/>
    <w:rsid w:val="00FC0FD7"/>
    <w:rsid w:val="00FC0FD8"/>
    <w:rsid w:val="00FC1008"/>
    <w:rsid w:val="00FC1411"/>
    <w:rsid w:val="00FC1C9D"/>
    <w:rsid w:val="00FC1F0C"/>
    <w:rsid w:val="00FC1FB3"/>
    <w:rsid w:val="00FC1FEA"/>
    <w:rsid w:val="00FC22E4"/>
    <w:rsid w:val="00FC23F2"/>
    <w:rsid w:val="00FC27A6"/>
    <w:rsid w:val="00FC3A64"/>
    <w:rsid w:val="00FC3B68"/>
    <w:rsid w:val="00FC4273"/>
    <w:rsid w:val="00FC428F"/>
    <w:rsid w:val="00FC4A12"/>
    <w:rsid w:val="00FC4CDC"/>
    <w:rsid w:val="00FC5215"/>
    <w:rsid w:val="00FC52B9"/>
    <w:rsid w:val="00FC5423"/>
    <w:rsid w:val="00FC5453"/>
    <w:rsid w:val="00FC58DE"/>
    <w:rsid w:val="00FC5CE0"/>
    <w:rsid w:val="00FC5F46"/>
    <w:rsid w:val="00FC5F7C"/>
    <w:rsid w:val="00FC60A3"/>
    <w:rsid w:val="00FC6626"/>
    <w:rsid w:val="00FC6757"/>
    <w:rsid w:val="00FC688D"/>
    <w:rsid w:val="00FC6D43"/>
    <w:rsid w:val="00FC79A5"/>
    <w:rsid w:val="00FC7C70"/>
    <w:rsid w:val="00FC7CF8"/>
    <w:rsid w:val="00FC7DE3"/>
    <w:rsid w:val="00FD02A5"/>
    <w:rsid w:val="00FD02AE"/>
    <w:rsid w:val="00FD0973"/>
    <w:rsid w:val="00FD099E"/>
    <w:rsid w:val="00FD0B83"/>
    <w:rsid w:val="00FD160A"/>
    <w:rsid w:val="00FD182E"/>
    <w:rsid w:val="00FD19C1"/>
    <w:rsid w:val="00FD1CFA"/>
    <w:rsid w:val="00FD1F88"/>
    <w:rsid w:val="00FD26E1"/>
    <w:rsid w:val="00FD2725"/>
    <w:rsid w:val="00FD2CFA"/>
    <w:rsid w:val="00FD3097"/>
    <w:rsid w:val="00FD32D7"/>
    <w:rsid w:val="00FD38A7"/>
    <w:rsid w:val="00FD41C6"/>
    <w:rsid w:val="00FD44BE"/>
    <w:rsid w:val="00FD4E73"/>
    <w:rsid w:val="00FD4EA4"/>
    <w:rsid w:val="00FD510B"/>
    <w:rsid w:val="00FD5235"/>
    <w:rsid w:val="00FD54DB"/>
    <w:rsid w:val="00FD558F"/>
    <w:rsid w:val="00FD57FF"/>
    <w:rsid w:val="00FD5AA5"/>
    <w:rsid w:val="00FD5D4C"/>
    <w:rsid w:val="00FD70C1"/>
    <w:rsid w:val="00FD73A3"/>
    <w:rsid w:val="00FD768A"/>
    <w:rsid w:val="00FD7793"/>
    <w:rsid w:val="00FD780F"/>
    <w:rsid w:val="00FD794E"/>
    <w:rsid w:val="00FD7E7E"/>
    <w:rsid w:val="00FE01C3"/>
    <w:rsid w:val="00FE0485"/>
    <w:rsid w:val="00FE04EA"/>
    <w:rsid w:val="00FE0630"/>
    <w:rsid w:val="00FE0ABF"/>
    <w:rsid w:val="00FE0BD7"/>
    <w:rsid w:val="00FE0C63"/>
    <w:rsid w:val="00FE0D0E"/>
    <w:rsid w:val="00FE0EDA"/>
    <w:rsid w:val="00FE10D5"/>
    <w:rsid w:val="00FE1143"/>
    <w:rsid w:val="00FE1977"/>
    <w:rsid w:val="00FE2290"/>
    <w:rsid w:val="00FE24F4"/>
    <w:rsid w:val="00FE25F6"/>
    <w:rsid w:val="00FE2823"/>
    <w:rsid w:val="00FE29BA"/>
    <w:rsid w:val="00FE2A7B"/>
    <w:rsid w:val="00FE32FE"/>
    <w:rsid w:val="00FE3599"/>
    <w:rsid w:val="00FE4EE7"/>
    <w:rsid w:val="00FE4FF1"/>
    <w:rsid w:val="00FE5283"/>
    <w:rsid w:val="00FE6376"/>
    <w:rsid w:val="00FE640E"/>
    <w:rsid w:val="00FE692F"/>
    <w:rsid w:val="00FE7498"/>
    <w:rsid w:val="00FE74B4"/>
    <w:rsid w:val="00FE75DF"/>
    <w:rsid w:val="00FE7890"/>
    <w:rsid w:val="00FE7B05"/>
    <w:rsid w:val="00FE7CAB"/>
    <w:rsid w:val="00FF01BF"/>
    <w:rsid w:val="00FF0EE8"/>
    <w:rsid w:val="00FF0F0E"/>
    <w:rsid w:val="00FF0F8B"/>
    <w:rsid w:val="00FF1111"/>
    <w:rsid w:val="00FF1434"/>
    <w:rsid w:val="00FF1BDD"/>
    <w:rsid w:val="00FF1FCD"/>
    <w:rsid w:val="00FF2163"/>
    <w:rsid w:val="00FF23E7"/>
    <w:rsid w:val="00FF23FE"/>
    <w:rsid w:val="00FF285C"/>
    <w:rsid w:val="00FF2CEE"/>
    <w:rsid w:val="00FF3489"/>
    <w:rsid w:val="00FF36C0"/>
    <w:rsid w:val="00FF3B81"/>
    <w:rsid w:val="00FF4033"/>
    <w:rsid w:val="00FF4056"/>
    <w:rsid w:val="00FF4617"/>
    <w:rsid w:val="00FF469A"/>
    <w:rsid w:val="00FF51A8"/>
    <w:rsid w:val="00FF5622"/>
    <w:rsid w:val="00FF5C55"/>
    <w:rsid w:val="00FF6500"/>
    <w:rsid w:val="00FF6618"/>
    <w:rsid w:val="00FF662C"/>
    <w:rsid w:val="00FF67BE"/>
    <w:rsid w:val="00FF6A8B"/>
    <w:rsid w:val="00FF6D56"/>
    <w:rsid w:val="00FF6E0F"/>
    <w:rsid w:val="00FF737E"/>
    <w:rsid w:val="00FF78BF"/>
    <w:rsid w:val="00FF7C2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27B6B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1E0"/>
    <w:pPr>
      <w:widowControl w:val="0"/>
      <w:autoSpaceDE w:val="0"/>
      <w:autoSpaceDN w:val="0"/>
      <w:adjustRightInd w:val="0"/>
      <w:spacing w:after="240" w:line="240" w:lineRule="auto"/>
    </w:pPr>
    <w:rPr>
      <w:rFonts w:ascii="EYInterstate Light" w:eastAsia="Times New Roman" w:hAnsi="EYInterstate Light" w:cs="Times New Roman"/>
      <w:sz w:val="20"/>
      <w:szCs w:val="20"/>
    </w:rPr>
  </w:style>
  <w:style w:type="paragraph" w:styleId="Heading1">
    <w:name w:val="heading 1"/>
    <w:basedOn w:val="Normal"/>
    <w:next w:val="Normal"/>
    <w:link w:val="Heading1Char"/>
    <w:uiPriority w:val="9"/>
    <w:qFormat/>
    <w:rsid w:val="00905A4E"/>
    <w:pPr>
      <w:pageBreakBefore/>
      <w:widowControl/>
      <w:numPr>
        <w:numId w:val="10"/>
      </w:numPr>
      <w:autoSpaceDE/>
      <w:autoSpaceDN/>
      <w:adjustRightInd/>
      <w:spacing w:after="360"/>
      <w:outlineLvl w:val="0"/>
    </w:pPr>
    <w:rPr>
      <w:rFonts w:ascii="EYInterstate Regular" w:hAnsi="EYInterstate Regular"/>
      <w:color w:val="808080"/>
      <w:kern w:val="12"/>
      <w:sz w:val="32"/>
      <w:szCs w:val="24"/>
      <w:lang w:val="en-GB"/>
    </w:rPr>
  </w:style>
  <w:style w:type="paragraph" w:styleId="Heading2">
    <w:name w:val="heading 2"/>
    <w:basedOn w:val="Normal"/>
    <w:next w:val="Normal"/>
    <w:link w:val="Heading2Char"/>
    <w:uiPriority w:val="9"/>
    <w:qFormat/>
    <w:rsid w:val="00A940BF"/>
    <w:pPr>
      <w:keepNext/>
      <w:widowControl/>
      <w:numPr>
        <w:ilvl w:val="1"/>
        <w:numId w:val="10"/>
      </w:numPr>
      <w:autoSpaceDE/>
      <w:autoSpaceDN/>
      <w:adjustRightInd/>
      <w:spacing w:before="120" w:after="120"/>
      <w:outlineLvl w:val="1"/>
    </w:pPr>
    <w:rPr>
      <w:rFonts w:ascii="EYInterstate Regular" w:hAnsi="EYInterstate Regular"/>
      <w:kern w:val="12"/>
      <w:sz w:val="28"/>
      <w:szCs w:val="24"/>
      <w:lang w:val="en-GB"/>
    </w:rPr>
  </w:style>
  <w:style w:type="paragraph" w:styleId="Heading3">
    <w:name w:val="heading 3"/>
    <w:basedOn w:val="Heading2"/>
    <w:next w:val="Normal"/>
    <w:link w:val="Heading3Char"/>
    <w:uiPriority w:val="9"/>
    <w:unhideWhenUsed/>
    <w:qFormat/>
    <w:rsid w:val="00A940BF"/>
    <w:pPr>
      <w:numPr>
        <w:ilvl w:val="2"/>
      </w:numPr>
      <w:outlineLvl w:val="2"/>
    </w:pPr>
    <w:rPr>
      <w:rFonts w:ascii="EYInterstate Light" w:eastAsiaTheme="majorEastAsia" w:hAnsi="EYInterstate Light" w:cstheme="majorBidi"/>
      <w:b/>
      <w:bCs/>
      <w:sz w:val="24"/>
    </w:rPr>
  </w:style>
  <w:style w:type="paragraph" w:styleId="Heading4">
    <w:name w:val="heading 4"/>
    <w:basedOn w:val="Heading1"/>
    <w:next w:val="Normal"/>
    <w:link w:val="Heading4Char"/>
    <w:uiPriority w:val="1"/>
    <w:qFormat/>
    <w:rsid w:val="00CE67A9"/>
    <w:pPr>
      <w:pageBreakBefore w:val="0"/>
      <w:numPr>
        <w:numId w:val="2"/>
      </w:numPr>
      <w:spacing w:after="120"/>
      <w:outlineLvl w:val="3"/>
    </w:pPr>
    <w:rPr>
      <w:rFonts w:ascii="EYInterstate Light" w:hAnsi="EYInterstate Light"/>
      <w:b/>
      <w:color w:val="000000"/>
      <w:sz w:val="20"/>
    </w:rPr>
  </w:style>
  <w:style w:type="paragraph" w:styleId="Heading5">
    <w:name w:val="heading 5"/>
    <w:basedOn w:val="Normal"/>
    <w:next w:val="Normal"/>
    <w:link w:val="Heading5Char"/>
    <w:uiPriority w:val="1"/>
    <w:unhideWhenUsed/>
    <w:qFormat/>
    <w:rsid w:val="00875811"/>
    <w:pPr>
      <w:keepNext/>
      <w:keepLines/>
      <w:spacing w:before="120" w:after="120"/>
      <w:outlineLvl w:val="4"/>
    </w:pPr>
    <w:rPr>
      <w:rFonts w:eastAsiaTheme="majorEastAsia" w:cstheme="majorBidi"/>
      <w:b/>
    </w:rPr>
  </w:style>
  <w:style w:type="paragraph" w:styleId="Heading6">
    <w:name w:val="heading 6"/>
    <w:basedOn w:val="Heading5"/>
    <w:next w:val="Normal"/>
    <w:link w:val="Heading6Char"/>
    <w:uiPriority w:val="1"/>
    <w:unhideWhenUsed/>
    <w:qFormat/>
    <w:rsid w:val="008246F1"/>
    <w:pPr>
      <w:keepNext w:val="0"/>
      <w:keepLines w:val="0"/>
      <w:spacing w:before="0"/>
      <w:outlineLvl w:val="5"/>
    </w:pPr>
    <w:rPr>
      <w:iCs/>
    </w:rPr>
  </w:style>
  <w:style w:type="paragraph" w:styleId="Heading7">
    <w:name w:val="heading 7"/>
    <w:basedOn w:val="Normal"/>
    <w:next w:val="Normal"/>
    <w:link w:val="Heading7Char"/>
    <w:uiPriority w:val="9"/>
    <w:semiHidden/>
    <w:unhideWhenUsed/>
    <w:qFormat/>
    <w:rsid w:val="0087581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5DC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B5DC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A4E"/>
    <w:rPr>
      <w:rFonts w:ascii="EYInterstate Regular" w:eastAsia="Times New Roman" w:hAnsi="EYInterstate Regular" w:cs="Times New Roman"/>
      <w:color w:val="808080"/>
      <w:kern w:val="12"/>
      <w:sz w:val="32"/>
      <w:szCs w:val="24"/>
      <w:lang w:val="en-GB"/>
    </w:rPr>
  </w:style>
  <w:style w:type="character" w:customStyle="1" w:styleId="Heading2Char">
    <w:name w:val="Heading 2 Char"/>
    <w:basedOn w:val="DefaultParagraphFont"/>
    <w:link w:val="Heading2"/>
    <w:uiPriority w:val="9"/>
    <w:rsid w:val="00A940BF"/>
    <w:rPr>
      <w:rFonts w:ascii="EYInterstate Regular" w:eastAsia="Times New Roman" w:hAnsi="EYInterstate Regular" w:cs="Times New Roman"/>
      <w:kern w:val="12"/>
      <w:sz w:val="28"/>
      <w:szCs w:val="24"/>
      <w:lang w:val="en-GB"/>
    </w:rPr>
  </w:style>
  <w:style w:type="character" w:customStyle="1" w:styleId="Heading3Char">
    <w:name w:val="Heading 3 Char"/>
    <w:basedOn w:val="DefaultParagraphFont"/>
    <w:link w:val="Heading3"/>
    <w:uiPriority w:val="9"/>
    <w:rsid w:val="00A940BF"/>
    <w:rPr>
      <w:rFonts w:ascii="EYInterstate Light" w:eastAsiaTheme="majorEastAsia" w:hAnsi="EYInterstate Light" w:cstheme="majorBidi"/>
      <w:b/>
      <w:bCs/>
      <w:kern w:val="12"/>
      <w:sz w:val="24"/>
      <w:szCs w:val="24"/>
      <w:lang w:val="en-GB"/>
    </w:rPr>
  </w:style>
  <w:style w:type="character" w:customStyle="1" w:styleId="Heading4Char">
    <w:name w:val="Heading 4 Char"/>
    <w:basedOn w:val="DefaultParagraphFont"/>
    <w:link w:val="Heading4"/>
    <w:uiPriority w:val="1"/>
    <w:rsid w:val="00CE67A9"/>
    <w:rPr>
      <w:rFonts w:ascii="EYInterstate Light" w:eastAsia="Times New Roman" w:hAnsi="EYInterstate Light" w:cs="Times New Roman"/>
      <w:b/>
      <w:color w:val="000000"/>
      <w:kern w:val="12"/>
      <w:sz w:val="20"/>
      <w:szCs w:val="24"/>
      <w:lang w:val="en-GB"/>
    </w:rPr>
  </w:style>
  <w:style w:type="character" w:customStyle="1" w:styleId="Heading5Char">
    <w:name w:val="Heading 5 Char"/>
    <w:basedOn w:val="DefaultParagraphFont"/>
    <w:link w:val="Heading5"/>
    <w:uiPriority w:val="1"/>
    <w:rsid w:val="00875811"/>
    <w:rPr>
      <w:rFonts w:ascii="EYInterstate Light" w:eastAsiaTheme="majorEastAsia" w:hAnsi="EYInterstate Light" w:cstheme="majorBidi"/>
      <w:b/>
      <w:sz w:val="24"/>
      <w:szCs w:val="20"/>
    </w:rPr>
  </w:style>
  <w:style w:type="character" w:customStyle="1" w:styleId="Heading6Char">
    <w:name w:val="Heading 6 Char"/>
    <w:basedOn w:val="DefaultParagraphFont"/>
    <w:link w:val="Heading6"/>
    <w:uiPriority w:val="1"/>
    <w:rsid w:val="008246F1"/>
    <w:rPr>
      <w:rFonts w:ascii="EYInterstate Light" w:eastAsiaTheme="majorEastAsia" w:hAnsi="EYInterstate Light" w:cstheme="majorBidi"/>
      <w:b/>
      <w:iCs/>
      <w:sz w:val="24"/>
      <w:szCs w:val="20"/>
    </w:rPr>
  </w:style>
  <w:style w:type="character" w:customStyle="1" w:styleId="Heading7Char">
    <w:name w:val="Heading 7 Char"/>
    <w:basedOn w:val="DefaultParagraphFont"/>
    <w:link w:val="Heading7"/>
    <w:uiPriority w:val="9"/>
    <w:semiHidden/>
    <w:rsid w:val="00875811"/>
    <w:rPr>
      <w:rFonts w:asciiTheme="majorHAnsi" w:eastAsiaTheme="majorEastAsia" w:hAnsiTheme="majorHAnsi" w:cstheme="majorBidi"/>
      <w:i/>
      <w:iCs/>
      <w:color w:val="404040" w:themeColor="text1" w:themeTint="BF"/>
      <w:sz w:val="24"/>
      <w:szCs w:val="20"/>
    </w:rPr>
  </w:style>
  <w:style w:type="paragraph" w:customStyle="1" w:styleId="EYCoverTitle">
    <w:name w:val="EY Cover Title"/>
    <w:uiPriority w:val="99"/>
    <w:rsid w:val="005032B6"/>
    <w:pPr>
      <w:tabs>
        <w:tab w:val="right" w:pos="6750"/>
      </w:tabs>
      <w:spacing w:after="0" w:line="560" w:lineRule="exact"/>
    </w:pPr>
    <w:rPr>
      <w:rFonts w:ascii="EYInterstate Regular" w:eastAsia="Times New Roman" w:hAnsi="EYInterstate Regular" w:cs="Times New Roman"/>
      <w:color w:val="808080"/>
      <w:sz w:val="48"/>
      <w:szCs w:val="48"/>
      <w:lang w:val="en-US"/>
    </w:rPr>
  </w:style>
  <w:style w:type="paragraph" w:customStyle="1" w:styleId="EYFooterinfo">
    <w:name w:val="EY Footer info"/>
    <w:basedOn w:val="Normal"/>
    <w:uiPriority w:val="99"/>
    <w:rsid w:val="005032B6"/>
    <w:pPr>
      <w:widowControl/>
      <w:suppressAutoHyphens/>
      <w:autoSpaceDE/>
      <w:autoSpaceDN/>
      <w:adjustRightInd/>
    </w:pPr>
    <w:rPr>
      <w:color w:val="808080"/>
      <w:kern w:val="12"/>
      <w:sz w:val="12"/>
      <w:szCs w:val="24"/>
      <w:lang w:val="en-US"/>
    </w:rPr>
  </w:style>
  <w:style w:type="paragraph" w:styleId="Footer">
    <w:name w:val="footer"/>
    <w:aliases w:val="EY Footer"/>
    <w:basedOn w:val="Normal"/>
    <w:link w:val="FooterChar"/>
    <w:uiPriority w:val="99"/>
    <w:rsid w:val="005032B6"/>
    <w:pPr>
      <w:tabs>
        <w:tab w:val="center" w:pos="4320"/>
        <w:tab w:val="right" w:pos="8640"/>
      </w:tabs>
    </w:pPr>
  </w:style>
  <w:style w:type="character" w:customStyle="1" w:styleId="FooterChar">
    <w:name w:val="Footer Char"/>
    <w:aliases w:val="EY Footer Char"/>
    <w:basedOn w:val="DefaultParagraphFont"/>
    <w:link w:val="Footer"/>
    <w:uiPriority w:val="99"/>
    <w:rsid w:val="005032B6"/>
    <w:rPr>
      <w:rFonts w:ascii="EYInterstate Light" w:eastAsia="Times New Roman" w:hAnsi="EYInterstate Light" w:cs="Times New Roman"/>
      <w:sz w:val="24"/>
      <w:szCs w:val="20"/>
    </w:rPr>
  </w:style>
  <w:style w:type="paragraph" w:styleId="Header">
    <w:name w:val="header"/>
    <w:aliases w:val="EY Header"/>
    <w:basedOn w:val="Normal"/>
    <w:link w:val="HeaderChar"/>
    <w:uiPriority w:val="99"/>
    <w:rsid w:val="005032B6"/>
    <w:pPr>
      <w:tabs>
        <w:tab w:val="center" w:pos="4320"/>
        <w:tab w:val="right" w:pos="8640"/>
      </w:tabs>
    </w:pPr>
  </w:style>
  <w:style w:type="character" w:customStyle="1" w:styleId="HeaderChar">
    <w:name w:val="Header Char"/>
    <w:aliases w:val="EY Header Char"/>
    <w:basedOn w:val="DefaultParagraphFont"/>
    <w:link w:val="Header"/>
    <w:uiPriority w:val="99"/>
    <w:rsid w:val="005032B6"/>
    <w:rPr>
      <w:rFonts w:ascii="EYInterstate Light" w:eastAsia="Times New Roman" w:hAnsi="EYInterstate Light" w:cs="Times New Roman"/>
      <w:sz w:val="24"/>
      <w:szCs w:val="20"/>
    </w:rPr>
  </w:style>
  <w:style w:type="character" w:styleId="Hyperlink">
    <w:name w:val="Hyperlink"/>
    <w:basedOn w:val="DefaultParagraphFont"/>
    <w:uiPriority w:val="99"/>
    <w:rsid w:val="005032B6"/>
    <w:rPr>
      <w:color w:val="0000FF"/>
      <w:u w:val="single"/>
    </w:rPr>
  </w:style>
  <w:style w:type="paragraph" w:styleId="TOC1">
    <w:name w:val="toc 1"/>
    <w:basedOn w:val="Normal"/>
    <w:next w:val="Normal"/>
    <w:uiPriority w:val="39"/>
    <w:qFormat/>
    <w:rsid w:val="00C45451"/>
    <w:pPr>
      <w:widowControl/>
      <w:tabs>
        <w:tab w:val="left" w:pos="600"/>
        <w:tab w:val="right" w:leader="dot" w:pos="9000"/>
      </w:tabs>
      <w:autoSpaceDE/>
      <w:autoSpaceDN/>
      <w:adjustRightInd/>
      <w:snapToGrid w:val="0"/>
      <w:spacing w:before="120" w:after="120"/>
    </w:pPr>
    <w:rPr>
      <w:rFonts w:asciiTheme="minorHAnsi" w:hAnsiTheme="minorHAnsi" w:cs="Arial"/>
      <w:b/>
      <w:noProof/>
      <w:kern w:val="12"/>
      <w:szCs w:val="24"/>
      <w:lang w:val="en-US" w:eastAsia="en-GB"/>
    </w:rPr>
  </w:style>
  <w:style w:type="paragraph" w:styleId="TOC2">
    <w:name w:val="toc 2"/>
    <w:basedOn w:val="Normal"/>
    <w:next w:val="Normal"/>
    <w:uiPriority w:val="39"/>
    <w:qFormat/>
    <w:rsid w:val="004B15DC"/>
    <w:pPr>
      <w:widowControl/>
      <w:tabs>
        <w:tab w:val="left" w:pos="960"/>
        <w:tab w:val="right" w:leader="dot" w:pos="9000"/>
      </w:tabs>
      <w:autoSpaceDE/>
      <w:autoSpaceDN/>
      <w:adjustRightInd/>
      <w:snapToGrid w:val="0"/>
      <w:spacing w:after="0"/>
      <w:ind w:left="198"/>
    </w:pPr>
    <w:rPr>
      <w:rFonts w:asciiTheme="minorHAnsi" w:hAnsiTheme="minorHAnsi" w:cs="Arial"/>
      <w:noProof/>
      <w:kern w:val="12"/>
      <w:szCs w:val="24"/>
      <w:lang w:val="en-US" w:eastAsia="en-GB"/>
    </w:rPr>
  </w:style>
  <w:style w:type="paragraph" w:customStyle="1" w:styleId="EYCoverSubTitle">
    <w:name w:val="EY Cover SubTitle"/>
    <w:basedOn w:val="EYCoverTitle"/>
    <w:autoRedefine/>
    <w:uiPriority w:val="99"/>
    <w:rsid w:val="009A1301"/>
    <w:pPr>
      <w:tabs>
        <w:tab w:val="clear" w:pos="6750"/>
      </w:tabs>
      <w:spacing w:before="120" w:after="600" w:line="240" w:lineRule="auto"/>
    </w:pPr>
    <w:rPr>
      <w:rFonts w:asciiTheme="minorHAnsi" w:hAnsiTheme="minorHAnsi" w:cstheme="minorHAnsi"/>
      <w:color w:val="404040"/>
      <w:sz w:val="52"/>
    </w:rPr>
  </w:style>
  <w:style w:type="paragraph" w:customStyle="1" w:styleId="EYBulletedList1">
    <w:name w:val="EY Bulleted List 1"/>
    <w:uiPriority w:val="99"/>
    <w:qFormat/>
    <w:rsid w:val="00FC5F46"/>
    <w:pPr>
      <w:numPr>
        <w:numId w:val="1"/>
      </w:numPr>
      <w:spacing w:before="120" w:after="120" w:line="240" w:lineRule="auto"/>
    </w:pPr>
    <w:rPr>
      <w:rFonts w:ascii="EYInterstate Light" w:eastAsia="Times New Roman" w:hAnsi="EYInterstate Light" w:cs="Times New Roman"/>
      <w:kern w:val="12"/>
      <w:sz w:val="20"/>
      <w:szCs w:val="24"/>
      <w:lang w:val="en-US"/>
    </w:rPr>
  </w:style>
  <w:style w:type="table" w:styleId="TableGrid">
    <w:name w:val="Table Grid"/>
    <w:aliases w:val="none,EP Table Grid,CV table,EY Table,EY Question Table,EYTable,CV1,new tab,Equifax table,Header Table,Format for the table,Header Table Grid,ICB Table"/>
    <w:basedOn w:val="TableNormal"/>
    <w:uiPriority w:val="39"/>
    <w:rsid w:val="00CB53AB"/>
    <w:pPr>
      <w:spacing w:after="0" w:line="240" w:lineRule="auto"/>
    </w:pPr>
    <w:rPr>
      <w:rFonts w:eastAsia="Times New Roman" w:cs="Times New Roman"/>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32B6"/>
    <w:rPr>
      <w:rFonts w:ascii="Tahoma" w:hAnsi="Tahoma" w:cs="Tahoma"/>
      <w:sz w:val="16"/>
      <w:szCs w:val="16"/>
    </w:rPr>
  </w:style>
  <w:style w:type="character" w:customStyle="1" w:styleId="BalloonTextChar">
    <w:name w:val="Balloon Text Char"/>
    <w:basedOn w:val="DefaultParagraphFont"/>
    <w:link w:val="BalloonText"/>
    <w:uiPriority w:val="99"/>
    <w:semiHidden/>
    <w:rsid w:val="005032B6"/>
    <w:rPr>
      <w:rFonts w:ascii="Tahoma" w:eastAsia="Times New Roman" w:hAnsi="Tahoma" w:cs="Tahoma"/>
      <w:sz w:val="16"/>
      <w:szCs w:val="16"/>
    </w:rPr>
  </w:style>
  <w:style w:type="paragraph" w:customStyle="1" w:styleId="EYBodytextwithparaspace">
    <w:name w:val="EY Body text (with para space)"/>
    <w:basedOn w:val="Normal"/>
    <w:link w:val="EYBodytextwithparaspaceChar"/>
    <w:qFormat/>
    <w:rsid w:val="00A940BF"/>
    <w:pPr>
      <w:widowControl/>
      <w:autoSpaceDE/>
      <w:autoSpaceDN/>
      <w:adjustRightInd/>
    </w:pPr>
    <w:rPr>
      <w:kern w:val="12"/>
      <w:szCs w:val="24"/>
      <w:lang w:val="en-US"/>
    </w:rPr>
  </w:style>
  <w:style w:type="character" w:customStyle="1" w:styleId="EYBodytextwithparaspaceChar">
    <w:name w:val="EY Body text (with para space) Char"/>
    <w:basedOn w:val="DefaultParagraphFont"/>
    <w:link w:val="EYBodytextwithparaspace"/>
    <w:rsid w:val="00A940BF"/>
    <w:rPr>
      <w:rFonts w:ascii="EYInterstate Light" w:eastAsia="Times New Roman" w:hAnsi="EYInterstate Light" w:cs="Times New Roman"/>
      <w:kern w:val="12"/>
      <w:sz w:val="20"/>
      <w:szCs w:val="24"/>
      <w:lang w:val="en-US"/>
    </w:rPr>
  </w:style>
  <w:style w:type="character" w:styleId="FootnoteReference">
    <w:name w:val="footnote reference"/>
    <w:aliases w:val="fr"/>
    <w:basedOn w:val="DefaultParagraphFont"/>
    <w:uiPriority w:val="99"/>
    <w:rsid w:val="005032B6"/>
    <w:rPr>
      <w:rFonts w:ascii="EYInterstate Light" w:hAnsi="EYInterstate Light"/>
      <w:position w:val="6"/>
      <w:sz w:val="18"/>
      <w:szCs w:val="20"/>
      <w:vertAlign w:val="superscript"/>
    </w:rPr>
  </w:style>
  <w:style w:type="character" w:customStyle="1" w:styleId="FootnoteTextChar">
    <w:name w:val="Footnote Text Char"/>
    <w:aliases w:val="fn Char,FT Char,ft Char,SD Footnote Text Char,Footnote Text AG Char,ACMA Footnote Text Char"/>
    <w:basedOn w:val="DefaultParagraphFont"/>
    <w:link w:val="FootnoteText"/>
    <w:uiPriority w:val="99"/>
    <w:rsid w:val="00906E04"/>
    <w:rPr>
      <w:rFonts w:ascii="EYInterstate Light" w:hAnsi="EYInterstate Light"/>
      <w:sz w:val="18"/>
      <w:lang w:val="en-US"/>
    </w:rPr>
  </w:style>
  <w:style w:type="paragraph" w:styleId="FootnoteText">
    <w:name w:val="footnote text"/>
    <w:aliases w:val="fn,FT,ft,SD Footnote Text,Footnote Text AG,ACMA Footnote Text"/>
    <w:basedOn w:val="Normal"/>
    <w:link w:val="FootnoteTextChar"/>
    <w:uiPriority w:val="99"/>
    <w:qFormat/>
    <w:rsid w:val="00906E04"/>
    <w:pPr>
      <w:keepNext/>
      <w:keepLines/>
      <w:spacing w:after="0"/>
    </w:pPr>
    <w:rPr>
      <w:rFonts w:eastAsiaTheme="minorHAnsi" w:cstheme="minorBidi"/>
      <w:sz w:val="18"/>
      <w:szCs w:val="22"/>
      <w:lang w:val="en-US"/>
    </w:rPr>
  </w:style>
  <w:style w:type="character" w:customStyle="1" w:styleId="FootnoteTextChar1">
    <w:name w:val="Footnote Text Char1"/>
    <w:aliases w:val="fn Char1,FT Char1,ft Char1,SD Footnote Text Char1,Footnote Text AG Char1,ACMA Footnote Text Char1"/>
    <w:basedOn w:val="DefaultParagraphFont"/>
    <w:uiPriority w:val="99"/>
    <w:semiHidden/>
    <w:rsid w:val="005032B6"/>
    <w:rPr>
      <w:rFonts w:ascii="EYInterstate Light" w:eastAsia="Times New Roman" w:hAnsi="EYInterstate Light" w:cs="Times New Roman"/>
      <w:sz w:val="20"/>
      <w:szCs w:val="20"/>
    </w:rPr>
  </w:style>
  <w:style w:type="paragraph" w:styleId="ListParagraph">
    <w:name w:val="List Paragraph"/>
    <w:aliases w:val="List Paragraph1,Recommendation,Body text,Bullet point,List Paragraph11,NAST Quote,List Paragraph Number,L,Bullet Point,standard lewis,Figure_name,Numbered Indented Text,Bullet- First level,List NUmber,Listenabsatz1,lp1"/>
    <w:basedOn w:val="Normal"/>
    <w:link w:val="ListParagraphChar"/>
    <w:uiPriority w:val="34"/>
    <w:qFormat/>
    <w:rsid w:val="0075255E"/>
    <w:pPr>
      <w:ind w:left="720"/>
      <w:contextualSpacing/>
    </w:pPr>
  </w:style>
  <w:style w:type="character" w:customStyle="1" w:styleId="ListParagraphChar">
    <w:name w:val="List Paragraph Char"/>
    <w:aliases w:val="List Paragraph1 Char,Recommendation Char,Body text Char,Bullet point Char,List Paragraph11 Char,NAST Quote Char,List Paragraph Number Char,L Char,Bullet Point Char,standard lewis Char,Figure_name Char,Numbered Indented Text Char"/>
    <w:basedOn w:val="DefaultParagraphFont"/>
    <w:link w:val="ListParagraph"/>
    <w:uiPriority w:val="34"/>
    <w:rsid w:val="0075255E"/>
    <w:rPr>
      <w:rFonts w:ascii="EYInterstate Light" w:eastAsia="Times New Roman" w:hAnsi="EYInterstate Light" w:cs="Times New Roman"/>
      <w:sz w:val="20"/>
      <w:szCs w:val="20"/>
    </w:rPr>
  </w:style>
  <w:style w:type="paragraph" w:styleId="CommentText">
    <w:name w:val="annotation text"/>
    <w:basedOn w:val="Normal"/>
    <w:link w:val="CommentTextChar"/>
    <w:uiPriority w:val="99"/>
    <w:rsid w:val="005032B6"/>
  </w:style>
  <w:style w:type="character" w:customStyle="1" w:styleId="CommentTextChar">
    <w:name w:val="Comment Text Char"/>
    <w:basedOn w:val="DefaultParagraphFont"/>
    <w:link w:val="CommentText"/>
    <w:uiPriority w:val="99"/>
    <w:rsid w:val="005032B6"/>
    <w:rPr>
      <w:rFonts w:ascii="EYInterstate Light" w:eastAsia="Times New Roman" w:hAnsi="EYInterstate Light" w:cs="Times New Roman"/>
      <w:sz w:val="20"/>
      <w:szCs w:val="20"/>
    </w:rPr>
  </w:style>
  <w:style w:type="paragraph" w:customStyle="1" w:styleId="Default">
    <w:name w:val="Default"/>
    <w:link w:val="DefaultChar"/>
    <w:rsid w:val="00A940BF"/>
    <w:pPr>
      <w:autoSpaceDE w:val="0"/>
      <w:autoSpaceDN w:val="0"/>
      <w:adjustRightInd w:val="0"/>
      <w:spacing w:after="240" w:line="240" w:lineRule="auto"/>
    </w:pPr>
    <w:rPr>
      <w:rFonts w:ascii="EYInterstate Light" w:eastAsia="Times New Roman" w:hAnsi="EYInterstate Light" w:cs="Arial"/>
      <w:color w:val="000000"/>
      <w:sz w:val="20"/>
      <w:szCs w:val="24"/>
    </w:rPr>
  </w:style>
  <w:style w:type="table" w:customStyle="1" w:styleId="TableGrid1">
    <w:name w:val="Table Grid1"/>
    <w:basedOn w:val="TableNormal"/>
    <w:next w:val="TableGrid"/>
    <w:uiPriority w:val="59"/>
    <w:rsid w:val="008758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7581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5811"/>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rsid w:val="000A1660"/>
    <w:rPr>
      <w:sz w:val="16"/>
      <w:szCs w:val="16"/>
    </w:rPr>
  </w:style>
  <w:style w:type="paragraph" w:styleId="TOC3">
    <w:name w:val="toc 3"/>
    <w:basedOn w:val="Normal"/>
    <w:next w:val="Normal"/>
    <w:autoRedefine/>
    <w:uiPriority w:val="39"/>
    <w:unhideWhenUsed/>
    <w:qFormat/>
    <w:rsid w:val="00EC1881"/>
    <w:pPr>
      <w:spacing w:after="100"/>
      <w:ind w:left="480"/>
    </w:pPr>
  </w:style>
  <w:style w:type="paragraph" w:styleId="TOC4">
    <w:name w:val="toc 4"/>
    <w:basedOn w:val="Normal"/>
    <w:next w:val="Normal"/>
    <w:autoRedefine/>
    <w:uiPriority w:val="39"/>
    <w:unhideWhenUsed/>
    <w:rsid w:val="007811BD"/>
    <w:pPr>
      <w:widowControl/>
      <w:autoSpaceDE/>
      <w:autoSpaceDN/>
      <w:adjustRightInd/>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7811BD"/>
    <w:pPr>
      <w:widowControl/>
      <w:autoSpaceDE/>
      <w:autoSpaceDN/>
      <w:adjustRightInd/>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7811BD"/>
    <w:pPr>
      <w:widowControl/>
      <w:autoSpaceDE/>
      <w:autoSpaceDN/>
      <w:adjustRightInd/>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7811BD"/>
    <w:pPr>
      <w:widowControl/>
      <w:autoSpaceDE/>
      <w:autoSpaceDN/>
      <w:adjustRightInd/>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7811BD"/>
    <w:pPr>
      <w:widowControl/>
      <w:autoSpaceDE/>
      <w:autoSpaceDN/>
      <w:adjustRightInd/>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7811BD"/>
    <w:pPr>
      <w:widowControl/>
      <w:autoSpaceDE/>
      <w:autoSpaceDN/>
      <w:adjustRightInd/>
      <w:spacing w:after="100" w:line="276" w:lineRule="auto"/>
      <w:ind w:left="1760"/>
    </w:pPr>
    <w:rPr>
      <w:rFonts w:asciiTheme="minorHAnsi" w:eastAsiaTheme="minorEastAsia" w:hAnsiTheme="minorHAnsi" w:cstheme="minorBidi"/>
      <w:sz w:val="22"/>
      <w:szCs w:val="22"/>
      <w:lang w:eastAsia="en-AU"/>
    </w:rPr>
  </w:style>
  <w:style w:type="paragraph" w:styleId="TOCHeading">
    <w:name w:val="TOC Heading"/>
    <w:basedOn w:val="Heading1"/>
    <w:next w:val="Normal"/>
    <w:uiPriority w:val="39"/>
    <w:unhideWhenUsed/>
    <w:qFormat/>
    <w:rsid w:val="00C07A42"/>
    <w:pPr>
      <w:keepNext/>
      <w:keepLines/>
      <w:pageBreakBefore w:val="0"/>
      <w:numPr>
        <w:numId w:val="0"/>
      </w:numPr>
      <w:spacing w:before="480" w:after="0" w:line="276" w:lineRule="auto"/>
      <w:outlineLvl w:val="9"/>
    </w:pPr>
    <w:rPr>
      <w:rFonts w:asciiTheme="majorHAnsi" w:eastAsiaTheme="majorEastAsia" w:hAnsiTheme="majorHAnsi" w:cstheme="majorBidi"/>
      <w:b/>
      <w:bCs/>
      <w:color w:val="365F91" w:themeColor="accent1" w:themeShade="BF"/>
      <w:kern w:val="0"/>
      <w:sz w:val="28"/>
      <w:szCs w:val="28"/>
      <w:lang w:val="en-US" w:eastAsia="ja-JP"/>
    </w:rPr>
  </w:style>
  <w:style w:type="paragraph" w:styleId="NoSpacing">
    <w:name w:val="No Spacing"/>
    <w:uiPriority w:val="1"/>
    <w:qFormat/>
    <w:rsid w:val="004213F9"/>
    <w:pPr>
      <w:widowControl w:val="0"/>
      <w:autoSpaceDE w:val="0"/>
      <w:autoSpaceDN w:val="0"/>
      <w:adjustRightInd w:val="0"/>
      <w:spacing w:after="0" w:line="240" w:lineRule="auto"/>
    </w:pPr>
    <w:rPr>
      <w:rFonts w:ascii="EYInterstate Light" w:eastAsia="Times New Roman" w:hAnsi="EYInterstate Light" w:cs="Times New Roman"/>
      <w:sz w:val="24"/>
      <w:szCs w:val="20"/>
    </w:rPr>
  </w:style>
  <w:style w:type="paragraph" w:customStyle="1" w:styleId="Bullet1">
    <w:name w:val="Bullet 1"/>
    <w:uiPriority w:val="99"/>
    <w:rsid w:val="004C0296"/>
    <w:pPr>
      <w:numPr>
        <w:numId w:val="3"/>
      </w:numPr>
      <w:spacing w:before="120" w:after="120" w:line="240" w:lineRule="auto"/>
      <w:contextualSpacing/>
    </w:pPr>
    <w:rPr>
      <w:rFonts w:ascii="Arial" w:eastAsia="Times New Roman" w:hAnsi="Arial" w:cs="Times New Roman"/>
      <w:sz w:val="24"/>
      <w:szCs w:val="20"/>
      <w:lang w:eastAsia="en-AU"/>
    </w:rPr>
  </w:style>
  <w:style w:type="paragraph" w:customStyle="1" w:styleId="EYBulletedList2">
    <w:name w:val="EY Bulleted List 2"/>
    <w:basedOn w:val="Default"/>
    <w:link w:val="EYBulletedList2Char"/>
    <w:uiPriority w:val="99"/>
    <w:qFormat/>
    <w:rsid w:val="00FC5F46"/>
    <w:pPr>
      <w:numPr>
        <w:ilvl w:val="1"/>
        <w:numId w:val="4"/>
      </w:numPr>
      <w:spacing w:before="120" w:after="120"/>
      <w:ind w:left="850" w:hanging="425"/>
    </w:pPr>
    <w:rPr>
      <w:szCs w:val="22"/>
    </w:rPr>
  </w:style>
  <w:style w:type="character" w:customStyle="1" w:styleId="DefaultChar">
    <w:name w:val="Default Char"/>
    <w:basedOn w:val="DefaultParagraphFont"/>
    <w:link w:val="Default"/>
    <w:rsid w:val="00A940BF"/>
    <w:rPr>
      <w:rFonts w:ascii="EYInterstate Light" w:eastAsia="Times New Roman" w:hAnsi="EYInterstate Light" w:cs="Arial"/>
      <w:color w:val="000000"/>
      <w:sz w:val="20"/>
      <w:szCs w:val="24"/>
    </w:rPr>
  </w:style>
  <w:style w:type="character" w:customStyle="1" w:styleId="EYBulletedList2Char">
    <w:name w:val="EY Bulleted List 2 Char"/>
    <w:basedOn w:val="DefaultChar"/>
    <w:link w:val="EYBulletedList2"/>
    <w:uiPriority w:val="99"/>
    <w:rsid w:val="00FC5F46"/>
    <w:rPr>
      <w:rFonts w:ascii="EYInterstate Light" w:eastAsia="Times New Roman" w:hAnsi="EYInterstate Light" w:cs="Arial"/>
      <w:color w:val="000000"/>
      <w:sz w:val="20"/>
      <w:szCs w:val="24"/>
    </w:rPr>
  </w:style>
  <w:style w:type="paragraph" w:customStyle="1" w:styleId="CopyheadlineCover">
    <w:name w:val="Copy headline (Cover)"/>
    <w:basedOn w:val="Normal"/>
    <w:uiPriority w:val="99"/>
    <w:rsid w:val="008F498A"/>
    <w:pPr>
      <w:suppressAutoHyphens/>
      <w:spacing w:after="0"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al"/>
    <w:uiPriority w:val="99"/>
    <w:rsid w:val="008F498A"/>
    <w:pPr>
      <w:suppressAutoHyphens/>
      <w:spacing w:after="105" w:line="210" w:lineRule="atLeast"/>
      <w:textAlignment w:val="top"/>
    </w:pPr>
    <w:rPr>
      <w:rFonts w:ascii="EYInterstate Regular" w:eastAsiaTheme="minorEastAsia" w:hAnsi="EYInterstate Regular" w:cs="EYInterstate-Light"/>
      <w:color w:val="000000"/>
      <w:spacing w:val="-3"/>
      <w:sz w:val="16"/>
      <w:szCs w:val="16"/>
      <w:lang w:val="en-GB"/>
    </w:rPr>
  </w:style>
  <w:style w:type="paragraph" w:styleId="NormalWeb">
    <w:name w:val="Normal (Web)"/>
    <w:basedOn w:val="Normal"/>
    <w:uiPriority w:val="99"/>
    <w:unhideWhenUsed/>
    <w:rsid w:val="008F498A"/>
    <w:pPr>
      <w:widowControl/>
      <w:autoSpaceDE/>
      <w:autoSpaceDN/>
      <w:adjustRightInd/>
      <w:spacing w:before="100" w:beforeAutospacing="1" w:after="100" w:afterAutospacing="1"/>
    </w:pPr>
    <w:rPr>
      <w:rFonts w:ascii="Times New Roman" w:hAnsi="Times New Roman"/>
      <w:szCs w:val="24"/>
      <w:lang w:eastAsia="en-AU"/>
    </w:rPr>
  </w:style>
  <w:style w:type="character" w:customStyle="1" w:styleId="A4">
    <w:name w:val="A4"/>
    <w:uiPriority w:val="99"/>
    <w:rsid w:val="008F498A"/>
    <w:rPr>
      <w:rFonts w:cs="FS Me Light"/>
      <w:color w:val="000000"/>
      <w:sz w:val="22"/>
      <w:szCs w:val="22"/>
    </w:rPr>
  </w:style>
  <w:style w:type="paragraph" w:customStyle="1" w:styleId="EYTableText">
    <w:name w:val="EY Table Text"/>
    <w:basedOn w:val="Normal"/>
    <w:link w:val="EYTableTextChar"/>
    <w:qFormat/>
    <w:rsid w:val="008F498A"/>
    <w:pPr>
      <w:widowControl/>
      <w:autoSpaceDE/>
      <w:autoSpaceDN/>
      <w:adjustRightInd/>
      <w:spacing w:before="20" w:after="20"/>
      <w:outlineLvl w:val="0"/>
    </w:pPr>
    <w:rPr>
      <w:szCs w:val="24"/>
      <w:lang w:eastAsia="en-AU"/>
    </w:rPr>
  </w:style>
  <w:style w:type="paragraph" w:customStyle="1" w:styleId="EYTablebullet1">
    <w:name w:val="EY Table bullet 1"/>
    <w:basedOn w:val="EYTableText"/>
    <w:link w:val="EYTablebullet1Char"/>
    <w:uiPriority w:val="99"/>
    <w:qFormat/>
    <w:rsid w:val="008F498A"/>
    <w:pPr>
      <w:numPr>
        <w:numId w:val="5"/>
      </w:numPr>
    </w:pPr>
  </w:style>
  <w:style w:type="paragraph" w:customStyle="1" w:styleId="EYTablebullet2">
    <w:name w:val="EY Table bullet 2"/>
    <w:basedOn w:val="EYTablebullet1"/>
    <w:uiPriority w:val="99"/>
    <w:qFormat/>
    <w:rsid w:val="008F498A"/>
    <w:pPr>
      <w:numPr>
        <w:ilvl w:val="1"/>
      </w:numPr>
    </w:pPr>
  </w:style>
  <w:style w:type="paragraph" w:customStyle="1" w:styleId="EYTableHeading">
    <w:name w:val="EY Table Heading"/>
    <w:basedOn w:val="EYTableText"/>
    <w:link w:val="EYTableHeadingChar"/>
    <w:qFormat/>
    <w:rsid w:val="008F498A"/>
    <w:pPr>
      <w:spacing w:before="60" w:after="60"/>
    </w:pPr>
    <w:rPr>
      <w:b/>
      <w:color w:val="7F7E82"/>
    </w:rPr>
  </w:style>
  <w:style w:type="paragraph" w:customStyle="1" w:styleId="EYTableNormal">
    <w:name w:val="EY Table Normal"/>
    <w:basedOn w:val="Normal"/>
    <w:autoRedefine/>
    <w:uiPriority w:val="99"/>
    <w:rsid w:val="008F498A"/>
    <w:pPr>
      <w:widowControl/>
      <w:autoSpaceDE/>
      <w:autoSpaceDN/>
      <w:adjustRightInd/>
      <w:spacing w:after="0"/>
      <w:outlineLvl w:val="0"/>
    </w:pPr>
    <w:rPr>
      <w:szCs w:val="24"/>
      <w:lang w:eastAsia="en-AU"/>
    </w:rPr>
  </w:style>
  <w:style w:type="paragraph" w:customStyle="1" w:styleId="EYTabletextbold">
    <w:name w:val="EY Table text bold"/>
    <w:basedOn w:val="EYTableText"/>
    <w:uiPriority w:val="99"/>
    <w:rsid w:val="008F498A"/>
    <w:rPr>
      <w:b/>
    </w:rPr>
  </w:style>
  <w:style w:type="paragraph" w:styleId="CommentSubject">
    <w:name w:val="annotation subject"/>
    <w:basedOn w:val="CommentText"/>
    <w:next w:val="CommentText"/>
    <w:link w:val="CommentSubjectChar"/>
    <w:uiPriority w:val="99"/>
    <w:semiHidden/>
    <w:unhideWhenUsed/>
    <w:rsid w:val="008F498A"/>
    <w:pPr>
      <w:spacing w:after="0"/>
    </w:pPr>
    <w:rPr>
      <w:b/>
      <w:bCs/>
    </w:rPr>
  </w:style>
  <w:style w:type="character" w:customStyle="1" w:styleId="CommentSubjectChar">
    <w:name w:val="Comment Subject Char"/>
    <w:basedOn w:val="CommentTextChar"/>
    <w:link w:val="CommentSubject"/>
    <w:uiPriority w:val="99"/>
    <w:semiHidden/>
    <w:rsid w:val="008F498A"/>
    <w:rPr>
      <w:rFonts w:ascii="EYInterstate Light" w:eastAsia="Times New Roman" w:hAnsi="EYInterstate Light" w:cs="Times New Roman"/>
      <w:b/>
      <w:bCs/>
      <w:sz w:val="20"/>
      <w:szCs w:val="20"/>
    </w:rPr>
  </w:style>
  <w:style w:type="paragraph" w:styleId="Revision">
    <w:name w:val="Revision"/>
    <w:hidden/>
    <w:uiPriority w:val="99"/>
    <w:semiHidden/>
    <w:rsid w:val="008F498A"/>
    <w:pPr>
      <w:spacing w:after="0" w:line="240" w:lineRule="auto"/>
    </w:pPr>
    <w:rPr>
      <w:rFonts w:ascii="EYInterstate Light" w:eastAsia="Times New Roman" w:hAnsi="EYInterstate Light" w:cs="Times New Roman"/>
      <w:sz w:val="24"/>
      <w:szCs w:val="20"/>
    </w:rPr>
  </w:style>
  <w:style w:type="paragraph" w:customStyle="1" w:styleId="EYBulletedText10">
    <w:name w:val="EY Bulleted Text 1"/>
    <w:basedOn w:val="Normal"/>
    <w:link w:val="EYBulletedText1Char"/>
    <w:qFormat/>
    <w:rsid w:val="008F498A"/>
    <w:pPr>
      <w:widowControl/>
      <w:numPr>
        <w:numId w:val="6"/>
      </w:numPr>
      <w:autoSpaceDE/>
      <w:autoSpaceDN/>
      <w:adjustRightInd/>
      <w:outlineLvl w:val="0"/>
    </w:pPr>
    <w:rPr>
      <w:kern w:val="12"/>
      <w:szCs w:val="24"/>
      <w:lang w:eastAsia="en-AU"/>
    </w:rPr>
  </w:style>
  <w:style w:type="paragraph" w:customStyle="1" w:styleId="EYBulletedText2">
    <w:name w:val="EY Bulleted Text 2"/>
    <w:basedOn w:val="Normal"/>
    <w:qFormat/>
    <w:rsid w:val="008F498A"/>
    <w:pPr>
      <w:widowControl/>
      <w:numPr>
        <w:ilvl w:val="1"/>
        <w:numId w:val="6"/>
      </w:numPr>
      <w:autoSpaceDE/>
      <w:autoSpaceDN/>
      <w:adjustRightInd/>
      <w:outlineLvl w:val="0"/>
    </w:pPr>
    <w:rPr>
      <w:kern w:val="12"/>
      <w:szCs w:val="24"/>
      <w:lang w:eastAsia="en-AU"/>
    </w:rPr>
  </w:style>
  <w:style w:type="paragraph" w:customStyle="1" w:styleId="EYBulletedText3">
    <w:name w:val="EY Bulleted Text 3"/>
    <w:basedOn w:val="EYBulletedText10"/>
    <w:next w:val="Normal"/>
    <w:rsid w:val="008F498A"/>
    <w:pPr>
      <w:numPr>
        <w:ilvl w:val="2"/>
      </w:numPr>
    </w:pPr>
  </w:style>
  <w:style w:type="paragraph" w:customStyle="1" w:styleId="EYBodytextwithoutparaspace">
    <w:name w:val="EY Body text (without para space)"/>
    <w:basedOn w:val="Normal"/>
    <w:uiPriority w:val="99"/>
    <w:rsid w:val="008F498A"/>
    <w:pPr>
      <w:widowControl/>
      <w:autoSpaceDE/>
      <w:autoSpaceDN/>
      <w:adjustRightInd/>
      <w:spacing w:after="0"/>
      <w:outlineLvl w:val="0"/>
    </w:pPr>
    <w:rPr>
      <w:kern w:val="12"/>
      <w:szCs w:val="24"/>
      <w:lang w:eastAsia="en-AU"/>
    </w:rPr>
  </w:style>
  <w:style w:type="paragraph" w:customStyle="1" w:styleId="EYAppendix">
    <w:name w:val="EY Appendix"/>
    <w:basedOn w:val="Normal"/>
    <w:next w:val="Normal"/>
    <w:rsid w:val="008F498A"/>
    <w:pPr>
      <w:widowControl/>
      <w:numPr>
        <w:numId w:val="7"/>
      </w:numPr>
      <w:autoSpaceDE/>
      <w:autoSpaceDN/>
      <w:adjustRightInd/>
      <w:spacing w:after="360"/>
      <w:outlineLvl w:val="0"/>
    </w:pPr>
    <w:rPr>
      <w:b/>
      <w:color w:val="7F7E82"/>
      <w:kern w:val="12"/>
      <w:sz w:val="40"/>
      <w:szCs w:val="24"/>
      <w:lang w:eastAsia="en-AU"/>
    </w:rPr>
  </w:style>
  <w:style w:type="paragraph" w:customStyle="1" w:styleId="EYAppendixHeading2">
    <w:name w:val="EY Appendix Heading 2"/>
    <w:basedOn w:val="Normal"/>
    <w:next w:val="EYBodytextwithparaspace"/>
    <w:uiPriority w:val="99"/>
    <w:rsid w:val="008F498A"/>
    <w:pPr>
      <w:keepNext/>
      <w:widowControl/>
      <w:autoSpaceDE/>
      <w:autoSpaceDN/>
      <w:adjustRightInd/>
      <w:spacing w:before="240" w:after="120"/>
      <w:outlineLvl w:val="0"/>
    </w:pPr>
    <w:rPr>
      <w:b/>
      <w:kern w:val="12"/>
      <w:sz w:val="28"/>
      <w:szCs w:val="24"/>
      <w:lang w:eastAsia="en-AU"/>
    </w:rPr>
  </w:style>
  <w:style w:type="paragraph" w:customStyle="1" w:styleId="EYAppendixHeading3">
    <w:name w:val="EY Appendix Heading 3"/>
    <w:basedOn w:val="EYAppendixHeading2"/>
    <w:next w:val="EYBodytextwithparaspace"/>
    <w:qFormat/>
    <w:rsid w:val="008F498A"/>
    <w:rPr>
      <w:sz w:val="24"/>
    </w:rPr>
  </w:style>
  <w:style w:type="paragraph" w:customStyle="1" w:styleId="AppH1">
    <w:name w:val="AppH1"/>
    <w:basedOn w:val="Heading1"/>
    <w:uiPriority w:val="99"/>
    <w:qFormat/>
    <w:rsid w:val="008F498A"/>
    <w:pPr>
      <w:numPr>
        <w:numId w:val="0"/>
      </w:numPr>
      <w:spacing w:after="240"/>
    </w:pPr>
  </w:style>
  <w:style w:type="numbering" w:customStyle="1" w:styleId="AppList">
    <w:name w:val="AppList"/>
    <w:uiPriority w:val="99"/>
    <w:rsid w:val="008F498A"/>
    <w:pPr>
      <w:numPr>
        <w:numId w:val="8"/>
      </w:numPr>
    </w:pPr>
  </w:style>
  <w:style w:type="paragraph" w:customStyle="1" w:styleId="EYQuote2Grey">
    <w:name w:val="EY Quote 2 (Grey)"/>
    <w:basedOn w:val="Normal"/>
    <w:uiPriority w:val="99"/>
    <w:qFormat/>
    <w:rsid w:val="005048EA"/>
    <w:pPr>
      <w:widowControl/>
      <w:autoSpaceDE/>
      <w:autoSpaceDN/>
      <w:adjustRightInd/>
      <w:spacing w:before="160" w:after="160" w:line="400" w:lineRule="exact"/>
    </w:pPr>
    <w:rPr>
      <w:rFonts w:eastAsiaTheme="minorEastAsia" w:cstheme="minorBidi"/>
      <w:color w:val="808080"/>
      <w:spacing w:val="-10"/>
      <w:sz w:val="32"/>
      <w:szCs w:val="32"/>
      <w:lang w:val="en-US"/>
    </w:rPr>
  </w:style>
  <w:style w:type="paragraph" w:customStyle="1" w:styleId="EYDIVIDER">
    <w:name w:val="EY DIVIDER"/>
    <w:basedOn w:val="Normal"/>
    <w:link w:val="EYDIVIDERChar"/>
    <w:qFormat/>
    <w:rsid w:val="00BA01F4"/>
    <w:pPr>
      <w:ind w:firstLine="567"/>
    </w:pPr>
    <w:rPr>
      <w:b/>
      <w:color w:val="808080"/>
      <w:sz w:val="70"/>
      <w:szCs w:val="70"/>
    </w:rPr>
  </w:style>
  <w:style w:type="character" w:customStyle="1" w:styleId="EYDIVIDERChar">
    <w:name w:val="EY DIVIDER Char"/>
    <w:basedOn w:val="DefaultParagraphFont"/>
    <w:link w:val="EYDIVIDER"/>
    <w:rsid w:val="00BA01F4"/>
    <w:rPr>
      <w:rFonts w:ascii="EYInterstate Light" w:eastAsia="Times New Roman" w:hAnsi="EYInterstate Light" w:cs="Times New Roman"/>
      <w:b/>
      <w:color w:val="808080"/>
      <w:sz w:val="70"/>
      <w:szCs w:val="70"/>
    </w:rPr>
  </w:style>
  <w:style w:type="table" w:customStyle="1" w:styleId="TableGrid2">
    <w:name w:val="Table Grid2"/>
    <w:basedOn w:val="TableNormal"/>
    <w:next w:val="TableGrid"/>
    <w:uiPriority w:val="59"/>
    <w:rsid w:val="004D4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F640C"/>
    <w:rPr>
      <w:color w:val="800080" w:themeColor="followedHyperlink"/>
      <w:u w:val="single"/>
    </w:rPr>
  </w:style>
  <w:style w:type="paragraph" w:customStyle="1" w:styleId="EYNormal">
    <w:name w:val="EY Normal"/>
    <w:link w:val="EYNormalChar"/>
    <w:rsid w:val="00314688"/>
    <w:pPr>
      <w:suppressAutoHyphens/>
      <w:spacing w:after="0" w:line="240" w:lineRule="auto"/>
    </w:pPr>
    <w:rPr>
      <w:rFonts w:ascii="Arial" w:eastAsia="Times New Roman" w:hAnsi="Arial" w:cs="Times New Roman"/>
      <w:kern w:val="12"/>
      <w:sz w:val="20"/>
      <w:szCs w:val="24"/>
      <w:lang w:val="en-US"/>
    </w:rPr>
  </w:style>
  <w:style w:type="paragraph" w:customStyle="1" w:styleId="EYBoldsubjectheading">
    <w:name w:val="EY Bold subject heading"/>
    <w:basedOn w:val="EYNormal"/>
    <w:uiPriority w:val="99"/>
    <w:rsid w:val="00314688"/>
    <w:pPr>
      <w:spacing w:line="260" w:lineRule="atLeast"/>
    </w:pPr>
    <w:rPr>
      <w:b/>
      <w:sz w:val="26"/>
    </w:rPr>
  </w:style>
  <w:style w:type="character" w:customStyle="1" w:styleId="EYNormalChar">
    <w:name w:val="EY Normal Char"/>
    <w:basedOn w:val="DefaultParagraphFont"/>
    <w:link w:val="EYNormal"/>
    <w:rsid w:val="00314688"/>
    <w:rPr>
      <w:rFonts w:ascii="Arial" w:eastAsia="Times New Roman" w:hAnsi="Arial" w:cs="Times New Roman"/>
      <w:kern w:val="12"/>
      <w:sz w:val="20"/>
      <w:szCs w:val="24"/>
      <w:lang w:val="en-US"/>
    </w:rPr>
  </w:style>
  <w:style w:type="paragraph" w:customStyle="1" w:styleId="EYDate">
    <w:name w:val="EY Date"/>
    <w:basedOn w:val="EYBodytextnoparaspace"/>
    <w:link w:val="EYDateChar"/>
    <w:rsid w:val="00314688"/>
  </w:style>
  <w:style w:type="character" w:customStyle="1" w:styleId="EYDateChar">
    <w:name w:val="EY Date Char"/>
    <w:basedOn w:val="DefaultParagraphFont"/>
    <w:link w:val="EYDate"/>
    <w:rsid w:val="00314688"/>
    <w:rPr>
      <w:rFonts w:ascii="Arial" w:eastAsia="Times New Roman" w:hAnsi="Arial" w:cs="Times New Roman"/>
      <w:kern w:val="12"/>
      <w:sz w:val="20"/>
      <w:szCs w:val="24"/>
      <w:lang w:val="en-US"/>
    </w:rPr>
  </w:style>
  <w:style w:type="paragraph" w:customStyle="1" w:styleId="EYBodytextnoparaspace">
    <w:name w:val="EY Body text (no para space)"/>
    <w:basedOn w:val="EYNormal"/>
    <w:uiPriority w:val="99"/>
    <w:rsid w:val="00314688"/>
    <w:pPr>
      <w:tabs>
        <w:tab w:val="left" w:pos="907"/>
      </w:tabs>
      <w:spacing w:line="260" w:lineRule="atLeast"/>
    </w:pPr>
  </w:style>
  <w:style w:type="paragraph" w:customStyle="1" w:styleId="EYBusinessaddress">
    <w:name w:val="EY Business address"/>
    <w:basedOn w:val="Normal"/>
    <w:uiPriority w:val="99"/>
    <w:rsid w:val="00314688"/>
    <w:pPr>
      <w:widowControl/>
      <w:suppressAutoHyphens/>
      <w:autoSpaceDE/>
      <w:autoSpaceDN/>
      <w:adjustRightInd/>
      <w:spacing w:after="0" w:line="170" w:lineRule="exact"/>
    </w:pPr>
    <w:rPr>
      <w:rFonts w:ascii="Arial" w:hAnsi="Arial"/>
      <w:color w:val="808080"/>
      <w:kern w:val="12"/>
      <w:sz w:val="15"/>
      <w:szCs w:val="24"/>
      <w:lang w:val="en-US"/>
    </w:rPr>
  </w:style>
  <w:style w:type="paragraph" w:customStyle="1" w:styleId="EYBulletedtext1">
    <w:name w:val="EY Bulleted text 1"/>
    <w:basedOn w:val="Normal"/>
    <w:uiPriority w:val="99"/>
    <w:rsid w:val="00B30EF4"/>
    <w:pPr>
      <w:widowControl/>
      <w:numPr>
        <w:numId w:val="9"/>
      </w:numPr>
      <w:suppressAutoHyphens/>
      <w:autoSpaceDE/>
      <w:autoSpaceDN/>
      <w:adjustRightInd/>
      <w:spacing w:after="0" w:line="260" w:lineRule="exact"/>
    </w:pPr>
    <w:rPr>
      <w:rFonts w:ascii="Arial" w:hAnsi="Arial"/>
      <w:kern w:val="12"/>
      <w:szCs w:val="24"/>
      <w:lang w:val="en-US"/>
    </w:rPr>
  </w:style>
  <w:style w:type="paragraph" w:customStyle="1" w:styleId="Bullet">
    <w:name w:val="Bullet"/>
    <w:basedOn w:val="EYBulletedtext1"/>
    <w:link w:val="BulletChar"/>
    <w:qFormat/>
    <w:rsid w:val="00B30EF4"/>
    <w:pPr>
      <w:tabs>
        <w:tab w:val="left" w:pos="270"/>
      </w:tabs>
    </w:pPr>
  </w:style>
  <w:style w:type="character" w:customStyle="1" w:styleId="BulletChar">
    <w:name w:val="Bullet Char"/>
    <w:basedOn w:val="DefaultParagraphFont"/>
    <w:link w:val="Bullet"/>
    <w:rsid w:val="00B30EF4"/>
    <w:rPr>
      <w:rFonts w:ascii="Arial" w:eastAsia="Times New Roman" w:hAnsi="Arial" w:cs="Times New Roman"/>
      <w:kern w:val="12"/>
      <w:sz w:val="20"/>
      <w:szCs w:val="24"/>
      <w:lang w:val="en-US"/>
    </w:rPr>
  </w:style>
  <w:style w:type="paragraph" w:styleId="Caption">
    <w:name w:val="caption"/>
    <w:aliases w:val="Text Caption"/>
    <w:basedOn w:val="Normal"/>
    <w:next w:val="Normal"/>
    <w:uiPriority w:val="35"/>
    <w:unhideWhenUsed/>
    <w:qFormat/>
    <w:rsid w:val="00574797"/>
    <w:pPr>
      <w:spacing w:after="200"/>
    </w:pPr>
    <w:rPr>
      <w:b/>
      <w:bCs/>
      <w:color w:val="4F81BD" w:themeColor="accent1"/>
      <w:sz w:val="18"/>
      <w:szCs w:val="18"/>
    </w:rPr>
  </w:style>
  <w:style w:type="character" w:styleId="Strong">
    <w:name w:val="Strong"/>
    <w:basedOn w:val="DefaultParagraphFont"/>
    <w:uiPriority w:val="22"/>
    <w:qFormat/>
    <w:rsid w:val="002D315D"/>
    <w:rPr>
      <w:b/>
      <w:bCs/>
    </w:rPr>
  </w:style>
  <w:style w:type="character" w:styleId="SubtleEmphasis">
    <w:name w:val="Subtle Emphasis"/>
    <w:basedOn w:val="DefaultParagraphFont"/>
    <w:uiPriority w:val="19"/>
    <w:qFormat/>
    <w:rsid w:val="001A10DC"/>
    <w:rPr>
      <w:i/>
      <w:iCs/>
      <w:color w:val="808080" w:themeColor="text1" w:themeTint="7F"/>
    </w:rPr>
  </w:style>
  <w:style w:type="paragraph" w:customStyle="1" w:styleId="style6">
    <w:name w:val="style6"/>
    <w:basedOn w:val="Normal"/>
    <w:uiPriority w:val="99"/>
    <w:rsid w:val="00E31CE1"/>
    <w:pPr>
      <w:widowControl/>
      <w:autoSpaceDE/>
      <w:autoSpaceDN/>
      <w:adjustRightInd/>
      <w:spacing w:before="100" w:beforeAutospacing="1" w:after="100" w:afterAutospacing="1"/>
    </w:pPr>
    <w:rPr>
      <w:rFonts w:ascii="Times New Roman" w:hAnsi="Times New Roman"/>
      <w:b/>
      <w:bCs/>
      <w:sz w:val="21"/>
      <w:szCs w:val="21"/>
      <w:lang w:eastAsia="en-AU"/>
    </w:rPr>
  </w:style>
  <w:style w:type="character" w:customStyle="1" w:styleId="style81">
    <w:name w:val="style81"/>
    <w:basedOn w:val="DefaultParagraphFont"/>
    <w:rsid w:val="00E31CE1"/>
    <w:rPr>
      <w:color w:val="0000CC"/>
    </w:rPr>
  </w:style>
  <w:style w:type="paragraph" w:styleId="BodyText">
    <w:name w:val="Body Text"/>
    <w:basedOn w:val="Normal"/>
    <w:link w:val="BodyTextChar"/>
    <w:uiPriority w:val="1"/>
    <w:unhideWhenUsed/>
    <w:qFormat/>
    <w:rsid w:val="00E31CE1"/>
    <w:pPr>
      <w:widowControl/>
      <w:autoSpaceDE/>
      <w:autoSpaceDN/>
      <w:adjustRightInd/>
      <w:spacing w:line="240" w:lineRule="atLeast"/>
    </w:pPr>
    <w:rPr>
      <w:rFonts w:ascii="Georgia" w:eastAsiaTheme="minorHAnsi" w:hAnsi="Georgia" w:cstheme="minorBidi"/>
      <w:lang w:val="en-GB"/>
    </w:rPr>
  </w:style>
  <w:style w:type="character" w:customStyle="1" w:styleId="BodyTextChar">
    <w:name w:val="Body Text Char"/>
    <w:basedOn w:val="DefaultParagraphFont"/>
    <w:link w:val="BodyText"/>
    <w:uiPriority w:val="1"/>
    <w:rsid w:val="00E31CE1"/>
    <w:rPr>
      <w:rFonts w:ascii="Georgia" w:hAnsi="Georgia"/>
      <w:sz w:val="20"/>
      <w:szCs w:val="20"/>
      <w:lang w:val="en-GB"/>
    </w:rPr>
  </w:style>
  <w:style w:type="table" w:styleId="MediumList1-Accent6">
    <w:name w:val="Medium List 1 Accent 6"/>
    <w:basedOn w:val="TableNormal"/>
    <w:uiPriority w:val="65"/>
    <w:rsid w:val="00B54CCA"/>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NormalTextChar">
    <w:name w:val="Normal Text Char"/>
    <w:basedOn w:val="DefaultParagraphFont"/>
    <w:link w:val="NormalText"/>
    <w:locked/>
    <w:rsid w:val="00945F75"/>
    <w:rPr>
      <w:rFonts w:ascii="Book Antiqua" w:hAnsi="Book Antiqua"/>
      <w:bCs/>
    </w:rPr>
  </w:style>
  <w:style w:type="paragraph" w:customStyle="1" w:styleId="NormalText">
    <w:name w:val="Normal Text"/>
    <w:basedOn w:val="Normal"/>
    <w:link w:val="NormalTextChar"/>
    <w:qFormat/>
    <w:rsid w:val="00945F75"/>
    <w:pPr>
      <w:widowControl/>
      <w:autoSpaceDE/>
      <w:autoSpaceDN/>
      <w:adjustRightInd/>
      <w:spacing w:after="120"/>
    </w:pPr>
    <w:rPr>
      <w:rFonts w:ascii="Book Antiqua" w:eastAsiaTheme="minorHAnsi" w:hAnsi="Book Antiqua" w:cstheme="minorBidi"/>
      <w:bCs/>
      <w:sz w:val="22"/>
      <w:szCs w:val="22"/>
    </w:rPr>
  </w:style>
  <w:style w:type="character" w:styleId="Emphasis">
    <w:name w:val="Emphasis"/>
    <w:basedOn w:val="DefaultParagraphFont"/>
    <w:uiPriority w:val="20"/>
    <w:qFormat/>
    <w:rsid w:val="00797D4D"/>
    <w:rPr>
      <w:b/>
      <w:bCs/>
      <w:i w:val="0"/>
      <w:iCs w:val="0"/>
    </w:rPr>
  </w:style>
  <w:style w:type="character" w:customStyle="1" w:styleId="st1">
    <w:name w:val="st1"/>
    <w:basedOn w:val="DefaultParagraphFont"/>
    <w:rsid w:val="00797D4D"/>
  </w:style>
  <w:style w:type="character" w:customStyle="1" w:styleId="style121">
    <w:name w:val="style121"/>
    <w:basedOn w:val="DefaultParagraphFont"/>
    <w:rsid w:val="00FE04EA"/>
    <w:rPr>
      <w:rFonts w:ascii="Arial" w:hAnsi="Arial" w:cs="Arial" w:hint="default"/>
    </w:rPr>
  </w:style>
  <w:style w:type="table" w:customStyle="1" w:styleId="TableGrid3">
    <w:name w:val="Table Grid3"/>
    <w:basedOn w:val="TableNormal"/>
    <w:next w:val="TableGrid"/>
    <w:uiPriority w:val="59"/>
    <w:rsid w:val="003E1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YTitlePageSubtitle">
    <w:name w:val="EY TitlePageSubtitle"/>
    <w:next w:val="Normal"/>
    <w:uiPriority w:val="99"/>
    <w:qFormat/>
    <w:rsid w:val="001A1989"/>
    <w:pPr>
      <w:spacing w:before="240" w:after="0" w:line="320" w:lineRule="exact"/>
      <w:ind w:left="1928"/>
    </w:pPr>
    <w:rPr>
      <w:rFonts w:ascii="EYInterstate" w:eastAsiaTheme="minorEastAsia" w:hAnsi="EYInterstate"/>
      <w:color w:val="808080"/>
      <w:sz w:val="32"/>
      <w:szCs w:val="32"/>
      <w:lang w:val="en-US"/>
    </w:rPr>
  </w:style>
  <w:style w:type="paragraph" w:customStyle="1" w:styleId="EYTitlePageDate">
    <w:name w:val="EY TitlePageDate"/>
    <w:next w:val="Normal"/>
    <w:uiPriority w:val="99"/>
    <w:qFormat/>
    <w:rsid w:val="001A1989"/>
    <w:pPr>
      <w:spacing w:before="160" w:after="0" w:line="260" w:lineRule="exact"/>
      <w:ind w:left="1928"/>
    </w:pPr>
    <w:rPr>
      <w:rFonts w:ascii="EYInterstate" w:eastAsiaTheme="minorEastAsia" w:hAnsi="EYInterstate"/>
      <w:color w:val="808080"/>
      <w:sz w:val="26"/>
      <w:szCs w:val="26"/>
      <w:lang w:val="en-US"/>
    </w:rPr>
  </w:style>
  <w:style w:type="paragraph" w:customStyle="1" w:styleId="EYDisclaimer">
    <w:name w:val="EY Disclaimer"/>
    <w:basedOn w:val="Footer"/>
    <w:uiPriority w:val="99"/>
    <w:qFormat/>
    <w:rsid w:val="001A1989"/>
    <w:pPr>
      <w:widowControl/>
      <w:autoSpaceDE/>
      <w:autoSpaceDN/>
      <w:adjustRightInd/>
      <w:spacing w:before="100" w:after="30" w:line="200" w:lineRule="exact"/>
    </w:pPr>
    <w:rPr>
      <w:rFonts w:eastAsiaTheme="minorEastAsia" w:cstheme="minorBidi"/>
      <w:color w:val="808080"/>
      <w:sz w:val="16"/>
      <w:szCs w:val="16"/>
    </w:rPr>
  </w:style>
  <w:style w:type="paragraph" w:customStyle="1" w:styleId="EYBody">
    <w:name w:val="EY Body"/>
    <w:link w:val="EYBodyChar"/>
    <w:qFormat/>
    <w:rsid w:val="001A1989"/>
    <w:pPr>
      <w:keepLines/>
      <w:spacing w:before="100" w:after="0" w:line="260" w:lineRule="exact"/>
    </w:pPr>
    <w:rPr>
      <w:rFonts w:ascii="Arial" w:eastAsia="Times New Roman" w:hAnsi="Arial" w:cs="Times New Roman"/>
      <w:sz w:val="20"/>
      <w:szCs w:val="24"/>
      <w:lang w:val="en-US"/>
    </w:rPr>
  </w:style>
  <w:style w:type="character" w:customStyle="1" w:styleId="EYBodyChar">
    <w:name w:val="EY Body Char"/>
    <w:basedOn w:val="DefaultParagraphFont"/>
    <w:link w:val="EYBody"/>
    <w:rsid w:val="001A1989"/>
    <w:rPr>
      <w:rFonts w:ascii="Arial" w:eastAsia="Times New Roman" w:hAnsi="Arial" w:cs="Times New Roman"/>
      <w:sz w:val="20"/>
      <w:szCs w:val="24"/>
      <w:lang w:val="en-US"/>
    </w:rPr>
  </w:style>
  <w:style w:type="paragraph" w:customStyle="1" w:styleId="EYBulletedList3">
    <w:name w:val="EY Bulleted List 3"/>
    <w:basedOn w:val="EYBulletedText3"/>
    <w:uiPriority w:val="99"/>
    <w:rsid w:val="001A1989"/>
    <w:pPr>
      <w:keepLines/>
      <w:numPr>
        <w:ilvl w:val="0"/>
        <w:numId w:val="0"/>
      </w:numPr>
      <w:tabs>
        <w:tab w:val="left" w:pos="357"/>
        <w:tab w:val="num" w:pos="1276"/>
      </w:tabs>
      <w:spacing w:after="0"/>
      <w:ind w:left="1276" w:hanging="425"/>
    </w:pPr>
    <w:rPr>
      <w:kern w:val="0"/>
      <w:sz w:val="18"/>
      <w:lang w:eastAsia="en-US"/>
    </w:rPr>
  </w:style>
  <w:style w:type="character" w:customStyle="1" w:styleId="EYBulletedText1Char">
    <w:name w:val="EY Bulleted Text 1 Char"/>
    <w:basedOn w:val="DefaultParagraphFont"/>
    <w:link w:val="EYBulletedText10"/>
    <w:locked/>
    <w:rsid w:val="001A1989"/>
    <w:rPr>
      <w:rFonts w:ascii="EYInterstate Light" w:eastAsia="Times New Roman" w:hAnsi="EYInterstate Light" w:cs="Times New Roman"/>
      <w:kern w:val="12"/>
      <w:sz w:val="20"/>
      <w:szCs w:val="24"/>
      <w:lang w:eastAsia="en-AU"/>
    </w:rPr>
  </w:style>
  <w:style w:type="paragraph" w:customStyle="1" w:styleId="Indent1">
    <w:name w:val="Indent 1"/>
    <w:basedOn w:val="Normal"/>
    <w:uiPriority w:val="99"/>
    <w:rsid w:val="001A1989"/>
    <w:pPr>
      <w:widowControl/>
      <w:numPr>
        <w:ilvl w:val="1"/>
        <w:numId w:val="11"/>
      </w:numPr>
      <w:kinsoku w:val="0"/>
      <w:overflowPunct w:val="0"/>
      <w:snapToGrid w:val="0"/>
      <w:spacing w:before="100" w:after="100"/>
    </w:pPr>
    <w:rPr>
      <w:rFonts w:ascii="Georgia" w:hAnsi="Georgia"/>
      <w:snapToGrid w:val="0"/>
    </w:rPr>
  </w:style>
  <w:style w:type="paragraph" w:customStyle="1" w:styleId="Indent2">
    <w:name w:val="Indent 2"/>
    <w:basedOn w:val="Indent1"/>
    <w:uiPriority w:val="99"/>
    <w:rsid w:val="001A1989"/>
    <w:pPr>
      <w:numPr>
        <w:ilvl w:val="2"/>
      </w:numPr>
    </w:pPr>
  </w:style>
  <w:style w:type="paragraph" w:customStyle="1" w:styleId="Indent3">
    <w:name w:val="Indent 3"/>
    <w:basedOn w:val="Indent2"/>
    <w:uiPriority w:val="99"/>
    <w:rsid w:val="001A1989"/>
    <w:pPr>
      <w:numPr>
        <w:ilvl w:val="3"/>
      </w:numPr>
    </w:pPr>
  </w:style>
  <w:style w:type="paragraph" w:customStyle="1" w:styleId="Indent5">
    <w:name w:val="Indent 5"/>
    <w:basedOn w:val="Indent4"/>
    <w:uiPriority w:val="99"/>
    <w:rsid w:val="001A1989"/>
    <w:pPr>
      <w:numPr>
        <w:ilvl w:val="5"/>
      </w:numPr>
    </w:pPr>
  </w:style>
  <w:style w:type="paragraph" w:customStyle="1" w:styleId="Indent6">
    <w:name w:val="Indent 6"/>
    <w:basedOn w:val="Indent5"/>
    <w:uiPriority w:val="99"/>
    <w:rsid w:val="001A1989"/>
    <w:pPr>
      <w:numPr>
        <w:ilvl w:val="6"/>
      </w:numPr>
    </w:pPr>
  </w:style>
  <w:style w:type="paragraph" w:customStyle="1" w:styleId="Indent7">
    <w:name w:val="Indent 7"/>
    <w:basedOn w:val="Indent6"/>
    <w:uiPriority w:val="99"/>
    <w:rsid w:val="001A1989"/>
    <w:pPr>
      <w:numPr>
        <w:ilvl w:val="7"/>
      </w:numPr>
    </w:pPr>
  </w:style>
  <w:style w:type="paragraph" w:customStyle="1" w:styleId="Indent4">
    <w:name w:val="Indent 4"/>
    <w:basedOn w:val="Indent3"/>
    <w:uiPriority w:val="99"/>
    <w:rsid w:val="001A1989"/>
    <w:pPr>
      <w:numPr>
        <w:ilvl w:val="4"/>
      </w:numPr>
    </w:pPr>
  </w:style>
  <w:style w:type="paragraph" w:customStyle="1" w:styleId="PwCNormal">
    <w:name w:val="PwC Normal"/>
    <w:aliases w:val="n"/>
    <w:basedOn w:val="Normal"/>
    <w:link w:val="PwCNormalChar"/>
    <w:uiPriority w:val="99"/>
    <w:qFormat/>
    <w:rsid w:val="001A1989"/>
    <w:pPr>
      <w:widowControl/>
      <w:numPr>
        <w:numId w:val="11"/>
      </w:numPr>
      <w:kinsoku w:val="0"/>
      <w:overflowPunct w:val="0"/>
      <w:snapToGrid w:val="0"/>
    </w:pPr>
    <w:rPr>
      <w:rFonts w:ascii="Georgia" w:hAnsi="Georgia" w:cs="Arial"/>
      <w:snapToGrid w:val="0"/>
    </w:rPr>
  </w:style>
  <w:style w:type="character" w:customStyle="1" w:styleId="PwCNormalChar">
    <w:name w:val="PwC Normal Char"/>
    <w:aliases w:val="n Char Char,n Char"/>
    <w:basedOn w:val="DefaultParagraphFont"/>
    <w:link w:val="PwCNormal"/>
    <w:uiPriority w:val="99"/>
    <w:rsid w:val="001A1989"/>
    <w:rPr>
      <w:rFonts w:ascii="Georgia" w:eastAsia="Times New Roman" w:hAnsi="Georgia" w:cs="Arial"/>
      <w:snapToGrid w:val="0"/>
      <w:sz w:val="20"/>
      <w:szCs w:val="20"/>
    </w:rPr>
  </w:style>
  <w:style w:type="paragraph" w:customStyle="1" w:styleId="Indent8">
    <w:name w:val="Indent 8"/>
    <w:basedOn w:val="Indent7"/>
    <w:uiPriority w:val="99"/>
    <w:rsid w:val="001A1989"/>
    <w:pPr>
      <w:numPr>
        <w:ilvl w:val="8"/>
      </w:numPr>
    </w:pPr>
  </w:style>
  <w:style w:type="paragraph" w:styleId="ListBullet2">
    <w:name w:val="List Bullet 2"/>
    <w:basedOn w:val="Normal"/>
    <w:uiPriority w:val="99"/>
    <w:qFormat/>
    <w:rsid w:val="001A1989"/>
    <w:pPr>
      <w:widowControl/>
      <w:numPr>
        <w:ilvl w:val="1"/>
        <w:numId w:val="12"/>
      </w:numPr>
      <w:kinsoku w:val="0"/>
      <w:overflowPunct w:val="0"/>
      <w:snapToGrid w:val="0"/>
    </w:pPr>
    <w:rPr>
      <w:rFonts w:ascii="Georgia" w:hAnsi="Georgia" w:cs="Arial"/>
      <w:snapToGrid w:val="0"/>
    </w:rPr>
  </w:style>
  <w:style w:type="paragraph" w:styleId="ListBullet4">
    <w:name w:val="List Bullet 4"/>
    <w:basedOn w:val="ListBullet3"/>
    <w:uiPriority w:val="99"/>
    <w:unhideWhenUsed/>
    <w:rsid w:val="001A1989"/>
    <w:pPr>
      <w:numPr>
        <w:ilvl w:val="3"/>
      </w:numPr>
    </w:pPr>
  </w:style>
  <w:style w:type="paragraph" w:styleId="ListBullet3">
    <w:name w:val="List Bullet 3"/>
    <w:basedOn w:val="ListBullet2"/>
    <w:uiPriority w:val="99"/>
    <w:qFormat/>
    <w:rsid w:val="001A1989"/>
    <w:pPr>
      <w:numPr>
        <w:ilvl w:val="2"/>
      </w:numPr>
    </w:pPr>
  </w:style>
  <w:style w:type="paragraph" w:styleId="ListBullet">
    <w:name w:val="List Bullet"/>
    <w:aliases w:val="List Bullet Char Char Char Char Char Char,List Bullet Char Char"/>
    <w:basedOn w:val="Normal"/>
    <w:uiPriority w:val="99"/>
    <w:qFormat/>
    <w:rsid w:val="001A1989"/>
    <w:pPr>
      <w:widowControl/>
      <w:numPr>
        <w:numId w:val="12"/>
      </w:numPr>
      <w:kinsoku w:val="0"/>
      <w:overflowPunct w:val="0"/>
      <w:snapToGrid w:val="0"/>
    </w:pPr>
    <w:rPr>
      <w:rFonts w:ascii="Georgia" w:hAnsi="Georgia" w:cs="Arial"/>
      <w:snapToGrid w:val="0"/>
    </w:rPr>
  </w:style>
  <w:style w:type="paragraph" w:styleId="ListBullet5">
    <w:name w:val="List Bullet 5"/>
    <w:basedOn w:val="ListBullet4"/>
    <w:uiPriority w:val="99"/>
    <w:unhideWhenUsed/>
    <w:rsid w:val="001A1989"/>
    <w:pPr>
      <w:numPr>
        <w:ilvl w:val="4"/>
      </w:numPr>
      <w:contextualSpacing/>
    </w:pPr>
  </w:style>
  <w:style w:type="paragraph" w:customStyle="1" w:styleId="EYTabletext0">
    <w:name w:val="EY Table text"/>
    <w:basedOn w:val="EYTableNormal"/>
    <w:link w:val="EYTabletextChar0"/>
    <w:qFormat/>
    <w:rsid w:val="001A1989"/>
    <w:pPr>
      <w:spacing w:before="20" w:after="100"/>
    </w:pPr>
    <w:rPr>
      <w:sz w:val="16"/>
      <w:lang w:val="en-GB" w:eastAsia="en-US"/>
    </w:rPr>
  </w:style>
  <w:style w:type="paragraph" w:customStyle="1" w:styleId="ResumeHead2">
    <w:name w:val="Resume Head 2"/>
    <w:basedOn w:val="EYNormal"/>
    <w:next w:val="Normal"/>
    <w:link w:val="ResumeHead2Char"/>
    <w:rsid w:val="001A1989"/>
    <w:pPr>
      <w:suppressAutoHyphens w:val="0"/>
      <w:spacing w:after="120" w:line="264" w:lineRule="auto"/>
      <w:outlineLvl w:val="0"/>
    </w:pPr>
    <w:rPr>
      <w:rFonts w:ascii="EYInterstate Light" w:hAnsi="EYInterstate Light"/>
      <w:lang w:val="en-GB"/>
    </w:rPr>
  </w:style>
  <w:style w:type="character" w:customStyle="1" w:styleId="ResumeHead2Char">
    <w:name w:val="Resume Head 2 Char"/>
    <w:basedOn w:val="DefaultParagraphFont"/>
    <w:link w:val="ResumeHead2"/>
    <w:rsid w:val="001A1989"/>
    <w:rPr>
      <w:rFonts w:ascii="EYInterstate Light" w:eastAsia="Times New Roman" w:hAnsi="EYInterstate Light" w:cs="Times New Roman"/>
      <w:kern w:val="12"/>
      <w:sz w:val="20"/>
      <w:szCs w:val="24"/>
      <w:lang w:val="en-GB"/>
    </w:rPr>
  </w:style>
  <w:style w:type="character" w:customStyle="1" w:styleId="EYTabletextChar0">
    <w:name w:val="EY Table text Char"/>
    <w:basedOn w:val="DefaultParagraphFont"/>
    <w:link w:val="EYTabletext0"/>
    <w:rsid w:val="001A1989"/>
    <w:rPr>
      <w:rFonts w:ascii="EYInterstate Light" w:eastAsia="Times New Roman" w:hAnsi="EYInterstate Light" w:cs="Times New Roman"/>
      <w:sz w:val="16"/>
      <w:szCs w:val="24"/>
      <w:lang w:val="en-GB"/>
    </w:rPr>
  </w:style>
  <w:style w:type="character" w:customStyle="1" w:styleId="EYTablebullet1Char">
    <w:name w:val="EY Table bullet 1 Char"/>
    <w:basedOn w:val="EYTabletextChar0"/>
    <w:link w:val="EYTablebullet1"/>
    <w:uiPriority w:val="99"/>
    <w:rsid w:val="001A1989"/>
    <w:rPr>
      <w:rFonts w:ascii="EYInterstate Light" w:eastAsia="Times New Roman" w:hAnsi="EYInterstate Light" w:cs="Times New Roman"/>
      <w:sz w:val="20"/>
      <w:szCs w:val="24"/>
      <w:lang w:val="en-GB" w:eastAsia="en-AU"/>
    </w:rPr>
  </w:style>
  <w:style w:type="paragraph" w:customStyle="1" w:styleId="strapline1">
    <w:name w:val="strapline1"/>
    <w:basedOn w:val="Normal"/>
    <w:uiPriority w:val="99"/>
    <w:rsid w:val="00F162AC"/>
    <w:pPr>
      <w:widowControl/>
      <w:autoSpaceDE/>
      <w:autoSpaceDN/>
      <w:adjustRightInd/>
      <w:spacing w:after="120"/>
    </w:pPr>
    <w:rPr>
      <w:rFonts w:ascii="Open Sans" w:hAnsi="Open Sans"/>
      <w:color w:val="000000"/>
      <w:sz w:val="24"/>
      <w:szCs w:val="24"/>
      <w:lang w:eastAsia="en-AU"/>
    </w:rPr>
  </w:style>
  <w:style w:type="numbering" w:customStyle="1" w:styleId="PwCListNumbers1">
    <w:name w:val="PwC List Numbers 1"/>
    <w:uiPriority w:val="99"/>
    <w:rsid w:val="008F40D1"/>
    <w:pPr>
      <w:numPr>
        <w:numId w:val="13"/>
      </w:numPr>
    </w:pPr>
  </w:style>
  <w:style w:type="paragraph" w:styleId="ListNumber">
    <w:name w:val="List Number"/>
    <w:basedOn w:val="Normal"/>
    <w:uiPriority w:val="13"/>
    <w:unhideWhenUsed/>
    <w:qFormat/>
    <w:rsid w:val="008F40D1"/>
    <w:pPr>
      <w:widowControl/>
      <w:numPr>
        <w:numId w:val="13"/>
      </w:numPr>
      <w:autoSpaceDE/>
      <w:autoSpaceDN/>
      <w:adjustRightInd/>
      <w:spacing w:line="240" w:lineRule="atLeast"/>
      <w:contextualSpacing/>
    </w:pPr>
    <w:rPr>
      <w:rFonts w:ascii="Georgia" w:eastAsiaTheme="minorHAnsi" w:hAnsi="Georgia" w:cstheme="minorBidi"/>
      <w:lang w:val="en-GB"/>
    </w:rPr>
  </w:style>
  <w:style w:type="paragraph" w:styleId="ListNumber2">
    <w:name w:val="List Number 2"/>
    <w:basedOn w:val="Normal"/>
    <w:uiPriority w:val="13"/>
    <w:unhideWhenUsed/>
    <w:qFormat/>
    <w:rsid w:val="008F40D1"/>
    <w:pPr>
      <w:widowControl/>
      <w:numPr>
        <w:ilvl w:val="1"/>
        <w:numId w:val="13"/>
      </w:numPr>
      <w:autoSpaceDE/>
      <w:autoSpaceDN/>
      <w:adjustRightInd/>
      <w:spacing w:line="240" w:lineRule="atLeast"/>
      <w:contextualSpacing/>
    </w:pPr>
    <w:rPr>
      <w:rFonts w:ascii="Georgia" w:eastAsiaTheme="minorHAnsi" w:hAnsi="Georgia" w:cstheme="minorBidi"/>
      <w:lang w:val="en-GB"/>
    </w:rPr>
  </w:style>
  <w:style w:type="paragraph" w:styleId="ListNumber3">
    <w:name w:val="List Number 3"/>
    <w:basedOn w:val="Normal"/>
    <w:uiPriority w:val="13"/>
    <w:unhideWhenUsed/>
    <w:qFormat/>
    <w:rsid w:val="008F40D1"/>
    <w:pPr>
      <w:widowControl/>
      <w:numPr>
        <w:ilvl w:val="2"/>
        <w:numId w:val="13"/>
      </w:numPr>
      <w:autoSpaceDE/>
      <w:autoSpaceDN/>
      <w:adjustRightInd/>
      <w:spacing w:line="240" w:lineRule="atLeast"/>
      <w:contextualSpacing/>
    </w:pPr>
    <w:rPr>
      <w:rFonts w:ascii="Georgia" w:eastAsiaTheme="minorHAnsi" w:hAnsi="Georgia" w:cstheme="minorBidi"/>
      <w:lang w:val="en-GB"/>
    </w:rPr>
  </w:style>
  <w:style w:type="paragraph" w:styleId="ListNumber4">
    <w:name w:val="List Number 4"/>
    <w:basedOn w:val="Normal"/>
    <w:uiPriority w:val="13"/>
    <w:unhideWhenUsed/>
    <w:rsid w:val="008F40D1"/>
    <w:pPr>
      <w:widowControl/>
      <w:numPr>
        <w:ilvl w:val="3"/>
        <w:numId w:val="13"/>
      </w:numPr>
      <w:autoSpaceDE/>
      <w:autoSpaceDN/>
      <w:adjustRightInd/>
      <w:spacing w:line="240" w:lineRule="atLeast"/>
      <w:contextualSpacing/>
    </w:pPr>
    <w:rPr>
      <w:rFonts w:ascii="Georgia" w:eastAsiaTheme="minorHAnsi" w:hAnsi="Georgia" w:cstheme="minorBidi"/>
      <w:lang w:val="en-GB"/>
    </w:rPr>
  </w:style>
  <w:style w:type="paragraph" w:styleId="ListNumber5">
    <w:name w:val="List Number 5"/>
    <w:basedOn w:val="Normal"/>
    <w:uiPriority w:val="13"/>
    <w:unhideWhenUsed/>
    <w:rsid w:val="008F40D1"/>
    <w:pPr>
      <w:widowControl/>
      <w:numPr>
        <w:ilvl w:val="4"/>
        <w:numId w:val="13"/>
      </w:numPr>
      <w:autoSpaceDE/>
      <w:autoSpaceDN/>
      <w:adjustRightInd/>
      <w:spacing w:line="240" w:lineRule="atLeast"/>
      <w:contextualSpacing/>
    </w:pPr>
    <w:rPr>
      <w:rFonts w:ascii="Georgia" w:eastAsiaTheme="minorHAnsi" w:hAnsi="Georgia" w:cstheme="minorBidi"/>
      <w:lang w:val="en-GB"/>
    </w:rPr>
  </w:style>
  <w:style w:type="character" w:customStyle="1" w:styleId="EYHeading2Char">
    <w:name w:val="EY Heading 2 Char"/>
    <w:basedOn w:val="DefaultParagraphFont"/>
    <w:link w:val="EYHeading2"/>
    <w:locked/>
    <w:rsid w:val="0023001B"/>
    <w:rPr>
      <w:rFonts w:ascii="Arial" w:eastAsia="+mn-ea" w:hAnsi="Arial" w:cs="Arial"/>
      <w:b/>
      <w:color w:val="808080" w:themeColor="background1" w:themeShade="80"/>
      <w:kern w:val="12"/>
      <w:sz w:val="28"/>
      <w:szCs w:val="28"/>
    </w:rPr>
  </w:style>
  <w:style w:type="paragraph" w:customStyle="1" w:styleId="EYHeading2">
    <w:name w:val="EY Heading 2"/>
    <w:basedOn w:val="Normal"/>
    <w:next w:val="Normal"/>
    <w:link w:val="EYHeading2Char"/>
    <w:qFormat/>
    <w:rsid w:val="0023001B"/>
    <w:pPr>
      <w:widowControl/>
      <w:autoSpaceDE/>
      <w:autoSpaceDN/>
      <w:adjustRightInd/>
      <w:spacing w:before="120" w:after="120"/>
      <w:outlineLvl w:val="0"/>
    </w:pPr>
    <w:rPr>
      <w:rFonts w:ascii="Arial" w:eastAsia="+mn-ea" w:hAnsi="Arial" w:cs="Arial"/>
      <w:b/>
      <w:color w:val="808080" w:themeColor="background1" w:themeShade="80"/>
      <w:kern w:val="12"/>
      <w:sz w:val="28"/>
      <w:szCs w:val="28"/>
    </w:rPr>
  </w:style>
  <w:style w:type="character" w:customStyle="1" w:styleId="EYBodytextChar">
    <w:name w:val="EY Body text Char"/>
    <w:basedOn w:val="DefaultParagraphFont"/>
    <w:link w:val="EYBodytext"/>
    <w:locked/>
    <w:rsid w:val="0023001B"/>
    <w:rPr>
      <w:rFonts w:ascii="Arial" w:hAnsi="Arial" w:cs="Arial"/>
    </w:rPr>
  </w:style>
  <w:style w:type="paragraph" w:customStyle="1" w:styleId="EYBodytext">
    <w:name w:val="EY Body text"/>
    <w:basedOn w:val="Normal"/>
    <w:link w:val="EYBodytextChar"/>
    <w:qFormat/>
    <w:rsid w:val="0023001B"/>
    <w:pPr>
      <w:autoSpaceDE/>
      <w:autoSpaceDN/>
      <w:adjustRightInd/>
      <w:spacing w:after="120"/>
      <w:outlineLvl w:val="0"/>
    </w:pPr>
    <w:rPr>
      <w:rFonts w:ascii="Arial" w:eastAsiaTheme="minorHAnsi" w:hAnsi="Arial" w:cs="Arial"/>
      <w:sz w:val="22"/>
      <w:szCs w:val="22"/>
    </w:rPr>
  </w:style>
  <w:style w:type="paragraph" w:customStyle="1" w:styleId="EYHeading3">
    <w:name w:val="EY Heading 3"/>
    <w:basedOn w:val="EYBodytext"/>
    <w:next w:val="Normal"/>
    <w:link w:val="EYHeading3Char"/>
    <w:qFormat/>
    <w:rsid w:val="0023001B"/>
    <w:pPr>
      <w:spacing w:before="120" w:after="0"/>
    </w:pPr>
    <w:rPr>
      <w:b/>
      <w:color w:val="595959" w:themeColor="text1" w:themeTint="A6"/>
      <w:sz w:val="24"/>
    </w:rPr>
  </w:style>
  <w:style w:type="character" w:customStyle="1" w:styleId="EYHeading3Char">
    <w:name w:val="EY Heading 3 Char"/>
    <w:basedOn w:val="DefaultParagraphFont"/>
    <w:link w:val="EYHeading3"/>
    <w:locked/>
    <w:rsid w:val="0023001B"/>
    <w:rPr>
      <w:rFonts w:ascii="Arial" w:hAnsi="Arial" w:cs="Arial"/>
      <w:b/>
      <w:color w:val="595959" w:themeColor="text1" w:themeTint="A6"/>
      <w:sz w:val="24"/>
    </w:rPr>
  </w:style>
  <w:style w:type="character" w:customStyle="1" w:styleId="EYTableTextChar">
    <w:name w:val="EY Table Text Char"/>
    <w:basedOn w:val="DefaultParagraphFont"/>
    <w:link w:val="EYTableText"/>
    <w:rsid w:val="00C02482"/>
    <w:rPr>
      <w:rFonts w:ascii="EYInterstate Light" w:eastAsia="Times New Roman" w:hAnsi="EYInterstate Light" w:cs="Times New Roman"/>
      <w:sz w:val="20"/>
      <w:szCs w:val="24"/>
      <w:lang w:eastAsia="en-AU"/>
    </w:rPr>
  </w:style>
  <w:style w:type="paragraph" w:customStyle="1" w:styleId="eybodytext0">
    <w:name w:val="eybodytext"/>
    <w:basedOn w:val="Normal"/>
    <w:uiPriority w:val="99"/>
    <w:rsid w:val="003F2800"/>
    <w:pPr>
      <w:widowControl/>
      <w:autoSpaceDE/>
      <w:autoSpaceDN/>
      <w:adjustRightInd/>
      <w:spacing w:after="0"/>
    </w:pPr>
    <w:rPr>
      <w:rFonts w:ascii="Times New Roman" w:eastAsiaTheme="minorHAnsi" w:hAnsi="Times New Roman"/>
      <w:sz w:val="24"/>
      <w:szCs w:val="24"/>
      <w:lang w:eastAsia="en-AU"/>
    </w:rPr>
  </w:style>
  <w:style w:type="paragraph" w:customStyle="1" w:styleId="EYtablelist">
    <w:name w:val="EY table list"/>
    <w:basedOn w:val="EYBulletedText10"/>
    <w:link w:val="EYtablelistChar"/>
    <w:qFormat/>
    <w:rsid w:val="00D0288A"/>
    <w:pPr>
      <w:keepLines/>
      <w:numPr>
        <w:numId w:val="0"/>
      </w:numPr>
      <w:spacing w:after="120"/>
      <w:ind w:left="357" w:hanging="357"/>
    </w:pPr>
    <w:rPr>
      <w:rFonts w:ascii="Arial" w:eastAsia="Calibri" w:hAnsi="Arial" w:cs="Arial"/>
      <w:sz w:val="18"/>
      <w:szCs w:val="18"/>
    </w:rPr>
  </w:style>
  <w:style w:type="character" w:customStyle="1" w:styleId="EYtablelistChar">
    <w:name w:val="EY table list Char"/>
    <w:basedOn w:val="EYBulletedText1Char"/>
    <w:link w:val="EYtablelist"/>
    <w:rsid w:val="00D0288A"/>
    <w:rPr>
      <w:rFonts w:ascii="Arial" w:eastAsia="Calibri" w:hAnsi="Arial" w:cs="Arial"/>
      <w:kern w:val="12"/>
      <w:sz w:val="18"/>
      <w:szCs w:val="18"/>
      <w:lang w:eastAsia="en-AU"/>
    </w:rPr>
  </w:style>
  <w:style w:type="character" w:customStyle="1" w:styleId="Listbullet1tableChar">
    <w:name w:val="List bullet 1 table Char"/>
    <w:basedOn w:val="DefaultParagraphFont"/>
    <w:link w:val="Listbullet1table"/>
    <w:uiPriority w:val="99"/>
    <w:rsid w:val="00424DE7"/>
    <w:rPr>
      <w:rFonts w:ascii="Verdana" w:hAnsi="Verdana"/>
      <w:color w:val="000000" w:themeColor="text1"/>
      <w:sz w:val="16"/>
      <w:szCs w:val="19"/>
    </w:rPr>
  </w:style>
  <w:style w:type="paragraph" w:customStyle="1" w:styleId="Listbullet1table">
    <w:name w:val="List bullet 1 table"/>
    <w:basedOn w:val="ListBullet"/>
    <w:link w:val="Listbullet1tableChar"/>
    <w:uiPriority w:val="99"/>
    <w:rsid w:val="00424DE7"/>
    <w:pPr>
      <w:kinsoku/>
      <w:overflowPunct/>
      <w:autoSpaceDE/>
      <w:autoSpaceDN/>
      <w:adjustRightInd/>
      <w:snapToGrid/>
      <w:spacing w:before="20" w:after="60" w:line="240" w:lineRule="atLeast"/>
    </w:pPr>
    <w:rPr>
      <w:rFonts w:ascii="Verdana" w:eastAsiaTheme="minorHAnsi" w:hAnsi="Verdana" w:cstheme="minorBidi"/>
      <w:snapToGrid/>
      <w:color w:val="000000" w:themeColor="text1"/>
      <w:sz w:val="16"/>
      <w:szCs w:val="19"/>
    </w:rPr>
  </w:style>
  <w:style w:type="table" w:styleId="ColorfulGrid">
    <w:name w:val="Colorful Grid"/>
    <w:basedOn w:val="TableNormal"/>
    <w:uiPriority w:val="73"/>
    <w:rsid w:val="000938E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
    <w:name w:val="Light Shading"/>
    <w:basedOn w:val="TableNormal"/>
    <w:uiPriority w:val="60"/>
    <w:rsid w:val="00362E6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Indents">
    <w:name w:val="Indents"/>
    <w:rsid w:val="00D172F1"/>
    <w:pPr>
      <w:numPr>
        <w:numId w:val="14"/>
      </w:numPr>
    </w:pPr>
  </w:style>
  <w:style w:type="paragraph" w:customStyle="1" w:styleId="TableBullet1Small">
    <w:name w:val="Table Bullet 1 Small"/>
    <w:basedOn w:val="Normal"/>
    <w:link w:val="TableBullet1SmallCharChar"/>
    <w:uiPriority w:val="99"/>
    <w:rsid w:val="00D172F1"/>
    <w:pPr>
      <w:widowControl/>
      <w:numPr>
        <w:numId w:val="15"/>
      </w:numPr>
      <w:kinsoku w:val="0"/>
      <w:overflowPunct w:val="0"/>
      <w:snapToGrid w:val="0"/>
      <w:spacing w:before="20" w:after="20"/>
    </w:pPr>
    <w:rPr>
      <w:rFonts w:ascii="Georgia" w:hAnsi="Georgia" w:cs="Arial"/>
      <w:snapToGrid w:val="0"/>
      <w:sz w:val="18"/>
      <w:szCs w:val="18"/>
    </w:rPr>
  </w:style>
  <w:style w:type="paragraph" w:customStyle="1" w:styleId="TableBullet3Small">
    <w:name w:val="Table Bullet 3 Small"/>
    <w:basedOn w:val="TableBullet2Small"/>
    <w:uiPriority w:val="99"/>
    <w:rsid w:val="00D172F1"/>
    <w:pPr>
      <w:numPr>
        <w:ilvl w:val="2"/>
      </w:numPr>
      <w:tabs>
        <w:tab w:val="clear" w:pos="851"/>
      </w:tabs>
      <w:ind w:left="1800" w:hanging="360"/>
    </w:pPr>
    <w:rPr>
      <w:szCs w:val="16"/>
    </w:rPr>
  </w:style>
  <w:style w:type="paragraph" w:customStyle="1" w:styleId="TableBullet2Small">
    <w:name w:val="Table Bullet 2 Small"/>
    <w:basedOn w:val="TableBullet1Small"/>
    <w:uiPriority w:val="99"/>
    <w:rsid w:val="00D172F1"/>
    <w:pPr>
      <w:numPr>
        <w:ilvl w:val="1"/>
      </w:numPr>
      <w:tabs>
        <w:tab w:val="clear" w:pos="567"/>
      </w:tabs>
      <w:ind w:left="1080" w:hanging="360"/>
    </w:pPr>
  </w:style>
  <w:style w:type="character" w:customStyle="1" w:styleId="TableBullet1SmallCharChar">
    <w:name w:val="Table Bullet 1 Small Char Char"/>
    <w:basedOn w:val="DefaultParagraphFont"/>
    <w:link w:val="TableBullet1Small"/>
    <w:uiPriority w:val="99"/>
    <w:rsid w:val="00D172F1"/>
    <w:rPr>
      <w:rFonts w:ascii="Georgia" w:eastAsia="Times New Roman" w:hAnsi="Georgia" w:cs="Arial"/>
      <w:snapToGrid w:val="0"/>
      <w:sz w:val="18"/>
      <w:szCs w:val="18"/>
    </w:rPr>
  </w:style>
  <w:style w:type="paragraph" w:styleId="Bibliography">
    <w:name w:val="Bibliography"/>
    <w:basedOn w:val="Normal"/>
    <w:next w:val="Normal"/>
    <w:uiPriority w:val="37"/>
    <w:semiHidden/>
    <w:unhideWhenUsed/>
    <w:rsid w:val="00DB5DCA"/>
  </w:style>
  <w:style w:type="paragraph" w:styleId="BlockText">
    <w:name w:val="Block Text"/>
    <w:basedOn w:val="Normal"/>
    <w:uiPriority w:val="99"/>
    <w:semiHidden/>
    <w:unhideWhenUsed/>
    <w:rsid w:val="00DB5DCA"/>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DB5DCA"/>
    <w:pPr>
      <w:spacing w:after="120" w:line="480" w:lineRule="auto"/>
    </w:pPr>
  </w:style>
  <w:style w:type="character" w:customStyle="1" w:styleId="BodyText2Char">
    <w:name w:val="Body Text 2 Char"/>
    <w:basedOn w:val="DefaultParagraphFont"/>
    <w:link w:val="BodyText2"/>
    <w:uiPriority w:val="99"/>
    <w:semiHidden/>
    <w:rsid w:val="00DB5DCA"/>
    <w:rPr>
      <w:rFonts w:ascii="EYInterstate Light" w:eastAsia="Times New Roman" w:hAnsi="EYInterstate Light" w:cs="Times New Roman"/>
      <w:sz w:val="20"/>
      <w:szCs w:val="20"/>
    </w:rPr>
  </w:style>
  <w:style w:type="paragraph" w:styleId="BodyText3">
    <w:name w:val="Body Text 3"/>
    <w:basedOn w:val="Normal"/>
    <w:link w:val="BodyText3Char"/>
    <w:uiPriority w:val="99"/>
    <w:semiHidden/>
    <w:unhideWhenUsed/>
    <w:rsid w:val="00DB5DCA"/>
    <w:pPr>
      <w:spacing w:after="120"/>
    </w:pPr>
    <w:rPr>
      <w:sz w:val="16"/>
      <w:szCs w:val="16"/>
    </w:rPr>
  </w:style>
  <w:style w:type="character" w:customStyle="1" w:styleId="BodyText3Char">
    <w:name w:val="Body Text 3 Char"/>
    <w:basedOn w:val="DefaultParagraphFont"/>
    <w:link w:val="BodyText3"/>
    <w:uiPriority w:val="99"/>
    <w:semiHidden/>
    <w:rsid w:val="00DB5DCA"/>
    <w:rPr>
      <w:rFonts w:ascii="EYInterstate Light" w:eastAsia="Times New Roman" w:hAnsi="EYInterstate Light" w:cs="Times New Roman"/>
      <w:sz w:val="16"/>
      <w:szCs w:val="16"/>
    </w:rPr>
  </w:style>
  <w:style w:type="paragraph" w:styleId="BodyTextFirstIndent">
    <w:name w:val="Body Text First Indent"/>
    <w:basedOn w:val="BodyText"/>
    <w:link w:val="BodyTextFirstIndentChar"/>
    <w:uiPriority w:val="99"/>
    <w:semiHidden/>
    <w:unhideWhenUsed/>
    <w:rsid w:val="00DB5DCA"/>
    <w:pPr>
      <w:widowControl w:val="0"/>
      <w:autoSpaceDE w:val="0"/>
      <w:autoSpaceDN w:val="0"/>
      <w:adjustRightInd w:val="0"/>
      <w:spacing w:line="240" w:lineRule="auto"/>
      <w:ind w:firstLine="360"/>
    </w:pPr>
    <w:rPr>
      <w:rFonts w:ascii="EYInterstate Light" w:eastAsia="Times New Roman" w:hAnsi="EYInterstate Light" w:cs="Times New Roman"/>
      <w:lang w:val="en-AU"/>
    </w:rPr>
  </w:style>
  <w:style w:type="character" w:customStyle="1" w:styleId="BodyTextFirstIndentChar">
    <w:name w:val="Body Text First Indent Char"/>
    <w:basedOn w:val="BodyTextChar"/>
    <w:link w:val="BodyTextFirstIndent"/>
    <w:uiPriority w:val="99"/>
    <w:semiHidden/>
    <w:rsid w:val="00DB5DCA"/>
    <w:rPr>
      <w:rFonts w:ascii="EYInterstate Light" w:eastAsia="Times New Roman" w:hAnsi="EYInterstate Light" w:cs="Times New Roman"/>
      <w:sz w:val="20"/>
      <w:szCs w:val="20"/>
      <w:lang w:val="en-GB"/>
    </w:rPr>
  </w:style>
  <w:style w:type="paragraph" w:styleId="BodyTextIndent">
    <w:name w:val="Body Text Indent"/>
    <w:basedOn w:val="Normal"/>
    <w:link w:val="BodyTextIndentChar"/>
    <w:uiPriority w:val="99"/>
    <w:semiHidden/>
    <w:unhideWhenUsed/>
    <w:rsid w:val="00DB5DCA"/>
    <w:pPr>
      <w:spacing w:after="120"/>
      <w:ind w:left="283"/>
    </w:pPr>
  </w:style>
  <w:style w:type="character" w:customStyle="1" w:styleId="BodyTextIndentChar">
    <w:name w:val="Body Text Indent Char"/>
    <w:basedOn w:val="DefaultParagraphFont"/>
    <w:link w:val="BodyTextIndent"/>
    <w:uiPriority w:val="99"/>
    <w:semiHidden/>
    <w:rsid w:val="00DB5DCA"/>
    <w:rPr>
      <w:rFonts w:ascii="EYInterstate Light" w:eastAsia="Times New Roman" w:hAnsi="EYInterstate Light" w:cs="Times New Roman"/>
      <w:sz w:val="20"/>
      <w:szCs w:val="20"/>
    </w:rPr>
  </w:style>
  <w:style w:type="paragraph" w:styleId="BodyTextFirstIndent2">
    <w:name w:val="Body Text First Indent 2"/>
    <w:basedOn w:val="BodyTextIndent"/>
    <w:link w:val="BodyTextFirstIndent2Char"/>
    <w:uiPriority w:val="99"/>
    <w:semiHidden/>
    <w:unhideWhenUsed/>
    <w:rsid w:val="00DB5DCA"/>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DB5DCA"/>
    <w:rPr>
      <w:rFonts w:ascii="EYInterstate Light" w:eastAsia="Times New Roman" w:hAnsi="EYInterstate Light" w:cs="Times New Roman"/>
      <w:sz w:val="20"/>
      <w:szCs w:val="20"/>
    </w:rPr>
  </w:style>
  <w:style w:type="paragraph" w:styleId="BodyTextIndent2">
    <w:name w:val="Body Text Indent 2"/>
    <w:basedOn w:val="Normal"/>
    <w:link w:val="BodyTextIndent2Char"/>
    <w:uiPriority w:val="99"/>
    <w:semiHidden/>
    <w:unhideWhenUsed/>
    <w:rsid w:val="00DB5DCA"/>
    <w:pPr>
      <w:spacing w:after="120" w:line="480" w:lineRule="auto"/>
      <w:ind w:left="283"/>
    </w:pPr>
  </w:style>
  <w:style w:type="character" w:customStyle="1" w:styleId="BodyTextIndent2Char">
    <w:name w:val="Body Text Indent 2 Char"/>
    <w:basedOn w:val="DefaultParagraphFont"/>
    <w:link w:val="BodyTextIndent2"/>
    <w:uiPriority w:val="99"/>
    <w:semiHidden/>
    <w:rsid w:val="00DB5DCA"/>
    <w:rPr>
      <w:rFonts w:ascii="EYInterstate Light" w:eastAsia="Times New Roman" w:hAnsi="EYInterstate Light" w:cs="Times New Roman"/>
      <w:sz w:val="20"/>
      <w:szCs w:val="20"/>
    </w:rPr>
  </w:style>
  <w:style w:type="paragraph" w:styleId="BodyTextIndent3">
    <w:name w:val="Body Text Indent 3"/>
    <w:basedOn w:val="Normal"/>
    <w:link w:val="BodyTextIndent3Char"/>
    <w:uiPriority w:val="99"/>
    <w:semiHidden/>
    <w:unhideWhenUsed/>
    <w:rsid w:val="00DB5DC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B5DCA"/>
    <w:rPr>
      <w:rFonts w:ascii="EYInterstate Light" w:eastAsia="Times New Roman" w:hAnsi="EYInterstate Light" w:cs="Times New Roman"/>
      <w:sz w:val="16"/>
      <w:szCs w:val="16"/>
    </w:rPr>
  </w:style>
  <w:style w:type="paragraph" w:styleId="Closing">
    <w:name w:val="Closing"/>
    <w:basedOn w:val="Normal"/>
    <w:link w:val="ClosingChar"/>
    <w:uiPriority w:val="99"/>
    <w:semiHidden/>
    <w:unhideWhenUsed/>
    <w:rsid w:val="00DB5DCA"/>
    <w:pPr>
      <w:spacing w:after="0"/>
      <w:ind w:left="4252"/>
    </w:pPr>
  </w:style>
  <w:style w:type="character" w:customStyle="1" w:styleId="ClosingChar">
    <w:name w:val="Closing Char"/>
    <w:basedOn w:val="DefaultParagraphFont"/>
    <w:link w:val="Closing"/>
    <w:uiPriority w:val="99"/>
    <w:semiHidden/>
    <w:rsid w:val="00DB5DCA"/>
    <w:rPr>
      <w:rFonts w:ascii="EYInterstate Light" w:eastAsia="Times New Roman" w:hAnsi="EYInterstate Light" w:cs="Times New Roman"/>
      <w:sz w:val="20"/>
      <w:szCs w:val="20"/>
    </w:rPr>
  </w:style>
  <w:style w:type="paragraph" w:styleId="Date">
    <w:name w:val="Date"/>
    <w:basedOn w:val="Normal"/>
    <w:next w:val="Normal"/>
    <w:link w:val="DateChar"/>
    <w:uiPriority w:val="99"/>
    <w:semiHidden/>
    <w:unhideWhenUsed/>
    <w:rsid w:val="00DB5DCA"/>
  </w:style>
  <w:style w:type="character" w:customStyle="1" w:styleId="DateChar">
    <w:name w:val="Date Char"/>
    <w:basedOn w:val="DefaultParagraphFont"/>
    <w:link w:val="Date"/>
    <w:uiPriority w:val="99"/>
    <w:semiHidden/>
    <w:rsid w:val="00DB5DCA"/>
    <w:rPr>
      <w:rFonts w:ascii="EYInterstate Light" w:eastAsia="Times New Roman" w:hAnsi="EYInterstate Light" w:cs="Times New Roman"/>
      <w:sz w:val="20"/>
      <w:szCs w:val="20"/>
    </w:rPr>
  </w:style>
  <w:style w:type="paragraph" w:styleId="DocumentMap">
    <w:name w:val="Document Map"/>
    <w:basedOn w:val="Normal"/>
    <w:link w:val="DocumentMapChar"/>
    <w:uiPriority w:val="99"/>
    <w:semiHidden/>
    <w:unhideWhenUsed/>
    <w:rsid w:val="00DB5DCA"/>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B5DCA"/>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DB5DCA"/>
    <w:pPr>
      <w:spacing w:after="0"/>
    </w:pPr>
  </w:style>
  <w:style w:type="character" w:customStyle="1" w:styleId="E-mailSignatureChar">
    <w:name w:val="E-mail Signature Char"/>
    <w:basedOn w:val="DefaultParagraphFont"/>
    <w:link w:val="E-mailSignature"/>
    <w:uiPriority w:val="99"/>
    <w:semiHidden/>
    <w:rsid w:val="00DB5DCA"/>
    <w:rPr>
      <w:rFonts w:ascii="EYInterstate Light" w:eastAsia="Times New Roman" w:hAnsi="EYInterstate Light" w:cs="Times New Roman"/>
      <w:sz w:val="20"/>
      <w:szCs w:val="20"/>
    </w:rPr>
  </w:style>
  <w:style w:type="paragraph" w:styleId="EndnoteText">
    <w:name w:val="endnote text"/>
    <w:basedOn w:val="Normal"/>
    <w:link w:val="EndnoteTextChar"/>
    <w:uiPriority w:val="99"/>
    <w:semiHidden/>
    <w:unhideWhenUsed/>
    <w:rsid w:val="00DB5DCA"/>
    <w:pPr>
      <w:spacing w:after="0"/>
    </w:pPr>
  </w:style>
  <w:style w:type="character" w:customStyle="1" w:styleId="EndnoteTextChar">
    <w:name w:val="Endnote Text Char"/>
    <w:basedOn w:val="DefaultParagraphFont"/>
    <w:link w:val="EndnoteText"/>
    <w:uiPriority w:val="99"/>
    <w:semiHidden/>
    <w:rsid w:val="00DB5DCA"/>
    <w:rPr>
      <w:rFonts w:ascii="EYInterstate Light" w:eastAsia="Times New Roman" w:hAnsi="EYInterstate Light" w:cs="Times New Roman"/>
      <w:sz w:val="20"/>
      <w:szCs w:val="20"/>
    </w:rPr>
  </w:style>
  <w:style w:type="paragraph" w:styleId="EnvelopeAddress">
    <w:name w:val="envelope address"/>
    <w:basedOn w:val="Normal"/>
    <w:uiPriority w:val="99"/>
    <w:semiHidden/>
    <w:unhideWhenUsed/>
    <w:rsid w:val="00DB5DC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B5DCA"/>
    <w:pPr>
      <w:spacing w:after="0"/>
    </w:pPr>
    <w:rPr>
      <w:rFonts w:asciiTheme="majorHAnsi" w:eastAsiaTheme="majorEastAsia" w:hAnsiTheme="majorHAnsi" w:cstheme="majorBidi"/>
    </w:rPr>
  </w:style>
  <w:style w:type="character" w:customStyle="1" w:styleId="Heading8Char">
    <w:name w:val="Heading 8 Char"/>
    <w:basedOn w:val="DefaultParagraphFont"/>
    <w:link w:val="Heading8"/>
    <w:uiPriority w:val="9"/>
    <w:semiHidden/>
    <w:rsid w:val="00DB5D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B5DCA"/>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DB5DCA"/>
    <w:pPr>
      <w:spacing w:after="0"/>
    </w:pPr>
    <w:rPr>
      <w:i/>
      <w:iCs/>
    </w:rPr>
  </w:style>
  <w:style w:type="character" w:customStyle="1" w:styleId="HTMLAddressChar">
    <w:name w:val="HTML Address Char"/>
    <w:basedOn w:val="DefaultParagraphFont"/>
    <w:link w:val="HTMLAddress"/>
    <w:uiPriority w:val="99"/>
    <w:semiHidden/>
    <w:rsid w:val="00DB5DCA"/>
    <w:rPr>
      <w:rFonts w:ascii="EYInterstate Light" w:eastAsia="Times New Roman" w:hAnsi="EYInterstate Light" w:cs="Times New Roman"/>
      <w:i/>
      <w:iCs/>
      <w:sz w:val="20"/>
      <w:szCs w:val="20"/>
    </w:rPr>
  </w:style>
  <w:style w:type="paragraph" w:styleId="HTMLPreformatted">
    <w:name w:val="HTML Preformatted"/>
    <w:basedOn w:val="Normal"/>
    <w:link w:val="HTMLPreformattedChar"/>
    <w:uiPriority w:val="99"/>
    <w:semiHidden/>
    <w:unhideWhenUsed/>
    <w:rsid w:val="00DB5DC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DB5DCA"/>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DB5DCA"/>
    <w:pPr>
      <w:spacing w:after="0"/>
      <w:ind w:left="200" w:hanging="200"/>
    </w:pPr>
  </w:style>
  <w:style w:type="paragraph" w:styleId="Index2">
    <w:name w:val="index 2"/>
    <w:basedOn w:val="Normal"/>
    <w:next w:val="Normal"/>
    <w:autoRedefine/>
    <w:uiPriority w:val="99"/>
    <w:semiHidden/>
    <w:unhideWhenUsed/>
    <w:rsid w:val="00DB5DCA"/>
    <w:pPr>
      <w:spacing w:after="0"/>
      <w:ind w:left="400" w:hanging="200"/>
    </w:pPr>
  </w:style>
  <w:style w:type="paragraph" w:styleId="Index3">
    <w:name w:val="index 3"/>
    <w:basedOn w:val="Normal"/>
    <w:next w:val="Normal"/>
    <w:autoRedefine/>
    <w:uiPriority w:val="99"/>
    <w:semiHidden/>
    <w:unhideWhenUsed/>
    <w:rsid w:val="00DB5DCA"/>
    <w:pPr>
      <w:spacing w:after="0"/>
      <w:ind w:left="600" w:hanging="200"/>
    </w:pPr>
  </w:style>
  <w:style w:type="paragraph" w:styleId="Index4">
    <w:name w:val="index 4"/>
    <w:basedOn w:val="Normal"/>
    <w:next w:val="Normal"/>
    <w:autoRedefine/>
    <w:uiPriority w:val="99"/>
    <w:semiHidden/>
    <w:unhideWhenUsed/>
    <w:rsid w:val="00DB5DCA"/>
    <w:pPr>
      <w:spacing w:after="0"/>
      <w:ind w:left="800" w:hanging="200"/>
    </w:pPr>
  </w:style>
  <w:style w:type="paragraph" w:styleId="Index5">
    <w:name w:val="index 5"/>
    <w:basedOn w:val="Normal"/>
    <w:next w:val="Normal"/>
    <w:autoRedefine/>
    <w:uiPriority w:val="99"/>
    <w:semiHidden/>
    <w:unhideWhenUsed/>
    <w:rsid w:val="00DB5DCA"/>
    <w:pPr>
      <w:spacing w:after="0"/>
      <w:ind w:left="1000" w:hanging="200"/>
    </w:pPr>
  </w:style>
  <w:style w:type="paragraph" w:styleId="Index6">
    <w:name w:val="index 6"/>
    <w:basedOn w:val="Normal"/>
    <w:next w:val="Normal"/>
    <w:autoRedefine/>
    <w:uiPriority w:val="99"/>
    <w:semiHidden/>
    <w:unhideWhenUsed/>
    <w:rsid w:val="00DB5DCA"/>
    <w:pPr>
      <w:spacing w:after="0"/>
      <w:ind w:left="1200" w:hanging="200"/>
    </w:pPr>
  </w:style>
  <w:style w:type="paragraph" w:styleId="Index7">
    <w:name w:val="index 7"/>
    <w:basedOn w:val="Normal"/>
    <w:next w:val="Normal"/>
    <w:autoRedefine/>
    <w:uiPriority w:val="99"/>
    <w:semiHidden/>
    <w:unhideWhenUsed/>
    <w:rsid w:val="00DB5DCA"/>
    <w:pPr>
      <w:spacing w:after="0"/>
      <w:ind w:left="1400" w:hanging="200"/>
    </w:pPr>
  </w:style>
  <w:style w:type="paragraph" w:styleId="Index8">
    <w:name w:val="index 8"/>
    <w:basedOn w:val="Normal"/>
    <w:next w:val="Normal"/>
    <w:autoRedefine/>
    <w:uiPriority w:val="99"/>
    <w:semiHidden/>
    <w:unhideWhenUsed/>
    <w:rsid w:val="00DB5DCA"/>
    <w:pPr>
      <w:spacing w:after="0"/>
      <w:ind w:left="1600" w:hanging="200"/>
    </w:pPr>
  </w:style>
  <w:style w:type="paragraph" w:styleId="Index9">
    <w:name w:val="index 9"/>
    <w:basedOn w:val="Normal"/>
    <w:next w:val="Normal"/>
    <w:autoRedefine/>
    <w:uiPriority w:val="99"/>
    <w:semiHidden/>
    <w:unhideWhenUsed/>
    <w:rsid w:val="00DB5DCA"/>
    <w:pPr>
      <w:spacing w:after="0"/>
      <w:ind w:left="1800" w:hanging="200"/>
    </w:pPr>
  </w:style>
  <w:style w:type="paragraph" w:styleId="IndexHeading">
    <w:name w:val="index heading"/>
    <w:basedOn w:val="Normal"/>
    <w:next w:val="Index1"/>
    <w:uiPriority w:val="99"/>
    <w:semiHidden/>
    <w:unhideWhenUsed/>
    <w:rsid w:val="00DB5DC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B5DC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B5DCA"/>
    <w:rPr>
      <w:rFonts w:ascii="EYInterstate Light" w:eastAsia="Times New Roman" w:hAnsi="EYInterstate Light" w:cs="Times New Roman"/>
      <w:i/>
      <w:iCs/>
      <w:color w:val="4F81BD" w:themeColor="accent1"/>
      <w:sz w:val="20"/>
      <w:szCs w:val="20"/>
    </w:rPr>
  </w:style>
  <w:style w:type="paragraph" w:styleId="List">
    <w:name w:val="List"/>
    <w:basedOn w:val="Normal"/>
    <w:uiPriority w:val="99"/>
    <w:semiHidden/>
    <w:unhideWhenUsed/>
    <w:rsid w:val="00DB5DCA"/>
    <w:pPr>
      <w:ind w:left="283" w:hanging="283"/>
      <w:contextualSpacing/>
    </w:pPr>
  </w:style>
  <w:style w:type="paragraph" w:styleId="List2">
    <w:name w:val="List 2"/>
    <w:basedOn w:val="Normal"/>
    <w:uiPriority w:val="99"/>
    <w:semiHidden/>
    <w:unhideWhenUsed/>
    <w:rsid w:val="00DB5DCA"/>
    <w:pPr>
      <w:ind w:left="566" w:hanging="283"/>
      <w:contextualSpacing/>
    </w:pPr>
  </w:style>
  <w:style w:type="paragraph" w:styleId="List3">
    <w:name w:val="List 3"/>
    <w:basedOn w:val="Normal"/>
    <w:uiPriority w:val="99"/>
    <w:semiHidden/>
    <w:unhideWhenUsed/>
    <w:rsid w:val="00DB5DCA"/>
    <w:pPr>
      <w:ind w:left="849" w:hanging="283"/>
      <w:contextualSpacing/>
    </w:pPr>
  </w:style>
  <w:style w:type="paragraph" w:styleId="List4">
    <w:name w:val="List 4"/>
    <w:basedOn w:val="Normal"/>
    <w:uiPriority w:val="99"/>
    <w:semiHidden/>
    <w:unhideWhenUsed/>
    <w:rsid w:val="00DB5DCA"/>
    <w:pPr>
      <w:ind w:left="1132" w:hanging="283"/>
      <w:contextualSpacing/>
    </w:pPr>
  </w:style>
  <w:style w:type="paragraph" w:styleId="List5">
    <w:name w:val="List 5"/>
    <w:basedOn w:val="Normal"/>
    <w:uiPriority w:val="99"/>
    <w:semiHidden/>
    <w:unhideWhenUsed/>
    <w:rsid w:val="00DB5DCA"/>
    <w:pPr>
      <w:ind w:left="1415" w:hanging="283"/>
      <w:contextualSpacing/>
    </w:pPr>
  </w:style>
  <w:style w:type="paragraph" w:styleId="ListContinue">
    <w:name w:val="List Continue"/>
    <w:basedOn w:val="Normal"/>
    <w:uiPriority w:val="99"/>
    <w:semiHidden/>
    <w:unhideWhenUsed/>
    <w:rsid w:val="00DB5DCA"/>
    <w:pPr>
      <w:spacing w:after="120"/>
      <w:ind w:left="283"/>
      <w:contextualSpacing/>
    </w:pPr>
  </w:style>
  <w:style w:type="paragraph" w:styleId="ListContinue2">
    <w:name w:val="List Continue 2"/>
    <w:basedOn w:val="Normal"/>
    <w:uiPriority w:val="99"/>
    <w:semiHidden/>
    <w:unhideWhenUsed/>
    <w:rsid w:val="00DB5DCA"/>
    <w:pPr>
      <w:spacing w:after="120"/>
      <w:ind w:left="566"/>
      <w:contextualSpacing/>
    </w:pPr>
  </w:style>
  <w:style w:type="paragraph" w:styleId="ListContinue3">
    <w:name w:val="List Continue 3"/>
    <w:basedOn w:val="Normal"/>
    <w:uiPriority w:val="99"/>
    <w:semiHidden/>
    <w:unhideWhenUsed/>
    <w:rsid w:val="00DB5DCA"/>
    <w:pPr>
      <w:spacing w:after="120"/>
      <w:ind w:left="849"/>
      <w:contextualSpacing/>
    </w:pPr>
  </w:style>
  <w:style w:type="paragraph" w:styleId="ListContinue4">
    <w:name w:val="List Continue 4"/>
    <w:basedOn w:val="Normal"/>
    <w:uiPriority w:val="99"/>
    <w:semiHidden/>
    <w:unhideWhenUsed/>
    <w:rsid w:val="00DB5DCA"/>
    <w:pPr>
      <w:spacing w:after="120"/>
      <w:ind w:left="1132"/>
      <w:contextualSpacing/>
    </w:pPr>
  </w:style>
  <w:style w:type="paragraph" w:styleId="ListContinue5">
    <w:name w:val="List Continue 5"/>
    <w:basedOn w:val="Normal"/>
    <w:uiPriority w:val="99"/>
    <w:semiHidden/>
    <w:unhideWhenUsed/>
    <w:rsid w:val="00DB5DCA"/>
    <w:pPr>
      <w:spacing w:after="120"/>
      <w:ind w:left="1415"/>
      <w:contextualSpacing/>
    </w:pPr>
  </w:style>
  <w:style w:type="paragraph" w:styleId="MacroText">
    <w:name w:val="macro"/>
    <w:link w:val="MacroTextChar"/>
    <w:uiPriority w:val="99"/>
    <w:semiHidden/>
    <w:unhideWhenUsed/>
    <w:rsid w:val="00DB5DCA"/>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0" w:line="240"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DB5DCA"/>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DB5DC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B5DCA"/>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DB5DCA"/>
    <w:pPr>
      <w:ind w:left="720"/>
    </w:pPr>
  </w:style>
  <w:style w:type="paragraph" w:styleId="NoteHeading">
    <w:name w:val="Note Heading"/>
    <w:basedOn w:val="Normal"/>
    <w:next w:val="Normal"/>
    <w:link w:val="NoteHeadingChar"/>
    <w:uiPriority w:val="99"/>
    <w:semiHidden/>
    <w:unhideWhenUsed/>
    <w:rsid w:val="00DB5DCA"/>
    <w:pPr>
      <w:spacing w:after="0"/>
    </w:pPr>
  </w:style>
  <w:style w:type="character" w:customStyle="1" w:styleId="NoteHeadingChar">
    <w:name w:val="Note Heading Char"/>
    <w:basedOn w:val="DefaultParagraphFont"/>
    <w:link w:val="NoteHeading"/>
    <w:uiPriority w:val="99"/>
    <w:semiHidden/>
    <w:rsid w:val="00DB5DCA"/>
    <w:rPr>
      <w:rFonts w:ascii="EYInterstate Light" w:eastAsia="Times New Roman" w:hAnsi="EYInterstate Light" w:cs="Times New Roman"/>
      <w:sz w:val="20"/>
      <w:szCs w:val="20"/>
    </w:rPr>
  </w:style>
  <w:style w:type="paragraph" w:styleId="PlainText">
    <w:name w:val="Plain Text"/>
    <w:basedOn w:val="Normal"/>
    <w:link w:val="PlainTextChar"/>
    <w:uiPriority w:val="99"/>
    <w:unhideWhenUsed/>
    <w:rsid w:val="00DB5DCA"/>
    <w:pPr>
      <w:spacing w:after="0"/>
    </w:pPr>
    <w:rPr>
      <w:rFonts w:ascii="Consolas" w:hAnsi="Consolas"/>
      <w:sz w:val="21"/>
      <w:szCs w:val="21"/>
    </w:rPr>
  </w:style>
  <w:style w:type="character" w:customStyle="1" w:styleId="PlainTextChar">
    <w:name w:val="Plain Text Char"/>
    <w:basedOn w:val="DefaultParagraphFont"/>
    <w:link w:val="PlainText"/>
    <w:uiPriority w:val="99"/>
    <w:rsid w:val="00DB5DCA"/>
    <w:rPr>
      <w:rFonts w:ascii="Consolas" w:eastAsia="Times New Roman" w:hAnsi="Consolas" w:cs="Times New Roman"/>
      <w:sz w:val="21"/>
      <w:szCs w:val="21"/>
    </w:rPr>
  </w:style>
  <w:style w:type="paragraph" w:styleId="Quote">
    <w:name w:val="Quote"/>
    <w:basedOn w:val="Normal"/>
    <w:next w:val="Normal"/>
    <w:link w:val="QuoteChar"/>
    <w:uiPriority w:val="29"/>
    <w:qFormat/>
    <w:rsid w:val="00DB5DC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B5DCA"/>
    <w:rPr>
      <w:rFonts w:ascii="EYInterstate Light" w:eastAsia="Times New Roman" w:hAnsi="EYInterstate Light" w:cs="Times New Roman"/>
      <w:i/>
      <w:iCs/>
      <w:color w:val="404040" w:themeColor="text1" w:themeTint="BF"/>
      <w:sz w:val="20"/>
      <w:szCs w:val="20"/>
    </w:rPr>
  </w:style>
  <w:style w:type="paragraph" w:styleId="Salutation">
    <w:name w:val="Salutation"/>
    <w:basedOn w:val="Normal"/>
    <w:next w:val="Normal"/>
    <w:link w:val="SalutationChar"/>
    <w:uiPriority w:val="99"/>
    <w:semiHidden/>
    <w:unhideWhenUsed/>
    <w:rsid w:val="00DB5DCA"/>
  </w:style>
  <w:style w:type="character" w:customStyle="1" w:styleId="SalutationChar">
    <w:name w:val="Salutation Char"/>
    <w:basedOn w:val="DefaultParagraphFont"/>
    <w:link w:val="Salutation"/>
    <w:uiPriority w:val="99"/>
    <w:semiHidden/>
    <w:rsid w:val="00DB5DCA"/>
    <w:rPr>
      <w:rFonts w:ascii="EYInterstate Light" w:eastAsia="Times New Roman" w:hAnsi="EYInterstate Light" w:cs="Times New Roman"/>
      <w:sz w:val="20"/>
      <w:szCs w:val="20"/>
    </w:rPr>
  </w:style>
  <w:style w:type="paragraph" w:styleId="Signature">
    <w:name w:val="Signature"/>
    <w:basedOn w:val="Normal"/>
    <w:link w:val="SignatureChar"/>
    <w:uiPriority w:val="99"/>
    <w:semiHidden/>
    <w:unhideWhenUsed/>
    <w:rsid w:val="00DB5DCA"/>
    <w:pPr>
      <w:spacing w:after="0"/>
      <w:ind w:left="4252"/>
    </w:pPr>
  </w:style>
  <w:style w:type="character" w:customStyle="1" w:styleId="SignatureChar">
    <w:name w:val="Signature Char"/>
    <w:basedOn w:val="DefaultParagraphFont"/>
    <w:link w:val="Signature"/>
    <w:uiPriority w:val="99"/>
    <w:semiHidden/>
    <w:rsid w:val="00DB5DCA"/>
    <w:rPr>
      <w:rFonts w:ascii="EYInterstate Light" w:eastAsia="Times New Roman" w:hAnsi="EYInterstate Light" w:cs="Times New Roman"/>
      <w:sz w:val="20"/>
      <w:szCs w:val="20"/>
    </w:rPr>
  </w:style>
  <w:style w:type="paragraph" w:styleId="Subtitle">
    <w:name w:val="Subtitle"/>
    <w:basedOn w:val="Normal"/>
    <w:next w:val="Normal"/>
    <w:link w:val="SubtitleChar"/>
    <w:uiPriority w:val="11"/>
    <w:qFormat/>
    <w:rsid w:val="00DB5D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B5DCA"/>
    <w:rPr>
      <w:rFonts w:eastAsiaTheme="minorEastAsia"/>
      <w:color w:val="5A5A5A" w:themeColor="text1" w:themeTint="A5"/>
      <w:spacing w:val="15"/>
    </w:rPr>
  </w:style>
  <w:style w:type="table" w:customStyle="1" w:styleId="LightShading1">
    <w:name w:val="Light Shading1"/>
    <w:basedOn w:val="TableNormal"/>
    <w:next w:val="LightShading"/>
    <w:uiPriority w:val="60"/>
    <w:rsid w:val="00D372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11">
    <w:name w:val="Plain Table 11"/>
    <w:basedOn w:val="TableNormal"/>
    <w:uiPriority w:val="41"/>
    <w:rsid w:val="00780592"/>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
    <w:name w:val="p"/>
    <w:basedOn w:val="Normal"/>
    <w:uiPriority w:val="99"/>
    <w:rsid w:val="00D927CC"/>
    <w:pPr>
      <w:widowControl/>
      <w:autoSpaceDE/>
      <w:autoSpaceDN/>
      <w:adjustRightInd/>
      <w:spacing w:before="100" w:beforeAutospacing="1" w:after="100" w:afterAutospacing="1"/>
    </w:pPr>
    <w:rPr>
      <w:rFonts w:ascii="Times New Roman" w:hAnsi="Times New Roman"/>
      <w:sz w:val="24"/>
      <w:szCs w:val="24"/>
      <w:lang w:eastAsia="en-AU"/>
    </w:rPr>
  </w:style>
  <w:style w:type="table" w:styleId="LightList">
    <w:name w:val="Light List"/>
    <w:basedOn w:val="TableNormal"/>
    <w:uiPriority w:val="61"/>
    <w:semiHidden/>
    <w:unhideWhenUsed/>
    <w:rsid w:val="000316D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4">
    <w:name w:val="Table Grid4"/>
    <w:basedOn w:val="TableNormal"/>
    <w:uiPriority w:val="59"/>
    <w:rsid w:val="00031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pointlist1">
    <w:name w:val="dot point list1"/>
    <w:basedOn w:val="ListParagraph"/>
    <w:uiPriority w:val="99"/>
    <w:qFormat/>
    <w:rsid w:val="0095652C"/>
    <w:pPr>
      <w:widowControl/>
      <w:numPr>
        <w:numId w:val="16"/>
      </w:numPr>
      <w:autoSpaceDE/>
      <w:autoSpaceDN/>
      <w:adjustRightInd/>
      <w:spacing w:after="120"/>
      <w:ind w:left="714" w:hanging="357"/>
      <w:contextualSpacing w:val="0"/>
    </w:pPr>
    <w:rPr>
      <w:rFonts w:asciiTheme="minorHAnsi" w:eastAsiaTheme="minorEastAsia" w:hAnsiTheme="minorHAnsi"/>
      <w:szCs w:val="24"/>
    </w:rPr>
  </w:style>
  <w:style w:type="paragraph" w:customStyle="1" w:styleId="dotpointlistlast">
    <w:name w:val="dot point list last"/>
    <w:basedOn w:val="ListParagraph"/>
    <w:uiPriority w:val="99"/>
    <w:qFormat/>
    <w:rsid w:val="0095652C"/>
    <w:pPr>
      <w:widowControl/>
      <w:numPr>
        <w:numId w:val="17"/>
      </w:numPr>
      <w:autoSpaceDE/>
      <w:autoSpaceDN/>
      <w:adjustRightInd/>
      <w:spacing w:before="120"/>
      <w:ind w:left="714" w:hanging="357"/>
      <w:contextualSpacing w:val="0"/>
    </w:pPr>
    <w:rPr>
      <w:rFonts w:asciiTheme="minorHAnsi" w:eastAsiaTheme="minorEastAsia" w:hAnsiTheme="minorHAnsi"/>
      <w:szCs w:val="24"/>
    </w:rPr>
  </w:style>
  <w:style w:type="character" w:customStyle="1" w:styleId="tgc">
    <w:name w:val="_tgc"/>
    <w:basedOn w:val="DefaultParagraphFont"/>
    <w:rsid w:val="006C6EC8"/>
  </w:style>
  <w:style w:type="character" w:customStyle="1" w:styleId="HeaderChar1">
    <w:name w:val="Header Char1"/>
    <w:aliases w:val="EY Header Char1"/>
    <w:basedOn w:val="DefaultParagraphFont"/>
    <w:uiPriority w:val="99"/>
    <w:semiHidden/>
    <w:rsid w:val="006C6EC8"/>
    <w:rPr>
      <w:rFonts w:ascii="EYInterstate Light" w:eastAsia="Times New Roman" w:hAnsi="EYInterstate Light" w:cs="Times New Roman"/>
      <w:sz w:val="20"/>
      <w:szCs w:val="20"/>
    </w:rPr>
  </w:style>
  <w:style w:type="character" w:customStyle="1" w:styleId="FooterChar1">
    <w:name w:val="Footer Char1"/>
    <w:aliases w:val="EY Footer Char1"/>
    <w:basedOn w:val="DefaultParagraphFont"/>
    <w:semiHidden/>
    <w:rsid w:val="006C6EC8"/>
    <w:rPr>
      <w:rFonts w:ascii="EYInterstate Light" w:eastAsia="Times New Roman" w:hAnsi="EYInterstate Light" w:cs="Times New Roman"/>
      <w:sz w:val="20"/>
      <w:szCs w:val="20"/>
    </w:rPr>
  </w:style>
  <w:style w:type="table" w:customStyle="1" w:styleId="PlainTable111">
    <w:name w:val="Plain Table 111"/>
    <w:basedOn w:val="TableNormal"/>
    <w:uiPriority w:val="41"/>
    <w:rsid w:val="006C6EC8"/>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
    <w:name w:val="No List1"/>
    <w:next w:val="NoList"/>
    <w:uiPriority w:val="99"/>
    <w:semiHidden/>
    <w:unhideWhenUsed/>
    <w:rsid w:val="00551DDB"/>
  </w:style>
  <w:style w:type="paragraph" w:customStyle="1" w:styleId="TableParagraph">
    <w:name w:val="Table Paragraph"/>
    <w:basedOn w:val="Normal"/>
    <w:uiPriority w:val="1"/>
    <w:qFormat/>
    <w:rsid w:val="00551DDB"/>
    <w:pPr>
      <w:autoSpaceDE/>
      <w:autoSpaceDN/>
      <w:adjustRightInd/>
      <w:spacing w:after="0"/>
    </w:pPr>
    <w:rPr>
      <w:rFonts w:asciiTheme="minorHAnsi" w:eastAsia="Calibri" w:hAnsiTheme="minorHAnsi" w:cstheme="minorBidi"/>
      <w:sz w:val="22"/>
      <w:szCs w:val="22"/>
      <w:lang w:val="en-US"/>
    </w:rPr>
  </w:style>
  <w:style w:type="table" w:customStyle="1" w:styleId="EYTable1">
    <w:name w:val="EY Table1"/>
    <w:basedOn w:val="TableNormal"/>
    <w:next w:val="TableGrid"/>
    <w:uiPriority w:val="59"/>
    <w:rsid w:val="008B4F86"/>
    <w:pPr>
      <w:spacing w:after="0" w:line="240" w:lineRule="auto"/>
    </w:pPr>
    <w:rPr>
      <w:rFonts w:ascii="EYInterstate" w:eastAsia="Times New Roman" w:hAnsi="EYInterstate"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1">
    <w:name w:val="Header Table Grid1"/>
    <w:basedOn w:val="TableNormal"/>
    <w:next w:val="TableGrid"/>
    <w:uiPriority w:val="59"/>
    <w:rsid w:val="008B4F86"/>
    <w:pPr>
      <w:spacing w:after="0" w:line="240" w:lineRule="auto"/>
    </w:pPr>
    <w:rPr>
      <w:rFonts w:ascii="EYInterstate" w:eastAsia="Times New Roman" w:hAnsi="EYInterstate"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2">
    <w:name w:val="Header Table Grid2"/>
    <w:basedOn w:val="TableNormal"/>
    <w:next w:val="TableGrid"/>
    <w:uiPriority w:val="59"/>
    <w:rsid w:val="008B4F86"/>
    <w:pPr>
      <w:spacing w:after="0" w:line="240" w:lineRule="auto"/>
    </w:pPr>
    <w:rPr>
      <w:rFonts w:ascii="EYInterstate" w:eastAsia="Times New Roman" w:hAnsi="EYInterstate"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3">
    <w:name w:val="Header Table Grid3"/>
    <w:basedOn w:val="TableNormal"/>
    <w:next w:val="TableGrid"/>
    <w:uiPriority w:val="59"/>
    <w:rsid w:val="008B4F86"/>
    <w:pPr>
      <w:spacing w:after="0" w:line="240" w:lineRule="auto"/>
    </w:pPr>
    <w:rPr>
      <w:rFonts w:ascii="EYInterstate" w:eastAsia="Times New Roman" w:hAnsi="EYInterstate"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11">
    <w:name w:val="Header Table Grid11"/>
    <w:basedOn w:val="TableNormal"/>
    <w:next w:val="TableGrid"/>
    <w:uiPriority w:val="59"/>
    <w:rsid w:val="008B4F86"/>
    <w:pPr>
      <w:spacing w:after="0" w:line="240" w:lineRule="auto"/>
    </w:pPr>
    <w:rPr>
      <w:rFonts w:ascii="EYInterstate" w:eastAsia="Times New Roman" w:hAnsi="EYInterstate"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
    <w:name w:val="Box"/>
    <w:basedOn w:val="BodyText"/>
    <w:qFormat/>
    <w:rsid w:val="00473B03"/>
    <w:pPr>
      <w:keepNext/>
      <w:spacing w:before="120" w:after="0" w:line="260" w:lineRule="atLeast"/>
      <w:jc w:val="both"/>
    </w:pPr>
    <w:rPr>
      <w:rFonts w:ascii="Arial" w:eastAsia="Times New Roman" w:hAnsi="Arial" w:cs="Times New Roman"/>
      <w:lang w:val="en-AU" w:eastAsia="en-AU"/>
    </w:rPr>
  </w:style>
  <w:style w:type="table" w:customStyle="1" w:styleId="HeaderTableGrid4">
    <w:name w:val="Header Table Grid4"/>
    <w:basedOn w:val="TableNormal"/>
    <w:next w:val="TableGrid"/>
    <w:uiPriority w:val="59"/>
    <w:rsid w:val="0042383C"/>
    <w:pPr>
      <w:spacing w:after="0" w:line="240" w:lineRule="auto"/>
    </w:pPr>
    <w:rPr>
      <w:rFonts w:ascii="EYInterstate" w:eastAsia="Times New Roman" w:hAnsi="EYInterstate"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TableNormal"/>
    <w:uiPriority w:val="41"/>
    <w:rsid w:val="00E039E7"/>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YHeading1">
    <w:name w:val="EY Heading 1"/>
    <w:basedOn w:val="EYNormal"/>
    <w:next w:val="EYBodytextwithparaspace"/>
    <w:link w:val="EYHeading1Char"/>
    <w:qFormat/>
    <w:rsid w:val="00FB2AE5"/>
    <w:pPr>
      <w:pageBreakBefore/>
      <w:suppressAutoHyphens w:val="0"/>
      <w:spacing w:before="120" w:after="360"/>
      <w:ind w:left="851" w:hanging="851"/>
      <w:outlineLvl w:val="0"/>
    </w:pPr>
    <w:rPr>
      <w:rFonts w:ascii="EYInterstate Light" w:hAnsi="EYInterstate Light"/>
      <w:b/>
      <w:color w:val="808080"/>
      <w:kern w:val="0"/>
      <w:sz w:val="32"/>
      <w:lang w:val="en-AU"/>
    </w:rPr>
  </w:style>
  <w:style w:type="paragraph" w:customStyle="1" w:styleId="EYHeading4">
    <w:name w:val="EY Heading 4"/>
    <w:basedOn w:val="EYNormal"/>
    <w:next w:val="EYBodytextwithparaspace"/>
    <w:qFormat/>
    <w:rsid w:val="00FB2AE5"/>
    <w:pPr>
      <w:keepNext/>
      <w:tabs>
        <w:tab w:val="num" w:pos="0"/>
      </w:tabs>
      <w:suppressAutoHyphens w:val="0"/>
      <w:autoSpaceDE w:val="0"/>
      <w:autoSpaceDN w:val="0"/>
      <w:adjustRightInd w:val="0"/>
      <w:spacing w:before="120" w:after="120"/>
      <w:ind w:left="851" w:hanging="851"/>
      <w:outlineLvl w:val="3"/>
    </w:pPr>
    <w:rPr>
      <w:rFonts w:ascii="EYInterstate Light" w:hAnsi="EYInterstate Light"/>
      <w:b/>
      <w:kern w:val="0"/>
      <w:sz w:val="22"/>
      <w:lang w:val="en-AU"/>
    </w:rPr>
  </w:style>
  <w:style w:type="paragraph" w:customStyle="1" w:styleId="EY1Number">
    <w:name w:val="EY1 ( Number)"/>
    <w:basedOn w:val="EYNormal"/>
    <w:qFormat/>
    <w:rsid w:val="00603059"/>
    <w:pPr>
      <w:numPr>
        <w:numId w:val="19"/>
      </w:numPr>
      <w:suppressAutoHyphens w:val="0"/>
      <w:spacing w:before="120" w:after="240"/>
    </w:pPr>
    <w:rPr>
      <w:rFonts w:ascii="EYInterstate Light" w:hAnsi="EYInterstate Light"/>
      <w:lang w:val="en-AU" w:eastAsia="en-AU"/>
    </w:rPr>
  </w:style>
  <w:style w:type="paragraph" w:customStyle="1" w:styleId="EY2Letter">
    <w:name w:val="EY2 ( Letter)"/>
    <w:basedOn w:val="EY1Number"/>
    <w:qFormat/>
    <w:rsid w:val="00603059"/>
    <w:pPr>
      <w:numPr>
        <w:ilvl w:val="1"/>
      </w:numPr>
    </w:pPr>
  </w:style>
  <w:style w:type="paragraph" w:customStyle="1" w:styleId="EY3Roman">
    <w:name w:val="EY3 (Roman)"/>
    <w:basedOn w:val="EY1Number"/>
    <w:qFormat/>
    <w:rsid w:val="00603059"/>
    <w:pPr>
      <w:numPr>
        <w:ilvl w:val="2"/>
      </w:numPr>
    </w:pPr>
  </w:style>
  <w:style w:type="numbering" w:customStyle="1" w:styleId="EYAlphaNumList">
    <w:name w:val="EYAlphaNumList"/>
    <w:uiPriority w:val="99"/>
    <w:rsid w:val="00603059"/>
    <w:pPr>
      <w:numPr>
        <w:numId w:val="19"/>
      </w:numPr>
    </w:pPr>
  </w:style>
  <w:style w:type="character" w:customStyle="1" w:styleId="EYTableHeadingChar">
    <w:name w:val="EY Table Heading Char"/>
    <w:link w:val="EYTableHeading"/>
    <w:locked/>
    <w:rsid w:val="00603059"/>
    <w:rPr>
      <w:rFonts w:ascii="EYInterstate Light" w:eastAsia="Times New Roman" w:hAnsi="EYInterstate Light" w:cs="Times New Roman"/>
      <w:b/>
      <w:color w:val="7F7E82"/>
      <w:sz w:val="20"/>
      <w:szCs w:val="24"/>
      <w:lang w:eastAsia="en-AU"/>
    </w:rPr>
  </w:style>
  <w:style w:type="paragraph" w:customStyle="1" w:styleId="PFNumLevel2">
    <w:name w:val="PF (Num) Level 2"/>
    <w:basedOn w:val="Normal"/>
    <w:rsid w:val="00603059"/>
    <w:pPr>
      <w:widowControl/>
      <w:numPr>
        <w:ilvl w:val="1"/>
        <w:numId w:val="20"/>
      </w:numPr>
      <w:tabs>
        <w:tab w:val="left" w:pos="2773"/>
        <w:tab w:val="left" w:pos="3697"/>
        <w:tab w:val="left" w:pos="4621"/>
        <w:tab w:val="left" w:pos="5545"/>
        <w:tab w:val="left" w:pos="6469"/>
        <w:tab w:val="left" w:pos="7394"/>
        <w:tab w:val="left" w:pos="8318"/>
        <w:tab w:val="right" w:pos="8930"/>
      </w:tabs>
      <w:autoSpaceDE/>
      <w:autoSpaceDN/>
      <w:adjustRightInd/>
      <w:spacing w:before="120" w:after="120" w:line="276" w:lineRule="auto"/>
    </w:pPr>
    <w:rPr>
      <w:rFonts w:ascii="Arial" w:hAnsi="Arial"/>
      <w:color w:val="000000"/>
      <w:sz w:val="21"/>
    </w:rPr>
  </w:style>
  <w:style w:type="paragraph" w:customStyle="1" w:styleId="PFNumLevel3">
    <w:name w:val="PF (Num) Level 3"/>
    <w:basedOn w:val="Normal"/>
    <w:rsid w:val="00603059"/>
    <w:pPr>
      <w:widowControl/>
      <w:numPr>
        <w:ilvl w:val="2"/>
        <w:numId w:val="20"/>
      </w:numPr>
      <w:tabs>
        <w:tab w:val="left" w:pos="3697"/>
        <w:tab w:val="left" w:pos="4621"/>
        <w:tab w:val="left" w:pos="5545"/>
        <w:tab w:val="left" w:pos="6469"/>
        <w:tab w:val="left" w:pos="7394"/>
        <w:tab w:val="left" w:pos="8318"/>
        <w:tab w:val="right" w:pos="8930"/>
      </w:tabs>
      <w:autoSpaceDE/>
      <w:autoSpaceDN/>
      <w:adjustRightInd/>
      <w:spacing w:before="120" w:after="120" w:line="276" w:lineRule="auto"/>
    </w:pPr>
    <w:rPr>
      <w:rFonts w:ascii="Arial" w:hAnsi="Arial"/>
      <w:color w:val="000000"/>
      <w:sz w:val="21"/>
    </w:rPr>
  </w:style>
  <w:style w:type="paragraph" w:customStyle="1" w:styleId="PFNumLevel4">
    <w:name w:val="PF (Num) Level 4"/>
    <w:basedOn w:val="Normal"/>
    <w:rsid w:val="00603059"/>
    <w:pPr>
      <w:widowControl/>
      <w:numPr>
        <w:ilvl w:val="3"/>
        <w:numId w:val="20"/>
      </w:numPr>
      <w:tabs>
        <w:tab w:val="left" w:pos="4621"/>
        <w:tab w:val="left" w:pos="5545"/>
        <w:tab w:val="left" w:pos="6469"/>
        <w:tab w:val="left" w:pos="7394"/>
        <w:tab w:val="left" w:pos="8318"/>
        <w:tab w:val="right" w:pos="8930"/>
      </w:tabs>
      <w:autoSpaceDE/>
      <w:autoSpaceDN/>
      <w:adjustRightInd/>
      <w:spacing w:before="120" w:after="120" w:line="276" w:lineRule="auto"/>
    </w:pPr>
    <w:rPr>
      <w:rFonts w:ascii="Arial" w:hAnsi="Arial"/>
      <w:color w:val="000000"/>
      <w:sz w:val="21"/>
    </w:rPr>
  </w:style>
  <w:style w:type="paragraph" w:customStyle="1" w:styleId="PFNumLevel5">
    <w:name w:val="PF (Num) Level 5"/>
    <w:basedOn w:val="Normal"/>
    <w:rsid w:val="00603059"/>
    <w:pPr>
      <w:widowControl/>
      <w:numPr>
        <w:ilvl w:val="4"/>
        <w:numId w:val="20"/>
      </w:numPr>
      <w:tabs>
        <w:tab w:val="left" w:pos="2773"/>
        <w:tab w:val="left" w:pos="3697"/>
        <w:tab w:val="left" w:pos="4621"/>
        <w:tab w:val="left" w:pos="5545"/>
        <w:tab w:val="left" w:pos="6469"/>
        <w:tab w:val="left" w:pos="7394"/>
        <w:tab w:val="left" w:pos="8318"/>
        <w:tab w:val="right" w:pos="8930"/>
      </w:tabs>
      <w:autoSpaceDE/>
      <w:autoSpaceDN/>
      <w:adjustRightInd/>
      <w:spacing w:before="120" w:after="120" w:line="276" w:lineRule="auto"/>
    </w:pPr>
    <w:rPr>
      <w:rFonts w:ascii="Arial" w:hAnsi="Arial"/>
      <w:color w:val="000000"/>
      <w:sz w:val="21"/>
    </w:rPr>
  </w:style>
  <w:style w:type="paragraph" w:customStyle="1" w:styleId="Heading1A">
    <w:name w:val="Heading 1A"/>
    <w:basedOn w:val="Heading1"/>
    <w:next w:val="Normal"/>
    <w:rsid w:val="00603059"/>
    <w:pPr>
      <w:keepNext/>
      <w:pageBreakBefore w:val="0"/>
      <w:numPr>
        <w:numId w:val="20"/>
      </w:numPr>
      <w:tabs>
        <w:tab w:val="clear" w:pos="924"/>
        <w:tab w:val="num" w:pos="360"/>
        <w:tab w:val="left" w:pos="1848"/>
        <w:tab w:val="left" w:pos="2773"/>
        <w:tab w:val="left" w:pos="3697"/>
        <w:tab w:val="left" w:pos="4621"/>
        <w:tab w:val="left" w:pos="5545"/>
        <w:tab w:val="left" w:pos="6469"/>
        <w:tab w:val="left" w:pos="7394"/>
        <w:tab w:val="left" w:pos="8318"/>
        <w:tab w:val="right" w:pos="8930"/>
      </w:tabs>
      <w:spacing w:before="400" w:after="120" w:line="276" w:lineRule="auto"/>
      <w:ind w:left="0" w:firstLine="0"/>
    </w:pPr>
    <w:rPr>
      <w:rFonts w:ascii="Arial" w:hAnsi="Arial"/>
      <w:b/>
      <w:color w:val="000000"/>
      <w:kern w:val="28"/>
      <w:sz w:val="28"/>
      <w:szCs w:val="28"/>
      <w:lang w:val="en-AU"/>
    </w:rPr>
  </w:style>
  <w:style w:type="paragraph" w:customStyle="1" w:styleId="PFNumLevel6">
    <w:name w:val="PF (Num) Level 6"/>
    <w:basedOn w:val="PFNumLevel4"/>
    <w:rsid w:val="00603059"/>
    <w:pPr>
      <w:numPr>
        <w:ilvl w:val="5"/>
      </w:numPr>
    </w:pPr>
  </w:style>
  <w:style w:type="character" w:customStyle="1" w:styleId="EYHeading1Char">
    <w:name w:val="EY Heading 1 Char"/>
    <w:basedOn w:val="DefaultParagraphFont"/>
    <w:link w:val="EYHeading1"/>
    <w:rsid w:val="001C0282"/>
    <w:rPr>
      <w:rFonts w:ascii="EYInterstate Light" w:eastAsia="Times New Roman" w:hAnsi="EYInterstate Light" w:cs="Times New Roman"/>
      <w:b/>
      <w:color w:val="808080"/>
      <w:sz w:val="32"/>
      <w:szCs w:val="24"/>
    </w:rPr>
  </w:style>
  <w:style w:type="paragraph" w:customStyle="1" w:styleId="OTABodycopy">
    <w:name w:val="OTA Body copy"/>
    <w:basedOn w:val="Normal"/>
    <w:uiPriority w:val="99"/>
    <w:qFormat/>
    <w:rsid w:val="00AB36E2"/>
    <w:pPr>
      <w:widowControl/>
      <w:tabs>
        <w:tab w:val="left" w:pos="284"/>
        <w:tab w:val="left" w:pos="567"/>
        <w:tab w:val="right" w:pos="9639"/>
      </w:tabs>
      <w:autoSpaceDE/>
      <w:autoSpaceDN/>
      <w:adjustRightInd/>
      <w:spacing w:after="120" w:line="260" w:lineRule="exact"/>
    </w:pPr>
    <w:rPr>
      <w:rFonts w:ascii="Open Sans" w:eastAsiaTheme="minorHAnsi" w:hAnsi="Open Sans" w:cstheme="minorBidi"/>
      <w:sz w:val="19"/>
      <w:szCs w:val="24"/>
      <w:lang w:val="en-US"/>
    </w:rPr>
  </w:style>
  <w:style w:type="paragraph" w:customStyle="1" w:styleId="Bulletlistlvl1">
    <w:name w:val="Bullet list lvl 1"/>
    <w:basedOn w:val="OTABodycopy"/>
    <w:qFormat/>
    <w:rsid w:val="00AB36E2"/>
  </w:style>
  <w:style w:type="paragraph" w:customStyle="1" w:styleId="Pa2">
    <w:name w:val="Pa2"/>
    <w:basedOn w:val="Normal"/>
    <w:next w:val="Normal"/>
    <w:uiPriority w:val="99"/>
    <w:rsid w:val="00A50C21"/>
    <w:pPr>
      <w:widowControl/>
      <w:spacing w:after="0" w:line="161" w:lineRule="atLeast"/>
    </w:pPr>
    <w:rPr>
      <w:rFonts w:ascii="Open Sans Light" w:eastAsiaTheme="minorHAnsi" w:hAnsi="Open Sans Light"/>
      <w:sz w:val="24"/>
      <w:szCs w:val="24"/>
    </w:rPr>
  </w:style>
  <w:style w:type="table" w:customStyle="1" w:styleId="TableGrid5">
    <w:name w:val="Table Grid5"/>
    <w:basedOn w:val="TableNormal"/>
    <w:next w:val="TableGrid"/>
    <w:uiPriority w:val="59"/>
    <w:rsid w:val="00F45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7A316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sz w:val="24"/>
      <w:szCs w:val="24"/>
      <w:lang w:eastAsia="en-AU"/>
    </w:rPr>
  </w:style>
  <w:style w:type="paragraph" w:customStyle="1" w:styleId="xl66">
    <w:name w:val="xl66"/>
    <w:basedOn w:val="Normal"/>
    <w:rsid w:val="007A3163"/>
    <w:pPr>
      <w:widowControl/>
      <w:pBdr>
        <w:top w:val="single" w:sz="4" w:space="0" w:color="auto"/>
        <w:left w:val="single" w:sz="4" w:space="0" w:color="auto"/>
        <w:bottom w:val="single" w:sz="4" w:space="0" w:color="auto"/>
        <w:right w:val="single" w:sz="4" w:space="0" w:color="auto"/>
      </w:pBdr>
      <w:shd w:val="clear" w:color="000000" w:fill="AEAAAA"/>
      <w:autoSpaceDE/>
      <w:autoSpaceDN/>
      <w:adjustRightInd/>
      <w:spacing w:before="100" w:beforeAutospacing="1" w:after="100" w:afterAutospacing="1"/>
      <w:textAlignment w:val="top"/>
    </w:pPr>
    <w:rPr>
      <w:rFonts w:ascii="Times New Roman" w:hAnsi="Times New Roman"/>
      <w:b/>
      <w:bCs/>
      <w:sz w:val="24"/>
      <w:szCs w:val="24"/>
      <w:lang w:eastAsia="en-AU"/>
    </w:rPr>
  </w:style>
  <w:style w:type="paragraph" w:customStyle="1" w:styleId="xl67">
    <w:name w:val="xl67"/>
    <w:basedOn w:val="Normal"/>
    <w:rsid w:val="007A3163"/>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sz w:val="24"/>
      <w:szCs w:val="24"/>
      <w:lang w:eastAsia="en-AU"/>
    </w:rPr>
  </w:style>
  <w:style w:type="table" w:styleId="ListTable2">
    <w:name w:val="List Table 2"/>
    <w:basedOn w:val="TableNormal"/>
    <w:uiPriority w:val="47"/>
    <w:rsid w:val="00FD02A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FD02A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ICBTable1">
    <w:name w:val="ICB Table1"/>
    <w:basedOn w:val="TableNormal"/>
    <w:next w:val="TableGrid"/>
    <w:uiPriority w:val="59"/>
    <w:rsid w:val="009B17B9"/>
    <w:pPr>
      <w:spacing w:after="0" w:line="240" w:lineRule="auto"/>
    </w:pPr>
    <w:rPr>
      <w:rFonts w:ascii="EYInterstate" w:eastAsia="Times New Roman" w:hAnsi="EYInterstate"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DefaultParagraphFont"/>
    <w:rsid w:val="007B3A7B"/>
  </w:style>
  <w:style w:type="table" w:customStyle="1" w:styleId="Acronyms">
    <w:name w:val="Acronyms"/>
    <w:basedOn w:val="ListTable2"/>
    <w:uiPriority w:val="99"/>
    <w:rsid w:val="0047533D"/>
    <w:tblPr/>
    <w:tcPr>
      <w:shd w:val="clear" w:color="auto" w:fill="F2F2F2" w:themeFill="background1" w:themeFillShade="F2"/>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EB72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ICBTable2">
    <w:name w:val="ICB Table2"/>
    <w:basedOn w:val="TableNormal"/>
    <w:next w:val="TableGrid"/>
    <w:uiPriority w:val="39"/>
    <w:rsid w:val="00102A7F"/>
    <w:pPr>
      <w:spacing w:after="0" w:line="240" w:lineRule="auto"/>
    </w:pPr>
    <w:rPr>
      <w:rFonts w:ascii="EYInterstate" w:eastAsia="Times New Roman" w:hAnsi="EYInterstate"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6836">
      <w:bodyDiv w:val="1"/>
      <w:marLeft w:val="0"/>
      <w:marRight w:val="0"/>
      <w:marTop w:val="0"/>
      <w:marBottom w:val="0"/>
      <w:divBdr>
        <w:top w:val="none" w:sz="0" w:space="0" w:color="auto"/>
        <w:left w:val="none" w:sz="0" w:space="0" w:color="auto"/>
        <w:bottom w:val="none" w:sz="0" w:space="0" w:color="auto"/>
        <w:right w:val="none" w:sz="0" w:space="0" w:color="auto"/>
      </w:divBdr>
    </w:div>
    <w:div w:id="9381695">
      <w:bodyDiv w:val="1"/>
      <w:marLeft w:val="0"/>
      <w:marRight w:val="0"/>
      <w:marTop w:val="0"/>
      <w:marBottom w:val="0"/>
      <w:divBdr>
        <w:top w:val="none" w:sz="0" w:space="0" w:color="auto"/>
        <w:left w:val="none" w:sz="0" w:space="0" w:color="auto"/>
        <w:bottom w:val="none" w:sz="0" w:space="0" w:color="auto"/>
        <w:right w:val="none" w:sz="0" w:space="0" w:color="auto"/>
      </w:divBdr>
    </w:div>
    <w:div w:id="10767084">
      <w:bodyDiv w:val="1"/>
      <w:marLeft w:val="0"/>
      <w:marRight w:val="0"/>
      <w:marTop w:val="0"/>
      <w:marBottom w:val="0"/>
      <w:divBdr>
        <w:top w:val="none" w:sz="0" w:space="0" w:color="auto"/>
        <w:left w:val="none" w:sz="0" w:space="0" w:color="auto"/>
        <w:bottom w:val="none" w:sz="0" w:space="0" w:color="auto"/>
        <w:right w:val="none" w:sz="0" w:space="0" w:color="auto"/>
      </w:divBdr>
    </w:div>
    <w:div w:id="12153919">
      <w:bodyDiv w:val="1"/>
      <w:marLeft w:val="0"/>
      <w:marRight w:val="0"/>
      <w:marTop w:val="0"/>
      <w:marBottom w:val="0"/>
      <w:divBdr>
        <w:top w:val="none" w:sz="0" w:space="0" w:color="auto"/>
        <w:left w:val="none" w:sz="0" w:space="0" w:color="auto"/>
        <w:bottom w:val="none" w:sz="0" w:space="0" w:color="auto"/>
        <w:right w:val="none" w:sz="0" w:space="0" w:color="auto"/>
      </w:divBdr>
    </w:div>
    <w:div w:id="20325098">
      <w:bodyDiv w:val="1"/>
      <w:marLeft w:val="0"/>
      <w:marRight w:val="0"/>
      <w:marTop w:val="0"/>
      <w:marBottom w:val="0"/>
      <w:divBdr>
        <w:top w:val="none" w:sz="0" w:space="0" w:color="auto"/>
        <w:left w:val="none" w:sz="0" w:space="0" w:color="auto"/>
        <w:bottom w:val="none" w:sz="0" w:space="0" w:color="auto"/>
        <w:right w:val="none" w:sz="0" w:space="0" w:color="auto"/>
      </w:divBdr>
    </w:div>
    <w:div w:id="22176171">
      <w:bodyDiv w:val="1"/>
      <w:marLeft w:val="0"/>
      <w:marRight w:val="0"/>
      <w:marTop w:val="0"/>
      <w:marBottom w:val="0"/>
      <w:divBdr>
        <w:top w:val="none" w:sz="0" w:space="0" w:color="auto"/>
        <w:left w:val="none" w:sz="0" w:space="0" w:color="auto"/>
        <w:bottom w:val="none" w:sz="0" w:space="0" w:color="auto"/>
        <w:right w:val="none" w:sz="0" w:space="0" w:color="auto"/>
      </w:divBdr>
    </w:div>
    <w:div w:id="22827712">
      <w:bodyDiv w:val="1"/>
      <w:marLeft w:val="0"/>
      <w:marRight w:val="0"/>
      <w:marTop w:val="0"/>
      <w:marBottom w:val="0"/>
      <w:divBdr>
        <w:top w:val="none" w:sz="0" w:space="0" w:color="auto"/>
        <w:left w:val="none" w:sz="0" w:space="0" w:color="auto"/>
        <w:bottom w:val="none" w:sz="0" w:space="0" w:color="auto"/>
        <w:right w:val="none" w:sz="0" w:space="0" w:color="auto"/>
      </w:divBdr>
    </w:div>
    <w:div w:id="68770925">
      <w:bodyDiv w:val="1"/>
      <w:marLeft w:val="0"/>
      <w:marRight w:val="0"/>
      <w:marTop w:val="0"/>
      <w:marBottom w:val="0"/>
      <w:divBdr>
        <w:top w:val="none" w:sz="0" w:space="0" w:color="auto"/>
        <w:left w:val="none" w:sz="0" w:space="0" w:color="auto"/>
        <w:bottom w:val="none" w:sz="0" w:space="0" w:color="auto"/>
        <w:right w:val="none" w:sz="0" w:space="0" w:color="auto"/>
      </w:divBdr>
    </w:div>
    <w:div w:id="76022118">
      <w:bodyDiv w:val="1"/>
      <w:marLeft w:val="0"/>
      <w:marRight w:val="0"/>
      <w:marTop w:val="0"/>
      <w:marBottom w:val="0"/>
      <w:divBdr>
        <w:top w:val="none" w:sz="0" w:space="0" w:color="auto"/>
        <w:left w:val="none" w:sz="0" w:space="0" w:color="auto"/>
        <w:bottom w:val="none" w:sz="0" w:space="0" w:color="auto"/>
        <w:right w:val="none" w:sz="0" w:space="0" w:color="auto"/>
      </w:divBdr>
    </w:div>
    <w:div w:id="79834278">
      <w:bodyDiv w:val="1"/>
      <w:marLeft w:val="0"/>
      <w:marRight w:val="0"/>
      <w:marTop w:val="0"/>
      <w:marBottom w:val="0"/>
      <w:divBdr>
        <w:top w:val="none" w:sz="0" w:space="0" w:color="auto"/>
        <w:left w:val="none" w:sz="0" w:space="0" w:color="auto"/>
        <w:bottom w:val="none" w:sz="0" w:space="0" w:color="auto"/>
        <w:right w:val="none" w:sz="0" w:space="0" w:color="auto"/>
      </w:divBdr>
    </w:div>
    <w:div w:id="82148524">
      <w:bodyDiv w:val="1"/>
      <w:marLeft w:val="0"/>
      <w:marRight w:val="0"/>
      <w:marTop w:val="0"/>
      <w:marBottom w:val="0"/>
      <w:divBdr>
        <w:top w:val="none" w:sz="0" w:space="0" w:color="auto"/>
        <w:left w:val="none" w:sz="0" w:space="0" w:color="auto"/>
        <w:bottom w:val="none" w:sz="0" w:space="0" w:color="auto"/>
        <w:right w:val="none" w:sz="0" w:space="0" w:color="auto"/>
      </w:divBdr>
    </w:div>
    <w:div w:id="84544426">
      <w:bodyDiv w:val="1"/>
      <w:marLeft w:val="0"/>
      <w:marRight w:val="0"/>
      <w:marTop w:val="0"/>
      <w:marBottom w:val="0"/>
      <w:divBdr>
        <w:top w:val="none" w:sz="0" w:space="0" w:color="auto"/>
        <w:left w:val="none" w:sz="0" w:space="0" w:color="auto"/>
        <w:bottom w:val="none" w:sz="0" w:space="0" w:color="auto"/>
        <w:right w:val="none" w:sz="0" w:space="0" w:color="auto"/>
      </w:divBdr>
    </w:div>
    <w:div w:id="84739490">
      <w:bodyDiv w:val="1"/>
      <w:marLeft w:val="0"/>
      <w:marRight w:val="0"/>
      <w:marTop w:val="0"/>
      <w:marBottom w:val="0"/>
      <w:divBdr>
        <w:top w:val="none" w:sz="0" w:space="0" w:color="auto"/>
        <w:left w:val="none" w:sz="0" w:space="0" w:color="auto"/>
        <w:bottom w:val="none" w:sz="0" w:space="0" w:color="auto"/>
        <w:right w:val="none" w:sz="0" w:space="0" w:color="auto"/>
      </w:divBdr>
    </w:div>
    <w:div w:id="85660978">
      <w:bodyDiv w:val="1"/>
      <w:marLeft w:val="0"/>
      <w:marRight w:val="0"/>
      <w:marTop w:val="0"/>
      <w:marBottom w:val="0"/>
      <w:divBdr>
        <w:top w:val="none" w:sz="0" w:space="0" w:color="auto"/>
        <w:left w:val="none" w:sz="0" w:space="0" w:color="auto"/>
        <w:bottom w:val="none" w:sz="0" w:space="0" w:color="auto"/>
        <w:right w:val="none" w:sz="0" w:space="0" w:color="auto"/>
      </w:divBdr>
    </w:div>
    <w:div w:id="88701386">
      <w:bodyDiv w:val="1"/>
      <w:marLeft w:val="0"/>
      <w:marRight w:val="0"/>
      <w:marTop w:val="0"/>
      <w:marBottom w:val="0"/>
      <w:divBdr>
        <w:top w:val="none" w:sz="0" w:space="0" w:color="auto"/>
        <w:left w:val="none" w:sz="0" w:space="0" w:color="auto"/>
        <w:bottom w:val="none" w:sz="0" w:space="0" w:color="auto"/>
        <w:right w:val="none" w:sz="0" w:space="0" w:color="auto"/>
      </w:divBdr>
      <w:divsChild>
        <w:div w:id="1606110110">
          <w:marLeft w:val="0"/>
          <w:marRight w:val="0"/>
          <w:marTop w:val="0"/>
          <w:marBottom w:val="0"/>
          <w:divBdr>
            <w:top w:val="none" w:sz="0" w:space="0" w:color="auto"/>
            <w:left w:val="none" w:sz="0" w:space="0" w:color="auto"/>
            <w:bottom w:val="none" w:sz="0" w:space="0" w:color="auto"/>
            <w:right w:val="none" w:sz="0" w:space="0" w:color="auto"/>
          </w:divBdr>
          <w:divsChild>
            <w:div w:id="1555576908">
              <w:marLeft w:val="0"/>
              <w:marRight w:val="0"/>
              <w:marTop w:val="0"/>
              <w:marBottom w:val="0"/>
              <w:divBdr>
                <w:top w:val="none" w:sz="0" w:space="0" w:color="auto"/>
                <w:left w:val="none" w:sz="0" w:space="0" w:color="auto"/>
                <w:bottom w:val="none" w:sz="0" w:space="0" w:color="auto"/>
                <w:right w:val="none" w:sz="0" w:space="0" w:color="auto"/>
              </w:divBdr>
              <w:divsChild>
                <w:div w:id="1294869212">
                  <w:marLeft w:val="0"/>
                  <w:marRight w:val="0"/>
                  <w:marTop w:val="181"/>
                  <w:marBottom w:val="181"/>
                  <w:divBdr>
                    <w:top w:val="none" w:sz="0" w:space="0" w:color="auto"/>
                    <w:left w:val="none" w:sz="0" w:space="0" w:color="auto"/>
                    <w:bottom w:val="none" w:sz="0" w:space="0" w:color="auto"/>
                    <w:right w:val="none" w:sz="0" w:space="0" w:color="auto"/>
                  </w:divBdr>
                  <w:divsChild>
                    <w:div w:id="920262493">
                      <w:marLeft w:val="0"/>
                      <w:marRight w:val="0"/>
                      <w:marTop w:val="0"/>
                      <w:marBottom w:val="0"/>
                      <w:divBdr>
                        <w:top w:val="none" w:sz="0" w:space="0" w:color="auto"/>
                        <w:left w:val="none" w:sz="0" w:space="0" w:color="auto"/>
                        <w:bottom w:val="none" w:sz="0" w:space="0" w:color="auto"/>
                        <w:right w:val="none" w:sz="0" w:space="0" w:color="auto"/>
                      </w:divBdr>
                      <w:divsChild>
                        <w:div w:id="88235416">
                          <w:marLeft w:val="0"/>
                          <w:marRight w:val="0"/>
                          <w:marTop w:val="0"/>
                          <w:marBottom w:val="0"/>
                          <w:divBdr>
                            <w:top w:val="none" w:sz="0" w:space="0" w:color="auto"/>
                            <w:left w:val="none" w:sz="0" w:space="0" w:color="auto"/>
                            <w:bottom w:val="none" w:sz="0" w:space="0" w:color="auto"/>
                            <w:right w:val="none" w:sz="0" w:space="0" w:color="auto"/>
                          </w:divBdr>
                        </w:div>
                        <w:div w:id="603612717">
                          <w:marLeft w:val="0"/>
                          <w:marRight w:val="0"/>
                          <w:marTop w:val="0"/>
                          <w:marBottom w:val="0"/>
                          <w:divBdr>
                            <w:top w:val="none" w:sz="0" w:space="0" w:color="auto"/>
                            <w:left w:val="none" w:sz="0" w:space="0" w:color="auto"/>
                            <w:bottom w:val="none" w:sz="0" w:space="0" w:color="auto"/>
                            <w:right w:val="none" w:sz="0" w:space="0" w:color="auto"/>
                          </w:divBdr>
                        </w:div>
                        <w:div w:id="929658788">
                          <w:marLeft w:val="0"/>
                          <w:marRight w:val="0"/>
                          <w:marTop w:val="0"/>
                          <w:marBottom w:val="0"/>
                          <w:divBdr>
                            <w:top w:val="none" w:sz="0" w:space="0" w:color="auto"/>
                            <w:left w:val="none" w:sz="0" w:space="0" w:color="auto"/>
                            <w:bottom w:val="none" w:sz="0" w:space="0" w:color="auto"/>
                            <w:right w:val="none" w:sz="0" w:space="0" w:color="auto"/>
                          </w:divBdr>
                        </w:div>
                        <w:div w:id="1072048022">
                          <w:marLeft w:val="0"/>
                          <w:marRight w:val="0"/>
                          <w:marTop w:val="0"/>
                          <w:marBottom w:val="0"/>
                          <w:divBdr>
                            <w:top w:val="none" w:sz="0" w:space="0" w:color="auto"/>
                            <w:left w:val="none" w:sz="0" w:space="0" w:color="auto"/>
                            <w:bottom w:val="none" w:sz="0" w:space="0" w:color="auto"/>
                            <w:right w:val="none" w:sz="0" w:space="0" w:color="auto"/>
                          </w:divBdr>
                        </w:div>
                        <w:div w:id="1087924494">
                          <w:marLeft w:val="0"/>
                          <w:marRight w:val="0"/>
                          <w:marTop w:val="0"/>
                          <w:marBottom w:val="0"/>
                          <w:divBdr>
                            <w:top w:val="none" w:sz="0" w:space="0" w:color="auto"/>
                            <w:left w:val="none" w:sz="0" w:space="0" w:color="auto"/>
                            <w:bottom w:val="none" w:sz="0" w:space="0" w:color="auto"/>
                            <w:right w:val="none" w:sz="0" w:space="0" w:color="auto"/>
                          </w:divBdr>
                        </w:div>
                        <w:div w:id="1461655399">
                          <w:marLeft w:val="0"/>
                          <w:marRight w:val="0"/>
                          <w:marTop w:val="0"/>
                          <w:marBottom w:val="0"/>
                          <w:divBdr>
                            <w:top w:val="none" w:sz="0" w:space="0" w:color="auto"/>
                            <w:left w:val="none" w:sz="0" w:space="0" w:color="auto"/>
                            <w:bottom w:val="none" w:sz="0" w:space="0" w:color="auto"/>
                            <w:right w:val="none" w:sz="0" w:space="0" w:color="auto"/>
                          </w:divBdr>
                        </w:div>
                        <w:div w:id="1475759197">
                          <w:marLeft w:val="0"/>
                          <w:marRight w:val="0"/>
                          <w:marTop w:val="0"/>
                          <w:marBottom w:val="0"/>
                          <w:divBdr>
                            <w:top w:val="none" w:sz="0" w:space="0" w:color="auto"/>
                            <w:left w:val="none" w:sz="0" w:space="0" w:color="auto"/>
                            <w:bottom w:val="none" w:sz="0" w:space="0" w:color="auto"/>
                            <w:right w:val="none" w:sz="0" w:space="0" w:color="auto"/>
                          </w:divBdr>
                        </w:div>
                        <w:div w:id="1537306646">
                          <w:marLeft w:val="0"/>
                          <w:marRight w:val="0"/>
                          <w:marTop w:val="0"/>
                          <w:marBottom w:val="0"/>
                          <w:divBdr>
                            <w:top w:val="none" w:sz="0" w:space="0" w:color="auto"/>
                            <w:left w:val="none" w:sz="0" w:space="0" w:color="auto"/>
                            <w:bottom w:val="none" w:sz="0" w:space="0" w:color="auto"/>
                            <w:right w:val="none" w:sz="0" w:space="0" w:color="auto"/>
                          </w:divBdr>
                        </w:div>
                        <w:div w:id="18309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56380">
      <w:bodyDiv w:val="1"/>
      <w:marLeft w:val="0"/>
      <w:marRight w:val="0"/>
      <w:marTop w:val="0"/>
      <w:marBottom w:val="0"/>
      <w:divBdr>
        <w:top w:val="none" w:sz="0" w:space="0" w:color="auto"/>
        <w:left w:val="none" w:sz="0" w:space="0" w:color="auto"/>
        <w:bottom w:val="none" w:sz="0" w:space="0" w:color="auto"/>
        <w:right w:val="none" w:sz="0" w:space="0" w:color="auto"/>
      </w:divBdr>
    </w:div>
    <w:div w:id="103966998">
      <w:bodyDiv w:val="1"/>
      <w:marLeft w:val="0"/>
      <w:marRight w:val="0"/>
      <w:marTop w:val="0"/>
      <w:marBottom w:val="0"/>
      <w:divBdr>
        <w:top w:val="none" w:sz="0" w:space="0" w:color="auto"/>
        <w:left w:val="none" w:sz="0" w:space="0" w:color="auto"/>
        <w:bottom w:val="none" w:sz="0" w:space="0" w:color="auto"/>
        <w:right w:val="none" w:sz="0" w:space="0" w:color="auto"/>
      </w:divBdr>
    </w:div>
    <w:div w:id="113257955">
      <w:bodyDiv w:val="1"/>
      <w:marLeft w:val="0"/>
      <w:marRight w:val="0"/>
      <w:marTop w:val="0"/>
      <w:marBottom w:val="0"/>
      <w:divBdr>
        <w:top w:val="none" w:sz="0" w:space="0" w:color="auto"/>
        <w:left w:val="none" w:sz="0" w:space="0" w:color="auto"/>
        <w:bottom w:val="none" w:sz="0" w:space="0" w:color="auto"/>
        <w:right w:val="none" w:sz="0" w:space="0" w:color="auto"/>
      </w:divBdr>
    </w:div>
    <w:div w:id="116874481">
      <w:bodyDiv w:val="1"/>
      <w:marLeft w:val="0"/>
      <w:marRight w:val="0"/>
      <w:marTop w:val="0"/>
      <w:marBottom w:val="0"/>
      <w:divBdr>
        <w:top w:val="none" w:sz="0" w:space="0" w:color="auto"/>
        <w:left w:val="none" w:sz="0" w:space="0" w:color="auto"/>
        <w:bottom w:val="none" w:sz="0" w:space="0" w:color="auto"/>
        <w:right w:val="none" w:sz="0" w:space="0" w:color="auto"/>
      </w:divBdr>
      <w:divsChild>
        <w:div w:id="1296063568">
          <w:marLeft w:val="547"/>
          <w:marRight w:val="0"/>
          <w:marTop w:val="0"/>
          <w:marBottom w:val="240"/>
          <w:divBdr>
            <w:top w:val="none" w:sz="0" w:space="0" w:color="auto"/>
            <w:left w:val="none" w:sz="0" w:space="0" w:color="auto"/>
            <w:bottom w:val="none" w:sz="0" w:space="0" w:color="auto"/>
            <w:right w:val="none" w:sz="0" w:space="0" w:color="auto"/>
          </w:divBdr>
        </w:div>
      </w:divsChild>
    </w:div>
    <w:div w:id="117913098">
      <w:bodyDiv w:val="1"/>
      <w:marLeft w:val="0"/>
      <w:marRight w:val="0"/>
      <w:marTop w:val="0"/>
      <w:marBottom w:val="0"/>
      <w:divBdr>
        <w:top w:val="none" w:sz="0" w:space="0" w:color="auto"/>
        <w:left w:val="none" w:sz="0" w:space="0" w:color="auto"/>
        <w:bottom w:val="none" w:sz="0" w:space="0" w:color="auto"/>
        <w:right w:val="none" w:sz="0" w:space="0" w:color="auto"/>
      </w:divBdr>
    </w:div>
    <w:div w:id="122311381">
      <w:bodyDiv w:val="1"/>
      <w:marLeft w:val="0"/>
      <w:marRight w:val="0"/>
      <w:marTop w:val="0"/>
      <w:marBottom w:val="0"/>
      <w:divBdr>
        <w:top w:val="none" w:sz="0" w:space="0" w:color="auto"/>
        <w:left w:val="none" w:sz="0" w:space="0" w:color="auto"/>
        <w:bottom w:val="none" w:sz="0" w:space="0" w:color="auto"/>
        <w:right w:val="none" w:sz="0" w:space="0" w:color="auto"/>
      </w:divBdr>
    </w:div>
    <w:div w:id="132522107">
      <w:bodyDiv w:val="1"/>
      <w:marLeft w:val="0"/>
      <w:marRight w:val="0"/>
      <w:marTop w:val="0"/>
      <w:marBottom w:val="0"/>
      <w:divBdr>
        <w:top w:val="none" w:sz="0" w:space="0" w:color="auto"/>
        <w:left w:val="none" w:sz="0" w:space="0" w:color="auto"/>
        <w:bottom w:val="none" w:sz="0" w:space="0" w:color="auto"/>
        <w:right w:val="none" w:sz="0" w:space="0" w:color="auto"/>
      </w:divBdr>
    </w:div>
    <w:div w:id="147286689">
      <w:bodyDiv w:val="1"/>
      <w:marLeft w:val="0"/>
      <w:marRight w:val="0"/>
      <w:marTop w:val="0"/>
      <w:marBottom w:val="0"/>
      <w:divBdr>
        <w:top w:val="none" w:sz="0" w:space="0" w:color="auto"/>
        <w:left w:val="none" w:sz="0" w:space="0" w:color="auto"/>
        <w:bottom w:val="none" w:sz="0" w:space="0" w:color="auto"/>
        <w:right w:val="none" w:sz="0" w:space="0" w:color="auto"/>
      </w:divBdr>
    </w:div>
    <w:div w:id="159733531">
      <w:bodyDiv w:val="1"/>
      <w:marLeft w:val="0"/>
      <w:marRight w:val="0"/>
      <w:marTop w:val="0"/>
      <w:marBottom w:val="0"/>
      <w:divBdr>
        <w:top w:val="none" w:sz="0" w:space="0" w:color="auto"/>
        <w:left w:val="none" w:sz="0" w:space="0" w:color="auto"/>
        <w:bottom w:val="none" w:sz="0" w:space="0" w:color="auto"/>
        <w:right w:val="none" w:sz="0" w:space="0" w:color="auto"/>
      </w:divBdr>
    </w:div>
    <w:div w:id="164251831">
      <w:bodyDiv w:val="1"/>
      <w:marLeft w:val="0"/>
      <w:marRight w:val="0"/>
      <w:marTop w:val="0"/>
      <w:marBottom w:val="0"/>
      <w:divBdr>
        <w:top w:val="none" w:sz="0" w:space="0" w:color="auto"/>
        <w:left w:val="none" w:sz="0" w:space="0" w:color="auto"/>
        <w:bottom w:val="none" w:sz="0" w:space="0" w:color="auto"/>
        <w:right w:val="none" w:sz="0" w:space="0" w:color="auto"/>
      </w:divBdr>
    </w:div>
    <w:div w:id="170490032">
      <w:bodyDiv w:val="1"/>
      <w:marLeft w:val="0"/>
      <w:marRight w:val="0"/>
      <w:marTop w:val="0"/>
      <w:marBottom w:val="0"/>
      <w:divBdr>
        <w:top w:val="none" w:sz="0" w:space="0" w:color="auto"/>
        <w:left w:val="none" w:sz="0" w:space="0" w:color="auto"/>
        <w:bottom w:val="none" w:sz="0" w:space="0" w:color="auto"/>
        <w:right w:val="none" w:sz="0" w:space="0" w:color="auto"/>
      </w:divBdr>
      <w:divsChild>
        <w:div w:id="426732712">
          <w:marLeft w:val="0"/>
          <w:marRight w:val="0"/>
          <w:marTop w:val="0"/>
          <w:marBottom w:val="0"/>
          <w:divBdr>
            <w:top w:val="none" w:sz="0" w:space="0" w:color="auto"/>
            <w:left w:val="none" w:sz="0" w:space="0" w:color="auto"/>
            <w:bottom w:val="none" w:sz="0" w:space="0" w:color="auto"/>
            <w:right w:val="none" w:sz="0" w:space="0" w:color="auto"/>
          </w:divBdr>
          <w:divsChild>
            <w:div w:id="983318656">
              <w:marLeft w:val="0"/>
              <w:marRight w:val="0"/>
              <w:marTop w:val="0"/>
              <w:marBottom w:val="0"/>
              <w:divBdr>
                <w:top w:val="none" w:sz="0" w:space="0" w:color="auto"/>
                <w:left w:val="none" w:sz="0" w:space="0" w:color="auto"/>
                <w:bottom w:val="none" w:sz="0" w:space="0" w:color="auto"/>
                <w:right w:val="none" w:sz="0" w:space="0" w:color="auto"/>
              </w:divBdr>
              <w:divsChild>
                <w:div w:id="990981685">
                  <w:marLeft w:val="0"/>
                  <w:marRight w:val="0"/>
                  <w:marTop w:val="0"/>
                  <w:marBottom w:val="0"/>
                  <w:divBdr>
                    <w:top w:val="none" w:sz="0" w:space="0" w:color="auto"/>
                    <w:left w:val="none" w:sz="0" w:space="0" w:color="auto"/>
                    <w:bottom w:val="none" w:sz="0" w:space="0" w:color="auto"/>
                    <w:right w:val="none" w:sz="0" w:space="0" w:color="auto"/>
                  </w:divBdr>
                  <w:divsChild>
                    <w:div w:id="1397897358">
                      <w:marLeft w:val="-225"/>
                      <w:marRight w:val="-225"/>
                      <w:marTop w:val="0"/>
                      <w:marBottom w:val="0"/>
                      <w:divBdr>
                        <w:top w:val="none" w:sz="0" w:space="0" w:color="auto"/>
                        <w:left w:val="none" w:sz="0" w:space="0" w:color="auto"/>
                        <w:bottom w:val="none" w:sz="0" w:space="0" w:color="auto"/>
                        <w:right w:val="none" w:sz="0" w:space="0" w:color="auto"/>
                      </w:divBdr>
                      <w:divsChild>
                        <w:div w:id="805242903">
                          <w:marLeft w:val="0"/>
                          <w:marRight w:val="0"/>
                          <w:marTop w:val="0"/>
                          <w:marBottom w:val="0"/>
                          <w:divBdr>
                            <w:top w:val="none" w:sz="0" w:space="0" w:color="auto"/>
                            <w:left w:val="none" w:sz="0" w:space="0" w:color="auto"/>
                            <w:bottom w:val="none" w:sz="0" w:space="0" w:color="auto"/>
                            <w:right w:val="none" w:sz="0" w:space="0" w:color="auto"/>
                          </w:divBdr>
                          <w:divsChild>
                            <w:div w:id="807011022">
                              <w:marLeft w:val="0"/>
                              <w:marRight w:val="0"/>
                              <w:marTop w:val="0"/>
                              <w:marBottom w:val="0"/>
                              <w:divBdr>
                                <w:top w:val="none" w:sz="0" w:space="0" w:color="auto"/>
                                <w:left w:val="none" w:sz="0" w:space="0" w:color="auto"/>
                                <w:bottom w:val="none" w:sz="0" w:space="0" w:color="auto"/>
                                <w:right w:val="none" w:sz="0" w:space="0" w:color="auto"/>
                              </w:divBdr>
                              <w:divsChild>
                                <w:div w:id="495264228">
                                  <w:marLeft w:val="0"/>
                                  <w:marRight w:val="0"/>
                                  <w:marTop w:val="0"/>
                                  <w:marBottom w:val="0"/>
                                  <w:divBdr>
                                    <w:top w:val="none" w:sz="0" w:space="0" w:color="auto"/>
                                    <w:left w:val="none" w:sz="0" w:space="0" w:color="auto"/>
                                    <w:bottom w:val="none" w:sz="0" w:space="0" w:color="auto"/>
                                    <w:right w:val="none" w:sz="0" w:space="0" w:color="auto"/>
                                  </w:divBdr>
                                  <w:divsChild>
                                    <w:div w:id="1314867950">
                                      <w:marLeft w:val="0"/>
                                      <w:marRight w:val="0"/>
                                      <w:marTop w:val="0"/>
                                      <w:marBottom w:val="0"/>
                                      <w:divBdr>
                                        <w:top w:val="none" w:sz="0" w:space="0" w:color="auto"/>
                                        <w:left w:val="none" w:sz="0" w:space="0" w:color="auto"/>
                                        <w:bottom w:val="none" w:sz="0" w:space="0" w:color="auto"/>
                                        <w:right w:val="none" w:sz="0" w:space="0" w:color="auto"/>
                                      </w:divBdr>
                                      <w:divsChild>
                                        <w:div w:id="867328926">
                                          <w:marLeft w:val="0"/>
                                          <w:marRight w:val="0"/>
                                          <w:marTop w:val="0"/>
                                          <w:marBottom w:val="0"/>
                                          <w:divBdr>
                                            <w:top w:val="none" w:sz="0" w:space="0" w:color="auto"/>
                                            <w:left w:val="none" w:sz="0" w:space="0" w:color="auto"/>
                                            <w:bottom w:val="none" w:sz="0" w:space="0" w:color="auto"/>
                                            <w:right w:val="none" w:sz="0" w:space="0" w:color="auto"/>
                                          </w:divBdr>
                                          <w:divsChild>
                                            <w:div w:id="330302769">
                                              <w:marLeft w:val="0"/>
                                              <w:marRight w:val="0"/>
                                              <w:marTop w:val="0"/>
                                              <w:marBottom w:val="0"/>
                                              <w:divBdr>
                                                <w:top w:val="none" w:sz="0" w:space="0" w:color="auto"/>
                                                <w:left w:val="none" w:sz="0" w:space="0" w:color="auto"/>
                                                <w:bottom w:val="none" w:sz="0" w:space="0" w:color="auto"/>
                                                <w:right w:val="none" w:sz="0" w:space="0" w:color="auto"/>
                                              </w:divBdr>
                                              <w:divsChild>
                                                <w:div w:id="1192836224">
                                                  <w:marLeft w:val="-225"/>
                                                  <w:marRight w:val="-225"/>
                                                  <w:marTop w:val="0"/>
                                                  <w:marBottom w:val="0"/>
                                                  <w:divBdr>
                                                    <w:top w:val="none" w:sz="0" w:space="0" w:color="auto"/>
                                                    <w:left w:val="none" w:sz="0" w:space="0" w:color="auto"/>
                                                    <w:bottom w:val="none" w:sz="0" w:space="0" w:color="auto"/>
                                                    <w:right w:val="none" w:sz="0" w:space="0" w:color="auto"/>
                                                  </w:divBdr>
                                                  <w:divsChild>
                                                    <w:div w:id="1892770675">
                                                      <w:marLeft w:val="0"/>
                                                      <w:marRight w:val="0"/>
                                                      <w:marTop w:val="0"/>
                                                      <w:marBottom w:val="0"/>
                                                      <w:divBdr>
                                                        <w:top w:val="none" w:sz="0" w:space="0" w:color="auto"/>
                                                        <w:left w:val="none" w:sz="0" w:space="0" w:color="auto"/>
                                                        <w:bottom w:val="none" w:sz="0" w:space="0" w:color="auto"/>
                                                        <w:right w:val="none" w:sz="0" w:space="0" w:color="auto"/>
                                                      </w:divBdr>
                                                      <w:divsChild>
                                                        <w:div w:id="28705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839337">
      <w:bodyDiv w:val="1"/>
      <w:marLeft w:val="0"/>
      <w:marRight w:val="0"/>
      <w:marTop w:val="0"/>
      <w:marBottom w:val="0"/>
      <w:divBdr>
        <w:top w:val="none" w:sz="0" w:space="0" w:color="auto"/>
        <w:left w:val="none" w:sz="0" w:space="0" w:color="auto"/>
        <w:bottom w:val="none" w:sz="0" w:space="0" w:color="auto"/>
        <w:right w:val="none" w:sz="0" w:space="0" w:color="auto"/>
      </w:divBdr>
    </w:div>
    <w:div w:id="220558593">
      <w:bodyDiv w:val="1"/>
      <w:marLeft w:val="0"/>
      <w:marRight w:val="0"/>
      <w:marTop w:val="0"/>
      <w:marBottom w:val="0"/>
      <w:divBdr>
        <w:top w:val="none" w:sz="0" w:space="0" w:color="auto"/>
        <w:left w:val="none" w:sz="0" w:space="0" w:color="auto"/>
        <w:bottom w:val="none" w:sz="0" w:space="0" w:color="auto"/>
        <w:right w:val="none" w:sz="0" w:space="0" w:color="auto"/>
      </w:divBdr>
    </w:div>
    <w:div w:id="238710343">
      <w:bodyDiv w:val="1"/>
      <w:marLeft w:val="0"/>
      <w:marRight w:val="0"/>
      <w:marTop w:val="0"/>
      <w:marBottom w:val="0"/>
      <w:divBdr>
        <w:top w:val="none" w:sz="0" w:space="0" w:color="auto"/>
        <w:left w:val="none" w:sz="0" w:space="0" w:color="auto"/>
        <w:bottom w:val="none" w:sz="0" w:space="0" w:color="auto"/>
        <w:right w:val="none" w:sz="0" w:space="0" w:color="auto"/>
      </w:divBdr>
    </w:div>
    <w:div w:id="250503763">
      <w:bodyDiv w:val="1"/>
      <w:marLeft w:val="0"/>
      <w:marRight w:val="0"/>
      <w:marTop w:val="0"/>
      <w:marBottom w:val="0"/>
      <w:divBdr>
        <w:top w:val="none" w:sz="0" w:space="0" w:color="auto"/>
        <w:left w:val="none" w:sz="0" w:space="0" w:color="auto"/>
        <w:bottom w:val="none" w:sz="0" w:space="0" w:color="auto"/>
        <w:right w:val="none" w:sz="0" w:space="0" w:color="auto"/>
      </w:divBdr>
    </w:div>
    <w:div w:id="251939170">
      <w:bodyDiv w:val="1"/>
      <w:marLeft w:val="0"/>
      <w:marRight w:val="0"/>
      <w:marTop w:val="0"/>
      <w:marBottom w:val="0"/>
      <w:divBdr>
        <w:top w:val="none" w:sz="0" w:space="0" w:color="auto"/>
        <w:left w:val="none" w:sz="0" w:space="0" w:color="auto"/>
        <w:bottom w:val="none" w:sz="0" w:space="0" w:color="auto"/>
        <w:right w:val="none" w:sz="0" w:space="0" w:color="auto"/>
      </w:divBdr>
    </w:div>
    <w:div w:id="255098394">
      <w:bodyDiv w:val="1"/>
      <w:marLeft w:val="0"/>
      <w:marRight w:val="0"/>
      <w:marTop w:val="0"/>
      <w:marBottom w:val="0"/>
      <w:divBdr>
        <w:top w:val="none" w:sz="0" w:space="0" w:color="auto"/>
        <w:left w:val="none" w:sz="0" w:space="0" w:color="auto"/>
        <w:bottom w:val="none" w:sz="0" w:space="0" w:color="auto"/>
        <w:right w:val="none" w:sz="0" w:space="0" w:color="auto"/>
      </w:divBdr>
    </w:div>
    <w:div w:id="255601150">
      <w:bodyDiv w:val="1"/>
      <w:marLeft w:val="0"/>
      <w:marRight w:val="0"/>
      <w:marTop w:val="0"/>
      <w:marBottom w:val="0"/>
      <w:divBdr>
        <w:top w:val="none" w:sz="0" w:space="0" w:color="auto"/>
        <w:left w:val="none" w:sz="0" w:space="0" w:color="auto"/>
        <w:bottom w:val="none" w:sz="0" w:space="0" w:color="auto"/>
        <w:right w:val="none" w:sz="0" w:space="0" w:color="auto"/>
      </w:divBdr>
    </w:div>
    <w:div w:id="259535229">
      <w:bodyDiv w:val="1"/>
      <w:marLeft w:val="0"/>
      <w:marRight w:val="0"/>
      <w:marTop w:val="0"/>
      <w:marBottom w:val="0"/>
      <w:divBdr>
        <w:top w:val="none" w:sz="0" w:space="0" w:color="auto"/>
        <w:left w:val="none" w:sz="0" w:space="0" w:color="auto"/>
        <w:bottom w:val="none" w:sz="0" w:space="0" w:color="auto"/>
        <w:right w:val="none" w:sz="0" w:space="0" w:color="auto"/>
      </w:divBdr>
    </w:div>
    <w:div w:id="297417289">
      <w:bodyDiv w:val="1"/>
      <w:marLeft w:val="0"/>
      <w:marRight w:val="0"/>
      <w:marTop w:val="0"/>
      <w:marBottom w:val="0"/>
      <w:divBdr>
        <w:top w:val="none" w:sz="0" w:space="0" w:color="auto"/>
        <w:left w:val="none" w:sz="0" w:space="0" w:color="auto"/>
        <w:bottom w:val="none" w:sz="0" w:space="0" w:color="auto"/>
        <w:right w:val="none" w:sz="0" w:space="0" w:color="auto"/>
      </w:divBdr>
    </w:div>
    <w:div w:id="305820160">
      <w:bodyDiv w:val="1"/>
      <w:marLeft w:val="0"/>
      <w:marRight w:val="0"/>
      <w:marTop w:val="0"/>
      <w:marBottom w:val="0"/>
      <w:divBdr>
        <w:top w:val="none" w:sz="0" w:space="0" w:color="auto"/>
        <w:left w:val="none" w:sz="0" w:space="0" w:color="auto"/>
        <w:bottom w:val="none" w:sz="0" w:space="0" w:color="auto"/>
        <w:right w:val="none" w:sz="0" w:space="0" w:color="auto"/>
      </w:divBdr>
    </w:div>
    <w:div w:id="309292243">
      <w:bodyDiv w:val="1"/>
      <w:marLeft w:val="0"/>
      <w:marRight w:val="0"/>
      <w:marTop w:val="0"/>
      <w:marBottom w:val="0"/>
      <w:divBdr>
        <w:top w:val="none" w:sz="0" w:space="0" w:color="auto"/>
        <w:left w:val="none" w:sz="0" w:space="0" w:color="auto"/>
        <w:bottom w:val="none" w:sz="0" w:space="0" w:color="auto"/>
        <w:right w:val="none" w:sz="0" w:space="0" w:color="auto"/>
      </w:divBdr>
    </w:div>
    <w:div w:id="309601701">
      <w:bodyDiv w:val="1"/>
      <w:marLeft w:val="0"/>
      <w:marRight w:val="0"/>
      <w:marTop w:val="0"/>
      <w:marBottom w:val="0"/>
      <w:divBdr>
        <w:top w:val="none" w:sz="0" w:space="0" w:color="auto"/>
        <w:left w:val="none" w:sz="0" w:space="0" w:color="auto"/>
        <w:bottom w:val="none" w:sz="0" w:space="0" w:color="auto"/>
        <w:right w:val="none" w:sz="0" w:space="0" w:color="auto"/>
      </w:divBdr>
    </w:div>
    <w:div w:id="312418513">
      <w:bodyDiv w:val="1"/>
      <w:marLeft w:val="0"/>
      <w:marRight w:val="0"/>
      <w:marTop w:val="0"/>
      <w:marBottom w:val="0"/>
      <w:divBdr>
        <w:top w:val="none" w:sz="0" w:space="0" w:color="auto"/>
        <w:left w:val="none" w:sz="0" w:space="0" w:color="auto"/>
        <w:bottom w:val="none" w:sz="0" w:space="0" w:color="auto"/>
        <w:right w:val="none" w:sz="0" w:space="0" w:color="auto"/>
      </w:divBdr>
    </w:div>
    <w:div w:id="332296775">
      <w:bodyDiv w:val="1"/>
      <w:marLeft w:val="0"/>
      <w:marRight w:val="0"/>
      <w:marTop w:val="0"/>
      <w:marBottom w:val="0"/>
      <w:divBdr>
        <w:top w:val="none" w:sz="0" w:space="0" w:color="auto"/>
        <w:left w:val="none" w:sz="0" w:space="0" w:color="auto"/>
        <w:bottom w:val="none" w:sz="0" w:space="0" w:color="auto"/>
        <w:right w:val="none" w:sz="0" w:space="0" w:color="auto"/>
      </w:divBdr>
    </w:div>
    <w:div w:id="333148146">
      <w:bodyDiv w:val="1"/>
      <w:marLeft w:val="0"/>
      <w:marRight w:val="0"/>
      <w:marTop w:val="0"/>
      <w:marBottom w:val="0"/>
      <w:divBdr>
        <w:top w:val="none" w:sz="0" w:space="0" w:color="auto"/>
        <w:left w:val="none" w:sz="0" w:space="0" w:color="auto"/>
        <w:bottom w:val="none" w:sz="0" w:space="0" w:color="auto"/>
        <w:right w:val="none" w:sz="0" w:space="0" w:color="auto"/>
      </w:divBdr>
    </w:div>
    <w:div w:id="341394049">
      <w:bodyDiv w:val="1"/>
      <w:marLeft w:val="0"/>
      <w:marRight w:val="0"/>
      <w:marTop w:val="0"/>
      <w:marBottom w:val="0"/>
      <w:divBdr>
        <w:top w:val="none" w:sz="0" w:space="0" w:color="auto"/>
        <w:left w:val="none" w:sz="0" w:space="0" w:color="auto"/>
        <w:bottom w:val="none" w:sz="0" w:space="0" w:color="auto"/>
        <w:right w:val="none" w:sz="0" w:space="0" w:color="auto"/>
      </w:divBdr>
    </w:div>
    <w:div w:id="346906794">
      <w:bodyDiv w:val="1"/>
      <w:marLeft w:val="0"/>
      <w:marRight w:val="0"/>
      <w:marTop w:val="0"/>
      <w:marBottom w:val="0"/>
      <w:divBdr>
        <w:top w:val="none" w:sz="0" w:space="0" w:color="auto"/>
        <w:left w:val="none" w:sz="0" w:space="0" w:color="auto"/>
        <w:bottom w:val="none" w:sz="0" w:space="0" w:color="auto"/>
        <w:right w:val="none" w:sz="0" w:space="0" w:color="auto"/>
      </w:divBdr>
    </w:div>
    <w:div w:id="380136050">
      <w:bodyDiv w:val="1"/>
      <w:marLeft w:val="0"/>
      <w:marRight w:val="0"/>
      <w:marTop w:val="0"/>
      <w:marBottom w:val="0"/>
      <w:divBdr>
        <w:top w:val="none" w:sz="0" w:space="0" w:color="auto"/>
        <w:left w:val="none" w:sz="0" w:space="0" w:color="auto"/>
        <w:bottom w:val="none" w:sz="0" w:space="0" w:color="auto"/>
        <w:right w:val="none" w:sz="0" w:space="0" w:color="auto"/>
      </w:divBdr>
    </w:div>
    <w:div w:id="392044749">
      <w:bodyDiv w:val="1"/>
      <w:marLeft w:val="0"/>
      <w:marRight w:val="0"/>
      <w:marTop w:val="0"/>
      <w:marBottom w:val="0"/>
      <w:divBdr>
        <w:top w:val="none" w:sz="0" w:space="0" w:color="auto"/>
        <w:left w:val="none" w:sz="0" w:space="0" w:color="auto"/>
        <w:bottom w:val="none" w:sz="0" w:space="0" w:color="auto"/>
        <w:right w:val="none" w:sz="0" w:space="0" w:color="auto"/>
      </w:divBdr>
    </w:div>
    <w:div w:id="392854034">
      <w:bodyDiv w:val="1"/>
      <w:marLeft w:val="0"/>
      <w:marRight w:val="0"/>
      <w:marTop w:val="0"/>
      <w:marBottom w:val="0"/>
      <w:divBdr>
        <w:top w:val="none" w:sz="0" w:space="0" w:color="auto"/>
        <w:left w:val="none" w:sz="0" w:space="0" w:color="auto"/>
        <w:bottom w:val="none" w:sz="0" w:space="0" w:color="auto"/>
        <w:right w:val="none" w:sz="0" w:space="0" w:color="auto"/>
      </w:divBdr>
    </w:div>
    <w:div w:id="393086876">
      <w:bodyDiv w:val="1"/>
      <w:marLeft w:val="0"/>
      <w:marRight w:val="0"/>
      <w:marTop w:val="0"/>
      <w:marBottom w:val="0"/>
      <w:divBdr>
        <w:top w:val="none" w:sz="0" w:space="0" w:color="auto"/>
        <w:left w:val="none" w:sz="0" w:space="0" w:color="auto"/>
        <w:bottom w:val="none" w:sz="0" w:space="0" w:color="auto"/>
        <w:right w:val="none" w:sz="0" w:space="0" w:color="auto"/>
      </w:divBdr>
    </w:div>
    <w:div w:id="395053375">
      <w:bodyDiv w:val="1"/>
      <w:marLeft w:val="0"/>
      <w:marRight w:val="0"/>
      <w:marTop w:val="0"/>
      <w:marBottom w:val="0"/>
      <w:divBdr>
        <w:top w:val="none" w:sz="0" w:space="0" w:color="auto"/>
        <w:left w:val="none" w:sz="0" w:space="0" w:color="auto"/>
        <w:bottom w:val="none" w:sz="0" w:space="0" w:color="auto"/>
        <w:right w:val="none" w:sz="0" w:space="0" w:color="auto"/>
      </w:divBdr>
    </w:div>
    <w:div w:id="407313277">
      <w:bodyDiv w:val="1"/>
      <w:marLeft w:val="0"/>
      <w:marRight w:val="0"/>
      <w:marTop w:val="0"/>
      <w:marBottom w:val="0"/>
      <w:divBdr>
        <w:top w:val="none" w:sz="0" w:space="0" w:color="auto"/>
        <w:left w:val="none" w:sz="0" w:space="0" w:color="auto"/>
        <w:bottom w:val="none" w:sz="0" w:space="0" w:color="auto"/>
        <w:right w:val="none" w:sz="0" w:space="0" w:color="auto"/>
      </w:divBdr>
      <w:divsChild>
        <w:div w:id="1591960533">
          <w:marLeft w:val="0"/>
          <w:marRight w:val="0"/>
          <w:marTop w:val="0"/>
          <w:marBottom w:val="0"/>
          <w:divBdr>
            <w:top w:val="none" w:sz="0" w:space="0" w:color="auto"/>
            <w:left w:val="none" w:sz="0" w:space="0" w:color="auto"/>
            <w:bottom w:val="none" w:sz="0" w:space="0" w:color="auto"/>
            <w:right w:val="none" w:sz="0" w:space="0" w:color="auto"/>
          </w:divBdr>
          <w:divsChild>
            <w:div w:id="81136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545">
      <w:bodyDiv w:val="1"/>
      <w:marLeft w:val="0"/>
      <w:marRight w:val="0"/>
      <w:marTop w:val="0"/>
      <w:marBottom w:val="0"/>
      <w:divBdr>
        <w:top w:val="none" w:sz="0" w:space="0" w:color="auto"/>
        <w:left w:val="none" w:sz="0" w:space="0" w:color="auto"/>
        <w:bottom w:val="none" w:sz="0" w:space="0" w:color="auto"/>
        <w:right w:val="none" w:sz="0" w:space="0" w:color="auto"/>
      </w:divBdr>
    </w:div>
    <w:div w:id="445394671">
      <w:bodyDiv w:val="1"/>
      <w:marLeft w:val="0"/>
      <w:marRight w:val="0"/>
      <w:marTop w:val="0"/>
      <w:marBottom w:val="0"/>
      <w:divBdr>
        <w:top w:val="none" w:sz="0" w:space="0" w:color="auto"/>
        <w:left w:val="none" w:sz="0" w:space="0" w:color="auto"/>
        <w:bottom w:val="none" w:sz="0" w:space="0" w:color="auto"/>
        <w:right w:val="none" w:sz="0" w:space="0" w:color="auto"/>
      </w:divBdr>
    </w:div>
    <w:div w:id="452021747">
      <w:bodyDiv w:val="1"/>
      <w:marLeft w:val="0"/>
      <w:marRight w:val="0"/>
      <w:marTop w:val="0"/>
      <w:marBottom w:val="0"/>
      <w:divBdr>
        <w:top w:val="none" w:sz="0" w:space="0" w:color="auto"/>
        <w:left w:val="none" w:sz="0" w:space="0" w:color="auto"/>
        <w:bottom w:val="none" w:sz="0" w:space="0" w:color="auto"/>
        <w:right w:val="none" w:sz="0" w:space="0" w:color="auto"/>
      </w:divBdr>
    </w:div>
    <w:div w:id="453057549">
      <w:bodyDiv w:val="1"/>
      <w:marLeft w:val="0"/>
      <w:marRight w:val="0"/>
      <w:marTop w:val="0"/>
      <w:marBottom w:val="0"/>
      <w:divBdr>
        <w:top w:val="none" w:sz="0" w:space="0" w:color="auto"/>
        <w:left w:val="none" w:sz="0" w:space="0" w:color="auto"/>
        <w:bottom w:val="none" w:sz="0" w:space="0" w:color="auto"/>
        <w:right w:val="none" w:sz="0" w:space="0" w:color="auto"/>
      </w:divBdr>
    </w:div>
    <w:div w:id="459349511">
      <w:bodyDiv w:val="1"/>
      <w:marLeft w:val="0"/>
      <w:marRight w:val="0"/>
      <w:marTop w:val="0"/>
      <w:marBottom w:val="0"/>
      <w:divBdr>
        <w:top w:val="none" w:sz="0" w:space="0" w:color="auto"/>
        <w:left w:val="none" w:sz="0" w:space="0" w:color="auto"/>
        <w:bottom w:val="none" w:sz="0" w:space="0" w:color="auto"/>
        <w:right w:val="none" w:sz="0" w:space="0" w:color="auto"/>
      </w:divBdr>
    </w:div>
    <w:div w:id="468977838">
      <w:bodyDiv w:val="1"/>
      <w:marLeft w:val="0"/>
      <w:marRight w:val="0"/>
      <w:marTop w:val="0"/>
      <w:marBottom w:val="0"/>
      <w:divBdr>
        <w:top w:val="none" w:sz="0" w:space="0" w:color="auto"/>
        <w:left w:val="none" w:sz="0" w:space="0" w:color="auto"/>
        <w:bottom w:val="none" w:sz="0" w:space="0" w:color="auto"/>
        <w:right w:val="none" w:sz="0" w:space="0" w:color="auto"/>
      </w:divBdr>
    </w:div>
    <w:div w:id="469246661">
      <w:bodyDiv w:val="1"/>
      <w:marLeft w:val="0"/>
      <w:marRight w:val="0"/>
      <w:marTop w:val="0"/>
      <w:marBottom w:val="0"/>
      <w:divBdr>
        <w:top w:val="none" w:sz="0" w:space="0" w:color="auto"/>
        <w:left w:val="none" w:sz="0" w:space="0" w:color="auto"/>
        <w:bottom w:val="none" w:sz="0" w:space="0" w:color="auto"/>
        <w:right w:val="none" w:sz="0" w:space="0" w:color="auto"/>
      </w:divBdr>
    </w:div>
    <w:div w:id="469637808">
      <w:bodyDiv w:val="1"/>
      <w:marLeft w:val="0"/>
      <w:marRight w:val="0"/>
      <w:marTop w:val="0"/>
      <w:marBottom w:val="0"/>
      <w:divBdr>
        <w:top w:val="none" w:sz="0" w:space="0" w:color="auto"/>
        <w:left w:val="none" w:sz="0" w:space="0" w:color="auto"/>
        <w:bottom w:val="none" w:sz="0" w:space="0" w:color="auto"/>
        <w:right w:val="none" w:sz="0" w:space="0" w:color="auto"/>
      </w:divBdr>
    </w:div>
    <w:div w:id="480930832">
      <w:bodyDiv w:val="1"/>
      <w:marLeft w:val="0"/>
      <w:marRight w:val="0"/>
      <w:marTop w:val="0"/>
      <w:marBottom w:val="0"/>
      <w:divBdr>
        <w:top w:val="none" w:sz="0" w:space="0" w:color="auto"/>
        <w:left w:val="none" w:sz="0" w:space="0" w:color="auto"/>
        <w:bottom w:val="none" w:sz="0" w:space="0" w:color="auto"/>
        <w:right w:val="none" w:sz="0" w:space="0" w:color="auto"/>
      </w:divBdr>
    </w:div>
    <w:div w:id="488136130">
      <w:bodyDiv w:val="1"/>
      <w:marLeft w:val="0"/>
      <w:marRight w:val="0"/>
      <w:marTop w:val="0"/>
      <w:marBottom w:val="0"/>
      <w:divBdr>
        <w:top w:val="none" w:sz="0" w:space="0" w:color="auto"/>
        <w:left w:val="none" w:sz="0" w:space="0" w:color="auto"/>
        <w:bottom w:val="none" w:sz="0" w:space="0" w:color="auto"/>
        <w:right w:val="none" w:sz="0" w:space="0" w:color="auto"/>
      </w:divBdr>
    </w:div>
    <w:div w:id="490409834">
      <w:bodyDiv w:val="1"/>
      <w:marLeft w:val="0"/>
      <w:marRight w:val="0"/>
      <w:marTop w:val="0"/>
      <w:marBottom w:val="0"/>
      <w:divBdr>
        <w:top w:val="none" w:sz="0" w:space="0" w:color="auto"/>
        <w:left w:val="none" w:sz="0" w:space="0" w:color="auto"/>
        <w:bottom w:val="none" w:sz="0" w:space="0" w:color="auto"/>
        <w:right w:val="none" w:sz="0" w:space="0" w:color="auto"/>
      </w:divBdr>
    </w:div>
    <w:div w:id="513420312">
      <w:bodyDiv w:val="1"/>
      <w:marLeft w:val="0"/>
      <w:marRight w:val="0"/>
      <w:marTop w:val="0"/>
      <w:marBottom w:val="0"/>
      <w:divBdr>
        <w:top w:val="none" w:sz="0" w:space="0" w:color="auto"/>
        <w:left w:val="none" w:sz="0" w:space="0" w:color="auto"/>
        <w:bottom w:val="none" w:sz="0" w:space="0" w:color="auto"/>
        <w:right w:val="none" w:sz="0" w:space="0" w:color="auto"/>
      </w:divBdr>
    </w:div>
    <w:div w:id="520508986">
      <w:bodyDiv w:val="1"/>
      <w:marLeft w:val="0"/>
      <w:marRight w:val="0"/>
      <w:marTop w:val="0"/>
      <w:marBottom w:val="0"/>
      <w:divBdr>
        <w:top w:val="none" w:sz="0" w:space="0" w:color="auto"/>
        <w:left w:val="none" w:sz="0" w:space="0" w:color="auto"/>
        <w:bottom w:val="none" w:sz="0" w:space="0" w:color="auto"/>
        <w:right w:val="none" w:sz="0" w:space="0" w:color="auto"/>
      </w:divBdr>
    </w:div>
    <w:div w:id="521020119">
      <w:bodyDiv w:val="1"/>
      <w:marLeft w:val="0"/>
      <w:marRight w:val="0"/>
      <w:marTop w:val="0"/>
      <w:marBottom w:val="0"/>
      <w:divBdr>
        <w:top w:val="none" w:sz="0" w:space="0" w:color="auto"/>
        <w:left w:val="none" w:sz="0" w:space="0" w:color="auto"/>
        <w:bottom w:val="none" w:sz="0" w:space="0" w:color="auto"/>
        <w:right w:val="none" w:sz="0" w:space="0" w:color="auto"/>
      </w:divBdr>
    </w:div>
    <w:div w:id="540946540">
      <w:bodyDiv w:val="1"/>
      <w:marLeft w:val="0"/>
      <w:marRight w:val="0"/>
      <w:marTop w:val="0"/>
      <w:marBottom w:val="0"/>
      <w:divBdr>
        <w:top w:val="none" w:sz="0" w:space="0" w:color="auto"/>
        <w:left w:val="none" w:sz="0" w:space="0" w:color="auto"/>
        <w:bottom w:val="none" w:sz="0" w:space="0" w:color="auto"/>
        <w:right w:val="none" w:sz="0" w:space="0" w:color="auto"/>
      </w:divBdr>
      <w:divsChild>
        <w:div w:id="1280332239">
          <w:marLeft w:val="0"/>
          <w:marRight w:val="0"/>
          <w:marTop w:val="0"/>
          <w:marBottom w:val="0"/>
          <w:divBdr>
            <w:top w:val="none" w:sz="0" w:space="0" w:color="auto"/>
            <w:left w:val="none" w:sz="0" w:space="0" w:color="auto"/>
            <w:bottom w:val="none" w:sz="0" w:space="0" w:color="auto"/>
            <w:right w:val="none" w:sz="0" w:space="0" w:color="auto"/>
          </w:divBdr>
          <w:divsChild>
            <w:div w:id="136462913">
              <w:marLeft w:val="0"/>
              <w:marRight w:val="0"/>
              <w:marTop w:val="0"/>
              <w:marBottom w:val="0"/>
              <w:divBdr>
                <w:top w:val="none" w:sz="0" w:space="0" w:color="auto"/>
                <w:left w:val="none" w:sz="0" w:space="0" w:color="auto"/>
                <w:bottom w:val="none" w:sz="0" w:space="0" w:color="auto"/>
                <w:right w:val="none" w:sz="0" w:space="0" w:color="auto"/>
              </w:divBdr>
              <w:divsChild>
                <w:div w:id="2106530731">
                  <w:marLeft w:val="0"/>
                  <w:marRight w:val="0"/>
                  <w:marTop w:val="181"/>
                  <w:marBottom w:val="181"/>
                  <w:divBdr>
                    <w:top w:val="none" w:sz="0" w:space="0" w:color="auto"/>
                    <w:left w:val="none" w:sz="0" w:space="0" w:color="auto"/>
                    <w:bottom w:val="none" w:sz="0" w:space="0" w:color="auto"/>
                    <w:right w:val="none" w:sz="0" w:space="0" w:color="auto"/>
                  </w:divBdr>
                  <w:divsChild>
                    <w:div w:id="114494478">
                      <w:marLeft w:val="0"/>
                      <w:marRight w:val="0"/>
                      <w:marTop w:val="0"/>
                      <w:marBottom w:val="0"/>
                      <w:divBdr>
                        <w:top w:val="none" w:sz="0" w:space="0" w:color="auto"/>
                        <w:left w:val="none" w:sz="0" w:space="0" w:color="auto"/>
                        <w:bottom w:val="none" w:sz="0" w:space="0" w:color="auto"/>
                        <w:right w:val="none" w:sz="0" w:space="0" w:color="auto"/>
                      </w:divBdr>
                      <w:divsChild>
                        <w:div w:id="283390978">
                          <w:marLeft w:val="0"/>
                          <w:marRight w:val="0"/>
                          <w:marTop w:val="0"/>
                          <w:marBottom w:val="0"/>
                          <w:divBdr>
                            <w:top w:val="none" w:sz="0" w:space="0" w:color="auto"/>
                            <w:left w:val="none" w:sz="0" w:space="0" w:color="auto"/>
                            <w:bottom w:val="none" w:sz="0" w:space="0" w:color="auto"/>
                            <w:right w:val="none" w:sz="0" w:space="0" w:color="auto"/>
                          </w:divBdr>
                        </w:div>
                        <w:div w:id="431127344">
                          <w:marLeft w:val="0"/>
                          <w:marRight w:val="0"/>
                          <w:marTop w:val="0"/>
                          <w:marBottom w:val="0"/>
                          <w:divBdr>
                            <w:top w:val="none" w:sz="0" w:space="0" w:color="auto"/>
                            <w:left w:val="none" w:sz="0" w:space="0" w:color="auto"/>
                            <w:bottom w:val="none" w:sz="0" w:space="0" w:color="auto"/>
                            <w:right w:val="none" w:sz="0" w:space="0" w:color="auto"/>
                          </w:divBdr>
                        </w:div>
                        <w:div w:id="145104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842482">
      <w:bodyDiv w:val="1"/>
      <w:marLeft w:val="0"/>
      <w:marRight w:val="0"/>
      <w:marTop w:val="0"/>
      <w:marBottom w:val="0"/>
      <w:divBdr>
        <w:top w:val="none" w:sz="0" w:space="0" w:color="auto"/>
        <w:left w:val="none" w:sz="0" w:space="0" w:color="auto"/>
        <w:bottom w:val="none" w:sz="0" w:space="0" w:color="auto"/>
        <w:right w:val="none" w:sz="0" w:space="0" w:color="auto"/>
      </w:divBdr>
    </w:div>
    <w:div w:id="583808175">
      <w:bodyDiv w:val="1"/>
      <w:marLeft w:val="0"/>
      <w:marRight w:val="0"/>
      <w:marTop w:val="0"/>
      <w:marBottom w:val="0"/>
      <w:divBdr>
        <w:top w:val="none" w:sz="0" w:space="0" w:color="auto"/>
        <w:left w:val="none" w:sz="0" w:space="0" w:color="auto"/>
        <w:bottom w:val="none" w:sz="0" w:space="0" w:color="auto"/>
        <w:right w:val="none" w:sz="0" w:space="0" w:color="auto"/>
      </w:divBdr>
    </w:div>
    <w:div w:id="587932739">
      <w:bodyDiv w:val="1"/>
      <w:marLeft w:val="0"/>
      <w:marRight w:val="0"/>
      <w:marTop w:val="0"/>
      <w:marBottom w:val="0"/>
      <w:divBdr>
        <w:top w:val="none" w:sz="0" w:space="0" w:color="auto"/>
        <w:left w:val="none" w:sz="0" w:space="0" w:color="auto"/>
        <w:bottom w:val="none" w:sz="0" w:space="0" w:color="auto"/>
        <w:right w:val="none" w:sz="0" w:space="0" w:color="auto"/>
      </w:divBdr>
      <w:divsChild>
        <w:div w:id="45222700">
          <w:marLeft w:val="0"/>
          <w:marRight w:val="0"/>
          <w:marTop w:val="0"/>
          <w:marBottom w:val="0"/>
          <w:divBdr>
            <w:top w:val="none" w:sz="0" w:space="0" w:color="auto"/>
            <w:left w:val="none" w:sz="0" w:space="0" w:color="auto"/>
            <w:bottom w:val="none" w:sz="0" w:space="0" w:color="auto"/>
            <w:right w:val="none" w:sz="0" w:space="0" w:color="auto"/>
          </w:divBdr>
          <w:divsChild>
            <w:div w:id="144056753">
              <w:marLeft w:val="0"/>
              <w:marRight w:val="0"/>
              <w:marTop w:val="0"/>
              <w:marBottom w:val="0"/>
              <w:divBdr>
                <w:top w:val="none" w:sz="0" w:space="0" w:color="auto"/>
                <w:left w:val="none" w:sz="0" w:space="0" w:color="auto"/>
                <w:bottom w:val="none" w:sz="0" w:space="0" w:color="auto"/>
                <w:right w:val="none" w:sz="0" w:space="0" w:color="auto"/>
              </w:divBdr>
              <w:divsChild>
                <w:div w:id="334694768">
                  <w:marLeft w:val="0"/>
                  <w:marRight w:val="0"/>
                  <w:marTop w:val="181"/>
                  <w:marBottom w:val="181"/>
                  <w:divBdr>
                    <w:top w:val="none" w:sz="0" w:space="0" w:color="auto"/>
                    <w:left w:val="none" w:sz="0" w:space="0" w:color="auto"/>
                    <w:bottom w:val="none" w:sz="0" w:space="0" w:color="auto"/>
                    <w:right w:val="none" w:sz="0" w:space="0" w:color="auto"/>
                  </w:divBdr>
                  <w:divsChild>
                    <w:div w:id="1159619691">
                      <w:marLeft w:val="0"/>
                      <w:marRight w:val="0"/>
                      <w:marTop w:val="0"/>
                      <w:marBottom w:val="0"/>
                      <w:divBdr>
                        <w:top w:val="none" w:sz="0" w:space="0" w:color="auto"/>
                        <w:left w:val="none" w:sz="0" w:space="0" w:color="auto"/>
                        <w:bottom w:val="none" w:sz="0" w:space="0" w:color="auto"/>
                        <w:right w:val="none" w:sz="0" w:space="0" w:color="auto"/>
                      </w:divBdr>
                      <w:divsChild>
                        <w:div w:id="880553595">
                          <w:marLeft w:val="0"/>
                          <w:marRight w:val="0"/>
                          <w:marTop w:val="0"/>
                          <w:marBottom w:val="0"/>
                          <w:divBdr>
                            <w:top w:val="none" w:sz="0" w:space="0" w:color="auto"/>
                            <w:left w:val="none" w:sz="0" w:space="0" w:color="auto"/>
                            <w:bottom w:val="none" w:sz="0" w:space="0" w:color="auto"/>
                            <w:right w:val="none" w:sz="0" w:space="0" w:color="auto"/>
                          </w:divBdr>
                        </w:div>
                        <w:div w:id="1117721171">
                          <w:marLeft w:val="0"/>
                          <w:marRight w:val="0"/>
                          <w:marTop w:val="0"/>
                          <w:marBottom w:val="0"/>
                          <w:divBdr>
                            <w:top w:val="none" w:sz="0" w:space="0" w:color="auto"/>
                            <w:left w:val="none" w:sz="0" w:space="0" w:color="auto"/>
                            <w:bottom w:val="none" w:sz="0" w:space="0" w:color="auto"/>
                            <w:right w:val="none" w:sz="0" w:space="0" w:color="auto"/>
                          </w:divBdr>
                        </w:div>
                        <w:div w:id="1469934601">
                          <w:marLeft w:val="0"/>
                          <w:marRight w:val="0"/>
                          <w:marTop w:val="0"/>
                          <w:marBottom w:val="0"/>
                          <w:divBdr>
                            <w:top w:val="none" w:sz="0" w:space="0" w:color="auto"/>
                            <w:left w:val="none" w:sz="0" w:space="0" w:color="auto"/>
                            <w:bottom w:val="none" w:sz="0" w:space="0" w:color="auto"/>
                            <w:right w:val="none" w:sz="0" w:space="0" w:color="auto"/>
                          </w:divBdr>
                        </w:div>
                        <w:div w:id="20935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282380">
      <w:bodyDiv w:val="1"/>
      <w:marLeft w:val="0"/>
      <w:marRight w:val="0"/>
      <w:marTop w:val="0"/>
      <w:marBottom w:val="0"/>
      <w:divBdr>
        <w:top w:val="none" w:sz="0" w:space="0" w:color="auto"/>
        <w:left w:val="none" w:sz="0" w:space="0" w:color="auto"/>
        <w:bottom w:val="none" w:sz="0" w:space="0" w:color="auto"/>
        <w:right w:val="none" w:sz="0" w:space="0" w:color="auto"/>
      </w:divBdr>
    </w:div>
    <w:div w:id="591552949">
      <w:bodyDiv w:val="1"/>
      <w:marLeft w:val="0"/>
      <w:marRight w:val="0"/>
      <w:marTop w:val="0"/>
      <w:marBottom w:val="0"/>
      <w:divBdr>
        <w:top w:val="none" w:sz="0" w:space="0" w:color="auto"/>
        <w:left w:val="none" w:sz="0" w:space="0" w:color="auto"/>
        <w:bottom w:val="none" w:sz="0" w:space="0" w:color="auto"/>
        <w:right w:val="none" w:sz="0" w:space="0" w:color="auto"/>
      </w:divBdr>
    </w:div>
    <w:div w:id="593366684">
      <w:bodyDiv w:val="1"/>
      <w:marLeft w:val="0"/>
      <w:marRight w:val="0"/>
      <w:marTop w:val="0"/>
      <w:marBottom w:val="0"/>
      <w:divBdr>
        <w:top w:val="none" w:sz="0" w:space="0" w:color="auto"/>
        <w:left w:val="none" w:sz="0" w:space="0" w:color="auto"/>
        <w:bottom w:val="none" w:sz="0" w:space="0" w:color="auto"/>
        <w:right w:val="none" w:sz="0" w:space="0" w:color="auto"/>
      </w:divBdr>
    </w:div>
    <w:div w:id="597562418">
      <w:bodyDiv w:val="1"/>
      <w:marLeft w:val="0"/>
      <w:marRight w:val="0"/>
      <w:marTop w:val="0"/>
      <w:marBottom w:val="0"/>
      <w:divBdr>
        <w:top w:val="none" w:sz="0" w:space="0" w:color="auto"/>
        <w:left w:val="none" w:sz="0" w:space="0" w:color="auto"/>
        <w:bottom w:val="none" w:sz="0" w:space="0" w:color="auto"/>
        <w:right w:val="none" w:sz="0" w:space="0" w:color="auto"/>
      </w:divBdr>
    </w:div>
    <w:div w:id="613486963">
      <w:bodyDiv w:val="1"/>
      <w:marLeft w:val="0"/>
      <w:marRight w:val="0"/>
      <w:marTop w:val="0"/>
      <w:marBottom w:val="0"/>
      <w:divBdr>
        <w:top w:val="none" w:sz="0" w:space="0" w:color="auto"/>
        <w:left w:val="none" w:sz="0" w:space="0" w:color="auto"/>
        <w:bottom w:val="none" w:sz="0" w:space="0" w:color="auto"/>
        <w:right w:val="none" w:sz="0" w:space="0" w:color="auto"/>
      </w:divBdr>
    </w:div>
    <w:div w:id="618879790">
      <w:bodyDiv w:val="1"/>
      <w:marLeft w:val="0"/>
      <w:marRight w:val="0"/>
      <w:marTop w:val="0"/>
      <w:marBottom w:val="0"/>
      <w:divBdr>
        <w:top w:val="none" w:sz="0" w:space="0" w:color="auto"/>
        <w:left w:val="none" w:sz="0" w:space="0" w:color="auto"/>
        <w:bottom w:val="none" w:sz="0" w:space="0" w:color="auto"/>
        <w:right w:val="none" w:sz="0" w:space="0" w:color="auto"/>
      </w:divBdr>
    </w:div>
    <w:div w:id="621347564">
      <w:bodyDiv w:val="1"/>
      <w:marLeft w:val="0"/>
      <w:marRight w:val="0"/>
      <w:marTop w:val="0"/>
      <w:marBottom w:val="0"/>
      <w:divBdr>
        <w:top w:val="none" w:sz="0" w:space="0" w:color="auto"/>
        <w:left w:val="none" w:sz="0" w:space="0" w:color="auto"/>
        <w:bottom w:val="none" w:sz="0" w:space="0" w:color="auto"/>
        <w:right w:val="none" w:sz="0" w:space="0" w:color="auto"/>
      </w:divBdr>
    </w:div>
    <w:div w:id="631180869">
      <w:bodyDiv w:val="1"/>
      <w:marLeft w:val="0"/>
      <w:marRight w:val="0"/>
      <w:marTop w:val="0"/>
      <w:marBottom w:val="0"/>
      <w:divBdr>
        <w:top w:val="none" w:sz="0" w:space="0" w:color="auto"/>
        <w:left w:val="none" w:sz="0" w:space="0" w:color="auto"/>
        <w:bottom w:val="none" w:sz="0" w:space="0" w:color="auto"/>
        <w:right w:val="none" w:sz="0" w:space="0" w:color="auto"/>
      </w:divBdr>
    </w:div>
    <w:div w:id="638192660">
      <w:bodyDiv w:val="1"/>
      <w:marLeft w:val="0"/>
      <w:marRight w:val="0"/>
      <w:marTop w:val="0"/>
      <w:marBottom w:val="0"/>
      <w:divBdr>
        <w:top w:val="none" w:sz="0" w:space="0" w:color="auto"/>
        <w:left w:val="none" w:sz="0" w:space="0" w:color="auto"/>
        <w:bottom w:val="none" w:sz="0" w:space="0" w:color="auto"/>
        <w:right w:val="none" w:sz="0" w:space="0" w:color="auto"/>
      </w:divBdr>
    </w:div>
    <w:div w:id="639072719">
      <w:bodyDiv w:val="1"/>
      <w:marLeft w:val="0"/>
      <w:marRight w:val="0"/>
      <w:marTop w:val="0"/>
      <w:marBottom w:val="0"/>
      <w:divBdr>
        <w:top w:val="none" w:sz="0" w:space="0" w:color="auto"/>
        <w:left w:val="none" w:sz="0" w:space="0" w:color="auto"/>
        <w:bottom w:val="none" w:sz="0" w:space="0" w:color="auto"/>
        <w:right w:val="none" w:sz="0" w:space="0" w:color="auto"/>
      </w:divBdr>
    </w:div>
    <w:div w:id="641035993">
      <w:bodyDiv w:val="1"/>
      <w:marLeft w:val="0"/>
      <w:marRight w:val="0"/>
      <w:marTop w:val="0"/>
      <w:marBottom w:val="0"/>
      <w:divBdr>
        <w:top w:val="none" w:sz="0" w:space="0" w:color="auto"/>
        <w:left w:val="none" w:sz="0" w:space="0" w:color="auto"/>
        <w:bottom w:val="none" w:sz="0" w:space="0" w:color="auto"/>
        <w:right w:val="none" w:sz="0" w:space="0" w:color="auto"/>
      </w:divBdr>
      <w:divsChild>
        <w:div w:id="2104451547">
          <w:marLeft w:val="0"/>
          <w:marRight w:val="0"/>
          <w:marTop w:val="0"/>
          <w:marBottom w:val="0"/>
          <w:divBdr>
            <w:top w:val="none" w:sz="0" w:space="0" w:color="auto"/>
            <w:left w:val="none" w:sz="0" w:space="0" w:color="auto"/>
            <w:bottom w:val="none" w:sz="0" w:space="0" w:color="auto"/>
            <w:right w:val="none" w:sz="0" w:space="0" w:color="auto"/>
          </w:divBdr>
        </w:div>
      </w:divsChild>
    </w:div>
    <w:div w:id="646477875">
      <w:bodyDiv w:val="1"/>
      <w:marLeft w:val="0"/>
      <w:marRight w:val="0"/>
      <w:marTop w:val="0"/>
      <w:marBottom w:val="0"/>
      <w:divBdr>
        <w:top w:val="none" w:sz="0" w:space="0" w:color="auto"/>
        <w:left w:val="none" w:sz="0" w:space="0" w:color="auto"/>
        <w:bottom w:val="none" w:sz="0" w:space="0" w:color="auto"/>
        <w:right w:val="none" w:sz="0" w:space="0" w:color="auto"/>
      </w:divBdr>
    </w:div>
    <w:div w:id="654797439">
      <w:bodyDiv w:val="1"/>
      <w:marLeft w:val="0"/>
      <w:marRight w:val="0"/>
      <w:marTop w:val="0"/>
      <w:marBottom w:val="0"/>
      <w:divBdr>
        <w:top w:val="none" w:sz="0" w:space="0" w:color="auto"/>
        <w:left w:val="none" w:sz="0" w:space="0" w:color="auto"/>
        <w:bottom w:val="none" w:sz="0" w:space="0" w:color="auto"/>
        <w:right w:val="none" w:sz="0" w:space="0" w:color="auto"/>
      </w:divBdr>
    </w:div>
    <w:div w:id="662784720">
      <w:bodyDiv w:val="1"/>
      <w:marLeft w:val="0"/>
      <w:marRight w:val="0"/>
      <w:marTop w:val="0"/>
      <w:marBottom w:val="0"/>
      <w:divBdr>
        <w:top w:val="none" w:sz="0" w:space="0" w:color="auto"/>
        <w:left w:val="none" w:sz="0" w:space="0" w:color="auto"/>
        <w:bottom w:val="none" w:sz="0" w:space="0" w:color="auto"/>
        <w:right w:val="none" w:sz="0" w:space="0" w:color="auto"/>
      </w:divBdr>
    </w:div>
    <w:div w:id="681006651">
      <w:bodyDiv w:val="1"/>
      <w:marLeft w:val="0"/>
      <w:marRight w:val="0"/>
      <w:marTop w:val="0"/>
      <w:marBottom w:val="0"/>
      <w:divBdr>
        <w:top w:val="none" w:sz="0" w:space="0" w:color="auto"/>
        <w:left w:val="none" w:sz="0" w:space="0" w:color="auto"/>
        <w:bottom w:val="none" w:sz="0" w:space="0" w:color="auto"/>
        <w:right w:val="none" w:sz="0" w:space="0" w:color="auto"/>
      </w:divBdr>
    </w:div>
    <w:div w:id="689333936">
      <w:bodyDiv w:val="1"/>
      <w:marLeft w:val="0"/>
      <w:marRight w:val="0"/>
      <w:marTop w:val="0"/>
      <w:marBottom w:val="0"/>
      <w:divBdr>
        <w:top w:val="none" w:sz="0" w:space="0" w:color="auto"/>
        <w:left w:val="none" w:sz="0" w:space="0" w:color="auto"/>
        <w:bottom w:val="none" w:sz="0" w:space="0" w:color="auto"/>
        <w:right w:val="none" w:sz="0" w:space="0" w:color="auto"/>
      </w:divBdr>
    </w:div>
    <w:div w:id="713040381">
      <w:bodyDiv w:val="1"/>
      <w:marLeft w:val="0"/>
      <w:marRight w:val="0"/>
      <w:marTop w:val="0"/>
      <w:marBottom w:val="0"/>
      <w:divBdr>
        <w:top w:val="none" w:sz="0" w:space="0" w:color="auto"/>
        <w:left w:val="none" w:sz="0" w:space="0" w:color="auto"/>
        <w:bottom w:val="none" w:sz="0" w:space="0" w:color="auto"/>
        <w:right w:val="none" w:sz="0" w:space="0" w:color="auto"/>
      </w:divBdr>
    </w:div>
    <w:div w:id="720323116">
      <w:bodyDiv w:val="1"/>
      <w:marLeft w:val="0"/>
      <w:marRight w:val="0"/>
      <w:marTop w:val="0"/>
      <w:marBottom w:val="0"/>
      <w:divBdr>
        <w:top w:val="none" w:sz="0" w:space="0" w:color="auto"/>
        <w:left w:val="none" w:sz="0" w:space="0" w:color="auto"/>
        <w:bottom w:val="none" w:sz="0" w:space="0" w:color="auto"/>
        <w:right w:val="none" w:sz="0" w:space="0" w:color="auto"/>
      </w:divBdr>
    </w:div>
    <w:div w:id="741413519">
      <w:bodyDiv w:val="1"/>
      <w:marLeft w:val="0"/>
      <w:marRight w:val="0"/>
      <w:marTop w:val="0"/>
      <w:marBottom w:val="0"/>
      <w:divBdr>
        <w:top w:val="none" w:sz="0" w:space="0" w:color="auto"/>
        <w:left w:val="none" w:sz="0" w:space="0" w:color="auto"/>
        <w:bottom w:val="none" w:sz="0" w:space="0" w:color="auto"/>
        <w:right w:val="none" w:sz="0" w:space="0" w:color="auto"/>
      </w:divBdr>
    </w:div>
    <w:div w:id="743842931">
      <w:bodyDiv w:val="1"/>
      <w:marLeft w:val="0"/>
      <w:marRight w:val="0"/>
      <w:marTop w:val="0"/>
      <w:marBottom w:val="0"/>
      <w:divBdr>
        <w:top w:val="none" w:sz="0" w:space="0" w:color="auto"/>
        <w:left w:val="none" w:sz="0" w:space="0" w:color="auto"/>
        <w:bottom w:val="none" w:sz="0" w:space="0" w:color="auto"/>
        <w:right w:val="none" w:sz="0" w:space="0" w:color="auto"/>
      </w:divBdr>
    </w:div>
    <w:div w:id="782115443">
      <w:bodyDiv w:val="1"/>
      <w:marLeft w:val="0"/>
      <w:marRight w:val="0"/>
      <w:marTop w:val="0"/>
      <w:marBottom w:val="0"/>
      <w:divBdr>
        <w:top w:val="none" w:sz="0" w:space="0" w:color="auto"/>
        <w:left w:val="none" w:sz="0" w:space="0" w:color="auto"/>
        <w:bottom w:val="none" w:sz="0" w:space="0" w:color="auto"/>
        <w:right w:val="none" w:sz="0" w:space="0" w:color="auto"/>
      </w:divBdr>
    </w:div>
    <w:div w:id="784737849">
      <w:bodyDiv w:val="1"/>
      <w:marLeft w:val="0"/>
      <w:marRight w:val="0"/>
      <w:marTop w:val="0"/>
      <w:marBottom w:val="0"/>
      <w:divBdr>
        <w:top w:val="none" w:sz="0" w:space="0" w:color="auto"/>
        <w:left w:val="none" w:sz="0" w:space="0" w:color="auto"/>
        <w:bottom w:val="none" w:sz="0" w:space="0" w:color="auto"/>
        <w:right w:val="none" w:sz="0" w:space="0" w:color="auto"/>
      </w:divBdr>
    </w:div>
    <w:div w:id="793642711">
      <w:bodyDiv w:val="1"/>
      <w:marLeft w:val="0"/>
      <w:marRight w:val="0"/>
      <w:marTop w:val="0"/>
      <w:marBottom w:val="0"/>
      <w:divBdr>
        <w:top w:val="none" w:sz="0" w:space="0" w:color="auto"/>
        <w:left w:val="none" w:sz="0" w:space="0" w:color="auto"/>
        <w:bottom w:val="none" w:sz="0" w:space="0" w:color="auto"/>
        <w:right w:val="none" w:sz="0" w:space="0" w:color="auto"/>
      </w:divBdr>
    </w:div>
    <w:div w:id="803356729">
      <w:bodyDiv w:val="1"/>
      <w:marLeft w:val="0"/>
      <w:marRight w:val="0"/>
      <w:marTop w:val="0"/>
      <w:marBottom w:val="0"/>
      <w:divBdr>
        <w:top w:val="none" w:sz="0" w:space="0" w:color="auto"/>
        <w:left w:val="none" w:sz="0" w:space="0" w:color="auto"/>
        <w:bottom w:val="none" w:sz="0" w:space="0" w:color="auto"/>
        <w:right w:val="none" w:sz="0" w:space="0" w:color="auto"/>
      </w:divBdr>
    </w:div>
    <w:div w:id="821581538">
      <w:bodyDiv w:val="1"/>
      <w:marLeft w:val="0"/>
      <w:marRight w:val="0"/>
      <w:marTop w:val="0"/>
      <w:marBottom w:val="0"/>
      <w:divBdr>
        <w:top w:val="none" w:sz="0" w:space="0" w:color="auto"/>
        <w:left w:val="none" w:sz="0" w:space="0" w:color="auto"/>
        <w:bottom w:val="none" w:sz="0" w:space="0" w:color="auto"/>
        <w:right w:val="none" w:sz="0" w:space="0" w:color="auto"/>
      </w:divBdr>
    </w:div>
    <w:div w:id="832068265">
      <w:bodyDiv w:val="1"/>
      <w:marLeft w:val="0"/>
      <w:marRight w:val="0"/>
      <w:marTop w:val="0"/>
      <w:marBottom w:val="0"/>
      <w:divBdr>
        <w:top w:val="none" w:sz="0" w:space="0" w:color="auto"/>
        <w:left w:val="none" w:sz="0" w:space="0" w:color="auto"/>
        <w:bottom w:val="none" w:sz="0" w:space="0" w:color="auto"/>
        <w:right w:val="none" w:sz="0" w:space="0" w:color="auto"/>
      </w:divBdr>
    </w:div>
    <w:div w:id="832377137">
      <w:bodyDiv w:val="1"/>
      <w:marLeft w:val="0"/>
      <w:marRight w:val="0"/>
      <w:marTop w:val="0"/>
      <w:marBottom w:val="0"/>
      <w:divBdr>
        <w:top w:val="none" w:sz="0" w:space="0" w:color="auto"/>
        <w:left w:val="none" w:sz="0" w:space="0" w:color="auto"/>
        <w:bottom w:val="none" w:sz="0" w:space="0" w:color="auto"/>
        <w:right w:val="none" w:sz="0" w:space="0" w:color="auto"/>
      </w:divBdr>
    </w:div>
    <w:div w:id="853958344">
      <w:bodyDiv w:val="1"/>
      <w:marLeft w:val="0"/>
      <w:marRight w:val="0"/>
      <w:marTop w:val="0"/>
      <w:marBottom w:val="0"/>
      <w:divBdr>
        <w:top w:val="none" w:sz="0" w:space="0" w:color="auto"/>
        <w:left w:val="none" w:sz="0" w:space="0" w:color="auto"/>
        <w:bottom w:val="none" w:sz="0" w:space="0" w:color="auto"/>
        <w:right w:val="none" w:sz="0" w:space="0" w:color="auto"/>
      </w:divBdr>
    </w:div>
    <w:div w:id="861171237">
      <w:bodyDiv w:val="1"/>
      <w:marLeft w:val="0"/>
      <w:marRight w:val="0"/>
      <w:marTop w:val="0"/>
      <w:marBottom w:val="0"/>
      <w:divBdr>
        <w:top w:val="none" w:sz="0" w:space="0" w:color="auto"/>
        <w:left w:val="none" w:sz="0" w:space="0" w:color="auto"/>
        <w:bottom w:val="none" w:sz="0" w:space="0" w:color="auto"/>
        <w:right w:val="none" w:sz="0" w:space="0" w:color="auto"/>
      </w:divBdr>
    </w:div>
    <w:div w:id="878083782">
      <w:bodyDiv w:val="1"/>
      <w:marLeft w:val="0"/>
      <w:marRight w:val="0"/>
      <w:marTop w:val="0"/>
      <w:marBottom w:val="0"/>
      <w:divBdr>
        <w:top w:val="none" w:sz="0" w:space="0" w:color="auto"/>
        <w:left w:val="none" w:sz="0" w:space="0" w:color="auto"/>
        <w:bottom w:val="none" w:sz="0" w:space="0" w:color="auto"/>
        <w:right w:val="none" w:sz="0" w:space="0" w:color="auto"/>
      </w:divBdr>
    </w:div>
    <w:div w:id="878203580">
      <w:bodyDiv w:val="1"/>
      <w:marLeft w:val="0"/>
      <w:marRight w:val="0"/>
      <w:marTop w:val="0"/>
      <w:marBottom w:val="0"/>
      <w:divBdr>
        <w:top w:val="none" w:sz="0" w:space="0" w:color="auto"/>
        <w:left w:val="none" w:sz="0" w:space="0" w:color="auto"/>
        <w:bottom w:val="none" w:sz="0" w:space="0" w:color="auto"/>
        <w:right w:val="none" w:sz="0" w:space="0" w:color="auto"/>
      </w:divBdr>
    </w:div>
    <w:div w:id="898400204">
      <w:bodyDiv w:val="1"/>
      <w:marLeft w:val="0"/>
      <w:marRight w:val="0"/>
      <w:marTop w:val="0"/>
      <w:marBottom w:val="0"/>
      <w:divBdr>
        <w:top w:val="none" w:sz="0" w:space="0" w:color="auto"/>
        <w:left w:val="none" w:sz="0" w:space="0" w:color="auto"/>
        <w:bottom w:val="none" w:sz="0" w:space="0" w:color="auto"/>
        <w:right w:val="none" w:sz="0" w:space="0" w:color="auto"/>
      </w:divBdr>
    </w:div>
    <w:div w:id="901595152">
      <w:bodyDiv w:val="1"/>
      <w:marLeft w:val="0"/>
      <w:marRight w:val="0"/>
      <w:marTop w:val="0"/>
      <w:marBottom w:val="0"/>
      <w:divBdr>
        <w:top w:val="none" w:sz="0" w:space="0" w:color="auto"/>
        <w:left w:val="none" w:sz="0" w:space="0" w:color="auto"/>
        <w:bottom w:val="none" w:sz="0" w:space="0" w:color="auto"/>
        <w:right w:val="none" w:sz="0" w:space="0" w:color="auto"/>
      </w:divBdr>
    </w:div>
    <w:div w:id="908536827">
      <w:bodyDiv w:val="1"/>
      <w:marLeft w:val="0"/>
      <w:marRight w:val="0"/>
      <w:marTop w:val="0"/>
      <w:marBottom w:val="0"/>
      <w:divBdr>
        <w:top w:val="none" w:sz="0" w:space="0" w:color="auto"/>
        <w:left w:val="none" w:sz="0" w:space="0" w:color="auto"/>
        <w:bottom w:val="none" w:sz="0" w:space="0" w:color="auto"/>
        <w:right w:val="none" w:sz="0" w:space="0" w:color="auto"/>
      </w:divBdr>
    </w:div>
    <w:div w:id="912081109">
      <w:bodyDiv w:val="1"/>
      <w:marLeft w:val="0"/>
      <w:marRight w:val="0"/>
      <w:marTop w:val="0"/>
      <w:marBottom w:val="0"/>
      <w:divBdr>
        <w:top w:val="none" w:sz="0" w:space="0" w:color="auto"/>
        <w:left w:val="none" w:sz="0" w:space="0" w:color="auto"/>
        <w:bottom w:val="none" w:sz="0" w:space="0" w:color="auto"/>
        <w:right w:val="none" w:sz="0" w:space="0" w:color="auto"/>
      </w:divBdr>
    </w:div>
    <w:div w:id="914583542">
      <w:bodyDiv w:val="1"/>
      <w:marLeft w:val="0"/>
      <w:marRight w:val="0"/>
      <w:marTop w:val="0"/>
      <w:marBottom w:val="0"/>
      <w:divBdr>
        <w:top w:val="none" w:sz="0" w:space="0" w:color="auto"/>
        <w:left w:val="none" w:sz="0" w:space="0" w:color="auto"/>
        <w:bottom w:val="none" w:sz="0" w:space="0" w:color="auto"/>
        <w:right w:val="none" w:sz="0" w:space="0" w:color="auto"/>
      </w:divBdr>
      <w:divsChild>
        <w:div w:id="159859348">
          <w:marLeft w:val="274"/>
          <w:marRight w:val="0"/>
          <w:marTop w:val="0"/>
          <w:marBottom w:val="0"/>
          <w:divBdr>
            <w:top w:val="none" w:sz="0" w:space="0" w:color="auto"/>
            <w:left w:val="none" w:sz="0" w:space="0" w:color="auto"/>
            <w:bottom w:val="none" w:sz="0" w:space="0" w:color="auto"/>
            <w:right w:val="none" w:sz="0" w:space="0" w:color="auto"/>
          </w:divBdr>
        </w:div>
        <w:div w:id="230115248">
          <w:marLeft w:val="274"/>
          <w:marRight w:val="0"/>
          <w:marTop w:val="0"/>
          <w:marBottom w:val="0"/>
          <w:divBdr>
            <w:top w:val="none" w:sz="0" w:space="0" w:color="auto"/>
            <w:left w:val="none" w:sz="0" w:space="0" w:color="auto"/>
            <w:bottom w:val="none" w:sz="0" w:space="0" w:color="auto"/>
            <w:right w:val="none" w:sz="0" w:space="0" w:color="auto"/>
          </w:divBdr>
        </w:div>
        <w:div w:id="507058386">
          <w:marLeft w:val="274"/>
          <w:marRight w:val="0"/>
          <w:marTop w:val="0"/>
          <w:marBottom w:val="0"/>
          <w:divBdr>
            <w:top w:val="none" w:sz="0" w:space="0" w:color="auto"/>
            <w:left w:val="none" w:sz="0" w:space="0" w:color="auto"/>
            <w:bottom w:val="none" w:sz="0" w:space="0" w:color="auto"/>
            <w:right w:val="none" w:sz="0" w:space="0" w:color="auto"/>
          </w:divBdr>
        </w:div>
        <w:div w:id="578683289">
          <w:marLeft w:val="274"/>
          <w:marRight w:val="0"/>
          <w:marTop w:val="0"/>
          <w:marBottom w:val="0"/>
          <w:divBdr>
            <w:top w:val="none" w:sz="0" w:space="0" w:color="auto"/>
            <w:left w:val="none" w:sz="0" w:space="0" w:color="auto"/>
            <w:bottom w:val="none" w:sz="0" w:space="0" w:color="auto"/>
            <w:right w:val="none" w:sz="0" w:space="0" w:color="auto"/>
          </w:divBdr>
        </w:div>
        <w:div w:id="1626740629">
          <w:marLeft w:val="274"/>
          <w:marRight w:val="0"/>
          <w:marTop w:val="0"/>
          <w:marBottom w:val="0"/>
          <w:divBdr>
            <w:top w:val="none" w:sz="0" w:space="0" w:color="auto"/>
            <w:left w:val="none" w:sz="0" w:space="0" w:color="auto"/>
            <w:bottom w:val="none" w:sz="0" w:space="0" w:color="auto"/>
            <w:right w:val="none" w:sz="0" w:space="0" w:color="auto"/>
          </w:divBdr>
        </w:div>
        <w:div w:id="2045321999">
          <w:marLeft w:val="274"/>
          <w:marRight w:val="0"/>
          <w:marTop w:val="0"/>
          <w:marBottom w:val="0"/>
          <w:divBdr>
            <w:top w:val="none" w:sz="0" w:space="0" w:color="auto"/>
            <w:left w:val="none" w:sz="0" w:space="0" w:color="auto"/>
            <w:bottom w:val="none" w:sz="0" w:space="0" w:color="auto"/>
            <w:right w:val="none" w:sz="0" w:space="0" w:color="auto"/>
          </w:divBdr>
        </w:div>
        <w:div w:id="2114401653">
          <w:marLeft w:val="274"/>
          <w:marRight w:val="0"/>
          <w:marTop w:val="0"/>
          <w:marBottom w:val="0"/>
          <w:divBdr>
            <w:top w:val="none" w:sz="0" w:space="0" w:color="auto"/>
            <w:left w:val="none" w:sz="0" w:space="0" w:color="auto"/>
            <w:bottom w:val="none" w:sz="0" w:space="0" w:color="auto"/>
            <w:right w:val="none" w:sz="0" w:space="0" w:color="auto"/>
          </w:divBdr>
        </w:div>
      </w:divsChild>
    </w:div>
    <w:div w:id="916137060">
      <w:bodyDiv w:val="1"/>
      <w:marLeft w:val="0"/>
      <w:marRight w:val="0"/>
      <w:marTop w:val="0"/>
      <w:marBottom w:val="0"/>
      <w:divBdr>
        <w:top w:val="none" w:sz="0" w:space="0" w:color="auto"/>
        <w:left w:val="none" w:sz="0" w:space="0" w:color="auto"/>
        <w:bottom w:val="none" w:sz="0" w:space="0" w:color="auto"/>
        <w:right w:val="none" w:sz="0" w:space="0" w:color="auto"/>
      </w:divBdr>
    </w:div>
    <w:div w:id="927345636">
      <w:bodyDiv w:val="1"/>
      <w:marLeft w:val="0"/>
      <w:marRight w:val="0"/>
      <w:marTop w:val="0"/>
      <w:marBottom w:val="0"/>
      <w:divBdr>
        <w:top w:val="none" w:sz="0" w:space="0" w:color="auto"/>
        <w:left w:val="none" w:sz="0" w:space="0" w:color="auto"/>
        <w:bottom w:val="none" w:sz="0" w:space="0" w:color="auto"/>
        <w:right w:val="none" w:sz="0" w:space="0" w:color="auto"/>
      </w:divBdr>
    </w:div>
    <w:div w:id="931358005">
      <w:bodyDiv w:val="1"/>
      <w:marLeft w:val="0"/>
      <w:marRight w:val="0"/>
      <w:marTop w:val="0"/>
      <w:marBottom w:val="0"/>
      <w:divBdr>
        <w:top w:val="none" w:sz="0" w:space="0" w:color="auto"/>
        <w:left w:val="none" w:sz="0" w:space="0" w:color="auto"/>
        <w:bottom w:val="none" w:sz="0" w:space="0" w:color="auto"/>
        <w:right w:val="none" w:sz="0" w:space="0" w:color="auto"/>
      </w:divBdr>
    </w:div>
    <w:div w:id="947277165">
      <w:bodyDiv w:val="1"/>
      <w:marLeft w:val="0"/>
      <w:marRight w:val="0"/>
      <w:marTop w:val="0"/>
      <w:marBottom w:val="0"/>
      <w:divBdr>
        <w:top w:val="none" w:sz="0" w:space="0" w:color="auto"/>
        <w:left w:val="none" w:sz="0" w:space="0" w:color="auto"/>
        <w:bottom w:val="none" w:sz="0" w:space="0" w:color="auto"/>
        <w:right w:val="none" w:sz="0" w:space="0" w:color="auto"/>
      </w:divBdr>
    </w:div>
    <w:div w:id="952398036">
      <w:bodyDiv w:val="1"/>
      <w:marLeft w:val="0"/>
      <w:marRight w:val="0"/>
      <w:marTop w:val="0"/>
      <w:marBottom w:val="0"/>
      <w:divBdr>
        <w:top w:val="none" w:sz="0" w:space="0" w:color="auto"/>
        <w:left w:val="none" w:sz="0" w:space="0" w:color="auto"/>
        <w:bottom w:val="none" w:sz="0" w:space="0" w:color="auto"/>
        <w:right w:val="none" w:sz="0" w:space="0" w:color="auto"/>
      </w:divBdr>
    </w:div>
    <w:div w:id="955915302">
      <w:bodyDiv w:val="1"/>
      <w:marLeft w:val="0"/>
      <w:marRight w:val="0"/>
      <w:marTop w:val="0"/>
      <w:marBottom w:val="0"/>
      <w:divBdr>
        <w:top w:val="none" w:sz="0" w:space="0" w:color="auto"/>
        <w:left w:val="none" w:sz="0" w:space="0" w:color="auto"/>
        <w:bottom w:val="none" w:sz="0" w:space="0" w:color="auto"/>
        <w:right w:val="none" w:sz="0" w:space="0" w:color="auto"/>
      </w:divBdr>
      <w:divsChild>
        <w:div w:id="179709823">
          <w:marLeft w:val="274"/>
          <w:marRight w:val="0"/>
          <w:marTop w:val="0"/>
          <w:marBottom w:val="0"/>
          <w:divBdr>
            <w:top w:val="none" w:sz="0" w:space="0" w:color="auto"/>
            <w:left w:val="none" w:sz="0" w:space="0" w:color="auto"/>
            <w:bottom w:val="none" w:sz="0" w:space="0" w:color="auto"/>
            <w:right w:val="none" w:sz="0" w:space="0" w:color="auto"/>
          </w:divBdr>
        </w:div>
        <w:div w:id="400838165">
          <w:marLeft w:val="274"/>
          <w:marRight w:val="0"/>
          <w:marTop w:val="0"/>
          <w:marBottom w:val="0"/>
          <w:divBdr>
            <w:top w:val="none" w:sz="0" w:space="0" w:color="auto"/>
            <w:left w:val="none" w:sz="0" w:space="0" w:color="auto"/>
            <w:bottom w:val="none" w:sz="0" w:space="0" w:color="auto"/>
            <w:right w:val="none" w:sz="0" w:space="0" w:color="auto"/>
          </w:divBdr>
        </w:div>
        <w:div w:id="1105074966">
          <w:marLeft w:val="274"/>
          <w:marRight w:val="0"/>
          <w:marTop w:val="0"/>
          <w:marBottom w:val="0"/>
          <w:divBdr>
            <w:top w:val="none" w:sz="0" w:space="0" w:color="auto"/>
            <w:left w:val="none" w:sz="0" w:space="0" w:color="auto"/>
            <w:bottom w:val="none" w:sz="0" w:space="0" w:color="auto"/>
            <w:right w:val="none" w:sz="0" w:space="0" w:color="auto"/>
          </w:divBdr>
        </w:div>
        <w:div w:id="1723748946">
          <w:marLeft w:val="274"/>
          <w:marRight w:val="0"/>
          <w:marTop w:val="0"/>
          <w:marBottom w:val="0"/>
          <w:divBdr>
            <w:top w:val="none" w:sz="0" w:space="0" w:color="auto"/>
            <w:left w:val="none" w:sz="0" w:space="0" w:color="auto"/>
            <w:bottom w:val="none" w:sz="0" w:space="0" w:color="auto"/>
            <w:right w:val="none" w:sz="0" w:space="0" w:color="auto"/>
          </w:divBdr>
        </w:div>
        <w:div w:id="1784374511">
          <w:marLeft w:val="274"/>
          <w:marRight w:val="0"/>
          <w:marTop w:val="0"/>
          <w:marBottom w:val="0"/>
          <w:divBdr>
            <w:top w:val="none" w:sz="0" w:space="0" w:color="auto"/>
            <w:left w:val="none" w:sz="0" w:space="0" w:color="auto"/>
            <w:bottom w:val="none" w:sz="0" w:space="0" w:color="auto"/>
            <w:right w:val="none" w:sz="0" w:space="0" w:color="auto"/>
          </w:divBdr>
        </w:div>
      </w:divsChild>
    </w:div>
    <w:div w:id="956833384">
      <w:bodyDiv w:val="1"/>
      <w:marLeft w:val="0"/>
      <w:marRight w:val="0"/>
      <w:marTop w:val="0"/>
      <w:marBottom w:val="0"/>
      <w:divBdr>
        <w:top w:val="none" w:sz="0" w:space="0" w:color="auto"/>
        <w:left w:val="none" w:sz="0" w:space="0" w:color="auto"/>
        <w:bottom w:val="none" w:sz="0" w:space="0" w:color="auto"/>
        <w:right w:val="none" w:sz="0" w:space="0" w:color="auto"/>
      </w:divBdr>
    </w:div>
    <w:div w:id="958489119">
      <w:bodyDiv w:val="1"/>
      <w:marLeft w:val="0"/>
      <w:marRight w:val="0"/>
      <w:marTop w:val="0"/>
      <w:marBottom w:val="0"/>
      <w:divBdr>
        <w:top w:val="none" w:sz="0" w:space="0" w:color="auto"/>
        <w:left w:val="none" w:sz="0" w:space="0" w:color="auto"/>
        <w:bottom w:val="none" w:sz="0" w:space="0" w:color="auto"/>
        <w:right w:val="none" w:sz="0" w:space="0" w:color="auto"/>
      </w:divBdr>
    </w:div>
    <w:div w:id="963926663">
      <w:bodyDiv w:val="1"/>
      <w:marLeft w:val="0"/>
      <w:marRight w:val="0"/>
      <w:marTop w:val="0"/>
      <w:marBottom w:val="0"/>
      <w:divBdr>
        <w:top w:val="none" w:sz="0" w:space="0" w:color="auto"/>
        <w:left w:val="none" w:sz="0" w:space="0" w:color="auto"/>
        <w:bottom w:val="none" w:sz="0" w:space="0" w:color="auto"/>
        <w:right w:val="none" w:sz="0" w:space="0" w:color="auto"/>
      </w:divBdr>
      <w:divsChild>
        <w:div w:id="387917738">
          <w:marLeft w:val="0"/>
          <w:marRight w:val="0"/>
          <w:marTop w:val="0"/>
          <w:marBottom w:val="0"/>
          <w:divBdr>
            <w:top w:val="none" w:sz="0" w:space="0" w:color="auto"/>
            <w:left w:val="none" w:sz="0" w:space="0" w:color="auto"/>
            <w:bottom w:val="none" w:sz="0" w:space="0" w:color="auto"/>
            <w:right w:val="none" w:sz="0" w:space="0" w:color="auto"/>
          </w:divBdr>
          <w:divsChild>
            <w:div w:id="399014654">
              <w:marLeft w:val="0"/>
              <w:marRight w:val="0"/>
              <w:marTop w:val="0"/>
              <w:marBottom w:val="0"/>
              <w:divBdr>
                <w:top w:val="none" w:sz="0" w:space="0" w:color="auto"/>
                <w:left w:val="none" w:sz="0" w:space="0" w:color="auto"/>
                <w:bottom w:val="none" w:sz="0" w:space="0" w:color="auto"/>
                <w:right w:val="none" w:sz="0" w:space="0" w:color="auto"/>
              </w:divBdr>
              <w:divsChild>
                <w:div w:id="581063993">
                  <w:marLeft w:val="0"/>
                  <w:marRight w:val="0"/>
                  <w:marTop w:val="181"/>
                  <w:marBottom w:val="181"/>
                  <w:divBdr>
                    <w:top w:val="none" w:sz="0" w:space="0" w:color="auto"/>
                    <w:left w:val="none" w:sz="0" w:space="0" w:color="auto"/>
                    <w:bottom w:val="none" w:sz="0" w:space="0" w:color="auto"/>
                    <w:right w:val="none" w:sz="0" w:space="0" w:color="auto"/>
                  </w:divBdr>
                  <w:divsChild>
                    <w:div w:id="1572615006">
                      <w:marLeft w:val="0"/>
                      <w:marRight w:val="0"/>
                      <w:marTop w:val="0"/>
                      <w:marBottom w:val="0"/>
                      <w:divBdr>
                        <w:top w:val="none" w:sz="0" w:space="0" w:color="auto"/>
                        <w:left w:val="none" w:sz="0" w:space="0" w:color="auto"/>
                        <w:bottom w:val="none" w:sz="0" w:space="0" w:color="auto"/>
                        <w:right w:val="none" w:sz="0" w:space="0" w:color="auto"/>
                      </w:divBdr>
                      <w:divsChild>
                        <w:div w:id="259528426">
                          <w:marLeft w:val="0"/>
                          <w:marRight w:val="0"/>
                          <w:marTop w:val="0"/>
                          <w:marBottom w:val="0"/>
                          <w:divBdr>
                            <w:top w:val="none" w:sz="0" w:space="0" w:color="auto"/>
                            <w:left w:val="none" w:sz="0" w:space="0" w:color="auto"/>
                            <w:bottom w:val="none" w:sz="0" w:space="0" w:color="auto"/>
                            <w:right w:val="none" w:sz="0" w:space="0" w:color="auto"/>
                          </w:divBdr>
                        </w:div>
                        <w:div w:id="49349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736818">
      <w:bodyDiv w:val="1"/>
      <w:marLeft w:val="0"/>
      <w:marRight w:val="0"/>
      <w:marTop w:val="0"/>
      <w:marBottom w:val="0"/>
      <w:divBdr>
        <w:top w:val="none" w:sz="0" w:space="0" w:color="auto"/>
        <w:left w:val="none" w:sz="0" w:space="0" w:color="auto"/>
        <w:bottom w:val="none" w:sz="0" w:space="0" w:color="auto"/>
        <w:right w:val="none" w:sz="0" w:space="0" w:color="auto"/>
      </w:divBdr>
    </w:div>
    <w:div w:id="968707924">
      <w:bodyDiv w:val="1"/>
      <w:marLeft w:val="0"/>
      <w:marRight w:val="0"/>
      <w:marTop w:val="0"/>
      <w:marBottom w:val="0"/>
      <w:divBdr>
        <w:top w:val="none" w:sz="0" w:space="0" w:color="auto"/>
        <w:left w:val="none" w:sz="0" w:space="0" w:color="auto"/>
        <w:bottom w:val="none" w:sz="0" w:space="0" w:color="auto"/>
        <w:right w:val="none" w:sz="0" w:space="0" w:color="auto"/>
      </w:divBdr>
    </w:div>
    <w:div w:id="974722928">
      <w:bodyDiv w:val="1"/>
      <w:marLeft w:val="0"/>
      <w:marRight w:val="0"/>
      <w:marTop w:val="0"/>
      <w:marBottom w:val="0"/>
      <w:divBdr>
        <w:top w:val="none" w:sz="0" w:space="0" w:color="auto"/>
        <w:left w:val="none" w:sz="0" w:space="0" w:color="auto"/>
        <w:bottom w:val="none" w:sz="0" w:space="0" w:color="auto"/>
        <w:right w:val="none" w:sz="0" w:space="0" w:color="auto"/>
      </w:divBdr>
    </w:div>
    <w:div w:id="984895812">
      <w:bodyDiv w:val="1"/>
      <w:marLeft w:val="0"/>
      <w:marRight w:val="0"/>
      <w:marTop w:val="0"/>
      <w:marBottom w:val="0"/>
      <w:divBdr>
        <w:top w:val="none" w:sz="0" w:space="0" w:color="auto"/>
        <w:left w:val="none" w:sz="0" w:space="0" w:color="auto"/>
        <w:bottom w:val="none" w:sz="0" w:space="0" w:color="auto"/>
        <w:right w:val="none" w:sz="0" w:space="0" w:color="auto"/>
      </w:divBdr>
    </w:div>
    <w:div w:id="1003241458">
      <w:bodyDiv w:val="1"/>
      <w:marLeft w:val="0"/>
      <w:marRight w:val="0"/>
      <w:marTop w:val="0"/>
      <w:marBottom w:val="0"/>
      <w:divBdr>
        <w:top w:val="none" w:sz="0" w:space="0" w:color="auto"/>
        <w:left w:val="none" w:sz="0" w:space="0" w:color="auto"/>
        <w:bottom w:val="none" w:sz="0" w:space="0" w:color="auto"/>
        <w:right w:val="none" w:sz="0" w:space="0" w:color="auto"/>
      </w:divBdr>
    </w:div>
    <w:div w:id="1016421119">
      <w:bodyDiv w:val="1"/>
      <w:marLeft w:val="0"/>
      <w:marRight w:val="0"/>
      <w:marTop w:val="0"/>
      <w:marBottom w:val="0"/>
      <w:divBdr>
        <w:top w:val="none" w:sz="0" w:space="0" w:color="auto"/>
        <w:left w:val="none" w:sz="0" w:space="0" w:color="auto"/>
        <w:bottom w:val="none" w:sz="0" w:space="0" w:color="auto"/>
        <w:right w:val="none" w:sz="0" w:space="0" w:color="auto"/>
      </w:divBdr>
    </w:div>
    <w:div w:id="1024094894">
      <w:bodyDiv w:val="1"/>
      <w:marLeft w:val="0"/>
      <w:marRight w:val="0"/>
      <w:marTop w:val="0"/>
      <w:marBottom w:val="0"/>
      <w:divBdr>
        <w:top w:val="none" w:sz="0" w:space="0" w:color="auto"/>
        <w:left w:val="none" w:sz="0" w:space="0" w:color="auto"/>
        <w:bottom w:val="none" w:sz="0" w:space="0" w:color="auto"/>
        <w:right w:val="none" w:sz="0" w:space="0" w:color="auto"/>
      </w:divBdr>
      <w:divsChild>
        <w:div w:id="1012949350">
          <w:marLeft w:val="274"/>
          <w:marRight w:val="0"/>
          <w:marTop w:val="0"/>
          <w:marBottom w:val="0"/>
          <w:divBdr>
            <w:top w:val="none" w:sz="0" w:space="0" w:color="auto"/>
            <w:left w:val="none" w:sz="0" w:space="0" w:color="auto"/>
            <w:bottom w:val="none" w:sz="0" w:space="0" w:color="auto"/>
            <w:right w:val="none" w:sz="0" w:space="0" w:color="auto"/>
          </w:divBdr>
        </w:div>
        <w:div w:id="1610819033">
          <w:marLeft w:val="274"/>
          <w:marRight w:val="0"/>
          <w:marTop w:val="0"/>
          <w:marBottom w:val="0"/>
          <w:divBdr>
            <w:top w:val="none" w:sz="0" w:space="0" w:color="auto"/>
            <w:left w:val="none" w:sz="0" w:space="0" w:color="auto"/>
            <w:bottom w:val="none" w:sz="0" w:space="0" w:color="auto"/>
            <w:right w:val="none" w:sz="0" w:space="0" w:color="auto"/>
          </w:divBdr>
        </w:div>
        <w:div w:id="1633900917">
          <w:marLeft w:val="274"/>
          <w:marRight w:val="0"/>
          <w:marTop w:val="0"/>
          <w:marBottom w:val="0"/>
          <w:divBdr>
            <w:top w:val="none" w:sz="0" w:space="0" w:color="auto"/>
            <w:left w:val="none" w:sz="0" w:space="0" w:color="auto"/>
            <w:bottom w:val="none" w:sz="0" w:space="0" w:color="auto"/>
            <w:right w:val="none" w:sz="0" w:space="0" w:color="auto"/>
          </w:divBdr>
        </w:div>
        <w:div w:id="1767573208">
          <w:marLeft w:val="274"/>
          <w:marRight w:val="0"/>
          <w:marTop w:val="0"/>
          <w:marBottom w:val="0"/>
          <w:divBdr>
            <w:top w:val="none" w:sz="0" w:space="0" w:color="auto"/>
            <w:left w:val="none" w:sz="0" w:space="0" w:color="auto"/>
            <w:bottom w:val="none" w:sz="0" w:space="0" w:color="auto"/>
            <w:right w:val="none" w:sz="0" w:space="0" w:color="auto"/>
          </w:divBdr>
        </w:div>
        <w:div w:id="2034258215">
          <w:marLeft w:val="274"/>
          <w:marRight w:val="0"/>
          <w:marTop w:val="0"/>
          <w:marBottom w:val="0"/>
          <w:divBdr>
            <w:top w:val="none" w:sz="0" w:space="0" w:color="auto"/>
            <w:left w:val="none" w:sz="0" w:space="0" w:color="auto"/>
            <w:bottom w:val="none" w:sz="0" w:space="0" w:color="auto"/>
            <w:right w:val="none" w:sz="0" w:space="0" w:color="auto"/>
          </w:divBdr>
        </w:div>
      </w:divsChild>
    </w:div>
    <w:div w:id="1024138495">
      <w:bodyDiv w:val="1"/>
      <w:marLeft w:val="0"/>
      <w:marRight w:val="0"/>
      <w:marTop w:val="0"/>
      <w:marBottom w:val="0"/>
      <w:divBdr>
        <w:top w:val="none" w:sz="0" w:space="0" w:color="auto"/>
        <w:left w:val="none" w:sz="0" w:space="0" w:color="auto"/>
        <w:bottom w:val="none" w:sz="0" w:space="0" w:color="auto"/>
        <w:right w:val="none" w:sz="0" w:space="0" w:color="auto"/>
      </w:divBdr>
    </w:div>
    <w:div w:id="1027409096">
      <w:bodyDiv w:val="1"/>
      <w:marLeft w:val="0"/>
      <w:marRight w:val="0"/>
      <w:marTop w:val="0"/>
      <w:marBottom w:val="0"/>
      <w:divBdr>
        <w:top w:val="none" w:sz="0" w:space="0" w:color="auto"/>
        <w:left w:val="none" w:sz="0" w:space="0" w:color="auto"/>
        <w:bottom w:val="none" w:sz="0" w:space="0" w:color="auto"/>
        <w:right w:val="none" w:sz="0" w:space="0" w:color="auto"/>
      </w:divBdr>
    </w:div>
    <w:div w:id="1050376133">
      <w:bodyDiv w:val="1"/>
      <w:marLeft w:val="0"/>
      <w:marRight w:val="0"/>
      <w:marTop w:val="0"/>
      <w:marBottom w:val="0"/>
      <w:divBdr>
        <w:top w:val="none" w:sz="0" w:space="0" w:color="auto"/>
        <w:left w:val="none" w:sz="0" w:space="0" w:color="auto"/>
        <w:bottom w:val="none" w:sz="0" w:space="0" w:color="auto"/>
        <w:right w:val="none" w:sz="0" w:space="0" w:color="auto"/>
      </w:divBdr>
    </w:div>
    <w:div w:id="1058161680">
      <w:bodyDiv w:val="1"/>
      <w:marLeft w:val="0"/>
      <w:marRight w:val="0"/>
      <w:marTop w:val="0"/>
      <w:marBottom w:val="0"/>
      <w:divBdr>
        <w:top w:val="none" w:sz="0" w:space="0" w:color="auto"/>
        <w:left w:val="none" w:sz="0" w:space="0" w:color="auto"/>
        <w:bottom w:val="none" w:sz="0" w:space="0" w:color="auto"/>
        <w:right w:val="none" w:sz="0" w:space="0" w:color="auto"/>
      </w:divBdr>
    </w:div>
    <w:div w:id="1066340801">
      <w:bodyDiv w:val="1"/>
      <w:marLeft w:val="0"/>
      <w:marRight w:val="0"/>
      <w:marTop w:val="0"/>
      <w:marBottom w:val="0"/>
      <w:divBdr>
        <w:top w:val="none" w:sz="0" w:space="0" w:color="auto"/>
        <w:left w:val="none" w:sz="0" w:space="0" w:color="auto"/>
        <w:bottom w:val="none" w:sz="0" w:space="0" w:color="auto"/>
        <w:right w:val="none" w:sz="0" w:space="0" w:color="auto"/>
      </w:divBdr>
      <w:divsChild>
        <w:div w:id="1930305901">
          <w:marLeft w:val="274"/>
          <w:marRight w:val="0"/>
          <w:marTop w:val="0"/>
          <w:marBottom w:val="0"/>
          <w:divBdr>
            <w:top w:val="none" w:sz="0" w:space="0" w:color="auto"/>
            <w:left w:val="none" w:sz="0" w:space="0" w:color="auto"/>
            <w:bottom w:val="none" w:sz="0" w:space="0" w:color="auto"/>
            <w:right w:val="none" w:sz="0" w:space="0" w:color="auto"/>
          </w:divBdr>
        </w:div>
        <w:div w:id="2116051586">
          <w:marLeft w:val="274"/>
          <w:marRight w:val="0"/>
          <w:marTop w:val="0"/>
          <w:marBottom w:val="0"/>
          <w:divBdr>
            <w:top w:val="none" w:sz="0" w:space="0" w:color="auto"/>
            <w:left w:val="none" w:sz="0" w:space="0" w:color="auto"/>
            <w:bottom w:val="none" w:sz="0" w:space="0" w:color="auto"/>
            <w:right w:val="none" w:sz="0" w:space="0" w:color="auto"/>
          </w:divBdr>
        </w:div>
      </w:divsChild>
    </w:div>
    <w:div w:id="1069687972">
      <w:bodyDiv w:val="1"/>
      <w:marLeft w:val="0"/>
      <w:marRight w:val="0"/>
      <w:marTop w:val="0"/>
      <w:marBottom w:val="0"/>
      <w:divBdr>
        <w:top w:val="none" w:sz="0" w:space="0" w:color="auto"/>
        <w:left w:val="none" w:sz="0" w:space="0" w:color="auto"/>
        <w:bottom w:val="none" w:sz="0" w:space="0" w:color="auto"/>
        <w:right w:val="none" w:sz="0" w:space="0" w:color="auto"/>
      </w:divBdr>
    </w:div>
    <w:div w:id="1075281814">
      <w:bodyDiv w:val="1"/>
      <w:marLeft w:val="0"/>
      <w:marRight w:val="0"/>
      <w:marTop w:val="0"/>
      <w:marBottom w:val="0"/>
      <w:divBdr>
        <w:top w:val="none" w:sz="0" w:space="0" w:color="auto"/>
        <w:left w:val="none" w:sz="0" w:space="0" w:color="auto"/>
        <w:bottom w:val="none" w:sz="0" w:space="0" w:color="auto"/>
        <w:right w:val="none" w:sz="0" w:space="0" w:color="auto"/>
      </w:divBdr>
    </w:div>
    <w:div w:id="1085146603">
      <w:bodyDiv w:val="1"/>
      <w:marLeft w:val="0"/>
      <w:marRight w:val="0"/>
      <w:marTop w:val="0"/>
      <w:marBottom w:val="0"/>
      <w:divBdr>
        <w:top w:val="none" w:sz="0" w:space="0" w:color="auto"/>
        <w:left w:val="none" w:sz="0" w:space="0" w:color="auto"/>
        <w:bottom w:val="none" w:sz="0" w:space="0" w:color="auto"/>
        <w:right w:val="none" w:sz="0" w:space="0" w:color="auto"/>
      </w:divBdr>
    </w:div>
    <w:div w:id="1086610557">
      <w:bodyDiv w:val="1"/>
      <w:marLeft w:val="0"/>
      <w:marRight w:val="0"/>
      <w:marTop w:val="0"/>
      <w:marBottom w:val="0"/>
      <w:divBdr>
        <w:top w:val="none" w:sz="0" w:space="0" w:color="auto"/>
        <w:left w:val="none" w:sz="0" w:space="0" w:color="auto"/>
        <w:bottom w:val="none" w:sz="0" w:space="0" w:color="auto"/>
        <w:right w:val="none" w:sz="0" w:space="0" w:color="auto"/>
      </w:divBdr>
    </w:div>
    <w:div w:id="1118767151">
      <w:bodyDiv w:val="1"/>
      <w:marLeft w:val="0"/>
      <w:marRight w:val="0"/>
      <w:marTop w:val="0"/>
      <w:marBottom w:val="0"/>
      <w:divBdr>
        <w:top w:val="none" w:sz="0" w:space="0" w:color="auto"/>
        <w:left w:val="none" w:sz="0" w:space="0" w:color="auto"/>
        <w:bottom w:val="none" w:sz="0" w:space="0" w:color="auto"/>
        <w:right w:val="none" w:sz="0" w:space="0" w:color="auto"/>
      </w:divBdr>
    </w:div>
    <w:div w:id="1120101536">
      <w:bodyDiv w:val="1"/>
      <w:marLeft w:val="0"/>
      <w:marRight w:val="0"/>
      <w:marTop w:val="0"/>
      <w:marBottom w:val="0"/>
      <w:divBdr>
        <w:top w:val="none" w:sz="0" w:space="0" w:color="auto"/>
        <w:left w:val="none" w:sz="0" w:space="0" w:color="auto"/>
        <w:bottom w:val="none" w:sz="0" w:space="0" w:color="auto"/>
        <w:right w:val="none" w:sz="0" w:space="0" w:color="auto"/>
      </w:divBdr>
    </w:div>
    <w:div w:id="1120801952">
      <w:bodyDiv w:val="1"/>
      <w:marLeft w:val="0"/>
      <w:marRight w:val="0"/>
      <w:marTop w:val="0"/>
      <w:marBottom w:val="0"/>
      <w:divBdr>
        <w:top w:val="none" w:sz="0" w:space="0" w:color="auto"/>
        <w:left w:val="none" w:sz="0" w:space="0" w:color="auto"/>
        <w:bottom w:val="none" w:sz="0" w:space="0" w:color="auto"/>
        <w:right w:val="none" w:sz="0" w:space="0" w:color="auto"/>
      </w:divBdr>
    </w:div>
    <w:div w:id="1123958545">
      <w:bodyDiv w:val="1"/>
      <w:marLeft w:val="0"/>
      <w:marRight w:val="0"/>
      <w:marTop w:val="0"/>
      <w:marBottom w:val="0"/>
      <w:divBdr>
        <w:top w:val="none" w:sz="0" w:space="0" w:color="auto"/>
        <w:left w:val="none" w:sz="0" w:space="0" w:color="auto"/>
        <w:bottom w:val="none" w:sz="0" w:space="0" w:color="auto"/>
        <w:right w:val="none" w:sz="0" w:space="0" w:color="auto"/>
      </w:divBdr>
    </w:div>
    <w:div w:id="1124809734">
      <w:bodyDiv w:val="1"/>
      <w:marLeft w:val="0"/>
      <w:marRight w:val="0"/>
      <w:marTop w:val="0"/>
      <w:marBottom w:val="0"/>
      <w:divBdr>
        <w:top w:val="none" w:sz="0" w:space="0" w:color="auto"/>
        <w:left w:val="none" w:sz="0" w:space="0" w:color="auto"/>
        <w:bottom w:val="none" w:sz="0" w:space="0" w:color="auto"/>
        <w:right w:val="none" w:sz="0" w:space="0" w:color="auto"/>
      </w:divBdr>
    </w:div>
    <w:div w:id="1140851786">
      <w:bodyDiv w:val="1"/>
      <w:marLeft w:val="0"/>
      <w:marRight w:val="0"/>
      <w:marTop w:val="0"/>
      <w:marBottom w:val="0"/>
      <w:divBdr>
        <w:top w:val="none" w:sz="0" w:space="0" w:color="auto"/>
        <w:left w:val="none" w:sz="0" w:space="0" w:color="auto"/>
        <w:bottom w:val="none" w:sz="0" w:space="0" w:color="auto"/>
        <w:right w:val="none" w:sz="0" w:space="0" w:color="auto"/>
      </w:divBdr>
    </w:div>
    <w:div w:id="1147361735">
      <w:bodyDiv w:val="1"/>
      <w:marLeft w:val="0"/>
      <w:marRight w:val="0"/>
      <w:marTop w:val="0"/>
      <w:marBottom w:val="0"/>
      <w:divBdr>
        <w:top w:val="none" w:sz="0" w:space="0" w:color="auto"/>
        <w:left w:val="none" w:sz="0" w:space="0" w:color="auto"/>
        <w:bottom w:val="none" w:sz="0" w:space="0" w:color="auto"/>
        <w:right w:val="none" w:sz="0" w:space="0" w:color="auto"/>
      </w:divBdr>
    </w:div>
    <w:div w:id="1153569346">
      <w:bodyDiv w:val="1"/>
      <w:marLeft w:val="0"/>
      <w:marRight w:val="0"/>
      <w:marTop w:val="0"/>
      <w:marBottom w:val="0"/>
      <w:divBdr>
        <w:top w:val="none" w:sz="0" w:space="0" w:color="auto"/>
        <w:left w:val="none" w:sz="0" w:space="0" w:color="auto"/>
        <w:bottom w:val="none" w:sz="0" w:space="0" w:color="auto"/>
        <w:right w:val="none" w:sz="0" w:space="0" w:color="auto"/>
      </w:divBdr>
    </w:div>
    <w:div w:id="1159269475">
      <w:bodyDiv w:val="1"/>
      <w:marLeft w:val="0"/>
      <w:marRight w:val="0"/>
      <w:marTop w:val="0"/>
      <w:marBottom w:val="0"/>
      <w:divBdr>
        <w:top w:val="none" w:sz="0" w:space="0" w:color="auto"/>
        <w:left w:val="none" w:sz="0" w:space="0" w:color="auto"/>
        <w:bottom w:val="none" w:sz="0" w:space="0" w:color="auto"/>
        <w:right w:val="none" w:sz="0" w:space="0" w:color="auto"/>
      </w:divBdr>
    </w:div>
    <w:div w:id="1160999543">
      <w:bodyDiv w:val="1"/>
      <w:marLeft w:val="0"/>
      <w:marRight w:val="0"/>
      <w:marTop w:val="0"/>
      <w:marBottom w:val="0"/>
      <w:divBdr>
        <w:top w:val="none" w:sz="0" w:space="0" w:color="auto"/>
        <w:left w:val="none" w:sz="0" w:space="0" w:color="auto"/>
        <w:bottom w:val="none" w:sz="0" w:space="0" w:color="auto"/>
        <w:right w:val="none" w:sz="0" w:space="0" w:color="auto"/>
      </w:divBdr>
    </w:div>
    <w:div w:id="1162042568">
      <w:bodyDiv w:val="1"/>
      <w:marLeft w:val="0"/>
      <w:marRight w:val="0"/>
      <w:marTop w:val="0"/>
      <w:marBottom w:val="0"/>
      <w:divBdr>
        <w:top w:val="none" w:sz="0" w:space="0" w:color="auto"/>
        <w:left w:val="none" w:sz="0" w:space="0" w:color="auto"/>
        <w:bottom w:val="none" w:sz="0" w:space="0" w:color="auto"/>
        <w:right w:val="none" w:sz="0" w:space="0" w:color="auto"/>
      </w:divBdr>
    </w:div>
    <w:div w:id="1171338668">
      <w:bodyDiv w:val="1"/>
      <w:marLeft w:val="0"/>
      <w:marRight w:val="0"/>
      <w:marTop w:val="0"/>
      <w:marBottom w:val="0"/>
      <w:divBdr>
        <w:top w:val="none" w:sz="0" w:space="0" w:color="auto"/>
        <w:left w:val="none" w:sz="0" w:space="0" w:color="auto"/>
        <w:bottom w:val="none" w:sz="0" w:space="0" w:color="auto"/>
        <w:right w:val="none" w:sz="0" w:space="0" w:color="auto"/>
      </w:divBdr>
    </w:div>
    <w:div w:id="1184826380">
      <w:bodyDiv w:val="1"/>
      <w:marLeft w:val="0"/>
      <w:marRight w:val="0"/>
      <w:marTop w:val="0"/>
      <w:marBottom w:val="0"/>
      <w:divBdr>
        <w:top w:val="none" w:sz="0" w:space="0" w:color="auto"/>
        <w:left w:val="none" w:sz="0" w:space="0" w:color="auto"/>
        <w:bottom w:val="none" w:sz="0" w:space="0" w:color="auto"/>
        <w:right w:val="none" w:sz="0" w:space="0" w:color="auto"/>
      </w:divBdr>
      <w:divsChild>
        <w:div w:id="1110510187">
          <w:marLeft w:val="0"/>
          <w:marRight w:val="0"/>
          <w:marTop w:val="0"/>
          <w:marBottom w:val="0"/>
          <w:divBdr>
            <w:top w:val="none" w:sz="0" w:space="0" w:color="auto"/>
            <w:left w:val="none" w:sz="0" w:space="0" w:color="auto"/>
            <w:bottom w:val="none" w:sz="0" w:space="0" w:color="auto"/>
            <w:right w:val="none" w:sz="0" w:space="0" w:color="auto"/>
          </w:divBdr>
          <w:divsChild>
            <w:div w:id="2088337085">
              <w:marLeft w:val="0"/>
              <w:marRight w:val="0"/>
              <w:marTop w:val="0"/>
              <w:marBottom w:val="0"/>
              <w:divBdr>
                <w:top w:val="none" w:sz="0" w:space="0" w:color="auto"/>
                <w:left w:val="none" w:sz="0" w:space="0" w:color="auto"/>
                <w:bottom w:val="none" w:sz="0" w:space="0" w:color="auto"/>
                <w:right w:val="none" w:sz="0" w:space="0" w:color="auto"/>
              </w:divBdr>
              <w:divsChild>
                <w:div w:id="1652558248">
                  <w:marLeft w:val="0"/>
                  <w:marRight w:val="0"/>
                  <w:marTop w:val="0"/>
                  <w:marBottom w:val="0"/>
                  <w:divBdr>
                    <w:top w:val="none" w:sz="0" w:space="0" w:color="auto"/>
                    <w:left w:val="none" w:sz="0" w:space="0" w:color="auto"/>
                    <w:bottom w:val="none" w:sz="0" w:space="0" w:color="auto"/>
                    <w:right w:val="none" w:sz="0" w:space="0" w:color="auto"/>
                  </w:divBdr>
                  <w:divsChild>
                    <w:div w:id="839975845">
                      <w:marLeft w:val="0"/>
                      <w:marRight w:val="0"/>
                      <w:marTop w:val="0"/>
                      <w:marBottom w:val="0"/>
                      <w:divBdr>
                        <w:top w:val="none" w:sz="0" w:space="0" w:color="auto"/>
                        <w:left w:val="none" w:sz="0" w:space="0" w:color="auto"/>
                        <w:bottom w:val="none" w:sz="0" w:space="0" w:color="auto"/>
                        <w:right w:val="none" w:sz="0" w:space="0" w:color="auto"/>
                      </w:divBdr>
                      <w:divsChild>
                        <w:div w:id="2025129448">
                          <w:marLeft w:val="0"/>
                          <w:marRight w:val="0"/>
                          <w:marTop w:val="0"/>
                          <w:marBottom w:val="0"/>
                          <w:divBdr>
                            <w:top w:val="none" w:sz="0" w:space="0" w:color="auto"/>
                            <w:left w:val="none" w:sz="0" w:space="0" w:color="auto"/>
                            <w:bottom w:val="none" w:sz="0" w:space="0" w:color="auto"/>
                            <w:right w:val="none" w:sz="0" w:space="0" w:color="auto"/>
                          </w:divBdr>
                          <w:divsChild>
                            <w:div w:id="1274021895">
                              <w:marLeft w:val="0"/>
                              <w:marRight w:val="0"/>
                              <w:marTop w:val="0"/>
                              <w:marBottom w:val="0"/>
                              <w:divBdr>
                                <w:top w:val="none" w:sz="0" w:space="0" w:color="auto"/>
                                <w:left w:val="none" w:sz="0" w:space="0" w:color="auto"/>
                                <w:bottom w:val="none" w:sz="0" w:space="0" w:color="auto"/>
                                <w:right w:val="none" w:sz="0" w:space="0" w:color="auto"/>
                              </w:divBdr>
                              <w:divsChild>
                                <w:div w:id="480804288">
                                  <w:marLeft w:val="0"/>
                                  <w:marRight w:val="0"/>
                                  <w:marTop w:val="0"/>
                                  <w:marBottom w:val="0"/>
                                  <w:divBdr>
                                    <w:top w:val="none" w:sz="0" w:space="0" w:color="auto"/>
                                    <w:left w:val="none" w:sz="0" w:space="0" w:color="auto"/>
                                    <w:bottom w:val="none" w:sz="0" w:space="0" w:color="auto"/>
                                    <w:right w:val="none" w:sz="0" w:space="0" w:color="auto"/>
                                  </w:divBdr>
                                  <w:divsChild>
                                    <w:div w:id="966203031">
                                      <w:marLeft w:val="0"/>
                                      <w:marRight w:val="0"/>
                                      <w:marTop w:val="0"/>
                                      <w:marBottom w:val="0"/>
                                      <w:divBdr>
                                        <w:top w:val="none" w:sz="0" w:space="0" w:color="auto"/>
                                        <w:left w:val="none" w:sz="0" w:space="0" w:color="auto"/>
                                        <w:bottom w:val="none" w:sz="0" w:space="0" w:color="auto"/>
                                        <w:right w:val="none" w:sz="0" w:space="0" w:color="auto"/>
                                      </w:divBdr>
                                      <w:divsChild>
                                        <w:div w:id="19824093">
                                          <w:marLeft w:val="0"/>
                                          <w:marRight w:val="0"/>
                                          <w:marTop w:val="0"/>
                                          <w:marBottom w:val="0"/>
                                          <w:divBdr>
                                            <w:top w:val="none" w:sz="0" w:space="0" w:color="auto"/>
                                            <w:left w:val="none" w:sz="0" w:space="0" w:color="auto"/>
                                            <w:bottom w:val="none" w:sz="0" w:space="0" w:color="auto"/>
                                            <w:right w:val="none" w:sz="0" w:space="0" w:color="auto"/>
                                          </w:divBdr>
                                          <w:divsChild>
                                            <w:div w:id="355932762">
                                              <w:marLeft w:val="0"/>
                                              <w:marRight w:val="0"/>
                                              <w:marTop w:val="0"/>
                                              <w:marBottom w:val="0"/>
                                              <w:divBdr>
                                                <w:top w:val="none" w:sz="0" w:space="0" w:color="auto"/>
                                                <w:left w:val="none" w:sz="0" w:space="0" w:color="auto"/>
                                                <w:bottom w:val="none" w:sz="0" w:space="0" w:color="auto"/>
                                                <w:right w:val="none" w:sz="0" w:space="0" w:color="auto"/>
                                              </w:divBdr>
                                              <w:divsChild>
                                                <w:div w:id="465784721">
                                                  <w:marLeft w:val="0"/>
                                                  <w:marRight w:val="0"/>
                                                  <w:marTop w:val="0"/>
                                                  <w:marBottom w:val="0"/>
                                                  <w:divBdr>
                                                    <w:top w:val="none" w:sz="0" w:space="0" w:color="auto"/>
                                                    <w:left w:val="none" w:sz="0" w:space="0" w:color="auto"/>
                                                    <w:bottom w:val="none" w:sz="0" w:space="0" w:color="auto"/>
                                                    <w:right w:val="none" w:sz="0" w:space="0" w:color="auto"/>
                                                  </w:divBdr>
                                                  <w:divsChild>
                                                    <w:div w:id="536506286">
                                                      <w:marLeft w:val="0"/>
                                                      <w:marRight w:val="0"/>
                                                      <w:marTop w:val="0"/>
                                                      <w:marBottom w:val="0"/>
                                                      <w:divBdr>
                                                        <w:top w:val="none" w:sz="0" w:space="0" w:color="auto"/>
                                                        <w:left w:val="none" w:sz="0" w:space="0" w:color="auto"/>
                                                        <w:bottom w:val="none" w:sz="0" w:space="0" w:color="auto"/>
                                                        <w:right w:val="none" w:sz="0" w:space="0" w:color="auto"/>
                                                      </w:divBdr>
                                                      <w:divsChild>
                                                        <w:div w:id="10708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6675482">
      <w:bodyDiv w:val="1"/>
      <w:marLeft w:val="0"/>
      <w:marRight w:val="0"/>
      <w:marTop w:val="0"/>
      <w:marBottom w:val="0"/>
      <w:divBdr>
        <w:top w:val="none" w:sz="0" w:space="0" w:color="auto"/>
        <w:left w:val="none" w:sz="0" w:space="0" w:color="auto"/>
        <w:bottom w:val="none" w:sz="0" w:space="0" w:color="auto"/>
        <w:right w:val="none" w:sz="0" w:space="0" w:color="auto"/>
      </w:divBdr>
    </w:div>
    <w:div w:id="1197280621">
      <w:bodyDiv w:val="1"/>
      <w:marLeft w:val="0"/>
      <w:marRight w:val="0"/>
      <w:marTop w:val="0"/>
      <w:marBottom w:val="0"/>
      <w:divBdr>
        <w:top w:val="none" w:sz="0" w:space="0" w:color="auto"/>
        <w:left w:val="none" w:sz="0" w:space="0" w:color="auto"/>
        <w:bottom w:val="none" w:sz="0" w:space="0" w:color="auto"/>
        <w:right w:val="none" w:sz="0" w:space="0" w:color="auto"/>
      </w:divBdr>
    </w:div>
    <w:div w:id="1207334094">
      <w:bodyDiv w:val="1"/>
      <w:marLeft w:val="0"/>
      <w:marRight w:val="0"/>
      <w:marTop w:val="0"/>
      <w:marBottom w:val="0"/>
      <w:divBdr>
        <w:top w:val="none" w:sz="0" w:space="0" w:color="auto"/>
        <w:left w:val="none" w:sz="0" w:space="0" w:color="auto"/>
        <w:bottom w:val="none" w:sz="0" w:space="0" w:color="auto"/>
        <w:right w:val="none" w:sz="0" w:space="0" w:color="auto"/>
      </w:divBdr>
    </w:div>
    <w:div w:id="1216547127">
      <w:bodyDiv w:val="1"/>
      <w:marLeft w:val="0"/>
      <w:marRight w:val="0"/>
      <w:marTop w:val="0"/>
      <w:marBottom w:val="0"/>
      <w:divBdr>
        <w:top w:val="none" w:sz="0" w:space="0" w:color="auto"/>
        <w:left w:val="none" w:sz="0" w:space="0" w:color="auto"/>
        <w:bottom w:val="none" w:sz="0" w:space="0" w:color="auto"/>
        <w:right w:val="none" w:sz="0" w:space="0" w:color="auto"/>
      </w:divBdr>
      <w:divsChild>
        <w:div w:id="1328940117">
          <w:marLeft w:val="0"/>
          <w:marRight w:val="0"/>
          <w:marTop w:val="0"/>
          <w:marBottom w:val="0"/>
          <w:divBdr>
            <w:top w:val="none" w:sz="0" w:space="0" w:color="auto"/>
            <w:left w:val="none" w:sz="0" w:space="0" w:color="auto"/>
            <w:bottom w:val="none" w:sz="0" w:space="0" w:color="auto"/>
            <w:right w:val="none" w:sz="0" w:space="0" w:color="auto"/>
          </w:divBdr>
          <w:divsChild>
            <w:div w:id="1302884192">
              <w:marLeft w:val="0"/>
              <w:marRight w:val="0"/>
              <w:marTop w:val="0"/>
              <w:marBottom w:val="0"/>
              <w:divBdr>
                <w:top w:val="none" w:sz="0" w:space="0" w:color="auto"/>
                <w:left w:val="none" w:sz="0" w:space="0" w:color="auto"/>
                <w:bottom w:val="none" w:sz="0" w:space="0" w:color="auto"/>
                <w:right w:val="none" w:sz="0" w:space="0" w:color="auto"/>
              </w:divBdr>
            </w:div>
            <w:div w:id="155997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81521">
      <w:bodyDiv w:val="1"/>
      <w:marLeft w:val="0"/>
      <w:marRight w:val="0"/>
      <w:marTop w:val="0"/>
      <w:marBottom w:val="0"/>
      <w:divBdr>
        <w:top w:val="none" w:sz="0" w:space="0" w:color="auto"/>
        <w:left w:val="none" w:sz="0" w:space="0" w:color="auto"/>
        <w:bottom w:val="none" w:sz="0" w:space="0" w:color="auto"/>
        <w:right w:val="none" w:sz="0" w:space="0" w:color="auto"/>
      </w:divBdr>
    </w:div>
    <w:div w:id="1254241444">
      <w:bodyDiv w:val="1"/>
      <w:marLeft w:val="0"/>
      <w:marRight w:val="0"/>
      <w:marTop w:val="0"/>
      <w:marBottom w:val="0"/>
      <w:divBdr>
        <w:top w:val="none" w:sz="0" w:space="0" w:color="auto"/>
        <w:left w:val="none" w:sz="0" w:space="0" w:color="auto"/>
        <w:bottom w:val="none" w:sz="0" w:space="0" w:color="auto"/>
        <w:right w:val="none" w:sz="0" w:space="0" w:color="auto"/>
      </w:divBdr>
      <w:divsChild>
        <w:div w:id="146165186">
          <w:marLeft w:val="274"/>
          <w:marRight w:val="0"/>
          <w:marTop w:val="0"/>
          <w:marBottom w:val="0"/>
          <w:divBdr>
            <w:top w:val="none" w:sz="0" w:space="0" w:color="auto"/>
            <w:left w:val="none" w:sz="0" w:space="0" w:color="auto"/>
            <w:bottom w:val="none" w:sz="0" w:space="0" w:color="auto"/>
            <w:right w:val="none" w:sz="0" w:space="0" w:color="auto"/>
          </w:divBdr>
        </w:div>
        <w:div w:id="368724635">
          <w:marLeft w:val="274"/>
          <w:marRight w:val="0"/>
          <w:marTop w:val="0"/>
          <w:marBottom w:val="0"/>
          <w:divBdr>
            <w:top w:val="none" w:sz="0" w:space="0" w:color="auto"/>
            <w:left w:val="none" w:sz="0" w:space="0" w:color="auto"/>
            <w:bottom w:val="none" w:sz="0" w:space="0" w:color="auto"/>
            <w:right w:val="none" w:sz="0" w:space="0" w:color="auto"/>
          </w:divBdr>
        </w:div>
        <w:div w:id="1212889426">
          <w:marLeft w:val="274"/>
          <w:marRight w:val="0"/>
          <w:marTop w:val="0"/>
          <w:marBottom w:val="0"/>
          <w:divBdr>
            <w:top w:val="none" w:sz="0" w:space="0" w:color="auto"/>
            <w:left w:val="none" w:sz="0" w:space="0" w:color="auto"/>
            <w:bottom w:val="none" w:sz="0" w:space="0" w:color="auto"/>
            <w:right w:val="none" w:sz="0" w:space="0" w:color="auto"/>
          </w:divBdr>
        </w:div>
      </w:divsChild>
    </w:div>
    <w:div w:id="1271209124">
      <w:bodyDiv w:val="1"/>
      <w:marLeft w:val="0"/>
      <w:marRight w:val="0"/>
      <w:marTop w:val="0"/>
      <w:marBottom w:val="0"/>
      <w:divBdr>
        <w:top w:val="none" w:sz="0" w:space="0" w:color="auto"/>
        <w:left w:val="none" w:sz="0" w:space="0" w:color="auto"/>
        <w:bottom w:val="none" w:sz="0" w:space="0" w:color="auto"/>
        <w:right w:val="none" w:sz="0" w:space="0" w:color="auto"/>
      </w:divBdr>
    </w:div>
    <w:div w:id="1272783393">
      <w:bodyDiv w:val="1"/>
      <w:marLeft w:val="0"/>
      <w:marRight w:val="0"/>
      <w:marTop w:val="0"/>
      <w:marBottom w:val="0"/>
      <w:divBdr>
        <w:top w:val="none" w:sz="0" w:space="0" w:color="auto"/>
        <w:left w:val="none" w:sz="0" w:space="0" w:color="auto"/>
        <w:bottom w:val="none" w:sz="0" w:space="0" w:color="auto"/>
        <w:right w:val="none" w:sz="0" w:space="0" w:color="auto"/>
      </w:divBdr>
    </w:div>
    <w:div w:id="1276476298">
      <w:bodyDiv w:val="1"/>
      <w:marLeft w:val="0"/>
      <w:marRight w:val="0"/>
      <w:marTop w:val="0"/>
      <w:marBottom w:val="0"/>
      <w:divBdr>
        <w:top w:val="none" w:sz="0" w:space="0" w:color="auto"/>
        <w:left w:val="none" w:sz="0" w:space="0" w:color="auto"/>
        <w:bottom w:val="none" w:sz="0" w:space="0" w:color="auto"/>
        <w:right w:val="none" w:sz="0" w:space="0" w:color="auto"/>
      </w:divBdr>
    </w:div>
    <w:div w:id="1278635119">
      <w:bodyDiv w:val="1"/>
      <w:marLeft w:val="0"/>
      <w:marRight w:val="0"/>
      <w:marTop w:val="0"/>
      <w:marBottom w:val="0"/>
      <w:divBdr>
        <w:top w:val="none" w:sz="0" w:space="0" w:color="auto"/>
        <w:left w:val="none" w:sz="0" w:space="0" w:color="auto"/>
        <w:bottom w:val="none" w:sz="0" w:space="0" w:color="auto"/>
        <w:right w:val="none" w:sz="0" w:space="0" w:color="auto"/>
      </w:divBdr>
    </w:div>
    <w:div w:id="1283029222">
      <w:bodyDiv w:val="1"/>
      <w:marLeft w:val="0"/>
      <w:marRight w:val="0"/>
      <w:marTop w:val="0"/>
      <w:marBottom w:val="0"/>
      <w:divBdr>
        <w:top w:val="none" w:sz="0" w:space="0" w:color="auto"/>
        <w:left w:val="none" w:sz="0" w:space="0" w:color="auto"/>
        <w:bottom w:val="none" w:sz="0" w:space="0" w:color="auto"/>
        <w:right w:val="none" w:sz="0" w:space="0" w:color="auto"/>
      </w:divBdr>
      <w:divsChild>
        <w:div w:id="1933733424">
          <w:marLeft w:val="0"/>
          <w:marRight w:val="0"/>
          <w:marTop w:val="0"/>
          <w:marBottom w:val="0"/>
          <w:divBdr>
            <w:top w:val="none" w:sz="0" w:space="0" w:color="auto"/>
            <w:left w:val="none" w:sz="0" w:space="0" w:color="auto"/>
            <w:bottom w:val="none" w:sz="0" w:space="0" w:color="auto"/>
            <w:right w:val="none" w:sz="0" w:space="0" w:color="auto"/>
          </w:divBdr>
          <w:divsChild>
            <w:div w:id="510725140">
              <w:marLeft w:val="0"/>
              <w:marRight w:val="0"/>
              <w:marTop w:val="600"/>
              <w:marBottom w:val="600"/>
              <w:divBdr>
                <w:top w:val="none" w:sz="0" w:space="0" w:color="auto"/>
                <w:left w:val="none" w:sz="0" w:space="0" w:color="auto"/>
                <w:bottom w:val="none" w:sz="0" w:space="0" w:color="auto"/>
                <w:right w:val="none" w:sz="0" w:space="0" w:color="auto"/>
              </w:divBdr>
              <w:divsChild>
                <w:div w:id="1362241756">
                  <w:marLeft w:val="0"/>
                  <w:marRight w:val="0"/>
                  <w:marTop w:val="0"/>
                  <w:marBottom w:val="0"/>
                  <w:divBdr>
                    <w:top w:val="none" w:sz="0" w:space="0" w:color="auto"/>
                    <w:left w:val="none" w:sz="0" w:space="0" w:color="auto"/>
                    <w:bottom w:val="none" w:sz="0" w:space="0" w:color="auto"/>
                    <w:right w:val="none" w:sz="0" w:space="0" w:color="auto"/>
                  </w:divBdr>
                  <w:divsChild>
                    <w:div w:id="313264114">
                      <w:marLeft w:val="0"/>
                      <w:marRight w:val="0"/>
                      <w:marTop w:val="0"/>
                      <w:marBottom w:val="0"/>
                      <w:divBdr>
                        <w:top w:val="none" w:sz="0" w:space="0" w:color="auto"/>
                        <w:left w:val="none" w:sz="0" w:space="0" w:color="auto"/>
                        <w:bottom w:val="none" w:sz="0" w:space="0" w:color="auto"/>
                        <w:right w:val="none" w:sz="0" w:space="0" w:color="auto"/>
                      </w:divBdr>
                      <w:divsChild>
                        <w:div w:id="66847448">
                          <w:marLeft w:val="0"/>
                          <w:marRight w:val="0"/>
                          <w:marTop w:val="0"/>
                          <w:marBottom w:val="0"/>
                          <w:divBdr>
                            <w:top w:val="none" w:sz="0" w:space="0" w:color="auto"/>
                            <w:left w:val="none" w:sz="0" w:space="0" w:color="auto"/>
                            <w:bottom w:val="none" w:sz="0" w:space="0" w:color="auto"/>
                            <w:right w:val="none" w:sz="0" w:space="0" w:color="auto"/>
                          </w:divBdr>
                          <w:divsChild>
                            <w:div w:id="1027483898">
                              <w:marLeft w:val="0"/>
                              <w:marRight w:val="0"/>
                              <w:marTop w:val="0"/>
                              <w:marBottom w:val="0"/>
                              <w:divBdr>
                                <w:top w:val="none" w:sz="0" w:space="0" w:color="auto"/>
                                <w:left w:val="none" w:sz="0" w:space="0" w:color="auto"/>
                                <w:bottom w:val="none" w:sz="0" w:space="0" w:color="auto"/>
                                <w:right w:val="none" w:sz="0" w:space="0" w:color="auto"/>
                              </w:divBdr>
                              <w:divsChild>
                                <w:div w:id="380790996">
                                  <w:marLeft w:val="0"/>
                                  <w:marRight w:val="0"/>
                                  <w:marTop w:val="0"/>
                                  <w:marBottom w:val="0"/>
                                  <w:divBdr>
                                    <w:top w:val="none" w:sz="0" w:space="0" w:color="auto"/>
                                    <w:left w:val="none" w:sz="0" w:space="0" w:color="auto"/>
                                    <w:bottom w:val="none" w:sz="0" w:space="0" w:color="auto"/>
                                    <w:right w:val="none" w:sz="0" w:space="0" w:color="auto"/>
                                  </w:divBdr>
                                  <w:divsChild>
                                    <w:div w:id="1632445149">
                                      <w:marLeft w:val="0"/>
                                      <w:marRight w:val="0"/>
                                      <w:marTop w:val="0"/>
                                      <w:marBottom w:val="240"/>
                                      <w:divBdr>
                                        <w:top w:val="none" w:sz="0" w:space="0" w:color="auto"/>
                                        <w:left w:val="none" w:sz="0" w:space="0" w:color="auto"/>
                                        <w:bottom w:val="none" w:sz="0" w:space="0" w:color="auto"/>
                                        <w:right w:val="none" w:sz="0" w:space="0" w:color="auto"/>
                                      </w:divBdr>
                                      <w:divsChild>
                                        <w:div w:id="147868620">
                                          <w:marLeft w:val="0"/>
                                          <w:marRight w:val="0"/>
                                          <w:marTop w:val="0"/>
                                          <w:marBottom w:val="0"/>
                                          <w:divBdr>
                                            <w:top w:val="none" w:sz="0" w:space="0" w:color="auto"/>
                                            <w:left w:val="none" w:sz="0" w:space="0" w:color="auto"/>
                                            <w:bottom w:val="none" w:sz="0" w:space="0" w:color="auto"/>
                                            <w:right w:val="none" w:sz="0" w:space="0" w:color="auto"/>
                                          </w:divBdr>
                                          <w:divsChild>
                                            <w:div w:id="1530870505">
                                              <w:marLeft w:val="0"/>
                                              <w:marRight w:val="0"/>
                                              <w:marTop w:val="0"/>
                                              <w:marBottom w:val="0"/>
                                              <w:divBdr>
                                                <w:top w:val="none" w:sz="0" w:space="0" w:color="auto"/>
                                                <w:left w:val="none" w:sz="0" w:space="0" w:color="auto"/>
                                                <w:bottom w:val="none" w:sz="0" w:space="0" w:color="auto"/>
                                                <w:right w:val="none" w:sz="0" w:space="0" w:color="auto"/>
                                              </w:divBdr>
                                              <w:divsChild>
                                                <w:div w:id="1375160130">
                                                  <w:marLeft w:val="0"/>
                                                  <w:marRight w:val="0"/>
                                                  <w:marTop w:val="0"/>
                                                  <w:marBottom w:val="0"/>
                                                  <w:divBdr>
                                                    <w:top w:val="none" w:sz="0" w:space="0" w:color="auto"/>
                                                    <w:left w:val="none" w:sz="0" w:space="0" w:color="auto"/>
                                                    <w:bottom w:val="none" w:sz="0" w:space="0" w:color="auto"/>
                                                    <w:right w:val="none" w:sz="0" w:space="0" w:color="auto"/>
                                                  </w:divBdr>
                                                  <w:divsChild>
                                                    <w:div w:id="67465446">
                                                      <w:marLeft w:val="0"/>
                                                      <w:marRight w:val="0"/>
                                                      <w:marTop w:val="0"/>
                                                      <w:marBottom w:val="240"/>
                                                      <w:divBdr>
                                                        <w:top w:val="none" w:sz="0" w:space="0" w:color="auto"/>
                                                        <w:left w:val="none" w:sz="0" w:space="0" w:color="auto"/>
                                                        <w:bottom w:val="none" w:sz="0" w:space="0" w:color="auto"/>
                                                        <w:right w:val="none" w:sz="0" w:space="0" w:color="auto"/>
                                                      </w:divBdr>
                                                      <w:divsChild>
                                                        <w:div w:id="1198079637">
                                                          <w:marLeft w:val="0"/>
                                                          <w:marRight w:val="0"/>
                                                          <w:marTop w:val="0"/>
                                                          <w:marBottom w:val="0"/>
                                                          <w:divBdr>
                                                            <w:top w:val="none" w:sz="0" w:space="0" w:color="auto"/>
                                                            <w:left w:val="none" w:sz="0" w:space="0" w:color="auto"/>
                                                            <w:bottom w:val="none" w:sz="0" w:space="0" w:color="auto"/>
                                                            <w:right w:val="none" w:sz="0" w:space="0" w:color="auto"/>
                                                          </w:divBdr>
                                                          <w:divsChild>
                                                            <w:div w:id="11625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1547264">
      <w:bodyDiv w:val="1"/>
      <w:marLeft w:val="0"/>
      <w:marRight w:val="0"/>
      <w:marTop w:val="0"/>
      <w:marBottom w:val="0"/>
      <w:divBdr>
        <w:top w:val="none" w:sz="0" w:space="0" w:color="auto"/>
        <w:left w:val="none" w:sz="0" w:space="0" w:color="auto"/>
        <w:bottom w:val="none" w:sz="0" w:space="0" w:color="auto"/>
        <w:right w:val="none" w:sz="0" w:space="0" w:color="auto"/>
      </w:divBdr>
    </w:div>
    <w:div w:id="1297683309">
      <w:bodyDiv w:val="1"/>
      <w:marLeft w:val="0"/>
      <w:marRight w:val="0"/>
      <w:marTop w:val="0"/>
      <w:marBottom w:val="0"/>
      <w:divBdr>
        <w:top w:val="none" w:sz="0" w:space="0" w:color="auto"/>
        <w:left w:val="none" w:sz="0" w:space="0" w:color="auto"/>
        <w:bottom w:val="none" w:sz="0" w:space="0" w:color="auto"/>
        <w:right w:val="none" w:sz="0" w:space="0" w:color="auto"/>
      </w:divBdr>
    </w:div>
    <w:div w:id="1298216728">
      <w:bodyDiv w:val="1"/>
      <w:marLeft w:val="0"/>
      <w:marRight w:val="0"/>
      <w:marTop w:val="0"/>
      <w:marBottom w:val="0"/>
      <w:divBdr>
        <w:top w:val="none" w:sz="0" w:space="0" w:color="auto"/>
        <w:left w:val="none" w:sz="0" w:space="0" w:color="auto"/>
        <w:bottom w:val="none" w:sz="0" w:space="0" w:color="auto"/>
        <w:right w:val="none" w:sz="0" w:space="0" w:color="auto"/>
      </w:divBdr>
    </w:div>
    <w:div w:id="1303921948">
      <w:bodyDiv w:val="1"/>
      <w:marLeft w:val="0"/>
      <w:marRight w:val="0"/>
      <w:marTop w:val="0"/>
      <w:marBottom w:val="0"/>
      <w:divBdr>
        <w:top w:val="none" w:sz="0" w:space="0" w:color="auto"/>
        <w:left w:val="none" w:sz="0" w:space="0" w:color="auto"/>
        <w:bottom w:val="none" w:sz="0" w:space="0" w:color="auto"/>
        <w:right w:val="none" w:sz="0" w:space="0" w:color="auto"/>
      </w:divBdr>
    </w:div>
    <w:div w:id="1306737693">
      <w:bodyDiv w:val="1"/>
      <w:marLeft w:val="0"/>
      <w:marRight w:val="0"/>
      <w:marTop w:val="0"/>
      <w:marBottom w:val="0"/>
      <w:divBdr>
        <w:top w:val="none" w:sz="0" w:space="0" w:color="auto"/>
        <w:left w:val="none" w:sz="0" w:space="0" w:color="auto"/>
        <w:bottom w:val="none" w:sz="0" w:space="0" w:color="auto"/>
        <w:right w:val="none" w:sz="0" w:space="0" w:color="auto"/>
      </w:divBdr>
    </w:div>
    <w:div w:id="1321890540">
      <w:bodyDiv w:val="1"/>
      <w:marLeft w:val="0"/>
      <w:marRight w:val="0"/>
      <w:marTop w:val="0"/>
      <w:marBottom w:val="0"/>
      <w:divBdr>
        <w:top w:val="none" w:sz="0" w:space="0" w:color="auto"/>
        <w:left w:val="none" w:sz="0" w:space="0" w:color="auto"/>
        <w:bottom w:val="none" w:sz="0" w:space="0" w:color="auto"/>
        <w:right w:val="none" w:sz="0" w:space="0" w:color="auto"/>
      </w:divBdr>
    </w:div>
    <w:div w:id="1372340002">
      <w:bodyDiv w:val="1"/>
      <w:marLeft w:val="0"/>
      <w:marRight w:val="0"/>
      <w:marTop w:val="0"/>
      <w:marBottom w:val="0"/>
      <w:divBdr>
        <w:top w:val="none" w:sz="0" w:space="0" w:color="auto"/>
        <w:left w:val="none" w:sz="0" w:space="0" w:color="auto"/>
        <w:bottom w:val="none" w:sz="0" w:space="0" w:color="auto"/>
        <w:right w:val="none" w:sz="0" w:space="0" w:color="auto"/>
      </w:divBdr>
    </w:div>
    <w:div w:id="1375278561">
      <w:bodyDiv w:val="1"/>
      <w:marLeft w:val="0"/>
      <w:marRight w:val="0"/>
      <w:marTop w:val="0"/>
      <w:marBottom w:val="0"/>
      <w:divBdr>
        <w:top w:val="none" w:sz="0" w:space="0" w:color="auto"/>
        <w:left w:val="none" w:sz="0" w:space="0" w:color="auto"/>
        <w:bottom w:val="none" w:sz="0" w:space="0" w:color="auto"/>
        <w:right w:val="none" w:sz="0" w:space="0" w:color="auto"/>
      </w:divBdr>
    </w:div>
    <w:div w:id="1384477690">
      <w:bodyDiv w:val="1"/>
      <w:marLeft w:val="0"/>
      <w:marRight w:val="0"/>
      <w:marTop w:val="0"/>
      <w:marBottom w:val="0"/>
      <w:divBdr>
        <w:top w:val="none" w:sz="0" w:space="0" w:color="auto"/>
        <w:left w:val="none" w:sz="0" w:space="0" w:color="auto"/>
        <w:bottom w:val="none" w:sz="0" w:space="0" w:color="auto"/>
        <w:right w:val="none" w:sz="0" w:space="0" w:color="auto"/>
      </w:divBdr>
    </w:div>
    <w:div w:id="1385829681">
      <w:bodyDiv w:val="1"/>
      <w:marLeft w:val="0"/>
      <w:marRight w:val="0"/>
      <w:marTop w:val="0"/>
      <w:marBottom w:val="0"/>
      <w:divBdr>
        <w:top w:val="none" w:sz="0" w:space="0" w:color="auto"/>
        <w:left w:val="none" w:sz="0" w:space="0" w:color="auto"/>
        <w:bottom w:val="none" w:sz="0" w:space="0" w:color="auto"/>
        <w:right w:val="none" w:sz="0" w:space="0" w:color="auto"/>
      </w:divBdr>
    </w:div>
    <w:div w:id="1395935462">
      <w:bodyDiv w:val="1"/>
      <w:marLeft w:val="0"/>
      <w:marRight w:val="0"/>
      <w:marTop w:val="0"/>
      <w:marBottom w:val="0"/>
      <w:divBdr>
        <w:top w:val="none" w:sz="0" w:space="0" w:color="auto"/>
        <w:left w:val="none" w:sz="0" w:space="0" w:color="auto"/>
        <w:bottom w:val="none" w:sz="0" w:space="0" w:color="auto"/>
        <w:right w:val="none" w:sz="0" w:space="0" w:color="auto"/>
      </w:divBdr>
    </w:div>
    <w:div w:id="1399553160">
      <w:bodyDiv w:val="1"/>
      <w:marLeft w:val="0"/>
      <w:marRight w:val="0"/>
      <w:marTop w:val="0"/>
      <w:marBottom w:val="0"/>
      <w:divBdr>
        <w:top w:val="none" w:sz="0" w:space="0" w:color="auto"/>
        <w:left w:val="none" w:sz="0" w:space="0" w:color="auto"/>
        <w:bottom w:val="none" w:sz="0" w:space="0" w:color="auto"/>
        <w:right w:val="none" w:sz="0" w:space="0" w:color="auto"/>
      </w:divBdr>
    </w:div>
    <w:div w:id="1415200228">
      <w:bodyDiv w:val="1"/>
      <w:marLeft w:val="0"/>
      <w:marRight w:val="0"/>
      <w:marTop w:val="0"/>
      <w:marBottom w:val="0"/>
      <w:divBdr>
        <w:top w:val="none" w:sz="0" w:space="0" w:color="auto"/>
        <w:left w:val="none" w:sz="0" w:space="0" w:color="auto"/>
        <w:bottom w:val="none" w:sz="0" w:space="0" w:color="auto"/>
        <w:right w:val="none" w:sz="0" w:space="0" w:color="auto"/>
      </w:divBdr>
    </w:div>
    <w:div w:id="1420909209">
      <w:bodyDiv w:val="1"/>
      <w:marLeft w:val="0"/>
      <w:marRight w:val="0"/>
      <w:marTop w:val="0"/>
      <w:marBottom w:val="0"/>
      <w:divBdr>
        <w:top w:val="none" w:sz="0" w:space="0" w:color="auto"/>
        <w:left w:val="none" w:sz="0" w:space="0" w:color="auto"/>
        <w:bottom w:val="none" w:sz="0" w:space="0" w:color="auto"/>
        <w:right w:val="none" w:sz="0" w:space="0" w:color="auto"/>
      </w:divBdr>
    </w:div>
    <w:div w:id="1425607665">
      <w:bodyDiv w:val="1"/>
      <w:marLeft w:val="0"/>
      <w:marRight w:val="0"/>
      <w:marTop w:val="0"/>
      <w:marBottom w:val="0"/>
      <w:divBdr>
        <w:top w:val="none" w:sz="0" w:space="0" w:color="auto"/>
        <w:left w:val="none" w:sz="0" w:space="0" w:color="auto"/>
        <w:bottom w:val="none" w:sz="0" w:space="0" w:color="auto"/>
        <w:right w:val="none" w:sz="0" w:space="0" w:color="auto"/>
      </w:divBdr>
    </w:div>
    <w:div w:id="1434478234">
      <w:bodyDiv w:val="1"/>
      <w:marLeft w:val="0"/>
      <w:marRight w:val="0"/>
      <w:marTop w:val="0"/>
      <w:marBottom w:val="0"/>
      <w:divBdr>
        <w:top w:val="none" w:sz="0" w:space="0" w:color="auto"/>
        <w:left w:val="none" w:sz="0" w:space="0" w:color="auto"/>
        <w:bottom w:val="none" w:sz="0" w:space="0" w:color="auto"/>
        <w:right w:val="none" w:sz="0" w:space="0" w:color="auto"/>
      </w:divBdr>
    </w:div>
    <w:div w:id="1438594878">
      <w:bodyDiv w:val="1"/>
      <w:marLeft w:val="0"/>
      <w:marRight w:val="0"/>
      <w:marTop w:val="0"/>
      <w:marBottom w:val="0"/>
      <w:divBdr>
        <w:top w:val="none" w:sz="0" w:space="0" w:color="auto"/>
        <w:left w:val="none" w:sz="0" w:space="0" w:color="auto"/>
        <w:bottom w:val="none" w:sz="0" w:space="0" w:color="auto"/>
        <w:right w:val="none" w:sz="0" w:space="0" w:color="auto"/>
      </w:divBdr>
    </w:div>
    <w:div w:id="1441728128">
      <w:bodyDiv w:val="1"/>
      <w:marLeft w:val="0"/>
      <w:marRight w:val="0"/>
      <w:marTop w:val="0"/>
      <w:marBottom w:val="0"/>
      <w:divBdr>
        <w:top w:val="none" w:sz="0" w:space="0" w:color="auto"/>
        <w:left w:val="none" w:sz="0" w:space="0" w:color="auto"/>
        <w:bottom w:val="none" w:sz="0" w:space="0" w:color="auto"/>
        <w:right w:val="none" w:sz="0" w:space="0" w:color="auto"/>
      </w:divBdr>
    </w:div>
    <w:div w:id="1442608320">
      <w:bodyDiv w:val="1"/>
      <w:marLeft w:val="0"/>
      <w:marRight w:val="0"/>
      <w:marTop w:val="0"/>
      <w:marBottom w:val="0"/>
      <w:divBdr>
        <w:top w:val="none" w:sz="0" w:space="0" w:color="auto"/>
        <w:left w:val="none" w:sz="0" w:space="0" w:color="auto"/>
        <w:bottom w:val="none" w:sz="0" w:space="0" w:color="auto"/>
        <w:right w:val="none" w:sz="0" w:space="0" w:color="auto"/>
      </w:divBdr>
    </w:div>
    <w:div w:id="1447116194">
      <w:bodyDiv w:val="1"/>
      <w:marLeft w:val="0"/>
      <w:marRight w:val="0"/>
      <w:marTop w:val="0"/>
      <w:marBottom w:val="0"/>
      <w:divBdr>
        <w:top w:val="none" w:sz="0" w:space="0" w:color="auto"/>
        <w:left w:val="none" w:sz="0" w:space="0" w:color="auto"/>
        <w:bottom w:val="none" w:sz="0" w:space="0" w:color="auto"/>
        <w:right w:val="none" w:sz="0" w:space="0" w:color="auto"/>
      </w:divBdr>
    </w:div>
    <w:div w:id="1449399480">
      <w:bodyDiv w:val="1"/>
      <w:marLeft w:val="0"/>
      <w:marRight w:val="0"/>
      <w:marTop w:val="0"/>
      <w:marBottom w:val="0"/>
      <w:divBdr>
        <w:top w:val="none" w:sz="0" w:space="0" w:color="auto"/>
        <w:left w:val="none" w:sz="0" w:space="0" w:color="auto"/>
        <w:bottom w:val="none" w:sz="0" w:space="0" w:color="auto"/>
        <w:right w:val="none" w:sz="0" w:space="0" w:color="auto"/>
      </w:divBdr>
    </w:div>
    <w:div w:id="1454132683">
      <w:bodyDiv w:val="1"/>
      <w:marLeft w:val="0"/>
      <w:marRight w:val="0"/>
      <w:marTop w:val="0"/>
      <w:marBottom w:val="0"/>
      <w:divBdr>
        <w:top w:val="none" w:sz="0" w:space="0" w:color="auto"/>
        <w:left w:val="none" w:sz="0" w:space="0" w:color="auto"/>
        <w:bottom w:val="none" w:sz="0" w:space="0" w:color="auto"/>
        <w:right w:val="none" w:sz="0" w:space="0" w:color="auto"/>
      </w:divBdr>
    </w:div>
    <w:div w:id="1488127238">
      <w:bodyDiv w:val="1"/>
      <w:marLeft w:val="0"/>
      <w:marRight w:val="0"/>
      <w:marTop w:val="0"/>
      <w:marBottom w:val="0"/>
      <w:divBdr>
        <w:top w:val="none" w:sz="0" w:space="0" w:color="auto"/>
        <w:left w:val="none" w:sz="0" w:space="0" w:color="auto"/>
        <w:bottom w:val="none" w:sz="0" w:space="0" w:color="auto"/>
        <w:right w:val="none" w:sz="0" w:space="0" w:color="auto"/>
      </w:divBdr>
    </w:div>
    <w:div w:id="1489707202">
      <w:bodyDiv w:val="1"/>
      <w:marLeft w:val="0"/>
      <w:marRight w:val="0"/>
      <w:marTop w:val="0"/>
      <w:marBottom w:val="0"/>
      <w:divBdr>
        <w:top w:val="none" w:sz="0" w:space="0" w:color="auto"/>
        <w:left w:val="none" w:sz="0" w:space="0" w:color="auto"/>
        <w:bottom w:val="none" w:sz="0" w:space="0" w:color="auto"/>
        <w:right w:val="none" w:sz="0" w:space="0" w:color="auto"/>
      </w:divBdr>
    </w:div>
    <w:div w:id="1491479350">
      <w:bodyDiv w:val="1"/>
      <w:marLeft w:val="0"/>
      <w:marRight w:val="0"/>
      <w:marTop w:val="0"/>
      <w:marBottom w:val="0"/>
      <w:divBdr>
        <w:top w:val="none" w:sz="0" w:space="0" w:color="auto"/>
        <w:left w:val="none" w:sz="0" w:space="0" w:color="auto"/>
        <w:bottom w:val="none" w:sz="0" w:space="0" w:color="auto"/>
        <w:right w:val="none" w:sz="0" w:space="0" w:color="auto"/>
      </w:divBdr>
    </w:div>
    <w:div w:id="1497575900">
      <w:bodyDiv w:val="1"/>
      <w:marLeft w:val="0"/>
      <w:marRight w:val="0"/>
      <w:marTop w:val="0"/>
      <w:marBottom w:val="0"/>
      <w:divBdr>
        <w:top w:val="none" w:sz="0" w:space="0" w:color="auto"/>
        <w:left w:val="none" w:sz="0" w:space="0" w:color="auto"/>
        <w:bottom w:val="none" w:sz="0" w:space="0" w:color="auto"/>
        <w:right w:val="none" w:sz="0" w:space="0" w:color="auto"/>
      </w:divBdr>
    </w:div>
    <w:div w:id="1501309307">
      <w:bodyDiv w:val="1"/>
      <w:marLeft w:val="0"/>
      <w:marRight w:val="0"/>
      <w:marTop w:val="0"/>
      <w:marBottom w:val="0"/>
      <w:divBdr>
        <w:top w:val="none" w:sz="0" w:space="0" w:color="auto"/>
        <w:left w:val="none" w:sz="0" w:space="0" w:color="auto"/>
        <w:bottom w:val="none" w:sz="0" w:space="0" w:color="auto"/>
        <w:right w:val="none" w:sz="0" w:space="0" w:color="auto"/>
      </w:divBdr>
    </w:div>
    <w:div w:id="1509441771">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25285162">
      <w:bodyDiv w:val="1"/>
      <w:marLeft w:val="0"/>
      <w:marRight w:val="0"/>
      <w:marTop w:val="0"/>
      <w:marBottom w:val="0"/>
      <w:divBdr>
        <w:top w:val="none" w:sz="0" w:space="0" w:color="auto"/>
        <w:left w:val="none" w:sz="0" w:space="0" w:color="auto"/>
        <w:bottom w:val="none" w:sz="0" w:space="0" w:color="auto"/>
        <w:right w:val="none" w:sz="0" w:space="0" w:color="auto"/>
      </w:divBdr>
    </w:div>
    <w:div w:id="1532065168">
      <w:bodyDiv w:val="1"/>
      <w:marLeft w:val="0"/>
      <w:marRight w:val="0"/>
      <w:marTop w:val="0"/>
      <w:marBottom w:val="0"/>
      <w:divBdr>
        <w:top w:val="none" w:sz="0" w:space="0" w:color="auto"/>
        <w:left w:val="none" w:sz="0" w:space="0" w:color="auto"/>
        <w:bottom w:val="none" w:sz="0" w:space="0" w:color="auto"/>
        <w:right w:val="none" w:sz="0" w:space="0" w:color="auto"/>
      </w:divBdr>
    </w:div>
    <w:div w:id="1539851419">
      <w:bodyDiv w:val="1"/>
      <w:marLeft w:val="0"/>
      <w:marRight w:val="0"/>
      <w:marTop w:val="0"/>
      <w:marBottom w:val="0"/>
      <w:divBdr>
        <w:top w:val="none" w:sz="0" w:space="0" w:color="auto"/>
        <w:left w:val="none" w:sz="0" w:space="0" w:color="auto"/>
        <w:bottom w:val="none" w:sz="0" w:space="0" w:color="auto"/>
        <w:right w:val="none" w:sz="0" w:space="0" w:color="auto"/>
      </w:divBdr>
    </w:div>
    <w:div w:id="1551183968">
      <w:bodyDiv w:val="1"/>
      <w:marLeft w:val="0"/>
      <w:marRight w:val="0"/>
      <w:marTop w:val="0"/>
      <w:marBottom w:val="0"/>
      <w:divBdr>
        <w:top w:val="none" w:sz="0" w:space="0" w:color="auto"/>
        <w:left w:val="none" w:sz="0" w:space="0" w:color="auto"/>
        <w:bottom w:val="none" w:sz="0" w:space="0" w:color="auto"/>
        <w:right w:val="none" w:sz="0" w:space="0" w:color="auto"/>
      </w:divBdr>
    </w:div>
    <w:div w:id="1556815809">
      <w:bodyDiv w:val="1"/>
      <w:marLeft w:val="0"/>
      <w:marRight w:val="0"/>
      <w:marTop w:val="0"/>
      <w:marBottom w:val="0"/>
      <w:divBdr>
        <w:top w:val="none" w:sz="0" w:space="0" w:color="auto"/>
        <w:left w:val="none" w:sz="0" w:space="0" w:color="auto"/>
        <w:bottom w:val="none" w:sz="0" w:space="0" w:color="auto"/>
        <w:right w:val="none" w:sz="0" w:space="0" w:color="auto"/>
      </w:divBdr>
    </w:div>
    <w:div w:id="1566338040">
      <w:bodyDiv w:val="1"/>
      <w:marLeft w:val="0"/>
      <w:marRight w:val="0"/>
      <w:marTop w:val="0"/>
      <w:marBottom w:val="0"/>
      <w:divBdr>
        <w:top w:val="none" w:sz="0" w:space="0" w:color="auto"/>
        <w:left w:val="none" w:sz="0" w:space="0" w:color="auto"/>
        <w:bottom w:val="none" w:sz="0" w:space="0" w:color="auto"/>
        <w:right w:val="none" w:sz="0" w:space="0" w:color="auto"/>
      </w:divBdr>
    </w:div>
    <w:div w:id="1575319321">
      <w:bodyDiv w:val="1"/>
      <w:marLeft w:val="0"/>
      <w:marRight w:val="0"/>
      <w:marTop w:val="0"/>
      <w:marBottom w:val="0"/>
      <w:divBdr>
        <w:top w:val="none" w:sz="0" w:space="0" w:color="auto"/>
        <w:left w:val="none" w:sz="0" w:space="0" w:color="auto"/>
        <w:bottom w:val="none" w:sz="0" w:space="0" w:color="auto"/>
        <w:right w:val="none" w:sz="0" w:space="0" w:color="auto"/>
      </w:divBdr>
    </w:div>
    <w:div w:id="1581014990">
      <w:bodyDiv w:val="1"/>
      <w:marLeft w:val="0"/>
      <w:marRight w:val="0"/>
      <w:marTop w:val="0"/>
      <w:marBottom w:val="0"/>
      <w:divBdr>
        <w:top w:val="none" w:sz="0" w:space="0" w:color="auto"/>
        <w:left w:val="none" w:sz="0" w:space="0" w:color="auto"/>
        <w:bottom w:val="none" w:sz="0" w:space="0" w:color="auto"/>
        <w:right w:val="none" w:sz="0" w:space="0" w:color="auto"/>
      </w:divBdr>
    </w:div>
    <w:div w:id="1588811408">
      <w:bodyDiv w:val="1"/>
      <w:marLeft w:val="0"/>
      <w:marRight w:val="0"/>
      <w:marTop w:val="0"/>
      <w:marBottom w:val="0"/>
      <w:divBdr>
        <w:top w:val="none" w:sz="0" w:space="0" w:color="auto"/>
        <w:left w:val="none" w:sz="0" w:space="0" w:color="auto"/>
        <w:bottom w:val="none" w:sz="0" w:space="0" w:color="auto"/>
        <w:right w:val="none" w:sz="0" w:space="0" w:color="auto"/>
      </w:divBdr>
    </w:div>
    <w:div w:id="1589729508">
      <w:bodyDiv w:val="1"/>
      <w:marLeft w:val="0"/>
      <w:marRight w:val="0"/>
      <w:marTop w:val="0"/>
      <w:marBottom w:val="0"/>
      <w:divBdr>
        <w:top w:val="none" w:sz="0" w:space="0" w:color="auto"/>
        <w:left w:val="none" w:sz="0" w:space="0" w:color="auto"/>
        <w:bottom w:val="none" w:sz="0" w:space="0" w:color="auto"/>
        <w:right w:val="none" w:sz="0" w:space="0" w:color="auto"/>
      </w:divBdr>
    </w:div>
    <w:div w:id="1596599058">
      <w:bodyDiv w:val="1"/>
      <w:marLeft w:val="0"/>
      <w:marRight w:val="0"/>
      <w:marTop w:val="0"/>
      <w:marBottom w:val="0"/>
      <w:divBdr>
        <w:top w:val="none" w:sz="0" w:space="0" w:color="auto"/>
        <w:left w:val="none" w:sz="0" w:space="0" w:color="auto"/>
        <w:bottom w:val="none" w:sz="0" w:space="0" w:color="auto"/>
        <w:right w:val="none" w:sz="0" w:space="0" w:color="auto"/>
      </w:divBdr>
    </w:div>
    <w:div w:id="1616643932">
      <w:bodyDiv w:val="1"/>
      <w:marLeft w:val="0"/>
      <w:marRight w:val="0"/>
      <w:marTop w:val="0"/>
      <w:marBottom w:val="0"/>
      <w:divBdr>
        <w:top w:val="none" w:sz="0" w:space="0" w:color="auto"/>
        <w:left w:val="none" w:sz="0" w:space="0" w:color="auto"/>
        <w:bottom w:val="none" w:sz="0" w:space="0" w:color="auto"/>
        <w:right w:val="none" w:sz="0" w:space="0" w:color="auto"/>
      </w:divBdr>
    </w:div>
    <w:div w:id="1617831196">
      <w:bodyDiv w:val="1"/>
      <w:marLeft w:val="0"/>
      <w:marRight w:val="0"/>
      <w:marTop w:val="0"/>
      <w:marBottom w:val="0"/>
      <w:divBdr>
        <w:top w:val="none" w:sz="0" w:space="0" w:color="auto"/>
        <w:left w:val="none" w:sz="0" w:space="0" w:color="auto"/>
        <w:bottom w:val="none" w:sz="0" w:space="0" w:color="auto"/>
        <w:right w:val="none" w:sz="0" w:space="0" w:color="auto"/>
      </w:divBdr>
    </w:div>
    <w:div w:id="1617983852">
      <w:bodyDiv w:val="1"/>
      <w:marLeft w:val="0"/>
      <w:marRight w:val="0"/>
      <w:marTop w:val="0"/>
      <w:marBottom w:val="0"/>
      <w:divBdr>
        <w:top w:val="none" w:sz="0" w:space="0" w:color="auto"/>
        <w:left w:val="none" w:sz="0" w:space="0" w:color="auto"/>
        <w:bottom w:val="none" w:sz="0" w:space="0" w:color="auto"/>
        <w:right w:val="none" w:sz="0" w:space="0" w:color="auto"/>
      </w:divBdr>
    </w:div>
    <w:div w:id="1624313482">
      <w:bodyDiv w:val="1"/>
      <w:marLeft w:val="0"/>
      <w:marRight w:val="0"/>
      <w:marTop w:val="0"/>
      <w:marBottom w:val="0"/>
      <w:divBdr>
        <w:top w:val="none" w:sz="0" w:space="0" w:color="auto"/>
        <w:left w:val="none" w:sz="0" w:space="0" w:color="auto"/>
        <w:bottom w:val="none" w:sz="0" w:space="0" w:color="auto"/>
        <w:right w:val="none" w:sz="0" w:space="0" w:color="auto"/>
      </w:divBdr>
    </w:div>
    <w:div w:id="1633897573">
      <w:bodyDiv w:val="1"/>
      <w:marLeft w:val="0"/>
      <w:marRight w:val="0"/>
      <w:marTop w:val="0"/>
      <w:marBottom w:val="0"/>
      <w:divBdr>
        <w:top w:val="none" w:sz="0" w:space="0" w:color="auto"/>
        <w:left w:val="none" w:sz="0" w:space="0" w:color="auto"/>
        <w:bottom w:val="none" w:sz="0" w:space="0" w:color="auto"/>
        <w:right w:val="none" w:sz="0" w:space="0" w:color="auto"/>
      </w:divBdr>
    </w:div>
    <w:div w:id="1635940621">
      <w:bodyDiv w:val="1"/>
      <w:marLeft w:val="0"/>
      <w:marRight w:val="0"/>
      <w:marTop w:val="0"/>
      <w:marBottom w:val="0"/>
      <w:divBdr>
        <w:top w:val="none" w:sz="0" w:space="0" w:color="auto"/>
        <w:left w:val="none" w:sz="0" w:space="0" w:color="auto"/>
        <w:bottom w:val="none" w:sz="0" w:space="0" w:color="auto"/>
        <w:right w:val="none" w:sz="0" w:space="0" w:color="auto"/>
      </w:divBdr>
    </w:div>
    <w:div w:id="1641302366">
      <w:bodyDiv w:val="1"/>
      <w:marLeft w:val="0"/>
      <w:marRight w:val="0"/>
      <w:marTop w:val="0"/>
      <w:marBottom w:val="0"/>
      <w:divBdr>
        <w:top w:val="none" w:sz="0" w:space="0" w:color="auto"/>
        <w:left w:val="none" w:sz="0" w:space="0" w:color="auto"/>
        <w:bottom w:val="none" w:sz="0" w:space="0" w:color="auto"/>
        <w:right w:val="none" w:sz="0" w:space="0" w:color="auto"/>
      </w:divBdr>
    </w:div>
    <w:div w:id="1648703753">
      <w:bodyDiv w:val="1"/>
      <w:marLeft w:val="0"/>
      <w:marRight w:val="0"/>
      <w:marTop w:val="0"/>
      <w:marBottom w:val="0"/>
      <w:divBdr>
        <w:top w:val="none" w:sz="0" w:space="0" w:color="auto"/>
        <w:left w:val="none" w:sz="0" w:space="0" w:color="auto"/>
        <w:bottom w:val="none" w:sz="0" w:space="0" w:color="auto"/>
        <w:right w:val="none" w:sz="0" w:space="0" w:color="auto"/>
      </w:divBdr>
    </w:div>
    <w:div w:id="1671979895">
      <w:bodyDiv w:val="1"/>
      <w:marLeft w:val="0"/>
      <w:marRight w:val="0"/>
      <w:marTop w:val="0"/>
      <w:marBottom w:val="0"/>
      <w:divBdr>
        <w:top w:val="none" w:sz="0" w:space="0" w:color="auto"/>
        <w:left w:val="none" w:sz="0" w:space="0" w:color="auto"/>
        <w:bottom w:val="none" w:sz="0" w:space="0" w:color="auto"/>
        <w:right w:val="none" w:sz="0" w:space="0" w:color="auto"/>
      </w:divBdr>
    </w:div>
    <w:div w:id="1682659925">
      <w:bodyDiv w:val="1"/>
      <w:marLeft w:val="0"/>
      <w:marRight w:val="0"/>
      <w:marTop w:val="0"/>
      <w:marBottom w:val="0"/>
      <w:divBdr>
        <w:top w:val="none" w:sz="0" w:space="0" w:color="auto"/>
        <w:left w:val="none" w:sz="0" w:space="0" w:color="auto"/>
        <w:bottom w:val="none" w:sz="0" w:space="0" w:color="auto"/>
        <w:right w:val="none" w:sz="0" w:space="0" w:color="auto"/>
      </w:divBdr>
    </w:div>
    <w:div w:id="1697611007">
      <w:bodyDiv w:val="1"/>
      <w:marLeft w:val="0"/>
      <w:marRight w:val="0"/>
      <w:marTop w:val="0"/>
      <w:marBottom w:val="0"/>
      <w:divBdr>
        <w:top w:val="none" w:sz="0" w:space="0" w:color="auto"/>
        <w:left w:val="none" w:sz="0" w:space="0" w:color="auto"/>
        <w:bottom w:val="none" w:sz="0" w:space="0" w:color="auto"/>
        <w:right w:val="none" w:sz="0" w:space="0" w:color="auto"/>
      </w:divBdr>
    </w:div>
    <w:div w:id="1703550574">
      <w:bodyDiv w:val="1"/>
      <w:marLeft w:val="0"/>
      <w:marRight w:val="0"/>
      <w:marTop w:val="0"/>
      <w:marBottom w:val="0"/>
      <w:divBdr>
        <w:top w:val="none" w:sz="0" w:space="0" w:color="auto"/>
        <w:left w:val="none" w:sz="0" w:space="0" w:color="auto"/>
        <w:bottom w:val="none" w:sz="0" w:space="0" w:color="auto"/>
        <w:right w:val="none" w:sz="0" w:space="0" w:color="auto"/>
      </w:divBdr>
    </w:div>
    <w:div w:id="1710648650">
      <w:bodyDiv w:val="1"/>
      <w:marLeft w:val="0"/>
      <w:marRight w:val="0"/>
      <w:marTop w:val="0"/>
      <w:marBottom w:val="0"/>
      <w:divBdr>
        <w:top w:val="none" w:sz="0" w:space="0" w:color="auto"/>
        <w:left w:val="none" w:sz="0" w:space="0" w:color="auto"/>
        <w:bottom w:val="none" w:sz="0" w:space="0" w:color="auto"/>
        <w:right w:val="none" w:sz="0" w:space="0" w:color="auto"/>
      </w:divBdr>
      <w:divsChild>
        <w:div w:id="1364020465">
          <w:marLeft w:val="0"/>
          <w:marRight w:val="0"/>
          <w:marTop w:val="0"/>
          <w:marBottom w:val="0"/>
          <w:divBdr>
            <w:top w:val="none" w:sz="0" w:space="0" w:color="auto"/>
            <w:left w:val="none" w:sz="0" w:space="0" w:color="auto"/>
            <w:bottom w:val="none" w:sz="0" w:space="0" w:color="auto"/>
            <w:right w:val="none" w:sz="0" w:space="0" w:color="auto"/>
          </w:divBdr>
          <w:divsChild>
            <w:div w:id="1848325456">
              <w:marLeft w:val="0"/>
              <w:marRight w:val="0"/>
              <w:marTop w:val="0"/>
              <w:marBottom w:val="0"/>
              <w:divBdr>
                <w:top w:val="none" w:sz="0" w:space="0" w:color="auto"/>
                <w:left w:val="none" w:sz="0" w:space="0" w:color="auto"/>
                <w:bottom w:val="none" w:sz="0" w:space="0" w:color="auto"/>
                <w:right w:val="none" w:sz="0" w:space="0" w:color="auto"/>
              </w:divBdr>
              <w:divsChild>
                <w:div w:id="181020444">
                  <w:marLeft w:val="0"/>
                  <w:marRight w:val="0"/>
                  <w:marTop w:val="0"/>
                  <w:marBottom w:val="0"/>
                  <w:divBdr>
                    <w:top w:val="none" w:sz="0" w:space="0" w:color="auto"/>
                    <w:left w:val="none" w:sz="0" w:space="0" w:color="auto"/>
                    <w:bottom w:val="none" w:sz="0" w:space="0" w:color="auto"/>
                    <w:right w:val="none" w:sz="0" w:space="0" w:color="auto"/>
                  </w:divBdr>
                  <w:divsChild>
                    <w:div w:id="1852793703">
                      <w:marLeft w:val="0"/>
                      <w:marRight w:val="0"/>
                      <w:marTop w:val="0"/>
                      <w:marBottom w:val="0"/>
                      <w:divBdr>
                        <w:top w:val="none" w:sz="0" w:space="0" w:color="auto"/>
                        <w:left w:val="none" w:sz="0" w:space="0" w:color="auto"/>
                        <w:bottom w:val="none" w:sz="0" w:space="0" w:color="auto"/>
                        <w:right w:val="none" w:sz="0" w:space="0" w:color="auto"/>
                      </w:divBdr>
                      <w:divsChild>
                        <w:div w:id="825626888">
                          <w:marLeft w:val="0"/>
                          <w:marRight w:val="0"/>
                          <w:marTop w:val="0"/>
                          <w:marBottom w:val="0"/>
                          <w:divBdr>
                            <w:top w:val="none" w:sz="0" w:space="0" w:color="auto"/>
                            <w:left w:val="none" w:sz="0" w:space="0" w:color="auto"/>
                            <w:bottom w:val="none" w:sz="0" w:space="0" w:color="auto"/>
                            <w:right w:val="none" w:sz="0" w:space="0" w:color="auto"/>
                          </w:divBdr>
                          <w:divsChild>
                            <w:div w:id="2066757150">
                              <w:marLeft w:val="0"/>
                              <w:marRight w:val="0"/>
                              <w:marTop w:val="0"/>
                              <w:marBottom w:val="0"/>
                              <w:divBdr>
                                <w:top w:val="none" w:sz="0" w:space="0" w:color="auto"/>
                                <w:left w:val="none" w:sz="0" w:space="0" w:color="auto"/>
                                <w:bottom w:val="none" w:sz="0" w:space="0" w:color="auto"/>
                                <w:right w:val="none" w:sz="0" w:space="0" w:color="auto"/>
                              </w:divBdr>
                              <w:divsChild>
                                <w:div w:id="1148860503">
                                  <w:marLeft w:val="0"/>
                                  <w:marRight w:val="0"/>
                                  <w:marTop w:val="0"/>
                                  <w:marBottom w:val="0"/>
                                  <w:divBdr>
                                    <w:top w:val="none" w:sz="0" w:space="0" w:color="auto"/>
                                    <w:left w:val="none" w:sz="0" w:space="0" w:color="auto"/>
                                    <w:bottom w:val="none" w:sz="0" w:space="0" w:color="auto"/>
                                    <w:right w:val="none" w:sz="0" w:space="0" w:color="auto"/>
                                  </w:divBdr>
                                  <w:divsChild>
                                    <w:div w:id="1447625696">
                                      <w:marLeft w:val="0"/>
                                      <w:marRight w:val="0"/>
                                      <w:marTop w:val="0"/>
                                      <w:marBottom w:val="0"/>
                                      <w:divBdr>
                                        <w:top w:val="none" w:sz="0" w:space="0" w:color="auto"/>
                                        <w:left w:val="none" w:sz="0" w:space="0" w:color="auto"/>
                                        <w:bottom w:val="none" w:sz="0" w:space="0" w:color="auto"/>
                                        <w:right w:val="none" w:sz="0" w:space="0" w:color="auto"/>
                                      </w:divBdr>
                                      <w:divsChild>
                                        <w:div w:id="1210148516">
                                          <w:marLeft w:val="0"/>
                                          <w:marRight w:val="0"/>
                                          <w:marTop w:val="0"/>
                                          <w:marBottom w:val="0"/>
                                          <w:divBdr>
                                            <w:top w:val="none" w:sz="0" w:space="0" w:color="auto"/>
                                            <w:left w:val="none" w:sz="0" w:space="0" w:color="auto"/>
                                            <w:bottom w:val="none" w:sz="0" w:space="0" w:color="auto"/>
                                            <w:right w:val="none" w:sz="0" w:space="0" w:color="auto"/>
                                          </w:divBdr>
                                          <w:divsChild>
                                            <w:div w:id="1298679611">
                                              <w:marLeft w:val="0"/>
                                              <w:marRight w:val="0"/>
                                              <w:marTop w:val="0"/>
                                              <w:marBottom w:val="0"/>
                                              <w:divBdr>
                                                <w:top w:val="none" w:sz="0" w:space="0" w:color="auto"/>
                                                <w:left w:val="none" w:sz="0" w:space="0" w:color="auto"/>
                                                <w:bottom w:val="none" w:sz="0" w:space="0" w:color="auto"/>
                                                <w:right w:val="none" w:sz="0" w:space="0" w:color="auto"/>
                                              </w:divBdr>
                                              <w:divsChild>
                                                <w:div w:id="722173242">
                                                  <w:marLeft w:val="0"/>
                                                  <w:marRight w:val="0"/>
                                                  <w:marTop w:val="0"/>
                                                  <w:marBottom w:val="0"/>
                                                  <w:divBdr>
                                                    <w:top w:val="none" w:sz="0" w:space="0" w:color="auto"/>
                                                    <w:left w:val="none" w:sz="0" w:space="0" w:color="auto"/>
                                                    <w:bottom w:val="none" w:sz="0" w:space="0" w:color="auto"/>
                                                    <w:right w:val="none" w:sz="0" w:space="0" w:color="auto"/>
                                                  </w:divBdr>
                                                  <w:divsChild>
                                                    <w:div w:id="1918632027">
                                                      <w:marLeft w:val="0"/>
                                                      <w:marRight w:val="0"/>
                                                      <w:marTop w:val="0"/>
                                                      <w:marBottom w:val="0"/>
                                                      <w:divBdr>
                                                        <w:top w:val="none" w:sz="0" w:space="0" w:color="auto"/>
                                                        <w:left w:val="none" w:sz="0" w:space="0" w:color="auto"/>
                                                        <w:bottom w:val="none" w:sz="0" w:space="0" w:color="auto"/>
                                                        <w:right w:val="none" w:sz="0" w:space="0" w:color="auto"/>
                                                      </w:divBdr>
                                                      <w:divsChild>
                                                        <w:div w:id="1340044029">
                                                          <w:marLeft w:val="0"/>
                                                          <w:marRight w:val="0"/>
                                                          <w:marTop w:val="0"/>
                                                          <w:marBottom w:val="0"/>
                                                          <w:divBdr>
                                                            <w:top w:val="none" w:sz="0" w:space="0" w:color="auto"/>
                                                            <w:left w:val="none" w:sz="0" w:space="0" w:color="auto"/>
                                                            <w:bottom w:val="none" w:sz="0" w:space="0" w:color="auto"/>
                                                            <w:right w:val="none" w:sz="0" w:space="0" w:color="auto"/>
                                                          </w:divBdr>
                                                          <w:divsChild>
                                                            <w:div w:id="1400596653">
                                                              <w:marLeft w:val="0"/>
                                                              <w:marRight w:val="0"/>
                                                              <w:marTop w:val="0"/>
                                                              <w:marBottom w:val="0"/>
                                                              <w:divBdr>
                                                                <w:top w:val="none" w:sz="0" w:space="0" w:color="auto"/>
                                                                <w:left w:val="none" w:sz="0" w:space="0" w:color="auto"/>
                                                                <w:bottom w:val="none" w:sz="0" w:space="0" w:color="auto"/>
                                                                <w:right w:val="none" w:sz="0" w:space="0" w:color="auto"/>
                                                              </w:divBdr>
                                                              <w:divsChild>
                                                                <w:div w:id="761024443">
                                                                  <w:marLeft w:val="0"/>
                                                                  <w:marRight w:val="0"/>
                                                                  <w:marTop w:val="0"/>
                                                                  <w:marBottom w:val="0"/>
                                                                  <w:divBdr>
                                                                    <w:top w:val="none" w:sz="0" w:space="0" w:color="auto"/>
                                                                    <w:left w:val="none" w:sz="0" w:space="0" w:color="auto"/>
                                                                    <w:bottom w:val="none" w:sz="0" w:space="0" w:color="auto"/>
                                                                    <w:right w:val="none" w:sz="0" w:space="0" w:color="auto"/>
                                                                  </w:divBdr>
                                                                  <w:divsChild>
                                                                    <w:div w:id="1992755902">
                                                                      <w:marLeft w:val="0"/>
                                                                      <w:marRight w:val="0"/>
                                                                      <w:marTop w:val="0"/>
                                                                      <w:marBottom w:val="0"/>
                                                                      <w:divBdr>
                                                                        <w:top w:val="none" w:sz="0" w:space="0" w:color="auto"/>
                                                                        <w:left w:val="none" w:sz="0" w:space="0" w:color="auto"/>
                                                                        <w:bottom w:val="none" w:sz="0" w:space="0" w:color="auto"/>
                                                                        <w:right w:val="none" w:sz="0" w:space="0" w:color="auto"/>
                                                                      </w:divBdr>
                                                                      <w:divsChild>
                                                                        <w:div w:id="297421929">
                                                                          <w:marLeft w:val="0"/>
                                                                          <w:marRight w:val="0"/>
                                                                          <w:marTop w:val="0"/>
                                                                          <w:marBottom w:val="0"/>
                                                                          <w:divBdr>
                                                                            <w:top w:val="none" w:sz="0" w:space="0" w:color="auto"/>
                                                                            <w:left w:val="none" w:sz="0" w:space="0" w:color="auto"/>
                                                                            <w:bottom w:val="none" w:sz="0" w:space="0" w:color="auto"/>
                                                                            <w:right w:val="none" w:sz="0" w:space="0" w:color="auto"/>
                                                                          </w:divBdr>
                                                                          <w:divsChild>
                                                                            <w:div w:id="280379096">
                                                                              <w:marLeft w:val="0"/>
                                                                              <w:marRight w:val="0"/>
                                                                              <w:marTop w:val="0"/>
                                                                              <w:marBottom w:val="0"/>
                                                                              <w:divBdr>
                                                                                <w:top w:val="none" w:sz="0" w:space="0" w:color="auto"/>
                                                                                <w:left w:val="none" w:sz="0" w:space="0" w:color="auto"/>
                                                                                <w:bottom w:val="none" w:sz="0" w:space="0" w:color="auto"/>
                                                                                <w:right w:val="none" w:sz="0" w:space="0" w:color="auto"/>
                                                                              </w:divBdr>
                                                                              <w:divsChild>
                                                                                <w:div w:id="862086118">
                                                                                  <w:marLeft w:val="0"/>
                                                                                  <w:marRight w:val="0"/>
                                                                                  <w:marTop w:val="0"/>
                                                                                  <w:marBottom w:val="0"/>
                                                                                  <w:divBdr>
                                                                                    <w:top w:val="none" w:sz="0" w:space="0" w:color="auto"/>
                                                                                    <w:left w:val="none" w:sz="0" w:space="0" w:color="auto"/>
                                                                                    <w:bottom w:val="none" w:sz="0" w:space="0" w:color="auto"/>
                                                                                    <w:right w:val="none" w:sz="0" w:space="0" w:color="auto"/>
                                                                                  </w:divBdr>
                                                                                  <w:divsChild>
                                                                                    <w:div w:id="555163314">
                                                                                      <w:marLeft w:val="0"/>
                                                                                      <w:marRight w:val="0"/>
                                                                                      <w:marTop w:val="0"/>
                                                                                      <w:marBottom w:val="0"/>
                                                                                      <w:divBdr>
                                                                                        <w:top w:val="none" w:sz="0" w:space="0" w:color="auto"/>
                                                                                        <w:left w:val="none" w:sz="0" w:space="0" w:color="auto"/>
                                                                                        <w:bottom w:val="none" w:sz="0" w:space="0" w:color="auto"/>
                                                                                        <w:right w:val="none" w:sz="0" w:space="0" w:color="auto"/>
                                                                                      </w:divBdr>
                                                                                      <w:divsChild>
                                                                                        <w:div w:id="867179643">
                                                                                          <w:marLeft w:val="0"/>
                                                                                          <w:marRight w:val="0"/>
                                                                                          <w:marTop w:val="0"/>
                                                                                          <w:marBottom w:val="0"/>
                                                                                          <w:divBdr>
                                                                                            <w:top w:val="none" w:sz="0" w:space="0" w:color="auto"/>
                                                                                            <w:left w:val="none" w:sz="0" w:space="0" w:color="auto"/>
                                                                                            <w:bottom w:val="none" w:sz="0" w:space="0" w:color="auto"/>
                                                                                            <w:right w:val="none" w:sz="0" w:space="0" w:color="auto"/>
                                                                                          </w:divBdr>
                                                                                          <w:divsChild>
                                                                                            <w:div w:id="10301998">
                                                                                              <w:marLeft w:val="0"/>
                                                                                              <w:marRight w:val="0"/>
                                                                                              <w:marTop w:val="0"/>
                                                                                              <w:marBottom w:val="0"/>
                                                                                              <w:divBdr>
                                                                                                <w:top w:val="none" w:sz="0" w:space="0" w:color="auto"/>
                                                                                                <w:left w:val="none" w:sz="0" w:space="0" w:color="auto"/>
                                                                                                <w:bottom w:val="none" w:sz="0" w:space="0" w:color="auto"/>
                                                                                                <w:right w:val="none" w:sz="0" w:space="0" w:color="auto"/>
                                                                                              </w:divBdr>
                                                                                              <w:divsChild>
                                                                                                <w:div w:id="1140998986">
                                                                                                  <w:marLeft w:val="0"/>
                                                                                                  <w:marRight w:val="0"/>
                                                                                                  <w:marTop w:val="0"/>
                                                                                                  <w:marBottom w:val="0"/>
                                                                                                  <w:divBdr>
                                                                                                    <w:top w:val="none" w:sz="0" w:space="0" w:color="auto"/>
                                                                                                    <w:left w:val="none" w:sz="0" w:space="0" w:color="auto"/>
                                                                                                    <w:bottom w:val="none" w:sz="0" w:space="0" w:color="auto"/>
                                                                                                    <w:right w:val="none" w:sz="0" w:space="0" w:color="auto"/>
                                                                                                  </w:divBdr>
                                                                                                  <w:divsChild>
                                                                                                    <w:div w:id="356277283">
                                                                                                      <w:marLeft w:val="0"/>
                                                                                                      <w:marRight w:val="0"/>
                                                                                                      <w:marTop w:val="0"/>
                                                                                                      <w:marBottom w:val="0"/>
                                                                                                      <w:divBdr>
                                                                                                        <w:top w:val="none" w:sz="0" w:space="0" w:color="auto"/>
                                                                                                        <w:left w:val="none" w:sz="0" w:space="0" w:color="auto"/>
                                                                                                        <w:bottom w:val="none" w:sz="0" w:space="0" w:color="auto"/>
                                                                                                        <w:right w:val="none" w:sz="0" w:space="0" w:color="auto"/>
                                                                                                      </w:divBdr>
                                                                                                      <w:divsChild>
                                                                                                        <w:div w:id="2088309241">
                                                                                                          <w:marLeft w:val="0"/>
                                                                                                          <w:marRight w:val="0"/>
                                                                                                          <w:marTop w:val="0"/>
                                                                                                          <w:marBottom w:val="525"/>
                                                                                                          <w:divBdr>
                                                                                                            <w:top w:val="none" w:sz="0" w:space="0" w:color="auto"/>
                                                                                                            <w:left w:val="none" w:sz="0" w:space="0" w:color="auto"/>
                                                                                                            <w:bottom w:val="none" w:sz="0" w:space="0" w:color="auto"/>
                                                                                                            <w:right w:val="none" w:sz="0" w:space="0" w:color="auto"/>
                                                                                                          </w:divBdr>
                                                                                                          <w:divsChild>
                                                                                                            <w:div w:id="1060329274">
                                                                                                              <w:marLeft w:val="0"/>
                                                                                                              <w:marRight w:val="0"/>
                                                                                                              <w:marTop w:val="0"/>
                                                                                                              <w:marBottom w:val="0"/>
                                                                                                              <w:divBdr>
                                                                                                                <w:top w:val="none" w:sz="0" w:space="0" w:color="auto"/>
                                                                                                                <w:left w:val="none" w:sz="0" w:space="0" w:color="auto"/>
                                                                                                                <w:bottom w:val="none" w:sz="0" w:space="0" w:color="auto"/>
                                                                                                                <w:right w:val="none" w:sz="0" w:space="0" w:color="auto"/>
                                                                                                              </w:divBdr>
                                                                                                              <w:divsChild>
                                                                                                                <w:div w:id="1102578453">
                                                                                                                  <w:marLeft w:val="0"/>
                                                                                                                  <w:marRight w:val="0"/>
                                                                                                                  <w:marTop w:val="0"/>
                                                                                                                  <w:marBottom w:val="0"/>
                                                                                                                  <w:divBdr>
                                                                                                                    <w:top w:val="none" w:sz="0" w:space="0" w:color="auto"/>
                                                                                                                    <w:left w:val="none" w:sz="0" w:space="0" w:color="auto"/>
                                                                                                                    <w:bottom w:val="none" w:sz="0" w:space="0" w:color="auto"/>
                                                                                                                    <w:right w:val="none" w:sz="0" w:space="0" w:color="auto"/>
                                                                                                                  </w:divBdr>
                                                                                                                  <w:divsChild>
                                                                                                                    <w:div w:id="1300183192">
                                                                                                                      <w:marLeft w:val="0"/>
                                                                                                                      <w:marRight w:val="0"/>
                                                                                                                      <w:marTop w:val="0"/>
                                                                                                                      <w:marBottom w:val="0"/>
                                                                                                                      <w:divBdr>
                                                                                                                        <w:top w:val="none" w:sz="0" w:space="0" w:color="auto"/>
                                                                                                                        <w:left w:val="none" w:sz="0" w:space="0" w:color="auto"/>
                                                                                                                        <w:bottom w:val="none" w:sz="0" w:space="0" w:color="auto"/>
                                                                                                                        <w:right w:val="none" w:sz="0" w:space="0" w:color="auto"/>
                                                                                                                      </w:divBdr>
                                                                                                                    </w:div>
                                                                                                                    <w:div w:id="1882131289">
                                                                                                                      <w:marLeft w:val="0"/>
                                                                                                                      <w:marRight w:val="0"/>
                                                                                                                      <w:marTop w:val="0"/>
                                                                                                                      <w:marBottom w:val="0"/>
                                                                                                                      <w:divBdr>
                                                                                                                        <w:top w:val="none" w:sz="0" w:space="0" w:color="auto"/>
                                                                                                                        <w:left w:val="none" w:sz="0" w:space="0" w:color="auto"/>
                                                                                                                        <w:bottom w:val="none" w:sz="0" w:space="0" w:color="auto"/>
                                                                                                                        <w:right w:val="none" w:sz="0" w:space="0" w:color="auto"/>
                                                                                                                      </w:divBdr>
                                                                                                                    </w:div>
                                                                                                                    <w:div w:id="19238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475954">
      <w:bodyDiv w:val="1"/>
      <w:marLeft w:val="0"/>
      <w:marRight w:val="0"/>
      <w:marTop w:val="0"/>
      <w:marBottom w:val="0"/>
      <w:divBdr>
        <w:top w:val="none" w:sz="0" w:space="0" w:color="auto"/>
        <w:left w:val="none" w:sz="0" w:space="0" w:color="auto"/>
        <w:bottom w:val="none" w:sz="0" w:space="0" w:color="auto"/>
        <w:right w:val="none" w:sz="0" w:space="0" w:color="auto"/>
      </w:divBdr>
    </w:div>
    <w:div w:id="1720737237">
      <w:bodyDiv w:val="1"/>
      <w:marLeft w:val="0"/>
      <w:marRight w:val="0"/>
      <w:marTop w:val="0"/>
      <w:marBottom w:val="0"/>
      <w:divBdr>
        <w:top w:val="none" w:sz="0" w:space="0" w:color="auto"/>
        <w:left w:val="none" w:sz="0" w:space="0" w:color="auto"/>
        <w:bottom w:val="none" w:sz="0" w:space="0" w:color="auto"/>
        <w:right w:val="none" w:sz="0" w:space="0" w:color="auto"/>
      </w:divBdr>
    </w:div>
    <w:div w:id="1725333231">
      <w:bodyDiv w:val="1"/>
      <w:marLeft w:val="0"/>
      <w:marRight w:val="0"/>
      <w:marTop w:val="0"/>
      <w:marBottom w:val="0"/>
      <w:divBdr>
        <w:top w:val="none" w:sz="0" w:space="0" w:color="auto"/>
        <w:left w:val="none" w:sz="0" w:space="0" w:color="auto"/>
        <w:bottom w:val="none" w:sz="0" w:space="0" w:color="auto"/>
        <w:right w:val="none" w:sz="0" w:space="0" w:color="auto"/>
      </w:divBdr>
    </w:div>
    <w:div w:id="1725523307">
      <w:bodyDiv w:val="1"/>
      <w:marLeft w:val="0"/>
      <w:marRight w:val="0"/>
      <w:marTop w:val="0"/>
      <w:marBottom w:val="0"/>
      <w:divBdr>
        <w:top w:val="none" w:sz="0" w:space="0" w:color="auto"/>
        <w:left w:val="none" w:sz="0" w:space="0" w:color="auto"/>
        <w:bottom w:val="none" w:sz="0" w:space="0" w:color="auto"/>
        <w:right w:val="none" w:sz="0" w:space="0" w:color="auto"/>
      </w:divBdr>
    </w:div>
    <w:div w:id="1740129987">
      <w:bodyDiv w:val="1"/>
      <w:marLeft w:val="0"/>
      <w:marRight w:val="0"/>
      <w:marTop w:val="0"/>
      <w:marBottom w:val="0"/>
      <w:divBdr>
        <w:top w:val="none" w:sz="0" w:space="0" w:color="auto"/>
        <w:left w:val="none" w:sz="0" w:space="0" w:color="auto"/>
        <w:bottom w:val="none" w:sz="0" w:space="0" w:color="auto"/>
        <w:right w:val="none" w:sz="0" w:space="0" w:color="auto"/>
      </w:divBdr>
      <w:divsChild>
        <w:div w:id="120879903">
          <w:marLeft w:val="274"/>
          <w:marRight w:val="0"/>
          <w:marTop w:val="0"/>
          <w:marBottom w:val="0"/>
          <w:divBdr>
            <w:top w:val="none" w:sz="0" w:space="0" w:color="auto"/>
            <w:left w:val="none" w:sz="0" w:space="0" w:color="auto"/>
            <w:bottom w:val="none" w:sz="0" w:space="0" w:color="auto"/>
            <w:right w:val="none" w:sz="0" w:space="0" w:color="auto"/>
          </w:divBdr>
        </w:div>
        <w:div w:id="211311341">
          <w:marLeft w:val="274"/>
          <w:marRight w:val="0"/>
          <w:marTop w:val="0"/>
          <w:marBottom w:val="0"/>
          <w:divBdr>
            <w:top w:val="none" w:sz="0" w:space="0" w:color="auto"/>
            <w:left w:val="none" w:sz="0" w:space="0" w:color="auto"/>
            <w:bottom w:val="none" w:sz="0" w:space="0" w:color="auto"/>
            <w:right w:val="none" w:sz="0" w:space="0" w:color="auto"/>
          </w:divBdr>
        </w:div>
        <w:div w:id="1890262172">
          <w:marLeft w:val="274"/>
          <w:marRight w:val="0"/>
          <w:marTop w:val="0"/>
          <w:marBottom w:val="0"/>
          <w:divBdr>
            <w:top w:val="none" w:sz="0" w:space="0" w:color="auto"/>
            <w:left w:val="none" w:sz="0" w:space="0" w:color="auto"/>
            <w:bottom w:val="none" w:sz="0" w:space="0" w:color="auto"/>
            <w:right w:val="none" w:sz="0" w:space="0" w:color="auto"/>
          </w:divBdr>
        </w:div>
      </w:divsChild>
    </w:div>
    <w:div w:id="1740904085">
      <w:bodyDiv w:val="1"/>
      <w:marLeft w:val="0"/>
      <w:marRight w:val="0"/>
      <w:marTop w:val="0"/>
      <w:marBottom w:val="0"/>
      <w:divBdr>
        <w:top w:val="none" w:sz="0" w:space="0" w:color="auto"/>
        <w:left w:val="none" w:sz="0" w:space="0" w:color="auto"/>
        <w:bottom w:val="none" w:sz="0" w:space="0" w:color="auto"/>
        <w:right w:val="none" w:sz="0" w:space="0" w:color="auto"/>
      </w:divBdr>
    </w:div>
    <w:div w:id="1757894861">
      <w:bodyDiv w:val="1"/>
      <w:marLeft w:val="0"/>
      <w:marRight w:val="0"/>
      <w:marTop w:val="0"/>
      <w:marBottom w:val="0"/>
      <w:divBdr>
        <w:top w:val="none" w:sz="0" w:space="0" w:color="auto"/>
        <w:left w:val="none" w:sz="0" w:space="0" w:color="auto"/>
        <w:bottom w:val="none" w:sz="0" w:space="0" w:color="auto"/>
        <w:right w:val="none" w:sz="0" w:space="0" w:color="auto"/>
      </w:divBdr>
    </w:div>
    <w:div w:id="1776753829">
      <w:bodyDiv w:val="1"/>
      <w:marLeft w:val="0"/>
      <w:marRight w:val="0"/>
      <w:marTop w:val="0"/>
      <w:marBottom w:val="0"/>
      <w:divBdr>
        <w:top w:val="none" w:sz="0" w:space="0" w:color="auto"/>
        <w:left w:val="none" w:sz="0" w:space="0" w:color="auto"/>
        <w:bottom w:val="none" w:sz="0" w:space="0" w:color="auto"/>
        <w:right w:val="none" w:sz="0" w:space="0" w:color="auto"/>
      </w:divBdr>
    </w:div>
    <w:div w:id="1777092033">
      <w:bodyDiv w:val="1"/>
      <w:marLeft w:val="0"/>
      <w:marRight w:val="0"/>
      <w:marTop w:val="0"/>
      <w:marBottom w:val="0"/>
      <w:divBdr>
        <w:top w:val="none" w:sz="0" w:space="0" w:color="auto"/>
        <w:left w:val="none" w:sz="0" w:space="0" w:color="auto"/>
        <w:bottom w:val="none" w:sz="0" w:space="0" w:color="auto"/>
        <w:right w:val="none" w:sz="0" w:space="0" w:color="auto"/>
      </w:divBdr>
    </w:div>
    <w:div w:id="1787503041">
      <w:bodyDiv w:val="1"/>
      <w:marLeft w:val="0"/>
      <w:marRight w:val="0"/>
      <w:marTop w:val="0"/>
      <w:marBottom w:val="0"/>
      <w:divBdr>
        <w:top w:val="none" w:sz="0" w:space="0" w:color="auto"/>
        <w:left w:val="none" w:sz="0" w:space="0" w:color="auto"/>
        <w:bottom w:val="none" w:sz="0" w:space="0" w:color="auto"/>
        <w:right w:val="none" w:sz="0" w:space="0" w:color="auto"/>
      </w:divBdr>
    </w:div>
    <w:div w:id="1798791640">
      <w:bodyDiv w:val="1"/>
      <w:marLeft w:val="0"/>
      <w:marRight w:val="0"/>
      <w:marTop w:val="0"/>
      <w:marBottom w:val="0"/>
      <w:divBdr>
        <w:top w:val="none" w:sz="0" w:space="0" w:color="auto"/>
        <w:left w:val="none" w:sz="0" w:space="0" w:color="auto"/>
        <w:bottom w:val="none" w:sz="0" w:space="0" w:color="auto"/>
        <w:right w:val="none" w:sz="0" w:space="0" w:color="auto"/>
      </w:divBdr>
    </w:div>
    <w:div w:id="1800756925">
      <w:bodyDiv w:val="1"/>
      <w:marLeft w:val="0"/>
      <w:marRight w:val="0"/>
      <w:marTop w:val="0"/>
      <w:marBottom w:val="0"/>
      <w:divBdr>
        <w:top w:val="none" w:sz="0" w:space="0" w:color="auto"/>
        <w:left w:val="none" w:sz="0" w:space="0" w:color="auto"/>
        <w:bottom w:val="none" w:sz="0" w:space="0" w:color="auto"/>
        <w:right w:val="none" w:sz="0" w:space="0" w:color="auto"/>
      </w:divBdr>
      <w:divsChild>
        <w:div w:id="1770618531">
          <w:marLeft w:val="0"/>
          <w:marRight w:val="0"/>
          <w:marTop w:val="0"/>
          <w:marBottom w:val="0"/>
          <w:divBdr>
            <w:top w:val="none" w:sz="0" w:space="0" w:color="auto"/>
            <w:left w:val="none" w:sz="0" w:space="0" w:color="auto"/>
            <w:bottom w:val="none" w:sz="0" w:space="0" w:color="auto"/>
            <w:right w:val="none" w:sz="0" w:space="0" w:color="auto"/>
          </w:divBdr>
          <w:divsChild>
            <w:div w:id="1773209460">
              <w:marLeft w:val="0"/>
              <w:marRight w:val="0"/>
              <w:marTop w:val="0"/>
              <w:marBottom w:val="0"/>
              <w:divBdr>
                <w:top w:val="none" w:sz="0" w:space="0" w:color="auto"/>
                <w:left w:val="none" w:sz="0" w:space="0" w:color="auto"/>
                <w:bottom w:val="none" w:sz="0" w:space="0" w:color="auto"/>
                <w:right w:val="none" w:sz="0" w:space="0" w:color="auto"/>
              </w:divBdr>
              <w:divsChild>
                <w:div w:id="621426965">
                  <w:marLeft w:val="0"/>
                  <w:marRight w:val="0"/>
                  <w:marTop w:val="0"/>
                  <w:marBottom w:val="0"/>
                  <w:divBdr>
                    <w:top w:val="none" w:sz="0" w:space="0" w:color="auto"/>
                    <w:left w:val="none" w:sz="0" w:space="0" w:color="auto"/>
                    <w:bottom w:val="none" w:sz="0" w:space="0" w:color="auto"/>
                    <w:right w:val="none" w:sz="0" w:space="0" w:color="auto"/>
                  </w:divBdr>
                  <w:divsChild>
                    <w:div w:id="22486336">
                      <w:marLeft w:val="0"/>
                      <w:marRight w:val="0"/>
                      <w:marTop w:val="0"/>
                      <w:marBottom w:val="0"/>
                      <w:divBdr>
                        <w:top w:val="none" w:sz="0" w:space="0" w:color="auto"/>
                        <w:left w:val="none" w:sz="0" w:space="0" w:color="auto"/>
                        <w:bottom w:val="none" w:sz="0" w:space="0" w:color="auto"/>
                        <w:right w:val="none" w:sz="0" w:space="0" w:color="auto"/>
                      </w:divBdr>
                      <w:divsChild>
                        <w:div w:id="1877765908">
                          <w:marLeft w:val="0"/>
                          <w:marRight w:val="0"/>
                          <w:marTop w:val="0"/>
                          <w:marBottom w:val="0"/>
                          <w:divBdr>
                            <w:top w:val="none" w:sz="0" w:space="0" w:color="auto"/>
                            <w:left w:val="none" w:sz="0" w:space="0" w:color="auto"/>
                            <w:bottom w:val="none" w:sz="0" w:space="0" w:color="auto"/>
                            <w:right w:val="none" w:sz="0" w:space="0" w:color="auto"/>
                          </w:divBdr>
                          <w:divsChild>
                            <w:div w:id="1879198741">
                              <w:marLeft w:val="0"/>
                              <w:marRight w:val="0"/>
                              <w:marTop w:val="0"/>
                              <w:marBottom w:val="0"/>
                              <w:divBdr>
                                <w:top w:val="none" w:sz="0" w:space="0" w:color="auto"/>
                                <w:left w:val="none" w:sz="0" w:space="0" w:color="auto"/>
                                <w:bottom w:val="none" w:sz="0" w:space="0" w:color="auto"/>
                                <w:right w:val="none" w:sz="0" w:space="0" w:color="auto"/>
                              </w:divBdr>
                              <w:divsChild>
                                <w:div w:id="238563407">
                                  <w:marLeft w:val="0"/>
                                  <w:marRight w:val="0"/>
                                  <w:marTop w:val="0"/>
                                  <w:marBottom w:val="0"/>
                                  <w:divBdr>
                                    <w:top w:val="none" w:sz="0" w:space="0" w:color="auto"/>
                                    <w:left w:val="none" w:sz="0" w:space="0" w:color="auto"/>
                                    <w:bottom w:val="none" w:sz="0" w:space="0" w:color="auto"/>
                                    <w:right w:val="none" w:sz="0" w:space="0" w:color="auto"/>
                                  </w:divBdr>
                                  <w:divsChild>
                                    <w:div w:id="208156376">
                                      <w:marLeft w:val="0"/>
                                      <w:marRight w:val="0"/>
                                      <w:marTop w:val="0"/>
                                      <w:marBottom w:val="0"/>
                                      <w:divBdr>
                                        <w:top w:val="none" w:sz="0" w:space="0" w:color="auto"/>
                                        <w:left w:val="none" w:sz="0" w:space="0" w:color="auto"/>
                                        <w:bottom w:val="none" w:sz="0" w:space="0" w:color="auto"/>
                                        <w:right w:val="none" w:sz="0" w:space="0" w:color="auto"/>
                                      </w:divBdr>
                                      <w:divsChild>
                                        <w:div w:id="195198371">
                                          <w:marLeft w:val="0"/>
                                          <w:marRight w:val="0"/>
                                          <w:marTop w:val="0"/>
                                          <w:marBottom w:val="0"/>
                                          <w:divBdr>
                                            <w:top w:val="none" w:sz="0" w:space="0" w:color="auto"/>
                                            <w:left w:val="none" w:sz="0" w:space="0" w:color="auto"/>
                                            <w:bottom w:val="none" w:sz="0" w:space="0" w:color="auto"/>
                                            <w:right w:val="none" w:sz="0" w:space="0" w:color="auto"/>
                                          </w:divBdr>
                                          <w:divsChild>
                                            <w:div w:id="45429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7893117">
      <w:bodyDiv w:val="1"/>
      <w:marLeft w:val="0"/>
      <w:marRight w:val="0"/>
      <w:marTop w:val="0"/>
      <w:marBottom w:val="0"/>
      <w:divBdr>
        <w:top w:val="none" w:sz="0" w:space="0" w:color="auto"/>
        <w:left w:val="none" w:sz="0" w:space="0" w:color="auto"/>
        <w:bottom w:val="none" w:sz="0" w:space="0" w:color="auto"/>
        <w:right w:val="none" w:sz="0" w:space="0" w:color="auto"/>
      </w:divBdr>
    </w:div>
    <w:div w:id="1809587555">
      <w:bodyDiv w:val="1"/>
      <w:marLeft w:val="0"/>
      <w:marRight w:val="0"/>
      <w:marTop w:val="0"/>
      <w:marBottom w:val="0"/>
      <w:divBdr>
        <w:top w:val="none" w:sz="0" w:space="0" w:color="auto"/>
        <w:left w:val="none" w:sz="0" w:space="0" w:color="auto"/>
        <w:bottom w:val="none" w:sz="0" w:space="0" w:color="auto"/>
        <w:right w:val="none" w:sz="0" w:space="0" w:color="auto"/>
      </w:divBdr>
    </w:div>
    <w:div w:id="1812403789">
      <w:bodyDiv w:val="1"/>
      <w:marLeft w:val="0"/>
      <w:marRight w:val="0"/>
      <w:marTop w:val="0"/>
      <w:marBottom w:val="0"/>
      <w:divBdr>
        <w:top w:val="none" w:sz="0" w:space="0" w:color="auto"/>
        <w:left w:val="none" w:sz="0" w:space="0" w:color="auto"/>
        <w:bottom w:val="none" w:sz="0" w:space="0" w:color="auto"/>
        <w:right w:val="none" w:sz="0" w:space="0" w:color="auto"/>
      </w:divBdr>
    </w:div>
    <w:div w:id="1819810181">
      <w:bodyDiv w:val="1"/>
      <w:marLeft w:val="0"/>
      <w:marRight w:val="0"/>
      <w:marTop w:val="0"/>
      <w:marBottom w:val="0"/>
      <w:divBdr>
        <w:top w:val="none" w:sz="0" w:space="0" w:color="auto"/>
        <w:left w:val="none" w:sz="0" w:space="0" w:color="auto"/>
        <w:bottom w:val="none" w:sz="0" w:space="0" w:color="auto"/>
        <w:right w:val="none" w:sz="0" w:space="0" w:color="auto"/>
      </w:divBdr>
    </w:div>
    <w:div w:id="1822575864">
      <w:bodyDiv w:val="1"/>
      <w:marLeft w:val="0"/>
      <w:marRight w:val="0"/>
      <w:marTop w:val="0"/>
      <w:marBottom w:val="0"/>
      <w:divBdr>
        <w:top w:val="none" w:sz="0" w:space="0" w:color="auto"/>
        <w:left w:val="none" w:sz="0" w:space="0" w:color="auto"/>
        <w:bottom w:val="none" w:sz="0" w:space="0" w:color="auto"/>
        <w:right w:val="none" w:sz="0" w:space="0" w:color="auto"/>
      </w:divBdr>
    </w:div>
    <w:div w:id="1822691713">
      <w:bodyDiv w:val="1"/>
      <w:marLeft w:val="0"/>
      <w:marRight w:val="0"/>
      <w:marTop w:val="0"/>
      <w:marBottom w:val="0"/>
      <w:divBdr>
        <w:top w:val="none" w:sz="0" w:space="0" w:color="auto"/>
        <w:left w:val="none" w:sz="0" w:space="0" w:color="auto"/>
        <w:bottom w:val="none" w:sz="0" w:space="0" w:color="auto"/>
        <w:right w:val="none" w:sz="0" w:space="0" w:color="auto"/>
      </w:divBdr>
    </w:div>
    <w:div w:id="1842310378">
      <w:bodyDiv w:val="1"/>
      <w:marLeft w:val="0"/>
      <w:marRight w:val="0"/>
      <w:marTop w:val="0"/>
      <w:marBottom w:val="0"/>
      <w:divBdr>
        <w:top w:val="none" w:sz="0" w:space="0" w:color="auto"/>
        <w:left w:val="none" w:sz="0" w:space="0" w:color="auto"/>
        <w:bottom w:val="none" w:sz="0" w:space="0" w:color="auto"/>
        <w:right w:val="none" w:sz="0" w:space="0" w:color="auto"/>
      </w:divBdr>
    </w:div>
    <w:div w:id="1844272420">
      <w:bodyDiv w:val="1"/>
      <w:marLeft w:val="0"/>
      <w:marRight w:val="0"/>
      <w:marTop w:val="0"/>
      <w:marBottom w:val="0"/>
      <w:divBdr>
        <w:top w:val="none" w:sz="0" w:space="0" w:color="auto"/>
        <w:left w:val="none" w:sz="0" w:space="0" w:color="auto"/>
        <w:bottom w:val="none" w:sz="0" w:space="0" w:color="auto"/>
        <w:right w:val="none" w:sz="0" w:space="0" w:color="auto"/>
      </w:divBdr>
    </w:div>
    <w:div w:id="1855607313">
      <w:bodyDiv w:val="1"/>
      <w:marLeft w:val="0"/>
      <w:marRight w:val="0"/>
      <w:marTop w:val="0"/>
      <w:marBottom w:val="0"/>
      <w:divBdr>
        <w:top w:val="none" w:sz="0" w:space="0" w:color="auto"/>
        <w:left w:val="none" w:sz="0" w:space="0" w:color="auto"/>
        <w:bottom w:val="none" w:sz="0" w:space="0" w:color="auto"/>
        <w:right w:val="none" w:sz="0" w:space="0" w:color="auto"/>
      </w:divBdr>
    </w:div>
    <w:div w:id="1860314005">
      <w:bodyDiv w:val="1"/>
      <w:marLeft w:val="0"/>
      <w:marRight w:val="0"/>
      <w:marTop w:val="0"/>
      <w:marBottom w:val="0"/>
      <w:divBdr>
        <w:top w:val="none" w:sz="0" w:space="0" w:color="auto"/>
        <w:left w:val="none" w:sz="0" w:space="0" w:color="auto"/>
        <w:bottom w:val="none" w:sz="0" w:space="0" w:color="auto"/>
        <w:right w:val="none" w:sz="0" w:space="0" w:color="auto"/>
      </w:divBdr>
    </w:div>
    <w:div w:id="1881741124">
      <w:bodyDiv w:val="1"/>
      <w:marLeft w:val="0"/>
      <w:marRight w:val="0"/>
      <w:marTop w:val="0"/>
      <w:marBottom w:val="0"/>
      <w:divBdr>
        <w:top w:val="none" w:sz="0" w:space="0" w:color="auto"/>
        <w:left w:val="none" w:sz="0" w:space="0" w:color="auto"/>
        <w:bottom w:val="none" w:sz="0" w:space="0" w:color="auto"/>
        <w:right w:val="none" w:sz="0" w:space="0" w:color="auto"/>
      </w:divBdr>
    </w:div>
    <w:div w:id="1895697068">
      <w:bodyDiv w:val="1"/>
      <w:marLeft w:val="0"/>
      <w:marRight w:val="0"/>
      <w:marTop w:val="0"/>
      <w:marBottom w:val="0"/>
      <w:divBdr>
        <w:top w:val="none" w:sz="0" w:space="0" w:color="auto"/>
        <w:left w:val="none" w:sz="0" w:space="0" w:color="auto"/>
        <w:bottom w:val="none" w:sz="0" w:space="0" w:color="auto"/>
        <w:right w:val="none" w:sz="0" w:space="0" w:color="auto"/>
      </w:divBdr>
    </w:div>
    <w:div w:id="1907297202">
      <w:bodyDiv w:val="1"/>
      <w:marLeft w:val="0"/>
      <w:marRight w:val="0"/>
      <w:marTop w:val="0"/>
      <w:marBottom w:val="0"/>
      <w:divBdr>
        <w:top w:val="none" w:sz="0" w:space="0" w:color="auto"/>
        <w:left w:val="none" w:sz="0" w:space="0" w:color="auto"/>
        <w:bottom w:val="none" w:sz="0" w:space="0" w:color="auto"/>
        <w:right w:val="none" w:sz="0" w:space="0" w:color="auto"/>
      </w:divBdr>
    </w:div>
    <w:div w:id="1913615197">
      <w:bodyDiv w:val="1"/>
      <w:marLeft w:val="0"/>
      <w:marRight w:val="0"/>
      <w:marTop w:val="0"/>
      <w:marBottom w:val="0"/>
      <w:divBdr>
        <w:top w:val="none" w:sz="0" w:space="0" w:color="auto"/>
        <w:left w:val="none" w:sz="0" w:space="0" w:color="auto"/>
        <w:bottom w:val="none" w:sz="0" w:space="0" w:color="auto"/>
        <w:right w:val="none" w:sz="0" w:space="0" w:color="auto"/>
      </w:divBdr>
    </w:div>
    <w:div w:id="1915772428">
      <w:bodyDiv w:val="1"/>
      <w:marLeft w:val="0"/>
      <w:marRight w:val="0"/>
      <w:marTop w:val="0"/>
      <w:marBottom w:val="0"/>
      <w:divBdr>
        <w:top w:val="none" w:sz="0" w:space="0" w:color="auto"/>
        <w:left w:val="none" w:sz="0" w:space="0" w:color="auto"/>
        <w:bottom w:val="none" w:sz="0" w:space="0" w:color="auto"/>
        <w:right w:val="none" w:sz="0" w:space="0" w:color="auto"/>
      </w:divBdr>
    </w:div>
    <w:div w:id="1916737923">
      <w:bodyDiv w:val="1"/>
      <w:marLeft w:val="0"/>
      <w:marRight w:val="0"/>
      <w:marTop w:val="0"/>
      <w:marBottom w:val="0"/>
      <w:divBdr>
        <w:top w:val="none" w:sz="0" w:space="0" w:color="auto"/>
        <w:left w:val="none" w:sz="0" w:space="0" w:color="auto"/>
        <w:bottom w:val="none" w:sz="0" w:space="0" w:color="auto"/>
        <w:right w:val="none" w:sz="0" w:space="0" w:color="auto"/>
      </w:divBdr>
    </w:div>
    <w:div w:id="1921256276">
      <w:bodyDiv w:val="1"/>
      <w:marLeft w:val="0"/>
      <w:marRight w:val="0"/>
      <w:marTop w:val="0"/>
      <w:marBottom w:val="0"/>
      <w:divBdr>
        <w:top w:val="none" w:sz="0" w:space="0" w:color="auto"/>
        <w:left w:val="none" w:sz="0" w:space="0" w:color="auto"/>
        <w:bottom w:val="none" w:sz="0" w:space="0" w:color="auto"/>
        <w:right w:val="none" w:sz="0" w:space="0" w:color="auto"/>
      </w:divBdr>
    </w:div>
    <w:div w:id="1925262770">
      <w:bodyDiv w:val="1"/>
      <w:marLeft w:val="0"/>
      <w:marRight w:val="0"/>
      <w:marTop w:val="0"/>
      <w:marBottom w:val="0"/>
      <w:divBdr>
        <w:top w:val="none" w:sz="0" w:space="0" w:color="auto"/>
        <w:left w:val="none" w:sz="0" w:space="0" w:color="auto"/>
        <w:bottom w:val="none" w:sz="0" w:space="0" w:color="auto"/>
        <w:right w:val="none" w:sz="0" w:space="0" w:color="auto"/>
      </w:divBdr>
    </w:div>
    <w:div w:id="1938980093">
      <w:bodyDiv w:val="1"/>
      <w:marLeft w:val="0"/>
      <w:marRight w:val="0"/>
      <w:marTop w:val="0"/>
      <w:marBottom w:val="0"/>
      <w:divBdr>
        <w:top w:val="none" w:sz="0" w:space="0" w:color="auto"/>
        <w:left w:val="none" w:sz="0" w:space="0" w:color="auto"/>
        <w:bottom w:val="none" w:sz="0" w:space="0" w:color="auto"/>
        <w:right w:val="none" w:sz="0" w:space="0" w:color="auto"/>
      </w:divBdr>
    </w:div>
    <w:div w:id="1940064695">
      <w:bodyDiv w:val="1"/>
      <w:marLeft w:val="0"/>
      <w:marRight w:val="0"/>
      <w:marTop w:val="0"/>
      <w:marBottom w:val="0"/>
      <w:divBdr>
        <w:top w:val="none" w:sz="0" w:space="0" w:color="auto"/>
        <w:left w:val="none" w:sz="0" w:space="0" w:color="auto"/>
        <w:bottom w:val="none" w:sz="0" w:space="0" w:color="auto"/>
        <w:right w:val="none" w:sz="0" w:space="0" w:color="auto"/>
      </w:divBdr>
    </w:div>
    <w:div w:id="1980262932">
      <w:bodyDiv w:val="1"/>
      <w:marLeft w:val="0"/>
      <w:marRight w:val="0"/>
      <w:marTop w:val="0"/>
      <w:marBottom w:val="0"/>
      <w:divBdr>
        <w:top w:val="none" w:sz="0" w:space="0" w:color="auto"/>
        <w:left w:val="none" w:sz="0" w:space="0" w:color="auto"/>
        <w:bottom w:val="none" w:sz="0" w:space="0" w:color="auto"/>
        <w:right w:val="none" w:sz="0" w:space="0" w:color="auto"/>
      </w:divBdr>
    </w:div>
    <w:div w:id="1980840396">
      <w:bodyDiv w:val="1"/>
      <w:marLeft w:val="0"/>
      <w:marRight w:val="0"/>
      <w:marTop w:val="0"/>
      <w:marBottom w:val="0"/>
      <w:divBdr>
        <w:top w:val="none" w:sz="0" w:space="0" w:color="auto"/>
        <w:left w:val="none" w:sz="0" w:space="0" w:color="auto"/>
        <w:bottom w:val="none" w:sz="0" w:space="0" w:color="auto"/>
        <w:right w:val="none" w:sz="0" w:space="0" w:color="auto"/>
      </w:divBdr>
    </w:div>
    <w:div w:id="1994485960">
      <w:bodyDiv w:val="1"/>
      <w:marLeft w:val="0"/>
      <w:marRight w:val="0"/>
      <w:marTop w:val="0"/>
      <w:marBottom w:val="0"/>
      <w:divBdr>
        <w:top w:val="none" w:sz="0" w:space="0" w:color="auto"/>
        <w:left w:val="none" w:sz="0" w:space="0" w:color="auto"/>
        <w:bottom w:val="none" w:sz="0" w:space="0" w:color="auto"/>
        <w:right w:val="none" w:sz="0" w:space="0" w:color="auto"/>
      </w:divBdr>
      <w:divsChild>
        <w:div w:id="673458581">
          <w:marLeft w:val="0"/>
          <w:marRight w:val="0"/>
          <w:marTop w:val="0"/>
          <w:marBottom w:val="0"/>
          <w:divBdr>
            <w:top w:val="none" w:sz="0" w:space="0" w:color="auto"/>
            <w:left w:val="none" w:sz="0" w:space="0" w:color="auto"/>
            <w:bottom w:val="none" w:sz="0" w:space="0" w:color="auto"/>
            <w:right w:val="none" w:sz="0" w:space="0" w:color="auto"/>
          </w:divBdr>
        </w:div>
        <w:div w:id="742414788">
          <w:marLeft w:val="0"/>
          <w:marRight w:val="0"/>
          <w:marTop w:val="0"/>
          <w:marBottom w:val="0"/>
          <w:divBdr>
            <w:top w:val="none" w:sz="0" w:space="0" w:color="auto"/>
            <w:left w:val="none" w:sz="0" w:space="0" w:color="auto"/>
            <w:bottom w:val="none" w:sz="0" w:space="0" w:color="auto"/>
            <w:right w:val="none" w:sz="0" w:space="0" w:color="auto"/>
          </w:divBdr>
        </w:div>
        <w:div w:id="1134106740">
          <w:marLeft w:val="0"/>
          <w:marRight w:val="0"/>
          <w:marTop w:val="0"/>
          <w:marBottom w:val="0"/>
          <w:divBdr>
            <w:top w:val="none" w:sz="0" w:space="0" w:color="auto"/>
            <w:left w:val="none" w:sz="0" w:space="0" w:color="auto"/>
            <w:bottom w:val="none" w:sz="0" w:space="0" w:color="auto"/>
            <w:right w:val="none" w:sz="0" w:space="0" w:color="auto"/>
          </w:divBdr>
        </w:div>
        <w:div w:id="1142848644">
          <w:marLeft w:val="0"/>
          <w:marRight w:val="0"/>
          <w:marTop w:val="0"/>
          <w:marBottom w:val="0"/>
          <w:divBdr>
            <w:top w:val="none" w:sz="0" w:space="0" w:color="auto"/>
            <w:left w:val="none" w:sz="0" w:space="0" w:color="auto"/>
            <w:bottom w:val="none" w:sz="0" w:space="0" w:color="auto"/>
            <w:right w:val="none" w:sz="0" w:space="0" w:color="auto"/>
          </w:divBdr>
        </w:div>
        <w:div w:id="1594437366">
          <w:marLeft w:val="0"/>
          <w:marRight w:val="0"/>
          <w:marTop w:val="0"/>
          <w:marBottom w:val="0"/>
          <w:divBdr>
            <w:top w:val="none" w:sz="0" w:space="0" w:color="auto"/>
            <w:left w:val="none" w:sz="0" w:space="0" w:color="auto"/>
            <w:bottom w:val="none" w:sz="0" w:space="0" w:color="auto"/>
            <w:right w:val="none" w:sz="0" w:space="0" w:color="auto"/>
          </w:divBdr>
        </w:div>
      </w:divsChild>
    </w:div>
    <w:div w:id="1995186128">
      <w:bodyDiv w:val="1"/>
      <w:marLeft w:val="0"/>
      <w:marRight w:val="0"/>
      <w:marTop w:val="0"/>
      <w:marBottom w:val="0"/>
      <w:divBdr>
        <w:top w:val="none" w:sz="0" w:space="0" w:color="auto"/>
        <w:left w:val="none" w:sz="0" w:space="0" w:color="auto"/>
        <w:bottom w:val="none" w:sz="0" w:space="0" w:color="auto"/>
        <w:right w:val="none" w:sz="0" w:space="0" w:color="auto"/>
      </w:divBdr>
    </w:div>
    <w:div w:id="2023579839">
      <w:bodyDiv w:val="1"/>
      <w:marLeft w:val="0"/>
      <w:marRight w:val="0"/>
      <w:marTop w:val="0"/>
      <w:marBottom w:val="0"/>
      <w:divBdr>
        <w:top w:val="none" w:sz="0" w:space="0" w:color="auto"/>
        <w:left w:val="none" w:sz="0" w:space="0" w:color="auto"/>
        <w:bottom w:val="none" w:sz="0" w:space="0" w:color="auto"/>
        <w:right w:val="none" w:sz="0" w:space="0" w:color="auto"/>
      </w:divBdr>
    </w:div>
    <w:div w:id="2025159143">
      <w:bodyDiv w:val="1"/>
      <w:marLeft w:val="0"/>
      <w:marRight w:val="0"/>
      <w:marTop w:val="0"/>
      <w:marBottom w:val="0"/>
      <w:divBdr>
        <w:top w:val="none" w:sz="0" w:space="0" w:color="auto"/>
        <w:left w:val="none" w:sz="0" w:space="0" w:color="auto"/>
        <w:bottom w:val="none" w:sz="0" w:space="0" w:color="auto"/>
        <w:right w:val="none" w:sz="0" w:space="0" w:color="auto"/>
      </w:divBdr>
    </w:div>
    <w:div w:id="2054231307">
      <w:bodyDiv w:val="1"/>
      <w:marLeft w:val="0"/>
      <w:marRight w:val="0"/>
      <w:marTop w:val="0"/>
      <w:marBottom w:val="0"/>
      <w:divBdr>
        <w:top w:val="none" w:sz="0" w:space="0" w:color="auto"/>
        <w:left w:val="none" w:sz="0" w:space="0" w:color="auto"/>
        <w:bottom w:val="none" w:sz="0" w:space="0" w:color="auto"/>
        <w:right w:val="none" w:sz="0" w:space="0" w:color="auto"/>
      </w:divBdr>
    </w:div>
    <w:div w:id="2056277061">
      <w:bodyDiv w:val="1"/>
      <w:marLeft w:val="0"/>
      <w:marRight w:val="0"/>
      <w:marTop w:val="0"/>
      <w:marBottom w:val="0"/>
      <w:divBdr>
        <w:top w:val="none" w:sz="0" w:space="0" w:color="auto"/>
        <w:left w:val="none" w:sz="0" w:space="0" w:color="auto"/>
        <w:bottom w:val="none" w:sz="0" w:space="0" w:color="auto"/>
        <w:right w:val="none" w:sz="0" w:space="0" w:color="auto"/>
      </w:divBdr>
      <w:divsChild>
        <w:div w:id="2130318687">
          <w:marLeft w:val="0"/>
          <w:marRight w:val="0"/>
          <w:marTop w:val="0"/>
          <w:marBottom w:val="0"/>
          <w:divBdr>
            <w:top w:val="none" w:sz="0" w:space="0" w:color="auto"/>
            <w:left w:val="none" w:sz="0" w:space="0" w:color="auto"/>
            <w:bottom w:val="none" w:sz="0" w:space="0" w:color="auto"/>
            <w:right w:val="none" w:sz="0" w:space="0" w:color="auto"/>
          </w:divBdr>
          <w:divsChild>
            <w:div w:id="2136830904">
              <w:marLeft w:val="0"/>
              <w:marRight w:val="0"/>
              <w:marTop w:val="0"/>
              <w:marBottom w:val="0"/>
              <w:divBdr>
                <w:top w:val="none" w:sz="0" w:space="0" w:color="auto"/>
                <w:left w:val="none" w:sz="0" w:space="0" w:color="auto"/>
                <w:bottom w:val="none" w:sz="0" w:space="0" w:color="auto"/>
                <w:right w:val="none" w:sz="0" w:space="0" w:color="auto"/>
              </w:divBdr>
              <w:divsChild>
                <w:div w:id="1062093612">
                  <w:marLeft w:val="0"/>
                  <w:marRight w:val="0"/>
                  <w:marTop w:val="0"/>
                  <w:marBottom w:val="0"/>
                  <w:divBdr>
                    <w:top w:val="none" w:sz="0" w:space="0" w:color="auto"/>
                    <w:left w:val="none" w:sz="0" w:space="0" w:color="auto"/>
                    <w:bottom w:val="none" w:sz="0" w:space="0" w:color="auto"/>
                    <w:right w:val="none" w:sz="0" w:space="0" w:color="auto"/>
                  </w:divBdr>
                  <w:divsChild>
                    <w:div w:id="1594246297">
                      <w:marLeft w:val="0"/>
                      <w:marRight w:val="0"/>
                      <w:marTop w:val="0"/>
                      <w:marBottom w:val="0"/>
                      <w:divBdr>
                        <w:top w:val="none" w:sz="0" w:space="0" w:color="auto"/>
                        <w:left w:val="none" w:sz="0" w:space="0" w:color="auto"/>
                        <w:bottom w:val="none" w:sz="0" w:space="0" w:color="auto"/>
                        <w:right w:val="none" w:sz="0" w:space="0" w:color="auto"/>
                      </w:divBdr>
                      <w:divsChild>
                        <w:div w:id="472521979">
                          <w:marLeft w:val="0"/>
                          <w:marRight w:val="0"/>
                          <w:marTop w:val="0"/>
                          <w:marBottom w:val="0"/>
                          <w:divBdr>
                            <w:top w:val="none" w:sz="0" w:space="0" w:color="auto"/>
                            <w:left w:val="none" w:sz="0" w:space="0" w:color="auto"/>
                            <w:bottom w:val="none" w:sz="0" w:space="0" w:color="auto"/>
                            <w:right w:val="none" w:sz="0" w:space="0" w:color="auto"/>
                          </w:divBdr>
                          <w:divsChild>
                            <w:div w:id="195168434">
                              <w:marLeft w:val="0"/>
                              <w:marRight w:val="0"/>
                              <w:marTop w:val="0"/>
                              <w:marBottom w:val="0"/>
                              <w:divBdr>
                                <w:top w:val="none" w:sz="0" w:space="0" w:color="auto"/>
                                <w:left w:val="none" w:sz="0" w:space="0" w:color="auto"/>
                                <w:bottom w:val="none" w:sz="0" w:space="0" w:color="auto"/>
                                <w:right w:val="none" w:sz="0" w:space="0" w:color="auto"/>
                              </w:divBdr>
                              <w:divsChild>
                                <w:div w:id="806581530">
                                  <w:marLeft w:val="0"/>
                                  <w:marRight w:val="0"/>
                                  <w:marTop w:val="0"/>
                                  <w:marBottom w:val="0"/>
                                  <w:divBdr>
                                    <w:top w:val="none" w:sz="0" w:space="0" w:color="auto"/>
                                    <w:left w:val="none" w:sz="0" w:space="0" w:color="auto"/>
                                    <w:bottom w:val="none" w:sz="0" w:space="0" w:color="auto"/>
                                    <w:right w:val="none" w:sz="0" w:space="0" w:color="auto"/>
                                  </w:divBdr>
                                  <w:divsChild>
                                    <w:div w:id="773093579">
                                      <w:marLeft w:val="0"/>
                                      <w:marRight w:val="0"/>
                                      <w:marTop w:val="0"/>
                                      <w:marBottom w:val="0"/>
                                      <w:divBdr>
                                        <w:top w:val="none" w:sz="0" w:space="0" w:color="auto"/>
                                        <w:left w:val="none" w:sz="0" w:space="0" w:color="auto"/>
                                        <w:bottom w:val="none" w:sz="0" w:space="0" w:color="auto"/>
                                        <w:right w:val="none" w:sz="0" w:space="0" w:color="auto"/>
                                      </w:divBdr>
                                      <w:divsChild>
                                        <w:div w:id="334306621">
                                          <w:marLeft w:val="0"/>
                                          <w:marRight w:val="0"/>
                                          <w:marTop w:val="0"/>
                                          <w:marBottom w:val="0"/>
                                          <w:divBdr>
                                            <w:top w:val="none" w:sz="0" w:space="0" w:color="auto"/>
                                            <w:left w:val="none" w:sz="0" w:space="0" w:color="auto"/>
                                            <w:bottom w:val="none" w:sz="0" w:space="0" w:color="auto"/>
                                            <w:right w:val="none" w:sz="0" w:space="0" w:color="auto"/>
                                          </w:divBdr>
                                          <w:divsChild>
                                            <w:div w:id="187908595">
                                              <w:marLeft w:val="0"/>
                                              <w:marRight w:val="0"/>
                                              <w:marTop w:val="0"/>
                                              <w:marBottom w:val="0"/>
                                              <w:divBdr>
                                                <w:top w:val="none" w:sz="0" w:space="0" w:color="auto"/>
                                                <w:left w:val="none" w:sz="0" w:space="0" w:color="auto"/>
                                                <w:bottom w:val="none" w:sz="0" w:space="0" w:color="auto"/>
                                                <w:right w:val="none" w:sz="0" w:space="0" w:color="auto"/>
                                              </w:divBdr>
                                              <w:divsChild>
                                                <w:div w:id="1132209765">
                                                  <w:marLeft w:val="0"/>
                                                  <w:marRight w:val="0"/>
                                                  <w:marTop w:val="0"/>
                                                  <w:marBottom w:val="0"/>
                                                  <w:divBdr>
                                                    <w:top w:val="none" w:sz="0" w:space="0" w:color="auto"/>
                                                    <w:left w:val="none" w:sz="0" w:space="0" w:color="auto"/>
                                                    <w:bottom w:val="none" w:sz="0" w:space="0" w:color="auto"/>
                                                    <w:right w:val="none" w:sz="0" w:space="0" w:color="auto"/>
                                                  </w:divBdr>
                                                  <w:divsChild>
                                                    <w:div w:id="2042705405">
                                                      <w:marLeft w:val="0"/>
                                                      <w:marRight w:val="0"/>
                                                      <w:marTop w:val="0"/>
                                                      <w:marBottom w:val="0"/>
                                                      <w:divBdr>
                                                        <w:top w:val="none" w:sz="0" w:space="0" w:color="auto"/>
                                                        <w:left w:val="none" w:sz="0" w:space="0" w:color="auto"/>
                                                        <w:bottom w:val="none" w:sz="0" w:space="0" w:color="auto"/>
                                                        <w:right w:val="none" w:sz="0" w:space="0" w:color="auto"/>
                                                      </w:divBdr>
                                                      <w:divsChild>
                                                        <w:div w:id="85854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6373782">
      <w:bodyDiv w:val="1"/>
      <w:marLeft w:val="0"/>
      <w:marRight w:val="0"/>
      <w:marTop w:val="0"/>
      <w:marBottom w:val="0"/>
      <w:divBdr>
        <w:top w:val="none" w:sz="0" w:space="0" w:color="auto"/>
        <w:left w:val="none" w:sz="0" w:space="0" w:color="auto"/>
        <w:bottom w:val="none" w:sz="0" w:space="0" w:color="auto"/>
        <w:right w:val="none" w:sz="0" w:space="0" w:color="auto"/>
      </w:divBdr>
    </w:div>
    <w:div w:id="2085447474">
      <w:bodyDiv w:val="1"/>
      <w:marLeft w:val="0"/>
      <w:marRight w:val="0"/>
      <w:marTop w:val="0"/>
      <w:marBottom w:val="0"/>
      <w:divBdr>
        <w:top w:val="none" w:sz="0" w:space="0" w:color="auto"/>
        <w:left w:val="none" w:sz="0" w:space="0" w:color="auto"/>
        <w:bottom w:val="none" w:sz="0" w:space="0" w:color="auto"/>
        <w:right w:val="none" w:sz="0" w:space="0" w:color="auto"/>
      </w:divBdr>
    </w:div>
    <w:div w:id="2088109003">
      <w:bodyDiv w:val="1"/>
      <w:marLeft w:val="0"/>
      <w:marRight w:val="0"/>
      <w:marTop w:val="0"/>
      <w:marBottom w:val="0"/>
      <w:divBdr>
        <w:top w:val="none" w:sz="0" w:space="0" w:color="auto"/>
        <w:left w:val="none" w:sz="0" w:space="0" w:color="auto"/>
        <w:bottom w:val="none" w:sz="0" w:space="0" w:color="auto"/>
        <w:right w:val="none" w:sz="0" w:space="0" w:color="auto"/>
      </w:divBdr>
    </w:div>
    <w:div w:id="2095084440">
      <w:bodyDiv w:val="1"/>
      <w:marLeft w:val="0"/>
      <w:marRight w:val="0"/>
      <w:marTop w:val="0"/>
      <w:marBottom w:val="0"/>
      <w:divBdr>
        <w:top w:val="none" w:sz="0" w:space="0" w:color="auto"/>
        <w:left w:val="none" w:sz="0" w:space="0" w:color="auto"/>
        <w:bottom w:val="none" w:sz="0" w:space="0" w:color="auto"/>
        <w:right w:val="none" w:sz="0" w:space="0" w:color="auto"/>
      </w:divBdr>
    </w:div>
    <w:div w:id="2098359688">
      <w:bodyDiv w:val="1"/>
      <w:marLeft w:val="0"/>
      <w:marRight w:val="0"/>
      <w:marTop w:val="0"/>
      <w:marBottom w:val="0"/>
      <w:divBdr>
        <w:top w:val="none" w:sz="0" w:space="0" w:color="auto"/>
        <w:left w:val="none" w:sz="0" w:space="0" w:color="auto"/>
        <w:bottom w:val="none" w:sz="0" w:space="0" w:color="auto"/>
        <w:right w:val="none" w:sz="0" w:space="0" w:color="auto"/>
      </w:divBdr>
    </w:div>
    <w:div w:id="2103645906">
      <w:bodyDiv w:val="1"/>
      <w:marLeft w:val="0"/>
      <w:marRight w:val="0"/>
      <w:marTop w:val="0"/>
      <w:marBottom w:val="0"/>
      <w:divBdr>
        <w:top w:val="none" w:sz="0" w:space="0" w:color="auto"/>
        <w:left w:val="none" w:sz="0" w:space="0" w:color="auto"/>
        <w:bottom w:val="none" w:sz="0" w:space="0" w:color="auto"/>
        <w:right w:val="none" w:sz="0" w:space="0" w:color="auto"/>
      </w:divBdr>
    </w:div>
    <w:div w:id="2112315860">
      <w:bodyDiv w:val="1"/>
      <w:marLeft w:val="0"/>
      <w:marRight w:val="0"/>
      <w:marTop w:val="0"/>
      <w:marBottom w:val="0"/>
      <w:divBdr>
        <w:top w:val="none" w:sz="0" w:space="0" w:color="auto"/>
        <w:left w:val="none" w:sz="0" w:space="0" w:color="auto"/>
        <w:bottom w:val="none" w:sz="0" w:space="0" w:color="auto"/>
        <w:right w:val="none" w:sz="0" w:space="0" w:color="auto"/>
      </w:divBdr>
    </w:div>
    <w:div w:id="2116170647">
      <w:bodyDiv w:val="1"/>
      <w:marLeft w:val="0"/>
      <w:marRight w:val="0"/>
      <w:marTop w:val="0"/>
      <w:marBottom w:val="0"/>
      <w:divBdr>
        <w:top w:val="none" w:sz="0" w:space="0" w:color="auto"/>
        <w:left w:val="none" w:sz="0" w:space="0" w:color="auto"/>
        <w:bottom w:val="none" w:sz="0" w:space="0" w:color="auto"/>
        <w:right w:val="none" w:sz="0" w:space="0" w:color="auto"/>
      </w:divBdr>
      <w:divsChild>
        <w:div w:id="143736923">
          <w:marLeft w:val="274"/>
          <w:marRight w:val="0"/>
          <w:marTop w:val="0"/>
          <w:marBottom w:val="0"/>
          <w:divBdr>
            <w:top w:val="none" w:sz="0" w:space="0" w:color="auto"/>
            <w:left w:val="none" w:sz="0" w:space="0" w:color="auto"/>
            <w:bottom w:val="none" w:sz="0" w:space="0" w:color="auto"/>
            <w:right w:val="none" w:sz="0" w:space="0" w:color="auto"/>
          </w:divBdr>
        </w:div>
        <w:div w:id="167645993">
          <w:marLeft w:val="274"/>
          <w:marRight w:val="0"/>
          <w:marTop w:val="0"/>
          <w:marBottom w:val="0"/>
          <w:divBdr>
            <w:top w:val="none" w:sz="0" w:space="0" w:color="auto"/>
            <w:left w:val="none" w:sz="0" w:space="0" w:color="auto"/>
            <w:bottom w:val="none" w:sz="0" w:space="0" w:color="auto"/>
            <w:right w:val="none" w:sz="0" w:space="0" w:color="auto"/>
          </w:divBdr>
        </w:div>
        <w:div w:id="253902247">
          <w:marLeft w:val="274"/>
          <w:marRight w:val="0"/>
          <w:marTop w:val="0"/>
          <w:marBottom w:val="0"/>
          <w:divBdr>
            <w:top w:val="none" w:sz="0" w:space="0" w:color="auto"/>
            <w:left w:val="none" w:sz="0" w:space="0" w:color="auto"/>
            <w:bottom w:val="none" w:sz="0" w:space="0" w:color="auto"/>
            <w:right w:val="none" w:sz="0" w:space="0" w:color="auto"/>
          </w:divBdr>
        </w:div>
        <w:div w:id="262034212">
          <w:marLeft w:val="274"/>
          <w:marRight w:val="0"/>
          <w:marTop w:val="0"/>
          <w:marBottom w:val="0"/>
          <w:divBdr>
            <w:top w:val="none" w:sz="0" w:space="0" w:color="auto"/>
            <w:left w:val="none" w:sz="0" w:space="0" w:color="auto"/>
            <w:bottom w:val="none" w:sz="0" w:space="0" w:color="auto"/>
            <w:right w:val="none" w:sz="0" w:space="0" w:color="auto"/>
          </w:divBdr>
        </w:div>
        <w:div w:id="276571533">
          <w:marLeft w:val="274"/>
          <w:marRight w:val="0"/>
          <w:marTop w:val="0"/>
          <w:marBottom w:val="0"/>
          <w:divBdr>
            <w:top w:val="none" w:sz="0" w:space="0" w:color="auto"/>
            <w:left w:val="none" w:sz="0" w:space="0" w:color="auto"/>
            <w:bottom w:val="none" w:sz="0" w:space="0" w:color="auto"/>
            <w:right w:val="none" w:sz="0" w:space="0" w:color="auto"/>
          </w:divBdr>
        </w:div>
      </w:divsChild>
    </w:div>
    <w:div w:id="2120946169">
      <w:bodyDiv w:val="1"/>
      <w:marLeft w:val="0"/>
      <w:marRight w:val="0"/>
      <w:marTop w:val="0"/>
      <w:marBottom w:val="0"/>
      <w:divBdr>
        <w:top w:val="none" w:sz="0" w:space="0" w:color="auto"/>
        <w:left w:val="none" w:sz="0" w:space="0" w:color="auto"/>
        <w:bottom w:val="none" w:sz="0" w:space="0" w:color="auto"/>
        <w:right w:val="none" w:sz="0" w:space="0" w:color="auto"/>
      </w:divBdr>
    </w:div>
    <w:div w:id="212730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2.emf"/><Relationship Id="rId26" Type="http://schemas.openxmlformats.org/officeDocument/2006/relationships/image" Target="media/image7.emf"/><Relationship Id="rId39" Type="http://schemas.openxmlformats.org/officeDocument/2006/relationships/image" Target="media/image17.emf"/><Relationship Id="rId21" Type="http://schemas.openxmlformats.org/officeDocument/2006/relationships/hyperlink" Target="https://en.wikipedia.org/wiki/Organ_(anatomy)" TargetMode="External"/><Relationship Id="rId34" Type="http://schemas.openxmlformats.org/officeDocument/2006/relationships/header" Target="header8.xml"/><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header" Target="header10.xml"/><Relationship Id="rId55"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6.emf"/><Relationship Id="rId33" Type="http://schemas.openxmlformats.org/officeDocument/2006/relationships/header" Target="header7.xml"/><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en.wikipedia.org/wiki/Organ_donation" TargetMode="External"/><Relationship Id="rId29" Type="http://schemas.openxmlformats.org/officeDocument/2006/relationships/image" Target="media/image10.emf"/><Relationship Id="rId41" Type="http://schemas.openxmlformats.org/officeDocument/2006/relationships/image" Target="media/image19.emf"/><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header" Target="header1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4.emf"/><Relationship Id="rId49" Type="http://schemas.openxmlformats.org/officeDocument/2006/relationships/image" Target="media/image27.emf"/><Relationship Id="rId57" Type="http://schemas.openxmlformats.org/officeDocument/2006/relationships/header" Target="header15.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12.emf"/><Relationship Id="rId44" Type="http://schemas.openxmlformats.org/officeDocument/2006/relationships/image" Target="media/image22.emf"/><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en.wikipedia.org/wiki/Biological_tissue"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eader" Target="header9.xml"/><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footer" Target="footer5.xml"/><Relationship Id="rId8" Type="http://schemas.openxmlformats.org/officeDocument/2006/relationships/header" Target="header1.xml"/><Relationship Id="rId51" Type="http://schemas.openxmlformats.org/officeDocument/2006/relationships/header" Target="header1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ncbi.nlm.nih.gov/pubmed/?term=Matesanz%20R%5BAuthor%5D&amp;cauthor=true&amp;cauthor_uid=28066980" TargetMode="External"/><Relationship Id="rId2" Type="http://schemas.openxmlformats.org/officeDocument/2006/relationships/hyperlink" Target="https://www.ncbi.nlm.nih.gov/pubmed/?term=Matesanz%20R%5BAuthor%5D&amp;cauthor=true&amp;cauthor_uid=28066980" TargetMode="External"/><Relationship Id="rId1" Type="http://schemas.openxmlformats.org/officeDocument/2006/relationships/hyperlink" Target="https://donatelife.gov.au/sites/default/files/TSANZ%20Clinical%20Guidelines%20for%20Organ%20Transplantation%20from%20Deceased%20Donors_Version%201.0_April%202016.pdf" TargetMode="External"/><Relationship Id="rId6" Type="http://schemas.openxmlformats.org/officeDocument/2006/relationships/hyperlink" Target="https://donatelife.gov.au/sites/default/files/TSANZ%20Clinical%20Guidelines%20for%20Organ%20Transplantation%20from%20Deceased%20Donors_Version%201.0_April%202016.pdf" TargetMode="External"/><Relationship Id="rId5" Type="http://schemas.openxmlformats.org/officeDocument/2006/relationships/hyperlink" Target="https://www.ncbi.nlm.nih.gov/pubmed/?term=Matesanz%20R%5BAuthor%5D&amp;cauthor=true&amp;cauthor_uid=28066980" TargetMode="External"/><Relationship Id="rId4" Type="http://schemas.openxmlformats.org/officeDocument/2006/relationships/hyperlink" Target="https://www.ncbi.nlm.nih.gov/pubmed/?term=Matesanz%20R%5BAuthor%5D&amp;cauthor=true&amp;cauthor_uid=280669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7FCD600-1B33-4AC3-909F-2A2519A05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59669</Words>
  <Characters>340117</Characters>
  <Application>Microsoft Office Word</Application>
  <DocSecurity>0</DocSecurity>
  <Lines>2834</Lines>
  <Paragraphs>797</Paragraphs>
  <ScaleCrop>false</ScaleCrop>
  <HeadingPairs>
    <vt:vector size="2" baseType="variant">
      <vt:variant>
        <vt:lpstr>Title</vt:lpstr>
      </vt:variant>
      <vt:variant>
        <vt:i4>1</vt:i4>
      </vt:variant>
    </vt:vector>
  </HeadingPairs>
  <TitlesOfParts>
    <vt:vector size="1" baseType="lpstr">
      <vt:lpstr>Review of the Australian organ donation, retrieval and transplantation system</vt:lpstr>
    </vt:vector>
  </TitlesOfParts>
  <LinksUpToDate>false</LinksUpToDate>
  <CharactersWithSpaces>398989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Australian organ donation, retrieval and transplantation system</dc:title>
  <dc:subject/>
  <dc:creator/>
  <cp:keywords/>
  <dc:description/>
  <cp:lastModifiedBy/>
  <cp:revision>1</cp:revision>
  <dcterms:created xsi:type="dcterms:W3CDTF">2019-04-17T05:19:00Z</dcterms:created>
  <dcterms:modified xsi:type="dcterms:W3CDTF">2019-04-18T04:53:00Z</dcterms:modified>
</cp:coreProperties>
</file>