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16A87" w14:textId="592F0A34" w:rsidR="001947DB" w:rsidRDefault="00062745" w:rsidP="001947DB">
      <w:pPr>
        <w:jc w:val="center"/>
        <w:rPr>
          <w:b/>
        </w:rPr>
      </w:pPr>
      <w:r>
        <w:rPr>
          <w:b/>
        </w:rPr>
        <w:t xml:space="preserve">All </w:t>
      </w:r>
      <w:r w:rsidR="001947DB">
        <w:rPr>
          <w:b/>
        </w:rPr>
        <w:t>Governments</w:t>
      </w:r>
      <w:r w:rsidR="002D6F64">
        <w:rPr>
          <w:b/>
        </w:rPr>
        <w:t>’</w:t>
      </w:r>
      <w:r w:rsidR="00FC451E">
        <w:rPr>
          <w:b/>
        </w:rPr>
        <w:t xml:space="preserve"> Statement: </w:t>
      </w:r>
      <w:r>
        <w:rPr>
          <w:b/>
        </w:rPr>
        <w:t>Review of</w:t>
      </w:r>
      <w:r w:rsidR="001947DB">
        <w:rPr>
          <w:b/>
        </w:rPr>
        <w:t xml:space="preserve"> </w:t>
      </w:r>
      <w:r>
        <w:rPr>
          <w:b/>
        </w:rPr>
        <w:t xml:space="preserve">the Australian organ </w:t>
      </w:r>
      <w:r w:rsidR="001947DB">
        <w:rPr>
          <w:b/>
        </w:rPr>
        <w:t>donation, retrieval and transplantation system</w:t>
      </w:r>
    </w:p>
    <w:p w14:paraId="6DC755D0" w14:textId="03D32888" w:rsidR="0023114B" w:rsidRDefault="00163EBA" w:rsidP="0023114B">
      <w:pPr>
        <w:spacing w:line="268" w:lineRule="auto"/>
        <w:rPr>
          <w:rFonts w:eastAsia="Times New Roman" w:cstheme="minorHAnsi"/>
        </w:rPr>
      </w:pPr>
      <w:r>
        <w:t>All</w:t>
      </w:r>
      <w:r w:rsidRPr="00934FA6">
        <w:t xml:space="preserve"> </w:t>
      </w:r>
      <w:r>
        <w:t>Australian</w:t>
      </w:r>
      <w:r w:rsidR="0023114B" w:rsidRPr="00934FA6">
        <w:t xml:space="preserve"> governments are committed to ensuring </w:t>
      </w:r>
      <w:r>
        <w:t>Australia</w:t>
      </w:r>
      <w:r w:rsidRPr="00934FA6">
        <w:t xml:space="preserve"> </w:t>
      </w:r>
      <w:r>
        <w:t>has</w:t>
      </w:r>
      <w:r w:rsidRPr="00934FA6">
        <w:t xml:space="preserve"> </w:t>
      </w:r>
      <w:r w:rsidR="0023114B" w:rsidRPr="00934FA6">
        <w:t xml:space="preserve">the best systems in place </w:t>
      </w:r>
      <w:r w:rsidR="0023114B" w:rsidRPr="00934FA6">
        <w:rPr>
          <w:rFonts w:eastAsia="Times New Roman" w:cstheme="minorHAnsi"/>
        </w:rPr>
        <w:t xml:space="preserve">to support </w:t>
      </w:r>
      <w:r w:rsidR="0023114B" w:rsidRPr="00934FA6">
        <w:t xml:space="preserve">organ donation and </w:t>
      </w:r>
      <w:r>
        <w:t xml:space="preserve">to </w:t>
      </w:r>
      <w:r w:rsidR="0023114B" w:rsidRPr="00934FA6">
        <w:rPr>
          <w:rFonts w:eastAsia="Times New Roman" w:cstheme="minorHAnsi"/>
        </w:rPr>
        <w:t xml:space="preserve">optimise </w:t>
      </w:r>
      <w:r w:rsidR="0023114B" w:rsidRPr="00C91A31">
        <w:t xml:space="preserve">transplantation </w:t>
      </w:r>
      <w:r w:rsidR="0023114B" w:rsidRPr="00C91A31">
        <w:rPr>
          <w:rFonts w:eastAsia="Times New Roman" w:cstheme="minorHAnsi"/>
        </w:rPr>
        <w:t>outcomes</w:t>
      </w:r>
      <w:r w:rsidR="0023114B" w:rsidRPr="00755A8D">
        <w:rPr>
          <w:rFonts w:eastAsia="Times New Roman" w:cstheme="minorHAnsi"/>
        </w:rPr>
        <w:t>.</w:t>
      </w:r>
    </w:p>
    <w:p w14:paraId="266A971A" w14:textId="776F02DB" w:rsidR="0023114B" w:rsidRDefault="0023114B" w:rsidP="0023114B">
      <w:pPr>
        <w:spacing w:line="268" w:lineRule="auto"/>
      </w:pPr>
      <w:r>
        <w:t xml:space="preserve">On 13 April 2018, the COAG Health Council agreed to </w:t>
      </w:r>
      <w:r w:rsidR="009B0E18">
        <w:t>the Commonwealth</w:t>
      </w:r>
      <w:r w:rsidR="00CC4A3B">
        <w:t xml:space="preserve"> </w:t>
      </w:r>
      <w:r w:rsidR="009B0E18">
        <w:t>working with states and territories</w:t>
      </w:r>
      <w:r w:rsidR="00CC4A3B">
        <w:t xml:space="preserve"> to</w:t>
      </w:r>
      <w:r w:rsidR="009B0E18">
        <w:t xml:space="preserve"> undertak</w:t>
      </w:r>
      <w:r w:rsidR="00CC4A3B">
        <w:t>e</w:t>
      </w:r>
      <w:r w:rsidR="009B0E18">
        <w:t xml:space="preserve"> a </w:t>
      </w:r>
      <w:r w:rsidRPr="007100F8">
        <w:t>review of the Australian organ donation, retrieval and transplantation system</w:t>
      </w:r>
      <w:r>
        <w:t xml:space="preserve"> (the Review). </w:t>
      </w:r>
      <w:r w:rsidR="009B0E18">
        <w:t xml:space="preserve">The Review is being undertaken in two phases. </w:t>
      </w:r>
      <w:r>
        <w:t xml:space="preserve">The first </w:t>
      </w:r>
      <w:r w:rsidR="009B0E18">
        <w:t xml:space="preserve">phase </w:t>
      </w:r>
      <w:r>
        <w:t xml:space="preserve">sought to examine pre and post transplantation services and identify barriers to equity of access to transplant waiting lists and transplantation services. This included </w:t>
      </w:r>
      <w:r w:rsidRPr="00D06EEA">
        <w:t>extensive consultation with clinicians, jurisdictional officials</w:t>
      </w:r>
      <w:r w:rsidR="009B0E18">
        <w:t xml:space="preserve"> and stakeholders</w:t>
      </w:r>
      <w:r w:rsidRPr="00D06EEA">
        <w:t>, peak bodies, transplant recipients and donor families.</w:t>
      </w:r>
    </w:p>
    <w:p w14:paraId="256C1E97" w14:textId="7253D0F9" w:rsidR="001947DB" w:rsidRDefault="001947DB" w:rsidP="0076065E">
      <w:r>
        <w:t xml:space="preserve">The </w:t>
      </w:r>
      <w:hyperlink r:id="rId7" w:history="1">
        <w:r w:rsidRPr="00500257">
          <w:rPr>
            <w:rStyle w:val="Hyperlink"/>
            <w:i/>
          </w:rPr>
          <w:t>Review of the Australian organ donation, retrieval and transplantation system Final Report</w:t>
        </w:r>
      </w:hyperlink>
      <w:bookmarkStart w:id="0" w:name="_GoBack"/>
      <w:bookmarkEnd w:id="0"/>
      <w:r w:rsidR="00500257">
        <w:t xml:space="preserve"> (Final Report</w:t>
      </w:r>
      <w:r w:rsidR="003D3834">
        <w:t>)</w:t>
      </w:r>
      <w:r w:rsidR="003D6F6D">
        <w:t xml:space="preserve"> </w:t>
      </w:r>
      <w:r w:rsidR="0076065E" w:rsidRPr="00D06EEA">
        <w:t xml:space="preserve">found that increased donation activity has </w:t>
      </w:r>
      <w:r w:rsidR="00DD1ADF" w:rsidRPr="00D06EEA">
        <w:t xml:space="preserve">created </w:t>
      </w:r>
      <w:r w:rsidR="00DD1ADF">
        <w:t>significant</w:t>
      </w:r>
      <w:r w:rsidR="00CC0DAC">
        <w:t xml:space="preserve"> pressure on </w:t>
      </w:r>
      <w:r w:rsidR="0076065E" w:rsidRPr="00D06EEA">
        <w:t xml:space="preserve">downstream </w:t>
      </w:r>
      <w:r w:rsidR="00CC0DAC">
        <w:t>services and</w:t>
      </w:r>
      <w:r w:rsidR="00CC0DAC" w:rsidRPr="00D06EEA">
        <w:t xml:space="preserve"> </w:t>
      </w:r>
      <w:r w:rsidR="0076065E" w:rsidRPr="00D06EEA">
        <w:t>on the capacity of the health system</w:t>
      </w:r>
      <w:r w:rsidR="007465B7">
        <w:t>. A key finding was</w:t>
      </w:r>
      <w:r w:rsidR="00F33357">
        <w:t xml:space="preserve"> </w:t>
      </w:r>
      <w:r w:rsidR="0076065E" w:rsidRPr="00D06EEA">
        <w:t>that enhancements to the current system are required in order to sustain and continue to drive optimal transplantation outcomes.</w:t>
      </w:r>
    </w:p>
    <w:p w14:paraId="28D13D53" w14:textId="0BB8CD1D" w:rsidR="0076065E" w:rsidRDefault="0076065E" w:rsidP="0076065E">
      <w:r>
        <w:t>The</w:t>
      </w:r>
      <w:r w:rsidRPr="00C91A31">
        <w:t xml:space="preserve"> </w:t>
      </w:r>
      <w:r w:rsidRPr="00755A8D">
        <w:t>Final</w:t>
      </w:r>
      <w:r>
        <w:t xml:space="preserve"> Report</w:t>
      </w:r>
      <w:r w:rsidRPr="0076065E">
        <w:rPr>
          <w:i/>
        </w:rPr>
        <w:t xml:space="preserve"> </w:t>
      </w:r>
      <w:r w:rsidR="002C542F">
        <w:t>identified</w:t>
      </w:r>
      <w:r w:rsidR="00A54602">
        <w:t xml:space="preserve"> </w:t>
      </w:r>
      <w:r w:rsidR="002C542F">
        <w:t xml:space="preserve">the following </w:t>
      </w:r>
      <w:r>
        <w:t xml:space="preserve">three key priorities for action:  </w:t>
      </w:r>
    </w:p>
    <w:p w14:paraId="78CAD740" w14:textId="11A0516D" w:rsidR="00997C01" w:rsidRPr="00997C01" w:rsidRDefault="008213FB" w:rsidP="00236316">
      <w:pPr>
        <w:numPr>
          <w:ilvl w:val="0"/>
          <w:numId w:val="4"/>
        </w:numPr>
        <w:spacing w:line="240" w:lineRule="auto"/>
        <w:rPr>
          <w:lang w:val="en-US"/>
        </w:rPr>
      </w:pPr>
      <w:r>
        <w:rPr>
          <w:lang w:val="en-US"/>
        </w:rPr>
        <w:t>de</w:t>
      </w:r>
      <w:r w:rsidR="00BE7A6F">
        <w:rPr>
          <w:lang w:val="en-US"/>
        </w:rPr>
        <w:t>veloping</w:t>
      </w:r>
      <w:r>
        <w:rPr>
          <w:lang w:val="en-US"/>
        </w:rPr>
        <w:t xml:space="preserve"> </w:t>
      </w:r>
      <w:r w:rsidR="00BE7A6F">
        <w:rPr>
          <w:lang w:val="en-US"/>
        </w:rPr>
        <w:t>a</w:t>
      </w:r>
      <w:r>
        <w:rPr>
          <w:lang w:val="en-US"/>
        </w:rPr>
        <w:t xml:space="preserve"> </w:t>
      </w:r>
      <w:r w:rsidR="00997C01" w:rsidRPr="00997C01">
        <w:rPr>
          <w:lang w:val="en-US"/>
        </w:rPr>
        <w:t>national strategy to meet the expected increase in organ transplantation volumes;</w:t>
      </w:r>
    </w:p>
    <w:p w14:paraId="18B0A3EB" w14:textId="060471BB" w:rsidR="00997C01" w:rsidRPr="00997C01" w:rsidRDefault="006822C6" w:rsidP="00236316">
      <w:pPr>
        <w:numPr>
          <w:ilvl w:val="0"/>
          <w:numId w:val="4"/>
        </w:numPr>
        <w:spacing w:line="240" w:lineRule="auto"/>
        <w:rPr>
          <w:lang w:val="en-US"/>
        </w:rPr>
      </w:pPr>
      <w:r>
        <w:rPr>
          <w:lang w:val="en-US"/>
        </w:rPr>
        <w:t xml:space="preserve">improving </w:t>
      </w:r>
      <w:r w:rsidR="00997C01" w:rsidRPr="00997C01">
        <w:rPr>
          <w:lang w:val="en-US"/>
        </w:rPr>
        <w:t>governance to</w:t>
      </w:r>
      <w:r w:rsidR="00997C01" w:rsidRPr="002D6F64">
        <w:t xml:space="preserve"> </w:t>
      </w:r>
      <w:r w:rsidR="002D6F64" w:rsidRPr="002D6F64">
        <w:t>optimise</w:t>
      </w:r>
      <w:r w:rsidR="00997C01" w:rsidRPr="00997C01">
        <w:rPr>
          <w:lang w:val="en-US"/>
        </w:rPr>
        <w:t xml:space="preserve"> future growth and sustainability of the donation, retrieval and transplantation system; </w:t>
      </w:r>
    </w:p>
    <w:p w14:paraId="4B8D36FA" w14:textId="4E606E81" w:rsidR="00997C01" w:rsidRPr="00997C01" w:rsidRDefault="00BE7A6F" w:rsidP="00236316">
      <w:pPr>
        <w:numPr>
          <w:ilvl w:val="0"/>
          <w:numId w:val="4"/>
        </w:numPr>
        <w:spacing w:line="240" w:lineRule="auto"/>
        <w:rPr>
          <w:lang w:val="en-US"/>
        </w:rPr>
      </w:pPr>
      <w:proofErr w:type="gramStart"/>
      <w:r>
        <w:t>developing</w:t>
      </w:r>
      <w:proofErr w:type="gramEnd"/>
      <w:r>
        <w:t xml:space="preserve"> </w:t>
      </w:r>
      <w:r w:rsidR="00997C01" w:rsidRPr="002D6F64">
        <w:t xml:space="preserve">a nationally-driven approach to </w:t>
      </w:r>
      <w:r w:rsidR="006822C6">
        <w:t xml:space="preserve">focus and </w:t>
      </w:r>
      <w:r w:rsidR="00997C01" w:rsidRPr="002D6F64">
        <w:t xml:space="preserve">improve organ donation and transplantation rates </w:t>
      </w:r>
      <w:r>
        <w:t xml:space="preserve">and outcomes </w:t>
      </w:r>
      <w:r w:rsidR="00997C01" w:rsidRPr="002D6F64">
        <w:t xml:space="preserve">among Aboriginal and Torres Strait Islander Australians and Australians who live in rural and remote locations. </w:t>
      </w:r>
    </w:p>
    <w:p w14:paraId="4539493D" w14:textId="3153C2DF" w:rsidR="00DC593D" w:rsidRDefault="0076065E" w:rsidP="001947DB">
      <w:r>
        <w:t>The complexity of the organ donation, retrieval and transplantation system is evident in the 57 broad ranging recommendations made in the Final Report</w:t>
      </w:r>
      <w:r w:rsidR="00244CD6">
        <w:t>. The Final Report’s recommendations have not yet been endorsed and must be thoroughly considered to understand the potential implications on health service provision and planning. A committee of government officials representing all jurisdictions</w:t>
      </w:r>
      <w:r w:rsidR="00E52ED4">
        <w:t xml:space="preserve"> and the Organ and Tissue Authority </w:t>
      </w:r>
      <w:r w:rsidR="00244CD6">
        <w:t xml:space="preserve">will oversee a comprehensive assessment of the Final Report’s </w:t>
      </w:r>
      <w:r>
        <w:t>recommendations</w:t>
      </w:r>
      <w:r w:rsidR="00244CD6">
        <w:t xml:space="preserve"> and </w:t>
      </w:r>
      <w:r>
        <w:t xml:space="preserve">development of a future national strategy </w:t>
      </w:r>
      <w:r w:rsidR="00DC593D">
        <w:t xml:space="preserve">(the Strategy) </w:t>
      </w:r>
      <w:r w:rsidR="008213FB">
        <w:t xml:space="preserve">that addresses all three key priorities. </w:t>
      </w:r>
    </w:p>
    <w:p w14:paraId="4EC8FE81" w14:textId="4F99DAF2" w:rsidR="00BE7A6F" w:rsidRDefault="00BE7A6F" w:rsidP="001947DB">
      <w:r>
        <w:t xml:space="preserve">In developing the </w:t>
      </w:r>
      <w:r w:rsidR="00CC4A3B">
        <w:t>S</w:t>
      </w:r>
      <w:r>
        <w:t>trategy, the Committee will also take into account evidence-based</w:t>
      </w:r>
      <w:r w:rsidR="001947DB">
        <w:t xml:space="preserve"> </w:t>
      </w:r>
      <w:r w:rsidR="00730BD3">
        <w:t xml:space="preserve">international best practice </w:t>
      </w:r>
      <w:r>
        <w:t xml:space="preserve">donation, retrieval and transplantation data and information. </w:t>
      </w:r>
    </w:p>
    <w:p w14:paraId="7E5DF69D" w14:textId="667DF7F3" w:rsidR="001947DB" w:rsidRDefault="00BE7A6F" w:rsidP="001947DB">
      <w:r>
        <w:t xml:space="preserve">The work undertaken by the </w:t>
      </w:r>
      <w:r w:rsidR="001947DB">
        <w:t xml:space="preserve">Transplantation Society of Australia and New Zealand (TSANZ) </w:t>
      </w:r>
      <w:r w:rsidR="00CC4A3B">
        <w:t xml:space="preserve">to improve access to, and outcomes of, kidney transplantation for Aboriginal and Torres Strait Islander peoples, will also be considered in the development of the Strategy. </w:t>
      </w:r>
    </w:p>
    <w:p w14:paraId="3F59134E" w14:textId="5FE726B7" w:rsidR="00280050" w:rsidRDefault="00CC4A3B" w:rsidP="007465B7">
      <w:r>
        <w:t>Once finalised, t</w:t>
      </w:r>
      <w:r w:rsidR="003D6F6D">
        <w:t xml:space="preserve">he Strategy will </w:t>
      </w:r>
      <w:r>
        <w:t>be provided to</w:t>
      </w:r>
      <w:r w:rsidR="003D6F6D">
        <w:t xml:space="preserve"> COAG Healt</w:t>
      </w:r>
      <w:r w:rsidR="0076065E">
        <w:t>h Council for consideration</w:t>
      </w:r>
      <w:r w:rsidR="007465B7">
        <w:t xml:space="preserve"> and endorsement</w:t>
      </w:r>
      <w:r w:rsidR="0033095B">
        <w:t xml:space="preserve"> by all Health Ministers</w:t>
      </w:r>
      <w:r>
        <w:t>.</w:t>
      </w:r>
    </w:p>
    <w:sectPr w:rsidR="0028005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606A5" w14:textId="77777777" w:rsidR="00CB4688" w:rsidRDefault="00CB4688" w:rsidP="00CB4688">
      <w:pPr>
        <w:spacing w:after="0" w:line="240" w:lineRule="auto"/>
      </w:pPr>
      <w:r>
        <w:separator/>
      </w:r>
    </w:p>
  </w:endnote>
  <w:endnote w:type="continuationSeparator" w:id="0">
    <w:p w14:paraId="1B22EC1D" w14:textId="77777777" w:rsidR="00CB4688" w:rsidRDefault="00CB4688" w:rsidP="00CB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B215A" w14:textId="77777777" w:rsidR="00CB4688" w:rsidRDefault="00CB4688" w:rsidP="00CB4688">
      <w:pPr>
        <w:spacing w:after="0" w:line="240" w:lineRule="auto"/>
      </w:pPr>
      <w:r>
        <w:separator/>
      </w:r>
    </w:p>
  </w:footnote>
  <w:footnote w:type="continuationSeparator" w:id="0">
    <w:p w14:paraId="5124FCD1" w14:textId="77777777" w:rsidR="00CB4688" w:rsidRDefault="00CB4688" w:rsidP="00CB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5574B" w14:textId="5080620E" w:rsidR="00CB4688" w:rsidRDefault="00CB4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67A81"/>
    <w:multiLevelType w:val="hybridMultilevel"/>
    <w:tmpl w:val="01905C00"/>
    <w:lvl w:ilvl="0" w:tplc="539878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330D"/>
    <w:multiLevelType w:val="hybridMultilevel"/>
    <w:tmpl w:val="4E629BE8"/>
    <w:lvl w:ilvl="0" w:tplc="C0FC21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C18BA"/>
    <w:multiLevelType w:val="hybridMultilevel"/>
    <w:tmpl w:val="38BC14C2"/>
    <w:lvl w:ilvl="0" w:tplc="3FC27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A6546"/>
    <w:multiLevelType w:val="hybridMultilevel"/>
    <w:tmpl w:val="A1000846"/>
    <w:lvl w:ilvl="0" w:tplc="3FAE6E86">
      <w:start w:val="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  <w:color w:val="auto"/>
        <w:sz w:val="24"/>
      </w:rPr>
    </w:lvl>
    <w:lvl w:ilvl="1" w:tplc="78306D5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8318BF00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356E466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97EA574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CA033B0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A9AA90A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8B163CA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A880E14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DB"/>
    <w:rsid w:val="00032EA8"/>
    <w:rsid w:val="00062745"/>
    <w:rsid w:val="000833D8"/>
    <w:rsid w:val="000D23DA"/>
    <w:rsid w:val="00115388"/>
    <w:rsid w:val="00163EBA"/>
    <w:rsid w:val="001947DB"/>
    <w:rsid w:val="00210652"/>
    <w:rsid w:val="0023114B"/>
    <w:rsid w:val="00231A7E"/>
    <w:rsid w:val="00236316"/>
    <w:rsid w:val="00244CD6"/>
    <w:rsid w:val="00280050"/>
    <w:rsid w:val="002C2614"/>
    <w:rsid w:val="002C542F"/>
    <w:rsid w:val="002D6F64"/>
    <w:rsid w:val="0033095B"/>
    <w:rsid w:val="003D3834"/>
    <w:rsid w:val="003D6F6D"/>
    <w:rsid w:val="003D7D77"/>
    <w:rsid w:val="00416391"/>
    <w:rsid w:val="00500257"/>
    <w:rsid w:val="00530A9B"/>
    <w:rsid w:val="005A45BD"/>
    <w:rsid w:val="0060095B"/>
    <w:rsid w:val="00616982"/>
    <w:rsid w:val="006226AB"/>
    <w:rsid w:val="00651FAB"/>
    <w:rsid w:val="006822C6"/>
    <w:rsid w:val="006B39D2"/>
    <w:rsid w:val="006D6572"/>
    <w:rsid w:val="00730BD3"/>
    <w:rsid w:val="007465B7"/>
    <w:rsid w:val="0076065E"/>
    <w:rsid w:val="00780F5C"/>
    <w:rsid w:val="00791817"/>
    <w:rsid w:val="007D071E"/>
    <w:rsid w:val="0080369F"/>
    <w:rsid w:val="008148F5"/>
    <w:rsid w:val="008213FB"/>
    <w:rsid w:val="00997C01"/>
    <w:rsid w:val="009B0E18"/>
    <w:rsid w:val="00A430B2"/>
    <w:rsid w:val="00A54602"/>
    <w:rsid w:val="00BE7A6F"/>
    <w:rsid w:val="00C008E0"/>
    <w:rsid w:val="00CB4688"/>
    <w:rsid w:val="00CC0DAC"/>
    <w:rsid w:val="00CC4A3B"/>
    <w:rsid w:val="00D0565F"/>
    <w:rsid w:val="00DC593D"/>
    <w:rsid w:val="00DD1ADF"/>
    <w:rsid w:val="00E50371"/>
    <w:rsid w:val="00E52ED4"/>
    <w:rsid w:val="00E83BCC"/>
    <w:rsid w:val="00EA5DF4"/>
    <w:rsid w:val="00ED0D7A"/>
    <w:rsid w:val="00ED7B14"/>
    <w:rsid w:val="00EF4DE3"/>
    <w:rsid w:val="00F14D6C"/>
    <w:rsid w:val="00F33357"/>
    <w:rsid w:val="00FC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3FA0F3"/>
  <w15:chartTrackingRefBased/>
  <w15:docId w15:val="{92B2511C-80E4-47EE-AB2D-8131A057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7D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1947DB"/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,Table text"/>
    <w:basedOn w:val="Normal"/>
    <w:link w:val="ListParagraphChar"/>
    <w:uiPriority w:val="34"/>
    <w:qFormat/>
    <w:rsid w:val="001947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6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6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6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5DF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4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688"/>
  </w:style>
  <w:style w:type="paragraph" w:styleId="Footer">
    <w:name w:val="footer"/>
    <w:basedOn w:val="Normal"/>
    <w:link w:val="FooterChar"/>
    <w:uiPriority w:val="99"/>
    <w:unhideWhenUsed/>
    <w:rsid w:val="00CB4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ealth.gov.au/resources/publications/review-of-the-organ-donation-retrieval-and-transplantation-system-final-re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HALLORAN, Cherise</dc:creator>
  <cp:keywords/>
  <dc:description/>
  <cp:lastModifiedBy>Davis, Danika</cp:lastModifiedBy>
  <cp:revision>3</cp:revision>
  <cp:lastPrinted>2020-02-20T00:24:00Z</cp:lastPrinted>
  <dcterms:created xsi:type="dcterms:W3CDTF">2020-02-20T00:20:00Z</dcterms:created>
  <dcterms:modified xsi:type="dcterms:W3CDTF">2020-02-20T00:25:00Z</dcterms:modified>
</cp:coreProperties>
</file>