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61" w:rsidRPr="00645FFA" w:rsidRDefault="00AF1AF2" w:rsidP="00731061">
      <w:pPr>
        <w:pStyle w:val="Caption"/>
        <w:spacing w:before="120" w:after="0"/>
        <w:rPr>
          <w:rFonts w:ascii="Calibri" w:hAnsi="Calibri" w:cs="Arial"/>
        </w:rPr>
      </w:pPr>
      <w:bookmarkStart w:id="0" w:name="_Toc372709131"/>
      <w:bookmarkStart w:id="1" w:name="_Toc388327762"/>
      <w:bookmarkStart w:id="2" w:name="_Toc388850109"/>
      <w:bookmarkStart w:id="3" w:name="_Toc388850197"/>
      <w:bookmarkStart w:id="4" w:name="_Toc388850265"/>
      <w:bookmarkStart w:id="5" w:name="_Toc391796301"/>
      <w:bookmarkStart w:id="6" w:name="_GoBack"/>
      <w:bookmarkEnd w:id="6"/>
      <w:r>
        <w:rPr>
          <w:rFonts w:ascii="Calibri" w:hAnsi="Calibri" w:cs="Arial"/>
        </w:rPr>
        <w:t>Prostheses List Reforms</w:t>
      </w:r>
    </w:p>
    <w:p w:rsidR="001F14DF" w:rsidRPr="00645FFA" w:rsidRDefault="001F14DF" w:rsidP="001F14DF">
      <w:pPr>
        <w:pStyle w:val="Caption"/>
        <w:spacing w:before="120" w:after="0"/>
        <w:rPr>
          <w:rFonts w:ascii="Calibri" w:hAnsi="Calibri" w:cs="Arial"/>
        </w:rPr>
      </w:pPr>
      <w:r w:rsidRPr="00645FFA">
        <w:rPr>
          <w:rFonts w:ascii="Calibri" w:hAnsi="Calibri" w:cs="Arial"/>
        </w:rPr>
        <w:t>Governance Group</w:t>
      </w:r>
    </w:p>
    <w:p w:rsidR="00731061" w:rsidRPr="00EA42A0" w:rsidRDefault="00731061" w:rsidP="00731061">
      <w:pPr>
        <w:pStyle w:val="Caption"/>
        <w:spacing w:before="120" w:after="120"/>
        <w:rPr>
          <w:rFonts w:ascii="Calibri" w:hAnsi="Calibri" w:cs="Arial"/>
        </w:rPr>
      </w:pPr>
      <w:r w:rsidRPr="00EA42A0">
        <w:rPr>
          <w:rFonts w:ascii="Calibri" w:hAnsi="Calibri" w:cs="Arial"/>
        </w:rPr>
        <w:t>Terms of Reference</w:t>
      </w:r>
    </w:p>
    <w:p w:rsidR="001F14DF" w:rsidRDefault="001F14DF" w:rsidP="001F14DF">
      <w:pPr>
        <w:pStyle w:val="Heading1"/>
        <w:numPr>
          <w:ilvl w:val="0"/>
          <w:numId w:val="0"/>
        </w:numPr>
        <w:spacing w:before="0" w:after="0"/>
        <w:ind w:left="720"/>
        <w:jc w:val="both"/>
      </w:pPr>
    </w:p>
    <w:p w:rsidR="001F14DF" w:rsidRPr="00B97223" w:rsidRDefault="001F14DF" w:rsidP="00DE1921">
      <w:pPr>
        <w:pStyle w:val="Heading1"/>
        <w:tabs>
          <w:tab w:val="clear" w:pos="432"/>
          <w:tab w:val="num" w:pos="720"/>
        </w:tabs>
        <w:spacing w:before="0" w:after="0"/>
        <w:ind w:left="720" w:hanging="720"/>
      </w:pPr>
      <w:r>
        <w:t>Background</w:t>
      </w:r>
    </w:p>
    <w:p w:rsidR="00A159FB" w:rsidRPr="00A159FB" w:rsidRDefault="00A159FB" w:rsidP="00DE1921">
      <w:pPr>
        <w:rPr>
          <w:rFonts w:asciiTheme="minorHAnsi" w:hAnsiTheme="minorHAnsi"/>
        </w:rPr>
      </w:pPr>
      <w:r w:rsidRPr="00A159FB">
        <w:rPr>
          <w:rFonts w:asciiTheme="minorHAnsi" w:hAnsiTheme="minorHAnsi"/>
        </w:rPr>
        <w:t xml:space="preserve">The Government and the Medical Technology Association of Australia </w:t>
      </w:r>
      <w:r w:rsidR="00C1195E">
        <w:rPr>
          <w:rFonts w:asciiTheme="minorHAnsi" w:hAnsiTheme="minorHAnsi"/>
        </w:rPr>
        <w:t xml:space="preserve">(MTAA) </w:t>
      </w:r>
      <w:r w:rsidRPr="00A159FB">
        <w:rPr>
          <w:rFonts w:asciiTheme="minorHAnsi" w:hAnsiTheme="minorHAnsi"/>
        </w:rPr>
        <w:t>have entered into an agreement to:</w:t>
      </w:r>
    </w:p>
    <w:p w:rsidR="00A159FB" w:rsidRPr="00D45E5C" w:rsidRDefault="00A159FB" w:rsidP="00DE1921">
      <w:pPr>
        <w:pStyle w:val="ListParagraph"/>
        <w:numPr>
          <w:ilvl w:val="0"/>
          <w:numId w:val="24"/>
        </w:numPr>
        <w:spacing w:after="0" w:line="240" w:lineRule="auto"/>
        <w:ind w:left="1134" w:hanging="425"/>
        <w:contextualSpacing w:val="0"/>
        <w:rPr>
          <w:rFonts w:asciiTheme="minorHAnsi" w:eastAsiaTheme="minorEastAsia" w:hAnsiTheme="minorHAnsi" w:cs="Arial"/>
          <w:i/>
          <w:sz w:val="24"/>
          <w:szCs w:val="24"/>
          <w:lang w:val="en-US"/>
        </w:rPr>
      </w:pPr>
      <w:r w:rsidRPr="00D45E5C">
        <w:rPr>
          <w:rFonts w:asciiTheme="minorHAnsi" w:eastAsiaTheme="minorEastAsia" w:hAnsiTheme="minorHAnsi" w:cs="Arial"/>
          <w:i/>
          <w:sz w:val="24"/>
          <w:szCs w:val="24"/>
          <w:lang w:val="en-US"/>
        </w:rPr>
        <w:t>promote the sustainability of privately insured health care through rebalancing the costs of medical devices to privately insured patients, to help keep private health insurance affordable for all Australians;</w:t>
      </w:r>
    </w:p>
    <w:p w:rsidR="00A159FB" w:rsidRPr="00D45E5C" w:rsidRDefault="00A159FB" w:rsidP="00DE1921">
      <w:pPr>
        <w:pStyle w:val="ListParagraph"/>
        <w:numPr>
          <w:ilvl w:val="0"/>
          <w:numId w:val="24"/>
        </w:numPr>
        <w:spacing w:after="0" w:line="240" w:lineRule="auto"/>
        <w:ind w:left="1134" w:hanging="425"/>
        <w:contextualSpacing w:val="0"/>
        <w:rPr>
          <w:rFonts w:asciiTheme="minorHAnsi" w:eastAsiaTheme="minorEastAsia" w:hAnsiTheme="minorHAnsi" w:cs="Arial"/>
          <w:i/>
          <w:sz w:val="24"/>
          <w:szCs w:val="24"/>
          <w:lang w:val="en-US"/>
        </w:rPr>
      </w:pPr>
      <w:r w:rsidRPr="00D45E5C">
        <w:rPr>
          <w:rFonts w:asciiTheme="minorHAnsi" w:eastAsiaTheme="minorEastAsia" w:hAnsiTheme="minorHAnsi" w:cs="Arial"/>
          <w:i/>
          <w:sz w:val="24"/>
          <w:szCs w:val="24"/>
          <w:lang w:val="en-US"/>
        </w:rPr>
        <w:t xml:space="preserve">support a viable, innovative and diverse medical technology sector in Australia and local jobs; and </w:t>
      </w:r>
    </w:p>
    <w:p w:rsidR="00A159FB" w:rsidRPr="00D45E5C" w:rsidRDefault="00A159FB" w:rsidP="00DE1921">
      <w:pPr>
        <w:pStyle w:val="ListParagraph"/>
        <w:numPr>
          <w:ilvl w:val="0"/>
          <w:numId w:val="24"/>
        </w:numPr>
        <w:spacing w:after="0" w:line="240" w:lineRule="auto"/>
        <w:ind w:left="1134" w:hanging="425"/>
        <w:contextualSpacing w:val="0"/>
        <w:rPr>
          <w:rFonts w:asciiTheme="minorHAnsi" w:eastAsiaTheme="minorEastAsia" w:hAnsiTheme="minorHAnsi" w:cs="Arial"/>
          <w:i/>
          <w:sz w:val="24"/>
          <w:szCs w:val="24"/>
          <w:lang w:val="en-US"/>
        </w:rPr>
      </w:pPr>
      <w:r w:rsidRPr="00D45E5C">
        <w:rPr>
          <w:rFonts w:asciiTheme="minorHAnsi" w:eastAsiaTheme="minorEastAsia" w:hAnsiTheme="minorHAnsi" w:cs="Arial"/>
          <w:i/>
          <w:sz w:val="24"/>
          <w:szCs w:val="24"/>
          <w:lang w:val="en-US"/>
        </w:rPr>
        <w:t xml:space="preserve">improve the value of private health insurance for consumers by reducing benefits for prostheses on the Prostheses List. </w:t>
      </w:r>
    </w:p>
    <w:p w:rsidR="00B6411A" w:rsidRDefault="00C1195E" w:rsidP="009C4E3C">
      <w:pPr>
        <w:pStyle w:val="Default"/>
        <w:spacing w:before="120" w:after="120"/>
        <w:rPr>
          <w:rFonts w:asciiTheme="minorHAnsi" w:hAnsiTheme="minorHAnsi"/>
        </w:rPr>
      </w:pPr>
      <w:r w:rsidRPr="00D45E5C">
        <w:rPr>
          <w:rFonts w:asciiTheme="minorHAnsi" w:hAnsiTheme="minorHAnsi"/>
        </w:rPr>
        <w:t xml:space="preserve">The Agreement </w:t>
      </w:r>
      <w:r w:rsidR="001B6D10">
        <w:rPr>
          <w:rFonts w:asciiTheme="minorHAnsi" w:hAnsiTheme="minorHAnsi"/>
        </w:rPr>
        <w:t>(</w:t>
      </w:r>
      <w:r w:rsidR="006A47A3">
        <w:rPr>
          <w:rFonts w:asciiTheme="minorHAnsi" w:hAnsiTheme="minorHAnsi"/>
        </w:rPr>
        <w:t>a</w:t>
      </w:r>
      <w:r w:rsidR="001B6D10" w:rsidRPr="006A47A3">
        <w:rPr>
          <w:rFonts w:asciiTheme="minorHAnsi" w:hAnsiTheme="minorHAnsi"/>
        </w:rPr>
        <w:t>ttach</w:t>
      </w:r>
      <w:r w:rsidR="006A47A3" w:rsidRPr="006A47A3">
        <w:rPr>
          <w:rFonts w:asciiTheme="minorHAnsi" w:hAnsiTheme="minorHAnsi"/>
        </w:rPr>
        <w:t>ed</w:t>
      </w:r>
      <w:r w:rsidR="001B6D10">
        <w:rPr>
          <w:rFonts w:asciiTheme="minorHAnsi" w:hAnsiTheme="minorHAnsi"/>
        </w:rPr>
        <w:t xml:space="preserve">) </w:t>
      </w:r>
      <w:r w:rsidRPr="00D45E5C">
        <w:rPr>
          <w:rFonts w:asciiTheme="minorHAnsi" w:hAnsiTheme="minorHAnsi"/>
        </w:rPr>
        <w:t>includes a range of commitments agreed by the Government and the MTAA, as advocates for the medical device industry</w:t>
      </w:r>
      <w:r w:rsidR="00D45E5C">
        <w:rPr>
          <w:rFonts w:asciiTheme="minorHAnsi" w:hAnsiTheme="minorHAnsi"/>
        </w:rPr>
        <w:t xml:space="preserve"> </w:t>
      </w:r>
      <w:r w:rsidR="00B6411A">
        <w:rPr>
          <w:rFonts w:asciiTheme="minorHAnsi" w:hAnsiTheme="minorHAnsi"/>
        </w:rPr>
        <w:t>and will operate from 15 October 2017 to 31 January 2022.</w:t>
      </w:r>
    </w:p>
    <w:p w:rsidR="00FB419A" w:rsidRPr="009C4E3C" w:rsidRDefault="007B30A4" w:rsidP="009C4E3C">
      <w:pPr>
        <w:pStyle w:val="Heading1"/>
      </w:pPr>
      <w:r w:rsidRPr="009C4E3C">
        <w:t>Roles</w:t>
      </w:r>
      <w:r w:rsidR="00FB419A" w:rsidRPr="009C4E3C">
        <w:t xml:space="preserve"> </w:t>
      </w:r>
      <w:r w:rsidR="00693D04" w:rsidRPr="009C4E3C">
        <w:t>and f</w:t>
      </w:r>
      <w:r w:rsidRPr="009C4E3C">
        <w:t xml:space="preserve">unctions </w:t>
      </w:r>
      <w:r w:rsidR="00FB419A" w:rsidRPr="009C4E3C">
        <w:t xml:space="preserve">of the </w:t>
      </w:r>
      <w:r w:rsidR="00D45E5C" w:rsidRPr="009C4E3C">
        <w:t>Governance</w:t>
      </w:r>
      <w:r w:rsidR="00594C6C" w:rsidRPr="009C4E3C">
        <w:t xml:space="preserve"> Group</w:t>
      </w:r>
    </w:p>
    <w:p w:rsidR="00534F2C" w:rsidRDefault="00534F2C" w:rsidP="009C4E3C">
      <w:pPr>
        <w:pStyle w:val="NormalItalics"/>
        <w:spacing w:before="0" w:after="120"/>
        <w:ind w:left="709" w:hanging="709"/>
        <w:rPr>
          <w:rFonts w:ascii="Calibri" w:hAnsi="Calibri"/>
          <w:i w:val="0"/>
          <w:iCs w:val="0"/>
        </w:rPr>
      </w:pPr>
      <w:r w:rsidRPr="00B97223">
        <w:rPr>
          <w:rFonts w:ascii="Calibri" w:hAnsi="Calibri"/>
          <w:i w:val="0"/>
          <w:iCs w:val="0"/>
        </w:rPr>
        <w:t xml:space="preserve">The </w:t>
      </w:r>
      <w:r w:rsidR="00D45E5C" w:rsidRPr="000F5E4D">
        <w:rPr>
          <w:rFonts w:ascii="Calibri" w:hAnsi="Calibri"/>
          <w:i w:val="0"/>
          <w:iCs w:val="0"/>
        </w:rPr>
        <w:t>Governance</w:t>
      </w:r>
      <w:r w:rsidR="002D4CBB" w:rsidRPr="000F5E4D">
        <w:rPr>
          <w:rFonts w:ascii="Calibri" w:hAnsi="Calibri"/>
          <w:i w:val="0"/>
          <w:iCs w:val="0"/>
        </w:rPr>
        <w:t xml:space="preserve"> Group</w:t>
      </w:r>
      <w:r w:rsidR="002D4CBB" w:rsidRPr="002D4CBB">
        <w:rPr>
          <w:rFonts w:ascii="Calibri" w:hAnsi="Calibri"/>
          <w:iCs w:val="0"/>
        </w:rPr>
        <w:t xml:space="preserve"> </w:t>
      </w:r>
      <w:r w:rsidRPr="00B97223">
        <w:rPr>
          <w:rFonts w:ascii="Calibri" w:hAnsi="Calibri"/>
          <w:i w:val="0"/>
          <w:iCs w:val="0"/>
        </w:rPr>
        <w:t>will</w:t>
      </w:r>
      <w:r w:rsidR="009C4E3C">
        <w:rPr>
          <w:rFonts w:ascii="Calibri" w:hAnsi="Calibri"/>
          <w:i w:val="0"/>
          <w:iCs w:val="0"/>
        </w:rPr>
        <w:t>:</w:t>
      </w:r>
    </w:p>
    <w:p w:rsidR="00255853" w:rsidRPr="00F02F11" w:rsidRDefault="00255853" w:rsidP="00255853">
      <w:pPr>
        <w:numPr>
          <w:ilvl w:val="0"/>
          <w:numId w:val="6"/>
        </w:numPr>
        <w:tabs>
          <w:tab w:val="clear" w:pos="1800"/>
          <w:tab w:val="num" w:pos="1134"/>
        </w:tabs>
        <w:ind w:left="1134" w:hanging="425"/>
        <w:rPr>
          <w:rFonts w:ascii="Calibri" w:hAnsi="Calibri"/>
          <w:szCs w:val="22"/>
        </w:rPr>
      </w:pPr>
      <w:r w:rsidRPr="00F02F11">
        <w:rPr>
          <w:rFonts w:ascii="Calibri" w:hAnsi="Calibri"/>
          <w:szCs w:val="22"/>
        </w:rPr>
        <w:t>review the operation and progress of the Agreement</w:t>
      </w:r>
    </w:p>
    <w:p w:rsidR="00255853" w:rsidRPr="00F02F11" w:rsidRDefault="00255853" w:rsidP="00255853">
      <w:pPr>
        <w:numPr>
          <w:ilvl w:val="0"/>
          <w:numId w:val="6"/>
        </w:numPr>
        <w:tabs>
          <w:tab w:val="clear" w:pos="1800"/>
          <w:tab w:val="num" w:pos="1134"/>
        </w:tabs>
        <w:ind w:left="1134" w:hanging="425"/>
        <w:rPr>
          <w:rFonts w:ascii="Calibri" w:hAnsi="Calibri"/>
          <w:szCs w:val="22"/>
        </w:rPr>
      </w:pPr>
      <w:r w:rsidRPr="00F02F11">
        <w:rPr>
          <w:rFonts w:ascii="Calibri" w:hAnsi="Calibri"/>
          <w:szCs w:val="22"/>
        </w:rPr>
        <w:t xml:space="preserve">oversee the operation of the </w:t>
      </w:r>
      <w:r w:rsidRPr="00F02F11">
        <w:rPr>
          <w:rFonts w:ascii="Calibri" w:hAnsi="Calibri"/>
          <w:i/>
          <w:szCs w:val="22"/>
        </w:rPr>
        <w:t xml:space="preserve">Industry Working Group on Revised Benefit Setting </w:t>
      </w:r>
      <w:r w:rsidRPr="00F02F11">
        <w:rPr>
          <w:rFonts w:ascii="Calibri" w:hAnsi="Calibri"/>
          <w:szCs w:val="22"/>
        </w:rPr>
        <w:t>and</w:t>
      </w:r>
      <w:r w:rsidRPr="00F02F11">
        <w:rPr>
          <w:rFonts w:ascii="Calibri" w:hAnsi="Calibri"/>
          <w:i/>
          <w:szCs w:val="22"/>
        </w:rPr>
        <w:t xml:space="preserve"> Review Framework, </w:t>
      </w:r>
      <w:r w:rsidRPr="00F02F11">
        <w:rPr>
          <w:rFonts w:ascii="Calibri" w:hAnsi="Calibri"/>
          <w:szCs w:val="22"/>
        </w:rPr>
        <w:t>the</w:t>
      </w:r>
      <w:r w:rsidRPr="00F02F11">
        <w:rPr>
          <w:rFonts w:ascii="Calibri" w:hAnsi="Calibri"/>
          <w:i/>
          <w:szCs w:val="22"/>
        </w:rPr>
        <w:t xml:space="preserve"> Industry Working Group on Quality of Information and Guidance, </w:t>
      </w:r>
      <w:r w:rsidRPr="00F02F11">
        <w:rPr>
          <w:rFonts w:ascii="Calibri" w:hAnsi="Calibri"/>
          <w:szCs w:val="22"/>
        </w:rPr>
        <w:t>and the</w:t>
      </w:r>
      <w:r w:rsidRPr="00F02F11">
        <w:rPr>
          <w:rFonts w:ascii="Calibri" w:hAnsi="Calibri"/>
          <w:i/>
          <w:szCs w:val="22"/>
        </w:rPr>
        <w:t xml:space="preserve"> Industry </w:t>
      </w:r>
      <w:r w:rsidR="00D84B5E" w:rsidRPr="00F02F11">
        <w:rPr>
          <w:rFonts w:ascii="Calibri" w:hAnsi="Calibri"/>
          <w:i/>
          <w:szCs w:val="22"/>
        </w:rPr>
        <w:t>Working</w:t>
      </w:r>
      <w:r w:rsidRPr="00F02F11">
        <w:rPr>
          <w:rFonts w:ascii="Calibri" w:hAnsi="Calibri"/>
          <w:i/>
          <w:szCs w:val="22"/>
        </w:rPr>
        <w:t xml:space="preserve"> Group on Cardiac Technical Support Services</w:t>
      </w:r>
    </w:p>
    <w:p w:rsidR="00255853" w:rsidRDefault="00255853" w:rsidP="00255853">
      <w:pPr>
        <w:numPr>
          <w:ilvl w:val="0"/>
          <w:numId w:val="6"/>
        </w:numPr>
        <w:tabs>
          <w:tab w:val="clear" w:pos="1800"/>
          <w:tab w:val="num" w:pos="1134"/>
        </w:tabs>
        <w:ind w:left="1134" w:hanging="425"/>
        <w:rPr>
          <w:rFonts w:ascii="Calibri" w:hAnsi="Calibri"/>
          <w:szCs w:val="22"/>
        </w:rPr>
      </w:pPr>
      <w:r>
        <w:rPr>
          <w:rFonts w:ascii="Calibri" w:hAnsi="Calibri"/>
          <w:szCs w:val="22"/>
        </w:rPr>
        <w:t xml:space="preserve">agree on data collection to assist the parties evaluate the impact of the Agreement during </w:t>
      </w:r>
      <w:r w:rsidR="00067AFC">
        <w:rPr>
          <w:rFonts w:ascii="Calibri" w:hAnsi="Calibri"/>
          <w:szCs w:val="22"/>
        </w:rPr>
        <w:t>the term of the Agreement</w:t>
      </w:r>
    </w:p>
    <w:p w:rsidR="00255853" w:rsidRPr="009C4E3C" w:rsidRDefault="00255853" w:rsidP="00255853">
      <w:pPr>
        <w:numPr>
          <w:ilvl w:val="0"/>
          <w:numId w:val="6"/>
        </w:numPr>
        <w:tabs>
          <w:tab w:val="clear" w:pos="1800"/>
          <w:tab w:val="num" w:pos="1134"/>
        </w:tabs>
        <w:ind w:left="1134" w:hanging="425"/>
        <w:rPr>
          <w:rFonts w:ascii="Calibri" w:hAnsi="Calibri"/>
          <w:szCs w:val="22"/>
        </w:rPr>
      </w:pPr>
      <w:r w:rsidRPr="009C4E3C">
        <w:rPr>
          <w:rFonts w:ascii="Calibri" w:hAnsi="Calibri"/>
          <w:szCs w:val="22"/>
        </w:rPr>
        <w:t>assess data to evaluate the success of commitments in the Agreement</w:t>
      </w:r>
    </w:p>
    <w:p w:rsidR="00255853" w:rsidRDefault="00067AFC" w:rsidP="006051A3">
      <w:pPr>
        <w:numPr>
          <w:ilvl w:val="0"/>
          <w:numId w:val="6"/>
        </w:numPr>
        <w:tabs>
          <w:tab w:val="clear" w:pos="1800"/>
          <w:tab w:val="num" w:pos="1134"/>
        </w:tabs>
        <w:spacing w:after="960"/>
        <w:ind w:left="1134" w:hanging="425"/>
        <w:rPr>
          <w:rFonts w:ascii="Calibri" w:hAnsi="Calibri"/>
          <w:szCs w:val="22"/>
        </w:rPr>
      </w:pPr>
      <w:r>
        <w:rPr>
          <w:rFonts w:ascii="Calibri" w:hAnsi="Calibri"/>
          <w:szCs w:val="22"/>
        </w:rPr>
        <w:t xml:space="preserve">in the last year of the Agreement, </w:t>
      </w:r>
      <w:r w:rsidR="00255853" w:rsidRPr="009C4E3C">
        <w:rPr>
          <w:rFonts w:ascii="Calibri" w:hAnsi="Calibri"/>
          <w:szCs w:val="22"/>
        </w:rPr>
        <w:t>evaluate the success of the Agreement in achieving its purpose.</w:t>
      </w:r>
    </w:p>
    <w:p w:rsidR="001B6D10" w:rsidRPr="003C6EF7" w:rsidRDefault="000F5E4D" w:rsidP="003C6EF7">
      <w:pPr>
        <w:pStyle w:val="Heading1"/>
      </w:pPr>
      <w:r w:rsidRPr="003C6EF7">
        <w:lastRenderedPageBreak/>
        <w:t>Membership</w:t>
      </w:r>
    </w:p>
    <w:p w:rsidR="00FB419A" w:rsidRPr="00EA42A0" w:rsidRDefault="00995319" w:rsidP="00DE1921">
      <w:pPr>
        <w:pStyle w:val="NormalItalics"/>
        <w:spacing w:before="0" w:after="0"/>
        <w:ind w:left="0"/>
        <w:rPr>
          <w:rFonts w:ascii="Calibri" w:hAnsi="Calibri" w:cs="Arial"/>
          <w:i w:val="0"/>
          <w:iCs w:val="0"/>
          <w:szCs w:val="22"/>
        </w:rPr>
      </w:pPr>
      <w:r w:rsidRPr="00EA42A0">
        <w:rPr>
          <w:rFonts w:ascii="Calibri" w:hAnsi="Calibri"/>
          <w:i w:val="0"/>
          <w:iCs w:val="0"/>
          <w:szCs w:val="22"/>
        </w:rPr>
        <w:t xml:space="preserve">The </w:t>
      </w:r>
      <w:r w:rsidR="000F5E4D">
        <w:rPr>
          <w:rFonts w:ascii="Calibri" w:hAnsi="Calibri"/>
          <w:i w:val="0"/>
          <w:iCs w:val="0"/>
          <w:szCs w:val="22"/>
        </w:rPr>
        <w:t xml:space="preserve">Governance </w:t>
      </w:r>
      <w:r w:rsidR="000F5E4D" w:rsidRPr="000F5E4D">
        <w:rPr>
          <w:rFonts w:ascii="Calibri" w:hAnsi="Calibri"/>
          <w:i w:val="0"/>
          <w:iCs w:val="0"/>
          <w:szCs w:val="22"/>
        </w:rPr>
        <w:t>Group</w:t>
      </w:r>
      <w:r w:rsidR="002D4CBB" w:rsidRPr="000F5E4D">
        <w:rPr>
          <w:rFonts w:ascii="Calibri" w:hAnsi="Calibri"/>
          <w:i w:val="0"/>
          <w:iCs w:val="0"/>
        </w:rPr>
        <w:t xml:space="preserve"> </w:t>
      </w:r>
      <w:r w:rsidR="000F5E4D" w:rsidRPr="000F5E4D">
        <w:rPr>
          <w:rFonts w:ascii="Calibri" w:hAnsi="Calibri"/>
          <w:i w:val="0"/>
          <w:iCs w:val="0"/>
        </w:rPr>
        <w:t>wi</w:t>
      </w:r>
      <w:r w:rsidR="00FB419A" w:rsidRPr="000F5E4D">
        <w:rPr>
          <w:rFonts w:ascii="Calibri" w:hAnsi="Calibri" w:cs="Arial"/>
          <w:i w:val="0"/>
          <w:iCs w:val="0"/>
          <w:szCs w:val="22"/>
        </w:rPr>
        <w:t xml:space="preserve">ll </w:t>
      </w:r>
      <w:r w:rsidR="00377405">
        <w:rPr>
          <w:rFonts w:ascii="Calibri" w:hAnsi="Calibri" w:cs="Arial"/>
          <w:i w:val="0"/>
          <w:iCs w:val="0"/>
          <w:szCs w:val="22"/>
        </w:rPr>
        <w:t>c</w:t>
      </w:r>
      <w:r w:rsidR="00FB419A" w:rsidRPr="000F5E4D">
        <w:rPr>
          <w:rFonts w:ascii="Calibri" w:hAnsi="Calibri" w:cs="Arial"/>
          <w:i w:val="0"/>
          <w:iCs w:val="0"/>
          <w:szCs w:val="22"/>
        </w:rPr>
        <w:t>omprise</w:t>
      </w:r>
      <w:r w:rsidR="001B6D10">
        <w:rPr>
          <w:rFonts w:ascii="Calibri" w:hAnsi="Calibri" w:cs="Arial"/>
          <w:i w:val="0"/>
          <w:iCs w:val="0"/>
          <w:szCs w:val="22"/>
        </w:rPr>
        <w:t xml:space="preserve"> relevant officials holding the following positions</w:t>
      </w:r>
      <w:r w:rsidR="00FB419A" w:rsidRPr="00EA42A0">
        <w:rPr>
          <w:rFonts w:ascii="Calibri" w:hAnsi="Calibri" w:cs="Arial"/>
          <w:i w:val="0"/>
          <w:iCs w:val="0"/>
          <w:szCs w:val="22"/>
        </w:rPr>
        <w:t>:</w:t>
      </w:r>
    </w:p>
    <w:p w:rsidR="00453EB9" w:rsidRDefault="00E970F5" w:rsidP="00453EB9">
      <w:pPr>
        <w:numPr>
          <w:ilvl w:val="0"/>
          <w:numId w:val="6"/>
        </w:numPr>
        <w:tabs>
          <w:tab w:val="clear" w:pos="1800"/>
          <w:tab w:val="num" w:pos="1134"/>
        </w:tabs>
        <w:ind w:left="1134" w:hanging="425"/>
        <w:rPr>
          <w:rFonts w:ascii="Calibri" w:hAnsi="Calibri"/>
          <w:szCs w:val="22"/>
        </w:rPr>
      </w:pPr>
      <w:r>
        <w:rPr>
          <w:rFonts w:ascii="Calibri" w:hAnsi="Calibri"/>
          <w:szCs w:val="22"/>
        </w:rPr>
        <w:t>Emeritus Professor Terry Campbell</w:t>
      </w:r>
      <w:r w:rsidR="000C1DF6">
        <w:rPr>
          <w:rFonts w:ascii="Calibri" w:hAnsi="Calibri"/>
          <w:szCs w:val="22"/>
        </w:rPr>
        <w:t xml:space="preserve"> AM</w:t>
      </w:r>
      <w:r>
        <w:rPr>
          <w:rFonts w:ascii="Calibri" w:hAnsi="Calibri"/>
          <w:szCs w:val="22"/>
        </w:rPr>
        <w:t>, Chair, Prostheses List Advisory Committee</w:t>
      </w:r>
    </w:p>
    <w:p w:rsidR="00723B48" w:rsidRPr="000F5E4D" w:rsidRDefault="00E970F5" w:rsidP="00DE1921">
      <w:pPr>
        <w:numPr>
          <w:ilvl w:val="0"/>
          <w:numId w:val="6"/>
        </w:numPr>
        <w:tabs>
          <w:tab w:val="clear" w:pos="1800"/>
          <w:tab w:val="num" w:pos="1134"/>
        </w:tabs>
        <w:ind w:left="1134" w:hanging="425"/>
        <w:rPr>
          <w:rFonts w:ascii="Calibri" w:hAnsi="Calibri"/>
          <w:szCs w:val="22"/>
        </w:rPr>
      </w:pPr>
      <w:r>
        <w:rPr>
          <w:rFonts w:ascii="Calibri" w:hAnsi="Calibri"/>
          <w:szCs w:val="22"/>
        </w:rPr>
        <w:t>Mr Ian Burgess, Chi</w:t>
      </w:r>
      <w:r w:rsidR="00222CE9">
        <w:rPr>
          <w:rFonts w:ascii="Calibri" w:hAnsi="Calibri"/>
          <w:szCs w:val="22"/>
        </w:rPr>
        <w:t>ef Executive Officer</w:t>
      </w:r>
      <w:r>
        <w:rPr>
          <w:rFonts w:ascii="Calibri" w:hAnsi="Calibri"/>
          <w:szCs w:val="22"/>
        </w:rPr>
        <w:t>, MTAA</w:t>
      </w:r>
    </w:p>
    <w:p w:rsidR="000F5E4D" w:rsidRDefault="00E970F5" w:rsidP="00DE1921">
      <w:pPr>
        <w:numPr>
          <w:ilvl w:val="0"/>
          <w:numId w:val="6"/>
        </w:numPr>
        <w:tabs>
          <w:tab w:val="clear" w:pos="1800"/>
          <w:tab w:val="num" w:pos="1134"/>
        </w:tabs>
        <w:ind w:left="1134" w:hanging="425"/>
        <w:rPr>
          <w:rFonts w:ascii="Calibri" w:hAnsi="Calibri"/>
          <w:szCs w:val="22"/>
        </w:rPr>
      </w:pPr>
      <w:r>
        <w:rPr>
          <w:rFonts w:ascii="Calibri" w:hAnsi="Calibri"/>
          <w:szCs w:val="22"/>
        </w:rPr>
        <w:t>Mr Maurice Ben-Mayor, MTAA representative</w:t>
      </w:r>
    </w:p>
    <w:p w:rsidR="000F5E4D" w:rsidRPr="00EA42A0" w:rsidRDefault="00756CD6" w:rsidP="009C4E3C">
      <w:pPr>
        <w:numPr>
          <w:ilvl w:val="0"/>
          <w:numId w:val="6"/>
        </w:numPr>
        <w:tabs>
          <w:tab w:val="clear" w:pos="1800"/>
          <w:tab w:val="num" w:pos="1134"/>
        </w:tabs>
        <w:spacing w:after="120"/>
        <w:ind w:left="1134" w:hanging="425"/>
        <w:rPr>
          <w:rFonts w:ascii="Calibri" w:hAnsi="Calibri"/>
          <w:szCs w:val="22"/>
        </w:rPr>
      </w:pPr>
      <w:r>
        <w:rPr>
          <w:rFonts w:ascii="Calibri" w:hAnsi="Calibri"/>
          <w:szCs w:val="22"/>
        </w:rPr>
        <w:t xml:space="preserve">Ms </w:t>
      </w:r>
      <w:r w:rsidR="00D96314">
        <w:rPr>
          <w:rFonts w:ascii="Calibri" w:hAnsi="Calibri"/>
          <w:szCs w:val="22"/>
        </w:rPr>
        <w:t>Adriana Platona</w:t>
      </w:r>
      <w:r w:rsidR="00E970F5">
        <w:rPr>
          <w:rFonts w:ascii="Calibri" w:hAnsi="Calibri"/>
          <w:szCs w:val="22"/>
        </w:rPr>
        <w:t xml:space="preserve">, </w:t>
      </w:r>
      <w:r w:rsidR="00D96314">
        <w:rPr>
          <w:rFonts w:ascii="Calibri" w:hAnsi="Calibri"/>
          <w:szCs w:val="22"/>
        </w:rPr>
        <w:t xml:space="preserve">First </w:t>
      </w:r>
      <w:r w:rsidR="000F5E4D">
        <w:rPr>
          <w:rFonts w:ascii="Calibri" w:hAnsi="Calibri"/>
          <w:szCs w:val="22"/>
        </w:rPr>
        <w:t xml:space="preserve">Assistant Secretary, </w:t>
      </w:r>
      <w:r w:rsidR="00D96314">
        <w:rPr>
          <w:rFonts w:ascii="Calibri" w:hAnsi="Calibri"/>
          <w:szCs w:val="22"/>
        </w:rPr>
        <w:t>Technology Assessment and Access Division</w:t>
      </w:r>
      <w:r w:rsidR="009C4E3C">
        <w:rPr>
          <w:rFonts w:ascii="Calibri" w:hAnsi="Calibri"/>
          <w:szCs w:val="22"/>
        </w:rPr>
        <w:t>, Department of Health</w:t>
      </w:r>
      <w:r w:rsidR="000F5E4D">
        <w:rPr>
          <w:rFonts w:ascii="Calibri" w:hAnsi="Calibri"/>
          <w:szCs w:val="22"/>
        </w:rPr>
        <w:t>.</w:t>
      </w:r>
    </w:p>
    <w:p w:rsidR="00723B48" w:rsidRDefault="001B6D10" w:rsidP="00DE1921">
      <w:pPr>
        <w:pStyle w:val="NormalItalics"/>
        <w:spacing w:before="0" w:after="0"/>
        <w:ind w:left="0"/>
        <w:rPr>
          <w:rFonts w:ascii="Calibri" w:hAnsi="Calibri" w:cs="Arial"/>
          <w:i w:val="0"/>
          <w:iCs w:val="0"/>
          <w:szCs w:val="22"/>
        </w:rPr>
      </w:pPr>
      <w:r>
        <w:rPr>
          <w:rFonts w:ascii="Calibri" w:hAnsi="Calibri" w:cs="Arial"/>
          <w:i w:val="0"/>
          <w:iCs w:val="0"/>
          <w:szCs w:val="22"/>
        </w:rPr>
        <w:t>Subject to agreement by the core members, o</w:t>
      </w:r>
      <w:r w:rsidR="001A5133" w:rsidRPr="00EA42A0">
        <w:rPr>
          <w:rFonts w:ascii="Calibri" w:hAnsi="Calibri" w:cs="Arial"/>
          <w:i w:val="0"/>
          <w:iCs w:val="0"/>
          <w:szCs w:val="22"/>
        </w:rPr>
        <w:t>ther</w:t>
      </w:r>
      <w:r w:rsidR="000F5E4D">
        <w:rPr>
          <w:rFonts w:ascii="Calibri" w:hAnsi="Calibri" w:cs="Arial"/>
          <w:i w:val="0"/>
          <w:iCs w:val="0"/>
          <w:szCs w:val="22"/>
        </w:rPr>
        <w:t>s</w:t>
      </w:r>
      <w:r w:rsidR="001A5133" w:rsidRPr="00EA42A0">
        <w:rPr>
          <w:rFonts w:ascii="Calibri" w:hAnsi="Calibri" w:cs="Arial"/>
          <w:i w:val="0"/>
          <w:iCs w:val="0"/>
          <w:szCs w:val="22"/>
        </w:rPr>
        <w:t xml:space="preserve"> may be in</w:t>
      </w:r>
      <w:r w:rsidR="000F5E4D">
        <w:rPr>
          <w:rFonts w:ascii="Calibri" w:hAnsi="Calibri" w:cs="Arial"/>
          <w:i w:val="0"/>
          <w:iCs w:val="0"/>
          <w:szCs w:val="22"/>
        </w:rPr>
        <w:t>vited to join</w:t>
      </w:r>
      <w:r w:rsidR="001A5133" w:rsidRPr="00EA42A0">
        <w:rPr>
          <w:rFonts w:ascii="Calibri" w:hAnsi="Calibri" w:cs="Arial"/>
          <w:i w:val="0"/>
          <w:iCs w:val="0"/>
          <w:szCs w:val="22"/>
        </w:rPr>
        <w:t xml:space="preserve"> the </w:t>
      </w:r>
      <w:r w:rsidR="003D26A4" w:rsidRPr="00EA42A0">
        <w:rPr>
          <w:rFonts w:ascii="Calibri" w:hAnsi="Calibri" w:cs="Arial"/>
          <w:i w:val="0"/>
          <w:iCs w:val="0"/>
          <w:szCs w:val="22"/>
        </w:rPr>
        <w:t>group</w:t>
      </w:r>
      <w:r w:rsidR="00EA42A0" w:rsidRPr="00EA42A0">
        <w:rPr>
          <w:rFonts w:ascii="Calibri" w:hAnsi="Calibri" w:cs="Arial"/>
          <w:i w:val="0"/>
          <w:iCs w:val="0"/>
          <w:szCs w:val="22"/>
        </w:rPr>
        <w:t xml:space="preserve"> as required.</w:t>
      </w:r>
    </w:p>
    <w:p w:rsidR="00265A57" w:rsidRPr="009C4E3C" w:rsidRDefault="00377405" w:rsidP="009C4E3C">
      <w:pPr>
        <w:pStyle w:val="Heading1"/>
      </w:pPr>
      <w:r w:rsidRPr="009C4E3C">
        <w:t>Membership term</w:t>
      </w:r>
    </w:p>
    <w:p w:rsidR="00134999" w:rsidRDefault="000F5E4D" w:rsidP="00DE1921">
      <w:pPr>
        <w:pStyle w:val="NormalItalics"/>
        <w:tabs>
          <w:tab w:val="left" w:pos="851"/>
        </w:tabs>
        <w:spacing w:before="0" w:after="0"/>
        <w:ind w:left="0"/>
        <w:rPr>
          <w:rFonts w:ascii="Calibri" w:hAnsi="Calibri" w:cs="Arial"/>
          <w:i w:val="0"/>
          <w:iCs w:val="0"/>
        </w:rPr>
      </w:pPr>
      <w:r>
        <w:rPr>
          <w:rFonts w:ascii="Calibri" w:hAnsi="Calibri" w:cs="Arial"/>
          <w:i w:val="0"/>
          <w:iCs w:val="0"/>
        </w:rPr>
        <w:t>The Governance Group will exist for the life of the Agreement</w:t>
      </w:r>
      <w:r w:rsidR="00DE1921">
        <w:rPr>
          <w:rFonts w:ascii="Calibri" w:hAnsi="Calibri" w:cs="Arial"/>
          <w:i w:val="0"/>
          <w:iCs w:val="0"/>
        </w:rPr>
        <w:t xml:space="preserve"> – 15 October 2017 to </w:t>
      </w:r>
    </w:p>
    <w:p w:rsidR="00265A57" w:rsidRDefault="00DE1921" w:rsidP="00DE1921">
      <w:pPr>
        <w:pStyle w:val="NormalItalics"/>
        <w:tabs>
          <w:tab w:val="left" w:pos="851"/>
        </w:tabs>
        <w:spacing w:before="0" w:after="0"/>
        <w:ind w:left="0"/>
        <w:rPr>
          <w:rFonts w:ascii="Calibri" w:hAnsi="Calibri" w:cs="Arial"/>
          <w:i w:val="0"/>
          <w:iCs w:val="0"/>
        </w:rPr>
      </w:pPr>
      <w:r>
        <w:rPr>
          <w:rFonts w:ascii="Calibri" w:hAnsi="Calibri" w:cs="Arial"/>
          <w:i w:val="0"/>
          <w:iCs w:val="0"/>
        </w:rPr>
        <w:t>31 January 2022</w:t>
      </w:r>
      <w:r w:rsidR="00265A57">
        <w:rPr>
          <w:rFonts w:ascii="Calibri" w:hAnsi="Calibri" w:cs="Arial"/>
          <w:i w:val="0"/>
          <w:iCs w:val="0"/>
        </w:rPr>
        <w:t>.</w:t>
      </w:r>
    </w:p>
    <w:p w:rsidR="001B6D10" w:rsidRPr="009C4E3C" w:rsidRDefault="001B6D10" w:rsidP="009C4E3C">
      <w:pPr>
        <w:pStyle w:val="Heading1"/>
      </w:pPr>
      <w:r w:rsidRPr="009C4E3C">
        <w:t>Confidentiality and Conflicts of Interest</w:t>
      </w:r>
    </w:p>
    <w:p w:rsidR="001B6D10" w:rsidRPr="00177093" w:rsidRDefault="001B6D10" w:rsidP="00DE1921">
      <w:pPr>
        <w:pStyle w:val="NormalItalics"/>
        <w:spacing w:before="0" w:after="0"/>
        <w:ind w:left="0"/>
        <w:rPr>
          <w:rFonts w:asciiTheme="minorHAnsi" w:hAnsiTheme="minorHAnsi"/>
          <w:i w:val="0"/>
        </w:rPr>
      </w:pPr>
      <w:r w:rsidRPr="00177093">
        <w:rPr>
          <w:rFonts w:asciiTheme="minorHAnsi" w:hAnsiTheme="minorHAnsi"/>
          <w:i w:val="0"/>
        </w:rPr>
        <w:t xml:space="preserve">Members of the Governance Group </w:t>
      </w:r>
      <w:r w:rsidR="00177093">
        <w:rPr>
          <w:rFonts w:asciiTheme="minorHAnsi" w:hAnsiTheme="minorHAnsi"/>
          <w:i w:val="0"/>
        </w:rPr>
        <w:t>will</w:t>
      </w:r>
      <w:r w:rsidRPr="00177093">
        <w:rPr>
          <w:rFonts w:asciiTheme="minorHAnsi" w:hAnsiTheme="minorHAnsi"/>
          <w:i w:val="0"/>
        </w:rPr>
        <w:t xml:space="preserve"> agree to appropriate confidentiality arrangements for the treatment of information considered sensitive and/or confidential.</w:t>
      </w:r>
    </w:p>
    <w:p w:rsidR="00265A57" w:rsidRPr="009C4E3C" w:rsidRDefault="00377405" w:rsidP="009C4E3C">
      <w:pPr>
        <w:pStyle w:val="Heading1"/>
      </w:pPr>
      <w:r w:rsidRPr="009C4E3C">
        <w:t>M</w:t>
      </w:r>
      <w:r w:rsidR="00265A57" w:rsidRPr="009C4E3C">
        <w:t>eetings</w:t>
      </w:r>
    </w:p>
    <w:p w:rsidR="006A47A3" w:rsidRDefault="006A47A3" w:rsidP="006A47A3">
      <w:pPr>
        <w:pStyle w:val="Default"/>
        <w:rPr>
          <w:rFonts w:asciiTheme="minorHAnsi" w:hAnsiTheme="minorHAnsi"/>
        </w:rPr>
      </w:pPr>
      <w:r>
        <w:rPr>
          <w:rFonts w:asciiTheme="minorHAnsi" w:hAnsiTheme="minorHAnsi"/>
        </w:rPr>
        <w:t>Representatives of the parties agree to meet at least six monthly.</w:t>
      </w:r>
    </w:p>
    <w:p w:rsidR="006A47A3" w:rsidRDefault="00134999" w:rsidP="006A47A3">
      <w:pPr>
        <w:pStyle w:val="Default"/>
        <w:rPr>
          <w:rFonts w:asciiTheme="minorHAnsi" w:hAnsiTheme="minorHAnsi"/>
        </w:rPr>
      </w:pPr>
      <w:r>
        <w:rPr>
          <w:rFonts w:asciiTheme="minorHAnsi" w:hAnsiTheme="minorHAnsi"/>
        </w:rPr>
        <w:t xml:space="preserve">The meetings will be co-chaired between Professor Terry Campbell and either </w:t>
      </w:r>
    </w:p>
    <w:p w:rsidR="00B41213" w:rsidRDefault="00134999" w:rsidP="00A70679">
      <w:pPr>
        <w:pStyle w:val="Default"/>
        <w:rPr>
          <w:rFonts w:ascii="Calibri" w:hAnsi="Calibri"/>
          <w:i/>
          <w:iCs/>
          <w:szCs w:val="22"/>
        </w:rPr>
      </w:pPr>
      <w:r>
        <w:rPr>
          <w:rFonts w:asciiTheme="minorHAnsi" w:hAnsiTheme="minorHAnsi"/>
        </w:rPr>
        <w:t>Mr Ian Burgess or Mr Maurice Ben-Mayor.</w:t>
      </w:r>
      <w:r w:rsidR="00A70679">
        <w:rPr>
          <w:rFonts w:asciiTheme="minorHAnsi" w:hAnsiTheme="minorHAnsi"/>
        </w:rPr>
        <w:t xml:space="preserve">  </w:t>
      </w:r>
      <w:r w:rsidR="009C4E3C">
        <w:rPr>
          <w:rFonts w:ascii="Calibri" w:hAnsi="Calibri"/>
        </w:rPr>
        <w:t>The time and location of each meeting will be agreed in advance.</w:t>
      </w:r>
      <w:r w:rsidR="00A70679">
        <w:rPr>
          <w:rFonts w:ascii="Calibri" w:hAnsi="Calibri"/>
        </w:rPr>
        <w:t xml:space="preserve">  </w:t>
      </w:r>
      <w:r w:rsidR="009C4E3C">
        <w:rPr>
          <w:rFonts w:ascii="Calibri" w:hAnsi="Calibri"/>
        </w:rPr>
        <w:t>The agenda will be agreed by members no less than two weeks prior to the meeting.  Members will aim to submit agenda papers, where necessary, one week prior to the meeting.</w:t>
      </w:r>
      <w:r w:rsidR="00A70679">
        <w:rPr>
          <w:rFonts w:ascii="Calibri" w:hAnsi="Calibri"/>
        </w:rPr>
        <w:t xml:space="preserve">  </w:t>
      </w:r>
      <w:r w:rsidR="00B41213">
        <w:rPr>
          <w:rFonts w:ascii="Calibri" w:hAnsi="Calibri"/>
        </w:rPr>
        <w:t xml:space="preserve">A record of the meeting will be </w:t>
      </w:r>
      <w:r w:rsidR="00177093">
        <w:rPr>
          <w:rFonts w:ascii="Calibri" w:hAnsi="Calibri"/>
        </w:rPr>
        <w:t xml:space="preserve">taken by the secretariat and circulated to members </w:t>
      </w:r>
      <w:r w:rsidR="00B41213">
        <w:rPr>
          <w:rFonts w:ascii="Calibri" w:hAnsi="Calibri"/>
        </w:rPr>
        <w:t>within two weeks of the meeting being held.</w:t>
      </w:r>
    </w:p>
    <w:p w:rsidR="00FB419A" w:rsidRPr="00A43CF4" w:rsidRDefault="00B41213" w:rsidP="00A43CF4">
      <w:pPr>
        <w:pStyle w:val="Heading1"/>
      </w:pPr>
      <w:r w:rsidRPr="00A43CF4">
        <w:t>Secretariat</w:t>
      </w:r>
    </w:p>
    <w:p w:rsidR="00265A57" w:rsidRDefault="00B41213" w:rsidP="00DE1921">
      <w:pPr>
        <w:pStyle w:val="NormalItalics"/>
        <w:spacing w:before="0" w:after="0"/>
        <w:ind w:left="0"/>
        <w:rPr>
          <w:rFonts w:ascii="Calibri" w:hAnsi="Calibri" w:cs="Arial"/>
          <w:i w:val="0"/>
          <w:iCs w:val="0"/>
        </w:rPr>
      </w:pPr>
      <w:r>
        <w:rPr>
          <w:rFonts w:ascii="Calibri" w:hAnsi="Calibri" w:cs="Arial"/>
          <w:i w:val="0"/>
          <w:iCs w:val="0"/>
        </w:rPr>
        <w:t xml:space="preserve">The Secretariat will be provided by </w:t>
      </w:r>
      <w:r w:rsidR="00DE1921">
        <w:rPr>
          <w:rFonts w:ascii="Calibri" w:hAnsi="Calibri" w:cs="Arial"/>
          <w:i w:val="0"/>
          <w:iCs w:val="0"/>
        </w:rPr>
        <w:t>the Department of Health.</w:t>
      </w:r>
    </w:p>
    <w:bookmarkEnd w:id="0"/>
    <w:bookmarkEnd w:id="1"/>
    <w:bookmarkEnd w:id="2"/>
    <w:bookmarkEnd w:id="3"/>
    <w:bookmarkEnd w:id="4"/>
    <w:bookmarkEnd w:id="5"/>
    <w:p w:rsidR="001F14DF" w:rsidRDefault="001F14DF">
      <w:pPr>
        <w:rPr>
          <w:rFonts w:ascii="Calibri" w:hAnsi="Calibri" w:cs="Arial"/>
        </w:rPr>
      </w:pPr>
      <w:r>
        <w:rPr>
          <w:rFonts w:ascii="Calibri" w:hAnsi="Calibri" w:cs="Arial"/>
          <w:i/>
          <w:iCs/>
        </w:rPr>
        <w:br w:type="page"/>
      </w:r>
    </w:p>
    <w:p w:rsidR="00BC731E" w:rsidRPr="00BC731E" w:rsidRDefault="00BC731E" w:rsidP="00BC731E">
      <w:pPr>
        <w:pStyle w:val="Heading2"/>
        <w:numPr>
          <w:ilvl w:val="0"/>
          <w:numId w:val="0"/>
        </w:numPr>
        <w:spacing w:before="480"/>
        <w:ind w:left="576"/>
        <w:jc w:val="right"/>
        <w:rPr>
          <w:rStyle w:val="Emphasis"/>
          <w:rFonts w:ascii="Arial" w:hAnsi="Arial" w:cs="Arial"/>
          <w:i w:val="0"/>
          <w:sz w:val="24"/>
          <w:szCs w:val="24"/>
        </w:rPr>
      </w:pPr>
      <w:r w:rsidRPr="00BC731E">
        <w:rPr>
          <w:rStyle w:val="Emphasis"/>
          <w:rFonts w:ascii="Arial" w:hAnsi="Arial" w:cs="Arial"/>
          <w:i w:val="0"/>
          <w:sz w:val="24"/>
          <w:szCs w:val="24"/>
        </w:rPr>
        <w:lastRenderedPageBreak/>
        <w:t>Attachment</w:t>
      </w:r>
    </w:p>
    <w:p w:rsidR="001F14DF" w:rsidRPr="00BC731E" w:rsidRDefault="001F14DF" w:rsidP="001F14DF">
      <w:pPr>
        <w:pStyle w:val="Heading2"/>
        <w:numPr>
          <w:ilvl w:val="0"/>
          <w:numId w:val="0"/>
        </w:numPr>
        <w:spacing w:before="480"/>
        <w:ind w:left="576"/>
        <w:jc w:val="center"/>
        <w:rPr>
          <w:rStyle w:val="Emphasis"/>
          <w:rFonts w:ascii="Arial" w:hAnsi="Arial" w:cs="Arial"/>
          <w:color w:val="365F91" w:themeColor="accent1" w:themeShade="BF"/>
          <w:sz w:val="24"/>
          <w:szCs w:val="24"/>
        </w:rPr>
      </w:pPr>
      <w:r w:rsidRPr="00BC731E">
        <w:rPr>
          <w:rStyle w:val="Emphasis"/>
          <w:rFonts w:ascii="Arial" w:hAnsi="Arial" w:cs="Arial"/>
          <w:color w:val="365F91" w:themeColor="accent1" w:themeShade="BF"/>
          <w:sz w:val="24"/>
          <w:szCs w:val="24"/>
        </w:rPr>
        <w:t>Improving access to breakthrough medical technology and affordability of medical devices for privately insured Australians:</w:t>
      </w:r>
    </w:p>
    <w:p w:rsidR="001F14DF" w:rsidRPr="00BC731E" w:rsidRDefault="001F14DF" w:rsidP="001F14DF">
      <w:pPr>
        <w:pStyle w:val="Heading2"/>
        <w:numPr>
          <w:ilvl w:val="0"/>
          <w:numId w:val="0"/>
        </w:numPr>
        <w:spacing w:after="0"/>
        <w:ind w:left="576"/>
        <w:jc w:val="center"/>
        <w:rPr>
          <w:rStyle w:val="Emphasis"/>
          <w:rFonts w:ascii="Arial" w:hAnsi="Arial" w:cs="Arial"/>
          <w:color w:val="365F91" w:themeColor="accent1" w:themeShade="BF"/>
          <w:sz w:val="24"/>
          <w:szCs w:val="24"/>
        </w:rPr>
      </w:pPr>
      <w:r w:rsidRPr="00BC731E">
        <w:rPr>
          <w:rStyle w:val="Emphasis"/>
          <w:rFonts w:ascii="Arial" w:hAnsi="Arial" w:cs="Arial"/>
          <w:color w:val="365F91" w:themeColor="accent1" w:themeShade="BF"/>
          <w:sz w:val="24"/>
          <w:szCs w:val="24"/>
        </w:rPr>
        <w:t>Agreement between the Government and the Medical Technology Association of Australia (MTAA)</w:t>
      </w:r>
    </w:p>
    <w:p w:rsidR="001F14DF" w:rsidRPr="001F14DF" w:rsidRDefault="001F14DF" w:rsidP="001F14DF">
      <w:pPr>
        <w:pStyle w:val="Heading2"/>
        <w:numPr>
          <w:ilvl w:val="0"/>
          <w:numId w:val="0"/>
        </w:numPr>
        <w:ind w:left="576" w:hanging="576"/>
        <w:rPr>
          <w:rFonts w:ascii="Arial" w:eastAsiaTheme="minorEastAsia" w:hAnsi="Arial" w:cs="Arial"/>
          <w:sz w:val="22"/>
          <w:szCs w:val="22"/>
          <w:lang w:val="en-US"/>
        </w:rPr>
      </w:pPr>
      <w:r w:rsidRPr="001F14DF">
        <w:rPr>
          <w:rFonts w:ascii="Arial" w:eastAsiaTheme="minorEastAsia" w:hAnsi="Arial" w:cs="Arial"/>
          <w:sz w:val="22"/>
          <w:szCs w:val="22"/>
          <w:lang w:val="en-US"/>
        </w:rPr>
        <w:t>Purpose:</w:t>
      </w:r>
    </w:p>
    <w:p w:rsidR="001F14DF" w:rsidRPr="001F14DF" w:rsidRDefault="001F14DF" w:rsidP="001F14DF">
      <w:pPr>
        <w:rPr>
          <w:rFonts w:ascii="Arial" w:eastAsiaTheme="minorEastAsia" w:hAnsi="Arial" w:cs="Arial"/>
          <w:sz w:val="22"/>
          <w:szCs w:val="22"/>
          <w:lang w:val="en-US"/>
        </w:rPr>
      </w:pPr>
      <w:r w:rsidRPr="001F14DF">
        <w:rPr>
          <w:rFonts w:ascii="Arial" w:eastAsiaTheme="minorEastAsia" w:hAnsi="Arial" w:cs="Arial"/>
          <w:sz w:val="22"/>
          <w:szCs w:val="22"/>
          <w:lang w:val="en-US"/>
        </w:rPr>
        <w:t xml:space="preserve">A commitment by the Government and the MTAA, as advocates for Australia’s innovative medical technology sector, to: </w:t>
      </w:r>
    </w:p>
    <w:p w:rsidR="001F14DF" w:rsidRPr="001F14DF" w:rsidRDefault="001F14DF" w:rsidP="001F14DF">
      <w:pPr>
        <w:pStyle w:val="ListParagraph"/>
        <w:numPr>
          <w:ilvl w:val="0"/>
          <w:numId w:val="24"/>
        </w:numPr>
        <w:spacing w:after="0" w:line="240" w:lineRule="auto"/>
        <w:ind w:left="714" w:hanging="357"/>
        <w:contextualSpacing w:val="0"/>
        <w:rPr>
          <w:rFonts w:ascii="Arial" w:eastAsiaTheme="minorEastAsia" w:hAnsi="Arial" w:cs="Arial"/>
          <w:lang w:val="en-US"/>
        </w:rPr>
      </w:pPr>
      <w:r w:rsidRPr="001F14DF">
        <w:rPr>
          <w:rFonts w:ascii="Arial" w:eastAsiaTheme="minorEastAsia" w:hAnsi="Arial" w:cs="Arial"/>
          <w:lang w:val="en-US"/>
        </w:rPr>
        <w:t>promote the sustainability of privately insured health care through rebalancing the costs of medical devices to privately insured patients, to help keep private health insurance affordable for all Australians;</w:t>
      </w:r>
    </w:p>
    <w:p w:rsidR="001F14DF" w:rsidRPr="001F14DF" w:rsidRDefault="001F14DF" w:rsidP="001F14DF">
      <w:pPr>
        <w:pStyle w:val="ListParagraph"/>
        <w:numPr>
          <w:ilvl w:val="0"/>
          <w:numId w:val="24"/>
        </w:numPr>
        <w:spacing w:before="120" w:after="120"/>
        <w:ind w:left="714" w:hanging="357"/>
        <w:contextualSpacing w:val="0"/>
        <w:rPr>
          <w:rFonts w:ascii="Arial" w:eastAsiaTheme="minorEastAsia" w:hAnsi="Arial" w:cs="Arial"/>
          <w:lang w:val="en-US"/>
        </w:rPr>
      </w:pPr>
      <w:r w:rsidRPr="001F14DF">
        <w:rPr>
          <w:rFonts w:ascii="Arial" w:eastAsiaTheme="minorEastAsia" w:hAnsi="Arial" w:cs="Arial"/>
          <w:lang w:val="en-US"/>
        </w:rPr>
        <w:t xml:space="preserve">support a viable, innovative and diverse medical technology sector in Australia and local jobs; and </w:t>
      </w:r>
    </w:p>
    <w:p w:rsidR="001F14DF" w:rsidRPr="001F14DF" w:rsidRDefault="001F14DF" w:rsidP="001F14DF">
      <w:pPr>
        <w:pStyle w:val="ListParagraph"/>
        <w:numPr>
          <w:ilvl w:val="0"/>
          <w:numId w:val="24"/>
        </w:numPr>
        <w:spacing w:before="120" w:after="120"/>
        <w:ind w:left="714" w:hanging="357"/>
        <w:contextualSpacing w:val="0"/>
        <w:rPr>
          <w:rFonts w:ascii="Arial" w:eastAsiaTheme="minorEastAsia" w:hAnsi="Arial" w:cs="Arial"/>
          <w:lang w:val="en-US"/>
        </w:rPr>
      </w:pPr>
      <w:r w:rsidRPr="001F14DF">
        <w:rPr>
          <w:rFonts w:ascii="Arial" w:eastAsiaTheme="minorEastAsia" w:hAnsi="Arial" w:cs="Arial"/>
          <w:lang w:val="en-US"/>
        </w:rPr>
        <w:t xml:space="preserve">improve the value of private health insurance for consumers by reducing benefits for prostheses on the Prostheses List. </w:t>
      </w:r>
    </w:p>
    <w:p w:rsidR="001F14DF" w:rsidRPr="001F14DF" w:rsidRDefault="001F14DF" w:rsidP="001F14DF">
      <w:pPr>
        <w:rPr>
          <w:rFonts w:ascii="Arial" w:eastAsiaTheme="minorEastAsia" w:hAnsi="Arial" w:cs="Arial"/>
          <w:sz w:val="22"/>
          <w:szCs w:val="22"/>
          <w:lang w:val="en-US"/>
        </w:rPr>
      </w:pPr>
      <w:r w:rsidRPr="001F14DF">
        <w:rPr>
          <w:rFonts w:ascii="Arial" w:eastAsiaTheme="minorEastAsia" w:hAnsi="Arial" w:cs="Arial"/>
          <w:sz w:val="22"/>
          <w:szCs w:val="22"/>
          <w:lang w:val="en-US"/>
        </w:rPr>
        <w:t xml:space="preserve">The Government recognises the role of the Prostheses List in supporting the value proposition of private healthcare to Australian consumers, and how the medical technology sector contributes to this. </w:t>
      </w:r>
    </w:p>
    <w:p w:rsidR="001F14DF" w:rsidRPr="001F14DF" w:rsidRDefault="001F14DF" w:rsidP="001F14DF">
      <w:pPr>
        <w:pStyle w:val="Heading2"/>
        <w:numPr>
          <w:ilvl w:val="0"/>
          <w:numId w:val="0"/>
        </w:numPr>
        <w:ind w:left="576" w:hanging="576"/>
        <w:rPr>
          <w:rFonts w:ascii="Arial" w:eastAsiaTheme="minorEastAsia" w:hAnsi="Arial" w:cs="Arial"/>
          <w:sz w:val="22"/>
          <w:szCs w:val="22"/>
          <w:lang w:val="en-US"/>
        </w:rPr>
      </w:pPr>
      <w:r w:rsidRPr="001F14DF">
        <w:rPr>
          <w:rFonts w:ascii="Arial" w:eastAsiaTheme="minorEastAsia" w:hAnsi="Arial" w:cs="Arial"/>
          <w:sz w:val="22"/>
          <w:szCs w:val="22"/>
          <w:lang w:val="en-US"/>
        </w:rPr>
        <w:t>Duration of Agreement:</w:t>
      </w:r>
    </w:p>
    <w:p w:rsidR="001F14DF" w:rsidRPr="001F14DF" w:rsidRDefault="001F14DF" w:rsidP="001F14DF">
      <w:pPr>
        <w:rPr>
          <w:rFonts w:ascii="Arial" w:eastAsiaTheme="minorEastAsia" w:hAnsi="Arial" w:cs="Arial"/>
          <w:sz w:val="22"/>
          <w:szCs w:val="22"/>
          <w:lang w:val="en-US"/>
        </w:rPr>
      </w:pPr>
      <w:r w:rsidRPr="001F14DF">
        <w:rPr>
          <w:rFonts w:ascii="Arial" w:eastAsiaTheme="minorEastAsia" w:hAnsi="Arial" w:cs="Arial"/>
          <w:sz w:val="22"/>
          <w:szCs w:val="22"/>
          <w:lang w:val="en-US"/>
        </w:rPr>
        <w:t xml:space="preserve">The commitments outlined in this Agreement between the Government and the MTAA are valid for the duration of the Agreement.  This Agreement will operate from 15 October 2017 to 31 January 2022. </w:t>
      </w:r>
    </w:p>
    <w:p w:rsidR="001F14DF" w:rsidRPr="001F14DF" w:rsidRDefault="001F14DF" w:rsidP="001F14DF">
      <w:pPr>
        <w:rPr>
          <w:rFonts w:ascii="Arial" w:eastAsiaTheme="minorEastAsia" w:hAnsi="Arial" w:cs="Arial"/>
          <w:sz w:val="22"/>
          <w:szCs w:val="22"/>
          <w:lang w:val="en-US"/>
        </w:rPr>
      </w:pPr>
      <w:r w:rsidRPr="001F14DF">
        <w:rPr>
          <w:rFonts w:ascii="Arial" w:eastAsiaTheme="minorEastAsia" w:hAnsi="Arial" w:cs="Arial"/>
          <w:sz w:val="22"/>
          <w:szCs w:val="22"/>
          <w:lang w:val="en-US"/>
        </w:rPr>
        <w:t xml:space="preserve">Any changes to the terms of this Agreement need to be agreed by both parties. </w:t>
      </w:r>
    </w:p>
    <w:p w:rsidR="001F14DF" w:rsidRPr="001F14DF" w:rsidRDefault="001F14DF" w:rsidP="001F14DF">
      <w:pPr>
        <w:pStyle w:val="Heading2"/>
        <w:numPr>
          <w:ilvl w:val="0"/>
          <w:numId w:val="0"/>
        </w:numPr>
        <w:ind w:left="576" w:hanging="576"/>
        <w:rPr>
          <w:rFonts w:ascii="Arial" w:eastAsiaTheme="minorEastAsia" w:hAnsi="Arial" w:cs="Arial"/>
          <w:sz w:val="22"/>
          <w:szCs w:val="22"/>
        </w:rPr>
      </w:pPr>
      <w:r w:rsidRPr="001F14DF">
        <w:rPr>
          <w:rFonts w:ascii="Arial" w:eastAsiaTheme="minorEastAsia" w:hAnsi="Arial" w:cs="Arial"/>
          <w:sz w:val="22"/>
          <w:szCs w:val="22"/>
        </w:rPr>
        <w:t>Principles:</w:t>
      </w:r>
    </w:p>
    <w:p w:rsidR="001F14DF" w:rsidRPr="001F14DF" w:rsidRDefault="001F14DF" w:rsidP="001F14DF">
      <w:pPr>
        <w:pStyle w:val="Heading3"/>
        <w:numPr>
          <w:ilvl w:val="0"/>
          <w:numId w:val="0"/>
        </w:numPr>
        <w:ind w:left="720" w:hanging="720"/>
        <w:rPr>
          <w:rFonts w:ascii="Arial" w:hAnsi="Arial" w:cs="Arial"/>
          <w:sz w:val="22"/>
          <w:szCs w:val="22"/>
        </w:rPr>
      </w:pPr>
      <w:r w:rsidRPr="001F14DF">
        <w:rPr>
          <w:rFonts w:ascii="Arial" w:hAnsi="Arial" w:cs="Arial"/>
          <w:sz w:val="22"/>
          <w:szCs w:val="22"/>
        </w:rPr>
        <w:t>The Agreement is underpinned by the following principles:</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rPr>
      </w:pPr>
      <w:r w:rsidRPr="001F14DF">
        <w:rPr>
          <w:rFonts w:ascii="Arial" w:hAnsi="Arial" w:cs="Arial"/>
          <w:b/>
        </w:rPr>
        <w:t>Stewardship</w:t>
      </w:r>
      <w:r w:rsidRPr="001F14DF">
        <w:rPr>
          <w:rFonts w:ascii="Arial" w:hAnsi="Arial" w:cs="Arial"/>
        </w:rPr>
        <w:t xml:space="preserve"> of the Australian health system and a responsibility for its ongoing sustainability.</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rPr>
      </w:pPr>
      <w:r w:rsidRPr="001F14DF">
        <w:rPr>
          <w:rFonts w:ascii="Arial" w:hAnsi="Arial" w:cs="Arial"/>
          <w:b/>
        </w:rPr>
        <w:t>Patient access</w:t>
      </w:r>
      <w:r w:rsidRPr="001F14DF">
        <w:rPr>
          <w:rFonts w:ascii="Arial" w:hAnsi="Arial" w:cs="Arial"/>
        </w:rPr>
        <w:t xml:space="preserve"> to affordable healthcare through private health insurance is an essential element of Australia’s world-class healthcare system </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rPr>
      </w:pPr>
      <w:r w:rsidRPr="001F14DF">
        <w:rPr>
          <w:rFonts w:ascii="Arial" w:hAnsi="Arial" w:cs="Arial"/>
          <w:b/>
        </w:rPr>
        <w:t xml:space="preserve">Improved value </w:t>
      </w:r>
      <w:r w:rsidRPr="001F14DF">
        <w:rPr>
          <w:rFonts w:ascii="Arial" w:hAnsi="Arial" w:cs="Arial"/>
        </w:rPr>
        <w:t xml:space="preserve">of private health insurance for consumers through benefits that enable access to safe, effective and cost-effective medical devices supplied within a competitive market. </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rPr>
      </w:pPr>
      <w:r w:rsidRPr="001F14DF">
        <w:rPr>
          <w:rFonts w:ascii="Arial" w:hAnsi="Arial" w:cs="Arial"/>
          <w:b/>
        </w:rPr>
        <w:t>Support for</w:t>
      </w:r>
      <w:r w:rsidRPr="001F14DF">
        <w:rPr>
          <w:rFonts w:ascii="Arial" w:hAnsi="Arial" w:cs="Arial"/>
        </w:rPr>
        <w:t xml:space="preserve"> </w:t>
      </w:r>
      <w:r w:rsidRPr="001F14DF">
        <w:rPr>
          <w:rFonts w:ascii="Arial" w:hAnsi="Arial" w:cs="Arial"/>
          <w:b/>
        </w:rPr>
        <w:t>innovation</w:t>
      </w:r>
      <w:r w:rsidRPr="001F14DF">
        <w:rPr>
          <w:rFonts w:ascii="Arial" w:hAnsi="Arial" w:cs="Arial"/>
        </w:rPr>
        <w:t xml:space="preserve"> of healthcare through incentives to develop and deliver new clinically effective and cost effective medical devices that improve health outcomes</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rPr>
      </w:pPr>
      <w:r w:rsidRPr="001F14DF">
        <w:rPr>
          <w:rFonts w:ascii="Arial" w:hAnsi="Arial" w:cs="Arial"/>
          <w:b/>
        </w:rPr>
        <w:t xml:space="preserve">Transparency </w:t>
      </w:r>
      <w:r w:rsidRPr="001F14DF">
        <w:rPr>
          <w:rFonts w:ascii="Arial" w:hAnsi="Arial" w:cs="Arial"/>
        </w:rPr>
        <w:t>of decision-making for all stakeholders that is informed by sharing of high quality data.</w:t>
      </w:r>
    </w:p>
    <w:p w:rsidR="001F14DF" w:rsidRPr="001F14DF" w:rsidRDefault="001F14DF" w:rsidP="001F14DF">
      <w:pPr>
        <w:pStyle w:val="ListParagraph"/>
        <w:numPr>
          <w:ilvl w:val="0"/>
          <w:numId w:val="34"/>
        </w:numPr>
        <w:spacing w:before="120" w:after="120" w:line="240" w:lineRule="auto"/>
        <w:ind w:left="714" w:hanging="357"/>
        <w:contextualSpacing w:val="0"/>
        <w:rPr>
          <w:rFonts w:ascii="Arial" w:hAnsi="Arial" w:cs="Arial"/>
          <w:b/>
        </w:rPr>
      </w:pPr>
      <w:r w:rsidRPr="001F14DF">
        <w:rPr>
          <w:rFonts w:ascii="Arial" w:hAnsi="Arial" w:cs="Arial"/>
          <w:b/>
        </w:rPr>
        <w:t xml:space="preserve">Integrity </w:t>
      </w:r>
      <w:r w:rsidRPr="001F14DF">
        <w:rPr>
          <w:rFonts w:ascii="Arial" w:hAnsi="Arial" w:cs="Arial"/>
        </w:rPr>
        <w:t>of Australia’s world class health system, including patient safety and high value clinical care.</w:t>
      </w:r>
    </w:p>
    <w:p w:rsidR="001F14DF" w:rsidRPr="001F14DF" w:rsidRDefault="001F14DF" w:rsidP="001F14DF">
      <w:pPr>
        <w:pStyle w:val="Heading2"/>
        <w:numPr>
          <w:ilvl w:val="0"/>
          <w:numId w:val="0"/>
        </w:numPr>
        <w:ind w:left="576" w:hanging="576"/>
        <w:rPr>
          <w:rFonts w:ascii="Arial" w:eastAsiaTheme="minorEastAsia" w:hAnsi="Arial" w:cs="Arial"/>
          <w:sz w:val="22"/>
          <w:szCs w:val="22"/>
        </w:rPr>
      </w:pPr>
      <w:r w:rsidRPr="001F14DF">
        <w:rPr>
          <w:rFonts w:ascii="Arial" w:eastAsiaTheme="minorEastAsia" w:hAnsi="Arial" w:cs="Arial"/>
          <w:sz w:val="22"/>
          <w:szCs w:val="22"/>
        </w:rPr>
        <w:lastRenderedPageBreak/>
        <w:t>Statements of Intent:</w:t>
      </w:r>
    </w:p>
    <w:p w:rsidR="001F14DF" w:rsidRPr="001F14DF" w:rsidRDefault="001F14DF" w:rsidP="001F14DF">
      <w:pPr>
        <w:pStyle w:val="Heading3"/>
        <w:numPr>
          <w:ilvl w:val="0"/>
          <w:numId w:val="0"/>
        </w:numPr>
        <w:ind w:left="720" w:hanging="720"/>
        <w:rPr>
          <w:rFonts w:ascii="Arial" w:hAnsi="Arial" w:cs="Arial"/>
          <w:sz w:val="22"/>
          <w:szCs w:val="22"/>
        </w:rPr>
      </w:pPr>
      <w:r w:rsidRPr="001F14DF">
        <w:rPr>
          <w:rFonts w:ascii="Arial" w:hAnsi="Arial" w:cs="Arial"/>
          <w:sz w:val="22"/>
          <w:szCs w:val="22"/>
        </w:rPr>
        <w:t xml:space="preserve">The Government intends to: </w:t>
      </w:r>
    </w:p>
    <w:p w:rsidR="001F14DF" w:rsidRPr="001F14DF" w:rsidRDefault="001F14DF" w:rsidP="001F14DF">
      <w:pPr>
        <w:pStyle w:val="ListParagraph"/>
        <w:keepNext/>
        <w:numPr>
          <w:ilvl w:val="0"/>
          <w:numId w:val="36"/>
        </w:numPr>
        <w:spacing w:after="120"/>
        <w:ind w:left="360"/>
        <w:rPr>
          <w:rFonts w:ascii="Arial" w:eastAsiaTheme="minorEastAsia" w:hAnsi="Arial" w:cs="Arial"/>
          <w:bCs/>
          <w:lang w:val="en-US"/>
        </w:rPr>
      </w:pPr>
      <w:r w:rsidRPr="001F14DF">
        <w:rPr>
          <w:rFonts w:ascii="Arial" w:eastAsiaTheme="minorEastAsia" w:hAnsi="Arial" w:cs="Arial"/>
          <w:bCs/>
          <w:i/>
          <w:iCs/>
        </w:rPr>
        <w:t>Support sector stability and sustainability by:</w:t>
      </w:r>
    </w:p>
    <w:p w:rsidR="001F14DF" w:rsidRPr="001F14DF" w:rsidRDefault="001F14DF" w:rsidP="001F14DF">
      <w:pPr>
        <w:pStyle w:val="ListParagraph"/>
        <w:numPr>
          <w:ilvl w:val="0"/>
          <w:numId w:val="25"/>
        </w:numPr>
        <w:spacing w:before="240" w:after="120"/>
        <w:ind w:left="714" w:hanging="357"/>
        <w:contextualSpacing w:val="0"/>
        <w:rPr>
          <w:rFonts w:ascii="Arial" w:hAnsi="Arial" w:cs="Arial"/>
          <w:color w:val="000000" w:themeColor="text1"/>
        </w:rPr>
      </w:pPr>
      <w:r w:rsidRPr="001F14DF">
        <w:rPr>
          <w:rFonts w:ascii="Arial" w:hAnsi="Arial" w:cs="Arial"/>
          <w:color w:val="000000" w:themeColor="text1"/>
        </w:rPr>
        <w:t xml:space="preserve">Providing certainty to the medical device industry through a stable pricing environment by implementing the benefit reductions of $303 million set out in Attachment A to this Agreement; </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rPr>
        <w:t>Exempting new groups added to a category from the August 2017 Prostheses List from the benefit reductions set out in Attachment A during the term of this Agreement.</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Reflecting benefit changes in legislative instruments as appropriate and publishing this Agreement with a statement committing to this Agreement; and</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Making no other changes to benefits on the Prostheses List during the term of this Agreement without agreement with the MTAA on behalf of the industry.</w:t>
      </w:r>
    </w:p>
    <w:p w:rsidR="001F14DF" w:rsidRPr="001F14DF" w:rsidRDefault="001F14DF" w:rsidP="001F14DF">
      <w:pPr>
        <w:pStyle w:val="ListParagraph"/>
        <w:keepNext/>
        <w:numPr>
          <w:ilvl w:val="0"/>
          <w:numId w:val="36"/>
        </w:numPr>
        <w:spacing w:after="120"/>
        <w:ind w:left="360"/>
        <w:rPr>
          <w:rFonts w:ascii="Arial" w:hAnsi="Arial" w:cs="Arial"/>
          <w:i/>
        </w:rPr>
      </w:pPr>
      <w:r w:rsidRPr="001F14DF">
        <w:rPr>
          <w:rFonts w:ascii="Arial" w:hAnsi="Arial" w:cs="Arial"/>
          <w:i/>
        </w:rPr>
        <w:t>Reduce the time to market for medical devices, by:</w:t>
      </w:r>
    </w:p>
    <w:p w:rsidR="001F14DF" w:rsidRPr="001F14DF" w:rsidRDefault="001F14DF" w:rsidP="001F14DF">
      <w:pPr>
        <w:pStyle w:val="ListParagraph"/>
        <w:numPr>
          <w:ilvl w:val="0"/>
          <w:numId w:val="25"/>
        </w:numPr>
        <w:spacing w:before="240" w:after="120"/>
        <w:ind w:left="714" w:hanging="357"/>
        <w:contextualSpacing w:val="0"/>
        <w:rPr>
          <w:rFonts w:ascii="Arial" w:hAnsi="Arial" w:cs="Arial"/>
          <w:color w:val="000000" w:themeColor="text1"/>
        </w:rPr>
      </w:pPr>
      <w:r w:rsidRPr="001F14DF">
        <w:rPr>
          <w:rFonts w:ascii="Arial" w:hAnsi="Arial" w:cs="Arial"/>
          <w:color w:val="000000" w:themeColor="text1"/>
        </w:rPr>
        <w:t>Removing the current requirement for clinical evidence with 2 years of follow up data for some devices, where this is appropriate by 1 August 2018.</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From 1 February 2018, applications for listing on the Prostheses List which have been approved by the Therapeutic Goods Authority for safety and efficacy will not have duplicative safety and efficacy assessment by PLAC and its subcommittees. The PLAC will maintain its role in assessing comparative effectiveness, cost effectiveness, product grouping and Prostheses List benefit where necessary.</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The Minister asking the Secretary of the Department of Health to advise the Minister within 6 months on options for improved expedited pathways for listing appropriate applications with approval for safety and efficacy by the TGA.</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 xml:space="preserve">Increasing the frequency of listing and giving effect to the Prostheses List to 1 March, 1 July and 1 November each year, to ensure privately insured patients have faster access to new technologies and that the medical devices industry has faster access to reimbursement, by 1 March 2019; </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Developing and publishing key performance indicators for the PLAC and its advisory committees from 1 February 2019.</w:t>
      </w:r>
    </w:p>
    <w:p w:rsidR="001F14DF" w:rsidRPr="001F14DF" w:rsidRDefault="001F14DF" w:rsidP="001F14DF">
      <w:pPr>
        <w:pStyle w:val="ListParagraph"/>
        <w:keepNext/>
        <w:numPr>
          <w:ilvl w:val="0"/>
          <w:numId w:val="36"/>
        </w:numPr>
        <w:spacing w:after="120"/>
        <w:ind w:left="360"/>
        <w:rPr>
          <w:rFonts w:ascii="Arial" w:eastAsiaTheme="minorEastAsia" w:hAnsi="Arial" w:cs="Arial"/>
          <w:bCs/>
          <w:i/>
          <w:iCs/>
        </w:rPr>
      </w:pPr>
      <w:r w:rsidRPr="001F14DF">
        <w:rPr>
          <w:rFonts w:ascii="Arial" w:eastAsiaTheme="minorEastAsia" w:hAnsi="Arial" w:cs="Arial"/>
          <w:bCs/>
          <w:i/>
          <w:iCs/>
        </w:rPr>
        <w:t xml:space="preserve">Ensure Australian patients have access to safe, effective, and cost effective innovative medical devices in the private sector by: </w:t>
      </w:r>
    </w:p>
    <w:p w:rsidR="001F14DF" w:rsidRPr="001F14DF" w:rsidRDefault="001F14DF" w:rsidP="001F14DF">
      <w:pPr>
        <w:pStyle w:val="ListParagraph"/>
        <w:numPr>
          <w:ilvl w:val="0"/>
          <w:numId w:val="25"/>
        </w:numPr>
        <w:spacing w:before="240" w:after="120"/>
        <w:ind w:left="714" w:hanging="357"/>
        <w:contextualSpacing w:val="0"/>
        <w:rPr>
          <w:rFonts w:ascii="Arial" w:hAnsi="Arial" w:cs="Arial"/>
          <w:color w:val="000000" w:themeColor="text1"/>
        </w:rPr>
      </w:pPr>
      <w:r w:rsidRPr="001F14DF">
        <w:rPr>
          <w:rFonts w:ascii="Arial" w:hAnsi="Arial" w:cs="Arial"/>
          <w:color w:val="000000" w:themeColor="text1"/>
        </w:rPr>
        <w:t xml:space="preserve">Establishing an industry working group  by 31 March 2018 to develop a revised framework for benefit setting and benefit review, reflecting use of health technology assessment including evaluation of value, cost-effectiveness and innovation; use of post-market review and the operation of competitive markets in the Australian context; and </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 xml:space="preserve">Establishing an industry working group by 31 March 2018 to determine how technical support services for active implantable cardiac devices should be funded. This recognises that the reductions to the benefits for medical devices in the Cardiac Category of the Prostheses List, as set out in Attachment A, may change the way  </w:t>
      </w:r>
      <w:r w:rsidRPr="001F14DF">
        <w:rPr>
          <w:rFonts w:ascii="Arial" w:hAnsi="Arial" w:cs="Arial"/>
          <w:color w:val="000000" w:themeColor="text1"/>
        </w:rPr>
        <w:lastRenderedPageBreak/>
        <w:t xml:space="preserve">medical device companies continue to provide technical support for active implantable cardiac devices; and </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Continuing with targeted reviews of prostheses but not implementing any changes to benefit levels without agreement of the MTAA during the life of the Agreement.</w:t>
      </w:r>
    </w:p>
    <w:p w:rsidR="001F14DF" w:rsidRPr="001F14DF" w:rsidRDefault="001F14DF" w:rsidP="001F14DF">
      <w:pPr>
        <w:pStyle w:val="ListParagraph"/>
        <w:numPr>
          <w:ilvl w:val="0"/>
          <w:numId w:val="25"/>
        </w:numPr>
        <w:spacing w:after="120"/>
        <w:ind w:left="714" w:hanging="357"/>
        <w:contextualSpacing w:val="0"/>
        <w:rPr>
          <w:rFonts w:ascii="Arial" w:hAnsi="Arial" w:cs="Arial"/>
          <w:color w:val="000000" w:themeColor="text1"/>
        </w:rPr>
      </w:pPr>
      <w:r w:rsidRPr="001F14DF">
        <w:rPr>
          <w:rFonts w:ascii="Arial" w:hAnsi="Arial" w:cs="Arial"/>
          <w:color w:val="000000" w:themeColor="text1"/>
        </w:rPr>
        <w:t>Reviewing, through the PLAC, ways of listing new targeted medical devices on the Prostheses List that do not meet the current criteria for listing, but are safe, clinically effective and cost effective to support private health insurance reimbursement for a wider range of medical devices taking into account overall costs associated with the listing. These include, but are not limited to, cardiac ablation catheters for atrial fibrillation.</w:t>
      </w:r>
    </w:p>
    <w:p w:rsidR="001F14DF" w:rsidRPr="001F14DF" w:rsidRDefault="001F14DF" w:rsidP="001F14DF">
      <w:pPr>
        <w:pStyle w:val="ListParagraph"/>
        <w:keepNext/>
        <w:numPr>
          <w:ilvl w:val="0"/>
          <w:numId w:val="36"/>
        </w:numPr>
        <w:spacing w:after="120"/>
        <w:ind w:left="360"/>
        <w:rPr>
          <w:rFonts w:ascii="Arial" w:hAnsi="Arial" w:cs="Arial"/>
          <w:i/>
        </w:rPr>
      </w:pPr>
      <w:r w:rsidRPr="001F14DF">
        <w:rPr>
          <w:rFonts w:ascii="Arial" w:hAnsi="Arial" w:cs="Arial"/>
          <w:i/>
        </w:rPr>
        <w:t xml:space="preserve">Improve the transparency and efficiency of the Prostheses List arrangements by: </w:t>
      </w:r>
    </w:p>
    <w:p w:rsidR="001F14DF" w:rsidRPr="001F14DF" w:rsidRDefault="001F14DF" w:rsidP="001F14DF">
      <w:pPr>
        <w:pStyle w:val="ListParagraph"/>
        <w:numPr>
          <w:ilvl w:val="0"/>
          <w:numId w:val="33"/>
        </w:numPr>
        <w:spacing w:before="240" w:after="120"/>
        <w:ind w:left="788" w:hanging="357"/>
        <w:contextualSpacing w:val="0"/>
        <w:rPr>
          <w:rFonts w:ascii="Arial" w:hAnsi="Arial" w:cs="Arial"/>
          <w:bCs/>
          <w:iCs/>
          <w:color w:val="000000" w:themeColor="text1"/>
        </w:rPr>
      </w:pPr>
      <w:r w:rsidRPr="001F14DF">
        <w:rPr>
          <w:rFonts w:ascii="Arial" w:hAnsi="Arial" w:cs="Arial"/>
          <w:bCs/>
          <w:iCs/>
          <w:color w:val="000000" w:themeColor="text1"/>
        </w:rPr>
        <w:t xml:space="preserve">Establishing an industry Working Group by 31 March 2018, to improve the quality of information provided to applicants in the </w:t>
      </w:r>
      <w:r w:rsidRPr="001F14DF">
        <w:rPr>
          <w:rFonts w:ascii="Arial" w:hAnsi="Arial" w:cs="Arial"/>
          <w:bCs/>
          <w:i/>
          <w:iCs/>
          <w:color w:val="000000" w:themeColor="text1"/>
        </w:rPr>
        <w:t xml:space="preserve">Prostheses List – Guide to Listing and </w:t>
      </w:r>
      <w:r w:rsidRPr="001F14DF">
        <w:rPr>
          <w:rFonts w:ascii="Arial" w:hAnsi="Arial" w:cs="Arial"/>
          <w:bCs/>
          <w:iCs/>
          <w:color w:val="000000" w:themeColor="text1"/>
        </w:rPr>
        <w:t>Benefits (</w:t>
      </w:r>
      <w:r w:rsidRPr="001F14DF">
        <w:rPr>
          <w:rFonts w:ascii="Arial" w:hAnsi="Arial" w:cs="Arial"/>
          <w:bCs/>
          <w:i/>
          <w:iCs/>
          <w:color w:val="000000" w:themeColor="text1"/>
        </w:rPr>
        <w:t>the Guide</w:t>
      </w:r>
      <w:r w:rsidRPr="001F14DF">
        <w:rPr>
          <w:rFonts w:ascii="Arial" w:hAnsi="Arial" w:cs="Arial"/>
          <w:bCs/>
          <w:iCs/>
          <w:color w:val="000000" w:themeColor="text1"/>
        </w:rPr>
        <w:t xml:space="preserve">) and the Prostheses List Management System (PLMS) to support successful applications to list devices on the Prostheses List; </w:t>
      </w:r>
    </w:p>
    <w:p w:rsidR="001F14DF" w:rsidRPr="001F14DF" w:rsidRDefault="001F14DF" w:rsidP="001F14DF">
      <w:pPr>
        <w:pStyle w:val="ListParagraph"/>
        <w:numPr>
          <w:ilvl w:val="0"/>
          <w:numId w:val="33"/>
        </w:numPr>
        <w:spacing w:after="120"/>
        <w:ind w:left="788" w:hanging="357"/>
        <w:contextualSpacing w:val="0"/>
        <w:rPr>
          <w:rFonts w:ascii="Arial" w:hAnsi="Arial" w:cs="Arial"/>
          <w:bCs/>
          <w:iCs/>
          <w:color w:val="000000" w:themeColor="text1"/>
        </w:rPr>
      </w:pPr>
      <w:r w:rsidRPr="001F14DF">
        <w:rPr>
          <w:rFonts w:ascii="Arial" w:hAnsi="Arial" w:cs="Arial"/>
          <w:bCs/>
          <w:iCs/>
          <w:color w:val="000000" w:themeColor="text1"/>
        </w:rPr>
        <w:t xml:space="preserve">Conducting a process review of the PLAC assessment process with a view to ensuring consistent processes are adopted across the PLAC and its advisory committees and improving the quality and </w:t>
      </w:r>
      <w:r w:rsidRPr="001F14DF">
        <w:rPr>
          <w:rFonts w:ascii="Arial" w:hAnsi="Arial" w:cs="Arial"/>
          <w:iCs/>
          <w:color w:val="000000" w:themeColor="text1"/>
        </w:rPr>
        <w:t xml:space="preserve">timeliness of written </w:t>
      </w:r>
      <w:r w:rsidRPr="001F14DF">
        <w:rPr>
          <w:rFonts w:ascii="Arial" w:hAnsi="Arial" w:cs="Arial"/>
          <w:bCs/>
          <w:iCs/>
          <w:color w:val="000000" w:themeColor="text1"/>
        </w:rPr>
        <w:t xml:space="preserve"> </w:t>
      </w:r>
      <w:r w:rsidRPr="001F14DF">
        <w:rPr>
          <w:rFonts w:ascii="Arial" w:hAnsi="Arial" w:cs="Arial"/>
          <w:iCs/>
          <w:color w:val="000000" w:themeColor="text1"/>
        </w:rPr>
        <w:t>i</w:t>
      </w:r>
      <w:r w:rsidRPr="001F14DF">
        <w:rPr>
          <w:rFonts w:ascii="Arial" w:hAnsi="Arial" w:cs="Arial"/>
          <w:bCs/>
          <w:iCs/>
          <w:color w:val="000000" w:themeColor="text1"/>
        </w:rPr>
        <w:t>nformation provided to applicants at key  steps of the evaluation process</w:t>
      </w:r>
      <w:r w:rsidRPr="001F14DF">
        <w:rPr>
          <w:rFonts w:ascii="Arial" w:hAnsi="Arial" w:cs="Arial"/>
          <w:iCs/>
          <w:color w:val="000000" w:themeColor="text1"/>
        </w:rPr>
        <w:t xml:space="preserve"> to enable them to better address issues with their applications; and</w:t>
      </w:r>
    </w:p>
    <w:p w:rsidR="001F14DF" w:rsidRPr="001F14DF" w:rsidRDefault="001F14DF" w:rsidP="001F14DF">
      <w:pPr>
        <w:pStyle w:val="ListParagraph"/>
        <w:numPr>
          <w:ilvl w:val="0"/>
          <w:numId w:val="33"/>
        </w:numPr>
        <w:spacing w:after="120"/>
        <w:ind w:left="789" w:hanging="357"/>
        <w:contextualSpacing w:val="0"/>
        <w:rPr>
          <w:rFonts w:ascii="Arial" w:hAnsi="Arial" w:cs="Arial"/>
          <w:i/>
          <w:color w:val="000000" w:themeColor="text1"/>
        </w:rPr>
      </w:pPr>
      <w:r w:rsidRPr="001F14DF">
        <w:rPr>
          <w:rFonts w:ascii="Arial" w:hAnsi="Arial" w:cs="Arial"/>
          <w:iCs/>
          <w:color w:val="000000" w:themeColor="text1"/>
        </w:rPr>
        <w:t xml:space="preserve">Revising cost recovery arrangements to take account of amended processes and timelines, and any associated efficiency gains, to ensure that Prostheses Listing and list management activities comply with </w:t>
      </w:r>
      <w:r w:rsidRPr="001F14DF">
        <w:rPr>
          <w:rFonts w:ascii="Arial" w:hAnsi="Arial" w:cs="Arial"/>
        </w:rPr>
        <w:t>the government’s policy for recovery of the costs of all regulatory activities from the entity seeking the activity.</w:t>
      </w:r>
      <w:r w:rsidRPr="001F14DF">
        <w:rPr>
          <w:rFonts w:ascii="Arial" w:hAnsi="Arial" w:cs="Arial"/>
          <w:iCs/>
          <w:color w:val="000000" w:themeColor="text1"/>
        </w:rPr>
        <w:t xml:space="preserve"> The government will aim to implement any changes to cost</w:t>
      </w:r>
      <w:r w:rsidRPr="001F14DF" w:rsidDel="007856A3">
        <w:rPr>
          <w:rFonts w:ascii="Arial" w:hAnsi="Arial" w:cs="Arial"/>
          <w:iCs/>
          <w:color w:val="000000" w:themeColor="text1"/>
        </w:rPr>
        <w:t xml:space="preserve"> </w:t>
      </w:r>
      <w:r w:rsidRPr="001F14DF">
        <w:rPr>
          <w:rFonts w:ascii="Arial" w:hAnsi="Arial" w:cs="Arial"/>
          <w:iCs/>
          <w:color w:val="000000" w:themeColor="text1"/>
        </w:rPr>
        <w:t>recovery arrangements by 1 July 2019.</w:t>
      </w:r>
    </w:p>
    <w:p w:rsidR="001F14DF" w:rsidRPr="001F14DF" w:rsidRDefault="001F14DF" w:rsidP="001F14DF">
      <w:pPr>
        <w:pStyle w:val="ListParagraph"/>
        <w:keepNext/>
        <w:numPr>
          <w:ilvl w:val="0"/>
          <w:numId w:val="36"/>
        </w:numPr>
        <w:spacing w:after="120"/>
        <w:ind w:left="360"/>
        <w:rPr>
          <w:rFonts w:ascii="Arial" w:hAnsi="Arial" w:cs="Arial"/>
          <w:i/>
        </w:rPr>
      </w:pPr>
      <w:r w:rsidRPr="001F14DF">
        <w:rPr>
          <w:rFonts w:ascii="Arial" w:hAnsi="Arial" w:cs="Arial"/>
          <w:i/>
        </w:rPr>
        <w:t>Recognise superior clinical performance by:</w:t>
      </w:r>
    </w:p>
    <w:p w:rsidR="001F14DF" w:rsidRPr="001F14DF" w:rsidRDefault="001F14DF" w:rsidP="001F14DF">
      <w:pPr>
        <w:pStyle w:val="ListParagraph"/>
        <w:numPr>
          <w:ilvl w:val="0"/>
          <w:numId w:val="35"/>
        </w:numPr>
        <w:spacing w:before="240" w:after="120"/>
        <w:contextualSpacing w:val="0"/>
        <w:rPr>
          <w:rFonts w:ascii="Arial" w:hAnsi="Arial" w:cs="Arial"/>
          <w:bCs/>
          <w:iCs/>
          <w:color w:val="000000" w:themeColor="text1"/>
        </w:rPr>
      </w:pPr>
      <w:r w:rsidRPr="001F14DF">
        <w:rPr>
          <w:rFonts w:ascii="Arial" w:hAnsi="Arial" w:cs="Arial"/>
          <w:bCs/>
          <w:iCs/>
          <w:color w:val="000000" w:themeColor="text1"/>
        </w:rPr>
        <w:t>Continuing to recognise superior clinical performance (SCP) through application of the SCP suffix and a reduced benefit premium as outlined in Attachment A; and</w:t>
      </w:r>
    </w:p>
    <w:p w:rsidR="001F14DF" w:rsidRPr="001F14DF" w:rsidRDefault="001F14DF" w:rsidP="001F14DF">
      <w:pPr>
        <w:pStyle w:val="ListParagraph"/>
        <w:numPr>
          <w:ilvl w:val="0"/>
          <w:numId w:val="35"/>
        </w:numPr>
        <w:spacing w:after="120"/>
        <w:contextualSpacing w:val="0"/>
        <w:rPr>
          <w:rFonts w:ascii="Arial" w:hAnsi="Arial" w:cs="Arial"/>
          <w:bCs/>
          <w:iCs/>
          <w:color w:val="000000" w:themeColor="text1"/>
        </w:rPr>
      </w:pPr>
      <w:r w:rsidRPr="001F14DF">
        <w:rPr>
          <w:rFonts w:ascii="Arial" w:hAnsi="Arial" w:cs="Arial"/>
          <w:bCs/>
          <w:iCs/>
          <w:color w:val="000000" w:themeColor="text1"/>
        </w:rPr>
        <w:t>Introducing a new model for SCP benefit by 1 February 2022 (or earlier by mutual agreement) through commencing  work on the inclusion of measures to recognise the value of innovative technologies that deliver improved health outcomes in development of the framework for longer term benefit setting and benefit review.</w:t>
      </w:r>
    </w:p>
    <w:p w:rsidR="001F14DF" w:rsidRPr="001F14DF" w:rsidRDefault="001F14DF" w:rsidP="001F14DF">
      <w:pPr>
        <w:pStyle w:val="ListParagraph"/>
        <w:keepNext/>
        <w:numPr>
          <w:ilvl w:val="0"/>
          <w:numId w:val="36"/>
        </w:numPr>
        <w:spacing w:after="120"/>
        <w:ind w:left="360"/>
        <w:rPr>
          <w:rFonts w:ascii="Arial" w:hAnsi="Arial" w:cs="Arial"/>
          <w:i/>
        </w:rPr>
      </w:pPr>
      <w:r w:rsidRPr="001F14DF">
        <w:rPr>
          <w:rFonts w:ascii="Arial" w:hAnsi="Arial" w:cs="Arial"/>
          <w:i/>
        </w:rPr>
        <w:t>Support Australian medical technology innovation by:</w:t>
      </w:r>
    </w:p>
    <w:p w:rsidR="001F14DF" w:rsidRPr="001F14DF" w:rsidRDefault="001F14DF" w:rsidP="001F14DF">
      <w:pPr>
        <w:pStyle w:val="ListParagraph"/>
        <w:numPr>
          <w:ilvl w:val="0"/>
          <w:numId w:val="35"/>
        </w:numPr>
        <w:spacing w:before="240" w:after="120"/>
        <w:contextualSpacing w:val="0"/>
        <w:rPr>
          <w:rFonts w:ascii="Arial" w:hAnsi="Arial" w:cs="Arial"/>
          <w:bCs/>
          <w:iCs/>
          <w:color w:val="000000" w:themeColor="text1"/>
        </w:rPr>
      </w:pPr>
      <w:r w:rsidRPr="001F14DF">
        <w:rPr>
          <w:rFonts w:ascii="Arial" w:hAnsi="Arial" w:cs="Arial"/>
          <w:bCs/>
          <w:iCs/>
          <w:color w:val="000000" w:themeColor="text1"/>
        </w:rPr>
        <w:t>Establishing a $30 million med-tech and biotech grants program by 31 March 2018 that will be available for small to medium size enterprises (SMEs) and researchers who partner with SMEs  for conducting activities that  support development of new and innovative device technologies, clinical trials and associated registries, support researcher exchanges and workforce development. The allocation of grants will be overseen by a committee that includes representatives of MTP Connect, AusBiotech, MTAA and the Department of Health</w:t>
      </w:r>
    </w:p>
    <w:p w:rsidR="001F14DF" w:rsidRPr="001F14DF" w:rsidRDefault="001F14DF" w:rsidP="001F14DF">
      <w:pPr>
        <w:rPr>
          <w:rFonts w:ascii="Arial" w:eastAsiaTheme="minorEastAsia" w:hAnsi="Arial" w:cs="Arial"/>
          <w:bCs/>
          <w:sz w:val="22"/>
          <w:szCs w:val="22"/>
          <w:lang w:val="en-US"/>
        </w:rPr>
      </w:pPr>
      <w:r w:rsidRPr="001F14DF">
        <w:rPr>
          <w:rFonts w:ascii="Arial" w:eastAsiaTheme="minorEastAsia" w:hAnsi="Arial" w:cs="Arial"/>
          <w:bCs/>
          <w:sz w:val="22"/>
          <w:szCs w:val="22"/>
          <w:lang w:val="en-US"/>
        </w:rPr>
        <w:br w:type="page"/>
      </w:r>
    </w:p>
    <w:p w:rsidR="001F14DF" w:rsidRPr="001F14DF" w:rsidRDefault="001F14DF" w:rsidP="001F14DF">
      <w:pPr>
        <w:pStyle w:val="Heading3"/>
        <w:numPr>
          <w:ilvl w:val="0"/>
          <w:numId w:val="0"/>
        </w:numPr>
        <w:ind w:left="720" w:hanging="720"/>
        <w:rPr>
          <w:rFonts w:ascii="Arial" w:hAnsi="Arial" w:cs="Arial"/>
          <w:sz w:val="22"/>
          <w:szCs w:val="22"/>
          <w:lang w:val="en-US"/>
        </w:rPr>
      </w:pPr>
      <w:r w:rsidRPr="001F14DF">
        <w:rPr>
          <w:rFonts w:ascii="Arial" w:hAnsi="Arial" w:cs="Arial"/>
          <w:sz w:val="22"/>
          <w:szCs w:val="22"/>
          <w:lang w:val="en-US"/>
        </w:rPr>
        <w:lastRenderedPageBreak/>
        <w:t>The medical devices industry intends to:</w:t>
      </w:r>
    </w:p>
    <w:p w:rsidR="001F14DF" w:rsidRPr="001F14DF" w:rsidRDefault="001F14DF" w:rsidP="001F14DF">
      <w:pPr>
        <w:pStyle w:val="ListParagraph"/>
        <w:keepNext/>
        <w:numPr>
          <w:ilvl w:val="0"/>
          <w:numId w:val="37"/>
        </w:numPr>
        <w:spacing w:after="120"/>
        <w:ind w:left="357" w:hanging="357"/>
        <w:rPr>
          <w:rFonts w:ascii="Arial" w:hAnsi="Arial" w:cs="Arial"/>
          <w:i/>
        </w:rPr>
      </w:pPr>
      <w:r w:rsidRPr="001F14DF">
        <w:rPr>
          <w:rFonts w:ascii="Arial" w:hAnsi="Arial" w:cs="Arial"/>
          <w:i/>
        </w:rPr>
        <w:t>Support the affordability of private health insurance by:</w:t>
      </w:r>
    </w:p>
    <w:p w:rsidR="001F14DF" w:rsidRPr="001F14DF" w:rsidRDefault="001F14DF" w:rsidP="001F14DF">
      <w:pPr>
        <w:pStyle w:val="ListParagraph"/>
        <w:numPr>
          <w:ilvl w:val="0"/>
          <w:numId w:val="24"/>
        </w:numPr>
        <w:spacing w:before="240" w:line="240" w:lineRule="auto"/>
        <w:ind w:left="714" w:hanging="357"/>
        <w:contextualSpacing w:val="0"/>
        <w:rPr>
          <w:rFonts w:ascii="Arial" w:eastAsiaTheme="minorEastAsia" w:hAnsi="Arial" w:cs="Arial"/>
          <w:lang w:val="en-US"/>
        </w:rPr>
      </w:pPr>
      <w:r w:rsidRPr="001F14DF">
        <w:rPr>
          <w:rFonts w:ascii="Arial" w:eastAsiaTheme="minorEastAsia" w:hAnsi="Arial" w:cs="Arial"/>
          <w:lang w:val="en-US"/>
        </w:rPr>
        <w:t>Rebalancing the costs of medical device to privately insured patients to help keep private health insurance affordable for all Australians.</w:t>
      </w:r>
    </w:p>
    <w:p w:rsidR="001F14DF" w:rsidRPr="001F14DF" w:rsidRDefault="001F14DF" w:rsidP="001F14DF">
      <w:pPr>
        <w:pStyle w:val="ListParagraph"/>
        <w:keepNext/>
        <w:numPr>
          <w:ilvl w:val="0"/>
          <w:numId w:val="37"/>
        </w:numPr>
        <w:spacing w:after="120"/>
        <w:ind w:left="360"/>
        <w:rPr>
          <w:rFonts w:ascii="Arial" w:hAnsi="Arial" w:cs="Arial"/>
          <w:i/>
        </w:rPr>
      </w:pPr>
      <w:r w:rsidRPr="001F14DF">
        <w:rPr>
          <w:rFonts w:ascii="Arial" w:hAnsi="Arial" w:cs="Arial"/>
          <w:i/>
        </w:rPr>
        <w:t>Participate in and support the collaborative work with the Government and the Prostheses List Advisory Committee to develop a world class, evidence-based and value-based reimbursement process for medical devices. This will include work to:</w:t>
      </w:r>
    </w:p>
    <w:p w:rsidR="001F14DF" w:rsidRPr="001F14DF" w:rsidRDefault="001F14DF" w:rsidP="001F14DF">
      <w:pPr>
        <w:pStyle w:val="ListParagraph"/>
        <w:numPr>
          <w:ilvl w:val="0"/>
          <w:numId w:val="35"/>
        </w:numPr>
        <w:spacing w:before="240" w:after="120"/>
        <w:contextualSpacing w:val="0"/>
        <w:rPr>
          <w:rFonts w:ascii="Arial" w:hAnsi="Arial" w:cs="Arial"/>
          <w:bCs/>
          <w:iCs/>
          <w:color w:val="000000" w:themeColor="text1"/>
        </w:rPr>
      </w:pPr>
      <w:r w:rsidRPr="001F14DF">
        <w:rPr>
          <w:rFonts w:ascii="Arial" w:hAnsi="Arial" w:cs="Arial"/>
          <w:bCs/>
          <w:iCs/>
          <w:color w:val="000000" w:themeColor="text1"/>
        </w:rPr>
        <w:t xml:space="preserve">improve Prostheses List processes, including through better information for applicants, pre-submission meetings for applicants and, ensuring consumers can effectively contribute to processes; </w:t>
      </w:r>
    </w:p>
    <w:p w:rsidR="001F14DF" w:rsidRPr="001F14DF" w:rsidRDefault="001F14DF" w:rsidP="001F14DF">
      <w:pPr>
        <w:pStyle w:val="ListParagraph"/>
        <w:numPr>
          <w:ilvl w:val="0"/>
          <w:numId w:val="35"/>
        </w:numPr>
        <w:spacing w:after="120"/>
        <w:contextualSpacing w:val="0"/>
        <w:rPr>
          <w:rFonts w:ascii="Arial" w:hAnsi="Arial" w:cs="Arial"/>
          <w:bCs/>
          <w:iCs/>
          <w:color w:val="000000" w:themeColor="text1"/>
        </w:rPr>
      </w:pPr>
      <w:r w:rsidRPr="001F14DF">
        <w:rPr>
          <w:rFonts w:ascii="Arial" w:hAnsi="Arial" w:cs="Arial"/>
          <w:bCs/>
          <w:iCs/>
          <w:color w:val="000000" w:themeColor="text1"/>
        </w:rPr>
        <w:t>developing appropriate pathways for application and assessment of products;</w:t>
      </w:r>
    </w:p>
    <w:p w:rsidR="001F14DF" w:rsidRPr="001F14DF" w:rsidRDefault="001F14DF" w:rsidP="001F14DF">
      <w:pPr>
        <w:pStyle w:val="ListParagraph"/>
        <w:numPr>
          <w:ilvl w:val="0"/>
          <w:numId w:val="35"/>
        </w:numPr>
        <w:spacing w:after="120"/>
        <w:contextualSpacing w:val="0"/>
        <w:rPr>
          <w:rFonts w:ascii="Arial" w:hAnsi="Arial" w:cs="Arial"/>
          <w:bCs/>
          <w:iCs/>
          <w:color w:val="000000" w:themeColor="text1"/>
        </w:rPr>
      </w:pPr>
      <w:r w:rsidRPr="001F14DF">
        <w:rPr>
          <w:rFonts w:ascii="Arial" w:hAnsi="Arial" w:cs="Arial"/>
          <w:bCs/>
          <w:iCs/>
          <w:color w:val="000000" w:themeColor="text1"/>
        </w:rPr>
        <w:t>developing post market review arrangements for products;</w:t>
      </w:r>
    </w:p>
    <w:p w:rsidR="001F14DF" w:rsidRPr="001F14DF" w:rsidRDefault="001F14DF" w:rsidP="001F14DF">
      <w:pPr>
        <w:pStyle w:val="ListParagraph"/>
        <w:numPr>
          <w:ilvl w:val="0"/>
          <w:numId w:val="35"/>
        </w:numPr>
        <w:spacing w:after="120"/>
        <w:contextualSpacing w:val="0"/>
        <w:rPr>
          <w:rFonts w:ascii="Arial" w:hAnsi="Arial" w:cs="Arial"/>
          <w:bCs/>
          <w:iCs/>
          <w:color w:val="000000" w:themeColor="text1"/>
        </w:rPr>
      </w:pPr>
      <w:r w:rsidRPr="001F14DF">
        <w:rPr>
          <w:rFonts w:ascii="Arial" w:hAnsi="Arial" w:cs="Arial"/>
          <w:bCs/>
          <w:iCs/>
          <w:color w:val="000000" w:themeColor="text1"/>
        </w:rPr>
        <w:t>developing a revised benefit setting and review framework which takes into account value and innovation; and</w:t>
      </w:r>
    </w:p>
    <w:p w:rsidR="001F14DF" w:rsidRPr="001F14DF" w:rsidRDefault="001F14DF" w:rsidP="001F14DF">
      <w:pPr>
        <w:pStyle w:val="ListParagraph"/>
        <w:numPr>
          <w:ilvl w:val="0"/>
          <w:numId w:val="35"/>
        </w:numPr>
        <w:spacing w:after="120"/>
        <w:contextualSpacing w:val="0"/>
        <w:rPr>
          <w:rFonts w:ascii="Arial" w:hAnsi="Arial" w:cs="Arial"/>
          <w:bCs/>
          <w:iCs/>
          <w:color w:val="000000" w:themeColor="text1"/>
        </w:rPr>
      </w:pPr>
      <w:r w:rsidRPr="001F14DF">
        <w:rPr>
          <w:rFonts w:ascii="Arial" w:hAnsi="Arial" w:cs="Arial"/>
          <w:bCs/>
          <w:iCs/>
          <w:color w:val="000000" w:themeColor="text1"/>
        </w:rPr>
        <w:t>continuing to participate in reform work already underway, including the review of criteria for listing devices on the Prostheses List, and the targeted reviews of existing listed products.</w:t>
      </w:r>
    </w:p>
    <w:p w:rsidR="001F14DF" w:rsidRPr="001F14DF" w:rsidRDefault="001F14DF" w:rsidP="001F14DF">
      <w:pPr>
        <w:pStyle w:val="ListParagraph"/>
        <w:keepNext/>
        <w:numPr>
          <w:ilvl w:val="0"/>
          <w:numId w:val="37"/>
        </w:numPr>
        <w:spacing w:after="120"/>
        <w:ind w:left="360"/>
        <w:rPr>
          <w:rFonts w:ascii="Arial" w:hAnsi="Arial" w:cs="Arial"/>
        </w:rPr>
      </w:pPr>
      <w:r w:rsidRPr="001F14DF">
        <w:rPr>
          <w:rFonts w:ascii="Arial" w:hAnsi="Arial" w:cs="Arial"/>
          <w:i/>
        </w:rPr>
        <w:t>The industry acknowledges that changes to improve Prostheses List processes to provide better services and support to industry will need to be reflected in appropriate changes to cost recovery arrangements and that the  government will aim to implement any changes to cost recovery arrangements by 1 July 2019.</w:t>
      </w:r>
    </w:p>
    <w:p w:rsidR="001F14DF" w:rsidRPr="001F14DF" w:rsidRDefault="001F14DF" w:rsidP="001F14DF">
      <w:pPr>
        <w:pStyle w:val="Heading2"/>
        <w:numPr>
          <w:ilvl w:val="0"/>
          <w:numId w:val="0"/>
        </w:numPr>
        <w:ind w:left="576" w:hanging="576"/>
        <w:rPr>
          <w:rFonts w:ascii="Arial" w:eastAsiaTheme="minorEastAsia" w:hAnsi="Arial" w:cs="Arial"/>
          <w:sz w:val="22"/>
          <w:szCs w:val="22"/>
        </w:rPr>
      </w:pPr>
      <w:r w:rsidRPr="001F14DF">
        <w:rPr>
          <w:rFonts w:ascii="Arial" w:eastAsiaTheme="minorEastAsia" w:hAnsi="Arial" w:cs="Arial"/>
          <w:sz w:val="22"/>
          <w:szCs w:val="22"/>
        </w:rPr>
        <w:t>Governance Arrangements:</w:t>
      </w:r>
    </w:p>
    <w:p w:rsidR="001F14DF" w:rsidRPr="001F14DF" w:rsidRDefault="001F14DF" w:rsidP="001F14DF">
      <w:pPr>
        <w:spacing w:after="120"/>
        <w:rPr>
          <w:rFonts w:ascii="Arial" w:eastAsiaTheme="minorEastAsia" w:hAnsi="Arial" w:cs="Arial"/>
          <w:sz w:val="22"/>
          <w:szCs w:val="22"/>
        </w:rPr>
      </w:pPr>
      <w:r w:rsidRPr="001F14DF">
        <w:rPr>
          <w:rFonts w:ascii="Arial" w:eastAsiaTheme="minorEastAsia" w:hAnsi="Arial" w:cs="Arial"/>
          <w:sz w:val="22"/>
          <w:szCs w:val="22"/>
        </w:rPr>
        <w:t>Sound governance arrangements will underpin the Agreement to enable it to be effectively and efficiently administered.</w:t>
      </w:r>
    </w:p>
    <w:p w:rsidR="001F14DF" w:rsidRPr="001F14DF" w:rsidRDefault="001F14DF" w:rsidP="001F14DF">
      <w:pPr>
        <w:pStyle w:val="ListParagraph"/>
        <w:numPr>
          <w:ilvl w:val="0"/>
          <w:numId w:val="26"/>
        </w:numPr>
        <w:spacing w:after="120"/>
        <w:ind w:left="714" w:hanging="357"/>
        <w:contextualSpacing w:val="0"/>
        <w:rPr>
          <w:rFonts w:ascii="Arial" w:eastAsiaTheme="minorEastAsia" w:hAnsi="Arial" w:cs="Arial"/>
        </w:rPr>
      </w:pPr>
      <w:r w:rsidRPr="001F14DF">
        <w:rPr>
          <w:rFonts w:ascii="Arial" w:eastAsiaTheme="minorEastAsia" w:hAnsi="Arial" w:cs="Arial"/>
        </w:rPr>
        <w:t>Representatives of the parties agree to meet at least six monthly to review the operation and progress of the Agreement and agree on data collection to assist the parties evaluate the impact of the Agreement during the term of the Agreement.</w:t>
      </w:r>
    </w:p>
    <w:p w:rsidR="001F14DF" w:rsidRPr="001F14DF" w:rsidRDefault="001F14DF" w:rsidP="001F14DF">
      <w:pPr>
        <w:pStyle w:val="ListParagraph"/>
        <w:numPr>
          <w:ilvl w:val="0"/>
          <w:numId w:val="26"/>
        </w:numPr>
        <w:spacing w:after="120"/>
        <w:ind w:left="714" w:hanging="357"/>
        <w:contextualSpacing w:val="0"/>
        <w:rPr>
          <w:rFonts w:ascii="Arial" w:eastAsiaTheme="minorEastAsia" w:hAnsi="Arial" w:cs="Arial"/>
        </w:rPr>
      </w:pPr>
      <w:r w:rsidRPr="001F14DF">
        <w:rPr>
          <w:rFonts w:ascii="Arial" w:eastAsiaTheme="minorEastAsia" w:hAnsi="Arial" w:cs="Arial"/>
        </w:rPr>
        <w:t>Representatives of the parties will also evaluate the success of the Agreement in achieving its purpose in the last year of the agreement.</w:t>
      </w:r>
    </w:p>
    <w:p w:rsidR="001F14DF" w:rsidRPr="001F14DF" w:rsidRDefault="001F14DF" w:rsidP="001F14DF">
      <w:pPr>
        <w:pStyle w:val="ListParagraph"/>
        <w:numPr>
          <w:ilvl w:val="0"/>
          <w:numId w:val="26"/>
        </w:numPr>
        <w:spacing w:after="120"/>
        <w:ind w:left="714" w:hanging="357"/>
        <w:contextualSpacing w:val="0"/>
        <w:rPr>
          <w:rFonts w:ascii="Arial" w:eastAsiaTheme="minorEastAsia" w:hAnsi="Arial" w:cs="Arial"/>
        </w:rPr>
      </w:pPr>
      <w:r w:rsidRPr="001F14DF">
        <w:rPr>
          <w:rFonts w:ascii="Arial" w:eastAsiaTheme="minorEastAsia" w:hAnsi="Arial" w:cs="Arial"/>
        </w:rPr>
        <w:t>No changes will be made to the Agreement without the consent of both parties.</w:t>
      </w:r>
    </w:p>
    <w:p w:rsidR="001F14DF" w:rsidRPr="001F14DF" w:rsidRDefault="001F14DF" w:rsidP="001F14DF">
      <w:pPr>
        <w:pStyle w:val="ListParagraph"/>
        <w:numPr>
          <w:ilvl w:val="0"/>
          <w:numId w:val="25"/>
        </w:numPr>
        <w:spacing w:after="0"/>
        <w:rPr>
          <w:rFonts w:ascii="Arial" w:hAnsi="Arial" w:cs="Arial"/>
          <w:color w:val="000000" w:themeColor="text1"/>
        </w:rPr>
      </w:pPr>
      <w:r w:rsidRPr="001F14DF">
        <w:rPr>
          <w:rFonts w:ascii="Arial" w:eastAsiaTheme="minorEastAsia" w:hAnsi="Arial" w:cs="Arial"/>
        </w:rPr>
        <w:t>Appropriate safeguards will be implemented to protect the confidentiality of commercially sensitive data used to inform savings under the Agreement or any future reforms where such data would be used.</w:t>
      </w:r>
    </w:p>
    <w:p w:rsidR="001F14DF" w:rsidRDefault="001F14DF" w:rsidP="001F14DF">
      <w:r>
        <w:br w:type="page"/>
      </w:r>
    </w:p>
    <w:tbl>
      <w:tblPr>
        <w:tblW w:w="0" w:type="auto"/>
        <w:tblCellMar>
          <w:left w:w="0" w:type="dxa"/>
          <w:right w:w="0" w:type="dxa"/>
        </w:tblCellMar>
        <w:tblLook w:val="04A0" w:firstRow="1" w:lastRow="0" w:firstColumn="1" w:lastColumn="0" w:noHBand="0" w:noVBand="1"/>
        <w:tblCaption w:val="Attachment A"/>
        <w:tblDescription w:val="Table displays changes to the Prostheses List commencing 1 February 2018 and 1 February 2020."/>
      </w:tblPr>
      <w:tblGrid>
        <w:gridCol w:w="4644"/>
        <w:gridCol w:w="2268"/>
        <w:gridCol w:w="2330"/>
      </w:tblGrid>
      <w:tr w:rsidR="001F14DF" w:rsidRPr="000F26E1" w:rsidTr="00FA3E58">
        <w:tc>
          <w:tcPr>
            <w:tcW w:w="9242" w:type="dxa"/>
            <w:gridSpan w:val="3"/>
            <w:tcMar>
              <w:top w:w="0" w:type="dxa"/>
              <w:left w:w="108" w:type="dxa"/>
              <w:bottom w:w="0" w:type="dxa"/>
              <w:right w:w="108" w:type="dxa"/>
            </w:tcMar>
          </w:tcPr>
          <w:p w:rsidR="001F14DF" w:rsidRPr="0008730B" w:rsidRDefault="001F14DF" w:rsidP="00FA3E58">
            <w:pPr>
              <w:spacing w:before="120" w:after="120"/>
              <w:jc w:val="right"/>
              <w:rPr>
                <w:rFonts w:ascii="Arial" w:hAnsi="Arial"/>
                <w:b/>
                <w:color w:val="1F497D"/>
                <w:sz w:val="20"/>
              </w:rPr>
            </w:pPr>
            <w:r w:rsidRPr="00590F43">
              <w:rPr>
                <w:b/>
                <w:color w:val="1F497D"/>
              </w:rPr>
              <w:lastRenderedPageBreak/>
              <w:t>ATTACHMENT A</w:t>
            </w:r>
          </w:p>
        </w:tc>
      </w:tr>
      <w:tr w:rsidR="001F14DF" w:rsidRPr="000F26E1" w:rsidTr="00FA3E58">
        <w:tc>
          <w:tcPr>
            <w:tcW w:w="4644" w:type="dxa"/>
            <w:tcMar>
              <w:top w:w="0" w:type="dxa"/>
              <w:left w:w="108" w:type="dxa"/>
              <w:bottom w:w="0" w:type="dxa"/>
              <w:right w:w="108" w:type="dxa"/>
            </w:tcMar>
          </w:tcPr>
          <w:p w:rsidR="001F14DF" w:rsidRPr="001F14DF" w:rsidRDefault="001F14DF" w:rsidP="00FA3E58">
            <w:pPr>
              <w:spacing w:before="120" w:after="120"/>
              <w:rPr>
                <w:rFonts w:ascii="Arial" w:hAnsi="Arial" w:cs="Arial"/>
                <w:b/>
                <w:bCs/>
                <w:color w:val="1F497D"/>
                <w:sz w:val="22"/>
                <w:szCs w:val="22"/>
              </w:rPr>
            </w:pPr>
          </w:p>
        </w:tc>
        <w:tc>
          <w:tcPr>
            <w:tcW w:w="2268" w:type="dxa"/>
            <w:tcMar>
              <w:top w:w="0" w:type="dxa"/>
              <w:left w:w="108" w:type="dxa"/>
              <w:bottom w:w="0" w:type="dxa"/>
              <w:right w:w="108" w:type="dxa"/>
            </w:tcMar>
            <w:hideMark/>
          </w:tcPr>
          <w:p w:rsidR="001F14DF" w:rsidRPr="001F14DF" w:rsidRDefault="001F14DF" w:rsidP="00FA3E58">
            <w:pPr>
              <w:spacing w:before="120" w:after="120"/>
              <w:jc w:val="center"/>
              <w:rPr>
                <w:rFonts w:ascii="Arial" w:hAnsi="Arial" w:cs="Arial"/>
                <w:b/>
                <w:color w:val="1F497D"/>
                <w:sz w:val="22"/>
                <w:szCs w:val="22"/>
              </w:rPr>
            </w:pPr>
            <w:r w:rsidRPr="001F14DF">
              <w:rPr>
                <w:rFonts w:ascii="Arial" w:hAnsi="Arial" w:cs="Arial"/>
                <w:b/>
                <w:color w:val="1F497D"/>
                <w:sz w:val="22"/>
                <w:szCs w:val="22"/>
              </w:rPr>
              <w:t>1 February 2018</w:t>
            </w:r>
          </w:p>
          <w:p w:rsidR="001F14DF" w:rsidRPr="001F14DF" w:rsidRDefault="001F14DF" w:rsidP="00FA3E58">
            <w:pPr>
              <w:spacing w:before="120" w:after="120"/>
              <w:jc w:val="center"/>
              <w:rPr>
                <w:rFonts w:ascii="Arial" w:hAnsi="Arial" w:cs="Arial"/>
                <w:b/>
                <w:bCs/>
                <w:color w:val="1F497D"/>
                <w:sz w:val="22"/>
                <w:szCs w:val="22"/>
              </w:rPr>
            </w:pPr>
            <w:r w:rsidRPr="001F14DF">
              <w:rPr>
                <w:rFonts w:ascii="Arial" w:hAnsi="Arial" w:cs="Arial"/>
                <w:b/>
                <w:bCs/>
                <w:color w:val="1F497D"/>
                <w:sz w:val="22"/>
                <w:szCs w:val="22"/>
              </w:rPr>
              <w:t>80% on 1 February 2018</w:t>
            </w:r>
          </w:p>
          <w:p w:rsidR="001F14DF" w:rsidRPr="001F14DF" w:rsidRDefault="001F14DF" w:rsidP="00FA3E58">
            <w:pPr>
              <w:spacing w:before="120" w:after="120"/>
              <w:jc w:val="center"/>
              <w:rPr>
                <w:rFonts w:ascii="Arial" w:hAnsi="Arial" w:cs="Arial"/>
                <w:b/>
                <w:color w:val="1F497D"/>
                <w:sz w:val="22"/>
                <w:szCs w:val="22"/>
              </w:rPr>
            </w:pPr>
            <w:r w:rsidRPr="001F14DF">
              <w:rPr>
                <w:rFonts w:ascii="Arial" w:hAnsi="Arial" w:cs="Arial"/>
                <w:b/>
                <w:bCs/>
                <w:color w:val="1F497D"/>
                <w:sz w:val="22"/>
                <w:szCs w:val="22"/>
              </w:rPr>
              <w:t>20% on 1 August 2018</w:t>
            </w:r>
          </w:p>
        </w:tc>
        <w:tc>
          <w:tcPr>
            <w:tcW w:w="2330" w:type="dxa"/>
            <w:tcMar>
              <w:top w:w="0" w:type="dxa"/>
              <w:left w:w="108" w:type="dxa"/>
              <w:bottom w:w="0" w:type="dxa"/>
              <w:right w:w="108" w:type="dxa"/>
            </w:tcMar>
            <w:hideMark/>
          </w:tcPr>
          <w:p w:rsidR="001F14DF" w:rsidRPr="001F14DF" w:rsidRDefault="001F14DF" w:rsidP="00FA3E58">
            <w:pPr>
              <w:spacing w:before="120" w:after="120"/>
              <w:jc w:val="center"/>
              <w:rPr>
                <w:rFonts w:ascii="Arial" w:hAnsi="Arial" w:cs="Arial"/>
                <w:b/>
                <w:color w:val="1F497D"/>
                <w:sz w:val="22"/>
                <w:szCs w:val="22"/>
              </w:rPr>
            </w:pPr>
            <w:r w:rsidRPr="001F14DF">
              <w:rPr>
                <w:rFonts w:ascii="Arial" w:hAnsi="Arial" w:cs="Arial"/>
                <w:b/>
                <w:color w:val="1F497D"/>
                <w:sz w:val="22"/>
                <w:szCs w:val="22"/>
              </w:rPr>
              <w:t>1 February 2020**</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Ophthalmic</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 xml:space="preserve">Except Groups </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Foldable</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Viscoelastic</w:t>
            </w:r>
          </w:p>
        </w:tc>
        <w:tc>
          <w:tcPr>
            <w:tcW w:w="2268" w:type="dxa"/>
            <w:shd w:val="clear" w:color="auto" w:fill="D3DFEE"/>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-8.5%</w:t>
            </w: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c>
          <w:tcPr>
            <w:tcW w:w="2330" w:type="dxa"/>
            <w:shd w:val="clear" w:color="auto" w:fill="D3DFEE"/>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-8.5%</w:t>
            </w: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Ears Nose Throat</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 xml:space="preserve">Except Groups (Cochlear Implants, Speech Processors, </w:t>
            </w:r>
            <w:r w:rsidRPr="001F14DF">
              <w:rPr>
                <w:rFonts w:ascii="Arial" w:hAnsi="Arial" w:cs="Arial"/>
                <w:b/>
                <w:bCs/>
                <w:color w:val="1F497D"/>
                <w:sz w:val="22"/>
                <w:szCs w:val="22"/>
              </w:rPr>
              <w:t xml:space="preserve">Sound Processor Accessory Kits, </w:t>
            </w:r>
            <w:r w:rsidRPr="001F14DF">
              <w:rPr>
                <w:rFonts w:ascii="Arial" w:hAnsi="Arial" w:cs="Arial"/>
                <w:b/>
                <w:color w:val="1F497D"/>
                <w:sz w:val="22"/>
                <w:szCs w:val="22"/>
              </w:rPr>
              <w:t xml:space="preserve">Implantable Bone </w:t>
            </w:r>
            <w:r w:rsidRPr="001F14DF">
              <w:rPr>
                <w:rFonts w:ascii="Arial" w:hAnsi="Arial" w:cs="Arial"/>
                <w:b/>
                <w:bCs/>
                <w:color w:val="1F497D"/>
                <w:sz w:val="22"/>
                <w:szCs w:val="22"/>
              </w:rPr>
              <w:t>Conduction</w:t>
            </w:r>
            <w:r w:rsidRPr="001F14DF">
              <w:rPr>
                <w:rFonts w:ascii="Arial" w:hAnsi="Arial" w:cs="Arial"/>
                <w:b/>
                <w:color w:val="1F497D"/>
                <w:sz w:val="22"/>
                <w:szCs w:val="22"/>
              </w:rPr>
              <w:t xml:space="preserve"> Hearing </w:t>
            </w:r>
            <w:r w:rsidRPr="001F14DF">
              <w:rPr>
                <w:rFonts w:ascii="Arial" w:hAnsi="Arial" w:cs="Arial"/>
                <w:b/>
                <w:bCs/>
                <w:color w:val="1F497D"/>
                <w:sz w:val="22"/>
                <w:szCs w:val="22"/>
              </w:rPr>
              <w:t>System</w:t>
            </w:r>
            <w:r w:rsidRPr="001F14DF">
              <w:rPr>
                <w:rFonts w:ascii="Arial" w:hAnsi="Arial" w:cs="Arial"/>
                <w:b/>
                <w:color w:val="1F497D"/>
                <w:sz w:val="22"/>
                <w:szCs w:val="22"/>
              </w:rPr>
              <w:t>)</w:t>
            </w:r>
          </w:p>
        </w:tc>
        <w:tc>
          <w:tcPr>
            <w:tcW w:w="2268"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General Misc***</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Except Groups (Infusion Pumps, Balloon Based; Sponges; Pliable Patches, Internal Adhesives, Ligating Devices; Staples &amp; Tackers)</w:t>
            </w:r>
          </w:p>
        </w:tc>
        <w:tc>
          <w:tcPr>
            <w:tcW w:w="2268" w:type="dxa"/>
            <w:shd w:val="clear" w:color="auto" w:fill="D3DFEE"/>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-7.5%</w:t>
            </w:r>
          </w:p>
        </w:tc>
        <w:tc>
          <w:tcPr>
            <w:tcW w:w="2330" w:type="dxa"/>
            <w:shd w:val="clear" w:color="auto" w:fill="D3DFEE"/>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-7%</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Neurosurgical</w:t>
            </w:r>
          </w:p>
        </w:tc>
        <w:tc>
          <w:tcPr>
            <w:tcW w:w="2268"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Urogenital</w:t>
            </w:r>
          </w:p>
        </w:tc>
        <w:tc>
          <w:tcPr>
            <w:tcW w:w="2268"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Specialist Ortho</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Except Groups (Screws; Surgical Accessories; Bone Cement)</w:t>
            </w:r>
          </w:p>
        </w:tc>
        <w:tc>
          <w:tcPr>
            <w:tcW w:w="2268"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c>
          <w:tcPr>
            <w:tcW w:w="2330"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-3%</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Plastic and Reconstructive</w:t>
            </w:r>
          </w:p>
        </w:tc>
        <w:tc>
          <w:tcPr>
            <w:tcW w:w="2268"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-2.5%</w:t>
            </w:r>
          </w:p>
        </w:tc>
        <w:tc>
          <w:tcPr>
            <w:tcW w:w="2330"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Cardiac</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Except Group (Cardiac Defect Occluders)</w:t>
            </w:r>
          </w:p>
        </w:tc>
        <w:tc>
          <w:tcPr>
            <w:tcW w:w="2268"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-20%</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c>
          <w:tcPr>
            <w:tcW w:w="2330"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-7.5%</w:t>
            </w:r>
          </w:p>
          <w:p w:rsidR="001F14DF" w:rsidRPr="001F14DF" w:rsidRDefault="001F14DF" w:rsidP="00FA3E58">
            <w:pPr>
              <w:spacing w:beforeLines="60" w:before="144" w:afterLines="60" w:after="144"/>
              <w:contextualSpacing/>
              <w:jc w:val="center"/>
              <w:rPr>
                <w:rFonts w:ascii="Arial" w:hAnsi="Arial" w:cs="Arial"/>
                <w:color w:val="1F497D"/>
                <w:sz w:val="22"/>
                <w:szCs w:val="22"/>
              </w:rPr>
            </w:pPr>
          </w:p>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Cardiothoracic</w:t>
            </w:r>
          </w:p>
        </w:tc>
        <w:tc>
          <w:tcPr>
            <w:tcW w:w="2268"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Vascular</w:t>
            </w:r>
          </w:p>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Except Assessment Bodies (Vascular Patches; Arterial Closure Devices; Long Term Vascular Access Devices); and</w:t>
            </w:r>
          </w:p>
        </w:tc>
        <w:tc>
          <w:tcPr>
            <w:tcW w:w="2268"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r>
      <w:tr w:rsidR="001F14DF" w:rsidTr="00FA3E58">
        <w:tc>
          <w:tcPr>
            <w:tcW w:w="4644" w:type="dxa"/>
            <w:tcMar>
              <w:top w:w="0" w:type="dxa"/>
              <w:left w:w="108" w:type="dxa"/>
              <w:bottom w:w="0" w:type="dxa"/>
              <w:right w:w="108" w:type="dxa"/>
            </w:tcMar>
          </w:tcPr>
          <w:p w:rsidR="001F14DF" w:rsidRPr="001F14DF" w:rsidRDefault="001F14DF" w:rsidP="00FA3E58">
            <w:pPr>
              <w:spacing w:beforeLines="60" w:before="144" w:afterLines="60" w:after="144"/>
              <w:ind w:left="567"/>
              <w:contextualSpacing/>
              <w:rPr>
                <w:rFonts w:ascii="Arial" w:hAnsi="Arial" w:cs="Arial"/>
                <w:b/>
                <w:color w:val="1F497D"/>
                <w:sz w:val="22"/>
                <w:szCs w:val="22"/>
              </w:rPr>
            </w:pPr>
            <w:r w:rsidRPr="001F14DF">
              <w:rPr>
                <w:rFonts w:ascii="Arial" w:hAnsi="Arial" w:cs="Arial"/>
                <w:b/>
                <w:color w:val="1F497D"/>
                <w:sz w:val="22"/>
                <w:szCs w:val="22"/>
              </w:rPr>
              <w:t>Groups (Occlusion Devices – Particle; Coil, Peripheral; Polymer; Delivery Device For Occlusion Media)</w:t>
            </w:r>
          </w:p>
        </w:tc>
        <w:tc>
          <w:tcPr>
            <w:tcW w:w="2268"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c>
          <w:tcPr>
            <w:tcW w:w="2330" w:type="dxa"/>
            <w:tcMar>
              <w:top w:w="0" w:type="dxa"/>
              <w:left w:w="108" w:type="dxa"/>
              <w:bottom w:w="0" w:type="dxa"/>
              <w:right w:w="108" w:type="dxa"/>
            </w:tcMar>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-10%</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Hip*</w:t>
            </w:r>
          </w:p>
        </w:tc>
        <w:tc>
          <w:tcPr>
            <w:tcW w:w="2268"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-5%</w:t>
            </w:r>
          </w:p>
        </w:tc>
        <w:tc>
          <w:tcPr>
            <w:tcW w:w="2330"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-4.5%</w:t>
            </w:r>
          </w:p>
        </w:tc>
      </w:tr>
      <w:tr w:rsidR="001F14DF" w:rsidTr="00FA3E58">
        <w:tc>
          <w:tcPr>
            <w:tcW w:w="4644" w:type="dxa"/>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Knee*</w:t>
            </w:r>
          </w:p>
        </w:tc>
        <w:tc>
          <w:tcPr>
            <w:tcW w:w="2268"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-3.3%</w:t>
            </w:r>
          </w:p>
        </w:tc>
        <w:tc>
          <w:tcPr>
            <w:tcW w:w="2330" w:type="dxa"/>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-2.5%</w:t>
            </w:r>
          </w:p>
        </w:tc>
      </w:tr>
      <w:tr w:rsidR="001F14DF" w:rsidTr="00FA3E58">
        <w:tc>
          <w:tcPr>
            <w:tcW w:w="4644"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rPr>
                <w:rFonts w:ascii="Arial" w:hAnsi="Arial" w:cs="Arial"/>
                <w:b/>
                <w:color w:val="1F497D"/>
                <w:sz w:val="22"/>
                <w:szCs w:val="22"/>
              </w:rPr>
            </w:pPr>
            <w:r w:rsidRPr="001F14DF">
              <w:rPr>
                <w:rFonts w:ascii="Arial" w:hAnsi="Arial" w:cs="Arial"/>
                <w:b/>
                <w:color w:val="1F497D"/>
                <w:sz w:val="22"/>
                <w:szCs w:val="22"/>
              </w:rPr>
              <w:t>Spinal</w:t>
            </w:r>
          </w:p>
        </w:tc>
        <w:tc>
          <w:tcPr>
            <w:tcW w:w="2268"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-3.75%</w:t>
            </w:r>
          </w:p>
        </w:tc>
        <w:tc>
          <w:tcPr>
            <w:tcW w:w="2330" w:type="dxa"/>
            <w:shd w:val="clear" w:color="auto" w:fill="D3DFEE"/>
            <w:tcMar>
              <w:top w:w="0" w:type="dxa"/>
              <w:left w:w="108" w:type="dxa"/>
              <w:bottom w:w="0" w:type="dxa"/>
              <w:right w:w="108" w:type="dxa"/>
            </w:tcMar>
            <w:hideMark/>
          </w:tcPr>
          <w:p w:rsidR="001F14DF" w:rsidRPr="001F14DF" w:rsidRDefault="001F14DF" w:rsidP="00FA3E58">
            <w:pPr>
              <w:spacing w:beforeLines="60" w:before="144" w:afterLines="60" w:after="144"/>
              <w:contextualSpacing/>
              <w:jc w:val="center"/>
              <w:rPr>
                <w:rFonts w:ascii="Arial" w:hAnsi="Arial" w:cs="Arial"/>
                <w:color w:val="1F497D"/>
                <w:sz w:val="22"/>
                <w:szCs w:val="22"/>
              </w:rPr>
            </w:pPr>
            <w:r w:rsidRPr="001F14DF">
              <w:rPr>
                <w:rFonts w:ascii="Arial" w:hAnsi="Arial" w:cs="Arial"/>
                <w:color w:val="1F497D"/>
                <w:sz w:val="22"/>
                <w:szCs w:val="22"/>
              </w:rPr>
              <w:t>-3.75%</w:t>
            </w:r>
          </w:p>
        </w:tc>
      </w:tr>
    </w:tbl>
    <w:p w:rsidR="001F14DF" w:rsidRPr="001F14DF" w:rsidRDefault="001F14DF" w:rsidP="001F14DF">
      <w:pPr>
        <w:rPr>
          <w:rFonts w:ascii="Calibri" w:hAnsi="Calibri"/>
          <w:color w:val="1F497D"/>
          <w:sz w:val="22"/>
          <w:szCs w:val="22"/>
        </w:rPr>
      </w:pPr>
      <w:r w:rsidRPr="001F14DF">
        <w:rPr>
          <w:rFonts w:ascii="Calibri" w:hAnsi="Calibri"/>
          <w:b/>
          <w:color w:val="1F497D"/>
          <w:sz w:val="22"/>
          <w:szCs w:val="22"/>
        </w:rPr>
        <w:t>*</w:t>
      </w:r>
      <w:r w:rsidRPr="001F14DF">
        <w:rPr>
          <w:rFonts w:ascii="Calibri" w:hAnsi="Calibri"/>
          <w:color w:val="1F497D"/>
          <w:sz w:val="22"/>
          <w:szCs w:val="22"/>
        </w:rPr>
        <w:t>SCP at 50% on 1 February 2018 and removed on 1 February 2019</w:t>
      </w:r>
      <w:r w:rsidRPr="001F14DF">
        <w:rPr>
          <w:rFonts w:ascii="Calibri" w:hAnsi="Calibri"/>
          <w:color w:val="1F497D"/>
          <w:sz w:val="22"/>
          <w:szCs w:val="22"/>
        </w:rPr>
        <w:br/>
        <w:t>** 1 February 2020 price change is calculated on the basis of the PL benefit on 31 January 2020</w:t>
      </w:r>
      <w:r w:rsidRPr="001F14DF">
        <w:rPr>
          <w:rFonts w:ascii="Calibri" w:hAnsi="Calibri"/>
          <w:color w:val="1F497D"/>
          <w:sz w:val="22"/>
          <w:szCs w:val="22"/>
        </w:rPr>
        <w:br/>
        <w:t>*** Group 03.01.01 is excluded from price cuts in 2018 and 2020</w:t>
      </w:r>
    </w:p>
    <w:p w:rsidR="001F14DF" w:rsidRPr="00EA42A0" w:rsidRDefault="001F14DF" w:rsidP="00C1195E">
      <w:pPr>
        <w:pStyle w:val="NormalItalics"/>
        <w:spacing w:before="0" w:after="0"/>
        <w:jc w:val="both"/>
        <w:rPr>
          <w:rFonts w:ascii="Calibri" w:hAnsi="Calibri" w:cs="Arial"/>
          <w:i w:val="0"/>
          <w:iCs w:val="0"/>
        </w:rPr>
      </w:pPr>
    </w:p>
    <w:sectPr w:rsidR="001F14DF" w:rsidRPr="00EA42A0" w:rsidSect="0095660D">
      <w:headerReference w:type="default" r:id="rId8"/>
      <w:footerReference w:type="default" r:id="rId9"/>
      <w:headerReference w:type="first" r:id="rId10"/>
      <w:footerReference w:type="first" r:id="rId11"/>
      <w:pgSz w:w="11906" w:h="16838" w:code="9"/>
      <w:pgMar w:top="1440" w:right="1440" w:bottom="1440" w:left="1440" w:header="709" w:footer="6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23" w:rsidRDefault="00B97223">
      <w:r>
        <w:separator/>
      </w:r>
    </w:p>
  </w:endnote>
  <w:endnote w:type="continuationSeparator" w:id="0">
    <w:p w:rsidR="00B97223" w:rsidRDefault="00B9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B41213">
    <w:pPr>
      <w:pStyle w:val="Footer"/>
      <w:pBdr>
        <w:top w:val="single" w:sz="4" w:space="1" w:color="auto"/>
      </w:pBdr>
      <w:tabs>
        <w:tab w:val="clear" w:pos="4153"/>
        <w:tab w:val="right" w:pos="9000"/>
      </w:tabs>
      <w:rPr>
        <w:rFonts w:ascii="Gill Sans MT" w:hAnsi="Gill Sans MT" w:cs="Arial"/>
        <w:iCs w:val="0"/>
        <w:sz w:val="16"/>
        <w:szCs w:val="16"/>
      </w:rPr>
    </w:pPr>
    <w:r>
      <w:rPr>
        <w:rFonts w:ascii="Gill Sans MT" w:hAnsi="Gill Sans MT" w:cs="Arial"/>
        <w:iCs w:val="0"/>
        <w:sz w:val="16"/>
        <w:szCs w:val="16"/>
      </w:rPr>
      <w:t>Governance</w:t>
    </w:r>
    <w:r w:rsidR="004948B6" w:rsidRPr="004948B6">
      <w:rPr>
        <w:rFonts w:ascii="Gill Sans MT" w:hAnsi="Gill Sans MT" w:cs="Arial"/>
        <w:iCs w:val="0"/>
        <w:sz w:val="16"/>
        <w:szCs w:val="16"/>
      </w:rPr>
      <w:t xml:space="preserve"> G</w:t>
    </w:r>
    <w:r w:rsidR="00723B48" w:rsidRPr="004948B6">
      <w:rPr>
        <w:rFonts w:ascii="Gill Sans MT" w:hAnsi="Gill Sans MT" w:cs="Arial"/>
        <w:iCs w:val="0"/>
        <w:sz w:val="16"/>
        <w:szCs w:val="16"/>
      </w:rPr>
      <w:t xml:space="preserve">roup </w:t>
    </w:r>
    <w:r w:rsidR="004948B6" w:rsidRPr="004948B6">
      <w:rPr>
        <w:rFonts w:ascii="Gill Sans MT" w:hAnsi="Gill Sans MT" w:cs="Arial"/>
        <w:iCs w:val="0"/>
        <w:sz w:val="16"/>
        <w:szCs w:val="16"/>
      </w:rPr>
      <w:t xml:space="preserve">- </w:t>
    </w:r>
    <w:r w:rsidR="00F71489" w:rsidRPr="004948B6">
      <w:rPr>
        <w:rFonts w:ascii="Gill Sans MT" w:hAnsi="Gill Sans MT" w:cs="Arial"/>
        <w:iCs w:val="0"/>
        <w:sz w:val="16"/>
        <w:szCs w:val="16"/>
      </w:rPr>
      <w:t xml:space="preserve">Terms of Reference – Version </w:t>
    </w:r>
    <w:r w:rsidR="004948B6" w:rsidRPr="004948B6">
      <w:rPr>
        <w:rFonts w:ascii="Gill Sans MT" w:hAnsi="Gill Sans MT" w:cs="Arial"/>
        <w:iCs w:val="0"/>
        <w:sz w:val="16"/>
        <w:szCs w:val="16"/>
      </w:rPr>
      <w:t>1.1</w:t>
    </w:r>
    <w:r w:rsidR="00F71489" w:rsidRPr="009C3CF1">
      <w:rPr>
        <w:rFonts w:ascii="Gill Sans MT" w:hAnsi="Gill Sans MT" w:cs="Arial"/>
        <w:iCs w:val="0"/>
        <w:sz w:val="16"/>
        <w:szCs w:val="16"/>
      </w:rPr>
      <w:tab/>
      <w:t xml:space="preserve">Page </w:t>
    </w:r>
    <w:r w:rsidR="001D0532" w:rsidRPr="009C3CF1">
      <w:rPr>
        <w:rFonts w:ascii="Gill Sans MT" w:hAnsi="Gill Sans MT" w:cs="Arial"/>
        <w:sz w:val="16"/>
        <w:szCs w:val="16"/>
      </w:rPr>
      <w:fldChar w:fldCharType="begin"/>
    </w:r>
    <w:r w:rsidR="00F71489" w:rsidRPr="009C3CF1">
      <w:rPr>
        <w:rFonts w:ascii="Gill Sans MT" w:hAnsi="Gill Sans MT" w:cs="Arial"/>
        <w:sz w:val="16"/>
        <w:szCs w:val="16"/>
      </w:rPr>
      <w:instrText xml:space="preserve"> PAGE </w:instrText>
    </w:r>
    <w:r w:rsidR="001D0532" w:rsidRPr="009C3CF1">
      <w:rPr>
        <w:rFonts w:ascii="Gill Sans MT" w:hAnsi="Gill Sans MT" w:cs="Arial"/>
        <w:sz w:val="16"/>
        <w:szCs w:val="16"/>
      </w:rPr>
      <w:fldChar w:fldCharType="separate"/>
    </w:r>
    <w:r w:rsidR="00027862">
      <w:rPr>
        <w:rFonts w:ascii="Gill Sans MT" w:hAnsi="Gill Sans MT" w:cs="Arial"/>
        <w:noProof/>
        <w:sz w:val="16"/>
        <w:szCs w:val="16"/>
      </w:rPr>
      <w:t>2</w:t>
    </w:r>
    <w:r w:rsidR="001D0532" w:rsidRPr="009C3CF1">
      <w:rPr>
        <w:rFonts w:ascii="Gill Sans MT" w:hAnsi="Gill Sans MT"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1A0291" w:rsidP="009C3CF1">
    <w:pPr>
      <w:pStyle w:val="Footer"/>
      <w:pBdr>
        <w:top w:val="single" w:sz="4" w:space="1" w:color="auto"/>
      </w:pBdr>
      <w:tabs>
        <w:tab w:val="clear" w:pos="4153"/>
        <w:tab w:val="right" w:pos="9000"/>
      </w:tabs>
      <w:rPr>
        <w:rFonts w:ascii="Gill Sans MT" w:hAnsi="Gill Sans MT" w:cs="Arial"/>
        <w:iCs w:val="0"/>
        <w:sz w:val="16"/>
        <w:szCs w:val="16"/>
      </w:rPr>
    </w:pPr>
    <w:r>
      <w:rPr>
        <w:rFonts w:ascii="Gill Sans MT" w:hAnsi="Gill Sans MT" w:cs="Arial"/>
        <w:iCs w:val="0"/>
        <w:color w:val="31849B"/>
        <w:sz w:val="16"/>
        <w:szCs w:val="16"/>
      </w:rPr>
      <w:t>Prostheses List Reforms Governance Group – Terms of Reference</w:t>
    </w:r>
    <w:r w:rsidR="00F71489" w:rsidRPr="009C3CF1">
      <w:rPr>
        <w:rFonts w:ascii="Gill Sans MT" w:hAnsi="Gill Sans MT" w:cs="Arial"/>
        <w:iCs w:val="0"/>
        <w:sz w:val="16"/>
        <w:szCs w:val="16"/>
      </w:rPr>
      <w:tab/>
      <w:t xml:space="preserve">Page </w:t>
    </w:r>
    <w:r w:rsidR="001D0532" w:rsidRPr="009C3CF1">
      <w:rPr>
        <w:rFonts w:ascii="Gill Sans MT" w:hAnsi="Gill Sans MT" w:cs="Arial"/>
        <w:sz w:val="16"/>
        <w:szCs w:val="16"/>
      </w:rPr>
      <w:fldChar w:fldCharType="begin"/>
    </w:r>
    <w:r w:rsidR="00F71489" w:rsidRPr="009C3CF1">
      <w:rPr>
        <w:rFonts w:ascii="Gill Sans MT" w:hAnsi="Gill Sans MT" w:cs="Arial"/>
        <w:sz w:val="16"/>
        <w:szCs w:val="16"/>
      </w:rPr>
      <w:instrText xml:space="preserve"> PAGE </w:instrText>
    </w:r>
    <w:r w:rsidR="001D0532" w:rsidRPr="009C3CF1">
      <w:rPr>
        <w:rFonts w:ascii="Gill Sans MT" w:hAnsi="Gill Sans MT" w:cs="Arial"/>
        <w:sz w:val="16"/>
        <w:szCs w:val="16"/>
      </w:rPr>
      <w:fldChar w:fldCharType="separate"/>
    </w:r>
    <w:r w:rsidR="00027862">
      <w:rPr>
        <w:rFonts w:ascii="Gill Sans MT" w:hAnsi="Gill Sans MT" w:cs="Arial"/>
        <w:noProof/>
        <w:sz w:val="16"/>
        <w:szCs w:val="16"/>
      </w:rPr>
      <w:t>1</w:t>
    </w:r>
    <w:r w:rsidR="001D0532" w:rsidRPr="009C3CF1">
      <w:rPr>
        <w:rFonts w:ascii="Gill Sans MT" w:hAnsi="Gill Sans M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23" w:rsidRDefault="00B97223">
      <w:r>
        <w:separator/>
      </w:r>
    </w:p>
  </w:footnote>
  <w:footnote w:type="continuationSeparator" w:id="0">
    <w:p w:rsidR="00B97223" w:rsidRDefault="00B9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F71489" w:rsidP="0095660D">
    <w:pPr>
      <w:pStyle w:val="Header"/>
      <w:tabs>
        <w:tab w:val="clear" w:pos="4153"/>
        <w:tab w:val="clear" w:pos="8306"/>
        <w:tab w:val="left" w:pos="7590"/>
      </w:tabs>
      <w:jc w:val="right"/>
    </w:pPr>
    <w:bookmarkStart w:id="7" w:name="imageHolder"/>
    <w:bookmarkEnd w:id="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0D" w:rsidRDefault="0095660D" w:rsidP="0095660D">
    <w:pPr>
      <w:pStyle w:val="Header"/>
      <w:jc w:val="right"/>
    </w:pPr>
    <w:r w:rsidRPr="00D912DB">
      <w:rPr>
        <w:noProof/>
        <w:sz w:val="28"/>
        <w:szCs w:val="28"/>
        <w:lang w:eastAsia="en-AU"/>
      </w:rPr>
      <w:drawing>
        <wp:inline distT="0" distB="0" distL="0" distR="0" wp14:anchorId="3CFEB0A1" wp14:editId="11CADA85">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55"/>
    <w:multiLevelType w:val="hybridMultilevel"/>
    <w:tmpl w:val="856E49C8"/>
    <w:lvl w:ilvl="0" w:tplc="A0D4512E">
      <w:numFmt w:val="bullet"/>
      <w:lvlText w:val=""/>
      <w:lvlJc w:val="left"/>
      <w:pPr>
        <w:tabs>
          <w:tab w:val="num" w:pos="1080"/>
        </w:tabs>
        <w:ind w:left="717" w:firstLine="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B620A7"/>
    <w:multiLevelType w:val="hybridMultilevel"/>
    <w:tmpl w:val="DDDA826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9577F2C"/>
    <w:multiLevelType w:val="hybridMultilevel"/>
    <w:tmpl w:val="0B3C7B00"/>
    <w:lvl w:ilvl="0" w:tplc="A0D4512E">
      <w:numFmt w:val="bullet"/>
      <w:lvlText w:val=""/>
      <w:lvlJc w:val="left"/>
      <w:pPr>
        <w:tabs>
          <w:tab w:val="num" w:pos="1083"/>
        </w:tabs>
        <w:ind w:left="720" w:firstLine="3"/>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3" w15:restartNumberingAfterBreak="0">
    <w:nsid w:val="0CA24E75"/>
    <w:multiLevelType w:val="hybridMultilevel"/>
    <w:tmpl w:val="6A00EB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4785D"/>
    <w:multiLevelType w:val="hybridMultilevel"/>
    <w:tmpl w:val="CFFC9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E64C94"/>
    <w:multiLevelType w:val="hybridMultilevel"/>
    <w:tmpl w:val="15EA0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6207DB5"/>
    <w:multiLevelType w:val="hybridMultilevel"/>
    <w:tmpl w:val="127A2F1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41775"/>
    <w:multiLevelType w:val="hybridMultilevel"/>
    <w:tmpl w:val="159A0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B4B52"/>
    <w:multiLevelType w:val="hybridMultilevel"/>
    <w:tmpl w:val="808A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D0596"/>
    <w:multiLevelType w:val="hybridMultilevel"/>
    <w:tmpl w:val="5A7EF3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5D7905"/>
    <w:multiLevelType w:val="hybridMultilevel"/>
    <w:tmpl w:val="19949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03925"/>
    <w:multiLevelType w:val="hybridMultilevel"/>
    <w:tmpl w:val="2D346A8E"/>
    <w:lvl w:ilvl="0" w:tplc="0C09000F">
      <w:start w:val="1"/>
      <w:numFmt w:val="decimal"/>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FD7F8C"/>
    <w:multiLevelType w:val="hybridMultilevel"/>
    <w:tmpl w:val="C4522B56"/>
    <w:lvl w:ilvl="0" w:tplc="04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B620D7"/>
    <w:multiLevelType w:val="hybridMultilevel"/>
    <w:tmpl w:val="C4544A9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6784D"/>
    <w:multiLevelType w:val="hybridMultilevel"/>
    <w:tmpl w:val="EC02B27C"/>
    <w:lvl w:ilvl="0" w:tplc="0C090001">
      <w:start w:val="1"/>
      <w:numFmt w:val="bullet"/>
      <w:lvlText w:val=""/>
      <w:lvlJc w:val="left"/>
      <w:pPr>
        <w:ind w:left="1093" w:hanging="360"/>
      </w:pPr>
      <w:rPr>
        <w:rFonts w:ascii="Symbol" w:hAnsi="Symbol" w:hint="default"/>
      </w:rPr>
    </w:lvl>
    <w:lvl w:ilvl="1" w:tplc="0C090003" w:tentative="1">
      <w:start w:val="1"/>
      <w:numFmt w:val="bullet"/>
      <w:lvlText w:val="o"/>
      <w:lvlJc w:val="left"/>
      <w:pPr>
        <w:ind w:left="1813" w:hanging="360"/>
      </w:pPr>
      <w:rPr>
        <w:rFonts w:ascii="Courier New" w:hAnsi="Courier New" w:cs="Courier New" w:hint="default"/>
      </w:rPr>
    </w:lvl>
    <w:lvl w:ilvl="2" w:tplc="0C090005" w:tentative="1">
      <w:start w:val="1"/>
      <w:numFmt w:val="bullet"/>
      <w:lvlText w:val=""/>
      <w:lvlJc w:val="left"/>
      <w:pPr>
        <w:ind w:left="2533" w:hanging="360"/>
      </w:pPr>
      <w:rPr>
        <w:rFonts w:ascii="Wingdings" w:hAnsi="Wingdings" w:hint="default"/>
      </w:rPr>
    </w:lvl>
    <w:lvl w:ilvl="3" w:tplc="0C090001" w:tentative="1">
      <w:start w:val="1"/>
      <w:numFmt w:val="bullet"/>
      <w:lvlText w:val=""/>
      <w:lvlJc w:val="left"/>
      <w:pPr>
        <w:ind w:left="3253" w:hanging="360"/>
      </w:pPr>
      <w:rPr>
        <w:rFonts w:ascii="Symbol" w:hAnsi="Symbol" w:hint="default"/>
      </w:rPr>
    </w:lvl>
    <w:lvl w:ilvl="4" w:tplc="0C090003" w:tentative="1">
      <w:start w:val="1"/>
      <w:numFmt w:val="bullet"/>
      <w:lvlText w:val="o"/>
      <w:lvlJc w:val="left"/>
      <w:pPr>
        <w:ind w:left="3973" w:hanging="360"/>
      </w:pPr>
      <w:rPr>
        <w:rFonts w:ascii="Courier New" w:hAnsi="Courier New" w:cs="Courier New" w:hint="default"/>
      </w:rPr>
    </w:lvl>
    <w:lvl w:ilvl="5" w:tplc="0C090005" w:tentative="1">
      <w:start w:val="1"/>
      <w:numFmt w:val="bullet"/>
      <w:lvlText w:val=""/>
      <w:lvlJc w:val="left"/>
      <w:pPr>
        <w:ind w:left="4693" w:hanging="360"/>
      </w:pPr>
      <w:rPr>
        <w:rFonts w:ascii="Wingdings" w:hAnsi="Wingdings" w:hint="default"/>
      </w:rPr>
    </w:lvl>
    <w:lvl w:ilvl="6" w:tplc="0C090001" w:tentative="1">
      <w:start w:val="1"/>
      <w:numFmt w:val="bullet"/>
      <w:lvlText w:val=""/>
      <w:lvlJc w:val="left"/>
      <w:pPr>
        <w:ind w:left="5413" w:hanging="360"/>
      </w:pPr>
      <w:rPr>
        <w:rFonts w:ascii="Symbol" w:hAnsi="Symbol" w:hint="default"/>
      </w:rPr>
    </w:lvl>
    <w:lvl w:ilvl="7" w:tplc="0C090003" w:tentative="1">
      <w:start w:val="1"/>
      <w:numFmt w:val="bullet"/>
      <w:lvlText w:val="o"/>
      <w:lvlJc w:val="left"/>
      <w:pPr>
        <w:ind w:left="6133" w:hanging="360"/>
      </w:pPr>
      <w:rPr>
        <w:rFonts w:ascii="Courier New" w:hAnsi="Courier New" w:cs="Courier New" w:hint="default"/>
      </w:rPr>
    </w:lvl>
    <w:lvl w:ilvl="8" w:tplc="0C090005" w:tentative="1">
      <w:start w:val="1"/>
      <w:numFmt w:val="bullet"/>
      <w:lvlText w:val=""/>
      <w:lvlJc w:val="left"/>
      <w:pPr>
        <w:ind w:left="6853" w:hanging="360"/>
      </w:pPr>
      <w:rPr>
        <w:rFonts w:ascii="Wingdings" w:hAnsi="Wingdings" w:hint="default"/>
      </w:rPr>
    </w:lvl>
  </w:abstractNum>
  <w:abstractNum w:abstractNumId="16" w15:restartNumberingAfterBreak="0">
    <w:nsid w:val="51597CF0"/>
    <w:multiLevelType w:val="hybridMultilevel"/>
    <w:tmpl w:val="C50E290C"/>
    <w:lvl w:ilvl="0" w:tplc="A0D4512E">
      <w:numFmt w:val="bullet"/>
      <w:lvlText w:val=""/>
      <w:lvlJc w:val="left"/>
      <w:pPr>
        <w:tabs>
          <w:tab w:val="num" w:pos="1800"/>
        </w:tabs>
        <w:ind w:left="1437"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A23D6A"/>
    <w:multiLevelType w:val="hybridMultilevel"/>
    <w:tmpl w:val="982AEF0A"/>
    <w:lvl w:ilvl="0" w:tplc="A0D4512E">
      <w:numFmt w:val="bullet"/>
      <w:lvlText w:val=""/>
      <w:lvlJc w:val="left"/>
      <w:pPr>
        <w:tabs>
          <w:tab w:val="num" w:pos="1800"/>
        </w:tabs>
        <w:ind w:left="1437" w:firstLine="3"/>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3065E8"/>
    <w:multiLevelType w:val="multilevel"/>
    <w:tmpl w:val="9C12E4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A5A7A13"/>
    <w:multiLevelType w:val="hybridMultilevel"/>
    <w:tmpl w:val="E4AC3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4053C"/>
    <w:multiLevelType w:val="hybridMultilevel"/>
    <w:tmpl w:val="FCF4D3E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1" w15:restartNumberingAfterBreak="0">
    <w:nsid w:val="668E23E1"/>
    <w:multiLevelType w:val="hybridMultilevel"/>
    <w:tmpl w:val="89BA44EA"/>
    <w:lvl w:ilvl="0" w:tplc="F5AA37A8">
      <w:start w:val="1"/>
      <w:numFmt w:val="bullet"/>
      <w:lvlText w:val=""/>
      <w:lvlJc w:val="left"/>
      <w:pPr>
        <w:tabs>
          <w:tab w:val="num" w:pos="1800"/>
        </w:tabs>
        <w:ind w:left="1800" w:hanging="360"/>
      </w:pPr>
      <w:rPr>
        <w:rFonts w:ascii="Symbol" w:hAnsi="Symbol" w:hint="default"/>
      </w:rPr>
    </w:lvl>
    <w:lvl w:ilvl="1" w:tplc="A0D4512E">
      <w:numFmt w:val="bullet"/>
      <w:lvlText w:val=""/>
      <w:lvlJc w:val="left"/>
      <w:pPr>
        <w:tabs>
          <w:tab w:val="num" w:pos="2520"/>
        </w:tabs>
        <w:ind w:left="2157" w:firstLine="3"/>
      </w:pPr>
      <w:rPr>
        <w:rFonts w:ascii="Symbol" w:hAnsi="Symbo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F9737B6"/>
    <w:multiLevelType w:val="hybridMultilevel"/>
    <w:tmpl w:val="3690A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D72F6D"/>
    <w:multiLevelType w:val="hybridMultilevel"/>
    <w:tmpl w:val="5B66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16"/>
  </w:num>
  <w:num w:numId="5">
    <w:abstractNumId w:val="13"/>
  </w:num>
  <w:num w:numId="6">
    <w:abstractNumId w:val="21"/>
  </w:num>
  <w:num w:numId="7">
    <w:abstractNumId w:val="6"/>
  </w:num>
  <w:num w:numId="8">
    <w:abstractNumId w:val="3"/>
  </w:num>
  <w:num w:numId="9">
    <w:abstractNumId w:val="2"/>
  </w:num>
  <w:num w:numId="10">
    <w:abstractNumId w:val="17"/>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5"/>
  </w:num>
  <w:num w:numId="22">
    <w:abstractNumId w:val="9"/>
  </w:num>
  <w:num w:numId="23">
    <w:abstractNumId w:val="22"/>
  </w:num>
  <w:num w:numId="24">
    <w:abstractNumId w:val="15"/>
  </w:num>
  <w:num w:numId="25">
    <w:abstractNumId w:val="14"/>
  </w:num>
  <w:num w:numId="26">
    <w:abstractNumId w:val="8"/>
  </w:num>
  <w:num w:numId="27">
    <w:abstractNumId w:val="18"/>
  </w:num>
  <w:num w:numId="28">
    <w:abstractNumId w:val="18"/>
  </w:num>
  <w:num w:numId="29">
    <w:abstractNumId w:val="18"/>
  </w:num>
  <w:num w:numId="30">
    <w:abstractNumId w:val="18"/>
  </w:num>
  <w:num w:numId="31">
    <w:abstractNumId w:val="18"/>
  </w:num>
  <w:num w:numId="32">
    <w:abstractNumId w:val="7"/>
  </w:num>
  <w:num w:numId="33">
    <w:abstractNumId w:val="1"/>
  </w:num>
  <w:num w:numId="34">
    <w:abstractNumId w:val="23"/>
  </w:num>
  <w:num w:numId="35">
    <w:abstractNumId w:val="20"/>
  </w:num>
  <w:num w:numId="36">
    <w:abstractNumId w:val="10"/>
  </w:num>
  <w:num w:numId="37">
    <w:abstractNumId w:val="12"/>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9A"/>
    <w:rsid w:val="00027862"/>
    <w:rsid w:val="00067AFC"/>
    <w:rsid w:val="000C1DF6"/>
    <w:rsid w:val="000C2900"/>
    <w:rsid w:val="000C6818"/>
    <w:rsid w:val="000C7303"/>
    <w:rsid w:val="000F5A93"/>
    <w:rsid w:val="000F5E4D"/>
    <w:rsid w:val="000F71C4"/>
    <w:rsid w:val="00134999"/>
    <w:rsid w:val="001352FF"/>
    <w:rsid w:val="00145FDB"/>
    <w:rsid w:val="00146091"/>
    <w:rsid w:val="00162FD5"/>
    <w:rsid w:val="00177093"/>
    <w:rsid w:val="001A0291"/>
    <w:rsid w:val="001A5133"/>
    <w:rsid w:val="001A540C"/>
    <w:rsid w:val="001A78BB"/>
    <w:rsid w:val="001B6D10"/>
    <w:rsid w:val="001D0532"/>
    <w:rsid w:val="001F14DF"/>
    <w:rsid w:val="0020389E"/>
    <w:rsid w:val="0020673F"/>
    <w:rsid w:val="00222CE9"/>
    <w:rsid w:val="0024780A"/>
    <w:rsid w:val="00255853"/>
    <w:rsid w:val="00265A57"/>
    <w:rsid w:val="00285E12"/>
    <w:rsid w:val="002D2DA8"/>
    <w:rsid w:val="002D4CBB"/>
    <w:rsid w:val="002D6B49"/>
    <w:rsid w:val="002E4D47"/>
    <w:rsid w:val="00327A51"/>
    <w:rsid w:val="00341047"/>
    <w:rsid w:val="00374D43"/>
    <w:rsid w:val="00377405"/>
    <w:rsid w:val="003A4E39"/>
    <w:rsid w:val="003C6EF7"/>
    <w:rsid w:val="003D26A4"/>
    <w:rsid w:val="003D7ABA"/>
    <w:rsid w:val="00402970"/>
    <w:rsid w:val="004166F3"/>
    <w:rsid w:val="00453EB9"/>
    <w:rsid w:val="004910EC"/>
    <w:rsid w:val="004948B6"/>
    <w:rsid w:val="0049749D"/>
    <w:rsid w:val="004B7622"/>
    <w:rsid w:val="004C150B"/>
    <w:rsid w:val="004E42E9"/>
    <w:rsid w:val="004F222B"/>
    <w:rsid w:val="005009CB"/>
    <w:rsid w:val="00506140"/>
    <w:rsid w:val="00523C1C"/>
    <w:rsid w:val="00534028"/>
    <w:rsid w:val="00534F2C"/>
    <w:rsid w:val="00546818"/>
    <w:rsid w:val="005530EF"/>
    <w:rsid w:val="00564469"/>
    <w:rsid w:val="00570728"/>
    <w:rsid w:val="0057193F"/>
    <w:rsid w:val="00574309"/>
    <w:rsid w:val="00585ECA"/>
    <w:rsid w:val="00594C6C"/>
    <w:rsid w:val="005A3FA6"/>
    <w:rsid w:val="005A5843"/>
    <w:rsid w:val="005C0F2C"/>
    <w:rsid w:val="005C6EFC"/>
    <w:rsid w:val="005C7A6D"/>
    <w:rsid w:val="005D6815"/>
    <w:rsid w:val="005E05B8"/>
    <w:rsid w:val="005F3BBD"/>
    <w:rsid w:val="006051A3"/>
    <w:rsid w:val="00622DD3"/>
    <w:rsid w:val="0062456C"/>
    <w:rsid w:val="00630EA0"/>
    <w:rsid w:val="0063315D"/>
    <w:rsid w:val="006367CE"/>
    <w:rsid w:val="00645FFA"/>
    <w:rsid w:val="0065560F"/>
    <w:rsid w:val="00682C52"/>
    <w:rsid w:val="006864C9"/>
    <w:rsid w:val="00693D04"/>
    <w:rsid w:val="006A47A3"/>
    <w:rsid w:val="006D4A4B"/>
    <w:rsid w:val="006F6844"/>
    <w:rsid w:val="00723B48"/>
    <w:rsid w:val="00731061"/>
    <w:rsid w:val="00733755"/>
    <w:rsid w:val="00740431"/>
    <w:rsid w:val="00756CD6"/>
    <w:rsid w:val="00757A3D"/>
    <w:rsid w:val="0076649D"/>
    <w:rsid w:val="00791800"/>
    <w:rsid w:val="007B30A4"/>
    <w:rsid w:val="007D1E8D"/>
    <w:rsid w:val="008020E8"/>
    <w:rsid w:val="00834342"/>
    <w:rsid w:val="00877CD4"/>
    <w:rsid w:val="00901764"/>
    <w:rsid w:val="00911E68"/>
    <w:rsid w:val="0092318C"/>
    <w:rsid w:val="00937F41"/>
    <w:rsid w:val="009427BD"/>
    <w:rsid w:val="0095660D"/>
    <w:rsid w:val="00963DF6"/>
    <w:rsid w:val="00975DFA"/>
    <w:rsid w:val="00995319"/>
    <w:rsid w:val="009C3CF1"/>
    <w:rsid w:val="009C4E3C"/>
    <w:rsid w:val="00A159FB"/>
    <w:rsid w:val="00A27C08"/>
    <w:rsid w:val="00A41CB5"/>
    <w:rsid w:val="00A43CF4"/>
    <w:rsid w:val="00A70679"/>
    <w:rsid w:val="00AC5CEF"/>
    <w:rsid w:val="00AF1AF2"/>
    <w:rsid w:val="00B41213"/>
    <w:rsid w:val="00B53BE6"/>
    <w:rsid w:val="00B54B41"/>
    <w:rsid w:val="00B60665"/>
    <w:rsid w:val="00B6411A"/>
    <w:rsid w:val="00B67FA1"/>
    <w:rsid w:val="00B729BB"/>
    <w:rsid w:val="00B7411F"/>
    <w:rsid w:val="00B97223"/>
    <w:rsid w:val="00BC0D10"/>
    <w:rsid w:val="00BC63D9"/>
    <w:rsid w:val="00BC731E"/>
    <w:rsid w:val="00BD0398"/>
    <w:rsid w:val="00BF67B6"/>
    <w:rsid w:val="00C1195E"/>
    <w:rsid w:val="00C15376"/>
    <w:rsid w:val="00C914DC"/>
    <w:rsid w:val="00CA0C2F"/>
    <w:rsid w:val="00CF409E"/>
    <w:rsid w:val="00D11F8E"/>
    <w:rsid w:val="00D45E5C"/>
    <w:rsid w:val="00D54C1C"/>
    <w:rsid w:val="00D57DD5"/>
    <w:rsid w:val="00D757DD"/>
    <w:rsid w:val="00D84B5E"/>
    <w:rsid w:val="00D96314"/>
    <w:rsid w:val="00DE1921"/>
    <w:rsid w:val="00DE5BFC"/>
    <w:rsid w:val="00E12798"/>
    <w:rsid w:val="00E15EE6"/>
    <w:rsid w:val="00E970F5"/>
    <w:rsid w:val="00EA42A0"/>
    <w:rsid w:val="00EB2C0D"/>
    <w:rsid w:val="00EB6EA1"/>
    <w:rsid w:val="00F02F11"/>
    <w:rsid w:val="00F0382F"/>
    <w:rsid w:val="00F16B87"/>
    <w:rsid w:val="00F71489"/>
    <w:rsid w:val="00F72B5B"/>
    <w:rsid w:val="00FA3D59"/>
    <w:rsid w:val="00FB4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8F33F47-5A44-451B-A3B0-FDE6D5AA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9A"/>
    <w:rPr>
      <w:sz w:val="24"/>
      <w:szCs w:val="24"/>
      <w:lang w:eastAsia="en-US"/>
    </w:rPr>
  </w:style>
  <w:style w:type="paragraph" w:styleId="Heading1">
    <w:name w:val="heading 1"/>
    <w:basedOn w:val="Normal"/>
    <w:next w:val="Normal"/>
    <w:qFormat/>
    <w:rsid w:val="009C4E3C"/>
    <w:pPr>
      <w:keepNext/>
      <w:numPr>
        <w:numId w:val="1"/>
      </w:numPr>
      <w:spacing w:before="360" w:after="120"/>
      <w:ind w:left="431" w:hanging="431"/>
      <w:outlineLvl w:val="0"/>
    </w:pPr>
    <w:rPr>
      <w:rFonts w:ascii="Calibri" w:hAnsi="Calibri" w:cs="Arial"/>
      <w:b/>
      <w:bCs/>
      <w:kern w:val="32"/>
      <w:sz w:val="28"/>
      <w:szCs w:val="28"/>
    </w:rPr>
  </w:style>
  <w:style w:type="paragraph" w:styleId="Heading2">
    <w:name w:val="heading 2"/>
    <w:basedOn w:val="Normal"/>
    <w:next w:val="Normal"/>
    <w:qFormat/>
    <w:rsid w:val="005C0F2C"/>
    <w:pPr>
      <w:keepNext/>
      <w:numPr>
        <w:ilvl w:val="1"/>
        <w:numId w:val="1"/>
      </w:numPr>
      <w:spacing w:before="120" w:after="120"/>
      <w:outlineLvl w:val="1"/>
    </w:pPr>
    <w:rPr>
      <w:b/>
      <w:bCs/>
      <w:sz w:val="28"/>
      <w:szCs w:val="28"/>
    </w:rPr>
  </w:style>
  <w:style w:type="paragraph" w:styleId="Heading3">
    <w:name w:val="heading 3"/>
    <w:basedOn w:val="Normal"/>
    <w:next w:val="Normal"/>
    <w:qFormat/>
    <w:rsid w:val="00FB419A"/>
    <w:pPr>
      <w:keepNext/>
      <w:numPr>
        <w:ilvl w:val="2"/>
        <w:numId w:val="1"/>
      </w:numPr>
      <w:spacing w:after="120"/>
      <w:outlineLvl w:val="2"/>
    </w:pPr>
    <w:rPr>
      <w:b/>
      <w:bCs/>
      <w:i/>
      <w:iCs/>
    </w:rPr>
  </w:style>
  <w:style w:type="paragraph" w:styleId="Heading4">
    <w:name w:val="heading 4"/>
    <w:basedOn w:val="Normal"/>
    <w:next w:val="Normal"/>
    <w:qFormat/>
    <w:rsid w:val="00FB419A"/>
    <w:pPr>
      <w:keepNext/>
      <w:numPr>
        <w:ilvl w:val="3"/>
        <w:numId w:val="1"/>
      </w:numPr>
      <w:outlineLvl w:val="3"/>
    </w:pPr>
    <w:rPr>
      <w:b/>
      <w:bCs/>
    </w:rPr>
  </w:style>
  <w:style w:type="paragraph" w:styleId="Heading5">
    <w:name w:val="heading 5"/>
    <w:basedOn w:val="Normal"/>
    <w:next w:val="Normal"/>
    <w:qFormat/>
    <w:rsid w:val="00FB419A"/>
    <w:pPr>
      <w:keepNext/>
      <w:numPr>
        <w:ilvl w:val="4"/>
        <w:numId w:val="1"/>
      </w:numPr>
      <w:outlineLvl w:val="4"/>
    </w:pPr>
    <w:rPr>
      <w:b/>
      <w:bCs/>
      <w:i/>
      <w:iCs/>
    </w:rPr>
  </w:style>
  <w:style w:type="paragraph" w:styleId="Heading6">
    <w:name w:val="heading 6"/>
    <w:basedOn w:val="Normal"/>
    <w:next w:val="Normal"/>
    <w:qFormat/>
    <w:rsid w:val="00FB419A"/>
    <w:pPr>
      <w:keepNext/>
      <w:numPr>
        <w:ilvl w:val="5"/>
        <w:numId w:val="1"/>
      </w:numPr>
      <w:jc w:val="center"/>
      <w:outlineLvl w:val="5"/>
    </w:pPr>
    <w:rPr>
      <w:i/>
      <w:iCs/>
      <w:sz w:val="36"/>
      <w:szCs w:val="36"/>
    </w:rPr>
  </w:style>
  <w:style w:type="paragraph" w:styleId="Heading7">
    <w:name w:val="heading 7"/>
    <w:basedOn w:val="Normal"/>
    <w:next w:val="Normal"/>
    <w:qFormat/>
    <w:rsid w:val="00FB419A"/>
    <w:pPr>
      <w:keepNext/>
      <w:numPr>
        <w:ilvl w:val="6"/>
        <w:numId w:val="1"/>
      </w:numPr>
      <w:jc w:val="center"/>
      <w:outlineLvl w:val="6"/>
    </w:pPr>
    <w:rPr>
      <w:i/>
      <w:iCs/>
      <w:sz w:val="36"/>
      <w:szCs w:val="36"/>
    </w:rPr>
  </w:style>
  <w:style w:type="paragraph" w:styleId="Heading8">
    <w:name w:val="heading 8"/>
    <w:basedOn w:val="Normal"/>
    <w:next w:val="Normal"/>
    <w:qFormat/>
    <w:rsid w:val="00FB419A"/>
    <w:pPr>
      <w:keepNext/>
      <w:numPr>
        <w:ilvl w:val="7"/>
        <w:numId w:val="1"/>
      </w:numPr>
      <w:jc w:val="center"/>
      <w:outlineLvl w:val="7"/>
    </w:pPr>
    <w:rPr>
      <w:b/>
      <w:bCs/>
    </w:rPr>
  </w:style>
  <w:style w:type="paragraph" w:styleId="Heading9">
    <w:name w:val="heading 9"/>
    <w:basedOn w:val="Normal"/>
    <w:next w:val="Normal"/>
    <w:qFormat/>
    <w:rsid w:val="00FB419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19A"/>
    <w:pPr>
      <w:tabs>
        <w:tab w:val="center" w:pos="4153"/>
        <w:tab w:val="right" w:pos="8306"/>
      </w:tabs>
    </w:pPr>
  </w:style>
  <w:style w:type="paragraph" w:styleId="Footer">
    <w:name w:val="footer"/>
    <w:basedOn w:val="Normal"/>
    <w:rsid w:val="00FB419A"/>
    <w:pPr>
      <w:pBdr>
        <w:top w:val="single" w:sz="6" w:space="1" w:color="auto"/>
      </w:pBdr>
      <w:tabs>
        <w:tab w:val="center" w:pos="4153"/>
        <w:tab w:val="right" w:pos="9360"/>
      </w:tabs>
    </w:pPr>
    <w:rPr>
      <w:i/>
      <w:iCs/>
      <w:sz w:val="20"/>
    </w:rPr>
  </w:style>
  <w:style w:type="character" w:styleId="PageNumber">
    <w:name w:val="page number"/>
    <w:basedOn w:val="DefaultParagraphFont"/>
    <w:rsid w:val="00FB419A"/>
  </w:style>
  <w:style w:type="paragraph" w:styleId="BodyText">
    <w:name w:val="Body Text"/>
    <w:basedOn w:val="Normal"/>
    <w:rsid w:val="00FB419A"/>
    <w:pPr>
      <w:spacing w:after="240"/>
      <w:jc w:val="center"/>
    </w:pPr>
  </w:style>
  <w:style w:type="paragraph" w:styleId="Caption">
    <w:name w:val="caption"/>
    <w:basedOn w:val="Normal"/>
    <w:next w:val="Normal"/>
    <w:qFormat/>
    <w:rsid w:val="00FB419A"/>
    <w:pPr>
      <w:pBdr>
        <w:top w:val="single" w:sz="12" w:space="15" w:color="auto"/>
        <w:bottom w:val="single" w:sz="12" w:space="15" w:color="auto"/>
      </w:pBdr>
      <w:spacing w:before="240" w:after="240"/>
      <w:jc w:val="center"/>
    </w:pPr>
    <w:rPr>
      <w:b/>
      <w:bCs/>
      <w:sz w:val="44"/>
      <w:szCs w:val="44"/>
    </w:rPr>
  </w:style>
  <w:style w:type="paragraph" w:customStyle="1" w:styleId="logo">
    <w:name w:val="logo"/>
    <w:basedOn w:val="Normal"/>
    <w:rsid w:val="00FB419A"/>
    <w:pPr>
      <w:overflowPunct w:val="0"/>
      <w:autoSpaceDE w:val="0"/>
      <w:autoSpaceDN w:val="0"/>
      <w:adjustRightInd w:val="0"/>
      <w:spacing w:before="720" w:after="1920" w:line="300" w:lineRule="atLeast"/>
      <w:jc w:val="center"/>
      <w:textAlignment w:val="baseline"/>
    </w:pPr>
    <w:rPr>
      <w:rFonts w:ascii="Century Schoolbook" w:hAnsi="Century Schoolbook"/>
    </w:rPr>
  </w:style>
  <w:style w:type="paragraph" w:customStyle="1" w:styleId="descriptor">
    <w:name w:val="descriptor"/>
    <w:basedOn w:val="Normal"/>
    <w:rsid w:val="00FB419A"/>
    <w:pPr>
      <w:overflowPunct w:val="0"/>
      <w:autoSpaceDE w:val="0"/>
      <w:autoSpaceDN w:val="0"/>
      <w:adjustRightInd w:val="0"/>
      <w:spacing w:after="120" w:line="300" w:lineRule="atLeast"/>
      <w:textAlignment w:val="baseline"/>
    </w:pPr>
    <w:rPr>
      <w:rFonts w:ascii="Arial" w:hAnsi="Arial" w:cs="Arial"/>
    </w:rPr>
  </w:style>
  <w:style w:type="paragraph" w:customStyle="1" w:styleId="Subtitle2">
    <w:name w:val="Subtitle2"/>
    <w:basedOn w:val="Normal"/>
    <w:rsid w:val="00FB419A"/>
    <w:pPr>
      <w:pBdr>
        <w:bottom w:val="single" w:sz="6" w:space="3" w:color="auto"/>
      </w:pBdr>
      <w:overflowPunct w:val="0"/>
      <w:autoSpaceDE w:val="0"/>
      <w:autoSpaceDN w:val="0"/>
      <w:adjustRightInd w:val="0"/>
      <w:spacing w:after="160" w:line="320" w:lineRule="atLeast"/>
      <w:jc w:val="center"/>
      <w:textAlignment w:val="baseline"/>
    </w:pPr>
    <w:rPr>
      <w:rFonts w:ascii="Arial" w:hAnsi="Arial" w:cs="Arial"/>
      <w:kern w:val="24"/>
      <w:sz w:val="36"/>
      <w:szCs w:val="36"/>
    </w:rPr>
  </w:style>
  <w:style w:type="paragraph" w:customStyle="1" w:styleId="NormalItalics">
    <w:name w:val="NormalItalics"/>
    <w:basedOn w:val="Normal"/>
    <w:rsid w:val="00FB419A"/>
    <w:pPr>
      <w:spacing w:before="120" w:after="240"/>
      <w:ind w:left="720"/>
    </w:pPr>
    <w:rPr>
      <w:i/>
      <w:iCs/>
    </w:rPr>
  </w:style>
  <w:style w:type="paragraph" w:customStyle="1" w:styleId="BulletedListLevel1">
    <w:name w:val="Bulleted List Level 1"/>
    <w:semiHidden/>
    <w:rsid w:val="00FB419A"/>
    <w:pPr>
      <w:numPr>
        <w:numId w:val="7"/>
      </w:numPr>
      <w:tabs>
        <w:tab w:val="left" w:pos="1134"/>
      </w:tabs>
      <w:spacing w:after="140" w:line="300" w:lineRule="atLeast"/>
    </w:pPr>
    <w:rPr>
      <w:rFonts w:ascii="Gill Sans MT" w:hAnsi="Gill Sans MT"/>
      <w:sz w:val="22"/>
      <w:szCs w:val="24"/>
      <w:lang w:eastAsia="en-US"/>
    </w:rPr>
  </w:style>
  <w:style w:type="character" w:styleId="CommentReference">
    <w:name w:val="annotation reference"/>
    <w:semiHidden/>
    <w:rsid w:val="00534F2C"/>
    <w:rPr>
      <w:sz w:val="16"/>
      <w:szCs w:val="16"/>
    </w:rPr>
  </w:style>
  <w:style w:type="paragraph" w:styleId="CommentText">
    <w:name w:val="annotation text"/>
    <w:basedOn w:val="Normal"/>
    <w:link w:val="CommentTextChar"/>
    <w:semiHidden/>
    <w:rsid w:val="00534F2C"/>
    <w:rPr>
      <w:sz w:val="20"/>
      <w:szCs w:val="20"/>
      <w:lang w:val="x-none"/>
    </w:rPr>
  </w:style>
  <w:style w:type="paragraph" w:styleId="BalloonText">
    <w:name w:val="Balloon Text"/>
    <w:basedOn w:val="Normal"/>
    <w:semiHidden/>
    <w:rsid w:val="00534F2C"/>
    <w:rPr>
      <w:rFonts w:ascii="Tahoma" w:hAnsi="Tahoma" w:cs="Tahoma"/>
      <w:sz w:val="16"/>
      <w:szCs w:val="16"/>
    </w:rPr>
  </w:style>
  <w:style w:type="paragraph" w:styleId="CommentSubject">
    <w:name w:val="annotation subject"/>
    <w:basedOn w:val="CommentText"/>
    <w:next w:val="CommentText"/>
    <w:link w:val="CommentSubjectChar"/>
    <w:rsid w:val="00733755"/>
    <w:rPr>
      <w:b/>
      <w:bCs/>
    </w:rPr>
  </w:style>
  <w:style w:type="character" w:customStyle="1" w:styleId="CommentTextChar">
    <w:name w:val="Comment Text Char"/>
    <w:link w:val="CommentText"/>
    <w:semiHidden/>
    <w:rsid w:val="00733755"/>
    <w:rPr>
      <w:lang w:eastAsia="en-US"/>
    </w:rPr>
  </w:style>
  <w:style w:type="character" w:customStyle="1" w:styleId="CommentSubjectChar">
    <w:name w:val="Comment Subject Char"/>
    <w:basedOn w:val="CommentTextChar"/>
    <w:link w:val="CommentSubject"/>
    <w:rsid w:val="00733755"/>
    <w:rPr>
      <w:lang w:eastAsia="en-US"/>
    </w:rPr>
  </w:style>
  <w:style w:type="paragraph" w:styleId="ListParagraph">
    <w:name w:val="List Paragraph"/>
    <w:basedOn w:val="Normal"/>
    <w:link w:val="ListParagraphChar"/>
    <w:uiPriority w:val="34"/>
    <w:qFormat/>
    <w:rsid w:val="00F71489"/>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A159FB"/>
    <w:rPr>
      <w:rFonts w:ascii="Calibri" w:eastAsia="Calibri" w:hAnsi="Calibri"/>
      <w:sz w:val="22"/>
      <w:szCs w:val="22"/>
      <w:lang w:eastAsia="en-US"/>
    </w:rPr>
  </w:style>
  <w:style w:type="character" w:styleId="Emphasis">
    <w:name w:val="Emphasis"/>
    <w:basedOn w:val="DefaultParagraphFont"/>
    <w:qFormat/>
    <w:rsid w:val="001F14DF"/>
    <w:rPr>
      <w:i/>
      <w:iCs/>
    </w:rPr>
  </w:style>
  <w:style w:type="paragraph" w:customStyle="1" w:styleId="Default">
    <w:name w:val="Default"/>
    <w:rsid w:val="00DE192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029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45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C1D5074-20D3-413A-A8D4-2B43945E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Prostheses List Reform Governance Group Terms of Reference</dc:title>
  <dc:creator>Australian Government Department of Health</dc:creator>
  <cp:revision>27</cp:revision>
  <cp:lastPrinted>2018-04-09T02:09:00Z</cp:lastPrinted>
  <dcterms:created xsi:type="dcterms:W3CDTF">2018-01-15T02:28:00Z</dcterms:created>
  <dcterms:modified xsi:type="dcterms:W3CDTF">2020-02-18T05:18:00Z</dcterms:modified>
</cp:coreProperties>
</file>