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9F5" w:rsidRPr="000E54AD" w:rsidRDefault="00C11A61">
      <w:pPr>
        <w:rPr>
          <w:rFonts w:cs="Arial"/>
          <w:color w:val="003366"/>
          <w:sz w:val="32"/>
          <w:u w:val="single"/>
        </w:rPr>
      </w:pPr>
      <w:bookmarkStart w:id="0" w:name="_GoBack"/>
      <w:bookmarkEnd w:id="0"/>
      <w:r>
        <w:rPr>
          <w:rFonts w:cs="Arial"/>
          <w:noProof/>
          <w:color w:val="003366"/>
          <w:sz w:val="32"/>
          <w:lang w:eastAsia="en-AU"/>
        </w:rPr>
        <w:drawing>
          <wp:anchor distT="0" distB="0" distL="114300" distR="114300" simplePos="0" relativeHeight="251657216" behindDoc="0" locked="0" layoutInCell="1" allowOverlap="1">
            <wp:simplePos x="0" y="0"/>
            <wp:positionH relativeFrom="column">
              <wp:posOffset>-242570</wp:posOffset>
            </wp:positionH>
            <wp:positionV relativeFrom="paragraph">
              <wp:posOffset>-232410</wp:posOffset>
            </wp:positionV>
            <wp:extent cx="1093470" cy="724535"/>
            <wp:effectExtent l="0" t="0" r="0" b="0"/>
            <wp:wrapTopAndBottom/>
            <wp:docPr id="2" name="Picture 2" descr="DH_stacked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_stacked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3470" cy="724535"/>
                    </a:xfrm>
                    <a:prstGeom prst="rect">
                      <a:avLst/>
                    </a:prstGeom>
                    <a:noFill/>
                  </pic:spPr>
                </pic:pic>
              </a:graphicData>
            </a:graphic>
            <wp14:sizeRelH relativeFrom="page">
              <wp14:pctWidth>0</wp14:pctWidth>
            </wp14:sizeRelH>
            <wp14:sizeRelV relativeFrom="page">
              <wp14:pctHeight>0</wp14:pctHeight>
            </wp14:sizeRelV>
          </wp:anchor>
        </w:drawing>
      </w:r>
      <w:r w:rsidR="00067839" w:rsidRPr="000E54AD">
        <w:rPr>
          <w:rFonts w:cs="Arial"/>
          <w:color w:val="003366"/>
          <w:sz w:val="32"/>
        </w:rPr>
        <w:tab/>
      </w:r>
      <w:r w:rsidR="00067839" w:rsidRPr="000E54AD">
        <w:rPr>
          <w:rFonts w:cs="Arial"/>
          <w:color w:val="003366"/>
          <w:sz w:val="32"/>
        </w:rPr>
        <w:tab/>
      </w:r>
      <w:r w:rsidR="00067839" w:rsidRPr="000E54AD">
        <w:rPr>
          <w:rFonts w:cs="Arial"/>
          <w:color w:val="003366"/>
          <w:sz w:val="32"/>
        </w:rPr>
        <w:tab/>
      </w:r>
      <w:r w:rsidR="00067839" w:rsidRPr="000E54AD">
        <w:rPr>
          <w:rFonts w:cs="Arial"/>
          <w:color w:val="003366"/>
          <w:sz w:val="32"/>
        </w:rPr>
        <w:tab/>
      </w:r>
      <w:r w:rsidR="00067839" w:rsidRPr="000E54AD">
        <w:rPr>
          <w:rFonts w:cs="Arial"/>
          <w:color w:val="003366"/>
          <w:sz w:val="32"/>
        </w:rPr>
        <w:tab/>
      </w:r>
      <w:r w:rsidR="00067839" w:rsidRPr="000E54AD">
        <w:rPr>
          <w:rFonts w:cs="Arial"/>
          <w:color w:val="003366"/>
          <w:sz w:val="32"/>
        </w:rPr>
        <w:tab/>
      </w:r>
      <w:r w:rsidR="00067839" w:rsidRPr="000E54AD">
        <w:rPr>
          <w:rFonts w:cs="Arial"/>
          <w:color w:val="003366"/>
          <w:sz w:val="32"/>
        </w:rPr>
        <w:tab/>
      </w:r>
      <w:r w:rsidR="00067839" w:rsidRPr="000E54AD">
        <w:rPr>
          <w:rFonts w:cs="Arial"/>
          <w:color w:val="003366"/>
          <w:sz w:val="32"/>
        </w:rPr>
        <w:tab/>
      </w:r>
    </w:p>
    <w:p w:rsidR="000852CC" w:rsidRPr="000E54AD" w:rsidRDefault="000852CC">
      <w:pPr>
        <w:rPr>
          <w:rFonts w:cs="Arial"/>
          <w:color w:val="003366"/>
          <w:sz w:val="32"/>
        </w:rPr>
      </w:pPr>
    </w:p>
    <w:p w:rsidR="00802547" w:rsidRPr="00802547" w:rsidRDefault="00802547" w:rsidP="00802547">
      <w:pPr>
        <w:widowControl w:val="0"/>
        <w:spacing w:after="0"/>
        <w:rPr>
          <w:rFonts w:ascii="Century Gothic" w:hAnsi="Century Gothic"/>
          <w:bCs/>
          <w:color w:val="333399"/>
          <w:sz w:val="96"/>
          <w:szCs w:val="96"/>
        </w:rPr>
      </w:pPr>
      <w:r w:rsidRPr="00802547">
        <w:rPr>
          <w:rFonts w:ascii="Century Gothic" w:hAnsi="Century Gothic"/>
          <w:bCs/>
          <w:color w:val="333399"/>
          <w:sz w:val="96"/>
          <w:szCs w:val="96"/>
        </w:rPr>
        <w:t>Prostheses List Advisory Committee</w:t>
      </w:r>
    </w:p>
    <w:p w:rsidR="00802547" w:rsidRPr="00802547" w:rsidRDefault="00802547" w:rsidP="00802547">
      <w:pPr>
        <w:widowControl w:val="0"/>
        <w:spacing w:after="0"/>
        <w:rPr>
          <w:rFonts w:ascii="Century Gothic" w:hAnsi="Century Gothic" w:cs="Arial"/>
          <w:color w:val="333399"/>
          <w:sz w:val="72"/>
          <w:szCs w:val="72"/>
        </w:rPr>
      </w:pPr>
    </w:p>
    <w:p w:rsidR="00802547" w:rsidRDefault="00802547" w:rsidP="00802547">
      <w:pPr>
        <w:widowControl w:val="0"/>
        <w:spacing w:after="0"/>
        <w:rPr>
          <w:rFonts w:ascii="Century Gothic" w:hAnsi="Century Gothic"/>
          <w:bCs/>
          <w:color w:val="333399"/>
          <w:sz w:val="72"/>
          <w:szCs w:val="72"/>
        </w:rPr>
      </w:pPr>
      <w:r w:rsidRPr="00802547">
        <w:rPr>
          <w:rFonts w:ascii="Century Gothic" w:hAnsi="Century Gothic"/>
          <w:bCs/>
          <w:color w:val="333399"/>
          <w:sz w:val="72"/>
          <w:szCs w:val="72"/>
        </w:rPr>
        <w:t xml:space="preserve">Operational </w:t>
      </w:r>
    </w:p>
    <w:p w:rsidR="00802547" w:rsidRPr="00802547" w:rsidRDefault="00802547" w:rsidP="00802547">
      <w:pPr>
        <w:widowControl w:val="0"/>
        <w:spacing w:after="0"/>
        <w:rPr>
          <w:rFonts w:ascii="Century Gothic" w:hAnsi="Century Gothic"/>
          <w:bCs/>
          <w:color w:val="333399"/>
          <w:sz w:val="72"/>
          <w:szCs w:val="72"/>
        </w:rPr>
      </w:pPr>
      <w:r w:rsidRPr="00802547">
        <w:rPr>
          <w:rFonts w:ascii="Century Gothic" w:hAnsi="Century Gothic"/>
          <w:bCs/>
          <w:color w:val="333399"/>
          <w:sz w:val="72"/>
          <w:szCs w:val="72"/>
        </w:rPr>
        <w:t>Guidelines</w:t>
      </w:r>
    </w:p>
    <w:p w:rsidR="00802547" w:rsidRPr="00802547" w:rsidRDefault="00802547" w:rsidP="00802547">
      <w:pPr>
        <w:widowControl w:val="0"/>
        <w:spacing w:after="0"/>
        <w:rPr>
          <w:rFonts w:ascii="Century Gothic" w:hAnsi="Century Gothic"/>
          <w:bCs/>
          <w:color w:val="333399"/>
          <w:sz w:val="72"/>
          <w:szCs w:val="72"/>
        </w:rPr>
      </w:pPr>
    </w:p>
    <w:p w:rsidR="00802547" w:rsidRPr="00802547" w:rsidRDefault="00802547" w:rsidP="00802547">
      <w:pPr>
        <w:widowControl w:val="0"/>
        <w:spacing w:after="0"/>
        <w:rPr>
          <w:rFonts w:ascii="Century Gothic" w:hAnsi="Century Gothic"/>
          <w:bCs/>
          <w:color w:val="333399"/>
          <w:sz w:val="72"/>
          <w:szCs w:val="72"/>
        </w:rPr>
      </w:pPr>
    </w:p>
    <w:p w:rsidR="00802547" w:rsidRPr="00802547" w:rsidRDefault="00C11A61" w:rsidP="00802547">
      <w:pPr>
        <w:widowControl w:val="0"/>
        <w:spacing w:after="0"/>
        <w:rPr>
          <w:rFonts w:ascii="Times New Roman" w:hAnsi="Times New Roman" w:cs="Arial"/>
        </w:rPr>
      </w:pPr>
      <w:r>
        <w:rPr>
          <w:rFonts w:ascii="Times New Roman" w:hAnsi="Times New Roman" w:cs="Arial"/>
          <w:noProof/>
          <w:lang w:eastAsia="en-AU"/>
        </w:rPr>
        <w:drawing>
          <wp:anchor distT="0" distB="0" distL="114300" distR="114300" simplePos="0" relativeHeight="251658240" behindDoc="0" locked="0" layoutInCell="1" allowOverlap="1">
            <wp:simplePos x="0" y="0"/>
            <wp:positionH relativeFrom="column">
              <wp:posOffset>-48895</wp:posOffset>
            </wp:positionH>
            <wp:positionV relativeFrom="paragraph">
              <wp:posOffset>163195</wp:posOffset>
            </wp:positionV>
            <wp:extent cx="3727450" cy="727710"/>
            <wp:effectExtent l="0" t="0" r="0" b="0"/>
            <wp:wrapSquare wrapText="bothSides"/>
            <wp:docPr id="3" name="Picture 3" descr="Swirl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wirl graphi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27450" cy="727710"/>
                    </a:xfrm>
                    <a:prstGeom prst="rect">
                      <a:avLst/>
                    </a:prstGeom>
                    <a:noFill/>
                  </pic:spPr>
                </pic:pic>
              </a:graphicData>
            </a:graphic>
            <wp14:sizeRelH relativeFrom="page">
              <wp14:pctWidth>0</wp14:pctWidth>
            </wp14:sizeRelH>
            <wp14:sizeRelV relativeFrom="page">
              <wp14:pctHeight>0</wp14:pctHeight>
            </wp14:sizeRelV>
          </wp:anchor>
        </w:drawing>
      </w:r>
    </w:p>
    <w:p w:rsidR="00802547" w:rsidRPr="00802547" w:rsidRDefault="00802547" w:rsidP="00802547">
      <w:pPr>
        <w:widowControl w:val="0"/>
        <w:spacing w:after="0"/>
        <w:rPr>
          <w:rFonts w:ascii="Times New Roman" w:hAnsi="Times New Roman" w:cs="Arial"/>
          <w:sz w:val="10"/>
        </w:rPr>
      </w:pPr>
    </w:p>
    <w:p w:rsidR="00AD6704" w:rsidRDefault="00AD6704" w:rsidP="00802547">
      <w:pPr>
        <w:widowControl w:val="0"/>
        <w:spacing w:after="0"/>
        <w:rPr>
          <w:rFonts w:ascii="Times New Roman" w:hAnsi="Times New Roman"/>
          <w:b/>
          <w:szCs w:val="28"/>
        </w:rPr>
      </w:pPr>
    </w:p>
    <w:p w:rsidR="00AD6704" w:rsidRDefault="00AD6704" w:rsidP="00802547">
      <w:pPr>
        <w:widowControl w:val="0"/>
        <w:spacing w:after="0"/>
        <w:rPr>
          <w:rFonts w:ascii="Times New Roman" w:hAnsi="Times New Roman"/>
          <w:b/>
          <w:szCs w:val="28"/>
        </w:rPr>
      </w:pPr>
    </w:p>
    <w:p w:rsidR="00AD6704" w:rsidRDefault="00AD6704" w:rsidP="00802547">
      <w:pPr>
        <w:widowControl w:val="0"/>
        <w:spacing w:after="0"/>
        <w:rPr>
          <w:rFonts w:ascii="Times New Roman" w:hAnsi="Times New Roman"/>
          <w:b/>
          <w:szCs w:val="28"/>
        </w:rPr>
      </w:pPr>
    </w:p>
    <w:p w:rsidR="00AD6704" w:rsidRDefault="00AD6704" w:rsidP="00802547">
      <w:pPr>
        <w:widowControl w:val="0"/>
        <w:spacing w:after="0"/>
        <w:rPr>
          <w:rFonts w:ascii="Times New Roman" w:hAnsi="Times New Roman"/>
          <w:b/>
          <w:szCs w:val="28"/>
        </w:rPr>
      </w:pPr>
    </w:p>
    <w:p w:rsidR="00AD6704" w:rsidRDefault="00AD6704" w:rsidP="00802547">
      <w:pPr>
        <w:widowControl w:val="0"/>
        <w:spacing w:after="0"/>
        <w:rPr>
          <w:rFonts w:ascii="Times New Roman" w:hAnsi="Times New Roman"/>
          <w:b/>
          <w:szCs w:val="28"/>
        </w:rPr>
      </w:pPr>
    </w:p>
    <w:p w:rsidR="00AD6704" w:rsidRDefault="00AD6704" w:rsidP="00802547">
      <w:pPr>
        <w:widowControl w:val="0"/>
        <w:spacing w:after="0"/>
        <w:rPr>
          <w:rFonts w:ascii="Times New Roman" w:hAnsi="Times New Roman"/>
          <w:b/>
          <w:szCs w:val="28"/>
        </w:rPr>
      </w:pPr>
    </w:p>
    <w:p w:rsidR="00AD6704" w:rsidRPr="000F7EFC" w:rsidRDefault="00B372F9" w:rsidP="00802547">
      <w:pPr>
        <w:widowControl w:val="0"/>
        <w:spacing w:after="0"/>
        <w:rPr>
          <w:rFonts w:ascii="Times New Roman" w:hAnsi="Times New Roman"/>
          <w:b/>
          <w:sz w:val="28"/>
          <w:szCs w:val="28"/>
        </w:rPr>
      </w:pPr>
      <w:r w:rsidRPr="0067466B">
        <w:rPr>
          <w:rFonts w:ascii="Times New Roman" w:hAnsi="Times New Roman"/>
          <w:b/>
          <w:sz w:val="28"/>
          <w:szCs w:val="28"/>
        </w:rPr>
        <w:t>April 2019</w:t>
      </w:r>
    </w:p>
    <w:p w:rsidR="00AD6704" w:rsidRDefault="00AD6704" w:rsidP="00802547">
      <w:pPr>
        <w:widowControl w:val="0"/>
        <w:spacing w:after="0"/>
        <w:rPr>
          <w:rFonts w:ascii="Times New Roman" w:hAnsi="Times New Roman"/>
          <w:b/>
          <w:szCs w:val="28"/>
        </w:rPr>
      </w:pPr>
    </w:p>
    <w:p w:rsidR="00802547" w:rsidRPr="00802547" w:rsidRDefault="00802547" w:rsidP="00802547">
      <w:pPr>
        <w:widowControl w:val="0"/>
        <w:spacing w:after="0"/>
        <w:rPr>
          <w:rFonts w:ascii="Century Gothic" w:hAnsi="Century Gothic" w:cs="Arial"/>
        </w:rPr>
      </w:pPr>
      <w:r w:rsidRPr="00802547">
        <w:rPr>
          <w:rFonts w:ascii="Times New Roman" w:hAnsi="Times New Roman"/>
          <w:b/>
          <w:szCs w:val="28"/>
        </w:rPr>
        <w:t>Disclaimer</w:t>
      </w:r>
    </w:p>
    <w:p w:rsidR="00802547" w:rsidRDefault="00802547" w:rsidP="00802547">
      <w:pPr>
        <w:widowControl w:val="0"/>
        <w:spacing w:after="0"/>
        <w:rPr>
          <w:rFonts w:ascii="Times New Roman" w:hAnsi="Times New Roman"/>
          <w:b/>
          <w:sz w:val="20"/>
        </w:rPr>
      </w:pPr>
      <w:r w:rsidRPr="00802547">
        <w:rPr>
          <w:rFonts w:ascii="Times New Roman" w:hAnsi="Times New Roman"/>
          <w:b/>
          <w:sz w:val="20"/>
        </w:rPr>
        <w:t>Please note that the content of this document is intended as a guide only and may be subject</w:t>
      </w:r>
      <w:r>
        <w:rPr>
          <w:rFonts w:ascii="Times New Roman" w:hAnsi="Times New Roman"/>
          <w:b/>
          <w:sz w:val="20"/>
        </w:rPr>
        <w:t xml:space="preserve"> to change without prior notice.</w:t>
      </w:r>
    </w:p>
    <w:p w:rsidR="00AD6704" w:rsidRDefault="00AD6704" w:rsidP="00802547">
      <w:pPr>
        <w:widowControl w:val="0"/>
        <w:spacing w:after="0"/>
        <w:rPr>
          <w:rFonts w:ascii="Times New Roman" w:hAnsi="Times New Roman"/>
          <w:b/>
          <w:sz w:val="20"/>
        </w:rPr>
      </w:pPr>
    </w:p>
    <w:p w:rsidR="00AD6704" w:rsidRPr="00802547" w:rsidRDefault="00AD6704" w:rsidP="00802547">
      <w:pPr>
        <w:widowControl w:val="0"/>
        <w:spacing w:after="0"/>
        <w:rPr>
          <w:rFonts w:ascii="Times New Roman" w:hAnsi="Times New Roman"/>
          <w:b/>
          <w:sz w:val="20"/>
        </w:rPr>
        <w:sectPr w:rsidR="00AD6704" w:rsidRPr="00802547" w:rsidSect="001929F5">
          <w:footerReference w:type="default" r:id="rId10"/>
          <w:pgSz w:w="11906" w:h="16838" w:code="9"/>
          <w:pgMar w:top="1418" w:right="1418" w:bottom="1134" w:left="1418" w:header="851" w:footer="851" w:gutter="0"/>
          <w:pgNumType w:start="1"/>
          <w:cols w:space="708"/>
          <w:titlePg/>
          <w:docGrid w:linePitch="360"/>
        </w:sectPr>
      </w:pPr>
    </w:p>
    <w:p w:rsidR="004E49F5" w:rsidRPr="009E0F20" w:rsidRDefault="00802655" w:rsidP="009E0F20">
      <w:pPr>
        <w:pStyle w:val="Heading2"/>
        <w:rPr>
          <w:rFonts w:ascii="Arial Bold" w:hAnsi="Arial Bold"/>
          <w:color w:val="003366"/>
          <w:sz w:val="28"/>
        </w:rPr>
      </w:pPr>
      <w:bookmarkStart w:id="1" w:name="_Toc13577402"/>
      <w:r w:rsidRPr="00CD2F7A">
        <w:rPr>
          <w:rFonts w:ascii="Arial Bold" w:hAnsi="Arial Bold"/>
          <w:color w:val="003366"/>
          <w:sz w:val="28"/>
        </w:rPr>
        <w:lastRenderedPageBreak/>
        <w:t>Table of Contents</w:t>
      </w:r>
      <w:bookmarkEnd w:id="1"/>
    </w:p>
    <w:sdt>
      <w:sdtPr>
        <w:rPr>
          <w:rFonts w:ascii="Arial" w:eastAsia="Times New Roman" w:hAnsi="Arial" w:cs="Times New Roman"/>
          <w:color w:val="auto"/>
          <w:sz w:val="24"/>
          <w:szCs w:val="24"/>
          <w:lang w:val="en-AU"/>
        </w:rPr>
        <w:id w:val="-281816666"/>
        <w:docPartObj>
          <w:docPartGallery w:val="Table of Contents"/>
          <w:docPartUnique/>
        </w:docPartObj>
      </w:sdtPr>
      <w:sdtEndPr>
        <w:rPr>
          <w:b/>
          <w:bCs/>
          <w:noProof/>
        </w:rPr>
      </w:sdtEndPr>
      <w:sdtContent>
        <w:p w:rsidR="009E0F20" w:rsidRPr="009E0F20" w:rsidRDefault="009E0F20" w:rsidP="009E0F20">
          <w:pPr>
            <w:pStyle w:val="TOCHeading"/>
            <w:rPr>
              <w:noProof/>
            </w:rPr>
          </w:pPr>
          <w:r>
            <w:fldChar w:fldCharType="begin"/>
          </w:r>
          <w:r>
            <w:instrText xml:space="preserve"> TOC \o "1-3" \h \z \u </w:instrText>
          </w:r>
          <w:r>
            <w:fldChar w:fldCharType="separate"/>
          </w:r>
        </w:p>
        <w:p w:rsidR="009E0F20" w:rsidRDefault="00786AC3">
          <w:pPr>
            <w:pStyle w:val="TOC1"/>
            <w:rPr>
              <w:rFonts w:asciiTheme="minorHAnsi" w:eastAsiaTheme="minorEastAsia" w:hAnsiTheme="minorHAnsi" w:cstheme="minorBidi"/>
              <w:sz w:val="22"/>
              <w:szCs w:val="22"/>
              <w:lang w:val="en-US"/>
            </w:rPr>
          </w:pPr>
          <w:hyperlink w:anchor="_Toc13577404" w:history="1">
            <w:r w:rsidR="009E0F20" w:rsidRPr="00991728">
              <w:rPr>
                <w:rStyle w:val="Hyperlink"/>
              </w:rPr>
              <w:t>1.</w:t>
            </w:r>
            <w:r w:rsidR="009E0F20">
              <w:rPr>
                <w:rFonts w:asciiTheme="minorHAnsi" w:eastAsiaTheme="minorEastAsia" w:hAnsiTheme="minorHAnsi" w:cstheme="minorBidi"/>
                <w:sz w:val="22"/>
                <w:szCs w:val="22"/>
                <w:lang w:val="en-US"/>
              </w:rPr>
              <w:tab/>
            </w:r>
            <w:r w:rsidR="009E0F20" w:rsidRPr="00991728">
              <w:rPr>
                <w:rStyle w:val="Hyperlink"/>
              </w:rPr>
              <w:t>Purpose</w:t>
            </w:r>
            <w:r w:rsidR="009E0F20">
              <w:rPr>
                <w:webHidden/>
              </w:rPr>
              <w:tab/>
            </w:r>
            <w:r w:rsidR="009E0F20">
              <w:rPr>
                <w:webHidden/>
              </w:rPr>
              <w:fldChar w:fldCharType="begin"/>
            </w:r>
            <w:r w:rsidR="009E0F20">
              <w:rPr>
                <w:webHidden/>
              </w:rPr>
              <w:instrText xml:space="preserve"> PAGEREF _Toc13577404 \h </w:instrText>
            </w:r>
            <w:r w:rsidR="009E0F20">
              <w:rPr>
                <w:webHidden/>
              </w:rPr>
            </w:r>
            <w:r w:rsidR="009E0F20">
              <w:rPr>
                <w:webHidden/>
              </w:rPr>
              <w:fldChar w:fldCharType="separate"/>
            </w:r>
            <w:r w:rsidR="009E0F20">
              <w:rPr>
                <w:webHidden/>
              </w:rPr>
              <w:t>4</w:t>
            </w:r>
            <w:r w:rsidR="009E0F20">
              <w:rPr>
                <w:webHidden/>
              </w:rPr>
              <w:fldChar w:fldCharType="end"/>
            </w:r>
          </w:hyperlink>
        </w:p>
        <w:p w:rsidR="009E0F20" w:rsidRDefault="00786AC3">
          <w:pPr>
            <w:pStyle w:val="TOC1"/>
            <w:rPr>
              <w:rFonts w:asciiTheme="minorHAnsi" w:eastAsiaTheme="minorEastAsia" w:hAnsiTheme="minorHAnsi" w:cstheme="minorBidi"/>
              <w:sz w:val="22"/>
              <w:szCs w:val="22"/>
              <w:lang w:val="en-US"/>
            </w:rPr>
          </w:pPr>
          <w:hyperlink w:anchor="_Toc13577405" w:history="1">
            <w:r w:rsidR="009E0F20" w:rsidRPr="00991728">
              <w:rPr>
                <w:rStyle w:val="Hyperlink"/>
              </w:rPr>
              <w:t>2.</w:t>
            </w:r>
            <w:r w:rsidR="009E0F20">
              <w:rPr>
                <w:rFonts w:asciiTheme="minorHAnsi" w:eastAsiaTheme="minorEastAsia" w:hAnsiTheme="minorHAnsi" w:cstheme="minorBidi"/>
                <w:sz w:val="22"/>
                <w:szCs w:val="22"/>
                <w:lang w:val="en-US"/>
              </w:rPr>
              <w:tab/>
            </w:r>
            <w:r w:rsidR="009E0F20" w:rsidRPr="00991728">
              <w:rPr>
                <w:rStyle w:val="Hyperlink"/>
              </w:rPr>
              <w:t>Chair</w:t>
            </w:r>
            <w:r w:rsidR="009E0F20">
              <w:rPr>
                <w:webHidden/>
              </w:rPr>
              <w:tab/>
            </w:r>
            <w:r w:rsidR="009E0F20">
              <w:rPr>
                <w:webHidden/>
              </w:rPr>
              <w:fldChar w:fldCharType="begin"/>
            </w:r>
            <w:r w:rsidR="009E0F20">
              <w:rPr>
                <w:webHidden/>
              </w:rPr>
              <w:instrText xml:space="preserve"> PAGEREF _Toc13577405 \h </w:instrText>
            </w:r>
            <w:r w:rsidR="009E0F20">
              <w:rPr>
                <w:webHidden/>
              </w:rPr>
            </w:r>
            <w:r w:rsidR="009E0F20">
              <w:rPr>
                <w:webHidden/>
              </w:rPr>
              <w:fldChar w:fldCharType="separate"/>
            </w:r>
            <w:r w:rsidR="009E0F20">
              <w:rPr>
                <w:webHidden/>
              </w:rPr>
              <w:t>4</w:t>
            </w:r>
            <w:r w:rsidR="009E0F20">
              <w:rPr>
                <w:webHidden/>
              </w:rPr>
              <w:fldChar w:fldCharType="end"/>
            </w:r>
          </w:hyperlink>
        </w:p>
        <w:p w:rsidR="009E0F20" w:rsidRDefault="00786AC3">
          <w:pPr>
            <w:pStyle w:val="TOC1"/>
            <w:rPr>
              <w:rFonts w:asciiTheme="minorHAnsi" w:eastAsiaTheme="minorEastAsia" w:hAnsiTheme="minorHAnsi" w:cstheme="minorBidi"/>
              <w:sz w:val="22"/>
              <w:szCs w:val="22"/>
              <w:lang w:val="en-US"/>
            </w:rPr>
          </w:pPr>
          <w:hyperlink w:anchor="_Toc13577406" w:history="1">
            <w:r w:rsidR="009E0F20" w:rsidRPr="00991728">
              <w:rPr>
                <w:rStyle w:val="Hyperlink"/>
              </w:rPr>
              <w:t>3.</w:t>
            </w:r>
            <w:r w:rsidR="009E0F20">
              <w:rPr>
                <w:rFonts w:asciiTheme="minorHAnsi" w:eastAsiaTheme="minorEastAsia" w:hAnsiTheme="minorHAnsi" w:cstheme="minorBidi"/>
                <w:sz w:val="22"/>
                <w:szCs w:val="22"/>
                <w:lang w:val="en-US"/>
              </w:rPr>
              <w:tab/>
            </w:r>
            <w:r w:rsidR="009E0F20" w:rsidRPr="00991728">
              <w:rPr>
                <w:rStyle w:val="Hyperlink"/>
              </w:rPr>
              <w:t>Membership</w:t>
            </w:r>
            <w:r w:rsidR="009E0F20">
              <w:rPr>
                <w:webHidden/>
              </w:rPr>
              <w:tab/>
            </w:r>
            <w:r w:rsidR="009E0F20">
              <w:rPr>
                <w:webHidden/>
              </w:rPr>
              <w:fldChar w:fldCharType="begin"/>
            </w:r>
            <w:r w:rsidR="009E0F20">
              <w:rPr>
                <w:webHidden/>
              </w:rPr>
              <w:instrText xml:space="preserve"> PAGEREF _Toc13577406 \h </w:instrText>
            </w:r>
            <w:r w:rsidR="009E0F20">
              <w:rPr>
                <w:webHidden/>
              </w:rPr>
            </w:r>
            <w:r w:rsidR="009E0F20">
              <w:rPr>
                <w:webHidden/>
              </w:rPr>
              <w:fldChar w:fldCharType="separate"/>
            </w:r>
            <w:r w:rsidR="009E0F20">
              <w:rPr>
                <w:webHidden/>
              </w:rPr>
              <w:t>4</w:t>
            </w:r>
            <w:r w:rsidR="009E0F20">
              <w:rPr>
                <w:webHidden/>
              </w:rPr>
              <w:fldChar w:fldCharType="end"/>
            </w:r>
          </w:hyperlink>
        </w:p>
        <w:p w:rsidR="009E0F20" w:rsidRDefault="00786AC3">
          <w:pPr>
            <w:pStyle w:val="TOC1"/>
            <w:rPr>
              <w:rFonts w:asciiTheme="minorHAnsi" w:eastAsiaTheme="minorEastAsia" w:hAnsiTheme="minorHAnsi" w:cstheme="minorBidi"/>
              <w:sz w:val="22"/>
              <w:szCs w:val="22"/>
              <w:lang w:val="en-US"/>
            </w:rPr>
          </w:pPr>
          <w:hyperlink w:anchor="_Toc13577407" w:history="1">
            <w:r w:rsidR="009E0F20" w:rsidRPr="00991728">
              <w:rPr>
                <w:rStyle w:val="Hyperlink"/>
              </w:rPr>
              <w:t>4.</w:t>
            </w:r>
            <w:r w:rsidR="009E0F20">
              <w:rPr>
                <w:rFonts w:asciiTheme="minorHAnsi" w:eastAsiaTheme="minorEastAsia" w:hAnsiTheme="minorHAnsi" w:cstheme="minorBidi"/>
                <w:sz w:val="22"/>
                <w:szCs w:val="22"/>
                <w:lang w:val="en-US"/>
              </w:rPr>
              <w:tab/>
            </w:r>
            <w:r w:rsidR="009E0F20" w:rsidRPr="00991728">
              <w:rPr>
                <w:rStyle w:val="Hyperlink"/>
              </w:rPr>
              <w:t>Secretariat</w:t>
            </w:r>
            <w:r w:rsidR="009E0F20">
              <w:rPr>
                <w:webHidden/>
              </w:rPr>
              <w:tab/>
            </w:r>
            <w:r w:rsidR="009E0F20">
              <w:rPr>
                <w:webHidden/>
              </w:rPr>
              <w:fldChar w:fldCharType="begin"/>
            </w:r>
            <w:r w:rsidR="009E0F20">
              <w:rPr>
                <w:webHidden/>
              </w:rPr>
              <w:instrText xml:space="preserve"> PAGEREF _Toc13577407 \h </w:instrText>
            </w:r>
            <w:r w:rsidR="009E0F20">
              <w:rPr>
                <w:webHidden/>
              </w:rPr>
            </w:r>
            <w:r w:rsidR="009E0F20">
              <w:rPr>
                <w:webHidden/>
              </w:rPr>
              <w:fldChar w:fldCharType="separate"/>
            </w:r>
            <w:r w:rsidR="009E0F20">
              <w:rPr>
                <w:webHidden/>
              </w:rPr>
              <w:t>4</w:t>
            </w:r>
            <w:r w:rsidR="009E0F20">
              <w:rPr>
                <w:webHidden/>
              </w:rPr>
              <w:fldChar w:fldCharType="end"/>
            </w:r>
          </w:hyperlink>
        </w:p>
        <w:p w:rsidR="009E0F20" w:rsidRDefault="00786AC3">
          <w:pPr>
            <w:pStyle w:val="TOC1"/>
            <w:rPr>
              <w:rFonts w:asciiTheme="minorHAnsi" w:eastAsiaTheme="minorEastAsia" w:hAnsiTheme="minorHAnsi" w:cstheme="minorBidi"/>
              <w:sz w:val="22"/>
              <w:szCs w:val="22"/>
              <w:lang w:val="en-US"/>
            </w:rPr>
          </w:pPr>
          <w:hyperlink w:anchor="_Toc13577408" w:history="1">
            <w:r w:rsidR="009E0F20" w:rsidRPr="00991728">
              <w:rPr>
                <w:rStyle w:val="Hyperlink"/>
              </w:rPr>
              <w:t>5.</w:t>
            </w:r>
            <w:r w:rsidR="009E0F20">
              <w:rPr>
                <w:rFonts w:asciiTheme="minorHAnsi" w:eastAsiaTheme="minorEastAsia" w:hAnsiTheme="minorHAnsi" w:cstheme="minorBidi"/>
                <w:sz w:val="22"/>
                <w:szCs w:val="22"/>
                <w:lang w:val="en-US"/>
              </w:rPr>
              <w:tab/>
            </w:r>
            <w:r w:rsidR="009E0F20" w:rsidRPr="00991728">
              <w:rPr>
                <w:rStyle w:val="Hyperlink"/>
              </w:rPr>
              <w:t>Quorum</w:t>
            </w:r>
            <w:r w:rsidR="009E0F20">
              <w:rPr>
                <w:webHidden/>
              </w:rPr>
              <w:tab/>
            </w:r>
            <w:r w:rsidR="009E0F20">
              <w:rPr>
                <w:webHidden/>
              </w:rPr>
              <w:fldChar w:fldCharType="begin"/>
            </w:r>
            <w:r w:rsidR="009E0F20">
              <w:rPr>
                <w:webHidden/>
              </w:rPr>
              <w:instrText xml:space="preserve"> PAGEREF _Toc13577408 \h </w:instrText>
            </w:r>
            <w:r w:rsidR="009E0F20">
              <w:rPr>
                <w:webHidden/>
              </w:rPr>
            </w:r>
            <w:r w:rsidR="009E0F20">
              <w:rPr>
                <w:webHidden/>
              </w:rPr>
              <w:fldChar w:fldCharType="separate"/>
            </w:r>
            <w:r w:rsidR="009E0F20">
              <w:rPr>
                <w:webHidden/>
              </w:rPr>
              <w:t>5</w:t>
            </w:r>
            <w:r w:rsidR="009E0F20">
              <w:rPr>
                <w:webHidden/>
              </w:rPr>
              <w:fldChar w:fldCharType="end"/>
            </w:r>
          </w:hyperlink>
        </w:p>
        <w:p w:rsidR="009E0F20" w:rsidRDefault="00786AC3">
          <w:pPr>
            <w:pStyle w:val="TOC1"/>
            <w:rPr>
              <w:rFonts w:asciiTheme="minorHAnsi" w:eastAsiaTheme="minorEastAsia" w:hAnsiTheme="minorHAnsi" w:cstheme="minorBidi"/>
              <w:sz w:val="22"/>
              <w:szCs w:val="22"/>
              <w:lang w:val="en-US"/>
            </w:rPr>
          </w:pPr>
          <w:hyperlink w:anchor="_Toc13577409" w:history="1">
            <w:r w:rsidR="009E0F20" w:rsidRPr="00991728">
              <w:rPr>
                <w:rStyle w:val="Hyperlink"/>
              </w:rPr>
              <w:t>6.</w:t>
            </w:r>
            <w:r w:rsidR="009E0F20">
              <w:rPr>
                <w:rFonts w:asciiTheme="minorHAnsi" w:eastAsiaTheme="minorEastAsia" w:hAnsiTheme="minorHAnsi" w:cstheme="minorBidi"/>
                <w:sz w:val="22"/>
                <w:szCs w:val="22"/>
                <w:lang w:val="en-US"/>
              </w:rPr>
              <w:tab/>
            </w:r>
            <w:r w:rsidR="009E0F20" w:rsidRPr="00991728">
              <w:rPr>
                <w:rStyle w:val="Hyperlink"/>
              </w:rPr>
              <w:t>Resolving Matters and Issues</w:t>
            </w:r>
            <w:r w:rsidR="009E0F20">
              <w:rPr>
                <w:webHidden/>
              </w:rPr>
              <w:tab/>
            </w:r>
            <w:r w:rsidR="009E0F20">
              <w:rPr>
                <w:webHidden/>
              </w:rPr>
              <w:fldChar w:fldCharType="begin"/>
            </w:r>
            <w:r w:rsidR="009E0F20">
              <w:rPr>
                <w:webHidden/>
              </w:rPr>
              <w:instrText xml:space="preserve"> PAGEREF _Toc13577409 \h </w:instrText>
            </w:r>
            <w:r w:rsidR="009E0F20">
              <w:rPr>
                <w:webHidden/>
              </w:rPr>
            </w:r>
            <w:r w:rsidR="009E0F20">
              <w:rPr>
                <w:webHidden/>
              </w:rPr>
              <w:fldChar w:fldCharType="separate"/>
            </w:r>
            <w:r w:rsidR="009E0F20">
              <w:rPr>
                <w:webHidden/>
              </w:rPr>
              <w:t>5</w:t>
            </w:r>
            <w:r w:rsidR="009E0F20">
              <w:rPr>
                <w:webHidden/>
              </w:rPr>
              <w:fldChar w:fldCharType="end"/>
            </w:r>
          </w:hyperlink>
        </w:p>
        <w:p w:rsidR="009E0F20" w:rsidRDefault="00786AC3">
          <w:pPr>
            <w:pStyle w:val="TOC1"/>
            <w:rPr>
              <w:rFonts w:asciiTheme="minorHAnsi" w:eastAsiaTheme="minorEastAsia" w:hAnsiTheme="minorHAnsi" w:cstheme="minorBidi"/>
              <w:sz w:val="22"/>
              <w:szCs w:val="22"/>
              <w:lang w:val="en-US"/>
            </w:rPr>
          </w:pPr>
          <w:hyperlink w:anchor="_Toc13577410" w:history="1">
            <w:r w:rsidR="009E0F20" w:rsidRPr="00991728">
              <w:rPr>
                <w:rStyle w:val="Hyperlink"/>
              </w:rPr>
              <w:t>7.</w:t>
            </w:r>
            <w:r w:rsidR="009E0F20">
              <w:rPr>
                <w:rFonts w:asciiTheme="minorHAnsi" w:eastAsiaTheme="minorEastAsia" w:hAnsiTheme="minorHAnsi" w:cstheme="minorBidi"/>
                <w:sz w:val="22"/>
                <w:szCs w:val="22"/>
                <w:lang w:val="en-US"/>
              </w:rPr>
              <w:tab/>
            </w:r>
            <w:r w:rsidR="009E0F20" w:rsidRPr="00991728">
              <w:rPr>
                <w:rStyle w:val="Hyperlink"/>
              </w:rPr>
              <w:t>Referral of PLAC Business</w:t>
            </w:r>
            <w:r w:rsidR="009E0F20">
              <w:rPr>
                <w:webHidden/>
              </w:rPr>
              <w:tab/>
            </w:r>
            <w:r w:rsidR="009E0F20">
              <w:rPr>
                <w:webHidden/>
              </w:rPr>
              <w:fldChar w:fldCharType="begin"/>
            </w:r>
            <w:r w:rsidR="009E0F20">
              <w:rPr>
                <w:webHidden/>
              </w:rPr>
              <w:instrText xml:space="preserve"> PAGEREF _Toc13577410 \h </w:instrText>
            </w:r>
            <w:r w:rsidR="009E0F20">
              <w:rPr>
                <w:webHidden/>
              </w:rPr>
            </w:r>
            <w:r w:rsidR="009E0F20">
              <w:rPr>
                <w:webHidden/>
              </w:rPr>
              <w:fldChar w:fldCharType="separate"/>
            </w:r>
            <w:r w:rsidR="009E0F20">
              <w:rPr>
                <w:webHidden/>
              </w:rPr>
              <w:t>5</w:t>
            </w:r>
            <w:r w:rsidR="009E0F20">
              <w:rPr>
                <w:webHidden/>
              </w:rPr>
              <w:fldChar w:fldCharType="end"/>
            </w:r>
          </w:hyperlink>
        </w:p>
        <w:p w:rsidR="009E0F20" w:rsidRDefault="00786AC3">
          <w:pPr>
            <w:pStyle w:val="TOC1"/>
            <w:rPr>
              <w:rFonts w:asciiTheme="minorHAnsi" w:eastAsiaTheme="minorEastAsia" w:hAnsiTheme="minorHAnsi" w:cstheme="minorBidi"/>
              <w:sz w:val="22"/>
              <w:szCs w:val="22"/>
              <w:lang w:val="en-US"/>
            </w:rPr>
          </w:pPr>
          <w:hyperlink w:anchor="_Toc13577411" w:history="1">
            <w:r w:rsidR="009E0F20" w:rsidRPr="00991728">
              <w:rPr>
                <w:rStyle w:val="Hyperlink"/>
              </w:rPr>
              <w:t>8.</w:t>
            </w:r>
            <w:r w:rsidR="009E0F20">
              <w:rPr>
                <w:rFonts w:asciiTheme="minorHAnsi" w:eastAsiaTheme="minorEastAsia" w:hAnsiTheme="minorHAnsi" w:cstheme="minorBidi"/>
                <w:sz w:val="22"/>
                <w:szCs w:val="22"/>
                <w:lang w:val="en-US"/>
              </w:rPr>
              <w:tab/>
            </w:r>
            <w:r w:rsidR="009E0F20" w:rsidRPr="00991728">
              <w:rPr>
                <w:rStyle w:val="Hyperlink"/>
              </w:rPr>
              <w:t>Meeting Arrangements</w:t>
            </w:r>
            <w:r w:rsidR="009E0F20">
              <w:rPr>
                <w:webHidden/>
              </w:rPr>
              <w:tab/>
            </w:r>
            <w:r w:rsidR="009E0F20">
              <w:rPr>
                <w:webHidden/>
              </w:rPr>
              <w:fldChar w:fldCharType="begin"/>
            </w:r>
            <w:r w:rsidR="009E0F20">
              <w:rPr>
                <w:webHidden/>
              </w:rPr>
              <w:instrText xml:space="preserve"> PAGEREF _Toc13577411 \h </w:instrText>
            </w:r>
            <w:r w:rsidR="009E0F20">
              <w:rPr>
                <w:webHidden/>
              </w:rPr>
            </w:r>
            <w:r w:rsidR="009E0F20">
              <w:rPr>
                <w:webHidden/>
              </w:rPr>
              <w:fldChar w:fldCharType="separate"/>
            </w:r>
            <w:r w:rsidR="009E0F20">
              <w:rPr>
                <w:webHidden/>
              </w:rPr>
              <w:t>5</w:t>
            </w:r>
            <w:r w:rsidR="009E0F20">
              <w:rPr>
                <w:webHidden/>
              </w:rPr>
              <w:fldChar w:fldCharType="end"/>
            </w:r>
          </w:hyperlink>
        </w:p>
        <w:p w:rsidR="009E0F20" w:rsidRDefault="00786AC3">
          <w:pPr>
            <w:pStyle w:val="TOC1"/>
            <w:rPr>
              <w:rFonts w:asciiTheme="minorHAnsi" w:eastAsiaTheme="minorEastAsia" w:hAnsiTheme="minorHAnsi" w:cstheme="minorBidi"/>
              <w:sz w:val="22"/>
              <w:szCs w:val="22"/>
              <w:lang w:val="en-US"/>
            </w:rPr>
          </w:pPr>
          <w:hyperlink w:anchor="_Toc13577414" w:history="1">
            <w:r w:rsidR="009E0F20" w:rsidRPr="00991728">
              <w:rPr>
                <w:rStyle w:val="Hyperlink"/>
              </w:rPr>
              <w:t>9.</w:t>
            </w:r>
            <w:r w:rsidR="009E0F20">
              <w:rPr>
                <w:rFonts w:asciiTheme="minorHAnsi" w:eastAsiaTheme="minorEastAsia" w:hAnsiTheme="minorHAnsi" w:cstheme="minorBidi"/>
                <w:sz w:val="22"/>
                <w:szCs w:val="22"/>
                <w:lang w:val="en-US"/>
              </w:rPr>
              <w:tab/>
            </w:r>
            <w:r w:rsidR="009E0F20" w:rsidRPr="00991728">
              <w:rPr>
                <w:rStyle w:val="Hyperlink"/>
              </w:rPr>
              <w:t>Proxies</w:t>
            </w:r>
            <w:r w:rsidR="009E0F20">
              <w:rPr>
                <w:webHidden/>
              </w:rPr>
              <w:tab/>
            </w:r>
            <w:r w:rsidR="009E0F20">
              <w:rPr>
                <w:webHidden/>
              </w:rPr>
              <w:fldChar w:fldCharType="begin"/>
            </w:r>
            <w:r w:rsidR="009E0F20">
              <w:rPr>
                <w:webHidden/>
              </w:rPr>
              <w:instrText xml:space="preserve"> PAGEREF _Toc13577414 \h </w:instrText>
            </w:r>
            <w:r w:rsidR="009E0F20">
              <w:rPr>
                <w:webHidden/>
              </w:rPr>
            </w:r>
            <w:r w:rsidR="009E0F20">
              <w:rPr>
                <w:webHidden/>
              </w:rPr>
              <w:fldChar w:fldCharType="separate"/>
            </w:r>
            <w:r w:rsidR="009E0F20">
              <w:rPr>
                <w:webHidden/>
              </w:rPr>
              <w:t>6</w:t>
            </w:r>
            <w:r w:rsidR="009E0F20">
              <w:rPr>
                <w:webHidden/>
              </w:rPr>
              <w:fldChar w:fldCharType="end"/>
            </w:r>
          </w:hyperlink>
        </w:p>
        <w:p w:rsidR="009E0F20" w:rsidRDefault="00786AC3">
          <w:pPr>
            <w:pStyle w:val="TOC1"/>
            <w:rPr>
              <w:rFonts w:asciiTheme="minorHAnsi" w:eastAsiaTheme="minorEastAsia" w:hAnsiTheme="minorHAnsi" w:cstheme="minorBidi"/>
              <w:sz w:val="22"/>
              <w:szCs w:val="22"/>
              <w:lang w:val="en-US"/>
            </w:rPr>
          </w:pPr>
          <w:hyperlink w:anchor="_Toc13577415" w:history="1">
            <w:r w:rsidR="009E0F20" w:rsidRPr="00991728">
              <w:rPr>
                <w:rStyle w:val="Hyperlink"/>
              </w:rPr>
              <w:t>10.</w:t>
            </w:r>
            <w:r w:rsidR="009E0F20">
              <w:rPr>
                <w:rFonts w:asciiTheme="minorHAnsi" w:eastAsiaTheme="minorEastAsia" w:hAnsiTheme="minorHAnsi" w:cstheme="minorBidi"/>
                <w:sz w:val="22"/>
                <w:szCs w:val="22"/>
                <w:lang w:val="en-US"/>
              </w:rPr>
              <w:tab/>
            </w:r>
            <w:r w:rsidR="009E0F20" w:rsidRPr="00991728">
              <w:rPr>
                <w:rStyle w:val="Hyperlink"/>
              </w:rPr>
              <w:t>Conflict of Interest</w:t>
            </w:r>
            <w:r w:rsidR="009E0F20">
              <w:rPr>
                <w:webHidden/>
              </w:rPr>
              <w:tab/>
            </w:r>
            <w:r w:rsidR="009E0F20">
              <w:rPr>
                <w:webHidden/>
              </w:rPr>
              <w:fldChar w:fldCharType="begin"/>
            </w:r>
            <w:r w:rsidR="009E0F20">
              <w:rPr>
                <w:webHidden/>
              </w:rPr>
              <w:instrText xml:space="preserve"> PAGEREF _Toc13577415 \h </w:instrText>
            </w:r>
            <w:r w:rsidR="009E0F20">
              <w:rPr>
                <w:webHidden/>
              </w:rPr>
            </w:r>
            <w:r w:rsidR="009E0F20">
              <w:rPr>
                <w:webHidden/>
              </w:rPr>
              <w:fldChar w:fldCharType="separate"/>
            </w:r>
            <w:r w:rsidR="009E0F20">
              <w:rPr>
                <w:webHidden/>
              </w:rPr>
              <w:t>7</w:t>
            </w:r>
            <w:r w:rsidR="009E0F20">
              <w:rPr>
                <w:webHidden/>
              </w:rPr>
              <w:fldChar w:fldCharType="end"/>
            </w:r>
          </w:hyperlink>
        </w:p>
        <w:p w:rsidR="009E0F20" w:rsidRDefault="00786AC3">
          <w:pPr>
            <w:pStyle w:val="TOC1"/>
            <w:rPr>
              <w:rFonts w:asciiTheme="minorHAnsi" w:eastAsiaTheme="minorEastAsia" w:hAnsiTheme="minorHAnsi" w:cstheme="minorBidi"/>
              <w:sz w:val="22"/>
              <w:szCs w:val="22"/>
              <w:lang w:val="en-US"/>
            </w:rPr>
          </w:pPr>
          <w:hyperlink w:anchor="_Toc13577422" w:history="1">
            <w:r w:rsidR="009E0F20" w:rsidRPr="00991728">
              <w:rPr>
                <w:rStyle w:val="Hyperlink"/>
              </w:rPr>
              <w:t>11.</w:t>
            </w:r>
            <w:r w:rsidR="009E0F20">
              <w:rPr>
                <w:rFonts w:asciiTheme="minorHAnsi" w:eastAsiaTheme="minorEastAsia" w:hAnsiTheme="minorHAnsi" w:cstheme="minorBidi"/>
                <w:sz w:val="22"/>
                <w:szCs w:val="22"/>
                <w:lang w:val="en-US"/>
              </w:rPr>
              <w:tab/>
            </w:r>
            <w:r w:rsidR="009E0F20" w:rsidRPr="00991728">
              <w:rPr>
                <w:rStyle w:val="Hyperlink"/>
              </w:rPr>
              <w:t>Key Performance Indicators</w:t>
            </w:r>
            <w:r w:rsidR="009E0F20">
              <w:rPr>
                <w:webHidden/>
              </w:rPr>
              <w:tab/>
            </w:r>
            <w:r w:rsidR="009E0F20">
              <w:rPr>
                <w:webHidden/>
              </w:rPr>
              <w:fldChar w:fldCharType="begin"/>
            </w:r>
            <w:r w:rsidR="009E0F20">
              <w:rPr>
                <w:webHidden/>
              </w:rPr>
              <w:instrText xml:space="preserve"> PAGEREF _Toc13577422 \h </w:instrText>
            </w:r>
            <w:r w:rsidR="009E0F20">
              <w:rPr>
                <w:webHidden/>
              </w:rPr>
            </w:r>
            <w:r w:rsidR="009E0F20">
              <w:rPr>
                <w:webHidden/>
              </w:rPr>
              <w:fldChar w:fldCharType="separate"/>
            </w:r>
            <w:r w:rsidR="009E0F20">
              <w:rPr>
                <w:webHidden/>
              </w:rPr>
              <w:t>9</w:t>
            </w:r>
            <w:r w:rsidR="009E0F20">
              <w:rPr>
                <w:webHidden/>
              </w:rPr>
              <w:fldChar w:fldCharType="end"/>
            </w:r>
          </w:hyperlink>
        </w:p>
        <w:p w:rsidR="009E0F20" w:rsidRDefault="009E0F20">
          <w:r>
            <w:rPr>
              <w:b/>
              <w:bCs/>
              <w:noProof/>
            </w:rPr>
            <w:fldChar w:fldCharType="end"/>
          </w:r>
        </w:p>
      </w:sdtContent>
    </w:sdt>
    <w:p w:rsidR="00C20638" w:rsidRDefault="00CC710D" w:rsidP="00CC710D">
      <w:pPr>
        <w:pStyle w:val="Heading2"/>
      </w:pPr>
      <w:bookmarkStart w:id="2" w:name="_Toc13577403"/>
      <w:bookmarkStart w:id="3" w:name="CHAIR"/>
      <w:r>
        <w:t>Version Control</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764"/>
        <w:gridCol w:w="2215"/>
        <w:gridCol w:w="5037"/>
      </w:tblGrid>
      <w:tr w:rsidR="00CC710D" w:rsidRPr="00085CE8" w:rsidTr="003E1F81">
        <w:tc>
          <w:tcPr>
            <w:tcW w:w="1809" w:type="dxa"/>
            <w:shd w:val="clear" w:color="auto" w:fill="auto"/>
          </w:tcPr>
          <w:p w:rsidR="00CC710D" w:rsidRPr="00085CE8" w:rsidRDefault="00CC710D" w:rsidP="00CC710D">
            <w:pPr>
              <w:rPr>
                <w:rFonts w:cs="Arial"/>
                <w:b/>
                <w:sz w:val="20"/>
                <w:szCs w:val="20"/>
              </w:rPr>
            </w:pPr>
            <w:r w:rsidRPr="00085CE8">
              <w:rPr>
                <w:rFonts w:cs="Arial"/>
                <w:b/>
                <w:sz w:val="20"/>
                <w:szCs w:val="20"/>
              </w:rPr>
              <w:t>Version Number</w:t>
            </w:r>
          </w:p>
        </w:tc>
        <w:tc>
          <w:tcPr>
            <w:tcW w:w="2268" w:type="dxa"/>
            <w:shd w:val="clear" w:color="auto" w:fill="auto"/>
          </w:tcPr>
          <w:p w:rsidR="00CC710D" w:rsidRPr="00085CE8" w:rsidRDefault="00CC710D" w:rsidP="00CC710D">
            <w:pPr>
              <w:rPr>
                <w:rFonts w:cs="Arial"/>
                <w:b/>
                <w:sz w:val="20"/>
                <w:szCs w:val="20"/>
              </w:rPr>
            </w:pPr>
            <w:r w:rsidRPr="00085CE8">
              <w:rPr>
                <w:rFonts w:cs="Arial"/>
                <w:b/>
                <w:sz w:val="20"/>
                <w:szCs w:val="20"/>
              </w:rPr>
              <w:t>Date</w:t>
            </w:r>
          </w:p>
        </w:tc>
        <w:tc>
          <w:tcPr>
            <w:tcW w:w="5165" w:type="dxa"/>
            <w:shd w:val="clear" w:color="auto" w:fill="auto"/>
          </w:tcPr>
          <w:p w:rsidR="00CC710D" w:rsidRPr="00085CE8" w:rsidRDefault="00CC710D" w:rsidP="00CC710D">
            <w:pPr>
              <w:rPr>
                <w:rFonts w:cs="Arial"/>
                <w:b/>
                <w:sz w:val="20"/>
                <w:szCs w:val="20"/>
              </w:rPr>
            </w:pPr>
            <w:r w:rsidRPr="00085CE8">
              <w:rPr>
                <w:rFonts w:cs="Arial"/>
                <w:b/>
                <w:sz w:val="20"/>
                <w:szCs w:val="20"/>
              </w:rPr>
              <w:t>Changes</w:t>
            </w:r>
          </w:p>
        </w:tc>
      </w:tr>
      <w:tr w:rsidR="00CC710D" w:rsidRPr="00085CE8" w:rsidTr="003E1F81">
        <w:tc>
          <w:tcPr>
            <w:tcW w:w="1809" w:type="dxa"/>
            <w:shd w:val="clear" w:color="auto" w:fill="auto"/>
          </w:tcPr>
          <w:p w:rsidR="00CC710D" w:rsidRPr="00085CE8" w:rsidRDefault="00AF5BF7" w:rsidP="00CC710D">
            <w:pPr>
              <w:rPr>
                <w:rFonts w:cs="Arial"/>
                <w:sz w:val="22"/>
                <w:szCs w:val="22"/>
              </w:rPr>
            </w:pPr>
            <w:r>
              <w:rPr>
                <w:rFonts w:cs="Arial"/>
                <w:sz w:val="22"/>
                <w:szCs w:val="22"/>
              </w:rPr>
              <w:t>1.0</w:t>
            </w:r>
          </w:p>
        </w:tc>
        <w:tc>
          <w:tcPr>
            <w:tcW w:w="2268" w:type="dxa"/>
            <w:shd w:val="clear" w:color="auto" w:fill="auto"/>
          </w:tcPr>
          <w:p w:rsidR="00CC710D" w:rsidRPr="00085CE8" w:rsidRDefault="00C00193" w:rsidP="00CC710D">
            <w:pPr>
              <w:rPr>
                <w:rFonts w:cs="Arial"/>
                <w:sz w:val="22"/>
                <w:szCs w:val="22"/>
              </w:rPr>
            </w:pPr>
            <w:r>
              <w:rPr>
                <w:rFonts w:cs="Arial"/>
                <w:sz w:val="22"/>
                <w:szCs w:val="22"/>
              </w:rPr>
              <w:t>21 September</w:t>
            </w:r>
            <w:r w:rsidR="0015268A">
              <w:rPr>
                <w:rFonts w:cs="Arial"/>
                <w:sz w:val="22"/>
                <w:szCs w:val="22"/>
              </w:rPr>
              <w:t xml:space="preserve"> 2016</w:t>
            </w:r>
          </w:p>
        </w:tc>
        <w:tc>
          <w:tcPr>
            <w:tcW w:w="5165" w:type="dxa"/>
            <w:shd w:val="clear" w:color="auto" w:fill="auto"/>
          </w:tcPr>
          <w:p w:rsidR="00CC710D" w:rsidRPr="00085CE8" w:rsidRDefault="00C00193" w:rsidP="00CC710D">
            <w:pPr>
              <w:rPr>
                <w:rFonts w:cs="Arial"/>
                <w:sz w:val="22"/>
                <w:szCs w:val="22"/>
              </w:rPr>
            </w:pPr>
            <w:r>
              <w:rPr>
                <w:rFonts w:cs="Arial"/>
                <w:sz w:val="22"/>
                <w:szCs w:val="22"/>
              </w:rPr>
              <w:t>Approved</w:t>
            </w:r>
          </w:p>
        </w:tc>
      </w:tr>
      <w:tr w:rsidR="00E755A2" w:rsidRPr="00085CE8" w:rsidTr="003E1F81">
        <w:tc>
          <w:tcPr>
            <w:tcW w:w="1809" w:type="dxa"/>
            <w:shd w:val="clear" w:color="auto" w:fill="auto"/>
          </w:tcPr>
          <w:p w:rsidR="00E755A2" w:rsidRDefault="00E755A2" w:rsidP="00CC710D">
            <w:pPr>
              <w:rPr>
                <w:rFonts w:cs="Arial"/>
                <w:sz w:val="22"/>
                <w:szCs w:val="22"/>
              </w:rPr>
            </w:pPr>
            <w:r>
              <w:rPr>
                <w:rFonts w:cs="Arial"/>
                <w:sz w:val="22"/>
                <w:szCs w:val="22"/>
              </w:rPr>
              <w:t>1.1</w:t>
            </w:r>
          </w:p>
        </w:tc>
        <w:tc>
          <w:tcPr>
            <w:tcW w:w="2268" w:type="dxa"/>
            <w:shd w:val="clear" w:color="auto" w:fill="auto"/>
          </w:tcPr>
          <w:p w:rsidR="00E755A2" w:rsidRDefault="00E755A2" w:rsidP="00E755A2">
            <w:pPr>
              <w:rPr>
                <w:rFonts w:cs="Arial"/>
                <w:sz w:val="22"/>
                <w:szCs w:val="22"/>
              </w:rPr>
            </w:pPr>
            <w:r>
              <w:rPr>
                <w:rFonts w:cs="Arial"/>
                <w:sz w:val="22"/>
                <w:szCs w:val="22"/>
              </w:rPr>
              <w:t>25 October 2016</w:t>
            </w:r>
          </w:p>
        </w:tc>
        <w:tc>
          <w:tcPr>
            <w:tcW w:w="5165" w:type="dxa"/>
            <w:shd w:val="clear" w:color="auto" w:fill="auto"/>
          </w:tcPr>
          <w:p w:rsidR="00E755A2" w:rsidRDefault="00E755A2" w:rsidP="007D5500">
            <w:pPr>
              <w:numPr>
                <w:ilvl w:val="0"/>
                <w:numId w:val="47"/>
              </w:numPr>
              <w:spacing w:after="60"/>
              <w:ind w:left="357" w:hanging="357"/>
              <w:rPr>
                <w:rFonts w:cs="Arial"/>
                <w:sz w:val="22"/>
                <w:szCs w:val="22"/>
              </w:rPr>
            </w:pPr>
            <w:r>
              <w:rPr>
                <w:rFonts w:cs="Arial"/>
                <w:sz w:val="22"/>
                <w:szCs w:val="22"/>
              </w:rPr>
              <w:t>C</w:t>
            </w:r>
            <w:r w:rsidR="007D5500">
              <w:rPr>
                <w:rFonts w:cs="Arial"/>
                <w:sz w:val="22"/>
                <w:szCs w:val="22"/>
              </w:rPr>
              <w:t>orrected typographical error</w:t>
            </w:r>
          </w:p>
        </w:tc>
      </w:tr>
      <w:tr w:rsidR="005E3965" w:rsidRPr="00085CE8" w:rsidTr="003E1F81">
        <w:tc>
          <w:tcPr>
            <w:tcW w:w="1809" w:type="dxa"/>
            <w:shd w:val="clear" w:color="auto" w:fill="auto"/>
          </w:tcPr>
          <w:p w:rsidR="005E3965" w:rsidRDefault="005E3965" w:rsidP="00CC710D">
            <w:pPr>
              <w:rPr>
                <w:rFonts w:cs="Arial"/>
                <w:sz w:val="22"/>
                <w:szCs w:val="22"/>
              </w:rPr>
            </w:pPr>
            <w:r>
              <w:rPr>
                <w:rFonts w:cs="Arial"/>
                <w:sz w:val="22"/>
                <w:szCs w:val="22"/>
              </w:rPr>
              <w:t>1.2</w:t>
            </w:r>
          </w:p>
        </w:tc>
        <w:tc>
          <w:tcPr>
            <w:tcW w:w="2268" w:type="dxa"/>
            <w:shd w:val="clear" w:color="auto" w:fill="auto"/>
          </w:tcPr>
          <w:p w:rsidR="005E3965" w:rsidRDefault="005E3965" w:rsidP="00E755A2">
            <w:pPr>
              <w:rPr>
                <w:rFonts w:cs="Arial"/>
                <w:sz w:val="22"/>
                <w:szCs w:val="22"/>
              </w:rPr>
            </w:pPr>
            <w:r>
              <w:rPr>
                <w:rFonts w:cs="Arial"/>
                <w:sz w:val="22"/>
                <w:szCs w:val="22"/>
              </w:rPr>
              <w:t>1 December 2016</w:t>
            </w:r>
          </w:p>
        </w:tc>
        <w:tc>
          <w:tcPr>
            <w:tcW w:w="5165" w:type="dxa"/>
            <w:shd w:val="clear" w:color="auto" w:fill="auto"/>
          </w:tcPr>
          <w:p w:rsidR="005E3965" w:rsidRPr="005E3965" w:rsidRDefault="007D5500" w:rsidP="005E3965">
            <w:pPr>
              <w:numPr>
                <w:ilvl w:val="0"/>
                <w:numId w:val="47"/>
              </w:numPr>
              <w:spacing w:after="60"/>
              <w:ind w:left="357" w:hanging="357"/>
              <w:rPr>
                <w:rFonts w:cs="Arial"/>
                <w:sz w:val="22"/>
                <w:szCs w:val="22"/>
              </w:rPr>
            </w:pPr>
            <w:r>
              <w:rPr>
                <w:rFonts w:cs="Arial"/>
                <w:sz w:val="22"/>
                <w:szCs w:val="22"/>
              </w:rPr>
              <w:t xml:space="preserve">Conflict of interest </w:t>
            </w:r>
            <w:r w:rsidR="005E3965">
              <w:rPr>
                <w:rFonts w:cs="Arial"/>
                <w:sz w:val="22"/>
                <w:szCs w:val="22"/>
              </w:rPr>
              <w:t xml:space="preserve">and </w:t>
            </w:r>
            <w:r>
              <w:rPr>
                <w:rFonts w:cs="Arial"/>
                <w:sz w:val="22"/>
                <w:szCs w:val="22"/>
              </w:rPr>
              <w:t>non-disclosure</w:t>
            </w:r>
          </w:p>
          <w:p w:rsidR="004C28C0" w:rsidRDefault="004C28C0" w:rsidP="007D5500">
            <w:pPr>
              <w:numPr>
                <w:ilvl w:val="0"/>
                <w:numId w:val="47"/>
              </w:numPr>
              <w:spacing w:after="60"/>
              <w:ind w:left="357" w:hanging="357"/>
              <w:rPr>
                <w:rFonts w:cs="Arial"/>
                <w:sz w:val="22"/>
                <w:szCs w:val="22"/>
              </w:rPr>
            </w:pPr>
            <w:r w:rsidRPr="004C28C0">
              <w:rPr>
                <w:rFonts w:cs="Arial"/>
                <w:sz w:val="22"/>
                <w:szCs w:val="22"/>
              </w:rPr>
              <w:t>Out-of-session feedback process</w:t>
            </w:r>
          </w:p>
          <w:p w:rsidR="004C28C0" w:rsidRPr="007D5500" w:rsidRDefault="004C28C0" w:rsidP="007D5500">
            <w:pPr>
              <w:numPr>
                <w:ilvl w:val="0"/>
                <w:numId w:val="47"/>
              </w:numPr>
              <w:spacing w:after="60"/>
              <w:ind w:left="357" w:hanging="357"/>
              <w:rPr>
                <w:rFonts w:cs="Arial"/>
                <w:sz w:val="22"/>
                <w:szCs w:val="22"/>
              </w:rPr>
            </w:pPr>
            <w:proofErr w:type="spellStart"/>
            <w:r>
              <w:rPr>
                <w:rFonts w:cs="Arial"/>
                <w:sz w:val="22"/>
                <w:szCs w:val="22"/>
              </w:rPr>
              <w:t>Boardvantage</w:t>
            </w:r>
            <w:proofErr w:type="spellEnd"/>
            <w:r>
              <w:rPr>
                <w:rFonts w:cs="Arial"/>
                <w:sz w:val="22"/>
                <w:szCs w:val="22"/>
              </w:rPr>
              <w:t xml:space="preserve"> technical support</w:t>
            </w:r>
          </w:p>
        </w:tc>
      </w:tr>
      <w:tr w:rsidR="000242D8" w:rsidRPr="00085CE8" w:rsidTr="003E1F81">
        <w:tc>
          <w:tcPr>
            <w:tcW w:w="1809" w:type="dxa"/>
            <w:shd w:val="clear" w:color="auto" w:fill="auto"/>
          </w:tcPr>
          <w:p w:rsidR="000242D8" w:rsidRDefault="000242D8" w:rsidP="00CC710D">
            <w:pPr>
              <w:rPr>
                <w:rFonts w:cs="Arial"/>
                <w:sz w:val="22"/>
                <w:szCs w:val="22"/>
              </w:rPr>
            </w:pPr>
            <w:r>
              <w:rPr>
                <w:rFonts w:cs="Arial"/>
                <w:sz w:val="22"/>
                <w:szCs w:val="22"/>
              </w:rPr>
              <w:t>1.3</w:t>
            </w:r>
          </w:p>
        </w:tc>
        <w:tc>
          <w:tcPr>
            <w:tcW w:w="2268" w:type="dxa"/>
            <w:shd w:val="clear" w:color="auto" w:fill="auto"/>
          </w:tcPr>
          <w:p w:rsidR="000242D8" w:rsidRDefault="000242D8" w:rsidP="00E755A2">
            <w:pPr>
              <w:rPr>
                <w:rFonts w:cs="Arial"/>
                <w:sz w:val="22"/>
                <w:szCs w:val="22"/>
              </w:rPr>
            </w:pPr>
            <w:r>
              <w:rPr>
                <w:rFonts w:cs="Arial"/>
                <w:sz w:val="22"/>
                <w:szCs w:val="22"/>
              </w:rPr>
              <w:t>22 December 2016</w:t>
            </w:r>
          </w:p>
        </w:tc>
        <w:tc>
          <w:tcPr>
            <w:tcW w:w="5165" w:type="dxa"/>
            <w:shd w:val="clear" w:color="auto" w:fill="auto"/>
          </w:tcPr>
          <w:p w:rsidR="000242D8" w:rsidRDefault="000242D8" w:rsidP="005E3965">
            <w:pPr>
              <w:numPr>
                <w:ilvl w:val="0"/>
                <w:numId w:val="47"/>
              </w:numPr>
              <w:spacing w:after="60"/>
              <w:ind w:left="357" w:hanging="357"/>
              <w:rPr>
                <w:rFonts w:cs="Arial"/>
                <w:sz w:val="22"/>
                <w:szCs w:val="22"/>
              </w:rPr>
            </w:pPr>
            <w:r>
              <w:rPr>
                <w:rFonts w:cs="Arial"/>
                <w:sz w:val="22"/>
                <w:szCs w:val="22"/>
              </w:rPr>
              <w:t>Update to out-of-session feedback process</w:t>
            </w:r>
          </w:p>
        </w:tc>
      </w:tr>
      <w:tr w:rsidR="00A467E8" w:rsidRPr="00085CE8" w:rsidTr="003E1F81">
        <w:tc>
          <w:tcPr>
            <w:tcW w:w="1809" w:type="dxa"/>
            <w:shd w:val="clear" w:color="auto" w:fill="auto"/>
          </w:tcPr>
          <w:p w:rsidR="00A467E8" w:rsidRDefault="00A467E8" w:rsidP="00CC710D">
            <w:pPr>
              <w:rPr>
                <w:rFonts w:cs="Arial"/>
                <w:sz w:val="22"/>
                <w:szCs w:val="22"/>
              </w:rPr>
            </w:pPr>
            <w:r>
              <w:rPr>
                <w:rFonts w:cs="Arial"/>
                <w:sz w:val="22"/>
                <w:szCs w:val="22"/>
              </w:rPr>
              <w:t>1.4</w:t>
            </w:r>
          </w:p>
        </w:tc>
        <w:tc>
          <w:tcPr>
            <w:tcW w:w="2268" w:type="dxa"/>
            <w:shd w:val="clear" w:color="auto" w:fill="auto"/>
          </w:tcPr>
          <w:p w:rsidR="00A467E8" w:rsidRDefault="00AD6704" w:rsidP="00E755A2">
            <w:pPr>
              <w:rPr>
                <w:rFonts w:cs="Arial"/>
                <w:sz w:val="22"/>
                <w:szCs w:val="22"/>
              </w:rPr>
            </w:pPr>
            <w:r>
              <w:rPr>
                <w:rFonts w:cs="Arial"/>
                <w:sz w:val="22"/>
                <w:szCs w:val="22"/>
              </w:rPr>
              <w:t>5 April 2019</w:t>
            </w:r>
          </w:p>
        </w:tc>
        <w:tc>
          <w:tcPr>
            <w:tcW w:w="5165" w:type="dxa"/>
            <w:shd w:val="clear" w:color="auto" w:fill="auto"/>
          </w:tcPr>
          <w:p w:rsidR="00A467E8" w:rsidRDefault="00D7521E" w:rsidP="00D7521E">
            <w:pPr>
              <w:numPr>
                <w:ilvl w:val="0"/>
                <w:numId w:val="47"/>
              </w:numPr>
              <w:spacing w:after="60"/>
              <w:ind w:left="357" w:hanging="357"/>
              <w:rPr>
                <w:rFonts w:cs="Arial"/>
                <w:sz w:val="22"/>
                <w:szCs w:val="22"/>
              </w:rPr>
            </w:pPr>
            <w:r>
              <w:rPr>
                <w:rFonts w:cs="Arial"/>
                <w:sz w:val="22"/>
                <w:szCs w:val="22"/>
              </w:rPr>
              <w:t>7  Referral of PLAC Business:</w:t>
            </w:r>
          </w:p>
          <w:p w:rsidR="00D7521E" w:rsidRDefault="00D7521E" w:rsidP="00D7521E">
            <w:pPr>
              <w:numPr>
                <w:ilvl w:val="1"/>
                <w:numId w:val="47"/>
              </w:numPr>
              <w:spacing w:after="60"/>
              <w:rPr>
                <w:rFonts w:cs="Arial"/>
                <w:sz w:val="22"/>
                <w:szCs w:val="22"/>
              </w:rPr>
            </w:pPr>
            <w:r>
              <w:rPr>
                <w:rFonts w:cs="Arial"/>
                <w:sz w:val="22"/>
                <w:szCs w:val="22"/>
              </w:rPr>
              <w:t>Added subcommittee acronyms to paragraph 1</w:t>
            </w:r>
          </w:p>
          <w:p w:rsidR="00D7521E" w:rsidRDefault="00D7521E" w:rsidP="00D7521E">
            <w:pPr>
              <w:numPr>
                <w:ilvl w:val="1"/>
                <w:numId w:val="47"/>
              </w:numPr>
              <w:spacing w:after="60"/>
              <w:rPr>
                <w:rFonts w:cs="Arial"/>
                <w:sz w:val="22"/>
                <w:szCs w:val="22"/>
              </w:rPr>
            </w:pPr>
            <w:r>
              <w:rPr>
                <w:rFonts w:cs="Arial"/>
                <w:sz w:val="22"/>
                <w:szCs w:val="22"/>
              </w:rPr>
              <w:t>Added paragraph 2</w:t>
            </w:r>
          </w:p>
          <w:p w:rsidR="00D7521E" w:rsidRDefault="00D7521E" w:rsidP="00D7521E">
            <w:pPr>
              <w:numPr>
                <w:ilvl w:val="0"/>
                <w:numId w:val="47"/>
              </w:numPr>
              <w:spacing w:after="60"/>
              <w:rPr>
                <w:rFonts w:cs="Arial"/>
                <w:sz w:val="22"/>
                <w:szCs w:val="22"/>
              </w:rPr>
            </w:pPr>
            <w:r>
              <w:rPr>
                <w:rFonts w:cs="Arial"/>
                <w:sz w:val="22"/>
                <w:szCs w:val="22"/>
              </w:rPr>
              <w:t>8.2  Agenda, Meeting Papers and Record of Meeting:</w:t>
            </w:r>
          </w:p>
          <w:p w:rsidR="00D7521E" w:rsidRDefault="00D7521E" w:rsidP="00D7521E">
            <w:pPr>
              <w:numPr>
                <w:ilvl w:val="1"/>
                <w:numId w:val="47"/>
              </w:numPr>
              <w:spacing w:after="60"/>
              <w:rPr>
                <w:rFonts w:cs="Arial"/>
                <w:sz w:val="22"/>
                <w:szCs w:val="22"/>
              </w:rPr>
            </w:pPr>
            <w:r>
              <w:rPr>
                <w:rFonts w:cs="Arial"/>
                <w:sz w:val="22"/>
                <w:szCs w:val="22"/>
              </w:rPr>
              <w:t>Replaced references to “</w:t>
            </w:r>
            <w:proofErr w:type="spellStart"/>
            <w:r>
              <w:rPr>
                <w:rFonts w:cs="Arial"/>
                <w:sz w:val="22"/>
                <w:szCs w:val="22"/>
              </w:rPr>
              <w:t>Boardvantage</w:t>
            </w:r>
            <w:proofErr w:type="spellEnd"/>
            <w:r>
              <w:rPr>
                <w:rFonts w:cs="Arial"/>
                <w:sz w:val="22"/>
                <w:szCs w:val="22"/>
              </w:rPr>
              <w:t>” with “SharePoint”.</w:t>
            </w:r>
          </w:p>
          <w:p w:rsidR="00D7521E" w:rsidRPr="00A467E8" w:rsidRDefault="00D7521E" w:rsidP="00D7521E">
            <w:pPr>
              <w:numPr>
                <w:ilvl w:val="1"/>
                <w:numId w:val="47"/>
              </w:numPr>
              <w:spacing w:after="60"/>
              <w:rPr>
                <w:rFonts w:cs="Arial"/>
                <w:sz w:val="22"/>
                <w:szCs w:val="22"/>
              </w:rPr>
            </w:pPr>
            <w:r>
              <w:rPr>
                <w:rFonts w:cs="Arial"/>
                <w:sz w:val="22"/>
                <w:szCs w:val="22"/>
              </w:rPr>
              <w:t>Changed circulation of meeting papers to members from 1 (one) week to 2 (two) weeks before the meeting.</w:t>
            </w:r>
          </w:p>
        </w:tc>
      </w:tr>
    </w:tbl>
    <w:p w:rsidR="00BF67FF" w:rsidRDefault="00BF67FF" w:rsidP="00CC710D">
      <w:pPr>
        <w:sectPr w:rsidR="00BF67FF" w:rsidSect="00A77D2F">
          <w:footerReference w:type="even" r:id="rId11"/>
          <w:footerReference w:type="default" r:id="rId12"/>
          <w:pgSz w:w="11906" w:h="16838" w:code="9"/>
          <w:pgMar w:top="1440" w:right="1440" w:bottom="1440" w:left="1440" w:header="709" w:footer="709" w:gutter="0"/>
          <w:cols w:space="708"/>
          <w:docGrid w:linePitch="360"/>
        </w:sectPr>
      </w:pPr>
    </w:p>
    <w:p w:rsidR="00F077A2" w:rsidRPr="00BF67FF" w:rsidRDefault="00F077A2" w:rsidP="00BF67FF">
      <w:pPr>
        <w:pStyle w:val="Heading1"/>
      </w:pPr>
      <w:bookmarkStart w:id="4" w:name="_Toc460942213"/>
      <w:bookmarkStart w:id="5" w:name="_Toc462138130"/>
      <w:bookmarkStart w:id="6" w:name="_Toc462243712"/>
      <w:bookmarkStart w:id="7" w:name="_Toc5375793"/>
      <w:bookmarkStart w:id="8" w:name="_Toc13577404"/>
      <w:r w:rsidRPr="00BF67FF">
        <w:lastRenderedPageBreak/>
        <w:t>Purpose</w:t>
      </w:r>
      <w:bookmarkEnd w:id="4"/>
      <w:bookmarkEnd w:id="5"/>
      <w:bookmarkEnd w:id="6"/>
      <w:bookmarkEnd w:id="7"/>
      <w:bookmarkEnd w:id="8"/>
    </w:p>
    <w:p w:rsidR="00F077A2" w:rsidRPr="00F077A2" w:rsidRDefault="00F077A2" w:rsidP="00B372F9">
      <w:pPr>
        <w:spacing w:before="240" w:after="480"/>
        <w:ind w:left="360"/>
        <w:rPr>
          <w:rFonts w:cs="Arial"/>
        </w:rPr>
      </w:pPr>
      <w:r w:rsidRPr="00F077A2">
        <w:rPr>
          <w:rFonts w:cs="Arial"/>
        </w:rPr>
        <w:t>The purpose of this</w:t>
      </w:r>
      <w:r>
        <w:rPr>
          <w:rFonts w:cs="Arial"/>
        </w:rPr>
        <w:t xml:space="preserve"> </w:t>
      </w:r>
      <w:r w:rsidR="00E92A92">
        <w:rPr>
          <w:rFonts w:cs="Arial"/>
        </w:rPr>
        <w:t>document</w:t>
      </w:r>
      <w:r>
        <w:rPr>
          <w:rFonts w:cs="Arial"/>
        </w:rPr>
        <w:t xml:space="preserve"> is to set out the arrangements under which the Prostheses List Advisory Committee (PLAC) will oper</w:t>
      </w:r>
      <w:r w:rsidR="000172E0">
        <w:rPr>
          <w:rFonts w:cs="Arial"/>
        </w:rPr>
        <w:t>ate to deliver on its</w:t>
      </w:r>
      <w:r>
        <w:rPr>
          <w:rFonts w:cs="Arial"/>
        </w:rPr>
        <w:t xml:space="preserve"> Terms of Reference</w:t>
      </w:r>
      <w:r w:rsidR="000172E0">
        <w:rPr>
          <w:rFonts w:cs="Arial"/>
        </w:rPr>
        <w:t xml:space="preserve">. This </w:t>
      </w:r>
      <w:r w:rsidR="00E92A92">
        <w:rPr>
          <w:rFonts w:cs="Arial"/>
        </w:rPr>
        <w:t>document is</w:t>
      </w:r>
      <w:r w:rsidR="000467FE">
        <w:rPr>
          <w:rFonts w:cs="Arial"/>
        </w:rPr>
        <w:t xml:space="preserve"> supported and should be read in parallel with</w:t>
      </w:r>
      <w:r w:rsidR="00742E20">
        <w:rPr>
          <w:rFonts w:cs="Arial"/>
        </w:rPr>
        <w:t xml:space="preserve"> the PLAC Member Guidelines and Terms of Reference.</w:t>
      </w:r>
    </w:p>
    <w:p w:rsidR="004E49F5" w:rsidRPr="00D03CCD" w:rsidRDefault="004E49F5" w:rsidP="00BF67FF">
      <w:pPr>
        <w:pStyle w:val="Heading1"/>
      </w:pPr>
      <w:bookmarkStart w:id="9" w:name="_Toc460942215"/>
      <w:bookmarkStart w:id="10" w:name="_Toc462138132"/>
      <w:bookmarkStart w:id="11" w:name="_Toc462243713"/>
      <w:bookmarkStart w:id="12" w:name="_Toc5375794"/>
      <w:bookmarkStart w:id="13" w:name="_Toc13577405"/>
      <w:r w:rsidRPr="00D03CCD">
        <w:t>Chair</w:t>
      </w:r>
      <w:bookmarkEnd w:id="3"/>
      <w:bookmarkEnd w:id="9"/>
      <w:bookmarkEnd w:id="10"/>
      <w:bookmarkEnd w:id="11"/>
      <w:bookmarkEnd w:id="12"/>
      <w:bookmarkEnd w:id="13"/>
    </w:p>
    <w:p w:rsidR="00C33B5B" w:rsidRDefault="00C33B5B" w:rsidP="00B372F9">
      <w:pPr>
        <w:spacing w:before="240" w:after="480"/>
        <w:ind w:left="360"/>
        <w:rPr>
          <w:rFonts w:cs="Arial"/>
        </w:rPr>
      </w:pPr>
      <w:r w:rsidRPr="000E54AD">
        <w:rPr>
          <w:rFonts w:cs="Arial"/>
        </w:rPr>
        <w:t xml:space="preserve">The </w:t>
      </w:r>
      <w:r w:rsidR="00090EB1">
        <w:rPr>
          <w:rFonts w:cs="Arial"/>
        </w:rPr>
        <w:t>C</w:t>
      </w:r>
      <w:r w:rsidRPr="000E54AD">
        <w:rPr>
          <w:rFonts w:cs="Arial"/>
        </w:rPr>
        <w:t xml:space="preserve">hair will work closely with the </w:t>
      </w:r>
      <w:r w:rsidR="000B3C6B">
        <w:rPr>
          <w:rFonts w:cs="Arial"/>
        </w:rPr>
        <w:t xml:space="preserve">PLAC </w:t>
      </w:r>
      <w:r w:rsidR="00090EB1">
        <w:rPr>
          <w:rFonts w:cs="Arial"/>
        </w:rPr>
        <w:t>S</w:t>
      </w:r>
      <w:r w:rsidRPr="000E54AD">
        <w:rPr>
          <w:rFonts w:cs="Arial"/>
        </w:rPr>
        <w:t>ecretariat and overs</w:t>
      </w:r>
      <w:r w:rsidR="00BB022A">
        <w:rPr>
          <w:rFonts w:cs="Arial"/>
        </w:rPr>
        <w:t>ee</w:t>
      </w:r>
      <w:r w:rsidRPr="000E54AD">
        <w:rPr>
          <w:rFonts w:cs="Arial"/>
        </w:rPr>
        <w:t xml:space="preserve"> </w:t>
      </w:r>
      <w:r w:rsidR="004D56C2" w:rsidRPr="000E54AD">
        <w:rPr>
          <w:rFonts w:cs="Arial"/>
        </w:rPr>
        <w:t>any other work requested by the Minister or the Department</w:t>
      </w:r>
      <w:r w:rsidRPr="000E54AD">
        <w:rPr>
          <w:rFonts w:cs="Arial"/>
        </w:rPr>
        <w:t>.</w:t>
      </w:r>
      <w:r w:rsidR="00C66071">
        <w:rPr>
          <w:rFonts w:cs="Arial"/>
        </w:rPr>
        <w:t xml:space="preserve"> </w:t>
      </w:r>
      <w:bookmarkStart w:id="14" w:name="MEMBERSHIP"/>
      <w:r w:rsidRPr="000E54AD">
        <w:rPr>
          <w:rFonts w:cs="Arial"/>
        </w:rPr>
        <w:t xml:space="preserve">If unavailable for </w:t>
      </w:r>
      <w:r w:rsidR="004D56C2" w:rsidRPr="000E54AD">
        <w:rPr>
          <w:rFonts w:cs="Arial"/>
        </w:rPr>
        <w:t>all or part of a scheduled PLA</w:t>
      </w:r>
      <w:r w:rsidRPr="000E54AD">
        <w:rPr>
          <w:rFonts w:cs="Arial"/>
        </w:rPr>
        <w:t xml:space="preserve">C meeting, the </w:t>
      </w:r>
      <w:r w:rsidR="00090EB1">
        <w:rPr>
          <w:rFonts w:cs="Arial"/>
        </w:rPr>
        <w:t>C</w:t>
      </w:r>
      <w:r w:rsidRPr="000E54AD">
        <w:rPr>
          <w:rFonts w:cs="Arial"/>
        </w:rPr>
        <w:t>hair will delegate the role to a</w:t>
      </w:r>
      <w:r w:rsidR="00090EB1">
        <w:rPr>
          <w:rFonts w:cs="Arial"/>
        </w:rPr>
        <w:t xml:space="preserve"> suitably</w:t>
      </w:r>
      <w:r w:rsidR="004D56C2" w:rsidRPr="000E54AD">
        <w:rPr>
          <w:rFonts w:cs="Arial"/>
        </w:rPr>
        <w:t xml:space="preserve"> experienced </w:t>
      </w:r>
      <w:r w:rsidR="009473AA">
        <w:rPr>
          <w:rFonts w:cs="Arial"/>
        </w:rPr>
        <w:t>M</w:t>
      </w:r>
      <w:r w:rsidRPr="000E54AD">
        <w:rPr>
          <w:rFonts w:cs="Arial"/>
        </w:rPr>
        <w:t xml:space="preserve">ember of the </w:t>
      </w:r>
      <w:r w:rsidR="004D56C2" w:rsidRPr="000E54AD">
        <w:rPr>
          <w:rFonts w:cs="Arial"/>
        </w:rPr>
        <w:t>PLAC</w:t>
      </w:r>
      <w:r w:rsidRPr="000E54AD">
        <w:rPr>
          <w:rFonts w:cs="Arial"/>
        </w:rPr>
        <w:t>.</w:t>
      </w:r>
      <w:r w:rsidR="00090EB1">
        <w:rPr>
          <w:rFonts w:cs="Arial"/>
        </w:rPr>
        <w:t xml:space="preserve"> The Secretariat must be notified of any and all delegated roles.</w:t>
      </w:r>
    </w:p>
    <w:p w:rsidR="0015268A" w:rsidRPr="00D03CCD" w:rsidRDefault="0015268A" w:rsidP="0015268A">
      <w:pPr>
        <w:pStyle w:val="Heading1"/>
      </w:pPr>
      <w:bookmarkStart w:id="15" w:name="_Toc462243714"/>
      <w:bookmarkStart w:id="16" w:name="_Toc5375795"/>
      <w:bookmarkStart w:id="17" w:name="_Toc13577406"/>
      <w:r>
        <w:t>Membership</w:t>
      </w:r>
      <w:bookmarkEnd w:id="15"/>
      <w:bookmarkEnd w:id="16"/>
      <w:bookmarkEnd w:id="17"/>
    </w:p>
    <w:p w:rsidR="007F62BC" w:rsidRDefault="007F62BC" w:rsidP="00B372F9">
      <w:pPr>
        <w:spacing w:before="240"/>
        <w:ind w:left="360"/>
        <w:rPr>
          <w:rFonts w:cs="Arial"/>
        </w:rPr>
      </w:pPr>
      <w:r>
        <w:rPr>
          <w:rFonts w:cs="Arial"/>
        </w:rPr>
        <w:t>The PLAC will have up to 21 Members, comprising both Expert Members and Advisory Members:</w:t>
      </w:r>
    </w:p>
    <w:p w:rsidR="007F62BC" w:rsidRPr="007F62BC" w:rsidRDefault="007F62BC" w:rsidP="00B372F9">
      <w:pPr>
        <w:spacing w:before="240"/>
        <w:ind w:left="360"/>
        <w:rPr>
          <w:rFonts w:cs="Arial"/>
          <w:b/>
        </w:rPr>
      </w:pPr>
      <w:r w:rsidRPr="007F62BC">
        <w:rPr>
          <w:rFonts w:cs="Arial"/>
          <w:b/>
        </w:rPr>
        <w:t>Expert Members</w:t>
      </w:r>
    </w:p>
    <w:p w:rsidR="007F62BC" w:rsidRDefault="007F62BC" w:rsidP="00B372F9">
      <w:pPr>
        <w:spacing w:after="60"/>
        <w:ind w:left="360"/>
        <w:rPr>
          <w:rFonts w:cs="Arial"/>
        </w:rPr>
      </w:pPr>
      <w:r>
        <w:rPr>
          <w:rFonts w:cs="Arial"/>
        </w:rPr>
        <w:t>7 x clinicians</w:t>
      </w:r>
    </w:p>
    <w:p w:rsidR="007F62BC" w:rsidRDefault="007F62BC" w:rsidP="00B372F9">
      <w:pPr>
        <w:spacing w:after="60"/>
        <w:ind w:left="360"/>
        <w:rPr>
          <w:rFonts w:cs="Arial"/>
        </w:rPr>
      </w:pPr>
      <w:r>
        <w:rPr>
          <w:rFonts w:cs="Arial"/>
        </w:rPr>
        <w:t>1 x health consumer</w:t>
      </w:r>
    </w:p>
    <w:p w:rsidR="007F62BC" w:rsidRDefault="007F62BC" w:rsidP="00B372F9">
      <w:pPr>
        <w:spacing w:after="60"/>
        <w:ind w:left="360"/>
        <w:rPr>
          <w:rFonts w:cs="Arial"/>
        </w:rPr>
      </w:pPr>
      <w:r>
        <w:rPr>
          <w:rFonts w:cs="Arial"/>
        </w:rPr>
        <w:t>2 x health economists</w:t>
      </w:r>
    </w:p>
    <w:p w:rsidR="007F62BC" w:rsidRDefault="007F62BC" w:rsidP="00B372F9">
      <w:pPr>
        <w:spacing w:after="60"/>
        <w:ind w:left="360"/>
        <w:rPr>
          <w:rFonts w:cs="Arial"/>
        </w:rPr>
      </w:pPr>
      <w:r>
        <w:rPr>
          <w:rFonts w:cs="Arial"/>
        </w:rPr>
        <w:t>1 x epidemiologist</w:t>
      </w:r>
    </w:p>
    <w:p w:rsidR="007F62BC" w:rsidRDefault="007F62BC" w:rsidP="00B372F9">
      <w:pPr>
        <w:spacing w:after="60"/>
        <w:ind w:left="360"/>
        <w:rPr>
          <w:rFonts w:cs="Arial"/>
        </w:rPr>
      </w:pPr>
      <w:r>
        <w:rPr>
          <w:rFonts w:cs="Arial"/>
        </w:rPr>
        <w:t>1 x current MSAC member</w:t>
      </w:r>
    </w:p>
    <w:p w:rsidR="007F62BC" w:rsidRDefault="007F62BC" w:rsidP="00B372F9">
      <w:pPr>
        <w:spacing w:after="60"/>
        <w:ind w:left="360"/>
        <w:rPr>
          <w:rFonts w:cs="Arial"/>
        </w:rPr>
      </w:pPr>
      <w:r>
        <w:rPr>
          <w:rFonts w:cs="Arial"/>
        </w:rPr>
        <w:t>1 x medical bioengineer</w:t>
      </w:r>
    </w:p>
    <w:p w:rsidR="007F62BC" w:rsidRPr="007F62BC" w:rsidRDefault="007F62BC" w:rsidP="00B372F9">
      <w:pPr>
        <w:spacing w:before="240"/>
        <w:ind w:left="360"/>
        <w:rPr>
          <w:rFonts w:cs="Arial"/>
          <w:b/>
        </w:rPr>
      </w:pPr>
      <w:r w:rsidRPr="007F62BC">
        <w:rPr>
          <w:rFonts w:cs="Arial"/>
          <w:b/>
        </w:rPr>
        <w:t xml:space="preserve">Advisory Members </w:t>
      </w:r>
    </w:p>
    <w:p w:rsidR="007F62BC" w:rsidRDefault="007F62BC" w:rsidP="00B372F9">
      <w:pPr>
        <w:spacing w:after="60"/>
        <w:ind w:left="360"/>
        <w:rPr>
          <w:rFonts w:cs="Arial"/>
        </w:rPr>
      </w:pPr>
      <w:r>
        <w:rPr>
          <w:rFonts w:cs="Arial"/>
        </w:rPr>
        <w:t xml:space="preserve">1 x </w:t>
      </w:r>
      <w:r w:rsidR="00E13F5E">
        <w:rPr>
          <w:rFonts w:cs="Arial"/>
        </w:rPr>
        <w:t>Therapeutic Goods Administration</w:t>
      </w:r>
      <w:r>
        <w:rPr>
          <w:rFonts w:cs="Arial"/>
        </w:rPr>
        <w:t xml:space="preserve"> officer</w:t>
      </w:r>
    </w:p>
    <w:p w:rsidR="007F62BC" w:rsidRDefault="007F62BC" w:rsidP="00B372F9">
      <w:pPr>
        <w:spacing w:after="60"/>
        <w:ind w:left="360"/>
        <w:rPr>
          <w:rFonts w:cs="Arial"/>
        </w:rPr>
      </w:pPr>
      <w:r>
        <w:rPr>
          <w:rFonts w:cs="Arial"/>
        </w:rPr>
        <w:t xml:space="preserve">2 x medical device </w:t>
      </w:r>
      <w:r w:rsidR="00E13F5E">
        <w:rPr>
          <w:rFonts w:cs="Arial"/>
        </w:rPr>
        <w:t>industry representatives</w:t>
      </w:r>
    </w:p>
    <w:p w:rsidR="00E13F5E" w:rsidRDefault="00E13F5E" w:rsidP="00B372F9">
      <w:pPr>
        <w:spacing w:after="60"/>
        <w:ind w:left="360"/>
        <w:rPr>
          <w:rFonts w:cs="Arial"/>
        </w:rPr>
      </w:pPr>
      <w:r>
        <w:rPr>
          <w:rFonts w:cs="Arial"/>
        </w:rPr>
        <w:t>2 x private health insurance representatives</w:t>
      </w:r>
    </w:p>
    <w:p w:rsidR="00E13F5E" w:rsidRDefault="00516CED" w:rsidP="00B372F9">
      <w:pPr>
        <w:spacing w:after="60"/>
        <w:ind w:left="360"/>
        <w:rPr>
          <w:rFonts w:cs="Arial"/>
        </w:rPr>
      </w:pPr>
      <w:r>
        <w:rPr>
          <w:rFonts w:cs="Arial"/>
        </w:rPr>
        <w:t>3</w:t>
      </w:r>
      <w:r w:rsidR="00E13F5E">
        <w:rPr>
          <w:rFonts w:cs="Arial"/>
        </w:rPr>
        <w:t xml:space="preserve"> x private hospital representatives</w:t>
      </w:r>
    </w:p>
    <w:p w:rsidR="0015268A" w:rsidRDefault="007F62BC" w:rsidP="00B372F9">
      <w:pPr>
        <w:spacing w:before="240" w:after="480"/>
        <w:ind w:left="360"/>
        <w:rPr>
          <w:rFonts w:cs="Arial"/>
        </w:rPr>
      </w:pPr>
      <w:r>
        <w:rPr>
          <w:rFonts w:cs="Arial"/>
        </w:rPr>
        <w:t>Each Member is appointed in either an expert or advisory capacity on the basis of their individual skills, knowledge and expertise; and holds their appointment at the discretion of the Minister and Minister’s Delegate.</w:t>
      </w:r>
    </w:p>
    <w:p w:rsidR="00090EB1" w:rsidRPr="00D03CCD" w:rsidRDefault="00090EB1" w:rsidP="00123B79">
      <w:pPr>
        <w:pStyle w:val="Heading1"/>
      </w:pPr>
      <w:bookmarkStart w:id="18" w:name="_Toc460942216"/>
      <w:bookmarkStart w:id="19" w:name="_Toc462138133"/>
      <w:bookmarkStart w:id="20" w:name="_Toc462243715"/>
      <w:bookmarkStart w:id="21" w:name="_Toc5375796"/>
      <w:bookmarkStart w:id="22" w:name="_Toc13577407"/>
      <w:r>
        <w:t>Secretariat</w:t>
      </w:r>
      <w:bookmarkEnd w:id="18"/>
      <w:bookmarkEnd w:id="19"/>
      <w:bookmarkEnd w:id="20"/>
      <w:bookmarkEnd w:id="21"/>
      <w:bookmarkEnd w:id="22"/>
    </w:p>
    <w:p w:rsidR="001F4993" w:rsidRDefault="00090EB1" w:rsidP="00B372F9">
      <w:pPr>
        <w:spacing w:before="240" w:after="480"/>
        <w:ind w:firstLine="360"/>
        <w:rPr>
          <w:rFonts w:cs="Arial"/>
        </w:rPr>
      </w:pPr>
      <w:r w:rsidRPr="00090EB1">
        <w:rPr>
          <w:rFonts w:cs="Arial"/>
        </w:rPr>
        <w:t>The Department</w:t>
      </w:r>
      <w:r>
        <w:rPr>
          <w:rFonts w:cs="Arial"/>
        </w:rPr>
        <w:t xml:space="preserve"> of </w:t>
      </w:r>
      <w:r w:rsidR="00BF15B2">
        <w:rPr>
          <w:rFonts w:cs="Arial"/>
        </w:rPr>
        <w:t>Health will fulfil the role of S</w:t>
      </w:r>
      <w:r w:rsidR="00BF67FF">
        <w:rPr>
          <w:rFonts w:cs="Arial"/>
        </w:rPr>
        <w:t>ecretariat.</w:t>
      </w:r>
    </w:p>
    <w:p w:rsidR="004E49F5" w:rsidRPr="000E54AD" w:rsidRDefault="00A622B4" w:rsidP="00BF67FF">
      <w:pPr>
        <w:pStyle w:val="Heading1"/>
        <w:rPr>
          <w:rFonts w:ascii="Arial" w:hAnsi="Arial"/>
        </w:rPr>
      </w:pPr>
      <w:bookmarkStart w:id="23" w:name="_Toc460942217"/>
      <w:bookmarkStart w:id="24" w:name="_Toc462138134"/>
      <w:bookmarkStart w:id="25" w:name="_Toc462243716"/>
      <w:bookmarkStart w:id="26" w:name="_Toc5375797"/>
      <w:bookmarkStart w:id="27" w:name="_Toc13577408"/>
      <w:bookmarkEnd w:id="14"/>
      <w:r>
        <w:lastRenderedPageBreak/>
        <w:t>Quorum</w:t>
      </w:r>
      <w:bookmarkEnd w:id="23"/>
      <w:bookmarkEnd w:id="24"/>
      <w:bookmarkEnd w:id="25"/>
      <w:bookmarkEnd w:id="26"/>
      <w:bookmarkEnd w:id="27"/>
    </w:p>
    <w:p w:rsidR="00CC1FD3" w:rsidRDefault="00CC1FD3" w:rsidP="00B372F9">
      <w:pPr>
        <w:ind w:left="360"/>
      </w:pPr>
      <w:r w:rsidRPr="000E54AD">
        <w:t xml:space="preserve">To </w:t>
      </w:r>
      <w:r w:rsidR="00090EB1">
        <w:t>enable a PLAC meeting to occur</w:t>
      </w:r>
      <w:r w:rsidRPr="000E54AD">
        <w:t xml:space="preserve"> and for decisions to be </w:t>
      </w:r>
      <w:r w:rsidR="00C20ED5">
        <w:t>made</w:t>
      </w:r>
      <w:r w:rsidR="00090EB1">
        <w:t>,</w:t>
      </w:r>
      <w:r w:rsidR="00C20ED5">
        <w:t xml:space="preserve"> </w:t>
      </w:r>
      <w:r w:rsidRPr="000E54AD">
        <w:t xml:space="preserve">a quorum </w:t>
      </w:r>
      <w:r w:rsidR="00C20ED5">
        <w:t>must be present at all meetings.</w:t>
      </w:r>
      <w:r w:rsidR="00670019">
        <w:t xml:space="preserve"> </w:t>
      </w:r>
    </w:p>
    <w:p w:rsidR="00C20ED5" w:rsidRDefault="00C20ED5" w:rsidP="00B372F9">
      <w:pPr>
        <w:ind w:left="360"/>
      </w:pPr>
      <w:r>
        <w:t xml:space="preserve">For </w:t>
      </w:r>
      <w:r w:rsidR="00E92A92">
        <w:t>business relating to making recommendations on listings and benefits for prostheses,</w:t>
      </w:r>
      <w:r w:rsidR="00090EB1">
        <w:t xml:space="preserve"> a quorum </w:t>
      </w:r>
      <w:r w:rsidR="00B72E6C">
        <w:t>consist</w:t>
      </w:r>
      <w:r w:rsidR="00090EB1">
        <w:t>s</w:t>
      </w:r>
      <w:r w:rsidR="000467FE">
        <w:t xml:space="preserve"> of half the </w:t>
      </w:r>
      <w:r w:rsidR="00742E20">
        <w:t>expert</w:t>
      </w:r>
      <w:r w:rsidR="000467FE">
        <w:t xml:space="preserve"> members. The Chair (or their alternative) must also be present.</w:t>
      </w:r>
    </w:p>
    <w:p w:rsidR="00B72E6C" w:rsidRPr="00CC710D" w:rsidRDefault="00B72E6C" w:rsidP="00B372F9">
      <w:pPr>
        <w:spacing w:after="480"/>
        <w:ind w:left="360"/>
      </w:pPr>
      <w:r w:rsidRPr="00CC710D">
        <w:t>For</w:t>
      </w:r>
      <w:r w:rsidR="00E92A92" w:rsidRPr="00CC710D">
        <w:t xml:space="preserve"> business relating to r</w:t>
      </w:r>
      <w:r w:rsidRPr="00CC710D">
        <w:t>eform deliberations</w:t>
      </w:r>
      <w:r w:rsidR="00E92A92" w:rsidRPr="00CC710D">
        <w:t>,</w:t>
      </w:r>
      <w:r w:rsidRPr="00CC710D">
        <w:t xml:space="preserve"> </w:t>
      </w:r>
      <w:r w:rsidR="000467FE">
        <w:t>any advice developed by the PLAC will be circulated by the Secretariat to absent members and comments noted.</w:t>
      </w:r>
    </w:p>
    <w:p w:rsidR="001F4993" w:rsidRDefault="000467FE" w:rsidP="001F4993">
      <w:pPr>
        <w:pStyle w:val="Heading1"/>
      </w:pPr>
      <w:bookmarkStart w:id="28" w:name="_Toc462243717"/>
      <w:bookmarkStart w:id="29" w:name="_Toc5375798"/>
      <w:bookmarkStart w:id="30" w:name="_Toc13577409"/>
      <w:r>
        <w:t xml:space="preserve">Resolving </w:t>
      </w:r>
      <w:r w:rsidR="004E463A">
        <w:t xml:space="preserve">Matters and </w:t>
      </w:r>
      <w:r>
        <w:t>Issues</w:t>
      </w:r>
      <w:bookmarkEnd w:id="28"/>
      <w:bookmarkEnd w:id="29"/>
      <w:bookmarkEnd w:id="30"/>
    </w:p>
    <w:p w:rsidR="00337A32" w:rsidRDefault="00337A32" w:rsidP="00B372F9">
      <w:pPr>
        <w:spacing w:after="120"/>
        <w:ind w:left="360"/>
        <w:rPr>
          <w:rFonts w:cs="Arial"/>
          <w:lang w:val="en-US"/>
        </w:rPr>
      </w:pPr>
      <w:r>
        <w:rPr>
          <w:rFonts w:cs="Arial"/>
          <w:lang w:val="en-US"/>
        </w:rPr>
        <w:t>As</w:t>
      </w:r>
      <w:r w:rsidR="00090EB1">
        <w:rPr>
          <w:rFonts w:cs="Arial"/>
          <w:lang w:val="en-US"/>
        </w:rPr>
        <w:t xml:space="preserve"> far as practical, </w:t>
      </w:r>
      <w:r w:rsidR="00E92A92">
        <w:rPr>
          <w:rFonts w:cs="Arial"/>
          <w:lang w:val="en-US"/>
        </w:rPr>
        <w:t xml:space="preserve">recommendations on applications to list devices </w:t>
      </w:r>
      <w:r w:rsidR="00B97426">
        <w:rPr>
          <w:rFonts w:cs="Arial"/>
          <w:lang w:val="en-US"/>
        </w:rPr>
        <w:t xml:space="preserve">and other </w:t>
      </w:r>
      <w:r w:rsidR="00090EB1">
        <w:rPr>
          <w:rFonts w:cs="Arial"/>
          <w:lang w:val="en-US"/>
        </w:rPr>
        <w:t>matters</w:t>
      </w:r>
      <w:r w:rsidR="00B97426">
        <w:rPr>
          <w:rFonts w:cs="Arial"/>
          <w:lang w:val="en-US"/>
        </w:rPr>
        <w:t xml:space="preserve"> relating to listing of devices on the Prostheses List will be made by consensus of the expert members.</w:t>
      </w:r>
    </w:p>
    <w:p w:rsidR="00B97426" w:rsidRDefault="00B97426" w:rsidP="00B372F9">
      <w:pPr>
        <w:spacing w:after="480"/>
        <w:ind w:left="360"/>
        <w:rPr>
          <w:rFonts w:cs="Arial"/>
          <w:lang w:val="en-US"/>
        </w:rPr>
      </w:pPr>
      <w:r>
        <w:rPr>
          <w:rFonts w:cs="Arial"/>
          <w:lang w:val="en-US"/>
        </w:rPr>
        <w:t xml:space="preserve">Where the members cannot arrive at a consensus position, a vote will be taken and the matter or issue decided by a simple majority.  </w:t>
      </w:r>
      <w:r w:rsidR="00CC710D">
        <w:rPr>
          <w:rFonts w:cs="Arial"/>
          <w:lang w:val="en-US"/>
        </w:rPr>
        <w:t xml:space="preserve">Expert members only will vote on matters relating to listing of devices.  </w:t>
      </w:r>
      <w:r>
        <w:rPr>
          <w:rFonts w:cs="Arial"/>
          <w:lang w:val="en-US"/>
        </w:rPr>
        <w:t>In the event of a tied vote, the Chair will cast the deciding vote.</w:t>
      </w:r>
    </w:p>
    <w:p w:rsidR="00E13F5E" w:rsidRDefault="00045315" w:rsidP="00E13F5E">
      <w:pPr>
        <w:pStyle w:val="Heading1"/>
      </w:pPr>
      <w:bookmarkStart w:id="31" w:name="_Toc462243718"/>
      <w:bookmarkStart w:id="32" w:name="_Toc5375799"/>
      <w:bookmarkStart w:id="33" w:name="_Toc13577410"/>
      <w:r>
        <w:t>Referral of PLAC Business</w:t>
      </w:r>
      <w:bookmarkEnd w:id="31"/>
      <w:bookmarkEnd w:id="32"/>
      <w:bookmarkEnd w:id="33"/>
    </w:p>
    <w:p w:rsidR="00E13F5E" w:rsidRPr="0067466B" w:rsidRDefault="00013E81" w:rsidP="00B372F9">
      <w:pPr>
        <w:ind w:left="360"/>
        <w:rPr>
          <w:rFonts w:cs="Arial"/>
          <w:lang w:val="en-US"/>
        </w:rPr>
      </w:pPr>
      <w:r>
        <w:rPr>
          <w:rFonts w:cs="Arial"/>
          <w:lang w:val="en-US"/>
        </w:rPr>
        <w:t xml:space="preserve">The PLAC will </w:t>
      </w:r>
      <w:r w:rsidR="0026539D">
        <w:rPr>
          <w:rFonts w:cs="Arial"/>
          <w:lang w:val="en-US"/>
        </w:rPr>
        <w:t>initiate and receive referrals of PLAC business with the Clinical Advisory Groups (CAGs), the Panel of Clinical Experts (P</w:t>
      </w:r>
      <w:r w:rsidR="00AD6704">
        <w:rPr>
          <w:rFonts w:cs="Arial"/>
          <w:lang w:val="en-US"/>
        </w:rPr>
        <w:t>anel</w:t>
      </w:r>
      <w:r w:rsidR="0026539D">
        <w:rPr>
          <w:rFonts w:cs="Arial"/>
          <w:lang w:val="en-US"/>
        </w:rPr>
        <w:t>), Health Economics Sub-Committee</w:t>
      </w:r>
      <w:r w:rsidR="00A467E8">
        <w:rPr>
          <w:rFonts w:cs="Arial"/>
          <w:lang w:val="en-US"/>
        </w:rPr>
        <w:t xml:space="preserve"> (HESC)</w:t>
      </w:r>
      <w:r w:rsidR="0026539D">
        <w:rPr>
          <w:rFonts w:cs="Arial"/>
          <w:lang w:val="en-US"/>
        </w:rPr>
        <w:t>, the Therapeutic Goods Administration</w:t>
      </w:r>
      <w:r w:rsidR="00A467E8">
        <w:rPr>
          <w:rFonts w:cs="Arial"/>
          <w:lang w:val="en-US"/>
        </w:rPr>
        <w:t xml:space="preserve"> (TGA)</w:t>
      </w:r>
      <w:r w:rsidR="0026539D">
        <w:rPr>
          <w:rFonts w:cs="Arial"/>
          <w:lang w:val="en-US"/>
        </w:rPr>
        <w:t>, Medical Services Advisory Committee</w:t>
      </w:r>
      <w:r w:rsidR="00A467E8">
        <w:rPr>
          <w:rFonts w:cs="Arial"/>
          <w:lang w:val="en-US"/>
        </w:rPr>
        <w:t xml:space="preserve"> (MSAC)</w:t>
      </w:r>
      <w:r w:rsidR="0026539D">
        <w:rPr>
          <w:rFonts w:cs="Arial"/>
          <w:lang w:val="en-US"/>
        </w:rPr>
        <w:t xml:space="preserve">, and the Pharmaceutical </w:t>
      </w:r>
      <w:r w:rsidR="0026539D" w:rsidRPr="0067466B">
        <w:rPr>
          <w:rFonts w:cs="Arial"/>
          <w:lang w:val="en-US"/>
        </w:rPr>
        <w:t>Benefits Advisory Committee</w:t>
      </w:r>
      <w:r w:rsidR="00A467E8" w:rsidRPr="0067466B">
        <w:rPr>
          <w:rFonts w:cs="Arial"/>
          <w:lang w:val="en-US"/>
        </w:rPr>
        <w:t xml:space="preserve"> (PBAC)</w:t>
      </w:r>
      <w:r w:rsidR="00414F64" w:rsidRPr="0067466B">
        <w:rPr>
          <w:rFonts w:cs="Arial"/>
          <w:lang w:val="en-US"/>
        </w:rPr>
        <w:t>.</w:t>
      </w:r>
    </w:p>
    <w:p w:rsidR="00414F64" w:rsidRDefault="00414F64" w:rsidP="00B372F9">
      <w:pPr>
        <w:spacing w:after="480"/>
        <w:ind w:left="360"/>
        <w:rPr>
          <w:rFonts w:cs="Arial"/>
          <w:lang w:val="en-US"/>
        </w:rPr>
      </w:pPr>
      <w:r w:rsidRPr="0067466B">
        <w:rPr>
          <w:rFonts w:cs="Arial"/>
          <w:lang w:val="en-US"/>
        </w:rPr>
        <w:t xml:space="preserve">When the PLAC seeks advice on, or discusses an application with, the CAG or a member of the Panel, all members of the CAG or Panel with relevant expertise will be included in the </w:t>
      </w:r>
      <w:r w:rsidR="005E6253" w:rsidRPr="0067466B">
        <w:rPr>
          <w:rFonts w:cs="Arial"/>
          <w:lang w:val="en-US"/>
        </w:rPr>
        <w:t>preparation of advice.</w:t>
      </w:r>
    </w:p>
    <w:p w:rsidR="004E49F5" w:rsidRPr="00D03CCD" w:rsidRDefault="004E49F5" w:rsidP="00993D72">
      <w:pPr>
        <w:pStyle w:val="Heading1"/>
      </w:pPr>
      <w:bookmarkStart w:id="34" w:name="MEETING"/>
      <w:bookmarkStart w:id="35" w:name="_Toc460942219"/>
      <w:bookmarkStart w:id="36" w:name="_Toc462138136"/>
      <w:bookmarkStart w:id="37" w:name="_Toc462243719"/>
      <w:bookmarkStart w:id="38" w:name="_Toc5375800"/>
      <w:bookmarkStart w:id="39" w:name="_Toc13577411"/>
      <w:r w:rsidRPr="00D03CCD">
        <w:t>Meeting Arrangements</w:t>
      </w:r>
      <w:bookmarkEnd w:id="34"/>
      <w:bookmarkEnd w:id="35"/>
      <w:bookmarkEnd w:id="36"/>
      <w:bookmarkEnd w:id="37"/>
      <w:bookmarkEnd w:id="38"/>
      <w:bookmarkEnd w:id="39"/>
    </w:p>
    <w:p w:rsidR="00CD1923" w:rsidRPr="000E54AD" w:rsidRDefault="00E13F5E" w:rsidP="00B372F9">
      <w:pPr>
        <w:pStyle w:val="Heading2"/>
        <w:ind w:left="360"/>
      </w:pPr>
      <w:bookmarkStart w:id="40" w:name="_Toc460942220"/>
      <w:bookmarkStart w:id="41" w:name="_Toc13577412"/>
      <w:r>
        <w:t>8</w:t>
      </w:r>
      <w:r w:rsidR="00782A3F" w:rsidRPr="000E54AD">
        <w:t xml:space="preserve">.1 </w:t>
      </w:r>
      <w:r w:rsidR="00BB022A">
        <w:t xml:space="preserve">Frequency, attendance and </w:t>
      </w:r>
      <w:r w:rsidR="00CD1923" w:rsidRPr="000E54AD">
        <w:t>costs</w:t>
      </w:r>
      <w:bookmarkEnd w:id="40"/>
      <w:bookmarkEnd w:id="41"/>
    </w:p>
    <w:p w:rsidR="00337A32" w:rsidRDefault="00333E63" w:rsidP="00B372F9">
      <w:pPr>
        <w:ind w:left="360"/>
      </w:pPr>
      <w:r w:rsidRPr="000E54AD">
        <w:t xml:space="preserve">The </w:t>
      </w:r>
      <w:r w:rsidR="000B595B" w:rsidRPr="000E54AD">
        <w:t>P</w:t>
      </w:r>
      <w:r w:rsidRPr="000E54AD">
        <w:t>LA</w:t>
      </w:r>
      <w:r w:rsidR="000B595B" w:rsidRPr="000E54AD">
        <w:t>C</w:t>
      </w:r>
      <w:r w:rsidR="004E49F5" w:rsidRPr="000E54AD">
        <w:t xml:space="preserve"> will meet</w:t>
      </w:r>
      <w:r w:rsidR="000467FE">
        <w:t xml:space="preserve"> either</w:t>
      </w:r>
      <w:r w:rsidR="0067276C">
        <w:t xml:space="preserve"> face to </w:t>
      </w:r>
      <w:r w:rsidR="0067276C" w:rsidRPr="00337A32">
        <w:t>face</w:t>
      </w:r>
      <w:r w:rsidR="000467FE">
        <w:t xml:space="preserve"> or by teleconference</w:t>
      </w:r>
      <w:r w:rsidR="004E49F5" w:rsidRPr="00337A32">
        <w:t xml:space="preserve"> </w:t>
      </w:r>
      <w:r w:rsidR="00B97426">
        <w:t>as required</w:t>
      </w:r>
      <w:r w:rsidR="005237D3">
        <w:t xml:space="preserve"> to</w:t>
      </w:r>
      <w:r w:rsidR="00337A32">
        <w:t xml:space="preserve"> address PLAC business.</w:t>
      </w:r>
      <w:r w:rsidR="0067276C" w:rsidRPr="0067276C">
        <w:t xml:space="preserve"> </w:t>
      </w:r>
      <w:r w:rsidR="0067276C">
        <w:t>Business may al</w:t>
      </w:r>
      <w:r w:rsidR="00337A32">
        <w:t>so be conducted out-of-session.</w:t>
      </w:r>
    </w:p>
    <w:p w:rsidR="00121EAD" w:rsidRPr="000E54AD" w:rsidRDefault="004E49F5" w:rsidP="00B372F9">
      <w:pPr>
        <w:ind w:left="360"/>
      </w:pPr>
      <w:r w:rsidRPr="000E54AD">
        <w:t xml:space="preserve">Members will agree </w:t>
      </w:r>
      <w:r w:rsidR="002B1FE3">
        <w:t xml:space="preserve">to </w:t>
      </w:r>
      <w:r w:rsidRPr="000E54AD">
        <w:t xml:space="preserve">the </w:t>
      </w:r>
      <w:r w:rsidR="000B595B" w:rsidRPr="000E54AD">
        <w:t>schedule</w:t>
      </w:r>
      <w:r w:rsidRPr="000E54AD">
        <w:t xml:space="preserve"> of meeting dates</w:t>
      </w:r>
      <w:r w:rsidR="0067276C">
        <w:t xml:space="preserve"> </w:t>
      </w:r>
      <w:r w:rsidR="005237D3">
        <w:t>for each calendar year</w:t>
      </w:r>
      <w:r w:rsidR="0067276C">
        <w:t xml:space="preserve">. </w:t>
      </w:r>
      <w:r w:rsidR="00CD1923" w:rsidRPr="000E54AD">
        <w:t>The meeting</w:t>
      </w:r>
      <w:r w:rsidR="000172E0">
        <w:t xml:space="preserve"> location and</w:t>
      </w:r>
      <w:r w:rsidR="00CD1923" w:rsidRPr="000E54AD">
        <w:t xml:space="preserve"> venue will be arranged by the </w:t>
      </w:r>
      <w:r w:rsidR="00090EB1">
        <w:t>S</w:t>
      </w:r>
      <w:r w:rsidR="00CD1923" w:rsidRPr="000E54AD">
        <w:t>ecret</w:t>
      </w:r>
      <w:r w:rsidR="00090EB1">
        <w:t>ariat at the discretion of the C</w:t>
      </w:r>
      <w:r w:rsidR="00C90907">
        <w:t>hair.</w:t>
      </w:r>
      <w:r w:rsidR="00394A9B">
        <w:t xml:space="preserve"> </w:t>
      </w:r>
    </w:p>
    <w:p w:rsidR="00B372F9" w:rsidRDefault="00467C8B" w:rsidP="00B372F9">
      <w:pPr>
        <w:ind w:left="360"/>
      </w:pPr>
      <w:r w:rsidRPr="000E54AD">
        <w:t>The Department will meet the cost</w:t>
      </w:r>
      <w:r w:rsidR="00A60A6B">
        <w:t>s</w:t>
      </w:r>
      <w:r w:rsidRPr="000E54AD">
        <w:t xml:space="preserve"> of the</w:t>
      </w:r>
      <w:r w:rsidR="00A60A6B">
        <w:t xml:space="preserve"> meeting and </w:t>
      </w:r>
      <w:r w:rsidRPr="000E54AD">
        <w:t xml:space="preserve">participation of </w:t>
      </w:r>
      <w:r w:rsidR="00090EB1">
        <w:t>the C</w:t>
      </w:r>
      <w:r w:rsidR="00A14702">
        <w:t xml:space="preserve">hair and </w:t>
      </w:r>
      <w:r w:rsidR="00090EB1">
        <w:t>M</w:t>
      </w:r>
      <w:r>
        <w:t>embers of the committee</w:t>
      </w:r>
      <w:r w:rsidR="00A60A6B">
        <w:t>, including travel, accommodation and some meals</w:t>
      </w:r>
      <w:r w:rsidR="001712A1">
        <w:t xml:space="preserve">. Arrangements regarding travel </w:t>
      </w:r>
      <w:r w:rsidR="007C7613">
        <w:t>are defined</w:t>
      </w:r>
      <w:r w:rsidR="001712A1">
        <w:t xml:space="preserve"> in the PLAC Member Guidelines. </w:t>
      </w:r>
    </w:p>
    <w:p w:rsidR="007746D5" w:rsidRPr="0067466B" w:rsidRDefault="00B372F9" w:rsidP="00B372F9">
      <w:pPr>
        <w:ind w:left="360"/>
        <w:rPr>
          <w:rFonts w:cs="Arial"/>
          <w:b/>
        </w:rPr>
      </w:pPr>
      <w:r>
        <w:br w:type="page"/>
      </w:r>
      <w:bookmarkStart w:id="42" w:name="_Toc460942221"/>
      <w:r w:rsidR="00E13F5E" w:rsidRPr="00B372F9">
        <w:rPr>
          <w:rFonts w:cs="Arial"/>
          <w:b/>
        </w:rPr>
        <w:lastRenderedPageBreak/>
        <w:t>8</w:t>
      </w:r>
      <w:r w:rsidR="00782A3F" w:rsidRPr="0067466B">
        <w:rPr>
          <w:rFonts w:cs="Arial"/>
          <w:b/>
        </w:rPr>
        <w:t>.2 Agenda, meeting papers</w:t>
      </w:r>
      <w:r w:rsidR="00BB022A" w:rsidRPr="0067466B">
        <w:rPr>
          <w:rFonts w:cs="Arial"/>
          <w:b/>
        </w:rPr>
        <w:t xml:space="preserve"> and </w:t>
      </w:r>
      <w:bookmarkEnd w:id="42"/>
      <w:r w:rsidR="00827B3B" w:rsidRPr="0067466B">
        <w:rPr>
          <w:rFonts w:cs="Arial"/>
          <w:b/>
        </w:rPr>
        <w:t>record of meeting</w:t>
      </w:r>
    </w:p>
    <w:p w:rsidR="00123B79" w:rsidRPr="0067466B" w:rsidRDefault="00FC2E62" w:rsidP="00B372F9">
      <w:pPr>
        <w:ind w:left="360"/>
      </w:pPr>
      <w:r w:rsidRPr="0067466B">
        <w:t xml:space="preserve">The </w:t>
      </w:r>
      <w:r w:rsidR="007C7613" w:rsidRPr="0067466B">
        <w:t>S</w:t>
      </w:r>
      <w:r w:rsidR="00A60A6B" w:rsidRPr="0067466B">
        <w:t xml:space="preserve">ecretariat </w:t>
      </w:r>
      <w:r w:rsidR="009473AA" w:rsidRPr="0067466B">
        <w:t xml:space="preserve">will develop meeting </w:t>
      </w:r>
      <w:r w:rsidR="00123B79" w:rsidRPr="0067466B">
        <w:t>a</w:t>
      </w:r>
      <w:r w:rsidR="001712A1" w:rsidRPr="0067466B">
        <w:t>genda</w:t>
      </w:r>
      <w:r w:rsidRPr="0067466B">
        <w:t>s</w:t>
      </w:r>
      <w:r w:rsidR="00A60A6B" w:rsidRPr="0067466B">
        <w:t xml:space="preserve"> in consultation with the Chair.</w:t>
      </w:r>
      <w:r w:rsidR="001712A1" w:rsidRPr="0067466B">
        <w:t xml:space="preserve">  </w:t>
      </w:r>
    </w:p>
    <w:p w:rsidR="007D5500" w:rsidRDefault="00123B79" w:rsidP="00B372F9">
      <w:pPr>
        <w:ind w:left="360"/>
      </w:pPr>
      <w:r w:rsidRPr="0067466B">
        <w:t xml:space="preserve">The Secretariat will circulate meeting papers to members </w:t>
      </w:r>
      <w:r w:rsidR="00FC2E62" w:rsidRPr="0067466B">
        <w:t>electronically</w:t>
      </w:r>
      <w:r w:rsidR="00E02B57" w:rsidRPr="0067466B">
        <w:t xml:space="preserve"> via </w:t>
      </w:r>
      <w:r w:rsidR="00AD6704" w:rsidRPr="0067466B">
        <w:t>SharePoint (</w:t>
      </w:r>
      <w:r w:rsidR="00A467E8" w:rsidRPr="0067466B">
        <w:rPr>
          <w:i/>
        </w:rPr>
        <w:t>Office 365</w:t>
      </w:r>
      <w:r w:rsidR="00AD6704" w:rsidRPr="0067466B">
        <w:rPr>
          <w:i/>
        </w:rPr>
        <w:t>)</w:t>
      </w:r>
      <w:r w:rsidR="00A467E8" w:rsidRPr="0067466B">
        <w:t xml:space="preserve"> two </w:t>
      </w:r>
      <w:r w:rsidR="00E02B57" w:rsidRPr="0067466B">
        <w:t>(</w:t>
      </w:r>
      <w:r w:rsidR="00A467E8" w:rsidRPr="0067466B">
        <w:t>2</w:t>
      </w:r>
      <w:r w:rsidR="00E02B57" w:rsidRPr="0067466B">
        <w:t xml:space="preserve">) </w:t>
      </w:r>
      <w:r w:rsidR="007D5500" w:rsidRPr="0067466B">
        <w:t>calendar week</w:t>
      </w:r>
      <w:r w:rsidR="00A467E8" w:rsidRPr="0067466B">
        <w:t>s</w:t>
      </w:r>
      <w:r w:rsidR="007D5500" w:rsidRPr="0067466B">
        <w:t xml:space="preserve"> </w:t>
      </w:r>
      <w:r w:rsidR="00FC2E62" w:rsidRPr="0067466B">
        <w:t>prior to a</w:t>
      </w:r>
      <w:r w:rsidR="00E02B57" w:rsidRPr="0067466B">
        <w:t xml:space="preserve"> meeting.</w:t>
      </w:r>
      <w:r w:rsidR="00A60A6B" w:rsidRPr="0067466B">
        <w:t xml:space="preserve"> The </w:t>
      </w:r>
      <w:r w:rsidRPr="0067466B">
        <w:t>S</w:t>
      </w:r>
      <w:r w:rsidR="00A60A6B" w:rsidRPr="0067466B">
        <w:t>ecretariat will alert Members via email wh</w:t>
      </w:r>
      <w:r w:rsidR="000467FE" w:rsidRPr="0067466B">
        <w:t>en meeting papers are available or delays in circulation of papers occur.</w:t>
      </w:r>
      <w:r w:rsidR="000467FE">
        <w:t xml:space="preserve"> </w:t>
      </w:r>
    </w:p>
    <w:p w:rsidR="0092467E" w:rsidRDefault="00744EBB" w:rsidP="00B372F9">
      <w:pPr>
        <w:ind w:left="360"/>
      </w:pPr>
      <w:r>
        <w:t>Members are required to bring and utilise their own devices at each meeting.</w:t>
      </w:r>
      <w:r w:rsidR="007D5500">
        <w:t xml:space="preserve">  </w:t>
      </w:r>
    </w:p>
    <w:p w:rsidR="00123B79" w:rsidRDefault="00123B79" w:rsidP="00B372F9">
      <w:pPr>
        <w:ind w:left="360"/>
      </w:pPr>
      <w:r>
        <w:t xml:space="preserve">The Secretariat will draft the meeting </w:t>
      </w:r>
      <w:r w:rsidR="00827B3B">
        <w:t>Record of meeting</w:t>
      </w:r>
      <w:r>
        <w:t xml:space="preserve">, including a list of action items.  The PLAC Chair will clear the draft meeting </w:t>
      </w:r>
      <w:r w:rsidR="00827B3B">
        <w:t>Record of meeting</w:t>
      </w:r>
      <w:r>
        <w:t>.</w:t>
      </w:r>
    </w:p>
    <w:p w:rsidR="00123B79" w:rsidRPr="00123B79" w:rsidRDefault="00123B79" w:rsidP="00B372F9">
      <w:pPr>
        <w:ind w:left="360"/>
      </w:pPr>
      <w:r>
        <w:t xml:space="preserve">The Secretariat will circulate the draft meeting </w:t>
      </w:r>
      <w:r w:rsidR="00827B3B">
        <w:t>Record of meeting</w:t>
      </w:r>
      <w:r>
        <w:t xml:space="preserve"> to members for comments and/ or suggested corrections electronically via </w:t>
      </w:r>
      <w:r w:rsidR="00AD6704">
        <w:t xml:space="preserve">SharePoint </w:t>
      </w:r>
      <w:r>
        <w:t xml:space="preserve">within </w:t>
      </w:r>
      <w:r w:rsidR="007D5500">
        <w:t>one (1) calendar week</w:t>
      </w:r>
      <w:r>
        <w:t xml:space="preserve"> following the meeting.</w:t>
      </w:r>
      <w:r w:rsidR="00F10129">
        <w:t xml:space="preserve">  Should members experience any technical difficulties accessing</w:t>
      </w:r>
      <w:r w:rsidR="00AD6704">
        <w:t xml:space="preserve"> SharePoint</w:t>
      </w:r>
      <w:r w:rsidR="00F10129">
        <w:t xml:space="preserve">, notification </w:t>
      </w:r>
      <w:r w:rsidR="00F154D1">
        <w:t xml:space="preserve">of the technical issues </w:t>
      </w:r>
      <w:r w:rsidR="00F10129">
        <w:t>should be sent to the PLAC Secretariat as soon as practicable</w:t>
      </w:r>
      <w:r w:rsidR="00F154D1">
        <w:t>.</w:t>
      </w:r>
      <w:r w:rsidR="00F10129">
        <w:t xml:space="preserve"> </w:t>
      </w:r>
    </w:p>
    <w:p w:rsidR="00E02B57" w:rsidRDefault="00722E96" w:rsidP="00B372F9">
      <w:pPr>
        <w:ind w:left="360"/>
      </w:pPr>
      <w:r>
        <w:t>The Chair will review c</w:t>
      </w:r>
      <w:r w:rsidR="000172E0">
        <w:t>omments and s</w:t>
      </w:r>
      <w:r w:rsidR="00E02B57">
        <w:t>ug</w:t>
      </w:r>
      <w:r w:rsidR="007C7613">
        <w:t xml:space="preserve">gested </w:t>
      </w:r>
      <w:r w:rsidR="00123B79">
        <w:t>corrections</w:t>
      </w:r>
      <w:r w:rsidR="007C7613">
        <w:t xml:space="preserve"> to the draft </w:t>
      </w:r>
      <w:r w:rsidR="00827B3B">
        <w:t>Record of meeting</w:t>
      </w:r>
      <w:r>
        <w:t>.</w:t>
      </w:r>
      <w:r w:rsidR="00E02B57">
        <w:t xml:space="preserve"> </w:t>
      </w:r>
      <w:r w:rsidR="007C7613">
        <w:t xml:space="preserve">The draft </w:t>
      </w:r>
      <w:r w:rsidR="00827B3B">
        <w:t>Record of meeting</w:t>
      </w:r>
      <w:r w:rsidR="00E02B57">
        <w:t xml:space="preserve"> will be </w:t>
      </w:r>
      <w:r w:rsidR="007C7613">
        <w:t>tabled for acceptance</w:t>
      </w:r>
      <w:r w:rsidR="00E02B57">
        <w:t xml:space="preserve"> by the PLAC at the next</w:t>
      </w:r>
      <w:r w:rsidR="000172E0">
        <w:t xml:space="preserve"> scheduled </w:t>
      </w:r>
      <w:r w:rsidR="00E02B57">
        <w:t>meeting</w:t>
      </w:r>
      <w:r w:rsidR="007C7613">
        <w:t>,</w:t>
      </w:r>
      <w:r w:rsidR="00E02B57">
        <w:t xml:space="preserve"> and </w:t>
      </w:r>
      <w:r w:rsidR="00123B79">
        <w:t>circulat</w:t>
      </w:r>
      <w:r w:rsidR="00E02B57">
        <w:t xml:space="preserve">ed via </w:t>
      </w:r>
      <w:r w:rsidR="00AD6704">
        <w:t xml:space="preserve">SharePoint </w:t>
      </w:r>
      <w:r w:rsidR="009E1DD4">
        <w:t>once finalised.</w:t>
      </w:r>
    </w:p>
    <w:p w:rsidR="000467FE" w:rsidRDefault="000467FE" w:rsidP="00B372F9">
      <w:pPr>
        <w:ind w:left="360"/>
      </w:pPr>
      <w:r>
        <w:t>The Secretariat will follow up on action</w:t>
      </w:r>
      <w:r w:rsidR="00F154D1">
        <w:t xml:space="preserve"> arising</w:t>
      </w:r>
      <w:r>
        <w:t xml:space="preserve"> </w:t>
      </w:r>
      <w:r w:rsidR="00F154D1">
        <w:t>three (3) weeks prior to each meeting</w:t>
      </w:r>
      <w:r>
        <w:t xml:space="preserve"> to </w:t>
      </w:r>
      <w:r w:rsidR="00F154D1">
        <w:t>support</w:t>
      </w:r>
      <w:r>
        <w:t xml:space="preserve"> progress.</w:t>
      </w:r>
    </w:p>
    <w:p w:rsidR="00827B3B" w:rsidRDefault="00827B3B" w:rsidP="00B372F9">
      <w:pPr>
        <w:ind w:left="360"/>
      </w:pPr>
      <w:r>
        <w:t>When a member notifies an inability to attend for all or part of a meeting, the Secretariat will liaise with the member to inquire if they have any comments on the agenda papers or other business they would like the Secretariat to table on their behalf.</w:t>
      </w:r>
    </w:p>
    <w:p w:rsidR="00B713FA" w:rsidRDefault="00B713FA" w:rsidP="00B372F9">
      <w:pPr>
        <w:pStyle w:val="Heading2"/>
        <w:ind w:left="360"/>
      </w:pPr>
      <w:bookmarkStart w:id="43" w:name="_Toc13577413"/>
      <w:r>
        <w:t>8</w:t>
      </w:r>
      <w:r w:rsidRPr="000E54AD">
        <w:t>.</w:t>
      </w:r>
      <w:r w:rsidR="004B6510">
        <w:t>3</w:t>
      </w:r>
      <w:r w:rsidRPr="000E54AD">
        <w:t xml:space="preserve"> </w:t>
      </w:r>
      <w:r w:rsidR="004B6510">
        <w:t>Out-of-session feedback process</w:t>
      </w:r>
      <w:bookmarkEnd w:id="43"/>
    </w:p>
    <w:p w:rsidR="00B713FA" w:rsidRDefault="004B6510" w:rsidP="00B372F9">
      <w:pPr>
        <w:ind w:left="360"/>
      </w:pPr>
      <w:r>
        <w:t xml:space="preserve">In instances where the Secretariat circulates papers for feedback or calls for input as an out-of-session action, members are required to respond within the timeframe </w:t>
      </w:r>
      <w:r w:rsidR="004C28C0">
        <w:t xml:space="preserve">identified in the email.  With the exception of urgent matters affecting the committee, the members will be provided with </w:t>
      </w:r>
      <w:r w:rsidR="000242D8">
        <w:t xml:space="preserve">five </w:t>
      </w:r>
      <w:r w:rsidR="004C28C0">
        <w:t>(</w:t>
      </w:r>
      <w:r w:rsidR="000242D8">
        <w:t>5</w:t>
      </w:r>
      <w:r w:rsidR="004C28C0">
        <w:t xml:space="preserve">) business days to respond. </w:t>
      </w:r>
      <w:r w:rsidR="000242D8">
        <w:t>After three (3) business days, the Secretariat will contact members to prompt them for a response.</w:t>
      </w:r>
      <w:r w:rsidR="004C28C0">
        <w:t xml:space="preserve"> Where no response is received, the member will be deemed to have accepted the paper as circulated, or where relevant to have provided a nil response.</w:t>
      </w:r>
    </w:p>
    <w:p w:rsidR="001712A1" w:rsidRPr="004B0665" w:rsidRDefault="001712A1" w:rsidP="004B0665">
      <w:pPr>
        <w:pStyle w:val="Heading1"/>
      </w:pPr>
      <w:bookmarkStart w:id="44" w:name="_Toc460942222"/>
      <w:bookmarkStart w:id="45" w:name="_Toc462138137"/>
      <w:bookmarkStart w:id="46" w:name="_Toc462243720"/>
      <w:bookmarkStart w:id="47" w:name="_Toc5375801"/>
      <w:bookmarkStart w:id="48" w:name="_Toc13577414"/>
      <w:r w:rsidRPr="004B0665">
        <w:t>Proxies</w:t>
      </w:r>
      <w:bookmarkEnd w:id="44"/>
      <w:bookmarkEnd w:id="45"/>
      <w:bookmarkEnd w:id="46"/>
      <w:bookmarkEnd w:id="47"/>
      <w:bookmarkEnd w:id="48"/>
    </w:p>
    <w:p w:rsidR="003570ED" w:rsidRDefault="009E1DD4" w:rsidP="00B372F9">
      <w:pPr>
        <w:ind w:left="360"/>
      </w:pPr>
      <w:r>
        <w:t>E</w:t>
      </w:r>
      <w:r w:rsidR="007C7613">
        <w:t>xpert M</w:t>
      </w:r>
      <w:r w:rsidR="00FC2E62">
        <w:t>embers</w:t>
      </w:r>
      <w:r w:rsidR="001712A1">
        <w:t xml:space="preserve"> are not permitted to</w:t>
      </w:r>
      <w:r w:rsidR="00570E0E">
        <w:t xml:space="preserve"> send proxies to</w:t>
      </w:r>
      <w:r w:rsidR="001712A1">
        <w:t xml:space="preserve"> attend PLAC meetings.</w:t>
      </w:r>
    </w:p>
    <w:p w:rsidR="003570ED" w:rsidRDefault="00570E0E" w:rsidP="00B372F9">
      <w:pPr>
        <w:ind w:left="360"/>
      </w:pPr>
      <w:r>
        <w:t xml:space="preserve">If an </w:t>
      </w:r>
      <w:r w:rsidR="007C7613">
        <w:t>Advisory M</w:t>
      </w:r>
      <w:r>
        <w:t>ember is unable to attend a meeting</w:t>
      </w:r>
      <w:r w:rsidR="00123B79">
        <w:t>,</w:t>
      </w:r>
      <w:r>
        <w:t xml:space="preserve"> he or she may send a proxy with the prior agreement of the Chair. A proxy Advisory Member will not be paid a sitting fee to attend a meeting, but the Secretariat may arrange travel and accommodation depending on the amount of notice given.</w:t>
      </w:r>
    </w:p>
    <w:p w:rsidR="001712A1" w:rsidRDefault="00570E0E" w:rsidP="00B372F9">
      <w:pPr>
        <w:spacing w:after="480"/>
        <w:ind w:left="360"/>
      </w:pPr>
      <w:r>
        <w:t>A proxy must complete a</w:t>
      </w:r>
      <w:r w:rsidR="007C7613">
        <w:t xml:space="preserve"> Deed of C</w:t>
      </w:r>
      <w:r w:rsidR="001712A1">
        <w:t>onfident</w:t>
      </w:r>
      <w:r w:rsidR="007C7613">
        <w:t>iality and</w:t>
      </w:r>
      <w:r>
        <w:t xml:space="preserve"> a declaration of</w:t>
      </w:r>
      <w:r w:rsidR="007C7613">
        <w:t xml:space="preserve"> Conflict of I</w:t>
      </w:r>
      <w:r w:rsidR="000467FE">
        <w:t>nterest prior to attending a meeting.</w:t>
      </w:r>
    </w:p>
    <w:p w:rsidR="004E463A" w:rsidRDefault="004E463A" w:rsidP="00B372F9">
      <w:pPr>
        <w:ind w:left="360"/>
      </w:pPr>
      <w:bookmarkStart w:id="49" w:name="_Toc460942223"/>
      <w:bookmarkStart w:id="50" w:name="_Toc462138138"/>
      <w:r>
        <w:lastRenderedPageBreak/>
        <w:t>The Chair may co-opt non PLAC members, from other departmental committees, with appropriate expertise to</w:t>
      </w:r>
      <w:r w:rsidR="00EA774D">
        <w:t xml:space="preserve"> present or</w:t>
      </w:r>
      <w:r>
        <w:t xml:space="preserve"> discuss relevant matters and contribute to meetings as required. These co-opted committee members will be remunerated according to their existing committee arrangements.</w:t>
      </w:r>
    </w:p>
    <w:p w:rsidR="00EA774D" w:rsidRDefault="00EA774D" w:rsidP="00B372F9">
      <w:pPr>
        <w:ind w:left="360"/>
      </w:pPr>
      <w:r>
        <w:t>The Chair may invite suitably qualified non PLAC members to present or discuss relevant matters and contribute to meetings as required</w:t>
      </w:r>
      <w:r w:rsidR="00742E20">
        <w:t>.  These invited presenters may</w:t>
      </w:r>
      <w:r>
        <w:t xml:space="preserve"> be remunerated according to PLAC Advisory Members remuneration arrangements.</w:t>
      </w:r>
    </w:p>
    <w:p w:rsidR="00EA774D" w:rsidRDefault="00EA774D" w:rsidP="00B372F9">
      <w:pPr>
        <w:ind w:left="360"/>
      </w:pPr>
      <w:r>
        <w:t>Observers may be invited to attend part or all of a meeting, with the prior approval of the Chair.  An Observer will not be entitled to remuneration, travel or accommodation.</w:t>
      </w:r>
    </w:p>
    <w:p w:rsidR="00EA774D" w:rsidRDefault="00EA774D" w:rsidP="00B372F9">
      <w:pPr>
        <w:spacing w:after="480"/>
        <w:ind w:left="360"/>
      </w:pPr>
      <w:r>
        <w:t>All Observers and Presenters must complete a Deed of Confidentiality and a declaration of Conflict of Interest prior to attending a meeting.</w:t>
      </w:r>
    </w:p>
    <w:p w:rsidR="0051072A" w:rsidRPr="00FA5D3A" w:rsidRDefault="0051072A" w:rsidP="004B0665">
      <w:pPr>
        <w:pStyle w:val="Heading1"/>
      </w:pPr>
      <w:bookmarkStart w:id="51" w:name="_Toc462243722"/>
      <w:bookmarkStart w:id="52" w:name="_Toc5375802"/>
      <w:bookmarkStart w:id="53" w:name="_Toc13577415"/>
      <w:r w:rsidRPr="00FA5D3A">
        <w:t>Conflict of Interest</w:t>
      </w:r>
      <w:bookmarkEnd w:id="49"/>
      <w:bookmarkEnd w:id="50"/>
      <w:bookmarkEnd w:id="51"/>
      <w:bookmarkEnd w:id="52"/>
      <w:bookmarkEnd w:id="53"/>
    </w:p>
    <w:p w:rsidR="00CC1FD3" w:rsidRDefault="00570E0E" w:rsidP="00B372F9">
      <w:pPr>
        <w:ind w:left="357"/>
      </w:pPr>
      <w:r>
        <w:t xml:space="preserve">The PLAC will comply with the </w:t>
      </w:r>
      <w:r w:rsidRPr="00BF67FF">
        <w:rPr>
          <w:i/>
        </w:rPr>
        <w:t xml:space="preserve">Department of Health advisory committee guidelines </w:t>
      </w:r>
      <w:r w:rsidR="00123B79" w:rsidRPr="00BF67FF">
        <w:rPr>
          <w:i/>
        </w:rPr>
        <w:t xml:space="preserve">on conflict of interest </w:t>
      </w:r>
      <w:r w:rsidRPr="00BF67FF">
        <w:rPr>
          <w:i/>
        </w:rPr>
        <w:t>for members</w:t>
      </w:r>
      <w:r w:rsidR="00123B79" w:rsidRPr="00BF67FF">
        <w:rPr>
          <w:i/>
        </w:rPr>
        <w:t xml:space="preserve"> and nominees</w:t>
      </w:r>
      <w:r w:rsidR="00123B79">
        <w:t>.</w:t>
      </w:r>
      <w:r w:rsidR="008A64A7">
        <w:t xml:space="preserve"> The Guidelines</w:t>
      </w:r>
      <w:r w:rsidR="00361A80">
        <w:t xml:space="preserve"> are an internal departmental document which</w:t>
      </w:r>
      <w:r w:rsidR="008A64A7">
        <w:t xml:space="preserve"> provide</w:t>
      </w:r>
      <w:r w:rsidR="00361A80">
        <w:t>s</w:t>
      </w:r>
      <w:r w:rsidR="008A64A7">
        <w:t xml:space="preserve"> the department, the Prostheses</w:t>
      </w:r>
      <w:r w:rsidR="00790B5B">
        <w:t xml:space="preserve"> List Advisory Committee and it</w:t>
      </w:r>
      <w:r w:rsidR="008A64A7">
        <w:t>s sub-committees with guidance relating to:</w:t>
      </w:r>
    </w:p>
    <w:p w:rsidR="008A64A7" w:rsidRDefault="008A64A7" w:rsidP="00B372F9">
      <w:pPr>
        <w:numPr>
          <w:ilvl w:val="0"/>
          <w:numId w:val="48"/>
        </w:numPr>
        <w:spacing w:after="60"/>
        <w:ind w:left="1071" w:hanging="357"/>
      </w:pPr>
      <w:r>
        <w:t>declaration of interest requirements;</w:t>
      </w:r>
    </w:p>
    <w:p w:rsidR="008A64A7" w:rsidRDefault="008A64A7" w:rsidP="00B372F9">
      <w:pPr>
        <w:numPr>
          <w:ilvl w:val="0"/>
          <w:numId w:val="48"/>
        </w:numPr>
        <w:spacing w:after="60"/>
        <w:ind w:left="1071" w:hanging="357"/>
      </w:pPr>
      <w:r>
        <w:t xml:space="preserve">the management by committees of members’ interests in relation to matters coming before the committee; and </w:t>
      </w:r>
    </w:p>
    <w:p w:rsidR="008A64A7" w:rsidRDefault="008A64A7" w:rsidP="00B372F9">
      <w:pPr>
        <w:numPr>
          <w:ilvl w:val="0"/>
          <w:numId w:val="48"/>
        </w:numPr>
        <w:spacing w:after="60"/>
        <w:ind w:left="1071" w:hanging="357"/>
      </w:pPr>
      <w:proofErr w:type="gramStart"/>
      <w:r>
        <w:t>members</w:t>
      </w:r>
      <w:proofErr w:type="gramEnd"/>
      <w:r>
        <w:t>’ obligations of confidentiality.</w:t>
      </w:r>
    </w:p>
    <w:p w:rsidR="00C1182F" w:rsidRDefault="00C1182F" w:rsidP="00B372F9">
      <w:pPr>
        <w:spacing w:before="120"/>
        <w:ind w:left="357"/>
      </w:pPr>
      <w:r>
        <w:t xml:space="preserve">The PLAC Chair and Members are regarded as part time office holders, as per the </w:t>
      </w:r>
      <w:r w:rsidR="00AD6704">
        <w:t xml:space="preserve">current </w:t>
      </w:r>
      <w:r>
        <w:t xml:space="preserve">Remuneration Tribunal </w:t>
      </w:r>
      <w:r w:rsidRPr="00AD6704">
        <w:t>Determination</w:t>
      </w:r>
      <w:r w:rsidR="00AD6704" w:rsidRPr="00AD6704">
        <w:t xml:space="preserve"> on</w:t>
      </w:r>
      <w:r w:rsidR="00AD6704">
        <w:rPr>
          <w:i/>
        </w:rPr>
        <w:t xml:space="preserve"> Remuneration and Allowances for Holders of Part-time Public Office</w:t>
      </w:r>
      <w:r>
        <w:t>.</w:t>
      </w:r>
    </w:p>
    <w:p w:rsidR="00361A80" w:rsidRPr="00361A80" w:rsidRDefault="00361A80" w:rsidP="00B372F9">
      <w:pPr>
        <w:pStyle w:val="Heading2"/>
        <w:ind w:left="357"/>
        <w:rPr>
          <w:rFonts w:ascii="Arial Bold" w:hAnsi="Arial Bold"/>
          <w:color w:val="003366"/>
          <w:sz w:val="28"/>
        </w:rPr>
      </w:pPr>
      <w:bookmarkStart w:id="54" w:name="_Toc13577416"/>
      <w:r w:rsidRPr="00361A80">
        <w:rPr>
          <w:rFonts w:ascii="Arial Bold" w:hAnsi="Arial Bold"/>
          <w:color w:val="003366"/>
          <w:sz w:val="28"/>
        </w:rPr>
        <w:t>Conflict Of Interest</w:t>
      </w:r>
      <w:bookmarkEnd w:id="54"/>
    </w:p>
    <w:p w:rsidR="00361A80" w:rsidRPr="007B18BA" w:rsidRDefault="00361A80" w:rsidP="00B372F9">
      <w:pPr>
        <w:pStyle w:val="Heading2"/>
        <w:ind w:left="357"/>
      </w:pPr>
      <w:bookmarkStart w:id="55" w:name="_Toc13577417"/>
      <w:r w:rsidRPr="00361A80">
        <w:t>What is a conflict of interest?</w:t>
      </w:r>
      <w:bookmarkEnd w:id="55"/>
    </w:p>
    <w:p w:rsidR="00361A80" w:rsidRPr="007B18BA" w:rsidRDefault="00361A80" w:rsidP="00B372F9">
      <w:pPr>
        <w:ind w:left="357"/>
        <w:rPr>
          <w:rFonts w:cs="Arial"/>
        </w:rPr>
      </w:pPr>
      <w:r w:rsidRPr="007B18BA">
        <w:rPr>
          <w:rFonts w:cs="Arial"/>
        </w:rPr>
        <w:t>The Department of Health defines conflict of interest as any instance where a staff member, contractor, partner/family member or close family friend has a direct financial or other interest that influences, or may appear to influence, proper consideration or decision making on a matter or proposed matter.</w:t>
      </w:r>
    </w:p>
    <w:p w:rsidR="00361A80" w:rsidRPr="007B18BA" w:rsidRDefault="00361A80" w:rsidP="00B372F9">
      <w:pPr>
        <w:ind w:left="357"/>
        <w:rPr>
          <w:rFonts w:cs="Arial"/>
        </w:rPr>
      </w:pPr>
      <w:r w:rsidRPr="007B18BA">
        <w:rPr>
          <w:rFonts w:cs="Arial"/>
        </w:rPr>
        <w:t xml:space="preserve">It is important to note that the </w:t>
      </w:r>
      <w:r w:rsidRPr="007B18BA">
        <w:rPr>
          <w:rFonts w:cs="Arial"/>
          <w:b/>
        </w:rPr>
        <w:t>appearance</w:t>
      </w:r>
      <w:r w:rsidRPr="007B18BA">
        <w:rPr>
          <w:rFonts w:cs="Arial"/>
        </w:rPr>
        <w:t xml:space="preserve"> of a conflict of interest is as important as any actual conflict of interest. Perception alone can call in to question the impartiality of a person in discharging their duties. This is particularly relevant in cases where a person is required to fulfil multiple roles, as is the case for most PLAC Members. </w:t>
      </w:r>
    </w:p>
    <w:p w:rsidR="00361A80" w:rsidRPr="00361A80" w:rsidRDefault="00361A80" w:rsidP="00B372F9">
      <w:pPr>
        <w:pStyle w:val="Heading2"/>
        <w:ind w:left="357"/>
      </w:pPr>
      <w:bookmarkStart w:id="56" w:name="_Toc13577418"/>
      <w:r w:rsidRPr="00361A80">
        <w:t>Failure to disclose conflict of interest</w:t>
      </w:r>
      <w:bookmarkEnd w:id="56"/>
    </w:p>
    <w:p w:rsidR="00361A80" w:rsidRPr="007B18BA" w:rsidRDefault="00361A80" w:rsidP="00B372F9">
      <w:pPr>
        <w:ind w:left="357"/>
        <w:rPr>
          <w:rFonts w:cs="Arial"/>
        </w:rPr>
      </w:pPr>
      <w:r w:rsidRPr="007B18BA">
        <w:rPr>
          <w:rFonts w:cs="Arial"/>
        </w:rPr>
        <w:t xml:space="preserve">Under the </w:t>
      </w:r>
      <w:r w:rsidRPr="007B18BA">
        <w:rPr>
          <w:rFonts w:cs="Arial"/>
          <w:i/>
        </w:rPr>
        <w:t>Public Service Act 1999</w:t>
      </w:r>
      <w:r w:rsidRPr="007B18BA">
        <w:rPr>
          <w:rFonts w:cs="Arial"/>
        </w:rPr>
        <w:t xml:space="preserve">, APS employees who breach the requirement to disclose and avoid conflicts of interest may be subject to numerous sanctions, </w:t>
      </w:r>
      <w:r w:rsidRPr="007B18BA">
        <w:rPr>
          <w:rFonts w:cs="Arial"/>
        </w:rPr>
        <w:lastRenderedPageBreak/>
        <w:t xml:space="preserve">including termination of employment. </w:t>
      </w:r>
      <w:r w:rsidR="0088640F">
        <w:rPr>
          <w:rFonts w:cs="Arial"/>
        </w:rPr>
        <w:t xml:space="preserve"> </w:t>
      </w:r>
      <w:r w:rsidRPr="007B18BA">
        <w:rPr>
          <w:rFonts w:cs="Arial"/>
        </w:rPr>
        <w:t>In the case of the PLAC, this would translate to removal of Members from the committee.</w:t>
      </w:r>
    </w:p>
    <w:p w:rsidR="00361A80" w:rsidRPr="007B18BA" w:rsidRDefault="00361A80" w:rsidP="00B372F9">
      <w:pPr>
        <w:ind w:left="357"/>
        <w:rPr>
          <w:rFonts w:cs="Arial"/>
        </w:rPr>
      </w:pPr>
      <w:r w:rsidRPr="007B18BA">
        <w:rPr>
          <w:rFonts w:cs="Arial"/>
        </w:rPr>
        <w:t xml:space="preserve">If the private interest compromises the proper performance of the official’s public duties then the conduct moves beyond a conflict of interest and may constitute corrupt conduct as defined in the </w:t>
      </w:r>
      <w:r w:rsidRPr="007B18BA">
        <w:rPr>
          <w:rFonts w:cs="Arial"/>
          <w:i/>
        </w:rPr>
        <w:t xml:space="preserve">Independent Commission </w:t>
      </w:r>
      <w:proofErr w:type="gramStart"/>
      <w:r w:rsidRPr="007B18BA">
        <w:rPr>
          <w:rFonts w:cs="Arial"/>
          <w:i/>
        </w:rPr>
        <w:t>Against</w:t>
      </w:r>
      <w:proofErr w:type="gramEnd"/>
      <w:r w:rsidRPr="007B18BA">
        <w:rPr>
          <w:rFonts w:cs="Arial"/>
          <w:i/>
        </w:rPr>
        <w:t xml:space="preserve"> Corruption Act 1988</w:t>
      </w:r>
      <w:r w:rsidRPr="007B18BA">
        <w:rPr>
          <w:rFonts w:cs="Arial"/>
        </w:rPr>
        <w:t>.</w:t>
      </w:r>
    </w:p>
    <w:p w:rsidR="00361A80" w:rsidRPr="007B18BA" w:rsidRDefault="00361A80" w:rsidP="00B372F9">
      <w:pPr>
        <w:pStyle w:val="Heading2"/>
        <w:ind w:left="357"/>
      </w:pPr>
      <w:bookmarkStart w:id="57" w:name="_Toc13577419"/>
      <w:r w:rsidRPr="00361A80">
        <w:t>Managing conflict of interest</w:t>
      </w:r>
      <w:bookmarkEnd w:id="57"/>
    </w:p>
    <w:p w:rsidR="00361A80" w:rsidRPr="007B18BA" w:rsidRDefault="00361A80" w:rsidP="00B372F9">
      <w:pPr>
        <w:ind w:left="357"/>
        <w:rPr>
          <w:rFonts w:cs="Arial"/>
        </w:rPr>
      </w:pPr>
      <w:r w:rsidRPr="007B18BA">
        <w:rPr>
          <w:rFonts w:cs="Arial"/>
        </w:rPr>
        <w:t xml:space="preserve">Members of PLAC </w:t>
      </w:r>
      <w:r w:rsidR="0088640F">
        <w:rPr>
          <w:rFonts w:cs="Arial"/>
        </w:rPr>
        <w:t xml:space="preserve">are </w:t>
      </w:r>
      <w:r w:rsidRPr="007B18BA">
        <w:rPr>
          <w:rFonts w:cs="Arial"/>
        </w:rPr>
        <w:t>required to submit completed Conflict of Interest Declarations to the PLAC secretariat (</w:t>
      </w:r>
      <w:r w:rsidRPr="00032CFA">
        <w:rPr>
          <w:rFonts w:cs="Arial"/>
        </w:rPr>
        <w:t>PLAC@health.gov.au</w:t>
      </w:r>
      <w:r w:rsidRPr="007B18BA">
        <w:rPr>
          <w:rFonts w:cs="Arial"/>
        </w:rPr>
        <w:t xml:space="preserve">) </w:t>
      </w:r>
      <w:r w:rsidRPr="007B18BA">
        <w:rPr>
          <w:rFonts w:cs="Arial"/>
          <w:b/>
        </w:rPr>
        <w:t>three business days</w:t>
      </w:r>
      <w:r w:rsidRPr="007B18BA">
        <w:rPr>
          <w:rFonts w:cs="Arial"/>
        </w:rPr>
        <w:t xml:space="preserve"> </w:t>
      </w:r>
      <w:r w:rsidRPr="007B18BA">
        <w:rPr>
          <w:rFonts w:cs="Arial"/>
          <w:b/>
        </w:rPr>
        <w:t>prior</w:t>
      </w:r>
      <w:r w:rsidRPr="007B18BA">
        <w:rPr>
          <w:rFonts w:cs="Arial"/>
        </w:rPr>
        <w:t xml:space="preserve"> to the next PLAC meeting. </w:t>
      </w:r>
    </w:p>
    <w:p w:rsidR="00361A80" w:rsidRPr="007B18BA" w:rsidRDefault="00361A80" w:rsidP="00B372F9">
      <w:pPr>
        <w:ind w:left="357"/>
        <w:rPr>
          <w:rFonts w:cs="Arial"/>
        </w:rPr>
      </w:pPr>
      <w:r w:rsidRPr="007B18BA">
        <w:rPr>
          <w:rFonts w:cs="Arial"/>
        </w:rPr>
        <w:t>These Conflict of Interest Declarations will be forwarded to the Chair for consideration, so that they may determine the ‘materiality’ of the interest, and decide whether to:</w:t>
      </w:r>
    </w:p>
    <w:p w:rsidR="00361A80" w:rsidRPr="007B18BA" w:rsidRDefault="00361A80" w:rsidP="00B372F9">
      <w:pPr>
        <w:pStyle w:val="ListParagraph"/>
        <w:widowControl/>
        <w:numPr>
          <w:ilvl w:val="0"/>
          <w:numId w:val="49"/>
        </w:numPr>
        <w:spacing w:after="200" w:line="276" w:lineRule="auto"/>
        <w:ind w:left="1350" w:right="237"/>
        <w:contextualSpacing/>
        <w:rPr>
          <w:rFonts w:ascii="Arial" w:hAnsi="Arial" w:cs="Arial"/>
          <w:sz w:val="24"/>
          <w:szCs w:val="24"/>
        </w:rPr>
      </w:pPr>
      <w:r w:rsidRPr="007B18BA">
        <w:rPr>
          <w:rFonts w:ascii="Arial" w:hAnsi="Arial" w:cs="Arial"/>
          <w:sz w:val="24"/>
          <w:szCs w:val="24"/>
        </w:rPr>
        <w:t>Allow the Member to participate fully in the deliberation by the committee and in any decision about making recommendations;</w:t>
      </w:r>
      <w:r>
        <w:rPr>
          <w:rFonts w:ascii="Arial" w:hAnsi="Arial" w:cs="Arial"/>
          <w:sz w:val="24"/>
          <w:szCs w:val="24"/>
        </w:rPr>
        <w:t xml:space="preserve"> or, </w:t>
      </w:r>
    </w:p>
    <w:p w:rsidR="00361A80" w:rsidRPr="007B18BA" w:rsidRDefault="00361A80" w:rsidP="00B372F9">
      <w:pPr>
        <w:pStyle w:val="ListParagraph"/>
        <w:widowControl/>
        <w:numPr>
          <w:ilvl w:val="0"/>
          <w:numId w:val="49"/>
        </w:numPr>
        <w:spacing w:after="200" w:line="276" w:lineRule="auto"/>
        <w:ind w:left="1350" w:right="237"/>
        <w:contextualSpacing/>
        <w:rPr>
          <w:rFonts w:ascii="Arial" w:hAnsi="Arial" w:cs="Arial"/>
          <w:sz w:val="24"/>
          <w:szCs w:val="24"/>
        </w:rPr>
      </w:pPr>
      <w:r w:rsidRPr="007B18BA">
        <w:rPr>
          <w:rFonts w:ascii="Arial" w:hAnsi="Arial" w:cs="Arial"/>
          <w:sz w:val="24"/>
          <w:szCs w:val="24"/>
        </w:rPr>
        <w:t>Allow the Member to participate in discussion but not in making a decision about a recommendation;</w:t>
      </w:r>
      <w:r>
        <w:rPr>
          <w:rFonts w:ascii="Arial" w:hAnsi="Arial" w:cs="Arial"/>
          <w:sz w:val="24"/>
          <w:szCs w:val="24"/>
        </w:rPr>
        <w:t xml:space="preserve"> or, </w:t>
      </w:r>
    </w:p>
    <w:p w:rsidR="00361A80" w:rsidRPr="007B18BA" w:rsidRDefault="00361A80" w:rsidP="00B372F9">
      <w:pPr>
        <w:pStyle w:val="ListParagraph"/>
        <w:widowControl/>
        <w:numPr>
          <w:ilvl w:val="0"/>
          <w:numId w:val="49"/>
        </w:numPr>
        <w:spacing w:after="200" w:line="276" w:lineRule="auto"/>
        <w:ind w:left="1350" w:right="237"/>
        <w:contextualSpacing/>
        <w:rPr>
          <w:rFonts w:ascii="Arial" w:hAnsi="Arial" w:cs="Arial"/>
          <w:sz w:val="24"/>
          <w:szCs w:val="24"/>
        </w:rPr>
      </w:pPr>
      <w:r w:rsidRPr="007B18BA">
        <w:rPr>
          <w:rFonts w:ascii="Arial" w:hAnsi="Arial" w:cs="Arial"/>
          <w:sz w:val="24"/>
          <w:szCs w:val="24"/>
        </w:rPr>
        <w:t>Allow the Member to be present to answer questions or provide specific advice on particular matters or of a technical nature, but not to participate in discussion or in making a decision about a recommendation;</w:t>
      </w:r>
      <w:r>
        <w:rPr>
          <w:rFonts w:ascii="Arial" w:hAnsi="Arial" w:cs="Arial"/>
          <w:sz w:val="24"/>
          <w:szCs w:val="24"/>
        </w:rPr>
        <w:t xml:space="preserve"> or, </w:t>
      </w:r>
    </w:p>
    <w:p w:rsidR="00361A80" w:rsidRPr="007B18BA" w:rsidRDefault="00361A80" w:rsidP="00B372F9">
      <w:pPr>
        <w:pStyle w:val="ListParagraph"/>
        <w:widowControl/>
        <w:numPr>
          <w:ilvl w:val="0"/>
          <w:numId w:val="49"/>
        </w:numPr>
        <w:spacing w:after="200" w:line="276" w:lineRule="auto"/>
        <w:ind w:left="1350" w:right="237"/>
        <w:contextualSpacing/>
        <w:rPr>
          <w:rFonts w:ascii="Arial" w:hAnsi="Arial" w:cs="Arial"/>
          <w:sz w:val="24"/>
          <w:szCs w:val="24"/>
        </w:rPr>
      </w:pPr>
      <w:r w:rsidRPr="007B18BA">
        <w:rPr>
          <w:rFonts w:ascii="Arial" w:hAnsi="Arial" w:cs="Arial"/>
          <w:sz w:val="24"/>
          <w:szCs w:val="24"/>
        </w:rPr>
        <w:t>Exclude the Member wholly from consideration of the matter.</w:t>
      </w:r>
    </w:p>
    <w:p w:rsidR="00361A80" w:rsidRDefault="00361A80" w:rsidP="00B372F9">
      <w:pPr>
        <w:spacing w:after="200" w:line="276" w:lineRule="auto"/>
        <w:ind w:left="357"/>
        <w:rPr>
          <w:rFonts w:cs="Arial"/>
        </w:rPr>
      </w:pPr>
      <w:r w:rsidRPr="007B18BA">
        <w:rPr>
          <w:rFonts w:cs="Arial"/>
        </w:rPr>
        <w:t xml:space="preserve">Ad hoc declarations can be submitted to the Chair or the Secretariat on the day of the meeting for consideration and Members will be advised if it is necessary for them to excuse themselves for </w:t>
      </w:r>
      <w:r>
        <w:rPr>
          <w:rFonts w:cs="Arial"/>
        </w:rPr>
        <w:t xml:space="preserve">the relevant </w:t>
      </w:r>
      <w:r w:rsidRPr="007B18BA">
        <w:rPr>
          <w:rFonts w:cs="Arial"/>
        </w:rPr>
        <w:t xml:space="preserve">part or all of the meeting. </w:t>
      </w:r>
    </w:p>
    <w:p w:rsidR="0088640F" w:rsidRPr="007B18BA" w:rsidRDefault="0088640F" w:rsidP="00B372F9">
      <w:pPr>
        <w:spacing w:before="120"/>
        <w:ind w:left="357"/>
        <w:rPr>
          <w:rFonts w:cs="Arial"/>
        </w:rPr>
      </w:pPr>
      <w:r>
        <w:t xml:space="preserve">All </w:t>
      </w:r>
      <w:r w:rsidRPr="0088640F">
        <w:t>member</w:t>
      </w:r>
      <w:r>
        <w:t>s’</w:t>
      </w:r>
      <w:r w:rsidRPr="0088640F">
        <w:t xml:space="preserve"> </w:t>
      </w:r>
      <w:r>
        <w:t>M</w:t>
      </w:r>
      <w:r w:rsidRPr="0088640F">
        <w:t xml:space="preserve">eeting </w:t>
      </w:r>
      <w:r>
        <w:t>Disclosure of Interest D</w:t>
      </w:r>
      <w:r w:rsidRPr="0088640F">
        <w:t>eclarations (including declarations of no conflict)</w:t>
      </w:r>
      <w:r>
        <w:t xml:space="preserve"> must </w:t>
      </w:r>
      <w:r w:rsidRPr="0088640F">
        <w:t xml:space="preserve">be recorded </w:t>
      </w:r>
      <w:r>
        <w:t xml:space="preserve">in each </w:t>
      </w:r>
      <w:r w:rsidRPr="0088640F">
        <w:t xml:space="preserve">PLAC </w:t>
      </w:r>
      <w:r>
        <w:t>record of meeting.</w:t>
      </w:r>
    </w:p>
    <w:p w:rsidR="00361A80" w:rsidRPr="00361A80" w:rsidRDefault="00361A80" w:rsidP="00B372F9">
      <w:pPr>
        <w:pStyle w:val="Heading2"/>
        <w:ind w:left="357"/>
        <w:rPr>
          <w:rFonts w:ascii="Arial Bold" w:hAnsi="Arial Bold"/>
          <w:color w:val="003366"/>
          <w:sz w:val="28"/>
        </w:rPr>
      </w:pPr>
      <w:bookmarkStart w:id="58" w:name="_Toc13577420"/>
      <w:r w:rsidRPr="00361A80">
        <w:rPr>
          <w:rFonts w:ascii="Arial Bold" w:hAnsi="Arial Bold"/>
          <w:color w:val="003366"/>
          <w:sz w:val="28"/>
        </w:rPr>
        <w:t xml:space="preserve">Disclosure </w:t>
      </w:r>
      <w:r>
        <w:rPr>
          <w:rFonts w:ascii="Arial Bold" w:hAnsi="Arial Bold"/>
          <w:color w:val="003366"/>
          <w:sz w:val="28"/>
        </w:rPr>
        <w:t>o</w:t>
      </w:r>
      <w:r w:rsidRPr="00361A80">
        <w:rPr>
          <w:rFonts w:ascii="Arial Bold" w:hAnsi="Arial Bold"/>
          <w:color w:val="003366"/>
          <w:sz w:val="28"/>
        </w:rPr>
        <w:t>f Information</w:t>
      </w:r>
      <w:bookmarkEnd w:id="58"/>
    </w:p>
    <w:p w:rsidR="00361A80" w:rsidRPr="00361A80" w:rsidRDefault="00361A80" w:rsidP="00B372F9">
      <w:pPr>
        <w:pStyle w:val="Heading2"/>
        <w:ind w:left="357"/>
      </w:pPr>
      <w:bookmarkStart w:id="59" w:name="_Toc13577421"/>
      <w:r w:rsidRPr="00361A80">
        <w:t>Deed of Undertaking</w:t>
      </w:r>
      <w:bookmarkEnd w:id="59"/>
    </w:p>
    <w:p w:rsidR="00361A80" w:rsidRPr="007B18BA" w:rsidRDefault="00361A80" w:rsidP="00B372F9">
      <w:pPr>
        <w:ind w:left="357"/>
        <w:rPr>
          <w:rFonts w:cs="Arial"/>
        </w:rPr>
      </w:pPr>
      <w:r w:rsidRPr="007B18BA">
        <w:rPr>
          <w:rFonts w:cs="Arial"/>
        </w:rPr>
        <w:t xml:space="preserve">Prior to commencement of their official duties, </w:t>
      </w:r>
      <w:r>
        <w:rPr>
          <w:rFonts w:cs="Arial"/>
        </w:rPr>
        <w:t xml:space="preserve">committee </w:t>
      </w:r>
      <w:r w:rsidRPr="007B18BA">
        <w:rPr>
          <w:rFonts w:cs="Arial"/>
        </w:rPr>
        <w:t xml:space="preserve">members </w:t>
      </w:r>
      <w:r w:rsidR="0088640F">
        <w:rPr>
          <w:rFonts w:cs="Arial"/>
        </w:rPr>
        <w:t xml:space="preserve">are </w:t>
      </w:r>
      <w:r w:rsidRPr="007B18BA">
        <w:rPr>
          <w:rFonts w:cs="Arial"/>
        </w:rPr>
        <w:t xml:space="preserve">asked to read and sign a Deed of Undertaking in Relation to Confidential Information and Conflict of Interest. In signing this Deed Poll, members have agreed to the outlined definitions of Conflict of Interest, as well as to adhere to the confidentiality requirements for the information being handled by the committee. </w:t>
      </w:r>
    </w:p>
    <w:p w:rsidR="00361A80" w:rsidRPr="007B18BA" w:rsidRDefault="00361A80" w:rsidP="00B372F9">
      <w:pPr>
        <w:ind w:left="357"/>
        <w:rPr>
          <w:rFonts w:cs="Arial"/>
        </w:rPr>
      </w:pPr>
      <w:r w:rsidRPr="007B18BA">
        <w:rPr>
          <w:rFonts w:cs="Arial"/>
        </w:rPr>
        <w:t xml:space="preserve">In particular members are obliged to keep secret and confidential all Confidential Information and ensure that they do not directly or indirectly disclose Committee-In-Confidence information to any person </w:t>
      </w:r>
      <w:r w:rsidR="0088640F">
        <w:rPr>
          <w:rFonts w:cs="Arial"/>
        </w:rPr>
        <w:t>outside the Committee</w:t>
      </w:r>
      <w:r w:rsidRPr="007B18BA">
        <w:rPr>
          <w:rFonts w:cs="Arial"/>
        </w:rPr>
        <w:t xml:space="preserve">. </w:t>
      </w:r>
    </w:p>
    <w:p w:rsidR="008A64A7" w:rsidRPr="0088640F" w:rsidRDefault="00361A80" w:rsidP="00B372F9">
      <w:pPr>
        <w:ind w:left="357"/>
        <w:rPr>
          <w:rFonts w:cs="Arial"/>
        </w:rPr>
      </w:pPr>
      <w:r w:rsidRPr="007B18BA">
        <w:rPr>
          <w:rFonts w:cs="Arial"/>
        </w:rPr>
        <w:t>In signing the Deed Poll, members have understood and acknowledged that any unauthori</w:t>
      </w:r>
      <w:r>
        <w:rPr>
          <w:rFonts w:cs="Arial"/>
        </w:rPr>
        <w:t>s</w:t>
      </w:r>
      <w:r w:rsidRPr="007B18BA">
        <w:rPr>
          <w:rFonts w:cs="Arial"/>
        </w:rPr>
        <w:t xml:space="preserve">ed use or disclosure of Confidential Information may make him or her liable for prosecution under the laws of the Commonwealth. </w:t>
      </w:r>
    </w:p>
    <w:p w:rsidR="0051072A" w:rsidRPr="004B0665" w:rsidRDefault="0051072A" w:rsidP="004B0665">
      <w:pPr>
        <w:pStyle w:val="Heading1"/>
      </w:pPr>
      <w:bookmarkStart w:id="60" w:name="_Toc460942224"/>
      <w:bookmarkStart w:id="61" w:name="_Toc462138139"/>
      <w:bookmarkStart w:id="62" w:name="_Toc462243723"/>
      <w:bookmarkStart w:id="63" w:name="_Toc5375803"/>
      <w:bookmarkStart w:id="64" w:name="_Toc13577422"/>
      <w:r w:rsidRPr="004B0665">
        <w:lastRenderedPageBreak/>
        <w:t>Key Performance Indicators</w:t>
      </w:r>
      <w:bookmarkEnd w:id="60"/>
      <w:bookmarkEnd w:id="61"/>
      <w:bookmarkEnd w:id="62"/>
      <w:bookmarkEnd w:id="63"/>
      <w:bookmarkEnd w:id="64"/>
    </w:p>
    <w:p w:rsidR="007C7613" w:rsidRDefault="007C7613" w:rsidP="00B372F9">
      <w:pPr>
        <w:ind w:left="360"/>
      </w:pPr>
      <w:r>
        <w:t>There are three (3) Key Performance Indicators (KPI’s) for the PLAC.</w:t>
      </w:r>
    </w:p>
    <w:p w:rsidR="00EC0769" w:rsidRDefault="0008121E" w:rsidP="00B372F9">
      <w:pPr>
        <w:numPr>
          <w:ilvl w:val="0"/>
          <w:numId w:val="42"/>
        </w:numPr>
        <w:ind w:left="1080"/>
        <w:rPr>
          <w:rFonts w:cs="Arial"/>
        </w:rPr>
      </w:pPr>
      <w:r>
        <w:rPr>
          <w:rFonts w:cs="Arial"/>
        </w:rPr>
        <w:t xml:space="preserve">The percentage of applications to list devices on the Prostheses List completed within 22 weeks, as set out in the </w:t>
      </w:r>
      <w:r w:rsidR="00BF67FF">
        <w:rPr>
          <w:rFonts w:cs="Arial"/>
        </w:rPr>
        <w:t xml:space="preserve">current </w:t>
      </w:r>
      <w:r>
        <w:rPr>
          <w:rFonts w:cs="Arial"/>
        </w:rPr>
        <w:t xml:space="preserve">Department of Health Portfolio Budget </w:t>
      </w:r>
      <w:r w:rsidR="00BF67FF">
        <w:rPr>
          <w:rFonts w:cs="Arial"/>
        </w:rPr>
        <w:t>S</w:t>
      </w:r>
      <w:r>
        <w:rPr>
          <w:rFonts w:cs="Arial"/>
        </w:rPr>
        <w:t>tatement.</w:t>
      </w:r>
    </w:p>
    <w:p w:rsidR="00414F64" w:rsidRPr="00414F64" w:rsidRDefault="007C7613" w:rsidP="00B372F9">
      <w:pPr>
        <w:numPr>
          <w:ilvl w:val="0"/>
          <w:numId w:val="42"/>
        </w:numPr>
        <w:ind w:left="1074" w:hanging="357"/>
        <w:rPr>
          <w:rFonts w:cs="Arial"/>
          <w:b/>
          <w:sz w:val="26"/>
          <w:szCs w:val="26"/>
        </w:rPr>
      </w:pPr>
      <w:r>
        <w:t>M</w:t>
      </w:r>
      <w:r w:rsidR="00472890">
        <w:t xml:space="preserve">embers must attend 70% of all scheduled PLAC meetings within a </w:t>
      </w:r>
      <w:r w:rsidR="00BF15B2">
        <w:t>12 month period. Attendance must</w:t>
      </w:r>
      <w:r w:rsidR="00472890">
        <w:t xml:space="preserve"> be for the entirety of the committee meeting.</w:t>
      </w:r>
    </w:p>
    <w:p w:rsidR="004B0665" w:rsidRPr="00414F64" w:rsidRDefault="00472890" w:rsidP="00B372F9">
      <w:pPr>
        <w:numPr>
          <w:ilvl w:val="0"/>
          <w:numId w:val="42"/>
        </w:numPr>
        <w:spacing w:after="480"/>
        <w:ind w:left="1080"/>
        <w:rPr>
          <w:rFonts w:cs="Arial"/>
          <w:b/>
          <w:sz w:val="26"/>
          <w:szCs w:val="26"/>
        </w:rPr>
      </w:pPr>
      <w:r>
        <w:t>Work plan deliverables</w:t>
      </w:r>
      <w:r w:rsidR="007C7613">
        <w:t xml:space="preserve"> and targets</w:t>
      </w:r>
      <w:r>
        <w:t xml:space="preserve"> will be met</w:t>
      </w:r>
      <w:r w:rsidR="007C7613">
        <w:t>, as</w:t>
      </w:r>
      <w:r>
        <w:t xml:space="preserve"> defined within the PLAC work plan.</w:t>
      </w:r>
    </w:p>
    <w:sectPr w:rsidR="004B0665" w:rsidRPr="00414F64" w:rsidSect="00D5056C">
      <w:pgSz w:w="11906" w:h="16838" w:code="9"/>
      <w:pgMar w:top="1276" w:right="1440" w:bottom="127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E3F" w:rsidRDefault="00204E3F">
      <w:r>
        <w:separator/>
      </w:r>
    </w:p>
  </w:endnote>
  <w:endnote w:type="continuationSeparator" w:id="0">
    <w:p w:rsidR="00204E3F" w:rsidRDefault="00204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old">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NIAGPC+Verdana">
    <w:altName w:val="Verda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547" w:rsidRDefault="00802547" w:rsidP="001929F5">
    <w:pPr>
      <w:pStyle w:val="Footer"/>
      <w:pBdr>
        <w:bottom w:val="single" w:sz="4" w:space="1" w:color="auto"/>
      </w:pBdr>
      <w:jc w:val="right"/>
    </w:pPr>
  </w:p>
  <w:p w:rsidR="00802547" w:rsidRPr="009D1F72" w:rsidRDefault="00802547" w:rsidP="001929F5">
    <w:pPr>
      <w:pStyle w:val="Footer"/>
      <w:pBdr>
        <w:top w:val="single" w:sz="6" w:space="1" w:color="auto"/>
      </w:pBdr>
      <w:jc w:val="right"/>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D19" w:rsidRDefault="00A14D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14D19" w:rsidRDefault="00A14D1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D19" w:rsidRDefault="00A14D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86AC3">
      <w:rPr>
        <w:rStyle w:val="PageNumber"/>
        <w:noProof/>
      </w:rPr>
      <w:t>8</w:t>
    </w:r>
    <w:r>
      <w:rPr>
        <w:rStyle w:val="PageNumber"/>
      </w:rPr>
      <w:fldChar w:fldCharType="end"/>
    </w:r>
  </w:p>
  <w:p w:rsidR="00A14D19" w:rsidRDefault="00A14D19">
    <w:pPr>
      <w:pStyle w:val="Footer"/>
      <w:ind w:right="360"/>
      <w:jc w:val="center"/>
      <w:rPr>
        <w:rFonts w:cs="Arial"/>
        <w:b/>
        <w:bCs/>
        <w:color w:val="003366"/>
        <w:sz w:val="18"/>
      </w:rPr>
    </w:pPr>
    <w:r>
      <w:rPr>
        <w:rFonts w:cs="Arial"/>
        <w:b/>
        <w:bCs/>
        <w:color w:val="003366"/>
        <w:sz w:val="18"/>
      </w:rPr>
      <w:t xml:space="preserve">PLAC – </w:t>
    </w:r>
    <w:r w:rsidR="00CC710D">
      <w:rPr>
        <w:rFonts w:cs="Arial"/>
        <w:b/>
        <w:bCs/>
        <w:color w:val="003366"/>
        <w:sz w:val="18"/>
      </w:rPr>
      <w:t>Operational Guidelines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E3F" w:rsidRDefault="00204E3F">
      <w:r>
        <w:separator/>
      </w:r>
    </w:p>
  </w:footnote>
  <w:footnote w:type="continuationSeparator" w:id="0">
    <w:p w:rsidR="00204E3F" w:rsidRDefault="00204E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CAAEE8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97700C8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16"/>
    <w:multiLevelType w:val="singleLevel"/>
    <w:tmpl w:val="F57C1B6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527767"/>
    <w:multiLevelType w:val="hybridMultilevel"/>
    <w:tmpl w:val="DA2C796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15840AA"/>
    <w:multiLevelType w:val="hybridMultilevel"/>
    <w:tmpl w:val="0542378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B003AD"/>
    <w:multiLevelType w:val="singleLevel"/>
    <w:tmpl w:val="E7E83FEC"/>
    <w:lvl w:ilvl="0">
      <w:start w:val="1"/>
      <w:numFmt w:val="bullet"/>
      <w:lvlText w:val=""/>
      <w:lvlJc w:val="left"/>
      <w:pPr>
        <w:tabs>
          <w:tab w:val="num" w:pos="360"/>
        </w:tabs>
        <w:ind w:left="360" w:hanging="360"/>
      </w:pPr>
      <w:rPr>
        <w:rFonts w:ascii="Symbol" w:hAnsi="Symbol" w:cs="Symbol" w:hint="default"/>
      </w:rPr>
    </w:lvl>
  </w:abstractNum>
  <w:abstractNum w:abstractNumId="6" w15:restartNumberingAfterBreak="0">
    <w:nsid w:val="05E2624F"/>
    <w:multiLevelType w:val="hybridMultilevel"/>
    <w:tmpl w:val="B57CFA8E"/>
    <w:lvl w:ilvl="0" w:tplc="77600A4C">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D3C7393"/>
    <w:multiLevelType w:val="hybridMultilevel"/>
    <w:tmpl w:val="4A66A89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EA5F8F"/>
    <w:multiLevelType w:val="hybridMultilevel"/>
    <w:tmpl w:val="9D3A3528"/>
    <w:lvl w:ilvl="0" w:tplc="0409000F">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11FD3F47"/>
    <w:multiLevelType w:val="hybridMultilevel"/>
    <w:tmpl w:val="8780C9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3487116"/>
    <w:multiLevelType w:val="hybridMultilevel"/>
    <w:tmpl w:val="7F929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0B4178"/>
    <w:multiLevelType w:val="hybridMultilevel"/>
    <w:tmpl w:val="B9E2B0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ED010F"/>
    <w:multiLevelType w:val="hybridMultilevel"/>
    <w:tmpl w:val="AB928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5D4891"/>
    <w:multiLevelType w:val="singleLevel"/>
    <w:tmpl w:val="6E0EA9BE"/>
    <w:lvl w:ilvl="0">
      <w:start w:val="1"/>
      <w:numFmt w:val="decimal"/>
      <w:pStyle w:val="Para"/>
      <w:lvlText w:val="[%1]"/>
      <w:lvlJc w:val="left"/>
      <w:pPr>
        <w:tabs>
          <w:tab w:val="num" w:pos="567"/>
        </w:tabs>
        <w:ind w:left="567" w:hanging="567"/>
      </w:pPr>
      <w:rPr>
        <w:b w:val="0"/>
        <w:i w:val="0"/>
        <w:sz w:val="18"/>
        <w:u w:val="none"/>
      </w:rPr>
    </w:lvl>
  </w:abstractNum>
  <w:abstractNum w:abstractNumId="14" w15:restartNumberingAfterBreak="0">
    <w:nsid w:val="19726727"/>
    <w:multiLevelType w:val="hybridMultilevel"/>
    <w:tmpl w:val="23B8AA9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13690E"/>
    <w:multiLevelType w:val="hybridMultilevel"/>
    <w:tmpl w:val="80A48EA4"/>
    <w:lvl w:ilvl="0" w:tplc="0C090019">
      <w:start w:val="1"/>
      <w:numFmt w:val="lowerLetter"/>
      <w:lvlText w:val="%1)"/>
      <w:lvlJc w:val="left"/>
      <w:pPr>
        <w:tabs>
          <w:tab w:val="num" w:pos="360"/>
        </w:tabs>
        <w:ind w:left="360" w:hanging="360"/>
      </w:pPr>
    </w:lvl>
    <w:lvl w:ilvl="1" w:tplc="0C090019">
      <w:start w:val="1"/>
      <w:numFmt w:val="lowerRoman"/>
      <w:lvlText w:val="%2."/>
      <w:lvlJc w:val="right"/>
      <w:pPr>
        <w:tabs>
          <w:tab w:val="num" w:pos="1080"/>
        </w:tabs>
        <w:ind w:left="1080" w:hanging="360"/>
      </w:p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6" w15:restartNumberingAfterBreak="0">
    <w:nsid w:val="241F7F0E"/>
    <w:multiLevelType w:val="hybridMultilevel"/>
    <w:tmpl w:val="2A5C6666"/>
    <w:lvl w:ilvl="0" w:tplc="0409000F">
      <w:start w:val="1"/>
      <w:numFmt w:val="decimal"/>
      <w:lvlText w:val="%1."/>
      <w:lvlJc w:val="left"/>
      <w:pPr>
        <w:tabs>
          <w:tab w:val="num" w:pos="360"/>
        </w:tabs>
        <w:ind w:left="360" w:hanging="360"/>
      </w:pPr>
      <w:rPr>
        <w:rFonts w:hint="default"/>
      </w:rPr>
    </w:lvl>
    <w:lvl w:ilvl="1" w:tplc="04090019">
      <w:start w:val="1"/>
      <w:numFmt w:val="bullet"/>
      <w:lvlText w:val=""/>
      <w:lvlJc w:val="left"/>
      <w:pPr>
        <w:tabs>
          <w:tab w:val="num" w:pos="1080"/>
        </w:tabs>
        <w:ind w:left="1080" w:hanging="360"/>
      </w:pPr>
      <w:rPr>
        <w:rFonts w:ascii="Symbol" w:hAnsi="Symbol" w:hint="default"/>
      </w:rPr>
    </w:lvl>
    <w:lvl w:ilvl="2" w:tplc="0409001B">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1">
    <w:nsid w:val="28B96942"/>
    <w:multiLevelType w:val="hybridMultilevel"/>
    <w:tmpl w:val="291C680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491AD0"/>
    <w:multiLevelType w:val="hybridMultilevel"/>
    <w:tmpl w:val="95F8D7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9ED20DA"/>
    <w:multiLevelType w:val="singleLevel"/>
    <w:tmpl w:val="E7E83FEC"/>
    <w:lvl w:ilvl="0">
      <w:start w:val="1"/>
      <w:numFmt w:val="bullet"/>
      <w:lvlText w:val=""/>
      <w:lvlJc w:val="left"/>
      <w:pPr>
        <w:tabs>
          <w:tab w:val="num" w:pos="360"/>
        </w:tabs>
        <w:ind w:left="360" w:hanging="360"/>
      </w:pPr>
      <w:rPr>
        <w:rFonts w:ascii="Symbol" w:hAnsi="Symbol" w:cs="Symbol" w:hint="default"/>
      </w:rPr>
    </w:lvl>
  </w:abstractNum>
  <w:abstractNum w:abstractNumId="20" w15:restartNumberingAfterBreak="0">
    <w:nsid w:val="2D5605FA"/>
    <w:multiLevelType w:val="singleLevel"/>
    <w:tmpl w:val="E7E83FEC"/>
    <w:lvl w:ilvl="0">
      <w:start w:val="1"/>
      <w:numFmt w:val="bullet"/>
      <w:lvlText w:val=""/>
      <w:lvlJc w:val="left"/>
      <w:pPr>
        <w:tabs>
          <w:tab w:val="num" w:pos="360"/>
        </w:tabs>
        <w:ind w:left="360" w:hanging="360"/>
      </w:pPr>
      <w:rPr>
        <w:rFonts w:ascii="Symbol" w:hAnsi="Symbol" w:cs="Symbol" w:hint="default"/>
      </w:rPr>
    </w:lvl>
  </w:abstractNum>
  <w:abstractNum w:abstractNumId="21" w15:restartNumberingAfterBreak="0">
    <w:nsid w:val="2FDB3080"/>
    <w:multiLevelType w:val="hybridMultilevel"/>
    <w:tmpl w:val="B5003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BF0431"/>
    <w:multiLevelType w:val="hybridMultilevel"/>
    <w:tmpl w:val="97FC487A"/>
    <w:lvl w:ilvl="0" w:tplc="0C09000F">
      <w:start w:val="1"/>
      <w:numFmt w:val="decimal"/>
      <w:lvlText w:val="%1."/>
      <w:lvlJc w:val="left"/>
      <w:pPr>
        <w:tabs>
          <w:tab w:val="num" w:pos="720"/>
        </w:tabs>
        <w:ind w:left="720"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1">
    <w:nsid w:val="3C0A0422"/>
    <w:multiLevelType w:val="hybridMultilevel"/>
    <w:tmpl w:val="57AE44E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A50F19"/>
    <w:multiLevelType w:val="hybridMultilevel"/>
    <w:tmpl w:val="E148073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D65C7F"/>
    <w:multiLevelType w:val="hybridMultilevel"/>
    <w:tmpl w:val="978C5ADA"/>
    <w:lvl w:ilvl="0" w:tplc="0409000F">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43A013C9"/>
    <w:multiLevelType w:val="hybridMultilevel"/>
    <w:tmpl w:val="8A623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5DC5D7D"/>
    <w:multiLevelType w:val="hybridMultilevel"/>
    <w:tmpl w:val="D62045F0"/>
    <w:lvl w:ilvl="0" w:tplc="010ED99A">
      <w:start w:val="1"/>
      <w:numFmt w:val="bullet"/>
      <w:lvlText w:val=""/>
      <w:lvlJc w:val="left"/>
      <w:pPr>
        <w:tabs>
          <w:tab w:val="num" w:pos="360"/>
        </w:tabs>
        <w:ind w:left="142" w:hanging="142"/>
      </w:pPr>
      <w:rPr>
        <w:rFonts w:ascii="Symbol" w:hAnsi="Symbol" w:hint="default"/>
      </w:rPr>
    </w:lvl>
    <w:lvl w:ilvl="1" w:tplc="A22E6DCC">
      <w:start w:val="1"/>
      <w:numFmt w:val="bullet"/>
      <w:lvlText w:val="o"/>
      <w:lvlJc w:val="left"/>
      <w:pPr>
        <w:tabs>
          <w:tab w:val="num" w:pos="1440"/>
        </w:tabs>
        <w:ind w:left="1440" w:hanging="360"/>
      </w:pPr>
      <w:rPr>
        <w:rFonts w:ascii="Courier New" w:hAnsi="Courier New" w:hint="default"/>
      </w:rPr>
    </w:lvl>
    <w:lvl w:ilvl="2" w:tplc="C92C20A0">
      <w:start w:val="1"/>
      <w:numFmt w:val="bullet"/>
      <w:lvlText w:val=""/>
      <w:lvlJc w:val="left"/>
      <w:pPr>
        <w:tabs>
          <w:tab w:val="num" w:pos="2160"/>
        </w:tabs>
        <w:ind w:left="2160" w:hanging="360"/>
      </w:pPr>
      <w:rPr>
        <w:rFonts w:ascii="Wingdings" w:hAnsi="Wingdings" w:hint="default"/>
      </w:rPr>
    </w:lvl>
    <w:lvl w:ilvl="3" w:tplc="DD9064AC" w:tentative="1">
      <w:start w:val="1"/>
      <w:numFmt w:val="bullet"/>
      <w:lvlText w:val=""/>
      <w:lvlJc w:val="left"/>
      <w:pPr>
        <w:tabs>
          <w:tab w:val="num" w:pos="2880"/>
        </w:tabs>
        <w:ind w:left="2880" w:hanging="360"/>
      </w:pPr>
      <w:rPr>
        <w:rFonts w:ascii="Symbol" w:hAnsi="Symbol" w:hint="default"/>
      </w:rPr>
    </w:lvl>
    <w:lvl w:ilvl="4" w:tplc="BAE69770" w:tentative="1">
      <w:start w:val="1"/>
      <w:numFmt w:val="bullet"/>
      <w:lvlText w:val="o"/>
      <w:lvlJc w:val="left"/>
      <w:pPr>
        <w:tabs>
          <w:tab w:val="num" w:pos="3600"/>
        </w:tabs>
        <w:ind w:left="3600" w:hanging="360"/>
      </w:pPr>
      <w:rPr>
        <w:rFonts w:ascii="Courier New" w:hAnsi="Courier New" w:hint="default"/>
      </w:rPr>
    </w:lvl>
    <w:lvl w:ilvl="5" w:tplc="16B0E73A" w:tentative="1">
      <w:start w:val="1"/>
      <w:numFmt w:val="bullet"/>
      <w:lvlText w:val=""/>
      <w:lvlJc w:val="left"/>
      <w:pPr>
        <w:tabs>
          <w:tab w:val="num" w:pos="4320"/>
        </w:tabs>
        <w:ind w:left="4320" w:hanging="360"/>
      </w:pPr>
      <w:rPr>
        <w:rFonts w:ascii="Wingdings" w:hAnsi="Wingdings" w:hint="default"/>
      </w:rPr>
    </w:lvl>
    <w:lvl w:ilvl="6" w:tplc="60B45342" w:tentative="1">
      <w:start w:val="1"/>
      <w:numFmt w:val="bullet"/>
      <w:lvlText w:val=""/>
      <w:lvlJc w:val="left"/>
      <w:pPr>
        <w:tabs>
          <w:tab w:val="num" w:pos="5040"/>
        </w:tabs>
        <w:ind w:left="5040" w:hanging="360"/>
      </w:pPr>
      <w:rPr>
        <w:rFonts w:ascii="Symbol" w:hAnsi="Symbol" w:hint="default"/>
      </w:rPr>
    </w:lvl>
    <w:lvl w:ilvl="7" w:tplc="901ABC3A" w:tentative="1">
      <w:start w:val="1"/>
      <w:numFmt w:val="bullet"/>
      <w:lvlText w:val="o"/>
      <w:lvlJc w:val="left"/>
      <w:pPr>
        <w:tabs>
          <w:tab w:val="num" w:pos="5760"/>
        </w:tabs>
        <w:ind w:left="5760" w:hanging="360"/>
      </w:pPr>
      <w:rPr>
        <w:rFonts w:ascii="Courier New" w:hAnsi="Courier New" w:hint="default"/>
      </w:rPr>
    </w:lvl>
    <w:lvl w:ilvl="8" w:tplc="A4BAF2E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DF642E"/>
    <w:multiLevelType w:val="hybridMultilevel"/>
    <w:tmpl w:val="384E8F56"/>
    <w:lvl w:ilvl="0" w:tplc="F75E6878">
      <w:start w:val="1"/>
      <w:numFmt w:val="bullet"/>
      <w:lvlText w:val=""/>
      <w:lvlJc w:val="left"/>
      <w:pPr>
        <w:tabs>
          <w:tab w:val="num" w:pos="810"/>
        </w:tabs>
        <w:ind w:left="941" w:hanging="491"/>
      </w:pPr>
      <w:rPr>
        <w:rFonts w:ascii="Symbol" w:hAnsi="Symbol" w:cs="Symbol" w:hint="default"/>
      </w:rPr>
    </w:lvl>
    <w:lvl w:ilvl="1" w:tplc="0C090003">
      <w:start w:val="1"/>
      <w:numFmt w:val="bullet"/>
      <w:lvlText w:val="o"/>
      <w:lvlJc w:val="left"/>
      <w:pPr>
        <w:tabs>
          <w:tab w:val="num" w:pos="1530"/>
        </w:tabs>
        <w:ind w:left="1530" w:hanging="360"/>
      </w:pPr>
      <w:rPr>
        <w:rFonts w:ascii="Courier New" w:hAnsi="Courier New" w:cs="Courier New" w:hint="default"/>
      </w:rPr>
    </w:lvl>
    <w:lvl w:ilvl="2" w:tplc="0C090005">
      <w:start w:val="1"/>
      <w:numFmt w:val="bullet"/>
      <w:lvlText w:val=""/>
      <w:lvlJc w:val="left"/>
      <w:pPr>
        <w:tabs>
          <w:tab w:val="num" w:pos="2250"/>
        </w:tabs>
        <w:ind w:left="2250" w:hanging="360"/>
      </w:pPr>
      <w:rPr>
        <w:rFonts w:ascii="Wingdings" w:hAnsi="Wingdings" w:cs="Wingdings" w:hint="default"/>
      </w:rPr>
    </w:lvl>
    <w:lvl w:ilvl="3" w:tplc="0C090001">
      <w:start w:val="1"/>
      <w:numFmt w:val="bullet"/>
      <w:lvlText w:val=""/>
      <w:lvlJc w:val="left"/>
      <w:pPr>
        <w:tabs>
          <w:tab w:val="num" w:pos="2970"/>
        </w:tabs>
        <w:ind w:left="2970" w:hanging="360"/>
      </w:pPr>
      <w:rPr>
        <w:rFonts w:ascii="Symbol" w:hAnsi="Symbol" w:cs="Symbol" w:hint="default"/>
      </w:rPr>
    </w:lvl>
    <w:lvl w:ilvl="4" w:tplc="0C090003">
      <w:start w:val="1"/>
      <w:numFmt w:val="bullet"/>
      <w:lvlText w:val="o"/>
      <w:lvlJc w:val="left"/>
      <w:pPr>
        <w:tabs>
          <w:tab w:val="num" w:pos="3690"/>
        </w:tabs>
        <w:ind w:left="3690" w:hanging="360"/>
      </w:pPr>
      <w:rPr>
        <w:rFonts w:ascii="Courier New" w:hAnsi="Courier New" w:cs="Courier New" w:hint="default"/>
      </w:rPr>
    </w:lvl>
    <w:lvl w:ilvl="5" w:tplc="0C090005">
      <w:start w:val="1"/>
      <w:numFmt w:val="bullet"/>
      <w:lvlText w:val=""/>
      <w:lvlJc w:val="left"/>
      <w:pPr>
        <w:tabs>
          <w:tab w:val="num" w:pos="4410"/>
        </w:tabs>
        <w:ind w:left="4410" w:hanging="360"/>
      </w:pPr>
      <w:rPr>
        <w:rFonts w:ascii="Wingdings" w:hAnsi="Wingdings" w:cs="Wingdings" w:hint="default"/>
      </w:rPr>
    </w:lvl>
    <w:lvl w:ilvl="6" w:tplc="0C090001">
      <w:start w:val="1"/>
      <w:numFmt w:val="bullet"/>
      <w:lvlText w:val=""/>
      <w:lvlJc w:val="left"/>
      <w:pPr>
        <w:tabs>
          <w:tab w:val="num" w:pos="5130"/>
        </w:tabs>
        <w:ind w:left="5130" w:hanging="360"/>
      </w:pPr>
      <w:rPr>
        <w:rFonts w:ascii="Symbol" w:hAnsi="Symbol" w:cs="Symbol" w:hint="default"/>
      </w:rPr>
    </w:lvl>
    <w:lvl w:ilvl="7" w:tplc="0C090003">
      <w:start w:val="1"/>
      <w:numFmt w:val="bullet"/>
      <w:lvlText w:val="o"/>
      <w:lvlJc w:val="left"/>
      <w:pPr>
        <w:tabs>
          <w:tab w:val="num" w:pos="5850"/>
        </w:tabs>
        <w:ind w:left="5850" w:hanging="360"/>
      </w:pPr>
      <w:rPr>
        <w:rFonts w:ascii="Courier New" w:hAnsi="Courier New" w:cs="Courier New" w:hint="default"/>
      </w:rPr>
    </w:lvl>
    <w:lvl w:ilvl="8" w:tplc="0C090005">
      <w:start w:val="1"/>
      <w:numFmt w:val="bullet"/>
      <w:lvlText w:val=""/>
      <w:lvlJc w:val="left"/>
      <w:pPr>
        <w:tabs>
          <w:tab w:val="num" w:pos="6570"/>
        </w:tabs>
        <w:ind w:left="6570" w:hanging="360"/>
      </w:pPr>
      <w:rPr>
        <w:rFonts w:ascii="Wingdings" w:hAnsi="Wingdings" w:cs="Wingdings" w:hint="default"/>
      </w:rPr>
    </w:lvl>
  </w:abstractNum>
  <w:abstractNum w:abstractNumId="29" w15:restartNumberingAfterBreak="0">
    <w:nsid w:val="505B7F82"/>
    <w:multiLevelType w:val="hybridMultilevel"/>
    <w:tmpl w:val="EB442C44"/>
    <w:lvl w:ilvl="0" w:tplc="0409000F">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5320483A"/>
    <w:multiLevelType w:val="singleLevel"/>
    <w:tmpl w:val="E7E83FEC"/>
    <w:lvl w:ilvl="0">
      <w:start w:val="1"/>
      <w:numFmt w:val="bullet"/>
      <w:lvlText w:val=""/>
      <w:lvlJc w:val="left"/>
      <w:pPr>
        <w:tabs>
          <w:tab w:val="num" w:pos="360"/>
        </w:tabs>
        <w:ind w:left="360" w:hanging="360"/>
      </w:pPr>
      <w:rPr>
        <w:rFonts w:ascii="Symbol" w:hAnsi="Symbol" w:cs="Symbol" w:hint="default"/>
      </w:rPr>
    </w:lvl>
  </w:abstractNum>
  <w:abstractNum w:abstractNumId="31" w15:restartNumberingAfterBreak="0">
    <w:nsid w:val="58B31838"/>
    <w:multiLevelType w:val="multilevel"/>
    <w:tmpl w:val="76CAAD66"/>
    <w:lvl w:ilvl="0">
      <w:start w:val="1"/>
      <w:numFmt w:val="decimal"/>
      <w:lvlText w:val="%1"/>
      <w:lvlJc w:val="left"/>
      <w:pPr>
        <w:tabs>
          <w:tab w:val="num" w:pos="567"/>
        </w:tabs>
        <w:ind w:left="567" w:hanging="567"/>
      </w:pPr>
      <w:rPr>
        <w:rFonts w:hint="default"/>
      </w:rPr>
    </w:lvl>
    <w:lvl w:ilvl="1">
      <w:start w:val="1"/>
      <w:numFmt w:val="decimal"/>
      <w:lvlText w:val="%2.%1"/>
      <w:lvlJc w:val="left"/>
      <w:pPr>
        <w:tabs>
          <w:tab w:val="num" w:pos="1418"/>
        </w:tabs>
        <w:ind w:left="1418" w:hanging="851"/>
      </w:pPr>
      <w:rPr>
        <w:rFonts w:hint="default"/>
      </w:rPr>
    </w:lvl>
    <w:lvl w:ilvl="2">
      <w:start w:val="1"/>
      <w:numFmt w:val="decimal"/>
      <w:lvlRestart w:val="1"/>
      <w:lvlText w:val="%3.%2.1"/>
      <w:lvlJc w:val="left"/>
      <w:pPr>
        <w:tabs>
          <w:tab w:val="num" w:pos="2552"/>
        </w:tabs>
        <w:ind w:left="2552" w:hanging="1134"/>
      </w:pPr>
      <w:rPr>
        <w:rFonts w:hint="default"/>
      </w:rPr>
    </w:lvl>
    <w:lvl w:ilvl="3">
      <w:start w:val="1"/>
      <w:numFmt w:val="none"/>
      <w:lvlRestart w:val="1"/>
      <w:lvlText w:val="1.1.1.1"/>
      <w:lvlJc w:val="left"/>
      <w:pPr>
        <w:tabs>
          <w:tab w:val="num" w:pos="3686"/>
        </w:tabs>
        <w:ind w:left="3686" w:hanging="1134"/>
      </w:pPr>
      <w:rPr>
        <w:rFonts w:hint="default"/>
      </w:rPr>
    </w:lvl>
    <w:lvl w:ilvl="4">
      <w:start w:val="1"/>
      <w:numFmt w:val="none"/>
      <w:lvlRestart w:val="1"/>
      <w:lvlText w:val="1.1.1.1.1"/>
      <w:lvlJc w:val="left"/>
      <w:pPr>
        <w:tabs>
          <w:tab w:val="num" w:pos="7088"/>
        </w:tabs>
        <w:ind w:left="7088" w:hanging="2552"/>
      </w:pPr>
      <w:rPr>
        <w:rFonts w:hint="default"/>
      </w:rPr>
    </w:lvl>
    <w:lvl w:ilvl="5">
      <w:start w:val="1"/>
      <w:numFmt w:val="none"/>
      <w:lvlText w:val=""/>
      <w:lvlJc w:val="left"/>
      <w:pPr>
        <w:tabs>
          <w:tab w:val="num" w:pos="7164"/>
        </w:tabs>
        <w:ind w:left="7088" w:hanging="284"/>
      </w:pPr>
      <w:rPr>
        <w:rFonts w:hint="default"/>
      </w:rPr>
    </w:lvl>
    <w:lvl w:ilvl="6">
      <w:start w:val="1"/>
      <w:numFmt w:val="none"/>
      <w:lvlText w:val=""/>
      <w:lvlJc w:val="left"/>
      <w:pPr>
        <w:tabs>
          <w:tab w:val="num" w:pos="7164"/>
        </w:tabs>
        <w:ind w:left="7088" w:hanging="284"/>
      </w:pPr>
      <w:rPr>
        <w:rFonts w:hint="default"/>
      </w:rPr>
    </w:lvl>
    <w:lvl w:ilvl="7">
      <w:start w:val="1"/>
      <w:numFmt w:val="none"/>
      <w:lvlText w:val=""/>
      <w:lvlJc w:val="left"/>
      <w:pPr>
        <w:tabs>
          <w:tab w:val="num" w:pos="7164"/>
        </w:tabs>
        <w:ind w:left="7088" w:hanging="284"/>
      </w:pPr>
      <w:rPr>
        <w:rFonts w:hint="default"/>
      </w:rPr>
    </w:lvl>
    <w:lvl w:ilvl="8">
      <w:start w:val="1"/>
      <w:numFmt w:val="none"/>
      <w:lvlText w:val=""/>
      <w:lvlJc w:val="left"/>
      <w:pPr>
        <w:tabs>
          <w:tab w:val="num" w:pos="7164"/>
        </w:tabs>
        <w:ind w:left="7088" w:hanging="284"/>
      </w:pPr>
      <w:rPr>
        <w:rFonts w:hint="default"/>
      </w:rPr>
    </w:lvl>
  </w:abstractNum>
  <w:abstractNum w:abstractNumId="32" w15:restartNumberingAfterBreak="0">
    <w:nsid w:val="59F71898"/>
    <w:multiLevelType w:val="hybridMultilevel"/>
    <w:tmpl w:val="78D03158"/>
    <w:lvl w:ilvl="0" w:tplc="4F3AC530">
      <w:start w:val="1"/>
      <w:numFmt w:val="decimal"/>
      <w:pStyle w:val="Heading1"/>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DAB26F1"/>
    <w:multiLevelType w:val="hybridMultilevel"/>
    <w:tmpl w:val="0CC2DE1E"/>
    <w:lvl w:ilvl="0" w:tplc="F80C726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DC33951"/>
    <w:multiLevelType w:val="singleLevel"/>
    <w:tmpl w:val="F28EB596"/>
    <w:lvl w:ilvl="0">
      <w:start w:val="1"/>
      <w:numFmt w:val="bullet"/>
      <w:pStyle w:val="bullet1"/>
      <w:lvlText w:val=""/>
      <w:lvlJc w:val="left"/>
      <w:pPr>
        <w:tabs>
          <w:tab w:val="num" w:pos="360"/>
        </w:tabs>
        <w:ind w:left="360" w:hanging="360"/>
      </w:pPr>
      <w:rPr>
        <w:rFonts w:ascii="Symbol" w:hAnsi="Symbol" w:hint="default"/>
      </w:rPr>
    </w:lvl>
  </w:abstractNum>
  <w:abstractNum w:abstractNumId="35" w15:restartNumberingAfterBreak="0">
    <w:nsid w:val="5F10273D"/>
    <w:multiLevelType w:val="hybridMultilevel"/>
    <w:tmpl w:val="383CCF52"/>
    <w:lvl w:ilvl="0" w:tplc="1C322B42">
      <w:start w:val="1"/>
      <w:numFmt w:val="bullet"/>
      <w:lvlText w:val=""/>
      <w:lvlJc w:val="left"/>
      <w:pPr>
        <w:tabs>
          <w:tab w:val="num" w:pos="1080"/>
        </w:tabs>
        <w:ind w:left="1080" w:hanging="360"/>
      </w:pPr>
      <w:rPr>
        <w:rFonts w:ascii="Symbol" w:hAnsi="Symbol" w:hint="default"/>
      </w:rPr>
    </w:lvl>
    <w:lvl w:ilvl="1" w:tplc="E24062AC" w:tentative="1">
      <w:start w:val="1"/>
      <w:numFmt w:val="bullet"/>
      <w:lvlText w:val="o"/>
      <w:lvlJc w:val="left"/>
      <w:pPr>
        <w:tabs>
          <w:tab w:val="num" w:pos="1800"/>
        </w:tabs>
        <w:ind w:left="1800" w:hanging="360"/>
      </w:pPr>
      <w:rPr>
        <w:rFonts w:ascii="Courier New" w:hAnsi="Courier New" w:hint="default"/>
      </w:rPr>
    </w:lvl>
    <w:lvl w:ilvl="2" w:tplc="F40C0092" w:tentative="1">
      <w:start w:val="1"/>
      <w:numFmt w:val="bullet"/>
      <w:lvlText w:val=""/>
      <w:lvlJc w:val="left"/>
      <w:pPr>
        <w:tabs>
          <w:tab w:val="num" w:pos="2520"/>
        </w:tabs>
        <w:ind w:left="2520" w:hanging="360"/>
      </w:pPr>
      <w:rPr>
        <w:rFonts w:ascii="Wingdings" w:hAnsi="Wingdings" w:hint="default"/>
      </w:rPr>
    </w:lvl>
    <w:lvl w:ilvl="3" w:tplc="3DCADD2C" w:tentative="1">
      <w:start w:val="1"/>
      <w:numFmt w:val="bullet"/>
      <w:lvlText w:val=""/>
      <w:lvlJc w:val="left"/>
      <w:pPr>
        <w:tabs>
          <w:tab w:val="num" w:pos="3240"/>
        </w:tabs>
        <w:ind w:left="3240" w:hanging="360"/>
      </w:pPr>
      <w:rPr>
        <w:rFonts w:ascii="Symbol" w:hAnsi="Symbol" w:hint="default"/>
      </w:rPr>
    </w:lvl>
    <w:lvl w:ilvl="4" w:tplc="7DCA173E" w:tentative="1">
      <w:start w:val="1"/>
      <w:numFmt w:val="bullet"/>
      <w:lvlText w:val="o"/>
      <w:lvlJc w:val="left"/>
      <w:pPr>
        <w:tabs>
          <w:tab w:val="num" w:pos="3960"/>
        </w:tabs>
        <w:ind w:left="3960" w:hanging="360"/>
      </w:pPr>
      <w:rPr>
        <w:rFonts w:ascii="Courier New" w:hAnsi="Courier New" w:hint="default"/>
      </w:rPr>
    </w:lvl>
    <w:lvl w:ilvl="5" w:tplc="17FEB1BC" w:tentative="1">
      <w:start w:val="1"/>
      <w:numFmt w:val="bullet"/>
      <w:lvlText w:val=""/>
      <w:lvlJc w:val="left"/>
      <w:pPr>
        <w:tabs>
          <w:tab w:val="num" w:pos="4680"/>
        </w:tabs>
        <w:ind w:left="4680" w:hanging="360"/>
      </w:pPr>
      <w:rPr>
        <w:rFonts w:ascii="Wingdings" w:hAnsi="Wingdings" w:hint="default"/>
      </w:rPr>
    </w:lvl>
    <w:lvl w:ilvl="6" w:tplc="F0E8962A" w:tentative="1">
      <w:start w:val="1"/>
      <w:numFmt w:val="bullet"/>
      <w:lvlText w:val=""/>
      <w:lvlJc w:val="left"/>
      <w:pPr>
        <w:tabs>
          <w:tab w:val="num" w:pos="5400"/>
        </w:tabs>
        <w:ind w:left="5400" w:hanging="360"/>
      </w:pPr>
      <w:rPr>
        <w:rFonts w:ascii="Symbol" w:hAnsi="Symbol" w:hint="default"/>
      </w:rPr>
    </w:lvl>
    <w:lvl w:ilvl="7" w:tplc="3FFE55B2" w:tentative="1">
      <w:start w:val="1"/>
      <w:numFmt w:val="bullet"/>
      <w:lvlText w:val="o"/>
      <w:lvlJc w:val="left"/>
      <w:pPr>
        <w:tabs>
          <w:tab w:val="num" w:pos="6120"/>
        </w:tabs>
        <w:ind w:left="6120" w:hanging="360"/>
      </w:pPr>
      <w:rPr>
        <w:rFonts w:ascii="Courier New" w:hAnsi="Courier New" w:hint="default"/>
      </w:rPr>
    </w:lvl>
    <w:lvl w:ilvl="8" w:tplc="20548640"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0FA26C5"/>
    <w:multiLevelType w:val="hybridMultilevel"/>
    <w:tmpl w:val="0504E6B2"/>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7296EDE"/>
    <w:multiLevelType w:val="hybridMultilevel"/>
    <w:tmpl w:val="F91C3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9303318"/>
    <w:multiLevelType w:val="hybridMultilevel"/>
    <w:tmpl w:val="A454AA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7B27F0"/>
    <w:multiLevelType w:val="hybridMultilevel"/>
    <w:tmpl w:val="BCA6C3DA"/>
    <w:lvl w:ilvl="0" w:tplc="3B1C2C70">
      <w:start w:val="1"/>
      <w:numFmt w:val="decimal"/>
      <w:lvlText w:val="%1."/>
      <w:lvlJc w:val="left"/>
      <w:pPr>
        <w:tabs>
          <w:tab w:val="num" w:pos="360"/>
        </w:tabs>
        <w:ind w:left="360" w:hanging="360"/>
      </w:pPr>
    </w:lvl>
    <w:lvl w:ilvl="1" w:tplc="187A792A" w:tentative="1">
      <w:start w:val="1"/>
      <w:numFmt w:val="lowerLetter"/>
      <w:lvlText w:val="%2."/>
      <w:lvlJc w:val="left"/>
      <w:pPr>
        <w:tabs>
          <w:tab w:val="num" w:pos="1080"/>
        </w:tabs>
        <w:ind w:left="1080" w:hanging="360"/>
      </w:pPr>
    </w:lvl>
    <w:lvl w:ilvl="2" w:tplc="BF8E56B2" w:tentative="1">
      <w:start w:val="1"/>
      <w:numFmt w:val="lowerRoman"/>
      <w:lvlText w:val="%3."/>
      <w:lvlJc w:val="right"/>
      <w:pPr>
        <w:tabs>
          <w:tab w:val="num" w:pos="1800"/>
        </w:tabs>
        <w:ind w:left="1800" w:hanging="180"/>
      </w:pPr>
    </w:lvl>
    <w:lvl w:ilvl="3" w:tplc="45D21550" w:tentative="1">
      <w:start w:val="1"/>
      <w:numFmt w:val="decimal"/>
      <w:lvlText w:val="%4."/>
      <w:lvlJc w:val="left"/>
      <w:pPr>
        <w:tabs>
          <w:tab w:val="num" w:pos="2520"/>
        </w:tabs>
        <w:ind w:left="2520" w:hanging="360"/>
      </w:pPr>
    </w:lvl>
    <w:lvl w:ilvl="4" w:tplc="F38CF754" w:tentative="1">
      <w:start w:val="1"/>
      <w:numFmt w:val="lowerLetter"/>
      <w:lvlText w:val="%5."/>
      <w:lvlJc w:val="left"/>
      <w:pPr>
        <w:tabs>
          <w:tab w:val="num" w:pos="3240"/>
        </w:tabs>
        <w:ind w:left="3240" w:hanging="360"/>
      </w:pPr>
    </w:lvl>
    <w:lvl w:ilvl="5" w:tplc="EB4C696A" w:tentative="1">
      <w:start w:val="1"/>
      <w:numFmt w:val="lowerRoman"/>
      <w:lvlText w:val="%6."/>
      <w:lvlJc w:val="right"/>
      <w:pPr>
        <w:tabs>
          <w:tab w:val="num" w:pos="3960"/>
        </w:tabs>
        <w:ind w:left="3960" w:hanging="180"/>
      </w:pPr>
    </w:lvl>
    <w:lvl w:ilvl="6" w:tplc="6BE841F6" w:tentative="1">
      <w:start w:val="1"/>
      <w:numFmt w:val="decimal"/>
      <w:lvlText w:val="%7."/>
      <w:lvlJc w:val="left"/>
      <w:pPr>
        <w:tabs>
          <w:tab w:val="num" w:pos="4680"/>
        </w:tabs>
        <w:ind w:left="4680" w:hanging="360"/>
      </w:pPr>
    </w:lvl>
    <w:lvl w:ilvl="7" w:tplc="D7BE4B16" w:tentative="1">
      <w:start w:val="1"/>
      <w:numFmt w:val="lowerLetter"/>
      <w:lvlText w:val="%8."/>
      <w:lvlJc w:val="left"/>
      <w:pPr>
        <w:tabs>
          <w:tab w:val="num" w:pos="5400"/>
        </w:tabs>
        <w:ind w:left="5400" w:hanging="360"/>
      </w:pPr>
    </w:lvl>
    <w:lvl w:ilvl="8" w:tplc="DE7E49A2" w:tentative="1">
      <w:start w:val="1"/>
      <w:numFmt w:val="lowerRoman"/>
      <w:lvlText w:val="%9."/>
      <w:lvlJc w:val="right"/>
      <w:pPr>
        <w:tabs>
          <w:tab w:val="num" w:pos="6120"/>
        </w:tabs>
        <w:ind w:left="6120" w:hanging="180"/>
      </w:pPr>
    </w:lvl>
  </w:abstractNum>
  <w:abstractNum w:abstractNumId="40" w15:restartNumberingAfterBreak="0">
    <w:nsid w:val="6BA43774"/>
    <w:multiLevelType w:val="hybridMultilevel"/>
    <w:tmpl w:val="45CE484E"/>
    <w:lvl w:ilvl="0" w:tplc="0409000F">
      <w:start w:val="1"/>
      <w:numFmt w:val="bullet"/>
      <w:lvlText w:val=""/>
      <w:lvlJc w:val="left"/>
      <w:pPr>
        <w:tabs>
          <w:tab w:val="num" w:pos="360"/>
        </w:tabs>
        <w:ind w:left="360" w:hanging="360"/>
      </w:pPr>
      <w:rPr>
        <w:rFonts w:ascii="Symbol" w:hAnsi="Symbol" w:hint="default"/>
      </w:rPr>
    </w:lvl>
    <w:lvl w:ilvl="1" w:tplc="04090019">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6D6F7B3B"/>
    <w:multiLevelType w:val="hybridMultilevel"/>
    <w:tmpl w:val="8F869DB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45290D"/>
    <w:multiLevelType w:val="hybridMultilevel"/>
    <w:tmpl w:val="1310C59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6E5115F"/>
    <w:multiLevelType w:val="hybridMultilevel"/>
    <w:tmpl w:val="3F946C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04713D"/>
    <w:multiLevelType w:val="hybridMultilevel"/>
    <w:tmpl w:val="02FA73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CC268F3"/>
    <w:multiLevelType w:val="singleLevel"/>
    <w:tmpl w:val="E7E83FEC"/>
    <w:lvl w:ilvl="0">
      <w:start w:val="1"/>
      <w:numFmt w:val="bullet"/>
      <w:lvlText w:val=""/>
      <w:lvlJc w:val="left"/>
      <w:pPr>
        <w:tabs>
          <w:tab w:val="num" w:pos="360"/>
        </w:tabs>
        <w:ind w:left="360" w:hanging="360"/>
      </w:pPr>
      <w:rPr>
        <w:rFonts w:ascii="Symbol" w:hAnsi="Symbol" w:cs="Symbol" w:hint="default"/>
      </w:rPr>
    </w:lvl>
  </w:abstractNum>
  <w:abstractNum w:abstractNumId="46" w15:restartNumberingAfterBreak="0">
    <w:nsid w:val="7E0A1923"/>
    <w:multiLevelType w:val="hybridMultilevel"/>
    <w:tmpl w:val="36AAA6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34"/>
  </w:num>
  <w:num w:numId="3">
    <w:abstractNumId w:val="40"/>
  </w:num>
  <w:num w:numId="4">
    <w:abstractNumId w:val="16"/>
  </w:num>
  <w:num w:numId="5">
    <w:abstractNumId w:val="27"/>
  </w:num>
  <w:num w:numId="6">
    <w:abstractNumId w:val="31"/>
  </w:num>
  <w:num w:numId="7">
    <w:abstractNumId w:val="13"/>
  </w:num>
  <w:num w:numId="8">
    <w:abstractNumId w:val="0"/>
  </w:num>
  <w:num w:numId="9">
    <w:abstractNumId w:val="2"/>
  </w:num>
  <w:num w:numId="10">
    <w:abstractNumId w:val="1"/>
  </w:num>
  <w:num w:numId="11">
    <w:abstractNumId w:val="15"/>
  </w:num>
  <w:num w:numId="12">
    <w:abstractNumId w:val="39"/>
  </w:num>
  <w:num w:numId="13">
    <w:abstractNumId w:val="7"/>
  </w:num>
  <w:num w:numId="14">
    <w:abstractNumId w:val="23"/>
  </w:num>
  <w:num w:numId="15">
    <w:abstractNumId w:val="17"/>
  </w:num>
  <w:num w:numId="16">
    <w:abstractNumId w:val="24"/>
  </w:num>
  <w:num w:numId="17">
    <w:abstractNumId w:val="22"/>
  </w:num>
  <w:num w:numId="18">
    <w:abstractNumId w:val="36"/>
  </w:num>
  <w:num w:numId="19">
    <w:abstractNumId w:val="4"/>
  </w:num>
  <w:num w:numId="20">
    <w:abstractNumId w:val="3"/>
  </w:num>
  <w:num w:numId="21">
    <w:abstractNumId w:val="41"/>
  </w:num>
  <w:num w:numId="22">
    <w:abstractNumId w:val="42"/>
  </w:num>
  <w:num w:numId="23">
    <w:abstractNumId w:val="28"/>
  </w:num>
  <w:num w:numId="24">
    <w:abstractNumId w:val="5"/>
  </w:num>
  <w:num w:numId="25">
    <w:abstractNumId w:val="20"/>
  </w:num>
  <w:num w:numId="26">
    <w:abstractNumId w:val="30"/>
  </w:num>
  <w:num w:numId="27">
    <w:abstractNumId w:val="19"/>
  </w:num>
  <w:num w:numId="28">
    <w:abstractNumId w:val="45"/>
  </w:num>
  <w:num w:numId="29">
    <w:abstractNumId w:val="38"/>
  </w:num>
  <w:num w:numId="30">
    <w:abstractNumId w:val="14"/>
  </w:num>
  <w:num w:numId="31">
    <w:abstractNumId w:val="8"/>
  </w:num>
  <w:num w:numId="32">
    <w:abstractNumId w:val="29"/>
  </w:num>
  <w:num w:numId="33">
    <w:abstractNumId w:val="25"/>
  </w:num>
  <w:num w:numId="34">
    <w:abstractNumId w:val="9"/>
  </w:num>
  <w:num w:numId="35">
    <w:abstractNumId w:val="43"/>
  </w:num>
  <w:num w:numId="36">
    <w:abstractNumId w:val="33"/>
  </w:num>
  <w:num w:numId="37">
    <w:abstractNumId w:val="12"/>
  </w:num>
  <w:num w:numId="38">
    <w:abstractNumId w:val="11"/>
  </w:num>
  <w:num w:numId="39">
    <w:abstractNumId w:val="46"/>
  </w:num>
  <w:num w:numId="40">
    <w:abstractNumId w:val="26"/>
  </w:num>
  <w:num w:numId="41">
    <w:abstractNumId w:val="37"/>
  </w:num>
  <w:num w:numId="42">
    <w:abstractNumId w:val="6"/>
  </w:num>
  <w:num w:numId="43">
    <w:abstractNumId w:val="32"/>
  </w:num>
  <w:num w:numId="44">
    <w:abstractNumId w:val="32"/>
  </w:num>
  <w:num w:numId="45">
    <w:abstractNumId w:val="32"/>
  </w:num>
  <w:num w:numId="46">
    <w:abstractNumId w:val="10"/>
  </w:num>
  <w:num w:numId="47">
    <w:abstractNumId w:val="44"/>
  </w:num>
  <w:num w:numId="48">
    <w:abstractNumId w:val="21"/>
  </w:num>
  <w:num w:numId="49">
    <w:abstractNumId w:val="18"/>
  </w:num>
  <w:num w:numId="50">
    <w:abstractNumId w:val="32"/>
  </w:num>
  <w:num w:numId="51">
    <w:abstractNumId w:val="32"/>
  </w:num>
  <w:num w:numId="52">
    <w:abstractNumId w:val="32"/>
  </w:num>
  <w:num w:numId="53">
    <w:abstractNumId w:val="3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07B"/>
    <w:rsid w:val="000033CA"/>
    <w:rsid w:val="000045CA"/>
    <w:rsid w:val="00013E81"/>
    <w:rsid w:val="000172E0"/>
    <w:rsid w:val="00023AC6"/>
    <w:rsid w:val="000242D8"/>
    <w:rsid w:val="00024587"/>
    <w:rsid w:val="0002591F"/>
    <w:rsid w:val="000411E5"/>
    <w:rsid w:val="00045315"/>
    <w:rsid w:val="000467FE"/>
    <w:rsid w:val="00046E44"/>
    <w:rsid w:val="00047BB1"/>
    <w:rsid w:val="0005035D"/>
    <w:rsid w:val="00052500"/>
    <w:rsid w:val="000558F7"/>
    <w:rsid w:val="00063B4A"/>
    <w:rsid w:val="00065364"/>
    <w:rsid w:val="00067839"/>
    <w:rsid w:val="00072C05"/>
    <w:rsid w:val="0008121E"/>
    <w:rsid w:val="00081419"/>
    <w:rsid w:val="00081FD1"/>
    <w:rsid w:val="000852CC"/>
    <w:rsid w:val="00085CE8"/>
    <w:rsid w:val="00090EB1"/>
    <w:rsid w:val="00095B55"/>
    <w:rsid w:val="000A3062"/>
    <w:rsid w:val="000B3C6B"/>
    <w:rsid w:val="000B595B"/>
    <w:rsid w:val="000B707A"/>
    <w:rsid w:val="000B79B1"/>
    <w:rsid w:val="000C4335"/>
    <w:rsid w:val="000C4A8C"/>
    <w:rsid w:val="000C4C56"/>
    <w:rsid w:val="000D1AE5"/>
    <w:rsid w:val="000D1EB7"/>
    <w:rsid w:val="000D2578"/>
    <w:rsid w:val="000D31C8"/>
    <w:rsid w:val="000D4537"/>
    <w:rsid w:val="000D6BD3"/>
    <w:rsid w:val="000D7D77"/>
    <w:rsid w:val="000E29AD"/>
    <w:rsid w:val="000E31F9"/>
    <w:rsid w:val="000E38E1"/>
    <w:rsid w:val="000E54AC"/>
    <w:rsid w:val="000E54AD"/>
    <w:rsid w:val="000E5EE0"/>
    <w:rsid w:val="000F5772"/>
    <w:rsid w:val="000F6EB9"/>
    <w:rsid w:val="000F7EFC"/>
    <w:rsid w:val="001036A0"/>
    <w:rsid w:val="001105AD"/>
    <w:rsid w:val="00113A2D"/>
    <w:rsid w:val="00116083"/>
    <w:rsid w:val="00121EAD"/>
    <w:rsid w:val="00123B79"/>
    <w:rsid w:val="00123C0D"/>
    <w:rsid w:val="00124977"/>
    <w:rsid w:val="001275D1"/>
    <w:rsid w:val="00135D66"/>
    <w:rsid w:val="00140653"/>
    <w:rsid w:val="0015268A"/>
    <w:rsid w:val="001527E9"/>
    <w:rsid w:val="0016404A"/>
    <w:rsid w:val="00164186"/>
    <w:rsid w:val="001645AA"/>
    <w:rsid w:val="001712A1"/>
    <w:rsid w:val="00174E8A"/>
    <w:rsid w:val="0018044E"/>
    <w:rsid w:val="0018336D"/>
    <w:rsid w:val="00187AEC"/>
    <w:rsid w:val="001929F5"/>
    <w:rsid w:val="00193AF9"/>
    <w:rsid w:val="00197833"/>
    <w:rsid w:val="001A688D"/>
    <w:rsid w:val="001B2A9F"/>
    <w:rsid w:val="001C2B25"/>
    <w:rsid w:val="001D5B9D"/>
    <w:rsid w:val="001E048C"/>
    <w:rsid w:val="001E0729"/>
    <w:rsid w:val="001E5FD8"/>
    <w:rsid w:val="001F22FA"/>
    <w:rsid w:val="001F2A4A"/>
    <w:rsid w:val="001F4993"/>
    <w:rsid w:val="001F58F3"/>
    <w:rsid w:val="002002B0"/>
    <w:rsid w:val="002035A1"/>
    <w:rsid w:val="00204E3F"/>
    <w:rsid w:val="00206635"/>
    <w:rsid w:val="00210D28"/>
    <w:rsid w:val="00213F2F"/>
    <w:rsid w:val="00214B55"/>
    <w:rsid w:val="00216A30"/>
    <w:rsid w:val="002263BA"/>
    <w:rsid w:val="00231DA7"/>
    <w:rsid w:val="0023212D"/>
    <w:rsid w:val="00235B39"/>
    <w:rsid w:val="00235F1D"/>
    <w:rsid w:val="0023745C"/>
    <w:rsid w:val="002531C4"/>
    <w:rsid w:val="002571F5"/>
    <w:rsid w:val="00264E61"/>
    <w:rsid w:val="0026539D"/>
    <w:rsid w:val="00266ABC"/>
    <w:rsid w:val="00270ACC"/>
    <w:rsid w:val="00271519"/>
    <w:rsid w:val="00272279"/>
    <w:rsid w:val="00273984"/>
    <w:rsid w:val="0027590C"/>
    <w:rsid w:val="00280DE0"/>
    <w:rsid w:val="00282F55"/>
    <w:rsid w:val="00283E05"/>
    <w:rsid w:val="00293E57"/>
    <w:rsid w:val="00295D94"/>
    <w:rsid w:val="00297B6D"/>
    <w:rsid w:val="002A435D"/>
    <w:rsid w:val="002B1FE3"/>
    <w:rsid w:val="002B2D7F"/>
    <w:rsid w:val="002B4C2F"/>
    <w:rsid w:val="002B6B5A"/>
    <w:rsid w:val="002C3B9F"/>
    <w:rsid w:val="002D67B2"/>
    <w:rsid w:val="002D7159"/>
    <w:rsid w:val="002F1ACD"/>
    <w:rsid w:val="002F68A3"/>
    <w:rsid w:val="002F6BA7"/>
    <w:rsid w:val="002F72FA"/>
    <w:rsid w:val="00312055"/>
    <w:rsid w:val="003209D6"/>
    <w:rsid w:val="00322D53"/>
    <w:rsid w:val="0032707E"/>
    <w:rsid w:val="003300B1"/>
    <w:rsid w:val="00333478"/>
    <w:rsid w:val="00333E63"/>
    <w:rsid w:val="00336F53"/>
    <w:rsid w:val="00337A32"/>
    <w:rsid w:val="0035424B"/>
    <w:rsid w:val="003545E5"/>
    <w:rsid w:val="003570ED"/>
    <w:rsid w:val="003601DF"/>
    <w:rsid w:val="00361A80"/>
    <w:rsid w:val="00367449"/>
    <w:rsid w:val="00387516"/>
    <w:rsid w:val="003948C9"/>
    <w:rsid w:val="00394A9B"/>
    <w:rsid w:val="003A4B47"/>
    <w:rsid w:val="003B4A03"/>
    <w:rsid w:val="003B4BDF"/>
    <w:rsid w:val="003B5085"/>
    <w:rsid w:val="003B59F3"/>
    <w:rsid w:val="003B6B72"/>
    <w:rsid w:val="003C044B"/>
    <w:rsid w:val="003C4160"/>
    <w:rsid w:val="003D1EAB"/>
    <w:rsid w:val="003E1754"/>
    <w:rsid w:val="003E1F81"/>
    <w:rsid w:val="003E2B2E"/>
    <w:rsid w:val="003E70F4"/>
    <w:rsid w:val="003E777A"/>
    <w:rsid w:val="003E79DF"/>
    <w:rsid w:val="003E7DEC"/>
    <w:rsid w:val="003F4D43"/>
    <w:rsid w:val="0040125D"/>
    <w:rsid w:val="004019BE"/>
    <w:rsid w:val="00402149"/>
    <w:rsid w:val="00405FF1"/>
    <w:rsid w:val="00414F64"/>
    <w:rsid w:val="00415C81"/>
    <w:rsid w:val="00422AA9"/>
    <w:rsid w:val="00425DDE"/>
    <w:rsid w:val="0042657B"/>
    <w:rsid w:val="00431533"/>
    <w:rsid w:val="00436D61"/>
    <w:rsid w:val="00441259"/>
    <w:rsid w:val="00454062"/>
    <w:rsid w:val="00455527"/>
    <w:rsid w:val="00467819"/>
    <w:rsid w:val="00467C8B"/>
    <w:rsid w:val="004711BA"/>
    <w:rsid w:val="0047187E"/>
    <w:rsid w:val="00472890"/>
    <w:rsid w:val="00473F86"/>
    <w:rsid w:val="00483891"/>
    <w:rsid w:val="004842CD"/>
    <w:rsid w:val="00492DEF"/>
    <w:rsid w:val="004B0665"/>
    <w:rsid w:val="004B17C5"/>
    <w:rsid w:val="004B35A9"/>
    <w:rsid w:val="004B3751"/>
    <w:rsid w:val="004B6510"/>
    <w:rsid w:val="004B7F4F"/>
    <w:rsid w:val="004C1D85"/>
    <w:rsid w:val="004C28C0"/>
    <w:rsid w:val="004C4473"/>
    <w:rsid w:val="004D1155"/>
    <w:rsid w:val="004D56C2"/>
    <w:rsid w:val="004E463A"/>
    <w:rsid w:val="004E49F5"/>
    <w:rsid w:val="004F4969"/>
    <w:rsid w:val="00503E76"/>
    <w:rsid w:val="005075F1"/>
    <w:rsid w:val="0051072A"/>
    <w:rsid w:val="005114A6"/>
    <w:rsid w:val="005159B3"/>
    <w:rsid w:val="00516CED"/>
    <w:rsid w:val="00521EE8"/>
    <w:rsid w:val="005237D3"/>
    <w:rsid w:val="00524FC9"/>
    <w:rsid w:val="0052751E"/>
    <w:rsid w:val="00536E96"/>
    <w:rsid w:val="0054064F"/>
    <w:rsid w:val="00541973"/>
    <w:rsid w:val="0055397D"/>
    <w:rsid w:val="00555563"/>
    <w:rsid w:val="005619A7"/>
    <w:rsid w:val="00562828"/>
    <w:rsid w:val="00570448"/>
    <w:rsid w:val="00570E0E"/>
    <w:rsid w:val="00571022"/>
    <w:rsid w:val="005818FD"/>
    <w:rsid w:val="00584386"/>
    <w:rsid w:val="005A045F"/>
    <w:rsid w:val="005A2A6D"/>
    <w:rsid w:val="005B5777"/>
    <w:rsid w:val="005C2102"/>
    <w:rsid w:val="005C3637"/>
    <w:rsid w:val="005C63B3"/>
    <w:rsid w:val="005E3965"/>
    <w:rsid w:val="005E6051"/>
    <w:rsid w:val="005E6253"/>
    <w:rsid w:val="005E6328"/>
    <w:rsid w:val="005E661E"/>
    <w:rsid w:val="005E7FDC"/>
    <w:rsid w:val="005F5231"/>
    <w:rsid w:val="006031FC"/>
    <w:rsid w:val="00603B27"/>
    <w:rsid w:val="00611F66"/>
    <w:rsid w:val="00612CB9"/>
    <w:rsid w:val="00616E3C"/>
    <w:rsid w:val="00631838"/>
    <w:rsid w:val="0063368F"/>
    <w:rsid w:val="00636553"/>
    <w:rsid w:val="00644343"/>
    <w:rsid w:val="00647A8D"/>
    <w:rsid w:val="00652479"/>
    <w:rsid w:val="006564FE"/>
    <w:rsid w:val="0066069E"/>
    <w:rsid w:val="00664105"/>
    <w:rsid w:val="00670019"/>
    <w:rsid w:val="0067230F"/>
    <w:rsid w:val="0067276C"/>
    <w:rsid w:val="0067466B"/>
    <w:rsid w:val="0067512A"/>
    <w:rsid w:val="0068088D"/>
    <w:rsid w:val="00684026"/>
    <w:rsid w:val="006841A8"/>
    <w:rsid w:val="006861A7"/>
    <w:rsid w:val="00686F45"/>
    <w:rsid w:val="0068785E"/>
    <w:rsid w:val="00687915"/>
    <w:rsid w:val="00695C7A"/>
    <w:rsid w:val="006B7165"/>
    <w:rsid w:val="006C7F24"/>
    <w:rsid w:val="006D0070"/>
    <w:rsid w:val="006D2A9E"/>
    <w:rsid w:val="006D75A0"/>
    <w:rsid w:val="006E0B9F"/>
    <w:rsid w:val="006E257A"/>
    <w:rsid w:val="006E3831"/>
    <w:rsid w:val="006E65B7"/>
    <w:rsid w:val="006E7A9D"/>
    <w:rsid w:val="006F4BC3"/>
    <w:rsid w:val="006F729E"/>
    <w:rsid w:val="006F7476"/>
    <w:rsid w:val="00705CDA"/>
    <w:rsid w:val="00706BC3"/>
    <w:rsid w:val="0070727C"/>
    <w:rsid w:val="00722E96"/>
    <w:rsid w:val="0072333B"/>
    <w:rsid w:val="0073207C"/>
    <w:rsid w:val="007340A3"/>
    <w:rsid w:val="00742E20"/>
    <w:rsid w:val="00743734"/>
    <w:rsid w:val="0074395D"/>
    <w:rsid w:val="00744EBB"/>
    <w:rsid w:val="007519E9"/>
    <w:rsid w:val="00753ED8"/>
    <w:rsid w:val="00755E49"/>
    <w:rsid w:val="0076119A"/>
    <w:rsid w:val="00765041"/>
    <w:rsid w:val="007717E2"/>
    <w:rsid w:val="007746D5"/>
    <w:rsid w:val="00782A3F"/>
    <w:rsid w:val="00786AC3"/>
    <w:rsid w:val="00790B5B"/>
    <w:rsid w:val="00791B72"/>
    <w:rsid w:val="00795F0F"/>
    <w:rsid w:val="007B273F"/>
    <w:rsid w:val="007B3299"/>
    <w:rsid w:val="007B5EAB"/>
    <w:rsid w:val="007C6CDB"/>
    <w:rsid w:val="007C744C"/>
    <w:rsid w:val="007C7613"/>
    <w:rsid w:val="007D5500"/>
    <w:rsid w:val="007F4608"/>
    <w:rsid w:val="007F5B07"/>
    <w:rsid w:val="007F62BC"/>
    <w:rsid w:val="007F79BF"/>
    <w:rsid w:val="00802547"/>
    <w:rsid w:val="00802655"/>
    <w:rsid w:val="00802CA1"/>
    <w:rsid w:val="00812A26"/>
    <w:rsid w:val="00817FA3"/>
    <w:rsid w:val="0082225F"/>
    <w:rsid w:val="00824A46"/>
    <w:rsid w:val="00827B3B"/>
    <w:rsid w:val="008334F2"/>
    <w:rsid w:val="00835E2F"/>
    <w:rsid w:val="00836DF0"/>
    <w:rsid w:val="00841FC6"/>
    <w:rsid w:val="00842D4A"/>
    <w:rsid w:val="00844E2D"/>
    <w:rsid w:val="00845236"/>
    <w:rsid w:val="008463D9"/>
    <w:rsid w:val="00846668"/>
    <w:rsid w:val="0084759A"/>
    <w:rsid w:val="00852486"/>
    <w:rsid w:val="0085407B"/>
    <w:rsid w:val="00856AA1"/>
    <w:rsid w:val="0085789B"/>
    <w:rsid w:val="008616FB"/>
    <w:rsid w:val="0086188A"/>
    <w:rsid w:val="008676E1"/>
    <w:rsid w:val="00884650"/>
    <w:rsid w:val="008856C8"/>
    <w:rsid w:val="0088640F"/>
    <w:rsid w:val="008A64A7"/>
    <w:rsid w:val="008A6F2C"/>
    <w:rsid w:val="008A7AE5"/>
    <w:rsid w:val="008B01BC"/>
    <w:rsid w:val="008B11F4"/>
    <w:rsid w:val="008C282C"/>
    <w:rsid w:val="008C35E0"/>
    <w:rsid w:val="008C54C2"/>
    <w:rsid w:val="008C68EA"/>
    <w:rsid w:val="008C7124"/>
    <w:rsid w:val="008D038C"/>
    <w:rsid w:val="008D3585"/>
    <w:rsid w:val="008E06C7"/>
    <w:rsid w:val="008E1929"/>
    <w:rsid w:val="008E40B5"/>
    <w:rsid w:val="008E594B"/>
    <w:rsid w:val="008F13E3"/>
    <w:rsid w:val="008F6E3B"/>
    <w:rsid w:val="008F6EEA"/>
    <w:rsid w:val="00910EEA"/>
    <w:rsid w:val="00912E61"/>
    <w:rsid w:val="0092467E"/>
    <w:rsid w:val="00926CFF"/>
    <w:rsid w:val="009318C4"/>
    <w:rsid w:val="00945325"/>
    <w:rsid w:val="009473AA"/>
    <w:rsid w:val="00953AFE"/>
    <w:rsid w:val="00957470"/>
    <w:rsid w:val="00962119"/>
    <w:rsid w:val="009713AD"/>
    <w:rsid w:val="00972806"/>
    <w:rsid w:val="00974AB9"/>
    <w:rsid w:val="009760D6"/>
    <w:rsid w:val="009772F9"/>
    <w:rsid w:val="009910E1"/>
    <w:rsid w:val="00993CD5"/>
    <w:rsid w:val="00993D72"/>
    <w:rsid w:val="0099588D"/>
    <w:rsid w:val="009A400A"/>
    <w:rsid w:val="009A5ECD"/>
    <w:rsid w:val="009B5B7B"/>
    <w:rsid w:val="009C290A"/>
    <w:rsid w:val="009C5220"/>
    <w:rsid w:val="009C5A16"/>
    <w:rsid w:val="009D4F3C"/>
    <w:rsid w:val="009D7FF5"/>
    <w:rsid w:val="009E0CE7"/>
    <w:rsid w:val="009E0F20"/>
    <w:rsid w:val="009E1DD4"/>
    <w:rsid w:val="009E2464"/>
    <w:rsid w:val="009E3F93"/>
    <w:rsid w:val="009E4960"/>
    <w:rsid w:val="009E6E8D"/>
    <w:rsid w:val="009F533E"/>
    <w:rsid w:val="00A055C4"/>
    <w:rsid w:val="00A14702"/>
    <w:rsid w:val="00A14D19"/>
    <w:rsid w:val="00A467E8"/>
    <w:rsid w:val="00A507B0"/>
    <w:rsid w:val="00A53153"/>
    <w:rsid w:val="00A54EF2"/>
    <w:rsid w:val="00A60656"/>
    <w:rsid w:val="00A60A6B"/>
    <w:rsid w:val="00A61A23"/>
    <w:rsid w:val="00A622B4"/>
    <w:rsid w:val="00A622DA"/>
    <w:rsid w:val="00A628F9"/>
    <w:rsid w:val="00A72586"/>
    <w:rsid w:val="00A73EF4"/>
    <w:rsid w:val="00A77D2F"/>
    <w:rsid w:val="00A800C8"/>
    <w:rsid w:val="00A834AF"/>
    <w:rsid w:val="00A84F59"/>
    <w:rsid w:val="00A90364"/>
    <w:rsid w:val="00A906BF"/>
    <w:rsid w:val="00A92BE0"/>
    <w:rsid w:val="00AA5319"/>
    <w:rsid w:val="00AB471D"/>
    <w:rsid w:val="00AB4C3D"/>
    <w:rsid w:val="00AC58C8"/>
    <w:rsid w:val="00AD168D"/>
    <w:rsid w:val="00AD6704"/>
    <w:rsid w:val="00AD7696"/>
    <w:rsid w:val="00AD7EE4"/>
    <w:rsid w:val="00AE1F13"/>
    <w:rsid w:val="00AF5BF7"/>
    <w:rsid w:val="00B01844"/>
    <w:rsid w:val="00B025DC"/>
    <w:rsid w:val="00B06E07"/>
    <w:rsid w:val="00B075E9"/>
    <w:rsid w:val="00B1511B"/>
    <w:rsid w:val="00B221D3"/>
    <w:rsid w:val="00B26DA3"/>
    <w:rsid w:val="00B372F9"/>
    <w:rsid w:val="00B47EF1"/>
    <w:rsid w:val="00B55FCB"/>
    <w:rsid w:val="00B60D05"/>
    <w:rsid w:val="00B638FB"/>
    <w:rsid w:val="00B65757"/>
    <w:rsid w:val="00B713FA"/>
    <w:rsid w:val="00B71C51"/>
    <w:rsid w:val="00B72E6C"/>
    <w:rsid w:val="00B74EA7"/>
    <w:rsid w:val="00B75172"/>
    <w:rsid w:val="00B7551D"/>
    <w:rsid w:val="00B76047"/>
    <w:rsid w:val="00B80ED0"/>
    <w:rsid w:val="00B85BEF"/>
    <w:rsid w:val="00B91A48"/>
    <w:rsid w:val="00B92BC3"/>
    <w:rsid w:val="00B95775"/>
    <w:rsid w:val="00B97426"/>
    <w:rsid w:val="00BA42D7"/>
    <w:rsid w:val="00BB022A"/>
    <w:rsid w:val="00BB7F69"/>
    <w:rsid w:val="00BC17DA"/>
    <w:rsid w:val="00BC1E6A"/>
    <w:rsid w:val="00BC2C93"/>
    <w:rsid w:val="00BD2E58"/>
    <w:rsid w:val="00BD39B9"/>
    <w:rsid w:val="00BD7C3C"/>
    <w:rsid w:val="00BE276F"/>
    <w:rsid w:val="00BF15B2"/>
    <w:rsid w:val="00BF2F6B"/>
    <w:rsid w:val="00BF67FF"/>
    <w:rsid w:val="00C00193"/>
    <w:rsid w:val="00C05421"/>
    <w:rsid w:val="00C063E8"/>
    <w:rsid w:val="00C10FEF"/>
    <w:rsid w:val="00C1162E"/>
    <w:rsid w:val="00C1182F"/>
    <w:rsid w:val="00C11A61"/>
    <w:rsid w:val="00C20638"/>
    <w:rsid w:val="00C20BC2"/>
    <w:rsid w:val="00C20ED5"/>
    <w:rsid w:val="00C25E6A"/>
    <w:rsid w:val="00C26074"/>
    <w:rsid w:val="00C33B5B"/>
    <w:rsid w:val="00C37DD3"/>
    <w:rsid w:val="00C46260"/>
    <w:rsid w:val="00C50992"/>
    <w:rsid w:val="00C52C79"/>
    <w:rsid w:val="00C57BBD"/>
    <w:rsid w:val="00C61212"/>
    <w:rsid w:val="00C65A1B"/>
    <w:rsid w:val="00C65FF8"/>
    <w:rsid w:val="00C66071"/>
    <w:rsid w:val="00C7043D"/>
    <w:rsid w:val="00C71E07"/>
    <w:rsid w:val="00C7598B"/>
    <w:rsid w:val="00C86277"/>
    <w:rsid w:val="00C903F8"/>
    <w:rsid w:val="00C90907"/>
    <w:rsid w:val="00C92509"/>
    <w:rsid w:val="00C95F7E"/>
    <w:rsid w:val="00CA107D"/>
    <w:rsid w:val="00CB4C7F"/>
    <w:rsid w:val="00CB5542"/>
    <w:rsid w:val="00CB7461"/>
    <w:rsid w:val="00CC0D21"/>
    <w:rsid w:val="00CC1FD3"/>
    <w:rsid w:val="00CC33E6"/>
    <w:rsid w:val="00CC3536"/>
    <w:rsid w:val="00CC63A0"/>
    <w:rsid w:val="00CC6C5A"/>
    <w:rsid w:val="00CC710D"/>
    <w:rsid w:val="00CD1923"/>
    <w:rsid w:val="00CD2F7A"/>
    <w:rsid w:val="00CD30EB"/>
    <w:rsid w:val="00CD6DBF"/>
    <w:rsid w:val="00CD7474"/>
    <w:rsid w:val="00CF4B1C"/>
    <w:rsid w:val="00D02010"/>
    <w:rsid w:val="00D03CCD"/>
    <w:rsid w:val="00D10645"/>
    <w:rsid w:val="00D13449"/>
    <w:rsid w:val="00D21F5E"/>
    <w:rsid w:val="00D31131"/>
    <w:rsid w:val="00D40C65"/>
    <w:rsid w:val="00D46FFE"/>
    <w:rsid w:val="00D5056C"/>
    <w:rsid w:val="00D54861"/>
    <w:rsid w:val="00D55C2E"/>
    <w:rsid w:val="00D5665C"/>
    <w:rsid w:val="00D56D44"/>
    <w:rsid w:val="00D60F44"/>
    <w:rsid w:val="00D647E2"/>
    <w:rsid w:val="00D67775"/>
    <w:rsid w:val="00D7521E"/>
    <w:rsid w:val="00D75884"/>
    <w:rsid w:val="00D830D8"/>
    <w:rsid w:val="00D865B7"/>
    <w:rsid w:val="00D86AC6"/>
    <w:rsid w:val="00D86DEA"/>
    <w:rsid w:val="00DA2082"/>
    <w:rsid w:val="00DA2E00"/>
    <w:rsid w:val="00DC3973"/>
    <w:rsid w:val="00DC6DF4"/>
    <w:rsid w:val="00DE07CD"/>
    <w:rsid w:val="00DE36AE"/>
    <w:rsid w:val="00DE4560"/>
    <w:rsid w:val="00DE67F8"/>
    <w:rsid w:val="00DF6AC7"/>
    <w:rsid w:val="00E02B57"/>
    <w:rsid w:val="00E1055A"/>
    <w:rsid w:val="00E1279D"/>
    <w:rsid w:val="00E13F5E"/>
    <w:rsid w:val="00E15CD1"/>
    <w:rsid w:val="00E2202A"/>
    <w:rsid w:val="00E2675B"/>
    <w:rsid w:val="00E35207"/>
    <w:rsid w:val="00E40212"/>
    <w:rsid w:val="00E41782"/>
    <w:rsid w:val="00E42940"/>
    <w:rsid w:val="00E43A5F"/>
    <w:rsid w:val="00E67232"/>
    <w:rsid w:val="00E71EE7"/>
    <w:rsid w:val="00E72E42"/>
    <w:rsid w:val="00E755A2"/>
    <w:rsid w:val="00E8054E"/>
    <w:rsid w:val="00E80FBA"/>
    <w:rsid w:val="00E81C00"/>
    <w:rsid w:val="00E84DFD"/>
    <w:rsid w:val="00E9148B"/>
    <w:rsid w:val="00E92A92"/>
    <w:rsid w:val="00E9445B"/>
    <w:rsid w:val="00EA2E38"/>
    <w:rsid w:val="00EA774D"/>
    <w:rsid w:val="00EB29E1"/>
    <w:rsid w:val="00EB7D14"/>
    <w:rsid w:val="00EC0769"/>
    <w:rsid w:val="00EC1993"/>
    <w:rsid w:val="00EC4BA8"/>
    <w:rsid w:val="00EC53C0"/>
    <w:rsid w:val="00ED0A72"/>
    <w:rsid w:val="00EE2147"/>
    <w:rsid w:val="00EE5E71"/>
    <w:rsid w:val="00EF3CB0"/>
    <w:rsid w:val="00EF4396"/>
    <w:rsid w:val="00EF7A8E"/>
    <w:rsid w:val="00EF7B72"/>
    <w:rsid w:val="00F03EE5"/>
    <w:rsid w:val="00F06E8F"/>
    <w:rsid w:val="00F077A2"/>
    <w:rsid w:val="00F10129"/>
    <w:rsid w:val="00F154D1"/>
    <w:rsid w:val="00F155C0"/>
    <w:rsid w:val="00F15A30"/>
    <w:rsid w:val="00F17DB7"/>
    <w:rsid w:val="00F2788C"/>
    <w:rsid w:val="00F3011D"/>
    <w:rsid w:val="00F30F27"/>
    <w:rsid w:val="00F35E69"/>
    <w:rsid w:val="00F4526E"/>
    <w:rsid w:val="00F5347D"/>
    <w:rsid w:val="00F56CBB"/>
    <w:rsid w:val="00F60610"/>
    <w:rsid w:val="00F632BB"/>
    <w:rsid w:val="00F644CE"/>
    <w:rsid w:val="00F67D22"/>
    <w:rsid w:val="00F7094D"/>
    <w:rsid w:val="00F74940"/>
    <w:rsid w:val="00F8440C"/>
    <w:rsid w:val="00F91E2B"/>
    <w:rsid w:val="00F91F72"/>
    <w:rsid w:val="00FA0067"/>
    <w:rsid w:val="00FA551F"/>
    <w:rsid w:val="00FA5D3A"/>
    <w:rsid w:val="00FB6E86"/>
    <w:rsid w:val="00FB7C1C"/>
    <w:rsid w:val="00FC0FD7"/>
    <w:rsid w:val="00FC1ECF"/>
    <w:rsid w:val="00FC234A"/>
    <w:rsid w:val="00FC2E62"/>
    <w:rsid w:val="00FC3562"/>
    <w:rsid w:val="00FE4268"/>
    <w:rsid w:val="00FE5AA8"/>
    <w:rsid w:val="00FE7C2C"/>
    <w:rsid w:val="00FF050C"/>
    <w:rsid w:val="00FF103A"/>
    <w:rsid w:val="00FF43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5:chartTrackingRefBased/>
  <w15:docId w15:val="{C8A1F4C0-5720-46FC-B87E-A4FBD37DC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7FF"/>
    <w:pPr>
      <w:spacing w:after="240"/>
    </w:pPr>
    <w:rPr>
      <w:rFonts w:ascii="Arial" w:hAnsi="Arial"/>
      <w:sz w:val="24"/>
      <w:szCs w:val="24"/>
      <w:lang w:eastAsia="en-US"/>
    </w:rPr>
  </w:style>
  <w:style w:type="paragraph" w:styleId="Heading1">
    <w:name w:val="heading 1"/>
    <w:basedOn w:val="Heading2"/>
    <w:next w:val="Normal"/>
    <w:link w:val="Heading1Char"/>
    <w:qFormat/>
    <w:rsid w:val="004B0665"/>
    <w:pPr>
      <w:keepNext/>
      <w:numPr>
        <w:numId w:val="43"/>
      </w:numPr>
      <w:pBdr>
        <w:bottom w:val="single" w:sz="4" w:space="1" w:color="auto"/>
      </w:pBdr>
      <w:spacing w:before="240"/>
      <w:jc w:val="left"/>
      <w:outlineLvl w:val="0"/>
    </w:pPr>
    <w:rPr>
      <w:rFonts w:ascii="Arial Bold" w:hAnsi="Arial Bold"/>
      <w:color w:val="003366"/>
      <w:sz w:val="28"/>
    </w:rPr>
  </w:style>
  <w:style w:type="paragraph" w:styleId="Heading2">
    <w:name w:val="heading 2"/>
    <w:basedOn w:val="Normal"/>
    <w:next w:val="Normal"/>
    <w:link w:val="Heading2Char"/>
    <w:qFormat/>
    <w:rsid w:val="00993D72"/>
    <w:pPr>
      <w:spacing w:after="120"/>
      <w:jc w:val="both"/>
      <w:outlineLvl w:val="1"/>
    </w:pPr>
    <w:rPr>
      <w:rFonts w:cs="Arial"/>
      <w:b/>
    </w:rPr>
  </w:style>
  <w:style w:type="paragraph" w:styleId="Heading3">
    <w:name w:val="heading 3"/>
    <w:basedOn w:val="Normal"/>
    <w:next w:val="Normal"/>
    <w:qFormat/>
    <w:pPr>
      <w:keepNext/>
      <w:spacing w:before="340"/>
      <w:outlineLvl w:val="2"/>
    </w:pPr>
    <w:rPr>
      <w:rFonts w:cs="Arial"/>
      <w:b/>
      <w:bCs/>
      <w:u w:val="single"/>
    </w:rPr>
  </w:style>
  <w:style w:type="paragraph" w:styleId="Heading4">
    <w:name w:val="heading 4"/>
    <w:basedOn w:val="Normal"/>
    <w:next w:val="Normal"/>
    <w:qFormat/>
    <w:pPr>
      <w:keepNext/>
      <w:spacing w:before="340"/>
      <w:ind w:left="720" w:hanging="720"/>
      <w:outlineLvl w:val="3"/>
    </w:pPr>
    <w:rPr>
      <w:b/>
      <w:bCs/>
    </w:rPr>
  </w:style>
  <w:style w:type="paragraph" w:styleId="Heading5">
    <w:name w:val="heading 5"/>
    <w:next w:val="Normal"/>
    <w:qFormat/>
    <w:pPr>
      <w:keepNext/>
      <w:keepLines/>
      <w:spacing w:before="200" w:after="40" w:line="280" w:lineRule="atLeast"/>
      <w:outlineLvl w:val="4"/>
    </w:pPr>
    <w:rPr>
      <w:rFonts w:ascii="Book Antiqua" w:hAnsi="Book Antiqua"/>
      <w:b/>
      <w:sz w:val="24"/>
      <w:lang w:eastAsia="en-US"/>
    </w:rPr>
  </w:style>
  <w:style w:type="paragraph" w:styleId="Heading6">
    <w:name w:val="heading 6"/>
    <w:basedOn w:val="Normal"/>
    <w:next w:val="Normal"/>
    <w:qFormat/>
    <w:pPr>
      <w:keepNext/>
      <w:spacing w:before="340"/>
      <w:jc w:val="both"/>
      <w:outlineLvl w:val="5"/>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pPr>
      <w:overflowPunct w:val="0"/>
      <w:autoSpaceDE w:val="0"/>
      <w:autoSpaceDN w:val="0"/>
      <w:adjustRightInd w:val="0"/>
      <w:textAlignment w:val="baseline"/>
    </w:pPr>
    <w:rPr>
      <w:rFonts w:ascii="Verdana" w:hAnsi="Verdana"/>
      <w:sz w:val="20"/>
      <w:szCs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uiPriority w:val="99"/>
    <w:rsid w:val="00D647E2"/>
    <w:rPr>
      <w:rFonts w:ascii="Arial" w:hAnsi="Arial"/>
      <w:color w:val="0000FF"/>
      <w:u w:val="single"/>
    </w:rPr>
  </w:style>
  <w:style w:type="character" w:styleId="FollowedHyperlink">
    <w:name w:val="FollowedHyperlink"/>
    <w:rPr>
      <w:color w:val="800080"/>
      <w:u w:val="single"/>
    </w:rPr>
  </w:style>
  <w:style w:type="paragraph" w:styleId="Caption">
    <w:name w:val="caption"/>
    <w:basedOn w:val="Normal"/>
    <w:next w:val="Normal"/>
    <w:qFormat/>
    <w:pPr>
      <w:spacing w:before="340"/>
      <w:ind w:left="720" w:hanging="720"/>
    </w:pPr>
    <w:rPr>
      <w:rFonts w:cs="Arial"/>
      <w:b/>
      <w:bCs/>
      <w:u w:val="single"/>
    </w:rPr>
  </w:style>
  <w:style w:type="paragraph" w:styleId="BodyTextIndent">
    <w:name w:val="Body Text Indent"/>
    <w:basedOn w:val="Normal"/>
    <w:pPr>
      <w:spacing w:before="340"/>
      <w:ind w:left="720" w:hanging="720"/>
    </w:pPr>
    <w:rPr>
      <w:rFonts w:cs="Arial"/>
      <w:b/>
      <w:bCs/>
    </w:rPr>
  </w:style>
  <w:style w:type="paragraph" w:customStyle="1" w:styleId="bullet1">
    <w:name w:val="bullet 1"/>
    <w:basedOn w:val="Normal"/>
    <w:pPr>
      <w:numPr>
        <w:numId w:val="2"/>
      </w:numPr>
      <w:tabs>
        <w:tab w:val="left" w:pos="425"/>
      </w:tabs>
      <w:spacing w:before="60" w:after="60"/>
    </w:pPr>
    <w:rPr>
      <w:rFonts w:ascii="Book Antiqua" w:hAnsi="Book Antiqua"/>
      <w:szCs w:val="20"/>
    </w:rPr>
  </w:style>
  <w:style w:type="paragraph" w:styleId="BodyTextIndent2">
    <w:name w:val="Body Text Indent 2"/>
    <w:basedOn w:val="Normal"/>
    <w:pPr>
      <w:tabs>
        <w:tab w:val="left" w:pos="9027"/>
      </w:tabs>
      <w:ind w:left="567"/>
      <w:jc w:val="both"/>
    </w:pPr>
    <w:rPr>
      <w:szCs w:val="20"/>
    </w:rPr>
  </w:style>
  <w:style w:type="paragraph" w:customStyle="1" w:styleId="DHSBulletText">
    <w:name w:val="DHS Bullet Text"/>
    <w:basedOn w:val="Normal"/>
    <w:next w:val="Normal"/>
    <w:pPr>
      <w:widowControl w:val="0"/>
      <w:overflowPunct w:val="0"/>
      <w:autoSpaceDE w:val="0"/>
      <w:autoSpaceDN w:val="0"/>
      <w:adjustRightInd w:val="0"/>
      <w:ind w:left="142" w:hanging="142"/>
      <w:textAlignment w:val="baseline"/>
    </w:pPr>
    <w:rPr>
      <w:rFonts w:ascii="Verdana" w:hAnsi="Verdana"/>
      <w:sz w:val="17"/>
      <w:szCs w:val="20"/>
    </w:rPr>
  </w:style>
  <w:style w:type="paragraph" w:customStyle="1" w:styleId="DHSNumberingOutline">
    <w:name w:val="DHS Numbering Outline"/>
    <w:basedOn w:val="Normal"/>
    <w:pPr>
      <w:widowControl w:val="0"/>
      <w:tabs>
        <w:tab w:val="num" w:pos="567"/>
      </w:tabs>
      <w:overflowPunct w:val="0"/>
      <w:autoSpaceDE w:val="0"/>
      <w:autoSpaceDN w:val="0"/>
      <w:adjustRightInd w:val="0"/>
      <w:ind w:left="567" w:hanging="567"/>
      <w:textAlignment w:val="baseline"/>
    </w:pPr>
    <w:rPr>
      <w:rFonts w:ascii="Verdana" w:hAnsi="Verdana"/>
      <w:sz w:val="19"/>
      <w:szCs w:val="20"/>
    </w:rPr>
  </w:style>
  <w:style w:type="paragraph" w:customStyle="1" w:styleId="Para">
    <w:name w:val="Para"/>
    <w:basedOn w:val="Normal"/>
    <w:pPr>
      <w:numPr>
        <w:numId w:val="7"/>
      </w:numPr>
      <w:jc w:val="both"/>
    </w:pPr>
    <w:rPr>
      <w:szCs w:val="20"/>
    </w:rPr>
  </w:style>
  <w:style w:type="paragraph" w:customStyle="1" w:styleId="TableCaption">
    <w:name w:val="Table: Caption"/>
    <w:basedOn w:val="Normal"/>
    <w:next w:val="Normal"/>
    <w:pPr>
      <w:keepNext/>
      <w:keepLines/>
      <w:spacing w:before="240" w:after="120" w:line="240" w:lineRule="atLeast"/>
    </w:pPr>
    <w:rPr>
      <w:rFonts w:ascii="Book Antiqua" w:hAnsi="Book Antiqua"/>
      <w:b/>
      <w:sz w:val="20"/>
      <w:szCs w:val="20"/>
    </w:rPr>
  </w:style>
  <w:style w:type="paragraph" w:styleId="ListNumber">
    <w:name w:val="List Number"/>
    <w:basedOn w:val="Normal"/>
    <w:pPr>
      <w:spacing w:after="120"/>
      <w:ind w:left="720" w:hanging="720"/>
    </w:pPr>
    <w:rPr>
      <w:rFonts w:ascii="Verdana" w:hAnsi="Verdana"/>
      <w:sz w:val="20"/>
      <w:szCs w:val="20"/>
    </w:rPr>
  </w:style>
  <w:style w:type="paragraph" w:styleId="ListBullet">
    <w:name w:val="List Bullet"/>
    <w:basedOn w:val="Normal"/>
    <w:autoRedefine/>
    <w:pPr>
      <w:numPr>
        <w:numId w:val="8"/>
      </w:numPr>
      <w:tabs>
        <w:tab w:val="clear" w:pos="360"/>
        <w:tab w:val="left" w:pos="851"/>
      </w:tabs>
      <w:spacing w:before="120" w:after="60"/>
      <w:ind w:left="851" w:hanging="284"/>
      <w:jc w:val="both"/>
    </w:pPr>
    <w:rPr>
      <w:rFonts w:ascii="Verdana" w:hAnsi="Verdana"/>
      <w:sz w:val="20"/>
    </w:rPr>
  </w:style>
  <w:style w:type="paragraph" w:customStyle="1" w:styleId="Memo-head1">
    <w:name w:val="Memo - head 1"/>
    <w:basedOn w:val="Normal"/>
    <w:rPr>
      <w:rFonts w:ascii="Verdana" w:hAnsi="Verdana"/>
      <w:b/>
      <w:sz w:val="20"/>
      <w:szCs w:val="20"/>
    </w:rPr>
  </w:style>
  <w:style w:type="paragraph" w:customStyle="1" w:styleId="DHSFileRef">
    <w:name w:val="DHS FileRef"/>
    <w:next w:val="Normal"/>
    <w:rPr>
      <w:caps/>
      <w:color w:val="000080"/>
      <w:sz w:val="16"/>
      <w:lang w:eastAsia="en-US"/>
    </w:rPr>
  </w:style>
  <w:style w:type="paragraph" w:customStyle="1" w:styleId="DHSHDHeading2">
    <w:name w:val="DHS HD Heading 2"/>
    <w:rPr>
      <w:color w:val="000080"/>
      <w:kern w:val="4"/>
      <w:sz w:val="24"/>
      <w:lang w:eastAsia="en-US"/>
    </w:rPr>
  </w:style>
  <w:style w:type="paragraph" w:customStyle="1" w:styleId="Bulletpoints">
    <w:name w:val="Bullet points"/>
    <w:basedOn w:val="Normal"/>
    <w:pPr>
      <w:tabs>
        <w:tab w:val="num" w:pos="360"/>
      </w:tabs>
      <w:spacing w:after="300" w:line="300" w:lineRule="exact"/>
      <w:ind w:left="360" w:hanging="360"/>
      <w:jc w:val="both"/>
    </w:pPr>
    <w:rPr>
      <w:rFonts w:eastAsia="Times"/>
      <w:sz w:val="22"/>
      <w:szCs w:val="20"/>
    </w:rPr>
  </w:style>
  <w:style w:type="paragraph" w:customStyle="1" w:styleId="Bullet">
    <w:name w:val="Bullet"/>
    <w:basedOn w:val="Normal"/>
    <w:pPr>
      <w:tabs>
        <w:tab w:val="num" w:pos="360"/>
      </w:tabs>
      <w:spacing w:after="120" w:line="360" w:lineRule="auto"/>
      <w:ind w:left="360" w:hanging="360"/>
      <w:jc w:val="both"/>
    </w:pPr>
    <w:rPr>
      <w:sz w:val="22"/>
      <w:szCs w:val="20"/>
      <w:lang w:eastAsia="zh-CN"/>
    </w:rPr>
  </w:style>
  <w:style w:type="character" w:styleId="PageNumber">
    <w:name w:val="page number"/>
    <w:rPr>
      <w:rFonts w:ascii="Arial" w:hAnsi="Arial"/>
      <w:sz w:val="22"/>
    </w:rPr>
  </w:style>
  <w:style w:type="paragraph" w:customStyle="1" w:styleId="Attributetext">
    <w:name w:val="Attribute text"/>
    <w:basedOn w:val="Normal"/>
    <w:pPr>
      <w:widowControl w:val="0"/>
      <w:numPr>
        <w:ilvl w:val="12"/>
      </w:numPr>
      <w:spacing w:before="40" w:after="40"/>
      <w:ind w:left="57"/>
    </w:pPr>
    <w:rPr>
      <w:rFonts w:ascii="Book Antiqua" w:hAnsi="Book Antiqua"/>
      <w:sz w:val="20"/>
      <w:szCs w:val="20"/>
    </w:rPr>
  </w:style>
  <w:style w:type="paragraph" w:customStyle="1" w:styleId="Attributetitle">
    <w:name w:val="Attribute title"/>
    <w:basedOn w:val="Normal"/>
    <w:pPr>
      <w:widowControl w:val="0"/>
      <w:numPr>
        <w:ilvl w:val="12"/>
      </w:numPr>
      <w:tabs>
        <w:tab w:val="left" w:pos="2268"/>
        <w:tab w:val="left" w:pos="3686"/>
        <w:tab w:val="left" w:pos="5529"/>
      </w:tabs>
      <w:spacing w:before="40" w:after="40"/>
    </w:pPr>
    <w:rPr>
      <w:rFonts w:ascii="Book Antiqua" w:hAnsi="Book Antiqua"/>
      <w:b/>
      <w:i/>
      <w:sz w:val="22"/>
      <w:szCs w:val="20"/>
    </w:rPr>
  </w:style>
  <w:style w:type="paragraph" w:customStyle="1" w:styleId="DEtitle">
    <w:name w:val="DE title"/>
    <w:basedOn w:val="Normal"/>
    <w:next w:val="Normal"/>
    <w:pPr>
      <w:pageBreakBefore/>
      <w:widowControl w:val="0"/>
      <w:spacing w:before="120" w:after="120"/>
    </w:pPr>
    <w:rPr>
      <w:b/>
      <w:sz w:val="36"/>
      <w:szCs w:val="20"/>
    </w:rPr>
  </w:style>
  <w:style w:type="paragraph" w:styleId="BodyText">
    <w:name w:val="Body Text"/>
    <w:basedOn w:val="Normal"/>
    <w:rPr>
      <w:rFonts w:ascii="Verdana" w:hAnsi="Verdana"/>
      <w:sz w:val="18"/>
      <w:szCs w:val="20"/>
    </w:rPr>
  </w:style>
  <w:style w:type="paragraph" w:styleId="BodyText2">
    <w:name w:val="Body Text 2"/>
    <w:basedOn w:val="Normal"/>
    <w:pPr>
      <w:ind w:right="26"/>
      <w:jc w:val="both"/>
    </w:pPr>
    <w:rPr>
      <w:rFonts w:cs="Arial"/>
      <w:sz w:val="22"/>
      <w:szCs w:val="22"/>
    </w:rPr>
  </w:style>
  <w:style w:type="paragraph" w:customStyle="1" w:styleId="DHSText10pt">
    <w:name w:val="DHS Text 10pt"/>
    <w:basedOn w:val="Normal"/>
    <w:pPr>
      <w:widowControl w:val="0"/>
      <w:overflowPunct w:val="0"/>
      <w:autoSpaceDE w:val="0"/>
      <w:autoSpaceDN w:val="0"/>
      <w:adjustRightInd w:val="0"/>
      <w:textAlignment w:val="baseline"/>
    </w:pPr>
    <w:rPr>
      <w:rFonts w:ascii="Verdana" w:hAnsi="Verdana"/>
      <w:sz w:val="20"/>
      <w:szCs w:val="20"/>
    </w:rPr>
  </w:style>
  <w:style w:type="paragraph" w:customStyle="1" w:styleId="DHSHeading1">
    <w:name w:val="DHS Heading 1"/>
    <w:basedOn w:val="Normal"/>
    <w:next w:val="Normal"/>
    <w:pPr>
      <w:widowControl w:val="0"/>
      <w:overflowPunct w:val="0"/>
      <w:autoSpaceDE w:val="0"/>
      <w:autoSpaceDN w:val="0"/>
      <w:adjustRightInd w:val="0"/>
      <w:spacing w:after="120" w:line="280" w:lineRule="exact"/>
      <w:textAlignment w:val="baseline"/>
    </w:pPr>
    <w:rPr>
      <w:rFonts w:ascii="Verdana" w:hAnsi="Verdana"/>
      <w:b/>
      <w:sz w:val="20"/>
      <w:szCs w:val="20"/>
    </w:rPr>
  </w:style>
  <w:style w:type="paragraph" w:customStyle="1" w:styleId="DHSReportHd2">
    <w:name w:val="DHS Report Hd 2"/>
    <w:basedOn w:val="Normal"/>
    <w:next w:val="Normal"/>
    <w:rPr>
      <w:rFonts w:ascii="Verdana" w:hAnsi="Verdana"/>
      <w:b/>
      <w:szCs w:val="20"/>
    </w:rPr>
  </w:style>
  <w:style w:type="paragraph" w:customStyle="1" w:styleId="DHSHeading2">
    <w:name w:val="DHS Heading 2"/>
    <w:basedOn w:val="DHSHeading1"/>
    <w:next w:val="Normal"/>
    <w:pPr>
      <w:spacing w:line="240" w:lineRule="exact"/>
    </w:pPr>
    <w:rPr>
      <w:sz w:val="18"/>
    </w:rPr>
  </w:style>
  <w:style w:type="paragraph" w:styleId="NormalWeb">
    <w:name w:val="Normal (Web)"/>
    <w:basedOn w:val="Normal"/>
    <w:pPr>
      <w:spacing w:before="100" w:beforeAutospacing="1" w:after="100" w:afterAutospacing="1"/>
    </w:pPr>
    <w:rPr>
      <w:color w:val="000000"/>
    </w:rPr>
  </w:style>
  <w:style w:type="paragraph" w:customStyle="1" w:styleId="Suboutcome">
    <w:name w:val="Sub outcome"/>
    <w:basedOn w:val="Normal"/>
    <w:pPr>
      <w:tabs>
        <w:tab w:val="num" w:pos="1800"/>
      </w:tabs>
      <w:ind w:left="1800" w:hanging="360"/>
    </w:pPr>
    <w:rPr>
      <w:sz w:val="32"/>
      <w:szCs w:val="32"/>
      <w:lang w:eastAsia="en-AU"/>
    </w:rPr>
  </w:style>
  <w:style w:type="paragraph" w:customStyle="1" w:styleId="Outcome">
    <w:name w:val="Outcome"/>
    <w:basedOn w:val="Normal"/>
    <w:pPr>
      <w:tabs>
        <w:tab w:val="num" w:pos="360"/>
      </w:tabs>
      <w:ind w:left="360" w:hanging="360"/>
    </w:pPr>
    <w:rPr>
      <w:sz w:val="32"/>
      <w:szCs w:val="32"/>
      <w:lang w:eastAsia="en-AU"/>
    </w:rPr>
  </w:style>
  <w:style w:type="paragraph" w:styleId="BodyText3">
    <w:name w:val="Body Text 3"/>
    <w:basedOn w:val="Normal"/>
    <w:pPr>
      <w:spacing w:before="340"/>
      <w:jc w:val="both"/>
    </w:pPr>
    <w:rPr>
      <w:rFonts w:cs="Arial"/>
      <w:b/>
      <w:bCs/>
    </w:rPr>
  </w:style>
  <w:style w:type="paragraph" w:customStyle="1" w:styleId="VersoFooter">
    <w:name w:val="Verso Footer"/>
    <w:basedOn w:val="Footer"/>
    <w:next w:val="Normal"/>
    <w:pPr>
      <w:pBdr>
        <w:top w:val="single" w:sz="6" w:space="6" w:color="auto"/>
      </w:pBdr>
      <w:tabs>
        <w:tab w:val="clear" w:pos="4153"/>
        <w:tab w:val="clear" w:pos="8306"/>
        <w:tab w:val="left" w:pos="851"/>
      </w:tabs>
      <w:jc w:val="both"/>
    </w:pPr>
    <w:rPr>
      <w:rFonts w:ascii="Univers (W1)" w:hAnsi="Univers (W1)"/>
      <w:b/>
      <w:sz w:val="20"/>
      <w:szCs w:val="20"/>
      <w:lang w:val="en-NZ" w:eastAsia="en-AU"/>
    </w:rPr>
  </w:style>
  <w:style w:type="paragraph" w:customStyle="1" w:styleId="Default">
    <w:name w:val="Default"/>
    <w:pPr>
      <w:autoSpaceDE w:val="0"/>
      <w:autoSpaceDN w:val="0"/>
      <w:adjustRightInd w:val="0"/>
    </w:pPr>
    <w:rPr>
      <w:rFonts w:ascii="NIAGPC+Verdana" w:hAnsi="NIAGPC+Verdana"/>
      <w:color w:val="000000"/>
      <w:sz w:val="24"/>
      <w:szCs w:val="24"/>
      <w:lang w:val="en-US" w:eastAsia="en-US"/>
    </w:rPr>
  </w:style>
  <w:style w:type="paragraph" w:customStyle="1" w:styleId="formattedparas">
    <w:name w:val="formatted paras"/>
    <w:basedOn w:val="Normal"/>
    <w:pPr>
      <w:tabs>
        <w:tab w:val="num" w:pos="0"/>
        <w:tab w:val="left" w:pos="284"/>
        <w:tab w:val="num" w:pos="851"/>
        <w:tab w:val="left" w:pos="8931"/>
      </w:tabs>
      <w:spacing w:after="140" w:line="300" w:lineRule="exact"/>
      <w:jc w:val="both"/>
    </w:pPr>
    <w:rPr>
      <w:szCs w:val="20"/>
    </w:rPr>
  </w:style>
  <w:style w:type="paragraph" w:styleId="BodyTextIndent3">
    <w:name w:val="Body Text Indent 3"/>
    <w:basedOn w:val="Normal"/>
    <w:pPr>
      <w:tabs>
        <w:tab w:val="left" w:pos="6300"/>
      </w:tabs>
      <w:ind w:left="105"/>
      <w:jc w:val="both"/>
    </w:pPr>
    <w:rPr>
      <w:rFonts w:cs="Arial"/>
    </w:rPr>
  </w:style>
  <w:style w:type="table" w:styleId="TableGrid">
    <w:name w:val="Table Grid"/>
    <w:basedOn w:val="TableNormal"/>
    <w:rsid w:val="005818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67D22"/>
    <w:rPr>
      <w:rFonts w:ascii="Tahoma" w:hAnsi="Tahoma" w:cs="Tahoma"/>
      <w:sz w:val="16"/>
      <w:szCs w:val="16"/>
    </w:rPr>
  </w:style>
  <w:style w:type="paragraph" w:customStyle="1" w:styleId="CharCharChar">
    <w:name w:val="Char Char Char"/>
    <w:basedOn w:val="Normal"/>
    <w:rsid w:val="004D56C2"/>
    <w:pPr>
      <w:widowControl w:val="0"/>
      <w:adjustRightInd w:val="0"/>
      <w:spacing w:line="360" w:lineRule="atLeast"/>
      <w:jc w:val="both"/>
      <w:textAlignment w:val="baseline"/>
    </w:pPr>
    <w:rPr>
      <w:rFonts w:cs="Arial"/>
      <w:sz w:val="22"/>
      <w:szCs w:val="22"/>
    </w:rPr>
  </w:style>
  <w:style w:type="paragraph" w:styleId="TOC1">
    <w:name w:val="toc 1"/>
    <w:basedOn w:val="Normal"/>
    <w:next w:val="Normal"/>
    <w:autoRedefine/>
    <w:uiPriority w:val="39"/>
    <w:rsid w:val="00CC710D"/>
    <w:pPr>
      <w:tabs>
        <w:tab w:val="left" w:pos="480"/>
        <w:tab w:val="right" w:leader="dot" w:pos="9016"/>
      </w:tabs>
      <w:spacing w:after="120"/>
    </w:pPr>
    <w:rPr>
      <w:rFonts w:cs="Arial"/>
      <w:noProof/>
    </w:rPr>
  </w:style>
  <w:style w:type="paragraph" w:styleId="TOC2">
    <w:name w:val="toc 2"/>
    <w:basedOn w:val="Normal"/>
    <w:next w:val="Normal"/>
    <w:autoRedefine/>
    <w:uiPriority w:val="39"/>
    <w:rsid w:val="00CD7474"/>
    <w:pPr>
      <w:ind w:left="240"/>
    </w:pPr>
  </w:style>
  <w:style w:type="paragraph" w:customStyle="1" w:styleId="Style1">
    <w:name w:val="Style1"/>
    <w:basedOn w:val="Heading1"/>
    <w:rsid w:val="003E1754"/>
    <w:pPr>
      <w:spacing w:before="0"/>
    </w:pPr>
  </w:style>
  <w:style w:type="character" w:customStyle="1" w:styleId="Heading2Char">
    <w:name w:val="Heading 2 Char"/>
    <w:link w:val="Heading2"/>
    <w:rsid w:val="00993D72"/>
    <w:rPr>
      <w:rFonts w:ascii="Arial" w:hAnsi="Arial" w:cs="Arial"/>
      <w:b/>
      <w:sz w:val="24"/>
      <w:szCs w:val="24"/>
      <w:lang w:val="en-AU" w:eastAsia="en-US" w:bidi="ar-SA"/>
    </w:rPr>
  </w:style>
  <w:style w:type="character" w:customStyle="1" w:styleId="Heading1Char">
    <w:name w:val="Heading 1 Char"/>
    <w:link w:val="Heading1"/>
    <w:rsid w:val="004B0665"/>
    <w:rPr>
      <w:rFonts w:ascii="Arial Bold" w:hAnsi="Arial Bold" w:cs="Arial"/>
      <w:b/>
      <w:color w:val="003366"/>
      <w:sz w:val="28"/>
      <w:szCs w:val="24"/>
      <w:lang w:eastAsia="en-US"/>
    </w:rPr>
  </w:style>
  <w:style w:type="paragraph" w:customStyle="1" w:styleId="paragraph">
    <w:name w:val="paragraph"/>
    <w:basedOn w:val="Normal"/>
    <w:rsid w:val="00E755A2"/>
    <w:pPr>
      <w:spacing w:before="100" w:beforeAutospacing="1" w:after="100" w:afterAutospacing="1"/>
    </w:pPr>
    <w:rPr>
      <w:rFonts w:ascii="Times New Roman" w:hAnsi="Times New Roman"/>
      <w:lang w:eastAsia="en-AU"/>
    </w:rPr>
  </w:style>
  <w:style w:type="paragraph" w:customStyle="1" w:styleId="subsection">
    <w:name w:val="subsection"/>
    <w:basedOn w:val="Normal"/>
    <w:rsid w:val="00E755A2"/>
    <w:pPr>
      <w:spacing w:before="100" w:beforeAutospacing="1" w:after="100" w:afterAutospacing="1"/>
    </w:pPr>
    <w:rPr>
      <w:rFonts w:ascii="Times New Roman" w:hAnsi="Times New Roman"/>
      <w:lang w:eastAsia="en-AU"/>
    </w:rPr>
  </w:style>
  <w:style w:type="character" w:customStyle="1" w:styleId="apple-converted-space">
    <w:name w:val="apple-converted-space"/>
    <w:rsid w:val="00E755A2"/>
  </w:style>
  <w:style w:type="paragraph" w:customStyle="1" w:styleId="paragraphsub">
    <w:name w:val="paragraphsub"/>
    <w:basedOn w:val="Normal"/>
    <w:rsid w:val="00E755A2"/>
    <w:pPr>
      <w:spacing w:before="100" w:beforeAutospacing="1" w:after="100" w:afterAutospacing="1"/>
    </w:pPr>
    <w:rPr>
      <w:rFonts w:ascii="Times New Roman" w:hAnsi="Times New Roman"/>
      <w:lang w:eastAsia="en-AU"/>
    </w:rPr>
  </w:style>
  <w:style w:type="paragraph" w:customStyle="1" w:styleId="acthead5">
    <w:name w:val="acthead5"/>
    <w:basedOn w:val="Normal"/>
    <w:rsid w:val="005E6051"/>
    <w:pPr>
      <w:spacing w:before="100" w:beforeAutospacing="1" w:after="100" w:afterAutospacing="1"/>
    </w:pPr>
    <w:rPr>
      <w:rFonts w:ascii="Times New Roman" w:hAnsi="Times New Roman"/>
      <w:lang w:eastAsia="en-AU"/>
    </w:rPr>
  </w:style>
  <w:style w:type="character" w:customStyle="1" w:styleId="charsectno">
    <w:name w:val="charsectno"/>
    <w:rsid w:val="005E6051"/>
  </w:style>
  <w:style w:type="paragraph" w:styleId="ListParagraph">
    <w:name w:val="List Paragraph"/>
    <w:basedOn w:val="Normal"/>
    <w:uiPriority w:val="34"/>
    <w:qFormat/>
    <w:rsid w:val="00361A80"/>
    <w:pPr>
      <w:widowControl w:val="0"/>
      <w:spacing w:after="0"/>
    </w:pPr>
    <w:rPr>
      <w:rFonts w:ascii="Calibri" w:eastAsia="Calibri" w:hAnsi="Calibri"/>
      <w:sz w:val="22"/>
      <w:szCs w:val="22"/>
      <w:lang w:val="en-US"/>
    </w:rPr>
  </w:style>
  <w:style w:type="character" w:styleId="CommentReference">
    <w:name w:val="annotation reference"/>
    <w:uiPriority w:val="99"/>
    <w:unhideWhenUsed/>
    <w:rsid w:val="00361A80"/>
    <w:rPr>
      <w:sz w:val="16"/>
      <w:szCs w:val="16"/>
    </w:rPr>
  </w:style>
  <w:style w:type="paragraph" w:styleId="CommentText">
    <w:name w:val="annotation text"/>
    <w:basedOn w:val="Normal"/>
    <w:link w:val="CommentTextChar"/>
    <w:uiPriority w:val="99"/>
    <w:unhideWhenUsed/>
    <w:rsid w:val="00361A80"/>
    <w:pPr>
      <w:widowControl w:val="0"/>
      <w:spacing w:after="0"/>
    </w:pPr>
    <w:rPr>
      <w:rFonts w:ascii="Calibri" w:eastAsia="Calibri" w:hAnsi="Calibri"/>
      <w:sz w:val="20"/>
      <w:szCs w:val="20"/>
      <w:lang w:val="en-US"/>
    </w:rPr>
  </w:style>
  <w:style w:type="character" w:customStyle="1" w:styleId="CommentTextChar">
    <w:name w:val="Comment Text Char"/>
    <w:link w:val="CommentText"/>
    <w:uiPriority w:val="99"/>
    <w:rsid w:val="00361A80"/>
    <w:rPr>
      <w:rFonts w:ascii="Calibri" w:eastAsia="Calibri" w:hAnsi="Calibri"/>
      <w:lang w:val="en-US" w:eastAsia="en-US"/>
    </w:rPr>
  </w:style>
  <w:style w:type="character" w:styleId="Strong">
    <w:name w:val="Strong"/>
    <w:qFormat/>
    <w:rsid w:val="00A467E8"/>
    <w:rPr>
      <w:b/>
      <w:bCs/>
    </w:rPr>
  </w:style>
  <w:style w:type="paragraph" w:styleId="TOCHeading">
    <w:name w:val="TOC Heading"/>
    <w:basedOn w:val="Heading1"/>
    <w:next w:val="Normal"/>
    <w:uiPriority w:val="39"/>
    <w:unhideWhenUsed/>
    <w:qFormat/>
    <w:rsid w:val="009E0F20"/>
    <w:pPr>
      <w:keepLines/>
      <w:numPr>
        <w:numId w:val="0"/>
      </w:numPr>
      <w:pBdr>
        <w:bottom w:val="none" w:sz="0" w:space="0" w:color="auto"/>
      </w:pBdr>
      <w:spacing w:after="0" w:line="259" w:lineRule="auto"/>
      <w:outlineLvl w:val="9"/>
    </w:pPr>
    <w:rPr>
      <w:rFonts w:asciiTheme="majorHAnsi" w:eastAsiaTheme="majorEastAsia" w:hAnsiTheme="majorHAnsi" w:cstheme="majorBidi"/>
      <w:b w:val="0"/>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315245">
      <w:bodyDiv w:val="1"/>
      <w:marLeft w:val="0"/>
      <w:marRight w:val="0"/>
      <w:marTop w:val="0"/>
      <w:marBottom w:val="0"/>
      <w:divBdr>
        <w:top w:val="none" w:sz="0" w:space="0" w:color="auto"/>
        <w:left w:val="none" w:sz="0" w:space="0" w:color="auto"/>
        <w:bottom w:val="none" w:sz="0" w:space="0" w:color="auto"/>
        <w:right w:val="none" w:sz="0" w:space="0" w:color="auto"/>
      </w:divBdr>
    </w:div>
    <w:div w:id="202443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6E923-ED96-4FDC-9574-CA6187ADD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2024</Words>
  <Characters>11474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PLAC Operational Guidelines</vt:lpstr>
    </vt:vector>
  </TitlesOfParts>
  <Company>Department of Health</Company>
  <LinksUpToDate>false</LinksUpToDate>
  <CharactersWithSpaces>13472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Prostheses List Advisory Committee (PLAC) Operational Guidelines</dc:title>
  <dc:subject>Prostheses List Advisory Committee</dc:subject>
  <dc:creator>Australian Government Department of Health</dc:creator>
  <cp:keywords/>
  <cp:revision>3</cp:revision>
  <cp:lastPrinted>2016-12-05T03:31:00Z</cp:lastPrinted>
  <dcterms:created xsi:type="dcterms:W3CDTF">2019-07-09T06:12:00Z</dcterms:created>
  <dcterms:modified xsi:type="dcterms:W3CDTF">2020-02-18T00:27:00Z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Precis">
    <vt:lpwstr>Minutes - NHIG meeting 7 September 2005</vt:lpwstr>
  </property>
  <property fmtid="{D5CDD505-2E9C-101B-9397-08002B2CF9AE}" pid="3" name="DWDocClass">
    <vt:lpwstr>PSPAW</vt:lpwstr>
  </property>
  <property fmtid="{D5CDD505-2E9C-101B-9397-08002B2CF9AE}" pid="4" name="DWDocType">
    <vt:lpwstr>Word</vt:lpwstr>
  </property>
  <property fmtid="{D5CDD505-2E9C-101B-9397-08002B2CF9AE}" pid="5" name="DWDocAuthor">
    <vt:lpwstr/>
  </property>
  <property fmtid="{D5CDD505-2E9C-101B-9397-08002B2CF9AE}" pid="6" name="DWDocNo">
    <vt:i4>419380</vt:i4>
  </property>
  <property fmtid="{D5CDD505-2E9C-101B-9397-08002B2CF9AE}" pid="7" name="DWDocSetID">
    <vt:i4>336516</vt:i4>
  </property>
  <property fmtid="{D5CDD505-2E9C-101B-9397-08002B2CF9AE}" pid="8" name="DWDocVersion">
    <vt:i4>5</vt:i4>
  </property>
  <property fmtid="{D5CDD505-2E9C-101B-9397-08002B2CF9AE}" pid="9" name="DMSDOCTYPE">
    <vt:lpwstr/>
  </property>
  <property fmtid="{D5CDD505-2E9C-101B-9397-08002B2CF9AE}" pid="10" name="DraftType">
    <vt:lpwstr/>
  </property>
  <property fmtid="{D5CDD505-2E9C-101B-9397-08002B2CF9AE}" pid="11" name="WPLUSServerName">
    <vt:lpwstr/>
  </property>
  <property fmtid="{D5CDD505-2E9C-101B-9397-08002B2CF9AE}" pid="12" name="WPLUSDataBaseName">
    <vt:lpwstr/>
  </property>
  <property fmtid="{D5CDD505-2E9C-101B-9397-08002B2CF9AE}" pid="13" name="WPLUSDocumentUNID">
    <vt:lpwstr/>
  </property>
  <property fmtid="{D5CDD505-2E9C-101B-9397-08002B2CF9AE}" pid="14" name="NeverSavedToNT">
    <vt:lpwstr/>
  </property>
</Properties>
</file>