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91CAA" w14:textId="685E4474" w:rsidR="00D17A4F" w:rsidRPr="003155C0" w:rsidRDefault="007832B7" w:rsidP="001E1AFD">
      <w:pPr>
        <w:pStyle w:val="Heading1"/>
      </w:pPr>
      <w:r w:rsidRPr="003155C0">
        <w:t>PHLN guidance</w:t>
      </w:r>
      <w:r w:rsidR="00D17A4F" w:rsidRPr="003155C0">
        <w:t xml:space="preserve"> regarding Mycobacterium chimaera &amp; heater-cooler units</w:t>
      </w:r>
    </w:p>
    <w:p w14:paraId="09DD703D" w14:textId="77777777" w:rsidR="00D17A4F" w:rsidRDefault="00D17A4F" w:rsidP="00D17A4F">
      <w:pPr>
        <w:spacing w:after="0"/>
        <w:rPr>
          <w:b/>
        </w:rPr>
      </w:pPr>
    </w:p>
    <w:p w14:paraId="1AF135D5" w14:textId="540C0B6C" w:rsidR="00BD18B9" w:rsidRPr="003633AC" w:rsidRDefault="007832B7" w:rsidP="001E1AFD">
      <w:pPr>
        <w:pStyle w:val="Heading2"/>
      </w:pPr>
      <w:r>
        <w:t>Background</w:t>
      </w:r>
    </w:p>
    <w:p w14:paraId="32AAEFAA" w14:textId="4096A059" w:rsidR="00F414BC" w:rsidRPr="00E46708" w:rsidRDefault="00C57ED3" w:rsidP="00032686">
      <w:pPr>
        <w:spacing w:after="0"/>
        <w:rPr>
          <w:vertAlign w:val="superscript"/>
        </w:rPr>
      </w:pPr>
      <w:r>
        <w:t xml:space="preserve">The development of </w:t>
      </w:r>
      <w:r w:rsidR="00852FF8">
        <w:t xml:space="preserve">laboratory guidelines for addressing the </w:t>
      </w:r>
      <w:r>
        <w:t>colonisation</w:t>
      </w:r>
      <w:r w:rsidR="00852FF8">
        <w:t xml:space="preserve"> of HCUs</w:t>
      </w:r>
      <w:r>
        <w:t xml:space="preserve"> by </w:t>
      </w:r>
      <w:r w:rsidR="00293EC8">
        <w:t>M</w:t>
      </w:r>
      <w:r w:rsidR="00293EC8">
        <w:rPr>
          <w:i/>
        </w:rPr>
        <w:t>ycobacterium</w:t>
      </w:r>
      <w:r>
        <w:rPr>
          <w:i/>
        </w:rPr>
        <w:t xml:space="preserve"> chimaera </w:t>
      </w:r>
      <w:r w:rsidR="00293EC8">
        <w:t>must balance</w:t>
      </w:r>
      <w:r w:rsidR="005B206D">
        <w:t xml:space="preserve"> divergent</w:t>
      </w:r>
      <w:r>
        <w:t xml:space="preserve"> considerations. </w:t>
      </w:r>
      <w:r w:rsidR="00293EC8">
        <w:t>On the one hand, i</w:t>
      </w:r>
      <w:r>
        <w:t xml:space="preserve">nfection of prostheses by </w:t>
      </w:r>
      <w:r>
        <w:rPr>
          <w:i/>
        </w:rPr>
        <w:t>M. chimaera</w:t>
      </w:r>
      <w:r>
        <w:t xml:space="preserve"> represents a significant preventable nosocomial disease that should be avoided.</w:t>
      </w:r>
      <w:r w:rsidR="00E46708">
        <w:rPr>
          <w:vertAlign w:val="superscript"/>
        </w:rPr>
        <w:t>1</w:t>
      </w:r>
      <w:r>
        <w:t xml:space="preserve"> </w:t>
      </w:r>
      <w:r w:rsidR="005B206D">
        <w:t>Furthermore, HCUs represent</w:t>
      </w:r>
      <w:r w:rsidR="00F414BC">
        <w:t xml:space="preserve"> large ventilated reservoirs of warmed stagnant water, which are inherently unsafe in the healthcare setting. A recent review catalogues a litany of water-related nosocomial infections by Gram-neg</w:t>
      </w:r>
      <w:r w:rsidR="00293EC8">
        <w:t>ative bacteria, legionella, non-tuberculous mycobacteria (NTM)</w:t>
      </w:r>
      <w:r w:rsidR="00F414BC">
        <w:t xml:space="preserve"> and fungi.</w:t>
      </w:r>
      <w:r w:rsidR="00E46708">
        <w:rPr>
          <w:vertAlign w:val="superscript"/>
        </w:rPr>
        <w:t>2</w:t>
      </w:r>
    </w:p>
    <w:p w14:paraId="62B92AF1" w14:textId="77777777" w:rsidR="00F414BC" w:rsidRDefault="00F414BC" w:rsidP="00032686">
      <w:pPr>
        <w:spacing w:after="0"/>
      </w:pPr>
    </w:p>
    <w:p w14:paraId="74B145C0" w14:textId="43CF59DD" w:rsidR="002D5775" w:rsidRDefault="00503382" w:rsidP="00032686">
      <w:pPr>
        <w:spacing w:after="0"/>
      </w:pPr>
      <w:r>
        <w:t>Conversely</w:t>
      </w:r>
      <w:r w:rsidR="00E46708">
        <w:t xml:space="preserve">, the </w:t>
      </w:r>
      <w:r w:rsidR="00044F9F">
        <w:t xml:space="preserve">incidence </w:t>
      </w:r>
      <w:r w:rsidR="00F414BC">
        <w:t xml:space="preserve">of </w:t>
      </w:r>
      <w:r w:rsidR="00325C3F">
        <w:rPr>
          <w:i/>
        </w:rPr>
        <w:t>M. chimaera</w:t>
      </w:r>
      <w:r w:rsidR="00F414BC">
        <w:rPr>
          <w:i/>
        </w:rPr>
        <w:t xml:space="preserve"> </w:t>
      </w:r>
      <w:r w:rsidR="00C57ED3">
        <w:t>disease among all</w:t>
      </w:r>
      <w:r w:rsidR="00F414BC">
        <w:t xml:space="preserve"> potentially-exposed cardiac-by</w:t>
      </w:r>
      <w:r w:rsidR="00C57ED3">
        <w:t>pas</w:t>
      </w:r>
      <w:r>
        <w:t xml:space="preserve">s patients is </w:t>
      </w:r>
      <w:r w:rsidR="00044F9F">
        <w:t xml:space="preserve">difficult to quantify but is probably </w:t>
      </w:r>
      <w:r>
        <w:t>extremely</w:t>
      </w:r>
      <w:r w:rsidR="00E46708">
        <w:t xml:space="preserve"> low - estimated at 0.16%</w:t>
      </w:r>
      <w:r w:rsidR="00E46708">
        <w:rPr>
          <w:vertAlign w:val="superscript"/>
        </w:rPr>
        <w:t>1</w:t>
      </w:r>
      <w:r w:rsidR="00E46708">
        <w:t xml:space="preserve"> -</w:t>
      </w:r>
      <w:r w:rsidR="00C57ED3">
        <w:t xml:space="preserve"> in a seriously-ill patient population often requiring life-saving surgery, which of itself carries much-higher rates of other complications. For example, the rate of pro</w:t>
      </w:r>
      <w:r w:rsidR="00852FF8">
        <w:t xml:space="preserve">sthetic valve endocarditis from all causes is 1-3% </w:t>
      </w:r>
      <w:r w:rsidR="002D5775">
        <w:t>in the first year after surgery</w:t>
      </w:r>
      <w:r w:rsidR="00852FF8">
        <w:t xml:space="preserve"> and 3-6% after five years</w:t>
      </w:r>
      <w:r w:rsidR="00F27822">
        <w:t>,</w:t>
      </w:r>
      <w:r w:rsidR="00F31842">
        <w:rPr>
          <w:vertAlign w:val="superscript"/>
        </w:rPr>
        <w:t>3</w:t>
      </w:r>
      <w:r w:rsidR="00F27822">
        <w:t xml:space="preserve"> dwarfing</w:t>
      </w:r>
      <w:r w:rsidR="002D5775">
        <w:t xml:space="preserve"> the </w:t>
      </w:r>
      <w:r w:rsidR="00F27822">
        <w:t xml:space="preserve">apparent </w:t>
      </w:r>
      <w:r w:rsidR="002D5775">
        <w:t xml:space="preserve">risk of </w:t>
      </w:r>
      <w:r w:rsidR="002D5775">
        <w:rPr>
          <w:i/>
        </w:rPr>
        <w:t>M. chimaera</w:t>
      </w:r>
      <w:r w:rsidR="002D5775">
        <w:rPr>
          <w:i/>
        </w:rPr>
        <w:softHyphen/>
        <w:t>-</w:t>
      </w:r>
      <w:r w:rsidR="002D5775">
        <w:t>related infections</w:t>
      </w:r>
      <w:r w:rsidR="00852FF8">
        <w:t>.</w:t>
      </w:r>
      <w:r w:rsidR="00F27822">
        <w:t xml:space="preserve"> I</w:t>
      </w:r>
      <w:r w:rsidR="002D5775">
        <w:t xml:space="preserve">ncreasing evidence </w:t>
      </w:r>
      <w:r w:rsidR="00F27822">
        <w:t xml:space="preserve">also </w:t>
      </w:r>
      <w:r>
        <w:t xml:space="preserve">suggests that </w:t>
      </w:r>
      <w:r w:rsidR="002D5775">
        <w:rPr>
          <w:i/>
        </w:rPr>
        <w:t>M. chimaera</w:t>
      </w:r>
      <w:r w:rsidR="002D5775">
        <w:rPr>
          <w:i/>
        </w:rPr>
        <w:softHyphen/>
      </w:r>
      <w:r>
        <w:t xml:space="preserve"> colonisat</w:t>
      </w:r>
      <w:r w:rsidR="002D5775">
        <w:t>ion of HCUs results from a point source, poss</w:t>
      </w:r>
      <w:r w:rsidR="00F31842">
        <w:t>ibly at the manufacturing site</w:t>
      </w:r>
      <w:r w:rsidR="002D5775">
        <w:t>.</w:t>
      </w:r>
      <w:r w:rsidR="00F31842">
        <w:rPr>
          <w:vertAlign w:val="superscript"/>
        </w:rPr>
        <w:t>4</w:t>
      </w:r>
      <w:r w:rsidR="002D5775">
        <w:t xml:space="preserve"> </w:t>
      </w:r>
      <w:r w:rsidR="00F27822">
        <w:t xml:space="preserve">If true, remedial measures at the factory should curtail the cluster of HCU-related </w:t>
      </w:r>
      <w:r w:rsidR="00F27822">
        <w:rPr>
          <w:i/>
        </w:rPr>
        <w:t>M. chimaera</w:t>
      </w:r>
      <w:r w:rsidR="00F27822">
        <w:t xml:space="preserve"> infections. Testing of HCU waters could then downgrade from frequent intense investigations to regular periodic surveillance.</w:t>
      </w:r>
    </w:p>
    <w:p w14:paraId="4FCDCDA9" w14:textId="77777777" w:rsidR="00F27822" w:rsidRDefault="00F27822" w:rsidP="00032686">
      <w:pPr>
        <w:spacing w:after="0"/>
      </w:pPr>
    </w:p>
    <w:p w14:paraId="2557B06D" w14:textId="2B0EEB32" w:rsidR="00F27822" w:rsidRPr="00F27822" w:rsidRDefault="00F27822" w:rsidP="00032686">
      <w:pPr>
        <w:spacing w:after="0"/>
      </w:pPr>
      <w:r>
        <w:t xml:space="preserve">Finally, the overarching </w:t>
      </w:r>
      <w:r w:rsidR="009A3F94">
        <w:t xml:space="preserve">principle </w:t>
      </w:r>
      <w:r w:rsidR="009365A5">
        <w:t>should be</w:t>
      </w:r>
      <w:r>
        <w:t xml:space="preserve"> that the correct maintenance, cl</w:t>
      </w:r>
      <w:r w:rsidR="00F31842">
        <w:t>eaning &amp; disinfection of HCUs are</w:t>
      </w:r>
      <w:r>
        <w:t xml:space="preserve"> the most important intervention</w:t>
      </w:r>
      <w:r w:rsidR="00F31842">
        <w:t>s</w:t>
      </w:r>
      <w:r>
        <w:t xml:space="preserve"> in controlling and preventing</w:t>
      </w:r>
      <w:r w:rsidR="009A3F94">
        <w:t xml:space="preserve"> colonisation of HCUs by</w:t>
      </w:r>
      <w:r>
        <w:t xml:space="preserve"> </w:t>
      </w:r>
      <w:r>
        <w:rPr>
          <w:i/>
        </w:rPr>
        <w:t>M. chimaera</w:t>
      </w:r>
      <w:r w:rsidR="00293EC8">
        <w:rPr>
          <w:i/>
        </w:rPr>
        <w:t xml:space="preserve"> </w:t>
      </w:r>
      <w:r w:rsidR="00293EC8">
        <w:t xml:space="preserve">and other </w:t>
      </w:r>
      <w:r w:rsidR="00F31842">
        <w:t>organisms</w:t>
      </w:r>
      <w:r>
        <w:t xml:space="preserve">. Accurate maintenance records “documenting the process” are </w:t>
      </w:r>
      <w:r w:rsidR="00F31842">
        <w:t xml:space="preserve">therefore </w:t>
      </w:r>
      <w:r>
        <w:t>more important than “testing the outcome” by bacteriological surveillance.</w:t>
      </w:r>
    </w:p>
    <w:p w14:paraId="30180BE2" w14:textId="77777777" w:rsidR="002D5775" w:rsidRPr="002D5775" w:rsidRDefault="002D5775" w:rsidP="00032686">
      <w:pPr>
        <w:spacing w:after="0"/>
      </w:pPr>
    </w:p>
    <w:p w14:paraId="258C9F1E" w14:textId="2134CB09" w:rsidR="00F27822" w:rsidRPr="003633AC" w:rsidRDefault="00703FD1" w:rsidP="001E1AFD">
      <w:pPr>
        <w:pStyle w:val="Heading2"/>
      </w:pPr>
      <w:r>
        <w:t xml:space="preserve">Guidance </w:t>
      </w:r>
      <w:r w:rsidR="00F27822">
        <w:t>for laboratory testing of HCU waters</w:t>
      </w:r>
    </w:p>
    <w:p w14:paraId="1EC0F65A" w14:textId="1E556F57" w:rsidR="00C57ED3" w:rsidRPr="0094096D" w:rsidRDefault="009A3F94" w:rsidP="00032686">
      <w:pPr>
        <w:spacing w:after="0"/>
      </w:pPr>
      <w:r>
        <w:t>In view of the above consid</w:t>
      </w:r>
      <w:r w:rsidR="009365A5">
        <w:t>e</w:t>
      </w:r>
      <w:r>
        <w:t>rations, t</w:t>
      </w:r>
      <w:r w:rsidR="00852FF8">
        <w:t xml:space="preserve">he following </w:t>
      </w:r>
      <w:r w:rsidR="00703FD1">
        <w:t xml:space="preserve">guidance document aims to present </w:t>
      </w:r>
      <w:r w:rsidR="00852FF8">
        <w:t xml:space="preserve">a rational </w:t>
      </w:r>
      <w:r w:rsidR="00503382">
        <w:t>and pragmatic approach for</w:t>
      </w:r>
      <w:r w:rsidR="00703FD1">
        <w:t xml:space="preserve"> laboratory investigations </w:t>
      </w:r>
      <w:r w:rsidR="00503382">
        <w:t xml:space="preserve">in the prevention and </w:t>
      </w:r>
      <w:r w:rsidR="00852FF8">
        <w:t>control</w:t>
      </w:r>
      <w:r w:rsidR="00503382">
        <w:t xml:space="preserve"> of</w:t>
      </w:r>
      <w:r w:rsidR="00852FF8">
        <w:t xml:space="preserve"> HCU-related infe</w:t>
      </w:r>
      <w:r w:rsidR="00703FD1">
        <w:t>ctions. The guidance is</w:t>
      </w:r>
      <w:r w:rsidR="00852FF8">
        <w:t xml:space="preserve"> based largely on the prot</w:t>
      </w:r>
      <w:r w:rsidR="0006795F">
        <w:t>ocol published by Public Health England (PHE) supplemented with laboratory experiences documented in a PHLN survey of Australian laboratories handling HCU specimens.</w:t>
      </w:r>
      <w:r w:rsidR="0006795F">
        <w:rPr>
          <w:vertAlign w:val="superscript"/>
        </w:rPr>
        <w:t>5,6</w:t>
      </w:r>
      <w:r w:rsidR="0094096D">
        <w:t xml:space="preserve"> PHLN will update this guidance document as experience accrues with testing HCUs</w:t>
      </w:r>
      <w:r w:rsidR="004A1270">
        <w:t>,</w:t>
      </w:r>
      <w:r w:rsidR="0094096D">
        <w:t xml:space="preserve"> and as this </w:t>
      </w:r>
      <w:r w:rsidR="0094096D">
        <w:rPr>
          <w:i/>
        </w:rPr>
        <w:t>M. chimaera</w:t>
      </w:r>
      <w:r w:rsidR="0094096D">
        <w:t xml:space="preserve"> event unfolds nationally and internationally.</w:t>
      </w:r>
    </w:p>
    <w:p w14:paraId="2D2AF2C5" w14:textId="77777777" w:rsidR="0006795F" w:rsidRDefault="0006795F" w:rsidP="00032686">
      <w:pPr>
        <w:spacing w:after="0"/>
      </w:pPr>
    </w:p>
    <w:p w14:paraId="63B0461B" w14:textId="74BADB95" w:rsidR="0006795F" w:rsidRPr="0094096D" w:rsidRDefault="0094096D" w:rsidP="00032686">
      <w:pPr>
        <w:spacing w:after="0"/>
      </w:pPr>
      <w:r>
        <w:t xml:space="preserve">Laboratories and healthcare professionals are also referred to </w:t>
      </w:r>
      <w:r w:rsidR="001F30A4">
        <w:t xml:space="preserve">any directives from the HCU manufacturers and to </w:t>
      </w:r>
      <w:r>
        <w:t xml:space="preserve">three other Australian publications on this topic. </w:t>
      </w:r>
      <w:r w:rsidR="0006795F">
        <w:t>The Therapeutic Goods Administration</w:t>
      </w:r>
      <w:r>
        <w:t xml:space="preserve"> (TGA) has provided two advisories and the Australian Commission for Safety and Quality in Health Care (ACSQHC) has produced an infection control guidance document.</w:t>
      </w:r>
      <w:r>
        <w:rPr>
          <w:vertAlign w:val="superscript"/>
        </w:rPr>
        <w:t>7-9</w:t>
      </w:r>
      <w:r>
        <w:t xml:space="preserve"> This PHLN laboratory guidance provides more detail </w:t>
      </w:r>
      <w:r w:rsidR="00503382">
        <w:t xml:space="preserve">relating to laboratory testing methodology </w:t>
      </w:r>
      <w:r>
        <w:t xml:space="preserve">and </w:t>
      </w:r>
      <w:r w:rsidR="00503382">
        <w:t xml:space="preserve">is intended to </w:t>
      </w:r>
      <w:r>
        <w:t xml:space="preserve">complement the ACSQHC publication. </w:t>
      </w:r>
    </w:p>
    <w:p w14:paraId="6BB793DD" w14:textId="77777777" w:rsidR="00852FF8" w:rsidRPr="004A1270" w:rsidRDefault="00852FF8" w:rsidP="00032686">
      <w:pPr>
        <w:spacing w:after="0"/>
      </w:pPr>
    </w:p>
    <w:p w14:paraId="7CB075D3" w14:textId="77777777" w:rsidR="005419F3" w:rsidRPr="004A1270" w:rsidRDefault="009365A5" w:rsidP="001E1AFD">
      <w:pPr>
        <w:pStyle w:val="Heading3"/>
      </w:pPr>
      <w:r w:rsidRPr="004A1270">
        <w:t>Specimen collection</w:t>
      </w:r>
    </w:p>
    <w:p w14:paraId="18A51944" w14:textId="5180DC36" w:rsidR="009365A5" w:rsidRPr="004A1270" w:rsidRDefault="009365A5" w:rsidP="0077100B">
      <w:pPr>
        <w:pStyle w:val="ListParagraph"/>
        <w:numPr>
          <w:ilvl w:val="0"/>
          <w:numId w:val="1"/>
        </w:numPr>
        <w:autoSpaceDE w:val="0"/>
        <w:autoSpaceDN w:val="0"/>
        <w:adjustRightInd w:val="0"/>
        <w:spacing w:after="0" w:line="240" w:lineRule="auto"/>
        <w:ind w:left="567" w:hanging="567"/>
        <w:rPr>
          <w:rFonts w:cs="Arial"/>
        </w:rPr>
      </w:pPr>
      <w:r w:rsidRPr="004A1270">
        <w:rPr>
          <w:rFonts w:cs="Arial"/>
        </w:rPr>
        <w:t>The HCU should be connected and running for at least five minutes before water samples are collected</w:t>
      </w:r>
      <w:r w:rsidR="004A1270">
        <w:rPr>
          <w:rFonts w:cs="Arial"/>
        </w:rPr>
        <w:t>.</w:t>
      </w:r>
    </w:p>
    <w:p w14:paraId="10C6F1B0" w14:textId="77777777" w:rsidR="009365A5" w:rsidRPr="004A1270" w:rsidRDefault="009365A5" w:rsidP="0077100B">
      <w:pPr>
        <w:pStyle w:val="ListParagraph"/>
        <w:numPr>
          <w:ilvl w:val="0"/>
          <w:numId w:val="1"/>
        </w:numPr>
        <w:autoSpaceDE w:val="0"/>
        <w:autoSpaceDN w:val="0"/>
        <w:adjustRightInd w:val="0"/>
        <w:spacing w:after="0" w:line="240" w:lineRule="auto"/>
        <w:ind w:left="567" w:hanging="567"/>
        <w:rPr>
          <w:rFonts w:cs="Arial"/>
        </w:rPr>
      </w:pPr>
      <w:r w:rsidRPr="004A1270">
        <w:rPr>
          <w:rFonts w:cs="Arial"/>
        </w:rPr>
        <w:t>Sampling should occur before the HCU’s disinfection cycle.</w:t>
      </w:r>
    </w:p>
    <w:p w14:paraId="3B32B851" w14:textId="4557D406" w:rsidR="0077100B" w:rsidRPr="004A1270" w:rsidRDefault="009365A5" w:rsidP="0077100B">
      <w:pPr>
        <w:pStyle w:val="ListParagraph"/>
        <w:numPr>
          <w:ilvl w:val="0"/>
          <w:numId w:val="1"/>
        </w:numPr>
        <w:autoSpaceDE w:val="0"/>
        <w:autoSpaceDN w:val="0"/>
        <w:adjustRightInd w:val="0"/>
        <w:spacing w:after="0" w:line="240" w:lineRule="auto"/>
        <w:ind w:left="567" w:hanging="567"/>
        <w:rPr>
          <w:rFonts w:cs="Arial"/>
        </w:rPr>
      </w:pPr>
      <w:r w:rsidRPr="004A1270">
        <w:rPr>
          <w:rFonts w:cs="Arial"/>
        </w:rPr>
        <w:t>The ad</w:t>
      </w:r>
      <w:r w:rsidR="004E7EFF">
        <w:rPr>
          <w:rFonts w:cs="Arial"/>
        </w:rPr>
        <w:t>dition of sodium thiosulphate may</w:t>
      </w:r>
      <w:r w:rsidRPr="004A1270">
        <w:rPr>
          <w:rFonts w:cs="Arial"/>
        </w:rPr>
        <w:t xml:space="preserve"> not </w:t>
      </w:r>
      <w:r w:rsidR="004E7EFF">
        <w:rPr>
          <w:rFonts w:cs="Arial"/>
        </w:rPr>
        <w:t xml:space="preserve">be </w:t>
      </w:r>
      <w:r w:rsidRPr="004A1270">
        <w:rPr>
          <w:rFonts w:cs="Arial"/>
        </w:rPr>
        <w:t>necessary to inactivate chlorine-based disinfectants</w:t>
      </w:r>
      <w:r w:rsidR="004A1270">
        <w:rPr>
          <w:rFonts w:cs="Arial"/>
        </w:rPr>
        <w:t xml:space="preserve"> at the levels in (filtered) </w:t>
      </w:r>
      <w:proofErr w:type="spellStart"/>
      <w:r w:rsidR="004A1270">
        <w:rPr>
          <w:rFonts w:cs="Arial"/>
        </w:rPr>
        <w:t>tapwater</w:t>
      </w:r>
      <w:proofErr w:type="spellEnd"/>
      <w:r w:rsidR="004E7EFF">
        <w:rPr>
          <w:rFonts w:cs="Arial"/>
        </w:rPr>
        <w:t xml:space="preserve"> for the isolation of mycobacteria</w:t>
      </w:r>
      <w:r w:rsidRPr="004A1270">
        <w:rPr>
          <w:rFonts w:cs="Arial"/>
        </w:rPr>
        <w:t>.</w:t>
      </w:r>
      <w:r w:rsidR="004A1270">
        <w:rPr>
          <w:rFonts w:cs="Arial"/>
          <w:vertAlign w:val="superscript"/>
        </w:rPr>
        <w:t>10</w:t>
      </w:r>
      <w:r w:rsidRPr="004A1270">
        <w:rPr>
          <w:rFonts w:cs="Arial"/>
        </w:rPr>
        <w:t xml:space="preserve"> </w:t>
      </w:r>
      <w:r w:rsidR="0077100B" w:rsidRPr="004A1270">
        <w:rPr>
          <w:rFonts w:cs="Arial"/>
        </w:rPr>
        <w:t>The requirement for and type of neutralising agent required to inactivate other disinfectants (</w:t>
      </w:r>
      <w:proofErr w:type="spellStart"/>
      <w:r w:rsidR="0077100B" w:rsidRPr="004A1270">
        <w:rPr>
          <w:rFonts w:cs="Arial"/>
        </w:rPr>
        <w:t>eg</w:t>
      </w:r>
      <w:proofErr w:type="spellEnd"/>
      <w:r w:rsidR="0077100B" w:rsidRPr="004A1270">
        <w:rPr>
          <w:rFonts w:cs="Arial"/>
        </w:rPr>
        <w:t>. hydrogen peroxide) now used by HCU manufacturers is being investigated.</w:t>
      </w:r>
    </w:p>
    <w:p w14:paraId="23D5CAED" w14:textId="3A9A1B02" w:rsidR="0077100B" w:rsidRPr="004A1270" w:rsidRDefault="0077100B" w:rsidP="0077100B">
      <w:pPr>
        <w:pStyle w:val="ListParagraph"/>
        <w:numPr>
          <w:ilvl w:val="0"/>
          <w:numId w:val="1"/>
        </w:numPr>
        <w:autoSpaceDE w:val="0"/>
        <w:autoSpaceDN w:val="0"/>
        <w:adjustRightInd w:val="0"/>
        <w:spacing w:after="0" w:line="240" w:lineRule="auto"/>
        <w:ind w:left="567" w:hanging="567"/>
        <w:rPr>
          <w:rFonts w:cs="Arial"/>
        </w:rPr>
      </w:pPr>
      <w:r w:rsidRPr="004A1270">
        <w:rPr>
          <w:rFonts w:cs="Arial"/>
        </w:rPr>
        <w:t>In HCUs</w:t>
      </w:r>
      <w:r w:rsidR="005419F3" w:rsidRPr="004A1270">
        <w:rPr>
          <w:rFonts w:cs="Arial"/>
        </w:rPr>
        <w:t xml:space="preserve"> with two tanks</w:t>
      </w:r>
      <w:r w:rsidRPr="004A1270">
        <w:rPr>
          <w:rFonts w:cs="Arial"/>
        </w:rPr>
        <w:t>, a sample should be collected from each tank (</w:t>
      </w:r>
      <w:proofErr w:type="spellStart"/>
      <w:r w:rsidRPr="004A1270">
        <w:rPr>
          <w:rFonts w:cs="Arial"/>
        </w:rPr>
        <w:t>ie</w:t>
      </w:r>
      <w:proofErr w:type="spellEnd"/>
      <w:r w:rsidRPr="004A1270">
        <w:rPr>
          <w:rFonts w:cs="Arial"/>
        </w:rPr>
        <w:t xml:space="preserve">. </w:t>
      </w:r>
      <w:r w:rsidR="005419F3" w:rsidRPr="004A1270">
        <w:rPr>
          <w:rFonts w:cs="Arial"/>
        </w:rPr>
        <w:t xml:space="preserve">from the patient </w:t>
      </w:r>
      <w:r w:rsidRPr="004A1270">
        <w:rPr>
          <w:rFonts w:cs="Arial"/>
        </w:rPr>
        <w:t xml:space="preserve">“arm” and the </w:t>
      </w:r>
      <w:r w:rsidR="005419F3" w:rsidRPr="004A1270">
        <w:rPr>
          <w:rFonts w:cs="Arial"/>
        </w:rPr>
        <w:t xml:space="preserve">cardioplegia </w:t>
      </w:r>
      <w:r w:rsidRPr="004A1270">
        <w:rPr>
          <w:rFonts w:cs="Arial"/>
        </w:rPr>
        <w:t xml:space="preserve">“arm” of the </w:t>
      </w:r>
      <w:r w:rsidR="005419F3" w:rsidRPr="004A1270">
        <w:rPr>
          <w:rFonts w:cs="Arial"/>
        </w:rPr>
        <w:t>circuit</w:t>
      </w:r>
      <w:r w:rsidR="004A1270">
        <w:rPr>
          <w:rFonts w:cs="Arial"/>
        </w:rPr>
        <w:t>)</w:t>
      </w:r>
      <w:r w:rsidR="005419F3" w:rsidRPr="004A1270">
        <w:rPr>
          <w:rFonts w:cs="Arial"/>
        </w:rPr>
        <w:t xml:space="preserve">. </w:t>
      </w:r>
    </w:p>
    <w:p w14:paraId="5BD6B538" w14:textId="77777777" w:rsidR="0077100B" w:rsidRPr="004A1270" w:rsidRDefault="0077100B" w:rsidP="0077100B">
      <w:pPr>
        <w:pStyle w:val="ListParagraph"/>
        <w:numPr>
          <w:ilvl w:val="0"/>
          <w:numId w:val="1"/>
        </w:numPr>
        <w:autoSpaceDE w:val="0"/>
        <w:autoSpaceDN w:val="0"/>
        <w:adjustRightInd w:val="0"/>
        <w:spacing w:after="0" w:line="240" w:lineRule="auto"/>
        <w:ind w:left="567" w:hanging="567"/>
        <w:rPr>
          <w:rFonts w:cs="Arial"/>
        </w:rPr>
      </w:pPr>
      <w:r w:rsidRPr="004A1270">
        <w:rPr>
          <w:rFonts w:cs="Arial"/>
        </w:rPr>
        <w:t>Each sample should be of at least 100 ml.</w:t>
      </w:r>
    </w:p>
    <w:p w14:paraId="56F31E5A" w14:textId="77777777" w:rsidR="0077100B" w:rsidRPr="004A1270" w:rsidRDefault="005419F3" w:rsidP="0077100B">
      <w:pPr>
        <w:pStyle w:val="ListParagraph"/>
        <w:numPr>
          <w:ilvl w:val="0"/>
          <w:numId w:val="1"/>
        </w:numPr>
        <w:autoSpaceDE w:val="0"/>
        <w:autoSpaceDN w:val="0"/>
        <w:adjustRightInd w:val="0"/>
        <w:spacing w:after="0" w:line="240" w:lineRule="auto"/>
        <w:ind w:left="567" w:hanging="567"/>
        <w:rPr>
          <w:rFonts w:cs="Arial"/>
        </w:rPr>
      </w:pPr>
      <w:r w:rsidRPr="004A1270">
        <w:rPr>
          <w:rFonts w:cs="Arial"/>
        </w:rPr>
        <w:t>Sample labelling</w:t>
      </w:r>
      <w:r w:rsidR="0077100B" w:rsidRPr="004A1270">
        <w:rPr>
          <w:rFonts w:cs="Arial"/>
        </w:rPr>
        <w:t xml:space="preserve"> &amp; the specimen request form</w:t>
      </w:r>
      <w:r w:rsidRPr="004A1270">
        <w:rPr>
          <w:rFonts w:cs="Arial"/>
        </w:rPr>
        <w:t xml:space="preserve"> should include: date</w:t>
      </w:r>
      <w:r w:rsidR="0077100B" w:rsidRPr="004A1270">
        <w:rPr>
          <w:rFonts w:cs="Arial"/>
        </w:rPr>
        <w:t xml:space="preserve"> of collection</w:t>
      </w:r>
      <w:r w:rsidRPr="004A1270">
        <w:rPr>
          <w:rFonts w:cs="Arial"/>
        </w:rPr>
        <w:t>, hospital name, HCU serial number, sample site (i.e., which circuit) and details of a designate</w:t>
      </w:r>
      <w:r w:rsidR="0077100B" w:rsidRPr="004A1270">
        <w:rPr>
          <w:rFonts w:cs="Arial"/>
        </w:rPr>
        <w:t>d point of contact for results.</w:t>
      </w:r>
    </w:p>
    <w:p w14:paraId="47E049F2" w14:textId="77777777" w:rsidR="005419F3" w:rsidRPr="004A1270" w:rsidRDefault="0077100B" w:rsidP="0077100B">
      <w:pPr>
        <w:pStyle w:val="ListParagraph"/>
        <w:numPr>
          <w:ilvl w:val="0"/>
          <w:numId w:val="1"/>
        </w:numPr>
        <w:autoSpaceDE w:val="0"/>
        <w:autoSpaceDN w:val="0"/>
        <w:adjustRightInd w:val="0"/>
        <w:spacing w:after="0" w:line="240" w:lineRule="auto"/>
        <w:ind w:left="567" w:hanging="567"/>
        <w:rPr>
          <w:rFonts w:cs="Arial"/>
        </w:rPr>
      </w:pPr>
      <w:r w:rsidRPr="004A1270">
        <w:rPr>
          <w:rFonts w:cs="Arial"/>
        </w:rPr>
        <w:t>S</w:t>
      </w:r>
      <w:r w:rsidR="005419F3" w:rsidRPr="004A1270">
        <w:rPr>
          <w:rFonts w:cs="Arial"/>
        </w:rPr>
        <w:t>amples sh</w:t>
      </w:r>
      <w:r w:rsidRPr="004A1270">
        <w:rPr>
          <w:rFonts w:cs="Arial"/>
        </w:rPr>
        <w:t>ould be stored at 2-8</w:t>
      </w:r>
      <w:r w:rsidR="005419F3" w:rsidRPr="004A1270">
        <w:rPr>
          <w:rFonts w:cs="Arial"/>
        </w:rPr>
        <w:t>°C and for no longer than 24 hours</w:t>
      </w:r>
      <w:r w:rsidRPr="004A1270">
        <w:rPr>
          <w:rFonts w:cs="Arial"/>
        </w:rPr>
        <w:t xml:space="preserve"> before processing</w:t>
      </w:r>
      <w:r w:rsidR="005419F3" w:rsidRPr="004A1270">
        <w:rPr>
          <w:rFonts w:cs="Arial"/>
        </w:rPr>
        <w:t xml:space="preserve">. </w:t>
      </w:r>
    </w:p>
    <w:p w14:paraId="0281AE4C" w14:textId="77777777" w:rsidR="00D747CB" w:rsidRPr="004A1270" w:rsidRDefault="00D747CB" w:rsidP="00D747CB">
      <w:pPr>
        <w:autoSpaceDE w:val="0"/>
        <w:autoSpaceDN w:val="0"/>
        <w:adjustRightInd w:val="0"/>
        <w:spacing w:after="0" w:line="240" w:lineRule="auto"/>
        <w:rPr>
          <w:rFonts w:cs="Arial"/>
        </w:rPr>
      </w:pPr>
    </w:p>
    <w:p w14:paraId="440843DE" w14:textId="77777777" w:rsidR="00D747CB" w:rsidRPr="0001543D" w:rsidRDefault="00D747CB" w:rsidP="001E1AFD">
      <w:pPr>
        <w:pStyle w:val="Heading3"/>
      </w:pPr>
      <w:r w:rsidRPr="0001543D">
        <w:t>Heterotrophic plate counts</w:t>
      </w:r>
    </w:p>
    <w:p w14:paraId="0C208694" w14:textId="341B13F5" w:rsidR="00CC68F8" w:rsidRPr="004A1270" w:rsidRDefault="00C72D94" w:rsidP="00C57ED3">
      <w:pPr>
        <w:spacing w:after="0"/>
        <w:rPr>
          <w:rFonts w:cs="Arial"/>
        </w:rPr>
      </w:pPr>
      <w:r>
        <w:rPr>
          <w:rFonts w:cs="Arial"/>
        </w:rPr>
        <w:t>Heterotrophic</w:t>
      </w:r>
      <w:r w:rsidR="00D747CB" w:rsidRPr="004A1270">
        <w:rPr>
          <w:rFonts w:cs="Arial"/>
        </w:rPr>
        <w:t xml:space="preserve"> plate counts (HPCs) can be used to monitor the integrity, cleanliness a</w:t>
      </w:r>
      <w:r>
        <w:rPr>
          <w:rFonts w:cs="Arial"/>
        </w:rPr>
        <w:t>nd maintenance of water systems</w:t>
      </w:r>
      <w:r w:rsidR="00D747CB" w:rsidRPr="004A1270">
        <w:rPr>
          <w:rFonts w:cs="Arial"/>
        </w:rPr>
        <w:t>.</w:t>
      </w:r>
      <w:r w:rsidR="001F30A4">
        <w:rPr>
          <w:rFonts w:cs="Arial"/>
          <w:vertAlign w:val="superscript"/>
        </w:rPr>
        <w:t>11</w:t>
      </w:r>
      <w:r w:rsidR="00D747CB" w:rsidRPr="004A1270">
        <w:rPr>
          <w:rFonts w:cs="Arial"/>
        </w:rPr>
        <w:t xml:space="preserve"> </w:t>
      </w:r>
      <w:r w:rsidR="00503382">
        <w:rPr>
          <w:rFonts w:cs="Arial"/>
        </w:rPr>
        <w:t>These HPCs might</w:t>
      </w:r>
      <w:r w:rsidR="00CC68F8" w:rsidRPr="004A1270">
        <w:rPr>
          <w:rFonts w:cs="Arial"/>
        </w:rPr>
        <w:t xml:space="preserve"> be performed monthly. </w:t>
      </w:r>
      <w:r>
        <w:rPr>
          <w:rFonts w:cs="Arial"/>
        </w:rPr>
        <w:t>Laboratories appear to use a range of HPC methodologies and the Australian Drinking Water Guidelines cite a number of HPC methodologies.</w:t>
      </w:r>
      <w:r w:rsidR="001F30A4">
        <w:rPr>
          <w:rFonts w:cs="Arial"/>
          <w:vertAlign w:val="superscript"/>
        </w:rPr>
        <w:t>6,11</w:t>
      </w:r>
      <w:r>
        <w:rPr>
          <w:rFonts w:cs="Arial"/>
        </w:rPr>
        <w:t xml:space="preserve"> In the absence of a standard HPC methodology and while experience accumulates with testing HCU waters, t</w:t>
      </w:r>
      <w:r w:rsidR="00D60DB3" w:rsidRPr="004A1270">
        <w:rPr>
          <w:rFonts w:cs="Arial"/>
        </w:rPr>
        <w:t xml:space="preserve">rends rather than absolute numbers </w:t>
      </w:r>
      <w:r w:rsidR="001F30A4">
        <w:rPr>
          <w:rFonts w:cs="Arial"/>
        </w:rPr>
        <w:t xml:space="preserve">of organisms should be followed </w:t>
      </w:r>
      <w:r w:rsidR="00D60DB3" w:rsidRPr="004A1270">
        <w:rPr>
          <w:rFonts w:cs="Arial"/>
        </w:rPr>
        <w:t>for this monitoring</w:t>
      </w:r>
      <w:r w:rsidR="001F30A4">
        <w:rPr>
          <w:rFonts w:cs="Arial"/>
        </w:rPr>
        <w:t>.</w:t>
      </w:r>
    </w:p>
    <w:p w14:paraId="56D78799" w14:textId="77777777" w:rsidR="00CC68F8" w:rsidRPr="004A1270" w:rsidRDefault="00CC68F8" w:rsidP="00C57ED3">
      <w:pPr>
        <w:spacing w:after="0"/>
        <w:rPr>
          <w:rFonts w:cs="Arial"/>
        </w:rPr>
      </w:pPr>
    </w:p>
    <w:p w14:paraId="17FD8322" w14:textId="77777777" w:rsidR="00CC68F8" w:rsidRPr="004A1270" w:rsidRDefault="003B4652" w:rsidP="00C57ED3">
      <w:pPr>
        <w:spacing w:after="0"/>
        <w:rPr>
          <w:rFonts w:cs="Arial"/>
        </w:rPr>
      </w:pPr>
      <w:r w:rsidRPr="004A1270">
        <w:rPr>
          <w:rFonts w:cs="Arial"/>
        </w:rPr>
        <w:t xml:space="preserve">The survey of mycobacteriology laboratories highlighted that no relationship existed between HPCs and the isolation of </w:t>
      </w:r>
      <w:r w:rsidRPr="004A1270">
        <w:rPr>
          <w:rFonts w:cs="Arial"/>
          <w:i/>
        </w:rPr>
        <w:t>M. chimaera</w:t>
      </w:r>
      <w:r w:rsidRPr="004A1270">
        <w:rPr>
          <w:rFonts w:cs="Arial"/>
        </w:rPr>
        <w:t xml:space="preserve"> from HCU waters (</w:t>
      </w:r>
      <w:proofErr w:type="spellStart"/>
      <w:r w:rsidRPr="004A1270">
        <w:rPr>
          <w:rFonts w:cs="Arial"/>
        </w:rPr>
        <w:t>ie</w:t>
      </w:r>
      <w:proofErr w:type="spellEnd"/>
      <w:r w:rsidRPr="004A1270">
        <w:rPr>
          <w:rFonts w:cs="Arial"/>
        </w:rPr>
        <w:t xml:space="preserve">. </w:t>
      </w:r>
      <w:r w:rsidRPr="004A1270">
        <w:rPr>
          <w:rFonts w:cs="Arial"/>
          <w:i/>
        </w:rPr>
        <w:t xml:space="preserve">M. chimaera </w:t>
      </w:r>
      <w:r w:rsidRPr="004A1270">
        <w:rPr>
          <w:rFonts w:cs="Arial"/>
        </w:rPr>
        <w:t xml:space="preserve">was isolated from HCU water with low HPCs). Monitoring by HPCs therefore does not obviate the need for surveillance by </w:t>
      </w:r>
      <w:r w:rsidR="003423B0" w:rsidRPr="004A1270">
        <w:rPr>
          <w:rFonts w:cs="Arial"/>
        </w:rPr>
        <w:t>my</w:t>
      </w:r>
      <w:r w:rsidRPr="004A1270">
        <w:rPr>
          <w:rFonts w:cs="Arial"/>
        </w:rPr>
        <w:t>cobacteriology cultures.</w:t>
      </w:r>
    </w:p>
    <w:p w14:paraId="739C62AD" w14:textId="77777777" w:rsidR="006B7704" w:rsidRPr="004A1270" w:rsidRDefault="006B7704" w:rsidP="00C57ED3">
      <w:pPr>
        <w:spacing w:after="0"/>
        <w:rPr>
          <w:rFonts w:cs="Arial"/>
          <w:i/>
        </w:rPr>
      </w:pPr>
    </w:p>
    <w:p w14:paraId="518270F2" w14:textId="77777777" w:rsidR="003B4652" w:rsidRPr="0001543D" w:rsidRDefault="003423B0" w:rsidP="001E1AFD">
      <w:pPr>
        <w:pStyle w:val="Heading3"/>
      </w:pPr>
      <w:r w:rsidRPr="0001543D">
        <w:t>Mycobacteriology culture methodology</w:t>
      </w:r>
    </w:p>
    <w:p w14:paraId="1433D58C" w14:textId="77777777" w:rsidR="003423B0" w:rsidRPr="004A1270" w:rsidRDefault="003423B0" w:rsidP="003423B0">
      <w:pPr>
        <w:pStyle w:val="ListParagraph"/>
        <w:numPr>
          <w:ilvl w:val="0"/>
          <w:numId w:val="3"/>
        </w:numPr>
        <w:spacing w:after="0"/>
        <w:rPr>
          <w:rFonts w:cs="Arial"/>
        </w:rPr>
      </w:pPr>
      <w:r w:rsidRPr="004A1270">
        <w:rPr>
          <w:rFonts w:cs="Arial"/>
        </w:rPr>
        <w:t>At least 100 ml of water from each sample should be centrifuged</w:t>
      </w:r>
      <w:r w:rsidR="0077726A" w:rsidRPr="004A1270">
        <w:rPr>
          <w:rFonts w:cs="Arial"/>
        </w:rPr>
        <w:t xml:space="preserve"> in 50-ml universal tubes</w:t>
      </w:r>
      <w:r w:rsidRPr="004A1270">
        <w:rPr>
          <w:rFonts w:cs="Arial"/>
        </w:rPr>
        <w:t xml:space="preserve"> at 3,000</w:t>
      </w:r>
      <w:r w:rsidRPr="004A1270">
        <w:rPr>
          <w:rFonts w:cs="Arial"/>
          <w:i/>
        </w:rPr>
        <w:t>g</w:t>
      </w:r>
      <w:r w:rsidRPr="004A1270">
        <w:rPr>
          <w:rFonts w:cs="Arial"/>
        </w:rPr>
        <w:t xml:space="preserve"> for </w:t>
      </w:r>
      <w:r w:rsidR="0077726A" w:rsidRPr="004A1270">
        <w:rPr>
          <w:rFonts w:cs="Arial"/>
        </w:rPr>
        <w:t>15-30 minutes</w:t>
      </w:r>
    </w:p>
    <w:p w14:paraId="23942956" w14:textId="77777777" w:rsidR="0077726A" w:rsidRPr="004A1270" w:rsidRDefault="0077726A" w:rsidP="003423B0">
      <w:pPr>
        <w:pStyle w:val="ListParagraph"/>
        <w:numPr>
          <w:ilvl w:val="0"/>
          <w:numId w:val="3"/>
        </w:numPr>
        <w:spacing w:after="0"/>
        <w:rPr>
          <w:rFonts w:cs="Arial"/>
        </w:rPr>
      </w:pPr>
      <w:r w:rsidRPr="004A1270">
        <w:rPr>
          <w:rFonts w:cs="Arial"/>
        </w:rPr>
        <w:t>After discarding the supernatants, the concentrated aliquot should be pooled in one 50-ml universal tube</w:t>
      </w:r>
    </w:p>
    <w:p w14:paraId="06029B0B" w14:textId="0DD965A4" w:rsidR="0077726A" w:rsidRPr="004A1270" w:rsidRDefault="0077726A" w:rsidP="003423B0">
      <w:pPr>
        <w:pStyle w:val="ListParagraph"/>
        <w:numPr>
          <w:ilvl w:val="0"/>
          <w:numId w:val="3"/>
        </w:numPr>
        <w:spacing w:after="0"/>
        <w:rPr>
          <w:rFonts w:cs="Arial"/>
        </w:rPr>
      </w:pPr>
      <w:r w:rsidRPr="004A1270">
        <w:rPr>
          <w:rFonts w:cs="Arial"/>
        </w:rPr>
        <w:t xml:space="preserve">The standard decontamination </w:t>
      </w:r>
      <w:r w:rsidR="00C85675" w:rsidRPr="004A1270">
        <w:rPr>
          <w:rFonts w:cs="Arial"/>
        </w:rPr>
        <w:t xml:space="preserve">method employed in the </w:t>
      </w:r>
      <w:r w:rsidR="00503382">
        <w:rPr>
          <w:rFonts w:cs="Arial"/>
        </w:rPr>
        <w:t xml:space="preserve">local </w:t>
      </w:r>
      <w:r w:rsidR="00C85675" w:rsidRPr="004A1270">
        <w:rPr>
          <w:rFonts w:cs="Arial"/>
        </w:rPr>
        <w:t>mycobacteriology laboratory can then be employed.</w:t>
      </w:r>
    </w:p>
    <w:p w14:paraId="2D029D75" w14:textId="77777777" w:rsidR="00C85675" w:rsidRPr="004A1270" w:rsidRDefault="00C85675" w:rsidP="003423B0">
      <w:pPr>
        <w:pStyle w:val="ListParagraph"/>
        <w:numPr>
          <w:ilvl w:val="0"/>
          <w:numId w:val="3"/>
        </w:numPr>
        <w:spacing w:after="0"/>
        <w:rPr>
          <w:rFonts w:cs="Arial"/>
        </w:rPr>
      </w:pPr>
      <w:r w:rsidRPr="004A1270">
        <w:rPr>
          <w:rFonts w:cs="Arial"/>
        </w:rPr>
        <w:t>The concentrate should be inoculated into an automated broth-based system (</w:t>
      </w:r>
      <w:proofErr w:type="spellStart"/>
      <w:r w:rsidRPr="004A1270">
        <w:rPr>
          <w:rFonts w:cs="Arial"/>
        </w:rPr>
        <w:t>eg</w:t>
      </w:r>
      <w:proofErr w:type="spellEnd"/>
      <w:r w:rsidRPr="004A1270">
        <w:rPr>
          <w:rFonts w:cs="Arial"/>
        </w:rPr>
        <w:t>. MGIT, BD Bioscience, Sparks, MD, USA) and incubated for 6-8 weeks at 35-37 C.</w:t>
      </w:r>
    </w:p>
    <w:p w14:paraId="585F6EA3" w14:textId="77777777" w:rsidR="00C85675" w:rsidRPr="004A1270" w:rsidRDefault="00C85675" w:rsidP="003423B0">
      <w:pPr>
        <w:pStyle w:val="ListParagraph"/>
        <w:numPr>
          <w:ilvl w:val="0"/>
          <w:numId w:val="3"/>
        </w:numPr>
        <w:spacing w:after="0"/>
        <w:rPr>
          <w:rFonts w:cs="Arial"/>
        </w:rPr>
      </w:pPr>
      <w:r w:rsidRPr="004A1270">
        <w:rPr>
          <w:rFonts w:cs="Arial"/>
        </w:rPr>
        <w:t>The concentrate should also be inoculated onto a solid medium (</w:t>
      </w:r>
      <w:proofErr w:type="spellStart"/>
      <w:r w:rsidRPr="004A1270">
        <w:rPr>
          <w:rFonts w:cs="Arial"/>
        </w:rPr>
        <w:t>eg</w:t>
      </w:r>
      <w:proofErr w:type="spellEnd"/>
      <w:r w:rsidRPr="004A1270">
        <w:rPr>
          <w:rFonts w:cs="Arial"/>
        </w:rPr>
        <w:t>. LJ slopes) and incubated at 35-37 C for 8-12 weeks.</w:t>
      </w:r>
    </w:p>
    <w:p w14:paraId="60245AF3" w14:textId="05AB57AF" w:rsidR="00C85675" w:rsidRPr="004A1270" w:rsidRDefault="00C85675" w:rsidP="003423B0">
      <w:pPr>
        <w:pStyle w:val="ListParagraph"/>
        <w:numPr>
          <w:ilvl w:val="0"/>
          <w:numId w:val="3"/>
        </w:numPr>
        <w:spacing w:after="0"/>
        <w:rPr>
          <w:rFonts w:cs="Arial"/>
        </w:rPr>
      </w:pPr>
      <w:r w:rsidRPr="004A1270">
        <w:rPr>
          <w:rFonts w:cs="Arial"/>
        </w:rPr>
        <w:t>Any mycobacterial isolate shoul</w:t>
      </w:r>
      <w:r w:rsidR="00D5651A" w:rsidRPr="004A1270">
        <w:rPr>
          <w:rFonts w:cs="Arial"/>
        </w:rPr>
        <w:t>d be referred to the relevant MRL</w:t>
      </w:r>
      <w:r w:rsidRPr="004A1270">
        <w:rPr>
          <w:rFonts w:cs="Arial"/>
        </w:rPr>
        <w:t xml:space="preserve"> for identification</w:t>
      </w:r>
      <w:r w:rsidR="001E1856">
        <w:rPr>
          <w:rFonts w:cs="Arial"/>
        </w:rPr>
        <w:t xml:space="preserve"> and the isolate stored</w:t>
      </w:r>
      <w:r w:rsidRPr="004A1270">
        <w:rPr>
          <w:rFonts w:cs="Arial"/>
        </w:rPr>
        <w:t>.</w:t>
      </w:r>
    </w:p>
    <w:p w14:paraId="6DC20027" w14:textId="6BE18C84" w:rsidR="00C85675" w:rsidRDefault="0001543D" w:rsidP="00D5651A">
      <w:pPr>
        <w:pStyle w:val="ListParagraph"/>
        <w:numPr>
          <w:ilvl w:val="0"/>
          <w:numId w:val="3"/>
        </w:numPr>
        <w:spacing w:after="0"/>
        <w:rPr>
          <w:rFonts w:cs="Arial"/>
        </w:rPr>
      </w:pPr>
      <w:r w:rsidRPr="0001543D">
        <w:rPr>
          <w:rFonts w:cs="Arial"/>
        </w:rPr>
        <w:t xml:space="preserve">Accurate speciation of </w:t>
      </w:r>
      <w:r w:rsidR="00D5651A" w:rsidRPr="004A1270">
        <w:rPr>
          <w:rFonts w:cs="Arial"/>
          <w:i/>
        </w:rPr>
        <w:t xml:space="preserve">M. chimaera </w:t>
      </w:r>
      <w:r>
        <w:rPr>
          <w:rFonts w:cs="Arial"/>
        </w:rPr>
        <w:t>requires sequencing of genes</w:t>
      </w:r>
      <w:r w:rsidR="00D5651A" w:rsidRPr="004A1270">
        <w:rPr>
          <w:rFonts w:cs="Arial"/>
        </w:rPr>
        <w:t xml:space="preserve"> </w:t>
      </w:r>
      <w:r>
        <w:rPr>
          <w:rFonts w:cs="Arial"/>
        </w:rPr>
        <w:t xml:space="preserve">in addition to/instead of </w:t>
      </w:r>
      <w:r w:rsidR="00D5651A" w:rsidRPr="004A1270">
        <w:rPr>
          <w:rFonts w:cs="Arial"/>
        </w:rPr>
        <w:t>16S</w:t>
      </w:r>
      <w:r>
        <w:rPr>
          <w:rFonts w:cs="Arial"/>
        </w:rPr>
        <w:t xml:space="preserve"> rDNA, such </w:t>
      </w:r>
      <w:r w:rsidRPr="0001543D">
        <w:rPr>
          <w:rFonts w:cs="Arial"/>
        </w:rPr>
        <w:t>as</w:t>
      </w:r>
      <w:r>
        <w:rPr>
          <w:rFonts w:cs="Arial"/>
        </w:rPr>
        <w:t xml:space="preserve"> </w:t>
      </w:r>
      <w:r>
        <w:rPr>
          <w:rFonts w:cs="Arial"/>
          <w:i/>
        </w:rPr>
        <w:t>hsp65</w:t>
      </w:r>
      <w:r>
        <w:rPr>
          <w:rFonts w:cs="Arial"/>
        </w:rPr>
        <w:t xml:space="preserve">, </w:t>
      </w:r>
      <w:proofErr w:type="spellStart"/>
      <w:r w:rsidRPr="0001543D">
        <w:rPr>
          <w:rFonts w:cs="Arial"/>
          <w:i/>
        </w:rPr>
        <w:t>rpoB</w:t>
      </w:r>
      <w:proofErr w:type="spellEnd"/>
      <w:r w:rsidRPr="0001543D">
        <w:rPr>
          <w:rFonts w:cs="Arial"/>
          <w:i/>
        </w:rPr>
        <w:t xml:space="preserve"> </w:t>
      </w:r>
      <w:r>
        <w:rPr>
          <w:rFonts w:cs="Arial"/>
        </w:rPr>
        <w:t>and/or ITS</w:t>
      </w:r>
      <w:r w:rsidR="00D5651A" w:rsidRPr="004A1270">
        <w:rPr>
          <w:rFonts w:cs="Arial"/>
        </w:rPr>
        <w:t>.</w:t>
      </w:r>
    </w:p>
    <w:p w14:paraId="681CEA91" w14:textId="1D242B7B" w:rsidR="00503382" w:rsidRPr="004A1270" w:rsidRDefault="00503382" w:rsidP="00D5651A">
      <w:pPr>
        <w:pStyle w:val="ListParagraph"/>
        <w:numPr>
          <w:ilvl w:val="0"/>
          <w:numId w:val="3"/>
        </w:numPr>
        <w:spacing w:after="0"/>
        <w:rPr>
          <w:rFonts w:cs="Arial"/>
        </w:rPr>
      </w:pPr>
      <w:r>
        <w:rPr>
          <w:rFonts w:cs="Arial"/>
        </w:rPr>
        <w:lastRenderedPageBreak/>
        <w:t xml:space="preserve">Isolates should be stored should future WGS analysis be required to assess genetic relatedness of </w:t>
      </w:r>
      <w:r>
        <w:rPr>
          <w:rFonts w:cs="Arial"/>
          <w:i/>
        </w:rPr>
        <w:t xml:space="preserve">M. chimaera </w:t>
      </w:r>
      <w:r>
        <w:rPr>
          <w:rFonts w:cs="Arial"/>
        </w:rPr>
        <w:t>from HCUs to: (</w:t>
      </w:r>
      <w:proofErr w:type="spellStart"/>
      <w:r>
        <w:rPr>
          <w:rFonts w:cs="Arial"/>
        </w:rPr>
        <w:t>i</w:t>
      </w:r>
      <w:proofErr w:type="spellEnd"/>
      <w:r>
        <w:rPr>
          <w:rFonts w:cs="Arial"/>
        </w:rPr>
        <w:t xml:space="preserve">) epidemiologically-associated patient isolates, and (ii) the HCU-associated </w:t>
      </w:r>
      <w:r>
        <w:rPr>
          <w:rFonts w:cs="Arial"/>
          <w:i/>
        </w:rPr>
        <w:t>M. chimaera</w:t>
      </w:r>
      <w:r>
        <w:rPr>
          <w:rFonts w:cs="Arial"/>
        </w:rPr>
        <w:t xml:space="preserve"> clone in Australia and NZ.</w:t>
      </w:r>
    </w:p>
    <w:p w14:paraId="468CDD3E" w14:textId="77777777" w:rsidR="003423B0" w:rsidRDefault="003423B0" w:rsidP="003423B0">
      <w:pPr>
        <w:spacing w:after="0"/>
        <w:rPr>
          <w:rFonts w:cs="Arial"/>
        </w:rPr>
      </w:pPr>
    </w:p>
    <w:p w14:paraId="6E1C2FD0" w14:textId="6EFC6A0F" w:rsidR="00244E9C" w:rsidRDefault="00244E9C" w:rsidP="003423B0">
      <w:pPr>
        <w:spacing w:after="0"/>
        <w:rPr>
          <w:rFonts w:cs="Arial"/>
        </w:rPr>
      </w:pPr>
      <w:r w:rsidRPr="00A32A4B">
        <w:rPr>
          <w:rFonts w:cs="Arial"/>
        </w:rPr>
        <w:t>The sensitivity of the detection of mycobacteria in HCU waters using the above specimen collection, processing and culture methodology is uncertain. While these methods are being quantified and optimised, laboratories and end-users should recognise the risk of false-negative culture results.</w:t>
      </w:r>
    </w:p>
    <w:p w14:paraId="57B46D44" w14:textId="77777777" w:rsidR="00244E9C" w:rsidRDefault="00244E9C" w:rsidP="003423B0">
      <w:pPr>
        <w:spacing w:after="0"/>
        <w:rPr>
          <w:rFonts w:cs="Arial"/>
        </w:rPr>
      </w:pPr>
    </w:p>
    <w:p w14:paraId="05A873FF" w14:textId="4A631F4B" w:rsidR="00C30369" w:rsidRDefault="00C30369" w:rsidP="003423B0">
      <w:pPr>
        <w:spacing w:after="0"/>
        <w:rPr>
          <w:rFonts w:cs="Arial"/>
        </w:rPr>
      </w:pPr>
      <w:r>
        <w:rPr>
          <w:rFonts w:cs="Arial"/>
        </w:rPr>
        <w:t xml:space="preserve">PHLN has corresponded with the National Association for Testing Authorities (NATA) about an accreditation dilemma. Environmental laboratories accredited for water testing generally do not perform mycobacterial cultures while mycobacteriology laboratories are usually not accredited to perform HCU water testing. Until this impasse is resolved, mycobacteriology laboratories are advised to perform the testing following the above guidelines and to add a rider to their reports </w:t>
      </w:r>
      <w:r w:rsidR="00032E47">
        <w:rPr>
          <w:rFonts w:cs="Arial"/>
        </w:rPr>
        <w:t>that this testing is outside the scope of their NATA accreditation.</w:t>
      </w:r>
    </w:p>
    <w:p w14:paraId="287EC085" w14:textId="77777777" w:rsidR="00244E9C" w:rsidRDefault="00244E9C" w:rsidP="003423B0">
      <w:pPr>
        <w:spacing w:after="0"/>
        <w:rPr>
          <w:rFonts w:cs="Arial"/>
        </w:rPr>
      </w:pPr>
    </w:p>
    <w:p w14:paraId="25105DC8" w14:textId="77777777" w:rsidR="003423B0" w:rsidRPr="0001543D" w:rsidRDefault="00D5651A" w:rsidP="001E1AFD">
      <w:pPr>
        <w:pStyle w:val="Heading3"/>
      </w:pPr>
      <w:r w:rsidRPr="0001543D">
        <w:t>Other tests</w:t>
      </w:r>
    </w:p>
    <w:p w14:paraId="7FEA755A" w14:textId="5EEA3D42" w:rsidR="00787948" w:rsidRPr="004A1270" w:rsidRDefault="003423B0" w:rsidP="003423B0">
      <w:pPr>
        <w:spacing w:after="0"/>
        <w:rPr>
          <w:rFonts w:cs="Arial"/>
        </w:rPr>
      </w:pPr>
      <w:r w:rsidRPr="004A1270">
        <w:rPr>
          <w:rFonts w:cs="Arial"/>
        </w:rPr>
        <w:t>Based on the survey of Australian &amp; NZ laboratories</w:t>
      </w:r>
      <w:r w:rsidR="00EA4A6A">
        <w:rPr>
          <w:rFonts w:cs="Arial"/>
        </w:rPr>
        <w:t xml:space="preserve"> that found that air sampling had been unrewarding</w:t>
      </w:r>
      <w:proofErr w:type="gramStart"/>
      <w:r w:rsidRPr="004A1270">
        <w:rPr>
          <w:rFonts w:cs="Arial"/>
        </w:rPr>
        <w:t>,</w:t>
      </w:r>
      <w:r w:rsidR="00EA4A6A">
        <w:rPr>
          <w:rFonts w:cs="Arial"/>
          <w:vertAlign w:val="superscript"/>
        </w:rPr>
        <w:t>6</w:t>
      </w:r>
      <w:proofErr w:type="gramEnd"/>
      <w:r w:rsidRPr="004A1270">
        <w:rPr>
          <w:rFonts w:cs="Arial"/>
        </w:rPr>
        <w:t xml:space="preserve"> air sampling in the cardiothoracic theatre is not mandated. Air sampling may be performed at the discretion of the responsible institution or jurisdiction based on local </w:t>
      </w:r>
      <w:r w:rsidR="00787948" w:rsidRPr="004A1270">
        <w:rPr>
          <w:rFonts w:cs="Arial"/>
        </w:rPr>
        <w:t>cons</w:t>
      </w:r>
      <w:r w:rsidR="0001543D">
        <w:rPr>
          <w:rFonts w:cs="Arial"/>
        </w:rPr>
        <w:t>iderations. If performed, an air sampling device</w:t>
      </w:r>
      <w:r w:rsidR="00787948" w:rsidRPr="004A1270">
        <w:rPr>
          <w:rFonts w:cs="Arial"/>
        </w:rPr>
        <w:t xml:space="preserve">, </w:t>
      </w:r>
      <w:r w:rsidR="00D5651A" w:rsidRPr="004A1270">
        <w:rPr>
          <w:rFonts w:cs="Arial"/>
        </w:rPr>
        <w:t xml:space="preserve">selective </w:t>
      </w:r>
      <w:r w:rsidR="00787948" w:rsidRPr="004A1270">
        <w:rPr>
          <w:rFonts w:cs="Arial"/>
        </w:rPr>
        <w:t>Middlebrook 7H11 plates and the methodology described in the PHE guidelines should be used.</w:t>
      </w:r>
    </w:p>
    <w:p w14:paraId="60A50AA2" w14:textId="77777777" w:rsidR="00787948" w:rsidRPr="004A1270" w:rsidRDefault="00787948" w:rsidP="003423B0">
      <w:pPr>
        <w:spacing w:after="0"/>
        <w:rPr>
          <w:rFonts w:cs="Arial"/>
        </w:rPr>
      </w:pPr>
    </w:p>
    <w:p w14:paraId="3695DC51" w14:textId="120ACBC6" w:rsidR="003423B0" w:rsidRPr="00131B63" w:rsidRDefault="00787948" w:rsidP="003423B0">
      <w:pPr>
        <w:spacing w:after="0"/>
        <w:rPr>
          <w:rFonts w:cs="Arial"/>
        </w:rPr>
      </w:pPr>
      <w:r w:rsidRPr="004A1270">
        <w:rPr>
          <w:rFonts w:cs="Arial"/>
        </w:rPr>
        <w:t>The</w:t>
      </w:r>
      <w:r w:rsidR="00131B63">
        <w:rPr>
          <w:rFonts w:cs="Arial"/>
        </w:rPr>
        <w:t xml:space="preserve"> PHLN</w:t>
      </w:r>
      <w:r w:rsidRPr="004A1270">
        <w:rPr>
          <w:rFonts w:cs="Arial"/>
        </w:rPr>
        <w:t xml:space="preserve"> laboratory survey also found that legionella testing of H</w:t>
      </w:r>
      <w:r w:rsidR="00131B63">
        <w:rPr>
          <w:rFonts w:cs="Arial"/>
        </w:rPr>
        <w:t>CU waters had been unproductive</w:t>
      </w:r>
      <w:r w:rsidRPr="004A1270">
        <w:rPr>
          <w:rFonts w:cs="Arial"/>
        </w:rPr>
        <w:t>.</w:t>
      </w:r>
      <w:r w:rsidR="00131B63">
        <w:rPr>
          <w:rFonts w:cs="Arial"/>
        </w:rPr>
        <w:t xml:space="preserve"> However, there have been reports from Dutch microbiologists and internet forums of </w:t>
      </w:r>
      <w:r w:rsidR="00131B63">
        <w:rPr>
          <w:rFonts w:cs="Arial"/>
          <w:i/>
        </w:rPr>
        <w:t>Legionella pneumophila</w:t>
      </w:r>
      <w:r w:rsidR="00131B63">
        <w:rPr>
          <w:rFonts w:cs="Arial"/>
        </w:rPr>
        <w:t xml:space="preserve"> </w:t>
      </w:r>
      <w:r w:rsidR="001C1E64">
        <w:rPr>
          <w:rFonts w:cs="Arial"/>
        </w:rPr>
        <w:t>isolation from HCU waters.</w:t>
      </w:r>
      <w:r w:rsidR="001C1E64">
        <w:rPr>
          <w:rFonts w:cs="Arial"/>
          <w:vertAlign w:val="superscript"/>
        </w:rPr>
        <w:t>12</w:t>
      </w:r>
      <w:r w:rsidR="001C1E64">
        <w:rPr>
          <w:rFonts w:cs="Arial"/>
        </w:rPr>
        <w:t xml:space="preserve"> These reports have implications for occupational health and safety as well as patient care. A prudent approach would be to test HCU w</w:t>
      </w:r>
      <w:r w:rsidR="00BB1196">
        <w:rPr>
          <w:rFonts w:cs="Arial"/>
        </w:rPr>
        <w:t>aters monthly as required by various state guidelines for the maintenance of non-domestic water systems. The on-going need for legionella testing of HCU waters will be reviewed as experience accumulates.</w:t>
      </w:r>
    </w:p>
    <w:p w14:paraId="2E31E5BF" w14:textId="77777777" w:rsidR="006B7704" w:rsidRPr="004A1270" w:rsidRDefault="006B7704" w:rsidP="003423B0">
      <w:pPr>
        <w:spacing w:after="0"/>
        <w:rPr>
          <w:rFonts w:cs="Arial"/>
        </w:rPr>
      </w:pPr>
    </w:p>
    <w:p w14:paraId="4B478D74" w14:textId="77777777" w:rsidR="006B7704" w:rsidRPr="008A412D" w:rsidRDefault="006B7704" w:rsidP="001E1AFD">
      <w:pPr>
        <w:pStyle w:val="Heading3"/>
      </w:pPr>
      <w:r w:rsidRPr="008A412D">
        <w:t>Surveillance for patients with M. chimaera infections</w:t>
      </w:r>
    </w:p>
    <w:p w14:paraId="130A7668" w14:textId="0856D0CD" w:rsidR="006B7704" w:rsidRPr="004A1270" w:rsidRDefault="0073704D" w:rsidP="003423B0">
      <w:pPr>
        <w:spacing w:after="0"/>
        <w:rPr>
          <w:rFonts w:cs="Arial"/>
        </w:rPr>
      </w:pPr>
      <w:r w:rsidRPr="004A1270">
        <w:rPr>
          <w:rFonts w:cs="Arial"/>
        </w:rPr>
        <w:t>All relevant health professionals must be alert for patients with possible prosthetic infections (</w:t>
      </w:r>
      <w:proofErr w:type="spellStart"/>
      <w:r w:rsidRPr="004A1270">
        <w:rPr>
          <w:rFonts w:cs="Arial"/>
        </w:rPr>
        <w:t>eg</w:t>
      </w:r>
      <w:proofErr w:type="spellEnd"/>
      <w:r w:rsidRPr="004A1270">
        <w:rPr>
          <w:rFonts w:cs="Arial"/>
        </w:rPr>
        <w:t xml:space="preserve">. prosthetic valves or vascular grafts) that may be caused by </w:t>
      </w:r>
      <w:r w:rsidRPr="004A1270">
        <w:rPr>
          <w:rFonts w:cs="Arial"/>
          <w:i/>
        </w:rPr>
        <w:t>M. chimaera</w:t>
      </w:r>
      <w:r w:rsidRPr="004A1270">
        <w:rPr>
          <w:rFonts w:cs="Arial"/>
        </w:rPr>
        <w:t xml:space="preserve"> and related to HCUs. </w:t>
      </w:r>
      <w:r w:rsidR="00F921D7" w:rsidRPr="004A1270">
        <w:rPr>
          <w:rFonts w:cs="Arial"/>
        </w:rPr>
        <w:t xml:space="preserve">Kohler </w:t>
      </w:r>
      <w:r w:rsidR="00F921D7" w:rsidRPr="004A1270">
        <w:rPr>
          <w:rFonts w:cs="Arial"/>
          <w:i/>
        </w:rPr>
        <w:t xml:space="preserve">et </w:t>
      </w:r>
      <w:r w:rsidR="00F921D7" w:rsidRPr="004A1270">
        <w:rPr>
          <w:rFonts w:cs="Arial"/>
        </w:rPr>
        <w:t xml:space="preserve">al have provided a useful case definition for prospective detection of patients with HCU-related </w:t>
      </w:r>
      <w:r w:rsidR="00F921D7" w:rsidRPr="004A1270">
        <w:rPr>
          <w:rFonts w:cs="Arial"/>
          <w:i/>
        </w:rPr>
        <w:t>M. chimaera</w:t>
      </w:r>
      <w:r w:rsidR="00F921D7" w:rsidRPr="004A1270">
        <w:rPr>
          <w:rFonts w:cs="Arial"/>
        </w:rPr>
        <w:t xml:space="preserve"> infections.</w:t>
      </w:r>
      <w:r w:rsidR="00EA4A6A">
        <w:rPr>
          <w:rFonts w:cs="Arial"/>
          <w:vertAlign w:val="superscript"/>
        </w:rPr>
        <w:t>1</w:t>
      </w:r>
      <w:r w:rsidR="00F921D7" w:rsidRPr="004A1270">
        <w:rPr>
          <w:rFonts w:cs="Arial"/>
        </w:rPr>
        <w:t xml:space="preserve"> </w:t>
      </w:r>
      <w:r w:rsidR="00603947" w:rsidRPr="004A1270">
        <w:rPr>
          <w:rFonts w:cs="Arial"/>
        </w:rPr>
        <w:t>L</w:t>
      </w:r>
      <w:r w:rsidRPr="004A1270">
        <w:rPr>
          <w:rFonts w:cs="Arial"/>
        </w:rPr>
        <w:t>aboratory investigations for these patients should include:</w:t>
      </w:r>
    </w:p>
    <w:p w14:paraId="136D3067" w14:textId="4C163044" w:rsidR="0073704D" w:rsidRDefault="0073704D" w:rsidP="0073704D">
      <w:pPr>
        <w:pStyle w:val="ListParagraph"/>
        <w:numPr>
          <w:ilvl w:val="0"/>
          <w:numId w:val="4"/>
        </w:numPr>
        <w:spacing w:after="0"/>
        <w:rPr>
          <w:rFonts w:cs="Arial"/>
        </w:rPr>
      </w:pPr>
      <w:r w:rsidRPr="004A1270">
        <w:rPr>
          <w:rFonts w:cs="Arial"/>
        </w:rPr>
        <w:t>at least two mycobacterial blood cultures</w:t>
      </w:r>
      <w:r w:rsidR="00F921D7" w:rsidRPr="004A1270">
        <w:rPr>
          <w:rFonts w:cs="Arial"/>
        </w:rPr>
        <w:t xml:space="preserve"> (collected on separate days) done in</w:t>
      </w:r>
      <w:r w:rsidRPr="004A1270">
        <w:rPr>
          <w:rFonts w:cs="Arial"/>
        </w:rPr>
        <w:t xml:space="preserve"> </w:t>
      </w:r>
      <w:proofErr w:type="spellStart"/>
      <w:r w:rsidRPr="004A1270">
        <w:rPr>
          <w:rFonts w:cs="Arial"/>
        </w:rPr>
        <w:t>Myco</w:t>
      </w:r>
      <w:proofErr w:type="spellEnd"/>
      <w:r w:rsidRPr="004A1270">
        <w:rPr>
          <w:rFonts w:cs="Arial"/>
        </w:rPr>
        <w:t>/F lytic or similar bottles incubated for 6 weeks</w:t>
      </w:r>
      <w:r w:rsidR="00EA4A6A">
        <w:rPr>
          <w:rFonts w:cs="Arial"/>
        </w:rPr>
        <w:t>;</w:t>
      </w:r>
    </w:p>
    <w:p w14:paraId="678A9F82" w14:textId="0A468C14" w:rsidR="00EA4A6A" w:rsidRPr="004A1270" w:rsidRDefault="00EA4A6A" w:rsidP="00EA4A6A">
      <w:pPr>
        <w:pStyle w:val="ListParagraph"/>
        <w:numPr>
          <w:ilvl w:val="0"/>
          <w:numId w:val="4"/>
        </w:numPr>
        <w:spacing w:after="0"/>
        <w:rPr>
          <w:rFonts w:cs="Arial"/>
        </w:rPr>
      </w:pPr>
      <w:r w:rsidRPr="004A1270">
        <w:rPr>
          <w:rFonts w:cs="Arial"/>
        </w:rPr>
        <w:t>mycobacterial culture of urine and, if collected, bone marrow aspirate</w:t>
      </w:r>
      <w:r>
        <w:rPr>
          <w:rFonts w:cs="Arial"/>
        </w:rPr>
        <w:t>;</w:t>
      </w:r>
    </w:p>
    <w:p w14:paraId="5EE690DE" w14:textId="77777777" w:rsidR="0073704D" w:rsidRPr="004A1270" w:rsidRDefault="0073704D" w:rsidP="0073704D">
      <w:pPr>
        <w:pStyle w:val="ListParagraph"/>
        <w:numPr>
          <w:ilvl w:val="0"/>
          <w:numId w:val="4"/>
        </w:numPr>
        <w:spacing w:after="0"/>
        <w:rPr>
          <w:rFonts w:cs="Arial"/>
        </w:rPr>
      </w:pPr>
      <w:r w:rsidRPr="004A1270">
        <w:rPr>
          <w:rFonts w:cs="Arial"/>
        </w:rPr>
        <w:t>investigations of explanted prosthetic valves or grafts should include mycobacterial cultures</w:t>
      </w:r>
    </w:p>
    <w:p w14:paraId="03BEC8A1" w14:textId="1B257DC6" w:rsidR="0073704D" w:rsidRPr="004A1270" w:rsidRDefault="0073704D" w:rsidP="0073704D">
      <w:pPr>
        <w:pStyle w:val="ListParagraph"/>
        <w:numPr>
          <w:ilvl w:val="0"/>
          <w:numId w:val="4"/>
        </w:numPr>
        <w:spacing w:after="0"/>
        <w:rPr>
          <w:rFonts w:cs="Arial"/>
        </w:rPr>
      </w:pPr>
      <w:r w:rsidRPr="004A1270">
        <w:rPr>
          <w:rFonts w:cs="Arial"/>
        </w:rPr>
        <w:t xml:space="preserve">if available, PCR targeting the 16S or other genes able to detect mycobacteria </w:t>
      </w:r>
      <w:r w:rsidR="00EA4A6A">
        <w:rPr>
          <w:rFonts w:cs="Arial"/>
        </w:rPr>
        <w:t>should also be performed on these explanted specimens.</w:t>
      </w:r>
    </w:p>
    <w:p w14:paraId="49238C99" w14:textId="77777777" w:rsidR="0073704D" w:rsidRPr="004A1270" w:rsidRDefault="0073704D" w:rsidP="003423B0">
      <w:pPr>
        <w:spacing w:after="0"/>
        <w:rPr>
          <w:rFonts w:cs="Arial"/>
        </w:rPr>
      </w:pPr>
    </w:p>
    <w:p w14:paraId="73D5A7B0" w14:textId="77777777" w:rsidR="00F921D7" w:rsidRPr="003633AC" w:rsidRDefault="00F921D7" w:rsidP="001E1AFD">
      <w:pPr>
        <w:pStyle w:val="Heading2"/>
      </w:pPr>
      <w:r w:rsidRPr="003633AC">
        <w:t>References</w:t>
      </w:r>
    </w:p>
    <w:p w14:paraId="668F1088" w14:textId="77777777" w:rsidR="00F921D7" w:rsidRPr="004A1270" w:rsidRDefault="00603947" w:rsidP="00603947">
      <w:pPr>
        <w:pStyle w:val="ListParagraph"/>
        <w:numPr>
          <w:ilvl w:val="0"/>
          <w:numId w:val="6"/>
        </w:numPr>
        <w:spacing w:after="0"/>
        <w:rPr>
          <w:rFonts w:cs="Arial"/>
        </w:rPr>
      </w:pPr>
      <w:r w:rsidRPr="004A1270">
        <w:rPr>
          <w:rFonts w:cs="Arial"/>
        </w:rPr>
        <w:t xml:space="preserve">Kohler P, </w:t>
      </w:r>
      <w:proofErr w:type="spellStart"/>
      <w:r w:rsidRPr="004A1270">
        <w:rPr>
          <w:rFonts w:cs="Arial"/>
        </w:rPr>
        <w:t>Kuster</w:t>
      </w:r>
      <w:proofErr w:type="spellEnd"/>
      <w:r w:rsidRPr="004A1270">
        <w:rPr>
          <w:rFonts w:cs="Arial"/>
        </w:rPr>
        <w:t xml:space="preserve"> SP, </w:t>
      </w:r>
      <w:proofErr w:type="spellStart"/>
      <w:r w:rsidRPr="004A1270">
        <w:rPr>
          <w:rFonts w:cs="Arial"/>
        </w:rPr>
        <w:t>Bloemberg</w:t>
      </w:r>
      <w:proofErr w:type="spellEnd"/>
      <w:r w:rsidRPr="004A1270">
        <w:rPr>
          <w:rFonts w:cs="Arial"/>
        </w:rPr>
        <w:t xml:space="preserve"> </w:t>
      </w:r>
      <w:proofErr w:type="spellStart"/>
      <w:r w:rsidRPr="004A1270">
        <w:rPr>
          <w:rFonts w:cs="Arial"/>
        </w:rPr>
        <w:t>G</w:t>
      </w:r>
      <w:proofErr w:type="gramStart"/>
      <w:r w:rsidRPr="004A1270">
        <w:rPr>
          <w:rFonts w:cs="Arial"/>
        </w:rPr>
        <w:t>,</w:t>
      </w:r>
      <w:r w:rsidRPr="004A1270">
        <w:rPr>
          <w:rFonts w:cs="Arial"/>
          <w:i/>
        </w:rPr>
        <w:t>et</w:t>
      </w:r>
      <w:proofErr w:type="spellEnd"/>
      <w:proofErr w:type="gramEnd"/>
      <w:r w:rsidRPr="004A1270">
        <w:rPr>
          <w:rFonts w:cs="Arial"/>
          <w:i/>
        </w:rPr>
        <w:t xml:space="preserve"> al</w:t>
      </w:r>
      <w:r w:rsidRPr="004A1270">
        <w:rPr>
          <w:rFonts w:cs="Arial"/>
        </w:rPr>
        <w:t xml:space="preserve">. Healthcare-associated prosthetic heart valve, aortic vascular graft, and disseminated </w:t>
      </w:r>
      <w:r w:rsidRPr="004A1270">
        <w:rPr>
          <w:rFonts w:cs="Arial"/>
          <w:i/>
        </w:rPr>
        <w:t>Mycobacterium chimaera</w:t>
      </w:r>
      <w:r w:rsidRPr="004A1270">
        <w:rPr>
          <w:rFonts w:cs="Arial"/>
        </w:rPr>
        <w:t xml:space="preserve"> infections subsequent to open heart surgery. </w:t>
      </w:r>
      <w:proofErr w:type="spellStart"/>
      <w:r w:rsidRPr="004A1270">
        <w:rPr>
          <w:rFonts w:cs="Arial"/>
          <w:i/>
        </w:rPr>
        <w:t>Eur</w:t>
      </w:r>
      <w:proofErr w:type="spellEnd"/>
      <w:r w:rsidRPr="004A1270">
        <w:rPr>
          <w:rFonts w:cs="Arial"/>
          <w:i/>
        </w:rPr>
        <w:t xml:space="preserve"> Heart J </w:t>
      </w:r>
      <w:r w:rsidRPr="004A1270">
        <w:rPr>
          <w:rFonts w:cs="Arial"/>
        </w:rPr>
        <w:t>2015: 36: 2745-53.</w:t>
      </w:r>
    </w:p>
    <w:p w14:paraId="7BC13971" w14:textId="0130BFA7" w:rsidR="005B206D" w:rsidRPr="004A1270" w:rsidRDefault="005B206D" w:rsidP="005B206D">
      <w:pPr>
        <w:pStyle w:val="ListParagraph"/>
        <w:numPr>
          <w:ilvl w:val="0"/>
          <w:numId w:val="6"/>
        </w:numPr>
        <w:spacing w:after="0"/>
        <w:rPr>
          <w:rFonts w:cs="Arial"/>
        </w:rPr>
      </w:pPr>
      <w:r w:rsidRPr="004A1270">
        <w:rPr>
          <w:rFonts w:cs="Arial"/>
        </w:rPr>
        <w:t xml:space="preserve">Kanamori H, Weber DJ, </w:t>
      </w:r>
      <w:proofErr w:type="spellStart"/>
      <w:r w:rsidRPr="004A1270">
        <w:rPr>
          <w:rFonts w:cs="Arial"/>
        </w:rPr>
        <w:t>Rutala</w:t>
      </w:r>
      <w:proofErr w:type="spellEnd"/>
      <w:r w:rsidRPr="004A1270">
        <w:rPr>
          <w:rFonts w:cs="Arial"/>
        </w:rPr>
        <w:t xml:space="preserve"> WA. Healthcare outbreaks associated with a water reservoir and infection prevention strategies. </w:t>
      </w:r>
      <w:proofErr w:type="spellStart"/>
      <w:r w:rsidRPr="004A1270">
        <w:rPr>
          <w:rFonts w:cs="Arial"/>
          <w:i/>
        </w:rPr>
        <w:t>Clin</w:t>
      </w:r>
      <w:proofErr w:type="spellEnd"/>
      <w:r w:rsidRPr="004A1270">
        <w:rPr>
          <w:rFonts w:cs="Arial"/>
          <w:i/>
        </w:rPr>
        <w:t xml:space="preserve"> Infect Dis </w:t>
      </w:r>
      <w:r w:rsidRPr="004A1270">
        <w:rPr>
          <w:rFonts w:cs="Arial"/>
        </w:rPr>
        <w:t>2016; 62: 1423-35.</w:t>
      </w:r>
    </w:p>
    <w:p w14:paraId="5452A27F" w14:textId="1BBC89CD" w:rsidR="005B206D" w:rsidRPr="004A1270" w:rsidRDefault="00F31842" w:rsidP="00F31842">
      <w:pPr>
        <w:pStyle w:val="ListParagraph"/>
        <w:numPr>
          <w:ilvl w:val="0"/>
          <w:numId w:val="6"/>
        </w:numPr>
        <w:spacing w:after="0"/>
        <w:rPr>
          <w:rFonts w:cs="Arial"/>
        </w:rPr>
      </w:pPr>
      <w:proofErr w:type="spellStart"/>
      <w:r w:rsidRPr="004A1270">
        <w:rPr>
          <w:rFonts w:cs="Arial"/>
        </w:rPr>
        <w:t>Karchmer</w:t>
      </w:r>
      <w:proofErr w:type="spellEnd"/>
      <w:r w:rsidRPr="004A1270">
        <w:rPr>
          <w:rFonts w:cs="Arial"/>
        </w:rPr>
        <w:t xml:space="preserve"> AW. Infections of prosthetic valves and intravascular devices. In: Principles and Practice of Infectious Diseases, 5th </w:t>
      </w:r>
      <w:proofErr w:type="spellStart"/>
      <w:r w:rsidRPr="004A1270">
        <w:rPr>
          <w:rFonts w:cs="Arial"/>
        </w:rPr>
        <w:t>ed</w:t>
      </w:r>
      <w:proofErr w:type="spellEnd"/>
      <w:r w:rsidRPr="004A1270">
        <w:rPr>
          <w:rFonts w:cs="Arial"/>
        </w:rPr>
        <w:t xml:space="preserve">, </w:t>
      </w:r>
      <w:proofErr w:type="spellStart"/>
      <w:r w:rsidRPr="004A1270">
        <w:rPr>
          <w:rFonts w:cs="Arial"/>
        </w:rPr>
        <w:t>Mandell</w:t>
      </w:r>
      <w:proofErr w:type="spellEnd"/>
      <w:r w:rsidRPr="004A1270">
        <w:rPr>
          <w:rFonts w:cs="Arial"/>
        </w:rPr>
        <w:t xml:space="preserve"> GL, et al (</w:t>
      </w:r>
      <w:proofErr w:type="spellStart"/>
      <w:r w:rsidRPr="004A1270">
        <w:rPr>
          <w:rFonts w:cs="Arial"/>
        </w:rPr>
        <w:t>Eds</w:t>
      </w:r>
      <w:proofErr w:type="spellEnd"/>
      <w:r w:rsidRPr="004A1270">
        <w:rPr>
          <w:rFonts w:cs="Arial"/>
        </w:rPr>
        <w:t>), Churchill Livingstone, Philadelphia 1999. p. 903.</w:t>
      </w:r>
    </w:p>
    <w:p w14:paraId="7661A9D0" w14:textId="16F4DD55" w:rsidR="00F31842" w:rsidRPr="004A1270" w:rsidRDefault="00F31842" w:rsidP="00F31842">
      <w:pPr>
        <w:pStyle w:val="ListParagraph"/>
        <w:numPr>
          <w:ilvl w:val="0"/>
          <w:numId w:val="6"/>
        </w:numPr>
        <w:spacing w:after="0"/>
        <w:rPr>
          <w:rFonts w:cs="Arial"/>
        </w:rPr>
      </w:pPr>
      <w:r w:rsidRPr="004A1270">
        <w:rPr>
          <w:rFonts w:cs="Arial"/>
        </w:rPr>
        <w:t xml:space="preserve">Haller S, </w:t>
      </w:r>
      <w:proofErr w:type="spellStart"/>
      <w:r w:rsidRPr="004A1270">
        <w:rPr>
          <w:rFonts w:cs="Arial"/>
        </w:rPr>
        <w:t>Höller</w:t>
      </w:r>
      <w:proofErr w:type="spellEnd"/>
      <w:r w:rsidRPr="004A1270">
        <w:rPr>
          <w:rFonts w:cs="Arial"/>
        </w:rPr>
        <w:t xml:space="preserve"> C, </w:t>
      </w:r>
      <w:proofErr w:type="spellStart"/>
      <w:r w:rsidRPr="004A1270">
        <w:rPr>
          <w:rFonts w:cs="Arial"/>
        </w:rPr>
        <w:t>Jacobshagen</w:t>
      </w:r>
      <w:proofErr w:type="spellEnd"/>
      <w:r w:rsidRPr="004A1270">
        <w:rPr>
          <w:rFonts w:cs="Arial"/>
        </w:rPr>
        <w:t xml:space="preserve"> A, </w:t>
      </w:r>
      <w:r w:rsidRPr="004A1270">
        <w:rPr>
          <w:rFonts w:cs="Arial"/>
          <w:i/>
        </w:rPr>
        <w:t>et al</w:t>
      </w:r>
      <w:r w:rsidRPr="004A1270">
        <w:rPr>
          <w:rFonts w:cs="Arial"/>
        </w:rPr>
        <w:t xml:space="preserve">. Contamination during production of heater-cooler units by </w:t>
      </w:r>
      <w:r w:rsidRPr="004A1270">
        <w:rPr>
          <w:rFonts w:cs="Arial"/>
          <w:i/>
        </w:rPr>
        <w:t>Mycobacterium chimaera</w:t>
      </w:r>
      <w:r w:rsidRPr="004A1270">
        <w:rPr>
          <w:rFonts w:cs="Arial"/>
        </w:rPr>
        <w:t xml:space="preserve"> potential cause for invasive cardiovascular infections: results of an outbreak investigation in Germany, April 2015 to February 2016. </w:t>
      </w:r>
      <w:r w:rsidRPr="004A1270">
        <w:rPr>
          <w:rFonts w:cs="Arial"/>
          <w:i/>
        </w:rPr>
        <w:t xml:space="preserve">Euro </w:t>
      </w:r>
      <w:proofErr w:type="spellStart"/>
      <w:r w:rsidRPr="004A1270">
        <w:rPr>
          <w:rFonts w:cs="Arial"/>
          <w:i/>
        </w:rPr>
        <w:t>Surveill</w:t>
      </w:r>
      <w:proofErr w:type="spellEnd"/>
      <w:r w:rsidRPr="004A1270">
        <w:rPr>
          <w:rFonts w:cs="Arial"/>
        </w:rPr>
        <w:t xml:space="preserve"> 2016 Apr 28; 21(17).</w:t>
      </w:r>
    </w:p>
    <w:p w14:paraId="1FFC834E" w14:textId="512BB81C" w:rsidR="0006795F" w:rsidRPr="004A1270" w:rsidRDefault="0006795F" w:rsidP="0006795F">
      <w:pPr>
        <w:pStyle w:val="ListParagraph"/>
        <w:numPr>
          <w:ilvl w:val="0"/>
          <w:numId w:val="6"/>
        </w:numPr>
        <w:spacing w:after="0"/>
        <w:rPr>
          <w:rFonts w:cs="Arial"/>
        </w:rPr>
      </w:pPr>
      <w:r w:rsidRPr="004A1270">
        <w:rPr>
          <w:rFonts w:cs="Arial"/>
        </w:rPr>
        <w:t xml:space="preserve">Public Health England. Protocol for environmental sampling, processing and culturing of water and air samples for the isolation of slow-growing mycobacteria: standard operating procedures, July 2016. Available at: </w:t>
      </w:r>
      <w:r w:rsidRPr="00F7319F">
        <w:t>https://www.gov.uk/government/uploads/system/uploads/attachment_data/file/540325/Air_water_environmental_sampling_SOP_V2.pdf</w:t>
      </w:r>
      <w:r w:rsidRPr="004A1270">
        <w:rPr>
          <w:rFonts w:cs="Arial"/>
        </w:rPr>
        <w:t xml:space="preserve"> </w:t>
      </w:r>
    </w:p>
    <w:p w14:paraId="354618C9" w14:textId="0A3BFF29" w:rsidR="0006795F" w:rsidRPr="003633AC" w:rsidRDefault="0006795F" w:rsidP="003633AC">
      <w:pPr>
        <w:pStyle w:val="ListParagraph"/>
        <w:numPr>
          <w:ilvl w:val="0"/>
          <w:numId w:val="6"/>
        </w:numPr>
        <w:spacing w:after="0"/>
        <w:rPr>
          <w:rFonts w:cs="Arial"/>
        </w:rPr>
      </w:pPr>
      <w:r w:rsidRPr="003633AC">
        <w:rPr>
          <w:rFonts w:cs="Arial"/>
        </w:rPr>
        <w:t xml:space="preserve">Public Health Laboratory Network. PHLN survey regarding Mycobacterium chimaera &amp; heater-cooler </w:t>
      </w:r>
      <w:proofErr w:type="gramStart"/>
      <w:r w:rsidRPr="003633AC">
        <w:rPr>
          <w:rFonts w:cs="Arial"/>
        </w:rPr>
        <w:t>units</w:t>
      </w:r>
      <w:r w:rsidR="003633AC">
        <w:rPr>
          <w:rFonts w:cs="Arial"/>
        </w:rPr>
        <w:t xml:space="preserve">  -</w:t>
      </w:r>
      <w:proofErr w:type="gramEnd"/>
      <w:r w:rsidR="003633AC">
        <w:rPr>
          <w:rFonts w:cs="Arial"/>
        </w:rPr>
        <w:t xml:space="preserve"> </w:t>
      </w:r>
      <w:r w:rsidR="003633AC" w:rsidRPr="004A1270">
        <w:rPr>
          <w:rFonts w:cs="Arial"/>
        </w:rPr>
        <w:t>Available at:</w:t>
      </w:r>
      <w:r w:rsidR="003633AC">
        <w:rPr>
          <w:rFonts w:cs="Arial"/>
        </w:rPr>
        <w:t xml:space="preserve"> </w:t>
      </w:r>
      <w:r w:rsidR="003633AC" w:rsidRPr="003633AC">
        <w:rPr>
          <w:rFonts w:cs="Arial"/>
        </w:rPr>
        <w:t>http://www.health.gov.au/phln</w:t>
      </w:r>
      <w:r w:rsidRPr="003633AC">
        <w:rPr>
          <w:rFonts w:cs="Arial"/>
        </w:rPr>
        <w:t>.</w:t>
      </w:r>
    </w:p>
    <w:p w14:paraId="367EF03B" w14:textId="2A3D34C3" w:rsidR="00703FD1" w:rsidRPr="004A1270" w:rsidRDefault="00703FD1" w:rsidP="00703FD1">
      <w:pPr>
        <w:pStyle w:val="ListParagraph"/>
        <w:numPr>
          <w:ilvl w:val="0"/>
          <w:numId w:val="6"/>
        </w:numPr>
        <w:spacing w:after="0"/>
        <w:rPr>
          <w:rFonts w:cs="Arial"/>
        </w:rPr>
      </w:pPr>
      <w:r w:rsidRPr="004A1270">
        <w:rPr>
          <w:rFonts w:cs="Arial"/>
        </w:rPr>
        <w:t>Therapeutic Goods Administration. Non-tuberculous mycobacterium infections associated with heater-cooler devices. Available at: https://www.tga.gov.au/publication-issue/medical-devices-safety-update-volume-4-number-3-may-2016#a2.</w:t>
      </w:r>
    </w:p>
    <w:p w14:paraId="3ED2E23F" w14:textId="50F12D86" w:rsidR="00703FD1" w:rsidRPr="004A1270" w:rsidRDefault="00F7319F" w:rsidP="00703FD1">
      <w:pPr>
        <w:pStyle w:val="ListParagraph"/>
        <w:numPr>
          <w:ilvl w:val="0"/>
          <w:numId w:val="6"/>
        </w:numPr>
        <w:spacing w:after="0"/>
        <w:rPr>
          <w:rFonts w:cs="Arial"/>
        </w:rPr>
      </w:pPr>
      <w:hyperlink r:id="rId8" w:history="1">
        <w:r w:rsidR="00703FD1" w:rsidRPr="00F7319F">
          <w:rPr>
            <w:rStyle w:val="Hyperlink"/>
            <w:rFonts w:cs="Arial"/>
          </w:rPr>
          <w:t>Therapeutic Goods Administration. Non-tuberculous mycobacterium infections associated with heater-cooler devices.</w:t>
        </w:r>
      </w:hyperlink>
      <w:r w:rsidR="00703FD1" w:rsidRPr="004A1270">
        <w:rPr>
          <w:rFonts w:cs="Arial"/>
        </w:rPr>
        <w:t xml:space="preserve"> Alert - updated advice for health professionals and facilities following repo</w:t>
      </w:r>
      <w:r w:rsidR="00265B79" w:rsidRPr="004A1270">
        <w:rPr>
          <w:rFonts w:cs="Arial"/>
        </w:rPr>
        <w:t xml:space="preserve">rt of patient infection, 2 August 2016. </w:t>
      </w:r>
      <w:r w:rsidR="00703FD1" w:rsidRPr="004A1270">
        <w:rPr>
          <w:rFonts w:cs="Arial"/>
        </w:rPr>
        <w:t xml:space="preserve">Available from: </w:t>
      </w:r>
      <w:r w:rsidRPr="00F7319F">
        <w:rPr>
          <w:rFonts w:cs="Arial"/>
        </w:rPr>
        <w:t>(www.tga.gov.au/alert/</w:t>
      </w:r>
      <w:r w:rsidRPr="00F7319F">
        <w:rPr>
          <w:rFonts w:cs="Arial"/>
        </w:rPr>
        <w:t>n</w:t>
      </w:r>
      <w:r w:rsidRPr="00F7319F">
        <w:rPr>
          <w:rFonts w:cs="Arial"/>
        </w:rPr>
        <w:t>on-tuberculous-mycobacterium-infections-associated-heater-cooler-devices</w:t>
      </w:r>
      <w:r>
        <w:rPr>
          <w:rStyle w:val="Hyperlink"/>
          <w:rFonts w:cs="Arial"/>
        </w:rPr>
        <w:t>)</w:t>
      </w:r>
    </w:p>
    <w:p w14:paraId="648C8198" w14:textId="41E19C62" w:rsidR="00265B79" w:rsidRDefault="002E27BD" w:rsidP="002E27BD">
      <w:pPr>
        <w:pStyle w:val="ListParagraph"/>
        <w:numPr>
          <w:ilvl w:val="0"/>
          <w:numId w:val="6"/>
        </w:numPr>
        <w:spacing w:after="0"/>
        <w:rPr>
          <w:rFonts w:cs="Arial"/>
        </w:rPr>
      </w:pPr>
      <w:r w:rsidRPr="004A1270">
        <w:rPr>
          <w:rFonts w:cs="Arial"/>
        </w:rPr>
        <w:t xml:space="preserve">Australian Commission on Safety and Quality in Health Care. National infection control guidance. Non-tuberculous mycobacterium associated with heater-cooler devices, 2 September 2016. Available at: </w:t>
      </w:r>
      <w:r w:rsidR="004A1270" w:rsidRPr="00F7319F">
        <w:rPr>
          <w:rFonts w:cs="Arial"/>
        </w:rPr>
        <w:t>https://www.safetyandquality.gov.au/wp-content/uploads/2016/09/National-Infection-Control-Guidance-for-Non-tuberculous-Mycobacterium-Heater-Cooler-Devices-PDF.pdf</w:t>
      </w:r>
    </w:p>
    <w:p w14:paraId="1946D055" w14:textId="77777777" w:rsidR="00C72D94" w:rsidRDefault="004A1270" w:rsidP="00C72D94">
      <w:pPr>
        <w:pStyle w:val="ListParagraph"/>
        <w:numPr>
          <w:ilvl w:val="0"/>
          <w:numId w:val="6"/>
        </w:numPr>
        <w:spacing w:after="0"/>
        <w:rPr>
          <w:rFonts w:cs="Arial"/>
        </w:rPr>
      </w:pPr>
      <w:r>
        <w:rPr>
          <w:rFonts w:cs="Arial"/>
        </w:rPr>
        <w:t>Thomson R</w:t>
      </w:r>
      <w:r w:rsidRPr="004A1270">
        <w:rPr>
          <w:rFonts w:cs="Arial"/>
        </w:rPr>
        <w:t xml:space="preserve">, Carter R, </w:t>
      </w:r>
      <w:proofErr w:type="spellStart"/>
      <w:r w:rsidRPr="004A1270">
        <w:rPr>
          <w:rFonts w:cs="Arial"/>
        </w:rPr>
        <w:t>Gilpin</w:t>
      </w:r>
      <w:proofErr w:type="spellEnd"/>
      <w:r w:rsidRPr="004A1270">
        <w:rPr>
          <w:rFonts w:cs="Arial"/>
        </w:rPr>
        <w:t xml:space="preserve"> C, Coulter C, Hargreaves M</w:t>
      </w:r>
      <w:r>
        <w:rPr>
          <w:rFonts w:cs="Arial"/>
        </w:rPr>
        <w:t xml:space="preserve">. </w:t>
      </w:r>
      <w:r w:rsidRPr="004A1270">
        <w:rPr>
          <w:rFonts w:cs="Arial"/>
        </w:rPr>
        <w:t xml:space="preserve">Comparison of methods for processing drinking water samples for the isolation of </w:t>
      </w:r>
      <w:r w:rsidRPr="004A1270">
        <w:rPr>
          <w:rFonts w:cs="Arial"/>
          <w:i/>
        </w:rPr>
        <w:t xml:space="preserve">Mycobacterium </w:t>
      </w:r>
      <w:proofErr w:type="spellStart"/>
      <w:r w:rsidRPr="004A1270">
        <w:rPr>
          <w:rFonts w:cs="Arial"/>
          <w:i/>
        </w:rPr>
        <w:t>avium</w:t>
      </w:r>
      <w:proofErr w:type="spellEnd"/>
      <w:r w:rsidRPr="004A1270">
        <w:rPr>
          <w:rFonts w:cs="Arial"/>
        </w:rPr>
        <w:t xml:space="preserve"> and </w:t>
      </w:r>
      <w:r w:rsidRPr="004A1270">
        <w:rPr>
          <w:rFonts w:cs="Arial"/>
          <w:i/>
        </w:rPr>
        <w:t xml:space="preserve">Mycobacterium </w:t>
      </w:r>
      <w:proofErr w:type="spellStart"/>
      <w:r w:rsidRPr="004A1270">
        <w:rPr>
          <w:rFonts w:cs="Arial"/>
          <w:i/>
        </w:rPr>
        <w:t>intracellulare</w:t>
      </w:r>
      <w:proofErr w:type="spellEnd"/>
      <w:r w:rsidRPr="004A1270">
        <w:rPr>
          <w:rFonts w:cs="Arial"/>
        </w:rPr>
        <w:t>.</w:t>
      </w:r>
      <w:r>
        <w:rPr>
          <w:rFonts w:cs="Arial"/>
        </w:rPr>
        <w:t xml:space="preserve"> </w:t>
      </w:r>
      <w:proofErr w:type="spellStart"/>
      <w:r w:rsidRPr="004A1270">
        <w:rPr>
          <w:rFonts w:cs="Arial"/>
          <w:i/>
        </w:rPr>
        <w:t>Appl</w:t>
      </w:r>
      <w:proofErr w:type="spellEnd"/>
      <w:r w:rsidRPr="004A1270">
        <w:rPr>
          <w:rFonts w:cs="Arial"/>
          <w:i/>
        </w:rPr>
        <w:t xml:space="preserve"> Environ </w:t>
      </w:r>
      <w:proofErr w:type="spellStart"/>
      <w:r w:rsidRPr="004A1270">
        <w:rPr>
          <w:rFonts w:cs="Arial"/>
          <w:i/>
        </w:rPr>
        <w:t>Microbiol</w:t>
      </w:r>
      <w:proofErr w:type="spellEnd"/>
      <w:r>
        <w:rPr>
          <w:rFonts w:cs="Arial"/>
        </w:rPr>
        <w:t xml:space="preserve"> 2008</w:t>
      </w:r>
      <w:r w:rsidRPr="004A1270">
        <w:rPr>
          <w:rFonts w:cs="Arial"/>
        </w:rPr>
        <w:t>;</w:t>
      </w:r>
      <w:r>
        <w:rPr>
          <w:rFonts w:cs="Arial"/>
        </w:rPr>
        <w:t xml:space="preserve"> 74</w:t>
      </w:r>
      <w:r w:rsidRPr="004A1270">
        <w:rPr>
          <w:rFonts w:cs="Arial"/>
        </w:rPr>
        <w:t>:</w:t>
      </w:r>
      <w:r>
        <w:rPr>
          <w:rFonts w:cs="Arial"/>
        </w:rPr>
        <w:t xml:space="preserve"> </w:t>
      </w:r>
      <w:r w:rsidRPr="004A1270">
        <w:rPr>
          <w:rFonts w:cs="Arial"/>
        </w:rPr>
        <w:t>3094-8</w:t>
      </w:r>
      <w:r>
        <w:rPr>
          <w:rFonts w:cs="Arial"/>
        </w:rPr>
        <w:t>.</w:t>
      </w:r>
    </w:p>
    <w:p w14:paraId="4DCF6C20" w14:textId="1EAC8B10" w:rsidR="004A1270" w:rsidRDefault="00F7319F" w:rsidP="00C72D94">
      <w:pPr>
        <w:pStyle w:val="ListParagraph"/>
        <w:numPr>
          <w:ilvl w:val="0"/>
          <w:numId w:val="6"/>
        </w:numPr>
        <w:spacing w:after="0"/>
        <w:rPr>
          <w:rFonts w:cs="Arial"/>
        </w:rPr>
      </w:pPr>
      <w:hyperlink r:id="rId9" w:history="1">
        <w:r w:rsidR="00C72D94" w:rsidRPr="00F7319F">
          <w:rPr>
            <w:rStyle w:val="Hyperlink"/>
            <w:rFonts w:cs="Arial"/>
          </w:rPr>
          <w:t>Australian Drinking Water Guidelines Paper 6 National Water Quality Management Strategy, Version 3.2 Updated February 2016</w:t>
        </w:r>
      </w:hyperlink>
      <w:r w:rsidR="00C72D94" w:rsidRPr="00C72D94">
        <w:rPr>
          <w:rFonts w:cs="Arial"/>
        </w:rPr>
        <w:t>. National Health and Medical Research Council, National Resource Management Ministerial Council, Commonwealth of Australia, Canberra</w:t>
      </w:r>
      <w:r w:rsidR="00C72D94">
        <w:rPr>
          <w:rFonts w:cs="Arial"/>
        </w:rPr>
        <w:t xml:space="preserve">. Available at: </w:t>
      </w:r>
      <w:r>
        <w:rPr>
          <w:rFonts w:cs="Arial"/>
        </w:rPr>
        <w:t>(</w:t>
      </w:r>
      <w:r w:rsidR="00131B63" w:rsidRPr="00F7319F">
        <w:rPr>
          <w:rFonts w:cs="Arial"/>
        </w:rPr>
        <w:t>www.nhmrc.gov</w:t>
      </w:r>
      <w:r w:rsidR="00131B63" w:rsidRPr="00F7319F">
        <w:rPr>
          <w:rFonts w:cs="Arial"/>
        </w:rPr>
        <w:t>.</w:t>
      </w:r>
      <w:r w:rsidR="00131B63" w:rsidRPr="00F7319F">
        <w:rPr>
          <w:rFonts w:cs="Arial"/>
        </w:rPr>
        <w:t>au/guidelines-publications/eh52</w:t>
      </w:r>
      <w:r>
        <w:rPr>
          <w:rFonts w:cs="Arial"/>
        </w:rPr>
        <w:t>)</w:t>
      </w:r>
    </w:p>
    <w:p w14:paraId="4AB48D79" w14:textId="0ED4E875" w:rsidR="00131B63" w:rsidRPr="00C72D94" w:rsidRDefault="00F7319F" w:rsidP="00C72D94">
      <w:pPr>
        <w:pStyle w:val="ListParagraph"/>
        <w:numPr>
          <w:ilvl w:val="0"/>
          <w:numId w:val="6"/>
        </w:numPr>
        <w:spacing w:after="0"/>
        <w:rPr>
          <w:rFonts w:cs="Arial"/>
        </w:rPr>
      </w:pPr>
      <w:hyperlink r:id="rId10" w:history="1">
        <w:r w:rsidR="00131B63" w:rsidRPr="00F7319F">
          <w:rPr>
            <w:rStyle w:val="Hyperlink"/>
            <w:rFonts w:cs="Arial"/>
          </w:rPr>
          <w:t>Australian College for Infection Prevention and Control. Non-tuberculous mycobacterium and heater-cooler devices webinar</w:t>
        </w:r>
      </w:hyperlink>
      <w:r w:rsidR="00131B63">
        <w:rPr>
          <w:rFonts w:cs="Arial"/>
        </w:rPr>
        <w:t>. Available at:</w:t>
      </w:r>
      <w:r>
        <w:t xml:space="preserve"> (</w:t>
      </w:r>
      <w:r w:rsidR="00131B63" w:rsidRPr="00F7319F">
        <w:t>www.acipc.org.au/Professional-Development/Webinars/Nontuberculous-Mycobacteriu</w:t>
      </w:r>
      <w:r w:rsidR="00131B63" w:rsidRPr="00F7319F">
        <w:t>m</w:t>
      </w:r>
      <w:r w:rsidR="00131B63" w:rsidRPr="00F7319F">
        <w:t>-Infection-and-Heater-Cooler-Devices</w:t>
      </w:r>
      <w:r>
        <w:t>)</w:t>
      </w:r>
      <w:bookmarkStart w:id="0" w:name="_GoBack"/>
      <w:bookmarkEnd w:id="0"/>
    </w:p>
    <w:sectPr w:rsidR="00131B63" w:rsidRPr="00C72D9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319B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0A034" w14:textId="77777777" w:rsidR="005419F3" w:rsidRDefault="005419F3" w:rsidP="005419F3">
      <w:pPr>
        <w:spacing w:after="0" w:line="240" w:lineRule="auto"/>
      </w:pPr>
      <w:r>
        <w:separator/>
      </w:r>
    </w:p>
  </w:endnote>
  <w:endnote w:type="continuationSeparator" w:id="0">
    <w:p w14:paraId="7393A1BC" w14:textId="77777777" w:rsidR="005419F3" w:rsidRDefault="005419F3" w:rsidP="0054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C64A7" w14:textId="77777777" w:rsidR="000C5546" w:rsidRDefault="000C5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2552A" w14:textId="77777777" w:rsidR="000C5546" w:rsidRDefault="000C55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F6972" w14:textId="77777777" w:rsidR="000C5546" w:rsidRDefault="000C5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4CCEB" w14:textId="77777777" w:rsidR="005419F3" w:rsidRDefault="005419F3" w:rsidP="005419F3">
      <w:pPr>
        <w:spacing w:after="0" w:line="240" w:lineRule="auto"/>
      </w:pPr>
      <w:r>
        <w:separator/>
      </w:r>
    </w:p>
  </w:footnote>
  <w:footnote w:type="continuationSeparator" w:id="0">
    <w:p w14:paraId="2BE733B1" w14:textId="77777777" w:rsidR="005419F3" w:rsidRDefault="005419F3" w:rsidP="00541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18448" w14:textId="77777777" w:rsidR="000C5546" w:rsidRDefault="000C55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7DB67" w14:textId="186AAED0" w:rsidR="000C5546" w:rsidRDefault="000C55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97B72" w14:textId="77777777" w:rsidR="000C5546" w:rsidRDefault="000C55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47E1"/>
    <w:multiLevelType w:val="hybridMultilevel"/>
    <w:tmpl w:val="B3184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BA5A4F"/>
    <w:multiLevelType w:val="hybridMultilevel"/>
    <w:tmpl w:val="BC3CF4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7BC2AF4"/>
    <w:multiLevelType w:val="hybridMultilevel"/>
    <w:tmpl w:val="33DC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1B1539"/>
    <w:multiLevelType w:val="hybridMultilevel"/>
    <w:tmpl w:val="A99C5E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87A038A"/>
    <w:multiLevelType w:val="hybridMultilevel"/>
    <w:tmpl w:val="972ACCAE"/>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B7C6B462">
      <w:start w:val="7"/>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CE74279"/>
    <w:multiLevelType w:val="hybridMultilevel"/>
    <w:tmpl w:val="BF2C85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 Bastian">
    <w15:presenceInfo w15:providerId="Windows Live" w15:userId="6bc9542731371c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A4F"/>
    <w:rsid w:val="0001543D"/>
    <w:rsid w:val="00016DA8"/>
    <w:rsid w:val="00032686"/>
    <w:rsid w:val="00032E47"/>
    <w:rsid w:val="00040552"/>
    <w:rsid w:val="00044F9F"/>
    <w:rsid w:val="0006795F"/>
    <w:rsid w:val="000B7FC5"/>
    <w:rsid w:val="000C5546"/>
    <w:rsid w:val="00131B63"/>
    <w:rsid w:val="001914FE"/>
    <w:rsid w:val="001A7BC0"/>
    <w:rsid w:val="001B6015"/>
    <w:rsid w:val="001C1E64"/>
    <w:rsid w:val="001E1856"/>
    <w:rsid w:val="001E1AFD"/>
    <w:rsid w:val="001F30A4"/>
    <w:rsid w:val="00244E9C"/>
    <w:rsid w:val="00257AA4"/>
    <w:rsid w:val="00265B79"/>
    <w:rsid w:val="00283EE0"/>
    <w:rsid w:val="00293EC8"/>
    <w:rsid w:val="00297A6D"/>
    <w:rsid w:val="002D5775"/>
    <w:rsid w:val="002E27BD"/>
    <w:rsid w:val="003155C0"/>
    <w:rsid w:val="00325C3F"/>
    <w:rsid w:val="00331180"/>
    <w:rsid w:val="003423B0"/>
    <w:rsid w:val="003633AC"/>
    <w:rsid w:val="003B4652"/>
    <w:rsid w:val="003B5EDF"/>
    <w:rsid w:val="003D64FC"/>
    <w:rsid w:val="003E2CDD"/>
    <w:rsid w:val="004A1270"/>
    <w:rsid w:val="004E7EFF"/>
    <w:rsid w:val="0050145B"/>
    <w:rsid w:val="00503382"/>
    <w:rsid w:val="005133B2"/>
    <w:rsid w:val="005419F3"/>
    <w:rsid w:val="00565B76"/>
    <w:rsid w:val="005B206D"/>
    <w:rsid w:val="005F356A"/>
    <w:rsid w:val="00603947"/>
    <w:rsid w:val="006B7704"/>
    <w:rsid w:val="00703FD1"/>
    <w:rsid w:val="0073704D"/>
    <w:rsid w:val="0077100B"/>
    <w:rsid w:val="0077726A"/>
    <w:rsid w:val="007832B7"/>
    <w:rsid w:val="0078547F"/>
    <w:rsid w:val="00787948"/>
    <w:rsid w:val="0080505F"/>
    <w:rsid w:val="00852FF8"/>
    <w:rsid w:val="008A412D"/>
    <w:rsid w:val="008B357E"/>
    <w:rsid w:val="008F340F"/>
    <w:rsid w:val="009365A5"/>
    <w:rsid w:val="0094096D"/>
    <w:rsid w:val="00981BAB"/>
    <w:rsid w:val="009A3F94"/>
    <w:rsid w:val="009E5BE9"/>
    <w:rsid w:val="00A32A4B"/>
    <w:rsid w:val="00A66878"/>
    <w:rsid w:val="00AD2B50"/>
    <w:rsid w:val="00B82720"/>
    <w:rsid w:val="00B928F9"/>
    <w:rsid w:val="00BB1196"/>
    <w:rsid w:val="00BD18B9"/>
    <w:rsid w:val="00C12804"/>
    <w:rsid w:val="00C25282"/>
    <w:rsid w:val="00C30369"/>
    <w:rsid w:val="00C57ED3"/>
    <w:rsid w:val="00C72D94"/>
    <w:rsid w:val="00C85675"/>
    <w:rsid w:val="00CC34FC"/>
    <w:rsid w:val="00CC68F8"/>
    <w:rsid w:val="00D17A4F"/>
    <w:rsid w:val="00D23AF8"/>
    <w:rsid w:val="00D5651A"/>
    <w:rsid w:val="00D60DB3"/>
    <w:rsid w:val="00D747CB"/>
    <w:rsid w:val="00E10AC9"/>
    <w:rsid w:val="00E27BDE"/>
    <w:rsid w:val="00E46708"/>
    <w:rsid w:val="00EA4A6A"/>
    <w:rsid w:val="00F27822"/>
    <w:rsid w:val="00F31842"/>
    <w:rsid w:val="00F414BC"/>
    <w:rsid w:val="00F42A8B"/>
    <w:rsid w:val="00F7319F"/>
    <w:rsid w:val="00F92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F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A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33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52FF8"/>
    <w:rPr>
      <w:color w:val="0000FF" w:themeColor="hyperlink"/>
      <w:u w:val="single"/>
    </w:rPr>
  </w:style>
  <w:style w:type="paragraph" w:styleId="ListParagraph">
    <w:name w:val="List Paragraph"/>
    <w:basedOn w:val="Normal"/>
    <w:uiPriority w:val="34"/>
    <w:qFormat/>
    <w:rsid w:val="005419F3"/>
    <w:pPr>
      <w:ind w:left="720"/>
      <w:contextualSpacing/>
    </w:pPr>
  </w:style>
  <w:style w:type="paragraph" w:styleId="FootnoteText">
    <w:name w:val="footnote text"/>
    <w:basedOn w:val="Normal"/>
    <w:link w:val="FootnoteTextChar"/>
    <w:uiPriority w:val="99"/>
    <w:semiHidden/>
    <w:unhideWhenUsed/>
    <w:rsid w:val="00541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9F3"/>
    <w:rPr>
      <w:sz w:val="20"/>
      <w:szCs w:val="20"/>
    </w:rPr>
  </w:style>
  <w:style w:type="character" w:styleId="FootnoteReference">
    <w:name w:val="footnote reference"/>
    <w:basedOn w:val="DefaultParagraphFont"/>
    <w:uiPriority w:val="99"/>
    <w:semiHidden/>
    <w:unhideWhenUsed/>
    <w:rsid w:val="005419F3"/>
    <w:rPr>
      <w:vertAlign w:val="superscript"/>
    </w:rPr>
  </w:style>
  <w:style w:type="character" w:styleId="CommentReference">
    <w:name w:val="annotation reference"/>
    <w:basedOn w:val="DefaultParagraphFont"/>
    <w:uiPriority w:val="99"/>
    <w:semiHidden/>
    <w:unhideWhenUsed/>
    <w:rsid w:val="0077100B"/>
    <w:rPr>
      <w:sz w:val="16"/>
      <w:szCs w:val="16"/>
    </w:rPr>
  </w:style>
  <w:style w:type="paragraph" w:styleId="CommentText">
    <w:name w:val="annotation text"/>
    <w:basedOn w:val="Normal"/>
    <w:link w:val="CommentTextChar"/>
    <w:uiPriority w:val="99"/>
    <w:semiHidden/>
    <w:unhideWhenUsed/>
    <w:rsid w:val="0077100B"/>
    <w:pPr>
      <w:spacing w:line="240" w:lineRule="auto"/>
    </w:pPr>
    <w:rPr>
      <w:sz w:val="20"/>
      <w:szCs w:val="20"/>
    </w:rPr>
  </w:style>
  <w:style w:type="character" w:customStyle="1" w:styleId="CommentTextChar">
    <w:name w:val="Comment Text Char"/>
    <w:basedOn w:val="DefaultParagraphFont"/>
    <w:link w:val="CommentText"/>
    <w:uiPriority w:val="99"/>
    <w:semiHidden/>
    <w:rsid w:val="0077100B"/>
    <w:rPr>
      <w:sz w:val="20"/>
      <w:szCs w:val="20"/>
    </w:rPr>
  </w:style>
  <w:style w:type="paragraph" w:styleId="CommentSubject">
    <w:name w:val="annotation subject"/>
    <w:basedOn w:val="CommentText"/>
    <w:next w:val="CommentText"/>
    <w:link w:val="CommentSubjectChar"/>
    <w:uiPriority w:val="99"/>
    <w:semiHidden/>
    <w:unhideWhenUsed/>
    <w:rsid w:val="0077100B"/>
    <w:rPr>
      <w:b/>
      <w:bCs/>
    </w:rPr>
  </w:style>
  <w:style w:type="character" w:customStyle="1" w:styleId="CommentSubjectChar">
    <w:name w:val="Comment Subject Char"/>
    <w:basedOn w:val="CommentTextChar"/>
    <w:link w:val="CommentSubject"/>
    <w:uiPriority w:val="99"/>
    <w:semiHidden/>
    <w:rsid w:val="0077100B"/>
    <w:rPr>
      <w:b/>
      <w:bCs/>
      <w:sz w:val="20"/>
      <w:szCs w:val="20"/>
    </w:rPr>
  </w:style>
  <w:style w:type="paragraph" w:styleId="BalloonText">
    <w:name w:val="Balloon Text"/>
    <w:basedOn w:val="Normal"/>
    <w:link w:val="BalloonTextChar"/>
    <w:uiPriority w:val="99"/>
    <w:semiHidden/>
    <w:unhideWhenUsed/>
    <w:rsid w:val="00771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0B"/>
    <w:rPr>
      <w:rFonts w:ascii="Tahoma" w:hAnsi="Tahoma" w:cs="Tahoma"/>
      <w:sz w:val="16"/>
      <w:szCs w:val="16"/>
    </w:rPr>
  </w:style>
  <w:style w:type="paragraph" w:styleId="Header">
    <w:name w:val="header"/>
    <w:basedOn w:val="Normal"/>
    <w:link w:val="HeaderChar"/>
    <w:uiPriority w:val="99"/>
    <w:unhideWhenUsed/>
    <w:rsid w:val="000C5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46"/>
  </w:style>
  <w:style w:type="paragraph" w:styleId="Footer">
    <w:name w:val="footer"/>
    <w:basedOn w:val="Normal"/>
    <w:link w:val="FooterChar"/>
    <w:uiPriority w:val="99"/>
    <w:unhideWhenUsed/>
    <w:rsid w:val="000C5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46"/>
  </w:style>
  <w:style w:type="character" w:customStyle="1" w:styleId="Heading3Char">
    <w:name w:val="Heading 3 Char"/>
    <w:basedOn w:val="DefaultParagraphFont"/>
    <w:link w:val="Heading3"/>
    <w:uiPriority w:val="9"/>
    <w:rsid w:val="003633A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E1A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AF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731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A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33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52FF8"/>
    <w:rPr>
      <w:color w:val="0000FF" w:themeColor="hyperlink"/>
      <w:u w:val="single"/>
    </w:rPr>
  </w:style>
  <w:style w:type="paragraph" w:styleId="ListParagraph">
    <w:name w:val="List Paragraph"/>
    <w:basedOn w:val="Normal"/>
    <w:uiPriority w:val="34"/>
    <w:qFormat/>
    <w:rsid w:val="005419F3"/>
    <w:pPr>
      <w:ind w:left="720"/>
      <w:contextualSpacing/>
    </w:pPr>
  </w:style>
  <w:style w:type="paragraph" w:styleId="FootnoteText">
    <w:name w:val="footnote text"/>
    <w:basedOn w:val="Normal"/>
    <w:link w:val="FootnoteTextChar"/>
    <w:uiPriority w:val="99"/>
    <w:semiHidden/>
    <w:unhideWhenUsed/>
    <w:rsid w:val="005419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9F3"/>
    <w:rPr>
      <w:sz w:val="20"/>
      <w:szCs w:val="20"/>
    </w:rPr>
  </w:style>
  <w:style w:type="character" w:styleId="FootnoteReference">
    <w:name w:val="footnote reference"/>
    <w:basedOn w:val="DefaultParagraphFont"/>
    <w:uiPriority w:val="99"/>
    <w:semiHidden/>
    <w:unhideWhenUsed/>
    <w:rsid w:val="005419F3"/>
    <w:rPr>
      <w:vertAlign w:val="superscript"/>
    </w:rPr>
  </w:style>
  <w:style w:type="character" w:styleId="CommentReference">
    <w:name w:val="annotation reference"/>
    <w:basedOn w:val="DefaultParagraphFont"/>
    <w:uiPriority w:val="99"/>
    <w:semiHidden/>
    <w:unhideWhenUsed/>
    <w:rsid w:val="0077100B"/>
    <w:rPr>
      <w:sz w:val="16"/>
      <w:szCs w:val="16"/>
    </w:rPr>
  </w:style>
  <w:style w:type="paragraph" w:styleId="CommentText">
    <w:name w:val="annotation text"/>
    <w:basedOn w:val="Normal"/>
    <w:link w:val="CommentTextChar"/>
    <w:uiPriority w:val="99"/>
    <w:semiHidden/>
    <w:unhideWhenUsed/>
    <w:rsid w:val="0077100B"/>
    <w:pPr>
      <w:spacing w:line="240" w:lineRule="auto"/>
    </w:pPr>
    <w:rPr>
      <w:sz w:val="20"/>
      <w:szCs w:val="20"/>
    </w:rPr>
  </w:style>
  <w:style w:type="character" w:customStyle="1" w:styleId="CommentTextChar">
    <w:name w:val="Comment Text Char"/>
    <w:basedOn w:val="DefaultParagraphFont"/>
    <w:link w:val="CommentText"/>
    <w:uiPriority w:val="99"/>
    <w:semiHidden/>
    <w:rsid w:val="0077100B"/>
    <w:rPr>
      <w:sz w:val="20"/>
      <w:szCs w:val="20"/>
    </w:rPr>
  </w:style>
  <w:style w:type="paragraph" w:styleId="CommentSubject">
    <w:name w:val="annotation subject"/>
    <w:basedOn w:val="CommentText"/>
    <w:next w:val="CommentText"/>
    <w:link w:val="CommentSubjectChar"/>
    <w:uiPriority w:val="99"/>
    <w:semiHidden/>
    <w:unhideWhenUsed/>
    <w:rsid w:val="0077100B"/>
    <w:rPr>
      <w:b/>
      <w:bCs/>
    </w:rPr>
  </w:style>
  <w:style w:type="character" w:customStyle="1" w:styleId="CommentSubjectChar">
    <w:name w:val="Comment Subject Char"/>
    <w:basedOn w:val="CommentTextChar"/>
    <w:link w:val="CommentSubject"/>
    <w:uiPriority w:val="99"/>
    <w:semiHidden/>
    <w:rsid w:val="0077100B"/>
    <w:rPr>
      <w:b/>
      <w:bCs/>
      <w:sz w:val="20"/>
      <w:szCs w:val="20"/>
    </w:rPr>
  </w:style>
  <w:style w:type="paragraph" w:styleId="BalloonText">
    <w:name w:val="Balloon Text"/>
    <w:basedOn w:val="Normal"/>
    <w:link w:val="BalloonTextChar"/>
    <w:uiPriority w:val="99"/>
    <w:semiHidden/>
    <w:unhideWhenUsed/>
    <w:rsid w:val="00771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00B"/>
    <w:rPr>
      <w:rFonts w:ascii="Tahoma" w:hAnsi="Tahoma" w:cs="Tahoma"/>
      <w:sz w:val="16"/>
      <w:szCs w:val="16"/>
    </w:rPr>
  </w:style>
  <w:style w:type="paragraph" w:styleId="Header">
    <w:name w:val="header"/>
    <w:basedOn w:val="Normal"/>
    <w:link w:val="HeaderChar"/>
    <w:uiPriority w:val="99"/>
    <w:unhideWhenUsed/>
    <w:rsid w:val="000C5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46"/>
  </w:style>
  <w:style w:type="paragraph" w:styleId="Footer">
    <w:name w:val="footer"/>
    <w:basedOn w:val="Normal"/>
    <w:link w:val="FooterChar"/>
    <w:uiPriority w:val="99"/>
    <w:unhideWhenUsed/>
    <w:rsid w:val="000C5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46"/>
  </w:style>
  <w:style w:type="character" w:customStyle="1" w:styleId="Heading3Char">
    <w:name w:val="Heading 3 Char"/>
    <w:basedOn w:val="DefaultParagraphFont"/>
    <w:link w:val="Heading3"/>
    <w:uiPriority w:val="9"/>
    <w:rsid w:val="003633A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1E1A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1AF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731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832782">
      <w:bodyDiv w:val="1"/>
      <w:marLeft w:val="0"/>
      <w:marRight w:val="0"/>
      <w:marTop w:val="0"/>
      <w:marBottom w:val="0"/>
      <w:divBdr>
        <w:top w:val="none" w:sz="0" w:space="0" w:color="auto"/>
        <w:left w:val="none" w:sz="0" w:space="0" w:color="auto"/>
        <w:bottom w:val="none" w:sz="0" w:space="0" w:color="auto"/>
        <w:right w:val="none" w:sz="0" w:space="0" w:color="auto"/>
      </w:divBdr>
    </w:div>
    <w:div w:id="21451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alert/non-tuberculous-mycobacterium-infections-associated-heater-cooler-devices"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www.acipc.org.au/Professional-Development/Webinars/Nontuberculous-Mycobacterium-Infection-and-Heater-Cooler-Devices" TargetMode="External"/><Relationship Id="rId4" Type="http://schemas.openxmlformats.org/officeDocument/2006/relationships/settings" Target="settings.xml"/><Relationship Id="rId9" Type="http://schemas.openxmlformats.org/officeDocument/2006/relationships/hyperlink" Target="https://www.nhmrc.gov.au/guidelines-publications/eh52" TargetMode="Externa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1644</Words>
  <Characters>10559</Characters>
  <Application>Microsoft Office Word</Application>
  <DocSecurity>0</DocSecurity>
  <Lines>175</Lines>
  <Paragraphs>61</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Bastian</dc:creator>
  <cp:lastModifiedBy>Keane Laurie</cp:lastModifiedBy>
  <cp:revision>3</cp:revision>
  <cp:lastPrinted>2016-11-29T05:04:00Z</cp:lastPrinted>
  <dcterms:created xsi:type="dcterms:W3CDTF">2016-12-13T01:02:00Z</dcterms:created>
  <dcterms:modified xsi:type="dcterms:W3CDTF">2016-12-13T01:07:00Z</dcterms:modified>
</cp:coreProperties>
</file>