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36" w:rsidRPr="00B757F2" w:rsidRDefault="00CE5C3B" w:rsidP="00B757F2">
      <w:pPr>
        <w:pStyle w:val="Title"/>
      </w:pPr>
      <w:bookmarkStart w:id="0" w:name="_GoBack"/>
      <w:bookmarkEnd w:id="0"/>
      <w:r w:rsidRPr="00B757F2">
        <w:t xml:space="preserve">Prostheses List </w:t>
      </w:r>
      <w:r w:rsidR="009B4D3C" w:rsidRPr="00B757F2">
        <w:t xml:space="preserve">Panel of Clinical Experts </w:t>
      </w:r>
      <w:r w:rsidR="00422136" w:rsidRPr="00B757F2">
        <w:t>(</w:t>
      </w:r>
      <w:r w:rsidR="003E48D6" w:rsidRPr="00B757F2">
        <w:t>Panel</w:t>
      </w:r>
      <w:r w:rsidR="00422136" w:rsidRPr="00B757F2">
        <w:t>)</w:t>
      </w:r>
    </w:p>
    <w:p w:rsidR="00422136" w:rsidRDefault="00422136" w:rsidP="00B757F2">
      <w:pPr>
        <w:pStyle w:val="Title"/>
        <w:spacing w:line="480" w:lineRule="auto"/>
      </w:pPr>
      <w:r w:rsidRPr="00B757F2">
        <w:t>Terms of Reference</w:t>
      </w:r>
    </w:p>
    <w:p w:rsidR="00422136" w:rsidRPr="00B757F2" w:rsidRDefault="00422136" w:rsidP="00B757F2">
      <w:pPr>
        <w:pStyle w:val="Heading1"/>
      </w:pPr>
      <w:r w:rsidRPr="00B757F2">
        <w:t>Purpose:</w:t>
      </w:r>
    </w:p>
    <w:p w:rsidR="00966A54" w:rsidRDefault="00966A54" w:rsidP="00966A54">
      <w:pPr>
        <w:spacing w:after="120" w:line="240" w:lineRule="auto"/>
        <w:rPr>
          <w:szCs w:val="24"/>
        </w:rPr>
      </w:pPr>
      <w:r>
        <w:rPr>
          <w:szCs w:val="24"/>
        </w:rPr>
        <w:t xml:space="preserve">Prostheses List Advisory Committee (PLAC) advises the Minister on the suitability to list on the Prostheses List under the </w:t>
      </w:r>
      <w:r>
        <w:rPr>
          <w:i/>
          <w:szCs w:val="24"/>
        </w:rPr>
        <w:t>Private Health Insurance Act 2007</w:t>
      </w:r>
      <w:r>
        <w:rPr>
          <w:szCs w:val="24"/>
        </w:rPr>
        <w:t xml:space="preserve">. </w:t>
      </w:r>
    </w:p>
    <w:p w:rsidR="00CE5C3B" w:rsidRDefault="00422136" w:rsidP="00CE5C3B">
      <w:pPr>
        <w:spacing w:after="240" w:line="240" w:lineRule="auto"/>
        <w:rPr>
          <w:szCs w:val="24"/>
        </w:rPr>
      </w:pPr>
      <w:r w:rsidRPr="00CA4248">
        <w:rPr>
          <w:szCs w:val="24"/>
        </w:rPr>
        <w:t xml:space="preserve">The Prostheses List </w:t>
      </w:r>
      <w:r w:rsidR="009B4D3C">
        <w:rPr>
          <w:szCs w:val="24"/>
        </w:rPr>
        <w:t xml:space="preserve">Panel of Clinical Experts </w:t>
      </w:r>
      <w:r w:rsidRPr="00CA4248">
        <w:rPr>
          <w:szCs w:val="24"/>
        </w:rPr>
        <w:t>(</w:t>
      </w:r>
      <w:r w:rsidR="003E48D6">
        <w:rPr>
          <w:szCs w:val="24"/>
        </w:rPr>
        <w:t>Panel</w:t>
      </w:r>
      <w:r w:rsidRPr="00CA4248">
        <w:rPr>
          <w:szCs w:val="24"/>
        </w:rPr>
        <w:t xml:space="preserve">) </w:t>
      </w:r>
      <w:r w:rsidR="00E7688A">
        <w:rPr>
          <w:szCs w:val="24"/>
        </w:rPr>
        <w:t>is a</w:t>
      </w:r>
      <w:r w:rsidR="00C12483">
        <w:rPr>
          <w:szCs w:val="24"/>
        </w:rPr>
        <w:t>n expert</w:t>
      </w:r>
      <w:r w:rsidR="00E7688A">
        <w:rPr>
          <w:szCs w:val="24"/>
        </w:rPr>
        <w:t xml:space="preserve"> </w:t>
      </w:r>
      <w:r w:rsidR="00CE5C3B">
        <w:rPr>
          <w:szCs w:val="24"/>
        </w:rPr>
        <w:t>sub</w:t>
      </w:r>
      <w:r w:rsidR="008E3C56">
        <w:rPr>
          <w:szCs w:val="24"/>
        </w:rPr>
        <w:t>-</w:t>
      </w:r>
      <w:r w:rsidR="00E7688A">
        <w:rPr>
          <w:szCs w:val="24"/>
        </w:rPr>
        <w:t>committee</w:t>
      </w:r>
      <w:r w:rsidR="00CE5C3B">
        <w:rPr>
          <w:szCs w:val="24"/>
        </w:rPr>
        <w:t xml:space="preserve"> of the </w:t>
      </w:r>
      <w:r w:rsidR="008E3C56">
        <w:rPr>
          <w:szCs w:val="24"/>
        </w:rPr>
        <w:br/>
      </w:r>
      <w:r w:rsidR="00CE5C3B">
        <w:rPr>
          <w:szCs w:val="24"/>
        </w:rPr>
        <w:t xml:space="preserve">Prostheses List Advisory Committee </w:t>
      </w:r>
      <w:r w:rsidR="002E11ED">
        <w:rPr>
          <w:szCs w:val="24"/>
        </w:rPr>
        <w:t>(PLAC)</w:t>
      </w:r>
      <w:r w:rsidR="006E3DBD">
        <w:rPr>
          <w:szCs w:val="24"/>
        </w:rPr>
        <w:t xml:space="preserve">. The </w:t>
      </w:r>
      <w:r w:rsidR="003E48D6">
        <w:rPr>
          <w:szCs w:val="24"/>
        </w:rPr>
        <w:t>Panel</w:t>
      </w:r>
      <w:r w:rsidR="00E7688A">
        <w:rPr>
          <w:szCs w:val="24"/>
        </w:rPr>
        <w:t xml:space="preserve"> is </w:t>
      </w:r>
      <w:r w:rsidR="006E3DBD">
        <w:rPr>
          <w:szCs w:val="24"/>
        </w:rPr>
        <w:t>composed of</w:t>
      </w:r>
      <w:r w:rsidR="00077774">
        <w:rPr>
          <w:szCs w:val="24"/>
        </w:rPr>
        <w:t xml:space="preserve"> </w:t>
      </w:r>
      <w:r w:rsidR="00E7688A">
        <w:rPr>
          <w:szCs w:val="24"/>
        </w:rPr>
        <w:t>clinicians</w:t>
      </w:r>
      <w:r w:rsidR="006E3DBD">
        <w:rPr>
          <w:szCs w:val="24"/>
        </w:rPr>
        <w:t xml:space="preserve"> with </w:t>
      </w:r>
      <w:r w:rsidR="002A112E">
        <w:rPr>
          <w:szCs w:val="24"/>
        </w:rPr>
        <w:t>contemporary subject matter expertise</w:t>
      </w:r>
      <w:r w:rsidR="00077774">
        <w:rPr>
          <w:szCs w:val="24"/>
        </w:rPr>
        <w:t>,</w:t>
      </w:r>
      <w:r w:rsidR="00CE5C3B">
        <w:rPr>
          <w:szCs w:val="24"/>
        </w:rPr>
        <w:t xml:space="preserve"> and </w:t>
      </w:r>
      <w:r w:rsidR="00F13048">
        <w:rPr>
          <w:szCs w:val="24"/>
        </w:rPr>
        <w:t>additional skills where identified by the PLAC</w:t>
      </w:r>
      <w:r w:rsidR="00CE5C3B">
        <w:rPr>
          <w:szCs w:val="24"/>
        </w:rPr>
        <w:t>.</w:t>
      </w:r>
    </w:p>
    <w:p w:rsidR="002466AC" w:rsidRPr="00B042DD" w:rsidRDefault="002466AC" w:rsidP="00B757F2">
      <w:pPr>
        <w:pStyle w:val="Heading1"/>
      </w:pPr>
      <w:r w:rsidRPr="00B042DD">
        <w:t>Roles and function:</w:t>
      </w:r>
    </w:p>
    <w:p w:rsidR="00AF70B7" w:rsidRPr="0010135E" w:rsidRDefault="00AF70B7" w:rsidP="00AF70B7">
      <w:pPr>
        <w:spacing w:before="120" w:after="0" w:line="240" w:lineRule="auto"/>
        <w:rPr>
          <w:rFonts w:eastAsia="Times New Roman" w:cs="Times New Roman"/>
          <w:szCs w:val="24"/>
        </w:rPr>
      </w:pPr>
      <w:r w:rsidRPr="0010135E">
        <w:rPr>
          <w:spacing w:val="-1"/>
          <w:szCs w:val="24"/>
        </w:rPr>
        <w:t xml:space="preserve">The primary role </w:t>
      </w:r>
      <w:r w:rsidRPr="0010135E">
        <w:rPr>
          <w:szCs w:val="24"/>
        </w:rPr>
        <w:t>of</w:t>
      </w:r>
      <w:r w:rsidRPr="0010135E">
        <w:rPr>
          <w:spacing w:val="-1"/>
          <w:szCs w:val="24"/>
        </w:rPr>
        <w:t xml:space="preserve"> </w:t>
      </w:r>
      <w:r w:rsidRPr="0010135E">
        <w:rPr>
          <w:szCs w:val="24"/>
        </w:rPr>
        <w:t>the</w:t>
      </w:r>
      <w:r w:rsidRPr="0010135E">
        <w:rPr>
          <w:spacing w:val="-1"/>
          <w:szCs w:val="24"/>
        </w:rPr>
        <w:t xml:space="preserve"> </w:t>
      </w:r>
      <w:r w:rsidRPr="0010135E">
        <w:rPr>
          <w:szCs w:val="24"/>
        </w:rPr>
        <w:t>Panel</w:t>
      </w:r>
      <w:r w:rsidRPr="0010135E">
        <w:rPr>
          <w:spacing w:val="-1"/>
          <w:szCs w:val="24"/>
        </w:rPr>
        <w:t xml:space="preserve"> </w:t>
      </w:r>
      <w:r w:rsidRPr="0010135E">
        <w:rPr>
          <w:szCs w:val="24"/>
        </w:rPr>
        <w:t xml:space="preserve">is to assess applications to list medical devices, or amend an existing listing, </w:t>
      </w:r>
      <w:r w:rsidRPr="0010135E">
        <w:rPr>
          <w:spacing w:val="-1"/>
          <w:szCs w:val="24"/>
        </w:rPr>
        <w:t>on</w:t>
      </w:r>
      <w:r w:rsidRPr="0010135E">
        <w:rPr>
          <w:szCs w:val="24"/>
        </w:rPr>
        <w:t xml:space="preserve"> </w:t>
      </w:r>
      <w:r w:rsidRPr="0010135E">
        <w:rPr>
          <w:spacing w:val="-1"/>
          <w:szCs w:val="24"/>
        </w:rPr>
        <w:t>the Prostheses</w:t>
      </w:r>
      <w:r w:rsidRPr="0010135E">
        <w:rPr>
          <w:spacing w:val="2"/>
          <w:szCs w:val="24"/>
        </w:rPr>
        <w:t xml:space="preserve"> </w:t>
      </w:r>
      <w:r w:rsidRPr="0010135E">
        <w:rPr>
          <w:spacing w:val="-2"/>
          <w:szCs w:val="24"/>
        </w:rPr>
        <w:t>List and advise</w:t>
      </w:r>
      <w:r w:rsidRPr="0010135E">
        <w:rPr>
          <w:szCs w:val="24"/>
        </w:rPr>
        <w:t xml:space="preserve"> on: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 w:eastAsia="Times New Roman" w:hAnsi="Times New Roman" w:cs="Times New Roman"/>
        </w:rPr>
      </w:pPr>
      <w:r w:rsidRPr="0010135E">
        <w:rPr>
          <w:rFonts w:ascii="Times New Roman"/>
          <w:spacing w:val="-1"/>
        </w:rPr>
        <w:t>whether</w:t>
      </w:r>
      <w:r w:rsidRPr="0010135E">
        <w:rPr>
          <w:rFonts w:ascii="Times New Roman"/>
          <w:spacing w:val="1"/>
        </w:rPr>
        <w:t xml:space="preserve"> </w:t>
      </w:r>
      <w:r w:rsidRPr="0010135E">
        <w:rPr>
          <w:rFonts w:ascii="Times New Roman"/>
        </w:rPr>
        <w:t xml:space="preserve">the medical device </w:t>
      </w:r>
      <w:r w:rsidRPr="0010135E">
        <w:rPr>
          <w:rFonts w:ascii="Times New Roman"/>
          <w:spacing w:val="-1"/>
        </w:rPr>
        <w:t>satisfies</w:t>
      </w:r>
      <w:r w:rsidRPr="0010135E">
        <w:rPr>
          <w:rFonts w:ascii="Times New Roman"/>
        </w:rPr>
        <w:t xml:space="preserve"> the</w:t>
      </w:r>
      <w:r w:rsidRPr="0010135E">
        <w:rPr>
          <w:rFonts w:ascii="Times New Roman"/>
          <w:spacing w:val="-1"/>
        </w:rPr>
        <w:t xml:space="preserve"> criteria</w:t>
      </w:r>
      <w:r w:rsidRPr="0010135E">
        <w:rPr>
          <w:rFonts w:ascii="Times New Roman"/>
          <w:spacing w:val="1"/>
        </w:rPr>
        <w:t xml:space="preserve"> </w:t>
      </w:r>
      <w:r w:rsidRPr="0010135E">
        <w:rPr>
          <w:rFonts w:ascii="Times New Roman"/>
          <w:spacing w:val="-1"/>
        </w:rPr>
        <w:t>for</w:t>
      </w:r>
      <w:r w:rsidRPr="0010135E">
        <w:rPr>
          <w:rFonts w:ascii="Times New Roman"/>
          <w:spacing w:val="1"/>
        </w:rPr>
        <w:t xml:space="preserve"> </w:t>
      </w:r>
      <w:r w:rsidRPr="0010135E">
        <w:rPr>
          <w:rFonts w:ascii="Times New Roman"/>
        </w:rPr>
        <w:t>listing</w:t>
      </w:r>
      <w:r w:rsidRPr="0010135E">
        <w:rPr>
          <w:rFonts w:ascii="Times New Roman"/>
          <w:spacing w:val="-3"/>
        </w:rPr>
        <w:t xml:space="preserve"> </w:t>
      </w:r>
      <w:r w:rsidRPr="0010135E">
        <w:rPr>
          <w:rFonts w:ascii="Times New Roman"/>
        </w:rPr>
        <w:t>on the</w:t>
      </w:r>
      <w:r w:rsidRPr="0010135E">
        <w:rPr>
          <w:rFonts w:ascii="Times New Roman"/>
          <w:spacing w:val="-1"/>
        </w:rPr>
        <w:t xml:space="preserve"> Prostheses</w:t>
      </w:r>
      <w:r w:rsidRPr="0010135E">
        <w:rPr>
          <w:rFonts w:ascii="Times New Roman"/>
          <w:spacing w:val="2"/>
        </w:rPr>
        <w:t xml:space="preserve"> </w:t>
      </w:r>
      <w:r w:rsidRPr="0010135E">
        <w:rPr>
          <w:rFonts w:ascii="Times New Roman"/>
          <w:spacing w:val="-1"/>
        </w:rPr>
        <w:t>List; and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 w:eastAsia="Times New Roman" w:hAnsi="Times New Roman" w:cs="Times New Roman"/>
        </w:rPr>
      </w:pPr>
      <w:r w:rsidRPr="0010135E">
        <w:rPr>
          <w:rFonts w:ascii="Times New Roman"/>
          <w:spacing w:val="-3"/>
        </w:rPr>
        <w:t>the clinical and health outcomes of the medical device compared with other medical devices on the Prostheses List, to inform:</w:t>
      </w:r>
    </w:p>
    <w:p w:rsidR="00AF70B7" w:rsidRPr="0010135E" w:rsidRDefault="00AF70B7" w:rsidP="00AF70B7">
      <w:pPr>
        <w:pStyle w:val="BodyText"/>
        <w:numPr>
          <w:ilvl w:val="0"/>
          <w:numId w:val="10"/>
        </w:numPr>
        <w:tabs>
          <w:tab w:val="left" w:pos="840"/>
        </w:tabs>
        <w:spacing w:before="21" w:line="274" w:lineRule="exact"/>
        <w:ind w:right="194"/>
        <w:rPr>
          <w:rFonts w:ascii="Times New Roman" w:eastAsia="Times New Roman" w:hAnsi="Times New Roman" w:cs="Times New Roman"/>
        </w:rPr>
      </w:pPr>
      <w:r w:rsidRPr="0010135E">
        <w:rPr>
          <w:rFonts w:ascii="Times New Roman"/>
          <w:spacing w:val="-3"/>
        </w:rPr>
        <w:t xml:space="preserve">listing in the </w:t>
      </w:r>
      <w:r w:rsidRPr="0010135E">
        <w:rPr>
          <w:rFonts w:ascii="Times New Roman"/>
          <w:spacing w:val="-1"/>
        </w:rPr>
        <w:t>appropriate</w:t>
      </w:r>
      <w:r w:rsidRPr="0010135E">
        <w:rPr>
          <w:rFonts w:ascii="Times New Roman"/>
          <w:spacing w:val="1"/>
        </w:rPr>
        <w:t xml:space="preserve"> </w:t>
      </w:r>
      <w:r w:rsidRPr="0010135E">
        <w:rPr>
          <w:rFonts w:ascii="Times New Roman"/>
          <w:spacing w:val="-1"/>
        </w:rPr>
        <w:t>grouping</w:t>
      </w:r>
      <w:r w:rsidRPr="0010135E">
        <w:rPr>
          <w:rFonts w:ascii="Times New Roman"/>
          <w:spacing w:val="-3"/>
        </w:rPr>
        <w:t xml:space="preserve"> on the Prostheses List; and/or</w:t>
      </w:r>
    </w:p>
    <w:p w:rsidR="00AF70B7" w:rsidRPr="0010135E" w:rsidRDefault="00AF70B7" w:rsidP="00AF70B7">
      <w:pPr>
        <w:pStyle w:val="BodyText"/>
        <w:numPr>
          <w:ilvl w:val="0"/>
          <w:numId w:val="10"/>
        </w:numPr>
        <w:tabs>
          <w:tab w:val="left" w:pos="840"/>
        </w:tabs>
        <w:spacing w:before="21" w:line="274" w:lineRule="exact"/>
        <w:ind w:right="194"/>
        <w:rPr>
          <w:rFonts w:ascii="Times New Roman" w:eastAsia="Times New Roman" w:hAnsi="Times New Roman" w:cs="Times New Roman"/>
        </w:rPr>
      </w:pPr>
      <w:proofErr w:type="gramStart"/>
      <w:r w:rsidRPr="0010135E">
        <w:rPr>
          <w:rFonts w:ascii="Times New Roman" w:hAnsi="Times New Roman"/>
        </w:rPr>
        <w:t>allocation</w:t>
      </w:r>
      <w:proofErr w:type="gramEnd"/>
      <w:r w:rsidRPr="0010135E">
        <w:rPr>
          <w:rFonts w:ascii="Times New Roman" w:hAnsi="Times New Roman"/>
        </w:rPr>
        <w:t xml:space="preserve"> of </w:t>
      </w:r>
      <w:r w:rsidRPr="0010135E">
        <w:rPr>
          <w:rFonts w:ascii="Times New Roman"/>
        </w:rPr>
        <w:t>a</w:t>
      </w:r>
      <w:r w:rsidRPr="0010135E">
        <w:rPr>
          <w:rFonts w:ascii="Times New Roman"/>
          <w:spacing w:val="-1"/>
        </w:rPr>
        <w:t xml:space="preserve"> new</w:t>
      </w:r>
      <w:r w:rsidRPr="0010135E">
        <w:rPr>
          <w:rFonts w:ascii="Times New Roman"/>
          <w:spacing w:val="1"/>
        </w:rPr>
        <w:t xml:space="preserve"> </w:t>
      </w:r>
      <w:r w:rsidRPr="0010135E">
        <w:rPr>
          <w:rFonts w:ascii="Times New Roman"/>
          <w:spacing w:val="-1"/>
        </w:rPr>
        <w:t>grouping on the Prostheses List and setting of an appropriate group benefit.</w:t>
      </w:r>
    </w:p>
    <w:p w:rsidR="00AF70B7" w:rsidRPr="0010135E" w:rsidRDefault="00AF70B7" w:rsidP="00AF70B7">
      <w:pPr>
        <w:spacing w:before="120" w:after="0" w:line="240" w:lineRule="auto"/>
        <w:rPr>
          <w:szCs w:val="24"/>
        </w:rPr>
      </w:pPr>
      <w:r w:rsidRPr="0010135E">
        <w:rPr>
          <w:szCs w:val="24"/>
        </w:rPr>
        <w:t>The Panel will refer applications to the Medical Services Advisory Committee (MSAC) where the: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r w:rsidRPr="0010135E">
        <w:rPr>
          <w:rFonts w:ascii="Times New Roman"/>
          <w:spacing w:val="-1"/>
        </w:rPr>
        <w:t xml:space="preserve">new medical device employs a medical service that is not currently covered in the Medicare Benefits Schedule (MBS), or 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proofErr w:type="gramStart"/>
      <w:r w:rsidRPr="0010135E">
        <w:rPr>
          <w:rFonts w:ascii="Times New Roman"/>
          <w:spacing w:val="-1"/>
        </w:rPr>
        <w:t>new</w:t>
      </w:r>
      <w:proofErr w:type="gramEnd"/>
      <w:r w:rsidRPr="0010135E">
        <w:rPr>
          <w:rFonts w:ascii="Times New Roman"/>
          <w:spacing w:val="-1"/>
        </w:rPr>
        <w:t xml:space="preserve"> medical device might be used in a medical service that is currently described in the MBS, but potentially extends the range of indications/patients beyond the original intent of the MBS item/s.</w:t>
      </w:r>
    </w:p>
    <w:p w:rsidR="00AF70B7" w:rsidRPr="0010135E" w:rsidRDefault="00AF70B7" w:rsidP="00AF70B7">
      <w:pPr>
        <w:spacing w:before="120" w:after="0" w:line="240" w:lineRule="auto"/>
        <w:rPr>
          <w:rFonts w:eastAsia="Times New Roman" w:cs="Times New Roman"/>
          <w:szCs w:val="24"/>
        </w:rPr>
      </w:pPr>
      <w:r w:rsidRPr="0010135E">
        <w:rPr>
          <w:szCs w:val="24"/>
        </w:rPr>
        <w:t>The</w:t>
      </w:r>
      <w:r w:rsidRPr="0010135E">
        <w:rPr>
          <w:rFonts w:eastAsia="Times New Roman" w:cs="Times New Roman"/>
          <w:szCs w:val="24"/>
        </w:rPr>
        <w:t xml:space="preserve"> Panel also advises the PLAC on: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proofErr w:type="gramStart"/>
      <w:r w:rsidRPr="0010135E">
        <w:rPr>
          <w:rFonts w:ascii="Times New Roman"/>
          <w:spacing w:val="-1"/>
        </w:rPr>
        <w:t>the</w:t>
      </w:r>
      <w:proofErr w:type="gramEnd"/>
      <w:r w:rsidRPr="0010135E">
        <w:rPr>
          <w:rFonts w:ascii="Times New Roman"/>
          <w:spacing w:val="-1"/>
        </w:rPr>
        <w:t xml:space="preserve"> evidence and information they require to assess applications to list medical devices on the Prostheses List.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proofErr w:type="gramStart"/>
      <w:r w:rsidRPr="0010135E">
        <w:rPr>
          <w:rFonts w:ascii="Times New Roman"/>
          <w:spacing w:val="-1"/>
        </w:rPr>
        <w:t>any</w:t>
      </w:r>
      <w:proofErr w:type="gramEnd"/>
      <w:r w:rsidRPr="0010135E">
        <w:rPr>
          <w:rFonts w:ascii="Times New Roman"/>
          <w:spacing w:val="-1"/>
        </w:rPr>
        <w:t xml:space="preserve"> concerns in relation to safety and/or performance of medical devices, for reference to the Therapeutic Goods Administration.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proofErr w:type="gramStart"/>
      <w:r w:rsidRPr="0010135E">
        <w:rPr>
          <w:rFonts w:ascii="Times New Roman"/>
          <w:spacing w:val="-1"/>
        </w:rPr>
        <w:t>reviewing</w:t>
      </w:r>
      <w:proofErr w:type="gramEnd"/>
      <w:r w:rsidRPr="0010135E">
        <w:rPr>
          <w:rFonts w:ascii="Times New Roman"/>
          <w:spacing w:val="-1"/>
        </w:rPr>
        <w:t xml:space="preserve"> the listing of medical devices in view of issues relating to safety, performance and/or comparative health outcomes.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proofErr w:type="gramStart"/>
      <w:r w:rsidRPr="0010135E">
        <w:rPr>
          <w:rFonts w:ascii="Times New Roman"/>
          <w:spacing w:val="-1"/>
        </w:rPr>
        <w:t>on</w:t>
      </w:r>
      <w:proofErr w:type="gramEnd"/>
      <w:r w:rsidRPr="0010135E">
        <w:rPr>
          <w:rFonts w:ascii="Times New Roman"/>
          <w:spacing w:val="-1"/>
        </w:rPr>
        <w:t xml:space="preserve"> any other matter, as required.</w:t>
      </w:r>
    </w:p>
    <w:p w:rsidR="00AF70B7" w:rsidRPr="0010135E" w:rsidRDefault="00AF70B7" w:rsidP="00AF70B7">
      <w:pPr>
        <w:spacing w:before="120" w:after="0" w:line="240" w:lineRule="auto"/>
        <w:rPr>
          <w:rFonts w:eastAsia="Times New Roman" w:cs="Times New Roman"/>
          <w:szCs w:val="24"/>
        </w:rPr>
      </w:pPr>
      <w:r w:rsidRPr="0010135E">
        <w:rPr>
          <w:spacing w:val="-1"/>
          <w:szCs w:val="24"/>
        </w:rPr>
        <w:t xml:space="preserve">In </w:t>
      </w:r>
      <w:r w:rsidRPr="0010135E">
        <w:rPr>
          <w:szCs w:val="24"/>
        </w:rPr>
        <w:t>assessing</w:t>
      </w:r>
      <w:r w:rsidRPr="0010135E">
        <w:rPr>
          <w:spacing w:val="-1"/>
          <w:szCs w:val="24"/>
        </w:rPr>
        <w:t xml:space="preserve"> applications and providing advice on medical devices, the Panel will ensure that their approaches are: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r w:rsidRPr="0010135E">
        <w:rPr>
          <w:rFonts w:ascii="Times New Roman"/>
          <w:spacing w:val="-1"/>
        </w:rPr>
        <w:t>consistent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r w:rsidRPr="0010135E">
        <w:rPr>
          <w:rFonts w:ascii="Times New Roman"/>
          <w:spacing w:val="-1"/>
        </w:rPr>
        <w:t>transparent, accountable and independent;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r w:rsidRPr="0010135E">
        <w:rPr>
          <w:rFonts w:ascii="Times New Roman"/>
          <w:spacing w:val="-1"/>
        </w:rPr>
        <w:t>consultative and reflective of Australian community values; and</w:t>
      </w:r>
    </w:p>
    <w:p w:rsidR="00AF70B7" w:rsidRPr="0010135E" w:rsidRDefault="00AF70B7" w:rsidP="00AF70B7">
      <w:pPr>
        <w:pStyle w:val="BodyText"/>
        <w:numPr>
          <w:ilvl w:val="0"/>
          <w:numId w:val="9"/>
        </w:numPr>
        <w:spacing w:after="40"/>
        <w:ind w:left="567" w:right="187" w:hanging="357"/>
        <w:rPr>
          <w:rFonts w:ascii="Times New Roman"/>
          <w:spacing w:val="-1"/>
        </w:rPr>
      </w:pPr>
      <w:proofErr w:type="gramStart"/>
      <w:r w:rsidRPr="0010135E">
        <w:rPr>
          <w:rFonts w:ascii="Times New Roman"/>
          <w:spacing w:val="-1"/>
        </w:rPr>
        <w:t>informed</w:t>
      </w:r>
      <w:proofErr w:type="gramEnd"/>
      <w:r w:rsidRPr="0010135E">
        <w:rPr>
          <w:rFonts w:ascii="Times New Roman"/>
          <w:spacing w:val="-1"/>
        </w:rPr>
        <w:t xml:space="preserve"> by robust and relevant evidence.</w:t>
      </w:r>
    </w:p>
    <w:p w:rsidR="00EE03E9" w:rsidRDefault="00EE03E9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AF70B7" w:rsidRPr="00AF70B7" w:rsidRDefault="00AF70B7" w:rsidP="00B757F2">
      <w:pPr>
        <w:pStyle w:val="Heading1"/>
      </w:pPr>
      <w:r w:rsidRPr="00AF70B7">
        <w:lastRenderedPageBreak/>
        <w:t>Membership and composition:</w:t>
      </w:r>
    </w:p>
    <w:p w:rsidR="00AF70B7" w:rsidRDefault="00AF70B7" w:rsidP="00AF70B7">
      <w:pPr>
        <w:spacing w:after="0" w:line="240" w:lineRule="auto"/>
        <w:rPr>
          <w:szCs w:val="24"/>
        </w:rPr>
      </w:pPr>
      <w:r>
        <w:rPr>
          <w:szCs w:val="24"/>
        </w:rPr>
        <w:t>A Panel will be established by the Prostheses List Advisory Committee (PLAC) to provide advice to the PLAC, on an 'as required' basis</w:t>
      </w:r>
      <w:r w:rsidRPr="00FE1F05">
        <w:rPr>
          <w:szCs w:val="24"/>
        </w:rPr>
        <w:t xml:space="preserve"> </w:t>
      </w:r>
      <w:r>
        <w:rPr>
          <w:szCs w:val="24"/>
        </w:rPr>
        <w:t xml:space="preserve">to address the types of applications presented for consideration and recommendation. </w:t>
      </w:r>
    </w:p>
    <w:p w:rsidR="000D4A43" w:rsidRDefault="000D4A43" w:rsidP="000D4A43">
      <w:pPr>
        <w:spacing w:after="0" w:line="240" w:lineRule="auto"/>
        <w:rPr>
          <w:szCs w:val="24"/>
        </w:rPr>
      </w:pPr>
    </w:p>
    <w:p w:rsidR="00AF70B7" w:rsidRDefault="00AF70B7" w:rsidP="00AF70B7">
      <w:pPr>
        <w:spacing w:after="0" w:line="240" w:lineRule="auto"/>
        <w:rPr>
          <w:szCs w:val="24"/>
        </w:rPr>
      </w:pPr>
      <w:r>
        <w:rPr>
          <w:szCs w:val="24"/>
        </w:rPr>
        <w:t>The Panel is composed of a wide variety of clinicians, each with clinical expertise in relation to one or more of the following sub-specialities covered by the Panel.</w:t>
      </w:r>
    </w:p>
    <w:p w:rsidR="00AF70B7" w:rsidRDefault="00AF70B7" w:rsidP="00AF70B7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Ear, Nose and Throat (ENT)</w:t>
      </w:r>
    </w:p>
    <w:p w:rsidR="00AF70B7" w:rsidRDefault="00AF70B7" w:rsidP="00AF70B7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Neurosurgical;</w:t>
      </w:r>
    </w:p>
    <w:p w:rsidR="00AF70B7" w:rsidRDefault="00AF70B7" w:rsidP="00AF70B7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 xml:space="preserve">General Miscellaneous; and </w:t>
      </w:r>
    </w:p>
    <w:p w:rsidR="00AF70B7" w:rsidRPr="001B11A4" w:rsidRDefault="00AF70B7" w:rsidP="00AF70B7">
      <w:pPr>
        <w:pStyle w:val="ListParagraph"/>
        <w:numPr>
          <w:ilvl w:val="0"/>
          <w:numId w:val="8"/>
        </w:numPr>
        <w:spacing w:after="0" w:line="240" w:lineRule="auto"/>
        <w:rPr>
          <w:szCs w:val="24"/>
        </w:rPr>
      </w:pPr>
      <w:r>
        <w:rPr>
          <w:szCs w:val="24"/>
        </w:rPr>
        <w:t>Plastic Reconstructive.</w:t>
      </w:r>
    </w:p>
    <w:p w:rsidR="000D4A43" w:rsidRDefault="000D4A43" w:rsidP="00AF70B7">
      <w:pPr>
        <w:spacing w:after="0" w:line="240" w:lineRule="auto"/>
        <w:rPr>
          <w:szCs w:val="24"/>
        </w:rPr>
      </w:pPr>
    </w:p>
    <w:p w:rsidR="000D4A43" w:rsidRPr="00AF70B7" w:rsidRDefault="000D4A43" w:rsidP="000D4A43">
      <w:pPr>
        <w:spacing w:after="0" w:line="240" w:lineRule="auto"/>
        <w:rPr>
          <w:szCs w:val="24"/>
        </w:rPr>
      </w:pPr>
      <w:r w:rsidRPr="00AF70B7">
        <w:rPr>
          <w:szCs w:val="24"/>
        </w:rPr>
        <w:t>The clinical expertise represented on the Panel will be determined by PLAC in consultation with the Department of Health.</w:t>
      </w:r>
    </w:p>
    <w:p w:rsidR="000D4A43" w:rsidRDefault="000D4A43" w:rsidP="00AF70B7">
      <w:pPr>
        <w:spacing w:after="0" w:line="240" w:lineRule="auto"/>
        <w:rPr>
          <w:szCs w:val="24"/>
        </w:rPr>
      </w:pPr>
    </w:p>
    <w:p w:rsidR="00AF70B7" w:rsidRPr="00AF70B7" w:rsidRDefault="00AF70B7" w:rsidP="00AF70B7">
      <w:pPr>
        <w:spacing w:after="0" w:line="240" w:lineRule="auto"/>
        <w:rPr>
          <w:szCs w:val="24"/>
        </w:rPr>
      </w:pPr>
      <w:r w:rsidRPr="00AF70B7">
        <w:rPr>
          <w:szCs w:val="24"/>
        </w:rPr>
        <w:t>The size and composition of a Panel will consist of a minimum of two clinical experts from each clinical sub-speciality from which prostheses are listed.</w:t>
      </w:r>
    </w:p>
    <w:p w:rsidR="00AF70B7" w:rsidRPr="00AF70B7" w:rsidRDefault="00AF70B7" w:rsidP="00AF70B7">
      <w:pPr>
        <w:spacing w:after="0" w:line="240" w:lineRule="auto"/>
        <w:rPr>
          <w:szCs w:val="24"/>
        </w:rPr>
      </w:pPr>
    </w:p>
    <w:p w:rsidR="00AF70B7" w:rsidRPr="00AF70B7" w:rsidRDefault="00AF70B7" w:rsidP="00AF70B7">
      <w:pPr>
        <w:spacing w:after="0" w:line="240" w:lineRule="auto"/>
        <w:rPr>
          <w:szCs w:val="24"/>
        </w:rPr>
      </w:pPr>
      <w:r w:rsidRPr="00AF70B7">
        <w:rPr>
          <w:szCs w:val="24"/>
        </w:rPr>
        <w:t>Membership on the Panel is reflective of a broad cross-section of contemporary clinical practice in Australia.</w:t>
      </w:r>
    </w:p>
    <w:p w:rsidR="00AF70B7" w:rsidRPr="00AF70B7" w:rsidRDefault="00AF70B7" w:rsidP="00AF70B7">
      <w:pPr>
        <w:spacing w:after="0" w:line="240" w:lineRule="auto"/>
        <w:rPr>
          <w:szCs w:val="24"/>
        </w:rPr>
      </w:pPr>
    </w:p>
    <w:p w:rsidR="00AF70B7" w:rsidRPr="00AF70B7" w:rsidRDefault="00AF70B7" w:rsidP="00AF70B7">
      <w:pPr>
        <w:widowControl w:val="0"/>
        <w:spacing w:after="40" w:line="240" w:lineRule="auto"/>
        <w:ind w:right="187"/>
        <w:rPr>
          <w:rFonts w:eastAsia="Times New Roman" w:cs="Times New Roman"/>
          <w:szCs w:val="24"/>
        </w:rPr>
      </w:pPr>
      <w:r w:rsidRPr="00AF70B7">
        <w:rPr>
          <w:spacing w:val="-1"/>
        </w:rPr>
        <w:t xml:space="preserve">Nomination and appointment protocols are detailed in the </w:t>
      </w:r>
      <w:r w:rsidR="000D4A43">
        <w:rPr>
          <w:i/>
          <w:spacing w:val="-1"/>
        </w:rPr>
        <w:t>Panel</w:t>
      </w:r>
      <w:r w:rsidRPr="00AF70B7">
        <w:rPr>
          <w:i/>
          <w:spacing w:val="-1"/>
        </w:rPr>
        <w:t xml:space="preserve"> Operational Guidelines</w:t>
      </w:r>
      <w:r w:rsidRPr="00AF70B7">
        <w:rPr>
          <w:spacing w:val="-1"/>
        </w:rPr>
        <w:t>.</w:t>
      </w:r>
    </w:p>
    <w:p w:rsidR="00637C00" w:rsidRDefault="00637C00" w:rsidP="00422136">
      <w:pPr>
        <w:spacing w:after="120" w:line="240" w:lineRule="auto"/>
        <w:rPr>
          <w:b/>
          <w:sz w:val="28"/>
          <w:szCs w:val="28"/>
        </w:rPr>
      </w:pPr>
    </w:p>
    <w:p w:rsidR="003142A7" w:rsidRPr="00725B8B" w:rsidRDefault="003142A7" w:rsidP="00725B8B">
      <w:pPr>
        <w:rPr>
          <w:szCs w:val="24"/>
        </w:rPr>
      </w:pPr>
    </w:p>
    <w:sectPr w:rsidR="003142A7" w:rsidRPr="00725B8B" w:rsidSect="00EE0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426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63" w:rsidRDefault="00921763" w:rsidP="00422136">
      <w:pPr>
        <w:spacing w:after="0" w:line="240" w:lineRule="auto"/>
      </w:pPr>
      <w:r>
        <w:separator/>
      </w:r>
    </w:p>
  </w:endnote>
  <w:endnote w:type="continuationSeparator" w:id="0">
    <w:p w:rsidR="00921763" w:rsidRDefault="00921763" w:rsidP="0042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4" w:rsidRDefault="00264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632" w:rsidRPr="003F10C4" w:rsidRDefault="004A60AA" w:rsidP="003F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4" w:rsidRDefault="00264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63" w:rsidRDefault="00921763" w:rsidP="00422136">
      <w:pPr>
        <w:spacing w:after="0" w:line="240" w:lineRule="auto"/>
      </w:pPr>
      <w:r>
        <w:separator/>
      </w:r>
    </w:p>
  </w:footnote>
  <w:footnote w:type="continuationSeparator" w:id="0">
    <w:p w:rsidR="00921763" w:rsidRDefault="00921763" w:rsidP="0042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6A" w:rsidRDefault="004A6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4" w:rsidRDefault="00264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C6A" w:rsidRDefault="004A6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6744"/>
    <w:multiLevelType w:val="hybridMultilevel"/>
    <w:tmpl w:val="5A7468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0AD5"/>
    <w:multiLevelType w:val="hybridMultilevel"/>
    <w:tmpl w:val="698C92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59B"/>
    <w:multiLevelType w:val="hybridMultilevel"/>
    <w:tmpl w:val="04743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30D17"/>
    <w:multiLevelType w:val="hybridMultilevel"/>
    <w:tmpl w:val="86B430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F2438"/>
    <w:multiLevelType w:val="hybridMultilevel"/>
    <w:tmpl w:val="6E461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A3B28"/>
    <w:multiLevelType w:val="hybridMultilevel"/>
    <w:tmpl w:val="4FB68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F23"/>
    <w:multiLevelType w:val="hybridMultilevel"/>
    <w:tmpl w:val="65B683B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4B04DA"/>
    <w:multiLevelType w:val="hybridMultilevel"/>
    <w:tmpl w:val="ADA080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012C0"/>
    <w:multiLevelType w:val="hybridMultilevel"/>
    <w:tmpl w:val="0F7EA7F8"/>
    <w:lvl w:ilvl="0" w:tplc="DF347F42">
      <w:numFmt w:val="bullet"/>
      <w:lvlText w:val="-"/>
      <w:lvlJc w:val="left"/>
      <w:pPr>
        <w:ind w:left="1200" w:hanging="360"/>
      </w:pPr>
      <w:rPr>
        <w:rFonts w:ascii="Times New Roman" w:eastAsia="Arial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72420E20"/>
    <w:multiLevelType w:val="hybridMultilevel"/>
    <w:tmpl w:val="1B1A2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36"/>
    <w:rsid w:val="00003743"/>
    <w:rsid w:val="00012E48"/>
    <w:rsid w:val="00015126"/>
    <w:rsid w:val="000273E4"/>
    <w:rsid w:val="00060CF9"/>
    <w:rsid w:val="00067456"/>
    <w:rsid w:val="00077774"/>
    <w:rsid w:val="00087779"/>
    <w:rsid w:val="000A2533"/>
    <w:rsid w:val="000A6AF3"/>
    <w:rsid w:val="000C1996"/>
    <w:rsid w:val="000D4A43"/>
    <w:rsid w:val="000D55EE"/>
    <w:rsid w:val="000E3D83"/>
    <w:rsid w:val="0010135E"/>
    <w:rsid w:val="001013A6"/>
    <w:rsid w:val="00122935"/>
    <w:rsid w:val="0014249F"/>
    <w:rsid w:val="00150EF1"/>
    <w:rsid w:val="00152677"/>
    <w:rsid w:val="00167A72"/>
    <w:rsid w:val="00173411"/>
    <w:rsid w:val="0019160E"/>
    <w:rsid w:val="001A4E70"/>
    <w:rsid w:val="001B11A4"/>
    <w:rsid w:val="001B3443"/>
    <w:rsid w:val="001B52E0"/>
    <w:rsid w:val="001C7A0C"/>
    <w:rsid w:val="001D47A7"/>
    <w:rsid w:val="001D5648"/>
    <w:rsid w:val="001E5E81"/>
    <w:rsid w:val="001F057F"/>
    <w:rsid w:val="001F444F"/>
    <w:rsid w:val="00207E33"/>
    <w:rsid w:val="00222187"/>
    <w:rsid w:val="00243491"/>
    <w:rsid w:val="002466AC"/>
    <w:rsid w:val="002649D4"/>
    <w:rsid w:val="002A112E"/>
    <w:rsid w:val="002C08E8"/>
    <w:rsid w:val="002D0975"/>
    <w:rsid w:val="002E11ED"/>
    <w:rsid w:val="002F3AE3"/>
    <w:rsid w:val="002F71F9"/>
    <w:rsid w:val="00301E09"/>
    <w:rsid w:val="0030786C"/>
    <w:rsid w:val="003128EB"/>
    <w:rsid w:val="003142A7"/>
    <w:rsid w:val="00322697"/>
    <w:rsid w:val="00322CC0"/>
    <w:rsid w:val="00327540"/>
    <w:rsid w:val="00327942"/>
    <w:rsid w:val="003556F2"/>
    <w:rsid w:val="00360380"/>
    <w:rsid w:val="003B742F"/>
    <w:rsid w:val="003D17F9"/>
    <w:rsid w:val="003E48D6"/>
    <w:rsid w:val="003F10C4"/>
    <w:rsid w:val="00407A19"/>
    <w:rsid w:val="00420D94"/>
    <w:rsid w:val="00422136"/>
    <w:rsid w:val="00443274"/>
    <w:rsid w:val="00461F41"/>
    <w:rsid w:val="00462D6C"/>
    <w:rsid w:val="00474676"/>
    <w:rsid w:val="004867E2"/>
    <w:rsid w:val="004A60AA"/>
    <w:rsid w:val="004B7303"/>
    <w:rsid w:val="004C4318"/>
    <w:rsid w:val="00514328"/>
    <w:rsid w:val="005602F0"/>
    <w:rsid w:val="005851F2"/>
    <w:rsid w:val="00590E96"/>
    <w:rsid w:val="005C7A5B"/>
    <w:rsid w:val="005E200F"/>
    <w:rsid w:val="00601CE3"/>
    <w:rsid w:val="0062612E"/>
    <w:rsid w:val="00637C00"/>
    <w:rsid w:val="00641C08"/>
    <w:rsid w:val="00657D51"/>
    <w:rsid w:val="00674113"/>
    <w:rsid w:val="00693522"/>
    <w:rsid w:val="00695E40"/>
    <w:rsid w:val="006D0D0B"/>
    <w:rsid w:val="006E3DBD"/>
    <w:rsid w:val="006F50BA"/>
    <w:rsid w:val="00711FF4"/>
    <w:rsid w:val="00720BAA"/>
    <w:rsid w:val="00725B8B"/>
    <w:rsid w:val="00763DE9"/>
    <w:rsid w:val="00764565"/>
    <w:rsid w:val="0078160D"/>
    <w:rsid w:val="007824EA"/>
    <w:rsid w:val="007B2C5E"/>
    <w:rsid w:val="007C065C"/>
    <w:rsid w:val="007C4E0A"/>
    <w:rsid w:val="007E2C73"/>
    <w:rsid w:val="00805BB5"/>
    <w:rsid w:val="00805FD8"/>
    <w:rsid w:val="008259F8"/>
    <w:rsid w:val="008264EB"/>
    <w:rsid w:val="00837904"/>
    <w:rsid w:val="008400D3"/>
    <w:rsid w:val="008B4E5C"/>
    <w:rsid w:val="008B58E8"/>
    <w:rsid w:val="008C460A"/>
    <w:rsid w:val="008D1879"/>
    <w:rsid w:val="008E3C56"/>
    <w:rsid w:val="008F2CB0"/>
    <w:rsid w:val="00904D78"/>
    <w:rsid w:val="00921763"/>
    <w:rsid w:val="00966A54"/>
    <w:rsid w:val="009B08C1"/>
    <w:rsid w:val="009B4240"/>
    <w:rsid w:val="009B4D3C"/>
    <w:rsid w:val="009D2B99"/>
    <w:rsid w:val="009D7F7B"/>
    <w:rsid w:val="00A4512D"/>
    <w:rsid w:val="00A502A1"/>
    <w:rsid w:val="00A705AF"/>
    <w:rsid w:val="00A71DA9"/>
    <w:rsid w:val="00AE2967"/>
    <w:rsid w:val="00AF517C"/>
    <w:rsid w:val="00AF6784"/>
    <w:rsid w:val="00AF7068"/>
    <w:rsid w:val="00AF70B7"/>
    <w:rsid w:val="00B0158D"/>
    <w:rsid w:val="00B042DD"/>
    <w:rsid w:val="00B42851"/>
    <w:rsid w:val="00B47A4A"/>
    <w:rsid w:val="00B47DC1"/>
    <w:rsid w:val="00B757F2"/>
    <w:rsid w:val="00B75846"/>
    <w:rsid w:val="00B90BBB"/>
    <w:rsid w:val="00C11EF0"/>
    <w:rsid w:val="00C12483"/>
    <w:rsid w:val="00C35EF6"/>
    <w:rsid w:val="00C43CD3"/>
    <w:rsid w:val="00C66D21"/>
    <w:rsid w:val="00C8150C"/>
    <w:rsid w:val="00CB5B1A"/>
    <w:rsid w:val="00CE130C"/>
    <w:rsid w:val="00CE5C3B"/>
    <w:rsid w:val="00D057A9"/>
    <w:rsid w:val="00D05D30"/>
    <w:rsid w:val="00D312B8"/>
    <w:rsid w:val="00D80899"/>
    <w:rsid w:val="00DC3490"/>
    <w:rsid w:val="00DD7B8A"/>
    <w:rsid w:val="00E47107"/>
    <w:rsid w:val="00E7688A"/>
    <w:rsid w:val="00E80D37"/>
    <w:rsid w:val="00E92862"/>
    <w:rsid w:val="00EA0DF0"/>
    <w:rsid w:val="00EC115C"/>
    <w:rsid w:val="00EE03E9"/>
    <w:rsid w:val="00F03393"/>
    <w:rsid w:val="00F11612"/>
    <w:rsid w:val="00F13048"/>
    <w:rsid w:val="00F824F3"/>
    <w:rsid w:val="00F94379"/>
    <w:rsid w:val="00FC3A77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136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B757F2"/>
    <w:pPr>
      <w:spacing w:after="120" w:line="240" w:lineRule="auto"/>
      <w:outlineLvl w:val="0"/>
    </w:pPr>
    <w:rPr>
      <w:rFonts w:ascii="Arial" w:hAnsi="Arial" w:cs="Arial"/>
      <w:b/>
      <w:szCs w:val="24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B757F2"/>
    <w:pPr>
      <w:spacing w:after="0" w:line="240" w:lineRule="auto"/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B757F2"/>
    <w:rPr>
      <w:rFonts w:eastAsiaTheme="minorHAnsi" w:cstheme="minorBidi"/>
      <w:b/>
      <w:sz w:val="36"/>
      <w:szCs w:val="36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136"/>
    <w:rPr>
      <w:rFonts w:eastAsia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2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136"/>
    <w:rPr>
      <w:rFonts w:eastAsiaTheme="minorHAnsi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7C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4E0A"/>
    <w:rPr>
      <w:rFonts w:ascii="Tahoma" w:eastAsiaTheme="minorHAns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90BBB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90BBB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90BBB"/>
    <w:rPr>
      <w:rFonts w:eastAsiaTheme="minorHAnsi" w:cstheme="minorBid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0B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B90BBB"/>
    <w:rPr>
      <w:rFonts w:eastAsiaTheme="minorHAnsi" w:cstheme="minorBidi"/>
      <w:b/>
      <w:bCs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F70B7"/>
    <w:pPr>
      <w:widowControl w:val="0"/>
      <w:spacing w:after="0" w:line="240" w:lineRule="auto"/>
      <w:ind w:left="120"/>
    </w:pPr>
    <w:rPr>
      <w:rFonts w:ascii="Arial" w:eastAsia="Arial" w:hAnsi="Arial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F70B7"/>
    <w:rPr>
      <w:rFonts w:ascii="Arial" w:eastAsia="Arial" w:hAnsi="Arial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Prostheses List Panel of Clinical Experts (Panel) Terms of Reference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Prostheses List Panel of Clinical Experts Terms of Reference</dc:title>
  <dc:subject/>
  <dc:creator/>
  <cp:lastModifiedBy/>
  <cp:revision>1</cp:revision>
  <dcterms:created xsi:type="dcterms:W3CDTF">2018-02-06T02:40:00Z</dcterms:created>
  <dcterms:modified xsi:type="dcterms:W3CDTF">2020-02-18T00:50:00Z</dcterms:modified>
</cp:coreProperties>
</file>