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6A" w:rsidRDefault="00FB264A" w:rsidP="003111BD">
      <w:pPr>
        <w:pStyle w:val="Title"/>
      </w:pPr>
      <w:r w:rsidRPr="00230BD2">
        <w:t xml:space="preserve">Industry Working Group on </w:t>
      </w:r>
      <w:r w:rsidR="00ED226A">
        <w:t xml:space="preserve">Private Health Insurance </w:t>
      </w:r>
      <w:r w:rsidRPr="00230BD2">
        <w:t xml:space="preserve">Prostheses </w:t>
      </w:r>
      <w:r w:rsidR="00ED226A">
        <w:t xml:space="preserve">Reform </w:t>
      </w:r>
    </w:p>
    <w:p w:rsidR="007F4E20" w:rsidRPr="00230BD2" w:rsidRDefault="00233FDA" w:rsidP="003111BD">
      <w:pPr>
        <w:pStyle w:val="Title"/>
      </w:pPr>
      <w:r w:rsidRPr="00230BD2">
        <w:t>Final Report</w:t>
      </w:r>
    </w:p>
    <w:p w:rsidR="00A65BBA" w:rsidRPr="00230BD2" w:rsidRDefault="00A65BBA" w:rsidP="003111BD">
      <w:pPr>
        <w:pStyle w:val="Heading1"/>
      </w:pPr>
      <w:r w:rsidRPr="00230BD2">
        <w:t xml:space="preserve">Overview and </w:t>
      </w:r>
      <w:r w:rsidR="00ED226A">
        <w:t>F</w:t>
      </w:r>
      <w:r w:rsidRPr="00230BD2">
        <w:t xml:space="preserve">urther </w:t>
      </w:r>
      <w:r w:rsidR="00ED226A">
        <w:t>C</w:t>
      </w:r>
      <w:r w:rsidRPr="00230BD2">
        <w:t>onsiderations</w:t>
      </w:r>
    </w:p>
    <w:p w:rsidR="00A65BBA" w:rsidRPr="00230BD2" w:rsidRDefault="00A65BBA" w:rsidP="00230BD2">
      <w:pPr>
        <w:widowControl w:val="0"/>
        <w:rPr>
          <w:rFonts w:cs="Times New Roman"/>
          <w:szCs w:val="24"/>
        </w:rPr>
      </w:pPr>
      <w:r w:rsidRPr="00230BD2">
        <w:rPr>
          <w:rFonts w:cs="Times New Roman"/>
          <w:szCs w:val="24"/>
        </w:rPr>
        <w:t xml:space="preserve">The Industry </w:t>
      </w:r>
      <w:bookmarkStart w:id="0" w:name="_GoBack"/>
      <w:bookmarkEnd w:id="0"/>
      <w:r w:rsidRPr="00230BD2">
        <w:rPr>
          <w:rFonts w:cs="Times New Roman"/>
          <w:szCs w:val="24"/>
        </w:rPr>
        <w:t>Working Group on</w:t>
      </w:r>
      <w:r w:rsidR="008851AC">
        <w:rPr>
          <w:rFonts w:cs="Times New Roman"/>
          <w:szCs w:val="24"/>
        </w:rPr>
        <w:t xml:space="preserve"> Private Health Insurance</w:t>
      </w:r>
      <w:r w:rsidRPr="00230BD2">
        <w:rPr>
          <w:rFonts w:cs="Times New Roman"/>
          <w:szCs w:val="24"/>
        </w:rPr>
        <w:t xml:space="preserve"> Prostheses</w:t>
      </w:r>
      <w:r w:rsidR="008851AC">
        <w:rPr>
          <w:rFonts w:cs="Times New Roman"/>
          <w:szCs w:val="24"/>
        </w:rPr>
        <w:t xml:space="preserve"> Re</w:t>
      </w:r>
      <w:r w:rsidR="00A95E5D">
        <w:rPr>
          <w:rFonts w:cs="Times New Roman"/>
          <w:szCs w:val="24"/>
        </w:rPr>
        <w:t>form</w:t>
      </w:r>
      <w:r w:rsidRPr="00230BD2">
        <w:rPr>
          <w:rFonts w:cs="Times New Roman"/>
          <w:szCs w:val="24"/>
        </w:rPr>
        <w:t xml:space="preserve"> (IWG) was established to examine opportunities for reform of the arrangements governing prostheses and devices access in the private health insurance sector. The</w:t>
      </w:r>
      <w:r w:rsidR="008F4F4E">
        <w:rPr>
          <w:rFonts w:cs="Times New Roman"/>
          <w:szCs w:val="24"/>
        </w:rPr>
        <w:t xml:space="preserve"> Terms of Reference required the</w:t>
      </w:r>
      <w:r w:rsidRPr="00230BD2">
        <w:rPr>
          <w:rFonts w:cs="Times New Roman"/>
          <w:szCs w:val="24"/>
        </w:rPr>
        <w:t xml:space="preserve"> IWG to assess the current system, including the Prostheses List Advisory Committee (PLAC) and its attendant Clinical Advisory Groups (CAGs) and Panel of Clinical Experts (PoCE), and </w:t>
      </w:r>
      <w:r w:rsidR="008F4F4E">
        <w:rPr>
          <w:rFonts w:cs="Times New Roman"/>
          <w:szCs w:val="24"/>
        </w:rPr>
        <w:t xml:space="preserve">to </w:t>
      </w:r>
      <w:r w:rsidRPr="00230BD2">
        <w:rPr>
          <w:rFonts w:cs="Times New Roman"/>
          <w:szCs w:val="24"/>
        </w:rPr>
        <w:t>provide advice to the Department of Health (the Department) on:</w:t>
      </w:r>
    </w:p>
    <w:p w:rsidR="00A65BBA" w:rsidRPr="00230BD2" w:rsidRDefault="00A65BBA" w:rsidP="00230BD2">
      <w:pPr>
        <w:pStyle w:val="ListParagraph"/>
        <w:widowControl w:val="0"/>
        <w:numPr>
          <w:ilvl w:val="0"/>
          <w:numId w:val="4"/>
        </w:numPr>
        <w:rPr>
          <w:rFonts w:cs="Times New Roman"/>
          <w:szCs w:val="24"/>
        </w:rPr>
      </w:pPr>
      <w:r w:rsidRPr="00230BD2">
        <w:rPr>
          <w:rFonts w:cs="Times New Roman"/>
          <w:szCs w:val="24"/>
        </w:rPr>
        <w:t>Creating a more</w:t>
      </w:r>
      <w:r w:rsidR="00830E2F">
        <w:rPr>
          <w:rFonts w:cs="Times New Roman"/>
          <w:szCs w:val="24"/>
        </w:rPr>
        <w:t xml:space="preserve"> </w:t>
      </w:r>
      <w:r w:rsidRPr="00230BD2">
        <w:rPr>
          <w:rFonts w:cs="Times New Roman"/>
          <w:szCs w:val="24"/>
        </w:rPr>
        <w:t>competitive basis for purchase and reimbursement of prostheses and devices, including consideration of options for new pricing mechanisms;</w:t>
      </w:r>
    </w:p>
    <w:p w:rsidR="00A65BBA" w:rsidRPr="00230BD2" w:rsidRDefault="00830E2F" w:rsidP="00230BD2">
      <w:pPr>
        <w:pStyle w:val="ListParagraph"/>
        <w:widowControl w:val="0"/>
        <w:numPr>
          <w:ilvl w:val="0"/>
          <w:numId w:val="4"/>
        </w:numPr>
        <w:rPr>
          <w:rFonts w:cs="Times New Roman"/>
          <w:szCs w:val="24"/>
        </w:rPr>
      </w:pPr>
      <w:r>
        <w:rPr>
          <w:rFonts w:cs="Times New Roman"/>
          <w:szCs w:val="24"/>
        </w:rPr>
        <w:t>S</w:t>
      </w:r>
      <w:r w:rsidR="00A65BBA" w:rsidRPr="00230BD2">
        <w:rPr>
          <w:rFonts w:cs="Times New Roman"/>
          <w:szCs w:val="24"/>
        </w:rPr>
        <w:t>pecific products or categories which present opportunities for immediate benefit rationalisation;</w:t>
      </w:r>
    </w:p>
    <w:p w:rsidR="00A65BBA" w:rsidRPr="00230BD2" w:rsidRDefault="00830E2F" w:rsidP="00230BD2">
      <w:pPr>
        <w:pStyle w:val="ListParagraph"/>
        <w:widowControl w:val="0"/>
        <w:numPr>
          <w:ilvl w:val="0"/>
          <w:numId w:val="4"/>
        </w:numPr>
        <w:rPr>
          <w:rFonts w:cs="Times New Roman"/>
          <w:szCs w:val="24"/>
        </w:rPr>
      </w:pPr>
      <w:r>
        <w:rPr>
          <w:rFonts w:cs="Times New Roman"/>
          <w:szCs w:val="24"/>
        </w:rPr>
        <w:t>R</w:t>
      </w:r>
      <w:r w:rsidR="00A65BBA" w:rsidRPr="00230BD2">
        <w:rPr>
          <w:rFonts w:cs="Times New Roman"/>
          <w:szCs w:val="24"/>
        </w:rPr>
        <w:t xml:space="preserve">efining the scope of products currently listed on the </w:t>
      </w:r>
      <w:r w:rsidR="004731B3">
        <w:rPr>
          <w:rFonts w:cs="Times New Roman"/>
          <w:szCs w:val="24"/>
        </w:rPr>
        <w:t>Prostheses List (</w:t>
      </w:r>
      <w:r w:rsidR="00A65BBA" w:rsidRPr="00230BD2">
        <w:rPr>
          <w:rFonts w:cs="Times New Roman"/>
          <w:szCs w:val="24"/>
        </w:rPr>
        <w:t>PL</w:t>
      </w:r>
      <w:r w:rsidR="004731B3">
        <w:rPr>
          <w:rFonts w:cs="Times New Roman"/>
          <w:szCs w:val="24"/>
        </w:rPr>
        <w:t>)</w:t>
      </w:r>
      <w:r w:rsidR="00A65BBA" w:rsidRPr="00230BD2">
        <w:rPr>
          <w:rFonts w:cs="Times New Roman"/>
          <w:szCs w:val="24"/>
        </w:rPr>
        <w:t xml:space="preserve"> without adversely impacting consumer access; and</w:t>
      </w:r>
    </w:p>
    <w:p w:rsidR="00A65BBA" w:rsidRPr="00230BD2" w:rsidRDefault="00830E2F" w:rsidP="00230BD2">
      <w:pPr>
        <w:pStyle w:val="ListParagraph"/>
        <w:widowControl w:val="0"/>
        <w:numPr>
          <w:ilvl w:val="0"/>
          <w:numId w:val="4"/>
        </w:numPr>
        <w:rPr>
          <w:rFonts w:cs="Times New Roman"/>
          <w:szCs w:val="24"/>
        </w:rPr>
      </w:pPr>
      <w:r>
        <w:rPr>
          <w:rFonts w:cs="Times New Roman"/>
          <w:szCs w:val="24"/>
        </w:rPr>
        <w:t>O</w:t>
      </w:r>
      <w:r w:rsidR="00A65BBA" w:rsidRPr="00230BD2">
        <w:rPr>
          <w:rFonts w:cs="Times New Roman"/>
          <w:szCs w:val="24"/>
        </w:rPr>
        <w:t>pportunities for deregulation.</w:t>
      </w:r>
    </w:p>
    <w:p w:rsidR="00EE4528" w:rsidRDefault="00EE4528" w:rsidP="00475F77">
      <w:pPr>
        <w:pStyle w:val="ListParagraph"/>
        <w:widowControl w:val="0"/>
        <w:ind w:left="360"/>
        <w:rPr>
          <w:rFonts w:cs="Times New Roman"/>
          <w:szCs w:val="24"/>
        </w:rPr>
      </w:pPr>
    </w:p>
    <w:p w:rsidR="00A65BBA" w:rsidRPr="00230BD2" w:rsidRDefault="00A65BBA" w:rsidP="00230BD2">
      <w:pPr>
        <w:pStyle w:val="ListParagraph"/>
        <w:widowControl w:val="0"/>
        <w:numPr>
          <w:ilvl w:val="0"/>
          <w:numId w:val="6"/>
        </w:numPr>
        <w:rPr>
          <w:rFonts w:cs="Times New Roman"/>
          <w:szCs w:val="24"/>
        </w:rPr>
      </w:pPr>
      <w:r w:rsidRPr="00230BD2">
        <w:rPr>
          <w:rFonts w:cs="Times New Roman"/>
          <w:szCs w:val="24"/>
        </w:rPr>
        <w:t xml:space="preserve">In respect of creating a more </w:t>
      </w:r>
      <w:r w:rsidR="00830E2F">
        <w:rPr>
          <w:rFonts w:cs="Times New Roman"/>
          <w:szCs w:val="24"/>
        </w:rPr>
        <w:t>transparent and</w:t>
      </w:r>
      <w:r w:rsidR="00830E2F" w:rsidRPr="00230BD2">
        <w:rPr>
          <w:rFonts w:cs="Times New Roman"/>
          <w:szCs w:val="24"/>
        </w:rPr>
        <w:t xml:space="preserve"> </w:t>
      </w:r>
      <w:r w:rsidRPr="00230BD2">
        <w:rPr>
          <w:rFonts w:cs="Times New Roman"/>
          <w:szCs w:val="24"/>
        </w:rPr>
        <w:t xml:space="preserve">competitive basis for purchase and reimbursement of prostheses, the </w:t>
      </w:r>
      <w:r w:rsidR="00323C7C">
        <w:rPr>
          <w:rFonts w:cs="Times New Roman"/>
          <w:szCs w:val="24"/>
        </w:rPr>
        <w:t>IWG</w:t>
      </w:r>
      <w:r w:rsidRPr="00230BD2">
        <w:rPr>
          <w:rFonts w:cs="Times New Roman"/>
          <w:szCs w:val="24"/>
        </w:rPr>
        <w:t xml:space="preserve"> agreed:</w:t>
      </w:r>
    </w:p>
    <w:p w:rsidR="00A65BBA" w:rsidRPr="00230BD2" w:rsidRDefault="00A65BBA" w:rsidP="00230BD2">
      <w:pPr>
        <w:pStyle w:val="ListParagraph"/>
        <w:widowControl w:val="0"/>
        <w:numPr>
          <w:ilvl w:val="0"/>
          <w:numId w:val="1"/>
        </w:numPr>
        <w:rPr>
          <w:rFonts w:cs="Times New Roman"/>
          <w:szCs w:val="24"/>
        </w:rPr>
      </w:pPr>
      <w:r w:rsidRPr="00230BD2">
        <w:rPr>
          <w:rFonts w:cs="Times New Roman"/>
          <w:szCs w:val="24"/>
        </w:rPr>
        <w:t xml:space="preserve">that </w:t>
      </w:r>
      <w:r w:rsidR="0087626B">
        <w:rPr>
          <w:rFonts w:cs="Times New Roman"/>
          <w:szCs w:val="24"/>
        </w:rPr>
        <w:t>a</w:t>
      </w:r>
      <w:r w:rsidR="0087626B" w:rsidRPr="00230BD2">
        <w:rPr>
          <w:rFonts w:cs="Times New Roman"/>
          <w:szCs w:val="24"/>
        </w:rPr>
        <w:t xml:space="preserve"> </w:t>
      </w:r>
      <w:r w:rsidRPr="00230BD2">
        <w:rPr>
          <w:rFonts w:cs="Times New Roman"/>
          <w:szCs w:val="24"/>
        </w:rPr>
        <w:t>PL be maintained to ensure consumers</w:t>
      </w:r>
      <w:r w:rsidR="00830E2F">
        <w:rPr>
          <w:rFonts w:cs="Times New Roman"/>
          <w:szCs w:val="24"/>
        </w:rPr>
        <w:t xml:space="preserve"> and clinicians</w:t>
      </w:r>
      <w:r w:rsidRPr="00230BD2">
        <w:rPr>
          <w:rFonts w:cs="Times New Roman"/>
          <w:szCs w:val="24"/>
        </w:rPr>
        <w:t xml:space="preserve"> can access a reasonable choice of </w:t>
      </w:r>
      <w:r w:rsidR="00830E2F">
        <w:rPr>
          <w:rFonts w:cs="Times New Roman"/>
          <w:szCs w:val="24"/>
        </w:rPr>
        <w:t xml:space="preserve">clinically relevant </w:t>
      </w:r>
      <w:r w:rsidRPr="00230BD2">
        <w:rPr>
          <w:rFonts w:cs="Times New Roman"/>
          <w:szCs w:val="24"/>
        </w:rPr>
        <w:t>prostheses, reimbursed by insurers</w:t>
      </w:r>
      <w:r w:rsidR="00BF2390">
        <w:rPr>
          <w:rFonts w:cs="Times New Roman"/>
          <w:szCs w:val="24"/>
        </w:rPr>
        <w:t>,</w:t>
      </w:r>
      <w:r w:rsidRPr="00230BD2">
        <w:rPr>
          <w:rFonts w:cs="Times New Roman"/>
          <w:szCs w:val="24"/>
        </w:rPr>
        <w:t xml:space="preserve"> </w:t>
      </w:r>
      <w:r w:rsidR="00830E2F">
        <w:rPr>
          <w:rFonts w:cs="Times New Roman"/>
          <w:szCs w:val="24"/>
        </w:rPr>
        <w:t xml:space="preserve">preferably </w:t>
      </w:r>
      <w:r w:rsidRPr="00230BD2">
        <w:rPr>
          <w:rFonts w:cs="Times New Roman"/>
          <w:szCs w:val="24"/>
        </w:rPr>
        <w:t xml:space="preserve">without a consumer </w:t>
      </w:r>
      <w:r w:rsidR="00625575" w:rsidRPr="00230BD2">
        <w:rPr>
          <w:rFonts w:cs="Times New Roman"/>
          <w:szCs w:val="24"/>
        </w:rPr>
        <w:t>co-payment</w:t>
      </w:r>
      <w:r w:rsidRPr="00230BD2">
        <w:rPr>
          <w:rFonts w:cs="Times New Roman"/>
          <w:szCs w:val="24"/>
        </w:rPr>
        <w:t>;</w:t>
      </w:r>
    </w:p>
    <w:p w:rsidR="00A65BBA" w:rsidRPr="00230BD2" w:rsidRDefault="00A65BBA" w:rsidP="00230BD2">
      <w:pPr>
        <w:pStyle w:val="ListParagraph"/>
        <w:widowControl w:val="0"/>
        <w:numPr>
          <w:ilvl w:val="0"/>
          <w:numId w:val="1"/>
        </w:numPr>
        <w:rPr>
          <w:rFonts w:cs="Times New Roman"/>
          <w:szCs w:val="24"/>
        </w:rPr>
      </w:pPr>
      <w:r w:rsidRPr="00230BD2">
        <w:rPr>
          <w:rFonts w:cs="Times New Roman"/>
          <w:szCs w:val="24"/>
        </w:rPr>
        <w:t xml:space="preserve">that in setting a benefit for a device, </w:t>
      </w:r>
      <w:r w:rsidR="00830E2F">
        <w:rPr>
          <w:rFonts w:cs="Times New Roman"/>
          <w:szCs w:val="24"/>
        </w:rPr>
        <w:t xml:space="preserve">consideration </w:t>
      </w:r>
      <w:r w:rsidR="00AE61E5">
        <w:rPr>
          <w:rFonts w:cs="Times New Roman"/>
          <w:szCs w:val="24"/>
        </w:rPr>
        <w:t>should</w:t>
      </w:r>
      <w:r w:rsidRPr="00230BD2">
        <w:rPr>
          <w:rFonts w:cs="Times New Roman"/>
          <w:szCs w:val="24"/>
        </w:rPr>
        <w:t xml:space="preserve"> </w:t>
      </w:r>
      <w:r w:rsidR="00830E2F">
        <w:rPr>
          <w:rFonts w:cs="Times New Roman"/>
          <w:szCs w:val="24"/>
        </w:rPr>
        <w:t>be given to</w:t>
      </w:r>
      <w:r w:rsidRPr="00230BD2">
        <w:rPr>
          <w:rFonts w:cs="Times New Roman"/>
          <w:szCs w:val="24"/>
        </w:rPr>
        <w:t xml:space="preserve"> appropriate costs for inclusion in the benefit, including any clinical</w:t>
      </w:r>
      <w:r w:rsidR="00830E2F">
        <w:rPr>
          <w:rFonts w:cs="Times New Roman"/>
          <w:szCs w:val="24"/>
        </w:rPr>
        <w:t>ly relevant</w:t>
      </w:r>
      <w:r w:rsidRPr="00230BD2">
        <w:rPr>
          <w:rFonts w:cs="Times New Roman"/>
          <w:szCs w:val="24"/>
        </w:rPr>
        <w:t xml:space="preserve"> requirements of the device (</w:t>
      </w:r>
      <w:r w:rsidR="000E77F2" w:rsidRPr="00230BD2">
        <w:rPr>
          <w:rFonts w:cs="Times New Roman"/>
          <w:szCs w:val="24"/>
        </w:rPr>
        <w:t>e.g.</w:t>
      </w:r>
      <w:r w:rsidRPr="00230BD2">
        <w:rPr>
          <w:rFonts w:cs="Times New Roman"/>
          <w:szCs w:val="24"/>
        </w:rPr>
        <w:t xml:space="preserve"> in-theatre assistance, software, maintenance/monitoring and product support </w:t>
      </w:r>
      <w:r w:rsidR="000E77F2" w:rsidRPr="00230BD2">
        <w:rPr>
          <w:rFonts w:cs="Times New Roman"/>
          <w:szCs w:val="24"/>
        </w:rPr>
        <w:t>etc.</w:t>
      </w:r>
      <w:r w:rsidRPr="00230BD2">
        <w:rPr>
          <w:rFonts w:cs="Times New Roman"/>
          <w:szCs w:val="24"/>
        </w:rPr>
        <w:t>);</w:t>
      </w:r>
    </w:p>
    <w:p w:rsidR="00830E2F" w:rsidRDefault="00A65BBA" w:rsidP="00230BD2">
      <w:pPr>
        <w:pStyle w:val="ListParagraph"/>
        <w:widowControl w:val="0"/>
        <w:numPr>
          <w:ilvl w:val="0"/>
          <w:numId w:val="1"/>
        </w:numPr>
        <w:rPr>
          <w:rFonts w:cs="Times New Roman"/>
          <w:szCs w:val="24"/>
        </w:rPr>
      </w:pPr>
      <w:r w:rsidRPr="00230BD2">
        <w:rPr>
          <w:rFonts w:cs="Times New Roman"/>
          <w:szCs w:val="24"/>
        </w:rPr>
        <w:t>that</w:t>
      </w:r>
      <w:r w:rsidR="00AE61E5">
        <w:rPr>
          <w:rFonts w:cs="Times New Roman"/>
          <w:szCs w:val="24"/>
        </w:rPr>
        <w:t xml:space="preserve"> should Government seek medium term benefit reductions across the PL, it would be appropriate to</w:t>
      </w:r>
      <w:r w:rsidRPr="00230BD2">
        <w:rPr>
          <w:rFonts w:cs="Times New Roman"/>
          <w:szCs w:val="24"/>
        </w:rPr>
        <w:t xml:space="preserve"> consider legislat</w:t>
      </w:r>
      <w:r w:rsidR="00AE61E5">
        <w:rPr>
          <w:rFonts w:cs="Times New Roman"/>
          <w:szCs w:val="24"/>
        </w:rPr>
        <w:t>ing</w:t>
      </w:r>
      <w:r w:rsidRPr="00230BD2">
        <w:rPr>
          <w:rFonts w:cs="Times New Roman"/>
          <w:szCs w:val="24"/>
        </w:rPr>
        <w:t xml:space="preserve"> a price disclosure system for prostheses, encompassing both public sector and private sector medical device pricing</w:t>
      </w:r>
      <w:r w:rsidR="00830E2F">
        <w:rPr>
          <w:rFonts w:cs="Times New Roman"/>
          <w:szCs w:val="24"/>
        </w:rPr>
        <w:t>;</w:t>
      </w:r>
    </w:p>
    <w:p w:rsidR="00A65BBA" w:rsidRPr="00230BD2" w:rsidRDefault="00830E2F" w:rsidP="00230BD2">
      <w:pPr>
        <w:pStyle w:val="ListParagraph"/>
        <w:widowControl w:val="0"/>
        <w:numPr>
          <w:ilvl w:val="0"/>
          <w:numId w:val="1"/>
        </w:numPr>
        <w:rPr>
          <w:rFonts w:cs="Times New Roman"/>
          <w:szCs w:val="24"/>
        </w:rPr>
      </w:pPr>
      <w:r>
        <w:rPr>
          <w:rFonts w:cs="Times New Roman"/>
          <w:szCs w:val="24"/>
        </w:rPr>
        <w:t xml:space="preserve">that reference pricing, taking into account </w:t>
      </w:r>
      <w:r w:rsidR="001453B1">
        <w:rPr>
          <w:rFonts w:cs="Times New Roman"/>
          <w:szCs w:val="24"/>
        </w:rPr>
        <w:t xml:space="preserve">domestic </w:t>
      </w:r>
      <w:r>
        <w:rPr>
          <w:rFonts w:cs="Times New Roman"/>
          <w:szCs w:val="24"/>
        </w:rPr>
        <w:t>and</w:t>
      </w:r>
      <w:r w:rsidR="00625575">
        <w:rPr>
          <w:rFonts w:cs="Times New Roman"/>
          <w:szCs w:val="24"/>
        </w:rPr>
        <w:t xml:space="preserve"> </w:t>
      </w:r>
      <w:r w:rsidR="004C3531">
        <w:rPr>
          <w:rFonts w:cs="Times New Roman"/>
          <w:szCs w:val="24"/>
        </w:rPr>
        <w:t xml:space="preserve"> relevant</w:t>
      </w:r>
      <w:r>
        <w:rPr>
          <w:rFonts w:cs="Times New Roman"/>
          <w:szCs w:val="24"/>
        </w:rPr>
        <w:t xml:space="preserve"> international prices, be considered as a mechanism to set the PL benefit;</w:t>
      </w:r>
    </w:p>
    <w:p w:rsidR="00A65BBA" w:rsidRDefault="00830E2F" w:rsidP="00F117E3">
      <w:pPr>
        <w:pStyle w:val="ListParagraph"/>
        <w:widowControl w:val="0"/>
        <w:numPr>
          <w:ilvl w:val="0"/>
          <w:numId w:val="1"/>
        </w:numPr>
        <w:rPr>
          <w:rFonts w:cs="Times New Roman"/>
          <w:szCs w:val="24"/>
        </w:rPr>
      </w:pPr>
      <w:r>
        <w:rPr>
          <w:rFonts w:cs="Times New Roman"/>
          <w:szCs w:val="24"/>
        </w:rPr>
        <w:t>consideration should be given to establishing a mechanism to ensure</w:t>
      </w:r>
      <w:r w:rsidR="00625575">
        <w:rPr>
          <w:rFonts w:cs="Times New Roman"/>
          <w:szCs w:val="24"/>
        </w:rPr>
        <w:t xml:space="preserve"> service providers</w:t>
      </w:r>
      <w:r>
        <w:rPr>
          <w:rFonts w:cs="Times New Roman"/>
          <w:szCs w:val="24"/>
        </w:rPr>
        <w:t xml:space="preserve"> </w:t>
      </w:r>
      <w:r w:rsidR="00A17F41">
        <w:rPr>
          <w:rFonts w:cs="Times New Roman"/>
          <w:szCs w:val="24"/>
        </w:rPr>
        <w:t xml:space="preserve">are </w:t>
      </w:r>
      <w:r>
        <w:rPr>
          <w:rFonts w:cs="Times New Roman"/>
          <w:szCs w:val="24"/>
        </w:rPr>
        <w:t>reimburse</w:t>
      </w:r>
      <w:r w:rsidR="00A17F41">
        <w:rPr>
          <w:rFonts w:cs="Times New Roman"/>
          <w:szCs w:val="24"/>
        </w:rPr>
        <w:t>d for</w:t>
      </w:r>
      <w:r>
        <w:rPr>
          <w:rFonts w:cs="Times New Roman"/>
          <w:szCs w:val="24"/>
        </w:rPr>
        <w:t xml:space="preserve"> </w:t>
      </w:r>
      <w:r w:rsidRPr="00230BD2">
        <w:rPr>
          <w:rFonts w:cs="Times New Roman"/>
          <w:szCs w:val="24"/>
        </w:rPr>
        <w:t xml:space="preserve">the </w:t>
      </w:r>
      <w:r>
        <w:rPr>
          <w:rFonts w:cs="Times New Roman"/>
          <w:szCs w:val="24"/>
        </w:rPr>
        <w:t xml:space="preserve">appropriate </w:t>
      </w:r>
      <w:r w:rsidRPr="00230BD2">
        <w:rPr>
          <w:rFonts w:cs="Times New Roman"/>
          <w:szCs w:val="24"/>
        </w:rPr>
        <w:t xml:space="preserve">costs of maintaining inventory </w:t>
      </w:r>
      <w:r>
        <w:rPr>
          <w:rFonts w:cs="Times New Roman"/>
          <w:szCs w:val="24"/>
        </w:rPr>
        <w:t>to encourage timely access to prostheses.</w:t>
      </w:r>
    </w:p>
    <w:p w:rsidR="00A65BBA" w:rsidRPr="00230BD2" w:rsidRDefault="00A65BBA" w:rsidP="00230BD2">
      <w:pPr>
        <w:pStyle w:val="ListParagraph"/>
        <w:widowControl w:val="0"/>
        <w:ind w:left="360"/>
        <w:rPr>
          <w:rFonts w:cs="Times New Roman"/>
          <w:szCs w:val="24"/>
        </w:rPr>
      </w:pPr>
    </w:p>
    <w:p w:rsidR="00A65BBA" w:rsidRPr="00230BD2" w:rsidRDefault="00A65BBA" w:rsidP="00230BD2">
      <w:pPr>
        <w:pStyle w:val="ListParagraph"/>
        <w:widowControl w:val="0"/>
        <w:numPr>
          <w:ilvl w:val="0"/>
          <w:numId w:val="6"/>
        </w:numPr>
        <w:rPr>
          <w:rFonts w:cs="Times New Roman"/>
          <w:szCs w:val="24"/>
        </w:rPr>
      </w:pPr>
      <w:r w:rsidRPr="00230BD2">
        <w:rPr>
          <w:rFonts w:cs="Times New Roman"/>
          <w:szCs w:val="24"/>
        </w:rPr>
        <w:t xml:space="preserve">In respect of specific products which present opportunities for immediate benefit rationalisation, the </w:t>
      </w:r>
      <w:r w:rsidR="00323C7C">
        <w:rPr>
          <w:rFonts w:cs="Times New Roman"/>
          <w:szCs w:val="24"/>
        </w:rPr>
        <w:t>IWG</w:t>
      </w:r>
      <w:r w:rsidRPr="00230BD2">
        <w:rPr>
          <w:rFonts w:cs="Times New Roman"/>
          <w:szCs w:val="24"/>
        </w:rPr>
        <w:t xml:space="preserve"> </w:t>
      </w:r>
      <w:r w:rsidR="00E377D4">
        <w:rPr>
          <w:rFonts w:cs="Times New Roman"/>
          <w:szCs w:val="24"/>
        </w:rPr>
        <w:t xml:space="preserve">considered analysis of data performed by the Chair and the Department, </w:t>
      </w:r>
      <w:r w:rsidR="00C73C48">
        <w:rPr>
          <w:rFonts w:cs="Times New Roman"/>
          <w:szCs w:val="24"/>
        </w:rPr>
        <w:t>and noted</w:t>
      </w:r>
      <w:r w:rsidR="00E377D4">
        <w:rPr>
          <w:rFonts w:cs="Times New Roman"/>
          <w:szCs w:val="24"/>
        </w:rPr>
        <w:t xml:space="preserve"> </w:t>
      </w:r>
      <w:r w:rsidRPr="00230BD2">
        <w:rPr>
          <w:rFonts w:cs="Times New Roman"/>
          <w:szCs w:val="24"/>
        </w:rPr>
        <w:t xml:space="preserve">that the PL benefits in device categories of Cardiac, Intra-Ocular Lens Systems (IOLS), Hips and Knees appear to be </w:t>
      </w:r>
      <w:r w:rsidR="00E377D4">
        <w:rPr>
          <w:rFonts w:cs="Times New Roman"/>
          <w:szCs w:val="24"/>
        </w:rPr>
        <w:t>significantly</w:t>
      </w:r>
      <w:r w:rsidR="00E377D4" w:rsidRPr="00230BD2">
        <w:rPr>
          <w:rFonts w:cs="Times New Roman"/>
          <w:szCs w:val="24"/>
        </w:rPr>
        <w:t xml:space="preserve"> </w:t>
      </w:r>
      <w:r w:rsidRPr="00230BD2">
        <w:rPr>
          <w:rFonts w:cs="Times New Roman"/>
          <w:szCs w:val="24"/>
        </w:rPr>
        <w:t>higher</w:t>
      </w:r>
      <w:r w:rsidR="00625575">
        <w:rPr>
          <w:rFonts w:cs="Times New Roman"/>
          <w:szCs w:val="24"/>
        </w:rPr>
        <w:t>,</w:t>
      </w:r>
      <w:r w:rsidR="001453B1">
        <w:rPr>
          <w:rFonts w:cs="Times New Roman"/>
          <w:szCs w:val="24"/>
        </w:rPr>
        <w:t xml:space="preserve"> in many cases</w:t>
      </w:r>
      <w:r w:rsidR="00625575">
        <w:rPr>
          <w:rFonts w:cs="Times New Roman"/>
          <w:szCs w:val="24"/>
        </w:rPr>
        <w:t>,</w:t>
      </w:r>
      <w:r w:rsidRPr="00230BD2">
        <w:rPr>
          <w:rFonts w:cs="Times New Roman"/>
          <w:szCs w:val="24"/>
        </w:rPr>
        <w:t xml:space="preserve"> than market prices based on available domestic and international </w:t>
      </w:r>
      <w:r w:rsidR="00C73C48" w:rsidRPr="00230BD2">
        <w:rPr>
          <w:rFonts w:cs="Times New Roman"/>
          <w:szCs w:val="24"/>
        </w:rPr>
        <w:t>data</w:t>
      </w:r>
      <w:r w:rsidR="00C73C48">
        <w:rPr>
          <w:rFonts w:cs="Times New Roman"/>
          <w:szCs w:val="24"/>
        </w:rPr>
        <w:t>. Should</w:t>
      </w:r>
      <w:r w:rsidR="00AE61E5">
        <w:rPr>
          <w:rFonts w:cs="Times New Roman"/>
          <w:szCs w:val="24"/>
        </w:rPr>
        <w:t xml:space="preserve"> </w:t>
      </w:r>
      <w:r w:rsidRPr="00230BD2">
        <w:rPr>
          <w:rFonts w:cs="Times New Roman"/>
          <w:szCs w:val="24"/>
        </w:rPr>
        <w:t>Government</w:t>
      </w:r>
      <w:r w:rsidR="00AE61E5">
        <w:rPr>
          <w:rFonts w:cs="Times New Roman"/>
          <w:szCs w:val="24"/>
        </w:rPr>
        <w:t xml:space="preserve"> be inclined to make immediate benefit reductions,</w:t>
      </w:r>
      <w:r w:rsidRPr="00230BD2">
        <w:rPr>
          <w:rFonts w:cs="Times New Roman"/>
          <w:szCs w:val="24"/>
        </w:rPr>
        <w:t xml:space="preserve"> these categories </w:t>
      </w:r>
      <w:r w:rsidR="00AE61E5">
        <w:rPr>
          <w:rFonts w:cs="Times New Roman"/>
          <w:szCs w:val="24"/>
        </w:rPr>
        <w:t>should be considered for</w:t>
      </w:r>
      <w:r w:rsidR="00AE61E5" w:rsidRPr="00230BD2">
        <w:rPr>
          <w:rFonts w:cs="Times New Roman"/>
          <w:szCs w:val="24"/>
        </w:rPr>
        <w:t xml:space="preserve"> </w:t>
      </w:r>
      <w:r w:rsidRPr="00230BD2">
        <w:rPr>
          <w:rFonts w:cs="Times New Roman"/>
          <w:szCs w:val="24"/>
        </w:rPr>
        <w:t>the initial targets</w:t>
      </w:r>
      <w:r w:rsidR="001453B1">
        <w:rPr>
          <w:rFonts w:cs="Times New Roman"/>
          <w:szCs w:val="24"/>
        </w:rPr>
        <w:t xml:space="preserve"> taking into account relative price disparities</w:t>
      </w:r>
      <w:r w:rsidRPr="00230BD2">
        <w:rPr>
          <w:rFonts w:cs="Times New Roman"/>
          <w:szCs w:val="24"/>
        </w:rPr>
        <w:t>.</w:t>
      </w:r>
    </w:p>
    <w:p w:rsidR="00A65BBA" w:rsidRPr="00230BD2" w:rsidRDefault="00A65BBA" w:rsidP="00230BD2">
      <w:pPr>
        <w:pStyle w:val="ListParagraph"/>
        <w:widowControl w:val="0"/>
        <w:ind w:left="360"/>
        <w:rPr>
          <w:rFonts w:cs="Times New Roman"/>
          <w:szCs w:val="24"/>
        </w:rPr>
      </w:pPr>
    </w:p>
    <w:p w:rsidR="00A65BBA" w:rsidRPr="00230BD2" w:rsidRDefault="00A65BBA" w:rsidP="00230BD2">
      <w:pPr>
        <w:pStyle w:val="ListParagraph"/>
        <w:widowControl w:val="0"/>
        <w:numPr>
          <w:ilvl w:val="0"/>
          <w:numId w:val="6"/>
        </w:numPr>
        <w:rPr>
          <w:rFonts w:cs="Times New Roman"/>
          <w:szCs w:val="24"/>
        </w:rPr>
      </w:pPr>
      <w:r w:rsidRPr="00230BD2">
        <w:rPr>
          <w:rFonts w:cs="Times New Roman"/>
          <w:szCs w:val="24"/>
        </w:rPr>
        <w:t xml:space="preserve">In respect of refining the scope of products on the PL, the </w:t>
      </w:r>
      <w:r w:rsidR="00A95E5D">
        <w:rPr>
          <w:rFonts w:cs="Times New Roman"/>
          <w:szCs w:val="24"/>
        </w:rPr>
        <w:t>IWG</w:t>
      </w:r>
      <w:r w:rsidRPr="00230BD2">
        <w:rPr>
          <w:rFonts w:cs="Times New Roman"/>
          <w:szCs w:val="24"/>
        </w:rPr>
        <w:t xml:space="preserve"> agreed:</w:t>
      </w:r>
    </w:p>
    <w:p w:rsidR="00A65BBA" w:rsidRPr="00230BD2" w:rsidRDefault="0087626B" w:rsidP="00230BD2">
      <w:pPr>
        <w:pStyle w:val="ListParagraph"/>
        <w:widowControl w:val="0"/>
        <w:numPr>
          <w:ilvl w:val="0"/>
          <w:numId w:val="1"/>
        </w:numPr>
        <w:rPr>
          <w:rFonts w:cs="Times New Roman"/>
          <w:szCs w:val="24"/>
        </w:rPr>
      </w:pPr>
      <w:r>
        <w:rPr>
          <w:rFonts w:cs="Times New Roman"/>
          <w:szCs w:val="24"/>
        </w:rPr>
        <w:t>t</w:t>
      </w:r>
      <w:r w:rsidR="00A65BBA" w:rsidRPr="00230BD2">
        <w:rPr>
          <w:rFonts w:cs="Times New Roman"/>
          <w:szCs w:val="24"/>
        </w:rPr>
        <w:t>hat</w:t>
      </w:r>
      <w:r>
        <w:rPr>
          <w:rFonts w:cs="Times New Roman"/>
          <w:szCs w:val="24"/>
        </w:rPr>
        <w:t xml:space="preserve"> if</w:t>
      </w:r>
      <w:r w:rsidR="00A65BBA" w:rsidRPr="00230BD2">
        <w:rPr>
          <w:rFonts w:cs="Times New Roman"/>
          <w:szCs w:val="24"/>
        </w:rPr>
        <w:t xml:space="preserve"> items </w:t>
      </w:r>
      <w:r>
        <w:rPr>
          <w:rFonts w:cs="Times New Roman"/>
          <w:szCs w:val="24"/>
        </w:rPr>
        <w:t>are</w:t>
      </w:r>
      <w:r w:rsidRPr="00230BD2">
        <w:rPr>
          <w:rFonts w:cs="Times New Roman"/>
          <w:szCs w:val="24"/>
        </w:rPr>
        <w:t xml:space="preserve"> </w:t>
      </w:r>
      <w:r w:rsidR="00A65BBA" w:rsidRPr="00230BD2">
        <w:rPr>
          <w:rFonts w:cs="Times New Roman"/>
          <w:szCs w:val="24"/>
        </w:rPr>
        <w:t>considered for</w:t>
      </w:r>
      <w:r w:rsidR="00E377D4">
        <w:rPr>
          <w:rFonts w:cs="Times New Roman"/>
          <w:szCs w:val="24"/>
        </w:rPr>
        <w:t xml:space="preserve"> removal</w:t>
      </w:r>
      <w:r w:rsidR="00A65BBA" w:rsidRPr="00230BD2">
        <w:rPr>
          <w:rFonts w:cs="Times New Roman"/>
          <w:szCs w:val="24"/>
        </w:rPr>
        <w:t xml:space="preserve"> </w:t>
      </w:r>
      <w:r w:rsidR="00E377D4">
        <w:rPr>
          <w:rFonts w:cs="Times New Roman"/>
          <w:szCs w:val="24"/>
        </w:rPr>
        <w:t>in order to rationalise</w:t>
      </w:r>
      <w:r w:rsidR="00A65BBA" w:rsidRPr="00230BD2">
        <w:rPr>
          <w:rFonts w:cs="Times New Roman"/>
          <w:szCs w:val="24"/>
        </w:rPr>
        <w:t xml:space="preserve"> the PL, </w:t>
      </w:r>
      <w:r>
        <w:rPr>
          <w:rFonts w:cs="Times New Roman"/>
          <w:szCs w:val="24"/>
        </w:rPr>
        <w:t>adequate time must be provided to allow new funding arrangements to be put in place</w:t>
      </w:r>
      <w:r w:rsidR="00A65BBA" w:rsidRPr="00230BD2">
        <w:rPr>
          <w:rFonts w:cs="Times New Roman"/>
          <w:szCs w:val="24"/>
        </w:rPr>
        <w:t>;</w:t>
      </w:r>
    </w:p>
    <w:p w:rsidR="00A65BBA" w:rsidRPr="00230BD2" w:rsidRDefault="00A65BBA" w:rsidP="00230BD2">
      <w:pPr>
        <w:pStyle w:val="ListParagraph"/>
        <w:widowControl w:val="0"/>
        <w:numPr>
          <w:ilvl w:val="0"/>
          <w:numId w:val="1"/>
        </w:numPr>
        <w:rPr>
          <w:rFonts w:cs="Times New Roman"/>
          <w:szCs w:val="24"/>
        </w:rPr>
      </w:pPr>
      <w:r w:rsidRPr="00230BD2">
        <w:rPr>
          <w:rFonts w:cs="Times New Roman"/>
          <w:szCs w:val="24"/>
        </w:rPr>
        <w:t xml:space="preserve">that further consideration </w:t>
      </w:r>
      <w:r w:rsidR="00C73C48" w:rsidRPr="00230BD2">
        <w:rPr>
          <w:rFonts w:cs="Times New Roman"/>
          <w:szCs w:val="24"/>
        </w:rPr>
        <w:t>is</w:t>
      </w:r>
      <w:r w:rsidRPr="00230BD2">
        <w:rPr>
          <w:rFonts w:cs="Times New Roman"/>
          <w:szCs w:val="24"/>
        </w:rPr>
        <w:t xml:space="preserve"> given to amending the PL criteria to </w:t>
      </w:r>
      <w:r w:rsidR="00E377D4">
        <w:rPr>
          <w:rFonts w:cs="Times New Roman"/>
          <w:szCs w:val="24"/>
        </w:rPr>
        <w:t xml:space="preserve">include </w:t>
      </w:r>
      <w:r w:rsidRPr="00230BD2">
        <w:rPr>
          <w:rFonts w:cs="Times New Roman"/>
          <w:szCs w:val="24"/>
        </w:rPr>
        <w:t xml:space="preserve">innovative medical technologies, which are demonstrably safe, effective and cost-effective but which don’t meet the current </w:t>
      </w:r>
      <w:r w:rsidR="006B6646">
        <w:rPr>
          <w:rFonts w:cs="Times New Roman"/>
          <w:szCs w:val="24"/>
        </w:rPr>
        <w:t>PL</w:t>
      </w:r>
      <w:r w:rsidR="006B6646" w:rsidRPr="00230BD2">
        <w:rPr>
          <w:rFonts w:cs="Times New Roman"/>
          <w:szCs w:val="24"/>
        </w:rPr>
        <w:t xml:space="preserve"> </w:t>
      </w:r>
      <w:r w:rsidRPr="00230BD2">
        <w:rPr>
          <w:rFonts w:cs="Times New Roman"/>
          <w:szCs w:val="24"/>
        </w:rPr>
        <w:t>criteria.</w:t>
      </w:r>
    </w:p>
    <w:p w:rsidR="00A65BBA" w:rsidRPr="00230BD2" w:rsidRDefault="00A65BBA" w:rsidP="00230BD2">
      <w:pPr>
        <w:pStyle w:val="ListParagraph"/>
        <w:widowControl w:val="0"/>
        <w:ind w:left="0"/>
        <w:rPr>
          <w:rFonts w:cs="Times New Roman"/>
          <w:szCs w:val="24"/>
        </w:rPr>
      </w:pPr>
    </w:p>
    <w:p w:rsidR="00A65BBA" w:rsidRPr="00230BD2" w:rsidRDefault="00A65BBA" w:rsidP="00230BD2">
      <w:pPr>
        <w:pStyle w:val="ListParagraph"/>
        <w:widowControl w:val="0"/>
        <w:numPr>
          <w:ilvl w:val="0"/>
          <w:numId w:val="6"/>
        </w:numPr>
        <w:rPr>
          <w:rFonts w:cs="Times New Roman"/>
          <w:szCs w:val="24"/>
        </w:rPr>
      </w:pPr>
      <w:r w:rsidRPr="00230BD2">
        <w:rPr>
          <w:rFonts w:cs="Times New Roman"/>
          <w:szCs w:val="24"/>
        </w:rPr>
        <w:t xml:space="preserve">In respect of deregulation, the </w:t>
      </w:r>
      <w:r w:rsidR="00A95E5D">
        <w:rPr>
          <w:rFonts w:cs="Times New Roman"/>
          <w:szCs w:val="24"/>
        </w:rPr>
        <w:t>IWG</w:t>
      </w:r>
      <w:r w:rsidRPr="00230BD2">
        <w:rPr>
          <w:rFonts w:cs="Times New Roman"/>
          <w:szCs w:val="24"/>
        </w:rPr>
        <w:t xml:space="preserve"> agreed:</w:t>
      </w:r>
    </w:p>
    <w:p w:rsidR="00A65BBA" w:rsidRPr="00230BD2" w:rsidRDefault="00A65BBA" w:rsidP="00230BD2">
      <w:pPr>
        <w:pStyle w:val="ListParagraph"/>
        <w:widowControl w:val="0"/>
        <w:numPr>
          <w:ilvl w:val="0"/>
          <w:numId w:val="1"/>
        </w:numPr>
        <w:rPr>
          <w:rFonts w:cs="Times New Roman"/>
          <w:szCs w:val="24"/>
        </w:rPr>
      </w:pPr>
      <w:r w:rsidRPr="00230BD2">
        <w:rPr>
          <w:rFonts w:cs="Times New Roman"/>
          <w:szCs w:val="24"/>
        </w:rPr>
        <w:t xml:space="preserve"> the Government should consider </w:t>
      </w:r>
      <w:r w:rsidR="00820BCB">
        <w:rPr>
          <w:rFonts w:cs="Times New Roman"/>
          <w:szCs w:val="24"/>
        </w:rPr>
        <w:t xml:space="preserve">opportunities for </w:t>
      </w:r>
      <w:r w:rsidR="006B6646">
        <w:rPr>
          <w:rFonts w:cs="Times New Roman"/>
          <w:szCs w:val="24"/>
        </w:rPr>
        <w:t xml:space="preserve">enhanced </w:t>
      </w:r>
      <w:r w:rsidR="00820BCB">
        <w:rPr>
          <w:rFonts w:cs="Times New Roman"/>
          <w:szCs w:val="24"/>
        </w:rPr>
        <w:t>co-operation between the PLAC</w:t>
      </w:r>
      <w:r w:rsidRPr="00230BD2">
        <w:rPr>
          <w:rFonts w:cs="Times New Roman"/>
          <w:szCs w:val="24"/>
        </w:rPr>
        <w:t xml:space="preserve"> </w:t>
      </w:r>
      <w:r w:rsidR="00820BCB">
        <w:rPr>
          <w:rFonts w:cs="Times New Roman"/>
          <w:szCs w:val="24"/>
        </w:rPr>
        <w:t>and the</w:t>
      </w:r>
      <w:r w:rsidRPr="00230BD2">
        <w:rPr>
          <w:rFonts w:cs="Times New Roman"/>
          <w:szCs w:val="24"/>
        </w:rPr>
        <w:t xml:space="preserve"> Therapeutic Goods Administration</w:t>
      </w:r>
      <w:r w:rsidR="00BF2390">
        <w:rPr>
          <w:rFonts w:cs="Times New Roman"/>
          <w:szCs w:val="24"/>
        </w:rPr>
        <w:t xml:space="preserve"> (TGA)</w:t>
      </w:r>
      <w:r w:rsidRPr="00230BD2">
        <w:rPr>
          <w:rFonts w:cs="Times New Roman"/>
          <w:szCs w:val="24"/>
        </w:rPr>
        <w:t xml:space="preserve">, </w:t>
      </w:r>
      <w:r w:rsidR="00820BCB">
        <w:rPr>
          <w:rFonts w:cs="Times New Roman"/>
          <w:szCs w:val="24"/>
        </w:rPr>
        <w:t>to ensure that activities are not inappropriately duplicated</w:t>
      </w:r>
      <w:r w:rsidRPr="00230BD2">
        <w:rPr>
          <w:rFonts w:cs="Times New Roman"/>
          <w:szCs w:val="24"/>
        </w:rPr>
        <w:t>;</w:t>
      </w:r>
    </w:p>
    <w:p w:rsidR="00A65BBA" w:rsidRPr="00230BD2" w:rsidRDefault="00A65BBA" w:rsidP="00230BD2">
      <w:pPr>
        <w:pStyle w:val="ListParagraph"/>
        <w:widowControl w:val="0"/>
        <w:numPr>
          <w:ilvl w:val="0"/>
          <w:numId w:val="1"/>
        </w:numPr>
        <w:rPr>
          <w:rFonts w:cs="Times New Roman"/>
          <w:szCs w:val="24"/>
        </w:rPr>
      </w:pPr>
      <w:r w:rsidRPr="00230BD2">
        <w:rPr>
          <w:rFonts w:cs="Times New Roman"/>
          <w:szCs w:val="24"/>
        </w:rPr>
        <w:t>that PLAC should consider developing a routine process for</w:t>
      </w:r>
      <w:r w:rsidR="00D75501">
        <w:rPr>
          <w:rFonts w:cs="Times New Roman"/>
          <w:szCs w:val="24"/>
        </w:rPr>
        <w:t xml:space="preserve"> the</w:t>
      </w:r>
      <w:r w:rsidRPr="00230BD2">
        <w:rPr>
          <w:rFonts w:cs="Times New Roman"/>
          <w:szCs w:val="24"/>
        </w:rPr>
        <w:t xml:space="preserve"> assessment of devices for possible removal from the PL on clinical or cost-effectiveness grounds;</w:t>
      </w:r>
    </w:p>
    <w:p w:rsidR="00A65BBA" w:rsidRPr="00230BD2" w:rsidRDefault="00A65BBA" w:rsidP="00230BD2">
      <w:pPr>
        <w:pStyle w:val="ListParagraph"/>
        <w:widowControl w:val="0"/>
        <w:numPr>
          <w:ilvl w:val="0"/>
          <w:numId w:val="1"/>
        </w:numPr>
        <w:rPr>
          <w:rFonts w:cs="Times New Roman"/>
          <w:szCs w:val="24"/>
        </w:rPr>
      </w:pPr>
      <w:r w:rsidRPr="00230BD2">
        <w:rPr>
          <w:rFonts w:cs="Times New Roman"/>
          <w:szCs w:val="24"/>
        </w:rPr>
        <w:t>that consideration should be given to revising the PLAC and</w:t>
      </w:r>
      <w:r w:rsidR="006B6646">
        <w:rPr>
          <w:rFonts w:cs="Times New Roman"/>
          <w:szCs w:val="24"/>
        </w:rPr>
        <w:t xml:space="preserve"> its</w:t>
      </w:r>
      <w:r w:rsidRPr="00230BD2">
        <w:rPr>
          <w:rFonts w:cs="Times New Roman"/>
          <w:szCs w:val="24"/>
        </w:rPr>
        <w:t xml:space="preserve"> </w:t>
      </w:r>
      <w:r w:rsidR="00E377D4">
        <w:rPr>
          <w:rFonts w:cs="Times New Roman"/>
          <w:szCs w:val="24"/>
        </w:rPr>
        <w:t xml:space="preserve">advisory committee </w:t>
      </w:r>
      <w:r w:rsidRPr="00230BD2">
        <w:rPr>
          <w:rFonts w:cs="Times New Roman"/>
          <w:szCs w:val="24"/>
        </w:rPr>
        <w:t>arrangements, to:</w:t>
      </w:r>
    </w:p>
    <w:p w:rsidR="00A65BBA" w:rsidRPr="00230BD2" w:rsidRDefault="00A65BBA" w:rsidP="00230BD2">
      <w:pPr>
        <w:pStyle w:val="ListParagraph"/>
        <w:widowControl w:val="0"/>
        <w:numPr>
          <w:ilvl w:val="1"/>
          <w:numId w:val="1"/>
        </w:numPr>
        <w:rPr>
          <w:rFonts w:cs="Times New Roman"/>
          <w:szCs w:val="24"/>
        </w:rPr>
      </w:pPr>
      <w:r w:rsidRPr="00230BD2">
        <w:rPr>
          <w:rFonts w:cs="Times New Roman"/>
          <w:szCs w:val="24"/>
        </w:rPr>
        <w:t>ensure that committee membership is based on appropriate expertise;</w:t>
      </w:r>
    </w:p>
    <w:p w:rsidR="00A65BBA" w:rsidRPr="00230BD2" w:rsidRDefault="00A65BBA" w:rsidP="00230BD2">
      <w:pPr>
        <w:pStyle w:val="ListParagraph"/>
        <w:widowControl w:val="0"/>
        <w:numPr>
          <w:ilvl w:val="1"/>
          <w:numId w:val="1"/>
        </w:numPr>
        <w:rPr>
          <w:rFonts w:cs="Times New Roman"/>
          <w:szCs w:val="24"/>
        </w:rPr>
      </w:pPr>
      <w:r w:rsidRPr="00230BD2">
        <w:rPr>
          <w:rFonts w:cs="Times New Roman"/>
          <w:szCs w:val="24"/>
        </w:rPr>
        <w:t>maintain an independent Chair;</w:t>
      </w:r>
    </w:p>
    <w:p w:rsidR="00A65BBA" w:rsidRPr="00230BD2" w:rsidRDefault="00A65BBA" w:rsidP="00230BD2">
      <w:pPr>
        <w:pStyle w:val="ListParagraph"/>
        <w:widowControl w:val="0"/>
        <w:numPr>
          <w:ilvl w:val="1"/>
          <w:numId w:val="1"/>
        </w:numPr>
        <w:rPr>
          <w:rFonts w:cs="Times New Roman"/>
          <w:szCs w:val="24"/>
        </w:rPr>
      </w:pPr>
      <w:r w:rsidRPr="00230BD2">
        <w:rPr>
          <w:rFonts w:cs="Times New Roman"/>
          <w:szCs w:val="24"/>
        </w:rPr>
        <w:t>include a greater range of members on the PLAC, specifically:</w:t>
      </w:r>
    </w:p>
    <w:p w:rsidR="00A65BBA" w:rsidRPr="00230BD2" w:rsidRDefault="00A65BBA" w:rsidP="00230BD2">
      <w:pPr>
        <w:pStyle w:val="ListParagraph"/>
        <w:widowControl w:val="0"/>
        <w:numPr>
          <w:ilvl w:val="2"/>
          <w:numId w:val="1"/>
        </w:numPr>
        <w:rPr>
          <w:rFonts w:cs="Times New Roman"/>
          <w:szCs w:val="24"/>
        </w:rPr>
      </w:pPr>
      <w:r w:rsidRPr="00230BD2">
        <w:rPr>
          <w:rFonts w:cs="Times New Roman"/>
          <w:szCs w:val="24"/>
        </w:rPr>
        <w:t>additional health economics expertise</w:t>
      </w:r>
    </w:p>
    <w:p w:rsidR="00A65BBA" w:rsidRPr="00230BD2" w:rsidRDefault="00A65BBA" w:rsidP="00230BD2">
      <w:pPr>
        <w:pStyle w:val="ListParagraph"/>
        <w:widowControl w:val="0"/>
        <w:numPr>
          <w:ilvl w:val="2"/>
          <w:numId w:val="1"/>
        </w:numPr>
        <w:rPr>
          <w:rFonts w:cs="Times New Roman"/>
          <w:szCs w:val="24"/>
        </w:rPr>
      </w:pPr>
      <w:r w:rsidRPr="00230BD2">
        <w:rPr>
          <w:rFonts w:cs="Times New Roman"/>
          <w:szCs w:val="24"/>
        </w:rPr>
        <w:t>an expert member of the Medical Services Advisory Committee</w:t>
      </w:r>
      <w:r w:rsidR="00820BCB">
        <w:rPr>
          <w:rFonts w:cs="Times New Roman"/>
          <w:szCs w:val="24"/>
        </w:rPr>
        <w:t xml:space="preserve"> (MSAC)</w:t>
      </w:r>
      <w:r w:rsidRPr="00230BD2">
        <w:rPr>
          <w:rFonts w:cs="Times New Roman"/>
          <w:szCs w:val="24"/>
        </w:rPr>
        <w:t>, to ensure alignment of related activities;</w:t>
      </w:r>
    </w:p>
    <w:p w:rsidR="00A65BBA" w:rsidRPr="00230BD2" w:rsidRDefault="00E377D4" w:rsidP="00230BD2">
      <w:pPr>
        <w:pStyle w:val="ListParagraph"/>
        <w:widowControl w:val="0"/>
        <w:numPr>
          <w:ilvl w:val="1"/>
          <w:numId w:val="1"/>
        </w:numPr>
        <w:rPr>
          <w:rFonts w:cs="Times New Roman"/>
          <w:szCs w:val="24"/>
        </w:rPr>
      </w:pPr>
      <w:r>
        <w:rPr>
          <w:rFonts w:cs="Times New Roman"/>
          <w:szCs w:val="24"/>
        </w:rPr>
        <w:t xml:space="preserve">review </w:t>
      </w:r>
      <w:r w:rsidR="00A65BBA" w:rsidRPr="00230BD2">
        <w:rPr>
          <w:rFonts w:cs="Times New Roman"/>
          <w:szCs w:val="24"/>
        </w:rPr>
        <w:t xml:space="preserve">the role of </w:t>
      </w:r>
      <w:r w:rsidR="000E77F2">
        <w:rPr>
          <w:rFonts w:cs="Times New Roman"/>
          <w:szCs w:val="24"/>
        </w:rPr>
        <w:t>CAGs</w:t>
      </w:r>
      <w:r w:rsidR="00A65BBA" w:rsidRPr="00230BD2">
        <w:rPr>
          <w:rFonts w:cs="Times New Roman"/>
          <w:szCs w:val="24"/>
        </w:rPr>
        <w:t>;</w:t>
      </w:r>
    </w:p>
    <w:p w:rsidR="00E377D4" w:rsidRDefault="00E377D4" w:rsidP="00230BD2">
      <w:pPr>
        <w:pStyle w:val="ListParagraph"/>
        <w:widowControl w:val="0"/>
        <w:numPr>
          <w:ilvl w:val="1"/>
          <w:numId w:val="1"/>
        </w:numPr>
        <w:rPr>
          <w:rFonts w:cs="Times New Roman"/>
          <w:szCs w:val="24"/>
        </w:rPr>
      </w:pPr>
      <w:r>
        <w:rPr>
          <w:rFonts w:cs="Times New Roman"/>
          <w:szCs w:val="24"/>
        </w:rPr>
        <w:t xml:space="preserve">introduce the regular review of items on the PL and their PL benefits; </w:t>
      </w:r>
    </w:p>
    <w:p w:rsidR="00A65BBA" w:rsidRPr="00230BD2" w:rsidRDefault="00A65BBA" w:rsidP="00230BD2">
      <w:pPr>
        <w:pStyle w:val="ListParagraph"/>
        <w:widowControl w:val="0"/>
        <w:numPr>
          <w:ilvl w:val="1"/>
          <w:numId w:val="1"/>
        </w:numPr>
        <w:rPr>
          <w:rFonts w:cs="Times New Roman"/>
          <w:szCs w:val="24"/>
        </w:rPr>
      </w:pPr>
      <w:r w:rsidRPr="00230BD2">
        <w:rPr>
          <w:rFonts w:cs="Times New Roman"/>
          <w:szCs w:val="24"/>
        </w:rPr>
        <w:t>utilise</w:t>
      </w:r>
      <w:r w:rsidR="00820BCB">
        <w:rPr>
          <w:rFonts w:cs="Times New Roman"/>
          <w:szCs w:val="24"/>
        </w:rPr>
        <w:t xml:space="preserve"> existing</w:t>
      </w:r>
      <w:r w:rsidRPr="00230BD2">
        <w:rPr>
          <w:rFonts w:cs="Times New Roman"/>
          <w:szCs w:val="24"/>
        </w:rPr>
        <w:t xml:space="preserve"> health technology assessment (HTA) expertise </w:t>
      </w:r>
      <w:r w:rsidR="00820BCB">
        <w:rPr>
          <w:rFonts w:cs="Times New Roman"/>
          <w:szCs w:val="24"/>
        </w:rPr>
        <w:t xml:space="preserve">as appropriate, for example the possible use of MSAC sub-committees to examine claims of </w:t>
      </w:r>
      <w:r w:rsidR="00665AB0">
        <w:rPr>
          <w:rFonts w:cs="Times New Roman"/>
          <w:szCs w:val="24"/>
        </w:rPr>
        <w:t xml:space="preserve">clinical </w:t>
      </w:r>
      <w:r w:rsidR="00820BCB">
        <w:rPr>
          <w:rFonts w:cs="Times New Roman"/>
          <w:szCs w:val="24"/>
        </w:rPr>
        <w:t>superiority</w:t>
      </w:r>
      <w:r w:rsidR="00665AB0">
        <w:rPr>
          <w:rFonts w:cs="Times New Roman"/>
          <w:szCs w:val="24"/>
        </w:rPr>
        <w:t xml:space="preserve"> in a cost</w:t>
      </w:r>
      <w:r w:rsidR="00323C7C">
        <w:rPr>
          <w:rFonts w:cs="Times New Roman"/>
          <w:szCs w:val="24"/>
        </w:rPr>
        <w:t>-</w:t>
      </w:r>
      <w:r w:rsidR="00665AB0">
        <w:rPr>
          <w:rFonts w:cs="Times New Roman"/>
          <w:szCs w:val="24"/>
        </w:rPr>
        <w:t>effectiveness framework</w:t>
      </w:r>
      <w:r w:rsidRPr="00230BD2">
        <w:rPr>
          <w:rFonts w:cs="Times New Roman"/>
          <w:szCs w:val="24"/>
        </w:rPr>
        <w:t>;</w:t>
      </w:r>
    </w:p>
    <w:p w:rsidR="00A65BBA" w:rsidRPr="00230BD2" w:rsidRDefault="00A65BBA" w:rsidP="00230BD2">
      <w:pPr>
        <w:pStyle w:val="ListParagraph"/>
        <w:widowControl w:val="0"/>
        <w:numPr>
          <w:ilvl w:val="1"/>
          <w:numId w:val="1"/>
        </w:numPr>
        <w:rPr>
          <w:rFonts w:cs="Times New Roman"/>
          <w:szCs w:val="24"/>
        </w:rPr>
      </w:pPr>
      <w:r w:rsidRPr="00230BD2">
        <w:rPr>
          <w:rFonts w:cs="Times New Roman"/>
          <w:szCs w:val="24"/>
        </w:rPr>
        <w:t>consider the role of registries, and interact meaningfully with current registries as part of listing and delisting processes;</w:t>
      </w:r>
    </w:p>
    <w:p w:rsidR="00A65BBA" w:rsidRPr="00230BD2" w:rsidRDefault="00A65BBA" w:rsidP="00230BD2">
      <w:pPr>
        <w:pStyle w:val="ListParagraph"/>
        <w:widowControl w:val="0"/>
        <w:numPr>
          <w:ilvl w:val="0"/>
          <w:numId w:val="1"/>
        </w:numPr>
        <w:rPr>
          <w:rFonts w:cs="Times New Roman"/>
          <w:szCs w:val="24"/>
        </w:rPr>
      </w:pPr>
      <w:r w:rsidRPr="00230BD2">
        <w:rPr>
          <w:rFonts w:cs="Times New Roman"/>
          <w:szCs w:val="24"/>
        </w:rPr>
        <w:t xml:space="preserve">that Government should consider developing new PL Guidelines in respect of the listing process and the benefit setting process. </w:t>
      </w:r>
    </w:p>
    <w:p w:rsidR="00A65BBA" w:rsidRPr="00230BD2" w:rsidRDefault="00A65BBA" w:rsidP="00230BD2">
      <w:pPr>
        <w:widowControl w:val="0"/>
        <w:rPr>
          <w:rFonts w:cs="Times New Roman"/>
          <w:szCs w:val="24"/>
          <w:u w:val="single"/>
        </w:rPr>
      </w:pPr>
      <w:r w:rsidRPr="00230BD2">
        <w:rPr>
          <w:rFonts w:cs="Times New Roman"/>
          <w:szCs w:val="24"/>
          <w:u w:val="single"/>
        </w:rPr>
        <w:br w:type="page"/>
      </w:r>
    </w:p>
    <w:p w:rsidR="00A65BBA" w:rsidRPr="00230BD2" w:rsidRDefault="00ED226A" w:rsidP="003111BD">
      <w:pPr>
        <w:pStyle w:val="Heading1"/>
      </w:pPr>
      <w:r>
        <w:lastRenderedPageBreak/>
        <w:t>Summary</w:t>
      </w:r>
    </w:p>
    <w:p w:rsidR="00A65BBA" w:rsidRPr="00230BD2" w:rsidRDefault="00A65BBA" w:rsidP="00230BD2">
      <w:pPr>
        <w:widowControl w:val="0"/>
        <w:rPr>
          <w:rFonts w:cs="Times New Roman"/>
          <w:szCs w:val="24"/>
        </w:rPr>
      </w:pPr>
      <w:r w:rsidRPr="00230BD2">
        <w:rPr>
          <w:rFonts w:cs="Times New Roman"/>
          <w:szCs w:val="24"/>
        </w:rPr>
        <w:t xml:space="preserve">The IWG was established by the Department </w:t>
      </w:r>
      <w:r w:rsidR="004731B3">
        <w:rPr>
          <w:rFonts w:cs="Times New Roman"/>
          <w:szCs w:val="24"/>
        </w:rPr>
        <w:t>in</w:t>
      </w:r>
      <w:r w:rsidRPr="00230BD2">
        <w:rPr>
          <w:rFonts w:cs="Times New Roman"/>
          <w:szCs w:val="24"/>
        </w:rPr>
        <w:t xml:space="preserve"> February 2016 to examine opportunities for reform of the arrangements governing prostheses and medical devices access and pricing. The Terms of Reference for the IWG are attached (Attachment </w:t>
      </w:r>
      <w:r w:rsidR="000C0450">
        <w:rPr>
          <w:rFonts w:cs="Times New Roman"/>
          <w:szCs w:val="24"/>
        </w:rPr>
        <w:t>A</w:t>
      </w:r>
      <w:r w:rsidRPr="00230BD2">
        <w:rPr>
          <w:rFonts w:cs="Times New Roman"/>
          <w:szCs w:val="24"/>
        </w:rPr>
        <w:t xml:space="preserve">). </w:t>
      </w:r>
    </w:p>
    <w:p w:rsidR="00A65BBA" w:rsidRPr="00230BD2" w:rsidRDefault="00A65BBA" w:rsidP="00230BD2">
      <w:pPr>
        <w:widowControl w:val="0"/>
        <w:rPr>
          <w:rFonts w:cs="Times New Roman"/>
          <w:szCs w:val="24"/>
        </w:rPr>
      </w:pPr>
      <w:r w:rsidRPr="00230BD2">
        <w:rPr>
          <w:rFonts w:cs="Times New Roman"/>
          <w:szCs w:val="24"/>
        </w:rPr>
        <w:t xml:space="preserve">Membership of the IWG was drawn from a range of relevant stakeholders, including the medical devices industry (both companies represented by the Medical Technology Association of Australia (MTAA) and independent companies), private for-profit and not-for-profit hospitals, consumers, private health insurers, the medical profession and the Department of Health. Membership of the IWG is attached (Attachment </w:t>
      </w:r>
      <w:r w:rsidR="000C0450">
        <w:rPr>
          <w:rFonts w:cs="Times New Roman"/>
          <w:szCs w:val="24"/>
        </w:rPr>
        <w:t>B</w:t>
      </w:r>
      <w:r w:rsidRPr="00230BD2">
        <w:rPr>
          <w:rFonts w:cs="Times New Roman"/>
          <w:szCs w:val="24"/>
        </w:rPr>
        <w:t>).</w:t>
      </w:r>
    </w:p>
    <w:p w:rsidR="00A65BBA" w:rsidRDefault="00A65BBA" w:rsidP="00230BD2">
      <w:pPr>
        <w:widowControl w:val="0"/>
        <w:spacing w:before="60" w:after="60"/>
        <w:rPr>
          <w:rFonts w:cs="Times New Roman"/>
          <w:szCs w:val="24"/>
        </w:rPr>
      </w:pPr>
      <w:r w:rsidRPr="00230BD2">
        <w:rPr>
          <w:rFonts w:cs="Times New Roman"/>
          <w:szCs w:val="24"/>
        </w:rPr>
        <w:t>Under current private health insurance regulations, “prostheses” are surgically implanted prostheses, human tissue and other medical devices for which private health insurers must pay defined benefits</w:t>
      </w:r>
      <w:r w:rsidR="000C0450">
        <w:rPr>
          <w:rFonts w:cs="Times New Roman"/>
          <w:szCs w:val="24"/>
        </w:rPr>
        <w:t xml:space="preserve"> (Attachment C</w:t>
      </w:r>
      <w:r w:rsidR="00063932">
        <w:rPr>
          <w:rFonts w:cs="Times New Roman"/>
          <w:szCs w:val="24"/>
        </w:rPr>
        <w:t>)</w:t>
      </w:r>
      <w:r w:rsidRPr="00230BD2">
        <w:rPr>
          <w:rFonts w:cs="Times New Roman"/>
          <w:szCs w:val="24"/>
        </w:rPr>
        <w:t>. Under the current arrangements, prostheses are assessed by PLAC to determine their comparative clinical effectiveness and the proposed private health insurance benefits. All prostheses on the Prostheses List (except for Human Tissues) are listed in groups of similar clinical effectiveness and all prostheses within a group are paid the same group benefit (or lower if the sponsor so chooses).</w:t>
      </w:r>
      <w:r w:rsidR="00400D11" w:rsidRPr="00400D11">
        <w:rPr>
          <w:rFonts w:cs="Times New Roman"/>
          <w:szCs w:val="24"/>
        </w:rPr>
        <w:t xml:space="preserve"> </w:t>
      </w:r>
      <w:r w:rsidR="00400D11">
        <w:rPr>
          <w:rFonts w:cs="Times New Roman"/>
          <w:szCs w:val="24"/>
        </w:rPr>
        <w:t xml:space="preserve">The IWG agreed that benefit differences should only exist where a sponsor is able to provide data </w:t>
      </w:r>
      <w:r w:rsidR="000C0450">
        <w:rPr>
          <w:rFonts w:cs="Times New Roman"/>
          <w:szCs w:val="24"/>
        </w:rPr>
        <w:t xml:space="preserve">which is acceptable by </w:t>
      </w:r>
      <w:r w:rsidR="009E1CB3">
        <w:rPr>
          <w:rFonts w:cs="Times New Roman"/>
          <w:szCs w:val="24"/>
        </w:rPr>
        <w:t>PLAC, which</w:t>
      </w:r>
      <w:r w:rsidR="00400D11">
        <w:rPr>
          <w:rFonts w:cs="Times New Roman"/>
          <w:szCs w:val="24"/>
        </w:rPr>
        <w:t xml:space="preserve"> demonstrates improved clinical outcomes; items which deliver</w:t>
      </w:r>
      <w:r w:rsidR="00825E7D">
        <w:rPr>
          <w:rFonts w:cs="Times New Roman"/>
          <w:szCs w:val="24"/>
        </w:rPr>
        <w:t xml:space="preserve"> </w:t>
      </w:r>
      <w:r w:rsidR="00400D11">
        <w:rPr>
          <w:rFonts w:cs="Times New Roman"/>
          <w:szCs w:val="24"/>
        </w:rPr>
        <w:t>the same clinical outcome</w:t>
      </w:r>
      <w:r w:rsidR="00825E7D">
        <w:rPr>
          <w:rFonts w:cs="Times New Roman"/>
          <w:szCs w:val="24"/>
        </w:rPr>
        <w:t xml:space="preserve"> </w:t>
      </w:r>
      <w:r w:rsidR="00400D11">
        <w:rPr>
          <w:rFonts w:cs="Times New Roman"/>
          <w:szCs w:val="24"/>
        </w:rPr>
        <w:t>should be listed at the same benefit.</w:t>
      </w:r>
    </w:p>
    <w:p w:rsidR="00CC6DDE" w:rsidRPr="00230BD2" w:rsidRDefault="00CC6DDE" w:rsidP="00230BD2">
      <w:pPr>
        <w:widowControl w:val="0"/>
        <w:spacing w:before="60" w:after="60"/>
        <w:rPr>
          <w:rFonts w:cs="Times New Roman"/>
          <w:szCs w:val="24"/>
        </w:rPr>
      </w:pPr>
    </w:p>
    <w:p w:rsidR="00CC6DDE" w:rsidRDefault="00D61948" w:rsidP="00230BD2">
      <w:pPr>
        <w:widowControl w:val="0"/>
        <w:spacing w:before="60" w:after="60"/>
        <w:rPr>
          <w:rFonts w:cs="Times New Roman"/>
          <w:szCs w:val="24"/>
        </w:rPr>
      </w:pPr>
      <w:r>
        <w:rPr>
          <w:rFonts w:cs="Times New Roman"/>
          <w:szCs w:val="24"/>
        </w:rPr>
        <w:t xml:space="preserve">The </w:t>
      </w:r>
      <w:r w:rsidR="00A95E5D">
        <w:rPr>
          <w:rFonts w:cs="Times New Roman"/>
          <w:szCs w:val="24"/>
        </w:rPr>
        <w:t xml:space="preserve">IWG </w:t>
      </w:r>
      <w:r>
        <w:rPr>
          <w:rFonts w:cs="Times New Roman"/>
          <w:szCs w:val="24"/>
        </w:rPr>
        <w:t>considered analysis of data performed by the Chair and the Department, and noted</w:t>
      </w:r>
      <w:r w:rsidRPr="00230BD2" w:rsidDel="00825E7D">
        <w:rPr>
          <w:rFonts w:cs="Times New Roman"/>
          <w:szCs w:val="24"/>
        </w:rPr>
        <w:t xml:space="preserve"> </w:t>
      </w:r>
      <w:r w:rsidR="00A65BBA" w:rsidRPr="00230BD2">
        <w:rPr>
          <w:rFonts w:cs="Times New Roman"/>
          <w:szCs w:val="24"/>
        </w:rPr>
        <w:t xml:space="preserve"> that Prostheses List benefit levels</w:t>
      </w:r>
      <w:r w:rsidR="0087626B">
        <w:rPr>
          <w:rFonts w:cs="Times New Roman"/>
          <w:szCs w:val="24"/>
        </w:rPr>
        <w:t xml:space="preserve"> for certain items</w:t>
      </w:r>
      <w:r w:rsidR="00A65BBA" w:rsidRPr="00230BD2">
        <w:rPr>
          <w:rFonts w:cs="Times New Roman"/>
          <w:szCs w:val="24"/>
        </w:rPr>
        <w:t xml:space="preserve"> are significantly higher than prices in the Australian hospital system and internationally. </w:t>
      </w:r>
      <w:r w:rsidR="0087626B">
        <w:rPr>
          <w:rFonts w:cs="Times New Roman"/>
          <w:szCs w:val="24"/>
        </w:rPr>
        <w:t xml:space="preserve">The </w:t>
      </w:r>
      <w:r>
        <w:rPr>
          <w:rFonts w:cs="Times New Roman"/>
          <w:szCs w:val="24"/>
        </w:rPr>
        <w:t>analysis</w:t>
      </w:r>
      <w:r w:rsidR="0087626B">
        <w:rPr>
          <w:rFonts w:cs="Times New Roman"/>
          <w:szCs w:val="24"/>
        </w:rPr>
        <w:t xml:space="preserve"> suggests that while the price-benefit differentials are not consistent across the product range, for some items the difference is substantial.</w:t>
      </w:r>
      <w:r w:rsidR="00405D24">
        <w:rPr>
          <w:rFonts w:cs="Times New Roman"/>
          <w:szCs w:val="24"/>
        </w:rPr>
        <w:t xml:space="preserve"> T</w:t>
      </w:r>
      <w:r w:rsidR="0087626B">
        <w:rPr>
          <w:rFonts w:cs="Times New Roman"/>
          <w:szCs w:val="24"/>
        </w:rPr>
        <w:t>hese differences</w:t>
      </w:r>
      <w:r w:rsidR="00A65BBA" w:rsidRPr="00230BD2">
        <w:rPr>
          <w:rFonts w:cs="Times New Roman"/>
          <w:szCs w:val="24"/>
        </w:rPr>
        <w:t xml:space="preserve"> provide an opportunity </w:t>
      </w:r>
      <w:r w:rsidR="0087626B">
        <w:rPr>
          <w:rFonts w:cs="Times New Roman"/>
          <w:szCs w:val="24"/>
        </w:rPr>
        <w:t>to consider</w:t>
      </w:r>
      <w:r w:rsidR="0087626B" w:rsidRPr="00230BD2">
        <w:rPr>
          <w:rFonts w:cs="Times New Roman"/>
          <w:szCs w:val="24"/>
        </w:rPr>
        <w:t xml:space="preserve"> </w:t>
      </w:r>
      <w:r w:rsidR="00A65BBA" w:rsidRPr="00230BD2">
        <w:rPr>
          <w:rFonts w:cs="Times New Roman"/>
          <w:szCs w:val="24"/>
        </w:rPr>
        <w:t>a material reduction</w:t>
      </w:r>
      <w:r w:rsidR="0087626B">
        <w:rPr>
          <w:rFonts w:cs="Times New Roman"/>
          <w:szCs w:val="24"/>
        </w:rPr>
        <w:t xml:space="preserve"> in benefits for certain items, and therefore for reductions</w:t>
      </w:r>
      <w:r w:rsidR="00A65BBA" w:rsidRPr="00230BD2">
        <w:rPr>
          <w:rFonts w:cs="Times New Roman"/>
          <w:szCs w:val="24"/>
        </w:rPr>
        <w:t xml:space="preserve"> in private health insurance outlays.</w:t>
      </w:r>
    </w:p>
    <w:p w:rsidR="00A65BBA" w:rsidRPr="00230BD2" w:rsidRDefault="00A65BBA" w:rsidP="00230BD2">
      <w:pPr>
        <w:widowControl w:val="0"/>
        <w:spacing w:before="60" w:after="60"/>
        <w:rPr>
          <w:rFonts w:cs="Times New Roman"/>
          <w:szCs w:val="24"/>
        </w:rPr>
      </w:pPr>
      <w:r w:rsidRPr="00230BD2">
        <w:rPr>
          <w:rFonts w:cs="Times New Roman"/>
          <w:szCs w:val="24"/>
        </w:rPr>
        <w:t xml:space="preserve"> </w:t>
      </w:r>
    </w:p>
    <w:p w:rsidR="00A65BBA" w:rsidRDefault="00A65BBA" w:rsidP="00230BD2">
      <w:pPr>
        <w:widowControl w:val="0"/>
        <w:spacing w:before="60" w:after="60"/>
        <w:rPr>
          <w:rFonts w:cs="Times New Roman"/>
          <w:szCs w:val="24"/>
        </w:rPr>
      </w:pPr>
      <w:r w:rsidRPr="00230BD2">
        <w:rPr>
          <w:rFonts w:cs="Times New Roman"/>
          <w:szCs w:val="24"/>
        </w:rPr>
        <w:t xml:space="preserve">The IWG has </w:t>
      </w:r>
      <w:r w:rsidR="00AE61E5">
        <w:rPr>
          <w:rFonts w:cs="Times New Roman"/>
          <w:szCs w:val="24"/>
        </w:rPr>
        <w:t>agreed that should the Minister for Health seek</w:t>
      </w:r>
      <w:r w:rsidRPr="00230BD2">
        <w:rPr>
          <w:rFonts w:cs="Times New Roman"/>
          <w:szCs w:val="24"/>
        </w:rPr>
        <w:t xml:space="preserve"> </w:t>
      </w:r>
      <w:r w:rsidR="00A95E5D" w:rsidRPr="00230BD2">
        <w:rPr>
          <w:rFonts w:cs="Times New Roman"/>
          <w:szCs w:val="24"/>
        </w:rPr>
        <w:t>an</w:t>
      </w:r>
      <w:r w:rsidR="00A95E5D">
        <w:rPr>
          <w:rFonts w:cs="Times New Roman"/>
          <w:szCs w:val="24"/>
        </w:rPr>
        <w:t xml:space="preserve"> </w:t>
      </w:r>
      <w:r w:rsidR="00A95E5D" w:rsidRPr="00230BD2">
        <w:rPr>
          <w:rFonts w:cs="Times New Roman"/>
          <w:szCs w:val="24"/>
        </w:rPr>
        <w:t>immediate</w:t>
      </w:r>
      <w:r w:rsidRPr="00230BD2">
        <w:rPr>
          <w:rFonts w:cs="Times New Roman"/>
          <w:szCs w:val="24"/>
        </w:rPr>
        <w:t xml:space="preserve"> reduction in benefit outlays</w:t>
      </w:r>
      <w:r w:rsidR="00AE61E5">
        <w:rPr>
          <w:rFonts w:cs="Times New Roman"/>
          <w:szCs w:val="24"/>
        </w:rPr>
        <w:t>, then it would be appropriate for her to consider reductions</w:t>
      </w:r>
      <w:r w:rsidRPr="00230BD2">
        <w:rPr>
          <w:rFonts w:cs="Times New Roman"/>
          <w:szCs w:val="24"/>
        </w:rPr>
        <w:t xml:space="preserve"> in four key, high cost categories of the Prostheses List</w:t>
      </w:r>
      <w:r w:rsidR="00AE61E5">
        <w:rPr>
          <w:rFonts w:cs="Times New Roman"/>
          <w:szCs w:val="24"/>
        </w:rPr>
        <w:t xml:space="preserve">: cardiac, </w:t>
      </w:r>
      <w:r w:rsidR="006B6646">
        <w:rPr>
          <w:rFonts w:cs="Times New Roman"/>
          <w:szCs w:val="24"/>
        </w:rPr>
        <w:t>IOLS</w:t>
      </w:r>
      <w:r w:rsidR="00AE61E5">
        <w:rPr>
          <w:rFonts w:cs="Times New Roman"/>
          <w:szCs w:val="24"/>
        </w:rPr>
        <w:t>, hips and knees</w:t>
      </w:r>
      <w:r w:rsidRPr="00230BD2">
        <w:rPr>
          <w:rFonts w:cs="Times New Roman"/>
          <w:szCs w:val="24"/>
        </w:rPr>
        <w:t>. These categories are considered appropriate for initial consideration for benefit reduction because they have large volumes and benefits paid, with relatively high levels of competition among prostheses sponsors.</w:t>
      </w:r>
      <w:r w:rsidR="00AE61E5">
        <w:rPr>
          <w:rFonts w:cs="Times New Roman"/>
          <w:szCs w:val="24"/>
        </w:rPr>
        <w:t xml:space="preserve"> The IWG considers that an across-the-board reduction in prostheses benefits would be inappropriate</w:t>
      </w:r>
      <w:r w:rsidR="00D61948">
        <w:rPr>
          <w:rFonts w:cs="Times New Roman"/>
          <w:szCs w:val="24"/>
        </w:rPr>
        <w:t>.  This is</w:t>
      </w:r>
      <w:r w:rsidR="00AE61E5">
        <w:rPr>
          <w:rFonts w:cs="Times New Roman"/>
          <w:szCs w:val="24"/>
        </w:rPr>
        <w:t xml:space="preserve"> because existing price-benefit differentials are not uniform across all products</w:t>
      </w:r>
      <w:r w:rsidR="00D61948">
        <w:rPr>
          <w:rFonts w:cs="Times New Roman"/>
          <w:szCs w:val="24"/>
        </w:rPr>
        <w:t xml:space="preserve"> and do not take into account clinically relevant differences in additional service provision</w:t>
      </w:r>
      <w:r w:rsidR="00AE61E5">
        <w:rPr>
          <w:rFonts w:cs="Times New Roman"/>
          <w:szCs w:val="24"/>
        </w:rPr>
        <w:t>.</w:t>
      </w:r>
    </w:p>
    <w:p w:rsidR="00CC6DDE" w:rsidRPr="00230BD2" w:rsidRDefault="00CC6DDE" w:rsidP="00230BD2">
      <w:pPr>
        <w:widowControl w:val="0"/>
        <w:spacing w:before="60" w:after="60"/>
        <w:rPr>
          <w:rFonts w:cs="Times New Roman"/>
          <w:szCs w:val="24"/>
        </w:rPr>
      </w:pPr>
    </w:p>
    <w:p w:rsidR="00A65BBA" w:rsidRDefault="00ED226A" w:rsidP="00230BD2">
      <w:pPr>
        <w:widowControl w:val="0"/>
        <w:spacing w:before="60" w:after="60"/>
        <w:rPr>
          <w:rFonts w:cs="Times New Roman"/>
          <w:szCs w:val="24"/>
        </w:rPr>
      </w:pPr>
      <w:r>
        <w:rPr>
          <w:rFonts w:cs="Times New Roman"/>
          <w:szCs w:val="24"/>
        </w:rPr>
        <w:t>In the longer term, price d</w:t>
      </w:r>
      <w:r w:rsidR="00A65BBA" w:rsidRPr="00230BD2">
        <w:rPr>
          <w:rFonts w:cs="Times New Roman"/>
          <w:szCs w:val="24"/>
        </w:rPr>
        <w:t xml:space="preserve">isclosure would ensure that lower prostheses </w:t>
      </w:r>
      <w:r w:rsidR="00AE61E5">
        <w:rPr>
          <w:rFonts w:cs="Times New Roman"/>
          <w:szCs w:val="24"/>
        </w:rPr>
        <w:t>prices</w:t>
      </w:r>
      <w:r w:rsidR="00AE61E5" w:rsidRPr="00230BD2">
        <w:rPr>
          <w:rFonts w:cs="Times New Roman"/>
          <w:szCs w:val="24"/>
        </w:rPr>
        <w:t xml:space="preserve"> </w:t>
      </w:r>
      <w:r w:rsidR="00A65BBA" w:rsidRPr="00230BD2">
        <w:rPr>
          <w:rFonts w:cs="Times New Roman"/>
          <w:szCs w:val="24"/>
        </w:rPr>
        <w:t xml:space="preserve">achieved through competition are reflected in private health insurance benefits, with the potential for premiums to be lower than they would otherwise be. Under price disclosure, sponsors would </w:t>
      </w:r>
      <w:r w:rsidR="00A65BBA" w:rsidRPr="00230BD2">
        <w:rPr>
          <w:rFonts w:cs="Times New Roman"/>
          <w:szCs w:val="24"/>
        </w:rPr>
        <w:lastRenderedPageBreak/>
        <w:t xml:space="preserve">be required to provide the Department with information relating to their selling price, the cost of sales incentives and volume sold in both the private and public sectors. Price disclosure has been successful in achieving price reductions for the Pharmaceutical Benefits Scheme. </w:t>
      </w:r>
      <w:r w:rsidR="00AE61E5">
        <w:rPr>
          <w:rFonts w:cs="Times New Roman"/>
          <w:szCs w:val="24"/>
        </w:rPr>
        <w:t xml:space="preserve"> The IWG agreed that a price disclosure scheme for prostheses would have some merit, and would be preferable to uniform across-the-board reductions in benefits.</w:t>
      </w:r>
      <w:r w:rsidR="00D61948">
        <w:rPr>
          <w:rFonts w:cs="Times New Roman"/>
          <w:szCs w:val="24"/>
        </w:rPr>
        <w:t xml:space="preserve">  Differences between the prostheses and pharmaceutical system would need to be considered in developing such a price disclosure program.</w:t>
      </w:r>
    </w:p>
    <w:p w:rsidR="00CC6DDE" w:rsidRPr="00230BD2" w:rsidRDefault="00CC6DDE" w:rsidP="00230BD2">
      <w:pPr>
        <w:widowControl w:val="0"/>
        <w:spacing w:before="60" w:after="60"/>
        <w:rPr>
          <w:rFonts w:cs="Times New Roman"/>
          <w:szCs w:val="24"/>
        </w:rPr>
      </w:pPr>
    </w:p>
    <w:p w:rsidR="00A65BBA" w:rsidRDefault="001E2A4A" w:rsidP="00230BD2">
      <w:pPr>
        <w:widowControl w:val="0"/>
        <w:spacing w:before="60" w:after="60"/>
        <w:rPr>
          <w:rFonts w:cs="Times New Roman"/>
          <w:szCs w:val="24"/>
        </w:rPr>
      </w:pPr>
      <w:r>
        <w:rPr>
          <w:rFonts w:cs="Times New Roman"/>
          <w:szCs w:val="24"/>
        </w:rPr>
        <w:t xml:space="preserve">The IWG discussed whether a rationalisation of the list would be an option. </w:t>
      </w:r>
      <w:r w:rsidR="00A65BBA" w:rsidRPr="00230BD2">
        <w:rPr>
          <w:rFonts w:cs="Times New Roman"/>
          <w:szCs w:val="24"/>
        </w:rPr>
        <w:t>The</w:t>
      </w:r>
      <w:r w:rsidR="00AE61E5">
        <w:rPr>
          <w:rFonts w:cs="Times New Roman"/>
          <w:szCs w:val="24"/>
        </w:rPr>
        <w:t xml:space="preserve"> IWG </w:t>
      </w:r>
      <w:r w:rsidR="00323C7C">
        <w:rPr>
          <w:rFonts w:cs="Times New Roman"/>
          <w:szCs w:val="24"/>
        </w:rPr>
        <w:t xml:space="preserve">also </w:t>
      </w:r>
      <w:r w:rsidR="00AE61E5">
        <w:rPr>
          <w:rFonts w:cs="Times New Roman"/>
          <w:szCs w:val="24"/>
        </w:rPr>
        <w:t>discussed whether the</w:t>
      </w:r>
      <w:r w:rsidR="00A65BBA" w:rsidRPr="00230BD2">
        <w:rPr>
          <w:rFonts w:cs="Times New Roman"/>
          <w:szCs w:val="24"/>
        </w:rPr>
        <w:t xml:space="preserve"> inclusion of low</w:t>
      </w:r>
      <w:r w:rsidR="00957B1F">
        <w:rPr>
          <w:rFonts w:cs="Times New Roman"/>
          <w:szCs w:val="24"/>
        </w:rPr>
        <w:t>-</w:t>
      </w:r>
      <w:r w:rsidR="00A65BBA" w:rsidRPr="00230BD2">
        <w:rPr>
          <w:rFonts w:cs="Times New Roman"/>
          <w:szCs w:val="24"/>
        </w:rPr>
        <w:t>priced items on the Prostheses List creates an undue regulatory burden for sponsors and others in the supply chain</w:t>
      </w:r>
      <w:r w:rsidR="004E7B05">
        <w:rPr>
          <w:rFonts w:cs="Times New Roman"/>
          <w:szCs w:val="24"/>
        </w:rPr>
        <w:t xml:space="preserve">.  Most members of the IWG expressed the view that the inclusion of low priced items on the prostheses list did not </w:t>
      </w:r>
      <w:r w:rsidR="002F4524">
        <w:rPr>
          <w:rFonts w:cs="Times New Roman"/>
          <w:szCs w:val="24"/>
        </w:rPr>
        <w:t>re</w:t>
      </w:r>
      <w:r w:rsidR="004E7B05">
        <w:rPr>
          <w:rFonts w:cs="Times New Roman"/>
          <w:szCs w:val="24"/>
        </w:rPr>
        <w:t xml:space="preserve">present a </w:t>
      </w:r>
      <w:r w:rsidR="00276B83">
        <w:rPr>
          <w:rFonts w:cs="Times New Roman"/>
          <w:szCs w:val="24"/>
        </w:rPr>
        <w:t>regulatory</w:t>
      </w:r>
      <w:r w:rsidR="004E7B05">
        <w:rPr>
          <w:rFonts w:cs="Times New Roman"/>
          <w:szCs w:val="24"/>
        </w:rPr>
        <w:t xml:space="preserve"> burden</w:t>
      </w:r>
      <w:r w:rsidR="00A65BBA" w:rsidRPr="00230BD2">
        <w:rPr>
          <w:rFonts w:cs="Times New Roman"/>
          <w:szCs w:val="24"/>
        </w:rPr>
        <w:t>.</w:t>
      </w:r>
      <w:r w:rsidR="002F4524">
        <w:rPr>
          <w:rFonts w:cs="Times New Roman"/>
          <w:szCs w:val="24"/>
        </w:rPr>
        <w:t xml:space="preserve">  </w:t>
      </w:r>
      <w:r w:rsidR="00957B1F">
        <w:rPr>
          <w:rFonts w:cs="Times New Roman"/>
          <w:szCs w:val="24"/>
        </w:rPr>
        <w:t>The IWG was not able to reach agreement on the delisting of low-priced items.</w:t>
      </w:r>
    </w:p>
    <w:p w:rsidR="00CC6DDE" w:rsidRPr="00230BD2" w:rsidRDefault="00CC6DDE" w:rsidP="00230BD2">
      <w:pPr>
        <w:widowControl w:val="0"/>
        <w:spacing w:before="60" w:after="60"/>
        <w:rPr>
          <w:rFonts w:cs="Times New Roman"/>
          <w:szCs w:val="24"/>
        </w:rPr>
      </w:pPr>
    </w:p>
    <w:p w:rsidR="002F4524" w:rsidRDefault="006443AD" w:rsidP="00230BD2">
      <w:pPr>
        <w:widowControl w:val="0"/>
        <w:spacing w:before="60" w:after="60"/>
        <w:rPr>
          <w:rFonts w:cs="Times New Roman"/>
          <w:szCs w:val="24"/>
        </w:rPr>
      </w:pPr>
      <w:r>
        <w:rPr>
          <w:rFonts w:cs="Times New Roman"/>
          <w:szCs w:val="24"/>
        </w:rPr>
        <w:t>The IWG noted that the role of PLAC is to provide advice to the Minister on listing o</w:t>
      </w:r>
      <w:r w:rsidR="00323C7C">
        <w:rPr>
          <w:rFonts w:cs="Times New Roman"/>
          <w:szCs w:val="24"/>
        </w:rPr>
        <w:t>f</w:t>
      </w:r>
      <w:r>
        <w:rPr>
          <w:rFonts w:cs="Times New Roman"/>
          <w:szCs w:val="24"/>
        </w:rPr>
        <w:t xml:space="preserve"> items based on their comparative safety and efficacy and cost-effectiveness, and agreed that this function should continue. </w:t>
      </w:r>
    </w:p>
    <w:p w:rsidR="00CC6DDE" w:rsidRDefault="00CC6DDE" w:rsidP="00230BD2">
      <w:pPr>
        <w:widowControl w:val="0"/>
        <w:spacing w:before="60" w:after="60"/>
        <w:rPr>
          <w:rFonts w:cs="Times New Roman"/>
          <w:szCs w:val="24"/>
        </w:rPr>
      </w:pPr>
    </w:p>
    <w:p w:rsidR="006443AD" w:rsidRDefault="006443AD" w:rsidP="00230BD2">
      <w:pPr>
        <w:widowControl w:val="0"/>
        <w:spacing w:before="60" w:after="60"/>
        <w:rPr>
          <w:rFonts w:cs="Times New Roman"/>
          <w:szCs w:val="24"/>
        </w:rPr>
      </w:pPr>
      <w:r>
        <w:rPr>
          <w:rFonts w:cs="Times New Roman"/>
          <w:szCs w:val="24"/>
        </w:rPr>
        <w:t>The IWG agreed that PLAC functions should be expanded to include a routine process of post-marketing monitoring and reviews.</w:t>
      </w:r>
      <w:r w:rsidR="002F4524">
        <w:rPr>
          <w:rFonts w:cs="Times New Roman"/>
          <w:szCs w:val="24"/>
        </w:rPr>
        <w:t xml:space="preserve">  The IWG agreed that where this occurs it must be appropriately funded.</w:t>
      </w:r>
      <w:r>
        <w:rPr>
          <w:rFonts w:cs="Times New Roman"/>
          <w:szCs w:val="24"/>
        </w:rPr>
        <w:t xml:space="preserve"> The IWG noted that post-market reviews may lead to recommendations for the de-listing of items from the PL, and that where that occurs, any concerns regarding safety and efficacy should be referred to the TGA for consideration and further action as appropriate. The IWG noted</w:t>
      </w:r>
      <w:r w:rsidR="00D0480F">
        <w:rPr>
          <w:rFonts w:cs="Times New Roman"/>
          <w:szCs w:val="24"/>
        </w:rPr>
        <w:t xml:space="preserve"> some stakeholders held</w:t>
      </w:r>
      <w:r>
        <w:rPr>
          <w:rFonts w:cs="Times New Roman"/>
          <w:szCs w:val="24"/>
        </w:rPr>
        <w:t xml:space="preserve"> long-standing concerns regarding </w:t>
      </w:r>
      <w:r w:rsidR="00D0480F">
        <w:rPr>
          <w:rFonts w:cs="Times New Roman"/>
          <w:szCs w:val="24"/>
        </w:rPr>
        <w:t>the</w:t>
      </w:r>
      <w:r w:rsidR="002F4524">
        <w:rPr>
          <w:rFonts w:cs="Times New Roman"/>
          <w:szCs w:val="24"/>
        </w:rPr>
        <w:t xml:space="preserve"> lack of interaction and feedback between the TGA and PLAC</w:t>
      </w:r>
      <w:r w:rsidR="00D0480F">
        <w:rPr>
          <w:rFonts w:cs="Times New Roman"/>
          <w:szCs w:val="24"/>
        </w:rPr>
        <w:t xml:space="preserve">; however, it was agreed that these were issues for the Review of Medicines and Medical Devices, and were not issues which could be addressed by this </w:t>
      </w:r>
      <w:r w:rsidR="00D0480F" w:rsidRPr="00592741">
        <w:rPr>
          <w:rFonts w:cs="Times New Roman"/>
          <w:szCs w:val="24"/>
        </w:rPr>
        <w:t>group.</w:t>
      </w:r>
    </w:p>
    <w:p w:rsidR="00CC6DDE" w:rsidRPr="00230BD2" w:rsidRDefault="00CC6DDE" w:rsidP="00230BD2">
      <w:pPr>
        <w:widowControl w:val="0"/>
        <w:spacing w:before="60" w:after="60"/>
        <w:rPr>
          <w:rFonts w:cs="Times New Roman"/>
          <w:szCs w:val="24"/>
        </w:rPr>
      </w:pPr>
    </w:p>
    <w:p w:rsidR="00A65BBA" w:rsidRDefault="00957B1F" w:rsidP="00230BD2">
      <w:pPr>
        <w:widowControl w:val="0"/>
        <w:spacing w:before="60" w:after="60"/>
        <w:rPr>
          <w:rFonts w:cs="Times New Roman"/>
          <w:szCs w:val="24"/>
        </w:rPr>
      </w:pPr>
      <w:r>
        <w:rPr>
          <w:rFonts w:cs="Times New Roman"/>
          <w:szCs w:val="24"/>
        </w:rPr>
        <w:t>The current regulation of the</w:t>
      </w:r>
      <w:r w:rsidR="00A65BBA" w:rsidRPr="00230BD2">
        <w:rPr>
          <w:rFonts w:cs="Times New Roman"/>
          <w:szCs w:val="24"/>
        </w:rPr>
        <w:t xml:space="preserve"> </w:t>
      </w:r>
      <w:r w:rsidR="006B6646">
        <w:rPr>
          <w:rFonts w:cs="Times New Roman"/>
          <w:szCs w:val="24"/>
        </w:rPr>
        <w:t>PL</w:t>
      </w:r>
      <w:r w:rsidR="00A65BBA" w:rsidRPr="00230BD2">
        <w:rPr>
          <w:rFonts w:cs="Times New Roman"/>
          <w:szCs w:val="24"/>
        </w:rPr>
        <w:t xml:space="preserve"> is a challenge for funding novel medical devices</w:t>
      </w:r>
      <w:r w:rsidR="00FE40C6">
        <w:rPr>
          <w:rFonts w:cs="Times New Roman"/>
          <w:szCs w:val="24"/>
        </w:rPr>
        <w:t>, including non-implantable</w:t>
      </w:r>
      <w:r w:rsidR="00592741">
        <w:rPr>
          <w:rFonts w:cs="Times New Roman"/>
          <w:szCs w:val="24"/>
        </w:rPr>
        <w:t xml:space="preserve"> devices</w:t>
      </w:r>
      <w:r w:rsidR="00A65BBA" w:rsidRPr="00230BD2">
        <w:rPr>
          <w:rFonts w:cs="Times New Roman"/>
          <w:szCs w:val="24"/>
        </w:rPr>
        <w:t>, which do not fit the rigid definition of prostheses for the purpose of the List. This is expected to become more of an issue in the future with the rapid development of novel medical technology</w:t>
      </w:r>
      <w:r>
        <w:rPr>
          <w:rFonts w:cs="Times New Roman"/>
          <w:szCs w:val="24"/>
        </w:rPr>
        <w:t>, including through 3D printing of individualised prostheses</w:t>
      </w:r>
      <w:r w:rsidR="00A65BBA" w:rsidRPr="00230BD2">
        <w:rPr>
          <w:rFonts w:cs="Times New Roman"/>
          <w:szCs w:val="24"/>
        </w:rPr>
        <w:t>.</w:t>
      </w:r>
      <w:r>
        <w:rPr>
          <w:rFonts w:cs="Times New Roman"/>
          <w:szCs w:val="24"/>
        </w:rPr>
        <w:t xml:space="preserve"> The IWG agreed that the definition of prostheses for the purpose of the PL should be reviewed.</w:t>
      </w:r>
      <w:r w:rsidR="00FE40C6">
        <w:rPr>
          <w:rFonts w:cs="Times New Roman"/>
          <w:szCs w:val="24"/>
        </w:rPr>
        <w:t xml:space="preserve">  However, the private health fund representatives were strongly of the view point that such a consideration must only occur in the context of a revision of the benefit setting, as set out earlier in this report.</w:t>
      </w:r>
    </w:p>
    <w:p w:rsidR="00CC6DDE" w:rsidRPr="00230BD2" w:rsidRDefault="00CC6DDE" w:rsidP="00230BD2">
      <w:pPr>
        <w:widowControl w:val="0"/>
        <w:spacing w:before="60" w:after="60"/>
        <w:rPr>
          <w:rFonts w:cs="Times New Roman"/>
          <w:szCs w:val="24"/>
        </w:rPr>
      </w:pPr>
    </w:p>
    <w:p w:rsidR="00A65BBA" w:rsidRDefault="00A65BBA" w:rsidP="00230BD2">
      <w:pPr>
        <w:widowControl w:val="0"/>
        <w:spacing w:before="60" w:after="60"/>
        <w:rPr>
          <w:rFonts w:cs="Times New Roman"/>
          <w:szCs w:val="24"/>
        </w:rPr>
      </w:pPr>
      <w:r w:rsidRPr="00230BD2">
        <w:rPr>
          <w:rFonts w:cs="Times New Roman"/>
          <w:szCs w:val="24"/>
        </w:rPr>
        <w:t xml:space="preserve">The IWG considered at length the </w:t>
      </w:r>
      <w:r w:rsidR="0087626B">
        <w:rPr>
          <w:rFonts w:cs="Times New Roman"/>
          <w:szCs w:val="24"/>
        </w:rPr>
        <w:t>issues</w:t>
      </w:r>
      <w:r w:rsidR="0087626B" w:rsidRPr="00230BD2">
        <w:rPr>
          <w:rFonts w:cs="Times New Roman"/>
          <w:szCs w:val="24"/>
        </w:rPr>
        <w:t xml:space="preserve"> </w:t>
      </w:r>
      <w:r w:rsidRPr="00230BD2">
        <w:rPr>
          <w:rFonts w:cs="Times New Roman"/>
          <w:szCs w:val="24"/>
        </w:rPr>
        <w:t xml:space="preserve">involved in </w:t>
      </w:r>
      <w:r w:rsidR="0087626B">
        <w:rPr>
          <w:rFonts w:cs="Times New Roman"/>
          <w:szCs w:val="24"/>
        </w:rPr>
        <w:t>reducing prostheses benefits</w:t>
      </w:r>
      <w:r w:rsidR="004F3085">
        <w:rPr>
          <w:rFonts w:cs="Times New Roman"/>
          <w:szCs w:val="24"/>
        </w:rPr>
        <w:t xml:space="preserve"> and recommends that</w:t>
      </w:r>
      <w:r w:rsidR="009E5510">
        <w:rPr>
          <w:rFonts w:cs="Times New Roman"/>
          <w:szCs w:val="24"/>
        </w:rPr>
        <w:t xml:space="preserve"> any potential policy changes are considered in the context of the following issues.</w:t>
      </w:r>
      <w:r w:rsidRPr="00230BD2">
        <w:rPr>
          <w:rFonts w:cs="Times New Roman"/>
          <w:szCs w:val="24"/>
        </w:rPr>
        <w:t xml:space="preserve"> </w:t>
      </w:r>
      <w:r w:rsidR="0026764C">
        <w:rPr>
          <w:rFonts w:cs="Times New Roman"/>
          <w:szCs w:val="24"/>
        </w:rPr>
        <w:t xml:space="preserve">The </w:t>
      </w:r>
      <w:r w:rsidR="004F3085">
        <w:rPr>
          <w:rFonts w:cs="Times New Roman"/>
          <w:szCs w:val="24"/>
        </w:rPr>
        <w:t xml:space="preserve">IWG </w:t>
      </w:r>
      <w:r w:rsidR="0026764C">
        <w:rPr>
          <w:rFonts w:cs="Times New Roman"/>
          <w:szCs w:val="24"/>
        </w:rPr>
        <w:t>was concerned to ensure that</w:t>
      </w:r>
      <w:r w:rsidRPr="00230BD2">
        <w:rPr>
          <w:rFonts w:cs="Times New Roman"/>
          <w:szCs w:val="24"/>
        </w:rPr>
        <w:t xml:space="preserve"> the potential differential impact of </w:t>
      </w:r>
      <w:r w:rsidR="0026764C">
        <w:rPr>
          <w:rFonts w:cs="Times New Roman"/>
          <w:szCs w:val="24"/>
        </w:rPr>
        <w:t>benefit reductions</w:t>
      </w:r>
      <w:r w:rsidR="0026764C" w:rsidRPr="00230BD2">
        <w:rPr>
          <w:rFonts w:cs="Times New Roman"/>
          <w:szCs w:val="24"/>
        </w:rPr>
        <w:t xml:space="preserve"> </w:t>
      </w:r>
      <w:r w:rsidRPr="00230BD2">
        <w:rPr>
          <w:rFonts w:cs="Times New Roman"/>
          <w:szCs w:val="24"/>
        </w:rPr>
        <w:t>on smaller companies</w:t>
      </w:r>
      <w:r w:rsidR="0026764C">
        <w:rPr>
          <w:rFonts w:cs="Times New Roman"/>
          <w:szCs w:val="24"/>
        </w:rPr>
        <w:t xml:space="preserve"> is considered before any reductions are applied. In addition,</w:t>
      </w:r>
      <w:r w:rsidRPr="00230BD2">
        <w:rPr>
          <w:rFonts w:cs="Times New Roman"/>
          <w:szCs w:val="24"/>
        </w:rPr>
        <w:t xml:space="preserve"> </w:t>
      </w:r>
      <w:r w:rsidR="0026764C">
        <w:rPr>
          <w:rFonts w:cs="Times New Roman"/>
          <w:szCs w:val="24"/>
        </w:rPr>
        <w:lastRenderedPageBreak/>
        <w:t xml:space="preserve">the IWG noted the value of </w:t>
      </w:r>
      <w:r w:rsidRPr="00230BD2">
        <w:rPr>
          <w:rFonts w:cs="Times New Roman"/>
          <w:szCs w:val="24"/>
        </w:rPr>
        <w:t>patient/surgeon choice of prostheses</w:t>
      </w:r>
      <w:r w:rsidR="0026764C">
        <w:rPr>
          <w:rFonts w:cs="Times New Roman"/>
          <w:szCs w:val="24"/>
        </w:rPr>
        <w:t>, and the risk that this could</w:t>
      </w:r>
      <w:r w:rsidRPr="00230BD2">
        <w:rPr>
          <w:rFonts w:cs="Times New Roman"/>
          <w:szCs w:val="24"/>
        </w:rPr>
        <w:t xml:space="preserve"> be reduced</w:t>
      </w:r>
      <w:r w:rsidR="0026764C">
        <w:rPr>
          <w:rFonts w:cs="Times New Roman"/>
          <w:szCs w:val="24"/>
        </w:rPr>
        <w:t xml:space="preserve"> if</w:t>
      </w:r>
      <w:r w:rsidR="004F3085">
        <w:rPr>
          <w:rFonts w:cs="Times New Roman"/>
          <w:szCs w:val="24"/>
        </w:rPr>
        <w:t xml:space="preserve"> products are withdrawn by sponsors</w:t>
      </w:r>
      <w:r w:rsidR="00375854">
        <w:rPr>
          <w:rFonts w:cs="Times New Roman"/>
          <w:szCs w:val="24"/>
        </w:rPr>
        <w:t xml:space="preserve"> from the </w:t>
      </w:r>
      <w:r w:rsidR="006B6646">
        <w:rPr>
          <w:rFonts w:cs="Times New Roman"/>
          <w:szCs w:val="24"/>
        </w:rPr>
        <w:t>PL</w:t>
      </w:r>
      <w:r w:rsidR="00375854">
        <w:rPr>
          <w:rFonts w:cs="Times New Roman"/>
          <w:szCs w:val="24"/>
        </w:rPr>
        <w:t xml:space="preserve"> as a result of the</w:t>
      </w:r>
      <w:r w:rsidR="0026764C">
        <w:rPr>
          <w:rFonts w:cs="Times New Roman"/>
          <w:szCs w:val="24"/>
        </w:rPr>
        <w:t xml:space="preserve"> benefit reductions</w:t>
      </w:r>
      <w:r w:rsidR="004F3085">
        <w:rPr>
          <w:rFonts w:cs="Times New Roman"/>
          <w:szCs w:val="24"/>
        </w:rPr>
        <w:t xml:space="preserve">. </w:t>
      </w:r>
      <w:r w:rsidR="008F4F4E">
        <w:rPr>
          <w:rFonts w:cs="Times New Roman"/>
          <w:szCs w:val="24"/>
        </w:rPr>
        <w:t xml:space="preserve">The IWG discussed the need to provide pricing/benefit information to </w:t>
      </w:r>
      <w:r w:rsidR="006E1B0E">
        <w:rPr>
          <w:rFonts w:cs="Times New Roman"/>
          <w:szCs w:val="24"/>
        </w:rPr>
        <w:t xml:space="preserve">stakeholders </w:t>
      </w:r>
      <w:r w:rsidR="008F4F4E">
        <w:rPr>
          <w:rFonts w:cs="Times New Roman"/>
          <w:szCs w:val="24"/>
        </w:rPr>
        <w:t>to inform their choices.</w:t>
      </w:r>
      <w:r w:rsidR="0026764C">
        <w:rPr>
          <w:rFonts w:cs="Times New Roman"/>
          <w:szCs w:val="24"/>
        </w:rPr>
        <w:t xml:space="preserve"> The </w:t>
      </w:r>
      <w:r w:rsidR="004F3085">
        <w:rPr>
          <w:rFonts w:cs="Times New Roman"/>
          <w:szCs w:val="24"/>
        </w:rPr>
        <w:t xml:space="preserve">IWG </w:t>
      </w:r>
      <w:r w:rsidR="0026764C">
        <w:rPr>
          <w:rFonts w:cs="Times New Roman"/>
          <w:szCs w:val="24"/>
        </w:rPr>
        <w:t>also noted the risk that</w:t>
      </w:r>
      <w:r w:rsidRPr="00230BD2">
        <w:rPr>
          <w:rFonts w:cs="Times New Roman"/>
          <w:szCs w:val="24"/>
        </w:rPr>
        <w:t xml:space="preserve"> out-of-pocket costs</w:t>
      </w:r>
      <w:r w:rsidR="0026764C">
        <w:rPr>
          <w:rFonts w:cs="Times New Roman"/>
          <w:szCs w:val="24"/>
        </w:rPr>
        <w:t xml:space="preserve"> may</w:t>
      </w:r>
      <w:r w:rsidRPr="00230BD2">
        <w:rPr>
          <w:rFonts w:cs="Times New Roman"/>
          <w:szCs w:val="24"/>
        </w:rPr>
        <w:t xml:space="preserve"> increase</w:t>
      </w:r>
      <w:r w:rsidR="0026764C">
        <w:rPr>
          <w:rFonts w:cs="Times New Roman"/>
          <w:szCs w:val="24"/>
        </w:rPr>
        <w:t>, and noted that in the PBS a number of items carry a</w:t>
      </w:r>
      <w:r w:rsidR="00230396">
        <w:rPr>
          <w:rFonts w:cs="Times New Roman"/>
          <w:szCs w:val="24"/>
        </w:rPr>
        <w:t xml:space="preserve"> comparatively small</w:t>
      </w:r>
      <w:r w:rsidR="0026764C">
        <w:rPr>
          <w:rFonts w:cs="Times New Roman"/>
          <w:szCs w:val="24"/>
        </w:rPr>
        <w:t xml:space="preserve"> “brand premium” which patients are required to pay.</w:t>
      </w:r>
      <w:r w:rsidR="006452A5">
        <w:rPr>
          <w:rFonts w:cs="Times New Roman"/>
          <w:szCs w:val="24"/>
        </w:rPr>
        <w:t xml:space="preserve">  It is likely that if there</w:t>
      </w:r>
      <w:r w:rsidR="008A3FBA">
        <w:rPr>
          <w:rFonts w:cs="Times New Roman"/>
          <w:szCs w:val="24"/>
        </w:rPr>
        <w:t xml:space="preserve"> is to be a prostheses “brand premium”</w:t>
      </w:r>
      <w:r w:rsidR="006B6646">
        <w:rPr>
          <w:rFonts w:cs="Times New Roman"/>
          <w:szCs w:val="24"/>
        </w:rPr>
        <w:t>,</w:t>
      </w:r>
      <w:r w:rsidR="008A3FBA">
        <w:rPr>
          <w:rFonts w:cs="Times New Roman"/>
          <w:szCs w:val="24"/>
        </w:rPr>
        <w:t xml:space="preserve"> that premium is </w:t>
      </w:r>
      <w:r w:rsidR="006452A5">
        <w:rPr>
          <w:rFonts w:cs="Times New Roman"/>
          <w:szCs w:val="24"/>
        </w:rPr>
        <w:t>likely to be substantially higher than the PBS “brand premium”.</w:t>
      </w:r>
      <w:r w:rsidR="0026764C">
        <w:rPr>
          <w:rFonts w:cs="Times New Roman"/>
          <w:szCs w:val="24"/>
        </w:rPr>
        <w:t xml:space="preserve"> The IWG noted that PL benefit reductions could</w:t>
      </w:r>
      <w:r w:rsidRPr="00230BD2">
        <w:rPr>
          <w:rFonts w:cs="Times New Roman"/>
          <w:szCs w:val="24"/>
        </w:rPr>
        <w:t xml:space="preserve"> impact</w:t>
      </w:r>
      <w:r w:rsidR="0026764C">
        <w:rPr>
          <w:rFonts w:cs="Times New Roman"/>
          <w:szCs w:val="24"/>
        </w:rPr>
        <w:t xml:space="preserve"> on</w:t>
      </w:r>
      <w:r w:rsidRPr="00230BD2">
        <w:rPr>
          <w:rFonts w:cs="Times New Roman"/>
          <w:szCs w:val="24"/>
        </w:rPr>
        <w:t xml:space="preserve"> public sector prostheses purchasing</w:t>
      </w:r>
      <w:r w:rsidR="0026764C">
        <w:rPr>
          <w:rFonts w:cs="Times New Roman"/>
          <w:szCs w:val="24"/>
        </w:rPr>
        <w:t>, although it was not possible to predict what that impact would be. Finally,</w:t>
      </w:r>
      <w:r w:rsidR="000D5528">
        <w:rPr>
          <w:rFonts w:cs="Times New Roman"/>
          <w:szCs w:val="24"/>
        </w:rPr>
        <w:t xml:space="preserve"> the </w:t>
      </w:r>
      <w:r w:rsidR="004F3085">
        <w:rPr>
          <w:rFonts w:cs="Times New Roman"/>
          <w:szCs w:val="24"/>
        </w:rPr>
        <w:t xml:space="preserve">IWG </w:t>
      </w:r>
      <w:r w:rsidR="000D5528">
        <w:rPr>
          <w:rFonts w:cs="Times New Roman"/>
          <w:szCs w:val="24"/>
        </w:rPr>
        <w:t>agreed that there is a risk that benefit reductions could lead to</w:t>
      </w:r>
      <w:r w:rsidRPr="00230BD2">
        <w:rPr>
          <w:rFonts w:cs="Times New Roman"/>
          <w:szCs w:val="24"/>
        </w:rPr>
        <w:t xml:space="preserve"> a reduction in access to new technology if sponsor margins are materially affected. It was agreed that any reform process must take account of the ability of all stakeholders to adjust to pricing and governance changes. </w:t>
      </w:r>
    </w:p>
    <w:p w:rsidR="00CC6DDE" w:rsidRPr="00230BD2" w:rsidRDefault="00CC6DDE" w:rsidP="00230BD2">
      <w:pPr>
        <w:widowControl w:val="0"/>
        <w:spacing w:before="60" w:after="60"/>
        <w:rPr>
          <w:rFonts w:cs="Times New Roman"/>
          <w:szCs w:val="24"/>
        </w:rPr>
      </w:pPr>
    </w:p>
    <w:p w:rsidR="00A65BBA" w:rsidRPr="00230BD2" w:rsidRDefault="00A65BBA" w:rsidP="00230BD2">
      <w:pPr>
        <w:widowControl w:val="0"/>
        <w:spacing w:before="60" w:after="60"/>
        <w:rPr>
          <w:rFonts w:cs="Times New Roman"/>
          <w:szCs w:val="24"/>
        </w:rPr>
      </w:pPr>
      <w:r w:rsidRPr="00230BD2">
        <w:rPr>
          <w:rFonts w:cs="Times New Roman"/>
          <w:szCs w:val="24"/>
        </w:rPr>
        <w:t xml:space="preserve">Should Government decide to progress the reforms to prostheses arrangements outlined in this report, </w:t>
      </w:r>
      <w:r w:rsidR="00D75501">
        <w:rPr>
          <w:rFonts w:cs="Times New Roman"/>
          <w:szCs w:val="24"/>
        </w:rPr>
        <w:t>it is</w:t>
      </w:r>
      <w:r w:rsidRPr="00230BD2">
        <w:rPr>
          <w:rFonts w:cs="Times New Roman"/>
          <w:szCs w:val="24"/>
        </w:rPr>
        <w:t xml:space="preserve"> </w:t>
      </w:r>
      <w:r w:rsidR="000D5528">
        <w:rPr>
          <w:rFonts w:cs="Times New Roman"/>
          <w:szCs w:val="24"/>
        </w:rPr>
        <w:t>recommend</w:t>
      </w:r>
      <w:r w:rsidR="000D5528" w:rsidRPr="00230BD2">
        <w:rPr>
          <w:rFonts w:cs="Times New Roman"/>
          <w:szCs w:val="24"/>
        </w:rPr>
        <w:t xml:space="preserve"> </w:t>
      </w:r>
      <w:r w:rsidRPr="00230BD2">
        <w:rPr>
          <w:rFonts w:cs="Times New Roman"/>
          <w:szCs w:val="24"/>
        </w:rPr>
        <w:t>that</w:t>
      </w:r>
      <w:r w:rsidR="000D5528">
        <w:rPr>
          <w:rFonts w:cs="Times New Roman"/>
          <w:szCs w:val="24"/>
        </w:rPr>
        <w:t xml:space="preserve"> Government commit to a review of</w:t>
      </w:r>
      <w:r w:rsidRPr="00230BD2">
        <w:rPr>
          <w:rFonts w:cs="Times New Roman"/>
          <w:szCs w:val="24"/>
        </w:rPr>
        <w:t xml:space="preserve"> the</w:t>
      </w:r>
      <w:r w:rsidR="000D5528">
        <w:rPr>
          <w:rFonts w:cs="Times New Roman"/>
          <w:szCs w:val="24"/>
        </w:rPr>
        <w:t xml:space="preserve"> new</w:t>
      </w:r>
      <w:r w:rsidRPr="00230BD2">
        <w:rPr>
          <w:rFonts w:cs="Times New Roman"/>
          <w:szCs w:val="24"/>
        </w:rPr>
        <w:t xml:space="preserve"> arrangements</w:t>
      </w:r>
      <w:r w:rsidR="000D5528">
        <w:rPr>
          <w:rFonts w:cs="Times New Roman"/>
          <w:szCs w:val="24"/>
        </w:rPr>
        <w:t>. In relation to price disclosure, the longer lead times for implementation would not allow for a review until</w:t>
      </w:r>
      <w:r w:rsidRPr="00230BD2">
        <w:rPr>
          <w:rFonts w:cs="Times New Roman"/>
          <w:szCs w:val="24"/>
        </w:rPr>
        <w:t xml:space="preserve"> 2021-22. </w:t>
      </w:r>
    </w:p>
    <w:p w:rsidR="00A65BBA" w:rsidRPr="00230BD2" w:rsidRDefault="00A65BBA" w:rsidP="00230BD2">
      <w:pPr>
        <w:widowControl w:val="0"/>
        <w:rPr>
          <w:rFonts w:cs="Times New Roman"/>
          <w:szCs w:val="24"/>
          <w:u w:val="single"/>
        </w:rPr>
      </w:pPr>
    </w:p>
    <w:p w:rsidR="00F615E7" w:rsidRPr="00230BD2" w:rsidRDefault="00F615E7" w:rsidP="003111BD">
      <w:pPr>
        <w:pStyle w:val="Heading1"/>
      </w:pPr>
      <w:r w:rsidRPr="00230BD2">
        <w:t>Discussion</w:t>
      </w:r>
    </w:p>
    <w:p w:rsidR="00F615E7" w:rsidRPr="00230BD2" w:rsidRDefault="00F34EA9" w:rsidP="00230BD2">
      <w:pPr>
        <w:widowControl w:val="0"/>
        <w:rPr>
          <w:rFonts w:cs="Times New Roman"/>
          <w:szCs w:val="24"/>
        </w:rPr>
      </w:pPr>
      <w:r w:rsidRPr="00230BD2">
        <w:rPr>
          <w:rFonts w:cs="Times New Roman"/>
          <w:szCs w:val="24"/>
        </w:rPr>
        <w:t>The IWG held four meetings during February and March 2016. Discussion centred around the four key elem</w:t>
      </w:r>
      <w:r w:rsidR="00ED226A">
        <w:rPr>
          <w:rFonts w:cs="Times New Roman"/>
          <w:szCs w:val="24"/>
        </w:rPr>
        <w:t>ents of the Terms of Reference as outlined above.</w:t>
      </w:r>
    </w:p>
    <w:p w:rsidR="00F34EA9" w:rsidRPr="00230BD2" w:rsidRDefault="00F34EA9" w:rsidP="00A04190">
      <w:pPr>
        <w:pStyle w:val="Style2"/>
      </w:pPr>
      <w:r w:rsidRPr="00230BD2">
        <w:t>Creating a more competitive basis for purchase and reimbursement of prostheses</w:t>
      </w:r>
    </w:p>
    <w:p w:rsidR="00F34EA9" w:rsidRPr="00230BD2" w:rsidRDefault="00F34EA9" w:rsidP="00230BD2">
      <w:pPr>
        <w:widowControl w:val="0"/>
        <w:rPr>
          <w:rFonts w:cs="Times New Roman"/>
          <w:szCs w:val="24"/>
        </w:rPr>
      </w:pPr>
      <w:r w:rsidRPr="00230BD2">
        <w:rPr>
          <w:rFonts w:cs="Times New Roman"/>
          <w:szCs w:val="24"/>
        </w:rPr>
        <w:t xml:space="preserve">The IWG supports the continued operation of </w:t>
      </w:r>
      <w:r w:rsidR="00DB33D0">
        <w:rPr>
          <w:rFonts w:cs="Times New Roman"/>
          <w:szCs w:val="24"/>
        </w:rPr>
        <w:t>a</w:t>
      </w:r>
      <w:r w:rsidR="00DB33D0" w:rsidRPr="00230BD2">
        <w:rPr>
          <w:rFonts w:cs="Times New Roman"/>
          <w:szCs w:val="24"/>
        </w:rPr>
        <w:t xml:space="preserve"> </w:t>
      </w:r>
      <w:r w:rsidRPr="00230BD2">
        <w:rPr>
          <w:rFonts w:cs="Times New Roman"/>
          <w:szCs w:val="24"/>
        </w:rPr>
        <w:t>Prostheses List – both in terms of listing devices for reimbursement, and setting the level of benefit. In general, members were of the view that continuing to have a PL regulated by government ensures that patients and their treating practitioners can continue to access a range of clinically effective medical devices and that insurers are required to reimburse these devices</w:t>
      </w:r>
      <w:r w:rsidR="004F3085">
        <w:rPr>
          <w:rFonts w:cs="Times New Roman"/>
          <w:szCs w:val="24"/>
        </w:rPr>
        <w:t xml:space="preserve"> preferably</w:t>
      </w:r>
      <w:r w:rsidRPr="00230BD2">
        <w:rPr>
          <w:rFonts w:cs="Times New Roman"/>
          <w:szCs w:val="24"/>
        </w:rPr>
        <w:t xml:space="preserve"> with no requirement for additional </w:t>
      </w:r>
      <w:r w:rsidR="00CC6DDE" w:rsidRPr="00230BD2">
        <w:rPr>
          <w:rFonts w:cs="Times New Roman"/>
          <w:szCs w:val="24"/>
        </w:rPr>
        <w:t>co-payments</w:t>
      </w:r>
      <w:r w:rsidRPr="00230BD2">
        <w:rPr>
          <w:rFonts w:cs="Times New Roman"/>
          <w:szCs w:val="24"/>
        </w:rPr>
        <w:t>.</w:t>
      </w:r>
    </w:p>
    <w:p w:rsidR="00F34EA9" w:rsidRDefault="00DB33D0" w:rsidP="00230BD2">
      <w:pPr>
        <w:widowControl w:val="0"/>
        <w:rPr>
          <w:rFonts w:cs="Times New Roman"/>
          <w:szCs w:val="24"/>
        </w:rPr>
      </w:pPr>
      <w:r>
        <w:rPr>
          <w:rFonts w:cs="Times New Roman"/>
          <w:szCs w:val="24"/>
        </w:rPr>
        <w:t>Some stakeholders</w:t>
      </w:r>
      <w:r w:rsidR="004F3085">
        <w:rPr>
          <w:rFonts w:cs="Times New Roman"/>
          <w:szCs w:val="24"/>
        </w:rPr>
        <w:t>, outside of the IWG members,</w:t>
      </w:r>
      <w:r>
        <w:rPr>
          <w:rFonts w:cs="Times New Roman"/>
          <w:szCs w:val="24"/>
        </w:rPr>
        <w:t xml:space="preserve"> were </w:t>
      </w:r>
      <w:r w:rsidR="00F34EA9" w:rsidRPr="00230BD2">
        <w:rPr>
          <w:rFonts w:cs="Times New Roman"/>
          <w:szCs w:val="24"/>
        </w:rPr>
        <w:t>of the view that the PL could be fully deregulated, with contractual arrangements between insurers, hospitals and prostheses sponsors revised to accommodate the cost of prostheses as part of a clinical episode, as occurs for a wide range of other costs (for example, anaesthetic gasses and in-theatre consumables). The IWG was advised by technical adviser, Professor Graeme Samuel AC, that if deregulated, collective purchasing arrangements for prostheses could be developed through consultation with the Australian Competition and Consumer Commission (ACCC).</w:t>
      </w:r>
      <w:r>
        <w:rPr>
          <w:rFonts w:cs="Times New Roman"/>
          <w:szCs w:val="24"/>
        </w:rPr>
        <w:t xml:space="preserve"> A number of members of the IWG advised that industry would not be able to manage full deregulation of the PL in the short term, because the required systems are not in place and would take some time to develop.</w:t>
      </w:r>
      <w:r w:rsidR="003F7AD6">
        <w:rPr>
          <w:rFonts w:cs="Times New Roman"/>
          <w:szCs w:val="24"/>
        </w:rPr>
        <w:t xml:space="preserve">  The IWG was of the view that immediate deregulation of the Prostheses List would not be appropriate.</w:t>
      </w:r>
    </w:p>
    <w:p w:rsidR="00F30184" w:rsidRDefault="009B0D21" w:rsidP="00230BD2">
      <w:pPr>
        <w:widowControl w:val="0"/>
        <w:rPr>
          <w:rFonts w:cs="Times New Roman"/>
          <w:szCs w:val="24"/>
        </w:rPr>
      </w:pPr>
      <w:r>
        <w:rPr>
          <w:rFonts w:cs="Times New Roman"/>
          <w:szCs w:val="24"/>
        </w:rPr>
        <w:lastRenderedPageBreak/>
        <w:t>T</w:t>
      </w:r>
      <w:r w:rsidR="00F34EA9" w:rsidRPr="00230BD2">
        <w:rPr>
          <w:rFonts w:cs="Times New Roman"/>
          <w:szCs w:val="24"/>
        </w:rPr>
        <w:t>he IWG recognise</w:t>
      </w:r>
      <w:r w:rsidR="00405D24">
        <w:rPr>
          <w:rFonts w:cs="Times New Roman"/>
          <w:szCs w:val="24"/>
        </w:rPr>
        <w:t>d</w:t>
      </w:r>
      <w:r w:rsidR="00F34EA9" w:rsidRPr="00230BD2">
        <w:rPr>
          <w:rFonts w:cs="Times New Roman"/>
          <w:szCs w:val="24"/>
        </w:rPr>
        <w:t xml:space="preserve"> that the</w:t>
      </w:r>
      <w:r w:rsidR="00DB33D0">
        <w:rPr>
          <w:rFonts w:cs="Times New Roman"/>
          <w:szCs w:val="24"/>
        </w:rPr>
        <w:t>re is a</w:t>
      </w:r>
      <w:r w:rsidR="00F34EA9" w:rsidRPr="00230BD2">
        <w:rPr>
          <w:rFonts w:cs="Times New Roman"/>
          <w:szCs w:val="24"/>
        </w:rPr>
        <w:t xml:space="preserve"> </w:t>
      </w:r>
      <w:r w:rsidR="00DB33D0">
        <w:rPr>
          <w:rFonts w:cs="Times New Roman"/>
          <w:szCs w:val="24"/>
        </w:rPr>
        <w:t>general lack of</w:t>
      </w:r>
      <w:r w:rsidR="00F34EA9" w:rsidRPr="00230BD2">
        <w:rPr>
          <w:rFonts w:cs="Times New Roman"/>
          <w:szCs w:val="24"/>
        </w:rPr>
        <w:t xml:space="preserve"> transparency</w:t>
      </w:r>
      <w:r w:rsidR="00411EA0">
        <w:rPr>
          <w:rFonts w:cs="Times New Roman"/>
          <w:szCs w:val="24"/>
        </w:rPr>
        <w:t xml:space="preserve"> in the</w:t>
      </w:r>
      <w:r w:rsidR="00405D24">
        <w:rPr>
          <w:rFonts w:cs="Times New Roman"/>
          <w:szCs w:val="24"/>
        </w:rPr>
        <w:t xml:space="preserve"> current</w:t>
      </w:r>
      <w:r w:rsidR="00411EA0">
        <w:rPr>
          <w:rFonts w:cs="Times New Roman"/>
          <w:szCs w:val="24"/>
        </w:rPr>
        <w:t xml:space="preserve"> listing arrangements</w:t>
      </w:r>
      <w:r w:rsidR="00F34EA9" w:rsidRPr="00230BD2">
        <w:rPr>
          <w:rFonts w:cs="Times New Roman"/>
          <w:szCs w:val="24"/>
        </w:rPr>
        <w:t xml:space="preserve">, particularly in respect of the relationship between the PL benefit and the </w:t>
      </w:r>
      <w:r w:rsidR="00A8428B">
        <w:rPr>
          <w:rFonts w:cs="Times New Roman"/>
          <w:szCs w:val="24"/>
        </w:rPr>
        <w:t>market price</w:t>
      </w:r>
      <w:r w:rsidR="00F34EA9" w:rsidRPr="00230BD2">
        <w:rPr>
          <w:rFonts w:cs="Times New Roman"/>
          <w:szCs w:val="24"/>
        </w:rPr>
        <w:t xml:space="preserve"> of a device, and </w:t>
      </w:r>
      <w:r w:rsidR="00411EA0" w:rsidRPr="00230BD2">
        <w:rPr>
          <w:rFonts w:cs="Times New Roman"/>
          <w:szCs w:val="24"/>
        </w:rPr>
        <w:t>agree</w:t>
      </w:r>
      <w:r w:rsidR="00411EA0">
        <w:rPr>
          <w:rFonts w:cs="Times New Roman"/>
          <w:szCs w:val="24"/>
        </w:rPr>
        <w:t>d</w:t>
      </w:r>
      <w:r w:rsidR="00411EA0" w:rsidRPr="00230BD2">
        <w:rPr>
          <w:rFonts w:cs="Times New Roman"/>
          <w:szCs w:val="24"/>
        </w:rPr>
        <w:t xml:space="preserve"> </w:t>
      </w:r>
      <w:r w:rsidR="00F34EA9" w:rsidRPr="00230BD2">
        <w:rPr>
          <w:rFonts w:cs="Times New Roman"/>
          <w:szCs w:val="24"/>
        </w:rPr>
        <w:t>that it would be desirable for Government to introduce more transparency into the system.</w:t>
      </w:r>
      <w:r w:rsidR="00411EA0">
        <w:rPr>
          <w:rFonts w:cs="Times New Roman"/>
          <w:szCs w:val="24"/>
        </w:rPr>
        <w:t xml:space="preserve"> In relation to the setting of benefits, the IWG agreed that consideration could be given </w:t>
      </w:r>
      <w:r w:rsidR="00B8026C">
        <w:rPr>
          <w:rFonts w:cs="Times New Roman"/>
          <w:szCs w:val="24"/>
        </w:rPr>
        <w:t>by</w:t>
      </w:r>
      <w:r w:rsidR="00411EA0">
        <w:rPr>
          <w:rFonts w:cs="Times New Roman"/>
          <w:szCs w:val="24"/>
        </w:rPr>
        <w:t xml:space="preserve"> PLAC</w:t>
      </w:r>
      <w:r w:rsidR="00B8026C">
        <w:rPr>
          <w:rFonts w:cs="Times New Roman"/>
          <w:szCs w:val="24"/>
        </w:rPr>
        <w:t xml:space="preserve"> in</w:t>
      </w:r>
      <w:r w:rsidR="00411EA0">
        <w:rPr>
          <w:rFonts w:cs="Times New Roman"/>
          <w:szCs w:val="24"/>
        </w:rPr>
        <w:t xml:space="preserve"> assessing the cost effectiveness of listed items, </w:t>
      </w:r>
      <w:r w:rsidR="00B8026C">
        <w:rPr>
          <w:rFonts w:cs="Times New Roman"/>
          <w:szCs w:val="24"/>
        </w:rPr>
        <w:t xml:space="preserve">to </w:t>
      </w:r>
      <w:r w:rsidR="00411EA0">
        <w:rPr>
          <w:rFonts w:cs="Times New Roman"/>
          <w:szCs w:val="24"/>
        </w:rPr>
        <w:t xml:space="preserve">considering the full cost of providing </w:t>
      </w:r>
      <w:r w:rsidR="003F7AD6">
        <w:rPr>
          <w:rFonts w:cs="Times New Roman"/>
          <w:szCs w:val="24"/>
        </w:rPr>
        <w:t xml:space="preserve">relevant </w:t>
      </w:r>
      <w:r w:rsidR="00411EA0">
        <w:rPr>
          <w:rFonts w:cs="Times New Roman"/>
          <w:szCs w:val="24"/>
        </w:rPr>
        <w:t>clinical service</w:t>
      </w:r>
      <w:r w:rsidR="003F7AD6">
        <w:rPr>
          <w:rFonts w:cs="Times New Roman"/>
          <w:szCs w:val="24"/>
        </w:rPr>
        <w:t>s</w:t>
      </w:r>
      <w:r w:rsidR="00411EA0">
        <w:rPr>
          <w:rFonts w:cs="Times New Roman"/>
          <w:szCs w:val="24"/>
        </w:rPr>
        <w:t>, rather than the cost of the prosthesis only.</w:t>
      </w:r>
      <w:r w:rsidR="00F34EA9" w:rsidRPr="00230BD2">
        <w:rPr>
          <w:rFonts w:cs="Times New Roman"/>
          <w:szCs w:val="24"/>
        </w:rPr>
        <w:t xml:space="preserve"> </w:t>
      </w:r>
      <w:r w:rsidR="00F30184">
        <w:rPr>
          <w:rFonts w:cs="Times New Roman"/>
          <w:szCs w:val="24"/>
        </w:rPr>
        <w:t>PLAC could link to existing HTA processes (such as MSAC) to undertake such cost effectiveness analyses.</w:t>
      </w:r>
    </w:p>
    <w:p w:rsidR="00F34EA9" w:rsidRPr="00230BD2" w:rsidRDefault="00F34EA9" w:rsidP="00230BD2">
      <w:pPr>
        <w:widowControl w:val="0"/>
        <w:rPr>
          <w:rFonts w:cs="Times New Roman"/>
          <w:szCs w:val="24"/>
        </w:rPr>
      </w:pPr>
      <w:r w:rsidRPr="00230BD2">
        <w:rPr>
          <w:rFonts w:cs="Times New Roman"/>
          <w:szCs w:val="24"/>
        </w:rPr>
        <w:t>Th</w:t>
      </w:r>
      <w:r w:rsidR="00F30184">
        <w:rPr>
          <w:rFonts w:cs="Times New Roman"/>
          <w:szCs w:val="24"/>
        </w:rPr>
        <w:t>e recognised</w:t>
      </w:r>
      <w:r w:rsidRPr="00230BD2">
        <w:rPr>
          <w:rFonts w:cs="Times New Roman"/>
          <w:szCs w:val="24"/>
        </w:rPr>
        <w:t xml:space="preserve"> lack of transparency also mitigates against a true understanding of the market for</w:t>
      </w:r>
      <w:r w:rsidR="00B8026C">
        <w:rPr>
          <w:rFonts w:cs="Times New Roman"/>
          <w:szCs w:val="24"/>
        </w:rPr>
        <w:t xml:space="preserve"> prostheses on the PL</w:t>
      </w:r>
      <w:r w:rsidRPr="00230BD2">
        <w:rPr>
          <w:rFonts w:cs="Times New Roman"/>
          <w:szCs w:val="24"/>
        </w:rPr>
        <w:t xml:space="preserve">, and most likely hides significant systemic issues such as cross-subsidisation between private and public health systems, the use of ‘loss leaders’ to generate market share, and the use of incentives for hospitals and surgeons. </w:t>
      </w:r>
      <w:r w:rsidR="00ED226A">
        <w:rPr>
          <w:rFonts w:cs="Times New Roman"/>
          <w:szCs w:val="24"/>
        </w:rPr>
        <w:t xml:space="preserve">This inherent opacity </w:t>
      </w:r>
      <w:r w:rsidRPr="00230BD2">
        <w:rPr>
          <w:rFonts w:cs="Times New Roman"/>
          <w:szCs w:val="24"/>
        </w:rPr>
        <w:t xml:space="preserve">also means that legitimate costs which should be included in a PL benefit, cannot be reimbursed appropriately. </w:t>
      </w:r>
    </w:p>
    <w:p w:rsidR="00EE3F3D" w:rsidRPr="00230BD2" w:rsidRDefault="00F34EA9" w:rsidP="00CC6DDE">
      <w:pPr>
        <w:widowControl w:val="0"/>
        <w:rPr>
          <w:rFonts w:cs="Times New Roman"/>
          <w:szCs w:val="24"/>
        </w:rPr>
      </w:pPr>
      <w:r w:rsidRPr="00230BD2">
        <w:rPr>
          <w:rFonts w:cs="Times New Roman"/>
          <w:szCs w:val="24"/>
        </w:rPr>
        <w:t xml:space="preserve">The IWG discussed several different approaches to improving transparency in the system. Health insurers presented a number of models of international reference pricing (IRP) for discussion by the </w:t>
      </w:r>
      <w:r w:rsidR="00E3440A">
        <w:rPr>
          <w:rFonts w:cs="Times New Roman"/>
          <w:szCs w:val="24"/>
        </w:rPr>
        <w:t>IWG</w:t>
      </w:r>
      <w:r w:rsidRPr="00230BD2">
        <w:rPr>
          <w:rFonts w:cs="Times New Roman"/>
          <w:szCs w:val="24"/>
        </w:rPr>
        <w:t xml:space="preserve">, based on work undertaken by Private Healthcare Australia and Monash University. </w:t>
      </w:r>
      <w:r w:rsidR="00EE3F3D" w:rsidRPr="00230BD2">
        <w:rPr>
          <w:rFonts w:cs="Times New Roman"/>
          <w:szCs w:val="24"/>
        </w:rPr>
        <w:t xml:space="preserve">The MTAA presented a price benchmarking approach which could be adopted, based on </w:t>
      </w:r>
      <w:r w:rsidR="003F7AD6">
        <w:rPr>
          <w:rFonts w:cs="Times New Roman"/>
          <w:szCs w:val="24"/>
        </w:rPr>
        <w:t>weighted averaging of public and private sector prices, net of rebates</w:t>
      </w:r>
      <w:r w:rsidR="00EE3F3D" w:rsidRPr="00230BD2">
        <w:rPr>
          <w:rFonts w:cs="Times New Roman"/>
          <w:szCs w:val="24"/>
        </w:rPr>
        <w:t>.</w:t>
      </w:r>
      <w:r w:rsidR="005700A5">
        <w:rPr>
          <w:rFonts w:cs="Times New Roman"/>
          <w:szCs w:val="24"/>
        </w:rPr>
        <w:t xml:space="preserve">  The participants raised some concerns about the model, but agreed that the model is similar to price disclosure and </w:t>
      </w:r>
      <w:r w:rsidR="00CC6DDE">
        <w:rPr>
          <w:rFonts w:cs="Times New Roman"/>
          <w:szCs w:val="24"/>
        </w:rPr>
        <w:t xml:space="preserve">that </w:t>
      </w:r>
      <w:r w:rsidR="005700A5">
        <w:rPr>
          <w:rFonts w:cs="Times New Roman"/>
          <w:szCs w:val="24"/>
        </w:rPr>
        <w:t>some form of price disclosure would be appropriate,</w:t>
      </w:r>
      <w:r w:rsidR="00EE3F3D" w:rsidRPr="00230BD2">
        <w:rPr>
          <w:rFonts w:cs="Times New Roman"/>
          <w:szCs w:val="24"/>
        </w:rPr>
        <w:t xml:space="preserve"> The Department presented an overview of the Pharmaceutical Benefits Scheme (PBS) price disclosure arrangements, and noted its potential applicability to prostheses.</w:t>
      </w:r>
    </w:p>
    <w:p w:rsidR="00F34EA9" w:rsidRPr="00230BD2" w:rsidRDefault="00F34EA9" w:rsidP="00230BD2">
      <w:pPr>
        <w:widowControl w:val="0"/>
        <w:rPr>
          <w:rFonts w:cs="Times New Roman"/>
          <w:szCs w:val="24"/>
        </w:rPr>
      </w:pPr>
      <w:r w:rsidRPr="00230BD2">
        <w:rPr>
          <w:rFonts w:cs="Times New Roman"/>
          <w:szCs w:val="24"/>
        </w:rPr>
        <w:t>The IWG considered and discussed these models, and</w:t>
      </w:r>
      <w:r w:rsidR="00A8428B">
        <w:rPr>
          <w:rFonts w:cs="Times New Roman"/>
          <w:szCs w:val="24"/>
        </w:rPr>
        <w:t xml:space="preserve"> generally</w:t>
      </w:r>
      <w:r w:rsidRPr="00230BD2">
        <w:rPr>
          <w:rFonts w:cs="Times New Roman"/>
          <w:szCs w:val="24"/>
        </w:rPr>
        <w:t xml:space="preserve"> agreed that </w:t>
      </w:r>
      <w:r w:rsidR="00EE3F3D" w:rsidRPr="00230BD2">
        <w:rPr>
          <w:rFonts w:cs="Times New Roman"/>
          <w:szCs w:val="24"/>
        </w:rPr>
        <w:t>international pricing</w:t>
      </w:r>
      <w:r w:rsidRPr="00230BD2">
        <w:rPr>
          <w:rFonts w:cs="Times New Roman"/>
          <w:szCs w:val="24"/>
        </w:rPr>
        <w:t xml:space="preserve"> information was </w:t>
      </w:r>
      <w:r w:rsidR="00A8428B">
        <w:rPr>
          <w:rFonts w:cs="Times New Roman"/>
          <w:szCs w:val="24"/>
        </w:rPr>
        <w:t xml:space="preserve">an </w:t>
      </w:r>
      <w:r w:rsidR="00EE3F3D" w:rsidRPr="00230BD2">
        <w:rPr>
          <w:rFonts w:cs="Times New Roman"/>
          <w:szCs w:val="24"/>
        </w:rPr>
        <w:t>informative</w:t>
      </w:r>
      <w:r w:rsidRPr="00230BD2">
        <w:rPr>
          <w:rFonts w:cs="Times New Roman"/>
          <w:szCs w:val="24"/>
        </w:rPr>
        <w:t xml:space="preserve"> input to </w:t>
      </w:r>
      <w:r w:rsidR="00B8026C">
        <w:rPr>
          <w:rFonts w:cs="Times New Roman"/>
          <w:szCs w:val="24"/>
        </w:rPr>
        <w:t xml:space="preserve">the </w:t>
      </w:r>
      <w:r w:rsidRPr="00230BD2">
        <w:rPr>
          <w:rFonts w:cs="Times New Roman"/>
          <w:szCs w:val="24"/>
        </w:rPr>
        <w:t xml:space="preserve">consideration of </w:t>
      </w:r>
      <w:r w:rsidR="00EE3F3D" w:rsidRPr="00230BD2">
        <w:rPr>
          <w:rFonts w:cs="Times New Roman"/>
          <w:szCs w:val="24"/>
        </w:rPr>
        <w:t>benefit levels</w:t>
      </w:r>
      <w:r w:rsidR="00B8026C">
        <w:rPr>
          <w:rFonts w:cs="Times New Roman"/>
          <w:szCs w:val="24"/>
        </w:rPr>
        <w:t>.</w:t>
      </w:r>
      <w:r w:rsidR="00B92865">
        <w:rPr>
          <w:rFonts w:cs="Times New Roman"/>
          <w:szCs w:val="24"/>
        </w:rPr>
        <w:t xml:space="preserve"> However,</w:t>
      </w:r>
      <w:r w:rsidR="00EE3F3D" w:rsidRPr="00230BD2">
        <w:rPr>
          <w:rFonts w:cs="Times New Roman"/>
          <w:szCs w:val="24"/>
        </w:rPr>
        <w:t xml:space="preserve"> the use of an IRP model</w:t>
      </w:r>
      <w:r w:rsidR="00A8428B">
        <w:rPr>
          <w:rFonts w:cs="Times New Roman"/>
          <w:szCs w:val="24"/>
        </w:rPr>
        <w:t xml:space="preserve"> would</w:t>
      </w:r>
      <w:r w:rsidR="00EE3F3D" w:rsidRPr="00230BD2">
        <w:rPr>
          <w:rFonts w:cs="Times New Roman"/>
          <w:szCs w:val="24"/>
        </w:rPr>
        <w:t xml:space="preserve"> ha</w:t>
      </w:r>
      <w:r w:rsidR="00A8428B">
        <w:rPr>
          <w:rFonts w:cs="Times New Roman"/>
          <w:szCs w:val="24"/>
        </w:rPr>
        <w:t>ve</w:t>
      </w:r>
      <w:r w:rsidR="00EE3F3D" w:rsidRPr="00230BD2">
        <w:rPr>
          <w:rFonts w:cs="Times New Roman"/>
          <w:szCs w:val="24"/>
        </w:rPr>
        <w:t xml:space="preserve"> </w:t>
      </w:r>
      <w:r w:rsidR="00A8428B">
        <w:rPr>
          <w:rFonts w:cs="Times New Roman"/>
          <w:szCs w:val="24"/>
        </w:rPr>
        <w:t>intrinsic difficulties</w:t>
      </w:r>
      <w:r w:rsidR="00EE3F3D" w:rsidRPr="00230BD2">
        <w:rPr>
          <w:rFonts w:cs="Times New Roman"/>
          <w:szCs w:val="24"/>
        </w:rPr>
        <w:t xml:space="preserve"> due to the different nature of health systems in different countries.</w:t>
      </w:r>
      <w:r w:rsidRPr="00230BD2">
        <w:rPr>
          <w:rFonts w:cs="Times New Roman"/>
          <w:szCs w:val="24"/>
        </w:rPr>
        <w:t xml:space="preserve"> </w:t>
      </w:r>
      <w:r w:rsidR="00EE3F3D" w:rsidRPr="00230BD2">
        <w:rPr>
          <w:rFonts w:cs="Times New Roman"/>
          <w:szCs w:val="24"/>
        </w:rPr>
        <w:t>The IWG also noted that a benchmarking system was similar to price disclosure as it operates under the PBS, and that if the Government were inclined to move towards greater transparency in prostheses benefit setting, then a price disclosure model based on the PBS</w:t>
      </w:r>
      <w:r w:rsidR="003F7AD6">
        <w:rPr>
          <w:rFonts w:cs="Times New Roman"/>
          <w:szCs w:val="24"/>
        </w:rPr>
        <w:t>, but taking into account differences in the pharmaceutical and prostheses industries,</w:t>
      </w:r>
      <w:r w:rsidR="00EE3F3D" w:rsidRPr="00230BD2">
        <w:rPr>
          <w:rFonts w:cs="Times New Roman"/>
          <w:szCs w:val="24"/>
        </w:rPr>
        <w:t xml:space="preserve"> should be further explored.</w:t>
      </w:r>
    </w:p>
    <w:p w:rsidR="00400D11" w:rsidRDefault="00400D11" w:rsidP="00400D11">
      <w:pPr>
        <w:widowControl w:val="0"/>
        <w:rPr>
          <w:rFonts w:cs="Times New Roman"/>
          <w:szCs w:val="24"/>
        </w:rPr>
      </w:pPr>
      <w:r>
        <w:rPr>
          <w:rFonts w:cs="Times New Roman"/>
          <w:szCs w:val="24"/>
        </w:rPr>
        <w:t>The IWG spent a considerable amount of time discussing the so-called “2 year</w:t>
      </w:r>
      <w:r w:rsidR="003F7AD6">
        <w:rPr>
          <w:rFonts w:cs="Times New Roman"/>
          <w:szCs w:val="24"/>
        </w:rPr>
        <w:t xml:space="preserve"> evidence</w:t>
      </w:r>
      <w:r>
        <w:rPr>
          <w:rFonts w:cs="Times New Roman"/>
          <w:szCs w:val="24"/>
        </w:rPr>
        <w:t xml:space="preserve"> rule” and the “25% market share rule”. It was put to the </w:t>
      </w:r>
      <w:r w:rsidR="00E3440A">
        <w:rPr>
          <w:rFonts w:cs="Times New Roman"/>
          <w:szCs w:val="24"/>
        </w:rPr>
        <w:t xml:space="preserve">IWG </w:t>
      </w:r>
      <w:r>
        <w:rPr>
          <w:rFonts w:cs="Times New Roman"/>
          <w:szCs w:val="24"/>
        </w:rPr>
        <w:t xml:space="preserve">that the 2 year </w:t>
      </w:r>
      <w:r w:rsidR="003F7AD6">
        <w:rPr>
          <w:rFonts w:cs="Times New Roman"/>
          <w:szCs w:val="24"/>
        </w:rPr>
        <w:t xml:space="preserve">evidence </w:t>
      </w:r>
      <w:r>
        <w:rPr>
          <w:rFonts w:cs="Times New Roman"/>
          <w:szCs w:val="24"/>
        </w:rPr>
        <w:t>rule reduces patient access inappropriately. It was agreed that Government should consider the introduction of a managed entry scheme to provide consumers with access to products which are listed on the ARTG but do not meet the 2 year</w:t>
      </w:r>
      <w:r w:rsidR="003F7AD6">
        <w:rPr>
          <w:rFonts w:cs="Times New Roman"/>
          <w:szCs w:val="24"/>
        </w:rPr>
        <w:t xml:space="preserve"> evidence</w:t>
      </w:r>
      <w:r>
        <w:rPr>
          <w:rFonts w:cs="Times New Roman"/>
          <w:szCs w:val="24"/>
        </w:rPr>
        <w:t xml:space="preserve"> rule.</w:t>
      </w:r>
      <w:r w:rsidR="003F7AD6">
        <w:rPr>
          <w:rFonts w:cs="Times New Roman"/>
          <w:szCs w:val="24"/>
        </w:rPr>
        <w:t xml:space="preserve">  The use of nested studies within registries may be appropriate to satisfy</w:t>
      </w:r>
      <w:r w:rsidR="00323C7C">
        <w:rPr>
          <w:rFonts w:cs="Times New Roman"/>
          <w:szCs w:val="24"/>
        </w:rPr>
        <w:t xml:space="preserve"> the evidence requirements for a</w:t>
      </w:r>
      <w:r w:rsidR="003F7AD6">
        <w:rPr>
          <w:rFonts w:cs="Times New Roman"/>
          <w:szCs w:val="24"/>
        </w:rPr>
        <w:t xml:space="preserve"> managed entry scheme. </w:t>
      </w:r>
      <w:r>
        <w:rPr>
          <w:rFonts w:cs="Times New Roman"/>
          <w:szCs w:val="24"/>
        </w:rPr>
        <w:t>The managed entry scheme could provide conditional listing or a lower benefit until full listing is achieved</w:t>
      </w:r>
      <w:r w:rsidR="00D75501">
        <w:rPr>
          <w:rFonts w:cs="Times New Roman"/>
          <w:szCs w:val="24"/>
        </w:rPr>
        <w:t>. T</w:t>
      </w:r>
      <w:r w:rsidR="003F7AD6">
        <w:rPr>
          <w:rFonts w:cs="Times New Roman"/>
          <w:szCs w:val="24"/>
        </w:rPr>
        <w:t>his may be particularly relevant in areas of high unmet clinical needs.</w:t>
      </w:r>
    </w:p>
    <w:p w:rsidR="00400D11" w:rsidRDefault="00400D11" w:rsidP="00400D11">
      <w:pPr>
        <w:widowControl w:val="0"/>
        <w:rPr>
          <w:rFonts w:cs="Times New Roman"/>
          <w:szCs w:val="24"/>
        </w:rPr>
      </w:pPr>
      <w:r>
        <w:rPr>
          <w:rFonts w:cs="Times New Roman"/>
          <w:szCs w:val="24"/>
        </w:rPr>
        <w:lastRenderedPageBreak/>
        <w:t xml:space="preserve">In relation to the 25% market share rule, the IWG considered whether a lower PL benefit could be based </w:t>
      </w:r>
      <w:r w:rsidR="00B55E94">
        <w:rPr>
          <w:rFonts w:cs="Times New Roman"/>
          <w:szCs w:val="24"/>
        </w:rPr>
        <w:t>on sponsors’</w:t>
      </w:r>
      <w:r>
        <w:rPr>
          <w:rFonts w:cs="Times New Roman"/>
          <w:szCs w:val="24"/>
        </w:rPr>
        <w:t xml:space="preserve"> ability to deliver volumes equal to 25% of the market, rather than on their actual market share. This would allow the listed benefit to be based on the sponsor’s potential to provide the threshold volume, </w:t>
      </w:r>
      <w:r w:rsidR="00405D24">
        <w:rPr>
          <w:rFonts w:cs="Times New Roman"/>
          <w:szCs w:val="24"/>
        </w:rPr>
        <w:t>and thus influence the market price</w:t>
      </w:r>
      <w:r w:rsidR="0086720A">
        <w:rPr>
          <w:rFonts w:cs="Times New Roman"/>
          <w:szCs w:val="24"/>
        </w:rPr>
        <w:t>, H</w:t>
      </w:r>
      <w:r w:rsidR="00D734F5">
        <w:rPr>
          <w:rFonts w:cs="Times New Roman"/>
          <w:szCs w:val="24"/>
        </w:rPr>
        <w:t>owever in addressing this issue</w:t>
      </w:r>
      <w:r w:rsidR="0086720A">
        <w:rPr>
          <w:rFonts w:cs="Times New Roman"/>
          <w:szCs w:val="24"/>
        </w:rPr>
        <w:t>,</w:t>
      </w:r>
      <w:r w:rsidR="00D734F5">
        <w:rPr>
          <w:rFonts w:cs="Times New Roman"/>
          <w:szCs w:val="24"/>
        </w:rPr>
        <w:t xml:space="preserve"> PLAC may need to ensure that the grouping of categories are supportive of this mechanism.</w:t>
      </w:r>
      <w:r>
        <w:rPr>
          <w:rFonts w:cs="Times New Roman"/>
          <w:szCs w:val="24"/>
        </w:rPr>
        <w:t xml:space="preserve"> </w:t>
      </w:r>
    </w:p>
    <w:p w:rsidR="00963320" w:rsidRPr="007F35A0" w:rsidRDefault="00963320" w:rsidP="00963320">
      <w:pPr>
        <w:widowControl w:val="0"/>
        <w:rPr>
          <w:rFonts w:cs="Times New Roman"/>
          <w:szCs w:val="24"/>
        </w:rPr>
      </w:pPr>
      <w:r w:rsidRPr="007F35A0">
        <w:rPr>
          <w:rFonts w:cs="Times New Roman"/>
          <w:szCs w:val="24"/>
        </w:rPr>
        <w:t>In summary, the IWG agreed:</w:t>
      </w:r>
      <w:r w:rsidRPr="00D7619E">
        <w:rPr>
          <w:rFonts w:cs="Times New Roman"/>
          <w:szCs w:val="24"/>
        </w:rPr>
        <w:t xml:space="preserve"> </w:t>
      </w:r>
    </w:p>
    <w:p w:rsidR="005E646E" w:rsidRPr="00230BD2" w:rsidRDefault="005E646E" w:rsidP="005E646E">
      <w:pPr>
        <w:pStyle w:val="ListParagraph"/>
        <w:widowControl w:val="0"/>
        <w:numPr>
          <w:ilvl w:val="0"/>
          <w:numId w:val="1"/>
        </w:numPr>
        <w:rPr>
          <w:rFonts w:cs="Times New Roman"/>
          <w:szCs w:val="24"/>
        </w:rPr>
      </w:pPr>
      <w:r w:rsidRPr="00230BD2">
        <w:rPr>
          <w:rFonts w:cs="Times New Roman"/>
          <w:szCs w:val="24"/>
        </w:rPr>
        <w:t xml:space="preserve">that </w:t>
      </w:r>
      <w:r>
        <w:rPr>
          <w:rFonts w:cs="Times New Roman"/>
          <w:szCs w:val="24"/>
        </w:rPr>
        <w:t>a</w:t>
      </w:r>
      <w:r w:rsidRPr="00230BD2">
        <w:rPr>
          <w:rFonts w:cs="Times New Roman"/>
          <w:szCs w:val="24"/>
        </w:rPr>
        <w:t xml:space="preserve"> PL be maintained to ensure consumers</w:t>
      </w:r>
      <w:r>
        <w:rPr>
          <w:rFonts w:cs="Times New Roman"/>
          <w:szCs w:val="24"/>
        </w:rPr>
        <w:t xml:space="preserve"> and clinicians</w:t>
      </w:r>
      <w:r w:rsidRPr="00230BD2">
        <w:rPr>
          <w:rFonts w:cs="Times New Roman"/>
          <w:szCs w:val="24"/>
        </w:rPr>
        <w:t xml:space="preserve"> can access a reasonable choice of </w:t>
      </w:r>
      <w:r>
        <w:rPr>
          <w:rFonts w:cs="Times New Roman"/>
          <w:szCs w:val="24"/>
        </w:rPr>
        <w:t xml:space="preserve">clinically relevant </w:t>
      </w:r>
      <w:r w:rsidRPr="00230BD2">
        <w:rPr>
          <w:rFonts w:cs="Times New Roman"/>
          <w:szCs w:val="24"/>
        </w:rPr>
        <w:t>prostheses, reimbursed by insurers</w:t>
      </w:r>
      <w:r w:rsidR="00BF2390">
        <w:rPr>
          <w:rFonts w:cs="Times New Roman"/>
          <w:szCs w:val="24"/>
        </w:rPr>
        <w:t>,</w:t>
      </w:r>
      <w:r w:rsidRPr="00230BD2">
        <w:rPr>
          <w:rFonts w:cs="Times New Roman"/>
          <w:szCs w:val="24"/>
        </w:rPr>
        <w:t xml:space="preserve"> </w:t>
      </w:r>
      <w:r>
        <w:rPr>
          <w:rFonts w:cs="Times New Roman"/>
          <w:szCs w:val="24"/>
        </w:rPr>
        <w:t xml:space="preserve">preferably </w:t>
      </w:r>
      <w:r w:rsidRPr="00230BD2">
        <w:rPr>
          <w:rFonts w:cs="Times New Roman"/>
          <w:szCs w:val="24"/>
        </w:rPr>
        <w:t>without a consumer co-payment;</w:t>
      </w:r>
    </w:p>
    <w:p w:rsidR="005E646E" w:rsidRPr="00230BD2" w:rsidRDefault="005E646E" w:rsidP="005E646E">
      <w:pPr>
        <w:pStyle w:val="ListParagraph"/>
        <w:widowControl w:val="0"/>
        <w:numPr>
          <w:ilvl w:val="0"/>
          <w:numId w:val="1"/>
        </w:numPr>
        <w:rPr>
          <w:rFonts w:cs="Times New Roman"/>
          <w:szCs w:val="24"/>
        </w:rPr>
      </w:pPr>
      <w:r w:rsidRPr="00230BD2">
        <w:rPr>
          <w:rFonts w:cs="Times New Roman"/>
          <w:szCs w:val="24"/>
        </w:rPr>
        <w:t xml:space="preserve">that in setting a benefit for a device, </w:t>
      </w:r>
      <w:r>
        <w:rPr>
          <w:rFonts w:cs="Times New Roman"/>
          <w:szCs w:val="24"/>
        </w:rPr>
        <w:t>consideration should</w:t>
      </w:r>
      <w:r w:rsidRPr="00230BD2">
        <w:rPr>
          <w:rFonts w:cs="Times New Roman"/>
          <w:szCs w:val="24"/>
        </w:rPr>
        <w:t xml:space="preserve"> </w:t>
      </w:r>
      <w:r>
        <w:rPr>
          <w:rFonts w:cs="Times New Roman"/>
          <w:szCs w:val="24"/>
        </w:rPr>
        <w:t>be given to</w:t>
      </w:r>
      <w:r w:rsidRPr="00230BD2">
        <w:rPr>
          <w:rFonts w:cs="Times New Roman"/>
          <w:szCs w:val="24"/>
        </w:rPr>
        <w:t xml:space="preserve"> appropriate costs for inclusion in the benefit, including any clinical</w:t>
      </w:r>
      <w:r>
        <w:rPr>
          <w:rFonts w:cs="Times New Roman"/>
          <w:szCs w:val="24"/>
        </w:rPr>
        <w:t>ly relevant</w:t>
      </w:r>
      <w:r w:rsidRPr="00230BD2">
        <w:rPr>
          <w:rFonts w:cs="Times New Roman"/>
          <w:szCs w:val="24"/>
        </w:rPr>
        <w:t xml:space="preserve"> requirements of the device (</w:t>
      </w:r>
      <w:r w:rsidR="00C73C48" w:rsidRPr="00230BD2">
        <w:rPr>
          <w:rFonts w:cs="Times New Roman"/>
          <w:szCs w:val="24"/>
        </w:rPr>
        <w:t>e.g.</w:t>
      </w:r>
      <w:r w:rsidRPr="00230BD2">
        <w:rPr>
          <w:rFonts w:cs="Times New Roman"/>
          <w:szCs w:val="24"/>
        </w:rPr>
        <w:t xml:space="preserve"> in-theatre assistance, software, maintenance/monitoring and product support </w:t>
      </w:r>
      <w:r w:rsidR="00C73C48" w:rsidRPr="00230BD2">
        <w:rPr>
          <w:rFonts w:cs="Times New Roman"/>
          <w:szCs w:val="24"/>
        </w:rPr>
        <w:t>etc.</w:t>
      </w:r>
      <w:r w:rsidRPr="00230BD2">
        <w:rPr>
          <w:rFonts w:cs="Times New Roman"/>
          <w:szCs w:val="24"/>
        </w:rPr>
        <w:t>);</w:t>
      </w:r>
    </w:p>
    <w:p w:rsidR="005E646E" w:rsidRDefault="005E646E" w:rsidP="005E646E">
      <w:pPr>
        <w:pStyle w:val="ListParagraph"/>
        <w:widowControl w:val="0"/>
        <w:numPr>
          <w:ilvl w:val="0"/>
          <w:numId w:val="1"/>
        </w:numPr>
        <w:rPr>
          <w:rFonts w:cs="Times New Roman"/>
          <w:szCs w:val="24"/>
        </w:rPr>
      </w:pPr>
      <w:r w:rsidRPr="00230BD2">
        <w:rPr>
          <w:rFonts w:cs="Times New Roman"/>
          <w:szCs w:val="24"/>
        </w:rPr>
        <w:t>that</w:t>
      </w:r>
      <w:r>
        <w:rPr>
          <w:rFonts w:cs="Times New Roman"/>
          <w:szCs w:val="24"/>
        </w:rPr>
        <w:t xml:space="preserve"> should Government seek medium term benefit reductions across the PL, it would be appropriate to</w:t>
      </w:r>
      <w:r w:rsidRPr="00230BD2">
        <w:rPr>
          <w:rFonts w:cs="Times New Roman"/>
          <w:szCs w:val="24"/>
        </w:rPr>
        <w:t xml:space="preserve"> consider legislat</w:t>
      </w:r>
      <w:r>
        <w:rPr>
          <w:rFonts w:cs="Times New Roman"/>
          <w:szCs w:val="24"/>
        </w:rPr>
        <w:t>ing</w:t>
      </w:r>
      <w:r w:rsidRPr="00230BD2">
        <w:rPr>
          <w:rFonts w:cs="Times New Roman"/>
          <w:szCs w:val="24"/>
        </w:rPr>
        <w:t xml:space="preserve"> a price disclosure system for prostheses, encompassing both public sector and private sector medical device pricing</w:t>
      </w:r>
      <w:r>
        <w:rPr>
          <w:rFonts w:cs="Times New Roman"/>
          <w:szCs w:val="24"/>
        </w:rPr>
        <w:t>;</w:t>
      </w:r>
    </w:p>
    <w:p w:rsidR="005E646E" w:rsidRPr="00230BD2" w:rsidRDefault="005E646E" w:rsidP="005E646E">
      <w:pPr>
        <w:pStyle w:val="ListParagraph"/>
        <w:widowControl w:val="0"/>
        <w:numPr>
          <w:ilvl w:val="0"/>
          <w:numId w:val="1"/>
        </w:numPr>
        <w:rPr>
          <w:rFonts w:cs="Times New Roman"/>
          <w:szCs w:val="24"/>
        </w:rPr>
      </w:pPr>
      <w:r>
        <w:rPr>
          <w:rFonts w:cs="Times New Roman"/>
          <w:szCs w:val="24"/>
        </w:rPr>
        <w:t>that reference pricing, taking into account domestic and  relevant international prices, be considered as a mechanism to set the PL benefit;</w:t>
      </w:r>
    </w:p>
    <w:p w:rsidR="00A17F41" w:rsidRDefault="00A17F41" w:rsidP="00A17F41">
      <w:pPr>
        <w:pStyle w:val="ListParagraph"/>
        <w:widowControl w:val="0"/>
        <w:numPr>
          <w:ilvl w:val="0"/>
          <w:numId w:val="1"/>
        </w:numPr>
        <w:rPr>
          <w:rFonts w:cs="Times New Roman"/>
          <w:szCs w:val="24"/>
        </w:rPr>
      </w:pPr>
      <w:r>
        <w:rPr>
          <w:rFonts w:cs="Times New Roman"/>
          <w:szCs w:val="24"/>
        </w:rPr>
        <w:t xml:space="preserve">consideration should be given to establishing a mechanism to ensure service providers are reimbursed for </w:t>
      </w:r>
      <w:r w:rsidRPr="00230BD2">
        <w:rPr>
          <w:rFonts w:cs="Times New Roman"/>
          <w:szCs w:val="24"/>
        </w:rPr>
        <w:t xml:space="preserve">the </w:t>
      </w:r>
      <w:r>
        <w:rPr>
          <w:rFonts w:cs="Times New Roman"/>
          <w:szCs w:val="24"/>
        </w:rPr>
        <w:t xml:space="preserve">appropriate </w:t>
      </w:r>
      <w:r w:rsidRPr="00230BD2">
        <w:rPr>
          <w:rFonts w:cs="Times New Roman"/>
          <w:szCs w:val="24"/>
        </w:rPr>
        <w:t xml:space="preserve">costs of maintaining inventory </w:t>
      </w:r>
      <w:r>
        <w:rPr>
          <w:rFonts w:cs="Times New Roman"/>
          <w:szCs w:val="24"/>
        </w:rPr>
        <w:t>to encourage timely access to prostheses.</w:t>
      </w:r>
    </w:p>
    <w:p w:rsidR="00F34EA9" w:rsidRPr="00230BD2" w:rsidRDefault="00EE3F3D" w:rsidP="00A04190">
      <w:pPr>
        <w:pStyle w:val="Style2"/>
      </w:pPr>
      <w:r w:rsidRPr="00230BD2">
        <w:t>Identifying PL products or categories for immediate benefit rationalisation</w:t>
      </w:r>
    </w:p>
    <w:p w:rsidR="00EE3F3D" w:rsidRPr="00230BD2" w:rsidRDefault="005E646E" w:rsidP="00230BD2">
      <w:pPr>
        <w:widowControl w:val="0"/>
        <w:rPr>
          <w:rFonts w:cs="Times New Roman"/>
          <w:szCs w:val="24"/>
        </w:rPr>
      </w:pPr>
      <w:r>
        <w:rPr>
          <w:rFonts w:cs="Times New Roman"/>
          <w:szCs w:val="24"/>
        </w:rPr>
        <w:t xml:space="preserve">The IWG considered analysis of data performed by the Chair and the Department, and </w:t>
      </w:r>
      <w:r w:rsidR="00C73C48">
        <w:rPr>
          <w:rFonts w:cs="Times New Roman"/>
          <w:szCs w:val="24"/>
        </w:rPr>
        <w:t>noted</w:t>
      </w:r>
      <w:r w:rsidR="00C73C48" w:rsidRPr="00230BD2" w:rsidDel="00825E7D">
        <w:rPr>
          <w:rFonts w:cs="Times New Roman"/>
          <w:szCs w:val="24"/>
        </w:rPr>
        <w:t xml:space="preserve"> </w:t>
      </w:r>
      <w:r w:rsidR="00C73C48" w:rsidRPr="00230BD2">
        <w:rPr>
          <w:rFonts w:cs="Times New Roman"/>
          <w:szCs w:val="24"/>
        </w:rPr>
        <w:t>that</w:t>
      </w:r>
      <w:r w:rsidRPr="00230BD2">
        <w:rPr>
          <w:rFonts w:cs="Times New Roman"/>
          <w:szCs w:val="24"/>
        </w:rPr>
        <w:t xml:space="preserve"> Prostheses List benefit levels</w:t>
      </w:r>
      <w:r>
        <w:rPr>
          <w:rFonts w:cs="Times New Roman"/>
          <w:szCs w:val="24"/>
        </w:rPr>
        <w:t xml:space="preserve"> for certain items</w:t>
      </w:r>
      <w:r w:rsidRPr="00230BD2">
        <w:rPr>
          <w:rFonts w:cs="Times New Roman"/>
          <w:szCs w:val="24"/>
        </w:rPr>
        <w:t xml:space="preserve"> are significantly higher than prices internationally. Publicly</w:t>
      </w:r>
      <w:r w:rsidR="00A8428B">
        <w:rPr>
          <w:rFonts w:cs="Times New Roman"/>
          <w:szCs w:val="24"/>
        </w:rPr>
        <w:t xml:space="preserve"> </w:t>
      </w:r>
      <w:r w:rsidR="00EE3F3D" w:rsidRPr="00230BD2">
        <w:rPr>
          <w:rFonts w:cs="Times New Roman"/>
          <w:szCs w:val="24"/>
        </w:rPr>
        <w:t xml:space="preserve">available data from </w:t>
      </w:r>
      <w:r w:rsidR="00A8428B">
        <w:rPr>
          <w:rFonts w:cs="Times New Roman"/>
          <w:szCs w:val="24"/>
        </w:rPr>
        <w:t xml:space="preserve">Western Australia </w:t>
      </w:r>
      <w:r w:rsidR="00EE3F3D" w:rsidRPr="00230BD2">
        <w:rPr>
          <w:rFonts w:cs="Times New Roman"/>
          <w:szCs w:val="24"/>
        </w:rPr>
        <w:t>also indicated that PL benefits paid by insurers in the private system are inflated</w:t>
      </w:r>
      <w:r w:rsidR="00422B82">
        <w:rPr>
          <w:rFonts w:cs="Times New Roman"/>
          <w:szCs w:val="24"/>
        </w:rPr>
        <w:t xml:space="preserve">, in many instances, </w:t>
      </w:r>
      <w:r w:rsidR="00EE3F3D" w:rsidRPr="00230BD2">
        <w:rPr>
          <w:rFonts w:cs="Times New Roman"/>
          <w:szCs w:val="24"/>
        </w:rPr>
        <w:t xml:space="preserve">compared with prices in the public hospital system. </w:t>
      </w:r>
      <w:r w:rsidR="00422B82">
        <w:rPr>
          <w:rFonts w:cs="Times New Roman"/>
          <w:szCs w:val="24"/>
        </w:rPr>
        <w:t>It was reported to the</w:t>
      </w:r>
      <w:r w:rsidR="00422B82" w:rsidRPr="00230BD2">
        <w:rPr>
          <w:rFonts w:cs="Times New Roman"/>
          <w:szCs w:val="24"/>
        </w:rPr>
        <w:t xml:space="preserve"> </w:t>
      </w:r>
      <w:r w:rsidR="00EE3F3D" w:rsidRPr="00230BD2">
        <w:rPr>
          <w:rFonts w:cs="Times New Roman"/>
          <w:szCs w:val="24"/>
        </w:rPr>
        <w:t>IWG that the most obvious examples of inflated pricing, based on international and</w:t>
      </w:r>
      <w:r w:rsidR="00A8428B">
        <w:rPr>
          <w:rFonts w:cs="Times New Roman"/>
          <w:szCs w:val="24"/>
        </w:rPr>
        <w:t xml:space="preserve"> Western Australian</w:t>
      </w:r>
      <w:r w:rsidR="00EE3F3D" w:rsidRPr="00230BD2">
        <w:rPr>
          <w:rFonts w:cs="Times New Roman"/>
          <w:szCs w:val="24"/>
        </w:rPr>
        <w:t xml:space="preserve"> public </w:t>
      </w:r>
      <w:r w:rsidR="00A8428B">
        <w:rPr>
          <w:rFonts w:cs="Times New Roman"/>
          <w:szCs w:val="24"/>
        </w:rPr>
        <w:t>hospital</w:t>
      </w:r>
      <w:r w:rsidR="00A8428B" w:rsidRPr="00230BD2">
        <w:rPr>
          <w:rFonts w:cs="Times New Roman"/>
          <w:szCs w:val="24"/>
        </w:rPr>
        <w:t xml:space="preserve"> </w:t>
      </w:r>
      <w:r w:rsidR="00EE3F3D" w:rsidRPr="00230BD2">
        <w:rPr>
          <w:rFonts w:cs="Times New Roman"/>
          <w:szCs w:val="24"/>
        </w:rPr>
        <w:t xml:space="preserve">data, </w:t>
      </w:r>
      <w:r w:rsidR="00E301E9">
        <w:rPr>
          <w:rFonts w:cs="Times New Roman"/>
          <w:szCs w:val="24"/>
        </w:rPr>
        <w:t>was in the categories of</w:t>
      </w:r>
      <w:r w:rsidR="00EE3F3D" w:rsidRPr="00230BD2">
        <w:rPr>
          <w:rFonts w:cs="Times New Roman"/>
          <w:szCs w:val="24"/>
        </w:rPr>
        <w:t>:</w:t>
      </w:r>
    </w:p>
    <w:p w:rsidR="00EE3F3D" w:rsidRPr="00230BD2" w:rsidRDefault="00EE3F3D" w:rsidP="00230BD2">
      <w:pPr>
        <w:pStyle w:val="ListParagraph"/>
        <w:widowControl w:val="0"/>
        <w:numPr>
          <w:ilvl w:val="0"/>
          <w:numId w:val="8"/>
        </w:numPr>
        <w:rPr>
          <w:rFonts w:cs="Times New Roman"/>
          <w:szCs w:val="24"/>
        </w:rPr>
      </w:pPr>
      <w:r w:rsidRPr="00230BD2">
        <w:rPr>
          <w:rFonts w:cs="Times New Roman"/>
          <w:szCs w:val="24"/>
        </w:rPr>
        <w:t>Cardiac – including single and dual chamber pacemakers, single and dual chamber implantable cardiac defibrillators (ICDs), ICDs with Cardiac Resynchronisation Therapy (CRT), CRT pacemakers, ICD and pacemaker leads and accessories, and coronary stents;</w:t>
      </w:r>
    </w:p>
    <w:p w:rsidR="00EE3F3D" w:rsidRPr="00230BD2" w:rsidRDefault="00EE3F3D" w:rsidP="00230BD2">
      <w:pPr>
        <w:pStyle w:val="ListParagraph"/>
        <w:widowControl w:val="0"/>
        <w:numPr>
          <w:ilvl w:val="0"/>
          <w:numId w:val="8"/>
        </w:numPr>
        <w:rPr>
          <w:rFonts w:cs="Times New Roman"/>
          <w:szCs w:val="24"/>
        </w:rPr>
      </w:pPr>
      <w:r w:rsidRPr="00230BD2">
        <w:rPr>
          <w:rFonts w:cs="Times New Roman"/>
          <w:szCs w:val="24"/>
        </w:rPr>
        <w:t>Intra-Ocular Lens Systems (IOLs) – including anterior and</w:t>
      </w:r>
      <w:r w:rsidR="00E301E9">
        <w:rPr>
          <w:rFonts w:cs="Times New Roman"/>
          <w:szCs w:val="24"/>
        </w:rPr>
        <w:t xml:space="preserve"> predominantly</w:t>
      </w:r>
      <w:r w:rsidRPr="00230BD2">
        <w:rPr>
          <w:rFonts w:cs="Times New Roman"/>
          <w:szCs w:val="24"/>
        </w:rPr>
        <w:t xml:space="preserve"> posterior chamber IOLs;</w:t>
      </w:r>
    </w:p>
    <w:p w:rsidR="00EE3F3D" w:rsidRPr="00230BD2" w:rsidRDefault="00EE3F3D" w:rsidP="00230BD2">
      <w:pPr>
        <w:pStyle w:val="ListParagraph"/>
        <w:widowControl w:val="0"/>
        <w:numPr>
          <w:ilvl w:val="0"/>
          <w:numId w:val="8"/>
        </w:numPr>
        <w:rPr>
          <w:rFonts w:cs="Times New Roman"/>
          <w:szCs w:val="24"/>
        </w:rPr>
      </w:pPr>
      <w:r w:rsidRPr="00230BD2">
        <w:rPr>
          <w:rFonts w:cs="Times New Roman"/>
          <w:szCs w:val="24"/>
        </w:rPr>
        <w:t>Hips – including both femoral and acetabular components and systems; and</w:t>
      </w:r>
    </w:p>
    <w:p w:rsidR="00EE3F3D" w:rsidRPr="00230BD2" w:rsidRDefault="00EE3F3D" w:rsidP="00230BD2">
      <w:pPr>
        <w:pStyle w:val="ListParagraph"/>
        <w:widowControl w:val="0"/>
        <w:numPr>
          <w:ilvl w:val="0"/>
          <w:numId w:val="8"/>
        </w:numPr>
        <w:rPr>
          <w:rFonts w:cs="Times New Roman"/>
          <w:szCs w:val="24"/>
        </w:rPr>
      </w:pPr>
      <w:r w:rsidRPr="00230BD2">
        <w:rPr>
          <w:rFonts w:cs="Times New Roman"/>
          <w:szCs w:val="24"/>
        </w:rPr>
        <w:t>Knees – including femoral, tibial and patellar components and systems.</w:t>
      </w:r>
    </w:p>
    <w:p w:rsidR="005E646E" w:rsidRDefault="00E301E9" w:rsidP="00475F77">
      <w:pPr>
        <w:widowControl w:val="0"/>
        <w:spacing w:line="240" w:lineRule="auto"/>
        <w:rPr>
          <w:rFonts w:cs="Times New Roman"/>
          <w:szCs w:val="24"/>
        </w:rPr>
      </w:pPr>
      <w:r>
        <w:rPr>
          <w:rFonts w:cs="Times New Roman"/>
          <w:szCs w:val="24"/>
        </w:rPr>
        <w:t>The data suggested that</w:t>
      </w:r>
      <w:r w:rsidR="00963320">
        <w:rPr>
          <w:rFonts w:cs="Times New Roman"/>
          <w:szCs w:val="24"/>
        </w:rPr>
        <w:t>,</w:t>
      </w:r>
      <w:r>
        <w:rPr>
          <w:rFonts w:cs="Times New Roman"/>
          <w:szCs w:val="24"/>
        </w:rPr>
        <w:t xml:space="preserve"> in these four groups, the price differential is greater in cardiac and</w:t>
      </w:r>
    </w:p>
    <w:p w:rsidR="00E301E9" w:rsidRDefault="00E301E9" w:rsidP="00475F77">
      <w:pPr>
        <w:widowControl w:val="0"/>
        <w:spacing w:line="240" w:lineRule="auto"/>
        <w:rPr>
          <w:rFonts w:cs="Times New Roman"/>
          <w:szCs w:val="24"/>
        </w:rPr>
      </w:pPr>
      <w:r>
        <w:rPr>
          <w:rFonts w:cs="Times New Roman"/>
          <w:szCs w:val="24"/>
        </w:rPr>
        <w:t>IOL</w:t>
      </w:r>
      <w:r w:rsidR="005E646E">
        <w:rPr>
          <w:rFonts w:cs="Times New Roman"/>
          <w:szCs w:val="24"/>
        </w:rPr>
        <w:t>s</w:t>
      </w:r>
      <w:r>
        <w:rPr>
          <w:rFonts w:cs="Times New Roman"/>
          <w:szCs w:val="24"/>
        </w:rPr>
        <w:t>.</w:t>
      </w:r>
    </w:p>
    <w:p w:rsidR="00EE3F3D" w:rsidRPr="00230BD2" w:rsidRDefault="00EE3F3D" w:rsidP="00230BD2">
      <w:pPr>
        <w:widowControl w:val="0"/>
        <w:rPr>
          <w:rFonts w:cs="Times New Roman"/>
          <w:szCs w:val="24"/>
        </w:rPr>
      </w:pPr>
      <w:r w:rsidRPr="00230BD2">
        <w:rPr>
          <w:rFonts w:cs="Times New Roman"/>
          <w:szCs w:val="24"/>
        </w:rPr>
        <w:lastRenderedPageBreak/>
        <w:t xml:space="preserve">Subsequently, the IWG asked the Department to seek information from relevant sponsors on public and private sector pricing and incentives provided in respect of each of these categories. A request for information was sent to 57 sponsors, with 20 responses. A similar request was also sent to States and Territories, with responses from four jurisdictions. A copy of the information request is attached (Attachment </w:t>
      </w:r>
      <w:r w:rsidR="00963320">
        <w:rPr>
          <w:rFonts w:cs="Times New Roman"/>
          <w:szCs w:val="24"/>
        </w:rPr>
        <w:t>D</w:t>
      </w:r>
      <w:r w:rsidRPr="00230BD2">
        <w:rPr>
          <w:rFonts w:cs="Times New Roman"/>
          <w:szCs w:val="24"/>
        </w:rPr>
        <w:t>).</w:t>
      </w:r>
      <w:r w:rsidR="00456851" w:rsidRPr="00230BD2">
        <w:rPr>
          <w:rFonts w:cs="Times New Roman"/>
          <w:szCs w:val="24"/>
        </w:rPr>
        <w:t xml:space="preserve"> It is important</w:t>
      </w:r>
      <w:r w:rsidR="00F25D22">
        <w:rPr>
          <w:rFonts w:cs="Times New Roman"/>
          <w:szCs w:val="24"/>
        </w:rPr>
        <w:t xml:space="preserve"> to note, however, that there has been</w:t>
      </w:r>
      <w:r w:rsidR="00456851" w:rsidRPr="00230BD2">
        <w:rPr>
          <w:rFonts w:cs="Times New Roman"/>
          <w:szCs w:val="24"/>
        </w:rPr>
        <w:t xml:space="preserve"> no way for the IWG to verify the data received, and that there is no extant mechanism to audit the information. </w:t>
      </w:r>
    </w:p>
    <w:p w:rsidR="00EE3F3D" w:rsidRPr="00230BD2" w:rsidRDefault="003C0F78" w:rsidP="00230BD2">
      <w:pPr>
        <w:widowControl w:val="0"/>
        <w:rPr>
          <w:rFonts w:cs="Times New Roman"/>
          <w:szCs w:val="24"/>
        </w:rPr>
      </w:pPr>
      <w:r>
        <w:rPr>
          <w:rFonts w:cs="Times New Roman"/>
          <w:szCs w:val="24"/>
        </w:rPr>
        <w:t xml:space="preserve">A significant amount of commercial-in-confidence data and information was provided to the Chair and the Department during this process. Due to the nature of the information provided, it was not possible for the Chair to share this information with the IWG. </w:t>
      </w:r>
      <w:r w:rsidR="00ED226A">
        <w:rPr>
          <w:rFonts w:cs="Times New Roman"/>
          <w:szCs w:val="24"/>
        </w:rPr>
        <w:t>W</w:t>
      </w:r>
      <w:r w:rsidR="00EE3F3D" w:rsidRPr="00230BD2">
        <w:rPr>
          <w:rFonts w:cs="Times New Roman"/>
          <w:szCs w:val="24"/>
        </w:rPr>
        <w:t xml:space="preserve">hile </w:t>
      </w:r>
      <w:r w:rsidR="008F4F4E">
        <w:rPr>
          <w:rFonts w:cs="Times New Roman"/>
          <w:szCs w:val="24"/>
        </w:rPr>
        <w:t xml:space="preserve">this report does not contain </w:t>
      </w:r>
      <w:r w:rsidR="00EE3F3D" w:rsidRPr="00230BD2">
        <w:rPr>
          <w:rFonts w:cs="Times New Roman"/>
          <w:szCs w:val="24"/>
        </w:rPr>
        <w:t xml:space="preserve">detailed data and analysis, the responses received </w:t>
      </w:r>
      <w:r w:rsidR="00ED226A">
        <w:rPr>
          <w:rFonts w:cs="Times New Roman"/>
          <w:szCs w:val="24"/>
        </w:rPr>
        <w:t xml:space="preserve">clearly </w:t>
      </w:r>
      <w:r w:rsidR="00EE3F3D" w:rsidRPr="00230BD2">
        <w:rPr>
          <w:rFonts w:cs="Times New Roman"/>
          <w:szCs w:val="24"/>
        </w:rPr>
        <w:t xml:space="preserve">indicated that a price differential </w:t>
      </w:r>
      <w:r w:rsidR="00ED226A">
        <w:rPr>
          <w:rFonts w:cs="Times New Roman"/>
          <w:szCs w:val="24"/>
        </w:rPr>
        <w:t xml:space="preserve">exists </w:t>
      </w:r>
      <w:r w:rsidR="00EE3F3D" w:rsidRPr="00230BD2">
        <w:rPr>
          <w:rFonts w:cs="Times New Roman"/>
          <w:szCs w:val="24"/>
        </w:rPr>
        <w:t>between pub</w:t>
      </w:r>
      <w:r w:rsidR="00ED226A">
        <w:rPr>
          <w:rFonts w:cs="Times New Roman"/>
          <w:szCs w:val="24"/>
        </w:rPr>
        <w:t>lic and private sectors</w:t>
      </w:r>
      <w:r>
        <w:rPr>
          <w:rFonts w:cs="Times New Roman"/>
          <w:szCs w:val="24"/>
        </w:rPr>
        <w:t xml:space="preserve">. The IWG noted that the differential </w:t>
      </w:r>
      <w:r w:rsidR="00405D24">
        <w:rPr>
          <w:rFonts w:cs="Times New Roman"/>
          <w:szCs w:val="24"/>
        </w:rPr>
        <w:t>varies</w:t>
      </w:r>
      <w:r>
        <w:rPr>
          <w:rFonts w:cs="Times New Roman"/>
          <w:szCs w:val="24"/>
        </w:rPr>
        <w:t xml:space="preserve"> between and within categories</w:t>
      </w:r>
      <w:r w:rsidR="00EE3F3D" w:rsidRPr="00230BD2">
        <w:rPr>
          <w:rFonts w:cs="Times New Roman"/>
          <w:szCs w:val="24"/>
        </w:rPr>
        <w:t>.</w:t>
      </w:r>
      <w:r>
        <w:rPr>
          <w:rFonts w:cs="Times New Roman"/>
          <w:szCs w:val="24"/>
        </w:rPr>
        <w:t xml:space="preserve"> </w:t>
      </w:r>
      <w:r w:rsidR="00EE3F3D" w:rsidRPr="00230BD2">
        <w:rPr>
          <w:rFonts w:cs="Times New Roman"/>
          <w:szCs w:val="24"/>
        </w:rPr>
        <w:t xml:space="preserve"> The IWG discussed that </w:t>
      </w:r>
      <w:r w:rsidR="00ED226A">
        <w:rPr>
          <w:rFonts w:cs="Times New Roman"/>
          <w:szCs w:val="24"/>
        </w:rPr>
        <w:t xml:space="preserve">these </w:t>
      </w:r>
      <w:r w:rsidR="00EE3F3D" w:rsidRPr="00230BD2">
        <w:rPr>
          <w:rFonts w:cs="Times New Roman"/>
          <w:szCs w:val="24"/>
        </w:rPr>
        <w:t>differences may be related to purchasing power and the impact of exclusive contracts in the public system</w:t>
      </w:r>
      <w:r w:rsidR="00456851" w:rsidRPr="00230BD2">
        <w:rPr>
          <w:rFonts w:cs="Times New Roman"/>
          <w:szCs w:val="24"/>
        </w:rPr>
        <w:t>. The role of discounting</w:t>
      </w:r>
      <w:r>
        <w:rPr>
          <w:rFonts w:cs="Times New Roman"/>
          <w:szCs w:val="24"/>
        </w:rPr>
        <w:t xml:space="preserve"> by sponsors</w:t>
      </w:r>
      <w:r w:rsidR="00456851" w:rsidRPr="00230BD2">
        <w:rPr>
          <w:rFonts w:cs="Times New Roman"/>
          <w:szCs w:val="24"/>
        </w:rPr>
        <w:t xml:space="preserve"> to achieve market share was also noted. </w:t>
      </w:r>
    </w:p>
    <w:p w:rsidR="00456851" w:rsidRPr="00230BD2" w:rsidRDefault="00405D24" w:rsidP="00230BD2">
      <w:pPr>
        <w:widowControl w:val="0"/>
        <w:rPr>
          <w:rFonts w:cs="Times New Roman"/>
          <w:szCs w:val="24"/>
        </w:rPr>
      </w:pPr>
      <w:r>
        <w:rPr>
          <w:rFonts w:cs="Times New Roman"/>
          <w:szCs w:val="24"/>
        </w:rPr>
        <w:t>The IWG</w:t>
      </w:r>
      <w:r w:rsidRPr="00230BD2">
        <w:rPr>
          <w:rFonts w:cs="Times New Roman"/>
          <w:szCs w:val="24"/>
        </w:rPr>
        <w:t xml:space="preserve"> noted that some private hospital organisations have a similar magnitude of bargaining power</w:t>
      </w:r>
      <w:r>
        <w:rPr>
          <w:rFonts w:cs="Times New Roman"/>
          <w:szCs w:val="24"/>
        </w:rPr>
        <w:t xml:space="preserve"> to the public sector and that some private hospitals use their market power to achieve discounts or rebates on the PL benefit level.</w:t>
      </w:r>
      <w:r w:rsidR="00E301E9">
        <w:rPr>
          <w:rFonts w:cs="Times New Roman"/>
          <w:szCs w:val="24"/>
        </w:rPr>
        <w:t xml:space="preserve">  Bargaining power varies depending on the market size and location i.e. rural and remote of the hospital</w:t>
      </w:r>
      <w:r w:rsidR="0086720A">
        <w:rPr>
          <w:rFonts w:cs="Times New Roman"/>
          <w:szCs w:val="24"/>
        </w:rPr>
        <w:t xml:space="preserve"> (where applicable)</w:t>
      </w:r>
      <w:r w:rsidR="00E301E9">
        <w:rPr>
          <w:rFonts w:cs="Times New Roman"/>
          <w:szCs w:val="24"/>
        </w:rPr>
        <w:t>, or day surgery.</w:t>
      </w:r>
      <w:r>
        <w:rPr>
          <w:rFonts w:cs="Times New Roman"/>
          <w:szCs w:val="24"/>
        </w:rPr>
        <w:t xml:space="preserve"> </w:t>
      </w:r>
      <w:r w:rsidR="00456851" w:rsidRPr="00230BD2">
        <w:rPr>
          <w:rFonts w:cs="Times New Roman"/>
          <w:szCs w:val="24"/>
        </w:rPr>
        <w:t xml:space="preserve">The IWG </w:t>
      </w:r>
      <w:r>
        <w:rPr>
          <w:rFonts w:cs="Times New Roman"/>
          <w:szCs w:val="24"/>
        </w:rPr>
        <w:t>was advised</w:t>
      </w:r>
      <w:r w:rsidR="00456851" w:rsidRPr="00230BD2">
        <w:rPr>
          <w:rFonts w:cs="Times New Roman"/>
          <w:szCs w:val="24"/>
        </w:rPr>
        <w:t xml:space="preserve"> that </w:t>
      </w:r>
      <w:r>
        <w:rPr>
          <w:rFonts w:cs="Times New Roman"/>
          <w:szCs w:val="24"/>
        </w:rPr>
        <w:t>rebates offered to private hospitals</w:t>
      </w:r>
      <w:r w:rsidR="00456851" w:rsidRPr="00230BD2">
        <w:rPr>
          <w:rFonts w:cs="Times New Roman"/>
          <w:szCs w:val="24"/>
        </w:rPr>
        <w:t xml:space="preserve"> </w:t>
      </w:r>
      <w:r>
        <w:rPr>
          <w:rFonts w:cs="Times New Roman"/>
          <w:szCs w:val="24"/>
        </w:rPr>
        <w:t>are often provided</w:t>
      </w:r>
      <w:r w:rsidR="00456851" w:rsidRPr="00230BD2">
        <w:rPr>
          <w:rFonts w:cs="Times New Roman"/>
          <w:szCs w:val="24"/>
        </w:rPr>
        <w:t xml:space="preserve"> in the form of a percentage across a suite of goods</w:t>
      </w:r>
      <w:r w:rsidR="00E301E9">
        <w:rPr>
          <w:rFonts w:cs="Times New Roman"/>
          <w:szCs w:val="24"/>
        </w:rPr>
        <w:t>, including non-prostheses goods</w:t>
      </w:r>
      <w:r w:rsidR="00456851" w:rsidRPr="00230BD2">
        <w:rPr>
          <w:rFonts w:cs="Times New Roman"/>
          <w:szCs w:val="24"/>
        </w:rPr>
        <w:t xml:space="preserve">. Hospital representatives agreed that such rebating occurs, but contend that </w:t>
      </w:r>
      <w:r w:rsidR="00A8428B">
        <w:rPr>
          <w:rFonts w:cs="Times New Roman"/>
          <w:szCs w:val="24"/>
        </w:rPr>
        <w:t>these rebates</w:t>
      </w:r>
      <w:r w:rsidR="00456851" w:rsidRPr="00230BD2">
        <w:rPr>
          <w:rFonts w:cs="Times New Roman"/>
          <w:szCs w:val="24"/>
        </w:rPr>
        <w:t xml:space="preserve"> are used to cross-subsidise other activities, including medical devices and technologies (such as cardiac ablation therapy) which are not listed on the PL due to not meeting the current listing criteria. However, the IWG </w:t>
      </w:r>
      <w:r w:rsidR="00A8428B">
        <w:rPr>
          <w:rFonts w:cs="Times New Roman"/>
          <w:szCs w:val="24"/>
        </w:rPr>
        <w:t xml:space="preserve">generally </w:t>
      </w:r>
      <w:r w:rsidR="00456851" w:rsidRPr="00230BD2">
        <w:rPr>
          <w:rFonts w:cs="Times New Roman"/>
          <w:szCs w:val="24"/>
        </w:rPr>
        <w:t xml:space="preserve">agreed that cross-subsidisation between non-transparent processes is a concern, and that better exposure of these processes through improved transparency is desirable. </w:t>
      </w:r>
    </w:p>
    <w:p w:rsidR="00986096" w:rsidRDefault="00B55E94" w:rsidP="00475F77">
      <w:pPr>
        <w:widowControl w:val="0"/>
        <w:rPr>
          <w:rFonts w:cs="Times New Roman"/>
          <w:i/>
          <w:szCs w:val="24"/>
        </w:rPr>
      </w:pPr>
      <w:r w:rsidRPr="00230BD2">
        <w:rPr>
          <w:rFonts w:cs="Times New Roman"/>
          <w:szCs w:val="24"/>
        </w:rPr>
        <w:t>In summary, the IWG agreed that the PL device categories of Cardiac, Intra-Ocular Lens Systems</w:t>
      </w:r>
      <w:r>
        <w:rPr>
          <w:rFonts w:cs="Times New Roman"/>
          <w:szCs w:val="24"/>
        </w:rPr>
        <w:t xml:space="preserve"> (IOLs), Hips and Knees appear to</w:t>
      </w:r>
      <w:r w:rsidRPr="00230BD2">
        <w:rPr>
          <w:rFonts w:cs="Times New Roman"/>
          <w:szCs w:val="24"/>
        </w:rPr>
        <w:t xml:space="preserve"> </w:t>
      </w:r>
      <w:r>
        <w:rPr>
          <w:rFonts w:cs="Times New Roman"/>
          <w:szCs w:val="24"/>
        </w:rPr>
        <w:t>have the largest price-benefit differentials between the PL benefit and</w:t>
      </w:r>
      <w:r w:rsidRPr="00230BD2">
        <w:rPr>
          <w:rFonts w:cs="Times New Roman"/>
          <w:szCs w:val="24"/>
        </w:rPr>
        <w:t xml:space="preserve"> available domestic and international data, and that Government </w:t>
      </w:r>
      <w:r>
        <w:rPr>
          <w:rFonts w:cs="Times New Roman"/>
          <w:szCs w:val="24"/>
        </w:rPr>
        <w:t xml:space="preserve">may wish to </w:t>
      </w:r>
      <w:r w:rsidRPr="00230BD2">
        <w:rPr>
          <w:rFonts w:cs="Times New Roman"/>
          <w:szCs w:val="24"/>
        </w:rPr>
        <w:t>consider these categories as the initial targets for any benefit reduction.</w:t>
      </w:r>
      <w:r>
        <w:rPr>
          <w:rFonts w:cs="Times New Roman"/>
          <w:szCs w:val="24"/>
        </w:rPr>
        <w:t xml:space="preserve"> </w:t>
      </w:r>
      <w:r w:rsidR="00823014">
        <w:rPr>
          <w:rFonts w:cs="Times New Roman"/>
          <w:szCs w:val="24"/>
        </w:rPr>
        <w:t>The IWG noted that benefit reductions may have relatively larger financial impacts on smaller companies, and recommended that these impacts be taken into consideration before benefit reductions are finalised.</w:t>
      </w:r>
      <w:r w:rsidR="00986096">
        <w:rPr>
          <w:rFonts w:cs="Times New Roman"/>
          <w:i/>
          <w:szCs w:val="24"/>
        </w:rPr>
        <w:br w:type="page"/>
      </w:r>
    </w:p>
    <w:p w:rsidR="00230BD2" w:rsidRPr="00230BD2" w:rsidRDefault="00230BD2" w:rsidP="00A04190">
      <w:pPr>
        <w:pStyle w:val="Style2"/>
      </w:pPr>
      <w:r w:rsidRPr="00230BD2">
        <w:lastRenderedPageBreak/>
        <w:t>Refining the scope of products on the PL, without compromising access</w:t>
      </w:r>
    </w:p>
    <w:p w:rsidR="00230BD2" w:rsidRPr="00230BD2" w:rsidRDefault="00230BD2" w:rsidP="00230BD2">
      <w:pPr>
        <w:widowControl w:val="0"/>
        <w:rPr>
          <w:rFonts w:cs="Times New Roman"/>
          <w:szCs w:val="24"/>
        </w:rPr>
      </w:pPr>
      <w:r w:rsidRPr="00230BD2">
        <w:rPr>
          <w:rFonts w:cs="Times New Roman"/>
          <w:szCs w:val="24"/>
        </w:rPr>
        <w:t xml:space="preserve">The IWG discussed in greater detail the current criteria for the PL. </w:t>
      </w:r>
      <w:r w:rsidR="00D67CB1">
        <w:rPr>
          <w:rFonts w:cs="Times New Roman"/>
          <w:szCs w:val="24"/>
        </w:rPr>
        <w:t>In particular, the IWG expressed views regarding the criteria in respect of the surgical implantation, and noted that as technology advances, new devices and technologies are being developed which do not specifically meet the PL criteria in this regard, but which are demonstrably safe, effective, and most importantly, cost-effective – in</w:t>
      </w:r>
      <w:r w:rsidR="0086720A">
        <w:rPr>
          <w:rFonts w:cs="Times New Roman"/>
          <w:szCs w:val="24"/>
        </w:rPr>
        <w:t xml:space="preserve"> some</w:t>
      </w:r>
      <w:r w:rsidR="00D67CB1">
        <w:rPr>
          <w:rFonts w:cs="Times New Roman"/>
          <w:szCs w:val="24"/>
        </w:rPr>
        <w:t xml:space="preserve"> cases with advantages to patients in terms of reduced hospitalisation and cost. While the IWG did not </w:t>
      </w:r>
      <w:r w:rsidR="00AB3658">
        <w:rPr>
          <w:rFonts w:cs="Times New Roman"/>
          <w:szCs w:val="24"/>
        </w:rPr>
        <w:t xml:space="preserve">consider specific </w:t>
      </w:r>
      <w:r w:rsidR="00D67CB1">
        <w:rPr>
          <w:rFonts w:cs="Times New Roman"/>
          <w:szCs w:val="24"/>
        </w:rPr>
        <w:t xml:space="preserve">changes to the listing criteria, </w:t>
      </w:r>
      <w:r w:rsidR="00963320">
        <w:rPr>
          <w:rFonts w:cs="Times New Roman"/>
          <w:szCs w:val="24"/>
        </w:rPr>
        <w:t>it</w:t>
      </w:r>
      <w:r w:rsidR="00D67CB1">
        <w:rPr>
          <w:rFonts w:cs="Times New Roman"/>
          <w:szCs w:val="24"/>
        </w:rPr>
        <w:t xml:space="preserve"> did agree that listing criteria need to be flexible and dynamic, with the ability to list new technologies as they develop.  </w:t>
      </w:r>
    </w:p>
    <w:p w:rsidR="00230BD2" w:rsidRPr="007F35A0" w:rsidRDefault="00230BD2" w:rsidP="00230BD2">
      <w:pPr>
        <w:widowControl w:val="0"/>
        <w:rPr>
          <w:rFonts w:cs="Times New Roman"/>
          <w:szCs w:val="24"/>
        </w:rPr>
      </w:pPr>
      <w:r w:rsidRPr="007F35A0">
        <w:rPr>
          <w:rFonts w:cs="Times New Roman"/>
          <w:szCs w:val="24"/>
        </w:rPr>
        <w:t>In summary, the IWG agreed:</w:t>
      </w:r>
      <w:r w:rsidR="00616AE9" w:rsidRPr="00475F77">
        <w:rPr>
          <w:rFonts w:cs="Times New Roman"/>
          <w:szCs w:val="24"/>
        </w:rPr>
        <w:t xml:space="preserve"> </w:t>
      </w:r>
    </w:p>
    <w:p w:rsidR="007F35A0" w:rsidRPr="00230BD2" w:rsidRDefault="007F35A0" w:rsidP="007F35A0">
      <w:pPr>
        <w:pStyle w:val="ListParagraph"/>
        <w:widowControl w:val="0"/>
        <w:numPr>
          <w:ilvl w:val="0"/>
          <w:numId w:val="1"/>
        </w:numPr>
        <w:rPr>
          <w:rFonts w:cs="Times New Roman"/>
          <w:szCs w:val="24"/>
        </w:rPr>
      </w:pPr>
      <w:r>
        <w:rPr>
          <w:rFonts w:cs="Times New Roman"/>
          <w:szCs w:val="24"/>
        </w:rPr>
        <w:t>t</w:t>
      </w:r>
      <w:r w:rsidRPr="00230BD2">
        <w:rPr>
          <w:rFonts w:cs="Times New Roman"/>
          <w:szCs w:val="24"/>
        </w:rPr>
        <w:t>hat</w:t>
      </w:r>
      <w:r>
        <w:rPr>
          <w:rFonts w:cs="Times New Roman"/>
          <w:szCs w:val="24"/>
        </w:rPr>
        <w:t xml:space="preserve"> if</w:t>
      </w:r>
      <w:r w:rsidRPr="00230BD2">
        <w:rPr>
          <w:rFonts w:cs="Times New Roman"/>
          <w:szCs w:val="24"/>
        </w:rPr>
        <w:t xml:space="preserve"> items </w:t>
      </w:r>
      <w:r>
        <w:rPr>
          <w:rFonts w:cs="Times New Roman"/>
          <w:szCs w:val="24"/>
        </w:rPr>
        <w:t>are</w:t>
      </w:r>
      <w:r w:rsidRPr="00230BD2">
        <w:rPr>
          <w:rFonts w:cs="Times New Roman"/>
          <w:szCs w:val="24"/>
        </w:rPr>
        <w:t xml:space="preserve"> considered for</w:t>
      </w:r>
      <w:r>
        <w:rPr>
          <w:rFonts w:cs="Times New Roman"/>
          <w:szCs w:val="24"/>
        </w:rPr>
        <w:t xml:space="preserve"> removal</w:t>
      </w:r>
      <w:r w:rsidRPr="00230BD2">
        <w:rPr>
          <w:rFonts w:cs="Times New Roman"/>
          <w:szCs w:val="24"/>
        </w:rPr>
        <w:t xml:space="preserve"> </w:t>
      </w:r>
      <w:r>
        <w:rPr>
          <w:rFonts w:cs="Times New Roman"/>
          <w:szCs w:val="24"/>
        </w:rPr>
        <w:t>in order to rationalise</w:t>
      </w:r>
      <w:r w:rsidRPr="00230BD2">
        <w:rPr>
          <w:rFonts w:cs="Times New Roman"/>
          <w:szCs w:val="24"/>
        </w:rPr>
        <w:t xml:space="preserve"> the PL, </w:t>
      </w:r>
      <w:r>
        <w:rPr>
          <w:rFonts w:cs="Times New Roman"/>
          <w:szCs w:val="24"/>
        </w:rPr>
        <w:t>adequate time must be provided to allow new funding arrangements to be put in place</w:t>
      </w:r>
      <w:r w:rsidRPr="00230BD2">
        <w:rPr>
          <w:rFonts w:cs="Times New Roman"/>
          <w:szCs w:val="24"/>
        </w:rPr>
        <w:t>;</w:t>
      </w:r>
    </w:p>
    <w:p w:rsidR="007F35A0" w:rsidRPr="00230BD2" w:rsidRDefault="007F35A0" w:rsidP="007F35A0">
      <w:pPr>
        <w:pStyle w:val="ListParagraph"/>
        <w:widowControl w:val="0"/>
        <w:numPr>
          <w:ilvl w:val="0"/>
          <w:numId w:val="1"/>
        </w:numPr>
        <w:rPr>
          <w:rFonts w:cs="Times New Roman"/>
          <w:szCs w:val="24"/>
        </w:rPr>
      </w:pPr>
      <w:r w:rsidRPr="00230BD2">
        <w:rPr>
          <w:rFonts w:cs="Times New Roman"/>
          <w:szCs w:val="24"/>
        </w:rPr>
        <w:t xml:space="preserve">that further consideration </w:t>
      </w:r>
      <w:r w:rsidR="00C73C48" w:rsidRPr="00230BD2">
        <w:rPr>
          <w:rFonts w:cs="Times New Roman"/>
          <w:szCs w:val="24"/>
        </w:rPr>
        <w:t>is</w:t>
      </w:r>
      <w:r w:rsidRPr="00230BD2">
        <w:rPr>
          <w:rFonts w:cs="Times New Roman"/>
          <w:szCs w:val="24"/>
        </w:rPr>
        <w:t xml:space="preserve"> given to amending the PL criteria to </w:t>
      </w:r>
      <w:r>
        <w:rPr>
          <w:rFonts w:cs="Times New Roman"/>
          <w:szCs w:val="24"/>
        </w:rPr>
        <w:t xml:space="preserve">include </w:t>
      </w:r>
      <w:r w:rsidRPr="00230BD2">
        <w:rPr>
          <w:rFonts w:cs="Times New Roman"/>
          <w:szCs w:val="24"/>
        </w:rPr>
        <w:t xml:space="preserve">innovative medical technologies, which are demonstrably safe, effective and cost-effective but which don’t meet the current </w:t>
      </w:r>
      <w:r w:rsidR="006B6646">
        <w:rPr>
          <w:rFonts w:cs="Times New Roman"/>
          <w:szCs w:val="24"/>
        </w:rPr>
        <w:t>PL</w:t>
      </w:r>
      <w:r w:rsidRPr="00230BD2">
        <w:rPr>
          <w:rFonts w:cs="Times New Roman"/>
          <w:szCs w:val="24"/>
        </w:rPr>
        <w:t xml:space="preserve"> </w:t>
      </w:r>
      <w:r w:rsidR="009E1CB3" w:rsidRPr="00230BD2">
        <w:rPr>
          <w:rFonts w:cs="Times New Roman"/>
          <w:szCs w:val="24"/>
        </w:rPr>
        <w:t>criteria</w:t>
      </w:r>
      <w:r w:rsidR="009E1CB3">
        <w:rPr>
          <w:rFonts w:cs="Times New Roman"/>
          <w:szCs w:val="24"/>
        </w:rPr>
        <w:t>. This</w:t>
      </w:r>
      <w:r w:rsidR="004E7447">
        <w:rPr>
          <w:rFonts w:cs="Times New Roman"/>
          <w:szCs w:val="24"/>
        </w:rPr>
        <w:t xml:space="preserve"> consideration should take into account the views expressed by the private health funds that this needs to occur in the context of a revision of the benefit setting</w:t>
      </w:r>
    </w:p>
    <w:p w:rsidR="00D67CB1" w:rsidRPr="00D67CB1" w:rsidRDefault="00D67CB1" w:rsidP="00A04190">
      <w:pPr>
        <w:pStyle w:val="Style2"/>
      </w:pPr>
      <w:r w:rsidRPr="00D67CB1">
        <w:t>Opportunities for deregulation</w:t>
      </w:r>
    </w:p>
    <w:p w:rsidR="006F13FE" w:rsidRDefault="006F13FE" w:rsidP="00D67CB1">
      <w:pPr>
        <w:widowControl w:val="0"/>
        <w:rPr>
          <w:rFonts w:cs="Times New Roman"/>
          <w:szCs w:val="24"/>
        </w:rPr>
      </w:pPr>
      <w:r>
        <w:rPr>
          <w:rFonts w:cs="Times New Roman"/>
          <w:szCs w:val="24"/>
        </w:rPr>
        <w:t xml:space="preserve">The IWG discussed at length the composition and operation of the current PLAC. As discussed earlier, members agreed that both a </w:t>
      </w:r>
      <w:r w:rsidR="004E7447">
        <w:rPr>
          <w:rFonts w:cs="Times New Roman"/>
          <w:szCs w:val="24"/>
        </w:rPr>
        <w:t xml:space="preserve">PLAC and a clinical advisory structure </w:t>
      </w:r>
      <w:r>
        <w:rPr>
          <w:rFonts w:cs="Times New Roman"/>
          <w:szCs w:val="24"/>
        </w:rPr>
        <w:t>should be retained, but that there are opportunities for changes to PLAC to enhance its deliberations. The IWG iterated its support for the PLAC Chair to continue to be independent, and considered that the committee could benefit from a refinement of members’ skills mix to strengthen health economics expertise and cross-alignment with MSAC, with a view to better cost-effectiveness assessments of devices claiming clinical superiority.</w:t>
      </w:r>
      <w:r w:rsidR="00616AE9">
        <w:rPr>
          <w:rFonts w:cs="Times New Roman"/>
          <w:szCs w:val="24"/>
        </w:rPr>
        <w:t xml:space="preserve">  Membership of the committee must be considered to contain the range of expertise required to make informed decisions.</w:t>
      </w:r>
      <w:r>
        <w:rPr>
          <w:rFonts w:cs="Times New Roman"/>
          <w:szCs w:val="24"/>
        </w:rPr>
        <w:t xml:space="preserve"> </w:t>
      </w:r>
    </w:p>
    <w:p w:rsidR="006F13FE" w:rsidRDefault="00487238" w:rsidP="00D67CB1">
      <w:pPr>
        <w:widowControl w:val="0"/>
        <w:rPr>
          <w:rFonts w:cs="Times New Roman"/>
          <w:szCs w:val="24"/>
        </w:rPr>
      </w:pPr>
      <w:r>
        <w:rPr>
          <w:rFonts w:cs="Times New Roman"/>
          <w:szCs w:val="24"/>
        </w:rPr>
        <w:t>In this respect, the IWG</w:t>
      </w:r>
      <w:r w:rsidR="006F13FE">
        <w:rPr>
          <w:rFonts w:cs="Times New Roman"/>
          <w:szCs w:val="24"/>
        </w:rPr>
        <w:t xml:space="preserve"> noted that PLAC does not genuinely conduct cost-effectiveness analyses; rather, if a new device can demonstrate that it is clinically equivalent (non-inferior) to currently listed devices in the same group, then it will be listed at the group benefit. Use of the Superior Clinical Performance (SCP) suffix, which brings with it a benefit premium, is not well defined and would benefit from clarification and definition.</w:t>
      </w:r>
      <w:r w:rsidR="00967F73">
        <w:rPr>
          <w:rFonts w:cs="Times New Roman"/>
          <w:szCs w:val="24"/>
        </w:rPr>
        <w:t xml:space="preserve">  The IWG recommends that the PLAC should develop guidelines describing the criteria for consideration of claimed superior efficacy across the Prostheses List.</w:t>
      </w:r>
      <w:r w:rsidR="006F13FE">
        <w:rPr>
          <w:rFonts w:cs="Times New Roman"/>
          <w:szCs w:val="24"/>
        </w:rPr>
        <w:t xml:space="preserve"> </w:t>
      </w:r>
      <w:r w:rsidR="00046D55">
        <w:rPr>
          <w:rFonts w:cs="Times New Roman"/>
          <w:szCs w:val="24"/>
        </w:rPr>
        <w:t>T</w:t>
      </w:r>
      <w:r w:rsidR="006F13FE">
        <w:rPr>
          <w:rFonts w:cs="Times New Roman"/>
          <w:szCs w:val="24"/>
        </w:rPr>
        <w:t xml:space="preserve">he IWG considered that an opportunity exists </w:t>
      </w:r>
      <w:r w:rsidR="00046D55">
        <w:rPr>
          <w:rFonts w:cs="Times New Roman"/>
          <w:szCs w:val="24"/>
        </w:rPr>
        <w:t>for better interaction and co-operation between PLAC and the TGA. There are also opportunities for PLAC to work with</w:t>
      </w:r>
      <w:r w:rsidR="006F13FE">
        <w:rPr>
          <w:rFonts w:cs="Times New Roman"/>
          <w:szCs w:val="24"/>
        </w:rPr>
        <w:t xml:space="preserve"> MSAC (and possibly other</w:t>
      </w:r>
      <w:r w:rsidR="00046D55">
        <w:rPr>
          <w:rFonts w:cs="Times New Roman"/>
          <w:szCs w:val="24"/>
        </w:rPr>
        <w:t xml:space="preserve"> existing</w:t>
      </w:r>
      <w:r w:rsidR="006F13FE">
        <w:rPr>
          <w:rFonts w:cs="Times New Roman"/>
          <w:szCs w:val="24"/>
        </w:rPr>
        <w:t xml:space="preserve"> HTA bodies) </w:t>
      </w:r>
      <w:r w:rsidR="00405D24">
        <w:rPr>
          <w:rFonts w:cs="Times New Roman"/>
          <w:szCs w:val="24"/>
        </w:rPr>
        <w:t xml:space="preserve">to </w:t>
      </w:r>
      <w:r w:rsidR="00046D55">
        <w:rPr>
          <w:rFonts w:cs="Times New Roman"/>
          <w:szCs w:val="24"/>
        </w:rPr>
        <w:t>consider</w:t>
      </w:r>
      <w:r w:rsidR="00405D24">
        <w:rPr>
          <w:rFonts w:cs="Times New Roman"/>
          <w:szCs w:val="24"/>
        </w:rPr>
        <w:t xml:space="preserve"> </w:t>
      </w:r>
      <w:r w:rsidR="00046D55">
        <w:rPr>
          <w:rFonts w:cs="Times New Roman"/>
          <w:szCs w:val="24"/>
        </w:rPr>
        <w:t>cost-effectiveness claims</w:t>
      </w:r>
      <w:r w:rsidR="00ED226A">
        <w:rPr>
          <w:rFonts w:cs="Times New Roman"/>
          <w:szCs w:val="24"/>
        </w:rPr>
        <w:t>.</w:t>
      </w:r>
    </w:p>
    <w:p w:rsidR="00487238" w:rsidRDefault="00046D55" w:rsidP="00D67CB1">
      <w:pPr>
        <w:widowControl w:val="0"/>
        <w:rPr>
          <w:rFonts w:cs="Times New Roman"/>
          <w:szCs w:val="24"/>
        </w:rPr>
      </w:pPr>
      <w:r>
        <w:rPr>
          <w:rFonts w:cs="Times New Roman"/>
          <w:szCs w:val="24"/>
        </w:rPr>
        <w:t>Within this context, t</w:t>
      </w:r>
      <w:r w:rsidR="00487238">
        <w:rPr>
          <w:rFonts w:cs="Times New Roman"/>
          <w:szCs w:val="24"/>
        </w:rPr>
        <w:t>he IWG affirmed its support for</w:t>
      </w:r>
      <w:r>
        <w:rPr>
          <w:rFonts w:cs="Times New Roman"/>
          <w:szCs w:val="24"/>
        </w:rPr>
        <w:t xml:space="preserve"> PLAC to have available to it expert clinical advice in relation to its functions, and recommended that further consideration be </w:t>
      </w:r>
      <w:r>
        <w:rPr>
          <w:rFonts w:cs="Times New Roman"/>
          <w:szCs w:val="24"/>
        </w:rPr>
        <w:lastRenderedPageBreak/>
        <w:t xml:space="preserve">given to the most effective </w:t>
      </w:r>
      <w:r w:rsidR="004E7447">
        <w:rPr>
          <w:rFonts w:cs="Times New Roman"/>
          <w:szCs w:val="24"/>
        </w:rPr>
        <w:t>structure</w:t>
      </w:r>
      <w:r>
        <w:rPr>
          <w:rFonts w:cs="Times New Roman"/>
          <w:szCs w:val="24"/>
        </w:rPr>
        <w:t xml:space="preserve"> of achieving this.</w:t>
      </w:r>
      <w:r w:rsidR="00487238">
        <w:rPr>
          <w:rFonts w:cs="Times New Roman"/>
          <w:szCs w:val="24"/>
        </w:rPr>
        <w:t xml:space="preserve"> </w:t>
      </w:r>
    </w:p>
    <w:p w:rsidR="00F25D22" w:rsidRDefault="00F25D22" w:rsidP="00D67CB1">
      <w:pPr>
        <w:widowControl w:val="0"/>
        <w:rPr>
          <w:rFonts w:cs="Times New Roman"/>
          <w:szCs w:val="24"/>
        </w:rPr>
      </w:pPr>
      <w:r>
        <w:rPr>
          <w:rFonts w:cs="Times New Roman"/>
          <w:szCs w:val="24"/>
        </w:rPr>
        <w:t xml:space="preserve">The IWG </w:t>
      </w:r>
      <w:r w:rsidR="00046D55">
        <w:rPr>
          <w:rFonts w:cs="Times New Roman"/>
          <w:szCs w:val="24"/>
        </w:rPr>
        <w:t>agreed there should be a</w:t>
      </w:r>
      <w:r>
        <w:rPr>
          <w:rFonts w:cs="Times New Roman"/>
          <w:szCs w:val="24"/>
        </w:rPr>
        <w:t xml:space="preserve"> formalised process </w:t>
      </w:r>
      <w:r w:rsidR="008F4F4E">
        <w:rPr>
          <w:rFonts w:cs="Times New Roman"/>
          <w:szCs w:val="24"/>
        </w:rPr>
        <w:t xml:space="preserve">of post-marketing review, which may lead to </w:t>
      </w:r>
      <w:r>
        <w:rPr>
          <w:rFonts w:cs="Times New Roman"/>
          <w:szCs w:val="24"/>
        </w:rPr>
        <w:t xml:space="preserve">delisting of devices. The </w:t>
      </w:r>
      <w:r w:rsidR="00967F73">
        <w:rPr>
          <w:rFonts w:cs="Times New Roman"/>
          <w:szCs w:val="24"/>
        </w:rPr>
        <w:t xml:space="preserve">IWG </w:t>
      </w:r>
      <w:r>
        <w:rPr>
          <w:rFonts w:cs="Times New Roman"/>
          <w:szCs w:val="24"/>
        </w:rPr>
        <w:t>considered this to be a major failing of the current PLAC arrangements, particularly when there is good evidence from registries that certain devices do not perform as well as their peers. The role of registries</w:t>
      </w:r>
      <w:r w:rsidR="004E7447">
        <w:rPr>
          <w:rFonts w:cs="Times New Roman"/>
          <w:szCs w:val="24"/>
        </w:rPr>
        <w:t xml:space="preserve"> such as</w:t>
      </w:r>
      <w:r w:rsidR="004E7447" w:rsidRPr="004E7447">
        <w:rPr>
          <w:rFonts w:cs="Times New Roman"/>
          <w:szCs w:val="24"/>
        </w:rPr>
        <w:t xml:space="preserve"> </w:t>
      </w:r>
      <w:r w:rsidR="004E7447">
        <w:rPr>
          <w:rFonts w:cs="Times New Roman"/>
          <w:szCs w:val="24"/>
        </w:rPr>
        <w:t xml:space="preserve">the Australian Orthopaedic Association National Joint Replacement Registry (NJRR). </w:t>
      </w:r>
      <w:r>
        <w:rPr>
          <w:rFonts w:cs="Times New Roman"/>
          <w:szCs w:val="24"/>
        </w:rPr>
        <w:t xml:space="preserve"> as an information source for PLAC was </w:t>
      </w:r>
      <w:r w:rsidR="00B55E94">
        <w:rPr>
          <w:rFonts w:cs="Times New Roman"/>
          <w:szCs w:val="24"/>
        </w:rPr>
        <w:t xml:space="preserve">highlighted </w:t>
      </w:r>
      <w:r w:rsidR="00BC2B97">
        <w:rPr>
          <w:rFonts w:cs="Times New Roman"/>
          <w:szCs w:val="24"/>
        </w:rPr>
        <w:t>taking into account limitations of registry data</w:t>
      </w:r>
      <w:r w:rsidR="004E7447">
        <w:rPr>
          <w:rFonts w:cs="Times New Roman"/>
          <w:szCs w:val="24"/>
        </w:rPr>
        <w:t xml:space="preserve"> </w:t>
      </w:r>
      <w:r>
        <w:rPr>
          <w:rFonts w:cs="Times New Roman"/>
          <w:szCs w:val="24"/>
        </w:rPr>
        <w:t xml:space="preserve">The IWG considered that better feedback loops between registries and the PLAC would assist in identifying both superior and inferior devices – allowing assessments of a benefit premium in the former case, and delisting from the PL in the latter case. </w:t>
      </w:r>
      <w:r w:rsidR="00046D55">
        <w:rPr>
          <w:rFonts w:cs="Times New Roman"/>
          <w:szCs w:val="24"/>
        </w:rPr>
        <w:t xml:space="preserve">Any new </w:t>
      </w:r>
      <w:r w:rsidR="008F4F4E">
        <w:rPr>
          <w:rFonts w:cs="Times New Roman"/>
          <w:szCs w:val="24"/>
        </w:rPr>
        <w:t>post-marketing review</w:t>
      </w:r>
      <w:r w:rsidR="00046D55">
        <w:rPr>
          <w:rFonts w:cs="Times New Roman"/>
          <w:szCs w:val="24"/>
        </w:rPr>
        <w:t xml:space="preserve"> process should require the PLAC to interact with the TGA in instances where safety and/or efficacy of devices </w:t>
      </w:r>
      <w:r w:rsidR="00C73C48">
        <w:rPr>
          <w:rFonts w:cs="Times New Roman"/>
          <w:szCs w:val="24"/>
        </w:rPr>
        <w:t>are</w:t>
      </w:r>
      <w:r w:rsidR="00046D55">
        <w:rPr>
          <w:rFonts w:cs="Times New Roman"/>
          <w:szCs w:val="24"/>
        </w:rPr>
        <w:t xml:space="preserve"> involved.</w:t>
      </w:r>
      <w:r w:rsidR="008F4F4E">
        <w:rPr>
          <w:rFonts w:cs="Times New Roman"/>
          <w:szCs w:val="24"/>
        </w:rPr>
        <w:t xml:space="preserve"> The IWG noted that PLAC is not currently resourced to enable it to introduce a post-marketing review process.</w:t>
      </w:r>
    </w:p>
    <w:p w:rsidR="00D67CB1" w:rsidRPr="00D67CB1" w:rsidRDefault="00D67CB1" w:rsidP="00D67CB1">
      <w:pPr>
        <w:widowControl w:val="0"/>
        <w:rPr>
          <w:rFonts w:cs="Times New Roman"/>
          <w:szCs w:val="24"/>
        </w:rPr>
      </w:pPr>
      <w:r>
        <w:rPr>
          <w:rFonts w:cs="Times New Roman"/>
          <w:szCs w:val="24"/>
        </w:rPr>
        <w:t>In summary,</w:t>
      </w:r>
      <w:r w:rsidRPr="00D67CB1">
        <w:rPr>
          <w:rFonts w:cs="Times New Roman"/>
          <w:szCs w:val="24"/>
        </w:rPr>
        <w:t xml:space="preserve"> the </w:t>
      </w:r>
      <w:r>
        <w:rPr>
          <w:rFonts w:cs="Times New Roman"/>
          <w:szCs w:val="24"/>
        </w:rPr>
        <w:t>IWG</w:t>
      </w:r>
      <w:r w:rsidRPr="00D67CB1">
        <w:rPr>
          <w:rFonts w:cs="Times New Roman"/>
          <w:szCs w:val="24"/>
        </w:rPr>
        <w:t xml:space="preserve"> agreed:</w:t>
      </w:r>
    </w:p>
    <w:p w:rsidR="007F35A0" w:rsidRPr="00230BD2" w:rsidRDefault="007F35A0" w:rsidP="007F35A0">
      <w:pPr>
        <w:pStyle w:val="ListParagraph"/>
        <w:widowControl w:val="0"/>
        <w:numPr>
          <w:ilvl w:val="0"/>
          <w:numId w:val="1"/>
        </w:numPr>
        <w:rPr>
          <w:rFonts w:cs="Times New Roman"/>
          <w:szCs w:val="24"/>
        </w:rPr>
      </w:pPr>
      <w:r w:rsidRPr="00230BD2">
        <w:rPr>
          <w:rFonts w:cs="Times New Roman"/>
          <w:szCs w:val="24"/>
        </w:rPr>
        <w:t xml:space="preserve">that in the short-term, the Government should consider </w:t>
      </w:r>
      <w:r>
        <w:rPr>
          <w:rFonts w:cs="Times New Roman"/>
          <w:szCs w:val="24"/>
        </w:rPr>
        <w:t>opportunities for</w:t>
      </w:r>
      <w:r w:rsidR="006B6646">
        <w:rPr>
          <w:rFonts w:cs="Times New Roman"/>
          <w:szCs w:val="24"/>
        </w:rPr>
        <w:t xml:space="preserve"> enhanced</w:t>
      </w:r>
      <w:r>
        <w:rPr>
          <w:rFonts w:cs="Times New Roman"/>
          <w:szCs w:val="24"/>
        </w:rPr>
        <w:t xml:space="preserve"> co-operation between the PLAC</w:t>
      </w:r>
      <w:r w:rsidRPr="00230BD2">
        <w:rPr>
          <w:rFonts w:cs="Times New Roman"/>
          <w:szCs w:val="24"/>
        </w:rPr>
        <w:t xml:space="preserve"> </w:t>
      </w:r>
      <w:r>
        <w:rPr>
          <w:rFonts w:cs="Times New Roman"/>
          <w:szCs w:val="24"/>
        </w:rPr>
        <w:t>and the</w:t>
      </w:r>
      <w:r w:rsidRPr="00230BD2">
        <w:rPr>
          <w:rFonts w:cs="Times New Roman"/>
          <w:szCs w:val="24"/>
        </w:rPr>
        <w:t xml:space="preserve"> </w:t>
      </w:r>
      <w:r w:rsidR="00BF2390">
        <w:rPr>
          <w:rFonts w:cs="Times New Roman"/>
          <w:szCs w:val="24"/>
        </w:rPr>
        <w:t>TGA</w:t>
      </w:r>
      <w:r w:rsidRPr="00230BD2">
        <w:rPr>
          <w:rFonts w:cs="Times New Roman"/>
          <w:szCs w:val="24"/>
        </w:rPr>
        <w:t xml:space="preserve">, </w:t>
      </w:r>
      <w:r>
        <w:rPr>
          <w:rFonts w:cs="Times New Roman"/>
          <w:szCs w:val="24"/>
        </w:rPr>
        <w:t>to ensure that activities are not inappropriately duplicated</w:t>
      </w:r>
      <w:r w:rsidRPr="00230BD2">
        <w:rPr>
          <w:rFonts w:cs="Times New Roman"/>
          <w:szCs w:val="24"/>
        </w:rPr>
        <w:t>;</w:t>
      </w:r>
    </w:p>
    <w:p w:rsidR="007F35A0" w:rsidRPr="00230BD2" w:rsidRDefault="007F35A0" w:rsidP="007F35A0">
      <w:pPr>
        <w:pStyle w:val="ListParagraph"/>
        <w:widowControl w:val="0"/>
        <w:numPr>
          <w:ilvl w:val="0"/>
          <w:numId w:val="1"/>
        </w:numPr>
        <w:rPr>
          <w:rFonts w:cs="Times New Roman"/>
          <w:szCs w:val="24"/>
        </w:rPr>
      </w:pPr>
      <w:r w:rsidRPr="00230BD2">
        <w:rPr>
          <w:rFonts w:cs="Times New Roman"/>
          <w:szCs w:val="24"/>
        </w:rPr>
        <w:t>that PLAC should consider developing a routine process for assessment of devices for possible removal from the PL on clinical or cost-effectiveness grounds;</w:t>
      </w:r>
    </w:p>
    <w:p w:rsidR="007F35A0" w:rsidRPr="00230BD2" w:rsidRDefault="007F35A0" w:rsidP="007F35A0">
      <w:pPr>
        <w:pStyle w:val="ListParagraph"/>
        <w:widowControl w:val="0"/>
        <w:numPr>
          <w:ilvl w:val="0"/>
          <w:numId w:val="1"/>
        </w:numPr>
        <w:rPr>
          <w:rFonts w:cs="Times New Roman"/>
          <w:szCs w:val="24"/>
        </w:rPr>
      </w:pPr>
      <w:r w:rsidRPr="00230BD2">
        <w:rPr>
          <w:rFonts w:cs="Times New Roman"/>
          <w:szCs w:val="24"/>
        </w:rPr>
        <w:t xml:space="preserve">that consideration should be given to revising the PLAC and </w:t>
      </w:r>
      <w:r w:rsidR="006B6646">
        <w:rPr>
          <w:rFonts w:cs="Times New Roman"/>
          <w:szCs w:val="24"/>
        </w:rPr>
        <w:t xml:space="preserve">its </w:t>
      </w:r>
      <w:r>
        <w:rPr>
          <w:rFonts w:cs="Times New Roman"/>
          <w:szCs w:val="24"/>
        </w:rPr>
        <w:t xml:space="preserve">advisory committee </w:t>
      </w:r>
      <w:r w:rsidRPr="00230BD2">
        <w:rPr>
          <w:rFonts w:cs="Times New Roman"/>
          <w:szCs w:val="24"/>
        </w:rPr>
        <w:t>arrangements, to:</w:t>
      </w:r>
    </w:p>
    <w:p w:rsidR="007F35A0" w:rsidRPr="00230BD2" w:rsidRDefault="007F35A0" w:rsidP="007F35A0">
      <w:pPr>
        <w:pStyle w:val="ListParagraph"/>
        <w:widowControl w:val="0"/>
        <w:numPr>
          <w:ilvl w:val="1"/>
          <w:numId w:val="1"/>
        </w:numPr>
        <w:rPr>
          <w:rFonts w:cs="Times New Roman"/>
          <w:szCs w:val="24"/>
        </w:rPr>
      </w:pPr>
      <w:r w:rsidRPr="00230BD2">
        <w:rPr>
          <w:rFonts w:cs="Times New Roman"/>
          <w:szCs w:val="24"/>
        </w:rPr>
        <w:t>ensure that committee membership is based on appropriate expertise;</w:t>
      </w:r>
    </w:p>
    <w:p w:rsidR="007F35A0" w:rsidRPr="00230BD2" w:rsidRDefault="007F35A0" w:rsidP="007F35A0">
      <w:pPr>
        <w:pStyle w:val="ListParagraph"/>
        <w:widowControl w:val="0"/>
        <w:numPr>
          <w:ilvl w:val="1"/>
          <w:numId w:val="1"/>
        </w:numPr>
        <w:rPr>
          <w:rFonts w:cs="Times New Roman"/>
          <w:szCs w:val="24"/>
        </w:rPr>
      </w:pPr>
      <w:r w:rsidRPr="00230BD2">
        <w:rPr>
          <w:rFonts w:cs="Times New Roman"/>
          <w:szCs w:val="24"/>
        </w:rPr>
        <w:t>maintain an independent Chair;</w:t>
      </w:r>
    </w:p>
    <w:p w:rsidR="007F35A0" w:rsidRPr="00230BD2" w:rsidRDefault="007F35A0" w:rsidP="007F35A0">
      <w:pPr>
        <w:pStyle w:val="ListParagraph"/>
        <w:widowControl w:val="0"/>
        <w:numPr>
          <w:ilvl w:val="1"/>
          <w:numId w:val="1"/>
        </w:numPr>
        <w:rPr>
          <w:rFonts w:cs="Times New Roman"/>
          <w:szCs w:val="24"/>
        </w:rPr>
      </w:pPr>
      <w:r w:rsidRPr="00230BD2">
        <w:rPr>
          <w:rFonts w:cs="Times New Roman"/>
          <w:szCs w:val="24"/>
        </w:rPr>
        <w:t>include a greater range of members on the PLAC, specifically:</w:t>
      </w:r>
    </w:p>
    <w:p w:rsidR="007F35A0" w:rsidRPr="00230BD2" w:rsidRDefault="007F35A0" w:rsidP="007F35A0">
      <w:pPr>
        <w:pStyle w:val="ListParagraph"/>
        <w:widowControl w:val="0"/>
        <w:numPr>
          <w:ilvl w:val="2"/>
          <w:numId w:val="1"/>
        </w:numPr>
        <w:rPr>
          <w:rFonts w:cs="Times New Roman"/>
          <w:szCs w:val="24"/>
        </w:rPr>
      </w:pPr>
      <w:r w:rsidRPr="00230BD2">
        <w:rPr>
          <w:rFonts w:cs="Times New Roman"/>
          <w:szCs w:val="24"/>
        </w:rPr>
        <w:t>additional health economics expertise</w:t>
      </w:r>
    </w:p>
    <w:p w:rsidR="007F35A0" w:rsidRPr="00230BD2" w:rsidRDefault="005638F7" w:rsidP="007F35A0">
      <w:pPr>
        <w:pStyle w:val="ListParagraph"/>
        <w:widowControl w:val="0"/>
        <w:numPr>
          <w:ilvl w:val="2"/>
          <w:numId w:val="1"/>
        </w:numPr>
        <w:rPr>
          <w:rFonts w:cs="Times New Roman"/>
          <w:szCs w:val="24"/>
        </w:rPr>
      </w:pPr>
      <w:r>
        <w:rPr>
          <w:rFonts w:cs="Times New Roman"/>
          <w:szCs w:val="24"/>
        </w:rPr>
        <w:t xml:space="preserve">an expert member of the </w:t>
      </w:r>
      <w:r w:rsidR="007F35A0">
        <w:rPr>
          <w:rFonts w:cs="Times New Roman"/>
          <w:szCs w:val="24"/>
        </w:rPr>
        <w:t>MSAC</w:t>
      </w:r>
      <w:r w:rsidR="007F35A0" w:rsidRPr="00230BD2">
        <w:rPr>
          <w:rFonts w:cs="Times New Roman"/>
          <w:szCs w:val="24"/>
        </w:rPr>
        <w:t>, to ensure alignment of related activities;</w:t>
      </w:r>
    </w:p>
    <w:p w:rsidR="007F35A0" w:rsidRPr="00230BD2" w:rsidRDefault="007F35A0" w:rsidP="007F35A0">
      <w:pPr>
        <w:pStyle w:val="ListParagraph"/>
        <w:widowControl w:val="0"/>
        <w:numPr>
          <w:ilvl w:val="1"/>
          <w:numId w:val="1"/>
        </w:numPr>
        <w:rPr>
          <w:rFonts w:cs="Times New Roman"/>
          <w:szCs w:val="24"/>
        </w:rPr>
      </w:pPr>
      <w:r>
        <w:rPr>
          <w:rFonts w:cs="Times New Roman"/>
          <w:szCs w:val="24"/>
        </w:rPr>
        <w:t xml:space="preserve">review </w:t>
      </w:r>
      <w:r w:rsidRPr="00230BD2">
        <w:rPr>
          <w:rFonts w:cs="Times New Roman"/>
          <w:szCs w:val="24"/>
        </w:rPr>
        <w:t xml:space="preserve">the role of </w:t>
      </w:r>
      <w:r>
        <w:rPr>
          <w:rFonts w:cs="Times New Roman"/>
          <w:szCs w:val="24"/>
        </w:rPr>
        <w:t>clinical advisory committees</w:t>
      </w:r>
      <w:r w:rsidRPr="00230BD2">
        <w:rPr>
          <w:rFonts w:cs="Times New Roman"/>
          <w:szCs w:val="24"/>
        </w:rPr>
        <w:t>;</w:t>
      </w:r>
    </w:p>
    <w:p w:rsidR="007F35A0" w:rsidRDefault="007F35A0" w:rsidP="007F35A0">
      <w:pPr>
        <w:pStyle w:val="ListParagraph"/>
        <w:widowControl w:val="0"/>
        <w:numPr>
          <w:ilvl w:val="1"/>
          <w:numId w:val="1"/>
        </w:numPr>
        <w:rPr>
          <w:rFonts w:cs="Times New Roman"/>
          <w:szCs w:val="24"/>
        </w:rPr>
      </w:pPr>
      <w:r>
        <w:rPr>
          <w:rFonts w:cs="Times New Roman"/>
          <w:szCs w:val="24"/>
        </w:rPr>
        <w:t xml:space="preserve">introduce the regular review of items on the PL and their PL benefits; </w:t>
      </w:r>
    </w:p>
    <w:p w:rsidR="007F35A0" w:rsidRPr="00230BD2" w:rsidRDefault="007F35A0" w:rsidP="007F35A0">
      <w:pPr>
        <w:pStyle w:val="ListParagraph"/>
        <w:widowControl w:val="0"/>
        <w:numPr>
          <w:ilvl w:val="1"/>
          <w:numId w:val="1"/>
        </w:numPr>
        <w:rPr>
          <w:rFonts w:cs="Times New Roman"/>
          <w:szCs w:val="24"/>
        </w:rPr>
      </w:pPr>
      <w:r w:rsidRPr="00230BD2">
        <w:rPr>
          <w:rFonts w:cs="Times New Roman"/>
          <w:szCs w:val="24"/>
        </w:rPr>
        <w:t>utilise</w:t>
      </w:r>
      <w:r>
        <w:rPr>
          <w:rFonts w:cs="Times New Roman"/>
          <w:szCs w:val="24"/>
        </w:rPr>
        <w:t xml:space="preserve"> existing</w:t>
      </w:r>
      <w:r w:rsidR="005638F7">
        <w:rPr>
          <w:rFonts w:cs="Times New Roman"/>
          <w:szCs w:val="24"/>
        </w:rPr>
        <w:t xml:space="preserve"> </w:t>
      </w:r>
      <w:r w:rsidRPr="00230BD2">
        <w:rPr>
          <w:rFonts w:cs="Times New Roman"/>
          <w:szCs w:val="24"/>
        </w:rPr>
        <w:t xml:space="preserve">HTA expertise </w:t>
      </w:r>
      <w:r>
        <w:rPr>
          <w:rFonts w:cs="Times New Roman"/>
          <w:szCs w:val="24"/>
        </w:rPr>
        <w:t>as appropriate, for example the possible use of MSAC sub-committees to examine claims of clinical superiority in a cost effectiveness framework</w:t>
      </w:r>
      <w:r w:rsidRPr="00230BD2">
        <w:rPr>
          <w:rFonts w:cs="Times New Roman"/>
          <w:szCs w:val="24"/>
        </w:rPr>
        <w:t>;</w:t>
      </w:r>
    </w:p>
    <w:p w:rsidR="007F35A0" w:rsidRPr="00230BD2" w:rsidRDefault="007F35A0" w:rsidP="007F35A0">
      <w:pPr>
        <w:pStyle w:val="ListParagraph"/>
        <w:widowControl w:val="0"/>
        <w:numPr>
          <w:ilvl w:val="1"/>
          <w:numId w:val="1"/>
        </w:numPr>
        <w:rPr>
          <w:rFonts w:cs="Times New Roman"/>
          <w:szCs w:val="24"/>
        </w:rPr>
      </w:pPr>
      <w:r w:rsidRPr="00230BD2">
        <w:rPr>
          <w:rFonts w:cs="Times New Roman"/>
          <w:szCs w:val="24"/>
        </w:rPr>
        <w:t>consider the role of registries, and interact meaningfully with current registries as part of listing and delisting processes;</w:t>
      </w:r>
    </w:p>
    <w:p w:rsidR="007F35A0" w:rsidRPr="00230BD2" w:rsidRDefault="007F35A0" w:rsidP="007F35A0">
      <w:pPr>
        <w:pStyle w:val="ListParagraph"/>
        <w:widowControl w:val="0"/>
        <w:numPr>
          <w:ilvl w:val="0"/>
          <w:numId w:val="1"/>
        </w:numPr>
        <w:rPr>
          <w:rFonts w:cs="Times New Roman"/>
          <w:szCs w:val="24"/>
        </w:rPr>
      </w:pPr>
      <w:r w:rsidRPr="00230BD2">
        <w:rPr>
          <w:rFonts w:cs="Times New Roman"/>
          <w:szCs w:val="24"/>
        </w:rPr>
        <w:t xml:space="preserve">that Government should consider developing new PL Guidelines in respect of the listing process and the benefit setting process. </w:t>
      </w:r>
    </w:p>
    <w:p w:rsidR="00394094" w:rsidRDefault="00394094" w:rsidP="003111BD">
      <w:pPr>
        <w:pStyle w:val="Heading1"/>
      </w:pPr>
      <w:r>
        <w:t>Ongoing interaction with stakeholders</w:t>
      </w:r>
    </w:p>
    <w:p w:rsidR="00394094" w:rsidRPr="00475F77" w:rsidRDefault="00394094" w:rsidP="00D67CB1">
      <w:pPr>
        <w:widowControl w:val="0"/>
        <w:rPr>
          <w:rFonts w:cs="Times New Roman"/>
          <w:szCs w:val="24"/>
        </w:rPr>
      </w:pPr>
      <w:r w:rsidRPr="00475F77">
        <w:rPr>
          <w:rFonts w:cs="Times New Roman"/>
          <w:szCs w:val="24"/>
        </w:rPr>
        <w:t>The IWG considered that its deliberations had been helpful in providing information on the viewpoints of stakeholders.  The IWG</w:t>
      </w:r>
      <w:r w:rsidR="00F136A3">
        <w:rPr>
          <w:rFonts w:cs="Times New Roman"/>
          <w:szCs w:val="24"/>
        </w:rPr>
        <w:t xml:space="preserve"> is</w:t>
      </w:r>
      <w:r w:rsidRPr="00475F77">
        <w:rPr>
          <w:rFonts w:cs="Times New Roman"/>
          <w:szCs w:val="24"/>
        </w:rPr>
        <w:t xml:space="preserve"> of the view that it could be of assistance in the implementation and ongoing development of any reforms.</w:t>
      </w:r>
    </w:p>
    <w:p w:rsidR="005638F7" w:rsidRDefault="005638F7" w:rsidP="00D67CB1">
      <w:pPr>
        <w:widowControl w:val="0"/>
        <w:rPr>
          <w:rFonts w:cs="Times New Roman"/>
          <w:szCs w:val="24"/>
          <w:u w:val="single"/>
        </w:rPr>
      </w:pPr>
    </w:p>
    <w:p w:rsidR="00D67CB1" w:rsidRDefault="00F25D22" w:rsidP="003111BD">
      <w:pPr>
        <w:pStyle w:val="Heading1"/>
      </w:pPr>
      <w:r w:rsidRPr="00F25D22">
        <w:t>Conclusions</w:t>
      </w:r>
    </w:p>
    <w:p w:rsidR="00111D2F" w:rsidRDefault="00111D2F" w:rsidP="00D67CB1">
      <w:pPr>
        <w:widowControl w:val="0"/>
        <w:rPr>
          <w:rFonts w:cs="Times New Roman"/>
          <w:szCs w:val="24"/>
        </w:rPr>
      </w:pPr>
      <w:r>
        <w:rPr>
          <w:rFonts w:cs="Times New Roman"/>
          <w:szCs w:val="24"/>
        </w:rPr>
        <w:t xml:space="preserve">I present this report to the </w:t>
      </w:r>
      <w:r w:rsidR="0087626B">
        <w:rPr>
          <w:rFonts w:cs="Times New Roman"/>
          <w:szCs w:val="24"/>
        </w:rPr>
        <w:t>Department of</w:t>
      </w:r>
      <w:r>
        <w:rPr>
          <w:rFonts w:cs="Times New Roman"/>
          <w:szCs w:val="24"/>
        </w:rPr>
        <w:t xml:space="preserve"> Health as a summary of the outcomes of the deliberations of the IWG. I trust that the </w:t>
      </w:r>
      <w:r w:rsidR="00E3440A">
        <w:rPr>
          <w:rFonts w:cs="Times New Roman"/>
          <w:szCs w:val="24"/>
        </w:rPr>
        <w:t xml:space="preserve">IWG’s </w:t>
      </w:r>
      <w:r>
        <w:rPr>
          <w:rFonts w:cs="Times New Roman"/>
          <w:szCs w:val="24"/>
        </w:rPr>
        <w:t>work will assist the Government further develop the prostheses listing and reimbursement processes to the benefit of all Australians.</w:t>
      </w:r>
    </w:p>
    <w:p w:rsidR="00F25D22" w:rsidRDefault="00F25D22" w:rsidP="00D67CB1">
      <w:pPr>
        <w:widowControl w:val="0"/>
        <w:rPr>
          <w:rFonts w:cs="Times New Roman"/>
          <w:szCs w:val="24"/>
        </w:rPr>
      </w:pPr>
      <w:r>
        <w:rPr>
          <w:rFonts w:cs="Times New Roman"/>
          <w:szCs w:val="24"/>
        </w:rPr>
        <w:t>As Chair of the IWG</w:t>
      </w:r>
      <w:r w:rsidR="00111D2F">
        <w:rPr>
          <w:rFonts w:cs="Times New Roman"/>
          <w:szCs w:val="24"/>
        </w:rPr>
        <w:t xml:space="preserve">, I would also like to extend my appreciation to members of the </w:t>
      </w:r>
      <w:r w:rsidR="00E3440A">
        <w:rPr>
          <w:rFonts w:cs="Times New Roman"/>
          <w:szCs w:val="24"/>
        </w:rPr>
        <w:t>IWG</w:t>
      </w:r>
      <w:r w:rsidR="00111D2F">
        <w:rPr>
          <w:rFonts w:cs="Times New Roman"/>
          <w:szCs w:val="24"/>
        </w:rPr>
        <w:t>, who have debated and discussed many contentious issues during the IWG</w:t>
      </w:r>
      <w:r w:rsidR="0087626B">
        <w:rPr>
          <w:rFonts w:cs="Times New Roman"/>
          <w:szCs w:val="24"/>
        </w:rPr>
        <w:t>’</w:t>
      </w:r>
      <w:r w:rsidR="00111D2F">
        <w:rPr>
          <w:rFonts w:cs="Times New Roman"/>
          <w:szCs w:val="24"/>
        </w:rPr>
        <w:t xml:space="preserve">s term, and have assisted me greatly in facilitating access to information. </w:t>
      </w:r>
      <w:r w:rsidR="00BC2B97">
        <w:rPr>
          <w:rFonts w:cs="Times New Roman"/>
          <w:szCs w:val="24"/>
        </w:rPr>
        <w:t xml:space="preserve">I would also like to acknowledge the excellent support provided by officers of the Department to </w:t>
      </w:r>
      <w:r w:rsidR="00B55E94">
        <w:rPr>
          <w:rFonts w:cs="Times New Roman"/>
          <w:szCs w:val="24"/>
        </w:rPr>
        <w:t>the IWG</w:t>
      </w:r>
    </w:p>
    <w:p w:rsidR="00111D2F" w:rsidRDefault="00111D2F" w:rsidP="00D67CB1">
      <w:pPr>
        <w:widowControl w:val="0"/>
        <w:rPr>
          <w:rFonts w:cs="Times New Roman"/>
          <w:szCs w:val="24"/>
        </w:rPr>
      </w:pPr>
    </w:p>
    <w:p w:rsidR="00111D2F" w:rsidRDefault="00111D2F" w:rsidP="0087626B">
      <w:pPr>
        <w:widowControl w:val="0"/>
        <w:spacing w:after="0"/>
        <w:rPr>
          <w:rFonts w:cs="Times New Roman"/>
          <w:szCs w:val="24"/>
        </w:rPr>
      </w:pPr>
      <w:r>
        <w:rPr>
          <w:rFonts w:cs="Times New Roman"/>
          <w:szCs w:val="24"/>
        </w:rPr>
        <w:t>Emeritus Professor Lloyd Sansom AO</w:t>
      </w:r>
    </w:p>
    <w:p w:rsidR="00111D2F" w:rsidRDefault="00111D2F" w:rsidP="0087626B">
      <w:pPr>
        <w:widowControl w:val="0"/>
        <w:spacing w:after="0"/>
        <w:rPr>
          <w:rFonts w:cs="Times New Roman"/>
          <w:szCs w:val="24"/>
        </w:rPr>
      </w:pPr>
      <w:r>
        <w:rPr>
          <w:rFonts w:cs="Times New Roman"/>
          <w:szCs w:val="24"/>
        </w:rPr>
        <w:t>Chair, Industry Working Group on Private Health Insurance Prostheses Reform</w:t>
      </w:r>
    </w:p>
    <w:p w:rsidR="00A8428B" w:rsidRDefault="002A4A4D" w:rsidP="0087626B">
      <w:pPr>
        <w:widowControl w:val="0"/>
        <w:spacing w:after="0"/>
        <w:rPr>
          <w:rFonts w:cs="Times New Roman"/>
          <w:szCs w:val="24"/>
        </w:rPr>
      </w:pPr>
      <w:r>
        <w:rPr>
          <w:rFonts w:cs="Times New Roman"/>
          <w:szCs w:val="24"/>
        </w:rPr>
        <w:t xml:space="preserve">31 </w:t>
      </w:r>
      <w:r w:rsidR="00111D2F">
        <w:rPr>
          <w:rFonts w:cs="Times New Roman"/>
          <w:szCs w:val="24"/>
        </w:rPr>
        <w:t>March 2016</w:t>
      </w:r>
    </w:p>
    <w:p w:rsidR="00A8428B" w:rsidRDefault="00A8428B">
      <w:pPr>
        <w:rPr>
          <w:rFonts w:cs="Times New Roman"/>
          <w:szCs w:val="24"/>
        </w:rPr>
      </w:pPr>
      <w:r>
        <w:rPr>
          <w:rFonts w:cs="Times New Roman"/>
          <w:szCs w:val="24"/>
        </w:rPr>
        <w:br w:type="page"/>
      </w:r>
    </w:p>
    <w:p w:rsidR="00A8428B" w:rsidRPr="00230BD2" w:rsidRDefault="00A8428B" w:rsidP="00A8428B">
      <w:pPr>
        <w:spacing w:after="240" w:line="240" w:lineRule="auto"/>
        <w:ind w:left="1701" w:right="720" w:hanging="414"/>
        <w:rPr>
          <w:rFonts w:eastAsia="Times New Roman" w:cs="Times New Roman"/>
          <w:color w:val="000000"/>
          <w:sz w:val="20"/>
          <w:szCs w:val="20"/>
          <w:lang w:eastAsia="en-AU"/>
        </w:rPr>
      </w:pPr>
      <w:r w:rsidRPr="00230BD2">
        <w:rPr>
          <w:rFonts w:eastAsia="Times New Roman" w:cs="Times New Roman"/>
          <w:color w:val="000000"/>
          <w:sz w:val="20"/>
          <w:szCs w:val="20"/>
          <w:lang w:eastAsia="en-AU"/>
        </w:rPr>
        <w:lastRenderedPageBreak/>
        <w:t>.</w:t>
      </w:r>
    </w:p>
    <w:p w:rsidR="00A8428B" w:rsidRPr="00475F77" w:rsidRDefault="00A8428B" w:rsidP="003111BD">
      <w:pPr>
        <w:pStyle w:val="Heading1Att"/>
      </w:pPr>
      <w:r w:rsidRPr="00475F77">
        <w:t xml:space="preserve">Attachment </w:t>
      </w:r>
      <w:r w:rsidR="000C0450">
        <w:t>A</w:t>
      </w:r>
      <w:r w:rsidRPr="00475F77">
        <w:t xml:space="preserve">- </w:t>
      </w:r>
      <w:r w:rsidR="00323C7C" w:rsidRPr="00475F77">
        <w:t>IWG</w:t>
      </w:r>
      <w:r w:rsidRPr="00475F77">
        <w:t xml:space="preserve"> terms of reference </w:t>
      </w:r>
    </w:p>
    <w:p w:rsidR="00A8428B" w:rsidRPr="00475F77" w:rsidRDefault="00A8428B" w:rsidP="00A8428B">
      <w:pPr>
        <w:spacing w:after="0"/>
        <w:rPr>
          <w:rFonts w:eastAsia="Times New Roman" w:cs="Times New Roman"/>
          <w:color w:val="222222"/>
          <w:szCs w:val="24"/>
          <w:lang w:eastAsia="en-AU"/>
        </w:rPr>
      </w:pPr>
      <w:r w:rsidRPr="00475F77">
        <w:rPr>
          <w:rFonts w:eastAsia="Times New Roman" w:cs="Times New Roman"/>
          <w:szCs w:val="24"/>
        </w:rPr>
        <w:br/>
      </w:r>
      <w:r w:rsidRPr="00475F77">
        <w:rPr>
          <w:rFonts w:eastAsia="Times New Roman" w:cs="Times New Roman"/>
          <w:color w:val="222222"/>
          <w:szCs w:val="24"/>
          <w:lang w:eastAsia="en-AU"/>
        </w:rPr>
        <w:t>The role of the Industry Working Group on Private Health Insurance Prostheses Reform is to examine opportunities for reform of the arrangements governing prostheses and devices access and pricing in the private health insurance sector to ensure;</w:t>
      </w:r>
    </w:p>
    <w:p w:rsidR="00A8428B" w:rsidRPr="00475F77" w:rsidRDefault="00A8428B" w:rsidP="00A8428B">
      <w:pPr>
        <w:numPr>
          <w:ilvl w:val="0"/>
          <w:numId w:val="10"/>
        </w:numPr>
        <w:shd w:val="clear" w:color="auto" w:fill="FFFFFF"/>
        <w:spacing w:after="0"/>
        <w:contextualSpacing/>
        <w:rPr>
          <w:rFonts w:eastAsia="Times New Roman" w:cs="Times New Roman"/>
          <w:color w:val="222222"/>
          <w:szCs w:val="24"/>
          <w:lang w:eastAsia="en-AU"/>
        </w:rPr>
      </w:pPr>
      <w:r w:rsidRPr="00475F77">
        <w:rPr>
          <w:rFonts w:eastAsia="Times New Roman" w:cs="Times New Roman"/>
          <w:color w:val="222222"/>
          <w:szCs w:val="24"/>
          <w:lang w:eastAsia="en-AU"/>
        </w:rPr>
        <w:t>Better access to prostheses and devices for consumers as part of the private health care offering;</w:t>
      </w:r>
    </w:p>
    <w:p w:rsidR="00A8428B" w:rsidRPr="00475F77" w:rsidRDefault="00A8428B" w:rsidP="00A8428B">
      <w:pPr>
        <w:numPr>
          <w:ilvl w:val="0"/>
          <w:numId w:val="10"/>
        </w:numPr>
        <w:shd w:val="clear" w:color="auto" w:fill="FFFFFF"/>
        <w:spacing w:after="0"/>
        <w:contextualSpacing/>
        <w:rPr>
          <w:rFonts w:eastAsia="Times New Roman" w:cs="Times New Roman"/>
          <w:color w:val="222222"/>
          <w:szCs w:val="24"/>
          <w:lang w:eastAsia="en-AU"/>
        </w:rPr>
      </w:pPr>
      <w:r w:rsidRPr="00475F77">
        <w:rPr>
          <w:rFonts w:eastAsia="Times New Roman" w:cs="Times New Roman"/>
          <w:color w:val="222222"/>
          <w:szCs w:val="24"/>
          <w:lang w:eastAsia="en-AU"/>
        </w:rPr>
        <w:t>Reduced red tape and administrative burden for private health insurers;</w:t>
      </w:r>
    </w:p>
    <w:p w:rsidR="00A8428B" w:rsidRPr="00475F77" w:rsidRDefault="00A8428B" w:rsidP="00A8428B">
      <w:pPr>
        <w:numPr>
          <w:ilvl w:val="0"/>
          <w:numId w:val="10"/>
        </w:numPr>
        <w:shd w:val="clear" w:color="auto" w:fill="FFFFFF"/>
        <w:spacing w:after="0"/>
        <w:contextualSpacing/>
        <w:rPr>
          <w:rFonts w:eastAsia="Times New Roman" w:cs="Times New Roman"/>
          <w:color w:val="222222"/>
          <w:szCs w:val="24"/>
          <w:lang w:eastAsia="en-AU"/>
        </w:rPr>
      </w:pPr>
      <w:r w:rsidRPr="00475F77">
        <w:rPr>
          <w:rFonts w:eastAsia="Times New Roman" w:cs="Times New Roman"/>
          <w:color w:val="222222"/>
          <w:szCs w:val="24"/>
          <w:lang w:eastAsia="en-AU"/>
        </w:rPr>
        <w:t>Opportunities for competition across the supply chain are maximised for the benefit of consumers and taxpayers.</w:t>
      </w:r>
    </w:p>
    <w:p w:rsidR="00A8428B" w:rsidRPr="00475F77" w:rsidRDefault="00A8428B" w:rsidP="00A8428B">
      <w:pPr>
        <w:shd w:val="clear" w:color="auto" w:fill="FFFFFF"/>
        <w:spacing w:after="0"/>
        <w:ind w:left="360"/>
        <w:contextualSpacing/>
        <w:rPr>
          <w:rFonts w:eastAsia="Times New Roman" w:cs="Times New Roman"/>
          <w:color w:val="222222"/>
          <w:szCs w:val="24"/>
          <w:lang w:eastAsia="en-AU"/>
        </w:rPr>
      </w:pPr>
    </w:p>
    <w:p w:rsidR="00A8428B" w:rsidRPr="00475F77" w:rsidRDefault="00A8428B" w:rsidP="00A8428B">
      <w:pPr>
        <w:shd w:val="clear" w:color="auto" w:fill="FFFFFF"/>
        <w:spacing w:after="0"/>
        <w:rPr>
          <w:rFonts w:eastAsia="Times New Roman" w:cs="Times New Roman"/>
          <w:color w:val="222222"/>
          <w:szCs w:val="24"/>
          <w:lang w:eastAsia="en-AU"/>
        </w:rPr>
      </w:pPr>
      <w:r w:rsidRPr="00475F77">
        <w:rPr>
          <w:rFonts w:eastAsia="Times New Roman" w:cs="Times New Roman"/>
          <w:color w:val="222222"/>
          <w:szCs w:val="24"/>
          <w:lang w:eastAsia="en-AU"/>
        </w:rPr>
        <w:t>In conjunction with the Department, the Group will assess the current system, including the Prostheses List Advisory Committee and Clinical Advisory Group processes.</w:t>
      </w:r>
    </w:p>
    <w:p w:rsidR="00A8428B" w:rsidRPr="00475F77" w:rsidRDefault="00A8428B" w:rsidP="00A8428B">
      <w:pPr>
        <w:shd w:val="clear" w:color="auto" w:fill="FFFFFF"/>
        <w:spacing w:after="0"/>
        <w:rPr>
          <w:rFonts w:eastAsia="Times New Roman" w:cs="Times New Roman"/>
          <w:color w:val="222222"/>
          <w:szCs w:val="24"/>
          <w:lang w:eastAsia="en-AU"/>
        </w:rPr>
      </w:pPr>
      <w:r w:rsidRPr="00475F77">
        <w:rPr>
          <w:rFonts w:eastAsia="Times New Roman" w:cs="Times New Roman"/>
          <w:color w:val="222222"/>
          <w:szCs w:val="24"/>
          <w:lang w:eastAsia="en-AU"/>
        </w:rPr>
        <w:t>The Group will advise the Department on a preferred reform option with a particular focus on:</w:t>
      </w:r>
    </w:p>
    <w:p w:rsidR="00A8428B" w:rsidRPr="00475F77" w:rsidRDefault="00A8428B" w:rsidP="00A8428B">
      <w:pPr>
        <w:numPr>
          <w:ilvl w:val="0"/>
          <w:numId w:val="10"/>
        </w:numPr>
        <w:shd w:val="clear" w:color="auto" w:fill="FFFFFF"/>
        <w:spacing w:after="0"/>
        <w:contextualSpacing/>
        <w:rPr>
          <w:rFonts w:eastAsia="Times New Roman" w:cs="Times New Roman"/>
          <w:color w:val="222222"/>
          <w:szCs w:val="24"/>
          <w:lang w:eastAsia="en-AU"/>
        </w:rPr>
      </w:pPr>
      <w:r w:rsidRPr="00475F77">
        <w:rPr>
          <w:rFonts w:eastAsia="Times New Roman" w:cs="Times New Roman"/>
          <w:color w:val="222222"/>
          <w:szCs w:val="24"/>
          <w:lang w:eastAsia="en-AU"/>
        </w:rPr>
        <w:t>Creating a more competitive basis for the purchase and reimbursement of prostheses and devices, including consideration of options for implementing new pricing arrangements such as price referencing and price disclosure models;</w:t>
      </w:r>
    </w:p>
    <w:p w:rsidR="00A8428B" w:rsidRPr="00475F77" w:rsidRDefault="00A8428B" w:rsidP="00A8428B">
      <w:pPr>
        <w:numPr>
          <w:ilvl w:val="0"/>
          <w:numId w:val="10"/>
        </w:numPr>
        <w:shd w:val="clear" w:color="auto" w:fill="FFFFFF"/>
        <w:spacing w:after="0"/>
        <w:contextualSpacing/>
        <w:rPr>
          <w:rFonts w:eastAsia="Times New Roman" w:cs="Times New Roman"/>
          <w:color w:val="222222"/>
          <w:szCs w:val="24"/>
          <w:lang w:eastAsia="en-AU"/>
        </w:rPr>
      </w:pPr>
      <w:r w:rsidRPr="00475F77">
        <w:rPr>
          <w:rFonts w:eastAsia="Times New Roman" w:cs="Times New Roman"/>
          <w:color w:val="222222"/>
          <w:szCs w:val="24"/>
          <w:lang w:eastAsia="en-AU"/>
        </w:rPr>
        <w:t>Identifying specific products or categories of products which may present opportunities for immediate benefit rationalisation;</w:t>
      </w:r>
    </w:p>
    <w:p w:rsidR="00A8428B" w:rsidRPr="00475F77" w:rsidRDefault="00A8428B" w:rsidP="00A8428B">
      <w:pPr>
        <w:numPr>
          <w:ilvl w:val="0"/>
          <w:numId w:val="10"/>
        </w:numPr>
        <w:shd w:val="clear" w:color="auto" w:fill="FFFFFF"/>
        <w:spacing w:after="0"/>
        <w:contextualSpacing/>
        <w:rPr>
          <w:rFonts w:eastAsia="Times New Roman" w:cs="Times New Roman"/>
          <w:color w:val="222222"/>
          <w:szCs w:val="24"/>
          <w:lang w:eastAsia="en-AU"/>
        </w:rPr>
      </w:pPr>
      <w:r w:rsidRPr="00475F77">
        <w:rPr>
          <w:rFonts w:eastAsia="Times New Roman" w:cs="Times New Roman"/>
          <w:color w:val="222222"/>
          <w:szCs w:val="24"/>
          <w:lang w:eastAsia="en-AU"/>
        </w:rPr>
        <w:t>Refining the scope of products currently on the Prostheses List without adversely impacting on appropriate access for consumers; and</w:t>
      </w:r>
    </w:p>
    <w:p w:rsidR="00A8428B" w:rsidRPr="00475F77" w:rsidRDefault="00A8428B" w:rsidP="00A8428B">
      <w:pPr>
        <w:numPr>
          <w:ilvl w:val="0"/>
          <w:numId w:val="10"/>
        </w:numPr>
        <w:shd w:val="clear" w:color="auto" w:fill="FFFFFF"/>
        <w:spacing w:after="0"/>
        <w:contextualSpacing/>
        <w:rPr>
          <w:rFonts w:eastAsia="Times New Roman" w:cs="Times New Roman"/>
          <w:color w:val="222222"/>
          <w:szCs w:val="24"/>
          <w:lang w:eastAsia="en-AU"/>
        </w:rPr>
      </w:pPr>
      <w:r w:rsidRPr="00475F77">
        <w:rPr>
          <w:rFonts w:eastAsia="Times New Roman" w:cs="Times New Roman"/>
          <w:color w:val="222222"/>
          <w:szCs w:val="24"/>
          <w:lang w:eastAsia="en-AU"/>
        </w:rPr>
        <w:t>Other opportunities for deregulation.</w:t>
      </w:r>
    </w:p>
    <w:p w:rsidR="00A8428B" w:rsidRPr="00475F77" w:rsidRDefault="00A8428B" w:rsidP="00854478">
      <w:pPr>
        <w:rPr>
          <w:lang w:eastAsia="en-AU"/>
        </w:rPr>
      </w:pPr>
    </w:p>
    <w:p w:rsidR="00A8428B" w:rsidRPr="00475F77" w:rsidRDefault="00A8428B" w:rsidP="003111BD">
      <w:pPr>
        <w:pStyle w:val="Heading2Att"/>
      </w:pPr>
      <w:r w:rsidRPr="00475F77">
        <w:t>Membership</w:t>
      </w:r>
    </w:p>
    <w:p w:rsidR="00A8428B" w:rsidRPr="00475F77" w:rsidRDefault="00A8428B" w:rsidP="00854478">
      <w:pPr>
        <w:rPr>
          <w:lang w:eastAsia="en-AU"/>
        </w:rPr>
      </w:pPr>
    </w:p>
    <w:p w:rsidR="00A8428B" w:rsidRPr="00475F77" w:rsidRDefault="00A8428B" w:rsidP="00A8428B">
      <w:pPr>
        <w:shd w:val="clear" w:color="auto" w:fill="FFFFFF"/>
        <w:spacing w:after="0"/>
        <w:rPr>
          <w:rFonts w:eastAsia="Times New Roman" w:cs="Times New Roman"/>
          <w:color w:val="222222"/>
          <w:szCs w:val="24"/>
          <w:lang w:eastAsia="en-AU"/>
        </w:rPr>
      </w:pPr>
      <w:r w:rsidRPr="00475F77">
        <w:rPr>
          <w:rFonts w:eastAsia="Times New Roman" w:cs="Times New Roman"/>
          <w:color w:val="222222"/>
          <w:szCs w:val="24"/>
          <w:lang w:eastAsia="en-AU"/>
        </w:rPr>
        <w:t>Members of the Industry Working Group on Private Health Insurance Prostheses Reform are appointed for their knowledge and expertise. Members will be required to sign confidentiality agreements and declare any real or potential conflicts of interests at the commencement of each meeting.</w:t>
      </w:r>
    </w:p>
    <w:p w:rsidR="00A8428B" w:rsidRPr="00475F77" w:rsidRDefault="00A8428B" w:rsidP="00854478">
      <w:pPr>
        <w:rPr>
          <w:lang w:eastAsia="en-AU"/>
        </w:rPr>
      </w:pPr>
    </w:p>
    <w:p w:rsidR="00A8428B" w:rsidRPr="00475F77" w:rsidRDefault="00A8428B" w:rsidP="003111BD">
      <w:pPr>
        <w:pStyle w:val="Heading2Att"/>
      </w:pPr>
      <w:r w:rsidRPr="00475F77">
        <w:t>Timing</w:t>
      </w:r>
    </w:p>
    <w:p w:rsidR="00A8428B" w:rsidRPr="00475F77" w:rsidRDefault="00A8428B" w:rsidP="00854478">
      <w:pPr>
        <w:rPr>
          <w:lang w:eastAsia="en-AU"/>
        </w:rPr>
      </w:pPr>
    </w:p>
    <w:p w:rsidR="00A8428B" w:rsidRPr="00475F77" w:rsidRDefault="00A8428B" w:rsidP="00A8428B">
      <w:pPr>
        <w:shd w:val="clear" w:color="auto" w:fill="FFFFFF"/>
        <w:spacing w:after="0"/>
        <w:rPr>
          <w:rFonts w:eastAsia="Times New Roman" w:cs="Times New Roman"/>
          <w:color w:val="222222"/>
          <w:szCs w:val="24"/>
          <w:lang w:eastAsia="en-AU"/>
        </w:rPr>
      </w:pPr>
      <w:r w:rsidRPr="00475F77">
        <w:rPr>
          <w:rFonts w:eastAsia="Times New Roman" w:cs="Times New Roman"/>
          <w:color w:val="222222"/>
          <w:szCs w:val="24"/>
          <w:lang w:eastAsia="en-AU"/>
        </w:rPr>
        <w:t>The recommendations of the Group will be considered by Government as part of a private health insurance reform package, with a view to commence implementation as part of the August 2016 Prostheses List.</w:t>
      </w:r>
    </w:p>
    <w:p w:rsidR="00A8428B" w:rsidRPr="00475F77" w:rsidRDefault="00A8428B" w:rsidP="00A8428B">
      <w:pPr>
        <w:shd w:val="clear" w:color="auto" w:fill="FFFFFF"/>
        <w:spacing w:after="0"/>
        <w:rPr>
          <w:rFonts w:eastAsia="Times New Roman" w:cs="Times New Roman"/>
          <w:color w:val="222222"/>
          <w:szCs w:val="24"/>
          <w:lang w:eastAsia="en-AU"/>
        </w:rPr>
      </w:pPr>
      <w:r w:rsidRPr="00475F77">
        <w:rPr>
          <w:rFonts w:eastAsia="Times New Roman" w:cs="Times New Roman"/>
          <w:color w:val="222222"/>
          <w:szCs w:val="24"/>
          <w:lang w:eastAsia="en-AU"/>
        </w:rPr>
        <w:t>The Group will meet in person or via teleconference on a limited number of occasions, in order to provide advice to the Department as soon as possible.</w:t>
      </w:r>
    </w:p>
    <w:p w:rsidR="00A04190" w:rsidRDefault="00A04190">
      <w:pPr>
        <w:rPr>
          <w:rFonts w:eastAsia="Times New Roman" w:cs="Times New Roman"/>
          <w:szCs w:val="24"/>
        </w:rPr>
      </w:pPr>
      <w:r>
        <w:rPr>
          <w:rFonts w:eastAsia="Times New Roman" w:cs="Times New Roman"/>
          <w:szCs w:val="24"/>
        </w:rPr>
        <w:lastRenderedPageBreak/>
        <w:br w:type="page"/>
      </w:r>
    </w:p>
    <w:p w:rsidR="00A8428B" w:rsidRPr="00475F77" w:rsidRDefault="00A8428B" w:rsidP="003111BD">
      <w:pPr>
        <w:pStyle w:val="Heading1Att"/>
      </w:pPr>
      <w:r w:rsidRPr="00475F77">
        <w:lastRenderedPageBreak/>
        <w:t xml:space="preserve">Attachment </w:t>
      </w:r>
      <w:r w:rsidR="000C0450">
        <w:t>B</w:t>
      </w:r>
      <w:r w:rsidRPr="00475F77">
        <w:t xml:space="preserve"> – Membership of the I</w:t>
      </w:r>
      <w:r w:rsidRPr="00475F77">
        <w:rPr>
          <w:shd w:val="clear" w:color="auto" w:fill="FFFFFF"/>
        </w:rPr>
        <w:t>ndustry Working Group on Private Health Insurance Prostheses Reform</w:t>
      </w:r>
      <w:r w:rsidRPr="00475F77">
        <w:br/>
      </w:r>
    </w:p>
    <w:tbl>
      <w:tblPr>
        <w:tblStyle w:val="TableGrid"/>
        <w:tblW w:w="5000" w:type="pct"/>
        <w:tblLook w:val="04A0" w:firstRow="1" w:lastRow="0" w:firstColumn="1" w:lastColumn="0" w:noHBand="0" w:noVBand="1"/>
        <w:tblDescription w:val="Members of the Industry Working Group on Private Health Insurance Prostheses Reform (12 rows, 2 columns)"/>
      </w:tblPr>
      <w:tblGrid>
        <w:gridCol w:w="4066"/>
        <w:gridCol w:w="5176"/>
      </w:tblGrid>
      <w:tr w:rsidR="00A8428B" w:rsidRPr="00963320" w:rsidTr="00A04190">
        <w:trPr>
          <w:tblHeader/>
        </w:trPr>
        <w:tc>
          <w:tcPr>
            <w:tcW w:w="2200" w:type="pct"/>
            <w:hideMark/>
          </w:tcPr>
          <w:p w:rsidR="00A8428B" w:rsidRPr="00475F77" w:rsidRDefault="00A8428B" w:rsidP="00A8428B">
            <w:pPr>
              <w:spacing w:after="300" w:line="300" w:lineRule="atLeast"/>
              <w:rPr>
                <w:rFonts w:ascii="Times New Roman" w:eastAsia="Times New Roman" w:hAnsi="Times New Roman" w:cs="Times New Roman"/>
                <w:b/>
                <w:bCs/>
                <w:color w:val="222222"/>
                <w:szCs w:val="24"/>
                <w:lang w:eastAsia="en-AU"/>
              </w:rPr>
            </w:pPr>
            <w:r w:rsidRPr="00721573">
              <w:rPr>
                <w:rFonts w:eastAsia="Times New Roman" w:cs="Times New Roman"/>
                <w:b/>
                <w:bCs/>
                <w:color w:val="222222"/>
                <w:szCs w:val="24"/>
                <w:lang w:eastAsia="en-AU"/>
              </w:rPr>
              <w:t>Name</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b/>
                <w:bCs/>
                <w:color w:val="222222"/>
                <w:szCs w:val="24"/>
                <w:lang w:eastAsia="en-AU"/>
              </w:rPr>
            </w:pPr>
            <w:r w:rsidRPr="00721573">
              <w:rPr>
                <w:rFonts w:eastAsia="Times New Roman" w:cs="Times New Roman"/>
                <w:b/>
                <w:bCs/>
                <w:color w:val="222222"/>
                <w:szCs w:val="24"/>
                <w:lang w:eastAsia="en-AU"/>
              </w:rPr>
              <w:t>Organisation</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Professor Lloyd Sansom</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Independent Chair</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Rachel David</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Private Healthcare Australia</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Matthew Koce</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HIRMAA</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Susi Tegen</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Medical Technology Association of Australia</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Michael Roff</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Australian Private Hospitals Association</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Gabrielle Moreland</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Australian Day Hospital Association</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Leanne</w:t>
            </w:r>
            <w:r w:rsidRPr="00692AE6">
              <w:rPr>
                <w:rFonts w:eastAsia="Times New Roman" w:cs="Times New Roman"/>
                <w:color w:val="222222"/>
                <w:szCs w:val="24"/>
                <w:lang w:eastAsia="en-AU"/>
              </w:rPr>
              <w:t xml:space="preserve"> Wells</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Consumers Health Forum</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Ian Incoll</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Royal Australasian College of Surgeons</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Anne Trimmer</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Australian Medical Association</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Michelle Somlyay</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Catholic health Australia</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Georgina Sanderson</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Cochlear Limited</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Shane Porter</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Department of Health</w:t>
            </w:r>
          </w:p>
        </w:tc>
      </w:tr>
      <w:tr w:rsidR="00A8428B" w:rsidRPr="00963320" w:rsidTr="00411EA0">
        <w:tc>
          <w:tcPr>
            <w:tcW w:w="22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Adriana Plato</w:t>
            </w:r>
            <w:r w:rsidRPr="00692AE6">
              <w:rPr>
                <w:rFonts w:eastAsia="Times New Roman" w:cs="Times New Roman"/>
                <w:color w:val="222222"/>
                <w:szCs w:val="24"/>
                <w:lang w:eastAsia="en-AU"/>
              </w:rPr>
              <w:t>na</w:t>
            </w:r>
          </w:p>
        </w:tc>
        <w:tc>
          <w:tcPr>
            <w:tcW w:w="2800" w:type="pct"/>
            <w:hideMark/>
          </w:tcPr>
          <w:p w:rsidR="00A8428B" w:rsidRPr="00475F77" w:rsidRDefault="00A8428B" w:rsidP="00A8428B">
            <w:pPr>
              <w:spacing w:after="300" w:line="300" w:lineRule="atLeast"/>
              <w:rPr>
                <w:rFonts w:ascii="Times New Roman" w:eastAsia="Times New Roman" w:hAnsi="Times New Roman" w:cs="Times New Roman"/>
                <w:color w:val="222222"/>
                <w:szCs w:val="24"/>
                <w:lang w:eastAsia="en-AU"/>
              </w:rPr>
            </w:pPr>
            <w:r w:rsidRPr="00721573">
              <w:rPr>
                <w:rFonts w:eastAsia="Times New Roman" w:cs="Times New Roman"/>
                <w:color w:val="222222"/>
                <w:szCs w:val="24"/>
                <w:lang w:eastAsia="en-AU"/>
              </w:rPr>
              <w:t>Department of Health</w:t>
            </w:r>
          </w:p>
        </w:tc>
      </w:tr>
    </w:tbl>
    <w:p w:rsidR="00A04190" w:rsidRDefault="00A04190">
      <w:pPr>
        <w:rPr>
          <w:rFonts w:eastAsia="Times New Roman" w:cs="Times New Roman"/>
          <w:b/>
          <w:szCs w:val="24"/>
        </w:rPr>
      </w:pPr>
      <w:r>
        <w:rPr>
          <w:rFonts w:eastAsia="Times New Roman" w:cs="Times New Roman"/>
          <w:b/>
          <w:szCs w:val="24"/>
        </w:rPr>
        <w:br w:type="page"/>
      </w:r>
    </w:p>
    <w:p w:rsidR="000C0450" w:rsidRDefault="000C0450" w:rsidP="003111BD">
      <w:pPr>
        <w:pStyle w:val="Heading1Att"/>
        <w:rPr>
          <w:u w:val="single"/>
        </w:rPr>
      </w:pPr>
      <w:r w:rsidRPr="00475F77">
        <w:lastRenderedPageBreak/>
        <w:t xml:space="preserve">Attachment </w:t>
      </w:r>
      <w:r>
        <w:t>C</w:t>
      </w:r>
      <w:r w:rsidRPr="00475F77">
        <w:t>:</w:t>
      </w:r>
      <w:r>
        <w:rPr>
          <w:rFonts w:asciiTheme="minorHAnsi" w:hAnsiTheme="minorHAnsi"/>
        </w:rPr>
        <w:t xml:space="preserve"> </w:t>
      </w:r>
    </w:p>
    <w:p w:rsidR="000C0450" w:rsidRPr="00230BD2" w:rsidRDefault="000C0450" w:rsidP="000C0450">
      <w:pPr>
        <w:widowControl w:val="0"/>
        <w:rPr>
          <w:rFonts w:cs="Times New Roman"/>
          <w:szCs w:val="24"/>
          <w:u w:val="single"/>
        </w:rPr>
      </w:pPr>
      <w:r w:rsidRPr="00230BD2">
        <w:rPr>
          <w:szCs w:val="24"/>
        </w:rPr>
        <w:t>The Prostheses List Guide (December 2015) provides the following information regarding the PL.</w:t>
      </w:r>
    </w:p>
    <w:p w:rsidR="000C0450" w:rsidRPr="00230BD2" w:rsidRDefault="000C0450" w:rsidP="003111BD">
      <w:pPr>
        <w:pStyle w:val="Heading2Attc"/>
        <w:rPr>
          <w:b/>
        </w:rPr>
      </w:pPr>
      <w:r w:rsidRPr="00230BD2">
        <w:t>Medical device</w:t>
      </w:r>
    </w:p>
    <w:p w:rsidR="000C0450" w:rsidRPr="00230BD2" w:rsidRDefault="000C0450" w:rsidP="000C0450">
      <w:pPr>
        <w:pStyle w:val="BoxHeading"/>
        <w:widowControl w:val="0"/>
        <w:pBdr>
          <w:top w:val="none" w:sz="0" w:space="0" w:color="auto"/>
          <w:left w:val="none" w:sz="0" w:space="0" w:color="auto"/>
          <w:bottom w:val="none" w:sz="0" w:space="0" w:color="auto"/>
          <w:right w:val="none" w:sz="0" w:space="0" w:color="auto"/>
        </w:pBdr>
        <w:spacing w:before="60" w:afterLines="60" w:after="144" w:line="276" w:lineRule="auto"/>
        <w:rPr>
          <w:b w:val="0"/>
          <w:sz w:val="24"/>
          <w:szCs w:val="24"/>
        </w:rPr>
      </w:pPr>
      <w:r w:rsidRPr="00230BD2">
        <w:rPr>
          <w:b w:val="0"/>
          <w:sz w:val="24"/>
          <w:szCs w:val="24"/>
        </w:rPr>
        <w:t>The Therapeutic Goods Administration (TGA) defines a medical device as an instrument, apparatus, appliance, material or other article intended to be used for human beings for:</w:t>
      </w:r>
    </w:p>
    <w:p w:rsidR="000C0450" w:rsidRPr="00230BD2" w:rsidRDefault="000C0450" w:rsidP="000C0450">
      <w:pPr>
        <w:pStyle w:val="BoxHeading"/>
        <w:widowControl w:val="0"/>
        <w:numPr>
          <w:ilvl w:val="0"/>
          <w:numId w:val="9"/>
        </w:numPr>
        <w:pBdr>
          <w:top w:val="none" w:sz="0" w:space="0" w:color="auto"/>
          <w:left w:val="none" w:sz="0" w:space="0" w:color="auto"/>
          <w:bottom w:val="none" w:sz="0" w:space="0" w:color="auto"/>
          <w:right w:val="none" w:sz="0" w:space="0" w:color="auto"/>
        </w:pBdr>
        <w:spacing w:before="60" w:afterLines="60" w:after="144" w:line="276" w:lineRule="auto"/>
        <w:rPr>
          <w:b w:val="0"/>
          <w:sz w:val="24"/>
          <w:szCs w:val="24"/>
        </w:rPr>
      </w:pPr>
      <w:r w:rsidRPr="00230BD2">
        <w:rPr>
          <w:b w:val="0"/>
          <w:sz w:val="24"/>
          <w:szCs w:val="24"/>
        </w:rPr>
        <w:t>diagnosis, prevention, monitoring, treatment or alleviation of disease, injury or disability</w:t>
      </w:r>
    </w:p>
    <w:p w:rsidR="000C0450" w:rsidRPr="00230BD2" w:rsidRDefault="000C0450" w:rsidP="000C0450">
      <w:pPr>
        <w:pStyle w:val="BoxHeading"/>
        <w:widowControl w:val="0"/>
        <w:numPr>
          <w:ilvl w:val="0"/>
          <w:numId w:val="9"/>
        </w:numPr>
        <w:pBdr>
          <w:top w:val="none" w:sz="0" w:space="0" w:color="auto"/>
          <w:left w:val="none" w:sz="0" w:space="0" w:color="auto"/>
          <w:bottom w:val="none" w:sz="0" w:space="0" w:color="auto"/>
          <w:right w:val="none" w:sz="0" w:space="0" w:color="auto"/>
        </w:pBdr>
        <w:spacing w:before="60" w:afterLines="60" w:after="144" w:line="276" w:lineRule="auto"/>
        <w:rPr>
          <w:b w:val="0"/>
          <w:sz w:val="24"/>
          <w:szCs w:val="24"/>
        </w:rPr>
      </w:pPr>
      <w:r w:rsidRPr="00230BD2">
        <w:rPr>
          <w:b w:val="0"/>
          <w:sz w:val="24"/>
          <w:szCs w:val="24"/>
        </w:rPr>
        <w:t>investigation, replacement or modification of the anatomy or of a physiological process</w:t>
      </w:r>
    </w:p>
    <w:p w:rsidR="000C0450" w:rsidRPr="00230BD2" w:rsidRDefault="000C0450" w:rsidP="000C0450">
      <w:pPr>
        <w:pStyle w:val="BoxHeading"/>
        <w:widowControl w:val="0"/>
        <w:numPr>
          <w:ilvl w:val="0"/>
          <w:numId w:val="9"/>
        </w:numPr>
        <w:pBdr>
          <w:top w:val="none" w:sz="0" w:space="0" w:color="auto"/>
          <w:left w:val="none" w:sz="0" w:space="0" w:color="auto"/>
          <w:bottom w:val="none" w:sz="0" w:space="0" w:color="auto"/>
          <w:right w:val="none" w:sz="0" w:space="0" w:color="auto"/>
        </w:pBdr>
        <w:spacing w:before="60" w:afterLines="60" w:after="144" w:line="276" w:lineRule="auto"/>
        <w:rPr>
          <w:b w:val="0"/>
          <w:sz w:val="24"/>
          <w:szCs w:val="24"/>
        </w:rPr>
      </w:pPr>
      <w:r w:rsidRPr="00230BD2">
        <w:rPr>
          <w:b w:val="0"/>
          <w:sz w:val="24"/>
          <w:szCs w:val="24"/>
        </w:rPr>
        <w:t>control of conception.</w:t>
      </w:r>
    </w:p>
    <w:p w:rsidR="000C0450" w:rsidRPr="00230BD2" w:rsidRDefault="000C0450" w:rsidP="000C0450">
      <w:pPr>
        <w:pStyle w:val="BoxText"/>
        <w:widowControl w:val="0"/>
        <w:pBdr>
          <w:top w:val="none" w:sz="0" w:space="0" w:color="auto"/>
          <w:left w:val="none" w:sz="0" w:space="0" w:color="auto"/>
          <w:bottom w:val="none" w:sz="0" w:space="0" w:color="auto"/>
          <w:right w:val="none" w:sz="0" w:space="0" w:color="auto"/>
        </w:pBdr>
        <w:spacing w:before="60" w:afterLines="60" w:after="144" w:line="276" w:lineRule="auto"/>
        <w:rPr>
          <w:sz w:val="24"/>
          <w:szCs w:val="24"/>
        </w:rPr>
      </w:pPr>
      <w:r w:rsidRPr="00230BD2">
        <w:rPr>
          <w:sz w:val="24"/>
          <w:szCs w:val="24"/>
        </w:rPr>
        <w:t xml:space="preserve">Medical devices include a wide range of products, from those used externally (such as surgical gloves, bandages and condoms) to internal devices (such as pacemakers and dialysis equipment). Prostheses are a subset of medical devices. Safety and efficacy of medical devices are assessed by the </w:t>
      </w:r>
      <w:r>
        <w:rPr>
          <w:sz w:val="24"/>
          <w:szCs w:val="24"/>
        </w:rPr>
        <w:t>TGA</w:t>
      </w:r>
      <w:r w:rsidRPr="00230BD2">
        <w:rPr>
          <w:sz w:val="24"/>
          <w:szCs w:val="24"/>
        </w:rPr>
        <w:t xml:space="preserve">, and products must be entered on the Australian Register of Therapeutic Goods </w:t>
      </w:r>
      <w:r>
        <w:rPr>
          <w:sz w:val="24"/>
          <w:szCs w:val="24"/>
        </w:rPr>
        <w:t xml:space="preserve">(ARTG) </w:t>
      </w:r>
      <w:r w:rsidRPr="00230BD2">
        <w:rPr>
          <w:sz w:val="24"/>
          <w:szCs w:val="24"/>
        </w:rPr>
        <w:t>before they can be provided in Australia.</w:t>
      </w:r>
    </w:p>
    <w:p w:rsidR="000C0450" w:rsidRPr="00230BD2" w:rsidRDefault="000C0450" w:rsidP="00854478">
      <w:pPr>
        <w:pStyle w:val="Heading2Attc"/>
        <w:rPr>
          <w:b/>
        </w:rPr>
      </w:pPr>
      <w:r w:rsidRPr="00230BD2">
        <w:t>Medical service</w:t>
      </w:r>
    </w:p>
    <w:p w:rsidR="000C0450" w:rsidRPr="00230BD2" w:rsidRDefault="000C0450" w:rsidP="000C0450">
      <w:pPr>
        <w:pStyle w:val="BoxText"/>
        <w:widowControl w:val="0"/>
        <w:pBdr>
          <w:top w:val="none" w:sz="0" w:space="0" w:color="auto"/>
          <w:left w:val="none" w:sz="0" w:space="0" w:color="auto"/>
          <w:bottom w:val="none" w:sz="0" w:space="0" w:color="auto"/>
          <w:right w:val="none" w:sz="0" w:space="0" w:color="auto"/>
        </w:pBdr>
        <w:spacing w:before="60" w:afterLines="60" w:after="144" w:line="276" w:lineRule="auto"/>
        <w:rPr>
          <w:sz w:val="24"/>
          <w:szCs w:val="24"/>
        </w:rPr>
      </w:pPr>
      <w:r w:rsidRPr="00230BD2">
        <w:rPr>
          <w:sz w:val="24"/>
          <w:szCs w:val="24"/>
        </w:rPr>
        <w:t>Medical services include therapeutic, investigative and consultative procedures. When a surgically implantable prosthesis is provided to a patient, it is linked to a medical service. The evidence supporting the safety, effectiveness and cost effectiveness of the medical service is assessed by the Medical Services Advisory Committee</w:t>
      </w:r>
      <w:r>
        <w:rPr>
          <w:sz w:val="24"/>
          <w:szCs w:val="24"/>
        </w:rPr>
        <w:t xml:space="preserve"> (MSAC)</w:t>
      </w:r>
      <w:r w:rsidRPr="00230BD2">
        <w:rPr>
          <w:sz w:val="24"/>
          <w:szCs w:val="24"/>
        </w:rPr>
        <w:t>; the evidence supporting the clinical effectiveness and cost effectiveness of the prosthesis is assessed by the Prostheses List Advisory Committee</w:t>
      </w:r>
      <w:r>
        <w:rPr>
          <w:sz w:val="24"/>
          <w:szCs w:val="24"/>
        </w:rPr>
        <w:t xml:space="preserve"> (PLAC)</w:t>
      </w:r>
      <w:r w:rsidRPr="00230BD2">
        <w:rPr>
          <w:sz w:val="24"/>
          <w:szCs w:val="24"/>
        </w:rPr>
        <w:t>. Medical services that are subsidised by the government are listed on the Medicare Benefits Schedule</w:t>
      </w:r>
      <w:r>
        <w:rPr>
          <w:sz w:val="24"/>
          <w:szCs w:val="24"/>
        </w:rPr>
        <w:t xml:space="preserve"> (MBS)</w:t>
      </w:r>
      <w:r w:rsidRPr="00230BD2">
        <w:rPr>
          <w:sz w:val="24"/>
          <w:szCs w:val="24"/>
        </w:rPr>
        <w:t>.</w:t>
      </w:r>
    </w:p>
    <w:p w:rsidR="000C0450" w:rsidRPr="00230BD2" w:rsidRDefault="000C0450" w:rsidP="00854478">
      <w:pPr>
        <w:pStyle w:val="Heading2Attc"/>
        <w:rPr>
          <w:b/>
        </w:rPr>
      </w:pPr>
      <w:r w:rsidRPr="00230BD2">
        <w:t>Prosthesis</w:t>
      </w:r>
    </w:p>
    <w:p w:rsidR="000C0450" w:rsidRDefault="000C0450" w:rsidP="000C0450">
      <w:pPr>
        <w:pStyle w:val="BoxText"/>
        <w:widowControl w:val="0"/>
        <w:pBdr>
          <w:top w:val="none" w:sz="0" w:space="0" w:color="auto"/>
          <w:left w:val="none" w:sz="0" w:space="0" w:color="auto"/>
          <w:bottom w:val="none" w:sz="0" w:space="0" w:color="auto"/>
          <w:right w:val="none" w:sz="0" w:space="0" w:color="auto"/>
        </w:pBdr>
        <w:spacing w:before="60" w:afterLines="60" w:after="144" w:line="276" w:lineRule="auto"/>
        <w:rPr>
          <w:sz w:val="24"/>
          <w:szCs w:val="24"/>
        </w:rPr>
      </w:pPr>
      <w:r w:rsidRPr="00230BD2">
        <w:rPr>
          <w:sz w:val="24"/>
          <w:szCs w:val="24"/>
        </w:rPr>
        <w:t xml:space="preserve">The types of prostheses covered by the Prostheses List are those that meet the criteria </w:t>
      </w:r>
      <w:r>
        <w:rPr>
          <w:sz w:val="24"/>
          <w:szCs w:val="24"/>
        </w:rPr>
        <w:t>outlined below</w:t>
      </w:r>
      <w:r w:rsidRPr="00230BD2">
        <w:rPr>
          <w:sz w:val="24"/>
          <w:szCs w:val="24"/>
        </w:rPr>
        <w:t>. Essentially, this is only those devices that are surgically implanted; or are essential to, and specifically designed as an integral single-use aid for, implanting such a product; or are critically important to the ongoing function of a surgically implanted product. Human tissue items such as corneas, bones and heart valves are also covered by the Prostheses List, as are insulin infusion pumps and cardiac loop recorders. External prostheses, such as external legs, external breast prostheses, wigs and other such devices are not included on the Prostheses List, and are not the subject of the arrangements covered by this guide.</w:t>
      </w:r>
    </w:p>
    <w:p w:rsidR="00A04190" w:rsidRDefault="00A04190">
      <w:pPr>
        <w:rPr>
          <w:rFonts w:cs="Times New Roman"/>
          <w:i/>
          <w:szCs w:val="24"/>
        </w:rPr>
      </w:pPr>
      <w:r>
        <w:br w:type="page"/>
      </w:r>
    </w:p>
    <w:p w:rsidR="000C0450" w:rsidRPr="00230BD2" w:rsidRDefault="000C0450" w:rsidP="00854478">
      <w:pPr>
        <w:pStyle w:val="Heading2Attc"/>
      </w:pPr>
      <w:r>
        <w:lastRenderedPageBreak/>
        <w:t>Prostheses List Criteria</w:t>
      </w:r>
    </w:p>
    <w:p w:rsidR="000C0450" w:rsidRPr="00230BD2" w:rsidRDefault="000C0450" w:rsidP="000C0450">
      <w:pPr>
        <w:keepNext/>
        <w:spacing w:before="60" w:after="60"/>
        <w:rPr>
          <w:rFonts w:eastAsia="Times New Roman" w:cs="Times New Roman"/>
          <w:color w:val="000000"/>
          <w:szCs w:val="20"/>
          <w:lang w:eastAsia="en-AU"/>
        </w:rPr>
      </w:pPr>
      <w:r w:rsidRPr="00230BD2">
        <w:rPr>
          <w:rFonts w:eastAsia="Times New Roman" w:cs="Times New Roman"/>
          <w:color w:val="000000"/>
          <w:szCs w:val="20"/>
          <w:lang w:eastAsia="en-AU"/>
        </w:rPr>
        <w:t xml:space="preserve">The </w:t>
      </w:r>
      <w:r w:rsidRPr="00230BD2">
        <w:rPr>
          <w:rFonts w:eastAsia="Times New Roman" w:cs="Times New Roman"/>
          <w:i/>
          <w:color w:val="000000"/>
          <w:szCs w:val="20"/>
          <w:lang w:eastAsia="en-AU"/>
        </w:rPr>
        <w:t>Private Health Insurance Act 2007</w:t>
      </w:r>
      <w:r w:rsidRPr="00230BD2">
        <w:rPr>
          <w:rFonts w:eastAsia="Times New Roman" w:cs="Times New Roman"/>
          <w:color w:val="000000"/>
          <w:szCs w:val="20"/>
          <w:lang w:eastAsia="en-AU"/>
        </w:rPr>
        <w:t xml:space="preserve"> provides that benefits from hospital treatment cover will be paid in respect of a kind of prosthesis listed in the Prostheses Rules.</w:t>
      </w:r>
    </w:p>
    <w:p w:rsidR="000C0450" w:rsidRPr="00230BD2" w:rsidRDefault="000C0450" w:rsidP="000C0450">
      <w:pPr>
        <w:keepNext/>
        <w:spacing w:before="60" w:after="60"/>
        <w:rPr>
          <w:rFonts w:eastAsia="Times New Roman" w:cs="Times New Roman"/>
          <w:color w:val="000000"/>
          <w:szCs w:val="20"/>
          <w:lang w:eastAsia="en-AU"/>
        </w:rPr>
      </w:pPr>
      <w:r w:rsidRPr="00230BD2">
        <w:rPr>
          <w:rFonts w:eastAsia="Times New Roman" w:cs="Times New Roman"/>
          <w:color w:val="000000"/>
          <w:szCs w:val="20"/>
          <w:lang w:eastAsia="en-AU"/>
        </w:rPr>
        <w:t>The criteria for listing a kind of prosthesis on Part A of the Prostheses List are as follows:</w:t>
      </w:r>
    </w:p>
    <w:p w:rsidR="000C0450" w:rsidRPr="00230BD2" w:rsidRDefault="000C0450" w:rsidP="000C0450">
      <w:pPr>
        <w:spacing w:after="120" w:line="240" w:lineRule="auto"/>
        <w:ind w:left="993"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1)</w:t>
      </w:r>
      <w:r w:rsidRPr="00230BD2">
        <w:rPr>
          <w:rFonts w:eastAsia="Times New Roman" w:cs="Times New Roman"/>
          <w:color w:val="000000"/>
          <w:sz w:val="20"/>
          <w:szCs w:val="20"/>
          <w:lang w:eastAsia="en-AU"/>
        </w:rPr>
        <w:tab/>
        <w:t>The product must be entered and current on the Australian Register of Therapeutic Goods</w:t>
      </w:r>
    </w:p>
    <w:p w:rsidR="000C0450" w:rsidRPr="00230BD2" w:rsidRDefault="000C0450" w:rsidP="000C0450">
      <w:pPr>
        <w:spacing w:after="120" w:line="240" w:lineRule="auto"/>
        <w:ind w:left="993"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2)</w:t>
      </w:r>
      <w:r w:rsidRPr="00230BD2">
        <w:rPr>
          <w:rFonts w:eastAsia="Times New Roman" w:cs="Times New Roman"/>
          <w:color w:val="000000"/>
          <w:sz w:val="20"/>
          <w:szCs w:val="20"/>
          <w:lang w:eastAsia="en-AU"/>
        </w:rPr>
        <w:tab/>
        <w:t>The product must be provided to a person as part of an episode of hospital treatment or hospital-substitute treatment</w:t>
      </w:r>
    </w:p>
    <w:p w:rsidR="000C0450" w:rsidRPr="00230BD2" w:rsidRDefault="000C0450" w:rsidP="000C0450">
      <w:pPr>
        <w:spacing w:after="120" w:line="240" w:lineRule="auto"/>
        <w:ind w:left="993"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3)</w:t>
      </w:r>
      <w:r w:rsidRPr="00230BD2">
        <w:rPr>
          <w:rFonts w:eastAsia="Times New Roman" w:cs="Times New Roman"/>
          <w:color w:val="000000"/>
          <w:sz w:val="20"/>
          <w:szCs w:val="20"/>
          <w:lang w:eastAsia="en-AU"/>
        </w:rPr>
        <w:tab/>
        <w:t>A Medicare benefit must be payable in respect of the professional service associated with the provision of the product (or the provision of the product is associated with podiatric treatment by an accredited podiatrist)</w:t>
      </w:r>
    </w:p>
    <w:p w:rsidR="000C0450" w:rsidRPr="00230BD2" w:rsidRDefault="000C0450" w:rsidP="000C0450">
      <w:pPr>
        <w:spacing w:after="120" w:line="240" w:lineRule="auto"/>
        <w:ind w:left="993"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4)</w:t>
      </w:r>
      <w:r w:rsidRPr="00230BD2">
        <w:rPr>
          <w:rFonts w:eastAsia="Times New Roman" w:cs="Times New Roman"/>
          <w:color w:val="000000"/>
          <w:sz w:val="20"/>
          <w:szCs w:val="20"/>
          <w:lang w:eastAsia="en-AU"/>
        </w:rPr>
        <w:tab/>
        <w:t>A prosthesis should:</w:t>
      </w:r>
    </w:p>
    <w:p w:rsidR="000C0450" w:rsidRPr="00230BD2" w:rsidRDefault="000C0450" w:rsidP="000C0450">
      <w:pPr>
        <w:spacing w:after="120" w:line="240" w:lineRule="auto"/>
        <w:ind w:left="1276"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(a)</w:t>
      </w:r>
      <w:r w:rsidRPr="00230BD2">
        <w:rPr>
          <w:rFonts w:eastAsia="Times New Roman" w:cs="Times New Roman"/>
          <w:color w:val="000000"/>
          <w:sz w:val="20"/>
          <w:szCs w:val="20"/>
          <w:lang w:eastAsia="en-AU"/>
        </w:rPr>
        <w:tab/>
        <w:t>be surgically implanted in the patient and be purposely designed in order to</w:t>
      </w:r>
    </w:p>
    <w:p w:rsidR="000C0450" w:rsidRPr="00230BD2" w:rsidRDefault="000C0450" w:rsidP="000C0450">
      <w:pPr>
        <w:spacing w:after="120" w:line="240" w:lineRule="auto"/>
        <w:ind w:left="1701" w:right="720" w:hanging="414"/>
        <w:rPr>
          <w:rFonts w:eastAsia="Times New Roman" w:cs="Times New Roman"/>
          <w:color w:val="000000"/>
          <w:sz w:val="20"/>
          <w:szCs w:val="20"/>
          <w:lang w:eastAsia="en-AU"/>
        </w:rPr>
      </w:pPr>
      <w:r w:rsidRPr="00230BD2">
        <w:rPr>
          <w:rFonts w:eastAsia="Times New Roman" w:cs="Times New Roman"/>
          <w:color w:val="000000"/>
          <w:sz w:val="20"/>
          <w:szCs w:val="20"/>
          <w:lang w:eastAsia="en-AU"/>
        </w:rPr>
        <w:t>(i)</w:t>
      </w:r>
      <w:r w:rsidRPr="00230BD2">
        <w:rPr>
          <w:rFonts w:eastAsia="Times New Roman" w:cs="Times New Roman"/>
          <w:color w:val="000000"/>
          <w:sz w:val="20"/>
          <w:szCs w:val="20"/>
          <w:lang w:eastAsia="en-AU"/>
        </w:rPr>
        <w:tab/>
        <w:t>replace an anatomical body part; or</w:t>
      </w:r>
    </w:p>
    <w:p w:rsidR="000C0450" w:rsidRPr="00230BD2" w:rsidRDefault="000C0450" w:rsidP="000C0450">
      <w:pPr>
        <w:spacing w:after="120" w:line="240" w:lineRule="auto"/>
        <w:ind w:left="1701" w:right="720" w:hanging="414"/>
        <w:rPr>
          <w:rFonts w:eastAsia="Times New Roman" w:cs="Times New Roman"/>
          <w:color w:val="000000"/>
          <w:sz w:val="20"/>
          <w:szCs w:val="20"/>
          <w:lang w:eastAsia="en-AU"/>
        </w:rPr>
      </w:pPr>
      <w:r w:rsidRPr="00230BD2">
        <w:rPr>
          <w:rFonts w:eastAsia="Times New Roman" w:cs="Times New Roman"/>
          <w:color w:val="000000"/>
          <w:sz w:val="20"/>
          <w:szCs w:val="20"/>
          <w:lang w:eastAsia="en-AU"/>
        </w:rPr>
        <w:t>(ii)</w:t>
      </w:r>
      <w:r w:rsidRPr="00230BD2">
        <w:rPr>
          <w:rFonts w:eastAsia="Times New Roman" w:cs="Times New Roman"/>
          <w:color w:val="000000"/>
          <w:sz w:val="20"/>
          <w:szCs w:val="20"/>
          <w:lang w:eastAsia="en-AU"/>
        </w:rPr>
        <w:tab/>
        <w:t>combat a pathological process; or</w:t>
      </w:r>
    </w:p>
    <w:p w:rsidR="000C0450" w:rsidRPr="00230BD2" w:rsidRDefault="000C0450" w:rsidP="000C0450">
      <w:pPr>
        <w:spacing w:after="120" w:line="240" w:lineRule="auto"/>
        <w:ind w:left="1701" w:right="720" w:hanging="414"/>
        <w:rPr>
          <w:rFonts w:eastAsia="Times New Roman" w:cs="Times New Roman"/>
          <w:color w:val="000000"/>
          <w:sz w:val="20"/>
          <w:szCs w:val="20"/>
          <w:lang w:eastAsia="en-AU"/>
        </w:rPr>
      </w:pPr>
      <w:r w:rsidRPr="00230BD2">
        <w:rPr>
          <w:rFonts w:eastAsia="Times New Roman" w:cs="Times New Roman"/>
          <w:color w:val="000000"/>
          <w:sz w:val="20"/>
          <w:szCs w:val="20"/>
          <w:lang w:eastAsia="en-AU"/>
        </w:rPr>
        <w:t>(iii)</w:t>
      </w:r>
      <w:r w:rsidRPr="00230BD2">
        <w:rPr>
          <w:rFonts w:eastAsia="Times New Roman" w:cs="Times New Roman"/>
          <w:color w:val="000000"/>
          <w:sz w:val="20"/>
          <w:szCs w:val="20"/>
          <w:lang w:eastAsia="en-AU"/>
        </w:rPr>
        <w:tab/>
        <w:t xml:space="preserve">modulate a physiological process; </w:t>
      </w:r>
    </w:p>
    <w:p w:rsidR="000C0450" w:rsidRPr="00230BD2" w:rsidRDefault="000C0450" w:rsidP="000C0450">
      <w:pPr>
        <w:spacing w:after="120" w:line="240" w:lineRule="auto"/>
        <w:ind w:left="1276"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or</w:t>
      </w:r>
    </w:p>
    <w:p w:rsidR="000C0450" w:rsidRPr="00230BD2" w:rsidRDefault="000C0450" w:rsidP="000C0450">
      <w:pPr>
        <w:spacing w:after="120" w:line="240" w:lineRule="auto"/>
        <w:ind w:left="1276"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(b)</w:t>
      </w:r>
      <w:r w:rsidRPr="00230BD2">
        <w:rPr>
          <w:rFonts w:eastAsia="Times New Roman" w:cs="Times New Roman"/>
          <w:color w:val="000000"/>
          <w:sz w:val="20"/>
          <w:szCs w:val="20"/>
          <w:lang w:eastAsia="en-AU"/>
        </w:rPr>
        <w:tab/>
        <w:t>be essential to and specifically designed as an integral single-use aid for implanting a product, described in (a) (i), (ii) or (iii) above, which is only suitable for use with the patient in whom that product is implanted</w:t>
      </w:r>
    </w:p>
    <w:p w:rsidR="000C0450" w:rsidRPr="00230BD2" w:rsidRDefault="000C0450" w:rsidP="000C0450">
      <w:pPr>
        <w:spacing w:after="120" w:line="240" w:lineRule="auto"/>
        <w:ind w:left="1276"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or</w:t>
      </w:r>
    </w:p>
    <w:p w:rsidR="000C0450" w:rsidRPr="00230BD2" w:rsidRDefault="000C0450" w:rsidP="000C0450">
      <w:pPr>
        <w:spacing w:after="120" w:line="240" w:lineRule="auto"/>
        <w:ind w:left="1276"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(c)</w:t>
      </w:r>
      <w:r w:rsidRPr="00230BD2">
        <w:rPr>
          <w:rFonts w:eastAsia="Times New Roman" w:cs="Times New Roman"/>
          <w:color w:val="000000"/>
          <w:sz w:val="20"/>
          <w:szCs w:val="20"/>
          <w:lang w:eastAsia="en-AU"/>
        </w:rPr>
        <w:tab/>
        <w:t>be critical to the continuing function of the surgically implanted product to achieve (i), (ii) or (iii) above and which is only suitable for use by the patient in whom that product is implanted; and</w:t>
      </w:r>
    </w:p>
    <w:p w:rsidR="000C0450" w:rsidRPr="00230BD2" w:rsidRDefault="000C0450" w:rsidP="000C0450">
      <w:pPr>
        <w:spacing w:after="120" w:line="240" w:lineRule="auto"/>
        <w:ind w:left="993" w:right="720" w:hanging="273"/>
        <w:rPr>
          <w:rFonts w:eastAsia="Times New Roman" w:cs="Times New Roman"/>
          <w:color w:val="000000"/>
          <w:sz w:val="20"/>
          <w:szCs w:val="20"/>
          <w:lang w:eastAsia="en-AU"/>
        </w:rPr>
      </w:pPr>
      <w:r w:rsidRPr="00230BD2">
        <w:rPr>
          <w:rFonts w:eastAsia="Times New Roman" w:cs="Times New Roman"/>
          <w:color w:val="000000"/>
          <w:sz w:val="20"/>
          <w:szCs w:val="20"/>
          <w:lang w:eastAsia="en-AU"/>
        </w:rPr>
        <w:t>5)</w:t>
      </w:r>
      <w:r w:rsidRPr="00230BD2">
        <w:rPr>
          <w:rFonts w:eastAsia="Times New Roman" w:cs="Times New Roman"/>
          <w:color w:val="000000"/>
          <w:sz w:val="20"/>
          <w:szCs w:val="20"/>
          <w:lang w:eastAsia="en-AU"/>
        </w:rPr>
        <w:tab/>
        <w:t>The product has been compared to alternative products on the Prostheses List or alternative treatments and</w:t>
      </w:r>
    </w:p>
    <w:p w:rsidR="000C0450" w:rsidRPr="00230BD2" w:rsidRDefault="000C0450" w:rsidP="000C0450">
      <w:pPr>
        <w:spacing w:after="120" w:line="240" w:lineRule="auto"/>
        <w:ind w:left="1701" w:right="720" w:hanging="414"/>
        <w:rPr>
          <w:rFonts w:eastAsia="Times New Roman" w:cs="Times New Roman"/>
          <w:color w:val="000000"/>
          <w:sz w:val="20"/>
          <w:szCs w:val="20"/>
          <w:lang w:eastAsia="en-AU"/>
        </w:rPr>
      </w:pPr>
      <w:r w:rsidRPr="00230BD2">
        <w:rPr>
          <w:rFonts w:eastAsia="Times New Roman" w:cs="Times New Roman"/>
          <w:color w:val="000000"/>
          <w:sz w:val="20"/>
          <w:szCs w:val="20"/>
          <w:lang w:eastAsia="en-AU"/>
        </w:rPr>
        <w:t>(i)</w:t>
      </w:r>
      <w:r w:rsidRPr="00230BD2">
        <w:rPr>
          <w:rFonts w:eastAsia="Times New Roman" w:cs="Times New Roman"/>
          <w:color w:val="000000"/>
          <w:sz w:val="20"/>
          <w:szCs w:val="20"/>
          <w:lang w:eastAsia="en-AU"/>
        </w:rPr>
        <w:tab/>
        <w:t>assessed as being, at least, of similar clinical effectiveness; and</w:t>
      </w:r>
    </w:p>
    <w:p w:rsidR="000C0450" w:rsidRDefault="000C0450" w:rsidP="000C0450">
      <w:pPr>
        <w:rPr>
          <w:rFonts w:eastAsia="Times New Roman" w:cs="Times New Roman"/>
          <w:szCs w:val="24"/>
        </w:rPr>
      </w:pPr>
      <w:r w:rsidRPr="00230BD2">
        <w:rPr>
          <w:rFonts w:eastAsia="Times New Roman" w:cs="Times New Roman"/>
          <w:color w:val="000000"/>
          <w:sz w:val="20"/>
          <w:szCs w:val="20"/>
          <w:lang w:eastAsia="en-AU"/>
        </w:rPr>
        <w:t>(ii)</w:t>
      </w:r>
      <w:r w:rsidRPr="00230BD2">
        <w:rPr>
          <w:rFonts w:eastAsia="Times New Roman" w:cs="Times New Roman"/>
          <w:color w:val="000000"/>
          <w:sz w:val="20"/>
          <w:szCs w:val="20"/>
          <w:lang w:eastAsia="en-AU"/>
        </w:rPr>
        <w:tab/>
        <w:t>the cost of the product is relative to its clinical effectiveness</w:t>
      </w:r>
    </w:p>
    <w:p w:rsidR="00A8428B" w:rsidRPr="00475F77" w:rsidRDefault="00A8428B" w:rsidP="00A8428B">
      <w:pPr>
        <w:rPr>
          <w:rFonts w:eastAsia="Times New Roman" w:cs="Times New Roman"/>
          <w:szCs w:val="24"/>
        </w:rPr>
      </w:pPr>
      <w:r w:rsidRPr="00475F77">
        <w:rPr>
          <w:rFonts w:eastAsia="Times New Roman" w:cs="Times New Roman"/>
          <w:szCs w:val="24"/>
        </w:rPr>
        <w:br w:type="page"/>
      </w:r>
    </w:p>
    <w:p w:rsidR="00A8428B" w:rsidRPr="00A8428B" w:rsidRDefault="00A8428B" w:rsidP="00854478">
      <w:pPr>
        <w:pStyle w:val="Heading1Att"/>
      </w:pPr>
      <w:r w:rsidRPr="00A8428B">
        <w:lastRenderedPageBreak/>
        <w:t xml:space="preserve">Attachment </w:t>
      </w:r>
      <w:r w:rsidR="00963320">
        <w:t>D</w:t>
      </w:r>
      <w:r w:rsidRPr="00A8428B">
        <w:t xml:space="preserve"> - Letter to sponsors requesting pricing data</w:t>
      </w:r>
    </w:p>
    <w:p w:rsidR="00A8428B" w:rsidRPr="00A8428B" w:rsidRDefault="00A8428B" w:rsidP="00A8428B">
      <w:pPr>
        <w:spacing w:after="0"/>
        <w:rPr>
          <w:rFonts w:asciiTheme="minorHAnsi" w:eastAsia="Times New Roman" w:hAnsiTheme="minorHAnsi"/>
          <w:b/>
          <w:szCs w:val="24"/>
        </w:rPr>
      </w:pPr>
    </w:p>
    <w:p w:rsidR="00A8428B" w:rsidRPr="00A8428B" w:rsidRDefault="00A8428B" w:rsidP="00A8428B">
      <w:pPr>
        <w:spacing w:after="0"/>
        <w:jc w:val="center"/>
        <w:rPr>
          <w:rFonts w:asciiTheme="minorHAnsi" w:hAnsiTheme="minorHAnsi"/>
          <w:b/>
          <w:caps/>
          <w:sz w:val="22"/>
        </w:rPr>
      </w:pPr>
      <w:bookmarkStart w:id="1" w:name="imageHolder"/>
      <w:bookmarkEnd w:id="1"/>
      <w:r w:rsidRPr="00A8428B">
        <w:rPr>
          <w:rFonts w:asciiTheme="minorHAnsi" w:hAnsiTheme="minorHAnsi"/>
          <w:noProof/>
          <w:sz w:val="28"/>
          <w:szCs w:val="28"/>
          <w:lang w:eastAsia="en-AU"/>
        </w:rPr>
        <w:drawing>
          <wp:inline distT="0" distB="0" distL="0" distR="0" wp14:anchorId="5BF3FA6B" wp14:editId="39DAC8DE">
            <wp:extent cx="1688400" cy="1119600"/>
            <wp:effectExtent l="0" t="0" r="7620" b="4445"/>
            <wp:docPr id="1" name="Picture 1"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1"/>
                    <a:stretch>
                      <a:fillRect/>
                    </a:stretch>
                  </pic:blipFill>
                  <pic:spPr>
                    <a:xfrm>
                      <a:off x="0" y="0"/>
                      <a:ext cx="1688400" cy="1119600"/>
                    </a:xfrm>
                    <a:prstGeom prst="rect">
                      <a:avLst/>
                    </a:prstGeom>
                  </pic:spPr>
                </pic:pic>
              </a:graphicData>
            </a:graphic>
          </wp:inline>
        </w:drawing>
      </w:r>
    </w:p>
    <w:p w:rsidR="00A8428B" w:rsidRPr="00A8428B" w:rsidRDefault="00A8428B" w:rsidP="00A8428B">
      <w:pPr>
        <w:tabs>
          <w:tab w:val="left" w:pos="720"/>
          <w:tab w:val="center" w:pos="4153"/>
          <w:tab w:val="right" w:pos="8306"/>
        </w:tabs>
        <w:spacing w:after="0" w:line="240" w:lineRule="auto"/>
        <w:rPr>
          <w:rFonts w:eastAsia="Times New Roman" w:cs="Times New Roman"/>
          <w:szCs w:val="24"/>
          <w:lang w:eastAsia="en-AU"/>
        </w:rPr>
      </w:pPr>
      <w:bookmarkStart w:id="2" w:name="Title"/>
      <w:bookmarkEnd w:id="2"/>
    </w:p>
    <w:p w:rsidR="00A8428B" w:rsidRPr="00A8428B" w:rsidRDefault="00A8428B" w:rsidP="00A8428B">
      <w:pPr>
        <w:tabs>
          <w:tab w:val="left" w:pos="720"/>
          <w:tab w:val="center" w:pos="4153"/>
          <w:tab w:val="right" w:pos="8306"/>
        </w:tabs>
        <w:spacing w:after="0" w:line="240" w:lineRule="auto"/>
        <w:rPr>
          <w:rFonts w:asciiTheme="minorHAnsi" w:eastAsia="Times New Roman" w:hAnsiTheme="minorHAnsi" w:cs="Times New Roman"/>
          <w:sz w:val="20"/>
          <w:szCs w:val="20"/>
          <w:lang w:eastAsia="en-AU"/>
        </w:rPr>
      </w:pPr>
      <w:r w:rsidRPr="00A8428B">
        <w:rPr>
          <w:rFonts w:asciiTheme="minorHAnsi" w:eastAsia="Times New Roman" w:hAnsiTheme="minorHAnsi" w:cs="Times New Roman"/>
          <w:sz w:val="20"/>
          <w:szCs w:val="20"/>
          <w:lang w:eastAsia="en-AU"/>
        </w:rPr>
        <w:t>Dear Prostheses List Sponsor</w:t>
      </w:r>
    </w:p>
    <w:p w:rsidR="00A8428B" w:rsidRPr="00A8428B" w:rsidRDefault="00A8428B" w:rsidP="00A8428B">
      <w:pPr>
        <w:tabs>
          <w:tab w:val="left" w:pos="720"/>
          <w:tab w:val="center" w:pos="4153"/>
          <w:tab w:val="right" w:pos="8306"/>
        </w:tabs>
        <w:spacing w:after="0" w:line="240" w:lineRule="auto"/>
        <w:rPr>
          <w:rFonts w:asciiTheme="minorHAnsi" w:eastAsia="Times New Roman" w:hAnsiTheme="minorHAnsi" w:cs="Times New Roman"/>
          <w:sz w:val="20"/>
          <w:szCs w:val="20"/>
          <w:lang w:eastAsia="en-AU"/>
        </w:rPr>
      </w:pPr>
    </w:p>
    <w:p w:rsidR="00A8428B" w:rsidRPr="00854478" w:rsidRDefault="00A8428B" w:rsidP="00854478">
      <w:pPr>
        <w:jc w:val="center"/>
        <w:rPr>
          <w:b/>
          <w:lang w:eastAsia="en-AU"/>
        </w:rPr>
      </w:pPr>
      <w:bookmarkStart w:id="3" w:name="Subject"/>
      <w:bookmarkEnd w:id="3"/>
      <w:r w:rsidRPr="00854478">
        <w:rPr>
          <w:b/>
          <w:lang w:eastAsia="en-AU"/>
        </w:rPr>
        <w:t>Industry Working Group on Private Health Insurance Prostheses Reform</w:t>
      </w:r>
      <w:r w:rsidRPr="00854478">
        <w:rPr>
          <w:b/>
          <w:lang w:eastAsia="en-AU"/>
        </w:rPr>
        <w:br/>
        <w:t>Request for Information</w:t>
      </w:r>
    </w:p>
    <w:p w:rsidR="00A8428B" w:rsidRPr="00A8428B" w:rsidRDefault="00A8428B" w:rsidP="00854478">
      <w:pPr>
        <w:rPr>
          <w:lang w:eastAsia="en-AU"/>
        </w:rPr>
      </w:pP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 xml:space="preserve">The Department of Health has established the Industry Working Group on Private Health Insurance Prostheses Reform to examine opportunities for reform of the arrangements governing prostheses and devices access and pricing in the private health insurance sector. The Terms of Reference for the Working Group are provided at </w:t>
      </w:r>
      <w:r w:rsidRPr="00A8428B">
        <w:rPr>
          <w:rFonts w:asciiTheme="minorHAnsi" w:hAnsiTheme="minorHAnsi"/>
          <w:sz w:val="20"/>
          <w:szCs w:val="20"/>
          <w:u w:val="single"/>
        </w:rPr>
        <w:t>Attachment A</w:t>
      </w:r>
      <w:r w:rsidRPr="00A8428B">
        <w:rPr>
          <w:rFonts w:asciiTheme="minorHAnsi" w:hAnsiTheme="minorHAnsi"/>
          <w:sz w:val="20"/>
          <w:szCs w:val="20"/>
        </w:rPr>
        <w:t xml:space="preserve">. Further information about the Working Group is available at </w:t>
      </w:r>
      <w:hyperlink r:id="rId12" w:history="1">
        <w:r w:rsidR="00A04190">
          <w:rPr>
            <w:rFonts w:asciiTheme="minorHAnsi" w:hAnsiTheme="minorHAnsi"/>
            <w:color w:val="0000FF" w:themeColor="hyperlink"/>
            <w:sz w:val="20"/>
            <w:szCs w:val="20"/>
            <w:u w:val="single"/>
          </w:rPr>
          <w:t>Industry Working Group Terms of Reference</w:t>
        </w:r>
      </w:hyperlink>
      <w:r w:rsidRPr="00A8428B">
        <w:rPr>
          <w:rFonts w:asciiTheme="minorHAnsi" w:hAnsiTheme="minorHAnsi"/>
          <w:sz w:val="20"/>
          <w:szCs w:val="20"/>
        </w:rPr>
        <w:t xml:space="preserve">. </w:t>
      </w:r>
    </w:p>
    <w:p w:rsidR="00A8428B" w:rsidRPr="00A8428B" w:rsidRDefault="00A8428B" w:rsidP="00A8428B">
      <w:pPr>
        <w:spacing w:after="0"/>
        <w:rPr>
          <w:rFonts w:asciiTheme="minorHAnsi" w:hAnsiTheme="minorHAnsi"/>
          <w:sz w:val="20"/>
          <w:szCs w:val="20"/>
        </w:rPr>
      </w:pP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The Working Group has met on two occasions, 17 and 24 February 2016. Those two meetings have largely focused on the Terms of Reference requirement to identify “specific products or categories of products which may present opportunities for immediate benefit rationalisation”.</w:t>
      </w:r>
    </w:p>
    <w:p w:rsidR="00A8428B" w:rsidRPr="00A8428B" w:rsidRDefault="00A8428B" w:rsidP="00A8428B">
      <w:pPr>
        <w:spacing w:after="0"/>
        <w:rPr>
          <w:rFonts w:asciiTheme="minorHAnsi" w:hAnsiTheme="minorHAnsi"/>
          <w:sz w:val="20"/>
          <w:szCs w:val="20"/>
        </w:rPr>
      </w:pP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As Chair of the Working Group, I have been provided with information regarding prostheses pricing in the Western Australian public hospital system and internationally. With the agreement of all Working Group members, I am writing to seek the assistance of sponsors in gathering further information about prostheses pricing in Australia.  With this information, I intend to provide advice to the Minister for Health, the Hon Sussan Ley MP, about how she might better relate benefits on the Prostheses List to actual public and private sector selling prices across Australia. The precise methodology for how this will be achieved is still under consideration by the Working Group, however I wish to give you as much notice as I can to prepare your response and input to our deliberations.</w:t>
      </w:r>
    </w:p>
    <w:p w:rsidR="00A8428B" w:rsidRPr="00A8428B" w:rsidRDefault="00A8428B" w:rsidP="00A8428B">
      <w:pPr>
        <w:spacing w:after="0"/>
        <w:rPr>
          <w:rFonts w:asciiTheme="minorHAnsi" w:hAnsiTheme="minorHAnsi"/>
          <w:sz w:val="20"/>
          <w:szCs w:val="20"/>
        </w:rPr>
      </w:pP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I am specifically seeking information to assist me to understand the net revenue for these products, taking account of all discounts/rebates/other direct or indirect purchasing incentives (collectively called “incentives” for this task). As such, I am asking that you provide information, in an Excel spreadsheet format, for items on the Prostheses List in the categories of cardiac, hips, knees, and intraoccular lenses (as included in the attached spreadsheet) for which you are the sponsor.  I am seeking, for the year to 31 December 2015 (or the closest possible 12 month reporting period) total revenue from sales of that item (GST exclusive) and the total volume sold in</w:t>
      </w:r>
    </w:p>
    <w:p w:rsidR="00A8428B" w:rsidRPr="00A8428B" w:rsidRDefault="00A8428B" w:rsidP="00A8428B">
      <w:pPr>
        <w:numPr>
          <w:ilvl w:val="1"/>
          <w:numId w:val="12"/>
        </w:numPr>
        <w:spacing w:after="0" w:line="240" w:lineRule="auto"/>
        <w:contextualSpacing/>
        <w:rPr>
          <w:rFonts w:asciiTheme="minorHAnsi" w:hAnsiTheme="minorHAnsi"/>
          <w:sz w:val="20"/>
          <w:szCs w:val="20"/>
        </w:rPr>
      </w:pPr>
      <w:r w:rsidRPr="00A8428B">
        <w:rPr>
          <w:rFonts w:asciiTheme="minorHAnsi" w:hAnsiTheme="minorHAnsi"/>
          <w:sz w:val="20"/>
          <w:szCs w:val="20"/>
        </w:rPr>
        <w:t>the public hospital sector, and</w:t>
      </w:r>
    </w:p>
    <w:p w:rsidR="00A8428B" w:rsidRPr="00A8428B" w:rsidRDefault="00A8428B" w:rsidP="00A8428B">
      <w:pPr>
        <w:numPr>
          <w:ilvl w:val="1"/>
          <w:numId w:val="12"/>
        </w:numPr>
        <w:spacing w:after="0" w:line="240" w:lineRule="auto"/>
        <w:contextualSpacing/>
        <w:rPr>
          <w:rFonts w:asciiTheme="minorHAnsi" w:hAnsiTheme="minorHAnsi"/>
          <w:sz w:val="20"/>
          <w:szCs w:val="20"/>
        </w:rPr>
      </w:pPr>
      <w:r w:rsidRPr="00A8428B">
        <w:rPr>
          <w:rFonts w:asciiTheme="minorHAnsi" w:hAnsiTheme="minorHAnsi"/>
          <w:sz w:val="20"/>
          <w:szCs w:val="20"/>
        </w:rPr>
        <w:t>the private hospital sector.</w:t>
      </w:r>
    </w:p>
    <w:p w:rsidR="00A8428B" w:rsidRPr="00A8428B" w:rsidRDefault="00A8428B" w:rsidP="00A8428B">
      <w:pPr>
        <w:spacing w:after="0"/>
        <w:rPr>
          <w:rFonts w:asciiTheme="minorHAnsi" w:hAnsiTheme="minorHAnsi"/>
          <w:sz w:val="20"/>
          <w:szCs w:val="20"/>
        </w:rPr>
      </w:pP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 xml:space="preserve">A template spreadsheet is provided at </w:t>
      </w:r>
      <w:r w:rsidRPr="00A8428B">
        <w:rPr>
          <w:rFonts w:asciiTheme="minorHAnsi" w:hAnsiTheme="minorHAnsi"/>
          <w:sz w:val="20"/>
          <w:szCs w:val="20"/>
          <w:u w:val="single"/>
        </w:rPr>
        <w:t>Attachment B</w:t>
      </w:r>
      <w:r w:rsidRPr="00A8428B">
        <w:rPr>
          <w:rFonts w:asciiTheme="minorHAnsi" w:hAnsiTheme="minorHAnsi"/>
          <w:sz w:val="20"/>
          <w:szCs w:val="20"/>
        </w:rPr>
        <w:t xml:space="preserve">, and is also being provided electronically. Due to the limited time to complete this request and in order to limit the impost on sponsors, I have included only the </w:t>
      </w:r>
      <w:r w:rsidRPr="00A8428B">
        <w:rPr>
          <w:rFonts w:asciiTheme="minorHAnsi" w:hAnsiTheme="minorHAnsi"/>
          <w:sz w:val="20"/>
          <w:szCs w:val="20"/>
        </w:rPr>
        <w:lastRenderedPageBreak/>
        <w:t>major items in each of the four categories. If you wish to include additional information relating to other items in these categories, please do so in the spreadsheet.</w:t>
      </w: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 xml:space="preserve">A key consideration for this task is the identification of incentives. I am therefore also asking that you provide information relating to the total value of any incentives provided, including “off invoice”. Anything given as an incentive to purchase the prosthesis is relevant (whether the incentive was given before, during, or not paid until after, the relevant supply period; and regardless of who receives the incentive). This would include the value of incentives relevant to the particular item, across a range of items, or across an entire product range, including both Prostheses List and non-Prostheses List items. A list of possible incentives which may be applicable is at </w:t>
      </w:r>
      <w:r w:rsidRPr="00A8428B">
        <w:rPr>
          <w:rFonts w:asciiTheme="minorHAnsi" w:hAnsiTheme="minorHAnsi"/>
          <w:sz w:val="20"/>
          <w:szCs w:val="20"/>
          <w:u w:val="single"/>
        </w:rPr>
        <w:t>Attachment C</w:t>
      </w:r>
      <w:r w:rsidRPr="00A8428B">
        <w:rPr>
          <w:rFonts w:asciiTheme="minorHAnsi" w:hAnsiTheme="minorHAnsi"/>
          <w:sz w:val="20"/>
          <w:szCs w:val="20"/>
        </w:rPr>
        <w:t>. This list is not exhaustive, and you may wish to include other incentives.</w:t>
      </w:r>
    </w:p>
    <w:p w:rsidR="00A8428B" w:rsidRPr="00A8428B" w:rsidRDefault="00A8428B" w:rsidP="00A8428B">
      <w:pPr>
        <w:spacing w:after="0"/>
        <w:rPr>
          <w:rFonts w:asciiTheme="minorHAnsi" w:hAnsiTheme="minorHAnsi"/>
          <w:sz w:val="20"/>
          <w:szCs w:val="20"/>
        </w:rPr>
      </w:pP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Where an incentive applies across more than one item, please apportion the value across all applicable items for the period. Given the limited time available, I am not being prescriptive about how to apportion incentives which apply across multiple items/products. However, I request that you are able to substantiate your chosen methodology if necessary.</w:t>
      </w: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In relation to this request, I would like to specify:</w:t>
      </w:r>
    </w:p>
    <w:p w:rsidR="00A8428B" w:rsidRPr="00A8428B" w:rsidRDefault="00A8428B" w:rsidP="00A8428B">
      <w:pPr>
        <w:numPr>
          <w:ilvl w:val="0"/>
          <w:numId w:val="11"/>
        </w:numPr>
        <w:spacing w:after="0" w:line="240" w:lineRule="auto"/>
        <w:contextualSpacing/>
        <w:rPr>
          <w:rFonts w:asciiTheme="minorHAnsi" w:hAnsiTheme="minorHAnsi"/>
          <w:sz w:val="20"/>
          <w:szCs w:val="20"/>
        </w:rPr>
      </w:pPr>
      <w:r w:rsidRPr="00A8428B">
        <w:rPr>
          <w:rFonts w:asciiTheme="minorHAnsi" w:hAnsiTheme="minorHAnsi"/>
          <w:sz w:val="20"/>
          <w:szCs w:val="20"/>
        </w:rPr>
        <w:t>Neither I, nor the Department of Health, have any power to compel you to provide the requested information. The provision of any or all of the requested information is entirely voluntary, however I believe that the provision of your data will provide a more holistic view of pricing patterns on which the Working Group can base its consideration of these issues.</w:t>
      </w:r>
    </w:p>
    <w:p w:rsidR="00A8428B" w:rsidRPr="00A8428B" w:rsidRDefault="00A8428B" w:rsidP="00A8428B">
      <w:pPr>
        <w:numPr>
          <w:ilvl w:val="0"/>
          <w:numId w:val="11"/>
        </w:numPr>
        <w:spacing w:after="0" w:line="240" w:lineRule="auto"/>
        <w:contextualSpacing/>
        <w:rPr>
          <w:rFonts w:asciiTheme="minorHAnsi" w:hAnsiTheme="minorHAnsi"/>
          <w:sz w:val="20"/>
          <w:szCs w:val="20"/>
        </w:rPr>
      </w:pPr>
      <w:r w:rsidRPr="00A8428B">
        <w:rPr>
          <w:rFonts w:asciiTheme="minorHAnsi" w:hAnsiTheme="minorHAnsi"/>
          <w:sz w:val="20"/>
          <w:szCs w:val="20"/>
        </w:rPr>
        <w:t>If there are pricing issues which you believe require further clarification or explanation, such as differing public and private sector circumstances, you may wish to provide this in the comments column or in a supplementary attachment.</w:t>
      </w:r>
    </w:p>
    <w:p w:rsidR="00A8428B" w:rsidRPr="00A8428B" w:rsidRDefault="00A8428B" w:rsidP="00A8428B">
      <w:pPr>
        <w:numPr>
          <w:ilvl w:val="0"/>
          <w:numId w:val="11"/>
        </w:numPr>
        <w:spacing w:after="0" w:line="240" w:lineRule="auto"/>
        <w:contextualSpacing/>
        <w:rPr>
          <w:rFonts w:asciiTheme="minorHAnsi" w:hAnsiTheme="minorHAnsi"/>
          <w:sz w:val="20"/>
          <w:szCs w:val="20"/>
        </w:rPr>
      </w:pPr>
      <w:r w:rsidRPr="00A8428B">
        <w:rPr>
          <w:rFonts w:asciiTheme="minorHAnsi" w:hAnsiTheme="minorHAnsi"/>
          <w:sz w:val="20"/>
          <w:szCs w:val="20"/>
        </w:rPr>
        <w:t>All information provided will be treated as commercial-in-confidence.</w:t>
      </w:r>
    </w:p>
    <w:p w:rsidR="00A8428B" w:rsidRPr="00A8428B" w:rsidRDefault="00A8428B" w:rsidP="00A8428B">
      <w:pPr>
        <w:numPr>
          <w:ilvl w:val="0"/>
          <w:numId w:val="11"/>
        </w:numPr>
        <w:spacing w:after="0" w:line="240" w:lineRule="auto"/>
        <w:contextualSpacing/>
        <w:rPr>
          <w:rFonts w:asciiTheme="minorHAnsi" w:hAnsiTheme="minorHAnsi"/>
          <w:sz w:val="20"/>
          <w:szCs w:val="20"/>
        </w:rPr>
      </w:pPr>
      <w:r w:rsidRPr="00A8428B">
        <w:rPr>
          <w:rFonts w:asciiTheme="minorHAnsi" w:hAnsiTheme="minorHAnsi"/>
          <w:sz w:val="20"/>
          <w:szCs w:val="20"/>
        </w:rPr>
        <w:t>Given the membership of the Working Group, I acknowledge the very real potential for conflicts of interest. As such, the information provided by individual sponsors will be provided only to the Department of Health and will not be provided to members of the Working Group. I undertake to consider whether a conflict of interest or breach of confidentiality would exist before any aggregated or summary data is provided to the Working Group. I have advised the Working Group that the information provided to them may be limited given these constraints.</w:t>
      </w:r>
    </w:p>
    <w:p w:rsidR="00A8428B" w:rsidRPr="00A8428B" w:rsidRDefault="00A8428B" w:rsidP="00A8428B">
      <w:pPr>
        <w:numPr>
          <w:ilvl w:val="0"/>
          <w:numId w:val="11"/>
        </w:numPr>
        <w:spacing w:after="0" w:line="240" w:lineRule="auto"/>
        <w:contextualSpacing/>
        <w:rPr>
          <w:rFonts w:asciiTheme="minorHAnsi" w:hAnsiTheme="minorHAnsi"/>
          <w:sz w:val="20"/>
          <w:szCs w:val="20"/>
        </w:rPr>
      </w:pPr>
      <w:r w:rsidRPr="00A8428B">
        <w:rPr>
          <w:rFonts w:asciiTheme="minorHAnsi" w:hAnsiTheme="minorHAnsi"/>
          <w:sz w:val="20"/>
          <w:szCs w:val="20"/>
        </w:rPr>
        <w:t>If you are unable to, or choose not to provide the requested information, I would be happy to receive any other information related to prostheses pricing which you believe would be relevant to the Working Group’s deliberations.</w:t>
      </w:r>
    </w:p>
    <w:p w:rsidR="00A8428B" w:rsidRPr="00A8428B" w:rsidRDefault="00A8428B" w:rsidP="00A8428B">
      <w:pPr>
        <w:spacing w:after="0"/>
        <w:rPr>
          <w:rFonts w:asciiTheme="minorHAnsi" w:hAnsiTheme="minorHAnsi"/>
          <w:sz w:val="20"/>
          <w:szCs w:val="20"/>
        </w:rPr>
      </w:pP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I would appreciate your response by 5pm 16 March 2016 by email to</w:t>
      </w:r>
      <w:r w:rsidRPr="00A8428B">
        <w:rPr>
          <w:rFonts w:asciiTheme="minorHAnsi" w:hAnsiTheme="minorHAnsi"/>
          <w:sz w:val="20"/>
          <w:szCs w:val="20"/>
        </w:rPr>
        <w:br/>
      </w:r>
      <w:hyperlink r:id="rId13" w:history="1">
        <w:r w:rsidRPr="00A8428B">
          <w:rPr>
            <w:rFonts w:asciiTheme="minorHAnsi" w:hAnsiTheme="minorHAnsi"/>
            <w:color w:val="0000FF" w:themeColor="hyperlink"/>
            <w:sz w:val="20"/>
            <w:szCs w:val="20"/>
            <w:u w:val="single"/>
          </w:rPr>
          <w:t>PHIConsultations2015-16@health.gov.au</w:t>
        </w:r>
      </w:hyperlink>
      <w:r w:rsidRPr="00A8428B">
        <w:rPr>
          <w:rFonts w:asciiTheme="minorHAnsi" w:hAnsiTheme="minorHAnsi"/>
          <w:sz w:val="20"/>
          <w:szCs w:val="20"/>
        </w:rPr>
        <w:t>.</w:t>
      </w:r>
    </w:p>
    <w:p w:rsidR="00A8428B" w:rsidRPr="00A8428B" w:rsidRDefault="00A8428B" w:rsidP="00A8428B">
      <w:pPr>
        <w:spacing w:after="0"/>
        <w:rPr>
          <w:rFonts w:asciiTheme="minorHAnsi" w:hAnsiTheme="minorHAnsi"/>
          <w:sz w:val="20"/>
          <w:szCs w:val="20"/>
        </w:rPr>
      </w:pPr>
    </w:p>
    <w:p w:rsidR="00A8428B" w:rsidRPr="00A8428B" w:rsidRDefault="00A8428B" w:rsidP="00A8428B">
      <w:pPr>
        <w:spacing w:after="0"/>
        <w:rPr>
          <w:rFonts w:asciiTheme="minorHAnsi" w:hAnsiTheme="minorHAnsi"/>
          <w:sz w:val="20"/>
          <w:szCs w:val="20"/>
        </w:rPr>
      </w:pPr>
      <w:r w:rsidRPr="00A8428B">
        <w:rPr>
          <w:rFonts w:asciiTheme="minorHAnsi" w:hAnsiTheme="minorHAnsi"/>
          <w:sz w:val="20"/>
          <w:szCs w:val="20"/>
        </w:rPr>
        <w:t>If you have any questions in relation to his request, please email</w:t>
      </w:r>
      <w:r w:rsidRPr="00A8428B">
        <w:rPr>
          <w:rFonts w:asciiTheme="minorHAnsi" w:hAnsiTheme="minorHAnsi"/>
          <w:sz w:val="20"/>
          <w:szCs w:val="20"/>
        </w:rPr>
        <w:br/>
      </w:r>
      <w:hyperlink r:id="rId14" w:history="1">
        <w:r w:rsidRPr="00A8428B">
          <w:rPr>
            <w:rFonts w:asciiTheme="minorHAnsi" w:hAnsiTheme="minorHAnsi"/>
            <w:color w:val="0000FF" w:themeColor="hyperlink"/>
            <w:sz w:val="20"/>
            <w:szCs w:val="20"/>
            <w:u w:val="single"/>
          </w:rPr>
          <w:t>PHIConsultations2015-16@health.gov.au</w:t>
        </w:r>
      </w:hyperlink>
    </w:p>
    <w:p w:rsidR="00A8428B" w:rsidRPr="00A8428B" w:rsidRDefault="00A8428B" w:rsidP="00A8428B">
      <w:pPr>
        <w:spacing w:after="0"/>
        <w:rPr>
          <w:rFonts w:asciiTheme="minorHAnsi" w:hAnsiTheme="minorHAnsi"/>
          <w:sz w:val="20"/>
          <w:szCs w:val="20"/>
        </w:rPr>
      </w:pPr>
    </w:p>
    <w:p w:rsidR="00A8428B" w:rsidRPr="00A8428B" w:rsidRDefault="00A8428B" w:rsidP="00A8428B">
      <w:pPr>
        <w:spacing w:after="0" w:line="240" w:lineRule="auto"/>
        <w:rPr>
          <w:rFonts w:asciiTheme="minorHAnsi" w:eastAsia="Times New Roman" w:hAnsiTheme="minorHAnsi" w:cs="Times New Roman"/>
          <w:sz w:val="20"/>
          <w:szCs w:val="20"/>
          <w:lang w:eastAsia="en-AU"/>
        </w:rPr>
      </w:pPr>
      <w:r w:rsidRPr="00A8428B">
        <w:rPr>
          <w:rFonts w:asciiTheme="minorHAnsi" w:eastAsia="Times New Roman" w:hAnsiTheme="minorHAnsi" w:cs="Times New Roman"/>
          <w:sz w:val="20"/>
          <w:szCs w:val="20"/>
          <w:lang w:eastAsia="en-AU"/>
        </w:rPr>
        <w:t>Yours sincerely</w:t>
      </w:r>
    </w:p>
    <w:p w:rsidR="00A8428B" w:rsidRPr="00A8428B" w:rsidRDefault="00A8428B" w:rsidP="00A8428B">
      <w:pPr>
        <w:rPr>
          <w:rFonts w:asciiTheme="minorHAnsi" w:hAnsiTheme="minorHAnsi"/>
          <w:sz w:val="20"/>
          <w:szCs w:val="20"/>
        </w:rPr>
      </w:pPr>
    </w:p>
    <w:p w:rsidR="00A8428B" w:rsidRPr="00A04190" w:rsidRDefault="00A04190" w:rsidP="00A8428B">
      <w:pPr>
        <w:rPr>
          <w:rFonts w:asciiTheme="minorHAnsi" w:hAnsiTheme="minorHAnsi"/>
          <w:i/>
          <w:sz w:val="20"/>
          <w:szCs w:val="20"/>
        </w:rPr>
      </w:pPr>
      <w:r>
        <w:rPr>
          <w:rFonts w:asciiTheme="minorHAnsi" w:hAnsiTheme="minorHAnsi"/>
          <w:i/>
          <w:noProof/>
          <w:sz w:val="20"/>
          <w:szCs w:val="20"/>
          <w:lang w:eastAsia="en-AU"/>
        </w:rPr>
        <w:t>Authorised for electronic transmission</w:t>
      </w:r>
    </w:p>
    <w:p w:rsidR="00A8428B" w:rsidRPr="00A8428B" w:rsidRDefault="00A8428B" w:rsidP="00A8428B">
      <w:pPr>
        <w:spacing w:after="0" w:line="240" w:lineRule="auto"/>
        <w:rPr>
          <w:rFonts w:asciiTheme="minorHAnsi" w:eastAsia="Times New Roman" w:hAnsiTheme="minorHAnsi" w:cs="Times New Roman"/>
          <w:sz w:val="20"/>
          <w:szCs w:val="20"/>
          <w:lang w:eastAsia="en-AU"/>
        </w:rPr>
      </w:pPr>
    </w:p>
    <w:p w:rsidR="00A8428B" w:rsidRPr="00A8428B" w:rsidRDefault="00A8428B" w:rsidP="00A8428B">
      <w:pPr>
        <w:spacing w:after="0" w:line="240" w:lineRule="auto"/>
        <w:rPr>
          <w:rFonts w:asciiTheme="minorHAnsi" w:eastAsia="Times New Roman" w:hAnsiTheme="minorHAnsi" w:cs="Times New Roman"/>
          <w:sz w:val="20"/>
          <w:szCs w:val="20"/>
          <w:lang w:eastAsia="en-AU"/>
        </w:rPr>
      </w:pPr>
      <w:r w:rsidRPr="00A8428B">
        <w:rPr>
          <w:rFonts w:asciiTheme="minorHAnsi" w:eastAsia="Times New Roman" w:hAnsiTheme="minorHAnsi" w:cs="Times New Roman"/>
          <w:sz w:val="20"/>
          <w:szCs w:val="20"/>
          <w:lang w:eastAsia="en-AU"/>
        </w:rPr>
        <w:t>Prof. Emeritus Lloyd Sansom AO</w:t>
      </w:r>
    </w:p>
    <w:p w:rsidR="00A8428B" w:rsidRPr="00A8428B" w:rsidRDefault="00A8428B" w:rsidP="00A8428B">
      <w:pPr>
        <w:spacing w:after="0" w:line="240" w:lineRule="auto"/>
        <w:rPr>
          <w:rFonts w:asciiTheme="minorHAnsi" w:eastAsia="Times New Roman" w:hAnsiTheme="minorHAnsi" w:cs="Times New Roman"/>
          <w:sz w:val="20"/>
          <w:szCs w:val="20"/>
          <w:lang w:eastAsia="en-AU"/>
        </w:rPr>
      </w:pPr>
      <w:r w:rsidRPr="00A8428B">
        <w:rPr>
          <w:rFonts w:asciiTheme="minorHAnsi" w:eastAsia="Times New Roman" w:hAnsiTheme="minorHAnsi" w:cs="Times New Roman"/>
          <w:sz w:val="20"/>
          <w:szCs w:val="20"/>
          <w:lang w:eastAsia="en-AU"/>
        </w:rPr>
        <w:t>Chair</w:t>
      </w:r>
    </w:p>
    <w:p w:rsidR="00A8428B" w:rsidRPr="00A8428B" w:rsidRDefault="00A8428B" w:rsidP="00A8428B">
      <w:pPr>
        <w:spacing w:after="0" w:line="240" w:lineRule="auto"/>
        <w:rPr>
          <w:rFonts w:asciiTheme="minorHAnsi" w:eastAsia="Times New Roman" w:hAnsiTheme="minorHAnsi" w:cs="Times New Roman"/>
          <w:sz w:val="20"/>
          <w:szCs w:val="20"/>
          <w:lang w:eastAsia="en-AU"/>
        </w:rPr>
      </w:pPr>
      <w:r w:rsidRPr="00A8428B">
        <w:rPr>
          <w:rFonts w:asciiTheme="minorHAnsi" w:eastAsia="Times New Roman" w:hAnsiTheme="minorHAnsi" w:cs="Times New Roman"/>
          <w:sz w:val="20"/>
          <w:szCs w:val="20"/>
          <w:lang w:eastAsia="en-AU"/>
        </w:rPr>
        <w:t>Industry Working Group on Private Health Insurance Prostheses Reform</w:t>
      </w:r>
    </w:p>
    <w:p w:rsidR="00A8428B" w:rsidRPr="00A8428B" w:rsidRDefault="00A8428B" w:rsidP="00A8428B">
      <w:pPr>
        <w:spacing w:after="0" w:line="240" w:lineRule="auto"/>
        <w:rPr>
          <w:rFonts w:asciiTheme="minorHAnsi" w:eastAsia="Times New Roman" w:hAnsiTheme="minorHAnsi" w:cs="Times New Roman"/>
          <w:sz w:val="20"/>
          <w:szCs w:val="20"/>
          <w:lang w:eastAsia="en-AU"/>
        </w:rPr>
      </w:pPr>
      <w:r w:rsidRPr="00A8428B">
        <w:rPr>
          <w:rFonts w:asciiTheme="minorHAnsi" w:eastAsia="Times New Roman" w:hAnsiTheme="minorHAnsi" w:cs="Times New Roman"/>
          <w:sz w:val="20"/>
          <w:szCs w:val="20"/>
          <w:lang w:eastAsia="en-AU"/>
        </w:rPr>
        <w:t>29 February 2016</w:t>
      </w:r>
    </w:p>
    <w:p w:rsidR="00A8428B" w:rsidRPr="00A8428B" w:rsidRDefault="00A8428B" w:rsidP="00A8428B">
      <w:pPr>
        <w:rPr>
          <w:rFonts w:asciiTheme="minorHAnsi" w:hAnsiTheme="minorHAnsi"/>
          <w:sz w:val="20"/>
          <w:szCs w:val="20"/>
        </w:rPr>
      </w:pPr>
    </w:p>
    <w:p w:rsidR="00111D2F" w:rsidRPr="00F25D22" w:rsidRDefault="00111D2F" w:rsidP="00D67CB1">
      <w:pPr>
        <w:widowControl w:val="0"/>
        <w:rPr>
          <w:rFonts w:cs="Times New Roman"/>
          <w:szCs w:val="24"/>
        </w:rPr>
      </w:pPr>
    </w:p>
    <w:sectPr w:rsidR="00111D2F" w:rsidRPr="00F25D2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E7A" w:rsidRDefault="006E0E7A" w:rsidP="00FB264A">
      <w:pPr>
        <w:spacing w:after="0" w:line="240" w:lineRule="auto"/>
      </w:pPr>
      <w:r>
        <w:separator/>
      </w:r>
    </w:p>
    <w:p w:rsidR="00CE421D" w:rsidRDefault="00CE421D"/>
  </w:endnote>
  <w:endnote w:type="continuationSeparator" w:id="0">
    <w:p w:rsidR="006E0E7A" w:rsidRDefault="006E0E7A" w:rsidP="00FB264A">
      <w:pPr>
        <w:spacing w:after="0" w:line="240" w:lineRule="auto"/>
      </w:pPr>
      <w:r>
        <w:continuationSeparator/>
      </w:r>
    </w:p>
    <w:p w:rsidR="00CE421D" w:rsidRDefault="00CE4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11995"/>
      <w:docPartObj>
        <w:docPartGallery w:val="Page Numbers (Bottom of Page)"/>
        <w:docPartUnique/>
      </w:docPartObj>
    </w:sdtPr>
    <w:sdtEndPr>
      <w:rPr>
        <w:noProof/>
      </w:rPr>
    </w:sdtEndPr>
    <w:sdtContent>
      <w:p w:rsidR="00411EA0" w:rsidRDefault="00411EA0">
        <w:pPr>
          <w:pStyle w:val="Footer"/>
          <w:jc w:val="center"/>
        </w:pPr>
        <w:r>
          <w:fldChar w:fldCharType="begin"/>
        </w:r>
        <w:r>
          <w:instrText xml:space="preserve"> PAGE   \* MERGEFORMAT </w:instrText>
        </w:r>
        <w:r>
          <w:fldChar w:fldCharType="separate"/>
        </w:r>
        <w:r w:rsidR="000E0CF5">
          <w:rPr>
            <w:noProof/>
          </w:rPr>
          <w:t>1</w:t>
        </w:r>
        <w:r>
          <w:rPr>
            <w:noProof/>
          </w:rPr>
          <w:fldChar w:fldCharType="end"/>
        </w:r>
      </w:p>
    </w:sdtContent>
  </w:sdt>
  <w:p w:rsidR="00CE421D" w:rsidRDefault="00CE42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E7A" w:rsidRDefault="006E0E7A" w:rsidP="00FB264A">
      <w:pPr>
        <w:spacing w:after="0" w:line="240" w:lineRule="auto"/>
      </w:pPr>
      <w:r>
        <w:separator/>
      </w:r>
    </w:p>
    <w:p w:rsidR="00CE421D" w:rsidRDefault="00CE421D"/>
  </w:footnote>
  <w:footnote w:type="continuationSeparator" w:id="0">
    <w:p w:rsidR="006E0E7A" w:rsidRDefault="006E0E7A" w:rsidP="00FB264A">
      <w:pPr>
        <w:spacing w:after="0" w:line="240" w:lineRule="auto"/>
      </w:pPr>
      <w:r>
        <w:continuationSeparator/>
      </w:r>
    </w:p>
    <w:p w:rsidR="00CE421D" w:rsidRDefault="00CE42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B30"/>
    <w:multiLevelType w:val="hybridMultilevel"/>
    <w:tmpl w:val="C98485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8726AE"/>
    <w:multiLevelType w:val="hybridMultilevel"/>
    <w:tmpl w:val="0A4AF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C07B79"/>
    <w:multiLevelType w:val="hybridMultilevel"/>
    <w:tmpl w:val="9B768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1A9009D"/>
    <w:multiLevelType w:val="hybridMultilevel"/>
    <w:tmpl w:val="9B768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1B96332"/>
    <w:multiLevelType w:val="hybridMultilevel"/>
    <w:tmpl w:val="A6D0F176"/>
    <w:lvl w:ilvl="0" w:tplc="2188A8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F4077B"/>
    <w:multiLevelType w:val="hybridMultilevel"/>
    <w:tmpl w:val="9B768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1B5DAF"/>
    <w:multiLevelType w:val="hybridMultilevel"/>
    <w:tmpl w:val="74486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90F42C2"/>
    <w:multiLevelType w:val="hybridMultilevel"/>
    <w:tmpl w:val="29C48A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ADD7B4B"/>
    <w:multiLevelType w:val="hybridMultilevel"/>
    <w:tmpl w:val="83B41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275A68"/>
    <w:multiLevelType w:val="hybridMultilevel"/>
    <w:tmpl w:val="15166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BD7651"/>
    <w:multiLevelType w:val="hybridMultilevel"/>
    <w:tmpl w:val="849A6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C3284F"/>
    <w:multiLevelType w:val="hybridMultilevel"/>
    <w:tmpl w:val="3DB6F2A4"/>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8D4554"/>
    <w:multiLevelType w:val="hybridMultilevel"/>
    <w:tmpl w:val="E0C697A4"/>
    <w:lvl w:ilvl="0" w:tplc="0C090001">
      <w:start w:val="1"/>
      <w:numFmt w:val="bullet"/>
      <w:lvlText w:val=""/>
      <w:lvlJc w:val="left"/>
      <w:pPr>
        <w:ind w:left="360" w:hanging="360"/>
      </w:pPr>
      <w:rPr>
        <w:rFonts w:ascii="Symbol" w:hAnsi="Symbol" w:hint="default"/>
      </w:rPr>
    </w:lvl>
    <w:lvl w:ilvl="1" w:tplc="0C09001B">
      <w:start w:val="1"/>
      <w:numFmt w:val="lowerRoman"/>
      <w:lvlText w:val="%2."/>
      <w:lvlJc w:val="righ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4"/>
  </w:num>
  <w:num w:numId="4">
    <w:abstractNumId w:val="11"/>
  </w:num>
  <w:num w:numId="5">
    <w:abstractNumId w:val="10"/>
  </w:num>
  <w:num w:numId="6">
    <w:abstractNumId w:val="3"/>
  </w:num>
  <w:num w:numId="7">
    <w:abstractNumId w:val="2"/>
  </w:num>
  <w:num w:numId="8">
    <w:abstractNumId w:val="8"/>
  </w:num>
  <w:num w:numId="9">
    <w:abstractNumId w:val="6"/>
  </w:num>
  <w:num w:numId="10">
    <w:abstractNumId w:val="1"/>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4A"/>
    <w:rsid w:val="00000300"/>
    <w:rsid w:val="00046D55"/>
    <w:rsid w:val="00063932"/>
    <w:rsid w:val="00081006"/>
    <w:rsid w:val="000C0450"/>
    <w:rsid w:val="000D5528"/>
    <w:rsid w:val="000E0CF5"/>
    <w:rsid w:val="000E77F2"/>
    <w:rsid w:val="000F002B"/>
    <w:rsid w:val="000F1703"/>
    <w:rsid w:val="00111D2F"/>
    <w:rsid w:val="001453B1"/>
    <w:rsid w:val="00181B44"/>
    <w:rsid w:val="001A1528"/>
    <w:rsid w:val="001B2977"/>
    <w:rsid w:val="001C0B43"/>
    <w:rsid w:val="001E2A4A"/>
    <w:rsid w:val="00201476"/>
    <w:rsid w:val="00203171"/>
    <w:rsid w:val="00230396"/>
    <w:rsid w:val="00230BD2"/>
    <w:rsid w:val="00233FDA"/>
    <w:rsid w:val="0026764C"/>
    <w:rsid w:val="00276B83"/>
    <w:rsid w:val="002A4A4D"/>
    <w:rsid w:val="002A60EB"/>
    <w:rsid w:val="002F4524"/>
    <w:rsid w:val="003111BD"/>
    <w:rsid w:val="0031647B"/>
    <w:rsid w:val="00323C7C"/>
    <w:rsid w:val="0032493C"/>
    <w:rsid w:val="00360356"/>
    <w:rsid w:val="00375854"/>
    <w:rsid w:val="00394094"/>
    <w:rsid w:val="003B3B55"/>
    <w:rsid w:val="003C0F78"/>
    <w:rsid w:val="003F7AD6"/>
    <w:rsid w:val="00400D11"/>
    <w:rsid w:val="00405D24"/>
    <w:rsid w:val="00411EA0"/>
    <w:rsid w:val="00422B82"/>
    <w:rsid w:val="0042584D"/>
    <w:rsid w:val="00456851"/>
    <w:rsid w:val="004731B3"/>
    <w:rsid w:val="00475F77"/>
    <w:rsid w:val="00480773"/>
    <w:rsid w:val="00487238"/>
    <w:rsid w:val="004C3531"/>
    <w:rsid w:val="004C7DAD"/>
    <w:rsid w:val="004D3E06"/>
    <w:rsid w:val="004E7447"/>
    <w:rsid w:val="004E7B05"/>
    <w:rsid w:val="004F3085"/>
    <w:rsid w:val="00530758"/>
    <w:rsid w:val="005638F7"/>
    <w:rsid w:val="005700A5"/>
    <w:rsid w:val="00592741"/>
    <w:rsid w:val="005E646E"/>
    <w:rsid w:val="00616AE9"/>
    <w:rsid w:val="00625575"/>
    <w:rsid w:val="006443AD"/>
    <w:rsid w:val="006452A5"/>
    <w:rsid w:val="006657A8"/>
    <w:rsid w:val="00665AB0"/>
    <w:rsid w:val="00665B1E"/>
    <w:rsid w:val="00692144"/>
    <w:rsid w:val="00692AE6"/>
    <w:rsid w:val="006B6646"/>
    <w:rsid w:val="006E0E7A"/>
    <w:rsid w:val="006E1B0E"/>
    <w:rsid w:val="006F13FE"/>
    <w:rsid w:val="00702742"/>
    <w:rsid w:val="00721573"/>
    <w:rsid w:val="007C271F"/>
    <w:rsid w:val="007F35A0"/>
    <w:rsid w:val="007F4E20"/>
    <w:rsid w:val="00820BCB"/>
    <w:rsid w:val="00823014"/>
    <w:rsid w:val="00825E7D"/>
    <w:rsid w:val="00830E2F"/>
    <w:rsid w:val="00854478"/>
    <w:rsid w:val="0086720A"/>
    <w:rsid w:val="00873929"/>
    <w:rsid w:val="0087626B"/>
    <w:rsid w:val="008851AC"/>
    <w:rsid w:val="008A3FBA"/>
    <w:rsid w:val="008F4F4E"/>
    <w:rsid w:val="00943E97"/>
    <w:rsid w:val="00950273"/>
    <w:rsid w:val="00957B1F"/>
    <w:rsid w:val="00963320"/>
    <w:rsid w:val="00967F73"/>
    <w:rsid w:val="00984F8D"/>
    <w:rsid w:val="00986096"/>
    <w:rsid w:val="009B0D21"/>
    <w:rsid w:val="009E1CB3"/>
    <w:rsid w:val="009E4358"/>
    <w:rsid w:val="009E5510"/>
    <w:rsid w:val="00A04190"/>
    <w:rsid w:val="00A17F41"/>
    <w:rsid w:val="00A32110"/>
    <w:rsid w:val="00A32AB9"/>
    <w:rsid w:val="00A65BBA"/>
    <w:rsid w:val="00A8428B"/>
    <w:rsid w:val="00A95E5D"/>
    <w:rsid w:val="00AA0E4C"/>
    <w:rsid w:val="00AB3658"/>
    <w:rsid w:val="00AB391E"/>
    <w:rsid w:val="00AC6724"/>
    <w:rsid w:val="00AE61E5"/>
    <w:rsid w:val="00B55E94"/>
    <w:rsid w:val="00B71A27"/>
    <w:rsid w:val="00B8026C"/>
    <w:rsid w:val="00B92865"/>
    <w:rsid w:val="00BC2B97"/>
    <w:rsid w:val="00BF2390"/>
    <w:rsid w:val="00C149F0"/>
    <w:rsid w:val="00C4160E"/>
    <w:rsid w:val="00C4171A"/>
    <w:rsid w:val="00C73C48"/>
    <w:rsid w:val="00CC6DDE"/>
    <w:rsid w:val="00CE421D"/>
    <w:rsid w:val="00D03D51"/>
    <w:rsid w:val="00D0480F"/>
    <w:rsid w:val="00D21935"/>
    <w:rsid w:val="00D61948"/>
    <w:rsid w:val="00D67CB1"/>
    <w:rsid w:val="00D734F5"/>
    <w:rsid w:val="00D75501"/>
    <w:rsid w:val="00DB33D0"/>
    <w:rsid w:val="00E17063"/>
    <w:rsid w:val="00E23278"/>
    <w:rsid w:val="00E242FB"/>
    <w:rsid w:val="00E301E9"/>
    <w:rsid w:val="00E3440A"/>
    <w:rsid w:val="00E377D4"/>
    <w:rsid w:val="00E8546B"/>
    <w:rsid w:val="00ED226A"/>
    <w:rsid w:val="00ED28A3"/>
    <w:rsid w:val="00EE3F3D"/>
    <w:rsid w:val="00EE4528"/>
    <w:rsid w:val="00F0798E"/>
    <w:rsid w:val="00F117E3"/>
    <w:rsid w:val="00F136A3"/>
    <w:rsid w:val="00F24F26"/>
    <w:rsid w:val="00F25D22"/>
    <w:rsid w:val="00F30184"/>
    <w:rsid w:val="00F3132D"/>
    <w:rsid w:val="00F34EA9"/>
    <w:rsid w:val="00F615E7"/>
    <w:rsid w:val="00FB1666"/>
    <w:rsid w:val="00FB264A"/>
    <w:rsid w:val="00FD2138"/>
    <w:rsid w:val="00FE0F3B"/>
    <w:rsid w:val="00FE4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079D563-6C59-470C-9C39-217BBCB4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yle1"/>
    <w:next w:val="Normal"/>
    <w:link w:val="Heading1Char"/>
    <w:uiPriority w:val="9"/>
    <w:qFormat/>
    <w:rsid w:val="003111BD"/>
    <w:pPr>
      <w:outlineLvl w:val="0"/>
    </w:pPr>
  </w:style>
  <w:style w:type="paragraph" w:styleId="Heading2">
    <w:name w:val="heading 2"/>
    <w:basedOn w:val="Normal"/>
    <w:next w:val="Normal"/>
    <w:link w:val="Heading2Char"/>
    <w:uiPriority w:val="9"/>
    <w:semiHidden/>
    <w:unhideWhenUsed/>
    <w:qFormat/>
    <w:rsid w:val="003111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64A"/>
  </w:style>
  <w:style w:type="paragraph" w:styleId="Footer">
    <w:name w:val="footer"/>
    <w:basedOn w:val="Normal"/>
    <w:link w:val="FooterChar"/>
    <w:uiPriority w:val="99"/>
    <w:unhideWhenUsed/>
    <w:rsid w:val="00FB2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64A"/>
  </w:style>
  <w:style w:type="paragraph" w:styleId="BalloonText">
    <w:name w:val="Balloon Text"/>
    <w:basedOn w:val="Normal"/>
    <w:link w:val="BalloonTextChar"/>
    <w:uiPriority w:val="99"/>
    <w:semiHidden/>
    <w:unhideWhenUsed/>
    <w:rsid w:val="00FB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4A"/>
    <w:rPr>
      <w:rFonts w:ascii="Tahoma" w:hAnsi="Tahoma" w:cs="Tahoma"/>
      <w:sz w:val="16"/>
      <w:szCs w:val="16"/>
    </w:rPr>
  </w:style>
  <w:style w:type="paragraph" w:styleId="ListParagraph">
    <w:name w:val="List Paragraph"/>
    <w:basedOn w:val="Normal"/>
    <w:uiPriority w:val="34"/>
    <w:qFormat/>
    <w:rsid w:val="00233FDA"/>
    <w:pPr>
      <w:ind w:left="720"/>
      <w:contextualSpacing/>
    </w:pPr>
  </w:style>
  <w:style w:type="paragraph" w:customStyle="1" w:styleId="CABBackGround">
    <w:name w:val="CABBackGround"/>
    <w:basedOn w:val="Normal"/>
    <w:link w:val="CABBackGroundChar1"/>
    <w:rsid w:val="00233FDA"/>
    <w:pPr>
      <w:spacing w:after="0" w:line="360" w:lineRule="auto"/>
    </w:pPr>
    <w:rPr>
      <w:rFonts w:eastAsia="Times New Roman" w:cs="Times New Roman"/>
      <w:szCs w:val="20"/>
      <w:lang w:eastAsia="en-AU"/>
    </w:rPr>
  </w:style>
  <w:style w:type="character" w:customStyle="1" w:styleId="CABBackGroundChar1">
    <w:name w:val="CABBackGround Char1"/>
    <w:basedOn w:val="DefaultParagraphFont"/>
    <w:link w:val="CABBackGround"/>
    <w:rsid w:val="00233FDA"/>
    <w:rPr>
      <w:rFonts w:eastAsia="Times New Roman" w:cs="Times New Roman"/>
      <w:szCs w:val="20"/>
      <w:lang w:eastAsia="en-AU"/>
    </w:rPr>
  </w:style>
  <w:style w:type="paragraph" w:customStyle="1" w:styleId="CABNETParagraphAtt">
    <w:name w:val="CABNET Paragraph Att"/>
    <w:basedOn w:val="Normal"/>
    <w:link w:val="CABNETParagraphAttChar"/>
    <w:qFormat/>
    <w:rsid w:val="00233FDA"/>
    <w:pPr>
      <w:spacing w:before="120" w:after="120" w:line="240" w:lineRule="auto"/>
    </w:pPr>
    <w:rPr>
      <w:rFonts w:eastAsia="Times New Roman" w:cs="Times New Roman"/>
      <w:szCs w:val="24"/>
      <w:lang w:eastAsia="en-AU"/>
    </w:rPr>
  </w:style>
  <w:style w:type="character" w:customStyle="1" w:styleId="CABNETParagraphAttChar">
    <w:name w:val="CABNET Paragraph Att Char"/>
    <w:basedOn w:val="DefaultParagraphFont"/>
    <w:link w:val="CABNETParagraphAtt"/>
    <w:rsid w:val="00233FDA"/>
    <w:rPr>
      <w:rFonts w:eastAsia="Times New Roman" w:cs="Times New Roman"/>
      <w:szCs w:val="24"/>
      <w:lang w:eastAsia="en-AU"/>
    </w:rPr>
  </w:style>
  <w:style w:type="paragraph" w:customStyle="1" w:styleId="BoxText">
    <w:name w:val="BoxText"/>
    <w:basedOn w:val="Normal"/>
    <w:qFormat/>
    <w:rsid w:val="00230BD2"/>
    <w:pPr>
      <w:pBdr>
        <w:top w:val="single" w:sz="4" w:space="4" w:color="000000"/>
        <w:left w:val="single" w:sz="4" w:space="4" w:color="000000"/>
        <w:bottom w:val="single" w:sz="4" w:space="4" w:color="000000"/>
        <w:right w:val="single" w:sz="4" w:space="4" w:color="000000"/>
      </w:pBdr>
      <w:spacing w:after="120" w:line="240" w:lineRule="auto"/>
    </w:pPr>
    <w:rPr>
      <w:rFonts w:eastAsia="Times New Roman" w:cs="Times New Roman"/>
      <w:color w:val="000000"/>
      <w:sz w:val="22"/>
      <w:szCs w:val="20"/>
      <w:lang w:eastAsia="en-AU"/>
    </w:rPr>
  </w:style>
  <w:style w:type="paragraph" w:customStyle="1" w:styleId="BoxHeading">
    <w:name w:val="BoxHeading"/>
    <w:basedOn w:val="BoxText"/>
    <w:rsid w:val="00230BD2"/>
    <w:pPr>
      <w:keepNext/>
      <w:spacing w:before="120" w:after="60"/>
    </w:pPr>
    <w:rPr>
      <w:b/>
      <w:bCs/>
    </w:rPr>
  </w:style>
  <w:style w:type="table" w:styleId="TableGrid">
    <w:name w:val="Table Grid"/>
    <w:basedOn w:val="TableNormal"/>
    <w:uiPriority w:val="59"/>
    <w:rsid w:val="00A842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04190"/>
    <w:pPr>
      <w:widowControl w:val="0"/>
    </w:pPr>
    <w:rPr>
      <w:rFonts w:cs="Times New Roman"/>
      <w:szCs w:val="24"/>
      <w:u w:val="single"/>
    </w:rPr>
  </w:style>
  <w:style w:type="paragraph" w:customStyle="1" w:styleId="Style2">
    <w:name w:val="Style2"/>
    <w:basedOn w:val="Normal"/>
    <w:link w:val="Style2Char"/>
    <w:qFormat/>
    <w:rsid w:val="00A04190"/>
    <w:pPr>
      <w:widowControl w:val="0"/>
    </w:pPr>
    <w:rPr>
      <w:rFonts w:cs="Times New Roman"/>
      <w:i/>
      <w:szCs w:val="24"/>
    </w:rPr>
  </w:style>
  <w:style w:type="character" w:customStyle="1" w:styleId="Style1Char">
    <w:name w:val="Style1 Char"/>
    <w:basedOn w:val="DefaultParagraphFont"/>
    <w:link w:val="Style1"/>
    <w:rsid w:val="00A04190"/>
    <w:rPr>
      <w:rFonts w:cs="Times New Roman"/>
      <w:szCs w:val="24"/>
      <w:u w:val="single"/>
    </w:rPr>
  </w:style>
  <w:style w:type="character" w:customStyle="1" w:styleId="Style2Char">
    <w:name w:val="Style2 Char"/>
    <w:basedOn w:val="DefaultParagraphFont"/>
    <w:link w:val="Style2"/>
    <w:rsid w:val="00A04190"/>
    <w:rPr>
      <w:rFonts w:cs="Times New Roman"/>
      <w:i/>
      <w:szCs w:val="24"/>
    </w:rPr>
  </w:style>
  <w:style w:type="paragraph" w:styleId="Title">
    <w:name w:val="Title"/>
    <w:basedOn w:val="Normal"/>
    <w:next w:val="Normal"/>
    <w:link w:val="TitleChar"/>
    <w:uiPriority w:val="10"/>
    <w:qFormat/>
    <w:rsid w:val="003111BD"/>
    <w:pPr>
      <w:widowControl w:val="0"/>
      <w:jc w:val="center"/>
    </w:pPr>
    <w:rPr>
      <w:rFonts w:cs="Times New Roman"/>
      <w:b/>
      <w:szCs w:val="24"/>
    </w:rPr>
  </w:style>
  <w:style w:type="character" w:customStyle="1" w:styleId="TitleChar">
    <w:name w:val="Title Char"/>
    <w:basedOn w:val="DefaultParagraphFont"/>
    <w:link w:val="Title"/>
    <w:uiPriority w:val="10"/>
    <w:rsid w:val="003111BD"/>
    <w:rPr>
      <w:rFonts w:cs="Times New Roman"/>
      <w:b/>
      <w:szCs w:val="24"/>
    </w:rPr>
  </w:style>
  <w:style w:type="character" w:customStyle="1" w:styleId="Heading1Char">
    <w:name w:val="Heading 1 Char"/>
    <w:basedOn w:val="DefaultParagraphFont"/>
    <w:link w:val="Heading1"/>
    <w:uiPriority w:val="9"/>
    <w:rsid w:val="003111BD"/>
    <w:rPr>
      <w:rFonts w:cs="Times New Roman"/>
      <w:szCs w:val="24"/>
      <w:u w:val="single"/>
    </w:rPr>
  </w:style>
  <w:style w:type="paragraph" w:customStyle="1" w:styleId="Heading1Att">
    <w:name w:val="Heading 1 Att"/>
    <w:basedOn w:val="Heading1"/>
    <w:qFormat/>
    <w:rsid w:val="003111BD"/>
    <w:rPr>
      <w:rFonts w:eastAsia="Times New Roman"/>
      <w:b/>
      <w:u w:val="none"/>
    </w:rPr>
  </w:style>
  <w:style w:type="paragraph" w:customStyle="1" w:styleId="Heading2Att">
    <w:name w:val="Heading 2 Att"/>
    <w:basedOn w:val="Heading2"/>
    <w:next w:val="Normal"/>
    <w:qFormat/>
    <w:rsid w:val="003111BD"/>
    <w:pPr>
      <w:shd w:val="clear" w:color="auto" w:fill="FFFFFF"/>
    </w:pPr>
    <w:rPr>
      <w:rFonts w:ascii="Times New Roman" w:eastAsia="Times New Roman" w:hAnsi="Times New Roman" w:cs="Times New Roman"/>
      <w:color w:val="000000"/>
      <w:sz w:val="24"/>
      <w:szCs w:val="24"/>
      <w:lang w:eastAsia="en-AU"/>
    </w:rPr>
  </w:style>
  <w:style w:type="paragraph" w:customStyle="1" w:styleId="Heading2Attc">
    <w:name w:val="Heading 2 Att c"/>
    <w:basedOn w:val="Heading2"/>
    <w:qFormat/>
    <w:rsid w:val="00854478"/>
    <w:pPr>
      <w:spacing w:after="120"/>
    </w:pPr>
    <w:rPr>
      <w:rFonts w:ascii="Times New Roman" w:hAnsi="Times New Roman"/>
      <w:b w:val="0"/>
      <w:i/>
      <w:color w:val="auto"/>
      <w:sz w:val="24"/>
    </w:rPr>
  </w:style>
  <w:style w:type="character" w:customStyle="1" w:styleId="Heading2Char">
    <w:name w:val="Heading 2 Char"/>
    <w:basedOn w:val="DefaultParagraphFont"/>
    <w:link w:val="Heading2"/>
    <w:uiPriority w:val="9"/>
    <w:semiHidden/>
    <w:rsid w:val="003111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Consultations2015-16@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phiconsultations2015-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Consultations2015-16@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E2EF9EB8C96C5A4DA82117FC58DF8003" ma:contentTypeVersion="0" ma:contentTypeDescription="PDMS Documentation Content Type" ma:contentTypeScope="" ma:versionID="2723565a4a000f722083216126e6244c">
  <xsd:schema xmlns:xsd="http://www.w3.org/2001/XMLSchema" xmlns:xs="http://www.w3.org/2001/XMLSchema" xmlns:p="http://schemas.microsoft.com/office/2006/metadata/properties" xmlns:ns2="35F39193-85CF-4A00-9ACE-55B5E79B9FFB" targetNamespace="http://schemas.microsoft.com/office/2006/metadata/properties" ma:root="true" ma:fieldsID="2f561071e4df47e225ad64b6663b6fc5" ns2:_="">
    <xsd:import namespace="35F39193-85CF-4A00-9ACE-55B5E79B9FF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39193-85CF-4A00-9ACE-55B5E79B9FF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35F39193-85CF-4A00-9ACE-55B5E79B9FFB" xsi:nil="true"/>
    <SecurityClassification xmlns="35F39193-85CF-4A00-9ACE-55B5E79B9FFB" xsi:nil="true"/>
    <pdms_SecurityClassification xmlns="35F39193-85CF-4A00-9ACE-55B5E79B9FFB" xsi:nil="true"/>
    <pdms_Reason xmlns="35F39193-85CF-4A00-9ACE-55B5E79B9FFB" xsi:nil="true"/>
    <pdms_AttachedBy xmlns="35F39193-85CF-4A00-9ACE-55B5E79B9F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B81C-A436-4DF7-AD71-F6369EAC7D66}">
  <ds:schemaRefs>
    <ds:schemaRef ds:uri="http://schemas.microsoft.com/sharepoint/v3/contenttype/forms"/>
  </ds:schemaRefs>
</ds:datastoreItem>
</file>

<file path=customXml/itemProps2.xml><?xml version="1.0" encoding="utf-8"?>
<ds:datastoreItem xmlns:ds="http://schemas.openxmlformats.org/officeDocument/2006/customXml" ds:itemID="{F9134EB6-074C-4F7B-9CD8-6EAF0ADA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39193-85CF-4A00-9ACE-55B5E79B9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620D9-97C9-4C23-A69C-616FED9350C2}">
  <ds:schemaRefs>
    <ds:schemaRef ds:uri="http://purl.org/dc/elements/1.1/"/>
    <ds:schemaRef ds:uri="http://schemas.microsoft.com/office/2006/metadata/properties"/>
    <ds:schemaRef ds:uri="http://purl.org/dc/terms/"/>
    <ds:schemaRef ds:uri="35F39193-85CF-4A00-9ACE-55B5E79B9F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FC754DA-0261-4C39-92F1-1D377B96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6284</Words>
  <Characters>35819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Working Group on Private Health Insurance Prostheses Reform: Final Report</dc:title>
  <dc:creator>Australian Government Department of Health</dc:creator>
  <cp:revision>3</cp:revision>
  <cp:lastPrinted>2016-05-03T03:40:00Z</cp:lastPrinted>
  <dcterms:created xsi:type="dcterms:W3CDTF">2016-10-18T22:37:00Z</dcterms:created>
  <dcterms:modified xsi:type="dcterms:W3CDTF">2020-02-18T03:13:00Z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0x010100266966F133664895A6EE3632470D45F50100E2EF9EB8C96C5A4DA82117FC58DF8003</vt:lpwstr>
  </property>
</Properties>
</file>