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AC563A" w:rsidRDefault="00C159A5" w:rsidP="00267525">
      <w:pPr>
        <w:pStyle w:val="Title"/>
        <w:spacing w:before="480"/>
        <w:rPr>
          <w:sz w:val="56"/>
          <w:szCs w:val="56"/>
        </w:rPr>
      </w:pPr>
      <w:bookmarkStart w:id="0" w:name="_GoBack"/>
      <w:bookmarkEnd w:id="0"/>
      <w:r>
        <w:rPr>
          <w:sz w:val="56"/>
          <w:szCs w:val="56"/>
        </w:rPr>
        <w:t xml:space="preserve">Red Tape Reduction in </w:t>
      </w:r>
      <w:r w:rsidR="008E0502" w:rsidRPr="00524FD9">
        <w:rPr>
          <w:sz w:val="56"/>
          <w:szCs w:val="56"/>
        </w:rPr>
        <w:t>Aged Care Places Management Guide</w:t>
      </w:r>
    </w:p>
    <w:p w:rsidR="002800C8" w:rsidRDefault="002800C8" w:rsidP="000B6133">
      <w:pPr>
        <w:rPr>
          <w:rFonts w:ascii="Georgia" w:hAnsi="Georgia"/>
          <w:sz w:val="40"/>
          <w:szCs w:val="40"/>
        </w:rPr>
      </w:pPr>
      <w:r w:rsidRPr="00267525">
        <w:rPr>
          <w:rFonts w:ascii="Georgia" w:hAnsi="Georgia"/>
          <w:sz w:val="40"/>
          <w:szCs w:val="40"/>
        </w:rPr>
        <w:t>Guidance Material for Approved Providers</w:t>
      </w:r>
    </w:p>
    <w:p w:rsidR="0046233E" w:rsidRDefault="006B19D4" w:rsidP="000B6133">
      <w:pPr>
        <w:rPr>
          <w:rFonts w:ascii="Georgia" w:hAnsi="Georgia"/>
          <w:sz w:val="24"/>
        </w:rPr>
      </w:pPr>
      <w:r>
        <w:rPr>
          <w:rFonts w:ascii="Georgia" w:hAnsi="Georgia"/>
          <w:sz w:val="24"/>
        </w:rPr>
        <w:t>May 2016</w:t>
      </w:r>
    </w:p>
    <w:p w:rsidR="0046233E" w:rsidRPr="00267525" w:rsidRDefault="0046233E" w:rsidP="000B6133">
      <w:pPr>
        <w:rPr>
          <w:rFonts w:ascii="Georgia" w:hAnsi="Georgia"/>
          <w:sz w:val="24"/>
        </w:rPr>
      </w:pPr>
    </w:p>
    <w:p w:rsidR="00682FB7" w:rsidRDefault="0046233E" w:rsidP="000B6133">
      <w:pPr>
        <w:rPr>
          <w:rFonts w:ascii="Georgia" w:hAnsi="Georgia"/>
          <w:sz w:val="40"/>
          <w:szCs w:val="40"/>
        </w:rPr>
      </w:pPr>
      <w:r>
        <w:rPr>
          <w:noProof/>
        </w:rPr>
        <w:drawing>
          <wp:inline distT="0" distB="0" distL="0" distR="0" wp14:anchorId="0E693606" wp14:editId="754A3F12">
            <wp:extent cx="6120130" cy="5098415"/>
            <wp:effectExtent l="0" t="0" r="0" b="698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5098415"/>
                    </a:xfrm>
                    <a:prstGeom prst="rect">
                      <a:avLst/>
                    </a:prstGeom>
                  </pic:spPr>
                </pic:pic>
              </a:graphicData>
            </a:graphic>
          </wp:inline>
        </w:drawing>
      </w:r>
    </w:p>
    <w:p w:rsidR="0046233E" w:rsidRDefault="0046233E" w:rsidP="000B6133">
      <w:pPr>
        <w:rPr>
          <w:rFonts w:ascii="Georgia" w:hAnsi="Georgia"/>
          <w:sz w:val="40"/>
          <w:szCs w:val="40"/>
        </w:rPr>
        <w:sectPr w:rsidR="0046233E" w:rsidSect="00682FB7">
          <w:headerReference w:type="default" r:id="rId10"/>
          <w:footerReference w:type="default" r:id="rId11"/>
          <w:pgSz w:w="11906" w:h="16838"/>
          <w:pgMar w:top="851" w:right="1134" w:bottom="851" w:left="1134" w:header="567" w:footer="567" w:gutter="0"/>
          <w:pgNumType w:start="1"/>
          <w:cols w:space="708"/>
          <w:docGrid w:linePitch="360"/>
        </w:sectPr>
      </w:pPr>
    </w:p>
    <w:p w:rsidR="000E4E46" w:rsidRDefault="000E4E46">
      <w:pPr>
        <w:spacing w:before="0" w:after="200" w:line="276" w:lineRule="auto"/>
        <w:rPr>
          <w:rFonts w:ascii="Georgia" w:eastAsiaTheme="majorEastAsia" w:hAnsi="Georgia" w:cstheme="majorBidi"/>
          <w:bCs/>
          <w:color w:val="24596E"/>
          <w:sz w:val="36"/>
          <w:szCs w:val="28"/>
          <w:lang w:bidi="en-US"/>
        </w:rPr>
      </w:pPr>
    </w:p>
    <w:sdt>
      <w:sdtPr>
        <w:rPr>
          <w:rFonts w:ascii="Arial" w:eastAsia="Times New Roman" w:hAnsi="Arial" w:cs="Times New Roman"/>
          <w:bCs w:val="0"/>
          <w:color w:val="auto"/>
          <w:sz w:val="22"/>
          <w:szCs w:val="24"/>
          <w:lang w:bidi="ar-SA"/>
        </w:rPr>
        <w:id w:val="305216729"/>
        <w:docPartObj>
          <w:docPartGallery w:val="Table of Contents"/>
          <w:docPartUnique/>
        </w:docPartObj>
      </w:sdtPr>
      <w:sdtEndPr>
        <w:rPr>
          <w:b/>
          <w:noProof/>
        </w:rPr>
      </w:sdtEndPr>
      <w:sdtContent>
        <w:p w:rsidR="000E4E46" w:rsidRDefault="000E4E46">
          <w:pPr>
            <w:pStyle w:val="TOCHeading"/>
          </w:pPr>
          <w:r>
            <w:t>Contents</w:t>
          </w:r>
        </w:p>
        <w:p w:rsidR="0066725C" w:rsidRDefault="000E4E46">
          <w:pPr>
            <w:pStyle w:val="TOC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1846332" w:history="1">
            <w:r w:rsidR="0066725C" w:rsidRPr="00515B38">
              <w:rPr>
                <w:rStyle w:val="Hyperlink"/>
                <w:rFonts w:eastAsiaTheme="majorEastAsia"/>
                <w:noProof/>
              </w:rPr>
              <w:t>Foreword</w:t>
            </w:r>
            <w:r w:rsidR="0066725C">
              <w:rPr>
                <w:noProof/>
                <w:webHidden/>
              </w:rPr>
              <w:tab/>
            </w:r>
            <w:r w:rsidR="0066725C">
              <w:rPr>
                <w:noProof/>
                <w:webHidden/>
              </w:rPr>
              <w:fldChar w:fldCharType="begin"/>
            </w:r>
            <w:r w:rsidR="0066725C">
              <w:rPr>
                <w:noProof/>
                <w:webHidden/>
              </w:rPr>
              <w:instrText xml:space="preserve"> PAGEREF _Toc451846332 \h </w:instrText>
            </w:r>
            <w:r w:rsidR="0066725C">
              <w:rPr>
                <w:noProof/>
                <w:webHidden/>
              </w:rPr>
            </w:r>
            <w:r w:rsidR="0066725C">
              <w:rPr>
                <w:noProof/>
                <w:webHidden/>
              </w:rPr>
              <w:fldChar w:fldCharType="separate"/>
            </w:r>
            <w:r w:rsidR="0066725C">
              <w:rPr>
                <w:noProof/>
                <w:webHidden/>
              </w:rPr>
              <w:t>2</w:t>
            </w:r>
            <w:r w:rsidR="0066725C">
              <w:rPr>
                <w:noProof/>
                <w:webHidden/>
              </w:rPr>
              <w:fldChar w:fldCharType="end"/>
            </w:r>
          </w:hyperlink>
        </w:p>
        <w:p w:rsidR="0066725C" w:rsidRDefault="00D14E9C">
          <w:pPr>
            <w:pStyle w:val="TOC1"/>
            <w:tabs>
              <w:tab w:val="right" w:leader="dot" w:pos="9628"/>
            </w:tabs>
            <w:rPr>
              <w:rFonts w:asciiTheme="minorHAnsi" w:eastAsiaTheme="minorEastAsia" w:hAnsiTheme="minorHAnsi" w:cstheme="minorBidi"/>
              <w:noProof/>
              <w:szCs w:val="22"/>
            </w:rPr>
          </w:pPr>
          <w:hyperlink w:anchor="_Toc451846333" w:history="1">
            <w:r w:rsidR="0066725C" w:rsidRPr="00515B38">
              <w:rPr>
                <w:rStyle w:val="Hyperlink"/>
                <w:rFonts w:eastAsiaTheme="majorEastAsia"/>
                <w:noProof/>
                <w:lang w:bidi="en-US"/>
              </w:rPr>
              <w:t>Introduction</w:t>
            </w:r>
            <w:r w:rsidR="0066725C">
              <w:rPr>
                <w:noProof/>
                <w:webHidden/>
              </w:rPr>
              <w:tab/>
            </w:r>
            <w:r w:rsidR="0066725C">
              <w:rPr>
                <w:noProof/>
                <w:webHidden/>
              </w:rPr>
              <w:fldChar w:fldCharType="begin"/>
            </w:r>
            <w:r w:rsidR="0066725C">
              <w:rPr>
                <w:noProof/>
                <w:webHidden/>
              </w:rPr>
              <w:instrText xml:space="preserve"> PAGEREF _Toc451846333 \h </w:instrText>
            </w:r>
            <w:r w:rsidR="0066725C">
              <w:rPr>
                <w:noProof/>
                <w:webHidden/>
              </w:rPr>
            </w:r>
            <w:r w:rsidR="0066725C">
              <w:rPr>
                <w:noProof/>
                <w:webHidden/>
              </w:rPr>
              <w:fldChar w:fldCharType="separate"/>
            </w:r>
            <w:r w:rsidR="0066725C">
              <w:rPr>
                <w:noProof/>
                <w:webHidden/>
              </w:rPr>
              <w:t>3</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34" w:history="1">
            <w:r w:rsidR="0066725C" w:rsidRPr="00515B38">
              <w:rPr>
                <w:rStyle w:val="Hyperlink"/>
                <w:rFonts w:eastAsiaTheme="majorEastAsia"/>
                <w:noProof/>
              </w:rPr>
              <w:t>How the guidelines will be updated</w:t>
            </w:r>
            <w:r w:rsidR="0066725C">
              <w:rPr>
                <w:noProof/>
                <w:webHidden/>
              </w:rPr>
              <w:tab/>
            </w:r>
            <w:r w:rsidR="0066725C">
              <w:rPr>
                <w:noProof/>
                <w:webHidden/>
              </w:rPr>
              <w:fldChar w:fldCharType="begin"/>
            </w:r>
            <w:r w:rsidR="0066725C">
              <w:rPr>
                <w:noProof/>
                <w:webHidden/>
              </w:rPr>
              <w:instrText xml:space="preserve"> PAGEREF _Toc451846334 \h </w:instrText>
            </w:r>
            <w:r w:rsidR="0066725C">
              <w:rPr>
                <w:noProof/>
                <w:webHidden/>
              </w:rPr>
            </w:r>
            <w:r w:rsidR="0066725C">
              <w:rPr>
                <w:noProof/>
                <w:webHidden/>
              </w:rPr>
              <w:fldChar w:fldCharType="separate"/>
            </w:r>
            <w:r w:rsidR="0066725C">
              <w:rPr>
                <w:noProof/>
                <w:webHidden/>
              </w:rPr>
              <w:t>3</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35" w:history="1">
            <w:r w:rsidR="0066725C" w:rsidRPr="00515B38">
              <w:rPr>
                <w:rStyle w:val="Hyperlink"/>
                <w:rFonts w:eastAsiaTheme="majorEastAsia"/>
                <w:noProof/>
              </w:rPr>
              <w:t>Further Information</w:t>
            </w:r>
            <w:r w:rsidR="0066725C">
              <w:rPr>
                <w:noProof/>
                <w:webHidden/>
              </w:rPr>
              <w:tab/>
            </w:r>
            <w:r w:rsidR="0066725C">
              <w:rPr>
                <w:noProof/>
                <w:webHidden/>
              </w:rPr>
              <w:fldChar w:fldCharType="begin"/>
            </w:r>
            <w:r w:rsidR="0066725C">
              <w:rPr>
                <w:noProof/>
                <w:webHidden/>
              </w:rPr>
              <w:instrText xml:space="preserve"> PAGEREF _Toc451846335 \h </w:instrText>
            </w:r>
            <w:r w:rsidR="0066725C">
              <w:rPr>
                <w:noProof/>
                <w:webHidden/>
              </w:rPr>
            </w:r>
            <w:r w:rsidR="0066725C">
              <w:rPr>
                <w:noProof/>
                <w:webHidden/>
              </w:rPr>
              <w:fldChar w:fldCharType="separate"/>
            </w:r>
            <w:r w:rsidR="0066725C">
              <w:rPr>
                <w:noProof/>
                <w:webHidden/>
              </w:rPr>
              <w:t>3</w:t>
            </w:r>
            <w:r w:rsidR="0066725C">
              <w:rPr>
                <w:noProof/>
                <w:webHidden/>
              </w:rPr>
              <w:fldChar w:fldCharType="end"/>
            </w:r>
          </w:hyperlink>
        </w:p>
        <w:p w:rsidR="0066725C" w:rsidRDefault="00D14E9C">
          <w:pPr>
            <w:pStyle w:val="TOC1"/>
            <w:tabs>
              <w:tab w:val="right" w:leader="dot" w:pos="9628"/>
            </w:tabs>
            <w:rPr>
              <w:rFonts w:asciiTheme="minorHAnsi" w:eastAsiaTheme="minorEastAsia" w:hAnsiTheme="minorHAnsi" w:cstheme="minorBidi"/>
              <w:noProof/>
              <w:szCs w:val="22"/>
            </w:rPr>
          </w:pPr>
          <w:hyperlink w:anchor="_Toc451846336" w:history="1">
            <w:r w:rsidR="0066725C" w:rsidRPr="00515B38">
              <w:rPr>
                <w:rStyle w:val="Hyperlink"/>
                <w:rFonts w:eastAsiaTheme="majorEastAsia"/>
                <w:noProof/>
              </w:rPr>
              <w:t>Chapter 1 - Provisionally Allocated Places</w:t>
            </w:r>
            <w:r w:rsidR="0066725C">
              <w:rPr>
                <w:noProof/>
                <w:webHidden/>
              </w:rPr>
              <w:tab/>
            </w:r>
            <w:r w:rsidR="0066725C">
              <w:rPr>
                <w:noProof/>
                <w:webHidden/>
              </w:rPr>
              <w:fldChar w:fldCharType="begin"/>
            </w:r>
            <w:r w:rsidR="0066725C">
              <w:rPr>
                <w:noProof/>
                <w:webHidden/>
              </w:rPr>
              <w:instrText xml:space="preserve"> PAGEREF _Toc451846336 \h </w:instrText>
            </w:r>
            <w:r w:rsidR="0066725C">
              <w:rPr>
                <w:noProof/>
                <w:webHidden/>
              </w:rPr>
            </w:r>
            <w:r w:rsidR="0066725C">
              <w:rPr>
                <w:noProof/>
                <w:webHidden/>
              </w:rPr>
              <w:fldChar w:fldCharType="separate"/>
            </w:r>
            <w:r w:rsidR="0066725C">
              <w:rPr>
                <w:noProof/>
                <w:webHidden/>
              </w:rPr>
              <w:t>4</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37" w:history="1">
            <w:r w:rsidR="0066725C" w:rsidRPr="00515B38">
              <w:rPr>
                <w:rStyle w:val="Hyperlink"/>
                <w:rFonts w:eastAsiaTheme="majorEastAsia"/>
                <w:noProof/>
              </w:rPr>
              <w:t>Introduction</w:t>
            </w:r>
            <w:r w:rsidR="0066725C">
              <w:rPr>
                <w:noProof/>
                <w:webHidden/>
              </w:rPr>
              <w:tab/>
            </w:r>
            <w:r w:rsidR="0066725C">
              <w:rPr>
                <w:noProof/>
                <w:webHidden/>
              </w:rPr>
              <w:fldChar w:fldCharType="begin"/>
            </w:r>
            <w:r w:rsidR="0066725C">
              <w:rPr>
                <w:noProof/>
                <w:webHidden/>
              </w:rPr>
              <w:instrText xml:space="preserve"> PAGEREF _Toc451846337 \h </w:instrText>
            </w:r>
            <w:r w:rsidR="0066725C">
              <w:rPr>
                <w:noProof/>
                <w:webHidden/>
              </w:rPr>
            </w:r>
            <w:r w:rsidR="0066725C">
              <w:rPr>
                <w:noProof/>
                <w:webHidden/>
              </w:rPr>
              <w:fldChar w:fldCharType="separate"/>
            </w:r>
            <w:r w:rsidR="0066725C">
              <w:rPr>
                <w:noProof/>
                <w:webHidden/>
              </w:rPr>
              <w:t>4</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38" w:history="1">
            <w:r w:rsidR="0066725C" w:rsidRPr="00515B38">
              <w:rPr>
                <w:rStyle w:val="Hyperlink"/>
                <w:rFonts w:eastAsiaTheme="majorEastAsia"/>
                <w:noProof/>
              </w:rPr>
              <w:t>Progress Reports</w:t>
            </w:r>
            <w:r w:rsidR="0066725C">
              <w:rPr>
                <w:noProof/>
                <w:webHidden/>
              </w:rPr>
              <w:tab/>
            </w:r>
            <w:r w:rsidR="0066725C">
              <w:rPr>
                <w:noProof/>
                <w:webHidden/>
              </w:rPr>
              <w:fldChar w:fldCharType="begin"/>
            </w:r>
            <w:r w:rsidR="0066725C">
              <w:rPr>
                <w:noProof/>
                <w:webHidden/>
              </w:rPr>
              <w:instrText xml:space="preserve"> PAGEREF _Toc451846338 \h </w:instrText>
            </w:r>
            <w:r w:rsidR="0066725C">
              <w:rPr>
                <w:noProof/>
                <w:webHidden/>
              </w:rPr>
            </w:r>
            <w:r w:rsidR="0066725C">
              <w:rPr>
                <w:noProof/>
                <w:webHidden/>
              </w:rPr>
              <w:fldChar w:fldCharType="separate"/>
            </w:r>
            <w:r w:rsidR="0066725C">
              <w:rPr>
                <w:noProof/>
                <w:webHidden/>
              </w:rPr>
              <w:t>4</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39" w:history="1">
            <w:r w:rsidR="0066725C" w:rsidRPr="00515B38">
              <w:rPr>
                <w:rStyle w:val="Hyperlink"/>
                <w:rFonts w:eastAsiaTheme="majorEastAsia"/>
                <w:noProof/>
              </w:rPr>
              <w:t>Application for Extension</w:t>
            </w:r>
            <w:r w:rsidR="0066725C">
              <w:rPr>
                <w:noProof/>
                <w:webHidden/>
              </w:rPr>
              <w:tab/>
            </w:r>
            <w:r w:rsidR="0066725C">
              <w:rPr>
                <w:noProof/>
                <w:webHidden/>
              </w:rPr>
              <w:fldChar w:fldCharType="begin"/>
            </w:r>
            <w:r w:rsidR="0066725C">
              <w:rPr>
                <w:noProof/>
                <w:webHidden/>
              </w:rPr>
              <w:instrText xml:space="preserve"> PAGEREF _Toc451846339 \h </w:instrText>
            </w:r>
            <w:r w:rsidR="0066725C">
              <w:rPr>
                <w:noProof/>
                <w:webHidden/>
              </w:rPr>
            </w:r>
            <w:r w:rsidR="0066725C">
              <w:rPr>
                <w:noProof/>
                <w:webHidden/>
              </w:rPr>
              <w:fldChar w:fldCharType="separate"/>
            </w:r>
            <w:r w:rsidR="0066725C">
              <w:rPr>
                <w:noProof/>
                <w:webHidden/>
              </w:rPr>
              <w:t>5</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40" w:history="1">
            <w:r w:rsidR="0066725C" w:rsidRPr="00515B38">
              <w:rPr>
                <w:rStyle w:val="Hyperlink"/>
                <w:rFonts w:eastAsiaTheme="majorEastAsia"/>
                <w:noProof/>
              </w:rPr>
              <w:t>Application for Extension Due to Exceptional Circumstances</w:t>
            </w:r>
            <w:r w:rsidR="0066725C">
              <w:rPr>
                <w:noProof/>
                <w:webHidden/>
              </w:rPr>
              <w:tab/>
            </w:r>
            <w:r w:rsidR="0066725C">
              <w:rPr>
                <w:noProof/>
                <w:webHidden/>
              </w:rPr>
              <w:fldChar w:fldCharType="begin"/>
            </w:r>
            <w:r w:rsidR="0066725C">
              <w:rPr>
                <w:noProof/>
                <w:webHidden/>
              </w:rPr>
              <w:instrText xml:space="preserve"> PAGEREF _Toc451846340 \h </w:instrText>
            </w:r>
            <w:r w:rsidR="0066725C">
              <w:rPr>
                <w:noProof/>
                <w:webHidden/>
              </w:rPr>
            </w:r>
            <w:r w:rsidR="0066725C">
              <w:rPr>
                <w:noProof/>
                <w:webHidden/>
              </w:rPr>
              <w:fldChar w:fldCharType="separate"/>
            </w:r>
            <w:r w:rsidR="0066725C">
              <w:rPr>
                <w:noProof/>
                <w:webHidden/>
              </w:rPr>
              <w:t>6</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41" w:history="1">
            <w:r w:rsidR="0066725C" w:rsidRPr="00515B38">
              <w:rPr>
                <w:rStyle w:val="Hyperlink"/>
                <w:rFonts w:eastAsiaTheme="majorEastAsia"/>
                <w:noProof/>
              </w:rPr>
              <w:t>Cessation of Provisional Allocations of Places</w:t>
            </w:r>
            <w:r w:rsidR="0066725C">
              <w:rPr>
                <w:noProof/>
                <w:webHidden/>
              </w:rPr>
              <w:tab/>
            </w:r>
            <w:r w:rsidR="0066725C">
              <w:rPr>
                <w:noProof/>
                <w:webHidden/>
              </w:rPr>
              <w:fldChar w:fldCharType="begin"/>
            </w:r>
            <w:r w:rsidR="0066725C">
              <w:rPr>
                <w:noProof/>
                <w:webHidden/>
              </w:rPr>
              <w:instrText xml:space="preserve"> PAGEREF _Toc451846341 \h </w:instrText>
            </w:r>
            <w:r w:rsidR="0066725C">
              <w:rPr>
                <w:noProof/>
                <w:webHidden/>
              </w:rPr>
            </w:r>
            <w:r w:rsidR="0066725C">
              <w:rPr>
                <w:noProof/>
                <w:webHidden/>
              </w:rPr>
              <w:fldChar w:fldCharType="separate"/>
            </w:r>
            <w:r w:rsidR="0066725C">
              <w:rPr>
                <w:noProof/>
                <w:webHidden/>
              </w:rPr>
              <w:t>7</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42" w:history="1">
            <w:r w:rsidR="0066725C" w:rsidRPr="00515B38">
              <w:rPr>
                <w:rStyle w:val="Hyperlink"/>
                <w:rFonts w:eastAsiaTheme="majorEastAsia"/>
                <w:noProof/>
              </w:rPr>
              <w:t>Revoking and Surrendering Provisional Allocations</w:t>
            </w:r>
            <w:r w:rsidR="0066725C">
              <w:rPr>
                <w:noProof/>
                <w:webHidden/>
              </w:rPr>
              <w:tab/>
            </w:r>
            <w:r w:rsidR="0066725C">
              <w:rPr>
                <w:noProof/>
                <w:webHidden/>
              </w:rPr>
              <w:fldChar w:fldCharType="begin"/>
            </w:r>
            <w:r w:rsidR="0066725C">
              <w:rPr>
                <w:noProof/>
                <w:webHidden/>
              </w:rPr>
              <w:instrText xml:space="preserve"> PAGEREF _Toc451846342 \h </w:instrText>
            </w:r>
            <w:r w:rsidR="0066725C">
              <w:rPr>
                <w:noProof/>
                <w:webHidden/>
              </w:rPr>
            </w:r>
            <w:r w:rsidR="0066725C">
              <w:rPr>
                <w:noProof/>
                <w:webHidden/>
              </w:rPr>
              <w:fldChar w:fldCharType="separate"/>
            </w:r>
            <w:r w:rsidR="0066725C">
              <w:rPr>
                <w:noProof/>
                <w:webHidden/>
              </w:rPr>
              <w:t>7</w:t>
            </w:r>
            <w:r w:rsidR="0066725C">
              <w:rPr>
                <w:noProof/>
                <w:webHidden/>
              </w:rPr>
              <w:fldChar w:fldCharType="end"/>
            </w:r>
          </w:hyperlink>
        </w:p>
        <w:p w:rsidR="0066725C" w:rsidRDefault="00D14E9C">
          <w:pPr>
            <w:pStyle w:val="TOC1"/>
            <w:tabs>
              <w:tab w:val="right" w:leader="dot" w:pos="9628"/>
            </w:tabs>
            <w:rPr>
              <w:rFonts w:asciiTheme="minorHAnsi" w:eastAsiaTheme="minorEastAsia" w:hAnsiTheme="minorHAnsi" w:cstheme="minorBidi"/>
              <w:noProof/>
              <w:szCs w:val="22"/>
            </w:rPr>
          </w:pPr>
          <w:hyperlink w:anchor="_Toc451846343" w:history="1">
            <w:r w:rsidR="0066725C" w:rsidRPr="00515B38">
              <w:rPr>
                <w:rStyle w:val="Hyperlink"/>
                <w:rFonts w:eastAsiaTheme="majorEastAsia"/>
                <w:noProof/>
              </w:rPr>
              <w:t>Chapter 2 – Transfer of Aged Care Places</w:t>
            </w:r>
            <w:r w:rsidR="0066725C">
              <w:rPr>
                <w:noProof/>
                <w:webHidden/>
              </w:rPr>
              <w:tab/>
            </w:r>
            <w:r w:rsidR="0066725C">
              <w:rPr>
                <w:noProof/>
                <w:webHidden/>
              </w:rPr>
              <w:fldChar w:fldCharType="begin"/>
            </w:r>
            <w:r w:rsidR="0066725C">
              <w:rPr>
                <w:noProof/>
                <w:webHidden/>
              </w:rPr>
              <w:instrText xml:space="preserve"> PAGEREF _Toc451846343 \h </w:instrText>
            </w:r>
            <w:r w:rsidR="0066725C">
              <w:rPr>
                <w:noProof/>
                <w:webHidden/>
              </w:rPr>
            </w:r>
            <w:r w:rsidR="0066725C">
              <w:rPr>
                <w:noProof/>
                <w:webHidden/>
              </w:rPr>
              <w:fldChar w:fldCharType="separate"/>
            </w:r>
            <w:r w:rsidR="0066725C">
              <w:rPr>
                <w:noProof/>
                <w:webHidden/>
              </w:rPr>
              <w:t>8</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44" w:history="1">
            <w:r w:rsidR="0066725C" w:rsidRPr="00515B38">
              <w:rPr>
                <w:rStyle w:val="Hyperlink"/>
                <w:rFonts w:eastAsiaTheme="majorEastAsia"/>
                <w:noProof/>
              </w:rPr>
              <w:t>Introduction</w:t>
            </w:r>
            <w:r w:rsidR="0066725C">
              <w:rPr>
                <w:noProof/>
                <w:webHidden/>
              </w:rPr>
              <w:tab/>
            </w:r>
            <w:r w:rsidR="0066725C">
              <w:rPr>
                <w:noProof/>
                <w:webHidden/>
              </w:rPr>
              <w:fldChar w:fldCharType="begin"/>
            </w:r>
            <w:r w:rsidR="0066725C">
              <w:rPr>
                <w:noProof/>
                <w:webHidden/>
              </w:rPr>
              <w:instrText xml:space="preserve"> PAGEREF _Toc451846344 \h </w:instrText>
            </w:r>
            <w:r w:rsidR="0066725C">
              <w:rPr>
                <w:noProof/>
                <w:webHidden/>
              </w:rPr>
            </w:r>
            <w:r w:rsidR="0066725C">
              <w:rPr>
                <w:noProof/>
                <w:webHidden/>
              </w:rPr>
              <w:fldChar w:fldCharType="separate"/>
            </w:r>
            <w:r w:rsidR="0066725C">
              <w:rPr>
                <w:noProof/>
                <w:webHidden/>
              </w:rPr>
              <w:t>8</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45" w:history="1">
            <w:r w:rsidR="0066725C" w:rsidRPr="00515B38">
              <w:rPr>
                <w:rStyle w:val="Hyperlink"/>
                <w:rFonts w:eastAsiaTheme="majorEastAsia"/>
                <w:noProof/>
              </w:rPr>
              <w:t>Transfer of Operational Aged Care Places</w:t>
            </w:r>
            <w:r w:rsidR="0066725C">
              <w:rPr>
                <w:noProof/>
                <w:webHidden/>
              </w:rPr>
              <w:tab/>
            </w:r>
            <w:r w:rsidR="0066725C">
              <w:rPr>
                <w:noProof/>
                <w:webHidden/>
              </w:rPr>
              <w:fldChar w:fldCharType="begin"/>
            </w:r>
            <w:r w:rsidR="0066725C">
              <w:rPr>
                <w:noProof/>
                <w:webHidden/>
              </w:rPr>
              <w:instrText xml:space="preserve"> PAGEREF _Toc451846345 \h </w:instrText>
            </w:r>
            <w:r w:rsidR="0066725C">
              <w:rPr>
                <w:noProof/>
                <w:webHidden/>
              </w:rPr>
            </w:r>
            <w:r w:rsidR="0066725C">
              <w:rPr>
                <w:noProof/>
                <w:webHidden/>
              </w:rPr>
              <w:fldChar w:fldCharType="separate"/>
            </w:r>
            <w:r w:rsidR="0066725C">
              <w:rPr>
                <w:noProof/>
                <w:webHidden/>
              </w:rPr>
              <w:t>8</w:t>
            </w:r>
            <w:r w:rsidR="0066725C">
              <w:rPr>
                <w:noProof/>
                <w:webHidden/>
              </w:rPr>
              <w:fldChar w:fldCharType="end"/>
            </w:r>
          </w:hyperlink>
        </w:p>
        <w:p w:rsidR="0066725C" w:rsidRDefault="00D14E9C">
          <w:pPr>
            <w:pStyle w:val="TOC3"/>
            <w:rPr>
              <w:rFonts w:asciiTheme="minorHAnsi" w:eastAsiaTheme="minorEastAsia" w:hAnsiTheme="minorHAnsi" w:cstheme="minorBidi"/>
              <w:noProof/>
              <w:szCs w:val="22"/>
            </w:rPr>
          </w:pPr>
          <w:hyperlink w:anchor="_Toc451846346" w:history="1">
            <w:r w:rsidR="0066725C" w:rsidRPr="00515B38">
              <w:rPr>
                <w:rStyle w:val="Hyperlink"/>
                <w:rFonts w:eastAsiaTheme="minorHAnsi" w:cs="Arial"/>
                <w:noProof/>
              </w:rPr>
              <w:t>Transfer Notice</w:t>
            </w:r>
            <w:r w:rsidR="0066725C">
              <w:rPr>
                <w:noProof/>
                <w:webHidden/>
              </w:rPr>
              <w:tab/>
            </w:r>
            <w:r w:rsidR="0066725C">
              <w:rPr>
                <w:noProof/>
                <w:webHidden/>
              </w:rPr>
              <w:fldChar w:fldCharType="begin"/>
            </w:r>
            <w:r w:rsidR="0066725C">
              <w:rPr>
                <w:noProof/>
                <w:webHidden/>
              </w:rPr>
              <w:instrText xml:space="preserve"> PAGEREF _Toc451846346 \h </w:instrText>
            </w:r>
            <w:r w:rsidR="0066725C">
              <w:rPr>
                <w:noProof/>
                <w:webHidden/>
              </w:rPr>
            </w:r>
            <w:r w:rsidR="0066725C">
              <w:rPr>
                <w:noProof/>
                <w:webHidden/>
              </w:rPr>
              <w:fldChar w:fldCharType="separate"/>
            </w:r>
            <w:r w:rsidR="0066725C">
              <w:rPr>
                <w:noProof/>
                <w:webHidden/>
              </w:rPr>
              <w:t>8</w:t>
            </w:r>
            <w:r w:rsidR="0066725C">
              <w:rPr>
                <w:noProof/>
                <w:webHidden/>
              </w:rPr>
              <w:fldChar w:fldCharType="end"/>
            </w:r>
          </w:hyperlink>
        </w:p>
        <w:p w:rsidR="0066725C" w:rsidRDefault="00D14E9C">
          <w:pPr>
            <w:pStyle w:val="TOC3"/>
            <w:rPr>
              <w:rFonts w:asciiTheme="minorHAnsi" w:eastAsiaTheme="minorEastAsia" w:hAnsiTheme="minorHAnsi" w:cstheme="minorBidi"/>
              <w:noProof/>
              <w:szCs w:val="22"/>
            </w:rPr>
          </w:pPr>
          <w:hyperlink w:anchor="_Toc451846347" w:history="1">
            <w:r w:rsidR="0066725C" w:rsidRPr="00515B38">
              <w:rPr>
                <w:rStyle w:val="Hyperlink"/>
                <w:rFonts w:eastAsiaTheme="majorEastAsia"/>
                <w:noProof/>
              </w:rPr>
              <w:t>Notice to Resolve</w:t>
            </w:r>
            <w:r w:rsidR="0066725C">
              <w:rPr>
                <w:noProof/>
                <w:webHidden/>
              </w:rPr>
              <w:tab/>
            </w:r>
            <w:r w:rsidR="0066725C">
              <w:rPr>
                <w:noProof/>
                <w:webHidden/>
              </w:rPr>
              <w:fldChar w:fldCharType="begin"/>
            </w:r>
            <w:r w:rsidR="0066725C">
              <w:rPr>
                <w:noProof/>
                <w:webHidden/>
              </w:rPr>
              <w:instrText xml:space="preserve"> PAGEREF _Toc451846347 \h </w:instrText>
            </w:r>
            <w:r w:rsidR="0066725C">
              <w:rPr>
                <w:noProof/>
                <w:webHidden/>
              </w:rPr>
            </w:r>
            <w:r w:rsidR="0066725C">
              <w:rPr>
                <w:noProof/>
                <w:webHidden/>
              </w:rPr>
              <w:fldChar w:fldCharType="separate"/>
            </w:r>
            <w:r w:rsidR="0066725C">
              <w:rPr>
                <w:noProof/>
                <w:webHidden/>
              </w:rPr>
              <w:t>8</w:t>
            </w:r>
            <w:r w:rsidR="0066725C">
              <w:rPr>
                <w:noProof/>
                <w:webHidden/>
              </w:rPr>
              <w:fldChar w:fldCharType="end"/>
            </w:r>
          </w:hyperlink>
        </w:p>
        <w:p w:rsidR="0066725C" w:rsidRDefault="00D14E9C">
          <w:pPr>
            <w:pStyle w:val="TOC3"/>
            <w:rPr>
              <w:rFonts w:asciiTheme="minorHAnsi" w:eastAsiaTheme="minorEastAsia" w:hAnsiTheme="minorHAnsi" w:cstheme="minorBidi"/>
              <w:noProof/>
              <w:szCs w:val="22"/>
            </w:rPr>
          </w:pPr>
          <w:hyperlink w:anchor="_Toc451846348" w:history="1">
            <w:r w:rsidR="0066725C" w:rsidRPr="00515B38">
              <w:rPr>
                <w:rStyle w:val="Hyperlink"/>
                <w:rFonts w:eastAsiaTheme="minorHAnsi"/>
                <w:noProof/>
              </w:rPr>
              <w:t xml:space="preserve">Vetoing the </w:t>
            </w:r>
            <w:r w:rsidR="0066725C" w:rsidRPr="00515B38">
              <w:rPr>
                <w:rStyle w:val="Hyperlink"/>
                <w:rFonts w:eastAsiaTheme="minorHAnsi" w:cs="Arial"/>
                <w:noProof/>
              </w:rPr>
              <w:t>Transfer Notice</w:t>
            </w:r>
            <w:r w:rsidR="0066725C">
              <w:rPr>
                <w:noProof/>
                <w:webHidden/>
              </w:rPr>
              <w:tab/>
            </w:r>
            <w:r w:rsidR="0066725C">
              <w:rPr>
                <w:noProof/>
                <w:webHidden/>
              </w:rPr>
              <w:fldChar w:fldCharType="begin"/>
            </w:r>
            <w:r w:rsidR="0066725C">
              <w:rPr>
                <w:noProof/>
                <w:webHidden/>
              </w:rPr>
              <w:instrText xml:space="preserve"> PAGEREF _Toc451846348 \h </w:instrText>
            </w:r>
            <w:r w:rsidR="0066725C">
              <w:rPr>
                <w:noProof/>
                <w:webHidden/>
              </w:rPr>
            </w:r>
            <w:r w:rsidR="0066725C">
              <w:rPr>
                <w:noProof/>
                <w:webHidden/>
              </w:rPr>
              <w:fldChar w:fldCharType="separate"/>
            </w:r>
            <w:r w:rsidR="0066725C">
              <w:rPr>
                <w:noProof/>
                <w:webHidden/>
              </w:rPr>
              <w:t>9</w:t>
            </w:r>
            <w:r w:rsidR="0066725C">
              <w:rPr>
                <w:noProof/>
                <w:webHidden/>
              </w:rPr>
              <w:fldChar w:fldCharType="end"/>
            </w:r>
          </w:hyperlink>
        </w:p>
        <w:p w:rsidR="0066725C" w:rsidRDefault="00D14E9C">
          <w:pPr>
            <w:pStyle w:val="TOC3"/>
            <w:rPr>
              <w:rFonts w:asciiTheme="minorHAnsi" w:eastAsiaTheme="minorEastAsia" w:hAnsiTheme="minorHAnsi" w:cstheme="minorBidi"/>
              <w:noProof/>
              <w:szCs w:val="22"/>
            </w:rPr>
          </w:pPr>
          <w:hyperlink w:anchor="_Toc451846349" w:history="1">
            <w:r w:rsidR="0066725C" w:rsidRPr="00515B38">
              <w:rPr>
                <w:rStyle w:val="Hyperlink"/>
                <w:rFonts w:eastAsiaTheme="minorHAnsi"/>
                <w:noProof/>
              </w:rPr>
              <w:t>Allowing the Transfer to Proceed</w:t>
            </w:r>
            <w:r w:rsidR="0066725C">
              <w:rPr>
                <w:noProof/>
                <w:webHidden/>
              </w:rPr>
              <w:tab/>
            </w:r>
            <w:r w:rsidR="0066725C">
              <w:rPr>
                <w:noProof/>
                <w:webHidden/>
              </w:rPr>
              <w:fldChar w:fldCharType="begin"/>
            </w:r>
            <w:r w:rsidR="0066725C">
              <w:rPr>
                <w:noProof/>
                <w:webHidden/>
              </w:rPr>
              <w:instrText xml:space="preserve"> PAGEREF _Toc451846349 \h </w:instrText>
            </w:r>
            <w:r w:rsidR="0066725C">
              <w:rPr>
                <w:noProof/>
                <w:webHidden/>
              </w:rPr>
            </w:r>
            <w:r w:rsidR="0066725C">
              <w:rPr>
                <w:noProof/>
                <w:webHidden/>
              </w:rPr>
              <w:fldChar w:fldCharType="separate"/>
            </w:r>
            <w:r w:rsidR="0066725C">
              <w:rPr>
                <w:noProof/>
                <w:webHidden/>
              </w:rPr>
              <w:t>9</w:t>
            </w:r>
            <w:r w:rsidR="0066725C">
              <w:rPr>
                <w:noProof/>
                <w:webHidden/>
              </w:rPr>
              <w:fldChar w:fldCharType="end"/>
            </w:r>
          </w:hyperlink>
        </w:p>
        <w:p w:rsidR="0066725C" w:rsidRDefault="00D14E9C">
          <w:pPr>
            <w:pStyle w:val="TOC3"/>
            <w:rPr>
              <w:rFonts w:asciiTheme="minorHAnsi" w:eastAsiaTheme="minorEastAsia" w:hAnsiTheme="minorHAnsi" w:cstheme="minorBidi"/>
              <w:noProof/>
              <w:szCs w:val="22"/>
            </w:rPr>
          </w:pPr>
          <w:hyperlink w:anchor="_Toc451846350" w:history="1">
            <w:r w:rsidR="0066725C" w:rsidRPr="00515B38">
              <w:rPr>
                <w:rStyle w:val="Hyperlink"/>
                <w:rFonts w:eastAsiaTheme="minorHAnsi"/>
                <w:noProof/>
              </w:rPr>
              <w:t>Change of Circumstances</w:t>
            </w:r>
            <w:r w:rsidR="0066725C">
              <w:rPr>
                <w:noProof/>
                <w:webHidden/>
              </w:rPr>
              <w:tab/>
            </w:r>
            <w:r w:rsidR="0066725C">
              <w:rPr>
                <w:noProof/>
                <w:webHidden/>
              </w:rPr>
              <w:fldChar w:fldCharType="begin"/>
            </w:r>
            <w:r w:rsidR="0066725C">
              <w:rPr>
                <w:noProof/>
                <w:webHidden/>
              </w:rPr>
              <w:instrText xml:space="preserve"> PAGEREF _Toc451846350 \h </w:instrText>
            </w:r>
            <w:r w:rsidR="0066725C">
              <w:rPr>
                <w:noProof/>
                <w:webHidden/>
              </w:rPr>
            </w:r>
            <w:r w:rsidR="0066725C">
              <w:rPr>
                <w:noProof/>
                <w:webHidden/>
              </w:rPr>
              <w:fldChar w:fldCharType="separate"/>
            </w:r>
            <w:r w:rsidR="0066725C">
              <w:rPr>
                <w:noProof/>
                <w:webHidden/>
              </w:rPr>
              <w:t>9</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51" w:history="1">
            <w:r w:rsidR="0066725C" w:rsidRPr="00515B38">
              <w:rPr>
                <w:rStyle w:val="Hyperlink"/>
                <w:rFonts w:eastAsiaTheme="majorEastAsia"/>
                <w:noProof/>
              </w:rPr>
              <w:t>Transfer of Provisionally Allocated Places</w:t>
            </w:r>
            <w:r w:rsidR="0066725C">
              <w:rPr>
                <w:noProof/>
                <w:webHidden/>
              </w:rPr>
              <w:tab/>
            </w:r>
            <w:r w:rsidR="0066725C">
              <w:rPr>
                <w:noProof/>
                <w:webHidden/>
              </w:rPr>
              <w:fldChar w:fldCharType="begin"/>
            </w:r>
            <w:r w:rsidR="0066725C">
              <w:rPr>
                <w:noProof/>
                <w:webHidden/>
              </w:rPr>
              <w:instrText xml:space="preserve"> PAGEREF _Toc451846351 \h </w:instrText>
            </w:r>
            <w:r w:rsidR="0066725C">
              <w:rPr>
                <w:noProof/>
                <w:webHidden/>
              </w:rPr>
            </w:r>
            <w:r w:rsidR="0066725C">
              <w:rPr>
                <w:noProof/>
                <w:webHidden/>
              </w:rPr>
              <w:fldChar w:fldCharType="separate"/>
            </w:r>
            <w:r w:rsidR="0066725C">
              <w:rPr>
                <w:noProof/>
                <w:webHidden/>
              </w:rPr>
              <w:t>9</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52" w:history="1">
            <w:r w:rsidR="0066725C" w:rsidRPr="00515B38">
              <w:rPr>
                <w:rStyle w:val="Hyperlink"/>
                <w:rFonts w:eastAsiaTheme="majorEastAsia"/>
                <w:noProof/>
              </w:rPr>
              <w:t>Transfers Involving Extra Service Status Places</w:t>
            </w:r>
            <w:r w:rsidR="0066725C">
              <w:rPr>
                <w:noProof/>
                <w:webHidden/>
              </w:rPr>
              <w:tab/>
            </w:r>
            <w:r w:rsidR="0066725C">
              <w:rPr>
                <w:noProof/>
                <w:webHidden/>
              </w:rPr>
              <w:fldChar w:fldCharType="begin"/>
            </w:r>
            <w:r w:rsidR="0066725C">
              <w:rPr>
                <w:noProof/>
                <w:webHidden/>
              </w:rPr>
              <w:instrText xml:space="preserve"> PAGEREF _Toc451846352 \h </w:instrText>
            </w:r>
            <w:r w:rsidR="0066725C">
              <w:rPr>
                <w:noProof/>
                <w:webHidden/>
              </w:rPr>
            </w:r>
            <w:r w:rsidR="0066725C">
              <w:rPr>
                <w:noProof/>
                <w:webHidden/>
              </w:rPr>
              <w:fldChar w:fldCharType="separate"/>
            </w:r>
            <w:r w:rsidR="0066725C">
              <w:rPr>
                <w:noProof/>
                <w:webHidden/>
              </w:rPr>
              <w:t>9</w:t>
            </w:r>
            <w:r w:rsidR="0066725C">
              <w:rPr>
                <w:noProof/>
                <w:webHidden/>
              </w:rPr>
              <w:fldChar w:fldCharType="end"/>
            </w:r>
          </w:hyperlink>
        </w:p>
        <w:p w:rsidR="0066725C" w:rsidRDefault="00D14E9C">
          <w:pPr>
            <w:pStyle w:val="TOC1"/>
            <w:tabs>
              <w:tab w:val="right" w:leader="dot" w:pos="9628"/>
            </w:tabs>
            <w:rPr>
              <w:rFonts w:asciiTheme="minorHAnsi" w:eastAsiaTheme="minorEastAsia" w:hAnsiTheme="minorHAnsi" w:cstheme="minorBidi"/>
              <w:noProof/>
              <w:szCs w:val="22"/>
            </w:rPr>
          </w:pPr>
          <w:hyperlink w:anchor="_Toc451846353" w:history="1">
            <w:r w:rsidR="0066725C" w:rsidRPr="00515B38">
              <w:rPr>
                <w:rStyle w:val="Hyperlink"/>
                <w:rFonts w:eastAsiaTheme="majorEastAsia"/>
                <w:noProof/>
              </w:rPr>
              <w:t>Chapter 3 – Reviewable Decisions</w:t>
            </w:r>
            <w:r w:rsidR="0066725C">
              <w:rPr>
                <w:noProof/>
                <w:webHidden/>
              </w:rPr>
              <w:tab/>
            </w:r>
            <w:r w:rsidR="0066725C">
              <w:rPr>
                <w:noProof/>
                <w:webHidden/>
              </w:rPr>
              <w:fldChar w:fldCharType="begin"/>
            </w:r>
            <w:r w:rsidR="0066725C">
              <w:rPr>
                <w:noProof/>
                <w:webHidden/>
              </w:rPr>
              <w:instrText xml:space="preserve"> PAGEREF _Toc451846353 \h </w:instrText>
            </w:r>
            <w:r w:rsidR="0066725C">
              <w:rPr>
                <w:noProof/>
                <w:webHidden/>
              </w:rPr>
            </w:r>
            <w:r w:rsidR="0066725C">
              <w:rPr>
                <w:noProof/>
                <w:webHidden/>
              </w:rPr>
              <w:fldChar w:fldCharType="separate"/>
            </w:r>
            <w:r w:rsidR="0066725C">
              <w:rPr>
                <w:noProof/>
                <w:webHidden/>
              </w:rPr>
              <w:t>11</w:t>
            </w:r>
            <w:r w:rsidR="0066725C">
              <w:rPr>
                <w:noProof/>
                <w:webHidden/>
              </w:rPr>
              <w:fldChar w:fldCharType="end"/>
            </w:r>
          </w:hyperlink>
        </w:p>
        <w:p w:rsidR="0066725C" w:rsidRDefault="00D14E9C">
          <w:pPr>
            <w:pStyle w:val="TOC2"/>
            <w:rPr>
              <w:rFonts w:asciiTheme="minorHAnsi" w:eastAsiaTheme="minorEastAsia" w:hAnsiTheme="minorHAnsi" w:cstheme="minorBidi"/>
              <w:noProof/>
              <w:szCs w:val="22"/>
            </w:rPr>
          </w:pPr>
          <w:hyperlink w:anchor="_Toc451846354" w:history="1">
            <w:r w:rsidR="0066725C" w:rsidRPr="00515B38">
              <w:rPr>
                <w:rStyle w:val="Hyperlink"/>
                <w:rFonts w:eastAsiaTheme="majorEastAsia"/>
                <w:noProof/>
              </w:rPr>
              <w:t>Additional Information</w:t>
            </w:r>
            <w:r w:rsidR="0066725C">
              <w:rPr>
                <w:noProof/>
                <w:webHidden/>
              </w:rPr>
              <w:tab/>
            </w:r>
            <w:r w:rsidR="0066725C">
              <w:rPr>
                <w:noProof/>
                <w:webHidden/>
              </w:rPr>
              <w:fldChar w:fldCharType="begin"/>
            </w:r>
            <w:r w:rsidR="0066725C">
              <w:rPr>
                <w:noProof/>
                <w:webHidden/>
              </w:rPr>
              <w:instrText xml:space="preserve"> PAGEREF _Toc451846354 \h </w:instrText>
            </w:r>
            <w:r w:rsidR="0066725C">
              <w:rPr>
                <w:noProof/>
                <w:webHidden/>
              </w:rPr>
            </w:r>
            <w:r w:rsidR="0066725C">
              <w:rPr>
                <w:noProof/>
                <w:webHidden/>
              </w:rPr>
              <w:fldChar w:fldCharType="separate"/>
            </w:r>
            <w:r w:rsidR="0066725C">
              <w:rPr>
                <w:noProof/>
                <w:webHidden/>
              </w:rPr>
              <w:t>12</w:t>
            </w:r>
            <w:r w:rsidR="0066725C">
              <w:rPr>
                <w:noProof/>
                <w:webHidden/>
              </w:rPr>
              <w:fldChar w:fldCharType="end"/>
            </w:r>
          </w:hyperlink>
        </w:p>
        <w:p w:rsidR="000E4E46" w:rsidRDefault="000E4E46">
          <w:r>
            <w:rPr>
              <w:b/>
              <w:bCs/>
              <w:noProof/>
            </w:rPr>
            <w:fldChar w:fldCharType="end"/>
          </w:r>
        </w:p>
      </w:sdtContent>
    </w:sdt>
    <w:p w:rsidR="006A745C" w:rsidRDefault="006A745C">
      <w:pPr>
        <w:spacing w:before="0" w:after="200" w:line="276" w:lineRule="auto"/>
        <w:rPr>
          <w:rFonts w:ascii="Georgia" w:eastAsiaTheme="majorEastAsia" w:hAnsi="Georgia" w:cstheme="majorBidi"/>
          <w:bCs/>
          <w:color w:val="24596E"/>
          <w:sz w:val="36"/>
          <w:szCs w:val="28"/>
        </w:rPr>
      </w:pPr>
      <w:r>
        <w:br w:type="page"/>
      </w:r>
    </w:p>
    <w:p w:rsidR="00524FD9" w:rsidRPr="00524FD9" w:rsidRDefault="00524FD9">
      <w:pPr>
        <w:pStyle w:val="Heading1"/>
      </w:pPr>
      <w:bookmarkStart w:id="1" w:name="_Toc451846332"/>
      <w:r w:rsidRPr="00524FD9">
        <w:lastRenderedPageBreak/>
        <w:t>F</w:t>
      </w:r>
      <w:r w:rsidR="00D112C6">
        <w:t>oreword</w:t>
      </w:r>
      <w:bookmarkEnd w:id="1"/>
    </w:p>
    <w:p w:rsidR="00524FD9" w:rsidRPr="00DB4F05" w:rsidRDefault="00524FD9" w:rsidP="00524FD9">
      <w:pPr>
        <w:spacing w:before="0" w:after="0" w:line="240" w:lineRule="auto"/>
      </w:pPr>
    </w:p>
    <w:p w:rsidR="00524FD9" w:rsidRDefault="00524FD9" w:rsidP="00267525">
      <w:pPr>
        <w:spacing w:before="0" w:after="0" w:line="240" w:lineRule="auto"/>
      </w:pPr>
      <w:r w:rsidRPr="00DB4F05">
        <w:t xml:space="preserve">The </w:t>
      </w:r>
      <w:r w:rsidRPr="0066725C">
        <w:rPr>
          <w:i/>
        </w:rPr>
        <w:t xml:space="preserve">Aged Care Amendment (Red Tape Reduction in Places Management) </w:t>
      </w:r>
      <w:r w:rsidR="004C0A6A" w:rsidRPr="0066725C">
        <w:rPr>
          <w:i/>
        </w:rPr>
        <w:t>Act</w:t>
      </w:r>
      <w:r w:rsidRPr="0066725C">
        <w:rPr>
          <w:i/>
        </w:rPr>
        <w:t xml:space="preserve"> 201</w:t>
      </w:r>
      <w:r w:rsidR="004C0A6A" w:rsidRPr="0066725C">
        <w:rPr>
          <w:i/>
        </w:rPr>
        <w:t>6</w:t>
      </w:r>
      <w:r>
        <w:t xml:space="preserve"> </w:t>
      </w:r>
      <w:r w:rsidR="004C0A6A">
        <w:t>became law on 10 February 2016</w:t>
      </w:r>
      <w:r w:rsidR="00AA6F2C">
        <w:t>.</w:t>
      </w:r>
      <w:r w:rsidR="0074597C">
        <w:t xml:space="preserve"> </w:t>
      </w:r>
      <w:r w:rsidR="00AA6F2C">
        <w:t xml:space="preserve">This </w:t>
      </w:r>
      <w:r w:rsidR="004C0A6A">
        <w:t xml:space="preserve">Act </w:t>
      </w:r>
      <w:r>
        <w:t>amend</w:t>
      </w:r>
      <w:r w:rsidR="004C0A6A">
        <w:t>ed</w:t>
      </w:r>
      <w:r>
        <w:t xml:space="preserve"> the </w:t>
      </w:r>
      <w:r>
        <w:rPr>
          <w:i/>
        </w:rPr>
        <w:t>Aged Care Act 1997</w:t>
      </w:r>
      <w:r>
        <w:t xml:space="preserve"> </w:t>
      </w:r>
      <w:r w:rsidR="00352607">
        <w:t xml:space="preserve">(the Act) </w:t>
      </w:r>
      <w:r>
        <w:t xml:space="preserve">to streamline the </w:t>
      </w:r>
      <w:r w:rsidR="0074597C">
        <w:t xml:space="preserve">transfer of aged care </w:t>
      </w:r>
      <w:r>
        <w:t>places between approved providers</w:t>
      </w:r>
      <w:r w:rsidR="0074597C">
        <w:t xml:space="preserve">, </w:t>
      </w:r>
      <w:r>
        <w:t xml:space="preserve">and </w:t>
      </w:r>
      <w:r w:rsidR="0074597C">
        <w:t xml:space="preserve">the management of </w:t>
      </w:r>
      <w:r>
        <w:t xml:space="preserve">provisionally allocated </w:t>
      </w:r>
      <w:r w:rsidR="0074597C">
        <w:t xml:space="preserve">aged care </w:t>
      </w:r>
      <w:r>
        <w:t>places.</w:t>
      </w:r>
    </w:p>
    <w:p w:rsidR="00AA6F2C" w:rsidRDefault="00AA6F2C" w:rsidP="00267525">
      <w:pPr>
        <w:spacing w:before="0" w:after="0" w:line="240" w:lineRule="auto"/>
      </w:pPr>
    </w:p>
    <w:p w:rsidR="00AA6F2C" w:rsidRDefault="00AA6F2C" w:rsidP="00267525">
      <w:pPr>
        <w:spacing w:before="0" w:after="0" w:line="240" w:lineRule="auto"/>
        <w:rPr>
          <w:i/>
        </w:rPr>
      </w:pPr>
      <w:r>
        <w:rPr>
          <w:b/>
          <w:i/>
        </w:rPr>
        <w:t>Transfer of Places</w:t>
      </w:r>
    </w:p>
    <w:p w:rsidR="00AA6F2C" w:rsidRDefault="00AA6F2C" w:rsidP="00267525">
      <w:pPr>
        <w:spacing w:before="0" w:after="0" w:line="240" w:lineRule="auto"/>
        <w:rPr>
          <w:i/>
        </w:rPr>
      </w:pPr>
    </w:p>
    <w:p w:rsidR="00AA6F2C" w:rsidRDefault="004C0A6A" w:rsidP="00267525">
      <w:pPr>
        <w:spacing w:before="0" w:after="0" w:line="240" w:lineRule="auto"/>
      </w:pPr>
      <w:r>
        <w:t>T</w:t>
      </w:r>
      <w:r w:rsidR="00AA6F2C">
        <w:t xml:space="preserve">he process for transferring places between approved providers </w:t>
      </w:r>
      <w:r>
        <w:t xml:space="preserve">has been streamlined </w:t>
      </w:r>
      <w:r w:rsidR="00AA6F2C">
        <w:t xml:space="preserve">by deeming proposed transfers as approved. This approval is subject to the Secretary’s power to veto any proposed transfer which makes sure that only transfers that uphold standards of appropriate care </w:t>
      </w:r>
      <w:r w:rsidR="00061694">
        <w:t>and meet other requirements outlined in</w:t>
      </w:r>
      <w:r w:rsidR="00C159A5">
        <w:t xml:space="preserve"> </w:t>
      </w:r>
      <w:r w:rsidR="008A76D0">
        <w:t xml:space="preserve">the </w:t>
      </w:r>
      <w:r w:rsidR="00352607">
        <w:t xml:space="preserve">Act and the </w:t>
      </w:r>
      <w:r w:rsidR="008A76D0">
        <w:rPr>
          <w:i/>
        </w:rPr>
        <w:t>Allocation Principles 2014</w:t>
      </w:r>
      <w:r w:rsidR="00352607">
        <w:t xml:space="preserve"> (Allocation Principles)</w:t>
      </w:r>
      <w:r w:rsidR="00061694">
        <w:t xml:space="preserve">, </w:t>
      </w:r>
      <w:r w:rsidR="00AA6F2C">
        <w:t>will progress.</w:t>
      </w:r>
    </w:p>
    <w:p w:rsidR="00C159A5" w:rsidRDefault="00C159A5" w:rsidP="00267525">
      <w:pPr>
        <w:spacing w:before="0" w:after="0" w:line="240" w:lineRule="auto"/>
      </w:pPr>
    </w:p>
    <w:p w:rsidR="00C159A5" w:rsidRDefault="008F3A95" w:rsidP="00267525">
      <w:pPr>
        <w:spacing w:before="0" w:after="0" w:line="240" w:lineRule="auto"/>
      </w:pPr>
      <w:r>
        <w:t>Red tape has been minimised</w:t>
      </w:r>
      <w:r w:rsidR="00C159A5">
        <w:t xml:space="preserve"> for approved providers by </w:t>
      </w:r>
      <w:r>
        <w:t>reducing</w:t>
      </w:r>
      <w:r w:rsidR="00C159A5">
        <w:t xml:space="preserve"> the number of </w:t>
      </w:r>
      <w:r w:rsidR="00352607">
        <w:t xml:space="preserve">questions </w:t>
      </w:r>
      <w:r w:rsidR="00C159A5">
        <w:t>contained in the Transfer Notice by approximately 50%. The more streamlined Transfer</w:t>
      </w:r>
      <w:r w:rsidR="00352607">
        <w:t xml:space="preserve"> Notice</w:t>
      </w:r>
      <w:r w:rsidR="00C159A5">
        <w:t xml:space="preserve"> Form will be considered in conjunction with information held by the </w:t>
      </w:r>
      <w:r w:rsidR="00F64AA5">
        <w:t xml:space="preserve">Department, its </w:t>
      </w:r>
      <w:r>
        <w:t>agencies and statutory authorities</w:t>
      </w:r>
      <w:r w:rsidR="00F64AA5">
        <w:t>,</w:t>
      </w:r>
      <w:r>
        <w:t xml:space="preserve"> where appropriate</w:t>
      </w:r>
      <w:r w:rsidR="00F64AA5">
        <w:t xml:space="preserve">, to </w:t>
      </w:r>
      <w:r>
        <w:t>determine if a Veto Notice or a Notice to Resolve will be issued or if the transfer will be allowed to proceed.</w:t>
      </w:r>
    </w:p>
    <w:p w:rsidR="003D50BA" w:rsidRDefault="003D50BA" w:rsidP="00267525">
      <w:pPr>
        <w:spacing w:before="0" w:after="0" w:line="240" w:lineRule="auto"/>
      </w:pPr>
    </w:p>
    <w:p w:rsidR="003D50BA" w:rsidRPr="00267525" w:rsidRDefault="003D50BA" w:rsidP="00267525">
      <w:pPr>
        <w:spacing w:before="0" w:after="0" w:line="240" w:lineRule="auto"/>
        <w:rPr>
          <w:b/>
          <w:i/>
        </w:rPr>
      </w:pPr>
      <w:r>
        <w:rPr>
          <w:b/>
          <w:i/>
        </w:rPr>
        <w:t>Provisionally Allocated Places</w:t>
      </w:r>
    </w:p>
    <w:p w:rsidR="00AA6F2C" w:rsidRDefault="00AA6F2C" w:rsidP="00267525">
      <w:pPr>
        <w:spacing w:before="0" w:after="0" w:line="240" w:lineRule="auto"/>
        <w:rPr>
          <w:rFonts w:cs="Arial"/>
        </w:rPr>
      </w:pPr>
    </w:p>
    <w:p w:rsidR="003D50BA" w:rsidRDefault="004C0A6A" w:rsidP="00267525">
      <w:pPr>
        <w:spacing w:before="0" w:after="0" w:line="240" w:lineRule="auto"/>
        <w:rPr>
          <w:rFonts w:cs="Arial"/>
        </w:rPr>
      </w:pPr>
      <w:r>
        <w:rPr>
          <w:rFonts w:cs="Arial"/>
        </w:rPr>
        <w:t>R</w:t>
      </w:r>
      <w:r w:rsidR="003D50BA">
        <w:rPr>
          <w:rFonts w:cs="Arial"/>
        </w:rPr>
        <w:t xml:space="preserve">ed tape </w:t>
      </w:r>
      <w:r>
        <w:rPr>
          <w:rFonts w:cs="Arial"/>
        </w:rPr>
        <w:t xml:space="preserve">has been reduced </w:t>
      </w:r>
      <w:r w:rsidR="003D50BA">
        <w:rPr>
          <w:rFonts w:cs="Arial"/>
        </w:rPr>
        <w:t xml:space="preserve">for approved providers by extending the </w:t>
      </w:r>
      <w:r w:rsidR="000F109F">
        <w:rPr>
          <w:rFonts w:cs="Arial"/>
        </w:rPr>
        <w:t xml:space="preserve">initial </w:t>
      </w:r>
      <w:r w:rsidR="003D50BA">
        <w:rPr>
          <w:rFonts w:cs="Arial"/>
        </w:rPr>
        <w:t xml:space="preserve">provisional allocation period </w:t>
      </w:r>
      <w:r w:rsidR="000F109F">
        <w:rPr>
          <w:rFonts w:cs="Arial"/>
        </w:rPr>
        <w:t xml:space="preserve">from two years to four and thereby </w:t>
      </w:r>
      <w:r w:rsidR="003D50BA">
        <w:rPr>
          <w:rFonts w:cs="Arial"/>
        </w:rPr>
        <w:t xml:space="preserve">reducing the need for approved providers to apply for extensions. </w:t>
      </w:r>
      <w:r w:rsidR="00061694" w:rsidRPr="00947998">
        <w:rPr>
          <w:rFonts w:cs="Arial"/>
        </w:rPr>
        <w:t>The amendments will also ensure that care is provided to older Australians in a reasonable timeframe by limiting the number of extensions</w:t>
      </w:r>
      <w:r w:rsidR="000F109F">
        <w:rPr>
          <w:rFonts w:cs="Arial"/>
        </w:rPr>
        <w:t xml:space="preserve"> available</w:t>
      </w:r>
      <w:r w:rsidR="00061694" w:rsidRPr="00947998">
        <w:rPr>
          <w:rFonts w:cs="Arial"/>
        </w:rPr>
        <w:t>.</w:t>
      </w:r>
    </w:p>
    <w:p w:rsidR="00524FD9" w:rsidRDefault="00524FD9" w:rsidP="00524FD9">
      <w:pPr>
        <w:spacing w:before="0" w:after="0" w:line="240" w:lineRule="auto"/>
      </w:pPr>
    </w:p>
    <w:p w:rsidR="00524FD9" w:rsidRDefault="000F109F" w:rsidP="00524FD9">
      <w:pPr>
        <w:autoSpaceDE w:val="0"/>
        <w:autoSpaceDN w:val="0"/>
        <w:adjustRightInd w:val="0"/>
        <w:spacing w:before="0" w:after="0" w:line="240" w:lineRule="auto"/>
      </w:pPr>
      <w:r>
        <w:t>This</w:t>
      </w:r>
      <w:r w:rsidR="00524FD9">
        <w:t xml:space="preserve"> Guide </w:t>
      </w:r>
      <w:r w:rsidR="00524FD9" w:rsidRPr="00DB4F05">
        <w:t>explain</w:t>
      </w:r>
      <w:r w:rsidR="00524FD9">
        <w:t>s</w:t>
      </w:r>
      <w:r w:rsidR="00524FD9" w:rsidRPr="00DB4F05">
        <w:t xml:space="preserve"> the o</w:t>
      </w:r>
      <w:r w:rsidR="00524FD9">
        <w:t xml:space="preserve">perational requirements for places management and </w:t>
      </w:r>
      <w:r w:rsidR="00524FD9" w:rsidRPr="00DB4F05">
        <w:t>includ</w:t>
      </w:r>
      <w:r w:rsidR="00524FD9">
        <w:t>es</w:t>
      </w:r>
      <w:r w:rsidR="00524FD9" w:rsidRPr="00DB4F05">
        <w:t xml:space="preserve"> clarification of </w:t>
      </w:r>
      <w:r>
        <w:t xml:space="preserve">the </w:t>
      </w:r>
      <w:r w:rsidR="00524FD9" w:rsidRPr="00DB4F05">
        <w:t xml:space="preserve">responsibilities of approved providers under </w:t>
      </w:r>
      <w:r w:rsidR="00524FD9" w:rsidRPr="00352607">
        <w:t xml:space="preserve">the </w:t>
      </w:r>
      <w:r w:rsidR="00524FD9" w:rsidRPr="0066725C">
        <w:rPr>
          <w:bCs/>
          <w:iCs/>
        </w:rPr>
        <w:t>Act</w:t>
      </w:r>
      <w:r w:rsidR="00524FD9" w:rsidRPr="00352607">
        <w:rPr>
          <w:bCs/>
          <w:i/>
          <w:iCs/>
        </w:rPr>
        <w:t xml:space="preserve"> </w:t>
      </w:r>
      <w:r w:rsidR="00524FD9" w:rsidRPr="00DB4F05">
        <w:t xml:space="preserve">and the </w:t>
      </w:r>
      <w:r>
        <w:t>various a</w:t>
      </w:r>
      <w:r w:rsidR="00524FD9" w:rsidRPr="00DB4F05">
        <w:rPr>
          <w:bCs/>
          <w:iCs/>
        </w:rPr>
        <w:t xml:space="preserve">ged </w:t>
      </w:r>
      <w:r>
        <w:rPr>
          <w:bCs/>
          <w:iCs/>
        </w:rPr>
        <w:t>c</w:t>
      </w:r>
      <w:r w:rsidR="00524FD9" w:rsidRPr="00DB4F05">
        <w:rPr>
          <w:bCs/>
          <w:iCs/>
        </w:rPr>
        <w:t xml:space="preserve">are </w:t>
      </w:r>
      <w:r>
        <w:rPr>
          <w:bCs/>
          <w:iCs/>
        </w:rPr>
        <w:t>p</w:t>
      </w:r>
      <w:r w:rsidR="00524FD9" w:rsidRPr="00DB4F05">
        <w:rPr>
          <w:bCs/>
          <w:iCs/>
        </w:rPr>
        <w:t xml:space="preserve">rinciples </w:t>
      </w:r>
      <w:r w:rsidR="00524FD9" w:rsidRPr="00DB4F05">
        <w:t>whi</w:t>
      </w:r>
      <w:r w:rsidR="00524FD9">
        <w:t>ch govern the</w:t>
      </w:r>
      <w:r w:rsidR="00061694">
        <w:t xml:space="preserve"> management of places</w:t>
      </w:r>
      <w:r w:rsidR="00524FD9">
        <w:t>.</w:t>
      </w:r>
    </w:p>
    <w:p w:rsidR="00524FD9" w:rsidRPr="00DB4F05" w:rsidRDefault="00524FD9" w:rsidP="00524FD9">
      <w:pPr>
        <w:autoSpaceDE w:val="0"/>
        <w:autoSpaceDN w:val="0"/>
        <w:adjustRightInd w:val="0"/>
        <w:spacing w:before="0" w:after="0" w:line="240" w:lineRule="auto"/>
      </w:pPr>
      <w:r w:rsidRPr="00DB4F05">
        <w:tab/>
      </w:r>
    </w:p>
    <w:p w:rsidR="00524FD9" w:rsidRPr="00DB4F05" w:rsidRDefault="00524FD9" w:rsidP="00524FD9">
      <w:pPr>
        <w:spacing w:before="0" w:after="0" w:line="240" w:lineRule="auto"/>
      </w:pPr>
      <w:r w:rsidRPr="00DB4F05">
        <w:t xml:space="preserve">We trust you will find </w:t>
      </w:r>
      <w:r w:rsidR="00A84373">
        <w:t xml:space="preserve">this </w:t>
      </w:r>
      <w:r w:rsidR="00487BAF">
        <w:t>g</w:t>
      </w:r>
      <w:r>
        <w:t xml:space="preserve">uide </w:t>
      </w:r>
      <w:r w:rsidRPr="00DB4F05">
        <w:t xml:space="preserve">a valuable tool that will assist in </w:t>
      </w:r>
      <w:r w:rsidR="000F109F">
        <w:t xml:space="preserve">you in managing your </w:t>
      </w:r>
      <w:r w:rsidR="00A33E0B">
        <w:t xml:space="preserve">residential </w:t>
      </w:r>
      <w:r w:rsidR="000F109F">
        <w:t>aged care places</w:t>
      </w:r>
      <w:r w:rsidRPr="00DB4F05">
        <w:t>.</w:t>
      </w:r>
      <w:r w:rsidRPr="00DB4F05">
        <w:tab/>
        <w:t xml:space="preserve"> </w:t>
      </w:r>
    </w:p>
    <w:p w:rsidR="00A84373" w:rsidRDefault="00A84373">
      <w:pPr>
        <w:spacing w:before="0" w:after="200" w:line="276" w:lineRule="auto"/>
        <w:rPr>
          <w:rStyle w:val="Heading1Char"/>
          <w:bCs w:val="0"/>
          <w:lang w:bidi="en-US"/>
        </w:rPr>
      </w:pPr>
      <w:bookmarkStart w:id="2" w:name="_Toc395537155"/>
      <w:bookmarkStart w:id="3" w:name="_Toc422732513"/>
      <w:bookmarkStart w:id="4" w:name="_Toc110834631"/>
      <w:r>
        <w:rPr>
          <w:rStyle w:val="Heading1Char"/>
        </w:rPr>
        <w:br w:type="page"/>
      </w:r>
    </w:p>
    <w:p w:rsidR="00524FD9" w:rsidRPr="00267525" w:rsidRDefault="00487BAF" w:rsidP="00524FD9">
      <w:pPr>
        <w:pStyle w:val="TOCHeading"/>
        <w:rPr>
          <w:rStyle w:val="Heading1Char"/>
        </w:rPr>
      </w:pPr>
      <w:bookmarkStart w:id="5" w:name="_Toc451846333"/>
      <w:r w:rsidRPr="00267525">
        <w:rPr>
          <w:rStyle w:val="Heading1Char"/>
        </w:rPr>
        <w:lastRenderedPageBreak/>
        <w:t>Introduction</w:t>
      </w:r>
      <w:bookmarkEnd w:id="2"/>
      <w:bookmarkEnd w:id="3"/>
      <w:bookmarkEnd w:id="5"/>
    </w:p>
    <w:bookmarkEnd w:id="4"/>
    <w:p w:rsidR="00524FD9" w:rsidRPr="00B42C61" w:rsidRDefault="00524FD9" w:rsidP="00524FD9">
      <w:pPr>
        <w:autoSpaceDE w:val="0"/>
        <w:autoSpaceDN w:val="0"/>
        <w:adjustRightInd w:val="0"/>
        <w:spacing w:before="0" w:after="0" w:line="240" w:lineRule="auto"/>
        <w:rPr>
          <w:b/>
          <w:bCs/>
          <w:sz w:val="20"/>
          <w:szCs w:val="20"/>
        </w:rPr>
      </w:pPr>
    </w:p>
    <w:p w:rsidR="00524FD9" w:rsidRPr="00267525" w:rsidRDefault="00487BAF" w:rsidP="00267525">
      <w:pPr>
        <w:autoSpaceDE w:val="0"/>
        <w:autoSpaceDN w:val="0"/>
        <w:adjustRightInd w:val="0"/>
        <w:spacing w:before="0" w:after="0" w:line="240" w:lineRule="auto"/>
        <w:rPr>
          <w:szCs w:val="22"/>
        </w:rPr>
      </w:pPr>
      <w:bookmarkStart w:id="6" w:name="_Toc245536153"/>
      <w:r w:rsidRPr="00AC563A">
        <w:rPr>
          <w:szCs w:val="22"/>
        </w:rPr>
        <w:t xml:space="preserve">This guide is intended to provide general information about </w:t>
      </w:r>
      <w:r w:rsidR="00A84373">
        <w:rPr>
          <w:szCs w:val="22"/>
        </w:rPr>
        <w:t>a</w:t>
      </w:r>
      <w:r w:rsidRPr="00AC563A">
        <w:rPr>
          <w:szCs w:val="22"/>
        </w:rPr>
        <w:t xml:space="preserve">ged </w:t>
      </w:r>
      <w:r w:rsidR="00A84373">
        <w:rPr>
          <w:szCs w:val="22"/>
        </w:rPr>
        <w:t>c</w:t>
      </w:r>
      <w:r w:rsidRPr="00AC563A">
        <w:rPr>
          <w:szCs w:val="22"/>
        </w:rPr>
        <w:t xml:space="preserve">are </w:t>
      </w:r>
      <w:r w:rsidR="00A84373">
        <w:rPr>
          <w:szCs w:val="22"/>
        </w:rPr>
        <w:t>p</w:t>
      </w:r>
      <w:r w:rsidRPr="00AC563A">
        <w:rPr>
          <w:szCs w:val="22"/>
        </w:rPr>
        <w:t xml:space="preserve">laces </w:t>
      </w:r>
      <w:r w:rsidR="00A84373">
        <w:rPr>
          <w:szCs w:val="22"/>
        </w:rPr>
        <w:t>m</w:t>
      </w:r>
      <w:r w:rsidRPr="00AC563A">
        <w:rPr>
          <w:szCs w:val="22"/>
        </w:rPr>
        <w:t>anagement</w:t>
      </w:r>
      <w:r w:rsidR="00A84373">
        <w:rPr>
          <w:szCs w:val="22"/>
        </w:rPr>
        <w:t>.</w:t>
      </w:r>
      <w:r w:rsidRPr="00AC563A">
        <w:rPr>
          <w:szCs w:val="22"/>
        </w:rPr>
        <w:t xml:space="preserve"> The guide should be read in conjunction with the </w:t>
      </w:r>
      <w:r w:rsidRPr="00A84373">
        <w:rPr>
          <w:i/>
          <w:szCs w:val="22"/>
        </w:rPr>
        <w:t>Aged Care Act 1997</w:t>
      </w:r>
      <w:r w:rsidR="000F109F">
        <w:rPr>
          <w:i/>
          <w:szCs w:val="22"/>
        </w:rPr>
        <w:t xml:space="preserve"> </w:t>
      </w:r>
      <w:r w:rsidR="00504284" w:rsidRPr="00267525">
        <w:rPr>
          <w:szCs w:val="22"/>
        </w:rPr>
        <w:t>and the</w:t>
      </w:r>
      <w:r w:rsidR="00640B2C">
        <w:rPr>
          <w:bCs/>
          <w:iCs/>
          <w:szCs w:val="22"/>
        </w:rPr>
        <w:t xml:space="preserve"> various Aged Care Principles</w:t>
      </w:r>
      <w:r w:rsidR="00061694">
        <w:rPr>
          <w:bCs/>
          <w:iCs/>
          <w:szCs w:val="22"/>
        </w:rPr>
        <w:t>.</w:t>
      </w:r>
      <w:r w:rsidR="00A84373">
        <w:rPr>
          <w:bCs/>
          <w:i/>
          <w:iCs/>
          <w:szCs w:val="22"/>
        </w:rPr>
        <w:t xml:space="preserve"> </w:t>
      </w:r>
      <w:r w:rsidR="00A84373" w:rsidRPr="00267525">
        <w:rPr>
          <w:bCs/>
          <w:iCs/>
          <w:szCs w:val="22"/>
        </w:rPr>
        <w:t>A</w:t>
      </w:r>
      <w:r w:rsidR="00A84373" w:rsidRPr="00F339CB">
        <w:rPr>
          <w:bCs/>
          <w:szCs w:val="22"/>
        </w:rPr>
        <w:t>ssistance should be sought from the Department of Health</w:t>
      </w:r>
      <w:r w:rsidR="00A84373">
        <w:rPr>
          <w:bCs/>
          <w:szCs w:val="22"/>
        </w:rPr>
        <w:t xml:space="preserve"> should you have </w:t>
      </w:r>
      <w:r w:rsidRPr="00267525">
        <w:rPr>
          <w:bCs/>
          <w:szCs w:val="22"/>
        </w:rPr>
        <w:t xml:space="preserve">any </w:t>
      </w:r>
      <w:r w:rsidR="00A84373">
        <w:rPr>
          <w:bCs/>
          <w:szCs w:val="22"/>
        </w:rPr>
        <w:t>questions or would like further information</w:t>
      </w:r>
      <w:bookmarkStart w:id="7" w:name="_Toc245536154"/>
      <w:bookmarkEnd w:id="6"/>
      <w:r w:rsidR="00A84373">
        <w:rPr>
          <w:bCs/>
          <w:szCs w:val="22"/>
        </w:rPr>
        <w:t>.</w:t>
      </w:r>
    </w:p>
    <w:p w:rsidR="00524FD9" w:rsidRPr="00322698" w:rsidRDefault="00524FD9" w:rsidP="00524FD9">
      <w:pPr>
        <w:spacing w:before="0" w:after="0" w:line="240" w:lineRule="auto"/>
        <w:rPr>
          <w:sz w:val="20"/>
          <w:szCs w:val="20"/>
        </w:rPr>
      </w:pPr>
    </w:p>
    <w:p w:rsidR="00524FD9" w:rsidRPr="0066725C" w:rsidRDefault="00524FD9" w:rsidP="00267525">
      <w:pPr>
        <w:pStyle w:val="Heading2"/>
        <w:numPr>
          <w:ilvl w:val="0"/>
          <w:numId w:val="0"/>
        </w:numPr>
        <w:ind w:left="360" w:hanging="360"/>
        <w:rPr>
          <w:sz w:val="28"/>
        </w:rPr>
      </w:pPr>
      <w:bookmarkStart w:id="8" w:name="_Toc435774722"/>
      <w:bookmarkStart w:id="9" w:name="_Toc451846334"/>
      <w:r w:rsidRPr="0066725C">
        <w:rPr>
          <w:sz w:val="28"/>
        </w:rPr>
        <w:t>How the guidelines will be updated</w:t>
      </w:r>
      <w:bookmarkEnd w:id="7"/>
      <w:bookmarkEnd w:id="8"/>
      <w:bookmarkEnd w:id="9"/>
    </w:p>
    <w:p w:rsidR="00524FD9" w:rsidRPr="00267525" w:rsidRDefault="00524FD9" w:rsidP="00524FD9">
      <w:pPr>
        <w:spacing w:before="0" w:after="0" w:line="240" w:lineRule="auto"/>
        <w:rPr>
          <w:rFonts w:cs="Arial"/>
          <w:szCs w:val="22"/>
        </w:rPr>
      </w:pPr>
      <w:r w:rsidRPr="00267525">
        <w:rPr>
          <w:rFonts w:cs="Arial"/>
          <w:szCs w:val="22"/>
        </w:rPr>
        <w:t>The Department of Health</w:t>
      </w:r>
      <w:r w:rsidR="00487BAF" w:rsidRPr="00267525">
        <w:rPr>
          <w:rFonts w:cs="Arial"/>
          <w:szCs w:val="22"/>
        </w:rPr>
        <w:t xml:space="preserve"> will update the guide</w:t>
      </w:r>
      <w:r w:rsidRPr="00267525">
        <w:rPr>
          <w:rFonts w:cs="Arial"/>
          <w:szCs w:val="22"/>
        </w:rPr>
        <w:t xml:space="preserve"> as required to ensure</w:t>
      </w:r>
      <w:r w:rsidR="00640B2C">
        <w:rPr>
          <w:rFonts w:cs="Arial"/>
          <w:szCs w:val="22"/>
        </w:rPr>
        <w:t xml:space="preserve"> its</w:t>
      </w:r>
      <w:r w:rsidR="00061694">
        <w:rPr>
          <w:rFonts w:cs="Arial"/>
          <w:szCs w:val="22"/>
        </w:rPr>
        <w:t xml:space="preserve"> information is accurate</w:t>
      </w:r>
      <w:r w:rsidRPr="00267525">
        <w:rPr>
          <w:rFonts w:cs="Arial"/>
          <w:szCs w:val="22"/>
        </w:rPr>
        <w:t>.</w:t>
      </w:r>
    </w:p>
    <w:p w:rsidR="00524FD9" w:rsidRPr="00267525" w:rsidRDefault="00524FD9" w:rsidP="00524FD9">
      <w:pPr>
        <w:spacing w:before="0" w:after="0" w:line="240" w:lineRule="auto"/>
        <w:rPr>
          <w:rFonts w:cs="Arial"/>
          <w:szCs w:val="22"/>
        </w:rPr>
      </w:pPr>
    </w:p>
    <w:p w:rsidR="00487BAF" w:rsidRDefault="00524FD9" w:rsidP="00267525">
      <w:pPr>
        <w:spacing w:before="0" w:after="0" w:line="240" w:lineRule="auto"/>
      </w:pPr>
      <w:r w:rsidRPr="00267525">
        <w:rPr>
          <w:rFonts w:cs="Arial"/>
          <w:szCs w:val="22"/>
        </w:rPr>
        <w:t>Please refer to the</w:t>
      </w:r>
      <w:r w:rsidR="00487BAF" w:rsidRPr="00267525">
        <w:rPr>
          <w:rFonts w:cs="Arial"/>
          <w:szCs w:val="22"/>
        </w:rPr>
        <w:t xml:space="preserve"> online version of the guide</w:t>
      </w:r>
      <w:r w:rsidRPr="00267525">
        <w:rPr>
          <w:rFonts w:cs="Arial"/>
          <w:szCs w:val="22"/>
        </w:rPr>
        <w:t xml:space="preserve"> located on the Department</w:t>
      </w:r>
      <w:r w:rsidR="00D25033">
        <w:rPr>
          <w:rFonts w:cs="Arial"/>
          <w:szCs w:val="22"/>
        </w:rPr>
        <w:t>’s</w:t>
      </w:r>
      <w:r w:rsidRPr="00267525">
        <w:rPr>
          <w:rFonts w:cs="Arial"/>
          <w:szCs w:val="22"/>
        </w:rPr>
        <w:t xml:space="preserve"> website to ensure that you have the most recent version.</w:t>
      </w:r>
      <w:r w:rsidR="00651867">
        <w:rPr>
          <w:rFonts w:cs="Arial"/>
          <w:szCs w:val="22"/>
        </w:rPr>
        <w:br/>
      </w:r>
      <w:r w:rsidRPr="00267525">
        <w:rPr>
          <w:rFonts w:cs="Arial"/>
          <w:szCs w:val="22"/>
        </w:rPr>
        <w:t xml:space="preserve"> </w:t>
      </w:r>
      <w:bookmarkStart w:id="10" w:name="_Toc245536156"/>
      <w:bookmarkStart w:id="11" w:name="_Toc435774723"/>
      <w:bookmarkStart w:id="12" w:name="_Toc110834633"/>
    </w:p>
    <w:p w:rsidR="003E4A8B" w:rsidRDefault="0074597C" w:rsidP="0074597C">
      <w:pPr>
        <w:pStyle w:val="Heading2"/>
        <w:numPr>
          <w:ilvl w:val="0"/>
          <w:numId w:val="0"/>
        </w:numPr>
        <w:ind w:left="360" w:hanging="360"/>
        <w:rPr>
          <w:sz w:val="28"/>
        </w:rPr>
      </w:pPr>
      <w:bookmarkStart w:id="13" w:name="_Toc451846335"/>
      <w:bookmarkEnd w:id="10"/>
      <w:bookmarkEnd w:id="11"/>
      <w:bookmarkEnd w:id="12"/>
      <w:r w:rsidRPr="0066725C">
        <w:rPr>
          <w:sz w:val="28"/>
        </w:rPr>
        <w:t>Further Information</w:t>
      </w:r>
      <w:bookmarkEnd w:id="13"/>
    </w:p>
    <w:p w:rsidR="0074597C" w:rsidRPr="0066725C" w:rsidRDefault="0074597C" w:rsidP="003E4A8B">
      <w:r w:rsidRPr="0066725C">
        <w:t xml:space="preserve"> </w:t>
      </w:r>
      <w:r w:rsidR="003E4A8B">
        <w:t>For further information, click on the relevant link below:</w:t>
      </w:r>
    </w:p>
    <w:p w:rsidR="003C0C7C" w:rsidRDefault="00D14E9C" w:rsidP="003C0C7C">
      <w:pPr>
        <w:spacing w:before="0" w:after="0" w:line="276" w:lineRule="auto"/>
        <w:rPr>
          <w:color w:val="FF0000"/>
        </w:rPr>
      </w:pPr>
      <w:hyperlink r:id="rId12" w:history="1">
        <w:r w:rsidR="003C0C7C" w:rsidRPr="001D1195">
          <w:rPr>
            <w:rStyle w:val="Hyperlink"/>
            <w:i/>
          </w:rPr>
          <w:t>Aged Care Act 1997</w:t>
        </w:r>
      </w:hyperlink>
    </w:p>
    <w:p w:rsidR="003C0C7C" w:rsidRDefault="00D14E9C" w:rsidP="003C0C7C">
      <w:pPr>
        <w:spacing w:before="0" w:after="0" w:line="240" w:lineRule="auto"/>
        <w:rPr>
          <w:rStyle w:val="Hyperlink"/>
          <w:rFonts w:cs="Arial"/>
          <w:szCs w:val="22"/>
        </w:rPr>
      </w:pPr>
      <w:hyperlink r:id="rId13" w:history="1">
        <w:r w:rsidR="003E4A8B" w:rsidRPr="008C2390">
          <w:rPr>
            <w:rStyle w:val="Hyperlink"/>
            <w:rFonts w:cs="Arial"/>
            <w:bCs/>
            <w:i/>
            <w:szCs w:val="22"/>
          </w:rPr>
          <w:t>Administrative Appeals Tribunal Act</w:t>
        </w:r>
        <w:r w:rsidR="003E4A8B" w:rsidRPr="008C2390">
          <w:rPr>
            <w:rStyle w:val="Hyperlink"/>
            <w:rFonts w:cs="Arial"/>
            <w:bCs/>
            <w:szCs w:val="22"/>
          </w:rPr>
          <w:t xml:space="preserve"> 1975</w:t>
        </w:r>
      </w:hyperlink>
    </w:p>
    <w:p w:rsidR="003C0C7C" w:rsidRDefault="00D14E9C" w:rsidP="003C0C7C">
      <w:pPr>
        <w:spacing w:before="0" w:after="0" w:line="240" w:lineRule="auto"/>
        <w:rPr>
          <w:rStyle w:val="Hyperlink"/>
          <w:rFonts w:cs="Arial"/>
          <w:szCs w:val="22"/>
        </w:rPr>
      </w:pPr>
      <w:hyperlink r:id="rId14" w:history="1">
        <w:r w:rsidR="003C0C7C" w:rsidRPr="001D1195">
          <w:rPr>
            <w:rStyle w:val="Hyperlink"/>
            <w:bCs/>
            <w:i/>
          </w:rPr>
          <w:t>Accountability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15" w:history="1">
        <w:r w:rsidR="003C0C7C" w:rsidRPr="001D1195">
          <w:rPr>
            <w:rStyle w:val="Hyperlink"/>
            <w:bCs/>
            <w:i/>
          </w:rPr>
          <w:t>Allocation Principles</w:t>
        </w:r>
        <w:r w:rsidR="003C0C7C" w:rsidRPr="001D1195">
          <w:rPr>
            <w:rStyle w:val="Hyperlink"/>
            <w:bCs/>
          </w:rPr>
          <w:t xml:space="preserve"> 2014</w:t>
        </w:r>
      </w:hyperlink>
    </w:p>
    <w:p w:rsidR="003C0C7C" w:rsidRPr="00D25033" w:rsidRDefault="00D14E9C" w:rsidP="003C0C7C">
      <w:pPr>
        <w:spacing w:before="0" w:after="0" w:line="240" w:lineRule="auto"/>
        <w:rPr>
          <w:rStyle w:val="Hyperlink"/>
          <w:rFonts w:cs="Arial"/>
          <w:i/>
          <w:szCs w:val="22"/>
        </w:rPr>
      </w:pPr>
      <w:hyperlink r:id="rId16" w:history="1">
        <w:r w:rsidR="00D25033" w:rsidRPr="00D25033">
          <w:rPr>
            <w:rStyle w:val="Hyperlink"/>
            <w:bCs/>
            <w:i/>
          </w:rPr>
          <w:t>Approval of Care Recipients Principles 2014</w:t>
        </w:r>
      </w:hyperlink>
    </w:p>
    <w:p w:rsidR="003C0C7C" w:rsidRDefault="00D14E9C" w:rsidP="003C0C7C">
      <w:pPr>
        <w:spacing w:before="0" w:after="0" w:line="240" w:lineRule="auto"/>
        <w:rPr>
          <w:rStyle w:val="Hyperlink"/>
          <w:rFonts w:cs="Arial"/>
          <w:szCs w:val="22"/>
        </w:rPr>
      </w:pPr>
      <w:hyperlink r:id="rId17" w:history="1">
        <w:r w:rsidR="003C0C7C" w:rsidRPr="001D1195">
          <w:rPr>
            <w:rStyle w:val="Hyperlink"/>
            <w:bCs/>
            <w:i/>
          </w:rPr>
          <w:t>Approved Provider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18" w:history="1">
        <w:r w:rsidR="003C0C7C" w:rsidRPr="001D1195">
          <w:rPr>
            <w:rStyle w:val="Hyperlink"/>
            <w:bCs/>
            <w:i/>
          </w:rPr>
          <w:t>Certification Principles</w:t>
        </w:r>
        <w:r w:rsidR="003C0C7C" w:rsidRPr="001D1195">
          <w:rPr>
            <w:rStyle w:val="Hyperlink"/>
            <w:bCs/>
          </w:rPr>
          <w:t xml:space="preserve"> 1997</w:t>
        </w:r>
      </w:hyperlink>
    </w:p>
    <w:p w:rsidR="003C0C7C" w:rsidRDefault="00D14E9C" w:rsidP="003C0C7C">
      <w:pPr>
        <w:spacing w:before="0" w:after="0" w:line="240" w:lineRule="auto"/>
        <w:rPr>
          <w:rStyle w:val="Hyperlink"/>
          <w:rFonts w:cs="Arial"/>
          <w:szCs w:val="22"/>
        </w:rPr>
      </w:pPr>
      <w:hyperlink r:id="rId19" w:history="1">
        <w:r w:rsidR="003C0C7C" w:rsidRPr="001D1195">
          <w:rPr>
            <w:rStyle w:val="Hyperlink"/>
            <w:bCs/>
            <w:i/>
          </w:rPr>
          <w:t>Classification Principles</w:t>
        </w:r>
        <w:r w:rsidR="003C0C7C" w:rsidRPr="001D1195">
          <w:rPr>
            <w:rStyle w:val="Hyperlink"/>
            <w:bCs/>
          </w:rPr>
          <w:t xml:space="preserve"> 2014</w:t>
        </w:r>
      </w:hyperlink>
      <w:r w:rsidR="003C0C7C" w:rsidRPr="00643E9C">
        <w:rPr>
          <w:bCs/>
          <w:color w:val="000000" w:themeColor="text1"/>
        </w:rPr>
        <w:tab/>
      </w:r>
    </w:p>
    <w:p w:rsidR="003C0C7C" w:rsidRDefault="00D14E9C" w:rsidP="003C0C7C">
      <w:pPr>
        <w:spacing w:before="0" w:after="0" w:line="240" w:lineRule="auto"/>
        <w:rPr>
          <w:rStyle w:val="Hyperlink"/>
          <w:rFonts w:cs="Arial"/>
          <w:szCs w:val="22"/>
        </w:rPr>
      </w:pPr>
      <w:hyperlink r:id="rId20" w:history="1">
        <w:r w:rsidR="003C0C7C" w:rsidRPr="001D1195">
          <w:rPr>
            <w:rStyle w:val="Hyperlink"/>
            <w:bCs/>
            <w:i/>
          </w:rPr>
          <w:t>Committee Principles</w:t>
        </w:r>
        <w:r w:rsidR="003C0C7C" w:rsidRPr="001D1195">
          <w:rPr>
            <w:rStyle w:val="Hyperlink"/>
            <w:bCs/>
          </w:rPr>
          <w:t xml:space="preserve"> 2014</w:t>
        </w:r>
      </w:hyperlink>
    </w:p>
    <w:p w:rsidR="003C0C7C" w:rsidRPr="00643E9C" w:rsidRDefault="00D14E9C" w:rsidP="003C0C7C">
      <w:pPr>
        <w:spacing w:before="0" w:after="0" w:line="240" w:lineRule="auto"/>
        <w:rPr>
          <w:bCs/>
          <w:color w:val="000000" w:themeColor="text1"/>
        </w:rPr>
      </w:pPr>
      <w:hyperlink r:id="rId21" w:history="1">
        <w:r w:rsidR="003C0C7C" w:rsidRPr="001D1195">
          <w:rPr>
            <w:rStyle w:val="Hyperlink"/>
            <w:bCs/>
            <w:i/>
          </w:rPr>
          <w:t>Complaints Principles</w:t>
        </w:r>
        <w:r w:rsidR="003C0C7C" w:rsidRPr="001D1195">
          <w:rPr>
            <w:rStyle w:val="Hyperlink"/>
            <w:bCs/>
          </w:rPr>
          <w:t xml:space="preserve"> 2015</w:t>
        </w:r>
      </w:hyperlink>
    </w:p>
    <w:p w:rsidR="003C0C7C" w:rsidRDefault="00D14E9C" w:rsidP="003C0C7C">
      <w:pPr>
        <w:spacing w:before="0" w:after="0" w:line="240" w:lineRule="auto"/>
        <w:rPr>
          <w:rStyle w:val="Hyperlink"/>
          <w:rFonts w:cs="Arial"/>
          <w:szCs w:val="22"/>
        </w:rPr>
      </w:pPr>
      <w:hyperlink r:id="rId22" w:history="1">
        <w:r w:rsidR="003C0C7C" w:rsidRPr="001D1195">
          <w:rPr>
            <w:rStyle w:val="Hyperlink"/>
            <w:bCs/>
            <w:i/>
          </w:rPr>
          <w:t>Extra Service Principles</w:t>
        </w:r>
        <w:r w:rsidR="003C0C7C" w:rsidRPr="001D1195">
          <w:rPr>
            <w:rStyle w:val="Hyperlink"/>
            <w:bCs/>
          </w:rPr>
          <w:t xml:space="preserve"> 2014</w:t>
        </w:r>
      </w:hyperlink>
      <w:r w:rsidR="003C0C7C" w:rsidRPr="00643E9C">
        <w:rPr>
          <w:bCs/>
          <w:color w:val="000000" w:themeColor="text1"/>
        </w:rPr>
        <w:tab/>
      </w:r>
    </w:p>
    <w:p w:rsidR="003C0C7C" w:rsidRPr="00D25033" w:rsidRDefault="00D14E9C" w:rsidP="003C0C7C">
      <w:pPr>
        <w:spacing w:before="0" w:after="0" w:line="240" w:lineRule="auto"/>
        <w:rPr>
          <w:rStyle w:val="Hyperlink"/>
          <w:rFonts w:cs="Arial"/>
          <w:i/>
          <w:szCs w:val="22"/>
        </w:rPr>
      </w:pPr>
      <w:hyperlink r:id="rId23" w:history="1">
        <w:r w:rsidR="00D25033" w:rsidRPr="00D25033">
          <w:rPr>
            <w:rStyle w:val="Hyperlink"/>
            <w:bCs/>
            <w:i/>
          </w:rPr>
          <w:t>Fees and Payments Principles 2014 (No.2)</w:t>
        </w:r>
      </w:hyperlink>
    </w:p>
    <w:p w:rsidR="003C0C7C" w:rsidRDefault="00D14E9C" w:rsidP="003C0C7C">
      <w:pPr>
        <w:spacing w:before="0" w:after="0" w:line="240" w:lineRule="auto"/>
        <w:rPr>
          <w:rStyle w:val="Hyperlink"/>
          <w:rFonts w:cs="Arial"/>
          <w:szCs w:val="22"/>
        </w:rPr>
      </w:pPr>
      <w:hyperlink r:id="rId24" w:history="1">
        <w:r w:rsidR="003C0C7C" w:rsidRPr="001D1195">
          <w:rPr>
            <w:rStyle w:val="Hyperlink"/>
            <w:bCs/>
            <w:i/>
          </w:rPr>
          <w:t>Grant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25" w:history="1">
        <w:r w:rsidR="003C0C7C" w:rsidRPr="001D1195">
          <w:rPr>
            <w:rStyle w:val="Hyperlink"/>
            <w:bCs/>
            <w:i/>
          </w:rPr>
          <w:t>Information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26" w:history="1">
        <w:r w:rsidR="003C0C7C" w:rsidRPr="001D1195">
          <w:rPr>
            <w:rStyle w:val="Hyperlink"/>
            <w:bCs/>
            <w:i/>
          </w:rPr>
          <w:t>Quality of Care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27" w:history="1">
        <w:r w:rsidR="003C0C7C" w:rsidRPr="001D1195">
          <w:rPr>
            <w:rStyle w:val="Hyperlink"/>
            <w:bCs/>
            <w:i/>
          </w:rPr>
          <w:t>Records Principles</w:t>
        </w:r>
        <w:r w:rsidR="003C0C7C" w:rsidRPr="001D1195">
          <w:rPr>
            <w:rStyle w:val="Hyperlink"/>
            <w:bCs/>
          </w:rPr>
          <w:t xml:space="preserve"> 2014</w:t>
        </w:r>
      </w:hyperlink>
    </w:p>
    <w:p w:rsidR="003C0C7C" w:rsidRDefault="00D14E9C" w:rsidP="003C0C7C">
      <w:pPr>
        <w:spacing w:before="0" w:after="0" w:line="240" w:lineRule="auto"/>
        <w:rPr>
          <w:rStyle w:val="Hyperlink"/>
          <w:rFonts w:cs="Arial"/>
          <w:szCs w:val="22"/>
        </w:rPr>
      </w:pPr>
      <w:hyperlink r:id="rId28" w:history="1">
        <w:r w:rsidR="003C0C7C" w:rsidRPr="003E4A8B">
          <w:rPr>
            <w:rStyle w:val="Hyperlink"/>
            <w:bCs/>
            <w:i/>
          </w:rPr>
          <w:t>Sanctions Principles</w:t>
        </w:r>
        <w:r w:rsidR="003C0C7C" w:rsidRPr="003E4A8B">
          <w:rPr>
            <w:rStyle w:val="Hyperlink"/>
            <w:bCs/>
          </w:rPr>
          <w:t xml:space="preserve"> 2014</w:t>
        </w:r>
      </w:hyperlink>
    </w:p>
    <w:p w:rsidR="003C0C7C" w:rsidRDefault="00D14E9C" w:rsidP="003C0C7C">
      <w:pPr>
        <w:spacing w:before="0" w:after="0" w:line="240" w:lineRule="auto"/>
        <w:rPr>
          <w:rStyle w:val="Hyperlink"/>
          <w:rFonts w:cs="Arial"/>
          <w:szCs w:val="22"/>
        </w:rPr>
      </w:pPr>
      <w:hyperlink r:id="rId29" w:history="1">
        <w:r w:rsidR="003C0C7C" w:rsidRPr="003E4A8B">
          <w:rPr>
            <w:rStyle w:val="Hyperlink"/>
            <w:bCs/>
            <w:i/>
          </w:rPr>
          <w:t>Subsidy Principles</w:t>
        </w:r>
        <w:r w:rsidR="003C0C7C" w:rsidRPr="003E4A8B">
          <w:rPr>
            <w:rStyle w:val="Hyperlink"/>
            <w:bCs/>
          </w:rPr>
          <w:t xml:space="preserve"> 2014</w:t>
        </w:r>
      </w:hyperlink>
    </w:p>
    <w:p w:rsidR="003C0C7C" w:rsidRDefault="00D14E9C" w:rsidP="003C0C7C">
      <w:pPr>
        <w:spacing w:before="0" w:after="0" w:line="240" w:lineRule="auto"/>
        <w:rPr>
          <w:rStyle w:val="Hyperlink"/>
          <w:rFonts w:cs="Arial"/>
          <w:szCs w:val="22"/>
        </w:rPr>
      </w:pPr>
      <w:hyperlink r:id="rId30" w:history="1">
        <w:r w:rsidR="003C0C7C" w:rsidRPr="003E4A8B">
          <w:rPr>
            <w:rStyle w:val="Hyperlink"/>
            <w:bCs/>
            <w:i/>
          </w:rPr>
          <w:t>User Rights Principles</w:t>
        </w:r>
        <w:r w:rsidR="003C0C7C" w:rsidRPr="003E4A8B">
          <w:rPr>
            <w:rStyle w:val="Hyperlink"/>
            <w:bCs/>
          </w:rPr>
          <w:t xml:space="preserve"> 2014</w:t>
        </w:r>
      </w:hyperlink>
    </w:p>
    <w:p w:rsidR="0074597C" w:rsidRPr="001D1195" w:rsidRDefault="00D14E9C" w:rsidP="0074597C">
      <w:pPr>
        <w:spacing w:before="0" w:after="0" w:line="276" w:lineRule="auto"/>
        <w:rPr>
          <w:color w:val="FF0000"/>
        </w:rPr>
      </w:pPr>
      <w:hyperlink r:id="rId31" w:history="1">
        <w:r w:rsidR="00EF5B65" w:rsidRPr="003E4A8B">
          <w:rPr>
            <w:rStyle w:val="Hyperlink"/>
          </w:rPr>
          <w:t>Guide to Aged Care Law</w:t>
        </w:r>
      </w:hyperlink>
    </w:p>
    <w:p w:rsidR="0074597C" w:rsidRDefault="0074597C" w:rsidP="00267525">
      <w:pPr>
        <w:spacing w:before="0" w:after="0" w:line="276" w:lineRule="auto"/>
      </w:pPr>
      <w:r>
        <w:br w:type="page"/>
      </w:r>
    </w:p>
    <w:p w:rsidR="008A2ADB" w:rsidRPr="00EB0D95" w:rsidRDefault="008A2ADB" w:rsidP="00267525"/>
    <w:p w:rsidR="00C35253" w:rsidRPr="00966422" w:rsidRDefault="00966422" w:rsidP="005C3EF6">
      <w:pPr>
        <w:pStyle w:val="Heading1"/>
      </w:pPr>
      <w:bookmarkStart w:id="14" w:name="_Toc451846336"/>
      <w:r w:rsidRPr="00966422">
        <w:t xml:space="preserve">Chapter 1 - </w:t>
      </w:r>
      <w:bookmarkStart w:id="15" w:name="_Toc425934674"/>
      <w:r w:rsidR="00927D56" w:rsidRPr="00966422">
        <w:t>P</w:t>
      </w:r>
      <w:r w:rsidR="00C35253" w:rsidRPr="00966422">
        <w:t>rovisionally Allocated Places</w:t>
      </w:r>
      <w:bookmarkEnd w:id="15"/>
      <w:bookmarkEnd w:id="14"/>
    </w:p>
    <w:p w:rsidR="00C35253" w:rsidRPr="00E57C98" w:rsidRDefault="00CF585B" w:rsidP="0030706D">
      <w:pPr>
        <w:pStyle w:val="Heading2"/>
        <w:numPr>
          <w:ilvl w:val="0"/>
          <w:numId w:val="0"/>
        </w:numPr>
        <w:tabs>
          <w:tab w:val="left" w:pos="2410"/>
        </w:tabs>
      </w:pPr>
      <w:bookmarkStart w:id="16" w:name="_Toc425934675"/>
      <w:bookmarkStart w:id="17" w:name="_Toc451846337"/>
      <w:r w:rsidRPr="0066725C">
        <w:rPr>
          <w:sz w:val="28"/>
        </w:rPr>
        <w:t>Introduction</w:t>
      </w:r>
      <w:bookmarkEnd w:id="16"/>
      <w:bookmarkEnd w:id="17"/>
    </w:p>
    <w:p w:rsidR="00E438B8" w:rsidRDefault="009B220B" w:rsidP="00E438B8">
      <w:r w:rsidRPr="00947998">
        <w:rPr>
          <w:rFonts w:cs="Arial"/>
        </w:rPr>
        <w:t>Approved providers who receive a provisional allocation of residential aged care places are given an initial provisional allocation period of four years with</w:t>
      </w:r>
      <w:r w:rsidR="00A33E0B">
        <w:rPr>
          <w:rFonts w:cs="Arial"/>
        </w:rPr>
        <w:t xml:space="preserve"> potentially</w:t>
      </w:r>
      <w:r w:rsidRPr="00947998">
        <w:rPr>
          <w:rFonts w:cs="Arial"/>
        </w:rPr>
        <w:t xml:space="preserve"> two </w:t>
      </w:r>
      <w:r w:rsidR="00A33E0B">
        <w:rPr>
          <w:rFonts w:cs="Arial"/>
        </w:rPr>
        <w:t>12</w:t>
      </w:r>
      <w:r w:rsidR="00A33E0B" w:rsidRPr="00947998">
        <w:rPr>
          <w:rFonts w:cs="Arial"/>
        </w:rPr>
        <w:t xml:space="preserve"> </w:t>
      </w:r>
      <w:r w:rsidRPr="00947998">
        <w:rPr>
          <w:rFonts w:cs="Arial"/>
        </w:rPr>
        <w:t>month extensions available on application</w:t>
      </w:r>
      <w:r>
        <w:rPr>
          <w:rFonts w:cs="Arial"/>
        </w:rPr>
        <w:t xml:space="preserve">. </w:t>
      </w:r>
      <w:r w:rsidR="00E438B8">
        <w:t xml:space="preserve">Extensions beyond </w:t>
      </w:r>
      <w:r w:rsidR="00B66256">
        <w:t xml:space="preserve">six </w:t>
      </w:r>
      <w:r w:rsidR="00E438B8">
        <w:t xml:space="preserve">years are only available where the approved provider can demonstrate </w:t>
      </w:r>
      <w:r w:rsidR="00737816">
        <w:t xml:space="preserve">it is </w:t>
      </w:r>
      <w:r w:rsidR="00E438B8">
        <w:t>warranted due to exceptional circumstances</w:t>
      </w:r>
      <w:r w:rsidR="00F9077C">
        <w:t>.</w:t>
      </w:r>
    </w:p>
    <w:p w:rsidR="00D63EBE" w:rsidRDefault="00D63EBE" w:rsidP="00E438B8">
      <w:r>
        <w:rPr>
          <w:noProof/>
        </w:rPr>
        <w:drawing>
          <wp:inline distT="0" distB="0" distL="0" distR="0" wp14:anchorId="01AE2FBC" wp14:editId="045455F7">
            <wp:extent cx="5991191" cy="651934"/>
            <wp:effectExtent l="0" t="0" r="0" b="0"/>
            <wp:docPr id="3" name="Picture 3" descr="This table illustrates the standard timeline for a provisional allocation of places. Years one to four come under the heading &quot;provisional allocation period&quot;. Years five and six come under the heading &quot;potential period of extension&quot;. The end of the table is open ended and described as the &quot;period of exceptional circumstances&quot;. " title="The Provisional Allocation Perio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99623" cy="652851"/>
                    </a:xfrm>
                    <a:prstGeom prst="rect">
                      <a:avLst/>
                    </a:prstGeom>
                  </pic:spPr>
                </pic:pic>
              </a:graphicData>
            </a:graphic>
          </wp:inline>
        </w:drawing>
      </w:r>
    </w:p>
    <w:p w:rsidR="00C35253" w:rsidRPr="00583B39" w:rsidRDefault="00D74BC2" w:rsidP="0030706D">
      <w:pPr>
        <w:pStyle w:val="Heading2"/>
        <w:numPr>
          <w:ilvl w:val="0"/>
          <w:numId w:val="0"/>
        </w:numPr>
        <w:rPr>
          <w:u w:val="single"/>
        </w:rPr>
      </w:pPr>
      <w:bookmarkStart w:id="18" w:name="_Toc425934677"/>
      <w:bookmarkStart w:id="19" w:name="_Toc451846338"/>
      <w:r w:rsidRPr="0066725C">
        <w:rPr>
          <w:sz w:val="28"/>
        </w:rPr>
        <w:t>Progress Reports</w:t>
      </w:r>
      <w:bookmarkEnd w:id="18"/>
      <w:bookmarkEnd w:id="19"/>
    </w:p>
    <w:p w:rsidR="00AA7991" w:rsidRPr="0066725C" w:rsidRDefault="00162F01" w:rsidP="009B220B">
      <w:r>
        <w:rPr>
          <w:rFonts w:cs="Arial"/>
        </w:rPr>
        <w:t>It is a condition of allocation that a</w:t>
      </w:r>
      <w:r w:rsidR="002607F7">
        <w:rPr>
          <w:rFonts w:cs="Arial"/>
        </w:rPr>
        <w:t>pproved</w:t>
      </w:r>
      <w:r w:rsidR="009B220B" w:rsidRPr="00947998">
        <w:rPr>
          <w:rFonts w:cs="Arial"/>
        </w:rPr>
        <w:t xml:space="preserve"> provider</w:t>
      </w:r>
      <w:r w:rsidR="002607F7">
        <w:rPr>
          <w:rFonts w:cs="Arial"/>
        </w:rPr>
        <w:t>s</w:t>
      </w:r>
      <w:r w:rsidR="009B220B" w:rsidRPr="00947998">
        <w:rPr>
          <w:rFonts w:cs="Arial"/>
        </w:rPr>
        <w:t xml:space="preserve"> are required to provide to the Department annual reports on their progress towards bringing the</w:t>
      </w:r>
      <w:r w:rsidR="00AA7991">
        <w:rPr>
          <w:rFonts w:cs="Arial"/>
        </w:rPr>
        <w:t>ir provisionally allocated</w:t>
      </w:r>
      <w:r w:rsidR="009B220B" w:rsidRPr="00947998">
        <w:rPr>
          <w:rFonts w:cs="Arial"/>
        </w:rPr>
        <w:t xml:space="preserve"> places into effect</w:t>
      </w:r>
      <w:r w:rsidR="00AA7991">
        <w:rPr>
          <w:rFonts w:cs="Arial"/>
        </w:rPr>
        <w:t xml:space="preserve"> during the first three years of the provisional allocation period</w:t>
      </w:r>
      <w:r w:rsidR="009B220B" w:rsidRPr="00947998">
        <w:rPr>
          <w:rFonts w:cs="Arial"/>
          <w:color w:val="000000" w:themeColor="text1"/>
        </w:rPr>
        <w:t>.</w:t>
      </w:r>
      <w:r w:rsidR="00AA7991">
        <w:rPr>
          <w:rFonts w:cs="Arial"/>
          <w:color w:val="000000" w:themeColor="text1"/>
        </w:rPr>
        <w:t xml:space="preserve"> Each report must be submitted by </w:t>
      </w:r>
      <w:r w:rsidR="0030706D">
        <w:rPr>
          <w:rFonts w:cs="Arial"/>
          <w:color w:val="000000" w:themeColor="text1"/>
        </w:rPr>
        <w:t xml:space="preserve">the anniversary date of the provisional allocation. </w:t>
      </w:r>
      <w:r w:rsidR="00883876">
        <w:rPr>
          <w:rFonts w:cs="Arial"/>
          <w:color w:val="000000" w:themeColor="text1"/>
        </w:rPr>
        <w:t xml:space="preserve">(see </w:t>
      </w:r>
      <w:r w:rsidR="00332C38">
        <w:rPr>
          <w:rFonts w:cs="Arial"/>
          <w:color w:val="000000" w:themeColor="text1"/>
        </w:rPr>
        <w:t>more</w:t>
      </w:r>
      <w:r w:rsidR="003E4A8B">
        <w:rPr>
          <w:rFonts w:cs="Arial"/>
          <w:color w:val="000000" w:themeColor="text1"/>
        </w:rPr>
        <w:t xml:space="preserve"> </w:t>
      </w:r>
      <w:hyperlink r:id="rId33" w:history="1">
        <w:r w:rsidR="003E4A8B" w:rsidRPr="003E4A8B">
          <w:rPr>
            <w:rStyle w:val="Hyperlink"/>
            <w:rFonts w:cs="Arial"/>
          </w:rPr>
          <w:t>information here</w:t>
        </w:r>
      </w:hyperlink>
      <w:r w:rsidR="00883876">
        <w:t>)</w:t>
      </w:r>
    </w:p>
    <w:p w:rsidR="0030706D" w:rsidRDefault="009B220B" w:rsidP="009B220B">
      <w:pPr>
        <w:rPr>
          <w:rStyle w:val="Hyperlink"/>
          <w:rFonts w:cs="Arial"/>
        </w:rPr>
      </w:pPr>
      <w:r w:rsidRPr="00947998">
        <w:rPr>
          <w:rFonts w:cs="Arial"/>
          <w:color w:val="000000" w:themeColor="text1"/>
        </w:rPr>
        <w:t>The report must be provided in a format approved by the Department.</w:t>
      </w:r>
      <w:r>
        <w:rPr>
          <w:rFonts w:cs="Arial"/>
          <w:color w:val="000000" w:themeColor="text1"/>
        </w:rPr>
        <w:t xml:space="preserve"> </w:t>
      </w:r>
      <w:r w:rsidRPr="0030706D">
        <w:rPr>
          <w:rFonts w:cs="Arial"/>
        </w:rPr>
        <w:t xml:space="preserve">The approved progress report form can be </w:t>
      </w:r>
      <w:r w:rsidR="00BA2A6C">
        <w:rPr>
          <w:rFonts w:cs="Arial"/>
        </w:rPr>
        <w:t xml:space="preserve">accessed </w:t>
      </w:r>
      <w:r w:rsidR="003E4A8B">
        <w:rPr>
          <w:rFonts w:cs="Arial"/>
        </w:rPr>
        <w:t xml:space="preserve">by </w:t>
      </w:r>
      <w:hyperlink r:id="rId34" w:history="1">
        <w:r w:rsidR="003E4A8B" w:rsidRPr="003E4A8B">
          <w:rPr>
            <w:rStyle w:val="Hyperlink"/>
            <w:rFonts w:cs="Arial"/>
          </w:rPr>
          <w:t>clicking here</w:t>
        </w:r>
      </w:hyperlink>
      <w:r w:rsidR="003E4A8B">
        <w:rPr>
          <w:rFonts w:cs="Arial"/>
        </w:rPr>
        <w:t>.</w:t>
      </w:r>
    </w:p>
    <w:p w:rsidR="0030706D" w:rsidRDefault="0030706D" w:rsidP="009B220B">
      <w:r>
        <w:t>The Department may request in writing additional reports where necessary during the provisional allocat</w:t>
      </w:r>
      <w:r w:rsidR="007A5E77">
        <w:t>ion</w:t>
      </w:r>
      <w:r>
        <w:t xml:space="preserve"> period. Where such a request is made, </w:t>
      </w:r>
      <w:r w:rsidR="00E43652">
        <w:t>i</w:t>
      </w:r>
      <w:r w:rsidR="00162F01">
        <w:t xml:space="preserve">t is a condition of allocation that </w:t>
      </w:r>
      <w:r>
        <w:t>the report must be submitted using the above</w:t>
      </w:r>
      <w:r w:rsidR="00A67604">
        <w:t xml:space="preserve"> </w:t>
      </w:r>
      <w:r>
        <w:t xml:space="preserve">mentioned form within </w:t>
      </w:r>
      <w:r w:rsidR="00A67604">
        <w:t>14</w:t>
      </w:r>
      <w:r>
        <w:t xml:space="preserve"> days of receiving the request</w:t>
      </w:r>
      <w:r w:rsidR="00162F01">
        <w:t xml:space="preserve"> or such longer period as specified in the re</w:t>
      </w:r>
      <w:r w:rsidR="00E43652">
        <w:t>quest</w:t>
      </w:r>
      <w:r>
        <w:t>.</w:t>
      </w:r>
      <w:r w:rsidR="00E43652">
        <w:t xml:space="preserve">  </w:t>
      </w:r>
    </w:p>
    <w:p w:rsidR="0035286B" w:rsidRPr="006A745C" w:rsidRDefault="00D74BC2" w:rsidP="009B220B">
      <w:pPr>
        <w:rPr>
          <w:rFonts w:cs="Arial"/>
          <w:highlight w:val="yellow"/>
        </w:rPr>
      </w:pPr>
      <w:r>
        <w:t xml:space="preserve">At the end of </w:t>
      </w:r>
      <w:r w:rsidR="00EF2289">
        <w:t xml:space="preserve">the </w:t>
      </w:r>
      <w:r w:rsidR="008E0502">
        <w:t xml:space="preserve">initial </w:t>
      </w:r>
      <w:r w:rsidR="00EF2289">
        <w:t>provisional allocation</w:t>
      </w:r>
      <w:r w:rsidR="00AC2266">
        <w:t xml:space="preserve"> period</w:t>
      </w:r>
      <w:r w:rsidR="0030706D">
        <w:t xml:space="preserve"> (y</w:t>
      </w:r>
      <w:r w:rsidR="00EF2289">
        <w:t xml:space="preserve">ear </w:t>
      </w:r>
      <w:r w:rsidR="0030706D">
        <w:t>f</w:t>
      </w:r>
      <w:r w:rsidR="00565F22">
        <w:t>our</w:t>
      </w:r>
      <w:r w:rsidR="00EF2289">
        <w:t>)</w:t>
      </w:r>
      <w:r w:rsidR="00812648">
        <w:t>,</w:t>
      </w:r>
      <w:r>
        <w:t xml:space="preserve"> the places will lapse unless the approved provider </w:t>
      </w:r>
      <w:r w:rsidR="00F10DB5">
        <w:t>lodges</w:t>
      </w:r>
      <w:r w:rsidR="008A2ADB">
        <w:t xml:space="preserve"> and the Department approves</w:t>
      </w:r>
      <w:r w:rsidR="0030706D">
        <w:t xml:space="preserve"> either</w:t>
      </w:r>
      <w:r w:rsidR="0035286B">
        <w:t>:</w:t>
      </w:r>
    </w:p>
    <w:p w:rsidR="0035286B" w:rsidRPr="0035286B" w:rsidRDefault="0035286B" w:rsidP="00E90925">
      <w:pPr>
        <w:pStyle w:val="ListParagraph"/>
        <w:numPr>
          <w:ilvl w:val="0"/>
          <w:numId w:val="21"/>
        </w:numPr>
      </w:pPr>
      <w:r>
        <w:t>a</w:t>
      </w:r>
      <w:r w:rsidR="000C2F03">
        <w:t>n application for an extension of the provisional allocation period</w:t>
      </w:r>
      <w:r>
        <w:t xml:space="preserve">; </w:t>
      </w:r>
      <w:r>
        <w:rPr>
          <w:b/>
        </w:rPr>
        <w:t>OR</w:t>
      </w:r>
    </w:p>
    <w:p w:rsidR="00B914DE" w:rsidRPr="00205C26" w:rsidRDefault="000C2F03" w:rsidP="00205C26">
      <w:pPr>
        <w:pStyle w:val="ListParagraph"/>
        <w:numPr>
          <w:ilvl w:val="0"/>
          <w:numId w:val="21"/>
        </w:numPr>
      </w:pPr>
      <w:r>
        <w:t xml:space="preserve">an </w:t>
      </w:r>
      <w:r w:rsidR="0030706D">
        <w:t>A</w:t>
      </w:r>
      <w:r>
        <w:t xml:space="preserve">pplication to </w:t>
      </w:r>
      <w:r w:rsidR="0030706D">
        <w:t>Provide Care form</w:t>
      </w:r>
      <w:r>
        <w:t>.</w:t>
      </w:r>
    </w:p>
    <w:p w:rsidR="00B914DE" w:rsidRDefault="00205C26" w:rsidP="002A2794">
      <w:bookmarkStart w:id="20" w:name="_Toc425934678"/>
      <w:r>
        <w:rPr>
          <w:noProof/>
        </w:rPr>
        <w:drawing>
          <wp:inline distT="0" distB="0" distL="0" distR="0" wp14:anchorId="46CF377C" wp14:editId="16906192">
            <wp:extent cx="5943600" cy="2740025"/>
            <wp:effectExtent l="0" t="0" r="0" b="3175"/>
            <wp:docPr id="18" name="Picture 18" descr="In years one to three annual progress reports are due on the anniversary date of allocation. This point is starred within the table and refers to the notes below the table not included in the picture. &#10;&#10;In year four, the table notes that an application to provide care form for the allocation to take effect should be submitted at least 28 days before the places are expected to take effect, or, an application to extend the provisional allocation period should be submitted at least 60 days before the end of the provisional allocation period. &#10;&#10;The table then notes that if an extension to the provisional allocation period is granted, in year five an application to provide care form for the allocation to take effect should be submitted at least 28 days before the places are expected to take effect, or, an application to extend the provisional allocation period must be submitted at least 60 days before the end of the provisional allocation period. &#10;&#10;The table flows into the table cells in the image on the next page.&#10;&#10;" title="Table identifying the documents to be submitted in each year of the provisional allocation period to year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2740025"/>
                    </a:xfrm>
                    <a:prstGeom prst="rect">
                      <a:avLst/>
                    </a:prstGeom>
                  </pic:spPr>
                </pic:pic>
              </a:graphicData>
            </a:graphic>
          </wp:inline>
        </w:drawing>
      </w:r>
    </w:p>
    <w:p w:rsidR="00205C26" w:rsidRDefault="00205C26" w:rsidP="002A2794">
      <w:r>
        <w:rPr>
          <w:noProof/>
        </w:rPr>
        <w:lastRenderedPageBreak/>
        <w:drawing>
          <wp:inline distT="0" distB="0" distL="0" distR="0" wp14:anchorId="3BFBE97E" wp14:editId="4A395D3E">
            <wp:extent cx="5943600" cy="1724660"/>
            <wp:effectExtent l="0" t="0" r="0" b="8890"/>
            <wp:docPr id="17" name="Picture 17" descr="This table lists the documents that must be submitted if an extension to the provisional allocation period is granted due to exceptional circumstances.&#10;&#10;It states that in year six, an application to provide care form for the allocation to take effect should be submitted at least 28 days before the places are expected to take effect, or, an application to extend the provisional allocation period due to exceptional circumstances must be submitted at least 60 days before the end of the provisional allocation period. &#10;&#10;The table notes that the form for applying for an extension due to exceptional circumstances is different from the form used to seek extensions in years four and five. &#10;" title="If an extension to the provisional allocation period is granted taking the provisional allocation period beyond six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1724660"/>
                    </a:xfrm>
                    <a:prstGeom prst="rect">
                      <a:avLst/>
                    </a:prstGeom>
                  </pic:spPr>
                </pic:pic>
              </a:graphicData>
            </a:graphic>
          </wp:inline>
        </w:drawing>
      </w:r>
    </w:p>
    <w:p w:rsidR="0025052A" w:rsidRPr="00162F01" w:rsidRDefault="0025052A" w:rsidP="002A2794">
      <w:r>
        <w:t>The transferring of provisionally allocated places does not create a new date of allocation. This means that the date of allocation (and in turn the date which places would lapse) remains the same date from when the places were first allocated, regardless of whether they have been transferred since.</w:t>
      </w:r>
    </w:p>
    <w:p w:rsidR="002507DA" w:rsidRDefault="002A2794" w:rsidP="002A2794">
      <w:r>
        <w:rPr>
          <w:b/>
        </w:rPr>
        <w:t>Note</w:t>
      </w:r>
      <w:r w:rsidR="00BA2A6C">
        <w:rPr>
          <w:b/>
        </w:rPr>
        <w:t>s</w:t>
      </w:r>
      <w:r>
        <w:t xml:space="preserve">: </w:t>
      </w:r>
    </w:p>
    <w:p w:rsidR="00DB5434" w:rsidRPr="00DB5434" w:rsidRDefault="00DB5434" w:rsidP="002A2794">
      <w:r w:rsidRPr="000B166C">
        <w:rPr>
          <w:rFonts w:cs="Arial"/>
        </w:rPr>
        <w:t>Previously granted extensions to the provisional allocation period, which have not had the effect of extending the period beyond four years, are not considered to be extensions, under the current arrangements. Beyond four years approved providers are permitted two 12 month extensions before exceptional circumstances must be demonstrated.</w:t>
      </w:r>
    </w:p>
    <w:p w:rsidR="002507DA" w:rsidRDefault="002507DA" w:rsidP="002A2794">
      <w:r>
        <w:t xml:space="preserve">All forms related to </w:t>
      </w:r>
      <w:r w:rsidR="007A5E77">
        <w:t>p</w:t>
      </w:r>
      <w:r>
        <w:t xml:space="preserve">rovisionally </w:t>
      </w:r>
      <w:r w:rsidR="007A5E77">
        <w:t>a</w:t>
      </w:r>
      <w:r>
        <w:t xml:space="preserve">llocated </w:t>
      </w:r>
      <w:r w:rsidR="007A5E77">
        <w:t>p</w:t>
      </w:r>
      <w:r>
        <w:t>laces are to be submitted to your State or Territory Office, the emails for which are listed on page 1</w:t>
      </w:r>
      <w:r w:rsidR="00083C94">
        <w:t>2</w:t>
      </w:r>
      <w:r>
        <w:t>, at the end of this Guide.</w:t>
      </w:r>
    </w:p>
    <w:p w:rsidR="00BA2A6C" w:rsidRDefault="00BA2A6C" w:rsidP="002A2794">
      <w:r>
        <w:t>(*)</w:t>
      </w:r>
      <w:r>
        <w:rPr>
          <w:szCs w:val="22"/>
        </w:rPr>
        <w:t>It is possible to submit a single report covering multiple allocations made to the same service. Where doing so, the report must list each allocation being covered and be submitted by the earliest anniversary date of the allocations.</w:t>
      </w:r>
    </w:p>
    <w:p w:rsidR="002A2794" w:rsidRDefault="002A2794" w:rsidP="002A2794">
      <w:r>
        <w:t>(*</w:t>
      </w:r>
      <w:r w:rsidR="00BA2A6C">
        <w:t>*</w:t>
      </w:r>
      <w:r>
        <w:t>)You may ask the delegate to allow an application to be made closer to the end of the provisional allocation period. To do so, please contact your relevant State/ Territory office of the Department, using the contact details at the end of this document.</w:t>
      </w:r>
    </w:p>
    <w:p w:rsidR="00332C38" w:rsidRDefault="008E0502" w:rsidP="00332C38">
      <w:pPr>
        <w:spacing w:after="0"/>
      </w:pPr>
      <w:r>
        <w:t xml:space="preserve">The </w:t>
      </w:r>
      <w:r w:rsidR="00BA2A6C" w:rsidRPr="00462ED1">
        <w:rPr>
          <w:bCs/>
          <w:iCs/>
          <w:szCs w:val="22"/>
        </w:rPr>
        <w:t xml:space="preserve">Application for an Extension </w:t>
      </w:r>
      <w:r w:rsidR="00BA2A6C">
        <w:rPr>
          <w:bCs/>
          <w:iCs/>
          <w:szCs w:val="22"/>
        </w:rPr>
        <w:t>of</w:t>
      </w:r>
      <w:r w:rsidR="00BA2A6C" w:rsidRPr="00462ED1">
        <w:rPr>
          <w:bCs/>
          <w:iCs/>
          <w:szCs w:val="22"/>
        </w:rPr>
        <w:t xml:space="preserve"> the Provisional Allocation Period</w:t>
      </w:r>
      <w:r w:rsidR="00BA2A6C">
        <w:rPr>
          <w:bCs/>
          <w:iCs/>
          <w:szCs w:val="22"/>
        </w:rPr>
        <w:t xml:space="preserve"> form and the </w:t>
      </w:r>
      <w:r w:rsidR="00BA2A6C" w:rsidRPr="00462ED1">
        <w:rPr>
          <w:bCs/>
          <w:iCs/>
          <w:szCs w:val="22"/>
        </w:rPr>
        <w:t xml:space="preserve">Application for an Extension </w:t>
      </w:r>
      <w:r w:rsidR="00BA2A6C">
        <w:rPr>
          <w:bCs/>
          <w:iCs/>
          <w:szCs w:val="22"/>
        </w:rPr>
        <w:t>of</w:t>
      </w:r>
      <w:r w:rsidR="00BA2A6C" w:rsidRPr="00462ED1">
        <w:rPr>
          <w:bCs/>
          <w:iCs/>
          <w:szCs w:val="22"/>
        </w:rPr>
        <w:t xml:space="preserve"> the Provisional Allocation Period </w:t>
      </w:r>
      <w:r w:rsidR="00BA2A6C">
        <w:rPr>
          <w:b/>
          <w:bCs/>
          <w:iCs/>
          <w:szCs w:val="22"/>
        </w:rPr>
        <w:t xml:space="preserve">Due to Exceptional Circumstances </w:t>
      </w:r>
      <w:r w:rsidR="00BA2A6C" w:rsidRPr="00BA2A6C">
        <w:rPr>
          <w:bCs/>
          <w:iCs/>
          <w:szCs w:val="22"/>
        </w:rPr>
        <w:t>form</w:t>
      </w:r>
      <w:r w:rsidR="00BA2A6C">
        <w:rPr>
          <w:bCs/>
          <w:iCs/>
          <w:szCs w:val="22"/>
        </w:rPr>
        <w:t xml:space="preserve"> are both available </w:t>
      </w:r>
      <w:r w:rsidR="00332C38">
        <w:rPr>
          <w:bCs/>
          <w:iCs/>
          <w:szCs w:val="22"/>
        </w:rPr>
        <w:t xml:space="preserve">by </w:t>
      </w:r>
      <w:hyperlink r:id="rId37" w:history="1">
        <w:r w:rsidR="00332C38" w:rsidRPr="00332C38">
          <w:rPr>
            <w:rStyle w:val="Hyperlink"/>
            <w:bCs/>
            <w:iCs/>
            <w:szCs w:val="22"/>
          </w:rPr>
          <w:t>clicking here</w:t>
        </w:r>
      </w:hyperlink>
      <w:r w:rsidR="00332C38">
        <w:rPr>
          <w:bCs/>
          <w:iCs/>
          <w:szCs w:val="22"/>
        </w:rPr>
        <w:t>.</w:t>
      </w:r>
    </w:p>
    <w:p w:rsidR="00AF697D" w:rsidRDefault="00AF697D" w:rsidP="006A745C">
      <w:pPr>
        <w:spacing w:after="0"/>
        <w:rPr>
          <w:rFonts w:ascii="Georgia" w:eastAsiaTheme="majorEastAsia" w:hAnsi="Georgia" w:cstheme="majorBidi"/>
          <w:bCs/>
          <w:color w:val="005A70"/>
          <w:sz w:val="32"/>
          <w:szCs w:val="26"/>
        </w:rPr>
      </w:pPr>
    </w:p>
    <w:p w:rsidR="00EF2289" w:rsidRPr="0066725C" w:rsidRDefault="00A804B7" w:rsidP="0066725C">
      <w:pPr>
        <w:pStyle w:val="Heading2"/>
        <w:numPr>
          <w:ilvl w:val="0"/>
          <w:numId w:val="0"/>
        </w:numPr>
        <w:spacing w:before="0"/>
        <w:ind w:left="360" w:hanging="360"/>
        <w:rPr>
          <w:sz w:val="28"/>
        </w:rPr>
      </w:pPr>
      <w:bookmarkStart w:id="21" w:name="_Toc451846339"/>
      <w:r w:rsidRPr="0066725C">
        <w:rPr>
          <w:sz w:val="28"/>
        </w:rPr>
        <w:t xml:space="preserve">Application for </w:t>
      </w:r>
      <w:r w:rsidR="00EF2289" w:rsidRPr="0066725C">
        <w:rPr>
          <w:sz w:val="28"/>
        </w:rPr>
        <w:t>Extension</w:t>
      </w:r>
      <w:bookmarkEnd w:id="21"/>
      <w:r w:rsidR="00EF2289" w:rsidRPr="0066725C">
        <w:rPr>
          <w:sz w:val="28"/>
        </w:rPr>
        <w:t xml:space="preserve"> </w:t>
      </w:r>
    </w:p>
    <w:bookmarkEnd w:id="20"/>
    <w:p w:rsidR="00C5202F" w:rsidRDefault="00C74E27" w:rsidP="00071D1E">
      <w:pPr>
        <w:rPr>
          <w:rFonts w:cs="Arial"/>
        </w:rPr>
      </w:pPr>
      <w:r>
        <w:t xml:space="preserve">In the event that </w:t>
      </w:r>
      <w:r w:rsidR="00071D1E" w:rsidRPr="001C3565">
        <w:t>provisionally allocated place</w:t>
      </w:r>
      <w:r>
        <w:t xml:space="preserve">s are </w:t>
      </w:r>
      <w:r w:rsidR="00071D1E">
        <w:t xml:space="preserve">not operational </w:t>
      </w:r>
      <w:r w:rsidR="00D967CB">
        <w:t xml:space="preserve">by the end of </w:t>
      </w:r>
      <w:r w:rsidR="00C5202F">
        <w:t>y</w:t>
      </w:r>
      <w:r w:rsidR="00D967CB">
        <w:t xml:space="preserve">ear </w:t>
      </w:r>
      <w:r w:rsidR="00D154A6">
        <w:t>four</w:t>
      </w:r>
      <w:r w:rsidR="00812648">
        <w:t>,</w:t>
      </w:r>
      <w:r w:rsidR="00071D1E">
        <w:t xml:space="preserve"> the approved provider </w:t>
      </w:r>
      <w:r w:rsidR="00CE1D22">
        <w:t xml:space="preserve">may </w:t>
      </w:r>
      <w:r w:rsidR="00071D1E">
        <w:t xml:space="preserve">lodge an application to extend the provisional allocation period for </w:t>
      </w:r>
      <w:r w:rsidR="006A4F7D">
        <w:t xml:space="preserve">12 </w:t>
      </w:r>
      <w:r w:rsidR="00071D1E">
        <w:t xml:space="preserve">months.  </w:t>
      </w:r>
      <w:r w:rsidR="00C5202F">
        <w:rPr>
          <w:rFonts w:cs="Arial"/>
        </w:rPr>
        <w:t>If a first extension is granted and the provisionally allocated places are still not operational at the end of the fifth year, a</w:t>
      </w:r>
      <w:r w:rsidR="004E30D6" w:rsidRPr="00947998">
        <w:rPr>
          <w:rFonts w:cs="Arial"/>
        </w:rPr>
        <w:t xml:space="preserve">pproved providers can apply for a second </w:t>
      </w:r>
      <w:r w:rsidR="006A4F7D">
        <w:rPr>
          <w:rFonts w:cs="Arial"/>
        </w:rPr>
        <w:t xml:space="preserve">12 </w:t>
      </w:r>
      <w:r w:rsidR="00C5202F">
        <w:rPr>
          <w:rFonts w:cs="Arial"/>
        </w:rPr>
        <w:t>month extension</w:t>
      </w:r>
      <w:r w:rsidR="004E30D6" w:rsidRPr="00947998">
        <w:rPr>
          <w:rFonts w:cs="Arial"/>
        </w:rPr>
        <w:t>.</w:t>
      </w:r>
      <w:r w:rsidR="00C5202F">
        <w:rPr>
          <w:rFonts w:cs="Arial"/>
        </w:rPr>
        <w:t xml:space="preserve"> </w:t>
      </w:r>
    </w:p>
    <w:p w:rsidR="00C5202F" w:rsidRDefault="00C5202F" w:rsidP="00C5202F">
      <w:pPr>
        <w:rPr>
          <w:rFonts w:cs="Arial"/>
          <w:iCs/>
        </w:rPr>
      </w:pPr>
      <w:r>
        <w:rPr>
          <w:rFonts w:cs="Arial"/>
        </w:rPr>
        <w:t>E</w:t>
      </w:r>
      <w:r w:rsidRPr="00947998">
        <w:rPr>
          <w:rFonts w:cs="Arial"/>
        </w:rPr>
        <w:t>xtension</w:t>
      </w:r>
      <w:r>
        <w:rPr>
          <w:rFonts w:cs="Arial"/>
        </w:rPr>
        <w:t>s</w:t>
      </w:r>
      <w:r w:rsidRPr="00947998">
        <w:rPr>
          <w:rFonts w:cs="Arial"/>
        </w:rPr>
        <w:t xml:space="preserve"> </w:t>
      </w:r>
      <w:r>
        <w:rPr>
          <w:rFonts w:cs="Arial"/>
        </w:rPr>
        <w:t xml:space="preserve">into year five and six </w:t>
      </w:r>
      <w:r w:rsidRPr="00947998">
        <w:rPr>
          <w:rFonts w:cs="Arial"/>
        </w:rPr>
        <w:t>will only be granted where the Secretary is satisfied</w:t>
      </w:r>
      <w:r>
        <w:rPr>
          <w:rFonts w:cs="Arial"/>
        </w:rPr>
        <w:t xml:space="preserve"> that granting the extensions is justified in the circumstances, and that granting the extensions meets any requiremen</w:t>
      </w:r>
      <w:r w:rsidR="00F64AA5">
        <w:rPr>
          <w:rFonts w:cs="Arial"/>
        </w:rPr>
        <w:t>ts specified in the</w:t>
      </w:r>
      <w:r w:rsidR="002507DA">
        <w:rPr>
          <w:rFonts w:cs="Arial"/>
        </w:rPr>
        <w:t xml:space="preserve"> </w:t>
      </w:r>
      <w:r w:rsidR="007A5E77">
        <w:rPr>
          <w:rFonts w:cs="Arial"/>
        </w:rPr>
        <w:t>Act</w:t>
      </w:r>
      <w:r w:rsidRPr="00947998">
        <w:rPr>
          <w:rFonts w:cs="Arial"/>
          <w:iCs/>
        </w:rPr>
        <w:t>.</w:t>
      </w:r>
      <w:r>
        <w:rPr>
          <w:rFonts w:cs="Arial"/>
          <w:iCs/>
        </w:rPr>
        <w:t xml:space="preserve"> </w:t>
      </w:r>
    </w:p>
    <w:p w:rsidR="007F5F32" w:rsidRDefault="004E30D6" w:rsidP="00071D1E">
      <w:pPr>
        <w:rPr>
          <w:rFonts w:cs="Arial"/>
        </w:rPr>
      </w:pPr>
      <w:r w:rsidRPr="00947998">
        <w:rPr>
          <w:rFonts w:cs="Arial"/>
        </w:rPr>
        <w:t xml:space="preserve">Any further extensions after the second </w:t>
      </w:r>
      <w:r w:rsidR="006A4F7D">
        <w:rPr>
          <w:rFonts w:cs="Arial"/>
        </w:rPr>
        <w:t xml:space="preserve">12 </w:t>
      </w:r>
      <w:r w:rsidRPr="00947998">
        <w:rPr>
          <w:rFonts w:cs="Arial"/>
        </w:rPr>
        <w:t xml:space="preserve">month extension will only be granted if the approved provider can demonstrate that exceptional circumstances </w:t>
      </w:r>
      <w:r w:rsidR="00C5202F">
        <w:rPr>
          <w:rFonts w:cs="Arial"/>
        </w:rPr>
        <w:t xml:space="preserve">justify the granting of </w:t>
      </w:r>
      <w:r w:rsidR="002D0083">
        <w:rPr>
          <w:rFonts w:cs="Arial"/>
        </w:rPr>
        <w:t>the</w:t>
      </w:r>
      <w:r w:rsidRPr="00947998">
        <w:rPr>
          <w:rFonts w:cs="Arial"/>
        </w:rPr>
        <w:t xml:space="preserve"> further extension.</w:t>
      </w:r>
    </w:p>
    <w:p w:rsidR="002D0083" w:rsidRDefault="002D0083" w:rsidP="00071D1E">
      <w:pPr>
        <w:rPr>
          <w:rFonts w:cs="Arial"/>
        </w:rPr>
      </w:pPr>
      <w:r>
        <w:rPr>
          <w:rFonts w:cs="Arial"/>
        </w:rPr>
        <w:t xml:space="preserve">The Department will notify applicants within 28 days of receiving an application for extension and at least 14 days before the end of the provisional allocation period. </w:t>
      </w:r>
    </w:p>
    <w:p w:rsidR="002D0083" w:rsidRPr="00A4488A" w:rsidRDefault="002D0083" w:rsidP="002D0083">
      <w:pPr>
        <w:rPr>
          <w:rFonts w:cs="Arial"/>
        </w:rPr>
      </w:pPr>
      <w:r>
        <w:rPr>
          <w:rFonts w:cs="Arial"/>
        </w:rPr>
        <w:t xml:space="preserve">As stated above, the Department may on request accept applications for extension submitted less than 60 days from the end of the provisional allocation period. However, please be aware that the </w:t>
      </w:r>
      <w:r>
        <w:rPr>
          <w:rFonts w:cs="Arial"/>
        </w:rPr>
        <w:lastRenderedPageBreak/>
        <w:t xml:space="preserve">requirement to notify applicants at least 14 days prior to the end of the provisional allocation period may prevent the Department from accepting an application made too close to the end of the provisional allocation period. </w:t>
      </w:r>
    </w:p>
    <w:p w:rsidR="009B47AC" w:rsidRDefault="004D4920" w:rsidP="004D4920">
      <w:pPr>
        <w:rPr>
          <w:rFonts w:eastAsiaTheme="minorHAnsi" w:cs="Arial"/>
          <w:bCs/>
        </w:rPr>
      </w:pPr>
      <w:r>
        <w:t xml:space="preserve">The decision to reject an approved provider’s application for extension is a reviewable decision </w:t>
      </w:r>
      <w:r>
        <w:rPr>
          <w:rFonts w:eastAsiaTheme="minorHAnsi"/>
        </w:rPr>
        <w:t>(S</w:t>
      </w:r>
      <w:r w:rsidRPr="00F405D0">
        <w:rPr>
          <w:rFonts w:eastAsiaTheme="minorHAnsi"/>
        </w:rPr>
        <w:t xml:space="preserve">ee </w:t>
      </w:r>
      <w:r w:rsidR="006A745C">
        <w:rPr>
          <w:rFonts w:eastAsiaTheme="minorHAnsi"/>
        </w:rPr>
        <w:t xml:space="preserve">Chapter </w:t>
      </w:r>
      <w:r w:rsidR="003F0026">
        <w:rPr>
          <w:rFonts w:eastAsiaTheme="minorHAnsi"/>
        </w:rPr>
        <w:t>3</w:t>
      </w:r>
      <w:r w:rsidR="005475E9">
        <w:rPr>
          <w:rFonts w:eastAsiaTheme="minorHAnsi"/>
        </w:rPr>
        <w:t xml:space="preserve"> </w:t>
      </w:r>
      <w:r w:rsidRPr="00F405D0">
        <w:rPr>
          <w:rFonts w:eastAsiaTheme="minorHAnsi"/>
        </w:rPr>
        <w:t>– Reviewable Decisions</w:t>
      </w:r>
      <w:r>
        <w:rPr>
          <w:rFonts w:eastAsiaTheme="minorHAnsi"/>
        </w:rPr>
        <w:t>)</w:t>
      </w:r>
      <w:r>
        <w:rPr>
          <w:rFonts w:eastAsiaTheme="minorHAnsi" w:cs="Arial"/>
          <w:bCs/>
        </w:rPr>
        <w:t>.</w:t>
      </w:r>
    </w:p>
    <w:p w:rsidR="000F109F" w:rsidRPr="0066725C" w:rsidRDefault="000F109F" w:rsidP="004D4920">
      <w:pPr>
        <w:rPr>
          <w:bCs/>
          <w:sz w:val="20"/>
          <w:szCs w:val="22"/>
        </w:rPr>
      </w:pPr>
    </w:p>
    <w:p w:rsidR="00B93291" w:rsidRPr="0066725C" w:rsidRDefault="00A804B7" w:rsidP="0066725C">
      <w:pPr>
        <w:pStyle w:val="Heading2"/>
        <w:numPr>
          <w:ilvl w:val="0"/>
          <w:numId w:val="0"/>
        </w:numPr>
        <w:ind w:left="360" w:hanging="360"/>
        <w:rPr>
          <w:sz w:val="28"/>
        </w:rPr>
      </w:pPr>
      <w:bookmarkStart w:id="22" w:name="_Toc435516496"/>
      <w:bookmarkStart w:id="23" w:name="_Toc436227783"/>
      <w:bookmarkStart w:id="24" w:name="_Toc436233629"/>
      <w:bookmarkStart w:id="25" w:name="_Toc436233688"/>
      <w:bookmarkStart w:id="26" w:name="_Toc436993422"/>
      <w:bookmarkStart w:id="27" w:name="_Toc437420151"/>
      <w:bookmarkStart w:id="28" w:name="_Toc437420213"/>
      <w:bookmarkStart w:id="29" w:name="_Toc437436860"/>
      <w:bookmarkStart w:id="30" w:name="_Toc451846340"/>
      <w:bookmarkEnd w:id="22"/>
      <w:bookmarkEnd w:id="23"/>
      <w:bookmarkEnd w:id="24"/>
      <w:bookmarkEnd w:id="25"/>
      <w:bookmarkEnd w:id="26"/>
      <w:bookmarkEnd w:id="27"/>
      <w:bookmarkEnd w:id="28"/>
      <w:bookmarkEnd w:id="29"/>
      <w:r w:rsidRPr="0066725C">
        <w:rPr>
          <w:sz w:val="28"/>
        </w:rPr>
        <w:t xml:space="preserve">Application for </w:t>
      </w:r>
      <w:bookmarkStart w:id="31" w:name="_Toc425934679"/>
      <w:r w:rsidR="00EF2289" w:rsidRPr="0066725C">
        <w:rPr>
          <w:sz w:val="28"/>
        </w:rPr>
        <w:t>E</w:t>
      </w:r>
      <w:r w:rsidR="00B93291" w:rsidRPr="0066725C">
        <w:rPr>
          <w:sz w:val="28"/>
        </w:rPr>
        <w:t>xten</w:t>
      </w:r>
      <w:r w:rsidRPr="0066725C">
        <w:rPr>
          <w:sz w:val="28"/>
        </w:rPr>
        <w:t xml:space="preserve">sion </w:t>
      </w:r>
      <w:r w:rsidR="00EF2289" w:rsidRPr="0066725C">
        <w:rPr>
          <w:sz w:val="28"/>
        </w:rPr>
        <w:t>D</w:t>
      </w:r>
      <w:r w:rsidR="00B93291" w:rsidRPr="0066725C">
        <w:rPr>
          <w:sz w:val="28"/>
        </w:rPr>
        <w:t xml:space="preserve">ue to </w:t>
      </w:r>
      <w:r w:rsidR="00EF2289" w:rsidRPr="0066725C">
        <w:rPr>
          <w:sz w:val="28"/>
        </w:rPr>
        <w:t>E</w:t>
      </w:r>
      <w:r w:rsidR="00B93291" w:rsidRPr="0066725C">
        <w:rPr>
          <w:sz w:val="28"/>
        </w:rPr>
        <w:t xml:space="preserve">xceptional </w:t>
      </w:r>
      <w:r w:rsidR="00EF2289" w:rsidRPr="0066725C">
        <w:rPr>
          <w:sz w:val="28"/>
        </w:rPr>
        <w:t>C</w:t>
      </w:r>
      <w:r w:rsidR="00B93291" w:rsidRPr="0066725C">
        <w:rPr>
          <w:sz w:val="28"/>
        </w:rPr>
        <w:t>ircumstances</w:t>
      </w:r>
      <w:bookmarkEnd w:id="31"/>
      <w:bookmarkEnd w:id="30"/>
    </w:p>
    <w:p w:rsidR="002011E5" w:rsidRDefault="004E30D6" w:rsidP="008B4E99">
      <w:r w:rsidRPr="00947998">
        <w:rPr>
          <w:rFonts w:cs="Arial"/>
        </w:rPr>
        <w:t xml:space="preserve">If provisionally allocated places are not operational </w:t>
      </w:r>
      <w:r w:rsidR="00C5202F">
        <w:rPr>
          <w:rFonts w:cs="Arial"/>
        </w:rPr>
        <w:t>after two extensions</w:t>
      </w:r>
      <w:r w:rsidRPr="00947998">
        <w:rPr>
          <w:rFonts w:cs="Arial"/>
        </w:rPr>
        <w:t xml:space="preserve"> </w:t>
      </w:r>
      <w:r w:rsidR="00C5202F">
        <w:rPr>
          <w:rFonts w:cs="Arial"/>
        </w:rPr>
        <w:t xml:space="preserve">(i.e., after a provisional allocation period of </w:t>
      </w:r>
      <w:r w:rsidR="006A4F7D">
        <w:rPr>
          <w:rFonts w:cs="Arial"/>
        </w:rPr>
        <w:t xml:space="preserve">up to </w:t>
      </w:r>
      <w:r w:rsidRPr="00947998">
        <w:rPr>
          <w:rFonts w:cs="Arial"/>
        </w:rPr>
        <w:t>six</w:t>
      </w:r>
      <w:r w:rsidR="00C5202F">
        <w:rPr>
          <w:rFonts w:cs="Arial"/>
        </w:rPr>
        <w:t xml:space="preserve"> years)</w:t>
      </w:r>
      <w:r w:rsidRPr="00947998">
        <w:rPr>
          <w:rFonts w:cs="Arial"/>
        </w:rPr>
        <w:t xml:space="preserve">, the approved provider may apply for a further </w:t>
      </w:r>
      <w:r w:rsidR="006A4F7D">
        <w:rPr>
          <w:rFonts w:cs="Arial"/>
        </w:rPr>
        <w:t xml:space="preserve">12 </w:t>
      </w:r>
      <w:r w:rsidR="00C5202F">
        <w:rPr>
          <w:rFonts w:cs="Arial"/>
        </w:rPr>
        <w:t xml:space="preserve">month </w:t>
      </w:r>
      <w:r w:rsidRPr="00947998">
        <w:rPr>
          <w:rFonts w:cs="Arial"/>
        </w:rPr>
        <w:t>extension under the exce</w:t>
      </w:r>
      <w:r>
        <w:rPr>
          <w:rFonts w:cs="Arial"/>
        </w:rPr>
        <w:t>ptional circumstances provision</w:t>
      </w:r>
      <w:r w:rsidR="00DA4AAD">
        <w:t>.</w:t>
      </w:r>
      <w:r w:rsidR="008B4E99">
        <w:t xml:space="preserve"> </w:t>
      </w:r>
    </w:p>
    <w:p w:rsidR="00020E0C" w:rsidRPr="0066725C" w:rsidRDefault="00020E0C" w:rsidP="0066725C">
      <w:pPr>
        <w:rPr>
          <w:rFonts w:eastAsiaTheme="minorHAnsi" w:cs="Arial"/>
          <w:bCs/>
          <w:szCs w:val="22"/>
        </w:rPr>
      </w:pPr>
      <w:r w:rsidRPr="00020E0C">
        <w:rPr>
          <w:rFonts w:cs="Arial"/>
          <w:szCs w:val="22"/>
        </w:rPr>
        <w:t>T</w:t>
      </w:r>
      <w:r w:rsidR="00883876">
        <w:rPr>
          <w:rFonts w:cs="Arial"/>
          <w:szCs w:val="22"/>
        </w:rPr>
        <w:t>he</w:t>
      </w:r>
      <w:r w:rsidRPr="00352607">
        <w:rPr>
          <w:rFonts w:cs="Arial"/>
          <w:szCs w:val="22"/>
        </w:rPr>
        <w:t xml:space="preserve"> Secretary must have regard to</w:t>
      </w:r>
      <w:r w:rsidR="00883876">
        <w:rPr>
          <w:rFonts w:cs="Arial"/>
          <w:szCs w:val="22"/>
        </w:rPr>
        <w:t xml:space="preserve"> all legally relevant matters</w:t>
      </w:r>
      <w:r w:rsidRPr="00352607">
        <w:rPr>
          <w:rFonts w:cs="Arial"/>
          <w:szCs w:val="22"/>
        </w:rPr>
        <w:t xml:space="preserve"> when considering whether exceptional circumstances </w:t>
      </w:r>
      <w:r w:rsidRPr="007A5E77">
        <w:rPr>
          <w:rFonts w:cs="Arial"/>
          <w:szCs w:val="22"/>
        </w:rPr>
        <w:t>justify the granting of a</w:t>
      </w:r>
      <w:r w:rsidRPr="00883876">
        <w:rPr>
          <w:rFonts w:cs="Arial"/>
          <w:szCs w:val="22"/>
        </w:rPr>
        <w:t xml:space="preserve">n </w:t>
      </w:r>
      <w:r w:rsidR="00883876">
        <w:rPr>
          <w:rFonts w:cs="Arial"/>
          <w:szCs w:val="22"/>
        </w:rPr>
        <w:t>e</w:t>
      </w:r>
      <w:r w:rsidRPr="00883876">
        <w:rPr>
          <w:rFonts w:cs="Arial"/>
          <w:szCs w:val="22"/>
        </w:rPr>
        <w:t xml:space="preserve">xtension </w:t>
      </w:r>
      <w:r w:rsidR="00883876">
        <w:rPr>
          <w:rFonts w:cs="Arial"/>
          <w:szCs w:val="22"/>
        </w:rPr>
        <w:t>due to exceptional circumstances</w:t>
      </w:r>
      <w:r w:rsidR="00ED11E8">
        <w:rPr>
          <w:rFonts w:cs="Arial"/>
          <w:szCs w:val="22"/>
        </w:rPr>
        <w:t>.</w:t>
      </w:r>
      <w:r w:rsidR="00883876">
        <w:rPr>
          <w:rFonts w:cs="Arial"/>
          <w:szCs w:val="22"/>
        </w:rPr>
        <w:t xml:space="preserve"> </w:t>
      </w:r>
      <w:r w:rsidR="00ED11E8">
        <w:rPr>
          <w:rFonts w:cs="Arial"/>
          <w:szCs w:val="22"/>
        </w:rPr>
        <w:t>U</w:t>
      </w:r>
      <w:r w:rsidR="00883876">
        <w:rPr>
          <w:rFonts w:cs="Arial"/>
          <w:szCs w:val="22"/>
        </w:rPr>
        <w:t>nder</w:t>
      </w:r>
      <w:r w:rsidR="00ED11E8">
        <w:rPr>
          <w:rFonts w:cs="Arial"/>
          <w:szCs w:val="22"/>
        </w:rPr>
        <w:t xml:space="preserve"> the Act/Allocation Principles, t</w:t>
      </w:r>
      <w:r w:rsidR="00883876">
        <w:rPr>
          <w:rFonts w:cs="Arial"/>
          <w:szCs w:val="22"/>
        </w:rPr>
        <w:t>he Secretary must have regard to</w:t>
      </w:r>
      <w:r w:rsidRPr="00883876">
        <w:rPr>
          <w:rFonts w:cs="Arial"/>
          <w:szCs w:val="22"/>
        </w:rPr>
        <w:t>:</w:t>
      </w:r>
    </w:p>
    <w:p w:rsidR="00883876" w:rsidRDefault="00883876" w:rsidP="00883876">
      <w:pPr>
        <w:pStyle w:val="ListParagraph"/>
        <w:numPr>
          <w:ilvl w:val="1"/>
          <w:numId w:val="50"/>
        </w:numPr>
      </w:pPr>
      <w:r>
        <w:t>whether there are any unusual or unforeseen matters outside the control of the approved provider, including but not limited to the occurrence of a natural disaster or emergency situation, preventing the approved provider from applying under section 15-1 of the Act for a determination that the approved provider is in a position to provide care; and</w:t>
      </w:r>
    </w:p>
    <w:p w:rsidR="00883876" w:rsidRDefault="00883876" w:rsidP="00883876">
      <w:pPr>
        <w:pStyle w:val="ListParagraph"/>
        <w:numPr>
          <w:ilvl w:val="1"/>
          <w:numId w:val="50"/>
        </w:numPr>
      </w:pPr>
      <w:r>
        <w:t>whether the approved provider will be in a position to provide care within the period of the extension; and</w:t>
      </w:r>
    </w:p>
    <w:p w:rsidR="00883876" w:rsidRDefault="00883876" w:rsidP="0066725C">
      <w:pPr>
        <w:pStyle w:val="ListParagraph"/>
        <w:numPr>
          <w:ilvl w:val="1"/>
          <w:numId w:val="50"/>
        </w:numPr>
      </w:pPr>
      <w:r>
        <w:t>whether granting the extension is necessary becau</w:t>
      </w:r>
      <w:r w:rsidR="005475E9">
        <w:t xml:space="preserve">se no other provider is able to </w:t>
      </w:r>
      <w:r>
        <w:t>satisfy the care needs in the region.</w:t>
      </w:r>
    </w:p>
    <w:p w:rsidR="00ED11E8" w:rsidRDefault="00ED11E8" w:rsidP="00ED11E8">
      <w:pPr>
        <w:rPr>
          <w:rFonts w:cs="Arial"/>
        </w:rPr>
      </w:pPr>
      <w:r>
        <w:rPr>
          <w:rFonts w:cs="Arial"/>
        </w:rPr>
        <w:t xml:space="preserve">The Department will notify applicants within 28 days of receiving an application for extension and at least 14 days before the end of the provisional allocation period. </w:t>
      </w:r>
    </w:p>
    <w:p w:rsidR="00ED11E8" w:rsidRPr="00A4488A" w:rsidRDefault="00ED11E8" w:rsidP="00ED11E8">
      <w:pPr>
        <w:rPr>
          <w:rFonts w:cs="Arial"/>
        </w:rPr>
      </w:pPr>
      <w:r>
        <w:rPr>
          <w:rFonts w:cs="Arial"/>
        </w:rPr>
        <w:t xml:space="preserve">As stated above, the Department may on request accept applications for extension submitted less than 60 days from the end of the provisional allocation period. However, please be aware that the requirement to notify applicants at least 14 days prior to the end of the provisional allocation period may prevent the Department from accepting an application made too close to the end of the provisional allocation period. </w:t>
      </w:r>
    </w:p>
    <w:p w:rsidR="001D1195" w:rsidRDefault="00ED11E8" w:rsidP="00ED11E8">
      <w:pPr>
        <w:rPr>
          <w:rFonts w:eastAsiaTheme="minorHAnsi" w:cs="Arial"/>
          <w:bCs/>
        </w:rPr>
      </w:pPr>
      <w:r>
        <w:t xml:space="preserve">The decision to reject an approved provider’s application for extension is a reviewable decision </w:t>
      </w:r>
      <w:r>
        <w:rPr>
          <w:rFonts w:eastAsiaTheme="minorHAnsi"/>
        </w:rPr>
        <w:t>(S</w:t>
      </w:r>
      <w:r w:rsidRPr="00F405D0">
        <w:rPr>
          <w:rFonts w:eastAsiaTheme="minorHAnsi"/>
        </w:rPr>
        <w:t xml:space="preserve">ee </w:t>
      </w:r>
      <w:r w:rsidRPr="005F7635">
        <w:rPr>
          <w:rFonts w:eastAsiaTheme="minorHAnsi"/>
        </w:rPr>
        <w:t xml:space="preserve">Chapter </w:t>
      </w:r>
      <w:r>
        <w:rPr>
          <w:rFonts w:eastAsiaTheme="minorHAnsi"/>
        </w:rPr>
        <w:t>3</w:t>
      </w:r>
      <w:r w:rsidRPr="00F405D0">
        <w:rPr>
          <w:rFonts w:eastAsiaTheme="minorHAnsi"/>
        </w:rPr>
        <w:t xml:space="preserve"> – Reviewable Decisions</w:t>
      </w:r>
      <w:r>
        <w:rPr>
          <w:rFonts w:eastAsiaTheme="minorHAnsi"/>
        </w:rPr>
        <w:t>)</w:t>
      </w:r>
      <w:r>
        <w:rPr>
          <w:rFonts w:eastAsiaTheme="minorHAnsi" w:cs="Arial"/>
          <w:bCs/>
        </w:rPr>
        <w:t>.</w:t>
      </w:r>
    </w:p>
    <w:p w:rsidR="001D1195" w:rsidRDefault="001D1195" w:rsidP="001D1195">
      <w:pPr>
        <w:rPr>
          <w:rFonts w:eastAsiaTheme="minorHAnsi"/>
        </w:rPr>
      </w:pPr>
      <w:r>
        <w:rPr>
          <w:rFonts w:eastAsiaTheme="minorHAnsi"/>
        </w:rPr>
        <w:br w:type="page"/>
      </w:r>
    </w:p>
    <w:p w:rsidR="009B47AC" w:rsidRPr="001D1195" w:rsidRDefault="009B47AC" w:rsidP="00ED11E8">
      <w:pPr>
        <w:rPr>
          <w:rFonts w:eastAsiaTheme="minorHAnsi" w:cs="Arial"/>
          <w:bCs/>
        </w:rPr>
      </w:pPr>
    </w:p>
    <w:p w:rsidR="00C35253" w:rsidRPr="0066725C" w:rsidRDefault="00532FE4" w:rsidP="0066725C">
      <w:pPr>
        <w:pStyle w:val="Heading2"/>
        <w:numPr>
          <w:ilvl w:val="0"/>
          <w:numId w:val="0"/>
        </w:numPr>
        <w:ind w:left="360" w:hanging="360"/>
        <w:rPr>
          <w:sz w:val="28"/>
        </w:rPr>
      </w:pPr>
      <w:bookmarkStart w:id="32" w:name="_Toc435516498"/>
      <w:bookmarkStart w:id="33" w:name="_Toc436227785"/>
      <w:bookmarkStart w:id="34" w:name="_Toc436233631"/>
      <w:bookmarkStart w:id="35" w:name="_Toc436233690"/>
      <w:bookmarkStart w:id="36" w:name="_Toc436993424"/>
      <w:bookmarkStart w:id="37" w:name="_Toc437420153"/>
      <w:bookmarkStart w:id="38" w:name="_Toc437420215"/>
      <w:bookmarkStart w:id="39" w:name="_Toc437436862"/>
      <w:bookmarkStart w:id="40" w:name="_Toc425934681"/>
      <w:bookmarkStart w:id="41" w:name="_Toc451846341"/>
      <w:bookmarkEnd w:id="32"/>
      <w:bookmarkEnd w:id="33"/>
      <w:bookmarkEnd w:id="34"/>
      <w:bookmarkEnd w:id="35"/>
      <w:bookmarkEnd w:id="36"/>
      <w:bookmarkEnd w:id="37"/>
      <w:bookmarkEnd w:id="38"/>
      <w:bookmarkEnd w:id="39"/>
      <w:r w:rsidRPr="0066725C">
        <w:rPr>
          <w:sz w:val="28"/>
        </w:rPr>
        <w:t xml:space="preserve">Cessation </w:t>
      </w:r>
      <w:r w:rsidR="00DF7621" w:rsidRPr="0066725C">
        <w:rPr>
          <w:sz w:val="28"/>
        </w:rPr>
        <w:t>of</w:t>
      </w:r>
      <w:r w:rsidR="00C35253" w:rsidRPr="0066725C">
        <w:rPr>
          <w:sz w:val="28"/>
        </w:rPr>
        <w:t xml:space="preserve"> </w:t>
      </w:r>
      <w:r w:rsidR="006563A3" w:rsidRPr="0066725C">
        <w:rPr>
          <w:sz w:val="28"/>
        </w:rPr>
        <w:t>P</w:t>
      </w:r>
      <w:r w:rsidR="00C35253" w:rsidRPr="0066725C">
        <w:rPr>
          <w:sz w:val="28"/>
        </w:rPr>
        <w:t xml:space="preserve">rovisional </w:t>
      </w:r>
      <w:r w:rsidR="006563A3" w:rsidRPr="0066725C">
        <w:rPr>
          <w:sz w:val="28"/>
        </w:rPr>
        <w:t>A</w:t>
      </w:r>
      <w:r w:rsidR="00C35253" w:rsidRPr="0066725C">
        <w:rPr>
          <w:sz w:val="28"/>
        </w:rPr>
        <w:t>llocat</w:t>
      </w:r>
      <w:r w:rsidRPr="0066725C">
        <w:rPr>
          <w:sz w:val="28"/>
        </w:rPr>
        <w:t>ions of</w:t>
      </w:r>
      <w:r w:rsidR="00C35253" w:rsidRPr="0066725C">
        <w:rPr>
          <w:sz w:val="28"/>
        </w:rPr>
        <w:t xml:space="preserve"> </w:t>
      </w:r>
      <w:r w:rsidR="006563A3" w:rsidRPr="0066725C">
        <w:rPr>
          <w:sz w:val="28"/>
        </w:rPr>
        <w:t>P</w:t>
      </w:r>
      <w:r w:rsidR="00C35253" w:rsidRPr="0066725C">
        <w:rPr>
          <w:sz w:val="28"/>
        </w:rPr>
        <w:t>laces</w:t>
      </w:r>
      <w:bookmarkEnd w:id="40"/>
      <w:bookmarkEnd w:id="41"/>
    </w:p>
    <w:p w:rsidR="009051E9" w:rsidRDefault="005F7564" w:rsidP="00CC4A91">
      <w:pPr>
        <w:pStyle w:val="BodyText"/>
        <w:rPr>
          <w:rFonts w:ascii="Arial" w:eastAsia="Times New Roman" w:hAnsi="Arial" w:cs="Times New Roman"/>
          <w:iCs w:val="0"/>
          <w:sz w:val="22"/>
          <w:szCs w:val="22"/>
          <w:lang w:eastAsia="en-AU"/>
        </w:rPr>
      </w:pPr>
      <w:r>
        <w:rPr>
          <w:rFonts w:ascii="Arial" w:eastAsia="Times New Roman" w:hAnsi="Arial" w:cs="Times New Roman"/>
          <w:iCs w:val="0"/>
          <w:sz w:val="22"/>
          <w:szCs w:val="22"/>
          <w:lang w:eastAsia="en-AU"/>
        </w:rPr>
        <w:t>P</w:t>
      </w:r>
      <w:r w:rsidR="009051E9">
        <w:rPr>
          <w:rFonts w:ascii="Arial" w:eastAsia="Times New Roman" w:hAnsi="Arial" w:cs="Times New Roman"/>
          <w:iCs w:val="0"/>
          <w:sz w:val="22"/>
          <w:szCs w:val="22"/>
          <w:lang w:eastAsia="en-AU"/>
        </w:rPr>
        <w:t>rovisionally allocated place</w:t>
      </w:r>
      <w:r>
        <w:rPr>
          <w:rFonts w:ascii="Arial" w:eastAsia="Times New Roman" w:hAnsi="Arial" w:cs="Times New Roman"/>
          <w:iCs w:val="0"/>
          <w:sz w:val="22"/>
          <w:szCs w:val="22"/>
          <w:lang w:eastAsia="en-AU"/>
        </w:rPr>
        <w:t>s</w:t>
      </w:r>
      <w:r w:rsidR="00A804B7">
        <w:rPr>
          <w:rFonts w:ascii="Arial" w:eastAsia="Times New Roman" w:hAnsi="Arial" w:cs="Times New Roman"/>
          <w:iCs w:val="0"/>
          <w:sz w:val="22"/>
          <w:szCs w:val="22"/>
          <w:lang w:eastAsia="en-AU"/>
        </w:rPr>
        <w:t xml:space="preserve"> </w:t>
      </w:r>
      <w:r>
        <w:rPr>
          <w:rFonts w:ascii="Arial" w:eastAsia="Times New Roman" w:hAnsi="Arial" w:cs="Times New Roman"/>
          <w:iCs w:val="0"/>
          <w:sz w:val="22"/>
          <w:szCs w:val="22"/>
          <w:lang w:eastAsia="en-AU"/>
        </w:rPr>
        <w:t xml:space="preserve">will </w:t>
      </w:r>
      <w:r w:rsidR="00D55ACC">
        <w:rPr>
          <w:rFonts w:ascii="Arial" w:eastAsia="Times New Roman" w:hAnsi="Arial" w:cs="Times New Roman"/>
          <w:iCs w:val="0"/>
          <w:sz w:val="22"/>
          <w:szCs w:val="22"/>
          <w:lang w:eastAsia="en-AU"/>
        </w:rPr>
        <w:t xml:space="preserve">cease to be provisionally allocated to the approved provider </w:t>
      </w:r>
      <w:r>
        <w:rPr>
          <w:rFonts w:ascii="Arial" w:eastAsia="Times New Roman" w:hAnsi="Arial" w:cs="Times New Roman"/>
          <w:iCs w:val="0"/>
          <w:sz w:val="22"/>
          <w:szCs w:val="22"/>
          <w:lang w:eastAsia="en-AU"/>
        </w:rPr>
        <w:t xml:space="preserve">when </w:t>
      </w:r>
      <w:r w:rsidR="00A804B7">
        <w:rPr>
          <w:rFonts w:ascii="Arial" w:eastAsia="Times New Roman" w:hAnsi="Arial" w:cs="Times New Roman"/>
          <w:iCs w:val="0"/>
          <w:sz w:val="22"/>
          <w:szCs w:val="22"/>
          <w:lang w:eastAsia="en-AU"/>
        </w:rPr>
        <w:t>one of the following events occurs</w:t>
      </w:r>
      <w:r w:rsidR="009051E9">
        <w:rPr>
          <w:rFonts w:ascii="Arial" w:eastAsia="Times New Roman" w:hAnsi="Arial" w:cs="Times New Roman"/>
          <w:iCs w:val="0"/>
          <w:sz w:val="22"/>
          <w:szCs w:val="22"/>
          <w:lang w:eastAsia="en-AU"/>
        </w:rPr>
        <w:t>:</w:t>
      </w:r>
    </w:p>
    <w:p w:rsidR="006D63B9" w:rsidRDefault="009051E9" w:rsidP="00267525">
      <w:pPr>
        <w:pStyle w:val="BodyText"/>
        <w:numPr>
          <w:ilvl w:val="0"/>
          <w:numId w:val="22"/>
        </w:numPr>
        <w:spacing w:after="0"/>
        <w:rPr>
          <w:rFonts w:ascii="Arial" w:eastAsia="Times New Roman" w:hAnsi="Arial" w:cs="Times New Roman"/>
          <w:iCs w:val="0"/>
          <w:sz w:val="22"/>
          <w:szCs w:val="22"/>
          <w:lang w:eastAsia="en-AU"/>
        </w:rPr>
      </w:pPr>
      <w:r>
        <w:rPr>
          <w:rFonts w:ascii="Arial" w:eastAsia="Times New Roman" w:hAnsi="Arial" w:cs="Times New Roman"/>
          <w:iCs w:val="0"/>
          <w:sz w:val="22"/>
          <w:szCs w:val="22"/>
          <w:lang w:eastAsia="en-AU"/>
        </w:rPr>
        <w:t xml:space="preserve">the </w:t>
      </w:r>
      <w:r w:rsidR="00A804B7">
        <w:rPr>
          <w:rFonts w:ascii="Arial" w:eastAsia="Times New Roman" w:hAnsi="Arial" w:cs="Times New Roman"/>
          <w:iCs w:val="0"/>
          <w:sz w:val="22"/>
          <w:szCs w:val="22"/>
          <w:lang w:eastAsia="en-AU"/>
        </w:rPr>
        <w:t>provisionally allocated places become operational and the allocation takes effect</w:t>
      </w:r>
      <w:r w:rsidR="006D63B9">
        <w:rPr>
          <w:rFonts w:ascii="Arial" w:eastAsia="Times New Roman" w:hAnsi="Arial" w:cs="Times New Roman"/>
          <w:iCs w:val="0"/>
          <w:sz w:val="22"/>
          <w:szCs w:val="22"/>
          <w:lang w:eastAsia="en-AU"/>
        </w:rPr>
        <w:t>; or</w:t>
      </w:r>
    </w:p>
    <w:p w:rsidR="000318AE" w:rsidRPr="00947998" w:rsidRDefault="000318AE" w:rsidP="00D2779B">
      <w:pPr>
        <w:pStyle w:val="BodyText"/>
        <w:numPr>
          <w:ilvl w:val="0"/>
          <w:numId w:val="22"/>
        </w:numPr>
        <w:spacing w:after="0"/>
        <w:rPr>
          <w:rFonts w:ascii="Arial" w:eastAsia="Times New Roman" w:hAnsi="Arial" w:cs="Arial"/>
          <w:iCs w:val="0"/>
          <w:sz w:val="22"/>
          <w:szCs w:val="22"/>
          <w:lang w:eastAsia="en-AU"/>
        </w:rPr>
      </w:pPr>
      <w:r w:rsidRPr="00947998">
        <w:rPr>
          <w:rFonts w:ascii="Arial" w:eastAsia="Times New Roman" w:hAnsi="Arial" w:cs="Arial"/>
          <w:iCs w:val="0"/>
          <w:sz w:val="22"/>
          <w:szCs w:val="22"/>
          <w:lang w:eastAsia="en-AU"/>
        </w:rPr>
        <w:t xml:space="preserve">the provisional allocation period expires; </w:t>
      </w:r>
    </w:p>
    <w:p w:rsidR="000318AE" w:rsidRPr="00947998" w:rsidRDefault="000318AE" w:rsidP="00D2779B">
      <w:pPr>
        <w:pStyle w:val="BodyText"/>
        <w:numPr>
          <w:ilvl w:val="0"/>
          <w:numId w:val="22"/>
        </w:numPr>
        <w:spacing w:after="0"/>
        <w:rPr>
          <w:rFonts w:ascii="Arial" w:eastAsia="Times New Roman" w:hAnsi="Arial" w:cs="Arial"/>
          <w:iCs w:val="0"/>
          <w:sz w:val="22"/>
          <w:szCs w:val="22"/>
          <w:lang w:eastAsia="en-AU"/>
        </w:rPr>
      </w:pPr>
      <w:r w:rsidRPr="00947998">
        <w:rPr>
          <w:rFonts w:ascii="Arial" w:eastAsia="Times New Roman" w:hAnsi="Arial" w:cs="Arial"/>
          <w:iCs w:val="0"/>
          <w:sz w:val="22"/>
          <w:szCs w:val="22"/>
          <w:lang w:eastAsia="en-AU"/>
        </w:rPr>
        <w:t>an application to extend the provisional allocation period is rejected;</w:t>
      </w:r>
    </w:p>
    <w:p w:rsidR="000318AE" w:rsidRPr="00947998" w:rsidRDefault="005475E9" w:rsidP="00D2779B">
      <w:pPr>
        <w:pStyle w:val="BodyText"/>
        <w:numPr>
          <w:ilvl w:val="0"/>
          <w:numId w:val="22"/>
        </w:numPr>
        <w:spacing w:after="0"/>
        <w:rPr>
          <w:rFonts w:ascii="Arial" w:eastAsia="Times New Roman" w:hAnsi="Arial" w:cs="Arial"/>
          <w:iCs w:val="0"/>
          <w:sz w:val="22"/>
          <w:szCs w:val="22"/>
          <w:lang w:eastAsia="en-AU"/>
        </w:rPr>
      </w:pPr>
      <w:r>
        <w:rPr>
          <w:rFonts w:ascii="Arial" w:eastAsia="Times New Roman" w:hAnsi="Arial" w:cs="Arial"/>
          <w:iCs w:val="0"/>
          <w:sz w:val="22"/>
          <w:szCs w:val="22"/>
          <w:lang w:eastAsia="en-AU"/>
        </w:rPr>
        <w:t>t</w:t>
      </w:r>
      <w:r w:rsidR="000318AE" w:rsidRPr="00947998">
        <w:rPr>
          <w:rFonts w:ascii="Arial" w:eastAsia="Times New Roman" w:hAnsi="Arial" w:cs="Arial"/>
          <w:iCs w:val="0"/>
          <w:sz w:val="22"/>
          <w:szCs w:val="22"/>
          <w:lang w:eastAsia="en-AU"/>
        </w:rPr>
        <w:t xml:space="preserve">he provisional allocation is revoked; </w:t>
      </w:r>
    </w:p>
    <w:p w:rsidR="000318AE" w:rsidRPr="00A4488A" w:rsidRDefault="000318AE" w:rsidP="006A745C">
      <w:pPr>
        <w:pStyle w:val="BodyText"/>
        <w:numPr>
          <w:ilvl w:val="0"/>
          <w:numId w:val="22"/>
        </w:numPr>
        <w:rPr>
          <w:rFonts w:ascii="Arial" w:eastAsia="Times New Roman" w:hAnsi="Arial" w:cs="Arial"/>
          <w:iCs w:val="0"/>
          <w:sz w:val="22"/>
          <w:szCs w:val="22"/>
          <w:lang w:eastAsia="en-AU"/>
        </w:rPr>
      </w:pPr>
      <w:r w:rsidRPr="00947998">
        <w:rPr>
          <w:rFonts w:ascii="Arial" w:eastAsia="Times New Roman" w:hAnsi="Arial" w:cs="Arial"/>
          <w:iCs w:val="0"/>
          <w:sz w:val="22"/>
          <w:szCs w:val="22"/>
          <w:lang w:eastAsia="en-AU"/>
        </w:rPr>
        <w:t>the provisional allocation is surrendered.</w:t>
      </w:r>
    </w:p>
    <w:p w:rsidR="003336FF" w:rsidRDefault="003336FF" w:rsidP="00CC4A91">
      <w:r>
        <w:t xml:space="preserve">Where an application to extend the provisional allocation period is </w:t>
      </w:r>
      <w:r w:rsidR="002D0083">
        <w:t>rejected</w:t>
      </w:r>
      <w:r>
        <w:t>, the provisional allocation period ends on the later of:</w:t>
      </w:r>
    </w:p>
    <w:p w:rsidR="00B46B0F" w:rsidRPr="00947998" w:rsidRDefault="00C274C2" w:rsidP="00B46B0F">
      <w:pPr>
        <w:pStyle w:val="ListParagraph"/>
        <w:numPr>
          <w:ilvl w:val="0"/>
          <w:numId w:val="39"/>
        </w:numPr>
        <w:rPr>
          <w:rFonts w:cs="Arial"/>
        </w:rPr>
      </w:pPr>
      <w:r>
        <w:rPr>
          <w:rFonts w:cs="Arial"/>
        </w:rPr>
        <w:t>t</w:t>
      </w:r>
      <w:r w:rsidR="00B46B0F" w:rsidRPr="00947998">
        <w:rPr>
          <w:rFonts w:cs="Arial"/>
        </w:rPr>
        <w:t>he end of the day 28 days after the approved provider is notified of the rejection;</w:t>
      </w:r>
    </w:p>
    <w:p w:rsidR="00B46B0F" w:rsidRPr="00947998" w:rsidRDefault="00B46B0F" w:rsidP="00B46B0F">
      <w:pPr>
        <w:pStyle w:val="ListParagraph"/>
        <w:rPr>
          <w:rFonts w:cs="Arial"/>
        </w:rPr>
      </w:pPr>
      <w:r w:rsidRPr="00947998">
        <w:rPr>
          <w:rFonts w:cs="Arial"/>
        </w:rPr>
        <w:t xml:space="preserve"> or</w:t>
      </w:r>
    </w:p>
    <w:p w:rsidR="00D2779B" w:rsidRDefault="00C274C2" w:rsidP="00D2779B">
      <w:pPr>
        <w:pStyle w:val="ListParagraph"/>
        <w:numPr>
          <w:ilvl w:val="0"/>
          <w:numId w:val="39"/>
        </w:numPr>
      </w:pPr>
      <w:r>
        <w:rPr>
          <w:rFonts w:cs="Arial"/>
        </w:rPr>
        <w:t>t</w:t>
      </w:r>
      <w:r w:rsidR="00F747C9" w:rsidRPr="00947998">
        <w:rPr>
          <w:rFonts w:cs="Arial"/>
        </w:rPr>
        <w:t>he time when there is no further reconsideration or review of the decision pending</w:t>
      </w:r>
      <w:r>
        <w:rPr>
          <w:rFonts w:cs="Arial"/>
        </w:rPr>
        <w:t>.</w:t>
      </w:r>
      <w:r w:rsidR="00F747C9" w:rsidRPr="00947998">
        <w:rPr>
          <w:rFonts w:cs="Arial"/>
        </w:rPr>
        <w:t xml:space="preserve"> </w:t>
      </w:r>
    </w:p>
    <w:p w:rsidR="00591FF3" w:rsidRPr="0066725C" w:rsidRDefault="00591FF3" w:rsidP="0066725C">
      <w:pPr>
        <w:pStyle w:val="Heading2"/>
        <w:numPr>
          <w:ilvl w:val="0"/>
          <w:numId w:val="0"/>
        </w:numPr>
        <w:rPr>
          <w:sz w:val="28"/>
        </w:rPr>
      </w:pPr>
      <w:bookmarkStart w:id="42" w:name="_Toc425934682"/>
      <w:bookmarkStart w:id="43" w:name="_Toc451846342"/>
      <w:r w:rsidRPr="0066725C">
        <w:rPr>
          <w:sz w:val="28"/>
        </w:rPr>
        <w:t xml:space="preserve">Revoking and Surrendering </w:t>
      </w:r>
      <w:r w:rsidR="008C5D5E" w:rsidRPr="0066725C">
        <w:rPr>
          <w:sz w:val="28"/>
        </w:rPr>
        <w:t xml:space="preserve">Provisional </w:t>
      </w:r>
      <w:r w:rsidRPr="0066725C">
        <w:rPr>
          <w:sz w:val="28"/>
        </w:rPr>
        <w:t>Allocations</w:t>
      </w:r>
      <w:bookmarkEnd w:id="42"/>
      <w:bookmarkEnd w:id="43"/>
    </w:p>
    <w:p w:rsidR="008C5D5E" w:rsidRDefault="00D112C6" w:rsidP="00C35253">
      <w:pPr>
        <w:rPr>
          <w:bCs/>
          <w:szCs w:val="22"/>
        </w:rPr>
      </w:pPr>
      <w:r>
        <w:rPr>
          <w:bCs/>
          <w:szCs w:val="22"/>
        </w:rPr>
        <w:t>The Secretary may revoke a provisional allocat</w:t>
      </w:r>
      <w:r w:rsidR="00D2779B">
        <w:rPr>
          <w:bCs/>
          <w:szCs w:val="22"/>
        </w:rPr>
        <w:t>ion of</w:t>
      </w:r>
      <w:r>
        <w:rPr>
          <w:bCs/>
          <w:szCs w:val="22"/>
        </w:rPr>
        <w:t xml:space="preserve"> place</w:t>
      </w:r>
      <w:r w:rsidR="00D2779B">
        <w:rPr>
          <w:bCs/>
          <w:szCs w:val="22"/>
        </w:rPr>
        <w:t>s</w:t>
      </w:r>
      <w:r>
        <w:rPr>
          <w:bCs/>
          <w:szCs w:val="22"/>
        </w:rPr>
        <w:t xml:space="preserve"> only if </w:t>
      </w:r>
      <w:r w:rsidR="00D2779B">
        <w:rPr>
          <w:bCs/>
          <w:szCs w:val="22"/>
        </w:rPr>
        <w:t>the Secretary is</w:t>
      </w:r>
      <w:r>
        <w:rPr>
          <w:bCs/>
          <w:szCs w:val="22"/>
        </w:rPr>
        <w:t xml:space="preserve"> satisfied that a condition of the provisional allocation has not been met (</w:t>
      </w:r>
      <w:r w:rsidR="00ED11E8">
        <w:rPr>
          <w:bCs/>
          <w:szCs w:val="22"/>
        </w:rPr>
        <w:t>S</w:t>
      </w:r>
      <w:r>
        <w:rPr>
          <w:bCs/>
          <w:szCs w:val="22"/>
        </w:rPr>
        <w:t>ection 15-4</w:t>
      </w:r>
      <w:r w:rsidR="00ED11E8">
        <w:rPr>
          <w:bCs/>
          <w:szCs w:val="22"/>
        </w:rPr>
        <w:t xml:space="preserve"> of the Act</w:t>
      </w:r>
      <w:r>
        <w:rPr>
          <w:bCs/>
          <w:szCs w:val="22"/>
        </w:rPr>
        <w:t>).</w:t>
      </w:r>
    </w:p>
    <w:p w:rsidR="00F747C9" w:rsidRDefault="00F747C9">
      <w:pPr>
        <w:spacing w:before="0" w:after="200" w:line="276" w:lineRule="auto"/>
        <w:rPr>
          <w:rFonts w:cs="Arial"/>
          <w:bCs/>
        </w:rPr>
      </w:pPr>
      <w:r w:rsidRPr="00947998">
        <w:rPr>
          <w:rFonts w:cs="Arial"/>
          <w:bCs/>
        </w:rPr>
        <w:t>An approved provider may surrender provisionally allocated place</w:t>
      </w:r>
      <w:r w:rsidR="00D2779B">
        <w:rPr>
          <w:rFonts w:cs="Arial"/>
          <w:bCs/>
        </w:rPr>
        <w:t>s</w:t>
      </w:r>
      <w:r w:rsidRPr="00947998">
        <w:rPr>
          <w:rFonts w:cs="Arial"/>
          <w:bCs/>
        </w:rPr>
        <w:t xml:space="preserve"> at any time before the end of the provisional allocation period (</w:t>
      </w:r>
      <w:r w:rsidR="00ED11E8">
        <w:rPr>
          <w:rFonts w:cs="Arial"/>
          <w:bCs/>
        </w:rPr>
        <w:t>S</w:t>
      </w:r>
      <w:r w:rsidRPr="00947998">
        <w:rPr>
          <w:rFonts w:cs="Arial"/>
          <w:bCs/>
        </w:rPr>
        <w:t>ection 15-6</w:t>
      </w:r>
      <w:r w:rsidR="00ED11E8">
        <w:rPr>
          <w:rFonts w:cs="Arial"/>
          <w:bCs/>
        </w:rPr>
        <w:t xml:space="preserve"> of the Act</w:t>
      </w:r>
      <w:r w:rsidRPr="00947998">
        <w:rPr>
          <w:rFonts w:cs="Arial"/>
          <w:bCs/>
        </w:rPr>
        <w:t>).  An approved provider must notify the Secretary in writing of its intention to surrender provisionally allocated places.</w:t>
      </w:r>
    </w:p>
    <w:p w:rsidR="00682FB7" w:rsidRDefault="00682FB7">
      <w:pPr>
        <w:spacing w:before="0" w:after="200" w:line="276" w:lineRule="auto"/>
        <w:rPr>
          <w:rFonts w:ascii="Georgia" w:eastAsiaTheme="majorEastAsia" w:hAnsi="Georgia" w:cstheme="majorBidi"/>
          <w:bCs/>
          <w:color w:val="24596E"/>
          <w:sz w:val="36"/>
          <w:szCs w:val="28"/>
        </w:rPr>
      </w:pPr>
      <w:r>
        <w:br w:type="page"/>
      </w:r>
    </w:p>
    <w:p w:rsidR="00451B13" w:rsidRPr="00C35253" w:rsidRDefault="00451B13" w:rsidP="004515CA">
      <w:pPr>
        <w:pStyle w:val="Heading1"/>
      </w:pPr>
      <w:bookmarkStart w:id="44" w:name="_Toc436227790"/>
      <w:bookmarkStart w:id="45" w:name="_Toc436233636"/>
      <w:bookmarkStart w:id="46" w:name="_Toc436233695"/>
      <w:bookmarkStart w:id="47" w:name="_Toc436993429"/>
      <w:bookmarkStart w:id="48" w:name="_Toc437420158"/>
      <w:bookmarkStart w:id="49" w:name="_Toc437420220"/>
      <w:bookmarkStart w:id="50" w:name="_Toc437436867"/>
      <w:bookmarkStart w:id="51" w:name="_Toc435516504"/>
      <w:bookmarkStart w:id="52" w:name="_Toc436227792"/>
      <w:bookmarkStart w:id="53" w:name="_Toc436233638"/>
      <w:bookmarkStart w:id="54" w:name="_Toc436233697"/>
      <w:bookmarkStart w:id="55" w:name="_Toc436993431"/>
      <w:bookmarkStart w:id="56" w:name="_Toc437420160"/>
      <w:bookmarkStart w:id="57" w:name="_Toc437420222"/>
      <w:bookmarkStart w:id="58" w:name="_Toc437436869"/>
      <w:bookmarkStart w:id="59" w:name="_Toc435516505"/>
      <w:bookmarkStart w:id="60" w:name="_Toc436227793"/>
      <w:bookmarkStart w:id="61" w:name="_Toc436233639"/>
      <w:bookmarkStart w:id="62" w:name="_Toc436233698"/>
      <w:bookmarkStart w:id="63" w:name="_Toc436993432"/>
      <w:bookmarkStart w:id="64" w:name="_Toc437420161"/>
      <w:bookmarkStart w:id="65" w:name="_Toc437420223"/>
      <w:bookmarkStart w:id="66" w:name="_Toc437436870"/>
      <w:bookmarkStart w:id="67" w:name="_Toc435516506"/>
      <w:bookmarkStart w:id="68" w:name="_Toc436227794"/>
      <w:bookmarkStart w:id="69" w:name="_Toc436233640"/>
      <w:bookmarkStart w:id="70" w:name="_Toc436233699"/>
      <w:bookmarkStart w:id="71" w:name="_Toc436993433"/>
      <w:bookmarkStart w:id="72" w:name="_Toc437420162"/>
      <w:bookmarkStart w:id="73" w:name="_Toc437420224"/>
      <w:bookmarkStart w:id="74" w:name="_Toc437436871"/>
      <w:bookmarkStart w:id="75" w:name="_Toc435516519"/>
      <w:bookmarkStart w:id="76" w:name="_Toc436227807"/>
      <w:bookmarkStart w:id="77" w:name="_Toc436233653"/>
      <w:bookmarkStart w:id="78" w:name="_Toc436233712"/>
      <w:bookmarkStart w:id="79" w:name="_Toc436993446"/>
      <w:bookmarkStart w:id="80" w:name="_Toc437420175"/>
      <w:bookmarkStart w:id="81" w:name="_Toc437420237"/>
      <w:bookmarkStart w:id="82" w:name="_Toc437436884"/>
      <w:bookmarkStart w:id="83" w:name="_Toc435516521"/>
      <w:bookmarkStart w:id="84" w:name="_Toc436227809"/>
      <w:bookmarkStart w:id="85" w:name="_Toc436233655"/>
      <w:bookmarkStart w:id="86" w:name="_Toc436233714"/>
      <w:bookmarkStart w:id="87" w:name="_Toc436993448"/>
      <w:bookmarkStart w:id="88" w:name="_Toc437420177"/>
      <w:bookmarkStart w:id="89" w:name="_Toc437420239"/>
      <w:bookmarkStart w:id="90" w:name="_Toc437436886"/>
      <w:bookmarkStart w:id="91" w:name="_Toc435516522"/>
      <w:bookmarkStart w:id="92" w:name="_Toc436227810"/>
      <w:bookmarkStart w:id="93" w:name="_Toc436233656"/>
      <w:bookmarkStart w:id="94" w:name="_Toc436233715"/>
      <w:bookmarkStart w:id="95" w:name="_Toc436993449"/>
      <w:bookmarkStart w:id="96" w:name="_Toc437420178"/>
      <w:bookmarkStart w:id="97" w:name="_Toc437420240"/>
      <w:bookmarkStart w:id="98" w:name="_Toc437436887"/>
      <w:bookmarkStart w:id="99" w:name="_Toc435516523"/>
      <w:bookmarkStart w:id="100" w:name="_Toc436227811"/>
      <w:bookmarkStart w:id="101" w:name="_Toc436233657"/>
      <w:bookmarkStart w:id="102" w:name="_Toc436233716"/>
      <w:bookmarkStart w:id="103" w:name="_Toc436993450"/>
      <w:bookmarkStart w:id="104" w:name="_Toc437420179"/>
      <w:bookmarkStart w:id="105" w:name="_Toc437420241"/>
      <w:bookmarkStart w:id="106" w:name="_Toc437436888"/>
      <w:bookmarkStart w:id="107" w:name="_Toc435516524"/>
      <w:bookmarkStart w:id="108" w:name="_Toc436227812"/>
      <w:bookmarkStart w:id="109" w:name="_Toc436233658"/>
      <w:bookmarkStart w:id="110" w:name="_Toc436233717"/>
      <w:bookmarkStart w:id="111" w:name="_Toc436993451"/>
      <w:bookmarkStart w:id="112" w:name="_Toc437420180"/>
      <w:bookmarkStart w:id="113" w:name="_Toc437420242"/>
      <w:bookmarkStart w:id="114" w:name="_Toc437436889"/>
      <w:bookmarkStart w:id="115" w:name="_Toc435516525"/>
      <w:bookmarkStart w:id="116" w:name="_Toc436227813"/>
      <w:bookmarkStart w:id="117" w:name="_Toc436233659"/>
      <w:bookmarkStart w:id="118" w:name="_Toc436233718"/>
      <w:bookmarkStart w:id="119" w:name="_Toc436993452"/>
      <w:bookmarkStart w:id="120" w:name="_Toc437420181"/>
      <w:bookmarkStart w:id="121" w:name="_Toc437420243"/>
      <w:bookmarkStart w:id="122" w:name="_Toc437436890"/>
      <w:bookmarkStart w:id="123" w:name="_Toc435516526"/>
      <w:bookmarkStart w:id="124" w:name="_Toc436227814"/>
      <w:bookmarkStart w:id="125" w:name="_Toc436233660"/>
      <w:bookmarkStart w:id="126" w:name="_Toc436233719"/>
      <w:bookmarkStart w:id="127" w:name="_Toc436993453"/>
      <w:bookmarkStart w:id="128" w:name="_Toc437420182"/>
      <w:bookmarkStart w:id="129" w:name="_Toc437420244"/>
      <w:bookmarkStart w:id="130" w:name="_Toc437436891"/>
      <w:bookmarkStart w:id="131" w:name="_Toc435516527"/>
      <w:bookmarkStart w:id="132" w:name="_Toc436227815"/>
      <w:bookmarkStart w:id="133" w:name="_Toc436233661"/>
      <w:bookmarkStart w:id="134" w:name="_Toc436233720"/>
      <w:bookmarkStart w:id="135" w:name="_Toc436993454"/>
      <w:bookmarkStart w:id="136" w:name="_Toc437420183"/>
      <w:bookmarkStart w:id="137" w:name="_Toc437420245"/>
      <w:bookmarkStart w:id="138" w:name="_Toc437436892"/>
      <w:bookmarkStart w:id="139" w:name="_Toc425934697"/>
      <w:bookmarkStart w:id="140" w:name="_Toc4518463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 xml:space="preserve">Chapter </w:t>
      </w:r>
      <w:r w:rsidR="00223551">
        <w:t>2</w:t>
      </w:r>
      <w:r>
        <w:t xml:space="preserve"> – Transfer of Aged Care Places</w:t>
      </w:r>
      <w:bookmarkEnd w:id="139"/>
      <w:bookmarkEnd w:id="140"/>
    </w:p>
    <w:p w:rsidR="000B6133" w:rsidRPr="00D22498" w:rsidRDefault="000B6133" w:rsidP="006A745C">
      <w:pPr>
        <w:pStyle w:val="Heading2"/>
        <w:numPr>
          <w:ilvl w:val="0"/>
          <w:numId w:val="0"/>
        </w:numPr>
        <w:ind w:left="360" w:hanging="360"/>
      </w:pPr>
      <w:bookmarkStart w:id="141" w:name="_Toc451846344"/>
      <w:r w:rsidRPr="00D22498">
        <w:t>Introduction</w:t>
      </w:r>
      <w:bookmarkEnd w:id="141"/>
    </w:p>
    <w:p w:rsidR="00467A70" w:rsidRDefault="00B35892" w:rsidP="00467A70">
      <w:pPr>
        <w:spacing w:after="200" w:line="276" w:lineRule="auto"/>
        <w:rPr>
          <w:rFonts w:eastAsiaTheme="minorHAnsi" w:cs="Arial"/>
          <w:bCs/>
        </w:rPr>
      </w:pPr>
      <w:r>
        <w:rPr>
          <w:rFonts w:eastAsiaTheme="minorHAnsi" w:cs="Arial"/>
          <w:bCs/>
        </w:rPr>
        <w:t xml:space="preserve">Aged care places can only be transferred </w:t>
      </w:r>
      <w:r w:rsidR="00467A70">
        <w:rPr>
          <w:rFonts w:eastAsiaTheme="minorHAnsi" w:cs="Arial"/>
          <w:bCs/>
        </w:rPr>
        <w:t xml:space="preserve">to another </w:t>
      </w:r>
      <w:r w:rsidR="006A4F7D">
        <w:rPr>
          <w:rFonts w:eastAsiaTheme="minorHAnsi" w:cs="Arial"/>
          <w:bCs/>
        </w:rPr>
        <w:t xml:space="preserve">approved provider </w:t>
      </w:r>
      <w:r>
        <w:rPr>
          <w:rFonts w:eastAsiaTheme="minorHAnsi" w:cs="Arial"/>
          <w:bCs/>
        </w:rPr>
        <w:t xml:space="preserve">through the submission of </w:t>
      </w:r>
      <w:r w:rsidR="00467A70">
        <w:rPr>
          <w:rFonts w:eastAsiaTheme="minorHAnsi" w:cs="Arial"/>
          <w:bCs/>
        </w:rPr>
        <w:t xml:space="preserve">a </w:t>
      </w:r>
      <w:r w:rsidR="00467A70" w:rsidRPr="00267525">
        <w:rPr>
          <w:rFonts w:eastAsiaTheme="minorHAnsi" w:cs="Arial"/>
          <w:bCs/>
          <w:u w:val="single"/>
        </w:rPr>
        <w:t>Notice to Transfer Aged Care Places</w:t>
      </w:r>
      <w:r w:rsidR="00467A70" w:rsidRPr="00433B89">
        <w:rPr>
          <w:rFonts w:eastAsiaTheme="minorHAnsi" w:cs="Arial"/>
          <w:bCs/>
        </w:rPr>
        <w:t xml:space="preserve"> </w:t>
      </w:r>
      <w:r w:rsidR="00467A70">
        <w:rPr>
          <w:rFonts w:eastAsiaTheme="minorHAnsi" w:cs="Arial"/>
          <w:bCs/>
        </w:rPr>
        <w:t>form (</w:t>
      </w:r>
      <w:r w:rsidR="00467A70" w:rsidRPr="00433B89">
        <w:rPr>
          <w:rFonts w:eastAsiaTheme="minorHAnsi" w:cs="Arial"/>
          <w:bCs/>
        </w:rPr>
        <w:t>Transfer</w:t>
      </w:r>
      <w:r w:rsidR="004417A5">
        <w:rPr>
          <w:rFonts w:eastAsiaTheme="minorHAnsi" w:cs="Arial"/>
          <w:bCs/>
        </w:rPr>
        <w:t xml:space="preserve"> Notice</w:t>
      </w:r>
      <w:r w:rsidR="00467A70">
        <w:rPr>
          <w:rFonts w:eastAsiaTheme="minorHAnsi" w:cs="Arial"/>
          <w:bCs/>
        </w:rPr>
        <w:t xml:space="preserve">) to the Department. </w:t>
      </w:r>
      <w:r>
        <w:rPr>
          <w:rFonts w:eastAsiaTheme="minorHAnsi" w:cs="Arial"/>
          <w:bCs/>
        </w:rPr>
        <w:t xml:space="preserve">The </w:t>
      </w:r>
      <w:r w:rsidR="004417A5" w:rsidRPr="00433B89">
        <w:rPr>
          <w:rFonts w:eastAsiaTheme="minorHAnsi" w:cs="Arial"/>
          <w:bCs/>
        </w:rPr>
        <w:t>Transfer</w:t>
      </w:r>
      <w:r w:rsidR="004417A5">
        <w:rPr>
          <w:rFonts w:eastAsiaTheme="minorHAnsi" w:cs="Arial"/>
          <w:bCs/>
        </w:rPr>
        <w:t xml:space="preserve"> Notice </w:t>
      </w:r>
      <w:r>
        <w:rPr>
          <w:rFonts w:eastAsiaTheme="minorHAnsi" w:cs="Arial"/>
          <w:bCs/>
        </w:rPr>
        <w:t xml:space="preserve">must be complete and signed by both the transferee (the </w:t>
      </w:r>
      <w:r w:rsidR="006A4F7D">
        <w:rPr>
          <w:rFonts w:eastAsiaTheme="minorHAnsi" w:cs="Arial"/>
          <w:bCs/>
        </w:rPr>
        <w:t>approved provider</w:t>
      </w:r>
      <w:r>
        <w:rPr>
          <w:rFonts w:eastAsiaTheme="minorHAnsi" w:cs="Arial"/>
          <w:bCs/>
        </w:rPr>
        <w:t xml:space="preserve">) and the transferor (the transferring </w:t>
      </w:r>
      <w:r w:rsidR="006A4F7D">
        <w:rPr>
          <w:rFonts w:eastAsiaTheme="minorHAnsi" w:cs="Arial"/>
          <w:bCs/>
        </w:rPr>
        <w:t>approved provider</w:t>
      </w:r>
      <w:r>
        <w:rPr>
          <w:rFonts w:eastAsiaTheme="minorHAnsi" w:cs="Arial"/>
          <w:bCs/>
        </w:rPr>
        <w:t xml:space="preserve">). </w:t>
      </w:r>
    </w:p>
    <w:p w:rsidR="00433B89" w:rsidRPr="0030408F" w:rsidRDefault="00433B89" w:rsidP="006A745C">
      <w:pPr>
        <w:pStyle w:val="Heading2"/>
        <w:numPr>
          <w:ilvl w:val="0"/>
          <w:numId w:val="0"/>
        </w:numPr>
      </w:pPr>
      <w:bookmarkStart w:id="142" w:name="_Toc435516531"/>
      <w:bookmarkStart w:id="143" w:name="_Toc436227819"/>
      <w:bookmarkStart w:id="144" w:name="_Toc436233665"/>
      <w:bookmarkStart w:id="145" w:name="_Toc436233724"/>
      <w:bookmarkStart w:id="146" w:name="_Toc436993458"/>
      <w:bookmarkStart w:id="147" w:name="_Toc437420187"/>
      <w:bookmarkStart w:id="148" w:name="_Toc437420249"/>
      <w:bookmarkStart w:id="149" w:name="_Toc437436896"/>
      <w:bookmarkStart w:id="150" w:name="_Toc435516532"/>
      <w:bookmarkStart w:id="151" w:name="_Toc436227820"/>
      <w:bookmarkStart w:id="152" w:name="_Toc436233666"/>
      <w:bookmarkStart w:id="153" w:name="_Toc436233725"/>
      <w:bookmarkStart w:id="154" w:name="_Toc436993459"/>
      <w:bookmarkStart w:id="155" w:name="_Toc437420188"/>
      <w:bookmarkStart w:id="156" w:name="_Toc437420250"/>
      <w:bookmarkStart w:id="157" w:name="_Toc437436897"/>
      <w:bookmarkStart w:id="158" w:name="_Toc425934700"/>
      <w:bookmarkStart w:id="159" w:name="_Toc45184634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66725C">
        <w:rPr>
          <w:sz w:val="28"/>
        </w:rPr>
        <w:t xml:space="preserve">Transfer </w:t>
      </w:r>
      <w:r w:rsidR="001C26EC" w:rsidRPr="0066725C">
        <w:rPr>
          <w:sz w:val="28"/>
        </w:rPr>
        <w:t xml:space="preserve">of Operational </w:t>
      </w:r>
      <w:r w:rsidRPr="0066725C">
        <w:rPr>
          <w:sz w:val="28"/>
        </w:rPr>
        <w:t>Aged Care Places</w:t>
      </w:r>
      <w:bookmarkEnd w:id="158"/>
      <w:bookmarkEnd w:id="159"/>
    </w:p>
    <w:p w:rsidR="00487AE6" w:rsidRDefault="004417A5" w:rsidP="00072F87">
      <w:pPr>
        <w:pStyle w:val="Heading3"/>
        <w:ind w:left="284" w:hanging="284"/>
      </w:pPr>
      <w:bookmarkStart w:id="160" w:name="_Toc451846346"/>
      <w:r w:rsidRPr="00433B89">
        <w:rPr>
          <w:rFonts w:eastAsiaTheme="minorHAnsi" w:cs="Arial"/>
          <w:bCs w:val="0"/>
        </w:rPr>
        <w:t>Transfer</w:t>
      </w:r>
      <w:r>
        <w:rPr>
          <w:rFonts w:eastAsiaTheme="minorHAnsi" w:cs="Arial"/>
          <w:bCs w:val="0"/>
        </w:rPr>
        <w:t xml:space="preserve"> Notice</w:t>
      </w:r>
      <w:bookmarkEnd w:id="160"/>
    </w:p>
    <w:p w:rsidR="00433B89" w:rsidRDefault="00B857C3" w:rsidP="00433B89">
      <w:pPr>
        <w:spacing w:after="200" w:line="276" w:lineRule="auto"/>
        <w:rPr>
          <w:rFonts w:eastAsiaTheme="minorHAnsi" w:cs="Arial"/>
          <w:bCs/>
        </w:rPr>
      </w:pPr>
      <w:r>
        <w:rPr>
          <w:rFonts w:eastAsiaTheme="minorHAnsi" w:cs="Arial"/>
          <w:bCs/>
        </w:rPr>
        <w:t>T</w:t>
      </w:r>
      <w:r w:rsidR="00433B89" w:rsidRPr="00433B89">
        <w:rPr>
          <w:rFonts w:eastAsiaTheme="minorHAnsi" w:cs="Arial"/>
          <w:bCs/>
        </w:rPr>
        <w:t xml:space="preserve">he </w:t>
      </w:r>
      <w:r w:rsidR="004417A5" w:rsidRPr="00433B89">
        <w:rPr>
          <w:rFonts w:eastAsiaTheme="minorHAnsi" w:cs="Arial"/>
          <w:bCs/>
        </w:rPr>
        <w:t>Transfer</w:t>
      </w:r>
      <w:r w:rsidR="004417A5">
        <w:rPr>
          <w:rFonts w:eastAsiaTheme="minorHAnsi" w:cs="Arial"/>
          <w:bCs/>
        </w:rPr>
        <w:t xml:space="preserve"> Notice</w:t>
      </w:r>
      <w:r w:rsidR="004417A5" w:rsidDel="004417A5">
        <w:rPr>
          <w:rFonts w:eastAsiaTheme="minorHAnsi" w:cs="Arial"/>
          <w:bCs/>
        </w:rPr>
        <w:t xml:space="preserve"> </w:t>
      </w:r>
      <w:r w:rsidR="00433B89" w:rsidRPr="00433B89">
        <w:rPr>
          <w:rFonts w:eastAsiaTheme="minorHAnsi" w:cs="Arial"/>
          <w:bCs/>
        </w:rPr>
        <w:t xml:space="preserve">must be </w:t>
      </w:r>
      <w:r w:rsidR="00AC40E1">
        <w:rPr>
          <w:rFonts w:eastAsiaTheme="minorHAnsi" w:cs="Arial"/>
          <w:bCs/>
        </w:rPr>
        <w:t xml:space="preserve">submitted </w:t>
      </w:r>
      <w:r w:rsidR="00DF19A7">
        <w:rPr>
          <w:rFonts w:eastAsiaTheme="minorHAnsi" w:cs="Arial"/>
          <w:bCs/>
        </w:rPr>
        <w:t xml:space="preserve">to the Department </w:t>
      </w:r>
      <w:r w:rsidR="00433B89" w:rsidRPr="00433B89">
        <w:rPr>
          <w:rFonts w:eastAsiaTheme="minorHAnsi" w:cs="Arial"/>
          <w:bCs/>
        </w:rPr>
        <w:t>no later than:</w:t>
      </w:r>
    </w:p>
    <w:tbl>
      <w:tblPr>
        <w:tblStyle w:val="TableGrid"/>
        <w:tblW w:w="0" w:type="auto"/>
        <w:tblLook w:val="04A0" w:firstRow="1" w:lastRow="0" w:firstColumn="1" w:lastColumn="0" w:noHBand="0" w:noVBand="1"/>
        <w:tblCaption w:val="Transfer Notices required"/>
        <w:tblDescription w:val="This table shows that a Transfer Notice is required 60 days prior to the transfer date if the transferee is an approved provider and 90 days prior to the transfer date if the transferee is not an approved provider."/>
      </w:tblPr>
      <w:tblGrid>
        <w:gridCol w:w="3652"/>
        <w:gridCol w:w="6202"/>
      </w:tblGrid>
      <w:tr w:rsidR="00DF19A7" w:rsidTr="00B52A7B">
        <w:trPr>
          <w:tblHeader/>
        </w:trPr>
        <w:tc>
          <w:tcPr>
            <w:tcW w:w="3652" w:type="dxa"/>
          </w:tcPr>
          <w:p w:rsidR="00DF19A7" w:rsidRPr="00DF19A7" w:rsidRDefault="00DF19A7" w:rsidP="00DF19A7">
            <w:pPr>
              <w:rPr>
                <w:rFonts w:eastAsiaTheme="minorHAnsi"/>
              </w:rPr>
            </w:pPr>
            <w:r>
              <w:rPr>
                <w:rFonts w:eastAsiaTheme="minorHAnsi"/>
              </w:rPr>
              <w:t>60 da</w:t>
            </w:r>
            <w:r w:rsidRPr="00DF19A7">
              <w:rPr>
                <w:rFonts w:eastAsiaTheme="minorHAnsi"/>
              </w:rPr>
              <w:t>ys before the transfer day</w:t>
            </w:r>
            <w:r>
              <w:rPr>
                <w:rFonts w:eastAsiaTheme="minorHAnsi"/>
              </w:rPr>
              <w:t xml:space="preserve"> *</w:t>
            </w:r>
          </w:p>
        </w:tc>
        <w:tc>
          <w:tcPr>
            <w:tcW w:w="6202" w:type="dxa"/>
          </w:tcPr>
          <w:p w:rsidR="00DF19A7" w:rsidRDefault="00DF19A7" w:rsidP="00DF19A7">
            <w:pPr>
              <w:rPr>
                <w:rFonts w:eastAsiaTheme="minorHAnsi"/>
              </w:rPr>
            </w:pPr>
            <w:r>
              <w:rPr>
                <w:rFonts w:eastAsiaTheme="minorHAnsi"/>
              </w:rPr>
              <w:t>I</w:t>
            </w:r>
            <w:r w:rsidRPr="00DF19A7">
              <w:rPr>
                <w:rFonts w:eastAsiaTheme="minorHAnsi"/>
              </w:rPr>
              <w:t xml:space="preserve">f the transferee is an approved provider </w:t>
            </w:r>
          </w:p>
        </w:tc>
      </w:tr>
      <w:tr w:rsidR="00DF19A7" w:rsidTr="00DF19A7">
        <w:tc>
          <w:tcPr>
            <w:tcW w:w="3652" w:type="dxa"/>
          </w:tcPr>
          <w:p w:rsidR="00DF19A7" w:rsidRPr="00DF19A7" w:rsidRDefault="00DF19A7" w:rsidP="00DF19A7">
            <w:pPr>
              <w:rPr>
                <w:rFonts w:eastAsiaTheme="minorHAnsi"/>
              </w:rPr>
            </w:pPr>
            <w:r>
              <w:rPr>
                <w:rFonts w:eastAsiaTheme="minorHAnsi" w:cs="Arial"/>
                <w:bCs/>
              </w:rPr>
              <w:t xml:space="preserve">90 </w:t>
            </w:r>
            <w:r w:rsidRPr="00DF19A7">
              <w:rPr>
                <w:rFonts w:eastAsiaTheme="minorHAnsi" w:cs="Arial"/>
                <w:bCs/>
              </w:rPr>
              <w:t>days before the transfer day</w:t>
            </w:r>
            <w:r>
              <w:rPr>
                <w:rFonts w:eastAsiaTheme="minorHAnsi" w:cs="Arial"/>
                <w:bCs/>
              </w:rPr>
              <w:t xml:space="preserve"> *</w:t>
            </w:r>
          </w:p>
        </w:tc>
        <w:tc>
          <w:tcPr>
            <w:tcW w:w="6202" w:type="dxa"/>
          </w:tcPr>
          <w:p w:rsidR="00DF19A7" w:rsidRPr="00DF19A7" w:rsidRDefault="00DF19A7" w:rsidP="00DF19A7">
            <w:pPr>
              <w:spacing w:before="0" w:after="200" w:line="276" w:lineRule="auto"/>
              <w:rPr>
                <w:rFonts w:eastAsiaTheme="minorHAnsi" w:cs="Arial"/>
                <w:bCs/>
              </w:rPr>
            </w:pPr>
            <w:r>
              <w:rPr>
                <w:rFonts w:eastAsiaTheme="minorHAnsi" w:cs="Arial"/>
                <w:bCs/>
              </w:rPr>
              <w:t>I</w:t>
            </w:r>
            <w:r w:rsidRPr="00DF19A7">
              <w:rPr>
                <w:rFonts w:eastAsiaTheme="minorHAnsi" w:cs="Arial"/>
                <w:bCs/>
              </w:rPr>
              <w:t>f the transferee is not an approved provider, or has its approval limited to a particular type of care which does not include t</w:t>
            </w:r>
            <w:r>
              <w:rPr>
                <w:rFonts w:eastAsiaTheme="minorHAnsi" w:cs="Arial"/>
                <w:bCs/>
              </w:rPr>
              <w:t>he care type</w:t>
            </w:r>
            <w:r w:rsidR="007B30A1">
              <w:rPr>
                <w:rFonts w:eastAsiaTheme="minorHAnsi" w:cs="Arial"/>
                <w:bCs/>
              </w:rPr>
              <w:t xml:space="preserve"> of the places</w:t>
            </w:r>
            <w:r>
              <w:rPr>
                <w:rFonts w:eastAsiaTheme="minorHAnsi" w:cs="Arial"/>
                <w:bCs/>
              </w:rPr>
              <w:t xml:space="preserve"> being transferred</w:t>
            </w:r>
          </w:p>
        </w:tc>
      </w:tr>
    </w:tbl>
    <w:p w:rsidR="00433B89" w:rsidRDefault="00DF19A7" w:rsidP="00DF19A7">
      <w:pPr>
        <w:tabs>
          <w:tab w:val="left" w:pos="851"/>
        </w:tabs>
        <w:spacing w:after="200" w:line="276" w:lineRule="auto"/>
        <w:ind w:left="1134" w:hanging="1134"/>
        <w:rPr>
          <w:rFonts w:eastAsiaTheme="minorHAnsi" w:cs="Arial"/>
          <w:bCs/>
        </w:rPr>
      </w:pPr>
      <w:r>
        <w:rPr>
          <w:rFonts w:eastAsiaTheme="minorHAnsi" w:cs="Arial"/>
          <w:b/>
          <w:bCs/>
        </w:rPr>
        <w:t>Note:</w:t>
      </w:r>
      <w:r>
        <w:rPr>
          <w:rFonts w:eastAsiaTheme="minorHAnsi" w:cs="Arial"/>
          <w:bCs/>
        </w:rPr>
        <w:tab/>
        <w:t>(*)</w:t>
      </w:r>
      <w:r>
        <w:rPr>
          <w:rFonts w:eastAsiaTheme="minorHAnsi" w:cs="Arial"/>
          <w:bCs/>
        </w:rPr>
        <w:tab/>
      </w:r>
      <w:r w:rsidR="007B30A1">
        <w:rPr>
          <w:rFonts w:eastAsiaTheme="minorHAnsi" w:cs="Arial"/>
          <w:bCs/>
        </w:rPr>
        <w:t xml:space="preserve">a shorter period may be approved if requested and approved as justified in the circumstances by the Secretary. </w:t>
      </w:r>
      <w:r w:rsidR="00433B89" w:rsidRPr="00433B89">
        <w:rPr>
          <w:rFonts w:eastAsiaTheme="minorHAnsi" w:cs="Arial"/>
          <w:bCs/>
        </w:rPr>
        <w:t xml:space="preserve"> </w:t>
      </w:r>
    </w:p>
    <w:p w:rsidR="00104016" w:rsidRDefault="00104016" w:rsidP="00104016">
      <w:r>
        <w:t xml:space="preserve">The approved Transfer Notice form can be downloaded from the Department’s website </w:t>
      </w:r>
      <w:r w:rsidR="00332C38">
        <w:t>(</w:t>
      </w:r>
      <w:hyperlink r:id="rId38" w:history="1">
        <w:r w:rsidR="00332C38" w:rsidRPr="00332C38">
          <w:rPr>
            <w:rStyle w:val="Hyperlink"/>
          </w:rPr>
          <w:t>click here</w:t>
        </w:r>
      </w:hyperlink>
      <w:r w:rsidR="00332C38">
        <w:t>)</w:t>
      </w:r>
    </w:p>
    <w:p w:rsidR="00551A06" w:rsidRDefault="00551A06" w:rsidP="00267525">
      <w:pPr>
        <w:tabs>
          <w:tab w:val="left" w:pos="851"/>
        </w:tabs>
        <w:spacing w:after="200" w:line="276" w:lineRule="auto"/>
        <w:rPr>
          <w:rFonts w:eastAsiaTheme="minorHAnsi" w:cs="Arial"/>
          <w:bCs/>
        </w:rPr>
      </w:pPr>
      <w:r>
        <w:rPr>
          <w:rFonts w:eastAsiaTheme="minorHAnsi" w:cs="Arial"/>
          <w:bCs/>
        </w:rPr>
        <w:t>On receipt of the</w:t>
      </w:r>
      <w:r w:rsidR="004417A5" w:rsidRPr="004417A5">
        <w:rPr>
          <w:rFonts w:eastAsiaTheme="minorHAnsi" w:cs="Arial"/>
          <w:bCs/>
        </w:rPr>
        <w:t xml:space="preserve"> </w:t>
      </w:r>
      <w:r w:rsidR="004417A5" w:rsidRPr="00267525">
        <w:rPr>
          <w:rFonts w:eastAsiaTheme="minorHAnsi" w:cs="Arial"/>
          <w:bCs/>
          <w:u w:val="single"/>
        </w:rPr>
        <w:t>Transfer Notice</w:t>
      </w:r>
      <w:r w:rsidR="00061A62">
        <w:rPr>
          <w:rFonts w:eastAsiaTheme="minorHAnsi" w:cs="Arial"/>
          <w:bCs/>
        </w:rPr>
        <w:t>,</w:t>
      </w:r>
      <w:r>
        <w:rPr>
          <w:rFonts w:eastAsiaTheme="minorHAnsi" w:cs="Arial"/>
          <w:bCs/>
        </w:rPr>
        <w:t xml:space="preserve"> the Secretary will consider whether or not the transfer should be vetoed. </w:t>
      </w:r>
      <w:r w:rsidR="00D45ACE" w:rsidRPr="00947998">
        <w:rPr>
          <w:rFonts w:cs="Arial"/>
          <w:bCs/>
        </w:rPr>
        <w:t xml:space="preserve">The matters the Secretary must consider are listed in Section 16-3 (16-14 for transfers of provisionally allocated places) of the </w:t>
      </w:r>
      <w:r w:rsidR="00D45ACE" w:rsidRPr="0066725C">
        <w:rPr>
          <w:rFonts w:cs="Arial"/>
          <w:bCs/>
        </w:rPr>
        <w:t xml:space="preserve">Act </w:t>
      </w:r>
      <w:r w:rsidR="00D45ACE" w:rsidRPr="00947998">
        <w:rPr>
          <w:rFonts w:cs="Arial"/>
          <w:bCs/>
        </w:rPr>
        <w:t xml:space="preserve"> and Section 48 of the</w:t>
      </w:r>
      <w:r w:rsidR="00D45ACE" w:rsidRPr="00947998">
        <w:rPr>
          <w:rFonts w:cs="Arial"/>
          <w:bCs/>
          <w:i/>
          <w:iCs/>
        </w:rPr>
        <w:t xml:space="preserve"> </w:t>
      </w:r>
      <w:r w:rsidR="00D45ACE" w:rsidRPr="0066725C">
        <w:rPr>
          <w:rFonts w:cs="Arial"/>
          <w:bCs/>
          <w:iCs/>
        </w:rPr>
        <w:t>Allocation Principles</w:t>
      </w:r>
      <w:r w:rsidR="00D45ACE" w:rsidRPr="00ED11E8">
        <w:rPr>
          <w:rFonts w:cs="Arial"/>
          <w:bCs/>
        </w:rPr>
        <w:t>.</w:t>
      </w:r>
    </w:p>
    <w:p w:rsidR="00487AE6" w:rsidRDefault="00487AE6" w:rsidP="0066725C">
      <w:pPr>
        <w:pStyle w:val="Heading3"/>
      </w:pPr>
      <w:bookmarkStart w:id="161" w:name="_Toc451846347"/>
      <w:r>
        <w:t>Notice to Resolve</w:t>
      </w:r>
      <w:bookmarkEnd w:id="161"/>
    </w:p>
    <w:p w:rsidR="00D445BC" w:rsidRDefault="00D45ACE" w:rsidP="00D445BC">
      <w:pPr>
        <w:rPr>
          <w:rFonts w:cs="Arial"/>
          <w:bCs/>
        </w:rPr>
      </w:pPr>
      <w:r w:rsidRPr="00A4488A">
        <w:rPr>
          <w:rFonts w:cs="Arial"/>
          <w:bCs/>
        </w:rPr>
        <w:t>Where the Transfer Notice raises concerns for the Secretary, the S</w:t>
      </w:r>
      <w:r w:rsidRPr="00223551">
        <w:rPr>
          <w:rFonts w:cs="Arial"/>
          <w:bCs/>
        </w:rPr>
        <w:t xml:space="preserve">ecretary may issue a </w:t>
      </w:r>
      <w:r w:rsidRPr="009A6C90">
        <w:rPr>
          <w:rFonts w:cs="Arial"/>
          <w:bCs/>
          <w:u w:val="single"/>
        </w:rPr>
        <w:t>Notice to Resolve</w:t>
      </w:r>
      <w:r w:rsidRPr="002B0878">
        <w:rPr>
          <w:rFonts w:cs="Arial"/>
          <w:bCs/>
        </w:rPr>
        <w:t xml:space="preserve"> </w:t>
      </w:r>
      <w:r>
        <w:rPr>
          <w:rFonts w:cs="Arial"/>
          <w:bCs/>
        </w:rPr>
        <w:t>to the</w:t>
      </w:r>
      <w:r w:rsidRPr="00223551">
        <w:rPr>
          <w:rFonts w:cs="Arial"/>
          <w:bCs/>
        </w:rPr>
        <w:t xml:space="preserve"> transferor and transferee. The </w:t>
      </w:r>
      <w:r w:rsidRPr="009A6C90">
        <w:rPr>
          <w:rFonts w:cs="Arial"/>
          <w:bCs/>
          <w:u w:val="single"/>
        </w:rPr>
        <w:t>Notice to Resolve</w:t>
      </w:r>
      <w:r w:rsidRPr="002B0878">
        <w:rPr>
          <w:rFonts w:cs="Arial"/>
          <w:bCs/>
        </w:rPr>
        <w:t xml:space="preserve"> will specify:</w:t>
      </w:r>
      <w:r>
        <w:rPr>
          <w:rFonts w:cs="Arial"/>
          <w:bCs/>
        </w:rPr>
        <w:t xml:space="preserve"> </w:t>
      </w:r>
    </w:p>
    <w:p w:rsidR="00D445BC" w:rsidRDefault="00C274C2" w:rsidP="00D445BC">
      <w:pPr>
        <w:pStyle w:val="ListParagraph"/>
        <w:numPr>
          <w:ilvl w:val="0"/>
          <w:numId w:val="11"/>
        </w:numPr>
        <w:spacing w:after="200" w:line="276" w:lineRule="auto"/>
        <w:rPr>
          <w:rFonts w:eastAsiaTheme="minorHAnsi" w:cs="Arial"/>
          <w:bCs/>
        </w:rPr>
      </w:pPr>
      <w:r>
        <w:rPr>
          <w:rFonts w:eastAsiaTheme="minorHAnsi" w:cs="Arial"/>
          <w:bCs/>
        </w:rPr>
        <w:t>t</w:t>
      </w:r>
      <w:r w:rsidR="00D445BC">
        <w:rPr>
          <w:rFonts w:eastAsiaTheme="minorHAnsi" w:cs="Arial"/>
          <w:bCs/>
        </w:rPr>
        <w:t>he issues that are of concern;</w:t>
      </w:r>
    </w:p>
    <w:p w:rsidR="00D445BC" w:rsidRDefault="00C274C2" w:rsidP="00D445BC">
      <w:pPr>
        <w:pStyle w:val="ListParagraph"/>
        <w:numPr>
          <w:ilvl w:val="0"/>
          <w:numId w:val="11"/>
        </w:numPr>
        <w:spacing w:after="200" w:line="276" w:lineRule="auto"/>
        <w:rPr>
          <w:rFonts w:eastAsiaTheme="minorHAnsi" w:cs="Arial"/>
          <w:bCs/>
        </w:rPr>
      </w:pPr>
      <w:r>
        <w:rPr>
          <w:rFonts w:eastAsiaTheme="minorHAnsi" w:cs="Arial"/>
          <w:bCs/>
        </w:rPr>
        <w:t>t</w:t>
      </w:r>
      <w:r w:rsidR="00D445BC">
        <w:rPr>
          <w:rFonts w:eastAsiaTheme="minorHAnsi" w:cs="Arial"/>
          <w:bCs/>
        </w:rPr>
        <w:t xml:space="preserve">he actions to be taken to resolve the issues; </w:t>
      </w:r>
    </w:p>
    <w:p w:rsidR="00D445BC" w:rsidRDefault="00C274C2" w:rsidP="00D445BC">
      <w:pPr>
        <w:pStyle w:val="ListParagraph"/>
        <w:numPr>
          <w:ilvl w:val="0"/>
          <w:numId w:val="11"/>
        </w:numPr>
        <w:spacing w:after="200" w:line="276" w:lineRule="auto"/>
        <w:rPr>
          <w:rFonts w:eastAsiaTheme="minorHAnsi" w:cs="Arial"/>
          <w:bCs/>
        </w:rPr>
      </w:pPr>
      <w:r>
        <w:rPr>
          <w:rFonts w:eastAsiaTheme="minorHAnsi" w:cs="Arial"/>
          <w:bCs/>
        </w:rPr>
        <w:t>w</w:t>
      </w:r>
      <w:r w:rsidR="00D445BC">
        <w:rPr>
          <w:rFonts w:eastAsiaTheme="minorHAnsi" w:cs="Arial"/>
          <w:bCs/>
        </w:rPr>
        <w:t>ho is to resolve the issue; and</w:t>
      </w:r>
    </w:p>
    <w:p w:rsidR="00D445BC" w:rsidRPr="00FE6549" w:rsidRDefault="00C274C2" w:rsidP="00D445BC">
      <w:pPr>
        <w:pStyle w:val="ListParagraph"/>
        <w:numPr>
          <w:ilvl w:val="0"/>
          <w:numId w:val="11"/>
        </w:numPr>
        <w:spacing w:after="200" w:line="276" w:lineRule="auto"/>
        <w:rPr>
          <w:rFonts w:eastAsiaTheme="minorHAnsi" w:cs="Arial"/>
          <w:bCs/>
        </w:rPr>
      </w:pPr>
      <w:r>
        <w:rPr>
          <w:rFonts w:eastAsiaTheme="minorHAnsi" w:cs="Arial"/>
          <w:bCs/>
        </w:rPr>
        <w:t>t</w:t>
      </w:r>
      <w:r w:rsidR="00D445BC">
        <w:rPr>
          <w:rFonts w:eastAsiaTheme="minorHAnsi" w:cs="Arial"/>
          <w:bCs/>
        </w:rPr>
        <w:t xml:space="preserve">hat if the issue remains of concern to the Secretary, the Secretary may issue a veto notice after receipt of submissions. </w:t>
      </w:r>
    </w:p>
    <w:p w:rsidR="006C052D" w:rsidRDefault="003D1716" w:rsidP="00433B89">
      <w:pPr>
        <w:spacing w:after="200" w:line="276" w:lineRule="auto"/>
        <w:rPr>
          <w:rFonts w:eastAsiaTheme="minorHAnsi" w:cs="Arial"/>
          <w:bCs/>
        </w:rPr>
      </w:pPr>
      <w:r>
        <w:rPr>
          <w:rFonts w:eastAsiaTheme="minorHAnsi" w:cs="Arial"/>
          <w:bCs/>
        </w:rPr>
        <w:t xml:space="preserve">A </w:t>
      </w:r>
      <w:r w:rsidRPr="00267525">
        <w:rPr>
          <w:rFonts w:eastAsiaTheme="minorHAnsi" w:cs="Arial"/>
          <w:bCs/>
          <w:u w:val="single"/>
        </w:rPr>
        <w:t>Notice to Resolve</w:t>
      </w:r>
      <w:r>
        <w:rPr>
          <w:rFonts w:eastAsiaTheme="minorHAnsi" w:cs="Arial"/>
          <w:bCs/>
        </w:rPr>
        <w:t xml:space="preserve"> can only be issued in the 28 days after the Secretary receives the </w:t>
      </w:r>
      <w:r w:rsidRPr="00267525">
        <w:rPr>
          <w:rFonts w:eastAsiaTheme="minorHAnsi" w:cs="Arial"/>
          <w:bCs/>
          <w:u w:val="single"/>
        </w:rPr>
        <w:t>Notice to Transfer</w:t>
      </w:r>
      <w:r>
        <w:rPr>
          <w:rFonts w:eastAsiaTheme="minorHAnsi" w:cs="Arial"/>
          <w:bCs/>
        </w:rPr>
        <w:t xml:space="preserve">. </w:t>
      </w:r>
      <w:r w:rsidR="00D445BC">
        <w:rPr>
          <w:rFonts w:eastAsiaTheme="minorHAnsi" w:cs="Arial"/>
          <w:bCs/>
        </w:rPr>
        <w:t xml:space="preserve">Both the transferor and the transferee have </w:t>
      </w:r>
      <w:r w:rsidR="00B35892">
        <w:rPr>
          <w:rFonts w:eastAsiaTheme="minorHAnsi" w:cs="Arial"/>
          <w:bCs/>
        </w:rPr>
        <w:t xml:space="preserve">28 days to make written submissions to the Secretary addressing the issues. </w:t>
      </w:r>
      <w:r w:rsidR="00543A34" w:rsidRPr="00947998">
        <w:rPr>
          <w:rFonts w:cs="Arial"/>
          <w:bCs/>
        </w:rPr>
        <w:t xml:space="preserve">If the issues identified in the </w:t>
      </w:r>
      <w:r w:rsidR="00543A34" w:rsidRPr="00947998">
        <w:rPr>
          <w:rFonts w:cs="Arial"/>
          <w:bCs/>
          <w:u w:val="single"/>
        </w:rPr>
        <w:t>Notice to Resolve</w:t>
      </w:r>
      <w:r w:rsidR="00543A34" w:rsidRPr="00947998">
        <w:rPr>
          <w:rFonts w:cs="Arial"/>
          <w:bCs/>
        </w:rPr>
        <w:t xml:space="preserve"> are not resolved, or the Department is not notified of their resolution, the Secretary may also issue a </w:t>
      </w:r>
      <w:r w:rsidR="00543A34" w:rsidRPr="00947998">
        <w:rPr>
          <w:rFonts w:cs="Arial"/>
          <w:bCs/>
          <w:u w:val="single"/>
        </w:rPr>
        <w:t>Veto Notice</w:t>
      </w:r>
      <w:r w:rsidR="00543A34" w:rsidRPr="0066725C">
        <w:rPr>
          <w:rFonts w:cs="Arial"/>
          <w:bCs/>
        </w:rPr>
        <w:t>.</w:t>
      </w:r>
    </w:p>
    <w:p w:rsidR="006C052D" w:rsidRDefault="006C38F8" w:rsidP="006C052D">
      <w:pPr>
        <w:rPr>
          <w:rFonts w:eastAsiaTheme="minorHAnsi"/>
        </w:rPr>
      </w:pPr>
      <w:r>
        <w:rPr>
          <w:rFonts w:eastAsiaTheme="minorHAnsi"/>
        </w:rPr>
        <w:t xml:space="preserve">When a </w:t>
      </w:r>
      <w:r w:rsidRPr="00267525">
        <w:rPr>
          <w:rFonts w:eastAsiaTheme="minorHAnsi"/>
          <w:u w:val="single"/>
        </w:rPr>
        <w:t>Notice to Resolve</w:t>
      </w:r>
      <w:r>
        <w:rPr>
          <w:rFonts w:eastAsiaTheme="minorHAnsi"/>
        </w:rPr>
        <w:t xml:space="preserve"> is issued, the transfer day is </w:t>
      </w:r>
      <w:r w:rsidR="00061A62">
        <w:rPr>
          <w:rFonts w:eastAsiaTheme="minorHAnsi"/>
        </w:rPr>
        <w:t xml:space="preserve">extended by </w:t>
      </w:r>
      <w:r>
        <w:rPr>
          <w:rFonts w:eastAsiaTheme="minorHAnsi"/>
        </w:rPr>
        <w:t>28 days and becomes the 29</w:t>
      </w:r>
      <w:r w:rsidRPr="00267525">
        <w:rPr>
          <w:rFonts w:eastAsiaTheme="minorHAnsi"/>
          <w:vertAlign w:val="superscript"/>
        </w:rPr>
        <w:t>th</w:t>
      </w:r>
      <w:r>
        <w:rPr>
          <w:rFonts w:eastAsiaTheme="minorHAnsi"/>
        </w:rPr>
        <w:t xml:space="preserve"> day after the day the transfer was to occur</w:t>
      </w:r>
      <w:r w:rsidR="00C274C2">
        <w:rPr>
          <w:rFonts w:eastAsiaTheme="minorHAnsi"/>
        </w:rPr>
        <w:t xml:space="preserve">, </w:t>
      </w:r>
      <w:r>
        <w:rPr>
          <w:rFonts w:eastAsiaTheme="minorHAnsi"/>
        </w:rPr>
        <w:t xml:space="preserve">prior to the </w:t>
      </w:r>
      <w:r w:rsidRPr="00267525">
        <w:rPr>
          <w:rFonts w:eastAsiaTheme="minorHAnsi"/>
          <w:u w:val="single"/>
        </w:rPr>
        <w:t>Notice to Resolve</w:t>
      </w:r>
      <w:r>
        <w:rPr>
          <w:rFonts w:eastAsiaTheme="minorHAnsi"/>
        </w:rPr>
        <w:t xml:space="preserve"> being issued (which is usually the transfer day specified in the </w:t>
      </w:r>
      <w:r w:rsidR="00565F22" w:rsidRPr="00267525">
        <w:rPr>
          <w:rFonts w:eastAsiaTheme="minorHAnsi" w:cs="Arial"/>
          <w:bCs/>
          <w:u w:val="single"/>
        </w:rPr>
        <w:t>Transfer</w:t>
      </w:r>
      <w:r w:rsidR="00A3179A">
        <w:rPr>
          <w:rFonts w:eastAsiaTheme="minorHAnsi" w:cs="Arial"/>
          <w:bCs/>
          <w:u w:val="single"/>
        </w:rPr>
        <w:t xml:space="preserve"> Notice</w:t>
      </w:r>
      <w:r>
        <w:rPr>
          <w:rFonts w:eastAsiaTheme="minorHAnsi"/>
        </w:rPr>
        <w:t>).</w:t>
      </w:r>
    </w:p>
    <w:p w:rsidR="00433B89" w:rsidRDefault="00433B89" w:rsidP="006276E7">
      <w:pPr>
        <w:pStyle w:val="Heading3"/>
        <w:ind w:left="426" w:hanging="426"/>
        <w:rPr>
          <w:rFonts w:eastAsiaTheme="minorHAnsi"/>
        </w:rPr>
      </w:pPr>
      <w:bookmarkStart w:id="162" w:name="_Toc425934704"/>
      <w:bookmarkStart w:id="163" w:name="_Toc451846348"/>
      <w:r>
        <w:rPr>
          <w:rFonts w:eastAsiaTheme="minorHAnsi"/>
        </w:rPr>
        <w:t xml:space="preserve">Vetoing the </w:t>
      </w:r>
      <w:r w:rsidR="004417A5" w:rsidRPr="00433B89">
        <w:rPr>
          <w:rFonts w:eastAsiaTheme="minorHAnsi" w:cs="Arial"/>
          <w:bCs w:val="0"/>
        </w:rPr>
        <w:t>Transfer</w:t>
      </w:r>
      <w:r w:rsidR="004417A5">
        <w:rPr>
          <w:rFonts w:eastAsiaTheme="minorHAnsi" w:cs="Arial"/>
          <w:bCs w:val="0"/>
        </w:rPr>
        <w:t xml:space="preserve"> Notice</w:t>
      </w:r>
      <w:bookmarkEnd w:id="162"/>
      <w:bookmarkEnd w:id="163"/>
    </w:p>
    <w:p w:rsidR="00551A06" w:rsidRDefault="00CE79B3" w:rsidP="00267525">
      <w:pPr>
        <w:spacing w:after="0" w:line="276" w:lineRule="auto"/>
        <w:rPr>
          <w:rFonts w:eastAsiaTheme="minorHAnsi" w:cs="Arial"/>
          <w:bCs/>
        </w:rPr>
      </w:pPr>
      <w:r>
        <w:rPr>
          <w:rFonts w:eastAsiaTheme="minorHAnsi" w:cs="Arial"/>
          <w:bCs/>
        </w:rPr>
        <w:t xml:space="preserve">The </w:t>
      </w:r>
      <w:r w:rsidR="009457FF">
        <w:rPr>
          <w:rFonts w:eastAsiaTheme="minorHAnsi" w:cs="Arial"/>
          <w:bCs/>
        </w:rPr>
        <w:t xml:space="preserve">Secretary </w:t>
      </w:r>
      <w:r w:rsidR="008E552F">
        <w:rPr>
          <w:rFonts w:eastAsiaTheme="minorHAnsi" w:cs="Arial"/>
          <w:bCs/>
        </w:rPr>
        <w:t xml:space="preserve">can veto a transfer of places </w:t>
      </w:r>
      <w:r>
        <w:rPr>
          <w:rFonts w:eastAsiaTheme="minorHAnsi" w:cs="Arial"/>
          <w:bCs/>
        </w:rPr>
        <w:t xml:space="preserve">up until </w:t>
      </w:r>
      <w:r w:rsidR="00220CA5">
        <w:rPr>
          <w:rFonts w:eastAsiaTheme="minorHAnsi" w:cs="Arial"/>
          <w:bCs/>
        </w:rPr>
        <w:t>seven</w:t>
      </w:r>
      <w:r>
        <w:rPr>
          <w:rFonts w:eastAsiaTheme="minorHAnsi" w:cs="Arial"/>
          <w:bCs/>
        </w:rPr>
        <w:t xml:space="preserve"> days prior to the proposed transfer date</w:t>
      </w:r>
      <w:r w:rsidR="009457FF">
        <w:rPr>
          <w:rFonts w:eastAsiaTheme="minorHAnsi" w:cs="Arial"/>
          <w:bCs/>
        </w:rPr>
        <w:t xml:space="preserve">. Circumstances in which the Secretary </w:t>
      </w:r>
      <w:r w:rsidR="00D445BC">
        <w:rPr>
          <w:rFonts w:eastAsiaTheme="minorHAnsi" w:cs="Arial"/>
          <w:bCs/>
        </w:rPr>
        <w:t>may</w:t>
      </w:r>
      <w:r w:rsidR="009457FF">
        <w:rPr>
          <w:rFonts w:eastAsiaTheme="minorHAnsi" w:cs="Arial"/>
          <w:bCs/>
        </w:rPr>
        <w:t xml:space="preserve"> veto the transfer include when</w:t>
      </w:r>
      <w:r w:rsidR="008E552F">
        <w:rPr>
          <w:rFonts w:eastAsiaTheme="minorHAnsi" w:cs="Arial"/>
          <w:bCs/>
        </w:rPr>
        <w:t>:</w:t>
      </w:r>
    </w:p>
    <w:p w:rsidR="00551A06" w:rsidRPr="00FE6549" w:rsidRDefault="00551A06" w:rsidP="00267525">
      <w:pPr>
        <w:pStyle w:val="ListParagraph"/>
        <w:numPr>
          <w:ilvl w:val="0"/>
          <w:numId w:val="31"/>
        </w:numPr>
        <w:spacing w:before="0" w:after="0" w:line="276" w:lineRule="auto"/>
        <w:rPr>
          <w:rFonts w:eastAsiaTheme="minorHAnsi" w:cs="Arial"/>
          <w:bCs/>
        </w:rPr>
      </w:pPr>
      <w:r w:rsidRPr="00FE6549">
        <w:rPr>
          <w:rFonts w:eastAsiaTheme="minorHAnsi" w:cs="Arial"/>
          <w:bCs/>
        </w:rPr>
        <w:lastRenderedPageBreak/>
        <w:t xml:space="preserve">a </w:t>
      </w:r>
      <w:r w:rsidR="00A3179A" w:rsidRPr="00267525">
        <w:rPr>
          <w:rFonts w:eastAsiaTheme="minorHAnsi" w:cs="Arial"/>
          <w:bCs/>
          <w:u w:val="single"/>
        </w:rPr>
        <w:t>N</w:t>
      </w:r>
      <w:r w:rsidRPr="00267525">
        <w:rPr>
          <w:rFonts w:eastAsiaTheme="minorHAnsi" w:cs="Arial"/>
          <w:bCs/>
          <w:u w:val="single"/>
        </w:rPr>
        <w:t xml:space="preserve">otice to </w:t>
      </w:r>
      <w:r w:rsidR="00A3179A" w:rsidRPr="00267525">
        <w:rPr>
          <w:rFonts w:eastAsiaTheme="minorHAnsi" w:cs="Arial"/>
          <w:bCs/>
          <w:u w:val="single"/>
        </w:rPr>
        <w:t>R</w:t>
      </w:r>
      <w:r w:rsidRPr="00267525">
        <w:rPr>
          <w:rFonts w:eastAsiaTheme="minorHAnsi" w:cs="Arial"/>
          <w:bCs/>
          <w:u w:val="single"/>
        </w:rPr>
        <w:t>esolve</w:t>
      </w:r>
      <w:r w:rsidRPr="00FE6549">
        <w:rPr>
          <w:rFonts w:eastAsiaTheme="minorHAnsi" w:cs="Arial"/>
          <w:bCs/>
        </w:rPr>
        <w:t xml:space="preserve"> has been given in respect of the transfer and issues specified in that notice remain of concern to the Secretary; or </w:t>
      </w:r>
    </w:p>
    <w:p w:rsidR="00BD4845" w:rsidRDefault="00BD4845" w:rsidP="00267525">
      <w:pPr>
        <w:pStyle w:val="ListParagraph"/>
        <w:numPr>
          <w:ilvl w:val="0"/>
          <w:numId w:val="31"/>
        </w:numPr>
        <w:spacing w:after="200" w:line="276" w:lineRule="auto"/>
        <w:rPr>
          <w:rFonts w:eastAsiaTheme="minorHAnsi" w:cs="Arial"/>
          <w:bCs/>
        </w:rPr>
      </w:pPr>
      <w:r w:rsidRPr="00947998">
        <w:rPr>
          <w:rFonts w:cs="Arial"/>
          <w:bCs/>
        </w:rPr>
        <w:t>the Secretary is not satisfied of the matters in section 16-3 in relation to the transfer of operational places (16-13 for provisionally allocated places);  or</w:t>
      </w:r>
      <w:r w:rsidRPr="00AD2CFB" w:rsidDel="00BD4845">
        <w:rPr>
          <w:rFonts w:eastAsiaTheme="minorHAnsi" w:cs="Arial"/>
          <w:bCs/>
        </w:rPr>
        <w:t xml:space="preserve"> </w:t>
      </w:r>
    </w:p>
    <w:p w:rsidR="00BD4845" w:rsidRPr="006A745C" w:rsidRDefault="00BD4845" w:rsidP="00267525">
      <w:pPr>
        <w:pStyle w:val="ListParagraph"/>
        <w:numPr>
          <w:ilvl w:val="0"/>
          <w:numId w:val="31"/>
        </w:numPr>
        <w:spacing w:after="200" w:line="276" w:lineRule="auto"/>
        <w:rPr>
          <w:rFonts w:eastAsiaTheme="minorHAnsi" w:cs="Arial"/>
          <w:bCs/>
        </w:rPr>
      </w:pPr>
      <w:r w:rsidRPr="00947998">
        <w:rPr>
          <w:rFonts w:cs="Arial"/>
          <w:bCs/>
        </w:rPr>
        <w:t>for cases where the transfer would result in residential care in respect of the place being provided through a residential care service in a different location where that residential care service has, or a distinct part of the service has, extra service status – neither subsection 16-7(1) nor (2) applies in relation to the transfer (see</w:t>
      </w:r>
      <w:r w:rsidR="00083C94">
        <w:rPr>
          <w:rFonts w:cs="Arial"/>
          <w:bCs/>
        </w:rPr>
        <w:t xml:space="preserve"> under Allowing the transfer to proceed</w:t>
      </w:r>
      <w:r w:rsidRPr="00947998">
        <w:rPr>
          <w:rFonts w:cs="Arial"/>
          <w:bCs/>
        </w:rPr>
        <w:t>); or</w:t>
      </w:r>
    </w:p>
    <w:p w:rsidR="009457FF" w:rsidRPr="00FE6549" w:rsidRDefault="009457FF" w:rsidP="00267525">
      <w:pPr>
        <w:pStyle w:val="ListParagraph"/>
        <w:numPr>
          <w:ilvl w:val="0"/>
          <w:numId w:val="31"/>
        </w:numPr>
        <w:spacing w:after="200" w:line="276" w:lineRule="auto"/>
        <w:rPr>
          <w:rFonts w:eastAsiaTheme="minorHAnsi" w:cs="Arial"/>
          <w:bCs/>
        </w:rPr>
      </w:pPr>
      <w:r w:rsidRPr="00604BE4">
        <w:rPr>
          <w:rFonts w:eastAsiaTheme="minorHAnsi" w:cs="Arial"/>
          <w:bCs/>
        </w:rPr>
        <w:t>the proposed transfer would result in the place being transferred to another</w:t>
      </w:r>
      <w:r w:rsidR="006A4F7D">
        <w:rPr>
          <w:rFonts w:eastAsiaTheme="minorHAnsi" w:cs="Arial"/>
          <w:bCs/>
        </w:rPr>
        <w:t xml:space="preserve"> aged care planning region,</w:t>
      </w:r>
      <w:r w:rsidRPr="00604BE4">
        <w:rPr>
          <w:rFonts w:eastAsiaTheme="minorHAnsi" w:cs="Arial"/>
          <w:bCs/>
        </w:rPr>
        <w:t xml:space="preserve"> State or Territory; or </w:t>
      </w:r>
    </w:p>
    <w:p w:rsidR="00551A06" w:rsidRPr="009457FF" w:rsidRDefault="00551A06" w:rsidP="00267525">
      <w:pPr>
        <w:pStyle w:val="ListParagraph"/>
        <w:numPr>
          <w:ilvl w:val="0"/>
          <w:numId w:val="31"/>
        </w:numPr>
        <w:spacing w:after="200" w:line="276" w:lineRule="auto"/>
        <w:rPr>
          <w:rFonts w:eastAsiaTheme="minorHAnsi" w:cs="Arial"/>
          <w:bCs/>
        </w:rPr>
      </w:pPr>
      <w:r w:rsidRPr="009457FF">
        <w:rPr>
          <w:rFonts w:eastAsiaTheme="minorHAnsi" w:cs="Arial"/>
          <w:bCs/>
        </w:rPr>
        <w:t xml:space="preserve">circumstances specified in </w:t>
      </w:r>
      <w:r w:rsidRPr="00AC563A">
        <w:rPr>
          <w:rFonts w:eastAsiaTheme="minorHAnsi" w:cs="Arial"/>
          <w:bCs/>
          <w:szCs w:val="22"/>
        </w:rPr>
        <w:t>the</w:t>
      </w:r>
      <w:r w:rsidR="00CD3AB7">
        <w:rPr>
          <w:bCs/>
          <w:iCs/>
          <w:szCs w:val="22"/>
        </w:rPr>
        <w:t xml:space="preserve"> </w:t>
      </w:r>
      <w:r w:rsidR="00CD3AB7" w:rsidRPr="0066725C">
        <w:rPr>
          <w:bCs/>
          <w:iCs/>
          <w:szCs w:val="22"/>
        </w:rPr>
        <w:t>Allocation Principles</w:t>
      </w:r>
      <w:r w:rsidRPr="009457FF">
        <w:rPr>
          <w:rFonts w:eastAsiaTheme="minorHAnsi" w:cs="Arial"/>
          <w:bCs/>
        </w:rPr>
        <w:t>.</w:t>
      </w:r>
    </w:p>
    <w:p w:rsidR="00E06014" w:rsidRDefault="00BD4845" w:rsidP="00EA6A8B">
      <w:pPr>
        <w:spacing w:after="200" w:line="276" w:lineRule="auto"/>
        <w:rPr>
          <w:rFonts w:eastAsiaTheme="minorHAnsi" w:cs="Arial"/>
          <w:bCs/>
        </w:rPr>
      </w:pPr>
      <w:r w:rsidRPr="00947998">
        <w:rPr>
          <w:rFonts w:cs="Arial"/>
          <w:bCs/>
        </w:rPr>
        <w:t xml:space="preserve">After receiving the </w:t>
      </w:r>
      <w:r w:rsidRPr="0066725C">
        <w:rPr>
          <w:rFonts w:cs="Arial"/>
          <w:bCs/>
          <w:u w:val="single"/>
        </w:rPr>
        <w:t>Veto Notice</w:t>
      </w:r>
      <w:r w:rsidRPr="00947998">
        <w:rPr>
          <w:rFonts w:cs="Arial"/>
          <w:bCs/>
        </w:rPr>
        <w:t>, the transferor and transferee can reapply to transfer the places</w:t>
      </w:r>
      <w:r w:rsidRPr="00947998">
        <w:rPr>
          <w:rFonts w:cs="Arial"/>
        </w:rPr>
        <w:t xml:space="preserve"> or seek to have the decision reviewed (see C</w:t>
      </w:r>
      <w:r w:rsidR="006A745C">
        <w:rPr>
          <w:rFonts w:cs="Arial"/>
        </w:rPr>
        <w:t xml:space="preserve">hapter </w:t>
      </w:r>
      <w:r w:rsidR="003F0026">
        <w:rPr>
          <w:rFonts w:cs="Arial"/>
        </w:rPr>
        <w:t>3</w:t>
      </w:r>
      <w:r>
        <w:rPr>
          <w:rFonts w:cs="Arial"/>
        </w:rPr>
        <w:t xml:space="preserve"> – Reviewable Decisions</w:t>
      </w:r>
      <w:r w:rsidR="00C17CED">
        <w:rPr>
          <w:rFonts w:eastAsiaTheme="minorHAnsi"/>
        </w:rPr>
        <w:t>)</w:t>
      </w:r>
      <w:r w:rsidR="00F151B5">
        <w:rPr>
          <w:rFonts w:eastAsiaTheme="minorHAnsi" w:cs="Arial"/>
          <w:bCs/>
        </w:rPr>
        <w:t>.</w:t>
      </w:r>
      <w:r w:rsidR="00E06014">
        <w:rPr>
          <w:rFonts w:eastAsiaTheme="minorHAnsi" w:cs="Arial"/>
          <w:bCs/>
        </w:rPr>
        <w:t xml:space="preserve"> </w:t>
      </w:r>
    </w:p>
    <w:p w:rsidR="00C17CED" w:rsidRPr="006626AF" w:rsidRDefault="00C17CED" w:rsidP="006276E7">
      <w:pPr>
        <w:pStyle w:val="Heading3"/>
        <w:ind w:left="426" w:hanging="426"/>
        <w:rPr>
          <w:rFonts w:eastAsiaTheme="minorHAnsi"/>
        </w:rPr>
      </w:pPr>
      <w:bookmarkStart w:id="164" w:name="_Toc425934705"/>
      <w:bookmarkStart w:id="165" w:name="_Toc451846349"/>
      <w:r>
        <w:rPr>
          <w:rFonts w:eastAsiaTheme="minorHAnsi"/>
        </w:rPr>
        <w:t xml:space="preserve">Allowing the Transfer to </w:t>
      </w:r>
      <w:r w:rsidR="00072F87">
        <w:rPr>
          <w:rFonts w:eastAsiaTheme="minorHAnsi"/>
        </w:rPr>
        <w:t>P</w:t>
      </w:r>
      <w:r>
        <w:rPr>
          <w:rFonts w:eastAsiaTheme="minorHAnsi"/>
        </w:rPr>
        <w:t>roceed</w:t>
      </w:r>
      <w:bookmarkEnd w:id="164"/>
      <w:bookmarkEnd w:id="165"/>
    </w:p>
    <w:p w:rsidR="003D653C" w:rsidRPr="00947998" w:rsidRDefault="003D653C" w:rsidP="003D653C">
      <w:pPr>
        <w:rPr>
          <w:rFonts w:cs="Arial"/>
          <w:bCs/>
        </w:rPr>
      </w:pPr>
      <w:r w:rsidRPr="00947998">
        <w:rPr>
          <w:rFonts w:cs="Arial"/>
          <w:bCs/>
        </w:rPr>
        <w:t xml:space="preserve">If the Secretary does not issue a </w:t>
      </w:r>
      <w:r w:rsidRPr="00947998">
        <w:rPr>
          <w:rFonts w:cs="Arial"/>
          <w:bCs/>
          <w:u w:val="single"/>
        </w:rPr>
        <w:t>Veto Notice</w:t>
      </w:r>
      <w:r w:rsidRPr="00947998">
        <w:rPr>
          <w:rFonts w:cs="Arial"/>
          <w:bCs/>
        </w:rPr>
        <w:t>, the transferring parties will be advised in writing that the transfer will proceed and the day on which the transfer will occur.</w:t>
      </w:r>
    </w:p>
    <w:p w:rsidR="00072F87" w:rsidRDefault="004417A5" w:rsidP="00072F87">
      <w:pPr>
        <w:spacing w:after="200" w:line="276" w:lineRule="auto"/>
        <w:rPr>
          <w:rFonts w:eastAsiaTheme="minorHAnsi" w:cs="Arial"/>
          <w:bCs/>
        </w:rPr>
      </w:pPr>
      <w:bookmarkStart w:id="166" w:name="_Toc425934702"/>
      <w:r>
        <w:rPr>
          <w:rFonts w:eastAsiaTheme="minorHAnsi" w:cs="Arial"/>
          <w:bCs/>
        </w:rPr>
        <w:t xml:space="preserve">Note that the transfer cannot take effect if the transferee is not an approved provider on the transfer day. </w:t>
      </w:r>
    </w:p>
    <w:p w:rsidR="004417A5" w:rsidRDefault="004417A5" w:rsidP="006A745C">
      <w:pPr>
        <w:pStyle w:val="Heading3"/>
        <w:rPr>
          <w:rFonts w:eastAsiaTheme="minorHAnsi"/>
        </w:rPr>
      </w:pPr>
      <w:bookmarkStart w:id="167" w:name="_Toc451846350"/>
      <w:r w:rsidRPr="00FE6549">
        <w:rPr>
          <w:rFonts w:eastAsiaTheme="minorHAnsi"/>
        </w:rPr>
        <w:t>Change of Circumstances</w:t>
      </w:r>
      <w:bookmarkEnd w:id="167"/>
      <w:r w:rsidRPr="00FE6549">
        <w:rPr>
          <w:rFonts w:eastAsiaTheme="minorHAnsi"/>
        </w:rPr>
        <w:t xml:space="preserve"> </w:t>
      </w:r>
    </w:p>
    <w:p w:rsidR="004417A5" w:rsidRDefault="004417A5" w:rsidP="00267525">
      <w:pPr>
        <w:rPr>
          <w:rFonts w:eastAsiaTheme="minorHAnsi"/>
        </w:rPr>
      </w:pPr>
      <w:r w:rsidRPr="004417A5">
        <w:rPr>
          <w:rFonts w:eastAsiaTheme="minorHAnsi"/>
        </w:rPr>
        <w:t xml:space="preserve">If the information included in a </w:t>
      </w:r>
      <w:r w:rsidR="00A3179A" w:rsidRPr="00267525">
        <w:rPr>
          <w:rFonts w:eastAsiaTheme="minorHAnsi" w:cs="Arial"/>
          <w:bCs/>
          <w:u w:val="single"/>
        </w:rPr>
        <w:t>Transfer Notice</w:t>
      </w:r>
      <w:r w:rsidR="00A3179A">
        <w:rPr>
          <w:rFonts w:eastAsiaTheme="minorHAnsi" w:cs="Arial"/>
          <w:bCs/>
        </w:rPr>
        <w:t xml:space="preserve"> </w:t>
      </w:r>
      <w:r w:rsidRPr="004417A5">
        <w:rPr>
          <w:rFonts w:eastAsiaTheme="minorHAnsi"/>
        </w:rPr>
        <w:t>changes, the notice is taken not to have been given unless the transferor and the transferee give the Secretary written notice of the changes.</w:t>
      </w:r>
    </w:p>
    <w:p w:rsidR="004417A5" w:rsidRDefault="004417A5" w:rsidP="00267525">
      <w:pPr>
        <w:rPr>
          <w:rFonts w:eastAsiaTheme="minorHAnsi"/>
        </w:rPr>
      </w:pPr>
      <w:r>
        <w:rPr>
          <w:rFonts w:eastAsiaTheme="minorHAnsi"/>
        </w:rPr>
        <w:t xml:space="preserve">When written notice of a change to the </w:t>
      </w:r>
      <w:r w:rsidRPr="00267525">
        <w:rPr>
          <w:rFonts w:eastAsiaTheme="minorHAnsi"/>
          <w:u w:val="single"/>
        </w:rPr>
        <w:t>Transfer Notice</w:t>
      </w:r>
      <w:r>
        <w:rPr>
          <w:rFonts w:eastAsiaTheme="minorHAnsi"/>
        </w:rPr>
        <w:t xml:space="preserve"> is given to the Secretary on or after the day 28 days prior to the transfer day</w:t>
      </w:r>
      <w:r w:rsidR="00504284">
        <w:rPr>
          <w:rFonts w:eastAsiaTheme="minorHAnsi"/>
        </w:rPr>
        <w:t>,</w:t>
      </w:r>
      <w:r>
        <w:rPr>
          <w:rFonts w:eastAsiaTheme="minorHAnsi"/>
        </w:rPr>
        <w:t xml:space="preserve"> the transfer day is pushed back 28 days and becomes the 29</w:t>
      </w:r>
      <w:r w:rsidRPr="00604BE4">
        <w:rPr>
          <w:rFonts w:eastAsiaTheme="minorHAnsi"/>
          <w:vertAlign w:val="superscript"/>
        </w:rPr>
        <w:t>th</w:t>
      </w:r>
      <w:r>
        <w:rPr>
          <w:rFonts w:eastAsiaTheme="minorHAnsi"/>
        </w:rPr>
        <w:t xml:space="preserve"> day after the day the transfer was to occur</w:t>
      </w:r>
      <w:r w:rsidR="008B118F">
        <w:rPr>
          <w:rFonts w:eastAsiaTheme="minorHAnsi"/>
        </w:rPr>
        <w:t xml:space="preserve">, </w:t>
      </w:r>
      <w:r>
        <w:rPr>
          <w:rFonts w:eastAsiaTheme="minorHAnsi"/>
        </w:rPr>
        <w:t>prior to the notice being given to the Secretary.</w:t>
      </w:r>
    </w:p>
    <w:p w:rsidR="00864D76" w:rsidRPr="0066725C" w:rsidRDefault="00864D76" w:rsidP="0066725C">
      <w:pPr>
        <w:pStyle w:val="Heading2"/>
        <w:numPr>
          <w:ilvl w:val="0"/>
          <w:numId w:val="0"/>
        </w:numPr>
        <w:ind w:left="360" w:hanging="360"/>
        <w:rPr>
          <w:sz w:val="28"/>
        </w:rPr>
      </w:pPr>
      <w:bookmarkStart w:id="168" w:name="_Toc436227827"/>
      <w:bookmarkStart w:id="169" w:name="_Toc436233673"/>
      <w:bookmarkStart w:id="170" w:name="_Toc436233732"/>
      <w:bookmarkStart w:id="171" w:name="_Toc436993466"/>
      <w:bookmarkStart w:id="172" w:name="_Toc437420195"/>
      <w:bookmarkStart w:id="173" w:name="_Toc437420257"/>
      <w:bookmarkStart w:id="174" w:name="_Toc437436904"/>
      <w:bookmarkStart w:id="175" w:name="_Toc451846351"/>
      <w:bookmarkEnd w:id="168"/>
      <w:bookmarkEnd w:id="169"/>
      <w:bookmarkEnd w:id="170"/>
      <w:bookmarkEnd w:id="171"/>
      <w:bookmarkEnd w:id="172"/>
      <w:bookmarkEnd w:id="173"/>
      <w:bookmarkEnd w:id="174"/>
      <w:r w:rsidRPr="0066725C">
        <w:rPr>
          <w:sz w:val="28"/>
        </w:rPr>
        <w:t>Transfer of Provisionally Allocated Places</w:t>
      </w:r>
      <w:bookmarkEnd w:id="166"/>
      <w:bookmarkEnd w:id="175"/>
    </w:p>
    <w:p w:rsidR="00E06EA5" w:rsidRDefault="00864D76" w:rsidP="00864D76">
      <w:pPr>
        <w:spacing w:after="200" w:line="276" w:lineRule="auto"/>
        <w:rPr>
          <w:rFonts w:eastAsiaTheme="minorHAnsi" w:cs="Arial"/>
          <w:bCs/>
        </w:rPr>
      </w:pPr>
      <w:r w:rsidRPr="00433B89">
        <w:rPr>
          <w:rFonts w:eastAsiaTheme="minorHAnsi" w:cs="Arial"/>
          <w:bCs/>
        </w:rPr>
        <w:t>The transfer</w:t>
      </w:r>
      <w:r>
        <w:rPr>
          <w:rFonts w:eastAsiaTheme="minorHAnsi" w:cs="Arial"/>
          <w:bCs/>
        </w:rPr>
        <w:t xml:space="preserve"> of provisionally allocated places</w:t>
      </w:r>
      <w:r w:rsidR="00E06EA5">
        <w:rPr>
          <w:rFonts w:eastAsiaTheme="minorHAnsi" w:cs="Arial"/>
          <w:bCs/>
        </w:rPr>
        <w:t xml:space="preserve"> is treated similarly to the transfer of operational places. </w:t>
      </w:r>
      <w:r w:rsidR="002B7517">
        <w:rPr>
          <w:rFonts w:cs="Arial"/>
          <w:bCs/>
        </w:rPr>
        <w:t>However, the Secretary may</w:t>
      </w:r>
      <w:r w:rsidR="002B7517" w:rsidRPr="00947998">
        <w:rPr>
          <w:rFonts w:cs="Arial"/>
          <w:bCs/>
        </w:rPr>
        <w:t xml:space="preserve"> veto the transfer of provisionally allocated places where the location in respect of the places are provisionally allocated will change as a result of the transfer</w:t>
      </w:r>
      <w:r w:rsidR="00E06EA5">
        <w:rPr>
          <w:rFonts w:eastAsiaTheme="minorHAnsi" w:cs="Arial"/>
          <w:bCs/>
        </w:rPr>
        <w:t xml:space="preserve">. </w:t>
      </w:r>
      <w:r w:rsidR="006A745C">
        <w:rPr>
          <w:rFonts w:eastAsiaTheme="minorHAnsi" w:cs="Arial"/>
          <w:bCs/>
        </w:rPr>
        <w:t xml:space="preserve">For more information on what the Secretary must consider when a </w:t>
      </w:r>
      <w:r w:rsidR="00F472FB">
        <w:rPr>
          <w:rFonts w:eastAsiaTheme="minorHAnsi" w:cs="Arial"/>
          <w:bCs/>
        </w:rPr>
        <w:t xml:space="preserve">transfer of provisionally allocated places </w:t>
      </w:r>
      <w:r w:rsidR="006A745C">
        <w:rPr>
          <w:rFonts w:eastAsiaTheme="minorHAnsi" w:cs="Arial"/>
          <w:bCs/>
        </w:rPr>
        <w:t xml:space="preserve">is proposed, </w:t>
      </w:r>
      <w:r w:rsidR="00F472FB">
        <w:rPr>
          <w:rFonts w:eastAsiaTheme="minorHAnsi" w:cs="Arial"/>
          <w:bCs/>
        </w:rPr>
        <w:t xml:space="preserve">please refer to </w:t>
      </w:r>
      <w:r w:rsidR="00A3179A">
        <w:rPr>
          <w:rFonts w:eastAsiaTheme="minorHAnsi" w:cs="Arial"/>
          <w:bCs/>
        </w:rPr>
        <w:t>s</w:t>
      </w:r>
      <w:r w:rsidR="00F472FB">
        <w:rPr>
          <w:rFonts w:eastAsiaTheme="minorHAnsi" w:cs="Arial"/>
          <w:bCs/>
        </w:rPr>
        <w:t>ection 16-13</w:t>
      </w:r>
      <w:r w:rsidR="00A3179A">
        <w:rPr>
          <w:rFonts w:eastAsiaTheme="minorHAnsi" w:cs="Arial"/>
          <w:bCs/>
        </w:rPr>
        <w:t xml:space="preserve"> of the </w:t>
      </w:r>
      <w:r w:rsidR="00A3179A">
        <w:rPr>
          <w:rFonts w:eastAsiaTheme="minorHAnsi" w:cs="Arial"/>
          <w:bCs/>
          <w:i/>
        </w:rPr>
        <w:t>Aged Care Act 1997.</w:t>
      </w:r>
    </w:p>
    <w:p w:rsidR="006B4020" w:rsidRPr="0066725C" w:rsidRDefault="006B4020" w:rsidP="0066725C">
      <w:pPr>
        <w:pStyle w:val="Heading2"/>
        <w:numPr>
          <w:ilvl w:val="0"/>
          <w:numId w:val="0"/>
        </w:numPr>
        <w:ind w:left="360" w:hanging="360"/>
        <w:rPr>
          <w:sz w:val="28"/>
        </w:rPr>
      </w:pPr>
      <w:bookmarkStart w:id="176" w:name="_Toc435516540"/>
      <w:bookmarkStart w:id="177" w:name="_Toc436227829"/>
      <w:bookmarkStart w:id="178" w:name="_Toc436233675"/>
      <w:bookmarkStart w:id="179" w:name="_Toc436233734"/>
      <w:bookmarkStart w:id="180" w:name="_Toc436993468"/>
      <w:bookmarkStart w:id="181" w:name="_Toc437420197"/>
      <w:bookmarkStart w:id="182" w:name="_Toc437420259"/>
      <w:bookmarkStart w:id="183" w:name="_Toc437436906"/>
      <w:bookmarkStart w:id="184" w:name="_Toc451846352"/>
      <w:bookmarkEnd w:id="176"/>
      <w:bookmarkEnd w:id="177"/>
      <w:bookmarkEnd w:id="178"/>
      <w:bookmarkEnd w:id="179"/>
      <w:bookmarkEnd w:id="180"/>
      <w:bookmarkEnd w:id="181"/>
      <w:bookmarkEnd w:id="182"/>
      <w:bookmarkEnd w:id="183"/>
      <w:r w:rsidRPr="0066725C">
        <w:rPr>
          <w:sz w:val="28"/>
        </w:rPr>
        <w:t>Transfers Involving Extra Service Status Places</w:t>
      </w:r>
      <w:bookmarkEnd w:id="184"/>
    </w:p>
    <w:p w:rsidR="00212468" w:rsidRDefault="00212468" w:rsidP="00267525">
      <w:pPr>
        <w:spacing w:after="0" w:line="276" w:lineRule="auto"/>
        <w:rPr>
          <w:rFonts w:eastAsiaTheme="majorEastAsia"/>
        </w:rPr>
      </w:pPr>
      <w:r>
        <w:rPr>
          <w:rFonts w:eastAsiaTheme="minorHAnsi" w:cs="Arial"/>
          <w:bCs/>
        </w:rPr>
        <w:t>W</w:t>
      </w:r>
      <w:r w:rsidR="006B4020" w:rsidRPr="00FE6549">
        <w:rPr>
          <w:rFonts w:eastAsiaTheme="minorHAnsi" w:cs="Arial"/>
          <w:bCs/>
        </w:rPr>
        <w:t xml:space="preserve">here </w:t>
      </w:r>
      <w:r>
        <w:rPr>
          <w:rFonts w:eastAsiaTheme="minorHAnsi" w:cs="Arial"/>
          <w:bCs/>
        </w:rPr>
        <w:t xml:space="preserve">a </w:t>
      </w:r>
      <w:r w:rsidR="006B4020" w:rsidRPr="00FE6549">
        <w:rPr>
          <w:rFonts w:eastAsiaTheme="minorHAnsi" w:cs="Arial"/>
          <w:bCs/>
        </w:rPr>
        <w:t xml:space="preserve">transfer </w:t>
      </w:r>
      <w:r>
        <w:rPr>
          <w:rFonts w:eastAsiaTheme="minorHAnsi" w:cs="Arial"/>
          <w:bCs/>
        </w:rPr>
        <w:t xml:space="preserve">is proposed that </w:t>
      </w:r>
      <w:r w:rsidR="006B4020" w:rsidRPr="00FE6549">
        <w:rPr>
          <w:rFonts w:eastAsiaTheme="minorHAnsi" w:cs="Arial"/>
          <w:bCs/>
        </w:rPr>
        <w:t xml:space="preserve">would result in residential care in respect of the place being provided through a different </w:t>
      </w:r>
      <w:r w:rsidR="006B4020" w:rsidRPr="00AD2CFB">
        <w:rPr>
          <w:rFonts w:eastAsiaTheme="minorHAnsi" w:cs="Arial"/>
          <w:bCs/>
        </w:rPr>
        <w:t xml:space="preserve">residential care service where that residential care service has, or a distinct part of that service has, </w:t>
      </w:r>
      <w:r w:rsidR="006B4020" w:rsidRPr="00AF697D">
        <w:rPr>
          <w:rFonts w:eastAsiaTheme="minorHAnsi" w:cs="Arial"/>
          <w:bCs/>
        </w:rPr>
        <w:t>extra service status</w:t>
      </w:r>
      <w:r>
        <w:rPr>
          <w:rFonts w:eastAsiaTheme="minorHAnsi" w:cs="Arial"/>
          <w:bCs/>
        </w:rPr>
        <w:t xml:space="preserve">, the transfer </w:t>
      </w:r>
      <w:r w:rsidR="006A745C">
        <w:rPr>
          <w:rFonts w:eastAsiaTheme="minorHAnsi" w:cs="Arial"/>
          <w:bCs/>
        </w:rPr>
        <w:t>will likely</w:t>
      </w:r>
      <w:r>
        <w:rPr>
          <w:rFonts w:eastAsiaTheme="minorHAnsi" w:cs="Arial"/>
          <w:bCs/>
        </w:rPr>
        <w:t xml:space="preserve"> be vetoed unless </w:t>
      </w:r>
      <w:r w:rsidRPr="00212468">
        <w:rPr>
          <w:rFonts w:eastAsiaTheme="majorEastAsia"/>
        </w:rPr>
        <w:t>the Secretary is satisfied that</w:t>
      </w:r>
      <w:r w:rsidR="00104016">
        <w:rPr>
          <w:rFonts w:eastAsiaTheme="majorEastAsia"/>
        </w:rPr>
        <w:t>:</w:t>
      </w:r>
    </w:p>
    <w:p w:rsidR="00212468" w:rsidRPr="00267525" w:rsidRDefault="00212468" w:rsidP="00267525">
      <w:pPr>
        <w:pStyle w:val="ListParagraph"/>
        <w:numPr>
          <w:ilvl w:val="0"/>
          <w:numId w:val="33"/>
        </w:numPr>
        <w:spacing w:before="0" w:after="200" w:line="276" w:lineRule="auto"/>
        <w:rPr>
          <w:rFonts w:eastAsiaTheme="minorHAnsi" w:cs="Arial"/>
          <w:bCs/>
        </w:rPr>
      </w:pPr>
      <w:r w:rsidRPr="00FE6549">
        <w:rPr>
          <w:rFonts w:eastAsiaTheme="majorEastAsia"/>
        </w:rPr>
        <w:t>the places other than the places to be transferred could, after the transfer, form one or more distinct parts of the residential care service</w:t>
      </w:r>
      <w:r>
        <w:rPr>
          <w:rFonts w:eastAsiaTheme="majorEastAsia"/>
        </w:rPr>
        <w:t>; or</w:t>
      </w:r>
    </w:p>
    <w:p w:rsidR="00212468" w:rsidRDefault="00212468" w:rsidP="00267525">
      <w:pPr>
        <w:pStyle w:val="ListParagraph"/>
        <w:numPr>
          <w:ilvl w:val="0"/>
          <w:numId w:val="33"/>
        </w:numPr>
        <w:spacing w:after="200" w:line="276" w:lineRule="auto"/>
        <w:rPr>
          <w:rFonts w:eastAsiaTheme="majorEastAsia"/>
        </w:rPr>
      </w:pPr>
      <w:r w:rsidRPr="00212468">
        <w:rPr>
          <w:rFonts w:eastAsiaTheme="majorEastAsia"/>
        </w:rPr>
        <w:t>granting the transfer would be reasonable, having regard to the criteria set out in section 32-4</w:t>
      </w:r>
      <w:r w:rsidR="00EE2F18">
        <w:rPr>
          <w:rFonts w:eastAsiaTheme="majorEastAsia"/>
        </w:rPr>
        <w:t xml:space="preserve"> of the </w:t>
      </w:r>
      <w:r w:rsidR="00EE2F18" w:rsidRPr="0066725C">
        <w:rPr>
          <w:rFonts w:eastAsiaTheme="majorEastAsia"/>
        </w:rPr>
        <w:t>Act</w:t>
      </w:r>
      <w:r w:rsidRPr="00B53596">
        <w:rPr>
          <w:rFonts w:eastAsiaTheme="majorEastAsia"/>
        </w:rPr>
        <w:t>;</w:t>
      </w:r>
      <w:r w:rsidRPr="00212468">
        <w:rPr>
          <w:rFonts w:eastAsiaTheme="majorEastAsia"/>
        </w:rPr>
        <w:t xml:space="preserve"> and </w:t>
      </w:r>
    </w:p>
    <w:p w:rsidR="00212468" w:rsidRDefault="00212468" w:rsidP="00267525">
      <w:pPr>
        <w:pStyle w:val="ListParagraph"/>
        <w:numPr>
          <w:ilvl w:val="0"/>
          <w:numId w:val="33"/>
        </w:numPr>
        <w:spacing w:after="200" w:line="276" w:lineRule="auto"/>
        <w:rPr>
          <w:rFonts w:eastAsiaTheme="majorEastAsia"/>
        </w:rPr>
      </w:pPr>
      <w:r w:rsidRPr="00FE6549">
        <w:rPr>
          <w:rFonts w:eastAsiaTheme="majorEastAsia"/>
        </w:rPr>
        <w:lastRenderedPageBreak/>
        <w:t xml:space="preserve">granting the transfer would not result in the maximum proportion of extra service places under </w:t>
      </w:r>
      <w:r w:rsidR="00EE2F18" w:rsidRPr="00FE6549">
        <w:rPr>
          <w:rFonts w:eastAsiaTheme="majorEastAsia"/>
        </w:rPr>
        <w:t>section 32-7</w:t>
      </w:r>
      <w:r w:rsidR="00EE2F18">
        <w:rPr>
          <w:rFonts w:eastAsiaTheme="majorEastAsia"/>
        </w:rPr>
        <w:t xml:space="preserve"> of the</w:t>
      </w:r>
      <w:r w:rsidR="00EE2F18" w:rsidRPr="00B53596">
        <w:rPr>
          <w:rFonts w:eastAsiaTheme="majorEastAsia"/>
        </w:rPr>
        <w:t xml:space="preserve"> </w:t>
      </w:r>
      <w:r w:rsidR="00504284" w:rsidRPr="0066725C">
        <w:rPr>
          <w:rFonts w:eastAsiaTheme="majorEastAsia"/>
        </w:rPr>
        <w:t xml:space="preserve">Act </w:t>
      </w:r>
      <w:r w:rsidRPr="00FE6549">
        <w:rPr>
          <w:rFonts w:eastAsiaTheme="majorEastAsia"/>
        </w:rPr>
        <w:t xml:space="preserve">for the </w:t>
      </w:r>
      <w:r w:rsidRPr="00212468">
        <w:rPr>
          <w:rFonts w:eastAsiaTheme="majorEastAsia"/>
        </w:rPr>
        <w:t xml:space="preserve">State, Territory or region concerned, being exceeded; and </w:t>
      </w:r>
    </w:p>
    <w:p w:rsidR="00104016" w:rsidRPr="00AF697D" w:rsidRDefault="00212468" w:rsidP="00267525">
      <w:pPr>
        <w:pStyle w:val="ListParagraph"/>
        <w:numPr>
          <w:ilvl w:val="0"/>
          <w:numId w:val="33"/>
        </w:numPr>
        <w:spacing w:after="200" w:line="276" w:lineRule="auto"/>
        <w:rPr>
          <w:rFonts w:eastAsiaTheme="majorEastAsia"/>
        </w:rPr>
      </w:pPr>
      <w:r w:rsidRPr="00FE6549">
        <w:rPr>
          <w:rFonts w:eastAsiaTheme="majorEastAsia"/>
        </w:rPr>
        <w:t xml:space="preserve">any other requirements set out in the </w:t>
      </w:r>
      <w:r w:rsidR="003B2C18" w:rsidRPr="0066725C">
        <w:rPr>
          <w:bCs/>
          <w:iCs/>
          <w:szCs w:val="22"/>
        </w:rPr>
        <w:t>Allocation Principles</w:t>
      </w:r>
      <w:r w:rsidR="00B929FC">
        <w:rPr>
          <w:bCs/>
          <w:i/>
          <w:iCs/>
          <w:szCs w:val="22"/>
        </w:rPr>
        <w:t xml:space="preserve"> </w:t>
      </w:r>
      <w:r w:rsidRPr="00FE6549">
        <w:rPr>
          <w:rFonts w:eastAsiaTheme="majorEastAsia"/>
        </w:rPr>
        <w:t>are satisfied.</w:t>
      </w:r>
      <w:r w:rsidR="00104016">
        <w:br w:type="page"/>
      </w:r>
    </w:p>
    <w:p w:rsidR="000C452D" w:rsidRPr="00B63100" w:rsidRDefault="000C452D" w:rsidP="000C452D">
      <w:pPr>
        <w:pStyle w:val="Heading1"/>
      </w:pPr>
      <w:bookmarkStart w:id="185" w:name="_Toc425934722"/>
      <w:bookmarkStart w:id="186" w:name="_Toc451846353"/>
      <w:r w:rsidRPr="00B63100">
        <w:lastRenderedPageBreak/>
        <w:t xml:space="preserve">Chapter </w:t>
      </w:r>
      <w:r w:rsidR="007570B8">
        <w:t>3</w:t>
      </w:r>
      <w:r>
        <w:t xml:space="preserve"> –</w:t>
      </w:r>
      <w:r w:rsidRPr="00B63100">
        <w:t xml:space="preserve"> </w:t>
      </w:r>
      <w:r>
        <w:t>Reviewable Decisions</w:t>
      </w:r>
      <w:bookmarkEnd w:id="185"/>
      <w:bookmarkEnd w:id="186"/>
    </w:p>
    <w:p w:rsidR="008D25E2" w:rsidRDefault="001C45E1" w:rsidP="008B4829">
      <w:r w:rsidRPr="00947998">
        <w:rPr>
          <w:rFonts w:cs="Arial"/>
        </w:rPr>
        <w:t xml:space="preserve">Reviewable decisions </w:t>
      </w:r>
      <w:r w:rsidRPr="00947998">
        <w:rPr>
          <w:rFonts w:cs="Arial"/>
          <w:bCs/>
        </w:rPr>
        <w:t xml:space="preserve">under section 85-1 of the </w:t>
      </w:r>
      <w:r w:rsidRPr="0066725C">
        <w:rPr>
          <w:rFonts w:cs="Arial"/>
          <w:bCs/>
        </w:rPr>
        <w:t>Act</w:t>
      </w:r>
      <w:r w:rsidRPr="00947998">
        <w:rPr>
          <w:rFonts w:cs="Arial"/>
          <w:bCs/>
        </w:rPr>
        <w:t xml:space="preserve"> include t</w:t>
      </w:r>
      <w:r w:rsidRPr="00947998">
        <w:rPr>
          <w:rFonts w:cs="Arial"/>
        </w:rPr>
        <w:t>he decision to</w:t>
      </w:r>
      <w:r w:rsidR="008D25E2">
        <w:t>:</w:t>
      </w:r>
    </w:p>
    <w:p w:rsidR="005422FC" w:rsidRPr="00947998" w:rsidRDefault="005422FC" w:rsidP="005422FC">
      <w:pPr>
        <w:pStyle w:val="ListParagraph"/>
        <w:numPr>
          <w:ilvl w:val="0"/>
          <w:numId w:val="16"/>
        </w:numPr>
        <w:rPr>
          <w:rFonts w:cs="Arial"/>
        </w:rPr>
      </w:pPr>
      <w:r w:rsidRPr="00947998">
        <w:rPr>
          <w:rFonts w:cs="Arial"/>
        </w:rPr>
        <w:t xml:space="preserve">reject an application to provide care; </w:t>
      </w:r>
    </w:p>
    <w:p w:rsidR="005422FC" w:rsidRPr="00947998" w:rsidRDefault="005422FC" w:rsidP="005422FC">
      <w:pPr>
        <w:pStyle w:val="ListParagraph"/>
        <w:numPr>
          <w:ilvl w:val="0"/>
          <w:numId w:val="16"/>
        </w:numPr>
        <w:rPr>
          <w:rFonts w:cs="Arial"/>
        </w:rPr>
      </w:pPr>
      <w:r w:rsidRPr="00947998">
        <w:rPr>
          <w:rFonts w:cs="Arial"/>
        </w:rPr>
        <w:t>reject an application to extend the provisional allocation period;</w:t>
      </w:r>
    </w:p>
    <w:p w:rsidR="005422FC" w:rsidRPr="006A745C" w:rsidRDefault="005422FC" w:rsidP="006A745C">
      <w:pPr>
        <w:pStyle w:val="ListParagraph"/>
        <w:numPr>
          <w:ilvl w:val="0"/>
          <w:numId w:val="16"/>
        </w:numPr>
        <w:rPr>
          <w:rFonts w:cs="Arial"/>
        </w:rPr>
      </w:pPr>
      <w:r w:rsidRPr="00947998">
        <w:rPr>
          <w:rFonts w:cs="Arial"/>
        </w:rPr>
        <w:t>revoke a provisional allocation of places;</w:t>
      </w:r>
      <w:r w:rsidRPr="006A745C">
        <w:rPr>
          <w:rFonts w:cs="Arial"/>
        </w:rPr>
        <w:t xml:space="preserve"> and</w:t>
      </w:r>
    </w:p>
    <w:p w:rsidR="005422FC" w:rsidRPr="006A745C" w:rsidRDefault="005422FC" w:rsidP="006A745C">
      <w:pPr>
        <w:pStyle w:val="ListParagraph"/>
        <w:numPr>
          <w:ilvl w:val="0"/>
          <w:numId w:val="15"/>
        </w:numPr>
        <w:rPr>
          <w:rFonts w:cs="Arial"/>
        </w:rPr>
      </w:pPr>
      <w:r w:rsidRPr="00A4488A">
        <w:rPr>
          <w:rFonts w:cs="Arial"/>
          <w:bCs/>
        </w:rPr>
        <w:t xml:space="preserve">veto a </w:t>
      </w:r>
      <w:r w:rsidRPr="00223551">
        <w:rPr>
          <w:rFonts w:cs="Arial"/>
          <w:bCs/>
          <w:u w:val="single"/>
        </w:rPr>
        <w:t>Transfer Notice</w:t>
      </w:r>
      <w:r w:rsidR="002F7813">
        <w:rPr>
          <w:rFonts w:cs="Arial"/>
          <w:bCs/>
          <w:u w:val="single"/>
        </w:rPr>
        <w:t>.</w:t>
      </w:r>
    </w:p>
    <w:p w:rsidR="008D25E2" w:rsidRDefault="008D25E2" w:rsidP="005F7635">
      <w:r>
        <w:t xml:space="preserve">Any person whose interests are affected by these decisions may request the Secretary to reconsider the decision. </w:t>
      </w:r>
    </w:p>
    <w:p w:rsidR="008D25E2" w:rsidRDefault="008D25E2" w:rsidP="005F7635">
      <w:r>
        <w:t xml:space="preserve">The request for reconsideration must be made by written notice within 28 days (or such longer period as the Secretary approves) after the day on which the person first received the notice of decision. </w:t>
      </w:r>
    </w:p>
    <w:p w:rsidR="008D25E2" w:rsidRDefault="008D25E2" w:rsidP="005F7635">
      <w:r>
        <w:t xml:space="preserve">The Secretary has 90 days from the day the request for reconsideration was received to provide notice of </w:t>
      </w:r>
      <w:r w:rsidR="00AD2CFB">
        <w:t xml:space="preserve">a </w:t>
      </w:r>
      <w:r w:rsidR="00C64E2A">
        <w:t>new</w:t>
      </w:r>
      <w:r>
        <w:t xml:space="preserve"> decision</w:t>
      </w:r>
      <w:r w:rsidR="00AD2CFB">
        <w:t>. Where no new decision is made during this 90 day period</w:t>
      </w:r>
      <w:r w:rsidR="00C639D4">
        <w:t>,</w:t>
      </w:r>
      <w:r>
        <w:t xml:space="preserve"> the original decision is considered to be affirmed.</w:t>
      </w:r>
    </w:p>
    <w:p w:rsidR="00B34148" w:rsidRPr="00433B89" w:rsidRDefault="008D25E2" w:rsidP="005F7635">
      <w:pPr>
        <w:rPr>
          <w:rFonts w:eastAsiaTheme="minorHAnsi" w:cs="Arial"/>
          <w:bCs/>
        </w:rPr>
      </w:pPr>
      <w:r>
        <w:t>If the affected person is not satisfied with the Secretary’s reconsidered decision, they may then apply to the Administrative Appeals Tribunal for further review.</w:t>
      </w:r>
      <w:r w:rsidR="00B34148" w:rsidRPr="00433B89">
        <w:rPr>
          <w:rFonts w:eastAsiaTheme="minorHAnsi" w:cs="Arial"/>
          <w:bCs/>
        </w:rPr>
        <w:t xml:space="preserve"> </w:t>
      </w:r>
    </w:p>
    <w:p w:rsidR="008B4829" w:rsidRDefault="008B4829">
      <w:pPr>
        <w:spacing w:before="0" w:after="200" w:line="276" w:lineRule="auto"/>
      </w:pPr>
      <w:r>
        <w:br w:type="page"/>
      </w:r>
    </w:p>
    <w:p w:rsidR="00AA5817" w:rsidRPr="0066725C" w:rsidRDefault="00AA5817" w:rsidP="00E9662D">
      <w:pPr>
        <w:pStyle w:val="Heading2"/>
        <w:numPr>
          <w:ilvl w:val="0"/>
          <w:numId w:val="0"/>
        </w:numPr>
        <w:rPr>
          <w:sz w:val="28"/>
        </w:rPr>
      </w:pPr>
      <w:bookmarkStart w:id="187" w:name="_Toc451846354"/>
      <w:r w:rsidRPr="0066725C">
        <w:rPr>
          <w:sz w:val="28"/>
        </w:rPr>
        <w:lastRenderedPageBreak/>
        <w:t>Additional Information</w:t>
      </w:r>
      <w:bookmarkEnd w:id="187"/>
    </w:p>
    <w:p w:rsidR="00AA5817" w:rsidRPr="00E9662D" w:rsidRDefault="00AA5817" w:rsidP="00AA5817">
      <w:r w:rsidRPr="00E9662D">
        <w:t xml:space="preserve">If you have any questions about aged care places management please phone 1300 653 227 and ask to speak with a Departmental Officer in aged care in your </w:t>
      </w:r>
      <w:r w:rsidR="00480EBF">
        <w:t>S</w:t>
      </w:r>
      <w:r w:rsidRPr="00E9662D">
        <w:t xml:space="preserve">tate or </w:t>
      </w:r>
      <w:r w:rsidR="00480EBF">
        <w:t>T</w:t>
      </w:r>
      <w:r w:rsidRPr="00E9662D">
        <w:t>erritory or email:</w:t>
      </w:r>
    </w:p>
    <w:tbl>
      <w:tblPr>
        <w:tblStyle w:val="TableGrid"/>
        <w:tblW w:w="0" w:type="auto"/>
        <w:tblLook w:val="04A0" w:firstRow="1" w:lastRow="0" w:firstColumn="1" w:lastColumn="0" w:noHBand="0" w:noVBand="1"/>
        <w:tblCaption w:val="State and Territory Offices email addresses."/>
        <w:tblDescription w:val="This table shows the email addresses for the relevant State and Territory Departmental Officers with regard to aged care places management enquiries. "/>
      </w:tblPr>
      <w:tblGrid>
        <w:gridCol w:w="4643"/>
        <w:gridCol w:w="4643"/>
      </w:tblGrid>
      <w:tr w:rsidR="00AA5817" w:rsidRPr="00E9662D" w:rsidTr="00B52A7B">
        <w:trPr>
          <w:tblHeader/>
        </w:trPr>
        <w:tc>
          <w:tcPr>
            <w:tcW w:w="4643" w:type="dxa"/>
          </w:tcPr>
          <w:p w:rsidR="00AA5817" w:rsidRPr="00E9662D" w:rsidRDefault="00AA5817" w:rsidP="008C5653">
            <w:pPr>
              <w:spacing w:before="40" w:after="40"/>
            </w:pPr>
            <w:r w:rsidRPr="00E9662D">
              <w:t>New South Wales</w:t>
            </w:r>
            <w:r w:rsidR="002F7813">
              <w:t xml:space="preserve"> &amp; ACT</w:t>
            </w:r>
          </w:p>
        </w:tc>
        <w:tc>
          <w:tcPr>
            <w:tcW w:w="4643" w:type="dxa"/>
          </w:tcPr>
          <w:p w:rsidR="00AA5817" w:rsidRPr="00E9662D" w:rsidRDefault="00AA5817" w:rsidP="008C5653">
            <w:pPr>
              <w:spacing w:before="40" w:after="40"/>
            </w:pPr>
            <w:r w:rsidRPr="00E9662D">
              <w:t>NSWplaces@health.gov.au</w:t>
            </w:r>
          </w:p>
        </w:tc>
      </w:tr>
      <w:tr w:rsidR="00AA5817" w:rsidRPr="00E9662D" w:rsidTr="008C5653">
        <w:tc>
          <w:tcPr>
            <w:tcW w:w="4643" w:type="dxa"/>
          </w:tcPr>
          <w:p w:rsidR="00AA5817" w:rsidRPr="00E9662D" w:rsidRDefault="00AA5817" w:rsidP="008C5653">
            <w:pPr>
              <w:spacing w:before="40" w:after="40"/>
            </w:pPr>
            <w:r w:rsidRPr="00E9662D">
              <w:t>Victoria</w:t>
            </w:r>
          </w:p>
        </w:tc>
        <w:tc>
          <w:tcPr>
            <w:tcW w:w="4643" w:type="dxa"/>
          </w:tcPr>
          <w:p w:rsidR="00AA5817" w:rsidRPr="00E9662D" w:rsidRDefault="00AA5817" w:rsidP="008C5653">
            <w:pPr>
              <w:spacing w:before="40" w:after="40"/>
            </w:pPr>
            <w:r w:rsidRPr="00E9662D">
              <w:t>VICplaces@health.gov.au</w:t>
            </w:r>
          </w:p>
        </w:tc>
      </w:tr>
      <w:tr w:rsidR="00AA5817" w:rsidRPr="00E9662D" w:rsidTr="008C5653">
        <w:tc>
          <w:tcPr>
            <w:tcW w:w="4643" w:type="dxa"/>
          </w:tcPr>
          <w:p w:rsidR="00AA5817" w:rsidRPr="00E9662D" w:rsidRDefault="00AA5817" w:rsidP="008C5653">
            <w:pPr>
              <w:spacing w:before="40" w:after="40"/>
            </w:pPr>
            <w:r w:rsidRPr="00E9662D">
              <w:t>Queensland</w:t>
            </w:r>
          </w:p>
        </w:tc>
        <w:tc>
          <w:tcPr>
            <w:tcW w:w="4643" w:type="dxa"/>
          </w:tcPr>
          <w:p w:rsidR="00AA5817" w:rsidRPr="00E9662D" w:rsidRDefault="00AA5817" w:rsidP="008C5653">
            <w:pPr>
              <w:spacing w:before="40" w:after="40"/>
            </w:pPr>
            <w:r w:rsidRPr="00E9662D">
              <w:t>QLDplaces@health.gov.au</w:t>
            </w:r>
          </w:p>
        </w:tc>
      </w:tr>
      <w:tr w:rsidR="00AA5817" w:rsidRPr="00E9662D" w:rsidTr="008C5653">
        <w:tc>
          <w:tcPr>
            <w:tcW w:w="4643" w:type="dxa"/>
          </w:tcPr>
          <w:p w:rsidR="00AA5817" w:rsidRPr="00E9662D" w:rsidRDefault="00AA5817" w:rsidP="008C5653">
            <w:pPr>
              <w:spacing w:before="40" w:after="40"/>
            </w:pPr>
            <w:r w:rsidRPr="00E9662D">
              <w:t>South Australia</w:t>
            </w:r>
          </w:p>
        </w:tc>
        <w:tc>
          <w:tcPr>
            <w:tcW w:w="4643" w:type="dxa"/>
          </w:tcPr>
          <w:p w:rsidR="00AA5817" w:rsidRPr="00E9662D" w:rsidRDefault="00D14E9C" w:rsidP="008C5653">
            <w:pPr>
              <w:spacing w:before="40" w:after="40"/>
              <w:rPr>
                <w:color w:val="000000" w:themeColor="text1"/>
              </w:rPr>
            </w:pPr>
            <w:hyperlink r:id="rId39" w:history="1">
              <w:r w:rsidR="00AA5817" w:rsidRPr="00E9662D">
                <w:rPr>
                  <w:rStyle w:val="Hyperlink"/>
                  <w:color w:val="000000" w:themeColor="text1"/>
                  <w:u w:val="none"/>
                </w:rPr>
                <w:t>SAplaces@health.gov.au</w:t>
              </w:r>
            </w:hyperlink>
          </w:p>
        </w:tc>
      </w:tr>
      <w:tr w:rsidR="00AA5817" w:rsidRPr="00E9662D" w:rsidTr="008C5653">
        <w:tc>
          <w:tcPr>
            <w:tcW w:w="4643" w:type="dxa"/>
          </w:tcPr>
          <w:p w:rsidR="00AA5817" w:rsidRPr="00E9662D" w:rsidRDefault="00AA5817" w:rsidP="008C5653">
            <w:pPr>
              <w:spacing w:before="40" w:after="40"/>
            </w:pPr>
            <w:r w:rsidRPr="00E9662D">
              <w:t>Western Australia</w:t>
            </w:r>
          </w:p>
        </w:tc>
        <w:tc>
          <w:tcPr>
            <w:tcW w:w="4643" w:type="dxa"/>
          </w:tcPr>
          <w:p w:rsidR="00AA5817" w:rsidRPr="00E9662D" w:rsidRDefault="00D14E9C" w:rsidP="008C5653">
            <w:pPr>
              <w:spacing w:before="40" w:after="40"/>
              <w:rPr>
                <w:color w:val="000000" w:themeColor="text1"/>
              </w:rPr>
            </w:pPr>
            <w:hyperlink r:id="rId40" w:history="1">
              <w:r w:rsidR="00AA5817" w:rsidRPr="00E9662D">
                <w:rPr>
                  <w:rStyle w:val="Hyperlink"/>
                  <w:color w:val="000000" w:themeColor="text1"/>
                  <w:u w:val="none"/>
                </w:rPr>
                <w:t>WAplaces@health.gov.au</w:t>
              </w:r>
            </w:hyperlink>
          </w:p>
        </w:tc>
      </w:tr>
      <w:tr w:rsidR="00AA5817" w:rsidRPr="00E9662D" w:rsidTr="008C5653">
        <w:tc>
          <w:tcPr>
            <w:tcW w:w="4643" w:type="dxa"/>
          </w:tcPr>
          <w:p w:rsidR="00AA5817" w:rsidRPr="00E9662D" w:rsidRDefault="00AA5817" w:rsidP="008C5653">
            <w:pPr>
              <w:spacing w:before="40" w:after="40"/>
            </w:pPr>
            <w:r w:rsidRPr="00E9662D">
              <w:t>Tasmania</w:t>
            </w:r>
          </w:p>
        </w:tc>
        <w:tc>
          <w:tcPr>
            <w:tcW w:w="4643" w:type="dxa"/>
          </w:tcPr>
          <w:p w:rsidR="00AA5817" w:rsidRPr="00E9662D" w:rsidRDefault="00D14E9C" w:rsidP="008C5653">
            <w:pPr>
              <w:spacing w:before="40" w:after="40"/>
              <w:rPr>
                <w:color w:val="000000" w:themeColor="text1"/>
              </w:rPr>
            </w:pPr>
            <w:hyperlink r:id="rId41" w:history="1">
              <w:r w:rsidR="00AA5817" w:rsidRPr="00E9662D">
                <w:rPr>
                  <w:rStyle w:val="Hyperlink"/>
                  <w:color w:val="000000" w:themeColor="text1"/>
                  <w:u w:val="none"/>
                </w:rPr>
                <w:t>TASplaces@health.gov.au</w:t>
              </w:r>
            </w:hyperlink>
          </w:p>
        </w:tc>
      </w:tr>
      <w:tr w:rsidR="00AA5817" w:rsidTr="008C5653">
        <w:tc>
          <w:tcPr>
            <w:tcW w:w="4643" w:type="dxa"/>
          </w:tcPr>
          <w:p w:rsidR="00AA5817" w:rsidRPr="00E9662D" w:rsidRDefault="00AA5817" w:rsidP="008C5653">
            <w:pPr>
              <w:spacing w:before="40" w:after="40"/>
            </w:pPr>
            <w:r w:rsidRPr="00E9662D">
              <w:t>Northern Territory</w:t>
            </w:r>
          </w:p>
        </w:tc>
        <w:tc>
          <w:tcPr>
            <w:tcW w:w="4643" w:type="dxa"/>
          </w:tcPr>
          <w:p w:rsidR="00AA5817" w:rsidRDefault="00AA5817" w:rsidP="008C5653">
            <w:pPr>
              <w:spacing w:before="40" w:after="40"/>
            </w:pPr>
            <w:r w:rsidRPr="00E9662D">
              <w:t>NTplaces@health.gov.au</w:t>
            </w:r>
          </w:p>
        </w:tc>
      </w:tr>
    </w:tbl>
    <w:p w:rsidR="00275F43" w:rsidRPr="00332C38" w:rsidRDefault="008A2ADB" w:rsidP="005F7635">
      <w:pPr>
        <w:rPr>
          <w:color w:val="FF0000"/>
        </w:rPr>
      </w:pPr>
      <w:r>
        <w:t xml:space="preserve">For more information please refer to the </w:t>
      </w:r>
      <w:r>
        <w:rPr>
          <w:color w:val="000000" w:themeColor="text1"/>
        </w:rPr>
        <w:t xml:space="preserve">Guide to </w:t>
      </w:r>
      <w:r w:rsidRPr="00F339CB">
        <w:rPr>
          <w:color w:val="000000" w:themeColor="text1"/>
        </w:rPr>
        <w:t>Aged Care Law</w:t>
      </w:r>
      <w:r>
        <w:rPr>
          <w:color w:val="000000" w:themeColor="text1"/>
        </w:rPr>
        <w:t xml:space="preserve"> </w:t>
      </w:r>
      <w:r w:rsidR="00332C38">
        <w:rPr>
          <w:color w:val="000000" w:themeColor="text1"/>
        </w:rPr>
        <w:t>(</w:t>
      </w:r>
      <w:hyperlink r:id="rId42" w:history="1">
        <w:r w:rsidR="00332C38" w:rsidRPr="00332C38">
          <w:rPr>
            <w:rStyle w:val="Hyperlink"/>
          </w:rPr>
          <w:t>click here</w:t>
        </w:r>
      </w:hyperlink>
      <w:r w:rsidR="00332C38">
        <w:rPr>
          <w:color w:val="000000" w:themeColor="text1"/>
        </w:rPr>
        <w:t>)</w:t>
      </w:r>
    </w:p>
    <w:sectPr w:rsidR="00275F43" w:rsidRPr="00332C38" w:rsidSect="00267525">
      <w:headerReference w:type="default" r:id="rId43"/>
      <w:pgSz w:w="11906" w:h="16838"/>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91" w:rsidRDefault="005A7C91" w:rsidP="008F3023">
      <w:pPr>
        <w:spacing w:before="0" w:after="0" w:line="240" w:lineRule="auto"/>
      </w:pPr>
      <w:r>
        <w:separator/>
      </w:r>
    </w:p>
  </w:endnote>
  <w:endnote w:type="continuationSeparator" w:id="0">
    <w:p w:rsidR="005A7C91" w:rsidRDefault="005A7C91"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91" w:rsidRDefault="005A7C91" w:rsidP="00267525">
    <w:pPr>
      <w:pStyle w:val="Footer"/>
      <w:tabs>
        <w:tab w:val="clear" w:pos="9026"/>
        <w:tab w:val="left" w:pos="0"/>
        <w:tab w:val="right" w:pos="9639"/>
      </w:tabs>
    </w:pPr>
    <w:r>
      <w:tab/>
    </w:r>
    <w:r>
      <w:tab/>
    </w:r>
    <w:sdt>
      <w:sdtPr>
        <w:id w:val="-236480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4E9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91" w:rsidRDefault="005A7C91" w:rsidP="008F3023">
      <w:pPr>
        <w:spacing w:before="0" w:after="0" w:line="240" w:lineRule="auto"/>
      </w:pPr>
      <w:r>
        <w:separator/>
      </w:r>
    </w:p>
  </w:footnote>
  <w:footnote w:type="continuationSeparator" w:id="0">
    <w:p w:rsidR="005A7C91" w:rsidRDefault="005A7C91"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91" w:rsidRDefault="005A7C91" w:rsidP="00267525">
    <w:pPr>
      <w:pStyle w:val="Header"/>
      <w:pBdr>
        <w:bottom w:val="none" w:sz="0" w:space="0" w:color="auto"/>
      </w:pBdr>
      <w:tabs>
        <w:tab w:val="clear" w:pos="4513"/>
        <w:tab w:val="clear" w:pos="9026"/>
        <w:tab w:val="left" w:pos="1387"/>
        <w:tab w:val="left" w:pos="2625"/>
      </w:tabs>
      <w:spacing w:before="240" w:after="240"/>
    </w:pPr>
    <w:r>
      <w:rPr>
        <w:noProof/>
      </w:rPr>
      <w:drawing>
        <wp:inline distT="0" distB="0" distL="0" distR="0" wp14:anchorId="573A1E50" wp14:editId="6BA9B88E">
          <wp:extent cx="1344930" cy="887730"/>
          <wp:effectExtent l="0" t="0" r="7620" b="7620"/>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r>
      <w:tab/>
    </w:r>
  </w:p>
  <w:p w:rsidR="005A7C91" w:rsidRDefault="005A7C91" w:rsidP="00267525">
    <w:pPr>
      <w:pStyle w:val="Header"/>
      <w:pBdr>
        <w:bottom w:val="none" w:sz="0" w:space="0" w:color="auto"/>
      </w:pBdr>
      <w:tabs>
        <w:tab w:val="clear" w:pos="4513"/>
        <w:tab w:val="clear" w:pos="9026"/>
        <w:tab w:val="left" w:pos="1387"/>
        <w:tab w:val="left" w:pos="2930"/>
      </w:tabs>
      <w:spacing w:before="24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91" w:rsidRDefault="005A7C91" w:rsidP="00267525">
    <w:pPr>
      <w:pStyle w:val="Header"/>
      <w:tabs>
        <w:tab w:val="clear" w:pos="4513"/>
        <w:tab w:val="clear" w:pos="9026"/>
        <w:tab w:val="left" w:pos="1387"/>
        <w:tab w:val="left" w:pos="2930"/>
      </w:tabs>
      <w:spacing w:before="240" w:after="24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3ED"/>
    <w:multiLevelType w:val="hybridMultilevel"/>
    <w:tmpl w:val="7F2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47D96"/>
    <w:multiLevelType w:val="hybridMultilevel"/>
    <w:tmpl w:val="8E84F6D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D521FE"/>
    <w:multiLevelType w:val="hybridMultilevel"/>
    <w:tmpl w:val="B88C5ED0"/>
    <w:lvl w:ilvl="0" w:tplc="A7E475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10826DB3"/>
    <w:multiLevelType w:val="multilevel"/>
    <w:tmpl w:val="5D0AD0F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D32F0"/>
    <w:multiLevelType w:val="hybridMultilevel"/>
    <w:tmpl w:val="CD7A4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9263E6"/>
    <w:multiLevelType w:val="multilevel"/>
    <w:tmpl w:val="7ECE16E6"/>
    <w:lvl w:ilvl="0">
      <w:start w:val="1"/>
      <w:numFmt w:val="decimal"/>
      <w:lvlText w:val="%1."/>
      <w:lvlJc w:val="left"/>
      <w:pPr>
        <w:ind w:left="780" w:hanging="360"/>
      </w:pPr>
    </w:lvl>
    <w:lvl w:ilvl="1">
      <w:start w:val="2"/>
      <w:numFmt w:val="decimal"/>
      <w:isLgl/>
      <w:lvlText w:val="%1.%2"/>
      <w:lvlJc w:val="left"/>
      <w:pPr>
        <w:ind w:left="1095" w:hanging="675"/>
      </w:pPr>
      <w:rPr>
        <w:rFonts w:hint="default"/>
      </w:rPr>
    </w:lvl>
    <w:lvl w:ilvl="2">
      <w:start w:val="7"/>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nsid w:val="17CE722A"/>
    <w:multiLevelType w:val="hybridMultilevel"/>
    <w:tmpl w:val="15CEE3CA"/>
    <w:lvl w:ilvl="0" w:tplc="30CA1F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9C02010"/>
    <w:multiLevelType w:val="hybridMultilevel"/>
    <w:tmpl w:val="4064A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583A7A"/>
    <w:multiLevelType w:val="hybridMultilevel"/>
    <w:tmpl w:val="44B06A3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nsid w:val="1D114978"/>
    <w:multiLevelType w:val="hybridMultilevel"/>
    <w:tmpl w:val="6C5A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2E0A67"/>
    <w:multiLevelType w:val="hybridMultilevel"/>
    <w:tmpl w:val="D9BA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7B42B1"/>
    <w:multiLevelType w:val="hybridMultilevel"/>
    <w:tmpl w:val="6DC6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DC278D"/>
    <w:multiLevelType w:val="hybridMultilevel"/>
    <w:tmpl w:val="1A86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CC2BDC"/>
    <w:multiLevelType w:val="hybridMultilevel"/>
    <w:tmpl w:val="8A96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E75D30"/>
    <w:multiLevelType w:val="multilevel"/>
    <w:tmpl w:val="080E608C"/>
    <w:lvl w:ilvl="0">
      <w:start w:val="1"/>
      <w:numFmt w:val="decimal"/>
      <w:lvlText w:val="%1"/>
      <w:lvlJc w:val="left"/>
      <w:pPr>
        <w:ind w:left="405" w:hanging="405"/>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2160" w:hanging="2160"/>
      </w:pPr>
      <w:rPr>
        <w:rFonts w:hint="default"/>
        <w:u w:val="none"/>
      </w:rPr>
    </w:lvl>
    <w:lvl w:ilvl="7">
      <w:start w:val="1"/>
      <w:numFmt w:val="decimal"/>
      <w:lvlText w:val="%1.%2.%3.%4.%5.%6.%7.%8"/>
      <w:lvlJc w:val="left"/>
      <w:pPr>
        <w:ind w:left="2520" w:hanging="2520"/>
      </w:pPr>
      <w:rPr>
        <w:rFonts w:hint="default"/>
        <w:u w:val="none"/>
      </w:rPr>
    </w:lvl>
    <w:lvl w:ilvl="8">
      <w:start w:val="1"/>
      <w:numFmt w:val="decimal"/>
      <w:lvlText w:val="%1.%2.%3.%4.%5.%6.%7.%8.%9"/>
      <w:lvlJc w:val="left"/>
      <w:pPr>
        <w:ind w:left="2880" w:hanging="2880"/>
      </w:pPr>
      <w:rPr>
        <w:rFonts w:hint="default"/>
        <w:u w:val="none"/>
      </w:rPr>
    </w:lvl>
  </w:abstractNum>
  <w:abstractNum w:abstractNumId="16">
    <w:nsid w:val="396E5F25"/>
    <w:multiLevelType w:val="hybridMultilevel"/>
    <w:tmpl w:val="F50A072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E716C4"/>
    <w:multiLevelType w:val="hybridMultilevel"/>
    <w:tmpl w:val="1E3E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279CD"/>
    <w:multiLevelType w:val="multilevel"/>
    <w:tmpl w:val="1B22373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3BAA2369"/>
    <w:multiLevelType w:val="hybridMultilevel"/>
    <w:tmpl w:val="6EE47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1814DA"/>
    <w:multiLevelType w:val="hybridMultilevel"/>
    <w:tmpl w:val="2682B664"/>
    <w:lvl w:ilvl="0" w:tplc="A7E475C6">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6F03FE"/>
    <w:multiLevelType w:val="hybridMultilevel"/>
    <w:tmpl w:val="ACF82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E90149"/>
    <w:multiLevelType w:val="hybridMultilevel"/>
    <w:tmpl w:val="E996A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8D544D"/>
    <w:multiLevelType w:val="hybridMultilevel"/>
    <w:tmpl w:val="B5B8EB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845C66"/>
    <w:multiLevelType w:val="hybridMultilevel"/>
    <w:tmpl w:val="46DCE7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7B5AEE"/>
    <w:multiLevelType w:val="hybridMultilevel"/>
    <w:tmpl w:val="BA62C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A943A2"/>
    <w:multiLevelType w:val="hybridMultilevel"/>
    <w:tmpl w:val="A0242E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9E6CF5"/>
    <w:multiLevelType w:val="hybridMultilevel"/>
    <w:tmpl w:val="A31E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6E0680"/>
    <w:multiLevelType w:val="hybridMultilevel"/>
    <w:tmpl w:val="FE98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66243D"/>
    <w:multiLevelType w:val="hybridMultilevel"/>
    <w:tmpl w:val="20FE0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380ABD"/>
    <w:multiLevelType w:val="multilevel"/>
    <w:tmpl w:val="5BAA0926"/>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2160" w:hanging="2160"/>
      </w:pPr>
      <w:rPr>
        <w:rFonts w:hint="default"/>
        <w:u w:val="none"/>
      </w:rPr>
    </w:lvl>
    <w:lvl w:ilvl="7">
      <w:start w:val="1"/>
      <w:numFmt w:val="decimal"/>
      <w:lvlText w:val="%1.%2.%3.%4.%5.%6.%7.%8"/>
      <w:lvlJc w:val="left"/>
      <w:pPr>
        <w:ind w:left="2520" w:hanging="2520"/>
      </w:pPr>
      <w:rPr>
        <w:rFonts w:hint="default"/>
        <w:u w:val="none"/>
      </w:rPr>
    </w:lvl>
    <w:lvl w:ilvl="8">
      <w:start w:val="1"/>
      <w:numFmt w:val="decimal"/>
      <w:lvlText w:val="%1.%2.%3.%4.%5.%6.%7.%8.%9"/>
      <w:lvlJc w:val="left"/>
      <w:pPr>
        <w:ind w:left="2880" w:hanging="2880"/>
      </w:pPr>
      <w:rPr>
        <w:rFonts w:hint="default"/>
        <w:u w:val="none"/>
      </w:rPr>
    </w:lvl>
  </w:abstractNum>
  <w:abstractNum w:abstractNumId="31">
    <w:nsid w:val="55A609F9"/>
    <w:multiLevelType w:val="multilevel"/>
    <w:tmpl w:val="57ACFCC2"/>
    <w:lvl w:ilvl="0">
      <w:start w:val="1"/>
      <w:numFmt w:val="decimal"/>
      <w:lvlText w:val="%1."/>
      <w:lvlJc w:val="left"/>
      <w:pPr>
        <w:ind w:left="502" w:hanging="360"/>
      </w:pPr>
    </w:lvl>
    <w:lvl w:ilvl="1">
      <w:start w:val="5"/>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nsid w:val="58DA5F4A"/>
    <w:multiLevelType w:val="hybridMultilevel"/>
    <w:tmpl w:val="D27EA1DA"/>
    <w:lvl w:ilvl="0" w:tplc="6FF81862">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3">
    <w:nsid w:val="58F9140C"/>
    <w:multiLevelType w:val="hybridMultilevel"/>
    <w:tmpl w:val="861A12EA"/>
    <w:lvl w:ilvl="0" w:tplc="90023EBA">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9CD4A9C"/>
    <w:multiLevelType w:val="hybridMultilevel"/>
    <w:tmpl w:val="29D6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CF0245"/>
    <w:multiLevelType w:val="singleLevel"/>
    <w:tmpl w:val="6AE0B194"/>
    <w:lvl w:ilvl="0">
      <w:start w:val="1"/>
      <w:numFmt w:val="decimal"/>
      <w:pStyle w:val="Numbered"/>
      <w:lvlText w:val="%1."/>
      <w:lvlJc w:val="left"/>
      <w:pPr>
        <w:tabs>
          <w:tab w:val="num" w:pos="360"/>
        </w:tabs>
        <w:ind w:left="357" w:hanging="357"/>
      </w:pPr>
      <w:rPr>
        <w:rFonts w:ascii="Arial" w:hAnsi="Arial" w:hint="default"/>
        <w:sz w:val="24"/>
      </w:rPr>
    </w:lvl>
  </w:abstractNum>
  <w:abstractNum w:abstractNumId="36">
    <w:nsid w:val="5C5863D3"/>
    <w:multiLevelType w:val="hybridMultilevel"/>
    <w:tmpl w:val="CD68A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463FE4"/>
    <w:multiLevelType w:val="multilevel"/>
    <w:tmpl w:val="E1A2826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8">
    <w:nsid w:val="66550616"/>
    <w:multiLevelType w:val="multilevel"/>
    <w:tmpl w:val="4AE21B2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nsid w:val="681B22DE"/>
    <w:multiLevelType w:val="hybridMultilevel"/>
    <w:tmpl w:val="B15C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421FE9"/>
    <w:multiLevelType w:val="multilevel"/>
    <w:tmpl w:val="E1B6B946"/>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1">
    <w:nsid w:val="6C637273"/>
    <w:multiLevelType w:val="hybridMultilevel"/>
    <w:tmpl w:val="E730CDE6"/>
    <w:lvl w:ilvl="0" w:tplc="30CA1F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C6F1A08"/>
    <w:multiLevelType w:val="hybridMultilevel"/>
    <w:tmpl w:val="072A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E26E6E"/>
    <w:multiLevelType w:val="hybridMultilevel"/>
    <w:tmpl w:val="5DFC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4339A0"/>
    <w:multiLevelType w:val="hybridMultilevel"/>
    <w:tmpl w:val="F964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4662BB"/>
    <w:multiLevelType w:val="hybridMultilevel"/>
    <w:tmpl w:val="B39AD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5A91717"/>
    <w:multiLevelType w:val="hybridMultilevel"/>
    <w:tmpl w:val="EFA6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02812"/>
    <w:multiLevelType w:val="hybridMultilevel"/>
    <w:tmpl w:val="EFC0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AD34B6C"/>
    <w:multiLevelType w:val="hybridMultilevel"/>
    <w:tmpl w:val="BA481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28"/>
  </w:num>
  <w:num w:numId="5">
    <w:abstractNumId w:val="11"/>
  </w:num>
  <w:num w:numId="6">
    <w:abstractNumId w:val="20"/>
  </w:num>
  <w:num w:numId="7">
    <w:abstractNumId w:val="46"/>
  </w:num>
  <w:num w:numId="8">
    <w:abstractNumId w:val="9"/>
  </w:num>
  <w:num w:numId="9">
    <w:abstractNumId w:val="39"/>
  </w:num>
  <w:num w:numId="10">
    <w:abstractNumId w:val="47"/>
  </w:num>
  <w:num w:numId="11">
    <w:abstractNumId w:val="0"/>
  </w:num>
  <w:num w:numId="12">
    <w:abstractNumId w:val="24"/>
  </w:num>
  <w:num w:numId="13">
    <w:abstractNumId w:val="12"/>
  </w:num>
  <w:num w:numId="14">
    <w:abstractNumId w:val="36"/>
  </w:num>
  <w:num w:numId="15">
    <w:abstractNumId w:val="21"/>
  </w:num>
  <w:num w:numId="16">
    <w:abstractNumId w:val="44"/>
  </w:num>
  <w:num w:numId="17">
    <w:abstractNumId w:val="29"/>
  </w:num>
  <w:num w:numId="18">
    <w:abstractNumId w:val="34"/>
  </w:num>
  <w:num w:numId="19">
    <w:abstractNumId w:val="13"/>
  </w:num>
  <w:num w:numId="20">
    <w:abstractNumId w:val="22"/>
  </w:num>
  <w:num w:numId="21">
    <w:abstractNumId w:val="6"/>
  </w:num>
  <w:num w:numId="22">
    <w:abstractNumId w:val="26"/>
  </w:num>
  <w:num w:numId="23">
    <w:abstractNumId w:val="31"/>
    <w:lvlOverride w:ilvl="0">
      <w:startOverride w:val="1"/>
    </w:lvlOverride>
  </w:num>
  <w:num w:numId="24">
    <w:abstractNumId w:val="17"/>
  </w:num>
  <w:num w:numId="25">
    <w:abstractNumId w:val="31"/>
    <w:lvlOverride w:ilvl="0">
      <w:startOverride w:val="1"/>
    </w:lvlOverride>
  </w:num>
  <w:num w:numId="26">
    <w:abstractNumId w:val="33"/>
  </w:num>
  <w:num w:numId="27">
    <w:abstractNumId w:val="41"/>
  </w:num>
  <w:num w:numId="28">
    <w:abstractNumId w:val="7"/>
  </w:num>
  <w:num w:numId="29">
    <w:abstractNumId w:val="25"/>
  </w:num>
  <w:num w:numId="30">
    <w:abstractNumId w:val="48"/>
  </w:num>
  <w:num w:numId="31">
    <w:abstractNumId w:val="42"/>
  </w:num>
  <w:num w:numId="32">
    <w:abstractNumId w:val="33"/>
  </w:num>
  <w:num w:numId="33">
    <w:abstractNumId w:val="27"/>
  </w:num>
  <w:num w:numId="34">
    <w:abstractNumId w:val="10"/>
  </w:num>
  <w:num w:numId="35">
    <w:abstractNumId w:val="19"/>
  </w:num>
  <w:num w:numId="36">
    <w:abstractNumId w:val="45"/>
  </w:num>
  <w:num w:numId="37">
    <w:abstractNumId w:val="35"/>
  </w:num>
  <w:num w:numId="38">
    <w:abstractNumId w:val="16"/>
  </w:num>
  <w:num w:numId="39">
    <w:abstractNumId w:val="37"/>
  </w:num>
  <w:num w:numId="40">
    <w:abstractNumId w:val="8"/>
  </w:num>
  <w:num w:numId="41">
    <w:abstractNumId w:val="15"/>
  </w:num>
  <w:num w:numId="42">
    <w:abstractNumId w:val="40"/>
  </w:num>
  <w:num w:numId="43">
    <w:abstractNumId w:val="38"/>
  </w:num>
  <w:num w:numId="44">
    <w:abstractNumId w:val="30"/>
  </w:num>
  <w:num w:numId="45">
    <w:abstractNumId w:val="3"/>
  </w:num>
  <w:num w:numId="46">
    <w:abstractNumId w:val="18"/>
  </w:num>
  <w:num w:numId="47">
    <w:abstractNumId w:val="33"/>
  </w:num>
  <w:num w:numId="48">
    <w:abstractNumId w:val="43"/>
  </w:num>
  <w:num w:numId="49">
    <w:abstractNumId w:val="32"/>
  </w:num>
  <w:num w:numId="50">
    <w:abstractNumId w:val="1"/>
  </w:num>
  <w:num w:numId="51">
    <w:abstractNumId w:val="23"/>
  </w:num>
  <w:num w:numId="52">
    <w:abstractNumId w:val="5"/>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53"/>
    <w:rsid w:val="00000CB5"/>
    <w:rsid w:val="00004434"/>
    <w:rsid w:val="000046C7"/>
    <w:rsid w:val="000140B8"/>
    <w:rsid w:val="00015F98"/>
    <w:rsid w:val="00020E0C"/>
    <w:rsid w:val="00021C80"/>
    <w:rsid w:val="00021D5C"/>
    <w:rsid w:val="00022078"/>
    <w:rsid w:val="000222FD"/>
    <w:rsid w:val="0002280F"/>
    <w:rsid w:val="00022991"/>
    <w:rsid w:val="00023450"/>
    <w:rsid w:val="00023809"/>
    <w:rsid w:val="00026361"/>
    <w:rsid w:val="000318AE"/>
    <w:rsid w:val="00033965"/>
    <w:rsid w:val="0003560C"/>
    <w:rsid w:val="00040190"/>
    <w:rsid w:val="000403B8"/>
    <w:rsid w:val="000405D9"/>
    <w:rsid w:val="000428F9"/>
    <w:rsid w:val="0004390D"/>
    <w:rsid w:val="00043AE3"/>
    <w:rsid w:val="00043C3A"/>
    <w:rsid w:val="00044975"/>
    <w:rsid w:val="00046C65"/>
    <w:rsid w:val="0005063C"/>
    <w:rsid w:val="00050C28"/>
    <w:rsid w:val="00055C96"/>
    <w:rsid w:val="00061694"/>
    <w:rsid w:val="00061962"/>
    <w:rsid w:val="00061A62"/>
    <w:rsid w:val="00063021"/>
    <w:rsid w:val="00067178"/>
    <w:rsid w:val="00070EF3"/>
    <w:rsid w:val="00071584"/>
    <w:rsid w:val="00071D1E"/>
    <w:rsid w:val="00072246"/>
    <w:rsid w:val="00072F87"/>
    <w:rsid w:val="00081610"/>
    <w:rsid w:val="000818AB"/>
    <w:rsid w:val="00083C94"/>
    <w:rsid w:val="00085087"/>
    <w:rsid w:val="000911D6"/>
    <w:rsid w:val="00094DBF"/>
    <w:rsid w:val="000A5A60"/>
    <w:rsid w:val="000B13FD"/>
    <w:rsid w:val="000B166C"/>
    <w:rsid w:val="000B3EDF"/>
    <w:rsid w:val="000B4CD0"/>
    <w:rsid w:val="000B5092"/>
    <w:rsid w:val="000B5E2F"/>
    <w:rsid w:val="000B6133"/>
    <w:rsid w:val="000C1EA1"/>
    <w:rsid w:val="000C2F03"/>
    <w:rsid w:val="000C3327"/>
    <w:rsid w:val="000C452D"/>
    <w:rsid w:val="000C6854"/>
    <w:rsid w:val="000D20F2"/>
    <w:rsid w:val="000E09D4"/>
    <w:rsid w:val="000E35B4"/>
    <w:rsid w:val="000E43A4"/>
    <w:rsid w:val="000E4E46"/>
    <w:rsid w:val="000E770A"/>
    <w:rsid w:val="000F109F"/>
    <w:rsid w:val="000F1BF9"/>
    <w:rsid w:val="000F2E27"/>
    <w:rsid w:val="00100CB0"/>
    <w:rsid w:val="0010196C"/>
    <w:rsid w:val="00104016"/>
    <w:rsid w:val="00104C22"/>
    <w:rsid w:val="0011003C"/>
    <w:rsid w:val="00110EB8"/>
    <w:rsid w:val="0011178E"/>
    <w:rsid w:val="00112578"/>
    <w:rsid w:val="0011285D"/>
    <w:rsid w:val="00113263"/>
    <w:rsid w:val="00117E46"/>
    <w:rsid w:val="001220D5"/>
    <w:rsid w:val="001262C4"/>
    <w:rsid w:val="001274BE"/>
    <w:rsid w:val="00133D87"/>
    <w:rsid w:val="00134B51"/>
    <w:rsid w:val="00136147"/>
    <w:rsid w:val="00136F5C"/>
    <w:rsid w:val="00144FF3"/>
    <w:rsid w:val="00145D74"/>
    <w:rsid w:val="0015089B"/>
    <w:rsid w:val="001510D7"/>
    <w:rsid w:val="00156BD7"/>
    <w:rsid w:val="00162F01"/>
    <w:rsid w:val="00173FCF"/>
    <w:rsid w:val="00187162"/>
    <w:rsid w:val="00190373"/>
    <w:rsid w:val="00190542"/>
    <w:rsid w:val="001916B8"/>
    <w:rsid w:val="00194E18"/>
    <w:rsid w:val="00195BDE"/>
    <w:rsid w:val="00197FB6"/>
    <w:rsid w:val="001A12AD"/>
    <w:rsid w:val="001A2CAD"/>
    <w:rsid w:val="001A547F"/>
    <w:rsid w:val="001A7461"/>
    <w:rsid w:val="001B5982"/>
    <w:rsid w:val="001C1DA5"/>
    <w:rsid w:val="001C26EC"/>
    <w:rsid w:val="001C3803"/>
    <w:rsid w:val="001C3AC3"/>
    <w:rsid w:val="001C45E1"/>
    <w:rsid w:val="001C6EF9"/>
    <w:rsid w:val="001D1195"/>
    <w:rsid w:val="001D7375"/>
    <w:rsid w:val="001D76CD"/>
    <w:rsid w:val="001E1E43"/>
    <w:rsid w:val="001E4123"/>
    <w:rsid w:val="001E630D"/>
    <w:rsid w:val="001E7629"/>
    <w:rsid w:val="001F3856"/>
    <w:rsid w:val="001F68F7"/>
    <w:rsid w:val="002011E5"/>
    <w:rsid w:val="00201906"/>
    <w:rsid w:val="00203505"/>
    <w:rsid w:val="00204224"/>
    <w:rsid w:val="00205B6A"/>
    <w:rsid w:val="00205C26"/>
    <w:rsid w:val="00206B75"/>
    <w:rsid w:val="002100B4"/>
    <w:rsid w:val="002112F3"/>
    <w:rsid w:val="00212468"/>
    <w:rsid w:val="00213FD4"/>
    <w:rsid w:val="00215245"/>
    <w:rsid w:val="00216E69"/>
    <w:rsid w:val="0022015F"/>
    <w:rsid w:val="00220CA5"/>
    <w:rsid w:val="00220DA1"/>
    <w:rsid w:val="0022116C"/>
    <w:rsid w:val="00223551"/>
    <w:rsid w:val="00223B29"/>
    <w:rsid w:val="00223C69"/>
    <w:rsid w:val="00225B8A"/>
    <w:rsid w:val="00225EC0"/>
    <w:rsid w:val="00227EAE"/>
    <w:rsid w:val="00227F18"/>
    <w:rsid w:val="0023037A"/>
    <w:rsid w:val="002325A7"/>
    <w:rsid w:val="002425BF"/>
    <w:rsid w:val="00246520"/>
    <w:rsid w:val="0025052A"/>
    <w:rsid w:val="00250659"/>
    <w:rsid w:val="002507DA"/>
    <w:rsid w:val="00251573"/>
    <w:rsid w:val="00251594"/>
    <w:rsid w:val="00253ED7"/>
    <w:rsid w:val="00256BF9"/>
    <w:rsid w:val="00257C3C"/>
    <w:rsid w:val="002607F7"/>
    <w:rsid w:val="00261674"/>
    <w:rsid w:val="00265D0B"/>
    <w:rsid w:val="00266CD7"/>
    <w:rsid w:val="00267525"/>
    <w:rsid w:val="0027258C"/>
    <w:rsid w:val="00275F43"/>
    <w:rsid w:val="00277922"/>
    <w:rsid w:val="002800C8"/>
    <w:rsid w:val="00281DFB"/>
    <w:rsid w:val="00282FDA"/>
    <w:rsid w:val="00285D8F"/>
    <w:rsid w:val="00286A8D"/>
    <w:rsid w:val="00287D65"/>
    <w:rsid w:val="002922B0"/>
    <w:rsid w:val="002928D8"/>
    <w:rsid w:val="00294E51"/>
    <w:rsid w:val="002A0519"/>
    <w:rsid w:val="002A2794"/>
    <w:rsid w:val="002A5F4E"/>
    <w:rsid w:val="002A64A4"/>
    <w:rsid w:val="002B0878"/>
    <w:rsid w:val="002B3CC6"/>
    <w:rsid w:val="002B4A4E"/>
    <w:rsid w:val="002B6FCF"/>
    <w:rsid w:val="002B7517"/>
    <w:rsid w:val="002B7B7F"/>
    <w:rsid w:val="002C0A27"/>
    <w:rsid w:val="002C17CD"/>
    <w:rsid w:val="002C6871"/>
    <w:rsid w:val="002D0083"/>
    <w:rsid w:val="002D0E35"/>
    <w:rsid w:val="002D1F9B"/>
    <w:rsid w:val="002D2CBB"/>
    <w:rsid w:val="002D437B"/>
    <w:rsid w:val="002D4797"/>
    <w:rsid w:val="002E141C"/>
    <w:rsid w:val="002E3B6B"/>
    <w:rsid w:val="002E63BE"/>
    <w:rsid w:val="002F5F47"/>
    <w:rsid w:val="002F7813"/>
    <w:rsid w:val="00305A63"/>
    <w:rsid w:val="00306F4B"/>
    <w:rsid w:val="0030706D"/>
    <w:rsid w:val="00307410"/>
    <w:rsid w:val="003118A2"/>
    <w:rsid w:val="00311FC7"/>
    <w:rsid w:val="0031695B"/>
    <w:rsid w:val="0032146A"/>
    <w:rsid w:val="00321F7A"/>
    <w:rsid w:val="0032210C"/>
    <w:rsid w:val="003258D7"/>
    <w:rsid w:val="003276F6"/>
    <w:rsid w:val="00327C07"/>
    <w:rsid w:val="00330FE9"/>
    <w:rsid w:val="00332C38"/>
    <w:rsid w:val="0033364E"/>
    <w:rsid w:val="003336FF"/>
    <w:rsid w:val="0033440B"/>
    <w:rsid w:val="00335114"/>
    <w:rsid w:val="00335A54"/>
    <w:rsid w:val="003428A1"/>
    <w:rsid w:val="00347DC9"/>
    <w:rsid w:val="00352607"/>
    <w:rsid w:val="0035286B"/>
    <w:rsid w:val="003531AD"/>
    <w:rsid w:val="00355610"/>
    <w:rsid w:val="003563D9"/>
    <w:rsid w:val="00356A7C"/>
    <w:rsid w:val="00363011"/>
    <w:rsid w:val="00366D70"/>
    <w:rsid w:val="00370900"/>
    <w:rsid w:val="0037600E"/>
    <w:rsid w:val="0038044C"/>
    <w:rsid w:val="00382873"/>
    <w:rsid w:val="0038627C"/>
    <w:rsid w:val="0039335F"/>
    <w:rsid w:val="00393BEC"/>
    <w:rsid w:val="00394BDC"/>
    <w:rsid w:val="00395D81"/>
    <w:rsid w:val="0039703C"/>
    <w:rsid w:val="00397FA4"/>
    <w:rsid w:val="003A34F2"/>
    <w:rsid w:val="003A7B1E"/>
    <w:rsid w:val="003B2BB8"/>
    <w:rsid w:val="003B2C18"/>
    <w:rsid w:val="003B362E"/>
    <w:rsid w:val="003B3653"/>
    <w:rsid w:val="003B7510"/>
    <w:rsid w:val="003C0C7C"/>
    <w:rsid w:val="003C0EAE"/>
    <w:rsid w:val="003C1E24"/>
    <w:rsid w:val="003C1F46"/>
    <w:rsid w:val="003C3BE7"/>
    <w:rsid w:val="003C4D8F"/>
    <w:rsid w:val="003D100D"/>
    <w:rsid w:val="003D1716"/>
    <w:rsid w:val="003D219D"/>
    <w:rsid w:val="003D34FF"/>
    <w:rsid w:val="003D50BA"/>
    <w:rsid w:val="003D6435"/>
    <w:rsid w:val="003D653C"/>
    <w:rsid w:val="003D7102"/>
    <w:rsid w:val="003D7898"/>
    <w:rsid w:val="003E2B62"/>
    <w:rsid w:val="003E2F91"/>
    <w:rsid w:val="003E4A8B"/>
    <w:rsid w:val="003F0026"/>
    <w:rsid w:val="003F60FC"/>
    <w:rsid w:val="00401C4B"/>
    <w:rsid w:val="00403CED"/>
    <w:rsid w:val="00406E06"/>
    <w:rsid w:val="00407CFC"/>
    <w:rsid w:val="00417358"/>
    <w:rsid w:val="004230F5"/>
    <w:rsid w:val="004248CC"/>
    <w:rsid w:val="004277B6"/>
    <w:rsid w:val="00432796"/>
    <w:rsid w:val="00433B89"/>
    <w:rsid w:val="004348F8"/>
    <w:rsid w:val="00435658"/>
    <w:rsid w:val="00440026"/>
    <w:rsid w:val="00440CB8"/>
    <w:rsid w:val="00441669"/>
    <w:rsid w:val="004417A5"/>
    <w:rsid w:val="004423FB"/>
    <w:rsid w:val="00443DC7"/>
    <w:rsid w:val="004442A3"/>
    <w:rsid w:val="004515CA"/>
    <w:rsid w:val="00451B13"/>
    <w:rsid w:val="00454343"/>
    <w:rsid w:val="00455CA2"/>
    <w:rsid w:val="00457BAD"/>
    <w:rsid w:val="0046233E"/>
    <w:rsid w:val="00462ED1"/>
    <w:rsid w:val="00464DF8"/>
    <w:rsid w:val="00467952"/>
    <w:rsid w:val="00467A70"/>
    <w:rsid w:val="0047758B"/>
    <w:rsid w:val="0048042C"/>
    <w:rsid w:val="00480EBF"/>
    <w:rsid w:val="004846B6"/>
    <w:rsid w:val="00487AE6"/>
    <w:rsid w:val="00487BAF"/>
    <w:rsid w:val="0049177E"/>
    <w:rsid w:val="004938E1"/>
    <w:rsid w:val="004B007D"/>
    <w:rsid w:val="004B36E4"/>
    <w:rsid w:val="004B4304"/>
    <w:rsid w:val="004B4EC9"/>
    <w:rsid w:val="004B54CA"/>
    <w:rsid w:val="004B6B6C"/>
    <w:rsid w:val="004C08E8"/>
    <w:rsid w:val="004C0A6A"/>
    <w:rsid w:val="004D32D6"/>
    <w:rsid w:val="004D3366"/>
    <w:rsid w:val="004D4920"/>
    <w:rsid w:val="004D56CA"/>
    <w:rsid w:val="004D7C3E"/>
    <w:rsid w:val="004E30D6"/>
    <w:rsid w:val="004E5CBF"/>
    <w:rsid w:val="004F57F6"/>
    <w:rsid w:val="004F77F4"/>
    <w:rsid w:val="00504284"/>
    <w:rsid w:val="0050582C"/>
    <w:rsid w:val="00513AC6"/>
    <w:rsid w:val="00514132"/>
    <w:rsid w:val="00517AE4"/>
    <w:rsid w:val="00524FD9"/>
    <w:rsid w:val="00526F10"/>
    <w:rsid w:val="00527569"/>
    <w:rsid w:val="005322CB"/>
    <w:rsid w:val="00532FE4"/>
    <w:rsid w:val="00540474"/>
    <w:rsid w:val="00540C00"/>
    <w:rsid w:val="0054208C"/>
    <w:rsid w:val="005422FC"/>
    <w:rsid w:val="0054300B"/>
    <w:rsid w:val="00543A34"/>
    <w:rsid w:val="0054713E"/>
    <w:rsid w:val="005475E9"/>
    <w:rsid w:val="005510D6"/>
    <w:rsid w:val="00551A06"/>
    <w:rsid w:val="00552F3E"/>
    <w:rsid w:val="0056002D"/>
    <w:rsid w:val="00560D2F"/>
    <w:rsid w:val="00562B77"/>
    <w:rsid w:val="00565F22"/>
    <w:rsid w:val="00567053"/>
    <w:rsid w:val="005733FB"/>
    <w:rsid w:val="00574414"/>
    <w:rsid w:val="005806E4"/>
    <w:rsid w:val="00584391"/>
    <w:rsid w:val="00584FC1"/>
    <w:rsid w:val="005854EE"/>
    <w:rsid w:val="005859D8"/>
    <w:rsid w:val="00586246"/>
    <w:rsid w:val="005877DC"/>
    <w:rsid w:val="00591FF3"/>
    <w:rsid w:val="00596FDF"/>
    <w:rsid w:val="005A1187"/>
    <w:rsid w:val="005A20AA"/>
    <w:rsid w:val="005A2E90"/>
    <w:rsid w:val="005A3F52"/>
    <w:rsid w:val="005A5E7F"/>
    <w:rsid w:val="005A6F6A"/>
    <w:rsid w:val="005A7C91"/>
    <w:rsid w:val="005B3F62"/>
    <w:rsid w:val="005B4856"/>
    <w:rsid w:val="005C3AA9"/>
    <w:rsid w:val="005C3EF6"/>
    <w:rsid w:val="005C4099"/>
    <w:rsid w:val="005C6E0E"/>
    <w:rsid w:val="005D2E64"/>
    <w:rsid w:val="005D4856"/>
    <w:rsid w:val="005E3BD6"/>
    <w:rsid w:val="005E6C8B"/>
    <w:rsid w:val="005F0F48"/>
    <w:rsid w:val="005F4835"/>
    <w:rsid w:val="005F4F41"/>
    <w:rsid w:val="005F695C"/>
    <w:rsid w:val="005F7564"/>
    <w:rsid w:val="005F7635"/>
    <w:rsid w:val="006046EF"/>
    <w:rsid w:val="00611E0B"/>
    <w:rsid w:val="00613C37"/>
    <w:rsid w:val="00614D04"/>
    <w:rsid w:val="00615E08"/>
    <w:rsid w:val="00624839"/>
    <w:rsid w:val="00625764"/>
    <w:rsid w:val="00625774"/>
    <w:rsid w:val="0062683B"/>
    <w:rsid w:val="006276E7"/>
    <w:rsid w:val="00627CDB"/>
    <w:rsid w:val="00632722"/>
    <w:rsid w:val="00632E1D"/>
    <w:rsid w:val="006363C6"/>
    <w:rsid w:val="00640B2C"/>
    <w:rsid w:val="00642F63"/>
    <w:rsid w:val="00647624"/>
    <w:rsid w:val="0064781F"/>
    <w:rsid w:val="00651433"/>
    <w:rsid w:val="00651867"/>
    <w:rsid w:val="00653391"/>
    <w:rsid w:val="0065588C"/>
    <w:rsid w:val="006563A3"/>
    <w:rsid w:val="00660AF7"/>
    <w:rsid w:val="006657A5"/>
    <w:rsid w:val="00665C9E"/>
    <w:rsid w:val="00666886"/>
    <w:rsid w:val="0066725C"/>
    <w:rsid w:val="00667CA7"/>
    <w:rsid w:val="0067069C"/>
    <w:rsid w:val="00671805"/>
    <w:rsid w:val="00674821"/>
    <w:rsid w:val="00680394"/>
    <w:rsid w:val="00681E90"/>
    <w:rsid w:val="006822AA"/>
    <w:rsid w:val="00682FB7"/>
    <w:rsid w:val="0069197C"/>
    <w:rsid w:val="00695D41"/>
    <w:rsid w:val="006A1B78"/>
    <w:rsid w:val="006A4663"/>
    <w:rsid w:val="006A4CE7"/>
    <w:rsid w:val="006A4DA3"/>
    <w:rsid w:val="006A4F7D"/>
    <w:rsid w:val="006A745C"/>
    <w:rsid w:val="006B19D4"/>
    <w:rsid w:val="006B2521"/>
    <w:rsid w:val="006B2795"/>
    <w:rsid w:val="006B3E59"/>
    <w:rsid w:val="006B4020"/>
    <w:rsid w:val="006C052D"/>
    <w:rsid w:val="006C38F8"/>
    <w:rsid w:val="006C5593"/>
    <w:rsid w:val="006D041E"/>
    <w:rsid w:val="006D1785"/>
    <w:rsid w:val="006D47DC"/>
    <w:rsid w:val="006D57FD"/>
    <w:rsid w:val="006D63B9"/>
    <w:rsid w:val="006D734A"/>
    <w:rsid w:val="006E24C4"/>
    <w:rsid w:val="006E2C17"/>
    <w:rsid w:val="006F059D"/>
    <w:rsid w:val="006F310B"/>
    <w:rsid w:val="006F72F2"/>
    <w:rsid w:val="00700B0E"/>
    <w:rsid w:val="0070215F"/>
    <w:rsid w:val="0070424A"/>
    <w:rsid w:val="007065F3"/>
    <w:rsid w:val="00707CF0"/>
    <w:rsid w:val="00707D5C"/>
    <w:rsid w:val="007119EC"/>
    <w:rsid w:val="007158AF"/>
    <w:rsid w:val="00716566"/>
    <w:rsid w:val="007173B6"/>
    <w:rsid w:val="0073108A"/>
    <w:rsid w:val="0073320E"/>
    <w:rsid w:val="007348F0"/>
    <w:rsid w:val="00737816"/>
    <w:rsid w:val="007408B4"/>
    <w:rsid w:val="00741DBE"/>
    <w:rsid w:val="00743383"/>
    <w:rsid w:val="00744C89"/>
    <w:rsid w:val="007450E9"/>
    <w:rsid w:val="0074597C"/>
    <w:rsid w:val="007473AD"/>
    <w:rsid w:val="00747813"/>
    <w:rsid w:val="007537C4"/>
    <w:rsid w:val="00753F95"/>
    <w:rsid w:val="00754BA6"/>
    <w:rsid w:val="00756AD0"/>
    <w:rsid w:val="007570B8"/>
    <w:rsid w:val="007616B1"/>
    <w:rsid w:val="007664A5"/>
    <w:rsid w:val="0077088E"/>
    <w:rsid w:val="00774A14"/>
    <w:rsid w:val="00785261"/>
    <w:rsid w:val="00786FF5"/>
    <w:rsid w:val="00787968"/>
    <w:rsid w:val="00792B60"/>
    <w:rsid w:val="00793314"/>
    <w:rsid w:val="007A5A1A"/>
    <w:rsid w:val="007A5E77"/>
    <w:rsid w:val="007B0256"/>
    <w:rsid w:val="007B1364"/>
    <w:rsid w:val="007B30A1"/>
    <w:rsid w:val="007B32B0"/>
    <w:rsid w:val="007B41E8"/>
    <w:rsid w:val="007C0D77"/>
    <w:rsid w:val="007C1CE3"/>
    <w:rsid w:val="007C7696"/>
    <w:rsid w:val="007D244D"/>
    <w:rsid w:val="007E2333"/>
    <w:rsid w:val="007E24AF"/>
    <w:rsid w:val="007E5D22"/>
    <w:rsid w:val="007F0541"/>
    <w:rsid w:val="007F5F32"/>
    <w:rsid w:val="007F7940"/>
    <w:rsid w:val="00803EDC"/>
    <w:rsid w:val="00811C0C"/>
    <w:rsid w:val="008125A4"/>
    <w:rsid w:val="00812648"/>
    <w:rsid w:val="008164A9"/>
    <w:rsid w:val="00820788"/>
    <w:rsid w:val="00821EC1"/>
    <w:rsid w:val="00825AA2"/>
    <w:rsid w:val="00826A1E"/>
    <w:rsid w:val="00827BAE"/>
    <w:rsid w:val="00837D68"/>
    <w:rsid w:val="00840AD8"/>
    <w:rsid w:val="0084227C"/>
    <w:rsid w:val="0084663B"/>
    <w:rsid w:val="00847762"/>
    <w:rsid w:val="00852C7F"/>
    <w:rsid w:val="00855AAC"/>
    <w:rsid w:val="00855CCA"/>
    <w:rsid w:val="008565DF"/>
    <w:rsid w:val="0085710F"/>
    <w:rsid w:val="00862CE4"/>
    <w:rsid w:val="00864D76"/>
    <w:rsid w:val="00871278"/>
    <w:rsid w:val="0087270C"/>
    <w:rsid w:val="0087600D"/>
    <w:rsid w:val="00876CA6"/>
    <w:rsid w:val="00877018"/>
    <w:rsid w:val="0087701F"/>
    <w:rsid w:val="008831FA"/>
    <w:rsid w:val="00883876"/>
    <w:rsid w:val="00887356"/>
    <w:rsid w:val="00890E7C"/>
    <w:rsid w:val="008951D5"/>
    <w:rsid w:val="00896AA9"/>
    <w:rsid w:val="00897A9A"/>
    <w:rsid w:val="008A2ADB"/>
    <w:rsid w:val="008A4DAB"/>
    <w:rsid w:val="008A4FB8"/>
    <w:rsid w:val="008A6409"/>
    <w:rsid w:val="008A6DEE"/>
    <w:rsid w:val="008A76D0"/>
    <w:rsid w:val="008B0687"/>
    <w:rsid w:val="008B0862"/>
    <w:rsid w:val="008B118F"/>
    <w:rsid w:val="008B4829"/>
    <w:rsid w:val="008B4E99"/>
    <w:rsid w:val="008B6EA0"/>
    <w:rsid w:val="008B7F8A"/>
    <w:rsid w:val="008C5653"/>
    <w:rsid w:val="008C5D5E"/>
    <w:rsid w:val="008C6565"/>
    <w:rsid w:val="008D124F"/>
    <w:rsid w:val="008D214A"/>
    <w:rsid w:val="008D25E2"/>
    <w:rsid w:val="008D4278"/>
    <w:rsid w:val="008D4FAE"/>
    <w:rsid w:val="008D5567"/>
    <w:rsid w:val="008D7707"/>
    <w:rsid w:val="008E0502"/>
    <w:rsid w:val="008E32D4"/>
    <w:rsid w:val="008E32E3"/>
    <w:rsid w:val="008E4918"/>
    <w:rsid w:val="008E519B"/>
    <w:rsid w:val="008E552F"/>
    <w:rsid w:val="008E6ECF"/>
    <w:rsid w:val="008E7BB4"/>
    <w:rsid w:val="008F2128"/>
    <w:rsid w:val="008F3023"/>
    <w:rsid w:val="008F3A95"/>
    <w:rsid w:val="008F475E"/>
    <w:rsid w:val="009051E9"/>
    <w:rsid w:val="00907D8C"/>
    <w:rsid w:val="00910CC6"/>
    <w:rsid w:val="0091444D"/>
    <w:rsid w:val="009148F4"/>
    <w:rsid w:val="00915DDB"/>
    <w:rsid w:val="00916441"/>
    <w:rsid w:val="00920243"/>
    <w:rsid w:val="00922487"/>
    <w:rsid w:val="009225F0"/>
    <w:rsid w:val="009275EB"/>
    <w:rsid w:val="00927D56"/>
    <w:rsid w:val="00934E62"/>
    <w:rsid w:val="009405C0"/>
    <w:rsid w:val="00942AEA"/>
    <w:rsid w:val="0094563F"/>
    <w:rsid w:val="009457FF"/>
    <w:rsid w:val="00946367"/>
    <w:rsid w:val="0095089A"/>
    <w:rsid w:val="00955060"/>
    <w:rsid w:val="00956E80"/>
    <w:rsid w:val="00957D3E"/>
    <w:rsid w:val="00957DDA"/>
    <w:rsid w:val="00960454"/>
    <w:rsid w:val="00963450"/>
    <w:rsid w:val="009635BA"/>
    <w:rsid w:val="00963B98"/>
    <w:rsid w:val="00963CF5"/>
    <w:rsid w:val="00966422"/>
    <w:rsid w:val="00966A31"/>
    <w:rsid w:val="00967A53"/>
    <w:rsid w:val="0097000F"/>
    <w:rsid w:val="0097087F"/>
    <w:rsid w:val="0097420D"/>
    <w:rsid w:val="009742C4"/>
    <w:rsid w:val="00974D41"/>
    <w:rsid w:val="00982E94"/>
    <w:rsid w:val="0098482E"/>
    <w:rsid w:val="00984F6F"/>
    <w:rsid w:val="00984FFE"/>
    <w:rsid w:val="00991B25"/>
    <w:rsid w:val="0099262B"/>
    <w:rsid w:val="009A5808"/>
    <w:rsid w:val="009A6C90"/>
    <w:rsid w:val="009B220B"/>
    <w:rsid w:val="009B23C2"/>
    <w:rsid w:val="009B47AC"/>
    <w:rsid w:val="009B4B84"/>
    <w:rsid w:val="009B5E30"/>
    <w:rsid w:val="009B6E6D"/>
    <w:rsid w:val="009C5EDC"/>
    <w:rsid w:val="009C6A39"/>
    <w:rsid w:val="009C6B20"/>
    <w:rsid w:val="009C7B71"/>
    <w:rsid w:val="009D3056"/>
    <w:rsid w:val="009D3CCB"/>
    <w:rsid w:val="009D4AF3"/>
    <w:rsid w:val="009E04BE"/>
    <w:rsid w:val="009E0996"/>
    <w:rsid w:val="009E2C99"/>
    <w:rsid w:val="009E2E9D"/>
    <w:rsid w:val="009E6723"/>
    <w:rsid w:val="009F24B8"/>
    <w:rsid w:val="009F5DCA"/>
    <w:rsid w:val="009F7397"/>
    <w:rsid w:val="00A061AA"/>
    <w:rsid w:val="00A11117"/>
    <w:rsid w:val="00A13549"/>
    <w:rsid w:val="00A15427"/>
    <w:rsid w:val="00A16A7B"/>
    <w:rsid w:val="00A20F0F"/>
    <w:rsid w:val="00A234DF"/>
    <w:rsid w:val="00A24ABC"/>
    <w:rsid w:val="00A24E4B"/>
    <w:rsid w:val="00A273AD"/>
    <w:rsid w:val="00A3179A"/>
    <w:rsid w:val="00A3393C"/>
    <w:rsid w:val="00A33C5D"/>
    <w:rsid w:val="00A33E0B"/>
    <w:rsid w:val="00A37C9C"/>
    <w:rsid w:val="00A413E8"/>
    <w:rsid w:val="00A43E66"/>
    <w:rsid w:val="00A445F1"/>
    <w:rsid w:val="00A4462B"/>
    <w:rsid w:val="00A4488A"/>
    <w:rsid w:val="00A470D2"/>
    <w:rsid w:val="00A513DF"/>
    <w:rsid w:val="00A52865"/>
    <w:rsid w:val="00A57442"/>
    <w:rsid w:val="00A60A30"/>
    <w:rsid w:val="00A6189B"/>
    <w:rsid w:val="00A63CA4"/>
    <w:rsid w:val="00A66B2F"/>
    <w:rsid w:val="00A67604"/>
    <w:rsid w:val="00A67DAA"/>
    <w:rsid w:val="00A70995"/>
    <w:rsid w:val="00A70FCB"/>
    <w:rsid w:val="00A72D5D"/>
    <w:rsid w:val="00A74769"/>
    <w:rsid w:val="00A75CA2"/>
    <w:rsid w:val="00A804B7"/>
    <w:rsid w:val="00A829F0"/>
    <w:rsid w:val="00A84373"/>
    <w:rsid w:val="00A90CD8"/>
    <w:rsid w:val="00A92B73"/>
    <w:rsid w:val="00A9413F"/>
    <w:rsid w:val="00A948F6"/>
    <w:rsid w:val="00A97FA1"/>
    <w:rsid w:val="00AA234A"/>
    <w:rsid w:val="00AA5817"/>
    <w:rsid w:val="00AA6F2C"/>
    <w:rsid w:val="00AA7991"/>
    <w:rsid w:val="00AB0FC7"/>
    <w:rsid w:val="00AB1FDC"/>
    <w:rsid w:val="00AB209D"/>
    <w:rsid w:val="00AB30AF"/>
    <w:rsid w:val="00AB45D6"/>
    <w:rsid w:val="00AC2266"/>
    <w:rsid w:val="00AC40E1"/>
    <w:rsid w:val="00AC563A"/>
    <w:rsid w:val="00AC574B"/>
    <w:rsid w:val="00AC582F"/>
    <w:rsid w:val="00AC614A"/>
    <w:rsid w:val="00AC6C6A"/>
    <w:rsid w:val="00AC6C98"/>
    <w:rsid w:val="00AD2CFB"/>
    <w:rsid w:val="00AD3CCB"/>
    <w:rsid w:val="00AE0D86"/>
    <w:rsid w:val="00AE42F7"/>
    <w:rsid w:val="00AE6F33"/>
    <w:rsid w:val="00AF48D9"/>
    <w:rsid w:val="00AF697D"/>
    <w:rsid w:val="00B0146F"/>
    <w:rsid w:val="00B048F2"/>
    <w:rsid w:val="00B10EB1"/>
    <w:rsid w:val="00B13AB4"/>
    <w:rsid w:val="00B20903"/>
    <w:rsid w:val="00B25125"/>
    <w:rsid w:val="00B34148"/>
    <w:rsid w:val="00B35892"/>
    <w:rsid w:val="00B46B0F"/>
    <w:rsid w:val="00B46E8E"/>
    <w:rsid w:val="00B51F21"/>
    <w:rsid w:val="00B52A7B"/>
    <w:rsid w:val="00B53596"/>
    <w:rsid w:val="00B53D53"/>
    <w:rsid w:val="00B54A7B"/>
    <w:rsid w:val="00B63100"/>
    <w:rsid w:val="00B637B9"/>
    <w:rsid w:val="00B66256"/>
    <w:rsid w:val="00B706C5"/>
    <w:rsid w:val="00B71306"/>
    <w:rsid w:val="00B75568"/>
    <w:rsid w:val="00B7662D"/>
    <w:rsid w:val="00B77D94"/>
    <w:rsid w:val="00B8227C"/>
    <w:rsid w:val="00B8514F"/>
    <w:rsid w:val="00B857C3"/>
    <w:rsid w:val="00B857E3"/>
    <w:rsid w:val="00B87459"/>
    <w:rsid w:val="00B914DE"/>
    <w:rsid w:val="00B929FC"/>
    <w:rsid w:val="00B92B07"/>
    <w:rsid w:val="00B93291"/>
    <w:rsid w:val="00B9718D"/>
    <w:rsid w:val="00B97ED3"/>
    <w:rsid w:val="00BA0F29"/>
    <w:rsid w:val="00BA2A6C"/>
    <w:rsid w:val="00BA2DB9"/>
    <w:rsid w:val="00BA32A9"/>
    <w:rsid w:val="00BB2624"/>
    <w:rsid w:val="00BB368F"/>
    <w:rsid w:val="00BC1507"/>
    <w:rsid w:val="00BC28E4"/>
    <w:rsid w:val="00BC3271"/>
    <w:rsid w:val="00BC3459"/>
    <w:rsid w:val="00BC5827"/>
    <w:rsid w:val="00BC77DA"/>
    <w:rsid w:val="00BD26B0"/>
    <w:rsid w:val="00BD4845"/>
    <w:rsid w:val="00BD6305"/>
    <w:rsid w:val="00BE194F"/>
    <w:rsid w:val="00BE2D90"/>
    <w:rsid w:val="00BE3594"/>
    <w:rsid w:val="00BE7148"/>
    <w:rsid w:val="00BE7816"/>
    <w:rsid w:val="00BE7B41"/>
    <w:rsid w:val="00BF263F"/>
    <w:rsid w:val="00BF42B1"/>
    <w:rsid w:val="00BF4A0A"/>
    <w:rsid w:val="00BF6527"/>
    <w:rsid w:val="00BF6FE1"/>
    <w:rsid w:val="00C00C30"/>
    <w:rsid w:val="00C027B8"/>
    <w:rsid w:val="00C045C7"/>
    <w:rsid w:val="00C05D68"/>
    <w:rsid w:val="00C1295A"/>
    <w:rsid w:val="00C130CB"/>
    <w:rsid w:val="00C159A5"/>
    <w:rsid w:val="00C17CED"/>
    <w:rsid w:val="00C17E78"/>
    <w:rsid w:val="00C22BF7"/>
    <w:rsid w:val="00C2464A"/>
    <w:rsid w:val="00C262FA"/>
    <w:rsid w:val="00C274C2"/>
    <w:rsid w:val="00C35253"/>
    <w:rsid w:val="00C37DC1"/>
    <w:rsid w:val="00C40BC4"/>
    <w:rsid w:val="00C4267D"/>
    <w:rsid w:val="00C42D85"/>
    <w:rsid w:val="00C442FE"/>
    <w:rsid w:val="00C45E80"/>
    <w:rsid w:val="00C46CC7"/>
    <w:rsid w:val="00C46E26"/>
    <w:rsid w:val="00C4799A"/>
    <w:rsid w:val="00C5202F"/>
    <w:rsid w:val="00C53F4C"/>
    <w:rsid w:val="00C55523"/>
    <w:rsid w:val="00C57001"/>
    <w:rsid w:val="00C60A14"/>
    <w:rsid w:val="00C617E4"/>
    <w:rsid w:val="00C639D4"/>
    <w:rsid w:val="00C64E2A"/>
    <w:rsid w:val="00C6623E"/>
    <w:rsid w:val="00C67543"/>
    <w:rsid w:val="00C733F3"/>
    <w:rsid w:val="00C738C9"/>
    <w:rsid w:val="00C74E27"/>
    <w:rsid w:val="00C77257"/>
    <w:rsid w:val="00C80011"/>
    <w:rsid w:val="00C84317"/>
    <w:rsid w:val="00C84E71"/>
    <w:rsid w:val="00C9157D"/>
    <w:rsid w:val="00C927BF"/>
    <w:rsid w:val="00C93CCA"/>
    <w:rsid w:val="00C95046"/>
    <w:rsid w:val="00C958E3"/>
    <w:rsid w:val="00C96D65"/>
    <w:rsid w:val="00C9745C"/>
    <w:rsid w:val="00CA059B"/>
    <w:rsid w:val="00CA11A3"/>
    <w:rsid w:val="00CA64D3"/>
    <w:rsid w:val="00CA678A"/>
    <w:rsid w:val="00CB1C72"/>
    <w:rsid w:val="00CB3E20"/>
    <w:rsid w:val="00CC11B9"/>
    <w:rsid w:val="00CC4A91"/>
    <w:rsid w:val="00CD0D3B"/>
    <w:rsid w:val="00CD270D"/>
    <w:rsid w:val="00CD2B99"/>
    <w:rsid w:val="00CD3AB7"/>
    <w:rsid w:val="00CD77DB"/>
    <w:rsid w:val="00CE1CB4"/>
    <w:rsid w:val="00CE1D22"/>
    <w:rsid w:val="00CE2AAE"/>
    <w:rsid w:val="00CE2CE6"/>
    <w:rsid w:val="00CE33D0"/>
    <w:rsid w:val="00CE36F7"/>
    <w:rsid w:val="00CE79B3"/>
    <w:rsid w:val="00CF1880"/>
    <w:rsid w:val="00CF3702"/>
    <w:rsid w:val="00CF3D38"/>
    <w:rsid w:val="00CF4DDC"/>
    <w:rsid w:val="00CF585B"/>
    <w:rsid w:val="00CF676E"/>
    <w:rsid w:val="00D008AD"/>
    <w:rsid w:val="00D01747"/>
    <w:rsid w:val="00D07328"/>
    <w:rsid w:val="00D112C6"/>
    <w:rsid w:val="00D11D94"/>
    <w:rsid w:val="00D13FC8"/>
    <w:rsid w:val="00D14526"/>
    <w:rsid w:val="00D14E9C"/>
    <w:rsid w:val="00D154A6"/>
    <w:rsid w:val="00D22498"/>
    <w:rsid w:val="00D22A8A"/>
    <w:rsid w:val="00D247E0"/>
    <w:rsid w:val="00D25033"/>
    <w:rsid w:val="00D253F6"/>
    <w:rsid w:val="00D2779B"/>
    <w:rsid w:val="00D27B29"/>
    <w:rsid w:val="00D3535F"/>
    <w:rsid w:val="00D362DA"/>
    <w:rsid w:val="00D374AA"/>
    <w:rsid w:val="00D40907"/>
    <w:rsid w:val="00D4108B"/>
    <w:rsid w:val="00D41CE6"/>
    <w:rsid w:val="00D445BC"/>
    <w:rsid w:val="00D45ACE"/>
    <w:rsid w:val="00D50A39"/>
    <w:rsid w:val="00D5179A"/>
    <w:rsid w:val="00D55ACC"/>
    <w:rsid w:val="00D56B65"/>
    <w:rsid w:val="00D57C6C"/>
    <w:rsid w:val="00D63EBE"/>
    <w:rsid w:val="00D6599A"/>
    <w:rsid w:val="00D7259B"/>
    <w:rsid w:val="00D74BC2"/>
    <w:rsid w:val="00D75717"/>
    <w:rsid w:val="00D90D3C"/>
    <w:rsid w:val="00D926D4"/>
    <w:rsid w:val="00D967CB"/>
    <w:rsid w:val="00DA4AAD"/>
    <w:rsid w:val="00DA5562"/>
    <w:rsid w:val="00DA73CF"/>
    <w:rsid w:val="00DB5434"/>
    <w:rsid w:val="00DB54A7"/>
    <w:rsid w:val="00DC1306"/>
    <w:rsid w:val="00DC1CCC"/>
    <w:rsid w:val="00DC2D6F"/>
    <w:rsid w:val="00DD0BB3"/>
    <w:rsid w:val="00DD1FC7"/>
    <w:rsid w:val="00DD7400"/>
    <w:rsid w:val="00DD779F"/>
    <w:rsid w:val="00DE0F91"/>
    <w:rsid w:val="00DE3CD1"/>
    <w:rsid w:val="00DE678F"/>
    <w:rsid w:val="00DF19A7"/>
    <w:rsid w:val="00DF6DA7"/>
    <w:rsid w:val="00DF7621"/>
    <w:rsid w:val="00E05F1F"/>
    <w:rsid w:val="00E06014"/>
    <w:rsid w:val="00E06EA5"/>
    <w:rsid w:val="00E07A45"/>
    <w:rsid w:val="00E170AF"/>
    <w:rsid w:val="00E17683"/>
    <w:rsid w:val="00E231F2"/>
    <w:rsid w:val="00E24916"/>
    <w:rsid w:val="00E25F46"/>
    <w:rsid w:val="00E26FDC"/>
    <w:rsid w:val="00E34531"/>
    <w:rsid w:val="00E34E3B"/>
    <w:rsid w:val="00E35C5A"/>
    <w:rsid w:val="00E4285D"/>
    <w:rsid w:val="00E43652"/>
    <w:rsid w:val="00E438B8"/>
    <w:rsid w:val="00E44C03"/>
    <w:rsid w:val="00E46AF7"/>
    <w:rsid w:val="00E51FD9"/>
    <w:rsid w:val="00E52BAF"/>
    <w:rsid w:val="00E53BA8"/>
    <w:rsid w:val="00E53F7C"/>
    <w:rsid w:val="00E62C97"/>
    <w:rsid w:val="00E65FF4"/>
    <w:rsid w:val="00E708BB"/>
    <w:rsid w:val="00E768DF"/>
    <w:rsid w:val="00E77625"/>
    <w:rsid w:val="00E82933"/>
    <w:rsid w:val="00E90925"/>
    <w:rsid w:val="00E914E4"/>
    <w:rsid w:val="00E916A0"/>
    <w:rsid w:val="00E93488"/>
    <w:rsid w:val="00E94CA4"/>
    <w:rsid w:val="00E9662D"/>
    <w:rsid w:val="00E96BDA"/>
    <w:rsid w:val="00EA140E"/>
    <w:rsid w:val="00EA51B7"/>
    <w:rsid w:val="00EA601D"/>
    <w:rsid w:val="00EA6A8B"/>
    <w:rsid w:val="00EA7350"/>
    <w:rsid w:val="00EB0B4D"/>
    <w:rsid w:val="00EB0D95"/>
    <w:rsid w:val="00EB59AC"/>
    <w:rsid w:val="00EB79EC"/>
    <w:rsid w:val="00EC3FFB"/>
    <w:rsid w:val="00EC42AF"/>
    <w:rsid w:val="00ED1198"/>
    <w:rsid w:val="00ED11E8"/>
    <w:rsid w:val="00ED5812"/>
    <w:rsid w:val="00ED7B8F"/>
    <w:rsid w:val="00EE2F18"/>
    <w:rsid w:val="00EE3834"/>
    <w:rsid w:val="00EE589C"/>
    <w:rsid w:val="00EF2289"/>
    <w:rsid w:val="00EF29FC"/>
    <w:rsid w:val="00EF425E"/>
    <w:rsid w:val="00EF4AF8"/>
    <w:rsid w:val="00EF5B65"/>
    <w:rsid w:val="00EF65AA"/>
    <w:rsid w:val="00EF6845"/>
    <w:rsid w:val="00EF6F81"/>
    <w:rsid w:val="00F007A2"/>
    <w:rsid w:val="00F00DD5"/>
    <w:rsid w:val="00F10DB5"/>
    <w:rsid w:val="00F151B5"/>
    <w:rsid w:val="00F15660"/>
    <w:rsid w:val="00F23FF4"/>
    <w:rsid w:val="00F2478D"/>
    <w:rsid w:val="00F30908"/>
    <w:rsid w:val="00F35CB9"/>
    <w:rsid w:val="00F405D0"/>
    <w:rsid w:val="00F416C4"/>
    <w:rsid w:val="00F44220"/>
    <w:rsid w:val="00F45B05"/>
    <w:rsid w:val="00F472FB"/>
    <w:rsid w:val="00F50E14"/>
    <w:rsid w:val="00F51222"/>
    <w:rsid w:val="00F51DA6"/>
    <w:rsid w:val="00F52338"/>
    <w:rsid w:val="00F53D58"/>
    <w:rsid w:val="00F55372"/>
    <w:rsid w:val="00F5566B"/>
    <w:rsid w:val="00F55835"/>
    <w:rsid w:val="00F56E6B"/>
    <w:rsid w:val="00F617C7"/>
    <w:rsid w:val="00F630EE"/>
    <w:rsid w:val="00F64AA5"/>
    <w:rsid w:val="00F70B1C"/>
    <w:rsid w:val="00F74463"/>
    <w:rsid w:val="00F747C9"/>
    <w:rsid w:val="00F76728"/>
    <w:rsid w:val="00F76930"/>
    <w:rsid w:val="00F76BB0"/>
    <w:rsid w:val="00F83691"/>
    <w:rsid w:val="00F85669"/>
    <w:rsid w:val="00F85D53"/>
    <w:rsid w:val="00F9077C"/>
    <w:rsid w:val="00F924EA"/>
    <w:rsid w:val="00F92C98"/>
    <w:rsid w:val="00F93639"/>
    <w:rsid w:val="00F953DF"/>
    <w:rsid w:val="00F96D8E"/>
    <w:rsid w:val="00FA01AD"/>
    <w:rsid w:val="00FA195F"/>
    <w:rsid w:val="00FA3E73"/>
    <w:rsid w:val="00FA5363"/>
    <w:rsid w:val="00FA7ED0"/>
    <w:rsid w:val="00FB5114"/>
    <w:rsid w:val="00FC0ABC"/>
    <w:rsid w:val="00FC0BBA"/>
    <w:rsid w:val="00FC143A"/>
    <w:rsid w:val="00FC1DC6"/>
    <w:rsid w:val="00FD4720"/>
    <w:rsid w:val="00FD6649"/>
    <w:rsid w:val="00FD6AE1"/>
    <w:rsid w:val="00FE069D"/>
    <w:rsid w:val="00FE3B05"/>
    <w:rsid w:val="00FE6549"/>
    <w:rsid w:val="00FE6F4C"/>
    <w:rsid w:val="00FF1548"/>
    <w:rsid w:val="00FF1B32"/>
    <w:rsid w:val="00FF60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page number" w:uiPriority="0"/>
    <w:lsdException w:name="List Bullet" w:uiPriority="1" w:qFormat="1"/>
    <w:lsdException w:name="Title" w:semiHidden="0" w:uiPriority="1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AE"/>
    <w:pPr>
      <w:spacing w:before="120" w:after="180" w:line="260" w:lineRule="atLeast"/>
    </w:pPr>
    <w:rPr>
      <w:rFonts w:ascii="Arial" w:eastAsia="Times New Roman" w:hAnsi="Arial" w:cs="Times New Roman"/>
      <w:szCs w:val="24"/>
      <w:lang w:eastAsia="en-AU"/>
    </w:rPr>
  </w:style>
  <w:style w:type="paragraph" w:styleId="Heading1">
    <w:name w:val="heading 1"/>
    <w:basedOn w:val="Normal"/>
    <w:next w:val="Normal"/>
    <w:link w:val="Heading1Char"/>
    <w:qFormat/>
    <w:rsid w:val="00682FB7"/>
    <w:pPr>
      <w:spacing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487BAF"/>
    <w:pPr>
      <w:numPr>
        <w:numId w:val="26"/>
      </w:numPr>
      <w:spacing w:before="240" w:after="120" w:line="240" w:lineRule="auto"/>
      <w:outlineLvl w:val="1"/>
    </w:pPr>
    <w:rPr>
      <w:rFonts w:ascii="Georgia" w:eastAsiaTheme="majorEastAsia" w:hAnsi="Georgia" w:cstheme="majorBidi"/>
      <w:bCs/>
      <w:color w:val="31849B" w:themeColor="accent5" w:themeShade="BF"/>
      <w:sz w:val="32"/>
      <w:szCs w:val="26"/>
    </w:rPr>
  </w:style>
  <w:style w:type="paragraph" w:styleId="Heading3">
    <w:name w:val="heading 3"/>
    <w:basedOn w:val="Normal"/>
    <w:next w:val="Normal"/>
    <w:link w:val="Heading3Char"/>
    <w:unhideWhenUsed/>
    <w:qFormat/>
    <w:rsid w:val="00487BAF"/>
    <w:pPr>
      <w:spacing w:before="240" w:after="120" w:line="271" w:lineRule="auto"/>
      <w:outlineLvl w:val="2"/>
    </w:pPr>
    <w:rPr>
      <w:rFonts w:ascii="Georgia" w:eastAsiaTheme="majorEastAsia" w:hAnsi="Georgia" w:cstheme="majorBidi"/>
      <w:bCs/>
      <w:color w:val="31849B" w:themeColor="accent5" w:themeShade="BF"/>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FB7"/>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487BAF"/>
    <w:rPr>
      <w:rFonts w:ascii="Georgia" w:eastAsiaTheme="majorEastAsia" w:hAnsi="Georgia" w:cstheme="majorBidi"/>
      <w:bCs/>
      <w:color w:val="31849B" w:themeColor="accent5" w:themeShade="BF"/>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87BAF"/>
    <w:rPr>
      <w:rFonts w:ascii="Georgia" w:eastAsiaTheme="majorEastAsia" w:hAnsi="Georgia" w:cstheme="majorBidi"/>
      <w:bCs/>
      <w:color w:val="31849B" w:themeColor="accent5" w:themeShade="BF"/>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84227C"/>
    <w:pPr>
      <w:spacing w:before="4000"/>
      <w:jc w:val="center"/>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3023"/>
    <w:rPr>
      <w:rFonts w:ascii="Tahoma" w:hAnsi="Tahoma" w:cs="Tahoma"/>
      <w:sz w:val="16"/>
      <w:szCs w:val="16"/>
    </w:rPr>
  </w:style>
  <w:style w:type="paragraph" w:styleId="ListBullet">
    <w:name w:val="List Bullet"/>
    <w:basedOn w:val="Normal"/>
    <w:uiPriority w:val="1"/>
    <w:qFormat/>
    <w:rsid w:val="00D22A8A"/>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2B3CC6"/>
    <w:pPr>
      <w:spacing w:before="120" w:after="120" w:line="240" w:lineRule="auto"/>
      <w:ind w:left="397"/>
      <w:contextualSpacing/>
    </w:pPr>
    <w:rPr>
      <w:rFonts w:ascii="Georgia" w:eastAsia="Times New Roman" w:hAnsi="Georgia" w:cs="Arial"/>
      <w:bCs/>
      <w:iCs/>
      <w:color w:val="24596E"/>
      <w:sz w:val="21"/>
      <w:szCs w:val="28"/>
      <w:lang w:eastAsia="en-AU"/>
    </w:rPr>
  </w:style>
  <w:style w:type="character" w:customStyle="1" w:styleId="PullouttextChar">
    <w:name w:val="Pullout text Char"/>
    <w:basedOn w:val="Heading2Char"/>
    <w:link w:val="Pullouttext"/>
    <w:uiPriority w:val="3"/>
    <w:rsid w:val="002B3CC6"/>
    <w:rPr>
      <w:rFonts w:ascii="Georgia" w:eastAsia="Times New Roman" w:hAnsi="Georgia" w:cs="Arial"/>
      <w:bCs/>
      <w:iCs/>
      <w:color w:val="24596E"/>
      <w:sz w:val="21"/>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sz w:val="24"/>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0E4E46"/>
    <w:pPr>
      <w:tabs>
        <w:tab w:val="left" w:pos="426"/>
        <w:tab w:val="right" w:leader="dot" w:pos="9628"/>
      </w:tabs>
      <w:spacing w:after="100"/>
    </w:pPr>
  </w:style>
  <w:style w:type="paragraph" w:styleId="TOC3">
    <w:name w:val="toc 3"/>
    <w:basedOn w:val="Normal"/>
    <w:next w:val="Normal"/>
    <w:autoRedefine/>
    <w:uiPriority w:val="39"/>
    <w:unhideWhenUsed/>
    <w:rsid w:val="000E4E46"/>
    <w:pPr>
      <w:tabs>
        <w:tab w:val="left" w:pos="709"/>
        <w:tab w:val="right" w:leader="dot" w:pos="9628"/>
      </w:tabs>
      <w:spacing w:after="100"/>
      <w:ind w:left="851" w:hanging="425"/>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87600D"/>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87600D"/>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00AEB9"/>
      </w:tcPr>
    </w:tblStylePr>
    <w:tblStylePr w:type="lastRow">
      <w:rPr>
        <w:rFonts w:ascii="Arial" w:hAnsi="Arial"/>
        <w:b/>
        <w:sz w:val="22"/>
      </w:rPr>
      <w:tblPr/>
      <w:tcPr>
        <w:tcBorders>
          <w:top w:val="nil"/>
          <w:left w:val="nil"/>
          <w:bottom w:val="single" w:sz="8" w:space="0" w:color="auto"/>
          <w:right w:val="nil"/>
          <w:insideH w:val="nil"/>
          <w:insideV w:val="nil"/>
        </w:tcBorders>
      </w:tcPr>
    </w:tblStylePr>
    <w:tblStylePr w:type="band2Horz">
      <w:tblPr/>
      <w:tcPr>
        <w:shd w:val="clear" w:color="auto" w:fill="B1E4E3"/>
      </w:tcPr>
    </w:tblStylePr>
  </w:style>
  <w:style w:type="character" w:styleId="CommentReference">
    <w:name w:val="annotation reference"/>
    <w:basedOn w:val="DefaultParagraphFont"/>
    <w:unhideWhenUsed/>
    <w:rsid w:val="00C35253"/>
    <w:rPr>
      <w:sz w:val="16"/>
      <w:szCs w:val="16"/>
    </w:rPr>
  </w:style>
  <w:style w:type="paragraph" w:styleId="CommentText">
    <w:name w:val="annotation text"/>
    <w:basedOn w:val="Normal"/>
    <w:link w:val="CommentTextChar"/>
    <w:unhideWhenUsed/>
    <w:rsid w:val="00C35253"/>
    <w:pPr>
      <w:spacing w:before="0"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rsid w:val="00C35253"/>
    <w:rPr>
      <w:rFonts w:ascii="Times New Roman" w:eastAsia="Times New Roman" w:hAnsi="Times New Roman" w:cs="Times New Roman"/>
      <w:sz w:val="20"/>
      <w:szCs w:val="20"/>
    </w:rPr>
  </w:style>
  <w:style w:type="table" w:styleId="TableGrid">
    <w:name w:val="Table Grid"/>
    <w:basedOn w:val="TableNormal"/>
    <w:rsid w:val="00C3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35253"/>
    <w:pPr>
      <w:spacing w:before="0" w:after="200" w:line="276" w:lineRule="auto"/>
    </w:pPr>
    <w:rPr>
      <w:rFonts w:asciiTheme="minorHAnsi" w:eastAsiaTheme="minorHAnsi" w:hAnsiTheme="minorHAnsi" w:cstheme="minorBidi"/>
      <w:bCs/>
      <w:iCs/>
      <w:sz w:val="24"/>
      <w:lang w:eastAsia="en-US"/>
    </w:rPr>
  </w:style>
  <w:style w:type="character" w:customStyle="1" w:styleId="BodyTextChar">
    <w:name w:val="Body Text Char"/>
    <w:basedOn w:val="DefaultParagraphFont"/>
    <w:link w:val="BodyText"/>
    <w:rsid w:val="00C35253"/>
    <w:rPr>
      <w:bCs/>
      <w:iCs/>
      <w:sz w:val="24"/>
      <w:szCs w:val="24"/>
    </w:rPr>
  </w:style>
  <w:style w:type="character" w:styleId="BookTitle">
    <w:name w:val="Book Title"/>
    <w:uiPriority w:val="33"/>
    <w:qFormat/>
    <w:rsid w:val="00C35253"/>
    <w:rPr>
      <w:b/>
      <w:bCs/>
      <w:smallCaps/>
      <w:spacing w:val="5"/>
    </w:rPr>
  </w:style>
  <w:style w:type="paragraph" w:customStyle="1" w:styleId="Style6">
    <w:name w:val="Style6"/>
    <w:basedOn w:val="Normal"/>
    <w:autoRedefine/>
    <w:qFormat/>
    <w:rsid w:val="00FC1DC6"/>
    <w:pPr>
      <w:keepNext/>
      <w:spacing w:before="240" w:after="0" w:line="240" w:lineRule="auto"/>
      <w:outlineLvl w:val="2"/>
    </w:pPr>
    <w:rPr>
      <w:rFonts w:eastAsiaTheme="majorEastAsia" w:cstheme="majorBidi"/>
      <w:iCs/>
      <w:sz w:val="18"/>
      <w:szCs w:val="18"/>
      <w:lang w:eastAsia="en-US"/>
    </w:rPr>
  </w:style>
  <w:style w:type="character" w:styleId="PlaceholderText">
    <w:name w:val="Placeholder Text"/>
    <w:basedOn w:val="DefaultParagraphFont"/>
    <w:uiPriority w:val="99"/>
    <w:semiHidden/>
    <w:rsid w:val="00D6599A"/>
    <w:rPr>
      <w:color w:val="808080"/>
    </w:rPr>
  </w:style>
  <w:style w:type="paragraph" w:styleId="BodyText3">
    <w:name w:val="Body Text 3"/>
    <w:basedOn w:val="Normal"/>
    <w:link w:val="BodyText3Char"/>
    <w:uiPriority w:val="99"/>
    <w:semiHidden/>
    <w:unhideWhenUsed/>
    <w:rsid w:val="00D6599A"/>
    <w:pPr>
      <w:spacing w:after="120"/>
    </w:pPr>
    <w:rPr>
      <w:sz w:val="16"/>
      <w:szCs w:val="16"/>
    </w:rPr>
  </w:style>
  <w:style w:type="character" w:customStyle="1" w:styleId="BodyText3Char">
    <w:name w:val="Body Text 3 Char"/>
    <w:basedOn w:val="DefaultParagraphFont"/>
    <w:link w:val="BodyText3"/>
    <w:uiPriority w:val="99"/>
    <w:semiHidden/>
    <w:rsid w:val="00D6599A"/>
    <w:rPr>
      <w:rFonts w:ascii="Arial" w:eastAsia="Times New Roman" w:hAnsi="Arial" w:cs="Times New Roman"/>
      <w:sz w:val="16"/>
      <w:szCs w:val="16"/>
      <w:lang w:eastAsia="en-AU"/>
    </w:rPr>
  </w:style>
  <w:style w:type="paragraph" w:customStyle="1" w:styleId="P1">
    <w:name w:val="P1"/>
    <w:aliases w:val="(a)"/>
    <w:basedOn w:val="Normal"/>
    <w:rsid w:val="00D6599A"/>
    <w:pPr>
      <w:tabs>
        <w:tab w:val="right" w:pos="1191"/>
      </w:tabs>
      <w:spacing w:before="60" w:after="0" w:line="260" w:lineRule="exact"/>
      <w:ind w:left="1418" w:hanging="1418"/>
      <w:jc w:val="both"/>
    </w:pPr>
    <w:rPr>
      <w:rFonts w:ascii="Times New Roman" w:hAnsi="Times New Roman"/>
      <w:sz w:val="24"/>
      <w:lang w:eastAsia="en-US"/>
    </w:rPr>
  </w:style>
  <w:style w:type="table" w:customStyle="1" w:styleId="TableGrid1">
    <w:name w:val="Table Grid1"/>
    <w:basedOn w:val="TableNormal"/>
    <w:next w:val="TableGrid"/>
    <w:uiPriority w:val="59"/>
    <w:rsid w:val="000046C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06E4"/>
    <w:pPr>
      <w:spacing w:before="120" w:after="180"/>
    </w:pPr>
    <w:rPr>
      <w:rFonts w:ascii="Arial" w:hAnsi="Arial"/>
      <w:b/>
      <w:bCs/>
      <w:lang w:eastAsia="en-AU"/>
    </w:rPr>
  </w:style>
  <w:style w:type="character" w:customStyle="1" w:styleId="CommentSubjectChar">
    <w:name w:val="Comment Subject Char"/>
    <w:basedOn w:val="CommentTextChar"/>
    <w:link w:val="CommentSubject"/>
    <w:uiPriority w:val="99"/>
    <w:semiHidden/>
    <w:rsid w:val="005806E4"/>
    <w:rPr>
      <w:rFonts w:ascii="Arial" w:eastAsia="Times New Roman" w:hAnsi="Arial" w:cs="Times New Roman"/>
      <w:b/>
      <w:bCs/>
      <w:sz w:val="20"/>
      <w:szCs w:val="20"/>
      <w:lang w:eastAsia="en-AU"/>
    </w:rPr>
  </w:style>
  <w:style w:type="paragraph" w:styleId="Revision">
    <w:name w:val="Revision"/>
    <w:hidden/>
    <w:uiPriority w:val="99"/>
    <w:semiHidden/>
    <w:rsid w:val="000428F9"/>
    <w:pPr>
      <w:spacing w:after="0" w:line="240" w:lineRule="auto"/>
    </w:pPr>
    <w:rPr>
      <w:rFonts w:ascii="Arial" w:eastAsia="Times New Roman" w:hAnsi="Arial" w:cs="Times New Roman"/>
      <w:szCs w:val="24"/>
      <w:lang w:eastAsia="en-AU"/>
    </w:rPr>
  </w:style>
  <w:style w:type="paragraph" w:customStyle="1" w:styleId="SubmissionH3">
    <w:name w:val="Submission H3"/>
    <w:basedOn w:val="Normal"/>
    <w:next w:val="Normal"/>
    <w:rsid w:val="009E6723"/>
    <w:pPr>
      <w:spacing w:before="0" w:after="0" w:line="240" w:lineRule="auto"/>
    </w:pPr>
    <w:rPr>
      <w:rFonts w:ascii="Tahoma" w:hAnsi="Tahoma"/>
      <w:b/>
      <w:szCs w:val="20"/>
    </w:rPr>
  </w:style>
  <w:style w:type="character" w:styleId="PageNumber">
    <w:name w:val="page number"/>
    <w:basedOn w:val="DefaultParagraphFont"/>
    <w:rsid w:val="009E6723"/>
  </w:style>
  <w:style w:type="paragraph" w:customStyle="1" w:styleId="paragraph">
    <w:name w:val="paragraph"/>
    <w:aliases w:val="a"/>
    <w:link w:val="paragraphChar"/>
    <w:rsid w:val="009E6723"/>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9E6723"/>
    <w:pPr>
      <w:tabs>
        <w:tab w:val="clear" w:pos="1531"/>
        <w:tab w:val="right" w:pos="1985"/>
      </w:tabs>
      <w:ind w:left="2098" w:hanging="2098"/>
    </w:pPr>
  </w:style>
  <w:style w:type="paragraph" w:customStyle="1" w:styleId="subsection">
    <w:name w:val="subsection"/>
    <w:aliases w:val="ss"/>
    <w:link w:val="subsectionChar"/>
    <w:rsid w:val="009E6723"/>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CharCharChar">
    <w:name w:val="Char Char Char"/>
    <w:basedOn w:val="Normal"/>
    <w:rsid w:val="009E6723"/>
    <w:pPr>
      <w:spacing w:before="0" w:after="160" w:line="240" w:lineRule="exact"/>
    </w:pPr>
    <w:rPr>
      <w:rFonts w:ascii="Verdana" w:hAnsi="Verdana" w:cs="Verdana"/>
      <w:sz w:val="20"/>
      <w:szCs w:val="20"/>
      <w:lang w:val="en-US" w:eastAsia="en-US"/>
    </w:rPr>
  </w:style>
  <w:style w:type="character" w:styleId="FollowedHyperlink">
    <w:name w:val="FollowedHyperlink"/>
    <w:rsid w:val="009E6723"/>
    <w:rPr>
      <w:color w:val="008080"/>
      <w:u w:val="single"/>
    </w:rPr>
  </w:style>
  <w:style w:type="paragraph" w:customStyle="1" w:styleId="Test111">
    <w:name w:val="Test111"/>
    <w:basedOn w:val="Normal"/>
    <w:link w:val="Test111Char"/>
    <w:qFormat/>
    <w:rsid w:val="00275F43"/>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sz w:val="24"/>
    </w:rPr>
  </w:style>
  <w:style w:type="character" w:customStyle="1" w:styleId="Test111Char">
    <w:name w:val="Test111 Char"/>
    <w:basedOn w:val="DefaultParagraphFont"/>
    <w:link w:val="Test111"/>
    <w:rsid w:val="00275F43"/>
    <w:rPr>
      <w:rFonts w:ascii="Times New Roman" w:eastAsia="Times New Roman" w:hAnsi="Times New Roman" w:cs="Times New Roman"/>
      <w:sz w:val="24"/>
      <w:szCs w:val="24"/>
      <w:lang w:eastAsia="en-AU"/>
    </w:rPr>
  </w:style>
  <w:style w:type="table" w:customStyle="1" w:styleId="TableGrid2">
    <w:name w:val="Table Grid2"/>
    <w:basedOn w:val="TableNormal"/>
    <w:next w:val="TableGrid"/>
    <w:rsid w:val="002F5F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524FD9"/>
    <w:pPr>
      <w:numPr>
        <w:numId w:val="37"/>
      </w:numPr>
      <w:spacing w:before="0" w:after="0" w:line="240" w:lineRule="auto"/>
    </w:pPr>
    <w:rPr>
      <w:rFonts w:ascii="Times New Roman" w:hAnsi="Times New Roman"/>
      <w:sz w:val="24"/>
      <w:szCs w:val="20"/>
      <w:lang w:val="en-US" w:eastAsia="en-US" w:bidi="he-IL"/>
    </w:rPr>
  </w:style>
  <w:style w:type="character" w:customStyle="1" w:styleId="legtitle1">
    <w:name w:val="legtitle1"/>
    <w:basedOn w:val="DefaultParagraphFont"/>
    <w:rsid w:val="0074597C"/>
    <w:rPr>
      <w:rFonts w:ascii="Arial" w:hAnsi="Arial" w:cs="Arial" w:hint="default"/>
      <w:b/>
      <w:bCs/>
      <w:color w:val="10418E"/>
      <w:sz w:val="40"/>
      <w:szCs w:val="40"/>
    </w:rPr>
  </w:style>
  <w:style w:type="character" w:customStyle="1" w:styleId="legsubtitle1">
    <w:name w:val="legsubtitle1"/>
    <w:basedOn w:val="DefaultParagraphFont"/>
    <w:rsid w:val="0074597C"/>
    <w:rPr>
      <w:rFonts w:ascii="Arial" w:hAnsi="Arial" w:cs="Arial" w:hint="default"/>
      <w:b/>
      <w:bCs/>
      <w:sz w:val="28"/>
      <w:szCs w:val="28"/>
    </w:rPr>
  </w:style>
  <w:style w:type="character" w:customStyle="1" w:styleId="subsectionChar">
    <w:name w:val="subsection Char"/>
    <w:aliases w:val="ss Char"/>
    <w:basedOn w:val="DefaultParagraphFont"/>
    <w:link w:val="subsection"/>
    <w:locked/>
    <w:rsid w:val="00020E0C"/>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020E0C"/>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page number" w:uiPriority="0"/>
    <w:lsdException w:name="List Bullet" w:uiPriority="1" w:qFormat="1"/>
    <w:lsdException w:name="Title" w:semiHidden="0" w:uiPriority="1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AE"/>
    <w:pPr>
      <w:spacing w:before="120" w:after="180" w:line="260" w:lineRule="atLeast"/>
    </w:pPr>
    <w:rPr>
      <w:rFonts w:ascii="Arial" w:eastAsia="Times New Roman" w:hAnsi="Arial" w:cs="Times New Roman"/>
      <w:szCs w:val="24"/>
      <w:lang w:eastAsia="en-AU"/>
    </w:rPr>
  </w:style>
  <w:style w:type="paragraph" w:styleId="Heading1">
    <w:name w:val="heading 1"/>
    <w:basedOn w:val="Normal"/>
    <w:next w:val="Normal"/>
    <w:link w:val="Heading1Char"/>
    <w:qFormat/>
    <w:rsid w:val="00682FB7"/>
    <w:pPr>
      <w:spacing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487BAF"/>
    <w:pPr>
      <w:numPr>
        <w:numId w:val="26"/>
      </w:numPr>
      <w:spacing w:before="240" w:after="120" w:line="240" w:lineRule="auto"/>
      <w:outlineLvl w:val="1"/>
    </w:pPr>
    <w:rPr>
      <w:rFonts w:ascii="Georgia" w:eastAsiaTheme="majorEastAsia" w:hAnsi="Georgia" w:cstheme="majorBidi"/>
      <w:bCs/>
      <w:color w:val="31849B" w:themeColor="accent5" w:themeShade="BF"/>
      <w:sz w:val="32"/>
      <w:szCs w:val="26"/>
    </w:rPr>
  </w:style>
  <w:style w:type="paragraph" w:styleId="Heading3">
    <w:name w:val="heading 3"/>
    <w:basedOn w:val="Normal"/>
    <w:next w:val="Normal"/>
    <w:link w:val="Heading3Char"/>
    <w:unhideWhenUsed/>
    <w:qFormat/>
    <w:rsid w:val="00487BAF"/>
    <w:pPr>
      <w:spacing w:before="240" w:after="120" w:line="271" w:lineRule="auto"/>
      <w:outlineLvl w:val="2"/>
    </w:pPr>
    <w:rPr>
      <w:rFonts w:ascii="Georgia" w:eastAsiaTheme="majorEastAsia" w:hAnsi="Georgia" w:cstheme="majorBidi"/>
      <w:bCs/>
      <w:color w:val="31849B" w:themeColor="accent5" w:themeShade="BF"/>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FB7"/>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487BAF"/>
    <w:rPr>
      <w:rFonts w:ascii="Georgia" w:eastAsiaTheme="majorEastAsia" w:hAnsi="Georgia" w:cstheme="majorBidi"/>
      <w:bCs/>
      <w:color w:val="31849B" w:themeColor="accent5" w:themeShade="BF"/>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87BAF"/>
    <w:rPr>
      <w:rFonts w:ascii="Georgia" w:eastAsiaTheme="majorEastAsia" w:hAnsi="Georgia" w:cstheme="majorBidi"/>
      <w:bCs/>
      <w:color w:val="31849B" w:themeColor="accent5" w:themeShade="BF"/>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84227C"/>
    <w:pPr>
      <w:spacing w:before="4000"/>
      <w:jc w:val="center"/>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3023"/>
    <w:rPr>
      <w:rFonts w:ascii="Tahoma" w:hAnsi="Tahoma" w:cs="Tahoma"/>
      <w:sz w:val="16"/>
      <w:szCs w:val="16"/>
    </w:rPr>
  </w:style>
  <w:style w:type="paragraph" w:styleId="ListBullet">
    <w:name w:val="List Bullet"/>
    <w:basedOn w:val="Normal"/>
    <w:uiPriority w:val="1"/>
    <w:qFormat/>
    <w:rsid w:val="00D22A8A"/>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2B3CC6"/>
    <w:pPr>
      <w:spacing w:before="120" w:after="120" w:line="240" w:lineRule="auto"/>
      <w:ind w:left="397"/>
      <w:contextualSpacing/>
    </w:pPr>
    <w:rPr>
      <w:rFonts w:ascii="Georgia" w:eastAsia="Times New Roman" w:hAnsi="Georgia" w:cs="Arial"/>
      <w:bCs/>
      <w:iCs/>
      <w:color w:val="24596E"/>
      <w:sz w:val="21"/>
      <w:szCs w:val="28"/>
      <w:lang w:eastAsia="en-AU"/>
    </w:rPr>
  </w:style>
  <w:style w:type="character" w:customStyle="1" w:styleId="PullouttextChar">
    <w:name w:val="Pullout text Char"/>
    <w:basedOn w:val="Heading2Char"/>
    <w:link w:val="Pullouttext"/>
    <w:uiPriority w:val="3"/>
    <w:rsid w:val="002B3CC6"/>
    <w:rPr>
      <w:rFonts w:ascii="Georgia" w:eastAsia="Times New Roman" w:hAnsi="Georgia" w:cs="Arial"/>
      <w:bCs/>
      <w:iCs/>
      <w:color w:val="24596E"/>
      <w:sz w:val="21"/>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sz w:val="24"/>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0E4E46"/>
    <w:pPr>
      <w:tabs>
        <w:tab w:val="left" w:pos="426"/>
        <w:tab w:val="right" w:leader="dot" w:pos="9628"/>
      </w:tabs>
      <w:spacing w:after="100"/>
    </w:pPr>
  </w:style>
  <w:style w:type="paragraph" w:styleId="TOC3">
    <w:name w:val="toc 3"/>
    <w:basedOn w:val="Normal"/>
    <w:next w:val="Normal"/>
    <w:autoRedefine/>
    <w:uiPriority w:val="39"/>
    <w:unhideWhenUsed/>
    <w:rsid w:val="000E4E46"/>
    <w:pPr>
      <w:tabs>
        <w:tab w:val="left" w:pos="709"/>
        <w:tab w:val="right" w:leader="dot" w:pos="9628"/>
      </w:tabs>
      <w:spacing w:after="100"/>
      <w:ind w:left="851" w:hanging="425"/>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87600D"/>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87600D"/>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00AEB9"/>
      </w:tcPr>
    </w:tblStylePr>
    <w:tblStylePr w:type="lastRow">
      <w:rPr>
        <w:rFonts w:ascii="Arial" w:hAnsi="Arial"/>
        <w:b/>
        <w:sz w:val="22"/>
      </w:rPr>
      <w:tblPr/>
      <w:tcPr>
        <w:tcBorders>
          <w:top w:val="nil"/>
          <w:left w:val="nil"/>
          <w:bottom w:val="single" w:sz="8" w:space="0" w:color="auto"/>
          <w:right w:val="nil"/>
          <w:insideH w:val="nil"/>
          <w:insideV w:val="nil"/>
        </w:tcBorders>
      </w:tcPr>
    </w:tblStylePr>
    <w:tblStylePr w:type="band2Horz">
      <w:tblPr/>
      <w:tcPr>
        <w:shd w:val="clear" w:color="auto" w:fill="B1E4E3"/>
      </w:tcPr>
    </w:tblStylePr>
  </w:style>
  <w:style w:type="character" w:styleId="CommentReference">
    <w:name w:val="annotation reference"/>
    <w:basedOn w:val="DefaultParagraphFont"/>
    <w:unhideWhenUsed/>
    <w:rsid w:val="00C35253"/>
    <w:rPr>
      <w:sz w:val="16"/>
      <w:szCs w:val="16"/>
    </w:rPr>
  </w:style>
  <w:style w:type="paragraph" w:styleId="CommentText">
    <w:name w:val="annotation text"/>
    <w:basedOn w:val="Normal"/>
    <w:link w:val="CommentTextChar"/>
    <w:unhideWhenUsed/>
    <w:rsid w:val="00C35253"/>
    <w:pPr>
      <w:spacing w:before="0"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rsid w:val="00C35253"/>
    <w:rPr>
      <w:rFonts w:ascii="Times New Roman" w:eastAsia="Times New Roman" w:hAnsi="Times New Roman" w:cs="Times New Roman"/>
      <w:sz w:val="20"/>
      <w:szCs w:val="20"/>
    </w:rPr>
  </w:style>
  <w:style w:type="table" w:styleId="TableGrid">
    <w:name w:val="Table Grid"/>
    <w:basedOn w:val="TableNormal"/>
    <w:rsid w:val="00C3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35253"/>
    <w:pPr>
      <w:spacing w:before="0" w:after="200" w:line="276" w:lineRule="auto"/>
    </w:pPr>
    <w:rPr>
      <w:rFonts w:asciiTheme="minorHAnsi" w:eastAsiaTheme="minorHAnsi" w:hAnsiTheme="minorHAnsi" w:cstheme="minorBidi"/>
      <w:bCs/>
      <w:iCs/>
      <w:sz w:val="24"/>
      <w:lang w:eastAsia="en-US"/>
    </w:rPr>
  </w:style>
  <w:style w:type="character" w:customStyle="1" w:styleId="BodyTextChar">
    <w:name w:val="Body Text Char"/>
    <w:basedOn w:val="DefaultParagraphFont"/>
    <w:link w:val="BodyText"/>
    <w:rsid w:val="00C35253"/>
    <w:rPr>
      <w:bCs/>
      <w:iCs/>
      <w:sz w:val="24"/>
      <w:szCs w:val="24"/>
    </w:rPr>
  </w:style>
  <w:style w:type="character" w:styleId="BookTitle">
    <w:name w:val="Book Title"/>
    <w:uiPriority w:val="33"/>
    <w:qFormat/>
    <w:rsid w:val="00C35253"/>
    <w:rPr>
      <w:b/>
      <w:bCs/>
      <w:smallCaps/>
      <w:spacing w:val="5"/>
    </w:rPr>
  </w:style>
  <w:style w:type="paragraph" w:customStyle="1" w:styleId="Style6">
    <w:name w:val="Style6"/>
    <w:basedOn w:val="Normal"/>
    <w:autoRedefine/>
    <w:qFormat/>
    <w:rsid w:val="00FC1DC6"/>
    <w:pPr>
      <w:keepNext/>
      <w:spacing w:before="240" w:after="0" w:line="240" w:lineRule="auto"/>
      <w:outlineLvl w:val="2"/>
    </w:pPr>
    <w:rPr>
      <w:rFonts w:eastAsiaTheme="majorEastAsia" w:cstheme="majorBidi"/>
      <w:iCs/>
      <w:sz w:val="18"/>
      <w:szCs w:val="18"/>
      <w:lang w:eastAsia="en-US"/>
    </w:rPr>
  </w:style>
  <w:style w:type="character" w:styleId="PlaceholderText">
    <w:name w:val="Placeholder Text"/>
    <w:basedOn w:val="DefaultParagraphFont"/>
    <w:uiPriority w:val="99"/>
    <w:semiHidden/>
    <w:rsid w:val="00D6599A"/>
    <w:rPr>
      <w:color w:val="808080"/>
    </w:rPr>
  </w:style>
  <w:style w:type="paragraph" w:styleId="BodyText3">
    <w:name w:val="Body Text 3"/>
    <w:basedOn w:val="Normal"/>
    <w:link w:val="BodyText3Char"/>
    <w:uiPriority w:val="99"/>
    <w:semiHidden/>
    <w:unhideWhenUsed/>
    <w:rsid w:val="00D6599A"/>
    <w:pPr>
      <w:spacing w:after="120"/>
    </w:pPr>
    <w:rPr>
      <w:sz w:val="16"/>
      <w:szCs w:val="16"/>
    </w:rPr>
  </w:style>
  <w:style w:type="character" w:customStyle="1" w:styleId="BodyText3Char">
    <w:name w:val="Body Text 3 Char"/>
    <w:basedOn w:val="DefaultParagraphFont"/>
    <w:link w:val="BodyText3"/>
    <w:uiPriority w:val="99"/>
    <w:semiHidden/>
    <w:rsid w:val="00D6599A"/>
    <w:rPr>
      <w:rFonts w:ascii="Arial" w:eastAsia="Times New Roman" w:hAnsi="Arial" w:cs="Times New Roman"/>
      <w:sz w:val="16"/>
      <w:szCs w:val="16"/>
      <w:lang w:eastAsia="en-AU"/>
    </w:rPr>
  </w:style>
  <w:style w:type="paragraph" w:customStyle="1" w:styleId="P1">
    <w:name w:val="P1"/>
    <w:aliases w:val="(a)"/>
    <w:basedOn w:val="Normal"/>
    <w:rsid w:val="00D6599A"/>
    <w:pPr>
      <w:tabs>
        <w:tab w:val="right" w:pos="1191"/>
      </w:tabs>
      <w:spacing w:before="60" w:after="0" w:line="260" w:lineRule="exact"/>
      <w:ind w:left="1418" w:hanging="1418"/>
      <w:jc w:val="both"/>
    </w:pPr>
    <w:rPr>
      <w:rFonts w:ascii="Times New Roman" w:hAnsi="Times New Roman"/>
      <w:sz w:val="24"/>
      <w:lang w:eastAsia="en-US"/>
    </w:rPr>
  </w:style>
  <w:style w:type="table" w:customStyle="1" w:styleId="TableGrid1">
    <w:name w:val="Table Grid1"/>
    <w:basedOn w:val="TableNormal"/>
    <w:next w:val="TableGrid"/>
    <w:uiPriority w:val="59"/>
    <w:rsid w:val="000046C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06E4"/>
    <w:pPr>
      <w:spacing w:before="120" w:after="180"/>
    </w:pPr>
    <w:rPr>
      <w:rFonts w:ascii="Arial" w:hAnsi="Arial"/>
      <w:b/>
      <w:bCs/>
      <w:lang w:eastAsia="en-AU"/>
    </w:rPr>
  </w:style>
  <w:style w:type="character" w:customStyle="1" w:styleId="CommentSubjectChar">
    <w:name w:val="Comment Subject Char"/>
    <w:basedOn w:val="CommentTextChar"/>
    <w:link w:val="CommentSubject"/>
    <w:uiPriority w:val="99"/>
    <w:semiHidden/>
    <w:rsid w:val="005806E4"/>
    <w:rPr>
      <w:rFonts w:ascii="Arial" w:eastAsia="Times New Roman" w:hAnsi="Arial" w:cs="Times New Roman"/>
      <w:b/>
      <w:bCs/>
      <w:sz w:val="20"/>
      <w:szCs w:val="20"/>
      <w:lang w:eastAsia="en-AU"/>
    </w:rPr>
  </w:style>
  <w:style w:type="paragraph" w:styleId="Revision">
    <w:name w:val="Revision"/>
    <w:hidden/>
    <w:uiPriority w:val="99"/>
    <w:semiHidden/>
    <w:rsid w:val="000428F9"/>
    <w:pPr>
      <w:spacing w:after="0" w:line="240" w:lineRule="auto"/>
    </w:pPr>
    <w:rPr>
      <w:rFonts w:ascii="Arial" w:eastAsia="Times New Roman" w:hAnsi="Arial" w:cs="Times New Roman"/>
      <w:szCs w:val="24"/>
      <w:lang w:eastAsia="en-AU"/>
    </w:rPr>
  </w:style>
  <w:style w:type="paragraph" w:customStyle="1" w:styleId="SubmissionH3">
    <w:name w:val="Submission H3"/>
    <w:basedOn w:val="Normal"/>
    <w:next w:val="Normal"/>
    <w:rsid w:val="009E6723"/>
    <w:pPr>
      <w:spacing w:before="0" w:after="0" w:line="240" w:lineRule="auto"/>
    </w:pPr>
    <w:rPr>
      <w:rFonts w:ascii="Tahoma" w:hAnsi="Tahoma"/>
      <w:b/>
      <w:szCs w:val="20"/>
    </w:rPr>
  </w:style>
  <w:style w:type="character" w:styleId="PageNumber">
    <w:name w:val="page number"/>
    <w:basedOn w:val="DefaultParagraphFont"/>
    <w:rsid w:val="009E6723"/>
  </w:style>
  <w:style w:type="paragraph" w:customStyle="1" w:styleId="paragraph">
    <w:name w:val="paragraph"/>
    <w:aliases w:val="a"/>
    <w:link w:val="paragraphChar"/>
    <w:rsid w:val="009E6723"/>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9E6723"/>
    <w:pPr>
      <w:tabs>
        <w:tab w:val="clear" w:pos="1531"/>
        <w:tab w:val="right" w:pos="1985"/>
      </w:tabs>
      <w:ind w:left="2098" w:hanging="2098"/>
    </w:pPr>
  </w:style>
  <w:style w:type="paragraph" w:customStyle="1" w:styleId="subsection">
    <w:name w:val="subsection"/>
    <w:aliases w:val="ss"/>
    <w:link w:val="subsectionChar"/>
    <w:rsid w:val="009E6723"/>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CharCharChar">
    <w:name w:val="Char Char Char"/>
    <w:basedOn w:val="Normal"/>
    <w:rsid w:val="009E6723"/>
    <w:pPr>
      <w:spacing w:before="0" w:after="160" w:line="240" w:lineRule="exact"/>
    </w:pPr>
    <w:rPr>
      <w:rFonts w:ascii="Verdana" w:hAnsi="Verdana" w:cs="Verdana"/>
      <w:sz w:val="20"/>
      <w:szCs w:val="20"/>
      <w:lang w:val="en-US" w:eastAsia="en-US"/>
    </w:rPr>
  </w:style>
  <w:style w:type="character" w:styleId="FollowedHyperlink">
    <w:name w:val="FollowedHyperlink"/>
    <w:rsid w:val="009E6723"/>
    <w:rPr>
      <w:color w:val="008080"/>
      <w:u w:val="single"/>
    </w:rPr>
  </w:style>
  <w:style w:type="paragraph" w:customStyle="1" w:styleId="Test111">
    <w:name w:val="Test111"/>
    <w:basedOn w:val="Normal"/>
    <w:link w:val="Test111Char"/>
    <w:qFormat/>
    <w:rsid w:val="00275F43"/>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sz w:val="24"/>
    </w:rPr>
  </w:style>
  <w:style w:type="character" w:customStyle="1" w:styleId="Test111Char">
    <w:name w:val="Test111 Char"/>
    <w:basedOn w:val="DefaultParagraphFont"/>
    <w:link w:val="Test111"/>
    <w:rsid w:val="00275F43"/>
    <w:rPr>
      <w:rFonts w:ascii="Times New Roman" w:eastAsia="Times New Roman" w:hAnsi="Times New Roman" w:cs="Times New Roman"/>
      <w:sz w:val="24"/>
      <w:szCs w:val="24"/>
      <w:lang w:eastAsia="en-AU"/>
    </w:rPr>
  </w:style>
  <w:style w:type="table" w:customStyle="1" w:styleId="TableGrid2">
    <w:name w:val="Table Grid2"/>
    <w:basedOn w:val="TableNormal"/>
    <w:next w:val="TableGrid"/>
    <w:rsid w:val="002F5F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524FD9"/>
    <w:pPr>
      <w:numPr>
        <w:numId w:val="37"/>
      </w:numPr>
      <w:spacing w:before="0" w:after="0" w:line="240" w:lineRule="auto"/>
    </w:pPr>
    <w:rPr>
      <w:rFonts w:ascii="Times New Roman" w:hAnsi="Times New Roman"/>
      <w:sz w:val="24"/>
      <w:szCs w:val="20"/>
      <w:lang w:val="en-US" w:eastAsia="en-US" w:bidi="he-IL"/>
    </w:rPr>
  </w:style>
  <w:style w:type="character" w:customStyle="1" w:styleId="legtitle1">
    <w:name w:val="legtitle1"/>
    <w:basedOn w:val="DefaultParagraphFont"/>
    <w:rsid w:val="0074597C"/>
    <w:rPr>
      <w:rFonts w:ascii="Arial" w:hAnsi="Arial" w:cs="Arial" w:hint="default"/>
      <w:b/>
      <w:bCs/>
      <w:color w:val="10418E"/>
      <w:sz w:val="40"/>
      <w:szCs w:val="40"/>
    </w:rPr>
  </w:style>
  <w:style w:type="character" w:customStyle="1" w:styleId="legsubtitle1">
    <w:name w:val="legsubtitle1"/>
    <w:basedOn w:val="DefaultParagraphFont"/>
    <w:rsid w:val="0074597C"/>
    <w:rPr>
      <w:rFonts w:ascii="Arial" w:hAnsi="Arial" w:cs="Arial" w:hint="default"/>
      <w:b/>
      <w:bCs/>
      <w:sz w:val="28"/>
      <w:szCs w:val="28"/>
    </w:rPr>
  </w:style>
  <w:style w:type="character" w:customStyle="1" w:styleId="subsectionChar">
    <w:name w:val="subsection Char"/>
    <w:aliases w:val="ss Char"/>
    <w:basedOn w:val="DefaultParagraphFont"/>
    <w:link w:val="subsection"/>
    <w:locked/>
    <w:rsid w:val="00020E0C"/>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020E0C"/>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1243">
      <w:bodyDiv w:val="1"/>
      <w:marLeft w:val="0"/>
      <w:marRight w:val="0"/>
      <w:marTop w:val="0"/>
      <w:marBottom w:val="0"/>
      <w:divBdr>
        <w:top w:val="none" w:sz="0" w:space="0" w:color="auto"/>
        <w:left w:val="none" w:sz="0" w:space="0" w:color="auto"/>
        <w:bottom w:val="none" w:sz="0" w:space="0" w:color="auto"/>
        <w:right w:val="none" w:sz="0" w:space="0" w:color="auto"/>
      </w:divBdr>
    </w:div>
    <w:div w:id="373578110">
      <w:bodyDiv w:val="1"/>
      <w:marLeft w:val="0"/>
      <w:marRight w:val="0"/>
      <w:marTop w:val="0"/>
      <w:marBottom w:val="0"/>
      <w:divBdr>
        <w:top w:val="none" w:sz="0" w:space="0" w:color="auto"/>
        <w:left w:val="none" w:sz="0" w:space="0" w:color="auto"/>
        <w:bottom w:val="none" w:sz="0" w:space="0" w:color="auto"/>
        <w:right w:val="none" w:sz="0" w:space="0" w:color="auto"/>
      </w:divBdr>
      <w:divsChild>
        <w:div w:id="2073918340">
          <w:marLeft w:val="0"/>
          <w:marRight w:val="0"/>
          <w:marTop w:val="240"/>
          <w:marBottom w:val="480"/>
          <w:divBdr>
            <w:top w:val="none" w:sz="0" w:space="0" w:color="auto"/>
            <w:left w:val="none" w:sz="0" w:space="0" w:color="auto"/>
            <w:bottom w:val="none" w:sz="0" w:space="0" w:color="auto"/>
            <w:right w:val="none" w:sz="0" w:space="0" w:color="auto"/>
          </w:divBdr>
          <w:divsChild>
            <w:div w:id="973753012">
              <w:marLeft w:val="0"/>
              <w:marRight w:val="0"/>
              <w:marTop w:val="0"/>
              <w:marBottom w:val="0"/>
              <w:divBdr>
                <w:top w:val="none" w:sz="0" w:space="0" w:color="auto"/>
                <w:left w:val="none" w:sz="0" w:space="0" w:color="auto"/>
                <w:bottom w:val="none" w:sz="0" w:space="0" w:color="auto"/>
                <w:right w:val="none" w:sz="0" w:space="0" w:color="auto"/>
              </w:divBdr>
              <w:divsChild>
                <w:div w:id="1264724456">
                  <w:marLeft w:val="0"/>
                  <w:marRight w:val="0"/>
                  <w:marTop w:val="0"/>
                  <w:marBottom w:val="0"/>
                  <w:divBdr>
                    <w:top w:val="none" w:sz="0" w:space="0" w:color="auto"/>
                    <w:left w:val="none" w:sz="0" w:space="0" w:color="auto"/>
                    <w:bottom w:val="none" w:sz="0" w:space="0" w:color="auto"/>
                    <w:right w:val="none" w:sz="0" w:space="0" w:color="auto"/>
                  </w:divBdr>
                  <w:divsChild>
                    <w:div w:id="1131285700">
                      <w:marLeft w:val="0"/>
                      <w:marRight w:val="0"/>
                      <w:marTop w:val="0"/>
                      <w:marBottom w:val="0"/>
                      <w:divBdr>
                        <w:top w:val="none" w:sz="0" w:space="0" w:color="auto"/>
                        <w:left w:val="none" w:sz="0" w:space="0" w:color="auto"/>
                        <w:bottom w:val="none" w:sz="0" w:space="0" w:color="auto"/>
                        <w:right w:val="none" w:sz="0" w:space="0" w:color="auto"/>
                      </w:divBdr>
                      <w:divsChild>
                        <w:div w:id="2140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75286">
      <w:bodyDiv w:val="1"/>
      <w:marLeft w:val="0"/>
      <w:marRight w:val="0"/>
      <w:marTop w:val="0"/>
      <w:marBottom w:val="0"/>
      <w:divBdr>
        <w:top w:val="none" w:sz="0" w:space="0" w:color="auto"/>
        <w:left w:val="none" w:sz="0" w:space="0" w:color="auto"/>
        <w:bottom w:val="none" w:sz="0" w:space="0" w:color="auto"/>
        <w:right w:val="none" w:sz="0" w:space="0" w:color="auto"/>
      </w:divBdr>
    </w:div>
    <w:div w:id="495341667">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29159853">
      <w:bodyDiv w:val="1"/>
      <w:marLeft w:val="0"/>
      <w:marRight w:val="0"/>
      <w:marTop w:val="0"/>
      <w:marBottom w:val="0"/>
      <w:divBdr>
        <w:top w:val="none" w:sz="0" w:space="0" w:color="auto"/>
        <w:left w:val="none" w:sz="0" w:space="0" w:color="auto"/>
        <w:bottom w:val="none" w:sz="0" w:space="0" w:color="auto"/>
        <w:right w:val="none" w:sz="0" w:space="0" w:color="auto"/>
      </w:divBdr>
    </w:div>
    <w:div w:id="1037008023">
      <w:bodyDiv w:val="1"/>
      <w:marLeft w:val="0"/>
      <w:marRight w:val="0"/>
      <w:marTop w:val="0"/>
      <w:marBottom w:val="0"/>
      <w:divBdr>
        <w:top w:val="none" w:sz="0" w:space="0" w:color="auto"/>
        <w:left w:val="none" w:sz="0" w:space="0" w:color="auto"/>
        <w:bottom w:val="none" w:sz="0" w:space="0" w:color="auto"/>
        <w:right w:val="none" w:sz="0" w:space="0" w:color="auto"/>
      </w:divBdr>
    </w:div>
    <w:div w:id="1363896212">
      <w:bodyDiv w:val="1"/>
      <w:marLeft w:val="0"/>
      <w:marRight w:val="0"/>
      <w:marTop w:val="0"/>
      <w:marBottom w:val="0"/>
      <w:divBdr>
        <w:top w:val="none" w:sz="0" w:space="0" w:color="auto"/>
        <w:left w:val="none" w:sz="0" w:space="0" w:color="auto"/>
        <w:bottom w:val="none" w:sz="0" w:space="0" w:color="auto"/>
        <w:right w:val="none" w:sz="0" w:space="0" w:color="auto"/>
      </w:divBdr>
      <w:divsChild>
        <w:div w:id="177620268">
          <w:marLeft w:val="0"/>
          <w:marRight w:val="0"/>
          <w:marTop w:val="0"/>
          <w:marBottom w:val="0"/>
          <w:divBdr>
            <w:top w:val="none" w:sz="0" w:space="0" w:color="auto"/>
            <w:left w:val="none" w:sz="0" w:space="0" w:color="auto"/>
            <w:bottom w:val="none" w:sz="0" w:space="0" w:color="auto"/>
            <w:right w:val="none" w:sz="0" w:space="0" w:color="auto"/>
          </w:divBdr>
          <w:divsChild>
            <w:div w:id="660624290">
              <w:marLeft w:val="0"/>
              <w:marRight w:val="0"/>
              <w:marTop w:val="0"/>
              <w:marBottom w:val="0"/>
              <w:divBdr>
                <w:top w:val="none" w:sz="0" w:space="0" w:color="auto"/>
                <w:left w:val="none" w:sz="0" w:space="0" w:color="auto"/>
                <w:bottom w:val="none" w:sz="0" w:space="0" w:color="auto"/>
                <w:right w:val="none" w:sz="0" w:space="0" w:color="auto"/>
              </w:divBdr>
              <w:divsChild>
                <w:div w:id="154878718">
                  <w:marLeft w:val="0"/>
                  <w:marRight w:val="0"/>
                  <w:marTop w:val="0"/>
                  <w:marBottom w:val="0"/>
                  <w:divBdr>
                    <w:top w:val="none" w:sz="0" w:space="0" w:color="auto"/>
                    <w:left w:val="none" w:sz="0" w:space="0" w:color="auto"/>
                    <w:bottom w:val="none" w:sz="0" w:space="0" w:color="auto"/>
                    <w:right w:val="none" w:sz="0" w:space="0" w:color="auto"/>
                  </w:divBdr>
                  <w:divsChild>
                    <w:div w:id="1837305984">
                      <w:marLeft w:val="0"/>
                      <w:marRight w:val="0"/>
                      <w:marTop w:val="0"/>
                      <w:marBottom w:val="0"/>
                      <w:divBdr>
                        <w:top w:val="none" w:sz="0" w:space="0" w:color="auto"/>
                        <w:left w:val="none" w:sz="0" w:space="0" w:color="auto"/>
                        <w:bottom w:val="none" w:sz="0" w:space="0" w:color="auto"/>
                        <w:right w:val="none" w:sz="0" w:space="0" w:color="auto"/>
                      </w:divBdr>
                      <w:divsChild>
                        <w:div w:id="1266499645">
                          <w:marLeft w:val="0"/>
                          <w:marRight w:val="0"/>
                          <w:marTop w:val="0"/>
                          <w:marBottom w:val="0"/>
                          <w:divBdr>
                            <w:top w:val="single" w:sz="6" w:space="0" w:color="828282"/>
                            <w:left w:val="single" w:sz="6" w:space="0" w:color="828282"/>
                            <w:bottom w:val="single" w:sz="6" w:space="0" w:color="828282"/>
                            <w:right w:val="single" w:sz="6" w:space="0" w:color="828282"/>
                          </w:divBdr>
                          <w:divsChild>
                            <w:div w:id="1531720579">
                              <w:marLeft w:val="0"/>
                              <w:marRight w:val="0"/>
                              <w:marTop w:val="0"/>
                              <w:marBottom w:val="0"/>
                              <w:divBdr>
                                <w:top w:val="none" w:sz="0" w:space="0" w:color="auto"/>
                                <w:left w:val="none" w:sz="0" w:space="0" w:color="auto"/>
                                <w:bottom w:val="none" w:sz="0" w:space="0" w:color="auto"/>
                                <w:right w:val="none" w:sz="0" w:space="0" w:color="auto"/>
                              </w:divBdr>
                              <w:divsChild>
                                <w:div w:id="402483436">
                                  <w:marLeft w:val="0"/>
                                  <w:marRight w:val="0"/>
                                  <w:marTop w:val="0"/>
                                  <w:marBottom w:val="0"/>
                                  <w:divBdr>
                                    <w:top w:val="none" w:sz="0" w:space="0" w:color="auto"/>
                                    <w:left w:val="none" w:sz="0" w:space="0" w:color="auto"/>
                                    <w:bottom w:val="none" w:sz="0" w:space="0" w:color="auto"/>
                                    <w:right w:val="none" w:sz="0" w:space="0" w:color="auto"/>
                                  </w:divBdr>
                                  <w:divsChild>
                                    <w:div w:id="1499226806">
                                      <w:marLeft w:val="0"/>
                                      <w:marRight w:val="0"/>
                                      <w:marTop w:val="0"/>
                                      <w:marBottom w:val="0"/>
                                      <w:divBdr>
                                        <w:top w:val="none" w:sz="0" w:space="0" w:color="auto"/>
                                        <w:left w:val="none" w:sz="0" w:space="0" w:color="auto"/>
                                        <w:bottom w:val="none" w:sz="0" w:space="0" w:color="auto"/>
                                        <w:right w:val="none" w:sz="0" w:space="0" w:color="auto"/>
                                      </w:divBdr>
                                      <w:divsChild>
                                        <w:div w:id="1480224560">
                                          <w:marLeft w:val="0"/>
                                          <w:marRight w:val="0"/>
                                          <w:marTop w:val="0"/>
                                          <w:marBottom w:val="0"/>
                                          <w:divBdr>
                                            <w:top w:val="none" w:sz="0" w:space="0" w:color="auto"/>
                                            <w:left w:val="none" w:sz="0" w:space="0" w:color="auto"/>
                                            <w:bottom w:val="none" w:sz="0" w:space="0" w:color="auto"/>
                                            <w:right w:val="none" w:sz="0" w:space="0" w:color="auto"/>
                                          </w:divBdr>
                                          <w:divsChild>
                                            <w:div w:id="940718630">
                                              <w:marLeft w:val="0"/>
                                              <w:marRight w:val="0"/>
                                              <w:marTop w:val="0"/>
                                              <w:marBottom w:val="0"/>
                                              <w:divBdr>
                                                <w:top w:val="none" w:sz="0" w:space="0" w:color="auto"/>
                                                <w:left w:val="none" w:sz="0" w:space="0" w:color="auto"/>
                                                <w:bottom w:val="none" w:sz="0" w:space="0" w:color="auto"/>
                                                <w:right w:val="none" w:sz="0" w:space="0" w:color="auto"/>
                                              </w:divBdr>
                                              <w:divsChild>
                                                <w:div w:id="2137527449">
                                                  <w:marLeft w:val="0"/>
                                                  <w:marRight w:val="0"/>
                                                  <w:marTop w:val="0"/>
                                                  <w:marBottom w:val="0"/>
                                                  <w:divBdr>
                                                    <w:top w:val="none" w:sz="0" w:space="0" w:color="auto"/>
                                                    <w:left w:val="none" w:sz="0" w:space="0" w:color="auto"/>
                                                    <w:bottom w:val="none" w:sz="0" w:space="0" w:color="auto"/>
                                                    <w:right w:val="none" w:sz="0" w:space="0" w:color="auto"/>
                                                  </w:divBdr>
                                                  <w:divsChild>
                                                    <w:div w:id="1055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593432">
      <w:bodyDiv w:val="1"/>
      <w:marLeft w:val="0"/>
      <w:marRight w:val="0"/>
      <w:marTop w:val="0"/>
      <w:marBottom w:val="0"/>
      <w:divBdr>
        <w:top w:val="none" w:sz="0" w:space="0" w:color="auto"/>
        <w:left w:val="none" w:sz="0" w:space="0" w:color="auto"/>
        <w:bottom w:val="none" w:sz="0" w:space="0" w:color="auto"/>
        <w:right w:val="none" w:sz="0" w:space="0" w:color="auto"/>
      </w:divBdr>
    </w:div>
    <w:div w:id="2090542283">
      <w:bodyDiv w:val="1"/>
      <w:marLeft w:val="0"/>
      <w:marRight w:val="0"/>
      <w:marTop w:val="0"/>
      <w:marBottom w:val="0"/>
      <w:divBdr>
        <w:top w:val="none" w:sz="0" w:space="0" w:color="auto"/>
        <w:left w:val="none" w:sz="0" w:space="0" w:color="auto"/>
        <w:bottom w:val="none" w:sz="0" w:space="0" w:color="auto"/>
        <w:right w:val="none" w:sz="0" w:space="0" w:color="auto"/>
      </w:divBdr>
      <w:divsChild>
        <w:div w:id="1683973050">
          <w:marLeft w:val="0"/>
          <w:marRight w:val="0"/>
          <w:marTop w:val="0"/>
          <w:marBottom w:val="0"/>
          <w:divBdr>
            <w:top w:val="none" w:sz="0" w:space="0" w:color="auto"/>
            <w:left w:val="none" w:sz="0" w:space="0" w:color="auto"/>
            <w:bottom w:val="none" w:sz="0" w:space="0" w:color="auto"/>
            <w:right w:val="none" w:sz="0" w:space="0" w:color="auto"/>
          </w:divBdr>
          <w:divsChild>
            <w:div w:id="2055502395">
              <w:marLeft w:val="0"/>
              <w:marRight w:val="0"/>
              <w:marTop w:val="0"/>
              <w:marBottom w:val="0"/>
              <w:divBdr>
                <w:top w:val="none" w:sz="0" w:space="0" w:color="auto"/>
                <w:left w:val="none" w:sz="0" w:space="0" w:color="auto"/>
                <w:bottom w:val="none" w:sz="0" w:space="0" w:color="auto"/>
                <w:right w:val="none" w:sz="0" w:space="0" w:color="auto"/>
              </w:divBdr>
              <w:divsChild>
                <w:div w:id="145171852">
                  <w:marLeft w:val="0"/>
                  <w:marRight w:val="0"/>
                  <w:marTop w:val="0"/>
                  <w:marBottom w:val="0"/>
                  <w:divBdr>
                    <w:top w:val="none" w:sz="0" w:space="0" w:color="auto"/>
                    <w:left w:val="none" w:sz="0" w:space="0" w:color="auto"/>
                    <w:bottom w:val="none" w:sz="0" w:space="0" w:color="auto"/>
                    <w:right w:val="none" w:sz="0" w:space="0" w:color="auto"/>
                  </w:divBdr>
                  <w:divsChild>
                    <w:div w:id="1094474712">
                      <w:marLeft w:val="0"/>
                      <w:marRight w:val="0"/>
                      <w:marTop w:val="0"/>
                      <w:marBottom w:val="0"/>
                      <w:divBdr>
                        <w:top w:val="none" w:sz="0" w:space="0" w:color="auto"/>
                        <w:left w:val="none" w:sz="0" w:space="0" w:color="auto"/>
                        <w:bottom w:val="none" w:sz="0" w:space="0" w:color="auto"/>
                        <w:right w:val="none" w:sz="0" w:space="0" w:color="auto"/>
                      </w:divBdr>
                      <w:divsChild>
                        <w:div w:id="1791777483">
                          <w:marLeft w:val="0"/>
                          <w:marRight w:val="0"/>
                          <w:marTop w:val="0"/>
                          <w:marBottom w:val="0"/>
                          <w:divBdr>
                            <w:top w:val="none" w:sz="0" w:space="0" w:color="auto"/>
                            <w:left w:val="none" w:sz="0" w:space="0" w:color="auto"/>
                            <w:bottom w:val="none" w:sz="0" w:space="0" w:color="auto"/>
                            <w:right w:val="none" w:sz="0" w:space="0" w:color="auto"/>
                          </w:divBdr>
                          <w:divsChild>
                            <w:div w:id="193009549">
                              <w:marLeft w:val="0"/>
                              <w:marRight w:val="0"/>
                              <w:marTop w:val="0"/>
                              <w:marBottom w:val="0"/>
                              <w:divBdr>
                                <w:top w:val="none" w:sz="0" w:space="0" w:color="auto"/>
                                <w:left w:val="none" w:sz="0" w:space="0" w:color="auto"/>
                                <w:bottom w:val="none" w:sz="0" w:space="0" w:color="auto"/>
                                <w:right w:val="none" w:sz="0" w:space="0" w:color="auto"/>
                              </w:divBdr>
                              <w:divsChild>
                                <w:div w:id="1379623259">
                                  <w:marLeft w:val="0"/>
                                  <w:marRight w:val="0"/>
                                  <w:marTop w:val="0"/>
                                  <w:marBottom w:val="0"/>
                                  <w:divBdr>
                                    <w:top w:val="none" w:sz="0" w:space="0" w:color="auto"/>
                                    <w:left w:val="none" w:sz="0" w:space="0" w:color="auto"/>
                                    <w:bottom w:val="none" w:sz="0" w:space="0" w:color="auto"/>
                                    <w:right w:val="none" w:sz="0" w:space="0" w:color="auto"/>
                                  </w:divBdr>
                                </w:div>
                                <w:div w:id="321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Latest/C2015C00546" TargetMode="External"/><Relationship Id="rId18" Type="http://schemas.openxmlformats.org/officeDocument/2006/relationships/hyperlink" Target="https://www.legislation.gov.au/Latest/F2012C00749" TargetMode="External"/><Relationship Id="rId26" Type="http://schemas.openxmlformats.org/officeDocument/2006/relationships/hyperlink" Target="https://www.legislation.gov.au/Latest/F2015C00075" TargetMode="External"/><Relationship Id="rId39" Type="http://schemas.openxmlformats.org/officeDocument/2006/relationships/hyperlink" Target="mailto:SAplaces@health.gov.au" TargetMode="External"/><Relationship Id="rId3" Type="http://schemas.openxmlformats.org/officeDocument/2006/relationships/styles" Target="styles.xml"/><Relationship Id="rId21" Type="http://schemas.openxmlformats.org/officeDocument/2006/relationships/hyperlink" Target="https://www.legislation.gov.au/Latest/F2015L02125" TargetMode="External"/><Relationship Id="rId34" Type="http://schemas.openxmlformats.org/officeDocument/2006/relationships/hyperlink" Target="https://www.dss.gov.au/our-responsibilities/ageing-and-aged-care/for-providers/forms/management-of-places-forms-for-approved-providers" TargetMode="External"/><Relationship Id="rId42" Type="http://schemas.openxmlformats.org/officeDocument/2006/relationships/hyperlink" Target="http://guides.dss.gov.au/guide-aged-care-law" TargetMode="External"/><Relationship Id="rId7" Type="http://schemas.openxmlformats.org/officeDocument/2006/relationships/footnotes" Target="footnotes.xml"/><Relationship Id="rId12" Type="http://schemas.openxmlformats.org/officeDocument/2006/relationships/hyperlink" Target="https://www.legislation.gov.au/Latest/C2016C00138" TargetMode="External"/><Relationship Id="rId17" Type="http://schemas.openxmlformats.org/officeDocument/2006/relationships/hyperlink" Target="https://www.legislation.gov.au/Latest/F2014L00698" TargetMode="External"/><Relationship Id="rId25" Type="http://schemas.openxmlformats.org/officeDocument/2006/relationships/hyperlink" Target="https://www.legislation.gov.au/Latest/F2016C00051" TargetMode="External"/><Relationship Id="rId33" Type="http://schemas.openxmlformats.org/officeDocument/2006/relationships/hyperlink" Target="https://www.legislation.gov.au/Latest/F2016L00355" TargetMode="External"/><Relationship Id="rId38" Type="http://schemas.openxmlformats.org/officeDocument/2006/relationships/hyperlink" Target="https://www.dss.gov.au/our-responsibilities/ageing-and-aged-care/for-providers/forms/management-of-places-forms-for-approved-providers" TargetMode="External"/><Relationship Id="rId2" Type="http://schemas.openxmlformats.org/officeDocument/2006/relationships/numbering" Target="numbering.xml"/><Relationship Id="rId16" Type="http://schemas.openxmlformats.org/officeDocument/2006/relationships/hyperlink" Target="https://www.legislation.gov.au/Latest/F2014L00804" TargetMode="External"/><Relationship Id="rId20" Type="http://schemas.openxmlformats.org/officeDocument/2006/relationships/hyperlink" Target="https://www.legislation.gov.au/Latest/F2014L00799" TargetMode="External"/><Relationship Id="rId29" Type="http://schemas.openxmlformats.org/officeDocument/2006/relationships/hyperlink" Target="https://www.legislation.gov.au/Latest/F2015C00949" TargetMode="External"/><Relationship Id="rId41" Type="http://schemas.openxmlformats.org/officeDocument/2006/relationships/hyperlink" Target="mailto:TASplaces@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legislation.gov.au/Latest/F2014L00697" TargetMode="External"/><Relationship Id="rId32" Type="http://schemas.openxmlformats.org/officeDocument/2006/relationships/image" Target="media/image3.png"/><Relationship Id="rId37" Type="http://schemas.openxmlformats.org/officeDocument/2006/relationships/hyperlink" Target="https://www.dss.gov.au/our-responsibilities/ageing-and-aged-care/for-providers/forms/management-of-places-forms-for-approved-providers" TargetMode="External"/><Relationship Id="rId40" Type="http://schemas.openxmlformats.org/officeDocument/2006/relationships/hyperlink" Target="mailto:WAplaces@health.gov.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au/Latest/F2015C00622" TargetMode="External"/><Relationship Id="rId23" Type="http://schemas.openxmlformats.org/officeDocument/2006/relationships/hyperlink" Target="https://www.legislation.gov.au/Latest/F2015C00623" TargetMode="External"/><Relationship Id="rId28" Type="http://schemas.openxmlformats.org/officeDocument/2006/relationships/hyperlink" Target="https://www.legislation.gov.au/Latest/F2014L00803" TargetMode="External"/><Relationship Id="rId36"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legislation.gov.au/Latest/F2014L00805" TargetMode="External"/><Relationship Id="rId31" Type="http://schemas.openxmlformats.org/officeDocument/2006/relationships/hyperlink" Target="http://guides.dss.gov.au/guide-aged-care-law"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egislation.gov.au/Latest/F2016C00440" TargetMode="External"/><Relationship Id="rId22" Type="http://schemas.openxmlformats.org/officeDocument/2006/relationships/hyperlink" Target="https://www.legislation.gov.au/Latest/F2016C00050" TargetMode="External"/><Relationship Id="rId27" Type="http://schemas.openxmlformats.org/officeDocument/2006/relationships/hyperlink" Target="https://www.legislation.gov.au/Latest/F2014L00810" TargetMode="External"/><Relationship Id="rId30" Type="http://schemas.openxmlformats.org/officeDocument/2006/relationships/hyperlink" Target="https://www.legislation.gov.au/Latest/F2016C00049" TargetMode="External"/><Relationship Id="rId35" Type="http://schemas.openxmlformats.org/officeDocument/2006/relationships/image" Target="media/image4.png"/><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100F4.146BBB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4FF9-7750-4E19-AE02-01E6CA3A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3411</Words>
  <Characters>19446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OWEN-JONES, Sian</dc:creator>
  <cp:lastModifiedBy>CIFUENTES, Karen</cp:lastModifiedBy>
  <cp:revision>2</cp:revision>
  <cp:lastPrinted>2016-05-04T02:17:00Z</cp:lastPrinted>
  <dcterms:created xsi:type="dcterms:W3CDTF">2016-06-06T01:19:00Z</dcterms:created>
  <dcterms:modified xsi:type="dcterms:W3CDTF">2016-06-06T01:19:00Z</dcterms:modified>
</cp:coreProperties>
</file>