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BFA390" w14:textId="049F72A5" w:rsidR="00142A8F" w:rsidRDefault="00142A8F" w:rsidP="0000677E">
      <w:bookmarkStart w:id="0" w:name="_Hlk24907643"/>
      <w:bookmarkEnd w:id="0"/>
    </w:p>
    <w:p w14:paraId="16F28768" w14:textId="77777777" w:rsidR="00142A8F" w:rsidRDefault="00142A8F" w:rsidP="0000677E"/>
    <w:p w14:paraId="71416E2E" w14:textId="77777777" w:rsidR="00142A8F" w:rsidRDefault="00142A8F" w:rsidP="0000677E"/>
    <w:p w14:paraId="762CCCE6" w14:textId="77777777" w:rsidR="00142A8F" w:rsidRDefault="00142A8F" w:rsidP="0000677E"/>
    <w:p w14:paraId="2FBD8CDD" w14:textId="77777777" w:rsidR="00127A74" w:rsidRDefault="00127A74" w:rsidP="0000677E"/>
    <w:p w14:paraId="001045A1" w14:textId="77777777" w:rsidR="00142A8F" w:rsidRDefault="00142A8F" w:rsidP="0000677E"/>
    <w:p w14:paraId="0B4BE857" w14:textId="77777777" w:rsidR="00142A8F" w:rsidRDefault="00142A8F" w:rsidP="0000677E"/>
    <w:p w14:paraId="461F588B" w14:textId="73FDE3A1" w:rsidR="00142A8F" w:rsidRDefault="00142A8F" w:rsidP="0000677E"/>
    <w:p w14:paraId="3B94A609" w14:textId="77777777" w:rsidR="00142A8F" w:rsidRDefault="00142A8F" w:rsidP="0000677E"/>
    <w:p w14:paraId="4A175AA7" w14:textId="63D3E90B" w:rsidR="00A75A46" w:rsidRDefault="00A75A46" w:rsidP="004D78E2">
      <w:pPr>
        <w:jc w:val="right"/>
      </w:pPr>
    </w:p>
    <w:p w14:paraId="7CFD9CD8" w14:textId="77777777" w:rsidR="00A75A46" w:rsidRDefault="00A75A46" w:rsidP="00A75A46"/>
    <w:p w14:paraId="2877050E" w14:textId="77777777" w:rsidR="00A75A46" w:rsidRDefault="00A75A46" w:rsidP="00A75A46"/>
    <w:p w14:paraId="7909A3DA" w14:textId="77777777" w:rsidR="00A75A46" w:rsidRDefault="00A75A46" w:rsidP="00A75A46"/>
    <w:p w14:paraId="01DFE420" w14:textId="567A89D5" w:rsidR="00A75A46" w:rsidRDefault="004D78E2" w:rsidP="004D78E2">
      <w:pPr>
        <w:jc w:val="center"/>
      </w:pPr>
      <w:r>
        <w:rPr>
          <w:noProof/>
          <w:lang w:eastAsia="en-AU"/>
        </w:rPr>
        <w:drawing>
          <wp:inline distT="0" distB="0" distL="0" distR="0" wp14:anchorId="2128019E" wp14:editId="34140488">
            <wp:extent cx="3248025" cy="1114425"/>
            <wp:effectExtent l="0" t="0" r="9525" b="9525"/>
            <wp:docPr id="27" name="Picture 27" title="Image of the crest for the Australian Government - Aged Care Finance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8025" cy="1114425"/>
                    </a:xfrm>
                    <a:prstGeom prst="rect">
                      <a:avLst/>
                    </a:prstGeom>
                    <a:noFill/>
                  </pic:spPr>
                </pic:pic>
              </a:graphicData>
            </a:graphic>
          </wp:inline>
        </w:drawing>
      </w:r>
    </w:p>
    <w:p w14:paraId="053F51E8" w14:textId="77777777" w:rsidR="00A75A46" w:rsidRDefault="00A75A46" w:rsidP="00A75A46">
      <w:pPr>
        <w:jc w:val="right"/>
      </w:pPr>
    </w:p>
    <w:p w14:paraId="6935E030" w14:textId="77777777" w:rsidR="00A75A46" w:rsidRDefault="00A75A46" w:rsidP="00A75A46"/>
    <w:p w14:paraId="52E67708" w14:textId="011C1536" w:rsidR="00A75A46" w:rsidRDefault="004D78E2" w:rsidP="004D78E2">
      <w:pPr>
        <w:jc w:val="center"/>
      </w:pPr>
      <w:r>
        <w:rPr>
          <w:noProof/>
          <w:lang w:eastAsia="en-AU"/>
        </w:rPr>
        <w:drawing>
          <wp:inline distT="0" distB="0" distL="0" distR="0" wp14:anchorId="5835027A" wp14:editId="1398F27E">
            <wp:extent cx="1895475" cy="1466850"/>
            <wp:effectExtent l="0" t="0" r="9525" b="0"/>
            <wp:docPr id="28" name="Picture 28" title="Image of the crest for the Australian Government -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1466850"/>
                    </a:xfrm>
                    <a:prstGeom prst="rect">
                      <a:avLst/>
                    </a:prstGeom>
                    <a:noFill/>
                  </pic:spPr>
                </pic:pic>
              </a:graphicData>
            </a:graphic>
          </wp:inline>
        </w:drawing>
      </w:r>
    </w:p>
    <w:p w14:paraId="0A504245" w14:textId="77777777" w:rsidR="00A75A46" w:rsidRDefault="00A75A46" w:rsidP="00A75A46"/>
    <w:p w14:paraId="3C722CB4" w14:textId="77777777" w:rsidR="00A75A46" w:rsidRDefault="00A75A46" w:rsidP="00A75A46"/>
    <w:p w14:paraId="0329B9CE" w14:textId="77777777" w:rsidR="00A75A46" w:rsidRDefault="00A75A46" w:rsidP="00A75A46"/>
    <w:p w14:paraId="72C9C117" w14:textId="77777777" w:rsidR="00A75A46" w:rsidRDefault="00A75A46" w:rsidP="00A75A46"/>
    <w:p w14:paraId="41018479" w14:textId="0A054BEB" w:rsidR="00A75A46" w:rsidRPr="00EF6588" w:rsidRDefault="00A75A46" w:rsidP="00A75A46">
      <w:pPr>
        <w:pBdr>
          <w:bottom w:val="single" w:sz="24" w:space="1" w:color="CE0060"/>
        </w:pBdr>
        <w:jc w:val="right"/>
        <w:rPr>
          <w:b/>
          <w:color w:val="00B0F0"/>
          <w:sz w:val="44"/>
          <w:szCs w:val="44"/>
        </w:rPr>
      </w:pPr>
      <w:r>
        <w:rPr>
          <w:b/>
          <w:color w:val="00B0F0"/>
          <w:sz w:val="44"/>
          <w:szCs w:val="44"/>
        </w:rPr>
        <w:t>Home Care Funding Analysis</w:t>
      </w:r>
    </w:p>
    <w:p w14:paraId="7243DCC3" w14:textId="77777777" w:rsidR="00A75A46" w:rsidRPr="00932902" w:rsidRDefault="00A75A46" w:rsidP="00A75A46">
      <w:pPr>
        <w:jc w:val="right"/>
      </w:pPr>
    </w:p>
    <w:p w14:paraId="307917A2" w14:textId="61C2AB8E" w:rsidR="00A75A46" w:rsidRDefault="00C66F48" w:rsidP="00A75A46">
      <w:pPr>
        <w:jc w:val="right"/>
        <w:rPr>
          <w:b/>
          <w:i/>
          <w:color w:val="FF0000"/>
          <w:sz w:val="32"/>
        </w:rPr>
      </w:pPr>
      <w:r>
        <w:rPr>
          <w:b/>
          <w:i/>
          <w:color w:val="FF0000"/>
          <w:sz w:val="32"/>
        </w:rPr>
        <w:t>Decemb</w:t>
      </w:r>
      <w:r w:rsidR="00A75A46">
        <w:rPr>
          <w:b/>
          <w:i/>
          <w:color w:val="FF0000"/>
          <w:sz w:val="32"/>
        </w:rPr>
        <w:t>er 2019</w:t>
      </w:r>
    </w:p>
    <w:p w14:paraId="6B68FCD5" w14:textId="77777777" w:rsidR="00142A8F" w:rsidRDefault="00142A8F" w:rsidP="0000677E"/>
    <w:p w14:paraId="35B86A78" w14:textId="77777777" w:rsidR="00142A8F" w:rsidRDefault="00142A8F" w:rsidP="0000677E"/>
    <w:p w14:paraId="7ED9576E" w14:textId="15B74234" w:rsidR="00142A8F" w:rsidRDefault="00142A8F" w:rsidP="0000677E"/>
    <w:p w14:paraId="32738182" w14:textId="143C300C" w:rsidR="004D78E2" w:rsidRDefault="004D78E2" w:rsidP="0000677E"/>
    <w:p w14:paraId="640BEB56" w14:textId="38503E2D" w:rsidR="004D78E2" w:rsidRDefault="004D78E2" w:rsidP="0000677E"/>
    <w:p w14:paraId="796E0874" w14:textId="0D474E9E" w:rsidR="004D78E2" w:rsidRDefault="004D78E2" w:rsidP="0000677E"/>
    <w:p w14:paraId="039FBC46" w14:textId="220677BD" w:rsidR="004D78E2" w:rsidRDefault="004D78E2" w:rsidP="0000677E"/>
    <w:p w14:paraId="174FC107" w14:textId="77777777" w:rsidR="00142A8F" w:rsidRDefault="00142A8F" w:rsidP="0000677E"/>
    <w:p w14:paraId="69BFC497" w14:textId="5BE1FBBF" w:rsidR="00142A8F" w:rsidRDefault="004D78E2" w:rsidP="004D78E2">
      <w:pPr>
        <w:jc w:val="right"/>
      </w:pPr>
      <w:r>
        <w:rPr>
          <w:noProof/>
          <w:lang w:eastAsia="en-AU"/>
        </w:rPr>
        <w:drawing>
          <wp:inline distT="0" distB="0" distL="0" distR="0" wp14:anchorId="05B0D053" wp14:editId="0D124F91">
            <wp:extent cx="1358900" cy="714375"/>
            <wp:effectExtent l="0" t="0" r="0" b="9525"/>
            <wp:docPr id="4" name="Picture 4" title="Image of StewartBrow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61841" cy="715921"/>
                    </a:xfrm>
                    <a:prstGeom prst="rect">
                      <a:avLst/>
                    </a:prstGeom>
                  </pic:spPr>
                </pic:pic>
              </a:graphicData>
            </a:graphic>
          </wp:inline>
        </w:drawing>
      </w:r>
    </w:p>
    <w:p w14:paraId="7CE5BC54" w14:textId="77777777" w:rsidR="00A85233" w:rsidRDefault="00A85233" w:rsidP="0000677E">
      <w:pPr>
        <w:sectPr w:rsidR="00A85233" w:rsidSect="00ED5243">
          <w:headerReference w:type="first" r:id="rId11"/>
          <w:footerReference w:type="first" r:id="rId12"/>
          <w:pgSz w:w="11906" w:h="16838" w:code="9"/>
          <w:pgMar w:top="1418" w:right="1418" w:bottom="1418" w:left="1418" w:header="709" w:footer="709" w:gutter="0"/>
          <w:cols w:space="708"/>
          <w:docGrid w:linePitch="360"/>
        </w:sectPr>
      </w:pPr>
    </w:p>
    <w:sdt>
      <w:sdtPr>
        <w:id w:val="1000623014"/>
        <w:docPartObj>
          <w:docPartGallery w:val="Table of Contents"/>
          <w:docPartUnique/>
        </w:docPartObj>
      </w:sdtPr>
      <w:sdtEndPr>
        <w:rPr>
          <w:bCs/>
          <w:noProof/>
        </w:rPr>
      </w:sdtEndPr>
      <w:sdtContent>
        <w:p w14:paraId="1476DCCD" w14:textId="77777777" w:rsidR="006D18EA" w:rsidRPr="00ED5243" w:rsidRDefault="006D18EA" w:rsidP="004D78E2">
          <w:pPr>
            <w:jc w:val="center"/>
            <w:rPr>
              <w:rStyle w:val="ContentsPageChar"/>
              <w:bCs/>
              <w:lang w:val="en-AU"/>
            </w:rPr>
          </w:pPr>
          <w:r w:rsidRPr="00ED5243">
            <w:rPr>
              <w:rStyle w:val="ContentsPageChar"/>
              <w:bCs/>
              <w:lang w:val="en-AU"/>
            </w:rPr>
            <w:t>CONTENTS</w:t>
          </w:r>
        </w:p>
        <w:p w14:paraId="3E480DE8" w14:textId="3ACF12C7" w:rsidR="00C66F48" w:rsidRPr="00C66F48" w:rsidRDefault="00A63731">
          <w:pPr>
            <w:pStyle w:val="TOC1"/>
            <w:rPr>
              <w:rFonts w:eastAsiaTheme="minorEastAsia"/>
              <w:noProof/>
              <w:sz w:val="20"/>
              <w:szCs w:val="20"/>
              <w:lang w:eastAsia="en-AU"/>
            </w:rPr>
          </w:pPr>
          <w:r>
            <w:fldChar w:fldCharType="begin"/>
          </w:r>
          <w:r>
            <w:instrText xml:space="preserve"> TOC \o "1-2" \h \z \u </w:instrText>
          </w:r>
          <w:r>
            <w:fldChar w:fldCharType="separate"/>
          </w:r>
          <w:hyperlink w:anchor="_Toc26870692" w:history="1">
            <w:r w:rsidR="00C66F48" w:rsidRPr="00C66F48">
              <w:rPr>
                <w:rStyle w:val="Hyperlink"/>
                <w:noProof/>
                <w:sz w:val="20"/>
                <w:szCs w:val="20"/>
              </w:rPr>
              <w:t>1.</w:t>
            </w:r>
            <w:r w:rsidR="00C66F48" w:rsidRPr="00C66F48">
              <w:rPr>
                <w:rFonts w:eastAsiaTheme="minorEastAsia"/>
                <w:noProof/>
                <w:sz w:val="20"/>
                <w:szCs w:val="20"/>
                <w:lang w:eastAsia="en-AU"/>
              </w:rPr>
              <w:tab/>
            </w:r>
            <w:r w:rsidR="00C66F48" w:rsidRPr="00C66F48">
              <w:rPr>
                <w:rStyle w:val="Hyperlink"/>
                <w:noProof/>
                <w:sz w:val="20"/>
                <w:szCs w:val="20"/>
              </w:rPr>
              <w:t>Executive Summary</w:t>
            </w:r>
            <w:r w:rsidR="00C66F48" w:rsidRPr="00C66F48">
              <w:rPr>
                <w:noProof/>
                <w:webHidden/>
                <w:sz w:val="20"/>
                <w:szCs w:val="20"/>
              </w:rPr>
              <w:tab/>
            </w:r>
            <w:r w:rsidR="00C66F48" w:rsidRPr="00C66F48">
              <w:rPr>
                <w:noProof/>
                <w:webHidden/>
                <w:sz w:val="20"/>
                <w:szCs w:val="20"/>
              </w:rPr>
              <w:fldChar w:fldCharType="begin"/>
            </w:r>
            <w:r w:rsidR="00C66F48" w:rsidRPr="00C66F48">
              <w:rPr>
                <w:noProof/>
                <w:webHidden/>
                <w:sz w:val="20"/>
                <w:szCs w:val="20"/>
              </w:rPr>
              <w:instrText xml:space="preserve"> PAGEREF _Toc26870692 \h </w:instrText>
            </w:r>
            <w:r w:rsidR="00C66F48" w:rsidRPr="00C66F48">
              <w:rPr>
                <w:noProof/>
                <w:webHidden/>
                <w:sz w:val="20"/>
                <w:szCs w:val="20"/>
              </w:rPr>
            </w:r>
            <w:r w:rsidR="00C66F48" w:rsidRPr="00C66F48">
              <w:rPr>
                <w:noProof/>
                <w:webHidden/>
                <w:sz w:val="20"/>
                <w:szCs w:val="20"/>
              </w:rPr>
              <w:fldChar w:fldCharType="separate"/>
            </w:r>
            <w:r w:rsidR="00C66F48" w:rsidRPr="00C66F48">
              <w:rPr>
                <w:noProof/>
                <w:webHidden/>
                <w:sz w:val="20"/>
                <w:szCs w:val="20"/>
              </w:rPr>
              <w:t>1</w:t>
            </w:r>
            <w:r w:rsidR="00C66F48" w:rsidRPr="00C66F48">
              <w:rPr>
                <w:noProof/>
                <w:webHidden/>
                <w:sz w:val="20"/>
                <w:szCs w:val="20"/>
              </w:rPr>
              <w:fldChar w:fldCharType="end"/>
            </w:r>
          </w:hyperlink>
        </w:p>
        <w:p w14:paraId="6D4A4C07" w14:textId="1A079AE7" w:rsidR="00C66F48" w:rsidRPr="00C66F48" w:rsidRDefault="006E3CD6">
          <w:pPr>
            <w:pStyle w:val="TOC2"/>
            <w:tabs>
              <w:tab w:val="left" w:pos="880"/>
              <w:tab w:val="right" w:leader="dot" w:pos="9628"/>
            </w:tabs>
            <w:rPr>
              <w:rFonts w:eastAsiaTheme="minorEastAsia"/>
              <w:noProof/>
              <w:sz w:val="20"/>
              <w:szCs w:val="20"/>
              <w:lang w:eastAsia="en-AU"/>
            </w:rPr>
          </w:pPr>
          <w:hyperlink w:anchor="_Toc26870693" w:history="1">
            <w:r w:rsidR="00C66F48" w:rsidRPr="00C66F48">
              <w:rPr>
                <w:rStyle w:val="Hyperlink"/>
                <w:noProof/>
                <w:sz w:val="20"/>
                <w:szCs w:val="20"/>
              </w:rPr>
              <w:t>1.1</w:t>
            </w:r>
            <w:r w:rsidR="00C66F48" w:rsidRPr="00C66F48">
              <w:rPr>
                <w:rFonts w:eastAsiaTheme="minorEastAsia"/>
                <w:noProof/>
                <w:sz w:val="20"/>
                <w:szCs w:val="20"/>
                <w:lang w:eastAsia="en-AU"/>
              </w:rPr>
              <w:tab/>
            </w:r>
            <w:r w:rsidR="00C66F48" w:rsidRPr="00C66F48">
              <w:rPr>
                <w:rStyle w:val="Hyperlink"/>
                <w:noProof/>
                <w:sz w:val="20"/>
                <w:szCs w:val="20"/>
              </w:rPr>
              <w:t>Introduction</w:t>
            </w:r>
            <w:r w:rsidR="00C66F48" w:rsidRPr="00C66F48">
              <w:rPr>
                <w:noProof/>
                <w:webHidden/>
                <w:sz w:val="20"/>
                <w:szCs w:val="20"/>
              </w:rPr>
              <w:tab/>
            </w:r>
            <w:r w:rsidR="00C66F48" w:rsidRPr="00C66F48">
              <w:rPr>
                <w:noProof/>
                <w:webHidden/>
                <w:sz w:val="20"/>
                <w:szCs w:val="20"/>
              </w:rPr>
              <w:fldChar w:fldCharType="begin"/>
            </w:r>
            <w:r w:rsidR="00C66F48" w:rsidRPr="00C66F48">
              <w:rPr>
                <w:noProof/>
                <w:webHidden/>
                <w:sz w:val="20"/>
                <w:szCs w:val="20"/>
              </w:rPr>
              <w:instrText xml:space="preserve"> PAGEREF _Toc26870693 \h </w:instrText>
            </w:r>
            <w:r w:rsidR="00C66F48" w:rsidRPr="00C66F48">
              <w:rPr>
                <w:noProof/>
                <w:webHidden/>
                <w:sz w:val="20"/>
                <w:szCs w:val="20"/>
              </w:rPr>
            </w:r>
            <w:r w:rsidR="00C66F48" w:rsidRPr="00C66F48">
              <w:rPr>
                <w:noProof/>
                <w:webHidden/>
                <w:sz w:val="20"/>
                <w:szCs w:val="20"/>
              </w:rPr>
              <w:fldChar w:fldCharType="separate"/>
            </w:r>
            <w:r w:rsidR="00C66F48" w:rsidRPr="00C66F48">
              <w:rPr>
                <w:noProof/>
                <w:webHidden/>
                <w:sz w:val="20"/>
                <w:szCs w:val="20"/>
              </w:rPr>
              <w:t>1</w:t>
            </w:r>
            <w:r w:rsidR="00C66F48" w:rsidRPr="00C66F48">
              <w:rPr>
                <w:noProof/>
                <w:webHidden/>
                <w:sz w:val="20"/>
                <w:szCs w:val="20"/>
              </w:rPr>
              <w:fldChar w:fldCharType="end"/>
            </w:r>
          </w:hyperlink>
        </w:p>
        <w:p w14:paraId="5653A513" w14:textId="53F4293E" w:rsidR="00C66F48" w:rsidRPr="00C66F48" w:rsidRDefault="006E3CD6">
          <w:pPr>
            <w:pStyle w:val="TOC2"/>
            <w:tabs>
              <w:tab w:val="left" w:pos="880"/>
              <w:tab w:val="right" w:leader="dot" w:pos="9628"/>
            </w:tabs>
            <w:rPr>
              <w:rFonts w:eastAsiaTheme="minorEastAsia"/>
              <w:noProof/>
              <w:sz w:val="20"/>
              <w:szCs w:val="20"/>
              <w:lang w:eastAsia="en-AU"/>
            </w:rPr>
          </w:pPr>
          <w:hyperlink w:anchor="_Toc26870694" w:history="1">
            <w:r w:rsidR="00C66F48" w:rsidRPr="00C66F48">
              <w:rPr>
                <w:rStyle w:val="Hyperlink"/>
                <w:noProof/>
                <w:sz w:val="20"/>
                <w:szCs w:val="20"/>
              </w:rPr>
              <w:t>1.2</w:t>
            </w:r>
            <w:r w:rsidR="00C66F48" w:rsidRPr="00C66F48">
              <w:rPr>
                <w:rFonts w:eastAsiaTheme="minorEastAsia"/>
                <w:noProof/>
                <w:sz w:val="20"/>
                <w:szCs w:val="20"/>
                <w:lang w:eastAsia="en-AU"/>
              </w:rPr>
              <w:tab/>
            </w:r>
            <w:r w:rsidR="00C66F48" w:rsidRPr="00C66F48">
              <w:rPr>
                <w:rStyle w:val="Hyperlink"/>
                <w:noProof/>
                <w:sz w:val="20"/>
                <w:szCs w:val="20"/>
              </w:rPr>
              <w:t>Potential Financial Impact on Approved Providers</w:t>
            </w:r>
            <w:r w:rsidR="00C66F48" w:rsidRPr="00C66F48">
              <w:rPr>
                <w:noProof/>
                <w:webHidden/>
                <w:sz w:val="20"/>
                <w:szCs w:val="20"/>
              </w:rPr>
              <w:tab/>
            </w:r>
            <w:r w:rsidR="00C66F48" w:rsidRPr="00C66F48">
              <w:rPr>
                <w:noProof/>
                <w:webHidden/>
                <w:sz w:val="20"/>
                <w:szCs w:val="20"/>
              </w:rPr>
              <w:fldChar w:fldCharType="begin"/>
            </w:r>
            <w:r w:rsidR="00C66F48" w:rsidRPr="00C66F48">
              <w:rPr>
                <w:noProof/>
                <w:webHidden/>
                <w:sz w:val="20"/>
                <w:szCs w:val="20"/>
              </w:rPr>
              <w:instrText xml:space="preserve"> PAGEREF _Toc26870694 \h </w:instrText>
            </w:r>
            <w:r w:rsidR="00C66F48" w:rsidRPr="00C66F48">
              <w:rPr>
                <w:noProof/>
                <w:webHidden/>
                <w:sz w:val="20"/>
                <w:szCs w:val="20"/>
              </w:rPr>
            </w:r>
            <w:r w:rsidR="00C66F48" w:rsidRPr="00C66F48">
              <w:rPr>
                <w:noProof/>
                <w:webHidden/>
                <w:sz w:val="20"/>
                <w:szCs w:val="20"/>
              </w:rPr>
              <w:fldChar w:fldCharType="separate"/>
            </w:r>
            <w:r w:rsidR="00C66F48" w:rsidRPr="00C66F48">
              <w:rPr>
                <w:noProof/>
                <w:webHidden/>
                <w:sz w:val="20"/>
                <w:szCs w:val="20"/>
              </w:rPr>
              <w:t>1</w:t>
            </w:r>
            <w:r w:rsidR="00C66F48" w:rsidRPr="00C66F48">
              <w:rPr>
                <w:noProof/>
                <w:webHidden/>
                <w:sz w:val="20"/>
                <w:szCs w:val="20"/>
              </w:rPr>
              <w:fldChar w:fldCharType="end"/>
            </w:r>
          </w:hyperlink>
        </w:p>
        <w:p w14:paraId="61F09F8B" w14:textId="65001128" w:rsidR="00C66F48" w:rsidRPr="00C66F48" w:rsidRDefault="006E3CD6">
          <w:pPr>
            <w:pStyle w:val="TOC2"/>
            <w:tabs>
              <w:tab w:val="left" w:pos="880"/>
              <w:tab w:val="right" w:leader="dot" w:pos="9628"/>
            </w:tabs>
            <w:rPr>
              <w:rFonts w:eastAsiaTheme="minorEastAsia"/>
              <w:noProof/>
              <w:sz w:val="20"/>
              <w:szCs w:val="20"/>
              <w:lang w:eastAsia="en-AU"/>
            </w:rPr>
          </w:pPr>
          <w:hyperlink w:anchor="_Toc26870695" w:history="1">
            <w:r w:rsidR="00C66F48" w:rsidRPr="00C66F48">
              <w:rPr>
                <w:rStyle w:val="Hyperlink"/>
                <w:noProof/>
                <w:sz w:val="20"/>
                <w:szCs w:val="20"/>
              </w:rPr>
              <w:t>1.3</w:t>
            </w:r>
            <w:r w:rsidR="00C66F48" w:rsidRPr="00C66F48">
              <w:rPr>
                <w:rFonts w:eastAsiaTheme="minorEastAsia"/>
                <w:noProof/>
                <w:sz w:val="20"/>
                <w:szCs w:val="20"/>
                <w:lang w:eastAsia="en-AU"/>
              </w:rPr>
              <w:tab/>
            </w:r>
            <w:r w:rsidR="00C66F48" w:rsidRPr="00C66F48">
              <w:rPr>
                <w:rStyle w:val="Hyperlink"/>
                <w:noProof/>
                <w:sz w:val="20"/>
                <w:szCs w:val="20"/>
              </w:rPr>
              <w:t>Conclusion</w:t>
            </w:r>
            <w:r w:rsidR="00C66F48" w:rsidRPr="00C66F48">
              <w:rPr>
                <w:noProof/>
                <w:webHidden/>
                <w:sz w:val="20"/>
                <w:szCs w:val="20"/>
              </w:rPr>
              <w:tab/>
            </w:r>
            <w:r w:rsidR="00C66F48" w:rsidRPr="00C66F48">
              <w:rPr>
                <w:noProof/>
                <w:webHidden/>
                <w:sz w:val="20"/>
                <w:szCs w:val="20"/>
              </w:rPr>
              <w:fldChar w:fldCharType="begin"/>
            </w:r>
            <w:r w:rsidR="00C66F48" w:rsidRPr="00C66F48">
              <w:rPr>
                <w:noProof/>
                <w:webHidden/>
                <w:sz w:val="20"/>
                <w:szCs w:val="20"/>
              </w:rPr>
              <w:instrText xml:space="preserve"> PAGEREF _Toc26870695 \h </w:instrText>
            </w:r>
            <w:r w:rsidR="00C66F48" w:rsidRPr="00C66F48">
              <w:rPr>
                <w:noProof/>
                <w:webHidden/>
                <w:sz w:val="20"/>
                <w:szCs w:val="20"/>
              </w:rPr>
            </w:r>
            <w:r w:rsidR="00C66F48" w:rsidRPr="00C66F48">
              <w:rPr>
                <w:noProof/>
                <w:webHidden/>
                <w:sz w:val="20"/>
                <w:szCs w:val="20"/>
              </w:rPr>
              <w:fldChar w:fldCharType="separate"/>
            </w:r>
            <w:r w:rsidR="00C66F48" w:rsidRPr="00C66F48">
              <w:rPr>
                <w:noProof/>
                <w:webHidden/>
                <w:sz w:val="20"/>
                <w:szCs w:val="20"/>
              </w:rPr>
              <w:t>1</w:t>
            </w:r>
            <w:r w:rsidR="00C66F48" w:rsidRPr="00C66F48">
              <w:rPr>
                <w:noProof/>
                <w:webHidden/>
                <w:sz w:val="20"/>
                <w:szCs w:val="20"/>
              </w:rPr>
              <w:fldChar w:fldCharType="end"/>
            </w:r>
          </w:hyperlink>
        </w:p>
        <w:p w14:paraId="672588EF" w14:textId="0484CB56" w:rsidR="00C66F48" w:rsidRPr="00C66F48" w:rsidRDefault="006E3CD6">
          <w:pPr>
            <w:pStyle w:val="TOC2"/>
            <w:tabs>
              <w:tab w:val="left" w:pos="880"/>
              <w:tab w:val="right" w:leader="dot" w:pos="9628"/>
            </w:tabs>
            <w:rPr>
              <w:rFonts w:eastAsiaTheme="minorEastAsia"/>
              <w:noProof/>
              <w:sz w:val="20"/>
              <w:szCs w:val="20"/>
              <w:lang w:eastAsia="en-AU"/>
            </w:rPr>
          </w:pPr>
          <w:hyperlink w:anchor="_Toc26870696" w:history="1">
            <w:r w:rsidR="00C66F48" w:rsidRPr="00C66F48">
              <w:rPr>
                <w:rStyle w:val="Hyperlink"/>
                <w:noProof/>
                <w:sz w:val="20"/>
                <w:szCs w:val="20"/>
              </w:rPr>
              <w:t>1.4</w:t>
            </w:r>
            <w:r w:rsidR="00C66F48" w:rsidRPr="00C66F48">
              <w:rPr>
                <w:rFonts w:eastAsiaTheme="minorEastAsia"/>
                <w:noProof/>
                <w:sz w:val="20"/>
                <w:szCs w:val="20"/>
                <w:lang w:eastAsia="en-AU"/>
              </w:rPr>
              <w:tab/>
            </w:r>
            <w:r w:rsidR="00C66F48" w:rsidRPr="00C66F48">
              <w:rPr>
                <w:rStyle w:val="Hyperlink"/>
                <w:noProof/>
                <w:sz w:val="20"/>
                <w:szCs w:val="20"/>
              </w:rPr>
              <w:t>Considerations</w:t>
            </w:r>
            <w:r w:rsidR="00C66F48" w:rsidRPr="00C66F48">
              <w:rPr>
                <w:noProof/>
                <w:webHidden/>
                <w:sz w:val="20"/>
                <w:szCs w:val="20"/>
              </w:rPr>
              <w:tab/>
            </w:r>
            <w:r w:rsidR="00C66F48" w:rsidRPr="00C66F48">
              <w:rPr>
                <w:noProof/>
                <w:webHidden/>
                <w:sz w:val="20"/>
                <w:szCs w:val="20"/>
              </w:rPr>
              <w:fldChar w:fldCharType="begin"/>
            </w:r>
            <w:r w:rsidR="00C66F48" w:rsidRPr="00C66F48">
              <w:rPr>
                <w:noProof/>
                <w:webHidden/>
                <w:sz w:val="20"/>
                <w:szCs w:val="20"/>
              </w:rPr>
              <w:instrText xml:space="preserve"> PAGEREF _Toc26870696 \h </w:instrText>
            </w:r>
            <w:r w:rsidR="00C66F48" w:rsidRPr="00C66F48">
              <w:rPr>
                <w:noProof/>
                <w:webHidden/>
                <w:sz w:val="20"/>
                <w:szCs w:val="20"/>
              </w:rPr>
            </w:r>
            <w:r w:rsidR="00C66F48" w:rsidRPr="00C66F48">
              <w:rPr>
                <w:noProof/>
                <w:webHidden/>
                <w:sz w:val="20"/>
                <w:szCs w:val="20"/>
              </w:rPr>
              <w:fldChar w:fldCharType="separate"/>
            </w:r>
            <w:r w:rsidR="00C66F48" w:rsidRPr="00C66F48">
              <w:rPr>
                <w:noProof/>
                <w:webHidden/>
                <w:sz w:val="20"/>
                <w:szCs w:val="20"/>
              </w:rPr>
              <w:t>2</w:t>
            </w:r>
            <w:r w:rsidR="00C66F48" w:rsidRPr="00C66F48">
              <w:rPr>
                <w:noProof/>
                <w:webHidden/>
                <w:sz w:val="20"/>
                <w:szCs w:val="20"/>
              </w:rPr>
              <w:fldChar w:fldCharType="end"/>
            </w:r>
          </w:hyperlink>
        </w:p>
        <w:p w14:paraId="2603392E" w14:textId="6B6E7604" w:rsidR="00C66F48" w:rsidRPr="00C66F48" w:rsidRDefault="006E3CD6">
          <w:pPr>
            <w:pStyle w:val="TOC2"/>
            <w:tabs>
              <w:tab w:val="left" w:pos="880"/>
              <w:tab w:val="right" w:leader="dot" w:pos="9628"/>
            </w:tabs>
            <w:rPr>
              <w:rFonts w:eastAsiaTheme="minorEastAsia"/>
              <w:noProof/>
              <w:sz w:val="20"/>
              <w:szCs w:val="20"/>
              <w:lang w:eastAsia="en-AU"/>
            </w:rPr>
          </w:pPr>
          <w:hyperlink w:anchor="_Toc26870697" w:history="1">
            <w:r w:rsidR="00C66F48" w:rsidRPr="00C66F48">
              <w:rPr>
                <w:rStyle w:val="Hyperlink"/>
                <w:noProof/>
                <w:sz w:val="20"/>
                <w:szCs w:val="20"/>
              </w:rPr>
              <w:t>1.5</w:t>
            </w:r>
            <w:r w:rsidR="00C66F48" w:rsidRPr="00C66F48">
              <w:rPr>
                <w:rFonts w:eastAsiaTheme="minorEastAsia"/>
                <w:noProof/>
                <w:sz w:val="20"/>
                <w:szCs w:val="20"/>
                <w:lang w:eastAsia="en-AU"/>
              </w:rPr>
              <w:tab/>
            </w:r>
            <w:r w:rsidR="00C66F48" w:rsidRPr="00C66F48">
              <w:rPr>
                <w:rStyle w:val="Hyperlink"/>
                <w:noProof/>
                <w:sz w:val="20"/>
                <w:szCs w:val="20"/>
              </w:rPr>
              <w:t>Significant Risk</w:t>
            </w:r>
            <w:r w:rsidR="00C66F48" w:rsidRPr="00C66F48">
              <w:rPr>
                <w:noProof/>
                <w:webHidden/>
                <w:sz w:val="20"/>
                <w:szCs w:val="20"/>
              </w:rPr>
              <w:tab/>
            </w:r>
            <w:r w:rsidR="00C66F48" w:rsidRPr="00C66F48">
              <w:rPr>
                <w:noProof/>
                <w:webHidden/>
                <w:sz w:val="20"/>
                <w:szCs w:val="20"/>
              </w:rPr>
              <w:fldChar w:fldCharType="begin"/>
            </w:r>
            <w:r w:rsidR="00C66F48" w:rsidRPr="00C66F48">
              <w:rPr>
                <w:noProof/>
                <w:webHidden/>
                <w:sz w:val="20"/>
                <w:szCs w:val="20"/>
              </w:rPr>
              <w:instrText xml:space="preserve"> PAGEREF _Toc26870697 \h </w:instrText>
            </w:r>
            <w:r w:rsidR="00C66F48" w:rsidRPr="00C66F48">
              <w:rPr>
                <w:noProof/>
                <w:webHidden/>
                <w:sz w:val="20"/>
                <w:szCs w:val="20"/>
              </w:rPr>
            </w:r>
            <w:r w:rsidR="00C66F48" w:rsidRPr="00C66F48">
              <w:rPr>
                <w:noProof/>
                <w:webHidden/>
                <w:sz w:val="20"/>
                <w:szCs w:val="20"/>
              </w:rPr>
              <w:fldChar w:fldCharType="separate"/>
            </w:r>
            <w:r w:rsidR="00C66F48" w:rsidRPr="00C66F48">
              <w:rPr>
                <w:noProof/>
                <w:webHidden/>
                <w:sz w:val="20"/>
                <w:szCs w:val="20"/>
              </w:rPr>
              <w:t>3</w:t>
            </w:r>
            <w:r w:rsidR="00C66F48" w:rsidRPr="00C66F48">
              <w:rPr>
                <w:noProof/>
                <w:webHidden/>
                <w:sz w:val="20"/>
                <w:szCs w:val="20"/>
              </w:rPr>
              <w:fldChar w:fldCharType="end"/>
            </w:r>
          </w:hyperlink>
        </w:p>
        <w:p w14:paraId="64B552F4" w14:textId="7D6B2ADF" w:rsidR="00C66F48" w:rsidRPr="00C66F48" w:rsidRDefault="006E3CD6">
          <w:pPr>
            <w:pStyle w:val="TOC1"/>
            <w:rPr>
              <w:rFonts w:eastAsiaTheme="minorEastAsia"/>
              <w:noProof/>
              <w:sz w:val="20"/>
              <w:szCs w:val="20"/>
              <w:lang w:eastAsia="en-AU"/>
            </w:rPr>
          </w:pPr>
          <w:hyperlink w:anchor="_Toc26870698" w:history="1">
            <w:r w:rsidR="00C66F48" w:rsidRPr="00C66F48">
              <w:rPr>
                <w:rStyle w:val="Hyperlink"/>
                <w:noProof/>
                <w:sz w:val="20"/>
                <w:szCs w:val="20"/>
              </w:rPr>
              <w:t>2.</w:t>
            </w:r>
            <w:r w:rsidR="00C66F48" w:rsidRPr="00C66F48">
              <w:rPr>
                <w:rFonts w:eastAsiaTheme="minorEastAsia"/>
                <w:noProof/>
                <w:sz w:val="20"/>
                <w:szCs w:val="20"/>
                <w:lang w:eastAsia="en-AU"/>
              </w:rPr>
              <w:tab/>
            </w:r>
            <w:r w:rsidR="00C66F48" w:rsidRPr="00C66F48">
              <w:rPr>
                <w:rStyle w:val="Hyperlink"/>
                <w:noProof/>
                <w:sz w:val="20"/>
                <w:szCs w:val="20"/>
              </w:rPr>
              <w:t>Background</w:t>
            </w:r>
            <w:r w:rsidR="00C66F48" w:rsidRPr="00C66F48">
              <w:rPr>
                <w:noProof/>
                <w:webHidden/>
                <w:sz w:val="20"/>
                <w:szCs w:val="20"/>
              </w:rPr>
              <w:tab/>
            </w:r>
            <w:r w:rsidR="00C66F48" w:rsidRPr="00C66F48">
              <w:rPr>
                <w:noProof/>
                <w:webHidden/>
                <w:sz w:val="20"/>
                <w:szCs w:val="20"/>
              </w:rPr>
              <w:fldChar w:fldCharType="begin"/>
            </w:r>
            <w:r w:rsidR="00C66F48" w:rsidRPr="00C66F48">
              <w:rPr>
                <w:noProof/>
                <w:webHidden/>
                <w:sz w:val="20"/>
                <w:szCs w:val="20"/>
              </w:rPr>
              <w:instrText xml:space="preserve"> PAGEREF _Toc26870698 \h </w:instrText>
            </w:r>
            <w:r w:rsidR="00C66F48" w:rsidRPr="00C66F48">
              <w:rPr>
                <w:noProof/>
                <w:webHidden/>
                <w:sz w:val="20"/>
                <w:szCs w:val="20"/>
              </w:rPr>
            </w:r>
            <w:r w:rsidR="00C66F48" w:rsidRPr="00C66F48">
              <w:rPr>
                <w:noProof/>
                <w:webHidden/>
                <w:sz w:val="20"/>
                <w:szCs w:val="20"/>
              </w:rPr>
              <w:fldChar w:fldCharType="separate"/>
            </w:r>
            <w:r w:rsidR="00C66F48" w:rsidRPr="00C66F48">
              <w:rPr>
                <w:noProof/>
                <w:webHidden/>
                <w:sz w:val="20"/>
                <w:szCs w:val="20"/>
              </w:rPr>
              <w:t>4</w:t>
            </w:r>
            <w:r w:rsidR="00C66F48" w:rsidRPr="00C66F48">
              <w:rPr>
                <w:noProof/>
                <w:webHidden/>
                <w:sz w:val="20"/>
                <w:szCs w:val="20"/>
              </w:rPr>
              <w:fldChar w:fldCharType="end"/>
            </w:r>
          </w:hyperlink>
        </w:p>
        <w:p w14:paraId="1B3C5227" w14:textId="00687369" w:rsidR="00C66F48" w:rsidRPr="00C66F48" w:rsidRDefault="006E3CD6">
          <w:pPr>
            <w:pStyle w:val="TOC2"/>
            <w:tabs>
              <w:tab w:val="left" w:pos="880"/>
              <w:tab w:val="right" w:leader="dot" w:pos="9628"/>
            </w:tabs>
            <w:rPr>
              <w:rFonts w:eastAsiaTheme="minorEastAsia"/>
              <w:noProof/>
              <w:sz w:val="20"/>
              <w:szCs w:val="20"/>
              <w:lang w:eastAsia="en-AU"/>
            </w:rPr>
          </w:pPr>
          <w:hyperlink w:anchor="_Toc26870699" w:history="1">
            <w:r w:rsidR="00C66F48" w:rsidRPr="00C66F48">
              <w:rPr>
                <w:rStyle w:val="Hyperlink"/>
                <w:noProof/>
                <w:sz w:val="20"/>
                <w:szCs w:val="20"/>
              </w:rPr>
              <w:t>2.1</w:t>
            </w:r>
            <w:r w:rsidR="00C66F48" w:rsidRPr="00C66F48">
              <w:rPr>
                <w:rFonts w:eastAsiaTheme="minorEastAsia"/>
                <w:noProof/>
                <w:sz w:val="20"/>
                <w:szCs w:val="20"/>
                <w:lang w:eastAsia="en-AU"/>
              </w:rPr>
              <w:tab/>
            </w:r>
            <w:r w:rsidR="00C66F48" w:rsidRPr="00C66F48">
              <w:rPr>
                <w:rStyle w:val="Hyperlink"/>
                <w:noProof/>
                <w:sz w:val="20"/>
                <w:szCs w:val="20"/>
              </w:rPr>
              <w:t>Introduction</w:t>
            </w:r>
            <w:r w:rsidR="00C66F48" w:rsidRPr="00C66F48">
              <w:rPr>
                <w:noProof/>
                <w:webHidden/>
                <w:sz w:val="20"/>
                <w:szCs w:val="20"/>
              </w:rPr>
              <w:tab/>
            </w:r>
            <w:r w:rsidR="00C66F48" w:rsidRPr="00C66F48">
              <w:rPr>
                <w:noProof/>
                <w:webHidden/>
                <w:sz w:val="20"/>
                <w:szCs w:val="20"/>
              </w:rPr>
              <w:fldChar w:fldCharType="begin"/>
            </w:r>
            <w:r w:rsidR="00C66F48" w:rsidRPr="00C66F48">
              <w:rPr>
                <w:noProof/>
                <w:webHidden/>
                <w:sz w:val="20"/>
                <w:szCs w:val="20"/>
              </w:rPr>
              <w:instrText xml:space="preserve"> PAGEREF _Toc26870699 \h </w:instrText>
            </w:r>
            <w:r w:rsidR="00C66F48" w:rsidRPr="00C66F48">
              <w:rPr>
                <w:noProof/>
                <w:webHidden/>
                <w:sz w:val="20"/>
                <w:szCs w:val="20"/>
              </w:rPr>
            </w:r>
            <w:r w:rsidR="00C66F48" w:rsidRPr="00C66F48">
              <w:rPr>
                <w:noProof/>
                <w:webHidden/>
                <w:sz w:val="20"/>
                <w:szCs w:val="20"/>
              </w:rPr>
              <w:fldChar w:fldCharType="separate"/>
            </w:r>
            <w:r w:rsidR="00C66F48" w:rsidRPr="00C66F48">
              <w:rPr>
                <w:noProof/>
                <w:webHidden/>
                <w:sz w:val="20"/>
                <w:szCs w:val="20"/>
              </w:rPr>
              <w:t>4</w:t>
            </w:r>
            <w:r w:rsidR="00C66F48" w:rsidRPr="00C66F48">
              <w:rPr>
                <w:noProof/>
                <w:webHidden/>
                <w:sz w:val="20"/>
                <w:szCs w:val="20"/>
              </w:rPr>
              <w:fldChar w:fldCharType="end"/>
            </w:r>
          </w:hyperlink>
        </w:p>
        <w:p w14:paraId="74287124" w14:textId="5F9B2DD9" w:rsidR="00C66F48" w:rsidRPr="00C66F48" w:rsidRDefault="006E3CD6">
          <w:pPr>
            <w:pStyle w:val="TOC2"/>
            <w:tabs>
              <w:tab w:val="left" w:pos="880"/>
              <w:tab w:val="right" w:leader="dot" w:pos="9628"/>
            </w:tabs>
            <w:rPr>
              <w:rFonts w:eastAsiaTheme="minorEastAsia"/>
              <w:noProof/>
              <w:sz w:val="20"/>
              <w:szCs w:val="20"/>
              <w:lang w:eastAsia="en-AU"/>
            </w:rPr>
          </w:pPr>
          <w:hyperlink w:anchor="_Toc26870700" w:history="1">
            <w:r w:rsidR="00C66F48" w:rsidRPr="00C66F48">
              <w:rPr>
                <w:rStyle w:val="Hyperlink"/>
                <w:noProof/>
                <w:sz w:val="20"/>
                <w:szCs w:val="20"/>
              </w:rPr>
              <w:t>2.2</w:t>
            </w:r>
            <w:r w:rsidR="00C66F48" w:rsidRPr="00C66F48">
              <w:rPr>
                <w:rFonts w:eastAsiaTheme="minorEastAsia"/>
                <w:noProof/>
                <w:sz w:val="20"/>
                <w:szCs w:val="20"/>
                <w:lang w:eastAsia="en-AU"/>
              </w:rPr>
              <w:tab/>
            </w:r>
            <w:r w:rsidR="00C66F48" w:rsidRPr="00C66F48">
              <w:rPr>
                <w:rStyle w:val="Hyperlink"/>
                <w:noProof/>
                <w:sz w:val="20"/>
                <w:szCs w:val="20"/>
              </w:rPr>
              <w:t>Agreed Scope of Works</w:t>
            </w:r>
            <w:r w:rsidR="00C66F48" w:rsidRPr="00C66F48">
              <w:rPr>
                <w:noProof/>
                <w:webHidden/>
                <w:sz w:val="20"/>
                <w:szCs w:val="20"/>
              </w:rPr>
              <w:tab/>
            </w:r>
            <w:r w:rsidR="00C66F48" w:rsidRPr="00C66F48">
              <w:rPr>
                <w:noProof/>
                <w:webHidden/>
                <w:sz w:val="20"/>
                <w:szCs w:val="20"/>
              </w:rPr>
              <w:fldChar w:fldCharType="begin"/>
            </w:r>
            <w:r w:rsidR="00C66F48" w:rsidRPr="00C66F48">
              <w:rPr>
                <w:noProof/>
                <w:webHidden/>
                <w:sz w:val="20"/>
                <w:szCs w:val="20"/>
              </w:rPr>
              <w:instrText xml:space="preserve"> PAGEREF _Toc26870700 \h </w:instrText>
            </w:r>
            <w:r w:rsidR="00C66F48" w:rsidRPr="00C66F48">
              <w:rPr>
                <w:noProof/>
                <w:webHidden/>
                <w:sz w:val="20"/>
                <w:szCs w:val="20"/>
              </w:rPr>
            </w:r>
            <w:r w:rsidR="00C66F48" w:rsidRPr="00C66F48">
              <w:rPr>
                <w:noProof/>
                <w:webHidden/>
                <w:sz w:val="20"/>
                <w:szCs w:val="20"/>
              </w:rPr>
              <w:fldChar w:fldCharType="separate"/>
            </w:r>
            <w:r w:rsidR="00C66F48" w:rsidRPr="00C66F48">
              <w:rPr>
                <w:noProof/>
                <w:webHidden/>
                <w:sz w:val="20"/>
                <w:szCs w:val="20"/>
              </w:rPr>
              <w:t>5</w:t>
            </w:r>
            <w:r w:rsidR="00C66F48" w:rsidRPr="00C66F48">
              <w:rPr>
                <w:noProof/>
                <w:webHidden/>
                <w:sz w:val="20"/>
                <w:szCs w:val="20"/>
              </w:rPr>
              <w:fldChar w:fldCharType="end"/>
            </w:r>
          </w:hyperlink>
        </w:p>
        <w:p w14:paraId="4E895D26" w14:textId="43095EED" w:rsidR="00C66F48" w:rsidRPr="00C66F48" w:rsidRDefault="006E3CD6">
          <w:pPr>
            <w:pStyle w:val="TOC2"/>
            <w:tabs>
              <w:tab w:val="left" w:pos="880"/>
              <w:tab w:val="right" w:leader="dot" w:pos="9628"/>
            </w:tabs>
            <w:rPr>
              <w:rFonts w:eastAsiaTheme="minorEastAsia"/>
              <w:noProof/>
              <w:sz w:val="20"/>
              <w:szCs w:val="20"/>
              <w:lang w:eastAsia="en-AU"/>
            </w:rPr>
          </w:pPr>
          <w:hyperlink w:anchor="_Toc26870701" w:history="1">
            <w:r w:rsidR="00C66F48" w:rsidRPr="00C66F48">
              <w:rPr>
                <w:rStyle w:val="Hyperlink"/>
                <w:noProof/>
                <w:sz w:val="20"/>
                <w:szCs w:val="20"/>
              </w:rPr>
              <w:t>2.3</w:t>
            </w:r>
            <w:r w:rsidR="00C66F48" w:rsidRPr="00C66F48">
              <w:rPr>
                <w:rFonts w:eastAsiaTheme="minorEastAsia"/>
                <w:noProof/>
                <w:sz w:val="20"/>
                <w:szCs w:val="20"/>
                <w:lang w:eastAsia="en-AU"/>
              </w:rPr>
              <w:tab/>
            </w:r>
            <w:r w:rsidR="00C66F48" w:rsidRPr="00C66F48">
              <w:rPr>
                <w:rStyle w:val="Hyperlink"/>
                <w:noProof/>
                <w:sz w:val="20"/>
                <w:szCs w:val="20"/>
              </w:rPr>
              <w:t>Methodology and Approach</w:t>
            </w:r>
            <w:r w:rsidR="00C66F48" w:rsidRPr="00C66F48">
              <w:rPr>
                <w:noProof/>
                <w:webHidden/>
                <w:sz w:val="20"/>
                <w:szCs w:val="20"/>
              </w:rPr>
              <w:tab/>
            </w:r>
            <w:r w:rsidR="00C66F48" w:rsidRPr="00C66F48">
              <w:rPr>
                <w:noProof/>
                <w:webHidden/>
                <w:sz w:val="20"/>
                <w:szCs w:val="20"/>
              </w:rPr>
              <w:fldChar w:fldCharType="begin"/>
            </w:r>
            <w:r w:rsidR="00C66F48" w:rsidRPr="00C66F48">
              <w:rPr>
                <w:noProof/>
                <w:webHidden/>
                <w:sz w:val="20"/>
                <w:szCs w:val="20"/>
              </w:rPr>
              <w:instrText xml:space="preserve"> PAGEREF _Toc26870701 \h </w:instrText>
            </w:r>
            <w:r w:rsidR="00C66F48" w:rsidRPr="00C66F48">
              <w:rPr>
                <w:noProof/>
                <w:webHidden/>
                <w:sz w:val="20"/>
                <w:szCs w:val="20"/>
              </w:rPr>
            </w:r>
            <w:r w:rsidR="00C66F48" w:rsidRPr="00C66F48">
              <w:rPr>
                <w:noProof/>
                <w:webHidden/>
                <w:sz w:val="20"/>
                <w:szCs w:val="20"/>
              </w:rPr>
              <w:fldChar w:fldCharType="separate"/>
            </w:r>
            <w:r w:rsidR="00C66F48" w:rsidRPr="00C66F48">
              <w:rPr>
                <w:noProof/>
                <w:webHidden/>
                <w:sz w:val="20"/>
                <w:szCs w:val="20"/>
              </w:rPr>
              <w:t>5</w:t>
            </w:r>
            <w:r w:rsidR="00C66F48" w:rsidRPr="00C66F48">
              <w:rPr>
                <w:noProof/>
                <w:webHidden/>
                <w:sz w:val="20"/>
                <w:szCs w:val="20"/>
              </w:rPr>
              <w:fldChar w:fldCharType="end"/>
            </w:r>
          </w:hyperlink>
        </w:p>
        <w:p w14:paraId="06C76A60" w14:textId="7AA4D672" w:rsidR="00C66F48" w:rsidRPr="00C66F48" w:rsidRDefault="006E3CD6">
          <w:pPr>
            <w:pStyle w:val="TOC2"/>
            <w:tabs>
              <w:tab w:val="left" w:pos="880"/>
              <w:tab w:val="right" w:leader="dot" w:pos="9628"/>
            </w:tabs>
            <w:rPr>
              <w:rFonts w:eastAsiaTheme="minorEastAsia"/>
              <w:noProof/>
              <w:sz w:val="20"/>
              <w:szCs w:val="20"/>
              <w:lang w:eastAsia="en-AU"/>
            </w:rPr>
          </w:pPr>
          <w:hyperlink w:anchor="_Toc26870702" w:history="1">
            <w:r w:rsidR="00C66F48" w:rsidRPr="00C66F48">
              <w:rPr>
                <w:rStyle w:val="Hyperlink"/>
                <w:noProof/>
                <w:sz w:val="20"/>
                <w:szCs w:val="20"/>
              </w:rPr>
              <w:t>2.4</w:t>
            </w:r>
            <w:r w:rsidR="00C66F48" w:rsidRPr="00C66F48">
              <w:rPr>
                <w:rFonts w:eastAsiaTheme="minorEastAsia"/>
                <w:noProof/>
                <w:sz w:val="20"/>
                <w:szCs w:val="20"/>
                <w:lang w:eastAsia="en-AU"/>
              </w:rPr>
              <w:tab/>
            </w:r>
            <w:r w:rsidR="00C66F48" w:rsidRPr="00C66F48">
              <w:rPr>
                <w:rStyle w:val="Hyperlink"/>
                <w:noProof/>
                <w:sz w:val="20"/>
                <w:szCs w:val="20"/>
              </w:rPr>
              <w:t>Confidentiality</w:t>
            </w:r>
            <w:r w:rsidR="00C66F48" w:rsidRPr="00C66F48">
              <w:rPr>
                <w:noProof/>
                <w:webHidden/>
                <w:sz w:val="20"/>
                <w:szCs w:val="20"/>
              </w:rPr>
              <w:tab/>
            </w:r>
            <w:r w:rsidR="00C66F48" w:rsidRPr="00C66F48">
              <w:rPr>
                <w:noProof/>
                <w:webHidden/>
                <w:sz w:val="20"/>
                <w:szCs w:val="20"/>
              </w:rPr>
              <w:fldChar w:fldCharType="begin"/>
            </w:r>
            <w:r w:rsidR="00C66F48" w:rsidRPr="00C66F48">
              <w:rPr>
                <w:noProof/>
                <w:webHidden/>
                <w:sz w:val="20"/>
                <w:szCs w:val="20"/>
              </w:rPr>
              <w:instrText xml:space="preserve"> PAGEREF _Toc26870702 \h </w:instrText>
            </w:r>
            <w:r w:rsidR="00C66F48" w:rsidRPr="00C66F48">
              <w:rPr>
                <w:noProof/>
                <w:webHidden/>
                <w:sz w:val="20"/>
                <w:szCs w:val="20"/>
              </w:rPr>
            </w:r>
            <w:r w:rsidR="00C66F48" w:rsidRPr="00C66F48">
              <w:rPr>
                <w:noProof/>
                <w:webHidden/>
                <w:sz w:val="20"/>
                <w:szCs w:val="20"/>
              </w:rPr>
              <w:fldChar w:fldCharType="separate"/>
            </w:r>
            <w:r w:rsidR="00C66F48" w:rsidRPr="00C66F48">
              <w:rPr>
                <w:noProof/>
                <w:webHidden/>
                <w:sz w:val="20"/>
                <w:szCs w:val="20"/>
              </w:rPr>
              <w:t>6</w:t>
            </w:r>
            <w:r w:rsidR="00C66F48" w:rsidRPr="00C66F48">
              <w:rPr>
                <w:noProof/>
                <w:webHidden/>
                <w:sz w:val="20"/>
                <w:szCs w:val="20"/>
              </w:rPr>
              <w:fldChar w:fldCharType="end"/>
            </w:r>
          </w:hyperlink>
        </w:p>
        <w:p w14:paraId="2B48AA1C" w14:textId="0AD7588D" w:rsidR="00C66F48" w:rsidRPr="00C66F48" w:rsidRDefault="006E3CD6">
          <w:pPr>
            <w:pStyle w:val="TOC2"/>
            <w:tabs>
              <w:tab w:val="left" w:pos="880"/>
              <w:tab w:val="right" w:leader="dot" w:pos="9628"/>
            </w:tabs>
            <w:rPr>
              <w:rFonts w:eastAsiaTheme="minorEastAsia"/>
              <w:noProof/>
              <w:sz w:val="20"/>
              <w:szCs w:val="20"/>
              <w:lang w:eastAsia="en-AU"/>
            </w:rPr>
          </w:pPr>
          <w:hyperlink w:anchor="_Toc26870703" w:history="1">
            <w:r w:rsidR="00C66F48" w:rsidRPr="00C66F48">
              <w:rPr>
                <w:rStyle w:val="Hyperlink"/>
                <w:noProof/>
                <w:sz w:val="20"/>
                <w:szCs w:val="20"/>
              </w:rPr>
              <w:t>2.5</w:t>
            </w:r>
            <w:r w:rsidR="00C66F48" w:rsidRPr="00C66F48">
              <w:rPr>
                <w:rFonts w:eastAsiaTheme="minorEastAsia"/>
                <w:noProof/>
                <w:sz w:val="20"/>
                <w:szCs w:val="20"/>
                <w:lang w:eastAsia="en-AU"/>
              </w:rPr>
              <w:tab/>
            </w:r>
            <w:r w:rsidR="00C66F48" w:rsidRPr="00C66F48">
              <w:rPr>
                <w:rStyle w:val="Hyperlink"/>
                <w:noProof/>
                <w:sz w:val="20"/>
                <w:szCs w:val="20"/>
              </w:rPr>
              <w:t>Report Disclaimer</w:t>
            </w:r>
            <w:r w:rsidR="00C66F48" w:rsidRPr="00C66F48">
              <w:rPr>
                <w:noProof/>
                <w:webHidden/>
                <w:sz w:val="20"/>
                <w:szCs w:val="20"/>
              </w:rPr>
              <w:tab/>
            </w:r>
            <w:r w:rsidR="00C66F48" w:rsidRPr="00C66F48">
              <w:rPr>
                <w:noProof/>
                <w:webHidden/>
                <w:sz w:val="20"/>
                <w:szCs w:val="20"/>
              </w:rPr>
              <w:fldChar w:fldCharType="begin"/>
            </w:r>
            <w:r w:rsidR="00C66F48" w:rsidRPr="00C66F48">
              <w:rPr>
                <w:noProof/>
                <w:webHidden/>
                <w:sz w:val="20"/>
                <w:szCs w:val="20"/>
              </w:rPr>
              <w:instrText xml:space="preserve"> PAGEREF _Toc26870703 \h </w:instrText>
            </w:r>
            <w:r w:rsidR="00C66F48" w:rsidRPr="00C66F48">
              <w:rPr>
                <w:noProof/>
                <w:webHidden/>
                <w:sz w:val="20"/>
                <w:szCs w:val="20"/>
              </w:rPr>
            </w:r>
            <w:r w:rsidR="00C66F48" w:rsidRPr="00C66F48">
              <w:rPr>
                <w:noProof/>
                <w:webHidden/>
                <w:sz w:val="20"/>
                <w:szCs w:val="20"/>
              </w:rPr>
              <w:fldChar w:fldCharType="separate"/>
            </w:r>
            <w:r w:rsidR="00C66F48" w:rsidRPr="00C66F48">
              <w:rPr>
                <w:noProof/>
                <w:webHidden/>
                <w:sz w:val="20"/>
                <w:szCs w:val="20"/>
              </w:rPr>
              <w:t>6</w:t>
            </w:r>
            <w:r w:rsidR="00C66F48" w:rsidRPr="00C66F48">
              <w:rPr>
                <w:noProof/>
                <w:webHidden/>
                <w:sz w:val="20"/>
                <w:szCs w:val="20"/>
              </w:rPr>
              <w:fldChar w:fldCharType="end"/>
            </w:r>
          </w:hyperlink>
        </w:p>
        <w:p w14:paraId="1DB2C7B8" w14:textId="2F1937A7" w:rsidR="00C66F48" w:rsidRPr="00C66F48" w:rsidRDefault="006E3CD6">
          <w:pPr>
            <w:pStyle w:val="TOC2"/>
            <w:tabs>
              <w:tab w:val="left" w:pos="880"/>
              <w:tab w:val="right" w:leader="dot" w:pos="9628"/>
            </w:tabs>
            <w:rPr>
              <w:rFonts w:eastAsiaTheme="minorEastAsia"/>
              <w:noProof/>
              <w:sz w:val="20"/>
              <w:szCs w:val="20"/>
              <w:lang w:eastAsia="en-AU"/>
            </w:rPr>
          </w:pPr>
          <w:hyperlink w:anchor="_Toc26870704" w:history="1">
            <w:r w:rsidR="00C66F48" w:rsidRPr="00C66F48">
              <w:rPr>
                <w:rStyle w:val="Hyperlink"/>
                <w:noProof/>
                <w:sz w:val="20"/>
                <w:szCs w:val="20"/>
              </w:rPr>
              <w:t>2.6</w:t>
            </w:r>
            <w:r w:rsidR="00C66F48" w:rsidRPr="00C66F48">
              <w:rPr>
                <w:rFonts w:eastAsiaTheme="minorEastAsia"/>
                <w:noProof/>
                <w:sz w:val="20"/>
                <w:szCs w:val="20"/>
                <w:lang w:eastAsia="en-AU"/>
              </w:rPr>
              <w:tab/>
            </w:r>
            <w:r w:rsidR="00C66F48" w:rsidRPr="00C66F48">
              <w:rPr>
                <w:rStyle w:val="Hyperlink"/>
                <w:noProof/>
                <w:sz w:val="20"/>
                <w:szCs w:val="20"/>
              </w:rPr>
              <w:t>Independence Declaration</w:t>
            </w:r>
            <w:r w:rsidR="00C66F48" w:rsidRPr="00C66F48">
              <w:rPr>
                <w:noProof/>
                <w:webHidden/>
                <w:sz w:val="20"/>
                <w:szCs w:val="20"/>
              </w:rPr>
              <w:tab/>
            </w:r>
            <w:r w:rsidR="00C66F48" w:rsidRPr="00C66F48">
              <w:rPr>
                <w:noProof/>
                <w:webHidden/>
                <w:sz w:val="20"/>
                <w:szCs w:val="20"/>
              </w:rPr>
              <w:fldChar w:fldCharType="begin"/>
            </w:r>
            <w:r w:rsidR="00C66F48" w:rsidRPr="00C66F48">
              <w:rPr>
                <w:noProof/>
                <w:webHidden/>
                <w:sz w:val="20"/>
                <w:szCs w:val="20"/>
              </w:rPr>
              <w:instrText xml:space="preserve"> PAGEREF _Toc26870704 \h </w:instrText>
            </w:r>
            <w:r w:rsidR="00C66F48" w:rsidRPr="00C66F48">
              <w:rPr>
                <w:noProof/>
                <w:webHidden/>
                <w:sz w:val="20"/>
                <w:szCs w:val="20"/>
              </w:rPr>
            </w:r>
            <w:r w:rsidR="00C66F48" w:rsidRPr="00C66F48">
              <w:rPr>
                <w:noProof/>
                <w:webHidden/>
                <w:sz w:val="20"/>
                <w:szCs w:val="20"/>
              </w:rPr>
              <w:fldChar w:fldCharType="separate"/>
            </w:r>
            <w:r w:rsidR="00C66F48" w:rsidRPr="00C66F48">
              <w:rPr>
                <w:noProof/>
                <w:webHidden/>
                <w:sz w:val="20"/>
                <w:szCs w:val="20"/>
              </w:rPr>
              <w:t>6</w:t>
            </w:r>
            <w:r w:rsidR="00C66F48" w:rsidRPr="00C66F48">
              <w:rPr>
                <w:noProof/>
                <w:webHidden/>
                <w:sz w:val="20"/>
                <w:szCs w:val="20"/>
              </w:rPr>
              <w:fldChar w:fldCharType="end"/>
            </w:r>
          </w:hyperlink>
        </w:p>
        <w:p w14:paraId="6EA4A59F" w14:textId="724BE587" w:rsidR="00C66F48" w:rsidRPr="00C66F48" w:rsidRDefault="006E3CD6">
          <w:pPr>
            <w:pStyle w:val="TOC1"/>
            <w:rPr>
              <w:rFonts w:eastAsiaTheme="minorEastAsia"/>
              <w:noProof/>
              <w:sz w:val="20"/>
              <w:szCs w:val="20"/>
              <w:lang w:eastAsia="en-AU"/>
            </w:rPr>
          </w:pPr>
          <w:hyperlink w:anchor="_Toc26870705" w:history="1">
            <w:r w:rsidR="00C66F48" w:rsidRPr="00C66F48">
              <w:rPr>
                <w:rStyle w:val="Hyperlink"/>
                <w:noProof/>
                <w:sz w:val="20"/>
                <w:szCs w:val="20"/>
              </w:rPr>
              <w:t>3.</w:t>
            </w:r>
            <w:r w:rsidR="00C66F48" w:rsidRPr="00C66F48">
              <w:rPr>
                <w:rFonts w:eastAsiaTheme="minorEastAsia"/>
                <w:noProof/>
                <w:sz w:val="20"/>
                <w:szCs w:val="20"/>
                <w:lang w:eastAsia="en-AU"/>
              </w:rPr>
              <w:tab/>
            </w:r>
            <w:r w:rsidR="00C66F48" w:rsidRPr="00C66F48">
              <w:rPr>
                <w:rStyle w:val="Hyperlink"/>
                <w:noProof/>
                <w:sz w:val="20"/>
                <w:szCs w:val="20"/>
              </w:rPr>
              <w:t>Home Care Funding</w:t>
            </w:r>
            <w:r w:rsidR="00C66F48" w:rsidRPr="00C66F48">
              <w:rPr>
                <w:noProof/>
                <w:webHidden/>
                <w:sz w:val="20"/>
                <w:szCs w:val="20"/>
              </w:rPr>
              <w:tab/>
            </w:r>
            <w:r w:rsidR="00C66F48" w:rsidRPr="00C66F48">
              <w:rPr>
                <w:noProof/>
                <w:webHidden/>
                <w:sz w:val="20"/>
                <w:szCs w:val="20"/>
              </w:rPr>
              <w:fldChar w:fldCharType="begin"/>
            </w:r>
            <w:r w:rsidR="00C66F48" w:rsidRPr="00C66F48">
              <w:rPr>
                <w:noProof/>
                <w:webHidden/>
                <w:sz w:val="20"/>
                <w:szCs w:val="20"/>
              </w:rPr>
              <w:instrText xml:space="preserve"> PAGEREF _Toc26870705 \h </w:instrText>
            </w:r>
            <w:r w:rsidR="00C66F48" w:rsidRPr="00C66F48">
              <w:rPr>
                <w:noProof/>
                <w:webHidden/>
                <w:sz w:val="20"/>
                <w:szCs w:val="20"/>
              </w:rPr>
            </w:r>
            <w:r w:rsidR="00C66F48" w:rsidRPr="00C66F48">
              <w:rPr>
                <w:noProof/>
                <w:webHidden/>
                <w:sz w:val="20"/>
                <w:szCs w:val="20"/>
              </w:rPr>
              <w:fldChar w:fldCharType="separate"/>
            </w:r>
            <w:r w:rsidR="00C66F48" w:rsidRPr="00C66F48">
              <w:rPr>
                <w:noProof/>
                <w:webHidden/>
                <w:sz w:val="20"/>
                <w:szCs w:val="20"/>
              </w:rPr>
              <w:t>7</w:t>
            </w:r>
            <w:r w:rsidR="00C66F48" w:rsidRPr="00C66F48">
              <w:rPr>
                <w:noProof/>
                <w:webHidden/>
                <w:sz w:val="20"/>
                <w:szCs w:val="20"/>
              </w:rPr>
              <w:fldChar w:fldCharType="end"/>
            </w:r>
          </w:hyperlink>
        </w:p>
        <w:p w14:paraId="3D72C56A" w14:textId="2CE49708" w:rsidR="00C66F48" w:rsidRPr="00C66F48" w:rsidRDefault="006E3CD6">
          <w:pPr>
            <w:pStyle w:val="TOC2"/>
            <w:tabs>
              <w:tab w:val="left" w:pos="880"/>
              <w:tab w:val="right" w:leader="dot" w:pos="9628"/>
            </w:tabs>
            <w:rPr>
              <w:rFonts w:eastAsiaTheme="minorEastAsia"/>
              <w:noProof/>
              <w:sz w:val="20"/>
              <w:szCs w:val="20"/>
              <w:lang w:eastAsia="en-AU"/>
            </w:rPr>
          </w:pPr>
          <w:hyperlink w:anchor="_Toc26870706" w:history="1">
            <w:r w:rsidR="00C66F48" w:rsidRPr="00C66F48">
              <w:rPr>
                <w:rStyle w:val="Hyperlink"/>
                <w:noProof/>
                <w:sz w:val="20"/>
                <w:szCs w:val="20"/>
              </w:rPr>
              <w:t>3.1</w:t>
            </w:r>
            <w:r w:rsidR="00C66F48" w:rsidRPr="00C66F48">
              <w:rPr>
                <w:rFonts w:eastAsiaTheme="minorEastAsia"/>
                <w:noProof/>
                <w:sz w:val="20"/>
                <w:szCs w:val="20"/>
                <w:lang w:eastAsia="en-AU"/>
              </w:rPr>
              <w:tab/>
            </w:r>
            <w:r w:rsidR="00C66F48" w:rsidRPr="00C66F48">
              <w:rPr>
                <w:rStyle w:val="Hyperlink"/>
                <w:noProof/>
                <w:sz w:val="20"/>
                <w:szCs w:val="20"/>
              </w:rPr>
              <w:t>Background</w:t>
            </w:r>
            <w:r w:rsidR="00C66F48" w:rsidRPr="00C66F48">
              <w:rPr>
                <w:noProof/>
                <w:webHidden/>
                <w:sz w:val="20"/>
                <w:szCs w:val="20"/>
              </w:rPr>
              <w:tab/>
            </w:r>
            <w:r w:rsidR="00C66F48" w:rsidRPr="00C66F48">
              <w:rPr>
                <w:noProof/>
                <w:webHidden/>
                <w:sz w:val="20"/>
                <w:szCs w:val="20"/>
              </w:rPr>
              <w:fldChar w:fldCharType="begin"/>
            </w:r>
            <w:r w:rsidR="00C66F48" w:rsidRPr="00C66F48">
              <w:rPr>
                <w:noProof/>
                <w:webHidden/>
                <w:sz w:val="20"/>
                <w:szCs w:val="20"/>
              </w:rPr>
              <w:instrText xml:space="preserve"> PAGEREF _Toc26870706 \h </w:instrText>
            </w:r>
            <w:r w:rsidR="00C66F48" w:rsidRPr="00C66F48">
              <w:rPr>
                <w:noProof/>
                <w:webHidden/>
                <w:sz w:val="20"/>
                <w:szCs w:val="20"/>
              </w:rPr>
            </w:r>
            <w:r w:rsidR="00C66F48" w:rsidRPr="00C66F48">
              <w:rPr>
                <w:noProof/>
                <w:webHidden/>
                <w:sz w:val="20"/>
                <w:szCs w:val="20"/>
              </w:rPr>
              <w:fldChar w:fldCharType="separate"/>
            </w:r>
            <w:r w:rsidR="00C66F48" w:rsidRPr="00C66F48">
              <w:rPr>
                <w:noProof/>
                <w:webHidden/>
                <w:sz w:val="20"/>
                <w:szCs w:val="20"/>
              </w:rPr>
              <w:t>7</w:t>
            </w:r>
            <w:r w:rsidR="00C66F48" w:rsidRPr="00C66F48">
              <w:rPr>
                <w:noProof/>
                <w:webHidden/>
                <w:sz w:val="20"/>
                <w:szCs w:val="20"/>
              </w:rPr>
              <w:fldChar w:fldCharType="end"/>
            </w:r>
          </w:hyperlink>
        </w:p>
        <w:p w14:paraId="770C48B3" w14:textId="5D230D5B" w:rsidR="00C66F48" w:rsidRPr="00C66F48" w:rsidRDefault="006E3CD6">
          <w:pPr>
            <w:pStyle w:val="TOC2"/>
            <w:tabs>
              <w:tab w:val="left" w:pos="880"/>
              <w:tab w:val="right" w:leader="dot" w:pos="9628"/>
            </w:tabs>
            <w:rPr>
              <w:rFonts w:eastAsiaTheme="minorEastAsia"/>
              <w:noProof/>
              <w:sz w:val="20"/>
              <w:szCs w:val="20"/>
              <w:lang w:eastAsia="en-AU"/>
            </w:rPr>
          </w:pPr>
          <w:hyperlink w:anchor="_Toc26870707" w:history="1">
            <w:r w:rsidR="00C66F48" w:rsidRPr="00C66F48">
              <w:rPr>
                <w:rStyle w:val="Hyperlink"/>
                <w:noProof/>
                <w:sz w:val="20"/>
                <w:szCs w:val="20"/>
              </w:rPr>
              <w:t>3.2</w:t>
            </w:r>
            <w:r w:rsidR="00C66F48" w:rsidRPr="00C66F48">
              <w:rPr>
                <w:rFonts w:eastAsiaTheme="minorEastAsia"/>
                <w:noProof/>
                <w:sz w:val="20"/>
                <w:szCs w:val="20"/>
                <w:lang w:eastAsia="en-AU"/>
              </w:rPr>
              <w:tab/>
            </w:r>
            <w:r w:rsidR="00C66F48" w:rsidRPr="00C66F48">
              <w:rPr>
                <w:rStyle w:val="Hyperlink"/>
                <w:noProof/>
                <w:sz w:val="20"/>
                <w:szCs w:val="20"/>
              </w:rPr>
              <w:t>Current Payment Arrangements</w:t>
            </w:r>
            <w:r w:rsidR="00C66F48" w:rsidRPr="00C66F48">
              <w:rPr>
                <w:noProof/>
                <w:webHidden/>
                <w:sz w:val="20"/>
                <w:szCs w:val="20"/>
              </w:rPr>
              <w:tab/>
            </w:r>
            <w:r w:rsidR="00C66F48" w:rsidRPr="00C66F48">
              <w:rPr>
                <w:noProof/>
                <w:webHidden/>
                <w:sz w:val="20"/>
                <w:szCs w:val="20"/>
              </w:rPr>
              <w:fldChar w:fldCharType="begin"/>
            </w:r>
            <w:r w:rsidR="00C66F48" w:rsidRPr="00C66F48">
              <w:rPr>
                <w:noProof/>
                <w:webHidden/>
                <w:sz w:val="20"/>
                <w:szCs w:val="20"/>
              </w:rPr>
              <w:instrText xml:space="preserve"> PAGEREF _Toc26870707 \h </w:instrText>
            </w:r>
            <w:r w:rsidR="00C66F48" w:rsidRPr="00C66F48">
              <w:rPr>
                <w:noProof/>
                <w:webHidden/>
                <w:sz w:val="20"/>
                <w:szCs w:val="20"/>
              </w:rPr>
            </w:r>
            <w:r w:rsidR="00C66F48" w:rsidRPr="00C66F48">
              <w:rPr>
                <w:noProof/>
                <w:webHidden/>
                <w:sz w:val="20"/>
                <w:szCs w:val="20"/>
              </w:rPr>
              <w:fldChar w:fldCharType="separate"/>
            </w:r>
            <w:r w:rsidR="00C66F48" w:rsidRPr="00C66F48">
              <w:rPr>
                <w:noProof/>
                <w:webHidden/>
                <w:sz w:val="20"/>
                <w:szCs w:val="20"/>
              </w:rPr>
              <w:t>7</w:t>
            </w:r>
            <w:r w:rsidR="00C66F48" w:rsidRPr="00C66F48">
              <w:rPr>
                <w:noProof/>
                <w:webHidden/>
                <w:sz w:val="20"/>
                <w:szCs w:val="20"/>
              </w:rPr>
              <w:fldChar w:fldCharType="end"/>
            </w:r>
          </w:hyperlink>
        </w:p>
        <w:p w14:paraId="2D4DE906" w14:textId="097F5102" w:rsidR="00C66F48" w:rsidRPr="00C66F48" w:rsidRDefault="006E3CD6">
          <w:pPr>
            <w:pStyle w:val="TOC2"/>
            <w:tabs>
              <w:tab w:val="left" w:pos="880"/>
              <w:tab w:val="right" w:leader="dot" w:pos="9628"/>
            </w:tabs>
            <w:rPr>
              <w:rFonts w:eastAsiaTheme="minorEastAsia"/>
              <w:noProof/>
              <w:sz w:val="20"/>
              <w:szCs w:val="20"/>
              <w:lang w:eastAsia="en-AU"/>
            </w:rPr>
          </w:pPr>
          <w:hyperlink w:anchor="_Toc26870708" w:history="1">
            <w:r w:rsidR="00C66F48" w:rsidRPr="00C66F48">
              <w:rPr>
                <w:rStyle w:val="Hyperlink"/>
                <w:noProof/>
                <w:sz w:val="20"/>
                <w:szCs w:val="20"/>
              </w:rPr>
              <w:t>3.3</w:t>
            </w:r>
            <w:r w:rsidR="00C66F48" w:rsidRPr="00C66F48">
              <w:rPr>
                <w:rFonts w:eastAsiaTheme="minorEastAsia"/>
                <w:noProof/>
                <w:sz w:val="20"/>
                <w:szCs w:val="20"/>
                <w:lang w:eastAsia="en-AU"/>
              </w:rPr>
              <w:tab/>
            </w:r>
            <w:r w:rsidR="00C66F48" w:rsidRPr="00C66F48">
              <w:rPr>
                <w:rStyle w:val="Hyperlink"/>
                <w:noProof/>
                <w:sz w:val="20"/>
                <w:szCs w:val="20"/>
              </w:rPr>
              <w:t>Unspent Funds</w:t>
            </w:r>
            <w:r w:rsidR="00C66F48" w:rsidRPr="00C66F48">
              <w:rPr>
                <w:noProof/>
                <w:webHidden/>
                <w:sz w:val="20"/>
                <w:szCs w:val="20"/>
              </w:rPr>
              <w:tab/>
            </w:r>
            <w:r w:rsidR="00C66F48" w:rsidRPr="00C66F48">
              <w:rPr>
                <w:noProof/>
                <w:webHidden/>
                <w:sz w:val="20"/>
                <w:szCs w:val="20"/>
              </w:rPr>
              <w:fldChar w:fldCharType="begin"/>
            </w:r>
            <w:r w:rsidR="00C66F48" w:rsidRPr="00C66F48">
              <w:rPr>
                <w:noProof/>
                <w:webHidden/>
                <w:sz w:val="20"/>
                <w:szCs w:val="20"/>
              </w:rPr>
              <w:instrText xml:space="preserve"> PAGEREF _Toc26870708 \h </w:instrText>
            </w:r>
            <w:r w:rsidR="00C66F48" w:rsidRPr="00C66F48">
              <w:rPr>
                <w:noProof/>
                <w:webHidden/>
                <w:sz w:val="20"/>
                <w:szCs w:val="20"/>
              </w:rPr>
            </w:r>
            <w:r w:rsidR="00C66F48" w:rsidRPr="00C66F48">
              <w:rPr>
                <w:noProof/>
                <w:webHidden/>
                <w:sz w:val="20"/>
                <w:szCs w:val="20"/>
              </w:rPr>
              <w:fldChar w:fldCharType="separate"/>
            </w:r>
            <w:r w:rsidR="00C66F48" w:rsidRPr="00C66F48">
              <w:rPr>
                <w:noProof/>
                <w:webHidden/>
                <w:sz w:val="20"/>
                <w:szCs w:val="20"/>
              </w:rPr>
              <w:t>8</w:t>
            </w:r>
            <w:r w:rsidR="00C66F48" w:rsidRPr="00C66F48">
              <w:rPr>
                <w:noProof/>
                <w:webHidden/>
                <w:sz w:val="20"/>
                <w:szCs w:val="20"/>
              </w:rPr>
              <w:fldChar w:fldCharType="end"/>
            </w:r>
          </w:hyperlink>
        </w:p>
        <w:p w14:paraId="20F15789" w14:textId="44AAD8FF" w:rsidR="00C66F48" w:rsidRPr="00C66F48" w:rsidRDefault="006E3CD6">
          <w:pPr>
            <w:pStyle w:val="TOC2"/>
            <w:tabs>
              <w:tab w:val="left" w:pos="880"/>
              <w:tab w:val="right" w:leader="dot" w:pos="9628"/>
            </w:tabs>
            <w:rPr>
              <w:rFonts w:eastAsiaTheme="minorEastAsia"/>
              <w:noProof/>
              <w:sz w:val="20"/>
              <w:szCs w:val="20"/>
              <w:lang w:eastAsia="en-AU"/>
            </w:rPr>
          </w:pPr>
          <w:hyperlink w:anchor="_Toc26870709" w:history="1">
            <w:r w:rsidR="00C66F48" w:rsidRPr="00C66F48">
              <w:rPr>
                <w:rStyle w:val="Hyperlink"/>
                <w:noProof/>
                <w:sz w:val="20"/>
                <w:szCs w:val="20"/>
              </w:rPr>
              <w:t>3.4</w:t>
            </w:r>
            <w:r w:rsidR="00C66F48" w:rsidRPr="00C66F48">
              <w:rPr>
                <w:rFonts w:eastAsiaTheme="minorEastAsia"/>
                <w:noProof/>
                <w:sz w:val="20"/>
                <w:szCs w:val="20"/>
                <w:lang w:eastAsia="en-AU"/>
              </w:rPr>
              <w:tab/>
            </w:r>
            <w:r w:rsidR="00C66F48" w:rsidRPr="00C66F48">
              <w:rPr>
                <w:rStyle w:val="Hyperlink"/>
                <w:noProof/>
                <w:sz w:val="20"/>
                <w:szCs w:val="20"/>
              </w:rPr>
              <w:t>Proposed Amendments to Funding Arrangements</w:t>
            </w:r>
            <w:r w:rsidR="00C66F48" w:rsidRPr="00C66F48">
              <w:rPr>
                <w:noProof/>
                <w:webHidden/>
                <w:sz w:val="20"/>
                <w:szCs w:val="20"/>
              </w:rPr>
              <w:tab/>
            </w:r>
            <w:r w:rsidR="00C66F48" w:rsidRPr="00C66F48">
              <w:rPr>
                <w:noProof/>
                <w:webHidden/>
                <w:sz w:val="20"/>
                <w:szCs w:val="20"/>
              </w:rPr>
              <w:fldChar w:fldCharType="begin"/>
            </w:r>
            <w:r w:rsidR="00C66F48" w:rsidRPr="00C66F48">
              <w:rPr>
                <w:noProof/>
                <w:webHidden/>
                <w:sz w:val="20"/>
                <w:szCs w:val="20"/>
              </w:rPr>
              <w:instrText xml:space="preserve"> PAGEREF _Toc26870709 \h </w:instrText>
            </w:r>
            <w:r w:rsidR="00C66F48" w:rsidRPr="00C66F48">
              <w:rPr>
                <w:noProof/>
                <w:webHidden/>
                <w:sz w:val="20"/>
                <w:szCs w:val="20"/>
              </w:rPr>
            </w:r>
            <w:r w:rsidR="00C66F48" w:rsidRPr="00C66F48">
              <w:rPr>
                <w:noProof/>
                <w:webHidden/>
                <w:sz w:val="20"/>
                <w:szCs w:val="20"/>
              </w:rPr>
              <w:fldChar w:fldCharType="separate"/>
            </w:r>
            <w:r w:rsidR="00C66F48" w:rsidRPr="00C66F48">
              <w:rPr>
                <w:noProof/>
                <w:webHidden/>
                <w:sz w:val="20"/>
                <w:szCs w:val="20"/>
              </w:rPr>
              <w:t>10</w:t>
            </w:r>
            <w:r w:rsidR="00C66F48" w:rsidRPr="00C66F48">
              <w:rPr>
                <w:noProof/>
                <w:webHidden/>
                <w:sz w:val="20"/>
                <w:szCs w:val="20"/>
              </w:rPr>
              <w:fldChar w:fldCharType="end"/>
            </w:r>
          </w:hyperlink>
        </w:p>
        <w:p w14:paraId="65B7D9C4" w14:textId="4B69F4B2" w:rsidR="00C66F48" w:rsidRPr="00C66F48" w:rsidRDefault="006E3CD6">
          <w:pPr>
            <w:pStyle w:val="TOC2"/>
            <w:tabs>
              <w:tab w:val="left" w:pos="880"/>
              <w:tab w:val="right" w:leader="dot" w:pos="9628"/>
            </w:tabs>
            <w:rPr>
              <w:rFonts w:eastAsiaTheme="minorEastAsia"/>
              <w:noProof/>
              <w:sz w:val="20"/>
              <w:szCs w:val="20"/>
              <w:lang w:eastAsia="en-AU"/>
            </w:rPr>
          </w:pPr>
          <w:hyperlink w:anchor="_Toc26870710" w:history="1">
            <w:r w:rsidR="00C66F48" w:rsidRPr="00C66F48">
              <w:rPr>
                <w:rStyle w:val="Hyperlink"/>
                <w:noProof/>
                <w:sz w:val="20"/>
                <w:szCs w:val="20"/>
              </w:rPr>
              <w:t>3.5</w:t>
            </w:r>
            <w:r w:rsidR="00C66F48" w:rsidRPr="00C66F48">
              <w:rPr>
                <w:rFonts w:eastAsiaTheme="minorEastAsia"/>
                <w:noProof/>
                <w:sz w:val="20"/>
                <w:szCs w:val="20"/>
                <w:lang w:eastAsia="en-AU"/>
              </w:rPr>
              <w:tab/>
            </w:r>
            <w:r w:rsidR="00C66F48" w:rsidRPr="00C66F48">
              <w:rPr>
                <w:rStyle w:val="Hyperlink"/>
                <w:noProof/>
                <w:sz w:val="20"/>
                <w:szCs w:val="20"/>
              </w:rPr>
              <w:t>Financial Risks to Approved Providers</w:t>
            </w:r>
            <w:r w:rsidR="00C66F48" w:rsidRPr="00C66F48">
              <w:rPr>
                <w:noProof/>
                <w:webHidden/>
                <w:sz w:val="20"/>
                <w:szCs w:val="20"/>
              </w:rPr>
              <w:tab/>
            </w:r>
            <w:r w:rsidR="00C66F48" w:rsidRPr="00C66F48">
              <w:rPr>
                <w:noProof/>
                <w:webHidden/>
                <w:sz w:val="20"/>
                <w:szCs w:val="20"/>
              </w:rPr>
              <w:fldChar w:fldCharType="begin"/>
            </w:r>
            <w:r w:rsidR="00C66F48" w:rsidRPr="00C66F48">
              <w:rPr>
                <w:noProof/>
                <w:webHidden/>
                <w:sz w:val="20"/>
                <w:szCs w:val="20"/>
              </w:rPr>
              <w:instrText xml:space="preserve"> PAGEREF _Toc26870710 \h </w:instrText>
            </w:r>
            <w:r w:rsidR="00C66F48" w:rsidRPr="00C66F48">
              <w:rPr>
                <w:noProof/>
                <w:webHidden/>
                <w:sz w:val="20"/>
                <w:szCs w:val="20"/>
              </w:rPr>
            </w:r>
            <w:r w:rsidR="00C66F48" w:rsidRPr="00C66F48">
              <w:rPr>
                <w:noProof/>
                <w:webHidden/>
                <w:sz w:val="20"/>
                <w:szCs w:val="20"/>
              </w:rPr>
              <w:fldChar w:fldCharType="separate"/>
            </w:r>
            <w:r w:rsidR="00C66F48" w:rsidRPr="00C66F48">
              <w:rPr>
                <w:noProof/>
                <w:webHidden/>
                <w:sz w:val="20"/>
                <w:szCs w:val="20"/>
              </w:rPr>
              <w:t>10</w:t>
            </w:r>
            <w:r w:rsidR="00C66F48" w:rsidRPr="00C66F48">
              <w:rPr>
                <w:noProof/>
                <w:webHidden/>
                <w:sz w:val="20"/>
                <w:szCs w:val="20"/>
              </w:rPr>
              <w:fldChar w:fldCharType="end"/>
            </w:r>
          </w:hyperlink>
        </w:p>
        <w:p w14:paraId="592A1A7B" w14:textId="4A0B76DA" w:rsidR="00C66F48" w:rsidRPr="00C66F48" w:rsidRDefault="006E3CD6">
          <w:pPr>
            <w:pStyle w:val="TOC2"/>
            <w:tabs>
              <w:tab w:val="left" w:pos="880"/>
              <w:tab w:val="right" w:leader="dot" w:pos="9628"/>
            </w:tabs>
            <w:rPr>
              <w:rFonts w:eastAsiaTheme="minorEastAsia"/>
              <w:noProof/>
              <w:sz w:val="20"/>
              <w:szCs w:val="20"/>
              <w:lang w:eastAsia="en-AU"/>
            </w:rPr>
          </w:pPr>
          <w:hyperlink w:anchor="_Toc26870711" w:history="1">
            <w:r w:rsidR="00C66F48" w:rsidRPr="00C66F48">
              <w:rPr>
                <w:rStyle w:val="Hyperlink"/>
                <w:noProof/>
                <w:sz w:val="20"/>
                <w:szCs w:val="20"/>
              </w:rPr>
              <w:t>3.6</w:t>
            </w:r>
            <w:r w:rsidR="00C66F48" w:rsidRPr="00C66F48">
              <w:rPr>
                <w:rFonts w:eastAsiaTheme="minorEastAsia"/>
                <w:noProof/>
                <w:sz w:val="20"/>
                <w:szCs w:val="20"/>
                <w:lang w:eastAsia="en-AU"/>
              </w:rPr>
              <w:tab/>
            </w:r>
            <w:r w:rsidR="00C66F48" w:rsidRPr="00C66F48">
              <w:rPr>
                <w:rStyle w:val="Hyperlink"/>
                <w:noProof/>
                <w:sz w:val="20"/>
                <w:szCs w:val="20"/>
              </w:rPr>
              <w:t>Risk of Other impacts on Approved Providers</w:t>
            </w:r>
            <w:r w:rsidR="00C66F48" w:rsidRPr="00C66F48">
              <w:rPr>
                <w:noProof/>
                <w:webHidden/>
                <w:sz w:val="20"/>
                <w:szCs w:val="20"/>
              </w:rPr>
              <w:tab/>
            </w:r>
            <w:r w:rsidR="00C66F48" w:rsidRPr="00C66F48">
              <w:rPr>
                <w:noProof/>
                <w:webHidden/>
                <w:sz w:val="20"/>
                <w:szCs w:val="20"/>
              </w:rPr>
              <w:fldChar w:fldCharType="begin"/>
            </w:r>
            <w:r w:rsidR="00C66F48" w:rsidRPr="00C66F48">
              <w:rPr>
                <w:noProof/>
                <w:webHidden/>
                <w:sz w:val="20"/>
                <w:szCs w:val="20"/>
              </w:rPr>
              <w:instrText xml:space="preserve"> PAGEREF _Toc26870711 \h </w:instrText>
            </w:r>
            <w:r w:rsidR="00C66F48" w:rsidRPr="00C66F48">
              <w:rPr>
                <w:noProof/>
                <w:webHidden/>
                <w:sz w:val="20"/>
                <w:szCs w:val="20"/>
              </w:rPr>
            </w:r>
            <w:r w:rsidR="00C66F48" w:rsidRPr="00C66F48">
              <w:rPr>
                <w:noProof/>
                <w:webHidden/>
                <w:sz w:val="20"/>
                <w:szCs w:val="20"/>
              </w:rPr>
              <w:fldChar w:fldCharType="separate"/>
            </w:r>
            <w:r w:rsidR="00C66F48" w:rsidRPr="00C66F48">
              <w:rPr>
                <w:noProof/>
                <w:webHidden/>
                <w:sz w:val="20"/>
                <w:szCs w:val="20"/>
              </w:rPr>
              <w:t>10</w:t>
            </w:r>
            <w:r w:rsidR="00C66F48" w:rsidRPr="00C66F48">
              <w:rPr>
                <w:noProof/>
                <w:webHidden/>
                <w:sz w:val="20"/>
                <w:szCs w:val="20"/>
              </w:rPr>
              <w:fldChar w:fldCharType="end"/>
            </w:r>
          </w:hyperlink>
        </w:p>
        <w:p w14:paraId="3F46B833" w14:textId="707F6712" w:rsidR="00C66F48" w:rsidRPr="00C66F48" w:rsidRDefault="006E3CD6">
          <w:pPr>
            <w:pStyle w:val="TOC2"/>
            <w:tabs>
              <w:tab w:val="left" w:pos="880"/>
              <w:tab w:val="right" w:leader="dot" w:pos="9628"/>
            </w:tabs>
            <w:rPr>
              <w:rFonts w:eastAsiaTheme="minorEastAsia"/>
              <w:noProof/>
              <w:sz w:val="20"/>
              <w:szCs w:val="20"/>
              <w:lang w:eastAsia="en-AU"/>
            </w:rPr>
          </w:pPr>
          <w:hyperlink w:anchor="_Toc26870712" w:history="1">
            <w:r w:rsidR="00C66F48" w:rsidRPr="00C66F48">
              <w:rPr>
                <w:rStyle w:val="Hyperlink"/>
                <w:noProof/>
                <w:sz w:val="20"/>
                <w:szCs w:val="20"/>
              </w:rPr>
              <w:t>3.7</w:t>
            </w:r>
            <w:r w:rsidR="00C66F48" w:rsidRPr="00C66F48">
              <w:rPr>
                <w:rFonts w:eastAsiaTheme="minorEastAsia"/>
                <w:noProof/>
                <w:sz w:val="20"/>
                <w:szCs w:val="20"/>
                <w:lang w:eastAsia="en-AU"/>
              </w:rPr>
              <w:tab/>
            </w:r>
            <w:r w:rsidR="00C66F48" w:rsidRPr="00C66F48">
              <w:rPr>
                <w:rStyle w:val="Hyperlink"/>
                <w:noProof/>
                <w:sz w:val="20"/>
                <w:szCs w:val="20"/>
              </w:rPr>
              <w:t>Proposed Implementation Timeline</w:t>
            </w:r>
            <w:r w:rsidR="00C66F48" w:rsidRPr="00C66F48">
              <w:rPr>
                <w:noProof/>
                <w:webHidden/>
                <w:sz w:val="20"/>
                <w:szCs w:val="20"/>
              </w:rPr>
              <w:tab/>
            </w:r>
            <w:r w:rsidR="00C66F48" w:rsidRPr="00C66F48">
              <w:rPr>
                <w:noProof/>
                <w:webHidden/>
                <w:sz w:val="20"/>
                <w:szCs w:val="20"/>
              </w:rPr>
              <w:fldChar w:fldCharType="begin"/>
            </w:r>
            <w:r w:rsidR="00C66F48" w:rsidRPr="00C66F48">
              <w:rPr>
                <w:noProof/>
                <w:webHidden/>
                <w:sz w:val="20"/>
                <w:szCs w:val="20"/>
              </w:rPr>
              <w:instrText xml:space="preserve"> PAGEREF _Toc26870712 \h </w:instrText>
            </w:r>
            <w:r w:rsidR="00C66F48" w:rsidRPr="00C66F48">
              <w:rPr>
                <w:noProof/>
                <w:webHidden/>
                <w:sz w:val="20"/>
                <w:szCs w:val="20"/>
              </w:rPr>
            </w:r>
            <w:r w:rsidR="00C66F48" w:rsidRPr="00C66F48">
              <w:rPr>
                <w:noProof/>
                <w:webHidden/>
                <w:sz w:val="20"/>
                <w:szCs w:val="20"/>
              </w:rPr>
              <w:fldChar w:fldCharType="separate"/>
            </w:r>
            <w:r w:rsidR="00C66F48" w:rsidRPr="00C66F48">
              <w:rPr>
                <w:noProof/>
                <w:webHidden/>
                <w:sz w:val="20"/>
                <w:szCs w:val="20"/>
              </w:rPr>
              <w:t>11</w:t>
            </w:r>
            <w:r w:rsidR="00C66F48" w:rsidRPr="00C66F48">
              <w:rPr>
                <w:noProof/>
                <w:webHidden/>
                <w:sz w:val="20"/>
                <w:szCs w:val="20"/>
              </w:rPr>
              <w:fldChar w:fldCharType="end"/>
            </w:r>
          </w:hyperlink>
        </w:p>
        <w:p w14:paraId="17155C5D" w14:textId="0C8FB70D" w:rsidR="00C66F48" w:rsidRPr="00C66F48" w:rsidRDefault="006E3CD6">
          <w:pPr>
            <w:pStyle w:val="TOC1"/>
            <w:rPr>
              <w:rFonts w:eastAsiaTheme="minorEastAsia"/>
              <w:noProof/>
              <w:sz w:val="20"/>
              <w:szCs w:val="20"/>
              <w:lang w:eastAsia="en-AU"/>
            </w:rPr>
          </w:pPr>
          <w:hyperlink w:anchor="_Toc26870713" w:history="1">
            <w:r w:rsidR="00C66F48" w:rsidRPr="00C66F48">
              <w:rPr>
                <w:rStyle w:val="Hyperlink"/>
                <w:noProof/>
                <w:sz w:val="20"/>
                <w:szCs w:val="20"/>
              </w:rPr>
              <w:t>4.</w:t>
            </w:r>
            <w:r w:rsidR="00C66F48" w:rsidRPr="00C66F48">
              <w:rPr>
                <w:rFonts w:eastAsiaTheme="minorEastAsia"/>
                <w:noProof/>
                <w:sz w:val="20"/>
                <w:szCs w:val="20"/>
                <w:lang w:eastAsia="en-AU"/>
              </w:rPr>
              <w:tab/>
            </w:r>
            <w:r w:rsidR="00C66F48" w:rsidRPr="00C66F48">
              <w:rPr>
                <w:rStyle w:val="Hyperlink"/>
                <w:noProof/>
                <w:sz w:val="20"/>
                <w:szCs w:val="20"/>
              </w:rPr>
              <w:t>Home Care Sector</w:t>
            </w:r>
            <w:r w:rsidR="00C66F48" w:rsidRPr="00C66F48">
              <w:rPr>
                <w:noProof/>
                <w:webHidden/>
                <w:sz w:val="20"/>
                <w:szCs w:val="20"/>
              </w:rPr>
              <w:tab/>
            </w:r>
            <w:r w:rsidR="00C66F48" w:rsidRPr="00C66F48">
              <w:rPr>
                <w:noProof/>
                <w:webHidden/>
                <w:sz w:val="20"/>
                <w:szCs w:val="20"/>
              </w:rPr>
              <w:fldChar w:fldCharType="begin"/>
            </w:r>
            <w:r w:rsidR="00C66F48" w:rsidRPr="00C66F48">
              <w:rPr>
                <w:noProof/>
                <w:webHidden/>
                <w:sz w:val="20"/>
                <w:szCs w:val="20"/>
              </w:rPr>
              <w:instrText xml:space="preserve"> PAGEREF _Toc26870713 \h </w:instrText>
            </w:r>
            <w:r w:rsidR="00C66F48" w:rsidRPr="00C66F48">
              <w:rPr>
                <w:noProof/>
                <w:webHidden/>
                <w:sz w:val="20"/>
                <w:szCs w:val="20"/>
              </w:rPr>
            </w:r>
            <w:r w:rsidR="00C66F48" w:rsidRPr="00C66F48">
              <w:rPr>
                <w:noProof/>
                <w:webHidden/>
                <w:sz w:val="20"/>
                <w:szCs w:val="20"/>
              </w:rPr>
              <w:fldChar w:fldCharType="separate"/>
            </w:r>
            <w:r w:rsidR="00C66F48" w:rsidRPr="00C66F48">
              <w:rPr>
                <w:noProof/>
                <w:webHidden/>
                <w:sz w:val="20"/>
                <w:szCs w:val="20"/>
              </w:rPr>
              <w:t>12</w:t>
            </w:r>
            <w:r w:rsidR="00C66F48" w:rsidRPr="00C66F48">
              <w:rPr>
                <w:noProof/>
                <w:webHidden/>
                <w:sz w:val="20"/>
                <w:szCs w:val="20"/>
              </w:rPr>
              <w:fldChar w:fldCharType="end"/>
            </w:r>
          </w:hyperlink>
        </w:p>
        <w:p w14:paraId="29851B7A" w14:textId="53A2F5D9" w:rsidR="00C66F48" w:rsidRPr="00C66F48" w:rsidRDefault="006E3CD6">
          <w:pPr>
            <w:pStyle w:val="TOC2"/>
            <w:tabs>
              <w:tab w:val="left" w:pos="880"/>
              <w:tab w:val="right" w:leader="dot" w:pos="9628"/>
            </w:tabs>
            <w:rPr>
              <w:rFonts w:eastAsiaTheme="minorEastAsia"/>
              <w:noProof/>
              <w:sz w:val="20"/>
              <w:szCs w:val="20"/>
              <w:lang w:eastAsia="en-AU"/>
            </w:rPr>
          </w:pPr>
          <w:hyperlink w:anchor="_Toc26870714" w:history="1">
            <w:r w:rsidR="00C66F48" w:rsidRPr="00C66F48">
              <w:rPr>
                <w:rStyle w:val="Hyperlink"/>
                <w:noProof/>
                <w:sz w:val="20"/>
                <w:szCs w:val="20"/>
              </w:rPr>
              <w:t>4.1</w:t>
            </w:r>
            <w:r w:rsidR="00C66F48" w:rsidRPr="00C66F48">
              <w:rPr>
                <w:rFonts w:eastAsiaTheme="minorEastAsia"/>
                <w:noProof/>
                <w:sz w:val="20"/>
                <w:szCs w:val="20"/>
                <w:lang w:eastAsia="en-AU"/>
              </w:rPr>
              <w:tab/>
            </w:r>
            <w:r w:rsidR="00C66F48" w:rsidRPr="00C66F48">
              <w:rPr>
                <w:rStyle w:val="Hyperlink"/>
                <w:noProof/>
                <w:sz w:val="20"/>
                <w:szCs w:val="20"/>
              </w:rPr>
              <w:t>Overview</w:t>
            </w:r>
            <w:r w:rsidR="00C66F48" w:rsidRPr="00C66F48">
              <w:rPr>
                <w:noProof/>
                <w:webHidden/>
                <w:sz w:val="20"/>
                <w:szCs w:val="20"/>
              </w:rPr>
              <w:tab/>
            </w:r>
            <w:r w:rsidR="00C66F48" w:rsidRPr="00C66F48">
              <w:rPr>
                <w:noProof/>
                <w:webHidden/>
                <w:sz w:val="20"/>
                <w:szCs w:val="20"/>
              </w:rPr>
              <w:fldChar w:fldCharType="begin"/>
            </w:r>
            <w:r w:rsidR="00C66F48" w:rsidRPr="00C66F48">
              <w:rPr>
                <w:noProof/>
                <w:webHidden/>
                <w:sz w:val="20"/>
                <w:szCs w:val="20"/>
              </w:rPr>
              <w:instrText xml:space="preserve"> PAGEREF _Toc26870714 \h </w:instrText>
            </w:r>
            <w:r w:rsidR="00C66F48" w:rsidRPr="00C66F48">
              <w:rPr>
                <w:noProof/>
                <w:webHidden/>
                <w:sz w:val="20"/>
                <w:szCs w:val="20"/>
              </w:rPr>
            </w:r>
            <w:r w:rsidR="00C66F48" w:rsidRPr="00C66F48">
              <w:rPr>
                <w:noProof/>
                <w:webHidden/>
                <w:sz w:val="20"/>
                <w:szCs w:val="20"/>
              </w:rPr>
              <w:fldChar w:fldCharType="separate"/>
            </w:r>
            <w:r w:rsidR="00C66F48" w:rsidRPr="00C66F48">
              <w:rPr>
                <w:noProof/>
                <w:webHidden/>
                <w:sz w:val="20"/>
                <w:szCs w:val="20"/>
              </w:rPr>
              <w:t>12</w:t>
            </w:r>
            <w:r w:rsidR="00C66F48" w:rsidRPr="00C66F48">
              <w:rPr>
                <w:noProof/>
                <w:webHidden/>
                <w:sz w:val="20"/>
                <w:szCs w:val="20"/>
              </w:rPr>
              <w:fldChar w:fldCharType="end"/>
            </w:r>
          </w:hyperlink>
        </w:p>
        <w:p w14:paraId="727BD9EE" w14:textId="3E991C47" w:rsidR="00C66F48" w:rsidRPr="00C66F48" w:rsidRDefault="006E3CD6">
          <w:pPr>
            <w:pStyle w:val="TOC2"/>
            <w:tabs>
              <w:tab w:val="left" w:pos="880"/>
              <w:tab w:val="right" w:leader="dot" w:pos="9628"/>
            </w:tabs>
            <w:rPr>
              <w:rFonts w:eastAsiaTheme="minorEastAsia"/>
              <w:noProof/>
              <w:sz w:val="20"/>
              <w:szCs w:val="20"/>
              <w:lang w:eastAsia="en-AU"/>
            </w:rPr>
          </w:pPr>
          <w:hyperlink w:anchor="_Toc26870715" w:history="1">
            <w:r w:rsidR="00C66F48" w:rsidRPr="00C66F48">
              <w:rPr>
                <w:rStyle w:val="Hyperlink"/>
                <w:noProof/>
                <w:sz w:val="20"/>
                <w:szCs w:val="20"/>
              </w:rPr>
              <w:t>4.2</w:t>
            </w:r>
            <w:r w:rsidR="00C66F48" w:rsidRPr="00C66F48">
              <w:rPr>
                <w:rFonts w:eastAsiaTheme="minorEastAsia"/>
                <w:noProof/>
                <w:sz w:val="20"/>
                <w:szCs w:val="20"/>
                <w:lang w:eastAsia="en-AU"/>
              </w:rPr>
              <w:tab/>
            </w:r>
            <w:r w:rsidR="00C66F48" w:rsidRPr="00C66F48">
              <w:rPr>
                <w:rStyle w:val="Hyperlink"/>
                <w:noProof/>
                <w:sz w:val="20"/>
                <w:szCs w:val="20"/>
              </w:rPr>
              <w:t>Overview of Home Care Approved Providers</w:t>
            </w:r>
            <w:r w:rsidR="00C66F48" w:rsidRPr="00C66F48">
              <w:rPr>
                <w:noProof/>
                <w:webHidden/>
                <w:sz w:val="20"/>
                <w:szCs w:val="20"/>
              </w:rPr>
              <w:tab/>
            </w:r>
            <w:r w:rsidR="00C66F48" w:rsidRPr="00C66F48">
              <w:rPr>
                <w:noProof/>
                <w:webHidden/>
                <w:sz w:val="20"/>
                <w:szCs w:val="20"/>
              </w:rPr>
              <w:fldChar w:fldCharType="begin"/>
            </w:r>
            <w:r w:rsidR="00C66F48" w:rsidRPr="00C66F48">
              <w:rPr>
                <w:noProof/>
                <w:webHidden/>
                <w:sz w:val="20"/>
                <w:szCs w:val="20"/>
              </w:rPr>
              <w:instrText xml:space="preserve"> PAGEREF _Toc26870715 \h </w:instrText>
            </w:r>
            <w:r w:rsidR="00C66F48" w:rsidRPr="00C66F48">
              <w:rPr>
                <w:noProof/>
                <w:webHidden/>
                <w:sz w:val="20"/>
                <w:szCs w:val="20"/>
              </w:rPr>
            </w:r>
            <w:r w:rsidR="00C66F48" w:rsidRPr="00C66F48">
              <w:rPr>
                <w:noProof/>
                <w:webHidden/>
                <w:sz w:val="20"/>
                <w:szCs w:val="20"/>
              </w:rPr>
              <w:fldChar w:fldCharType="separate"/>
            </w:r>
            <w:r w:rsidR="00C66F48" w:rsidRPr="00C66F48">
              <w:rPr>
                <w:noProof/>
                <w:webHidden/>
                <w:sz w:val="20"/>
                <w:szCs w:val="20"/>
              </w:rPr>
              <w:t>13</w:t>
            </w:r>
            <w:r w:rsidR="00C66F48" w:rsidRPr="00C66F48">
              <w:rPr>
                <w:noProof/>
                <w:webHidden/>
                <w:sz w:val="20"/>
                <w:szCs w:val="20"/>
              </w:rPr>
              <w:fldChar w:fldCharType="end"/>
            </w:r>
          </w:hyperlink>
        </w:p>
        <w:p w14:paraId="14646BA9" w14:textId="782394FE" w:rsidR="00C66F48" w:rsidRPr="00C66F48" w:rsidRDefault="006E3CD6">
          <w:pPr>
            <w:pStyle w:val="TOC2"/>
            <w:tabs>
              <w:tab w:val="left" w:pos="880"/>
              <w:tab w:val="right" w:leader="dot" w:pos="9628"/>
            </w:tabs>
            <w:rPr>
              <w:rFonts w:eastAsiaTheme="minorEastAsia"/>
              <w:noProof/>
              <w:sz w:val="20"/>
              <w:szCs w:val="20"/>
              <w:lang w:eastAsia="en-AU"/>
            </w:rPr>
          </w:pPr>
          <w:hyperlink w:anchor="_Toc26870716" w:history="1">
            <w:r w:rsidR="00C66F48" w:rsidRPr="00C66F48">
              <w:rPr>
                <w:rStyle w:val="Hyperlink"/>
                <w:noProof/>
                <w:sz w:val="20"/>
                <w:szCs w:val="20"/>
              </w:rPr>
              <w:t>4.3</w:t>
            </w:r>
            <w:r w:rsidR="00C66F48" w:rsidRPr="00C66F48">
              <w:rPr>
                <w:rFonts w:eastAsiaTheme="minorEastAsia"/>
                <w:noProof/>
                <w:sz w:val="20"/>
                <w:szCs w:val="20"/>
                <w:lang w:eastAsia="en-AU"/>
              </w:rPr>
              <w:tab/>
            </w:r>
            <w:r w:rsidR="00C66F48" w:rsidRPr="00C66F48">
              <w:rPr>
                <w:rStyle w:val="Hyperlink"/>
                <w:noProof/>
                <w:sz w:val="20"/>
                <w:szCs w:val="20"/>
              </w:rPr>
              <w:t xml:space="preserve">StewartBrown </w:t>
            </w:r>
            <w:r w:rsidR="00C66F48" w:rsidRPr="00C66F48">
              <w:rPr>
                <w:rStyle w:val="Hyperlink"/>
                <w:i/>
                <w:noProof/>
                <w:sz w:val="20"/>
                <w:szCs w:val="20"/>
              </w:rPr>
              <w:t>Survey</w:t>
            </w:r>
            <w:r w:rsidR="00C66F48" w:rsidRPr="00C66F48">
              <w:rPr>
                <w:noProof/>
                <w:webHidden/>
                <w:sz w:val="20"/>
                <w:szCs w:val="20"/>
              </w:rPr>
              <w:tab/>
            </w:r>
            <w:r w:rsidR="00C66F48" w:rsidRPr="00C66F48">
              <w:rPr>
                <w:noProof/>
                <w:webHidden/>
                <w:sz w:val="20"/>
                <w:szCs w:val="20"/>
              </w:rPr>
              <w:fldChar w:fldCharType="begin"/>
            </w:r>
            <w:r w:rsidR="00C66F48" w:rsidRPr="00C66F48">
              <w:rPr>
                <w:noProof/>
                <w:webHidden/>
                <w:sz w:val="20"/>
                <w:szCs w:val="20"/>
              </w:rPr>
              <w:instrText xml:space="preserve"> PAGEREF _Toc26870716 \h </w:instrText>
            </w:r>
            <w:r w:rsidR="00C66F48" w:rsidRPr="00C66F48">
              <w:rPr>
                <w:noProof/>
                <w:webHidden/>
                <w:sz w:val="20"/>
                <w:szCs w:val="20"/>
              </w:rPr>
            </w:r>
            <w:r w:rsidR="00C66F48" w:rsidRPr="00C66F48">
              <w:rPr>
                <w:noProof/>
                <w:webHidden/>
                <w:sz w:val="20"/>
                <w:szCs w:val="20"/>
              </w:rPr>
              <w:fldChar w:fldCharType="separate"/>
            </w:r>
            <w:r w:rsidR="00C66F48" w:rsidRPr="00C66F48">
              <w:rPr>
                <w:noProof/>
                <w:webHidden/>
                <w:sz w:val="20"/>
                <w:szCs w:val="20"/>
              </w:rPr>
              <w:t>15</w:t>
            </w:r>
            <w:r w:rsidR="00C66F48" w:rsidRPr="00C66F48">
              <w:rPr>
                <w:noProof/>
                <w:webHidden/>
                <w:sz w:val="20"/>
                <w:szCs w:val="20"/>
              </w:rPr>
              <w:fldChar w:fldCharType="end"/>
            </w:r>
          </w:hyperlink>
        </w:p>
        <w:p w14:paraId="6B82F0F5" w14:textId="1EFDC540" w:rsidR="00C66F48" w:rsidRPr="00C66F48" w:rsidRDefault="006E3CD6">
          <w:pPr>
            <w:pStyle w:val="TOC2"/>
            <w:tabs>
              <w:tab w:val="left" w:pos="880"/>
              <w:tab w:val="right" w:leader="dot" w:pos="9628"/>
            </w:tabs>
            <w:rPr>
              <w:rFonts w:eastAsiaTheme="minorEastAsia"/>
              <w:noProof/>
              <w:sz w:val="20"/>
              <w:szCs w:val="20"/>
              <w:lang w:eastAsia="en-AU"/>
            </w:rPr>
          </w:pPr>
          <w:hyperlink w:anchor="_Toc26870717" w:history="1">
            <w:r w:rsidR="00C66F48" w:rsidRPr="00C66F48">
              <w:rPr>
                <w:rStyle w:val="Hyperlink"/>
                <w:noProof/>
                <w:sz w:val="20"/>
                <w:szCs w:val="20"/>
              </w:rPr>
              <w:t>4.4</w:t>
            </w:r>
            <w:r w:rsidR="00C66F48" w:rsidRPr="00C66F48">
              <w:rPr>
                <w:rFonts w:eastAsiaTheme="minorEastAsia"/>
                <w:noProof/>
                <w:sz w:val="20"/>
                <w:szCs w:val="20"/>
                <w:lang w:eastAsia="en-AU"/>
              </w:rPr>
              <w:tab/>
            </w:r>
            <w:r w:rsidR="00C66F48" w:rsidRPr="00C66F48">
              <w:rPr>
                <w:rStyle w:val="Hyperlink"/>
                <w:noProof/>
                <w:sz w:val="20"/>
                <w:szCs w:val="20"/>
              </w:rPr>
              <w:t xml:space="preserve">StewartBrown </w:t>
            </w:r>
            <w:r w:rsidR="00C66F48" w:rsidRPr="00C66F48">
              <w:rPr>
                <w:rStyle w:val="Hyperlink"/>
                <w:i/>
                <w:noProof/>
                <w:sz w:val="20"/>
                <w:szCs w:val="20"/>
              </w:rPr>
              <w:t>Survey</w:t>
            </w:r>
            <w:r w:rsidR="00C66F48" w:rsidRPr="00C66F48">
              <w:rPr>
                <w:rStyle w:val="Hyperlink"/>
                <w:noProof/>
                <w:sz w:val="20"/>
                <w:szCs w:val="20"/>
              </w:rPr>
              <w:t xml:space="preserve"> FY19 Results</w:t>
            </w:r>
            <w:r w:rsidR="00C66F48" w:rsidRPr="00C66F48">
              <w:rPr>
                <w:noProof/>
                <w:webHidden/>
                <w:sz w:val="20"/>
                <w:szCs w:val="20"/>
              </w:rPr>
              <w:tab/>
            </w:r>
            <w:r w:rsidR="00C66F48" w:rsidRPr="00C66F48">
              <w:rPr>
                <w:noProof/>
                <w:webHidden/>
                <w:sz w:val="20"/>
                <w:szCs w:val="20"/>
              </w:rPr>
              <w:fldChar w:fldCharType="begin"/>
            </w:r>
            <w:r w:rsidR="00C66F48" w:rsidRPr="00C66F48">
              <w:rPr>
                <w:noProof/>
                <w:webHidden/>
                <w:sz w:val="20"/>
                <w:szCs w:val="20"/>
              </w:rPr>
              <w:instrText xml:space="preserve"> PAGEREF _Toc26870717 \h </w:instrText>
            </w:r>
            <w:r w:rsidR="00C66F48" w:rsidRPr="00C66F48">
              <w:rPr>
                <w:noProof/>
                <w:webHidden/>
                <w:sz w:val="20"/>
                <w:szCs w:val="20"/>
              </w:rPr>
            </w:r>
            <w:r w:rsidR="00C66F48" w:rsidRPr="00C66F48">
              <w:rPr>
                <w:noProof/>
                <w:webHidden/>
                <w:sz w:val="20"/>
                <w:szCs w:val="20"/>
              </w:rPr>
              <w:fldChar w:fldCharType="separate"/>
            </w:r>
            <w:r w:rsidR="00C66F48" w:rsidRPr="00C66F48">
              <w:rPr>
                <w:noProof/>
                <w:webHidden/>
                <w:sz w:val="20"/>
                <w:szCs w:val="20"/>
              </w:rPr>
              <w:t>16</w:t>
            </w:r>
            <w:r w:rsidR="00C66F48" w:rsidRPr="00C66F48">
              <w:rPr>
                <w:noProof/>
                <w:webHidden/>
                <w:sz w:val="20"/>
                <w:szCs w:val="20"/>
              </w:rPr>
              <w:fldChar w:fldCharType="end"/>
            </w:r>
          </w:hyperlink>
        </w:p>
        <w:p w14:paraId="1962DA8C" w14:textId="3106FAFA" w:rsidR="00C66F48" w:rsidRPr="00C66F48" w:rsidRDefault="006E3CD6">
          <w:pPr>
            <w:pStyle w:val="TOC1"/>
            <w:rPr>
              <w:rFonts w:eastAsiaTheme="minorEastAsia"/>
              <w:noProof/>
              <w:sz w:val="20"/>
              <w:szCs w:val="20"/>
              <w:lang w:eastAsia="en-AU"/>
            </w:rPr>
          </w:pPr>
          <w:hyperlink w:anchor="_Toc26870718" w:history="1">
            <w:r w:rsidR="00C66F48" w:rsidRPr="00C66F48">
              <w:rPr>
                <w:rStyle w:val="Hyperlink"/>
                <w:noProof/>
                <w:sz w:val="20"/>
                <w:szCs w:val="20"/>
              </w:rPr>
              <w:t>5.</w:t>
            </w:r>
            <w:r w:rsidR="00C66F48" w:rsidRPr="00C66F48">
              <w:rPr>
                <w:rFonts w:eastAsiaTheme="minorEastAsia"/>
                <w:noProof/>
                <w:sz w:val="20"/>
                <w:szCs w:val="20"/>
                <w:lang w:eastAsia="en-AU"/>
              </w:rPr>
              <w:tab/>
            </w:r>
            <w:r w:rsidR="00C66F48" w:rsidRPr="00C66F48">
              <w:rPr>
                <w:rStyle w:val="Hyperlink"/>
                <w:noProof/>
                <w:sz w:val="20"/>
                <w:szCs w:val="20"/>
              </w:rPr>
              <w:t>Impact Analysis - Profitability of HCP Providers</w:t>
            </w:r>
            <w:r w:rsidR="00C66F48" w:rsidRPr="00C66F48">
              <w:rPr>
                <w:noProof/>
                <w:webHidden/>
                <w:sz w:val="20"/>
                <w:szCs w:val="20"/>
              </w:rPr>
              <w:tab/>
            </w:r>
            <w:r w:rsidR="00C66F48" w:rsidRPr="00C66F48">
              <w:rPr>
                <w:noProof/>
                <w:webHidden/>
                <w:sz w:val="20"/>
                <w:szCs w:val="20"/>
              </w:rPr>
              <w:fldChar w:fldCharType="begin"/>
            </w:r>
            <w:r w:rsidR="00C66F48" w:rsidRPr="00C66F48">
              <w:rPr>
                <w:noProof/>
                <w:webHidden/>
                <w:sz w:val="20"/>
                <w:szCs w:val="20"/>
              </w:rPr>
              <w:instrText xml:space="preserve"> PAGEREF _Toc26870718 \h </w:instrText>
            </w:r>
            <w:r w:rsidR="00C66F48" w:rsidRPr="00C66F48">
              <w:rPr>
                <w:noProof/>
                <w:webHidden/>
                <w:sz w:val="20"/>
                <w:szCs w:val="20"/>
              </w:rPr>
            </w:r>
            <w:r w:rsidR="00C66F48" w:rsidRPr="00C66F48">
              <w:rPr>
                <w:noProof/>
                <w:webHidden/>
                <w:sz w:val="20"/>
                <w:szCs w:val="20"/>
              </w:rPr>
              <w:fldChar w:fldCharType="separate"/>
            </w:r>
            <w:r w:rsidR="00C66F48" w:rsidRPr="00C66F48">
              <w:rPr>
                <w:noProof/>
                <w:webHidden/>
                <w:sz w:val="20"/>
                <w:szCs w:val="20"/>
              </w:rPr>
              <w:t>20</w:t>
            </w:r>
            <w:r w:rsidR="00C66F48" w:rsidRPr="00C66F48">
              <w:rPr>
                <w:noProof/>
                <w:webHidden/>
                <w:sz w:val="20"/>
                <w:szCs w:val="20"/>
              </w:rPr>
              <w:fldChar w:fldCharType="end"/>
            </w:r>
          </w:hyperlink>
        </w:p>
        <w:p w14:paraId="0066E3F0" w14:textId="19C26C78" w:rsidR="00C66F48" w:rsidRPr="00C66F48" w:rsidRDefault="006E3CD6">
          <w:pPr>
            <w:pStyle w:val="TOC2"/>
            <w:tabs>
              <w:tab w:val="left" w:pos="880"/>
              <w:tab w:val="right" w:leader="dot" w:pos="9628"/>
            </w:tabs>
            <w:rPr>
              <w:rFonts w:eastAsiaTheme="minorEastAsia"/>
              <w:noProof/>
              <w:sz w:val="20"/>
              <w:szCs w:val="20"/>
              <w:lang w:eastAsia="en-AU"/>
            </w:rPr>
          </w:pPr>
          <w:hyperlink w:anchor="_Toc26870719" w:history="1">
            <w:r w:rsidR="00C66F48" w:rsidRPr="00C66F48">
              <w:rPr>
                <w:rStyle w:val="Hyperlink"/>
                <w:noProof/>
                <w:sz w:val="20"/>
                <w:szCs w:val="20"/>
              </w:rPr>
              <w:t>5.1</w:t>
            </w:r>
            <w:r w:rsidR="00C66F48" w:rsidRPr="00C66F48">
              <w:rPr>
                <w:rFonts w:eastAsiaTheme="minorEastAsia"/>
                <w:noProof/>
                <w:sz w:val="20"/>
                <w:szCs w:val="20"/>
                <w:lang w:eastAsia="en-AU"/>
              </w:rPr>
              <w:tab/>
            </w:r>
            <w:r w:rsidR="00C66F48" w:rsidRPr="00C66F48">
              <w:rPr>
                <w:rStyle w:val="Hyperlink"/>
                <w:noProof/>
                <w:sz w:val="20"/>
                <w:szCs w:val="20"/>
              </w:rPr>
              <w:t>FY19 HCP Sector Financial Performance</w:t>
            </w:r>
            <w:r w:rsidR="00C66F48" w:rsidRPr="00C66F48">
              <w:rPr>
                <w:noProof/>
                <w:webHidden/>
                <w:sz w:val="20"/>
                <w:szCs w:val="20"/>
              </w:rPr>
              <w:tab/>
            </w:r>
            <w:r w:rsidR="00C66F48" w:rsidRPr="00C66F48">
              <w:rPr>
                <w:noProof/>
                <w:webHidden/>
                <w:sz w:val="20"/>
                <w:szCs w:val="20"/>
              </w:rPr>
              <w:fldChar w:fldCharType="begin"/>
            </w:r>
            <w:r w:rsidR="00C66F48" w:rsidRPr="00C66F48">
              <w:rPr>
                <w:noProof/>
                <w:webHidden/>
                <w:sz w:val="20"/>
                <w:szCs w:val="20"/>
              </w:rPr>
              <w:instrText xml:space="preserve"> PAGEREF _Toc26870719 \h </w:instrText>
            </w:r>
            <w:r w:rsidR="00C66F48" w:rsidRPr="00C66F48">
              <w:rPr>
                <w:noProof/>
                <w:webHidden/>
                <w:sz w:val="20"/>
                <w:szCs w:val="20"/>
              </w:rPr>
            </w:r>
            <w:r w:rsidR="00C66F48" w:rsidRPr="00C66F48">
              <w:rPr>
                <w:noProof/>
                <w:webHidden/>
                <w:sz w:val="20"/>
                <w:szCs w:val="20"/>
              </w:rPr>
              <w:fldChar w:fldCharType="separate"/>
            </w:r>
            <w:r w:rsidR="00C66F48" w:rsidRPr="00C66F48">
              <w:rPr>
                <w:noProof/>
                <w:webHidden/>
                <w:sz w:val="20"/>
                <w:szCs w:val="20"/>
              </w:rPr>
              <w:t>20</w:t>
            </w:r>
            <w:r w:rsidR="00C66F48" w:rsidRPr="00C66F48">
              <w:rPr>
                <w:noProof/>
                <w:webHidden/>
                <w:sz w:val="20"/>
                <w:szCs w:val="20"/>
              </w:rPr>
              <w:fldChar w:fldCharType="end"/>
            </w:r>
          </w:hyperlink>
        </w:p>
        <w:p w14:paraId="06430EB6" w14:textId="6183AB3D" w:rsidR="00C66F48" w:rsidRPr="00C66F48" w:rsidRDefault="006E3CD6">
          <w:pPr>
            <w:pStyle w:val="TOC2"/>
            <w:tabs>
              <w:tab w:val="left" w:pos="880"/>
              <w:tab w:val="right" w:leader="dot" w:pos="9628"/>
            </w:tabs>
            <w:rPr>
              <w:rFonts w:eastAsiaTheme="minorEastAsia"/>
              <w:noProof/>
              <w:sz w:val="20"/>
              <w:szCs w:val="20"/>
              <w:lang w:eastAsia="en-AU"/>
            </w:rPr>
          </w:pPr>
          <w:hyperlink w:anchor="_Toc26870720" w:history="1">
            <w:r w:rsidR="00C66F48" w:rsidRPr="00C66F48">
              <w:rPr>
                <w:rStyle w:val="Hyperlink"/>
                <w:noProof/>
                <w:sz w:val="20"/>
                <w:szCs w:val="20"/>
              </w:rPr>
              <w:t>5.2</w:t>
            </w:r>
            <w:r w:rsidR="00C66F48" w:rsidRPr="00C66F48">
              <w:rPr>
                <w:rFonts w:eastAsiaTheme="minorEastAsia"/>
                <w:noProof/>
                <w:sz w:val="20"/>
                <w:szCs w:val="20"/>
                <w:lang w:eastAsia="en-AU"/>
              </w:rPr>
              <w:tab/>
            </w:r>
            <w:r w:rsidR="00C66F48" w:rsidRPr="00C66F48">
              <w:rPr>
                <w:rStyle w:val="Hyperlink"/>
                <w:noProof/>
                <w:sz w:val="20"/>
                <w:szCs w:val="20"/>
              </w:rPr>
              <w:t>Financial Sustainability - Conclusion</w:t>
            </w:r>
            <w:r w:rsidR="00C66F48" w:rsidRPr="00C66F48">
              <w:rPr>
                <w:noProof/>
                <w:webHidden/>
                <w:sz w:val="20"/>
                <w:szCs w:val="20"/>
              </w:rPr>
              <w:tab/>
            </w:r>
            <w:r w:rsidR="00C66F48" w:rsidRPr="00C66F48">
              <w:rPr>
                <w:noProof/>
                <w:webHidden/>
                <w:sz w:val="20"/>
                <w:szCs w:val="20"/>
              </w:rPr>
              <w:fldChar w:fldCharType="begin"/>
            </w:r>
            <w:r w:rsidR="00C66F48" w:rsidRPr="00C66F48">
              <w:rPr>
                <w:noProof/>
                <w:webHidden/>
                <w:sz w:val="20"/>
                <w:szCs w:val="20"/>
              </w:rPr>
              <w:instrText xml:space="preserve"> PAGEREF _Toc26870720 \h </w:instrText>
            </w:r>
            <w:r w:rsidR="00C66F48" w:rsidRPr="00C66F48">
              <w:rPr>
                <w:noProof/>
                <w:webHidden/>
                <w:sz w:val="20"/>
                <w:szCs w:val="20"/>
              </w:rPr>
            </w:r>
            <w:r w:rsidR="00C66F48" w:rsidRPr="00C66F48">
              <w:rPr>
                <w:noProof/>
                <w:webHidden/>
                <w:sz w:val="20"/>
                <w:szCs w:val="20"/>
              </w:rPr>
              <w:fldChar w:fldCharType="separate"/>
            </w:r>
            <w:r w:rsidR="00C66F48" w:rsidRPr="00C66F48">
              <w:rPr>
                <w:noProof/>
                <w:webHidden/>
                <w:sz w:val="20"/>
                <w:szCs w:val="20"/>
              </w:rPr>
              <w:t>25</w:t>
            </w:r>
            <w:r w:rsidR="00C66F48" w:rsidRPr="00C66F48">
              <w:rPr>
                <w:noProof/>
                <w:webHidden/>
                <w:sz w:val="20"/>
                <w:szCs w:val="20"/>
              </w:rPr>
              <w:fldChar w:fldCharType="end"/>
            </w:r>
          </w:hyperlink>
        </w:p>
        <w:p w14:paraId="55980926" w14:textId="69DFCAD7" w:rsidR="00C66F48" w:rsidRPr="00C66F48" w:rsidRDefault="006E3CD6">
          <w:pPr>
            <w:pStyle w:val="TOC1"/>
            <w:rPr>
              <w:rFonts w:eastAsiaTheme="minorEastAsia"/>
              <w:noProof/>
              <w:sz w:val="20"/>
              <w:szCs w:val="20"/>
              <w:lang w:eastAsia="en-AU"/>
            </w:rPr>
          </w:pPr>
          <w:hyperlink w:anchor="_Toc26870721" w:history="1">
            <w:r w:rsidR="00C66F48" w:rsidRPr="00C66F48">
              <w:rPr>
                <w:rStyle w:val="Hyperlink"/>
                <w:noProof/>
                <w:sz w:val="20"/>
                <w:szCs w:val="20"/>
              </w:rPr>
              <w:t>6.</w:t>
            </w:r>
            <w:r w:rsidR="00C66F48" w:rsidRPr="00C66F48">
              <w:rPr>
                <w:rFonts w:eastAsiaTheme="minorEastAsia"/>
                <w:noProof/>
                <w:sz w:val="20"/>
                <w:szCs w:val="20"/>
                <w:lang w:eastAsia="en-AU"/>
              </w:rPr>
              <w:tab/>
            </w:r>
            <w:r w:rsidR="00C66F48" w:rsidRPr="00C66F48">
              <w:rPr>
                <w:rStyle w:val="Hyperlink"/>
                <w:noProof/>
                <w:sz w:val="20"/>
                <w:szCs w:val="20"/>
              </w:rPr>
              <w:t>Detailed Impact Analysis</w:t>
            </w:r>
            <w:r w:rsidR="00C66F48" w:rsidRPr="00C66F48">
              <w:rPr>
                <w:noProof/>
                <w:webHidden/>
                <w:sz w:val="20"/>
                <w:szCs w:val="20"/>
              </w:rPr>
              <w:tab/>
            </w:r>
            <w:r w:rsidR="00C66F48" w:rsidRPr="00C66F48">
              <w:rPr>
                <w:noProof/>
                <w:webHidden/>
                <w:sz w:val="20"/>
                <w:szCs w:val="20"/>
              </w:rPr>
              <w:fldChar w:fldCharType="begin"/>
            </w:r>
            <w:r w:rsidR="00C66F48" w:rsidRPr="00C66F48">
              <w:rPr>
                <w:noProof/>
                <w:webHidden/>
                <w:sz w:val="20"/>
                <w:szCs w:val="20"/>
              </w:rPr>
              <w:instrText xml:space="preserve"> PAGEREF _Toc26870721 \h </w:instrText>
            </w:r>
            <w:r w:rsidR="00C66F48" w:rsidRPr="00C66F48">
              <w:rPr>
                <w:noProof/>
                <w:webHidden/>
                <w:sz w:val="20"/>
                <w:szCs w:val="20"/>
              </w:rPr>
            </w:r>
            <w:r w:rsidR="00C66F48" w:rsidRPr="00C66F48">
              <w:rPr>
                <w:noProof/>
                <w:webHidden/>
                <w:sz w:val="20"/>
                <w:szCs w:val="20"/>
              </w:rPr>
              <w:fldChar w:fldCharType="separate"/>
            </w:r>
            <w:r w:rsidR="00C66F48" w:rsidRPr="00C66F48">
              <w:rPr>
                <w:noProof/>
                <w:webHidden/>
                <w:sz w:val="20"/>
                <w:szCs w:val="20"/>
              </w:rPr>
              <w:t>26</w:t>
            </w:r>
            <w:r w:rsidR="00C66F48" w:rsidRPr="00C66F48">
              <w:rPr>
                <w:noProof/>
                <w:webHidden/>
                <w:sz w:val="20"/>
                <w:szCs w:val="20"/>
              </w:rPr>
              <w:fldChar w:fldCharType="end"/>
            </w:r>
          </w:hyperlink>
        </w:p>
        <w:p w14:paraId="44A3E563" w14:textId="06625245" w:rsidR="00C66F48" w:rsidRPr="00C66F48" w:rsidRDefault="006E3CD6">
          <w:pPr>
            <w:pStyle w:val="TOC2"/>
            <w:tabs>
              <w:tab w:val="left" w:pos="880"/>
              <w:tab w:val="right" w:leader="dot" w:pos="9628"/>
            </w:tabs>
            <w:rPr>
              <w:rFonts w:eastAsiaTheme="minorEastAsia"/>
              <w:noProof/>
              <w:sz w:val="20"/>
              <w:szCs w:val="20"/>
              <w:lang w:eastAsia="en-AU"/>
            </w:rPr>
          </w:pPr>
          <w:hyperlink w:anchor="_Toc26870722" w:history="1">
            <w:r w:rsidR="00C66F48" w:rsidRPr="00C66F48">
              <w:rPr>
                <w:rStyle w:val="Hyperlink"/>
                <w:noProof/>
                <w:sz w:val="20"/>
                <w:szCs w:val="20"/>
              </w:rPr>
              <w:t>6.1</w:t>
            </w:r>
            <w:r w:rsidR="00C66F48" w:rsidRPr="00C66F48">
              <w:rPr>
                <w:rFonts w:eastAsiaTheme="minorEastAsia"/>
                <w:noProof/>
                <w:sz w:val="20"/>
                <w:szCs w:val="20"/>
                <w:lang w:eastAsia="en-AU"/>
              </w:rPr>
              <w:tab/>
            </w:r>
            <w:r w:rsidR="00C66F48" w:rsidRPr="00C66F48">
              <w:rPr>
                <w:rStyle w:val="Hyperlink"/>
                <w:noProof/>
                <w:sz w:val="20"/>
                <w:szCs w:val="20"/>
              </w:rPr>
              <w:t>Methodology Used for Detailed Analysis of FY19 ACFR data</w:t>
            </w:r>
            <w:r w:rsidR="00C66F48" w:rsidRPr="00C66F48">
              <w:rPr>
                <w:noProof/>
                <w:webHidden/>
                <w:sz w:val="20"/>
                <w:szCs w:val="20"/>
              </w:rPr>
              <w:tab/>
            </w:r>
            <w:r w:rsidR="00C66F48" w:rsidRPr="00C66F48">
              <w:rPr>
                <w:noProof/>
                <w:webHidden/>
                <w:sz w:val="20"/>
                <w:szCs w:val="20"/>
              </w:rPr>
              <w:fldChar w:fldCharType="begin"/>
            </w:r>
            <w:r w:rsidR="00C66F48" w:rsidRPr="00C66F48">
              <w:rPr>
                <w:noProof/>
                <w:webHidden/>
                <w:sz w:val="20"/>
                <w:szCs w:val="20"/>
              </w:rPr>
              <w:instrText xml:space="preserve"> PAGEREF _Toc26870722 \h </w:instrText>
            </w:r>
            <w:r w:rsidR="00C66F48" w:rsidRPr="00C66F48">
              <w:rPr>
                <w:noProof/>
                <w:webHidden/>
                <w:sz w:val="20"/>
                <w:szCs w:val="20"/>
              </w:rPr>
            </w:r>
            <w:r w:rsidR="00C66F48" w:rsidRPr="00C66F48">
              <w:rPr>
                <w:noProof/>
                <w:webHidden/>
                <w:sz w:val="20"/>
                <w:szCs w:val="20"/>
              </w:rPr>
              <w:fldChar w:fldCharType="separate"/>
            </w:r>
            <w:r w:rsidR="00C66F48" w:rsidRPr="00C66F48">
              <w:rPr>
                <w:noProof/>
                <w:webHidden/>
                <w:sz w:val="20"/>
                <w:szCs w:val="20"/>
              </w:rPr>
              <w:t>26</w:t>
            </w:r>
            <w:r w:rsidR="00C66F48" w:rsidRPr="00C66F48">
              <w:rPr>
                <w:noProof/>
                <w:webHidden/>
                <w:sz w:val="20"/>
                <w:szCs w:val="20"/>
              </w:rPr>
              <w:fldChar w:fldCharType="end"/>
            </w:r>
          </w:hyperlink>
        </w:p>
        <w:p w14:paraId="5EA3CDD8" w14:textId="1F24C56B" w:rsidR="00C66F48" w:rsidRPr="00C66F48" w:rsidRDefault="006E3CD6">
          <w:pPr>
            <w:pStyle w:val="TOC2"/>
            <w:tabs>
              <w:tab w:val="left" w:pos="880"/>
              <w:tab w:val="right" w:leader="dot" w:pos="9628"/>
            </w:tabs>
            <w:rPr>
              <w:rFonts w:eastAsiaTheme="minorEastAsia"/>
              <w:noProof/>
              <w:sz w:val="20"/>
              <w:szCs w:val="20"/>
              <w:lang w:eastAsia="en-AU"/>
            </w:rPr>
          </w:pPr>
          <w:hyperlink w:anchor="_Toc26870723" w:history="1">
            <w:r w:rsidR="00C66F48" w:rsidRPr="00C66F48">
              <w:rPr>
                <w:rStyle w:val="Hyperlink"/>
                <w:noProof/>
                <w:sz w:val="20"/>
                <w:szCs w:val="20"/>
              </w:rPr>
              <w:t>6.2</w:t>
            </w:r>
            <w:r w:rsidR="00C66F48" w:rsidRPr="00C66F48">
              <w:rPr>
                <w:rFonts w:eastAsiaTheme="minorEastAsia"/>
                <w:noProof/>
                <w:sz w:val="20"/>
                <w:szCs w:val="20"/>
                <w:lang w:eastAsia="en-AU"/>
              </w:rPr>
              <w:tab/>
            </w:r>
            <w:r w:rsidR="00C66F48" w:rsidRPr="00C66F48">
              <w:rPr>
                <w:rStyle w:val="Hyperlink"/>
                <w:noProof/>
                <w:sz w:val="20"/>
                <w:szCs w:val="20"/>
              </w:rPr>
              <w:t>Impact of Phase 1 - Deferring Payment of the Normal Subsidy for One Month</w:t>
            </w:r>
            <w:r w:rsidR="00C66F48" w:rsidRPr="00C66F48">
              <w:rPr>
                <w:noProof/>
                <w:webHidden/>
                <w:sz w:val="20"/>
                <w:szCs w:val="20"/>
              </w:rPr>
              <w:tab/>
            </w:r>
            <w:r w:rsidR="00C66F48" w:rsidRPr="00C66F48">
              <w:rPr>
                <w:noProof/>
                <w:webHidden/>
                <w:sz w:val="20"/>
                <w:szCs w:val="20"/>
              </w:rPr>
              <w:fldChar w:fldCharType="begin"/>
            </w:r>
            <w:r w:rsidR="00C66F48" w:rsidRPr="00C66F48">
              <w:rPr>
                <w:noProof/>
                <w:webHidden/>
                <w:sz w:val="20"/>
                <w:szCs w:val="20"/>
              </w:rPr>
              <w:instrText xml:space="preserve"> PAGEREF _Toc26870723 \h </w:instrText>
            </w:r>
            <w:r w:rsidR="00C66F48" w:rsidRPr="00C66F48">
              <w:rPr>
                <w:noProof/>
                <w:webHidden/>
                <w:sz w:val="20"/>
                <w:szCs w:val="20"/>
              </w:rPr>
            </w:r>
            <w:r w:rsidR="00C66F48" w:rsidRPr="00C66F48">
              <w:rPr>
                <w:noProof/>
                <w:webHidden/>
                <w:sz w:val="20"/>
                <w:szCs w:val="20"/>
              </w:rPr>
              <w:fldChar w:fldCharType="separate"/>
            </w:r>
            <w:r w:rsidR="00C66F48" w:rsidRPr="00C66F48">
              <w:rPr>
                <w:noProof/>
                <w:webHidden/>
                <w:sz w:val="20"/>
                <w:szCs w:val="20"/>
              </w:rPr>
              <w:t>27</w:t>
            </w:r>
            <w:r w:rsidR="00C66F48" w:rsidRPr="00C66F48">
              <w:rPr>
                <w:noProof/>
                <w:webHidden/>
                <w:sz w:val="20"/>
                <w:szCs w:val="20"/>
              </w:rPr>
              <w:fldChar w:fldCharType="end"/>
            </w:r>
          </w:hyperlink>
        </w:p>
        <w:p w14:paraId="4D1CD13A" w14:textId="31CAC977" w:rsidR="00C66F48" w:rsidRPr="00C66F48" w:rsidRDefault="006E3CD6">
          <w:pPr>
            <w:pStyle w:val="TOC2"/>
            <w:tabs>
              <w:tab w:val="left" w:pos="880"/>
              <w:tab w:val="right" w:leader="dot" w:pos="9628"/>
            </w:tabs>
            <w:rPr>
              <w:rFonts w:eastAsiaTheme="minorEastAsia"/>
              <w:noProof/>
              <w:sz w:val="20"/>
              <w:szCs w:val="20"/>
              <w:lang w:eastAsia="en-AU"/>
            </w:rPr>
          </w:pPr>
          <w:hyperlink w:anchor="_Toc26870724" w:history="1">
            <w:r w:rsidR="00C66F48" w:rsidRPr="00C66F48">
              <w:rPr>
                <w:rStyle w:val="Hyperlink"/>
                <w:noProof/>
                <w:sz w:val="20"/>
                <w:szCs w:val="20"/>
              </w:rPr>
              <w:t>6.3</w:t>
            </w:r>
            <w:r w:rsidR="00C66F48" w:rsidRPr="00C66F48">
              <w:rPr>
                <w:rFonts w:eastAsiaTheme="minorEastAsia"/>
                <w:noProof/>
                <w:sz w:val="20"/>
                <w:szCs w:val="20"/>
                <w:lang w:eastAsia="en-AU"/>
              </w:rPr>
              <w:tab/>
            </w:r>
            <w:r w:rsidR="00C66F48" w:rsidRPr="00C66F48">
              <w:rPr>
                <w:rStyle w:val="Hyperlink"/>
                <w:noProof/>
                <w:sz w:val="20"/>
                <w:szCs w:val="20"/>
              </w:rPr>
              <w:t>Impact of Phases 2 and 3</w:t>
            </w:r>
            <w:r w:rsidR="00C66F48" w:rsidRPr="00C66F48">
              <w:rPr>
                <w:noProof/>
                <w:webHidden/>
                <w:sz w:val="20"/>
                <w:szCs w:val="20"/>
              </w:rPr>
              <w:tab/>
            </w:r>
            <w:r w:rsidR="00C66F48" w:rsidRPr="00C66F48">
              <w:rPr>
                <w:noProof/>
                <w:webHidden/>
                <w:sz w:val="20"/>
                <w:szCs w:val="20"/>
              </w:rPr>
              <w:fldChar w:fldCharType="begin"/>
            </w:r>
            <w:r w:rsidR="00C66F48" w:rsidRPr="00C66F48">
              <w:rPr>
                <w:noProof/>
                <w:webHidden/>
                <w:sz w:val="20"/>
                <w:szCs w:val="20"/>
              </w:rPr>
              <w:instrText xml:space="preserve"> PAGEREF _Toc26870724 \h </w:instrText>
            </w:r>
            <w:r w:rsidR="00C66F48" w:rsidRPr="00C66F48">
              <w:rPr>
                <w:noProof/>
                <w:webHidden/>
                <w:sz w:val="20"/>
                <w:szCs w:val="20"/>
              </w:rPr>
            </w:r>
            <w:r w:rsidR="00C66F48" w:rsidRPr="00C66F48">
              <w:rPr>
                <w:noProof/>
                <w:webHidden/>
                <w:sz w:val="20"/>
                <w:szCs w:val="20"/>
              </w:rPr>
              <w:fldChar w:fldCharType="separate"/>
            </w:r>
            <w:r w:rsidR="00C66F48" w:rsidRPr="00C66F48">
              <w:rPr>
                <w:noProof/>
                <w:webHidden/>
                <w:sz w:val="20"/>
                <w:szCs w:val="20"/>
              </w:rPr>
              <w:t>35</w:t>
            </w:r>
            <w:r w:rsidR="00C66F48" w:rsidRPr="00C66F48">
              <w:rPr>
                <w:noProof/>
                <w:webHidden/>
                <w:sz w:val="20"/>
                <w:szCs w:val="20"/>
              </w:rPr>
              <w:fldChar w:fldCharType="end"/>
            </w:r>
          </w:hyperlink>
        </w:p>
        <w:p w14:paraId="65937E47" w14:textId="3735568F" w:rsidR="00C66F48" w:rsidRPr="00C66F48" w:rsidRDefault="006E3CD6">
          <w:pPr>
            <w:pStyle w:val="TOC1"/>
            <w:rPr>
              <w:rFonts w:eastAsiaTheme="minorEastAsia"/>
              <w:noProof/>
              <w:sz w:val="20"/>
              <w:szCs w:val="20"/>
              <w:lang w:eastAsia="en-AU"/>
            </w:rPr>
          </w:pPr>
          <w:hyperlink w:anchor="_Toc26870725" w:history="1">
            <w:r w:rsidR="00C66F48" w:rsidRPr="00C66F48">
              <w:rPr>
                <w:rStyle w:val="Hyperlink"/>
                <w:noProof/>
                <w:sz w:val="20"/>
                <w:szCs w:val="20"/>
              </w:rPr>
              <w:t>7.</w:t>
            </w:r>
            <w:r w:rsidR="00C66F48" w:rsidRPr="00C66F48">
              <w:rPr>
                <w:rFonts w:eastAsiaTheme="minorEastAsia"/>
                <w:noProof/>
                <w:sz w:val="20"/>
                <w:szCs w:val="20"/>
                <w:lang w:eastAsia="en-AU"/>
              </w:rPr>
              <w:tab/>
            </w:r>
            <w:r w:rsidR="00C66F48" w:rsidRPr="00C66F48">
              <w:rPr>
                <w:rStyle w:val="Hyperlink"/>
                <w:noProof/>
                <w:sz w:val="20"/>
                <w:szCs w:val="20"/>
              </w:rPr>
              <w:t>Other Issues to Consider</w:t>
            </w:r>
            <w:r w:rsidR="00C66F48" w:rsidRPr="00C66F48">
              <w:rPr>
                <w:noProof/>
                <w:webHidden/>
                <w:sz w:val="20"/>
                <w:szCs w:val="20"/>
              </w:rPr>
              <w:tab/>
            </w:r>
            <w:r w:rsidR="00C66F48" w:rsidRPr="00C66F48">
              <w:rPr>
                <w:noProof/>
                <w:webHidden/>
                <w:sz w:val="20"/>
                <w:szCs w:val="20"/>
              </w:rPr>
              <w:fldChar w:fldCharType="begin"/>
            </w:r>
            <w:r w:rsidR="00C66F48" w:rsidRPr="00C66F48">
              <w:rPr>
                <w:noProof/>
                <w:webHidden/>
                <w:sz w:val="20"/>
                <w:szCs w:val="20"/>
              </w:rPr>
              <w:instrText xml:space="preserve"> PAGEREF _Toc26870725 \h </w:instrText>
            </w:r>
            <w:r w:rsidR="00C66F48" w:rsidRPr="00C66F48">
              <w:rPr>
                <w:noProof/>
                <w:webHidden/>
                <w:sz w:val="20"/>
                <w:szCs w:val="20"/>
              </w:rPr>
            </w:r>
            <w:r w:rsidR="00C66F48" w:rsidRPr="00C66F48">
              <w:rPr>
                <w:noProof/>
                <w:webHidden/>
                <w:sz w:val="20"/>
                <w:szCs w:val="20"/>
              </w:rPr>
              <w:fldChar w:fldCharType="separate"/>
            </w:r>
            <w:r w:rsidR="00C66F48" w:rsidRPr="00C66F48">
              <w:rPr>
                <w:noProof/>
                <w:webHidden/>
                <w:sz w:val="20"/>
                <w:szCs w:val="20"/>
              </w:rPr>
              <w:t>38</w:t>
            </w:r>
            <w:r w:rsidR="00C66F48" w:rsidRPr="00C66F48">
              <w:rPr>
                <w:noProof/>
                <w:webHidden/>
                <w:sz w:val="20"/>
                <w:szCs w:val="20"/>
              </w:rPr>
              <w:fldChar w:fldCharType="end"/>
            </w:r>
          </w:hyperlink>
        </w:p>
        <w:p w14:paraId="66604C52" w14:textId="3054DFDD" w:rsidR="00C66F48" w:rsidRPr="00C66F48" w:rsidRDefault="006E3CD6">
          <w:pPr>
            <w:pStyle w:val="TOC2"/>
            <w:tabs>
              <w:tab w:val="left" w:pos="880"/>
              <w:tab w:val="right" w:leader="dot" w:pos="9628"/>
            </w:tabs>
            <w:rPr>
              <w:rFonts w:eastAsiaTheme="minorEastAsia"/>
              <w:noProof/>
              <w:sz w:val="20"/>
              <w:szCs w:val="20"/>
              <w:lang w:eastAsia="en-AU"/>
            </w:rPr>
          </w:pPr>
          <w:hyperlink w:anchor="_Toc26870726" w:history="1">
            <w:r w:rsidR="00C66F48" w:rsidRPr="00C66F48">
              <w:rPr>
                <w:rStyle w:val="Hyperlink"/>
                <w:noProof/>
                <w:sz w:val="20"/>
                <w:szCs w:val="20"/>
              </w:rPr>
              <w:t>7.1</w:t>
            </w:r>
            <w:r w:rsidR="00C66F48" w:rsidRPr="00C66F48">
              <w:rPr>
                <w:rFonts w:eastAsiaTheme="minorEastAsia"/>
                <w:noProof/>
                <w:sz w:val="20"/>
                <w:szCs w:val="20"/>
                <w:lang w:eastAsia="en-AU"/>
              </w:rPr>
              <w:tab/>
            </w:r>
            <w:r w:rsidR="00C66F48" w:rsidRPr="00C66F48">
              <w:rPr>
                <w:rStyle w:val="Hyperlink"/>
                <w:noProof/>
                <w:sz w:val="20"/>
                <w:szCs w:val="20"/>
              </w:rPr>
              <w:t>Current Subsidy Claiming Process</w:t>
            </w:r>
            <w:r w:rsidR="00C66F48" w:rsidRPr="00C66F48">
              <w:rPr>
                <w:noProof/>
                <w:webHidden/>
                <w:sz w:val="20"/>
                <w:szCs w:val="20"/>
              </w:rPr>
              <w:tab/>
            </w:r>
            <w:r w:rsidR="00C66F48" w:rsidRPr="00C66F48">
              <w:rPr>
                <w:noProof/>
                <w:webHidden/>
                <w:sz w:val="20"/>
                <w:szCs w:val="20"/>
              </w:rPr>
              <w:fldChar w:fldCharType="begin"/>
            </w:r>
            <w:r w:rsidR="00C66F48" w:rsidRPr="00C66F48">
              <w:rPr>
                <w:noProof/>
                <w:webHidden/>
                <w:sz w:val="20"/>
                <w:szCs w:val="20"/>
              </w:rPr>
              <w:instrText xml:space="preserve"> PAGEREF _Toc26870726 \h </w:instrText>
            </w:r>
            <w:r w:rsidR="00C66F48" w:rsidRPr="00C66F48">
              <w:rPr>
                <w:noProof/>
                <w:webHidden/>
                <w:sz w:val="20"/>
                <w:szCs w:val="20"/>
              </w:rPr>
            </w:r>
            <w:r w:rsidR="00C66F48" w:rsidRPr="00C66F48">
              <w:rPr>
                <w:noProof/>
                <w:webHidden/>
                <w:sz w:val="20"/>
                <w:szCs w:val="20"/>
              </w:rPr>
              <w:fldChar w:fldCharType="separate"/>
            </w:r>
            <w:r w:rsidR="00C66F48" w:rsidRPr="00C66F48">
              <w:rPr>
                <w:noProof/>
                <w:webHidden/>
                <w:sz w:val="20"/>
                <w:szCs w:val="20"/>
              </w:rPr>
              <w:t>38</w:t>
            </w:r>
            <w:r w:rsidR="00C66F48" w:rsidRPr="00C66F48">
              <w:rPr>
                <w:noProof/>
                <w:webHidden/>
                <w:sz w:val="20"/>
                <w:szCs w:val="20"/>
              </w:rPr>
              <w:fldChar w:fldCharType="end"/>
            </w:r>
          </w:hyperlink>
        </w:p>
        <w:p w14:paraId="175CE086" w14:textId="06B4D1C5" w:rsidR="00C66F48" w:rsidRPr="00C66F48" w:rsidRDefault="006E3CD6">
          <w:pPr>
            <w:pStyle w:val="TOC2"/>
            <w:tabs>
              <w:tab w:val="left" w:pos="880"/>
              <w:tab w:val="right" w:leader="dot" w:pos="9628"/>
            </w:tabs>
            <w:rPr>
              <w:rFonts w:eastAsiaTheme="minorEastAsia"/>
              <w:noProof/>
              <w:sz w:val="20"/>
              <w:szCs w:val="20"/>
              <w:lang w:eastAsia="en-AU"/>
            </w:rPr>
          </w:pPr>
          <w:hyperlink w:anchor="_Toc26870727" w:history="1">
            <w:r w:rsidR="00C66F48" w:rsidRPr="00C66F48">
              <w:rPr>
                <w:rStyle w:val="Hyperlink"/>
                <w:noProof/>
                <w:sz w:val="20"/>
                <w:szCs w:val="20"/>
              </w:rPr>
              <w:t>7.2</w:t>
            </w:r>
            <w:r w:rsidR="00C66F48" w:rsidRPr="00C66F48">
              <w:rPr>
                <w:rFonts w:eastAsiaTheme="minorEastAsia"/>
                <w:noProof/>
                <w:sz w:val="20"/>
                <w:szCs w:val="20"/>
                <w:lang w:eastAsia="en-AU"/>
              </w:rPr>
              <w:tab/>
            </w:r>
            <w:r w:rsidR="00C66F48" w:rsidRPr="00C66F48">
              <w:rPr>
                <w:rStyle w:val="Hyperlink"/>
                <w:noProof/>
                <w:sz w:val="20"/>
                <w:szCs w:val="20"/>
              </w:rPr>
              <w:t>Transaction Flows and Revenue Recognition</w:t>
            </w:r>
            <w:r w:rsidR="00C66F48" w:rsidRPr="00C66F48">
              <w:rPr>
                <w:noProof/>
                <w:webHidden/>
                <w:sz w:val="20"/>
                <w:szCs w:val="20"/>
              </w:rPr>
              <w:tab/>
            </w:r>
            <w:r w:rsidR="00C66F48" w:rsidRPr="00C66F48">
              <w:rPr>
                <w:noProof/>
                <w:webHidden/>
                <w:sz w:val="20"/>
                <w:szCs w:val="20"/>
              </w:rPr>
              <w:fldChar w:fldCharType="begin"/>
            </w:r>
            <w:r w:rsidR="00C66F48" w:rsidRPr="00C66F48">
              <w:rPr>
                <w:noProof/>
                <w:webHidden/>
                <w:sz w:val="20"/>
                <w:szCs w:val="20"/>
              </w:rPr>
              <w:instrText xml:space="preserve"> PAGEREF _Toc26870727 \h </w:instrText>
            </w:r>
            <w:r w:rsidR="00C66F48" w:rsidRPr="00C66F48">
              <w:rPr>
                <w:noProof/>
                <w:webHidden/>
                <w:sz w:val="20"/>
                <w:szCs w:val="20"/>
              </w:rPr>
            </w:r>
            <w:r w:rsidR="00C66F48" w:rsidRPr="00C66F48">
              <w:rPr>
                <w:noProof/>
                <w:webHidden/>
                <w:sz w:val="20"/>
                <w:szCs w:val="20"/>
              </w:rPr>
              <w:fldChar w:fldCharType="separate"/>
            </w:r>
            <w:r w:rsidR="00C66F48" w:rsidRPr="00C66F48">
              <w:rPr>
                <w:noProof/>
                <w:webHidden/>
                <w:sz w:val="20"/>
                <w:szCs w:val="20"/>
              </w:rPr>
              <w:t>40</w:t>
            </w:r>
            <w:r w:rsidR="00C66F48" w:rsidRPr="00C66F48">
              <w:rPr>
                <w:noProof/>
                <w:webHidden/>
                <w:sz w:val="20"/>
                <w:szCs w:val="20"/>
              </w:rPr>
              <w:fldChar w:fldCharType="end"/>
            </w:r>
          </w:hyperlink>
        </w:p>
        <w:p w14:paraId="611E3C62" w14:textId="1C277E78" w:rsidR="00C66F48" w:rsidRPr="00C66F48" w:rsidRDefault="006E3CD6">
          <w:pPr>
            <w:pStyle w:val="TOC2"/>
            <w:tabs>
              <w:tab w:val="left" w:pos="880"/>
              <w:tab w:val="right" w:leader="dot" w:pos="9628"/>
            </w:tabs>
            <w:rPr>
              <w:rFonts w:eastAsiaTheme="minorEastAsia"/>
              <w:noProof/>
              <w:sz w:val="20"/>
              <w:szCs w:val="20"/>
              <w:lang w:eastAsia="en-AU"/>
            </w:rPr>
          </w:pPr>
          <w:hyperlink w:anchor="_Toc26870728" w:history="1">
            <w:r w:rsidR="00C66F48" w:rsidRPr="00C66F48">
              <w:rPr>
                <w:rStyle w:val="Hyperlink"/>
                <w:noProof/>
                <w:sz w:val="20"/>
                <w:szCs w:val="20"/>
              </w:rPr>
              <w:t>7.3</w:t>
            </w:r>
            <w:r w:rsidR="00C66F48" w:rsidRPr="00C66F48">
              <w:rPr>
                <w:rFonts w:eastAsiaTheme="minorEastAsia"/>
                <w:noProof/>
                <w:sz w:val="20"/>
                <w:szCs w:val="20"/>
                <w:lang w:eastAsia="en-AU"/>
              </w:rPr>
              <w:tab/>
            </w:r>
            <w:r w:rsidR="00C66F48" w:rsidRPr="00C66F48">
              <w:rPr>
                <w:rStyle w:val="Hyperlink"/>
                <w:noProof/>
                <w:sz w:val="20"/>
                <w:szCs w:val="20"/>
              </w:rPr>
              <w:t>Proposed Funding Arrangements</w:t>
            </w:r>
            <w:r w:rsidR="00C66F48" w:rsidRPr="00C66F48">
              <w:rPr>
                <w:noProof/>
                <w:webHidden/>
                <w:sz w:val="20"/>
                <w:szCs w:val="20"/>
              </w:rPr>
              <w:tab/>
            </w:r>
            <w:r w:rsidR="00C66F48" w:rsidRPr="00C66F48">
              <w:rPr>
                <w:noProof/>
                <w:webHidden/>
                <w:sz w:val="20"/>
                <w:szCs w:val="20"/>
              </w:rPr>
              <w:fldChar w:fldCharType="begin"/>
            </w:r>
            <w:r w:rsidR="00C66F48" w:rsidRPr="00C66F48">
              <w:rPr>
                <w:noProof/>
                <w:webHidden/>
                <w:sz w:val="20"/>
                <w:szCs w:val="20"/>
              </w:rPr>
              <w:instrText xml:space="preserve"> PAGEREF _Toc26870728 \h </w:instrText>
            </w:r>
            <w:r w:rsidR="00C66F48" w:rsidRPr="00C66F48">
              <w:rPr>
                <w:noProof/>
                <w:webHidden/>
                <w:sz w:val="20"/>
                <w:szCs w:val="20"/>
              </w:rPr>
            </w:r>
            <w:r w:rsidR="00C66F48" w:rsidRPr="00C66F48">
              <w:rPr>
                <w:noProof/>
                <w:webHidden/>
                <w:sz w:val="20"/>
                <w:szCs w:val="20"/>
              </w:rPr>
              <w:fldChar w:fldCharType="separate"/>
            </w:r>
            <w:r w:rsidR="00C66F48" w:rsidRPr="00C66F48">
              <w:rPr>
                <w:noProof/>
                <w:webHidden/>
                <w:sz w:val="20"/>
                <w:szCs w:val="20"/>
              </w:rPr>
              <w:t>42</w:t>
            </w:r>
            <w:r w:rsidR="00C66F48" w:rsidRPr="00C66F48">
              <w:rPr>
                <w:noProof/>
                <w:webHidden/>
                <w:sz w:val="20"/>
                <w:szCs w:val="20"/>
              </w:rPr>
              <w:fldChar w:fldCharType="end"/>
            </w:r>
          </w:hyperlink>
        </w:p>
        <w:p w14:paraId="26379F2F" w14:textId="77D4EAFE" w:rsidR="000C5BE7" w:rsidRDefault="00A63731" w:rsidP="00D41ADF">
          <w:pPr>
            <w:pStyle w:val="TOC2"/>
            <w:tabs>
              <w:tab w:val="left" w:pos="880"/>
              <w:tab w:val="right" w:leader="dot" w:pos="9060"/>
            </w:tabs>
            <w:rPr>
              <w:bCs/>
              <w:noProof/>
            </w:rPr>
          </w:pPr>
          <w:r>
            <w:fldChar w:fldCharType="end"/>
          </w:r>
        </w:p>
      </w:sdtContent>
    </w:sdt>
    <w:bookmarkStart w:id="1" w:name="_Toc481660520" w:displacedByCustomXml="prev"/>
    <w:bookmarkStart w:id="2" w:name="_Toc482202220" w:displacedByCustomXml="prev"/>
    <w:p w14:paraId="2F63F03A" w14:textId="0FAE2113" w:rsidR="004A199B" w:rsidRPr="00A274F0" w:rsidRDefault="004A199B" w:rsidP="00A274F0">
      <w:pPr>
        <w:pStyle w:val="ACFPSHeading1"/>
      </w:pPr>
      <w:bookmarkStart w:id="3" w:name="_Toc26870692"/>
      <w:r w:rsidRPr="00A274F0">
        <w:lastRenderedPageBreak/>
        <w:t>Executive Summary</w:t>
      </w:r>
      <w:bookmarkEnd w:id="3"/>
    </w:p>
    <w:p w14:paraId="4ADE84BE" w14:textId="1935314C" w:rsidR="00961187" w:rsidRDefault="006B65EA" w:rsidP="006B65EA">
      <w:pPr>
        <w:pStyle w:val="Heading2"/>
      </w:pPr>
      <w:bookmarkStart w:id="4" w:name="_Toc26870693"/>
      <w:r>
        <w:t>Introduction</w:t>
      </w:r>
      <w:bookmarkEnd w:id="4"/>
    </w:p>
    <w:p w14:paraId="27ABBC47" w14:textId="42F5D4BC" w:rsidR="00961187" w:rsidRPr="000635BA" w:rsidRDefault="006B65EA" w:rsidP="004A199B">
      <w:r w:rsidRPr="006B65EA">
        <w:t xml:space="preserve">Home care providers are currently paid </w:t>
      </w:r>
      <w:r w:rsidRPr="000635BA">
        <w:t>a care recipient’s full entitlement to Government subsidy for each month (i.e. their package level less any income-tested care fee), regardless of the services actually provided to the care recipient.</w:t>
      </w:r>
    </w:p>
    <w:p w14:paraId="6BEEFEAB" w14:textId="4AACE62C" w:rsidR="006B65EA" w:rsidRPr="000635BA" w:rsidRDefault="006B65EA" w:rsidP="004A199B"/>
    <w:p w14:paraId="66071028" w14:textId="476F7A01" w:rsidR="006B65EA" w:rsidRDefault="006B65EA" w:rsidP="004A199B">
      <w:r w:rsidRPr="000635BA">
        <w:t>In response to the Government’s announce</w:t>
      </w:r>
      <w:r w:rsidR="00975A35" w:rsidRPr="000635BA">
        <w:t>ment</w:t>
      </w:r>
      <w:r w:rsidRPr="000635BA">
        <w:t xml:space="preserve"> in </w:t>
      </w:r>
      <w:r w:rsidRPr="007C1947">
        <w:rPr>
          <w:i/>
        </w:rPr>
        <w:t>2019</w:t>
      </w:r>
      <w:r w:rsidR="000635BA" w:rsidRPr="007C1947">
        <w:rPr>
          <w:i/>
        </w:rPr>
        <w:t>/</w:t>
      </w:r>
      <w:r w:rsidRPr="007C1947">
        <w:rPr>
          <w:i/>
        </w:rPr>
        <w:t>20 Budget Paper 2</w:t>
      </w:r>
      <w:r w:rsidRPr="000635BA">
        <w:t xml:space="preserve"> that payment arrangements in home care would be improved to address stakeholder concerns about unspent funds and to align home care arrangements with other Government programs, such as the National Disability Insurance Scheme</w:t>
      </w:r>
      <w:r w:rsidR="00975A35" w:rsidRPr="000635BA">
        <w:t xml:space="preserve">, it has been proposed that payments to home care providers will be made in arrears based on the charges levied against a care </w:t>
      </w:r>
      <w:r w:rsidR="000635BA" w:rsidRPr="000635BA">
        <w:t>recipient’</w:t>
      </w:r>
      <w:r w:rsidR="00975A35" w:rsidRPr="000635BA">
        <w:t>s budget.</w:t>
      </w:r>
    </w:p>
    <w:p w14:paraId="68B9E4E4" w14:textId="3E8EDF43" w:rsidR="00975A35" w:rsidRDefault="00975A35" w:rsidP="004A199B"/>
    <w:p w14:paraId="0A17DE6A" w14:textId="3ECB707B" w:rsidR="00975A35" w:rsidRDefault="00975A35" w:rsidP="004A199B">
      <w:r w:rsidRPr="00C77DC8">
        <w:t>The Aged Care Financing Authority (ACFA) has released a consultation paper “Improving home care payment arrangements”</w:t>
      </w:r>
      <w:r>
        <w:t xml:space="preserve"> and </w:t>
      </w:r>
      <w:r w:rsidRPr="00975A35">
        <w:t xml:space="preserve">ACFA is required to examine the potential financial impact on home care providers of the above </w:t>
      </w:r>
      <w:r>
        <w:t xml:space="preserve">Budget measure </w:t>
      </w:r>
      <w:r w:rsidRPr="00975A35">
        <w:t>and provide advice.  StewartBrown has been engaged to assist ACFA with this analysis.</w:t>
      </w:r>
    </w:p>
    <w:p w14:paraId="1DA6FC32" w14:textId="2A25D804" w:rsidR="00975A35" w:rsidRDefault="00975A35" w:rsidP="004A199B"/>
    <w:p w14:paraId="08DCE0BB" w14:textId="5EE171B6" w:rsidR="00975A35" w:rsidRDefault="00975A35" w:rsidP="00975A35">
      <w:pPr>
        <w:pStyle w:val="Heading2"/>
      </w:pPr>
      <w:bookmarkStart w:id="5" w:name="_Toc26870694"/>
      <w:r>
        <w:t>Potential Financial Impact on Approved Providers</w:t>
      </w:r>
      <w:bookmarkEnd w:id="5"/>
    </w:p>
    <w:p w14:paraId="25C10797" w14:textId="3B7F5416" w:rsidR="001E60F8" w:rsidRPr="001E60F8" w:rsidRDefault="001E60F8" w:rsidP="001E60F8">
      <w:pPr>
        <w:spacing w:after="120"/>
      </w:pPr>
      <w:r w:rsidRPr="001E60F8">
        <w:t xml:space="preserve">The </w:t>
      </w:r>
      <w:r w:rsidR="009D36AD">
        <w:t>potential financial impact</w:t>
      </w:r>
      <w:r w:rsidRPr="001E60F8">
        <w:t xml:space="preserve"> to approved providers </w:t>
      </w:r>
      <w:r w:rsidR="00F04599">
        <w:t xml:space="preserve">(APs) </w:t>
      </w:r>
      <w:r w:rsidRPr="001E60F8">
        <w:t xml:space="preserve">are likely to be amplified for those </w:t>
      </w:r>
      <w:r w:rsidRPr="00B85F15">
        <w:t xml:space="preserve">smaller </w:t>
      </w:r>
      <w:r w:rsidR="00F04599">
        <w:t>AP</w:t>
      </w:r>
      <w:r w:rsidRPr="001E60F8">
        <w:t xml:space="preserve">s who do not have other major sources of revenue other than that generated from the delivery of home care packages. The </w:t>
      </w:r>
      <w:r w:rsidR="009D36AD">
        <w:t>impact</w:t>
      </w:r>
      <w:r w:rsidRPr="001E60F8">
        <w:t xml:space="preserve">s to </w:t>
      </w:r>
      <w:r w:rsidR="00F04599">
        <w:t>AP</w:t>
      </w:r>
      <w:r w:rsidRPr="001E60F8">
        <w:t>s can be categorised as follows:</w:t>
      </w:r>
    </w:p>
    <w:p w14:paraId="28B58E32" w14:textId="0391B455" w:rsidR="00333CB3" w:rsidRDefault="00333CB3" w:rsidP="005D395A">
      <w:pPr>
        <w:pStyle w:val="ListParagraph"/>
        <w:numPr>
          <w:ilvl w:val="0"/>
          <w:numId w:val="13"/>
        </w:numPr>
      </w:pPr>
      <w:r>
        <w:t>Short-term cash flow shortfalls as payments transition from advance to arrears and normal payments to employees and suppliers will need to continue</w:t>
      </w:r>
    </w:p>
    <w:p w14:paraId="581CEB14" w14:textId="77777777" w:rsidR="00333CB3" w:rsidRDefault="00333CB3" w:rsidP="005D395A">
      <w:pPr>
        <w:pStyle w:val="ListParagraph"/>
        <w:numPr>
          <w:ilvl w:val="0"/>
          <w:numId w:val="13"/>
        </w:numPr>
      </w:pPr>
      <w:r>
        <w:t>Operating with a negative margin so payments based on services provided will not sustain the business</w:t>
      </w:r>
    </w:p>
    <w:p w14:paraId="68735314" w14:textId="38BC9CA1" w:rsidR="00333CB3" w:rsidRDefault="00333CB3" w:rsidP="005D395A">
      <w:pPr>
        <w:pStyle w:val="ListParagraph"/>
        <w:numPr>
          <w:ilvl w:val="0"/>
          <w:numId w:val="13"/>
        </w:numPr>
      </w:pPr>
      <w:r>
        <w:t>A</w:t>
      </w:r>
      <w:r w:rsidR="00F04599">
        <w:t>P</w:t>
      </w:r>
      <w:r>
        <w:t>s using unspent funds as working capital and, accordingly, this will be diminished as those unspent funds are drawn down</w:t>
      </w:r>
    </w:p>
    <w:p w14:paraId="2B4706ED" w14:textId="2D06D695" w:rsidR="00333CB3" w:rsidRDefault="00333CB3" w:rsidP="005D395A">
      <w:pPr>
        <w:pStyle w:val="ListParagraph"/>
        <w:numPr>
          <w:ilvl w:val="0"/>
          <w:numId w:val="13"/>
        </w:numPr>
      </w:pPr>
      <w:r>
        <w:t>Inability to withstand interruptions to cash flows that might occur with the introduction of a new funding remittance system</w:t>
      </w:r>
    </w:p>
    <w:p w14:paraId="006263EA" w14:textId="77777777" w:rsidR="00333CB3" w:rsidRDefault="00333CB3" w:rsidP="00333CB3"/>
    <w:p w14:paraId="346B2216" w14:textId="6EF1135E" w:rsidR="00333CB3" w:rsidRDefault="00333CB3" w:rsidP="00333CB3">
      <w:r>
        <w:t xml:space="preserve">The other major impact on </w:t>
      </w:r>
      <w:r w:rsidR="00F04599">
        <w:t>AP</w:t>
      </w:r>
      <w:r>
        <w:t>s that may cause financial impacts would be additional costs associated with any additional administrative burden due to changes to the claiming and reconciliation process.</w:t>
      </w:r>
    </w:p>
    <w:p w14:paraId="753440E9" w14:textId="70AB2BBE" w:rsidR="00333CB3" w:rsidRDefault="00333CB3" w:rsidP="00333CB3"/>
    <w:p w14:paraId="71BA1706" w14:textId="325BD50C" w:rsidR="00333CB3" w:rsidRDefault="002223B7" w:rsidP="00333CB3">
      <w:r>
        <w:t xml:space="preserve">The analysis undertaken assesses the likely impact of each of these </w:t>
      </w:r>
      <w:r w:rsidR="00BF59F7">
        <w:t xml:space="preserve">risks to </w:t>
      </w:r>
      <w:r w:rsidR="00F04599">
        <w:t>AP</w:t>
      </w:r>
      <w:r w:rsidR="00BF59F7">
        <w:t xml:space="preserve">s to make conclusions as to the relative merit or unfavourable outcomes of the proposed changes to the current payment arrangements for </w:t>
      </w:r>
      <w:r w:rsidR="000635BA">
        <w:t>h</w:t>
      </w:r>
      <w:r w:rsidR="00BF59F7">
        <w:t xml:space="preserve">ome </w:t>
      </w:r>
      <w:r w:rsidR="000635BA">
        <w:t>c</w:t>
      </w:r>
      <w:r w:rsidR="00BF59F7">
        <w:t>are providers. Recommendations for mitigating risks of any financial impacts identified as a result of the analysis have also been made in this report.</w:t>
      </w:r>
    </w:p>
    <w:p w14:paraId="37B85323" w14:textId="77777777" w:rsidR="00BF59F7" w:rsidRDefault="00BF59F7" w:rsidP="00333CB3"/>
    <w:p w14:paraId="3D3FE1D0" w14:textId="4A492491" w:rsidR="0055399A" w:rsidRDefault="009D36AD" w:rsidP="009D36AD">
      <w:pPr>
        <w:pStyle w:val="Heading2"/>
      </w:pPr>
      <w:bookmarkStart w:id="6" w:name="_Toc26870695"/>
      <w:r>
        <w:t>Conclusion</w:t>
      </w:r>
      <w:bookmarkEnd w:id="6"/>
    </w:p>
    <w:p w14:paraId="431D3386" w14:textId="15DDA606" w:rsidR="009D36AD" w:rsidRDefault="009D36AD" w:rsidP="009D36AD">
      <w:pPr>
        <w:pStyle w:val="SubHeading"/>
      </w:pPr>
      <w:r>
        <w:t>Financial Performance</w:t>
      </w:r>
    </w:p>
    <w:p w14:paraId="24AE2DEB" w14:textId="33127627" w:rsidR="009D36AD" w:rsidRDefault="009D36AD" w:rsidP="009D36AD">
      <w:r w:rsidRPr="009D36AD">
        <w:t xml:space="preserve">The overall financial performance for </w:t>
      </w:r>
      <w:r w:rsidR="00C041D4">
        <w:t>A</w:t>
      </w:r>
      <w:r w:rsidR="00CD58CD">
        <w:t>P</w:t>
      </w:r>
      <w:r w:rsidRPr="009D36AD">
        <w:t>s, other than the potential additional interest expense and possibl</w:t>
      </w:r>
      <w:r>
        <w:t>e</w:t>
      </w:r>
      <w:r w:rsidRPr="009D36AD">
        <w:t xml:space="preserve"> interest revenue earned on unspent funds, will not be materially impacted by the proposed changes to funding arrangements in our opinion. A</w:t>
      </w:r>
      <w:r w:rsidR="00CD58CD">
        <w:t>P</w:t>
      </w:r>
      <w:r w:rsidRPr="009D36AD">
        <w:t xml:space="preserve">s record revenue based on </w:t>
      </w:r>
      <w:r w:rsidR="00BF4BC8">
        <w:t xml:space="preserve">actual </w:t>
      </w:r>
      <w:r w:rsidRPr="009D36AD">
        <w:t xml:space="preserve">service delivery rather than subsidy received, </w:t>
      </w:r>
      <w:r w:rsidR="00BF4BC8">
        <w:t xml:space="preserve">and this treatment will remain under any </w:t>
      </w:r>
      <w:r w:rsidR="00437425">
        <w:t xml:space="preserve">amended </w:t>
      </w:r>
      <w:r w:rsidR="00BF4BC8">
        <w:t>funding amendments.</w:t>
      </w:r>
      <w:r w:rsidR="00037DBB">
        <w:t xml:space="preserve"> Unspent funds (subsidy) is recorded as a liability and has no impact on the financial</w:t>
      </w:r>
      <w:r>
        <w:t xml:space="preserve"> </w:t>
      </w:r>
      <w:r w:rsidR="00037DBB">
        <w:t>operating results.</w:t>
      </w:r>
    </w:p>
    <w:p w14:paraId="111A78B0" w14:textId="13996B16" w:rsidR="009D36AD" w:rsidRDefault="009D36AD" w:rsidP="009D36AD"/>
    <w:p w14:paraId="7FADE1B0" w14:textId="572718E8" w:rsidR="009D36AD" w:rsidRDefault="009D36AD" w:rsidP="009D36AD"/>
    <w:p w14:paraId="11F36CC0" w14:textId="77777777" w:rsidR="00CD58CD" w:rsidRDefault="00CD58CD" w:rsidP="009D36AD"/>
    <w:p w14:paraId="28BCCCF2" w14:textId="5A4E943A" w:rsidR="009D36AD" w:rsidRDefault="009D36AD" w:rsidP="009D36AD">
      <w:pPr>
        <w:pStyle w:val="SubHeading"/>
      </w:pPr>
      <w:r>
        <w:t>Cash Flows (full subsidy paid in arrears)</w:t>
      </w:r>
    </w:p>
    <w:p w14:paraId="5558FEA0" w14:textId="2A3C3A03" w:rsidR="009D36AD" w:rsidRDefault="00536FCA" w:rsidP="0055399A">
      <w:r w:rsidRPr="00536FCA">
        <w:t xml:space="preserve">On average, and across each cohort of </w:t>
      </w:r>
      <w:r w:rsidR="00CD58CD">
        <w:t>AP</w:t>
      </w:r>
      <w:r w:rsidRPr="00536FCA">
        <w:t xml:space="preserve">s, the results of this detailed impact analysis indicate that there are </w:t>
      </w:r>
      <w:r w:rsidR="00CD58CD">
        <w:t>adequate</w:t>
      </w:r>
      <w:r w:rsidRPr="00536FCA">
        <w:t xml:space="preserve"> liquid </w:t>
      </w:r>
      <w:r w:rsidR="00CD58CD">
        <w:t>assets</w:t>
      </w:r>
      <w:r w:rsidRPr="00536FCA">
        <w:t xml:space="preserve"> </w:t>
      </w:r>
      <w:r w:rsidR="00CD58CD">
        <w:t xml:space="preserve">(cash and financial assets) </w:t>
      </w:r>
      <w:r w:rsidRPr="00536FCA">
        <w:t>held by at least 89% (</w:t>
      </w:r>
      <w:r w:rsidR="000313E2">
        <w:t xml:space="preserve">being </w:t>
      </w:r>
      <w:r w:rsidRPr="00536FCA">
        <w:t>477</w:t>
      </w:r>
      <w:r w:rsidR="000313E2">
        <w:t xml:space="preserve"> in number</w:t>
      </w:r>
      <w:r w:rsidRPr="00536FCA">
        <w:t xml:space="preserve">) of </w:t>
      </w:r>
      <w:r w:rsidR="00CD58CD">
        <w:t>AP</w:t>
      </w:r>
      <w:r w:rsidRPr="00536FCA">
        <w:t xml:space="preserve">s (from the data set of 535) to have sufficient cash flows to meet normal operating expenses for one month while the payment arrangements </w:t>
      </w:r>
      <w:r w:rsidR="000313E2">
        <w:t>for</w:t>
      </w:r>
      <w:r w:rsidRPr="00536FCA">
        <w:t xml:space="preserve"> the full </w:t>
      </w:r>
      <w:r w:rsidR="000313E2">
        <w:t xml:space="preserve">HCP </w:t>
      </w:r>
      <w:r w:rsidRPr="00536FCA">
        <w:t>subsidy transitions from being paid in advance to being paid in arrears</w:t>
      </w:r>
      <w:r w:rsidR="000313E2">
        <w:t>.</w:t>
      </w:r>
    </w:p>
    <w:p w14:paraId="11263858" w14:textId="024C505B" w:rsidR="000313E2" w:rsidRDefault="000313E2" w:rsidP="0055399A"/>
    <w:p w14:paraId="44B35201" w14:textId="6C51AA81" w:rsidR="000313E2" w:rsidRDefault="000313E2" w:rsidP="0055399A">
      <w:r>
        <w:t xml:space="preserve">We would anticipate that this </w:t>
      </w:r>
      <w:r w:rsidR="00CD58CD">
        <w:t>percentage</w:t>
      </w:r>
      <w:r>
        <w:t xml:space="preserve"> </w:t>
      </w:r>
      <w:r w:rsidR="00CD58CD">
        <w:t xml:space="preserve">of APs (89%) </w:t>
      </w:r>
      <w:r>
        <w:t xml:space="preserve">will be even higher if the </w:t>
      </w:r>
      <w:r w:rsidR="00266A28">
        <w:t xml:space="preserve">total liquid assets for the AP was included in the impact analysis for the remaining 11% considered to have marginal cash flow coverage. By way of explanation, the data was extracted from the Aged Care Financial Report (ACFR) for each AP, and where the AP does not also provide residential aged care services the </w:t>
      </w:r>
      <w:r w:rsidR="004C1780">
        <w:t xml:space="preserve">consolidated </w:t>
      </w:r>
      <w:r w:rsidR="00266A28">
        <w:t xml:space="preserve">balance sheet is not included, and the AP are </w:t>
      </w:r>
      <w:r w:rsidR="004C1780">
        <w:t xml:space="preserve">only </w:t>
      </w:r>
      <w:r w:rsidR="00266A28">
        <w:t>required to identify the liquid assets designated (allocated) to their respective home care segment. It was noted that in a number of instances, this allocation was significantly less than the likely liquid assets that the AP actually holds.</w:t>
      </w:r>
      <w:r>
        <w:t xml:space="preserve"> </w:t>
      </w:r>
    </w:p>
    <w:p w14:paraId="4BF29A77" w14:textId="351CAC89" w:rsidR="009D36AD" w:rsidRDefault="009D36AD" w:rsidP="0055399A"/>
    <w:p w14:paraId="35FC31F1" w14:textId="3954608A" w:rsidR="0025473C" w:rsidRDefault="0025473C" w:rsidP="0025473C">
      <w:pPr>
        <w:pStyle w:val="SubHeading"/>
      </w:pPr>
      <w:r>
        <w:t>Cash Flows (repayment of current unspent funds)</w:t>
      </w:r>
    </w:p>
    <w:p w14:paraId="0D068A9F" w14:textId="4EE777EA" w:rsidR="00BF4BC8" w:rsidRDefault="00037DBB" w:rsidP="0025473C">
      <w:r>
        <w:t xml:space="preserve">The proposed amendments include provision that the unspent funds held by the AP at the time of the transition to subsidy payment in arrears based on actual service delivery, will then be progressively repaid by the AP back to the </w:t>
      </w:r>
      <w:r w:rsidR="00610985">
        <w:t>Department of Human Services (DHS)</w:t>
      </w:r>
      <w:r>
        <w:t xml:space="preserve"> (who will then hold these unspent funds on behalf of the care recipient). This repayment will </w:t>
      </w:r>
      <w:r w:rsidR="00610985">
        <w:t xml:space="preserve">occur </w:t>
      </w:r>
      <w:r>
        <w:t xml:space="preserve">by the AP receiving a reduction in subsidy received each month until the unspent funds balance is fully </w:t>
      </w:r>
      <w:r w:rsidR="00610985">
        <w:t>acquitted.</w:t>
      </w:r>
    </w:p>
    <w:p w14:paraId="24E67C15" w14:textId="77777777" w:rsidR="00610985" w:rsidRDefault="00610985" w:rsidP="0025473C"/>
    <w:p w14:paraId="4E081FC3" w14:textId="5FFB18C5" w:rsidR="0025473C" w:rsidRDefault="0025473C" w:rsidP="0025473C">
      <w:r>
        <w:t xml:space="preserve">On the basis of the analysis testing conducted, over 95% of </w:t>
      </w:r>
      <w:r w:rsidR="00BF4BC8">
        <w:t>AP</w:t>
      </w:r>
      <w:r>
        <w:t xml:space="preserve">s could cater for a monthly reduction in subsidies equivalent to 20% of their monthly claim to DHS for services </w:t>
      </w:r>
      <w:r w:rsidR="00BF4BC8">
        <w:t xml:space="preserve">actually </w:t>
      </w:r>
      <w:r>
        <w:t>provided to care recipients</w:t>
      </w:r>
      <w:r w:rsidR="00BF4BC8">
        <w:t xml:space="preserve"> (clients)</w:t>
      </w:r>
      <w:r>
        <w:t xml:space="preserve">, to repay the unspent funds they currently hold. 23 </w:t>
      </w:r>
      <w:r w:rsidR="00610985">
        <w:t>AP</w:t>
      </w:r>
      <w:r>
        <w:t xml:space="preserve">s out of the total of 525 appear to have insufficient liquid asset levels to meet </w:t>
      </w:r>
      <w:r w:rsidR="004E0A8B">
        <w:t>these criteria</w:t>
      </w:r>
      <w:r>
        <w:t>.</w:t>
      </w:r>
    </w:p>
    <w:p w14:paraId="28B75E39" w14:textId="77777777" w:rsidR="0025473C" w:rsidRDefault="0025473C" w:rsidP="0025473C"/>
    <w:p w14:paraId="50045FF9" w14:textId="35E3B47E" w:rsidR="009D36AD" w:rsidRDefault="0025473C" w:rsidP="0025473C">
      <w:r>
        <w:t xml:space="preserve">At a subsidy reduction rate of 7.5% that percentage rises to 97.6% with only 13 of 535 </w:t>
      </w:r>
      <w:r w:rsidR="00610985">
        <w:t>AP</w:t>
      </w:r>
      <w:r>
        <w:t>s having insufficient liquid asset levels as reported on the ACFR home care segment note.</w:t>
      </w:r>
    </w:p>
    <w:p w14:paraId="6080475A" w14:textId="343E3AA3" w:rsidR="009D36AD" w:rsidRDefault="009D36AD" w:rsidP="0055399A"/>
    <w:p w14:paraId="525C4B1E" w14:textId="4F465232" w:rsidR="009D36AD" w:rsidRDefault="0025473C" w:rsidP="0025473C">
      <w:pPr>
        <w:pStyle w:val="SubHeading"/>
      </w:pPr>
      <w:r>
        <w:t>Transition Cash Flow Requirements</w:t>
      </w:r>
    </w:p>
    <w:p w14:paraId="26BEFAE9" w14:textId="623D363F" w:rsidR="0055399A" w:rsidRPr="009D36AD" w:rsidRDefault="0025473C" w:rsidP="0055399A">
      <w:r>
        <w:t>O</w:t>
      </w:r>
      <w:r w:rsidR="0055399A" w:rsidRPr="009D36AD">
        <w:t xml:space="preserve">n the basis of </w:t>
      </w:r>
      <w:r w:rsidR="002E4151">
        <w:t xml:space="preserve">the impact </w:t>
      </w:r>
      <w:r w:rsidR="0055399A" w:rsidRPr="009D36AD">
        <w:t>analysis</w:t>
      </w:r>
      <w:r w:rsidR="002E4151">
        <w:t xml:space="preserve"> conducted</w:t>
      </w:r>
      <w:r w:rsidR="0055399A" w:rsidRPr="009D36AD">
        <w:t xml:space="preserve">, we are of the opinion that the proposed changes to the funding arrangements will not create a level of financial strain to </w:t>
      </w:r>
      <w:r w:rsidR="00610985">
        <w:t>AP</w:t>
      </w:r>
      <w:r w:rsidR="0055399A" w:rsidRPr="009D36AD">
        <w:t>s of an amount that would require a significant short-term transitional funding requirement from the Government. Existing cash and financial assets reserves (including unspent funds held and unlikely to be utilised) would cover much of the additional cash flow requirements</w:t>
      </w:r>
      <w:r w:rsidR="00721BF6">
        <w:t xml:space="preserve"> during the transition period. </w:t>
      </w:r>
    </w:p>
    <w:p w14:paraId="07AC8A29" w14:textId="77777777" w:rsidR="0055399A" w:rsidRPr="009D36AD" w:rsidRDefault="0055399A" w:rsidP="0055399A"/>
    <w:p w14:paraId="013D09FF" w14:textId="77777777" w:rsidR="0055399A" w:rsidRDefault="0055399A" w:rsidP="0055399A">
      <w:r w:rsidRPr="009D36AD">
        <w:t>We also note that the receipt of funding (or sales revenue) in arrears is consistent with the business practice in most industry sectors within the economy.</w:t>
      </w:r>
    </w:p>
    <w:p w14:paraId="5AC72051" w14:textId="502091FE" w:rsidR="00721BF6" w:rsidRDefault="00721BF6" w:rsidP="00333CB3"/>
    <w:p w14:paraId="7C1C8AE2" w14:textId="4F6B9AF1" w:rsidR="00721BF6" w:rsidRDefault="00721BF6" w:rsidP="00721BF6">
      <w:pPr>
        <w:pStyle w:val="Heading2"/>
      </w:pPr>
      <w:bookmarkStart w:id="7" w:name="_Toc26870696"/>
      <w:r>
        <w:t>Considerations</w:t>
      </w:r>
      <w:bookmarkEnd w:id="7"/>
    </w:p>
    <w:p w14:paraId="71DB5F40" w14:textId="19352A60" w:rsidR="00721BF6" w:rsidRPr="00721BF6" w:rsidRDefault="00721BF6" w:rsidP="00721BF6">
      <w:pPr>
        <w:spacing w:after="120"/>
      </w:pPr>
      <w:r w:rsidRPr="00721BF6">
        <w:t xml:space="preserve">There are </w:t>
      </w:r>
      <w:r w:rsidR="000C5BE7">
        <w:t>a number of issues that should be considered</w:t>
      </w:r>
      <w:r w:rsidRPr="00721BF6">
        <w:t xml:space="preserve"> </w:t>
      </w:r>
      <w:r w:rsidR="00610985">
        <w:t xml:space="preserve">by ACFA </w:t>
      </w:r>
      <w:r>
        <w:t xml:space="preserve">that </w:t>
      </w:r>
      <w:r w:rsidRPr="00721BF6">
        <w:t xml:space="preserve">could impact on </w:t>
      </w:r>
      <w:r w:rsidR="00707D97">
        <w:t>AP</w:t>
      </w:r>
      <w:r w:rsidRPr="00721BF6">
        <w:t>s as follows:</w:t>
      </w:r>
    </w:p>
    <w:p w14:paraId="44F00876" w14:textId="692B090A" w:rsidR="00721BF6" w:rsidRPr="00721BF6" w:rsidRDefault="00721BF6" w:rsidP="005D395A">
      <w:pPr>
        <w:pStyle w:val="ListParagraph"/>
        <w:numPr>
          <w:ilvl w:val="0"/>
          <w:numId w:val="27"/>
        </w:numPr>
        <w:ind w:left="284" w:hanging="284"/>
      </w:pPr>
      <w:r>
        <w:t xml:space="preserve">The potential requirement </w:t>
      </w:r>
      <w:r w:rsidRPr="00721BF6">
        <w:t xml:space="preserve">to make significant adjustments to </w:t>
      </w:r>
      <w:r w:rsidR="00610985">
        <w:t xml:space="preserve">internal </w:t>
      </w:r>
      <w:r w:rsidRPr="00721BF6">
        <w:t xml:space="preserve">operating systems </w:t>
      </w:r>
      <w:r w:rsidR="00610985">
        <w:t xml:space="preserve">and software </w:t>
      </w:r>
      <w:r w:rsidRPr="00721BF6">
        <w:t xml:space="preserve">to facilitate the change in payment arrangements and </w:t>
      </w:r>
      <w:r w:rsidR="00610985">
        <w:t xml:space="preserve">the </w:t>
      </w:r>
      <w:r w:rsidRPr="00721BF6">
        <w:t>transmittal of required information to D</w:t>
      </w:r>
      <w:r w:rsidR="00610985">
        <w:t>HS</w:t>
      </w:r>
      <w:r w:rsidRPr="00721BF6">
        <w:t xml:space="preserve"> or other agenc</w:t>
      </w:r>
      <w:r w:rsidR="00610985">
        <w:t>ies</w:t>
      </w:r>
      <w:r w:rsidRPr="00721BF6">
        <w:t xml:space="preserve"> to instigate the payment transaction</w:t>
      </w:r>
    </w:p>
    <w:p w14:paraId="3FD4E454" w14:textId="77777777" w:rsidR="00721BF6" w:rsidRDefault="00721BF6" w:rsidP="00721BF6"/>
    <w:p w14:paraId="47816BD6" w14:textId="22642D11" w:rsidR="00721BF6" w:rsidRPr="00721BF6" w:rsidRDefault="00721BF6" w:rsidP="005D395A">
      <w:pPr>
        <w:pStyle w:val="ListParagraph"/>
        <w:numPr>
          <w:ilvl w:val="0"/>
          <w:numId w:val="27"/>
        </w:numPr>
        <w:ind w:left="284" w:hanging="284"/>
      </w:pPr>
      <w:r>
        <w:t>A</w:t>
      </w:r>
      <w:r w:rsidRPr="00721BF6">
        <w:t xml:space="preserve"> prolonged disruption to payments to </w:t>
      </w:r>
      <w:r w:rsidR="00707D97">
        <w:t>AP</w:t>
      </w:r>
      <w:r w:rsidRPr="00721BF6">
        <w:t xml:space="preserve">s as a result of the payment system (through DHS or equivalent) </w:t>
      </w:r>
      <w:r>
        <w:t xml:space="preserve">in </w:t>
      </w:r>
      <w:r w:rsidRPr="00721BF6">
        <w:t xml:space="preserve">not making payments on time or facilitating a smooth reconciliation process between the DHS system and the </w:t>
      </w:r>
      <w:r w:rsidR="00707D97">
        <w:t>AP</w:t>
      </w:r>
      <w:r w:rsidRPr="00721BF6">
        <w:t xml:space="preserve"> internal systems  </w:t>
      </w:r>
    </w:p>
    <w:p w14:paraId="46306CE8" w14:textId="7FDB8502" w:rsidR="000C5BE7" w:rsidRDefault="000C5BE7" w:rsidP="005D395A">
      <w:pPr>
        <w:pStyle w:val="ListParagraph"/>
        <w:numPr>
          <w:ilvl w:val="0"/>
          <w:numId w:val="27"/>
        </w:numPr>
        <w:ind w:left="284" w:hanging="284"/>
      </w:pPr>
      <w:r>
        <w:lastRenderedPageBreak/>
        <w:t xml:space="preserve">Phases 2 and 3 of the proposed funding changes be implemented following a further analysis of the liquidity position of </w:t>
      </w:r>
      <w:r w:rsidR="00707D97">
        <w:t>AP</w:t>
      </w:r>
      <w:r>
        <w:t>s based on the FY20 ACFR which should include their respective consolidated (organisation level) liquid assets position. This financial analysis should not require a significant amount of time or cost and accordingly is not anticipated to delay the proposed timing</w:t>
      </w:r>
    </w:p>
    <w:p w14:paraId="4ACECE0E" w14:textId="77777777" w:rsidR="000C5BE7" w:rsidRDefault="000C5BE7" w:rsidP="000C5BE7">
      <w:pPr>
        <w:pStyle w:val="ListParagraph"/>
      </w:pPr>
    </w:p>
    <w:p w14:paraId="254B1C95" w14:textId="2A1582EF" w:rsidR="00721BF6" w:rsidRDefault="000C5BE7" w:rsidP="005D395A">
      <w:pPr>
        <w:pStyle w:val="ListParagraph"/>
        <w:numPr>
          <w:ilvl w:val="0"/>
          <w:numId w:val="27"/>
        </w:numPr>
        <w:ind w:left="284" w:hanging="284"/>
      </w:pPr>
      <w:r>
        <w:t xml:space="preserve">Review of the proposed timing for implementation to occur from 1 July 2010 and 1 July 2021 (being after the fiscal year-end) </w:t>
      </w:r>
    </w:p>
    <w:p w14:paraId="030DFE77" w14:textId="77777777" w:rsidR="00721BF6" w:rsidRDefault="00721BF6" w:rsidP="00333CB3"/>
    <w:p w14:paraId="3B9B344A" w14:textId="355DD535" w:rsidR="00721BF6" w:rsidRDefault="000C5BE7" w:rsidP="000C5BE7">
      <w:pPr>
        <w:pStyle w:val="Heading2"/>
      </w:pPr>
      <w:bookmarkStart w:id="8" w:name="_Toc26870697"/>
      <w:r>
        <w:t>Significant Risk</w:t>
      </w:r>
      <w:bookmarkEnd w:id="8"/>
    </w:p>
    <w:p w14:paraId="7CE50A21" w14:textId="3018B083" w:rsidR="00721BF6" w:rsidRDefault="00721BF6" w:rsidP="00721BF6">
      <w:r>
        <w:t xml:space="preserve">If the Government, through DHS (Medicare) required </w:t>
      </w:r>
      <w:r w:rsidR="00707D97">
        <w:t>AP</w:t>
      </w:r>
      <w:r>
        <w:t>s to submit each claim at the individual care recipient level (similar to NDIS funding), this could result in considerable additional work, not only in making the claim but also reconciling the reimbursed funding receipt to the claim on a care recipient by care recipient basis.</w:t>
      </w:r>
    </w:p>
    <w:p w14:paraId="79C29F6D" w14:textId="77777777" w:rsidR="00721BF6" w:rsidRDefault="00721BF6" w:rsidP="00721BF6"/>
    <w:p w14:paraId="5C3FED25" w14:textId="6FC9A7D8" w:rsidR="00721BF6" w:rsidRDefault="00721BF6" w:rsidP="00721BF6">
      <w:r>
        <w:t xml:space="preserve">While it reasonable to expect </w:t>
      </w:r>
      <w:r w:rsidR="00707D97">
        <w:t>AP</w:t>
      </w:r>
      <w:r>
        <w:t xml:space="preserve">s to extract from their respective home care subsidiary systems the aggregate amount for the monthly in arrears funding claim to DHS, a major concern that needs to be strongly considered is in relation to the additional workload. </w:t>
      </w:r>
    </w:p>
    <w:p w14:paraId="1B797DE9" w14:textId="77777777" w:rsidR="00721BF6" w:rsidRDefault="00721BF6" w:rsidP="00721BF6"/>
    <w:p w14:paraId="1EE0027A" w14:textId="36005FE0" w:rsidR="00721BF6" w:rsidRDefault="00721BF6" w:rsidP="00721BF6">
      <w:r>
        <w:t xml:space="preserve">If there was a valid reason for requiring </w:t>
      </w:r>
      <w:r w:rsidR="00707D97">
        <w:t>AP</w:t>
      </w:r>
      <w:r>
        <w:t>s to lodge claims at the care recipient level, we would suggest that this requirement be delayed until later stage once the initial transition to claiming in arrears had been completed.</w:t>
      </w:r>
    </w:p>
    <w:p w14:paraId="12CBC9F4" w14:textId="77777777" w:rsidR="00721BF6" w:rsidRDefault="00721BF6" w:rsidP="00721BF6"/>
    <w:p w14:paraId="7A62D051" w14:textId="0BC03BBF" w:rsidR="00333CB3" w:rsidRPr="000C5BE7" w:rsidRDefault="00721BF6" w:rsidP="00721BF6">
      <w:pPr>
        <w:rPr>
          <w:b/>
          <w:i/>
        </w:rPr>
      </w:pPr>
      <w:r w:rsidRPr="000C5BE7">
        <w:rPr>
          <w:b/>
          <w:i/>
        </w:rPr>
        <w:t xml:space="preserve">We </w:t>
      </w:r>
      <w:r w:rsidRPr="000C5BE7">
        <w:rPr>
          <w:b/>
          <w:i/>
          <w:u w:val="single"/>
        </w:rPr>
        <w:t>strongly recommend</w:t>
      </w:r>
      <w:r w:rsidRPr="000C5BE7">
        <w:rPr>
          <w:b/>
          <w:i/>
        </w:rPr>
        <w:t xml:space="preserve"> that subsidy claiming be conducted based on the aggregated data for the </w:t>
      </w:r>
      <w:r w:rsidR="00874364">
        <w:rPr>
          <w:b/>
          <w:i/>
        </w:rPr>
        <w:t>AP</w:t>
      </w:r>
      <w:r w:rsidRPr="000C5BE7">
        <w:rPr>
          <w:b/>
          <w:i/>
        </w:rPr>
        <w:t>.</w:t>
      </w:r>
      <w:r w:rsidR="00333CB3" w:rsidRPr="000C5BE7">
        <w:rPr>
          <w:b/>
          <w:i/>
        </w:rPr>
        <w:br w:type="page"/>
      </w:r>
    </w:p>
    <w:p w14:paraId="2F2ADE11" w14:textId="04E7102B" w:rsidR="000D427B" w:rsidRPr="00381293" w:rsidRDefault="007C6FA2" w:rsidP="00A274F0">
      <w:pPr>
        <w:pStyle w:val="ACFPSHeading1"/>
      </w:pPr>
      <w:bookmarkStart w:id="9" w:name="_Toc26870698"/>
      <w:r w:rsidRPr="00381293">
        <w:lastRenderedPageBreak/>
        <w:t>Background</w:t>
      </w:r>
      <w:bookmarkEnd w:id="9"/>
    </w:p>
    <w:p w14:paraId="1A95FD08" w14:textId="7AB68C42" w:rsidR="000D427B" w:rsidRPr="00A274F0" w:rsidRDefault="00935FD8" w:rsidP="00A274F0">
      <w:pPr>
        <w:pStyle w:val="Heading2"/>
      </w:pPr>
      <w:bookmarkStart w:id="10" w:name="_Toc26870699"/>
      <w:bookmarkStart w:id="11" w:name="_Toc472589160"/>
      <w:r w:rsidRPr="00A274F0">
        <w:t>Introduction</w:t>
      </w:r>
      <w:bookmarkEnd w:id="10"/>
      <w:r w:rsidRPr="00A274F0">
        <w:t xml:space="preserve"> </w:t>
      </w:r>
      <w:bookmarkEnd w:id="11"/>
    </w:p>
    <w:p w14:paraId="70B94846" w14:textId="77777777" w:rsidR="00C17406" w:rsidRDefault="00C77DC8" w:rsidP="00C17406">
      <w:pPr>
        <w:spacing w:after="120"/>
      </w:pPr>
      <w:bookmarkStart w:id="12" w:name="_Hlk512882655"/>
      <w:r w:rsidRPr="00C77DC8">
        <w:t xml:space="preserve">The Aged Care Financing Authority (ACFA) has released a consultation paper “Improving home care payment arrangements” which </w:t>
      </w:r>
      <w:r>
        <w:t>sets out the following</w:t>
      </w:r>
      <w:r w:rsidR="00500EC7">
        <w:t>:-</w:t>
      </w:r>
    </w:p>
    <w:p w14:paraId="32CA4F81" w14:textId="1C8335F2" w:rsidR="00C77DC8" w:rsidRPr="00055403" w:rsidRDefault="00C77DC8" w:rsidP="00C17406">
      <w:pPr>
        <w:pStyle w:val="SubHeading"/>
      </w:pPr>
      <w:r w:rsidRPr="00055403">
        <w:t>Background</w:t>
      </w:r>
    </w:p>
    <w:p w14:paraId="63FEB279" w14:textId="493E5F9E" w:rsidR="00C77DC8" w:rsidRDefault="00C77DC8" w:rsidP="00C17406">
      <w:bookmarkStart w:id="13" w:name="_Hlk25547039"/>
      <w:r w:rsidRPr="00055403">
        <w:t>The Government announced in 2019</w:t>
      </w:r>
      <w:r w:rsidRPr="00055403">
        <w:noBreakHyphen/>
        <w:t xml:space="preserve">20 Budget Paper 2 under its measure </w:t>
      </w:r>
      <w:r w:rsidRPr="00055403">
        <w:rPr>
          <w:i/>
        </w:rPr>
        <w:t xml:space="preserve">More Choices for a Longer Life – improving the quality, safety and accessibility of aged care </w:t>
      </w:r>
      <w:r w:rsidRPr="00055403">
        <w:t xml:space="preserve">services, that payment arrangements in home care would be improved to address stakeholder concerns about unspent funds and to align home care arrangements with other Government programs, such as the </w:t>
      </w:r>
      <w:r w:rsidRPr="00055403">
        <w:rPr>
          <w:i/>
        </w:rPr>
        <w:t>National Disability Insurance Scheme</w:t>
      </w:r>
      <w:r w:rsidRPr="00055403">
        <w:t>.</w:t>
      </w:r>
      <w:bookmarkEnd w:id="13"/>
    </w:p>
    <w:p w14:paraId="78E7048A" w14:textId="77777777" w:rsidR="00C17406" w:rsidRDefault="00C17406" w:rsidP="00C17406"/>
    <w:p w14:paraId="678D4DF4" w14:textId="3FEF9876" w:rsidR="00C77DC8" w:rsidRPr="00055403" w:rsidRDefault="00C77DC8" w:rsidP="004A199B">
      <w:pPr>
        <w:pStyle w:val="SubHeading"/>
      </w:pPr>
      <w:r w:rsidRPr="00055403">
        <w:t xml:space="preserve">Proposed </w:t>
      </w:r>
      <w:r w:rsidR="00A274F0">
        <w:t>P</w:t>
      </w:r>
      <w:r w:rsidRPr="00055403">
        <w:t>ayment Arrangements</w:t>
      </w:r>
    </w:p>
    <w:p w14:paraId="6B54D1B2" w14:textId="7B6B06F1" w:rsidR="00C77DC8" w:rsidRDefault="00C77DC8" w:rsidP="00C17406">
      <w:r w:rsidRPr="00055403">
        <w:t xml:space="preserve">The Budget measure involves home care providers being paid for the services provided to care recipients. The difference between the full Government </w:t>
      </w:r>
      <w:proofErr w:type="gramStart"/>
      <w:r w:rsidRPr="00055403">
        <w:t>subsidy</w:t>
      </w:r>
      <w:proofErr w:type="gramEnd"/>
      <w:r w:rsidRPr="00055403">
        <w:t xml:space="preserve"> that the care recipient is eligible to receive based on package level and days in care and the cost of the services actually provided to the care recipient will be held by the Department of Human Services (DHS) to be drawn upon by the care recipient in future, through the </w:t>
      </w:r>
      <w:r w:rsidR="00192B86">
        <w:t>AP</w:t>
      </w:r>
      <w:r w:rsidRPr="00055403">
        <w:t>.</w:t>
      </w:r>
    </w:p>
    <w:p w14:paraId="5327F352" w14:textId="77777777" w:rsidR="00C17406" w:rsidRPr="00055403" w:rsidRDefault="00C17406" w:rsidP="00C17406"/>
    <w:p w14:paraId="1DCF2EAD" w14:textId="3EAE756B" w:rsidR="00500EC7" w:rsidRDefault="00C77DC8" w:rsidP="00C17406">
      <w:r w:rsidRPr="00055403">
        <w:t>It is proposed that the available funds of care recipients held by providers will be drawn down as part of the implementation of the new payment arrangements.</w:t>
      </w:r>
    </w:p>
    <w:p w14:paraId="45DB618A" w14:textId="77777777" w:rsidR="00C17406" w:rsidRDefault="00C17406" w:rsidP="00C17406"/>
    <w:p w14:paraId="251DA9CC" w14:textId="765F422C" w:rsidR="00500EC7" w:rsidRDefault="00500EC7" w:rsidP="0000677E">
      <w:r>
        <w:t xml:space="preserve">ACFA is required to examine the potential financial impact on home care providers of the above Budget </w:t>
      </w:r>
      <w:r w:rsidR="00975A35">
        <w:t xml:space="preserve">measure </w:t>
      </w:r>
      <w:r>
        <w:t>and provide advice.  StewartBrown has been engaged to assist ACFA with this</w:t>
      </w:r>
      <w:r w:rsidR="00A274F0">
        <w:t xml:space="preserve"> analysis</w:t>
      </w:r>
      <w:r>
        <w:t xml:space="preserve">. </w:t>
      </w:r>
    </w:p>
    <w:p w14:paraId="3F7A79AF" w14:textId="589B1766" w:rsidR="00F76406" w:rsidRDefault="00F76406" w:rsidP="0000677E"/>
    <w:p w14:paraId="03FB28A1" w14:textId="353C6F79" w:rsidR="00F76406" w:rsidRDefault="00F76406" w:rsidP="00F76406">
      <w:pPr>
        <w:pStyle w:val="SubHeading"/>
      </w:pPr>
      <w:r>
        <w:t>Previous Analysis</w:t>
      </w:r>
    </w:p>
    <w:p w14:paraId="55525811" w14:textId="77777777" w:rsidR="00F76406" w:rsidRDefault="00F76406" w:rsidP="00F76406">
      <w:r>
        <w:t xml:space="preserve">In December 2018, StewartBrown undertook a high-level overview of the likely impact of the proposed changes to the payment arrangements for Home care packages. </w:t>
      </w:r>
    </w:p>
    <w:p w14:paraId="53096B20" w14:textId="77777777" w:rsidR="00F76406" w:rsidRDefault="00F76406" w:rsidP="00F76406"/>
    <w:p w14:paraId="2B5F9A7F" w14:textId="77777777" w:rsidR="00F76406" w:rsidRDefault="00F76406" w:rsidP="00F76406">
      <w:pPr>
        <w:spacing w:after="120"/>
      </w:pPr>
      <w:r>
        <w:t>For the purpose of that analysis, HCP providers were grouped by size based on revenue and the following analysis was undertaken to establish:</w:t>
      </w:r>
    </w:p>
    <w:p w14:paraId="0DB6B4E2" w14:textId="77777777" w:rsidR="00F76406" w:rsidRPr="00137E6A" w:rsidRDefault="00F76406" w:rsidP="005D395A">
      <w:pPr>
        <w:numPr>
          <w:ilvl w:val="0"/>
          <w:numId w:val="14"/>
        </w:numPr>
        <w:spacing w:line="259" w:lineRule="auto"/>
        <w:contextualSpacing/>
        <w:rPr>
          <w:rFonts w:eastAsiaTheme="minorHAnsi"/>
        </w:rPr>
      </w:pPr>
      <w:r w:rsidRPr="00137E6A">
        <w:rPr>
          <w:rFonts w:eastAsiaTheme="minorHAnsi"/>
        </w:rPr>
        <w:t xml:space="preserve">The unspent funds coverage </w:t>
      </w:r>
    </w:p>
    <w:p w14:paraId="3546052A" w14:textId="77777777" w:rsidR="00F76406" w:rsidRPr="00137E6A" w:rsidRDefault="00F76406" w:rsidP="005D395A">
      <w:pPr>
        <w:numPr>
          <w:ilvl w:val="0"/>
          <w:numId w:val="14"/>
        </w:numPr>
        <w:spacing w:line="259" w:lineRule="auto"/>
        <w:contextualSpacing/>
        <w:rPr>
          <w:rFonts w:eastAsiaTheme="minorHAnsi"/>
        </w:rPr>
      </w:pPr>
      <w:r w:rsidRPr="00137E6A">
        <w:rPr>
          <w:rFonts w:eastAsiaTheme="minorHAnsi"/>
        </w:rPr>
        <w:t xml:space="preserve">The cash flow coverage </w:t>
      </w:r>
    </w:p>
    <w:p w14:paraId="5A40E589" w14:textId="121C3EC2" w:rsidR="00F76406" w:rsidRPr="00137E6A" w:rsidRDefault="00F76406" w:rsidP="005D395A">
      <w:pPr>
        <w:numPr>
          <w:ilvl w:val="0"/>
          <w:numId w:val="14"/>
        </w:numPr>
        <w:spacing w:line="259" w:lineRule="auto"/>
        <w:contextualSpacing/>
        <w:rPr>
          <w:rFonts w:eastAsiaTheme="minorHAnsi"/>
        </w:rPr>
      </w:pPr>
      <w:r w:rsidRPr="00137E6A">
        <w:rPr>
          <w:rFonts w:eastAsiaTheme="minorHAnsi"/>
        </w:rPr>
        <w:t>The net HCP result or net margin for the A</w:t>
      </w:r>
      <w:r w:rsidR="00192B86">
        <w:rPr>
          <w:rFonts w:eastAsiaTheme="minorHAnsi"/>
        </w:rPr>
        <w:t>P</w:t>
      </w:r>
      <w:r w:rsidRPr="00137E6A">
        <w:rPr>
          <w:rFonts w:eastAsiaTheme="minorHAnsi"/>
        </w:rPr>
        <w:t xml:space="preserve"> </w:t>
      </w:r>
    </w:p>
    <w:p w14:paraId="06B2AB57" w14:textId="77777777" w:rsidR="00F76406" w:rsidRDefault="00F76406" w:rsidP="00F76406"/>
    <w:p w14:paraId="0F63D1AB" w14:textId="77777777" w:rsidR="00F76406" w:rsidRDefault="00F76406" w:rsidP="00F76406">
      <w:r w:rsidRPr="00137E6A">
        <w:t xml:space="preserve">These measures </w:t>
      </w:r>
      <w:r>
        <w:t>were</w:t>
      </w:r>
      <w:r w:rsidRPr="00137E6A">
        <w:t xml:space="preserve"> used to assess the potential financial vulnerability of the home care providers individually and in aggregate to the proposed home care funding changes if they were implemented.</w:t>
      </w:r>
      <w:r>
        <w:t xml:space="preserve"> </w:t>
      </w:r>
    </w:p>
    <w:p w14:paraId="036F5548" w14:textId="77777777" w:rsidR="00F76406" w:rsidRDefault="00F76406" w:rsidP="00F76406"/>
    <w:p w14:paraId="61275B8F" w14:textId="77777777" w:rsidR="00F76406" w:rsidRDefault="00F76406" w:rsidP="00F76406">
      <w:r>
        <w:t>The analysis was performed on two different levels:</w:t>
      </w:r>
    </w:p>
    <w:p w14:paraId="3DF063D4" w14:textId="77777777" w:rsidR="00F76406" w:rsidRDefault="00F76406" w:rsidP="00F76406"/>
    <w:p w14:paraId="4A327E8D" w14:textId="77777777" w:rsidR="00F76406" w:rsidRDefault="00F76406" w:rsidP="00F76406">
      <w:r w:rsidRPr="006510A1">
        <w:rPr>
          <w:b/>
          <w:u w:val="single"/>
        </w:rPr>
        <w:t>Method 1</w:t>
      </w:r>
      <w:r>
        <w:t xml:space="preserve"> used cash and liquid assets allocated to the Home Care Segment. </w:t>
      </w:r>
    </w:p>
    <w:p w14:paraId="0E2DCC74" w14:textId="15B4E05A" w:rsidR="00F76406" w:rsidRDefault="00F76406" w:rsidP="00F76406">
      <w:r w:rsidRPr="006510A1">
        <w:rPr>
          <w:b/>
          <w:u w:val="single"/>
        </w:rPr>
        <w:t>Method 2</w:t>
      </w:r>
      <w:r>
        <w:t xml:space="preserve"> used cash and liquid assets at the </w:t>
      </w:r>
      <w:r w:rsidR="00874364">
        <w:t xml:space="preserve">consolidated </w:t>
      </w:r>
      <w:r>
        <w:t xml:space="preserve">AP level. </w:t>
      </w:r>
    </w:p>
    <w:p w14:paraId="0E0940D5" w14:textId="77777777" w:rsidR="00F76406" w:rsidRDefault="00F76406" w:rsidP="00F76406"/>
    <w:p w14:paraId="1408D1D2" w14:textId="7E458532" w:rsidR="00F76406" w:rsidRPr="00137E6A" w:rsidRDefault="00F76406" w:rsidP="00F76406">
      <w:pPr>
        <w:rPr>
          <w:i/>
        </w:rPr>
      </w:pPr>
      <w:r w:rsidRPr="00137E6A">
        <w:rPr>
          <w:i/>
        </w:rPr>
        <w:t xml:space="preserve">It must be noted that the information at the </w:t>
      </w:r>
      <w:r w:rsidR="00874364">
        <w:rPr>
          <w:i/>
        </w:rPr>
        <w:t>consolidated AP</w:t>
      </w:r>
      <w:r w:rsidRPr="00137E6A">
        <w:rPr>
          <w:i/>
        </w:rPr>
        <w:t xml:space="preserve"> level is only available for those </w:t>
      </w:r>
      <w:r w:rsidR="00874364">
        <w:rPr>
          <w:i/>
        </w:rPr>
        <w:t>AP</w:t>
      </w:r>
      <w:r w:rsidRPr="00137E6A">
        <w:rPr>
          <w:i/>
        </w:rPr>
        <w:t xml:space="preserve">s that also operate a residential aged care home. </w:t>
      </w:r>
    </w:p>
    <w:p w14:paraId="31661FBC" w14:textId="77777777" w:rsidR="00F76406" w:rsidRDefault="00F76406" w:rsidP="00F76406"/>
    <w:p w14:paraId="35DC3CD9" w14:textId="764F5875" w:rsidR="00F76406" w:rsidRDefault="00F76406" w:rsidP="00F76406">
      <w:r>
        <w:t xml:space="preserve">For the purpose of the 2018 analysis </w:t>
      </w:r>
      <w:r w:rsidRPr="0012463A">
        <w:rPr>
          <w:b/>
          <w:i/>
        </w:rPr>
        <w:t>Liquid assets</w:t>
      </w:r>
      <w:r>
        <w:t xml:space="preserve"> included operating cash balances and deposits with Authorised Deposit taking Institutions.</w:t>
      </w:r>
    </w:p>
    <w:p w14:paraId="5D172A98" w14:textId="77777777" w:rsidR="00F76406" w:rsidRDefault="00F76406" w:rsidP="00F76406">
      <w:pPr>
        <w:spacing w:after="120"/>
      </w:pPr>
    </w:p>
    <w:p w14:paraId="5CC9FA49" w14:textId="49BDD822" w:rsidR="00F76406" w:rsidRDefault="00F76406" w:rsidP="00F76406">
      <w:pPr>
        <w:spacing w:after="120"/>
      </w:pPr>
      <w:r w:rsidRPr="00DC79C5">
        <w:lastRenderedPageBreak/>
        <w:t xml:space="preserve">Based on </w:t>
      </w:r>
      <w:r>
        <w:t>the December 2018</w:t>
      </w:r>
      <w:r w:rsidRPr="00DC79C5">
        <w:t xml:space="preserve"> analysis </w:t>
      </w:r>
      <w:r>
        <w:t xml:space="preserve">StewartBrown then concluded that: </w:t>
      </w:r>
    </w:p>
    <w:p w14:paraId="4B93A008" w14:textId="249DF4C9" w:rsidR="00F76406" w:rsidRDefault="00F76406" w:rsidP="005D395A">
      <w:pPr>
        <w:pStyle w:val="ListParagraph"/>
        <w:numPr>
          <w:ilvl w:val="0"/>
          <w:numId w:val="15"/>
        </w:numPr>
      </w:pPr>
      <w:r>
        <w:t>T</w:t>
      </w:r>
      <w:r w:rsidRPr="00DC79C5">
        <w:t xml:space="preserve">he majority of </w:t>
      </w:r>
      <w:r w:rsidR="00874364">
        <w:t xml:space="preserve">HCP </w:t>
      </w:r>
      <w:r w:rsidRPr="00DC79C5">
        <w:t>providers (between 74% and 98%) will not be adversely affected by the proposed change from funding in advance to funding in arrears</w:t>
      </w:r>
    </w:p>
    <w:p w14:paraId="796F20C1" w14:textId="62F56E63" w:rsidR="00F76406" w:rsidRDefault="00F76406" w:rsidP="005D395A">
      <w:pPr>
        <w:pStyle w:val="ListParagraph"/>
        <w:numPr>
          <w:ilvl w:val="0"/>
          <w:numId w:val="15"/>
        </w:numPr>
      </w:pPr>
      <w:r>
        <w:t>M</w:t>
      </w:r>
      <w:r w:rsidRPr="00DC79C5">
        <w:t>ost H</w:t>
      </w:r>
      <w:r w:rsidR="00874364">
        <w:t>CP</w:t>
      </w:r>
      <w:r w:rsidRPr="00DC79C5">
        <w:t xml:space="preserve"> providers analysed would have sufficient cash reserves (in the form of cash and cash equivalents and other current liquid assets) in order to continue operating over the implementation of such a change</w:t>
      </w:r>
    </w:p>
    <w:p w14:paraId="374881C0" w14:textId="500F930B" w:rsidR="00F76406" w:rsidRDefault="00F76406" w:rsidP="005D395A">
      <w:pPr>
        <w:pStyle w:val="ListParagraph"/>
        <w:numPr>
          <w:ilvl w:val="0"/>
          <w:numId w:val="15"/>
        </w:numPr>
      </w:pPr>
      <w:r w:rsidRPr="00DC79C5">
        <w:t>Depending on the methodology used</w:t>
      </w:r>
      <w:r>
        <w:t>,</w:t>
      </w:r>
      <w:r w:rsidRPr="00DC79C5">
        <w:t xml:space="preserve"> the number of those </w:t>
      </w:r>
      <w:r w:rsidR="00874364">
        <w:t>HCP</w:t>
      </w:r>
      <w:r>
        <w:t xml:space="preserve"> providers </w:t>
      </w:r>
      <w:r w:rsidRPr="00DC79C5">
        <w:t xml:space="preserve">vulnerable to the proposed funding changes ranges from 2% (16 providers) to 26% (220 providers) </w:t>
      </w:r>
    </w:p>
    <w:p w14:paraId="50DD8250" w14:textId="77777777" w:rsidR="00F76406" w:rsidRDefault="00F76406" w:rsidP="0000677E"/>
    <w:p w14:paraId="5EAC8F77" w14:textId="16A4A2C7" w:rsidR="007C6FA2" w:rsidRPr="003C5513" w:rsidRDefault="007C6FA2" w:rsidP="00A274F0">
      <w:pPr>
        <w:pStyle w:val="Heading2"/>
      </w:pPr>
      <w:bookmarkStart w:id="14" w:name="_Toc26870700"/>
      <w:bookmarkStart w:id="15" w:name="_Toc493672971"/>
      <w:bookmarkStart w:id="16" w:name="_Toc472589161"/>
      <w:bookmarkStart w:id="17" w:name="_Toc412537765"/>
      <w:bookmarkStart w:id="18" w:name="_Toc457990406"/>
      <w:bookmarkEnd w:id="12"/>
      <w:r>
        <w:t>Agreed Scope of Works</w:t>
      </w:r>
      <w:bookmarkEnd w:id="14"/>
      <w:r>
        <w:t xml:space="preserve"> </w:t>
      </w:r>
    </w:p>
    <w:p w14:paraId="4E208599" w14:textId="45BE3EDD" w:rsidR="00C77DC8" w:rsidRPr="000F1921" w:rsidRDefault="00C77DC8" w:rsidP="0000677E">
      <w:r w:rsidRPr="000F1921">
        <w:t xml:space="preserve">To provide a detailed and granular analysis of the likely financial impact of the proposed changes to the Home Care Package (HCP) payment arrangements from the current subsidy payment in advance to subsidy payment in arrears based on the services delivered to the </w:t>
      </w:r>
      <w:r w:rsidR="00874364">
        <w:t>care recipient (client)</w:t>
      </w:r>
      <w:r w:rsidRPr="000F1921">
        <w:t>.</w:t>
      </w:r>
    </w:p>
    <w:p w14:paraId="3B0458F4" w14:textId="77777777" w:rsidR="00C77DC8" w:rsidRPr="000F1921" w:rsidRDefault="00C77DC8" w:rsidP="0000677E"/>
    <w:p w14:paraId="50B2289B" w14:textId="3F692514" w:rsidR="00C77DC8" w:rsidRPr="000F1921" w:rsidRDefault="000F1921" w:rsidP="00B801D2">
      <w:pPr>
        <w:spacing w:after="120"/>
      </w:pPr>
      <w:r w:rsidRPr="000F1921">
        <w:t>The analysis would include</w:t>
      </w:r>
      <w:r w:rsidR="00C77DC8" w:rsidRPr="000F1921">
        <w:t>:</w:t>
      </w:r>
    </w:p>
    <w:p w14:paraId="5DCC9CF8" w14:textId="77777777" w:rsidR="00C77DC8" w:rsidRPr="00063258" w:rsidRDefault="00C77DC8" w:rsidP="005D395A">
      <w:pPr>
        <w:pStyle w:val="ListParagraph"/>
        <w:numPr>
          <w:ilvl w:val="0"/>
          <w:numId w:val="4"/>
        </w:numPr>
      </w:pPr>
      <w:bookmarkStart w:id="19" w:name="_Hlk24369887"/>
      <w:r w:rsidRPr="00063258">
        <w:t>Note and make use of the previous StewartBrown financial analysis (December 2018) performed at a high level as appropriate</w:t>
      </w:r>
    </w:p>
    <w:p w14:paraId="0DAECE0F" w14:textId="0FCD294B" w:rsidR="00C77DC8" w:rsidRPr="00063258" w:rsidRDefault="00C77DC8" w:rsidP="005D395A">
      <w:pPr>
        <w:pStyle w:val="ListParagraph"/>
        <w:numPr>
          <w:ilvl w:val="0"/>
          <w:numId w:val="4"/>
        </w:numPr>
      </w:pPr>
      <w:r w:rsidRPr="00063258">
        <w:t>Use the information available from the 2018-19 Aged Care Financial Report</w:t>
      </w:r>
      <w:r w:rsidR="003C71B6">
        <w:t xml:space="preserve"> (ACFR)</w:t>
      </w:r>
    </w:p>
    <w:p w14:paraId="0623C183" w14:textId="6E740D47" w:rsidR="00C77DC8" w:rsidRPr="00063258" w:rsidRDefault="00C77DC8" w:rsidP="005D395A">
      <w:pPr>
        <w:pStyle w:val="ListParagraph"/>
        <w:numPr>
          <w:ilvl w:val="0"/>
          <w:numId w:val="4"/>
        </w:numPr>
        <w:rPr>
          <w:i/>
        </w:rPr>
      </w:pPr>
      <w:r w:rsidRPr="00063258">
        <w:t xml:space="preserve">Use data obtained as part of the FY19 StewartBrown </w:t>
      </w:r>
      <w:r w:rsidRPr="00063258">
        <w:rPr>
          <w:i/>
        </w:rPr>
        <w:t>Aged Care Financial Performance Survey</w:t>
      </w:r>
      <w:r w:rsidR="00880186">
        <w:rPr>
          <w:i/>
        </w:rPr>
        <w:t xml:space="preserve"> </w:t>
      </w:r>
      <w:r w:rsidR="00880186" w:rsidRPr="00880186">
        <w:rPr>
          <w:i/>
        </w:rPr>
        <w:t>(Survey)</w:t>
      </w:r>
    </w:p>
    <w:p w14:paraId="24C36A93" w14:textId="41FC015F" w:rsidR="00C77DC8" w:rsidRPr="00063258" w:rsidRDefault="00C77DC8" w:rsidP="005D395A">
      <w:pPr>
        <w:pStyle w:val="ListParagraph"/>
        <w:numPr>
          <w:ilvl w:val="0"/>
          <w:numId w:val="4"/>
        </w:numPr>
      </w:pPr>
      <w:r w:rsidRPr="00063258">
        <w:t xml:space="preserve">Use information, where available from GPFS of a sample of </w:t>
      </w:r>
      <w:r w:rsidR="00192B86">
        <w:t>home care APs</w:t>
      </w:r>
    </w:p>
    <w:p w14:paraId="77DC54C7" w14:textId="418F3F9F" w:rsidR="00C77DC8" w:rsidRPr="00063258" w:rsidRDefault="00C77DC8" w:rsidP="005D395A">
      <w:pPr>
        <w:pStyle w:val="ListParagraph"/>
        <w:numPr>
          <w:ilvl w:val="0"/>
          <w:numId w:val="4"/>
        </w:numPr>
      </w:pPr>
      <w:r w:rsidRPr="00063258">
        <w:t>Use any other financial data that is available to them to make a detailed financial assessment of the likely impact on A</w:t>
      </w:r>
      <w:r w:rsidR="00874364">
        <w:t xml:space="preserve">Ps </w:t>
      </w:r>
      <w:r w:rsidRPr="00063258">
        <w:t>should there be a change in the method of making payments to them</w:t>
      </w:r>
    </w:p>
    <w:p w14:paraId="5AAD4C27" w14:textId="1C13C56D" w:rsidR="00C77DC8" w:rsidRPr="00063258" w:rsidRDefault="00C77DC8" w:rsidP="005D395A">
      <w:pPr>
        <w:pStyle w:val="ListParagraph"/>
        <w:numPr>
          <w:ilvl w:val="0"/>
          <w:numId w:val="4"/>
        </w:numPr>
      </w:pPr>
      <w:r w:rsidRPr="00063258">
        <w:t xml:space="preserve">Take into account </w:t>
      </w:r>
      <w:r w:rsidR="00192B86">
        <w:t>AP</w:t>
      </w:r>
      <w:r w:rsidRPr="00063258">
        <w:t xml:space="preserve"> characteristics such as size, location (State and region), capital (equity) base, working capital requirements and other related factors that may influence the impact of a change in payment arrangements</w:t>
      </w:r>
    </w:p>
    <w:p w14:paraId="124C87BE" w14:textId="77777777" w:rsidR="00B801D2" w:rsidRPr="00063258" w:rsidRDefault="00B801D2" w:rsidP="00B801D2">
      <w:pPr>
        <w:pStyle w:val="ListParagraph"/>
      </w:pPr>
    </w:p>
    <w:bookmarkEnd w:id="19"/>
    <w:p w14:paraId="1298048D" w14:textId="40900142" w:rsidR="00C77DC8" w:rsidRDefault="000F1921" w:rsidP="0000677E">
      <w:r w:rsidRPr="000F1921">
        <w:t>Consideration should be given to</w:t>
      </w:r>
      <w:r w:rsidR="00C77DC8" w:rsidRPr="000F1921">
        <w:t xml:space="preserve"> the information contained in the Aged Care Financing Authority consultation paper “Improving home care payment arrangements” when undertaking </w:t>
      </w:r>
      <w:r w:rsidRPr="000F1921">
        <w:t xml:space="preserve">the </w:t>
      </w:r>
      <w:r w:rsidR="00C77DC8" w:rsidRPr="000F1921">
        <w:t>analysis.</w:t>
      </w:r>
    </w:p>
    <w:p w14:paraId="694404D0" w14:textId="77777777" w:rsidR="00B145B6" w:rsidRDefault="00B145B6" w:rsidP="0000677E"/>
    <w:p w14:paraId="3E014D36" w14:textId="45055A86" w:rsidR="00B145B6" w:rsidRPr="003C5513" w:rsidRDefault="00B145B6" w:rsidP="00A274F0">
      <w:pPr>
        <w:pStyle w:val="Heading2"/>
      </w:pPr>
      <w:bookmarkStart w:id="20" w:name="_Toc26870701"/>
      <w:r>
        <w:t xml:space="preserve">Methodology and </w:t>
      </w:r>
      <w:r w:rsidR="001D1EB5">
        <w:t>A</w:t>
      </w:r>
      <w:r>
        <w:t>pproach</w:t>
      </w:r>
      <w:bookmarkEnd w:id="20"/>
      <w:r>
        <w:t xml:space="preserve">  </w:t>
      </w:r>
    </w:p>
    <w:p w14:paraId="3EDE57D6" w14:textId="335FE6C9" w:rsidR="00E23B6C" w:rsidRPr="00B801D2" w:rsidRDefault="001D1EB5" w:rsidP="00A274F0">
      <w:pPr>
        <w:spacing w:after="120"/>
      </w:pPr>
      <w:r w:rsidRPr="00B801D2">
        <w:t xml:space="preserve">StewartBrown </w:t>
      </w:r>
      <w:r w:rsidR="00E23B6C" w:rsidRPr="00B801D2">
        <w:t xml:space="preserve">conducted the </w:t>
      </w:r>
      <w:r w:rsidR="00F76406">
        <w:t xml:space="preserve">detailed </w:t>
      </w:r>
      <w:r w:rsidR="00E23B6C" w:rsidRPr="00B801D2">
        <w:t>analysis based on the data provided by the Department</w:t>
      </w:r>
      <w:r w:rsidR="005B5913">
        <w:t xml:space="preserve"> of Health (the Department)</w:t>
      </w:r>
      <w:r w:rsidR="00E23B6C" w:rsidRPr="00B801D2">
        <w:t>. This information was provided</w:t>
      </w:r>
      <w:r w:rsidR="00783877" w:rsidRPr="00B801D2">
        <w:t xml:space="preserve"> in the Excel workbook titled “H</w:t>
      </w:r>
      <w:r w:rsidR="00E23B6C" w:rsidRPr="00B801D2">
        <w:t xml:space="preserve">ome Care </w:t>
      </w:r>
      <w:r w:rsidR="00B801D2" w:rsidRPr="00B801D2">
        <w:t xml:space="preserve">Data </w:t>
      </w:r>
      <w:r w:rsidR="00EE179B">
        <w:t>07112019 v2</w:t>
      </w:r>
      <w:r w:rsidR="00783877" w:rsidRPr="00B801D2">
        <w:t>”</w:t>
      </w:r>
      <w:r w:rsidR="00E23B6C" w:rsidRPr="00B801D2">
        <w:t xml:space="preserve"> and included</w:t>
      </w:r>
      <w:r w:rsidRPr="00B801D2">
        <w:t>:-</w:t>
      </w:r>
      <w:r w:rsidR="00E23B6C" w:rsidRPr="00B801D2">
        <w:t xml:space="preserve"> </w:t>
      </w:r>
    </w:p>
    <w:p w14:paraId="406A46F1" w14:textId="778BA801" w:rsidR="00E23B6C" w:rsidRPr="00B801D2" w:rsidRDefault="00E23B6C" w:rsidP="005D395A">
      <w:pPr>
        <w:pStyle w:val="ListParagraph"/>
        <w:numPr>
          <w:ilvl w:val="0"/>
          <w:numId w:val="1"/>
        </w:numPr>
      </w:pPr>
      <w:r w:rsidRPr="00B801D2">
        <w:t xml:space="preserve">Name of the Approved Provider </w:t>
      </w:r>
      <w:r w:rsidR="00A274F0">
        <w:t>(AP)</w:t>
      </w:r>
    </w:p>
    <w:p w14:paraId="58988B6C" w14:textId="29B0B4B5" w:rsidR="00E23B6C" w:rsidRDefault="00783877" w:rsidP="005D395A">
      <w:pPr>
        <w:pStyle w:val="ListParagraph"/>
        <w:numPr>
          <w:ilvl w:val="0"/>
          <w:numId w:val="1"/>
        </w:numPr>
      </w:pPr>
      <w:r w:rsidRPr="004D78E2">
        <w:t>Fees and Charges a</w:t>
      </w:r>
      <w:r w:rsidR="00E23B6C" w:rsidRPr="004D78E2">
        <w:t xml:space="preserve">ssociated with the </w:t>
      </w:r>
      <w:r w:rsidR="00192B86">
        <w:t>AP</w:t>
      </w:r>
      <w:r w:rsidR="00E23B6C" w:rsidRPr="004D78E2">
        <w:t xml:space="preserve"> </w:t>
      </w:r>
      <w:r w:rsidR="00F76406">
        <w:t>as recorded in the home care segment data sheet</w:t>
      </w:r>
    </w:p>
    <w:p w14:paraId="051C5C09" w14:textId="100449A8" w:rsidR="00EE179B" w:rsidRPr="004D78E2" w:rsidRDefault="00EE179B" w:rsidP="005D395A">
      <w:pPr>
        <w:pStyle w:val="ListParagraph"/>
        <w:numPr>
          <w:ilvl w:val="0"/>
          <w:numId w:val="1"/>
        </w:numPr>
      </w:pPr>
      <w:r>
        <w:t xml:space="preserve">ACFR </w:t>
      </w:r>
      <w:r w:rsidR="00192B86">
        <w:t>d</w:t>
      </w:r>
      <w:r>
        <w:t xml:space="preserve">ata for those </w:t>
      </w:r>
      <w:r w:rsidR="00192B86">
        <w:t>h</w:t>
      </w:r>
      <w:r>
        <w:t xml:space="preserve">ome </w:t>
      </w:r>
      <w:r w:rsidR="00192B86">
        <w:t>c</w:t>
      </w:r>
      <w:r>
        <w:t xml:space="preserve">are </w:t>
      </w:r>
      <w:r w:rsidR="00192B86">
        <w:t>AP</w:t>
      </w:r>
      <w:r>
        <w:t xml:space="preserve">s with residential care operations </w:t>
      </w:r>
    </w:p>
    <w:p w14:paraId="485CD4C3" w14:textId="77777777" w:rsidR="00B801D2" w:rsidRPr="00B801D2" w:rsidRDefault="00B801D2" w:rsidP="00B801D2">
      <w:pPr>
        <w:pStyle w:val="ListParagraph"/>
      </w:pPr>
    </w:p>
    <w:p w14:paraId="013621C0" w14:textId="1C9A8CD9" w:rsidR="00E23B6C" w:rsidRPr="00B801D2" w:rsidRDefault="00E23B6C" w:rsidP="0000677E">
      <w:r w:rsidRPr="00B801D2">
        <w:t xml:space="preserve">In addition, </w:t>
      </w:r>
      <w:r w:rsidR="00783877" w:rsidRPr="00B801D2">
        <w:t xml:space="preserve">AP consolidated level </w:t>
      </w:r>
      <w:r w:rsidRPr="00B801D2">
        <w:t xml:space="preserve">data </w:t>
      </w:r>
      <w:r w:rsidR="00783877" w:rsidRPr="00B801D2">
        <w:t xml:space="preserve">and HCP program level data was included and analysed </w:t>
      </w:r>
      <w:r w:rsidR="00A274F0">
        <w:t xml:space="preserve">as </w:t>
      </w:r>
      <w:r w:rsidR="00D7282F" w:rsidRPr="00B801D2">
        <w:t>sourced from</w:t>
      </w:r>
      <w:r w:rsidRPr="00B801D2">
        <w:t xml:space="preserve"> the StewartBrown </w:t>
      </w:r>
      <w:r w:rsidRPr="00B801D2">
        <w:rPr>
          <w:i/>
        </w:rPr>
        <w:t>Aged Care Financial Performance Survey</w:t>
      </w:r>
      <w:r w:rsidRPr="00B801D2">
        <w:t xml:space="preserve"> for the year ended June 201</w:t>
      </w:r>
      <w:r w:rsidR="00A274F0">
        <w:t>9</w:t>
      </w:r>
      <w:r w:rsidRPr="00B801D2">
        <w:t xml:space="preserve">. </w:t>
      </w:r>
    </w:p>
    <w:p w14:paraId="5ECE07C4" w14:textId="77777777" w:rsidR="00536293" w:rsidRDefault="00536293" w:rsidP="0000677E">
      <w:pPr>
        <w:rPr>
          <w:highlight w:val="yellow"/>
        </w:rPr>
      </w:pPr>
    </w:p>
    <w:p w14:paraId="156911FB" w14:textId="77777777" w:rsidR="00F76406" w:rsidRDefault="00F76406" w:rsidP="00A274F0">
      <w:pPr>
        <w:spacing w:after="120"/>
      </w:pPr>
    </w:p>
    <w:p w14:paraId="03C8E00A" w14:textId="0F8A5939" w:rsidR="00F76406" w:rsidRDefault="00F76406" w:rsidP="00A274F0">
      <w:pPr>
        <w:spacing w:after="120"/>
      </w:pPr>
    </w:p>
    <w:p w14:paraId="498D931C" w14:textId="4040BE71" w:rsidR="00192B86" w:rsidRDefault="00192B86" w:rsidP="00A274F0">
      <w:pPr>
        <w:spacing w:after="120"/>
      </w:pPr>
    </w:p>
    <w:p w14:paraId="0ED6C334" w14:textId="77777777" w:rsidR="00C66F48" w:rsidRDefault="00C66F48" w:rsidP="00A274F0">
      <w:pPr>
        <w:spacing w:after="120"/>
      </w:pPr>
    </w:p>
    <w:p w14:paraId="11CE8B06" w14:textId="77777777" w:rsidR="00192B86" w:rsidRDefault="00192B86" w:rsidP="00A274F0">
      <w:pPr>
        <w:spacing w:after="120"/>
      </w:pPr>
    </w:p>
    <w:p w14:paraId="3C2F4C14" w14:textId="7AE379E9" w:rsidR="008F0A21" w:rsidRPr="000F1921" w:rsidRDefault="00A274F0" w:rsidP="00A274F0">
      <w:pPr>
        <w:spacing w:after="120"/>
      </w:pPr>
      <w:r>
        <w:lastRenderedPageBreak/>
        <w:t>T</w:t>
      </w:r>
      <w:r w:rsidR="008F0A21" w:rsidRPr="000F1921">
        <w:t xml:space="preserve">he approach </w:t>
      </w:r>
      <w:r>
        <w:t xml:space="preserve">to the analysis </w:t>
      </w:r>
      <w:r w:rsidR="008F0A21" w:rsidRPr="000F1921">
        <w:t>has been to determine the following</w:t>
      </w:r>
      <w:r w:rsidR="00783877" w:rsidRPr="000F1921">
        <w:t>:-</w:t>
      </w:r>
    </w:p>
    <w:p w14:paraId="6FA87015" w14:textId="3EA69C76" w:rsidR="00EE179B" w:rsidRDefault="00EE179B" w:rsidP="005D395A">
      <w:pPr>
        <w:pStyle w:val="ListParagraph"/>
        <w:numPr>
          <w:ilvl w:val="0"/>
          <w:numId w:val="2"/>
        </w:numPr>
      </w:pPr>
      <w:r w:rsidRPr="000F1921">
        <w:t xml:space="preserve">The net HCP result </w:t>
      </w:r>
      <w:r>
        <w:t>and</w:t>
      </w:r>
      <w:r w:rsidRPr="000F1921">
        <w:t xml:space="preserve"> net margin </w:t>
      </w:r>
      <w:r>
        <w:t xml:space="preserve">% </w:t>
      </w:r>
      <w:r w:rsidRPr="000F1921">
        <w:t xml:space="preserve">for the </w:t>
      </w:r>
      <w:r w:rsidR="00874364">
        <w:t>AP</w:t>
      </w:r>
      <w:r w:rsidR="00BF59F7">
        <w:t>s</w:t>
      </w:r>
      <w:r w:rsidRPr="000F1921">
        <w:t xml:space="preserve"> </w:t>
      </w:r>
    </w:p>
    <w:p w14:paraId="116E2B34" w14:textId="764253E4" w:rsidR="00EE179B" w:rsidRDefault="00EE179B" w:rsidP="005D395A">
      <w:pPr>
        <w:pStyle w:val="ListParagraph"/>
        <w:numPr>
          <w:ilvl w:val="0"/>
          <w:numId w:val="2"/>
        </w:numPr>
      </w:pPr>
      <w:r>
        <w:t>The likely impact of one month</w:t>
      </w:r>
      <w:r w:rsidR="003C71B6">
        <w:t>’</w:t>
      </w:r>
      <w:r>
        <w:t>s subsidy payment</w:t>
      </w:r>
      <w:r w:rsidR="003C71B6">
        <w:t xml:space="preserve"> in arrears</w:t>
      </w:r>
    </w:p>
    <w:p w14:paraId="3879FF69" w14:textId="77777777" w:rsidR="00F76406" w:rsidRDefault="00F76406" w:rsidP="005D395A">
      <w:pPr>
        <w:pStyle w:val="ListParagraph"/>
        <w:numPr>
          <w:ilvl w:val="0"/>
          <w:numId w:val="2"/>
        </w:numPr>
      </w:pPr>
      <w:r w:rsidRPr="000F1921">
        <w:t>The</w:t>
      </w:r>
      <w:r>
        <w:t xml:space="preserve"> likely impact of drawing down on unspent funds over time</w:t>
      </w:r>
      <w:r w:rsidRPr="000F1921">
        <w:t xml:space="preserve"> </w:t>
      </w:r>
    </w:p>
    <w:p w14:paraId="0B1E0631" w14:textId="74AC6383" w:rsidR="00EE179B" w:rsidRDefault="008F0A21" w:rsidP="005D395A">
      <w:pPr>
        <w:pStyle w:val="ListParagraph"/>
        <w:numPr>
          <w:ilvl w:val="0"/>
          <w:numId w:val="2"/>
        </w:numPr>
      </w:pPr>
      <w:r w:rsidRPr="000F1921">
        <w:t xml:space="preserve">The cash flow </w:t>
      </w:r>
      <w:r w:rsidR="00EE179B">
        <w:t xml:space="preserve">analysis for a </w:t>
      </w:r>
      <w:r w:rsidR="009F5766">
        <w:t>1</w:t>
      </w:r>
      <w:r w:rsidR="00EE179B">
        <w:t xml:space="preserve"> month delay in system payments </w:t>
      </w:r>
    </w:p>
    <w:p w14:paraId="0477303D" w14:textId="77777777" w:rsidR="00DF6F37" w:rsidRPr="000F1921" w:rsidRDefault="00DF6F37" w:rsidP="00EE179B">
      <w:pPr>
        <w:pStyle w:val="ListParagraph"/>
      </w:pPr>
    </w:p>
    <w:p w14:paraId="481AB6A4" w14:textId="677C242C" w:rsidR="00B0276F" w:rsidRDefault="008F0A21" w:rsidP="0000677E">
      <w:r w:rsidRPr="000F1921">
        <w:t xml:space="preserve">These measures are used to assess the </w:t>
      </w:r>
      <w:r w:rsidR="00783877" w:rsidRPr="000F1921">
        <w:t xml:space="preserve">potential financial </w:t>
      </w:r>
      <w:r w:rsidR="00F76406">
        <w:t>impact on</w:t>
      </w:r>
      <w:r w:rsidRPr="000F1921">
        <w:t xml:space="preserve"> </w:t>
      </w:r>
      <w:r w:rsidR="00874364">
        <w:t>AP</w:t>
      </w:r>
      <w:r w:rsidRPr="000F1921">
        <w:t>s individually and in aggregate to the proposed home care fundin</w:t>
      </w:r>
      <w:r w:rsidR="00783877" w:rsidRPr="000F1921">
        <w:t>g changes if they were implemented.</w:t>
      </w:r>
    </w:p>
    <w:p w14:paraId="018E7EDB" w14:textId="52A5542D" w:rsidR="00783877" w:rsidRDefault="00783877" w:rsidP="0000677E"/>
    <w:p w14:paraId="76074452" w14:textId="796EA34A" w:rsidR="007C6FA2" w:rsidRPr="005E2B2D" w:rsidRDefault="007C6FA2" w:rsidP="00A274F0">
      <w:pPr>
        <w:pStyle w:val="Heading2"/>
      </w:pPr>
      <w:bookmarkStart w:id="21" w:name="_Toc472589165"/>
      <w:bookmarkStart w:id="22" w:name="_Toc26870702"/>
      <w:r w:rsidRPr="005E2B2D">
        <w:t>Confidentiality</w:t>
      </w:r>
      <w:bookmarkEnd w:id="21"/>
      <w:bookmarkEnd w:id="22"/>
    </w:p>
    <w:p w14:paraId="5A1BFE0E" w14:textId="77777777" w:rsidR="000408AB" w:rsidRDefault="007C6FA2" w:rsidP="0000677E">
      <w:r w:rsidRPr="003C5513">
        <w:t xml:space="preserve">This report, and the information contained therein, including any recommendations made, is confidential and should only be used for the purpose for which the report was commissioned. </w:t>
      </w:r>
      <w:bookmarkStart w:id="23" w:name="_Toc412537766"/>
      <w:bookmarkStart w:id="24" w:name="_Toc457990407"/>
      <w:bookmarkStart w:id="25" w:name="_Toc472589166"/>
    </w:p>
    <w:p w14:paraId="75BE9655" w14:textId="77777777" w:rsidR="00783877" w:rsidRDefault="00783877" w:rsidP="0000677E"/>
    <w:p w14:paraId="6840ABF5" w14:textId="247B3B35" w:rsidR="007C6FA2" w:rsidRPr="003C5513" w:rsidRDefault="007C6FA2" w:rsidP="00A274F0">
      <w:pPr>
        <w:pStyle w:val="Heading2"/>
      </w:pPr>
      <w:bookmarkStart w:id="26" w:name="_Toc26870703"/>
      <w:r w:rsidRPr="003C5513">
        <w:t>Report Disclaimer</w:t>
      </w:r>
      <w:bookmarkEnd w:id="23"/>
      <w:bookmarkEnd w:id="24"/>
      <w:bookmarkEnd w:id="25"/>
      <w:bookmarkEnd w:id="26"/>
    </w:p>
    <w:p w14:paraId="1411B8D6" w14:textId="20649987" w:rsidR="007C6FA2" w:rsidRPr="003C5513" w:rsidRDefault="007C6FA2" w:rsidP="0000677E">
      <w:r w:rsidRPr="003C5513">
        <w:t xml:space="preserve">This report has been prepared under instructions from and for the sole use </w:t>
      </w:r>
      <w:r w:rsidR="00874364">
        <w:t xml:space="preserve">and distribution </w:t>
      </w:r>
      <w:r w:rsidRPr="003C5513">
        <w:t xml:space="preserve">by </w:t>
      </w:r>
      <w:r w:rsidR="00D7282F">
        <w:t>t</w:t>
      </w:r>
      <w:r w:rsidR="00FD548E">
        <w:t xml:space="preserve">he </w:t>
      </w:r>
      <w:r w:rsidR="00874364">
        <w:t xml:space="preserve">Aged Care Financing Authority and </w:t>
      </w:r>
      <w:r w:rsidR="00FD548E">
        <w:t>Department</w:t>
      </w:r>
      <w:r w:rsidRPr="003C5513">
        <w:t xml:space="preserve"> as part the </w:t>
      </w:r>
      <w:r w:rsidR="00D7282F">
        <w:t>scope described in section 1.2</w:t>
      </w:r>
      <w:r w:rsidRPr="003C5513">
        <w:t xml:space="preserve">. This report, including any analysis and opinions expressed therein is based on information provided to StewartBrown by </w:t>
      </w:r>
      <w:r w:rsidR="00D7282F">
        <w:t>t</w:t>
      </w:r>
      <w:r w:rsidR="00FD548E">
        <w:t>he Department</w:t>
      </w:r>
      <w:r w:rsidRPr="003C5513">
        <w:t xml:space="preserve"> staff and management.  For the purposes of this review, StewartBrown has not performed an audit on the financial data, accounts process flows or systems of internal control and accordingly has solely relied on the information provided by </w:t>
      </w:r>
      <w:r w:rsidR="00D7282F">
        <w:t>t</w:t>
      </w:r>
      <w:r w:rsidR="00FD548E">
        <w:t>he Department</w:t>
      </w:r>
      <w:r w:rsidRPr="003C5513">
        <w:t xml:space="preserve">.  This report should not be relied upon by any party other than </w:t>
      </w:r>
      <w:r w:rsidR="00874364">
        <w:t xml:space="preserve">ACFA and </w:t>
      </w:r>
      <w:r w:rsidR="00D7282F">
        <w:t>t</w:t>
      </w:r>
      <w:r w:rsidR="00FD548E">
        <w:t>he Department</w:t>
      </w:r>
      <w:r w:rsidRPr="003C5513">
        <w:t xml:space="preserve"> or for any purpose other than for which it has been written.  </w:t>
      </w:r>
    </w:p>
    <w:p w14:paraId="06ECB3A0" w14:textId="77777777" w:rsidR="007C6FA2" w:rsidRPr="003C5513" w:rsidRDefault="007C6FA2" w:rsidP="0000677E"/>
    <w:p w14:paraId="41B3B859" w14:textId="269B1455" w:rsidR="007C6FA2" w:rsidRPr="003C5513" w:rsidRDefault="007C6FA2" w:rsidP="00A274F0">
      <w:pPr>
        <w:pStyle w:val="Heading2"/>
      </w:pPr>
      <w:bookmarkStart w:id="27" w:name="_Toc26870704"/>
      <w:r w:rsidRPr="003C5513">
        <w:t>Independence Declaration</w:t>
      </w:r>
      <w:bookmarkEnd w:id="27"/>
    </w:p>
    <w:p w14:paraId="35342212" w14:textId="3E42090E" w:rsidR="00F3038E" w:rsidRDefault="007C6FA2" w:rsidP="0000677E">
      <w:r w:rsidRPr="003C5513">
        <w:t>There are no other matters in relation to this assignment that StewartBrown are aware of that would constitute a real or perceived conflict of interes</w:t>
      </w:r>
      <w:r w:rsidR="00783877">
        <w:t>t.</w:t>
      </w:r>
    </w:p>
    <w:p w14:paraId="49B159AE" w14:textId="77777777" w:rsidR="00F3038E" w:rsidRDefault="00F3038E" w:rsidP="0000677E">
      <w:pPr>
        <w:sectPr w:rsidR="00F3038E" w:rsidSect="000635BA">
          <w:headerReference w:type="even" r:id="rId13"/>
          <w:headerReference w:type="default" r:id="rId14"/>
          <w:footerReference w:type="default" r:id="rId15"/>
          <w:headerReference w:type="first" r:id="rId16"/>
          <w:pgSz w:w="11906" w:h="16838" w:code="9"/>
          <w:pgMar w:top="1418" w:right="1134" w:bottom="1418" w:left="1134" w:header="709" w:footer="709" w:gutter="0"/>
          <w:pgNumType w:start="0"/>
          <w:cols w:space="708"/>
          <w:titlePg/>
          <w:docGrid w:linePitch="360"/>
        </w:sectPr>
      </w:pPr>
    </w:p>
    <w:p w14:paraId="7278140F" w14:textId="198153BF" w:rsidR="00F3038E" w:rsidRDefault="00F3038E" w:rsidP="00A274F0">
      <w:pPr>
        <w:pStyle w:val="ACFPSHeading1"/>
      </w:pPr>
      <w:bookmarkStart w:id="28" w:name="_Toc26870705"/>
      <w:r>
        <w:lastRenderedPageBreak/>
        <w:t xml:space="preserve">Home Care </w:t>
      </w:r>
      <w:r w:rsidR="00D2353C">
        <w:t>Funding</w:t>
      </w:r>
      <w:bookmarkEnd w:id="28"/>
    </w:p>
    <w:p w14:paraId="21F95EC0" w14:textId="7BE9F7BB" w:rsidR="00F3038E" w:rsidRDefault="00F3038E" w:rsidP="00A274F0">
      <w:pPr>
        <w:pStyle w:val="Heading2"/>
      </w:pPr>
      <w:bookmarkStart w:id="29" w:name="_Toc26870706"/>
      <w:r>
        <w:t>Background</w:t>
      </w:r>
      <w:bookmarkEnd w:id="29"/>
    </w:p>
    <w:p w14:paraId="1C2F4FFC" w14:textId="77777777" w:rsidR="00170B27" w:rsidRPr="00C77DC8" w:rsidRDefault="00170B27" w:rsidP="0000677E">
      <w:r w:rsidRPr="00C77DC8">
        <w:t xml:space="preserve">The Australian Government provides a subsidy to an approved provider of home care to coordinate a package of care, services and case management to meet the individual needs of older Australians. The statutory authority is the </w:t>
      </w:r>
      <w:r w:rsidRPr="00C77DC8">
        <w:rPr>
          <w:i/>
        </w:rPr>
        <w:t>Aged Care Act 1997</w:t>
      </w:r>
      <w:r w:rsidRPr="00C77DC8">
        <w:t>.</w:t>
      </w:r>
    </w:p>
    <w:p w14:paraId="623AD175" w14:textId="77777777" w:rsidR="002410CC" w:rsidRDefault="002410CC" w:rsidP="00A274F0"/>
    <w:p w14:paraId="7E4D82C1" w14:textId="0FC3B671" w:rsidR="00170B27" w:rsidRPr="00C77DC8" w:rsidRDefault="00170B27" w:rsidP="00D2353C">
      <w:pPr>
        <w:spacing w:after="120"/>
      </w:pPr>
      <w:r w:rsidRPr="00C77DC8">
        <w:t>There are four levels of home care packages:-</w:t>
      </w:r>
    </w:p>
    <w:p w14:paraId="7E9E2F01" w14:textId="1685B3BA" w:rsidR="00170B27" w:rsidRPr="00C77DC8" w:rsidRDefault="00170B27" w:rsidP="0000677E">
      <w:r w:rsidRPr="00C77DC8">
        <w:t>Level 1 - basic care needs;</w:t>
      </w:r>
    </w:p>
    <w:p w14:paraId="157E342C" w14:textId="7ED96C04" w:rsidR="00170B27" w:rsidRPr="00C77DC8" w:rsidRDefault="00170B27" w:rsidP="0000677E">
      <w:r w:rsidRPr="00C77DC8">
        <w:t>Level 2 - low level care needs</w:t>
      </w:r>
    </w:p>
    <w:p w14:paraId="25A44ABC" w14:textId="0D24E966" w:rsidR="00170B27" w:rsidRPr="00C77DC8" w:rsidRDefault="00170B27" w:rsidP="0000677E">
      <w:r w:rsidRPr="00C77DC8">
        <w:t>Level 3 - intermediate care needs</w:t>
      </w:r>
    </w:p>
    <w:p w14:paraId="2AD3E477" w14:textId="01FA3154" w:rsidR="00170B27" w:rsidRPr="00C77DC8" w:rsidRDefault="00170B27" w:rsidP="0000677E">
      <w:r w:rsidRPr="00C77DC8">
        <w:t>Level 4 - high care needs</w:t>
      </w:r>
    </w:p>
    <w:p w14:paraId="183A7772" w14:textId="77777777" w:rsidR="005B5913" w:rsidRDefault="005B5913" w:rsidP="0000677E"/>
    <w:p w14:paraId="6E248A17" w14:textId="17B5F917" w:rsidR="00F3038E" w:rsidRDefault="00170B27" w:rsidP="0000677E">
      <w:r w:rsidRPr="00C77DC8">
        <w:t xml:space="preserve">When care commences all </w:t>
      </w:r>
      <w:r w:rsidR="00281031">
        <w:t>AP</w:t>
      </w:r>
      <w:r w:rsidRPr="00C77DC8">
        <w:t xml:space="preserve">s must deliver home care package services </w:t>
      </w:r>
      <w:r w:rsidR="005B5913">
        <w:t>on</w:t>
      </w:r>
      <w:r w:rsidRPr="00C77DC8">
        <w:t xml:space="preserve"> a consumer directed care basis.</w:t>
      </w:r>
    </w:p>
    <w:p w14:paraId="477E61CE" w14:textId="77777777" w:rsidR="00D2353C" w:rsidRPr="00C77DC8" w:rsidRDefault="00D2353C" w:rsidP="0000677E"/>
    <w:p w14:paraId="2B794016" w14:textId="3DC127A6" w:rsidR="00C77DC8" w:rsidRDefault="00C77DC8" w:rsidP="00A274F0">
      <w:pPr>
        <w:pStyle w:val="Heading2"/>
      </w:pPr>
      <w:bookmarkStart w:id="30" w:name="_Toc26870707"/>
      <w:r>
        <w:t xml:space="preserve">Current </w:t>
      </w:r>
      <w:r w:rsidR="00A274F0">
        <w:t>P</w:t>
      </w:r>
      <w:r>
        <w:t xml:space="preserve">ayment </w:t>
      </w:r>
      <w:r w:rsidR="00A274F0">
        <w:t>A</w:t>
      </w:r>
      <w:r>
        <w:t>rrangements</w:t>
      </w:r>
      <w:bookmarkEnd w:id="30"/>
      <w:r>
        <w:t xml:space="preserve"> </w:t>
      </w:r>
    </w:p>
    <w:p w14:paraId="17AF309F" w14:textId="795E8D19" w:rsidR="00500EC7" w:rsidRDefault="00500EC7" w:rsidP="0000677E">
      <w:pPr>
        <w:pStyle w:val="SubHeading"/>
      </w:pPr>
      <w:r>
        <w:t xml:space="preserve">Government </w:t>
      </w:r>
      <w:r w:rsidR="00A274F0">
        <w:t>S</w:t>
      </w:r>
      <w:r>
        <w:t>ubsidy</w:t>
      </w:r>
    </w:p>
    <w:p w14:paraId="48FFF722" w14:textId="2E0C3E5E" w:rsidR="00C77DC8" w:rsidRDefault="00C77DC8" w:rsidP="005B5913">
      <w:r w:rsidRPr="00C77DC8">
        <w:t>Home care providers are currently paid a care recipient’s full entitlement to Government subsidy for each</w:t>
      </w:r>
      <w:r w:rsidR="005B5913">
        <w:t xml:space="preserve"> </w:t>
      </w:r>
      <w:r w:rsidRPr="00C77DC8">
        <w:t>month (i.e. their package level less any income-tested care fee), regardless of the services actually</w:t>
      </w:r>
      <w:r w:rsidR="005B5913">
        <w:t xml:space="preserve"> </w:t>
      </w:r>
      <w:r w:rsidRPr="00C77DC8">
        <w:t xml:space="preserve">provided to the care recipient. </w:t>
      </w:r>
    </w:p>
    <w:p w14:paraId="2BED7897" w14:textId="77777777" w:rsidR="00C77DC8" w:rsidRDefault="00C77DC8" w:rsidP="0000677E"/>
    <w:p w14:paraId="4EC64E68" w14:textId="74BA3FFB" w:rsidR="00C77DC8" w:rsidRPr="00C77DC8" w:rsidRDefault="00C77DC8" w:rsidP="00A274F0">
      <w:pPr>
        <w:spacing w:after="120"/>
      </w:pPr>
      <w:r w:rsidRPr="00C77DC8">
        <w:t>The HCP subsidy is remitted to the A</w:t>
      </w:r>
      <w:r w:rsidR="00874364">
        <w:t>P</w:t>
      </w:r>
      <w:r w:rsidRPr="00C77DC8">
        <w:t xml:space="preserve"> on behalf of each eligible care recipient</w:t>
      </w:r>
      <w:r w:rsidR="00987E8F">
        <w:t xml:space="preserve"> (client)</w:t>
      </w:r>
      <w:r w:rsidRPr="00C77DC8">
        <w:t>. The subsidy is calculated as follows:-</w:t>
      </w:r>
    </w:p>
    <w:p w14:paraId="28BADE46" w14:textId="77777777" w:rsidR="00C77DC8" w:rsidRPr="00C77DC8" w:rsidRDefault="00C77DC8" w:rsidP="005D395A">
      <w:pPr>
        <w:pStyle w:val="ListParagraph"/>
        <w:numPr>
          <w:ilvl w:val="0"/>
          <w:numId w:val="3"/>
        </w:numPr>
      </w:pPr>
      <w:r w:rsidRPr="00C77DC8">
        <w:t>Basic subsidy amount</w:t>
      </w:r>
    </w:p>
    <w:p w14:paraId="23EDEBE3" w14:textId="77777777" w:rsidR="00C77DC8" w:rsidRPr="00C77DC8" w:rsidRDefault="00C77DC8" w:rsidP="005D395A">
      <w:pPr>
        <w:pStyle w:val="ListParagraph"/>
        <w:numPr>
          <w:ilvl w:val="0"/>
          <w:numId w:val="3"/>
        </w:numPr>
      </w:pPr>
      <w:r w:rsidRPr="00C77DC8">
        <w:rPr>
          <w:i/>
        </w:rPr>
        <w:t>plus</w:t>
      </w:r>
      <w:r w:rsidRPr="00C77DC8">
        <w:t xml:space="preserve"> primary supplements (oxygen, enteral feeding, dementia and cognition, veterans)</w:t>
      </w:r>
    </w:p>
    <w:p w14:paraId="797F2FBD" w14:textId="77777777" w:rsidR="00C77DC8" w:rsidRPr="00C77DC8" w:rsidRDefault="00C77DC8" w:rsidP="005D395A">
      <w:pPr>
        <w:pStyle w:val="ListParagraph"/>
        <w:numPr>
          <w:ilvl w:val="0"/>
          <w:numId w:val="3"/>
        </w:numPr>
      </w:pPr>
      <w:r w:rsidRPr="00C77DC8">
        <w:rPr>
          <w:i/>
        </w:rPr>
        <w:t>less</w:t>
      </w:r>
      <w:r w:rsidRPr="00C77DC8">
        <w:t xml:space="preserve"> any reductions in subsidy</w:t>
      </w:r>
    </w:p>
    <w:p w14:paraId="1F57626B" w14:textId="3EC106A4" w:rsidR="00C77DC8" w:rsidRDefault="00C77DC8" w:rsidP="005D395A">
      <w:pPr>
        <w:pStyle w:val="ListParagraph"/>
        <w:numPr>
          <w:ilvl w:val="0"/>
          <w:numId w:val="3"/>
        </w:numPr>
      </w:pPr>
      <w:r w:rsidRPr="00C77DC8">
        <w:rPr>
          <w:i/>
        </w:rPr>
        <w:t>plus</w:t>
      </w:r>
      <w:r w:rsidRPr="00C77DC8">
        <w:t xml:space="preserve"> any other supplements (hardship, viability)</w:t>
      </w:r>
    </w:p>
    <w:p w14:paraId="0E289B0C" w14:textId="77777777" w:rsidR="00C77DC8" w:rsidRPr="00C77DC8" w:rsidRDefault="00C77DC8" w:rsidP="0000677E">
      <w:pPr>
        <w:pStyle w:val="ListParagraph"/>
      </w:pPr>
    </w:p>
    <w:p w14:paraId="4C303552" w14:textId="06145D6D" w:rsidR="00C77DC8" w:rsidRDefault="00C77DC8" w:rsidP="0000677E">
      <w:r w:rsidRPr="00C77DC8">
        <w:rPr>
          <w:rFonts w:ascii="Calibri" w:eastAsia="Calibri" w:hAnsi="Calibri" w:cs="Times New Roman"/>
        </w:rPr>
        <w:t xml:space="preserve">The subsidy is </w:t>
      </w:r>
      <w:r w:rsidRPr="00C77DC8">
        <w:t>paid in two stages. Using the month of November as an example,</w:t>
      </w:r>
      <w:r>
        <w:t xml:space="preserve"> </w:t>
      </w:r>
      <w:r w:rsidRPr="00C77DC8">
        <w:t xml:space="preserve">the </w:t>
      </w:r>
      <w:r w:rsidR="00874364">
        <w:t>AP</w:t>
      </w:r>
      <w:r w:rsidRPr="00C77DC8">
        <w:t xml:space="preserve"> receives an advance payment at the</w:t>
      </w:r>
      <w:r w:rsidR="007F299E">
        <w:t xml:space="preserve"> beginning of </w:t>
      </w:r>
      <w:r w:rsidRPr="00C77DC8">
        <w:t>November equivalent to the amount received</w:t>
      </w:r>
      <w:r>
        <w:t xml:space="preserve"> </w:t>
      </w:r>
      <w:r w:rsidRPr="00C77DC8">
        <w:t>for the month two months earlier, being September. Then, at the start of the subsequent month,</w:t>
      </w:r>
      <w:r>
        <w:t xml:space="preserve"> </w:t>
      </w:r>
      <w:r w:rsidRPr="00C77DC8">
        <w:t xml:space="preserve">December, the </w:t>
      </w:r>
      <w:r w:rsidR="00874364">
        <w:t>AP</w:t>
      </w:r>
      <w:r w:rsidRPr="00C77DC8">
        <w:t xml:space="preserve"> lodges a claim specifying the actual subsidy due for November, at which time a</w:t>
      </w:r>
      <w:r>
        <w:t xml:space="preserve"> </w:t>
      </w:r>
      <w:r w:rsidRPr="00C77DC8">
        <w:t>reconciliation takes place.</w:t>
      </w:r>
    </w:p>
    <w:p w14:paraId="707A7376" w14:textId="77777777" w:rsidR="00C77DC8" w:rsidRPr="00C77DC8" w:rsidRDefault="00C77DC8" w:rsidP="0000677E"/>
    <w:p w14:paraId="07F539CF" w14:textId="1585217C" w:rsidR="00C77DC8" w:rsidRPr="007F299E" w:rsidRDefault="00C77DC8" w:rsidP="007F299E">
      <w:pPr>
        <w:rPr>
          <w:rFonts w:ascii="Calibri" w:eastAsia="Calibri" w:hAnsi="Calibri" w:cs="Times New Roman"/>
        </w:rPr>
      </w:pPr>
      <w:r w:rsidRPr="007F299E">
        <w:rPr>
          <w:rFonts w:ascii="Calibri" w:eastAsia="Calibri" w:hAnsi="Calibri" w:cs="Times New Roman"/>
        </w:rPr>
        <w:t>Any amount that is not spent providing care and services to a c</w:t>
      </w:r>
      <w:r w:rsidR="00281031">
        <w:rPr>
          <w:rFonts w:ascii="Calibri" w:eastAsia="Calibri" w:hAnsi="Calibri" w:cs="Times New Roman"/>
        </w:rPr>
        <w:t xml:space="preserve">are recipient </w:t>
      </w:r>
      <w:r w:rsidRPr="007F299E">
        <w:rPr>
          <w:rFonts w:ascii="Calibri" w:eastAsia="Calibri" w:hAnsi="Calibri" w:cs="Times New Roman"/>
        </w:rPr>
        <w:t>in a month is then held by the</w:t>
      </w:r>
      <w:r w:rsidR="007F299E" w:rsidRPr="007F299E">
        <w:rPr>
          <w:rFonts w:ascii="Calibri" w:eastAsia="Calibri" w:hAnsi="Calibri" w:cs="Times New Roman"/>
        </w:rPr>
        <w:t xml:space="preserve"> </w:t>
      </w:r>
      <w:r w:rsidR="00987E8F">
        <w:rPr>
          <w:rFonts w:ascii="Calibri" w:eastAsia="Calibri" w:hAnsi="Calibri" w:cs="Times New Roman"/>
        </w:rPr>
        <w:t>AP</w:t>
      </w:r>
      <w:r w:rsidRPr="007F299E">
        <w:rPr>
          <w:rFonts w:ascii="Calibri" w:eastAsia="Calibri" w:hAnsi="Calibri" w:cs="Times New Roman"/>
        </w:rPr>
        <w:t xml:space="preserve"> as available funds (unspent funds) to be drawn upon by the care recipient in future. </w:t>
      </w:r>
    </w:p>
    <w:p w14:paraId="597701E3" w14:textId="455E0355" w:rsidR="00170B27" w:rsidRPr="00C77DC8" w:rsidRDefault="00170B27" w:rsidP="0000677E"/>
    <w:p w14:paraId="7AEBB28F" w14:textId="64BBE01E" w:rsidR="00170B27" w:rsidRDefault="00500EC7" w:rsidP="0000677E">
      <w:pPr>
        <w:pStyle w:val="SubHeading"/>
      </w:pPr>
      <w:r>
        <w:t>C</w:t>
      </w:r>
      <w:r w:rsidR="00437CFE">
        <w:t>onsumer Contributions</w:t>
      </w:r>
    </w:p>
    <w:p w14:paraId="4E3C6D16" w14:textId="54F2B941" w:rsidR="008C1AA2" w:rsidRDefault="00DC2351" w:rsidP="0000677E">
      <w:r w:rsidRPr="00C77DC8">
        <w:t xml:space="preserve">Based on the care recipient’s personal financial circumstances, a consumer contribution may be levied by the </w:t>
      </w:r>
      <w:r w:rsidR="00987E8F">
        <w:t>AP</w:t>
      </w:r>
      <w:r w:rsidRPr="00C77DC8">
        <w:t xml:space="preserve"> to contribute to the cost of providing care. The amounts that can be charged are as included in the </w:t>
      </w:r>
      <w:r w:rsidRPr="00C77DC8">
        <w:rPr>
          <w:i/>
        </w:rPr>
        <w:t>Schedule of Fees and Charges for Residential and Home Care</w:t>
      </w:r>
      <w:r w:rsidRPr="00C77DC8">
        <w:t xml:space="preserve"> issued by the Department.</w:t>
      </w:r>
      <w:r w:rsidR="005B5913">
        <w:t xml:space="preserve"> </w:t>
      </w:r>
      <w:r w:rsidR="008C1AA2" w:rsidRPr="00C77DC8">
        <w:t>Care recipients will be financially assessed and an income tested fee component may be levied which is offset against the subsidy.</w:t>
      </w:r>
    </w:p>
    <w:p w14:paraId="5BF8BAED" w14:textId="13005904" w:rsidR="0088079A" w:rsidRDefault="0088079A" w:rsidP="0000677E">
      <w:r>
        <w:br w:type="page"/>
      </w:r>
    </w:p>
    <w:p w14:paraId="5F6BF81A" w14:textId="74E068D2" w:rsidR="00DC2351" w:rsidRDefault="008C1AA2" w:rsidP="00A274F0">
      <w:pPr>
        <w:pStyle w:val="Heading2"/>
      </w:pPr>
      <w:bookmarkStart w:id="31" w:name="_Toc26870708"/>
      <w:r>
        <w:lastRenderedPageBreak/>
        <w:t>Unspent Funds</w:t>
      </w:r>
      <w:bookmarkEnd w:id="31"/>
      <w:r>
        <w:t xml:space="preserve"> </w:t>
      </w:r>
      <w:r w:rsidR="00DC2351">
        <w:t xml:space="preserve"> </w:t>
      </w:r>
    </w:p>
    <w:p w14:paraId="55F2FC63" w14:textId="0748C4F5" w:rsidR="00170B27" w:rsidRDefault="008C1AA2" w:rsidP="0000677E">
      <w:r w:rsidRPr="00C77DC8">
        <w:t>Unspent funds are the total amount of home care subsidy, supplements (if applicable) and c</w:t>
      </w:r>
      <w:r w:rsidR="00312327">
        <w:t>are recipient</w:t>
      </w:r>
      <w:r w:rsidRPr="00C77DC8">
        <w:t xml:space="preserve"> contributions paid to a</w:t>
      </w:r>
      <w:r w:rsidR="00880186">
        <w:t xml:space="preserve">n </w:t>
      </w:r>
      <w:r w:rsidR="00987E8F">
        <w:t>AP</w:t>
      </w:r>
      <w:r w:rsidRPr="00C77DC8">
        <w:t xml:space="preserve"> (on behalf of the care recipient) that have not been spent or committed on that c</w:t>
      </w:r>
      <w:r w:rsidR="00312327">
        <w:t>are recipient’s</w:t>
      </w:r>
      <w:r w:rsidRPr="00C77DC8">
        <w:t xml:space="preserve"> care. Unspent funds typically accumulate over time where the care recipient’s package funds (subsidy plus contribution) have not been fully allocated within their </w:t>
      </w:r>
      <w:r w:rsidR="00D7282F" w:rsidRPr="00C77DC8">
        <w:t xml:space="preserve">individualised </w:t>
      </w:r>
      <w:r w:rsidR="00880186">
        <w:t xml:space="preserve">care </w:t>
      </w:r>
      <w:r w:rsidR="00D7282F" w:rsidRPr="00C77DC8">
        <w:t>budget</w:t>
      </w:r>
      <w:r w:rsidRPr="00C77DC8">
        <w:t>.</w:t>
      </w:r>
    </w:p>
    <w:p w14:paraId="1A961ED6" w14:textId="77777777" w:rsidR="005B5913" w:rsidRPr="00C77DC8" w:rsidRDefault="005B5913" w:rsidP="0000677E"/>
    <w:p w14:paraId="41594334" w14:textId="3070E091" w:rsidR="0094467E" w:rsidRDefault="0094467E" w:rsidP="0094467E">
      <w:pPr>
        <w:spacing w:after="120"/>
      </w:pPr>
      <w:r w:rsidRPr="000B56F4">
        <w:t xml:space="preserve">Despite the marginal improvement in </w:t>
      </w:r>
      <w:r w:rsidRPr="000B56F4">
        <w:rPr>
          <w:i/>
        </w:rPr>
        <w:t>Average</w:t>
      </w:r>
      <w:r w:rsidRPr="000B56F4">
        <w:t xml:space="preserve"> revenue utilisation </w:t>
      </w:r>
      <w:r>
        <w:t xml:space="preserve">seen in the 2019 </w:t>
      </w:r>
      <w:r w:rsidRPr="0094467E">
        <w:rPr>
          <w:i/>
          <w:iCs/>
        </w:rPr>
        <w:t>S</w:t>
      </w:r>
      <w:r w:rsidR="00880186">
        <w:rPr>
          <w:i/>
          <w:iCs/>
        </w:rPr>
        <w:t>urvey</w:t>
      </w:r>
      <w:r>
        <w:t xml:space="preserve"> </w:t>
      </w:r>
      <w:r w:rsidRPr="000B56F4">
        <w:t>there has been a continuation in the increase of unspent funds for each c</w:t>
      </w:r>
      <w:r w:rsidR="003C71B6">
        <w:t>are consumer</w:t>
      </w:r>
      <w:r w:rsidR="00994E34">
        <w:t xml:space="preserve"> and as </w:t>
      </w:r>
      <w:r w:rsidR="00994E34" w:rsidRPr="003C71B6">
        <w:rPr>
          <w:i/>
        </w:rPr>
        <w:t>Figure 1</w:t>
      </w:r>
      <w:r w:rsidR="00994E34">
        <w:t xml:space="preserve"> shows, the unspent funds balance averaged $6,995 per package</w:t>
      </w:r>
      <w:r w:rsidR="008A6810">
        <w:t xml:space="preserve"> at the end of FY19, an increase of $</w:t>
      </w:r>
      <w:r w:rsidR="004A317B">
        <w:t>973 from FY18</w:t>
      </w:r>
      <w:r w:rsidRPr="000B56F4">
        <w:t xml:space="preserve">. </w:t>
      </w:r>
      <w:r w:rsidRPr="00D24380">
        <w:t xml:space="preserve"> </w:t>
      </w:r>
    </w:p>
    <w:p w14:paraId="4B038AAD" w14:textId="005EB337" w:rsidR="0094467E" w:rsidRPr="00880186" w:rsidRDefault="0094467E" w:rsidP="00880186">
      <w:pPr>
        <w:pStyle w:val="Caption"/>
      </w:pPr>
      <w:r w:rsidRPr="00880186">
        <w:t xml:space="preserve">Figure </w:t>
      </w:r>
      <w:fldSimple w:instr=" SEQ Figure \* ARABIC ">
        <w:r w:rsidR="007F5FB5">
          <w:rPr>
            <w:noProof/>
          </w:rPr>
          <w:t>1</w:t>
        </w:r>
      </w:fldSimple>
      <w:r w:rsidRPr="00880186">
        <w:t>: Average Unspent Funds per c</w:t>
      </w:r>
      <w:r w:rsidR="00281031">
        <w:t>are recipient</w:t>
      </w:r>
      <w:r w:rsidRPr="00880186">
        <w:t xml:space="preserve"> as at Jun-19 and Jun-18 from StewartBrown 2019</w:t>
      </w:r>
      <w:r w:rsidR="00880186" w:rsidRPr="00880186">
        <w:t xml:space="preserve"> </w:t>
      </w:r>
      <w:r w:rsidRPr="00880186">
        <w:t>S</w:t>
      </w:r>
      <w:r w:rsidR="00880186" w:rsidRPr="00880186">
        <w:t>urvey</w:t>
      </w:r>
    </w:p>
    <w:p w14:paraId="61EBE936" w14:textId="77777777" w:rsidR="0094467E" w:rsidRPr="0032073F" w:rsidRDefault="0094467E" w:rsidP="0094467E">
      <w:r>
        <w:rPr>
          <w:noProof/>
          <w:lang w:eastAsia="en-AU"/>
        </w:rPr>
        <w:drawing>
          <wp:inline distT="0" distB="0" distL="0" distR="0" wp14:anchorId="7215144B" wp14:editId="7C252507">
            <wp:extent cx="6119495" cy="1962150"/>
            <wp:effectExtent l="0" t="0" r="14605" b="0"/>
            <wp:docPr id="34" name="Chart 34" title="Figure 1: Average Unspent Funds per care recipient as at Jun-19 and Jun-18 from StewartBrown 2019 Survey">
              <a:extLst xmlns:a="http://schemas.openxmlformats.org/drawingml/2006/main">
                <a:ext uri="{FF2B5EF4-FFF2-40B4-BE49-F238E27FC236}">
                  <a16:creationId xmlns:a16="http://schemas.microsoft.com/office/drawing/2014/main" id="{A3A4C7B2-2BF9-4C5B-AC96-A1577E0274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E1A6777" w14:textId="3AF07BAE" w:rsidR="00C77DC8" w:rsidRDefault="00C77DC8" w:rsidP="0000677E"/>
    <w:p w14:paraId="0898B033" w14:textId="47E097FF" w:rsidR="00994E34" w:rsidRDefault="00994E34" w:rsidP="00994E34">
      <w:r>
        <w:t xml:space="preserve">As at 30 June 2018, </w:t>
      </w:r>
      <w:r w:rsidR="00987E8F">
        <w:t>AP</w:t>
      </w:r>
      <w:r>
        <w:t xml:space="preserve">s reported holding a total of unspent funds of </w:t>
      </w:r>
      <w:r w:rsidRPr="00294B6C">
        <w:t>$539 million (FY17: $329m)</w:t>
      </w:r>
      <w:r w:rsidR="004A317B">
        <w:rPr>
          <w:rStyle w:val="FootnoteReference"/>
        </w:rPr>
        <w:footnoteReference w:id="1"/>
      </w:r>
      <w:r>
        <w:t>.</w:t>
      </w:r>
      <w:r w:rsidR="00623B6F">
        <w:t xml:space="preserve"> Based on the data received to date (refer Table 1) unspent funds are likely to reach </w:t>
      </w:r>
      <w:r w:rsidR="00451A54">
        <w:t xml:space="preserve">in excess of </w:t>
      </w:r>
      <w:r w:rsidR="00623B6F">
        <w:t>$750 Million at June 2019).</w:t>
      </w:r>
    </w:p>
    <w:p w14:paraId="1E7947A1" w14:textId="169F5247" w:rsidR="00623B6F" w:rsidRDefault="00623B6F" w:rsidP="00623B6F">
      <w:pPr>
        <w:jc w:val="center"/>
      </w:pPr>
    </w:p>
    <w:p w14:paraId="6C8625DB" w14:textId="54C69B54" w:rsidR="00771B5D" w:rsidRDefault="00771B5D" w:rsidP="00771B5D">
      <w:pPr>
        <w:pStyle w:val="Caption"/>
        <w:keepNext/>
      </w:pPr>
      <w:r>
        <w:t xml:space="preserve">Figure </w:t>
      </w:r>
      <w:fldSimple w:instr=" SEQ Figure \* ARABIC ">
        <w:r w:rsidR="007F5FB5">
          <w:rPr>
            <w:noProof/>
          </w:rPr>
          <w:t>2</w:t>
        </w:r>
      </w:fldSimple>
      <w:r>
        <w:t>: Trend for unspent funds and Commonwealth Government funding since FY17</w:t>
      </w:r>
    </w:p>
    <w:p w14:paraId="38F582DC" w14:textId="51A692A4" w:rsidR="00994E34" w:rsidRDefault="004B5CE3" w:rsidP="00994E34">
      <w:r>
        <w:rPr>
          <w:noProof/>
          <w:lang w:eastAsia="en-AU"/>
        </w:rPr>
        <w:drawing>
          <wp:inline distT="0" distB="0" distL="0" distR="0" wp14:anchorId="7E5470F9" wp14:editId="3D53698D">
            <wp:extent cx="6029325" cy="2743200"/>
            <wp:effectExtent l="0" t="0" r="9525" b="0"/>
            <wp:docPr id="14" name="Chart 14" title="Figure 2: Trend for unspent funds and Commonwealth Government funding since FY17">
              <a:extLst xmlns:a="http://schemas.openxmlformats.org/drawingml/2006/main">
                <a:ext uri="{FF2B5EF4-FFF2-40B4-BE49-F238E27FC236}">
                  <a16:creationId xmlns:a16="http://schemas.microsoft.com/office/drawing/2014/main" id="{EF1C1609-9F48-4BC5-BB83-C621058339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6548E98" w14:textId="3F13BB5E" w:rsidR="00EF2A8D" w:rsidRPr="00771B5D" w:rsidRDefault="00771B5D" w:rsidP="00451A54">
      <w:pPr>
        <w:spacing w:before="120"/>
        <w:rPr>
          <w:i/>
          <w:sz w:val="18"/>
          <w:szCs w:val="18"/>
        </w:rPr>
      </w:pPr>
      <w:r w:rsidRPr="00771B5D">
        <w:rPr>
          <w:i/>
          <w:sz w:val="18"/>
          <w:szCs w:val="18"/>
        </w:rPr>
        <w:t xml:space="preserve">Note that the FY17 unspent funds balance includes amounts calculated back to 1 July 2015 for those </w:t>
      </w:r>
      <w:r w:rsidR="00451A54">
        <w:rPr>
          <w:i/>
          <w:sz w:val="18"/>
          <w:szCs w:val="18"/>
        </w:rPr>
        <w:t xml:space="preserve">consumers </w:t>
      </w:r>
      <w:r w:rsidRPr="00771B5D">
        <w:rPr>
          <w:i/>
          <w:sz w:val="18"/>
          <w:szCs w:val="18"/>
        </w:rPr>
        <w:t>that remain in a package at that date.</w:t>
      </w:r>
      <w:r w:rsidR="00EF2A8D" w:rsidRPr="00771B5D">
        <w:rPr>
          <w:i/>
          <w:sz w:val="18"/>
          <w:szCs w:val="18"/>
        </w:rPr>
        <w:br w:type="page"/>
      </w:r>
    </w:p>
    <w:p w14:paraId="47521B6B" w14:textId="5A37BB65" w:rsidR="00994E34" w:rsidRDefault="00994E34" w:rsidP="00994E34">
      <w:r>
        <w:lastRenderedPageBreak/>
        <w:t xml:space="preserve">At the time of preparing this report, Aged Care Financial Reports </w:t>
      </w:r>
      <w:r w:rsidR="00880186">
        <w:t xml:space="preserve">(ACFR) </w:t>
      </w:r>
      <w:r>
        <w:t xml:space="preserve">for FY19 have been received from 804 (of a possible 928) </w:t>
      </w:r>
      <w:r w:rsidR="00987E8F">
        <w:t>HCP provider</w:t>
      </w:r>
      <w:r>
        <w:t>s. The following analysis of unspent funds</w:t>
      </w:r>
      <w:r w:rsidR="0036409F">
        <w:t xml:space="preserve">, and the movement </w:t>
      </w:r>
      <w:r w:rsidR="00C17EEA">
        <w:t>during FY19,</w:t>
      </w:r>
      <w:r>
        <w:t xml:space="preserve"> is based on the information contained in those ACFRs</w:t>
      </w:r>
      <w:r w:rsidR="004A317B">
        <w:t xml:space="preserve">. </w:t>
      </w:r>
    </w:p>
    <w:p w14:paraId="4FF2090B" w14:textId="2B2A0266" w:rsidR="00DF6F37" w:rsidRDefault="00DF6F37" w:rsidP="00880186">
      <w:pPr>
        <w:pStyle w:val="Caption"/>
      </w:pPr>
      <w:r>
        <w:t xml:space="preserve">Table </w:t>
      </w:r>
      <w:fldSimple w:instr=" SEQ Table \* ARABIC ">
        <w:r w:rsidR="00844346">
          <w:rPr>
            <w:noProof/>
          </w:rPr>
          <w:t>1</w:t>
        </w:r>
      </w:fldSimple>
      <w:r>
        <w:t>: Movement in unspent funds based on ACFR data received to date for FY19</w:t>
      </w:r>
    </w:p>
    <w:tbl>
      <w:tblPr>
        <w:tblStyle w:val="GridTable5Dark-Accent5"/>
        <w:tblW w:w="0" w:type="auto"/>
        <w:tblLook w:val="0620" w:firstRow="1" w:lastRow="0" w:firstColumn="0" w:lastColumn="0" w:noHBand="1" w:noVBand="1"/>
        <w:tblCaption w:val="Table 1: Movement in unspent funds based on ACFR data received to date for FY19"/>
      </w:tblPr>
      <w:tblGrid>
        <w:gridCol w:w="6232"/>
        <w:gridCol w:w="1701"/>
      </w:tblGrid>
      <w:tr w:rsidR="00C17EEA" w14:paraId="46FB5A4E" w14:textId="77777777" w:rsidTr="004868B7">
        <w:trPr>
          <w:cnfStyle w:val="100000000000" w:firstRow="1" w:lastRow="0" w:firstColumn="0" w:lastColumn="0" w:oddVBand="0" w:evenVBand="0" w:oddHBand="0" w:evenHBand="0" w:firstRowFirstColumn="0" w:firstRowLastColumn="0" w:lastRowFirstColumn="0" w:lastRowLastColumn="0"/>
          <w:tblHeader/>
        </w:trPr>
        <w:tc>
          <w:tcPr>
            <w:tcW w:w="6232" w:type="dxa"/>
          </w:tcPr>
          <w:p w14:paraId="186A9AF4" w14:textId="141374CC" w:rsidR="00C17EEA" w:rsidRPr="00880186" w:rsidRDefault="006C5270" w:rsidP="00994E34">
            <w:pPr>
              <w:rPr>
                <w:sz w:val="20"/>
                <w:szCs w:val="20"/>
              </w:rPr>
            </w:pPr>
            <w:r w:rsidRPr="00880186">
              <w:rPr>
                <w:sz w:val="20"/>
                <w:szCs w:val="20"/>
              </w:rPr>
              <w:t xml:space="preserve">Movement in </w:t>
            </w:r>
            <w:r w:rsidR="004D78E2">
              <w:rPr>
                <w:sz w:val="20"/>
                <w:szCs w:val="20"/>
              </w:rPr>
              <w:t>U</w:t>
            </w:r>
            <w:r w:rsidRPr="00880186">
              <w:rPr>
                <w:sz w:val="20"/>
                <w:szCs w:val="20"/>
              </w:rPr>
              <w:t xml:space="preserve">nspent </w:t>
            </w:r>
            <w:r w:rsidR="004D78E2">
              <w:rPr>
                <w:sz w:val="20"/>
                <w:szCs w:val="20"/>
              </w:rPr>
              <w:t>F</w:t>
            </w:r>
            <w:r w:rsidRPr="00880186">
              <w:rPr>
                <w:sz w:val="20"/>
                <w:szCs w:val="20"/>
              </w:rPr>
              <w:t xml:space="preserve">unds for FY19 </w:t>
            </w:r>
          </w:p>
        </w:tc>
        <w:tc>
          <w:tcPr>
            <w:tcW w:w="1701" w:type="dxa"/>
          </w:tcPr>
          <w:p w14:paraId="4CC73A50" w14:textId="19BD0690" w:rsidR="00C17EEA" w:rsidRPr="00880186" w:rsidRDefault="00C17EEA" w:rsidP="0036409F">
            <w:pPr>
              <w:jc w:val="center"/>
              <w:rPr>
                <w:sz w:val="20"/>
                <w:szCs w:val="20"/>
              </w:rPr>
            </w:pPr>
            <w:r w:rsidRPr="00880186">
              <w:rPr>
                <w:sz w:val="20"/>
                <w:szCs w:val="20"/>
              </w:rPr>
              <w:t>$</w:t>
            </w:r>
          </w:p>
        </w:tc>
      </w:tr>
      <w:tr w:rsidR="00C17EEA" w:rsidRPr="0036409F" w14:paraId="795FB9D2" w14:textId="77777777" w:rsidTr="003C2AA8">
        <w:tc>
          <w:tcPr>
            <w:tcW w:w="6232" w:type="dxa"/>
            <w:shd w:val="clear" w:color="auto" w:fill="DEEAF6" w:themeFill="accent1" w:themeFillTint="33"/>
          </w:tcPr>
          <w:p w14:paraId="33C4458B" w14:textId="38505229" w:rsidR="00C17EEA" w:rsidRPr="00880186" w:rsidRDefault="00C17EEA" w:rsidP="00994E34">
            <w:pPr>
              <w:rPr>
                <w:b/>
                <w:sz w:val="20"/>
                <w:szCs w:val="20"/>
              </w:rPr>
            </w:pPr>
            <w:r w:rsidRPr="00880186">
              <w:rPr>
                <w:b/>
                <w:sz w:val="20"/>
                <w:szCs w:val="20"/>
              </w:rPr>
              <w:t xml:space="preserve">Opening Balance </w:t>
            </w:r>
            <w:r w:rsidR="004D78E2">
              <w:rPr>
                <w:b/>
                <w:sz w:val="20"/>
                <w:szCs w:val="20"/>
              </w:rPr>
              <w:t xml:space="preserve">of </w:t>
            </w:r>
            <w:r w:rsidRPr="00880186">
              <w:rPr>
                <w:b/>
                <w:sz w:val="20"/>
                <w:szCs w:val="20"/>
              </w:rPr>
              <w:t>unspent funds</w:t>
            </w:r>
          </w:p>
        </w:tc>
        <w:tc>
          <w:tcPr>
            <w:tcW w:w="1701" w:type="dxa"/>
            <w:shd w:val="clear" w:color="auto" w:fill="DEEAF6" w:themeFill="accent1" w:themeFillTint="33"/>
          </w:tcPr>
          <w:p w14:paraId="0BACABDB" w14:textId="615AF9CD" w:rsidR="00C17EEA" w:rsidRPr="00880186" w:rsidRDefault="00C17EEA" w:rsidP="00D13F5A">
            <w:pPr>
              <w:jc w:val="right"/>
              <w:rPr>
                <w:b/>
                <w:sz w:val="20"/>
                <w:szCs w:val="20"/>
              </w:rPr>
            </w:pPr>
            <w:r w:rsidRPr="00880186">
              <w:rPr>
                <w:b/>
                <w:sz w:val="20"/>
                <w:szCs w:val="20"/>
              </w:rPr>
              <w:t>533,197,464</w:t>
            </w:r>
          </w:p>
        </w:tc>
      </w:tr>
      <w:tr w:rsidR="00C17EEA" w:rsidRPr="0036409F" w14:paraId="06455148" w14:textId="77777777" w:rsidTr="003C2AA8">
        <w:tc>
          <w:tcPr>
            <w:tcW w:w="6232" w:type="dxa"/>
            <w:shd w:val="clear" w:color="auto" w:fill="DEEAF6" w:themeFill="accent1" w:themeFillTint="33"/>
          </w:tcPr>
          <w:p w14:paraId="4C461CF6" w14:textId="707331E1" w:rsidR="00C17EEA" w:rsidRPr="00880186" w:rsidRDefault="00C17EEA" w:rsidP="00994E34">
            <w:pPr>
              <w:rPr>
                <w:b/>
                <w:sz w:val="20"/>
                <w:szCs w:val="20"/>
              </w:rPr>
            </w:pPr>
            <w:r w:rsidRPr="00880186">
              <w:rPr>
                <w:b/>
                <w:sz w:val="20"/>
                <w:szCs w:val="20"/>
              </w:rPr>
              <w:t>Inflows to package:</w:t>
            </w:r>
          </w:p>
        </w:tc>
        <w:tc>
          <w:tcPr>
            <w:tcW w:w="1701" w:type="dxa"/>
            <w:shd w:val="clear" w:color="auto" w:fill="DEEAF6" w:themeFill="accent1" w:themeFillTint="33"/>
          </w:tcPr>
          <w:p w14:paraId="38D1F1BE" w14:textId="77777777" w:rsidR="00C17EEA" w:rsidRPr="00880186" w:rsidRDefault="00C17EEA" w:rsidP="00D13F5A">
            <w:pPr>
              <w:jc w:val="right"/>
              <w:rPr>
                <w:b/>
                <w:sz w:val="20"/>
                <w:szCs w:val="20"/>
              </w:rPr>
            </w:pPr>
          </w:p>
        </w:tc>
      </w:tr>
      <w:tr w:rsidR="00C17EEA" w14:paraId="0B552995" w14:textId="77777777" w:rsidTr="003C2AA8">
        <w:tc>
          <w:tcPr>
            <w:tcW w:w="6232" w:type="dxa"/>
            <w:shd w:val="clear" w:color="auto" w:fill="DEEAF6" w:themeFill="accent1" w:themeFillTint="33"/>
          </w:tcPr>
          <w:p w14:paraId="6868B3A2" w14:textId="215D5257" w:rsidR="00C17EEA" w:rsidRPr="00880186" w:rsidRDefault="00C17EEA" w:rsidP="00D13F5A">
            <w:pPr>
              <w:ind w:left="720"/>
              <w:rPr>
                <w:sz w:val="20"/>
                <w:szCs w:val="20"/>
              </w:rPr>
            </w:pPr>
            <w:r w:rsidRPr="00880186">
              <w:rPr>
                <w:sz w:val="20"/>
                <w:szCs w:val="20"/>
              </w:rPr>
              <w:t>Commonwealth subsidies and supplements</w:t>
            </w:r>
          </w:p>
        </w:tc>
        <w:tc>
          <w:tcPr>
            <w:tcW w:w="1701" w:type="dxa"/>
            <w:shd w:val="clear" w:color="auto" w:fill="DEEAF6" w:themeFill="accent1" w:themeFillTint="33"/>
          </w:tcPr>
          <w:p w14:paraId="13C041EB" w14:textId="31653E03" w:rsidR="00C17EEA" w:rsidRPr="00880186" w:rsidRDefault="00C17EEA" w:rsidP="00D13F5A">
            <w:pPr>
              <w:jc w:val="right"/>
              <w:rPr>
                <w:sz w:val="20"/>
                <w:szCs w:val="20"/>
              </w:rPr>
            </w:pPr>
            <w:r w:rsidRPr="00880186">
              <w:rPr>
                <w:sz w:val="20"/>
                <w:szCs w:val="20"/>
              </w:rPr>
              <w:t>2,519,536,623</w:t>
            </w:r>
          </w:p>
        </w:tc>
      </w:tr>
      <w:tr w:rsidR="00C17EEA" w14:paraId="2B2A6E98" w14:textId="77777777" w:rsidTr="003C2AA8">
        <w:tc>
          <w:tcPr>
            <w:tcW w:w="6232" w:type="dxa"/>
            <w:shd w:val="clear" w:color="auto" w:fill="DEEAF6" w:themeFill="accent1" w:themeFillTint="33"/>
          </w:tcPr>
          <w:p w14:paraId="5D28F106" w14:textId="0ADAE87D" w:rsidR="00C17EEA" w:rsidRPr="00880186" w:rsidRDefault="00C17EEA" w:rsidP="00D13F5A">
            <w:pPr>
              <w:ind w:left="720"/>
              <w:rPr>
                <w:sz w:val="20"/>
                <w:szCs w:val="20"/>
              </w:rPr>
            </w:pPr>
            <w:r w:rsidRPr="00880186">
              <w:rPr>
                <w:sz w:val="20"/>
                <w:szCs w:val="20"/>
              </w:rPr>
              <w:t>C</w:t>
            </w:r>
            <w:r w:rsidR="00F62D07">
              <w:rPr>
                <w:sz w:val="20"/>
                <w:szCs w:val="20"/>
              </w:rPr>
              <w:t>are Recipient</w:t>
            </w:r>
            <w:r w:rsidRPr="00880186">
              <w:rPr>
                <w:sz w:val="20"/>
                <w:szCs w:val="20"/>
              </w:rPr>
              <w:t xml:space="preserve"> basic daily fee</w:t>
            </w:r>
          </w:p>
        </w:tc>
        <w:tc>
          <w:tcPr>
            <w:tcW w:w="1701" w:type="dxa"/>
            <w:shd w:val="clear" w:color="auto" w:fill="DEEAF6" w:themeFill="accent1" w:themeFillTint="33"/>
          </w:tcPr>
          <w:p w14:paraId="06B3605B" w14:textId="30890267" w:rsidR="00C17EEA" w:rsidRPr="00880186" w:rsidRDefault="00C17EEA" w:rsidP="00D13F5A">
            <w:pPr>
              <w:jc w:val="right"/>
              <w:rPr>
                <w:sz w:val="20"/>
                <w:szCs w:val="20"/>
              </w:rPr>
            </w:pPr>
            <w:r w:rsidRPr="00880186">
              <w:rPr>
                <w:sz w:val="20"/>
                <w:szCs w:val="20"/>
              </w:rPr>
              <w:t>64,994,047</w:t>
            </w:r>
          </w:p>
        </w:tc>
      </w:tr>
      <w:tr w:rsidR="00C17EEA" w14:paraId="0C6C4596" w14:textId="77777777" w:rsidTr="003C2AA8">
        <w:tc>
          <w:tcPr>
            <w:tcW w:w="6232" w:type="dxa"/>
            <w:shd w:val="clear" w:color="auto" w:fill="DEEAF6" w:themeFill="accent1" w:themeFillTint="33"/>
          </w:tcPr>
          <w:p w14:paraId="15E17904" w14:textId="27BF8BB7" w:rsidR="00C17EEA" w:rsidRPr="00880186" w:rsidRDefault="00C17EEA" w:rsidP="00D13F5A">
            <w:pPr>
              <w:ind w:left="720"/>
              <w:rPr>
                <w:sz w:val="20"/>
                <w:szCs w:val="20"/>
              </w:rPr>
            </w:pPr>
            <w:r w:rsidRPr="00880186">
              <w:rPr>
                <w:sz w:val="20"/>
                <w:szCs w:val="20"/>
              </w:rPr>
              <w:t>Income tested care fees</w:t>
            </w:r>
          </w:p>
        </w:tc>
        <w:tc>
          <w:tcPr>
            <w:tcW w:w="1701" w:type="dxa"/>
            <w:shd w:val="clear" w:color="auto" w:fill="DEEAF6" w:themeFill="accent1" w:themeFillTint="33"/>
          </w:tcPr>
          <w:p w14:paraId="05EC3FFC" w14:textId="46E82F0C" w:rsidR="00C17EEA" w:rsidRPr="00880186" w:rsidRDefault="00C17EEA" w:rsidP="00D13F5A">
            <w:pPr>
              <w:jc w:val="right"/>
              <w:rPr>
                <w:sz w:val="20"/>
                <w:szCs w:val="20"/>
              </w:rPr>
            </w:pPr>
            <w:r w:rsidRPr="00880186">
              <w:rPr>
                <w:sz w:val="20"/>
                <w:szCs w:val="20"/>
              </w:rPr>
              <w:t>40,970,734</w:t>
            </w:r>
          </w:p>
        </w:tc>
      </w:tr>
      <w:tr w:rsidR="00C17EEA" w14:paraId="1E015479" w14:textId="77777777" w:rsidTr="003C2AA8">
        <w:tc>
          <w:tcPr>
            <w:tcW w:w="6232" w:type="dxa"/>
            <w:shd w:val="clear" w:color="auto" w:fill="DEEAF6" w:themeFill="accent1" w:themeFillTint="33"/>
          </w:tcPr>
          <w:p w14:paraId="30B64FFA" w14:textId="3BF6841A" w:rsidR="00C17EEA" w:rsidRPr="00880186" w:rsidRDefault="00C17EEA" w:rsidP="00D13F5A">
            <w:pPr>
              <w:ind w:left="720"/>
              <w:rPr>
                <w:sz w:val="20"/>
                <w:szCs w:val="20"/>
              </w:rPr>
            </w:pPr>
            <w:r w:rsidRPr="00880186">
              <w:rPr>
                <w:sz w:val="20"/>
                <w:szCs w:val="20"/>
              </w:rPr>
              <w:t>Other</w:t>
            </w:r>
          </w:p>
        </w:tc>
        <w:tc>
          <w:tcPr>
            <w:tcW w:w="1701" w:type="dxa"/>
            <w:shd w:val="clear" w:color="auto" w:fill="DEEAF6" w:themeFill="accent1" w:themeFillTint="33"/>
          </w:tcPr>
          <w:p w14:paraId="5D270468" w14:textId="4572C88A" w:rsidR="00C17EEA" w:rsidRPr="00880186" w:rsidRDefault="00C17EEA" w:rsidP="00D13F5A">
            <w:pPr>
              <w:jc w:val="right"/>
              <w:rPr>
                <w:sz w:val="20"/>
                <w:szCs w:val="20"/>
              </w:rPr>
            </w:pPr>
            <w:r w:rsidRPr="00880186">
              <w:rPr>
                <w:sz w:val="20"/>
                <w:szCs w:val="20"/>
              </w:rPr>
              <w:t>8,822,086</w:t>
            </w:r>
          </w:p>
        </w:tc>
      </w:tr>
      <w:tr w:rsidR="00C17EEA" w14:paraId="5938354B" w14:textId="77777777" w:rsidTr="003C2AA8">
        <w:tc>
          <w:tcPr>
            <w:tcW w:w="6232" w:type="dxa"/>
            <w:shd w:val="clear" w:color="auto" w:fill="DEEAF6" w:themeFill="accent1" w:themeFillTint="33"/>
          </w:tcPr>
          <w:p w14:paraId="341277EE" w14:textId="60375BDE" w:rsidR="00C17EEA" w:rsidRPr="00880186" w:rsidRDefault="00C17EEA" w:rsidP="00D13F5A">
            <w:pPr>
              <w:ind w:left="720"/>
              <w:rPr>
                <w:sz w:val="20"/>
                <w:szCs w:val="20"/>
              </w:rPr>
            </w:pPr>
            <w:r w:rsidRPr="00880186">
              <w:rPr>
                <w:sz w:val="20"/>
                <w:szCs w:val="20"/>
              </w:rPr>
              <w:t>Funds transferred in from other providers</w:t>
            </w:r>
          </w:p>
        </w:tc>
        <w:tc>
          <w:tcPr>
            <w:tcW w:w="1701" w:type="dxa"/>
            <w:shd w:val="clear" w:color="auto" w:fill="DEEAF6" w:themeFill="accent1" w:themeFillTint="33"/>
          </w:tcPr>
          <w:p w14:paraId="438FB45C" w14:textId="1C16094E" w:rsidR="00C17EEA" w:rsidRPr="00880186" w:rsidRDefault="00C17EEA" w:rsidP="00D13F5A">
            <w:pPr>
              <w:jc w:val="right"/>
              <w:rPr>
                <w:sz w:val="20"/>
                <w:szCs w:val="20"/>
              </w:rPr>
            </w:pPr>
            <w:r w:rsidRPr="00880186">
              <w:rPr>
                <w:sz w:val="20"/>
                <w:szCs w:val="20"/>
              </w:rPr>
              <w:t>29,101,004</w:t>
            </w:r>
          </w:p>
        </w:tc>
      </w:tr>
      <w:tr w:rsidR="003C2AA8" w:rsidRPr="0036409F" w14:paraId="0DCBA1AD" w14:textId="77777777" w:rsidTr="003C2AA8">
        <w:tc>
          <w:tcPr>
            <w:tcW w:w="6232" w:type="dxa"/>
            <w:shd w:val="clear" w:color="auto" w:fill="DEEAF6" w:themeFill="accent1" w:themeFillTint="33"/>
          </w:tcPr>
          <w:p w14:paraId="25811C9F" w14:textId="19CD18B4" w:rsidR="003C2AA8" w:rsidRPr="00880186" w:rsidRDefault="003C2AA8" w:rsidP="003C2AA8">
            <w:pPr>
              <w:ind w:left="720"/>
              <w:rPr>
                <w:b/>
                <w:sz w:val="20"/>
                <w:szCs w:val="20"/>
              </w:rPr>
            </w:pPr>
            <w:r>
              <w:rPr>
                <w:b/>
                <w:sz w:val="20"/>
                <w:szCs w:val="20"/>
              </w:rPr>
              <w:t>Total inflows:</w:t>
            </w:r>
          </w:p>
        </w:tc>
        <w:tc>
          <w:tcPr>
            <w:tcW w:w="1701" w:type="dxa"/>
            <w:shd w:val="clear" w:color="auto" w:fill="DEEAF6" w:themeFill="accent1" w:themeFillTint="33"/>
          </w:tcPr>
          <w:p w14:paraId="6533C2F8" w14:textId="7A2E1C97" w:rsidR="003C2AA8" w:rsidRPr="00880186" w:rsidRDefault="003C2AA8" w:rsidP="00D13F5A">
            <w:pPr>
              <w:jc w:val="right"/>
              <w:rPr>
                <w:b/>
                <w:sz w:val="20"/>
                <w:szCs w:val="20"/>
              </w:rPr>
            </w:pPr>
            <w:r>
              <w:rPr>
                <w:b/>
                <w:sz w:val="20"/>
                <w:szCs w:val="20"/>
              </w:rPr>
              <w:t>2,663,424,494</w:t>
            </w:r>
          </w:p>
        </w:tc>
      </w:tr>
      <w:tr w:rsidR="00D577FF" w:rsidRPr="0036409F" w14:paraId="79093726" w14:textId="77777777" w:rsidTr="003C2AA8">
        <w:tc>
          <w:tcPr>
            <w:tcW w:w="6232" w:type="dxa"/>
            <w:shd w:val="clear" w:color="auto" w:fill="DEEAF6" w:themeFill="accent1" w:themeFillTint="33"/>
          </w:tcPr>
          <w:p w14:paraId="7B115C01" w14:textId="3F1BEE12" w:rsidR="00D577FF" w:rsidRPr="00451A54" w:rsidRDefault="00D577FF" w:rsidP="00451A54">
            <w:pPr>
              <w:rPr>
                <w:b/>
                <w:i/>
                <w:sz w:val="20"/>
                <w:szCs w:val="20"/>
              </w:rPr>
            </w:pPr>
            <w:r w:rsidRPr="00451A54">
              <w:rPr>
                <w:b/>
                <w:i/>
                <w:sz w:val="20"/>
                <w:szCs w:val="20"/>
              </w:rPr>
              <w:t>Available package funds</w:t>
            </w:r>
          </w:p>
        </w:tc>
        <w:tc>
          <w:tcPr>
            <w:tcW w:w="1701" w:type="dxa"/>
            <w:shd w:val="clear" w:color="auto" w:fill="DEEAF6" w:themeFill="accent1" w:themeFillTint="33"/>
          </w:tcPr>
          <w:p w14:paraId="640398C9" w14:textId="04B56377" w:rsidR="00D577FF" w:rsidRPr="00451A54" w:rsidRDefault="00270AF1" w:rsidP="00D13F5A">
            <w:pPr>
              <w:jc w:val="right"/>
              <w:rPr>
                <w:b/>
                <w:i/>
                <w:sz w:val="20"/>
                <w:szCs w:val="20"/>
              </w:rPr>
            </w:pPr>
            <w:r w:rsidRPr="00451A54">
              <w:rPr>
                <w:b/>
                <w:i/>
                <w:sz w:val="20"/>
                <w:szCs w:val="20"/>
              </w:rPr>
              <w:t>3,196,621,958</w:t>
            </w:r>
          </w:p>
        </w:tc>
      </w:tr>
      <w:tr w:rsidR="00C17EEA" w:rsidRPr="0036409F" w14:paraId="2ACCC8DE" w14:textId="77777777" w:rsidTr="003C2AA8">
        <w:tc>
          <w:tcPr>
            <w:tcW w:w="6232" w:type="dxa"/>
            <w:shd w:val="clear" w:color="auto" w:fill="DEEAF6" w:themeFill="accent1" w:themeFillTint="33"/>
          </w:tcPr>
          <w:p w14:paraId="459F4EA4" w14:textId="1CE7160F" w:rsidR="00C17EEA" w:rsidRPr="00880186" w:rsidRDefault="00C17EEA" w:rsidP="00994E34">
            <w:pPr>
              <w:rPr>
                <w:b/>
                <w:sz w:val="20"/>
                <w:szCs w:val="20"/>
              </w:rPr>
            </w:pPr>
            <w:r w:rsidRPr="00880186">
              <w:rPr>
                <w:b/>
                <w:sz w:val="20"/>
                <w:szCs w:val="20"/>
              </w:rPr>
              <w:t>Outflows:</w:t>
            </w:r>
          </w:p>
        </w:tc>
        <w:tc>
          <w:tcPr>
            <w:tcW w:w="1701" w:type="dxa"/>
            <w:shd w:val="clear" w:color="auto" w:fill="DEEAF6" w:themeFill="accent1" w:themeFillTint="33"/>
          </w:tcPr>
          <w:p w14:paraId="0B98BDF3" w14:textId="77777777" w:rsidR="00C17EEA" w:rsidRPr="00880186" w:rsidRDefault="00C17EEA" w:rsidP="00D13F5A">
            <w:pPr>
              <w:jc w:val="right"/>
              <w:rPr>
                <w:b/>
                <w:sz w:val="20"/>
                <w:szCs w:val="20"/>
              </w:rPr>
            </w:pPr>
          </w:p>
        </w:tc>
      </w:tr>
      <w:tr w:rsidR="00C17EEA" w14:paraId="1AE8F938" w14:textId="77777777" w:rsidTr="003C2AA8">
        <w:tc>
          <w:tcPr>
            <w:tcW w:w="6232" w:type="dxa"/>
            <w:shd w:val="clear" w:color="auto" w:fill="DEEAF6" w:themeFill="accent1" w:themeFillTint="33"/>
          </w:tcPr>
          <w:p w14:paraId="1E31426C" w14:textId="4BAC660B" w:rsidR="00C17EEA" w:rsidRPr="00880186" w:rsidRDefault="00C17EEA" w:rsidP="0036409F">
            <w:pPr>
              <w:ind w:left="720"/>
              <w:rPr>
                <w:sz w:val="20"/>
                <w:szCs w:val="20"/>
              </w:rPr>
            </w:pPr>
            <w:bookmarkStart w:id="32" w:name="_Hlk25423484"/>
            <w:r w:rsidRPr="00880186">
              <w:rPr>
                <w:sz w:val="20"/>
                <w:szCs w:val="20"/>
              </w:rPr>
              <w:t>Transferred to another provider</w:t>
            </w:r>
          </w:p>
        </w:tc>
        <w:tc>
          <w:tcPr>
            <w:tcW w:w="1701" w:type="dxa"/>
            <w:shd w:val="clear" w:color="auto" w:fill="DEEAF6" w:themeFill="accent1" w:themeFillTint="33"/>
          </w:tcPr>
          <w:p w14:paraId="62CDEACB" w14:textId="3227D2DE" w:rsidR="00C17EEA" w:rsidRPr="00880186" w:rsidRDefault="00C17EEA" w:rsidP="00D13F5A">
            <w:pPr>
              <w:jc w:val="right"/>
              <w:rPr>
                <w:sz w:val="20"/>
                <w:szCs w:val="20"/>
              </w:rPr>
            </w:pPr>
            <w:r w:rsidRPr="00880186">
              <w:rPr>
                <w:sz w:val="20"/>
                <w:szCs w:val="20"/>
              </w:rPr>
              <w:t>30,847,484</w:t>
            </w:r>
          </w:p>
        </w:tc>
      </w:tr>
      <w:tr w:rsidR="00C17EEA" w14:paraId="11587A7F" w14:textId="77777777" w:rsidTr="003C2AA8">
        <w:tc>
          <w:tcPr>
            <w:tcW w:w="6232" w:type="dxa"/>
            <w:shd w:val="clear" w:color="auto" w:fill="DEEAF6" w:themeFill="accent1" w:themeFillTint="33"/>
          </w:tcPr>
          <w:p w14:paraId="2B0F7301" w14:textId="3A41A7F5" w:rsidR="00C17EEA" w:rsidRPr="00880186" w:rsidRDefault="00C17EEA" w:rsidP="0036409F">
            <w:pPr>
              <w:ind w:left="720"/>
              <w:rPr>
                <w:sz w:val="20"/>
                <w:szCs w:val="20"/>
              </w:rPr>
            </w:pPr>
            <w:r w:rsidRPr="00880186">
              <w:rPr>
                <w:sz w:val="20"/>
                <w:szCs w:val="20"/>
              </w:rPr>
              <w:t>Returned to c</w:t>
            </w:r>
            <w:r w:rsidR="00312327">
              <w:rPr>
                <w:sz w:val="20"/>
                <w:szCs w:val="20"/>
              </w:rPr>
              <w:t>are recipient</w:t>
            </w:r>
            <w:r w:rsidRPr="00880186">
              <w:rPr>
                <w:sz w:val="20"/>
                <w:szCs w:val="20"/>
              </w:rPr>
              <w:t xml:space="preserve"> / estate</w:t>
            </w:r>
          </w:p>
        </w:tc>
        <w:tc>
          <w:tcPr>
            <w:tcW w:w="1701" w:type="dxa"/>
            <w:shd w:val="clear" w:color="auto" w:fill="DEEAF6" w:themeFill="accent1" w:themeFillTint="33"/>
          </w:tcPr>
          <w:p w14:paraId="0ABBB9A5" w14:textId="07C1D635" w:rsidR="00C17EEA" w:rsidRPr="00880186" w:rsidRDefault="00C17EEA" w:rsidP="00D13F5A">
            <w:pPr>
              <w:jc w:val="right"/>
              <w:rPr>
                <w:sz w:val="20"/>
                <w:szCs w:val="20"/>
              </w:rPr>
            </w:pPr>
            <w:r w:rsidRPr="00880186">
              <w:rPr>
                <w:sz w:val="20"/>
                <w:szCs w:val="20"/>
              </w:rPr>
              <w:t>7,045,928</w:t>
            </w:r>
          </w:p>
        </w:tc>
      </w:tr>
      <w:tr w:rsidR="00C17EEA" w14:paraId="707A679B" w14:textId="77777777" w:rsidTr="003C2AA8">
        <w:tc>
          <w:tcPr>
            <w:tcW w:w="6232" w:type="dxa"/>
            <w:shd w:val="clear" w:color="auto" w:fill="DEEAF6" w:themeFill="accent1" w:themeFillTint="33"/>
          </w:tcPr>
          <w:p w14:paraId="5FD89CD8" w14:textId="61501855" w:rsidR="00C17EEA" w:rsidRPr="00880186" w:rsidRDefault="00C17EEA" w:rsidP="0036409F">
            <w:pPr>
              <w:ind w:left="720"/>
              <w:rPr>
                <w:sz w:val="20"/>
                <w:szCs w:val="20"/>
              </w:rPr>
            </w:pPr>
            <w:r w:rsidRPr="00880186">
              <w:rPr>
                <w:sz w:val="20"/>
                <w:szCs w:val="20"/>
              </w:rPr>
              <w:t>Returned to the Commonwealth</w:t>
            </w:r>
          </w:p>
        </w:tc>
        <w:tc>
          <w:tcPr>
            <w:tcW w:w="1701" w:type="dxa"/>
            <w:shd w:val="clear" w:color="auto" w:fill="DEEAF6" w:themeFill="accent1" w:themeFillTint="33"/>
          </w:tcPr>
          <w:p w14:paraId="140606C7" w14:textId="2C423939" w:rsidR="00C17EEA" w:rsidRPr="00880186" w:rsidRDefault="00C17EEA" w:rsidP="00D13F5A">
            <w:pPr>
              <w:jc w:val="right"/>
              <w:rPr>
                <w:sz w:val="20"/>
                <w:szCs w:val="20"/>
              </w:rPr>
            </w:pPr>
            <w:r w:rsidRPr="00880186">
              <w:rPr>
                <w:sz w:val="20"/>
                <w:szCs w:val="20"/>
              </w:rPr>
              <w:t>121,259,487</w:t>
            </w:r>
          </w:p>
        </w:tc>
      </w:tr>
      <w:tr w:rsidR="00C17EEA" w14:paraId="105D46EC" w14:textId="77777777" w:rsidTr="003C2AA8">
        <w:tc>
          <w:tcPr>
            <w:tcW w:w="6232" w:type="dxa"/>
            <w:shd w:val="clear" w:color="auto" w:fill="DEEAF6" w:themeFill="accent1" w:themeFillTint="33"/>
          </w:tcPr>
          <w:p w14:paraId="6A891B55" w14:textId="11B03E87" w:rsidR="00C17EEA" w:rsidRPr="00880186" w:rsidRDefault="00C17EEA" w:rsidP="0036409F">
            <w:pPr>
              <w:ind w:left="720"/>
              <w:rPr>
                <w:sz w:val="20"/>
                <w:szCs w:val="20"/>
              </w:rPr>
            </w:pPr>
            <w:r w:rsidRPr="00880186">
              <w:rPr>
                <w:sz w:val="20"/>
                <w:szCs w:val="20"/>
              </w:rPr>
              <w:t>Package funds spent</w:t>
            </w:r>
          </w:p>
        </w:tc>
        <w:tc>
          <w:tcPr>
            <w:tcW w:w="1701" w:type="dxa"/>
            <w:shd w:val="clear" w:color="auto" w:fill="DEEAF6" w:themeFill="accent1" w:themeFillTint="33"/>
          </w:tcPr>
          <w:p w14:paraId="28EA7DFF" w14:textId="6B02162D" w:rsidR="00C17EEA" w:rsidRPr="00880186" w:rsidRDefault="00C17EEA" w:rsidP="00D13F5A">
            <w:pPr>
              <w:jc w:val="right"/>
              <w:rPr>
                <w:sz w:val="20"/>
                <w:szCs w:val="20"/>
              </w:rPr>
            </w:pPr>
            <w:r w:rsidRPr="00880186">
              <w:rPr>
                <w:sz w:val="20"/>
                <w:szCs w:val="20"/>
              </w:rPr>
              <w:t>2,304,252,167</w:t>
            </w:r>
          </w:p>
        </w:tc>
      </w:tr>
      <w:tr w:rsidR="003C2AA8" w:rsidRPr="003C2AA8" w14:paraId="590CC2DB" w14:textId="77777777" w:rsidTr="003C2AA8">
        <w:tc>
          <w:tcPr>
            <w:tcW w:w="6232" w:type="dxa"/>
            <w:shd w:val="clear" w:color="auto" w:fill="DEEAF6" w:themeFill="accent1" w:themeFillTint="33"/>
          </w:tcPr>
          <w:p w14:paraId="6EC40C3B" w14:textId="666BF8FB" w:rsidR="003C2AA8" w:rsidRPr="003C2AA8" w:rsidRDefault="003C2AA8" w:rsidP="003C2AA8">
            <w:pPr>
              <w:ind w:left="720"/>
              <w:jc w:val="left"/>
              <w:rPr>
                <w:b/>
                <w:sz w:val="20"/>
                <w:szCs w:val="20"/>
              </w:rPr>
            </w:pPr>
            <w:r w:rsidRPr="003C2AA8">
              <w:rPr>
                <w:b/>
                <w:sz w:val="20"/>
                <w:szCs w:val="20"/>
              </w:rPr>
              <w:t>Total Outflows:</w:t>
            </w:r>
          </w:p>
        </w:tc>
        <w:tc>
          <w:tcPr>
            <w:tcW w:w="1701" w:type="dxa"/>
            <w:shd w:val="clear" w:color="auto" w:fill="DEEAF6" w:themeFill="accent1" w:themeFillTint="33"/>
          </w:tcPr>
          <w:p w14:paraId="7216356E" w14:textId="560BB501" w:rsidR="003C2AA8" w:rsidRPr="003C2AA8" w:rsidRDefault="003C2AA8" w:rsidP="00D13F5A">
            <w:pPr>
              <w:jc w:val="right"/>
              <w:rPr>
                <w:b/>
                <w:sz w:val="20"/>
                <w:szCs w:val="20"/>
              </w:rPr>
            </w:pPr>
            <w:r>
              <w:rPr>
                <w:b/>
                <w:sz w:val="20"/>
                <w:szCs w:val="20"/>
              </w:rPr>
              <w:t>2,463,405,066</w:t>
            </w:r>
          </w:p>
        </w:tc>
      </w:tr>
      <w:tr w:rsidR="00C17EEA" w:rsidRPr="0036409F" w14:paraId="60D11B31" w14:textId="77777777" w:rsidTr="003C2AA8">
        <w:tc>
          <w:tcPr>
            <w:tcW w:w="6232" w:type="dxa"/>
            <w:shd w:val="clear" w:color="auto" w:fill="FFE599" w:themeFill="accent4" w:themeFillTint="66"/>
          </w:tcPr>
          <w:p w14:paraId="25FC265E" w14:textId="718C266D" w:rsidR="00C17EEA" w:rsidRPr="00880186" w:rsidRDefault="00C17EEA" w:rsidP="00994E34">
            <w:pPr>
              <w:rPr>
                <w:b/>
                <w:sz w:val="20"/>
                <w:szCs w:val="20"/>
              </w:rPr>
            </w:pPr>
            <w:r w:rsidRPr="00880186">
              <w:rPr>
                <w:b/>
                <w:sz w:val="20"/>
                <w:szCs w:val="20"/>
              </w:rPr>
              <w:t xml:space="preserve">Closing </w:t>
            </w:r>
            <w:r w:rsidR="004D78E2">
              <w:rPr>
                <w:b/>
                <w:sz w:val="20"/>
                <w:szCs w:val="20"/>
              </w:rPr>
              <w:t>B</w:t>
            </w:r>
            <w:r w:rsidRPr="00880186">
              <w:rPr>
                <w:b/>
                <w:sz w:val="20"/>
                <w:szCs w:val="20"/>
              </w:rPr>
              <w:t>alance of unspent funds</w:t>
            </w:r>
          </w:p>
        </w:tc>
        <w:tc>
          <w:tcPr>
            <w:tcW w:w="1701" w:type="dxa"/>
            <w:shd w:val="clear" w:color="auto" w:fill="FFE599" w:themeFill="accent4" w:themeFillTint="66"/>
          </w:tcPr>
          <w:p w14:paraId="5558A6E9" w14:textId="1A2BD3CA" w:rsidR="00C17EEA" w:rsidRPr="00880186" w:rsidRDefault="00C17EEA" w:rsidP="00D13F5A">
            <w:pPr>
              <w:jc w:val="right"/>
              <w:rPr>
                <w:b/>
                <w:sz w:val="20"/>
                <w:szCs w:val="20"/>
              </w:rPr>
            </w:pPr>
            <w:r w:rsidRPr="00880186">
              <w:rPr>
                <w:b/>
                <w:sz w:val="20"/>
                <w:szCs w:val="20"/>
              </w:rPr>
              <w:t>733,216.892</w:t>
            </w:r>
          </w:p>
        </w:tc>
      </w:tr>
    </w:tbl>
    <w:bookmarkEnd w:id="32"/>
    <w:p w14:paraId="3F6CAB31" w14:textId="59BA5252" w:rsidR="00994E34" w:rsidRDefault="00C17EEA" w:rsidP="00451A54">
      <w:pPr>
        <w:pStyle w:val="SubHeading"/>
        <w:spacing w:before="120"/>
      </w:pPr>
      <w:r>
        <w:t>Observations</w:t>
      </w:r>
    </w:p>
    <w:p w14:paraId="5BF4F2DF" w14:textId="21CC0819" w:rsidR="00880186" w:rsidRDefault="00880186" w:rsidP="00880186">
      <w:pPr>
        <w:spacing w:after="120"/>
      </w:pPr>
      <w:r>
        <w:t>The following observations can be made in relation to the data obtained from the 2019 ACFR’s:-</w:t>
      </w:r>
    </w:p>
    <w:p w14:paraId="0E7CF9DE" w14:textId="3C332716" w:rsidR="0015749F" w:rsidRDefault="00C17EEA" w:rsidP="005D395A">
      <w:pPr>
        <w:pStyle w:val="ListParagraph"/>
        <w:numPr>
          <w:ilvl w:val="0"/>
          <w:numId w:val="12"/>
        </w:numPr>
      </w:pPr>
      <w:r>
        <w:t xml:space="preserve">It is likely that, given the size of the data subset currently available, </w:t>
      </w:r>
      <w:r w:rsidR="003C2AA8">
        <w:t xml:space="preserve">aggregated </w:t>
      </w:r>
      <w:r>
        <w:t xml:space="preserve">unspent funds will be </w:t>
      </w:r>
      <w:r w:rsidR="00451A54">
        <w:t>greater</w:t>
      </w:r>
      <w:r w:rsidR="00312327">
        <w:t xml:space="preserve"> than</w:t>
      </w:r>
      <w:r>
        <w:t xml:space="preserve"> $750 million at end of FY19 once all </w:t>
      </w:r>
      <w:r w:rsidR="00451A54">
        <w:t xml:space="preserve">ACFR </w:t>
      </w:r>
      <w:r>
        <w:t>data is available</w:t>
      </w:r>
    </w:p>
    <w:p w14:paraId="3B38ED64" w14:textId="2E4B7C94" w:rsidR="00C17EEA" w:rsidRDefault="00BD7C71" w:rsidP="005D395A">
      <w:pPr>
        <w:pStyle w:val="ListParagraph"/>
        <w:numPr>
          <w:ilvl w:val="0"/>
          <w:numId w:val="12"/>
        </w:numPr>
      </w:pPr>
      <w:r>
        <w:t xml:space="preserve">Total income from the Commonwealth and </w:t>
      </w:r>
      <w:r w:rsidR="00F62D07">
        <w:t>care recipients</w:t>
      </w:r>
      <w:r>
        <w:t xml:space="preserve"> in FY19 was $2.6</w:t>
      </w:r>
      <w:r w:rsidR="00451A54">
        <w:t>3</w:t>
      </w:r>
      <w:r>
        <w:t xml:space="preserve"> billion. The gross subsidy amount (including ITCF) equated to 97.5% of the total. The c</w:t>
      </w:r>
      <w:r w:rsidR="00281031">
        <w:t>are recipient</w:t>
      </w:r>
      <w:r>
        <w:t xml:space="preserve"> basic daily fee (BDF) contributed the remaining 2.5%. The ITCF equated to 1.6% of the total</w:t>
      </w:r>
    </w:p>
    <w:p w14:paraId="6D910DF5" w14:textId="390D4B88" w:rsidR="00C17EEA" w:rsidRPr="00312327" w:rsidRDefault="00C17EEA" w:rsidP="005D395A">
      <w:pPr>
        <w:pStyle w:val="ListParagraph"/>
        <w:numPr>
          <w:ilvl w:val="0"/>
          <w:numId w:val="12"/>
        </w:numPr>
      </w:pPr>
      <w:r>
        <w:t xml:space="preserve">The amount returned to the Commonwealth represents 94.5% of all funds returned which is in line with the revenue mix where Commonwealth subsidies and supplements contribute 95.6% of package </w:t>
      </w:r>
      <w:r w:rsidRPr="00312327">
        <w:t>funding</w:t>
      </w:r>
    </w:p>
    <w:p w14:paraId="4001F131" w14:textId="0C8E4AE8" w:rsidR="00C17EEA" w:rsidRPr="00312327" w:rsidRDefault="00C17EEA" w:rsidP="005D395A">
      <w:pPr>
        <w:pStyle w:val="ListParagraph"/>
        <w:numPr>
          <w:ilvl w:val="0"/>
          <w:numId w:val="12"/>
        </w:numPr>
      </w:pPr>
      <w:r w:rsidRPr="00312327">
        <w:t xml:space="preserve">The equivalent of 24.1% of the opening </w:t>
      </w:r>
      <w:r w:rsidR="006C5270" w:rsidRPr="00312327">
        <w:t xml:space="preserve">balance of </w:t>
      </w:r>
      <w:r w:rsidRPr="00312327">
        <w:t xml:space="preserve">unspent funds were returned to the Commonwealth or </w:t>
      </w:r>
      <w:r w:rsidR="00F62D07">
        <w:t>c</w:t>
      </w:r>
      <w:r w:rsidR="00312327">
        <w:t>are recipient</w:t>
      </w:r>
      <w:r w:rsidRPr="00312327">
        <w:t xml:space="preserve"> upon leaving the package</w:t>
      </w:r>
    </w:p>
    <w:p w14:paraId="0F10D9AA" w14:textId="52BDB905" w:rsidR="006C5270" w:rsidRDefault="006C5270" w:rsidP="005D395A">
      <w:pPr>
        <w:pStyle w:val="ListParagraph"/>
        <w:numPr>
          <w:ilvl w:val="0"/>
          <w:numId w:val="12"/>
        </w:numPr>
      </w:pPr>
      <w:r>
        <w:t>The closing balance of unspent funds represents 27.5% of the total inflows into package funds for the FY19 year</w:t>
      </w:r>
    </w:p>
    <w:p w14:paraId="3820816C" w14:textId="21B99866" w:rsidR="006C5270" w:rsidRDefault="00480E15" w:rsidP="005D395A">
      <w:pPr>
        <w:pStyle w:val="ListParagraph"/>
        <w:numPr>
          <w:ilvl w:val="0"/>
          <w:numId w:val="12"/>
        </w:numPr>
      </w:pPr>
      <w:r>
        <w:t xml:space="preserve">The following table outlines the outflows of funds </w:t>
      </w:r>
      <w:r w:rsidR="003409AC">
        <w:t xml:space="preserve">for FY19 </w:t>
      </w:r>
      <w:r>
        <w:t>as a proportion of total available package funds and total inflows for the year</w:t>
      </w:r>
    </w:p>
    <w:p w14:paraId="36B0BE1B" w14:textId="77777777" w:rsidR="00270AF1" w:rsidRDefault="00270AF1" w:rsidP="00270AF1"/>
    <w:p w14:paraId="31D61A81" w14:textId="5F7CAE65" w:rsidR="001308F3" w:rsidRDefault="001308F3" w:rsidP="001308F3">
      <w:pPr>
        <w:pStyle w:val="Caption"/>
        <w:keepNext/>
      </w:pPr>
      <w:r>
        <w:t xml:space="preserve">Table </w:t>
      </w:r>
      <w:fldSimple w:instr=" SEQ Table \* ARABIC ">
        <w:r w:rsidR="00844346">
          <w:rPr>
            <w:noProof/>
          </w:rPr>
          <w:t>2</w:t>
        </w:r>
      </w:fldSimple>
      <w:r>
        <w:t>:  Breakdown of inflows to package funds including proportion of total inflows and total package funds</w:t>
      </w:r>
    </w:p>
    <w:tbl>
      <w:tblPr>
        <w:tblStyle w:val="GridTable4-Accent1"/>
        <w:tblW w:w="0" w:type="auto"/>
        <w:tblLook w:val="0620" w:firstRow="1" w:lastRow="0" w:firstColumn="0" w:lastColumn="0" w:noHBand="1" w:noVBand="1"/>
        <w:tblCaption w:val="Table 2:  Breakdown of inflows to package funds including proportion of total inflows and total package funds"/>
      </w:tblPr>
      <w:tblGrid>
        <w:gridCol w:w="4248"/>
        <w:gridCol w:w="1701"/>
        <w:gridCol w:w="1839"/>
        <w:gridCol w:w="1840"/>
      </w:tblGrid>
      <w:tr w:rsidR="00480E15" w14:paraId="3957FE33" w14:textId="77777777" w:rsidTr="003636FB">
        <w:trPr>
          <w:cnfStyle w:val="100000000000" w:firstRow="1" w:lastRow="0" w:firstColumn="0" w:lastColumn="0" w:oddVBand="0" w:evenVBand="0" w:oddHBand="0" w:evenHBand="0" w:firstRowFirstColumn="0" w:firstRowLastColumn="0" w:lastRowFirstColumn="0" w:lastRowLastColumn="0"/>
          <w:tblHeader/>
        </w:trPr>
        <w:tc>
          <w:tcPr>
            <w:tcW w:w="4248" w:type="dxa"/>
          </w:tcPr>
          <w:p w14:paraId="26A45F5C" w14:textId="77777777" w:rsidR="00480E15" w:rsidRPr="00451A54" w:rsidRDefault="00480E15" w:rsidP="00994E34">
            <w:pPr>
              <w:rPr>
                <w:sz w:val="20"/>
                <w:szCs w:val="20"/>
              </w:rPr>
            </w:pPr>
          </w:p>
        </w:tc>
        <w:tc>
          <w:tcPr>
            <w:tcW w:w="1701" w:type="dxa"/>
          </w:tcPr>
          <w:p w14:paraId="0E69F742" w14:textId="77777777" w:rsidR="00480E15" w:rsidRPr="00451A54" w:rsidRDefault="00480E15" w:rsidP="00270AF1">
            <w:pPr>
              <w:jc w:val="center"/>
              <w:rPr>
                <w:b w:val="0"/>
                <w:sz w:val="20"/>
                <w:szCs w:val="20"/>
              </w:rPr>
            </w:pPr>
            <w:r w:rsidRPr="00451A54">
              <w:rPr>
                <w:b w:val="0"/>
                <w:sz w:val="20"/>
                <w:szCs w:val="20"/>
              </w:rPr>
              <w:t>Amount</w:t>
            </w:r>
          </w:p>
          <w:p w14:paraId="553AC427" w14:textId="123F644A" w:rsidR="00480E15" w:rsidRPr="00451A54" w:rsidRDefault="00480E15" w:rsidP="00270AF1">
            <w:pPr>
              <w:jc w:val="center"/>
              <w:rPr>
                <w:b w:val="0"/>
                <w:sz w:val="20"/>
                <w:szCs w:val="20"/>
              </w:rPr>
            </w:pPr>
            <w:r w:rsidRPr="00451A54">
              <w:rPr>
                <w:b w:val="0"/>
                <w:sz w:val="20"/>
                <w:szCs w:val="20"/>
              </w:rPr>
              <w:t>$</w:t>
            </w:r>
          </w:p>
        </w:tc>
        <w:tc>
          <w:tcPr>
            <w:tcW w:w="1839" w:type="dxa"/>
          </w:tcPr>
          <w:p w14:paraId="0AEB23B8" w14:textId="4229B613" w:rsidR="00480E15" w:rsidRPr="00451A54" w:rsidRDefault="00480E15" w:rsidP="00270AF1">
            <w:pPr>
              <w:jc w:val="center"/>
              <w:rPr>
                <w:b w:val="0"/>
                <w:sz w:val="20"/>
                <w:szCs w:val="20"/>
              </w:rPr>
            </w:pPr>
            <w:r w:rsidRPr="00451A54">
              <w:rPr>
                <w:b w:val="0"/>
                <w:sz w:val="20"/>
                <w:szCs w:val="20"/>
              </w:rPr>
              <w:t>Proportion of Total Available Package Funds</w:t>
            </w:r>
          </w:p>
        </w:tc>
        <w:tc>
          <w:tcPr>
            <w:tcW w:w="1840" w:type="dxa"/>
          </w:tcPr>
          <w:p w14:paraId="79C5EE68" w14:textId="385CDBD6" w:rsidR="00480E15" w:rsidRPr="00451A54" w:rsidRDefault="00480E15" w:rsidP="00270AF1">
            <w:pPr>
              <w:jc w:val="center"/>
              <w:rPr>
                <w:b w:val="0"/>
                <w:sz w:val="20"/>
                <w:szCs w:val="20"/>
              </w:rPr>
            </w:pPr>
            <w:r w:rsidRPr="00451A54">
              <w:rPr>
                <w:b w:val="0"/>
                <w:sz w:val="20"/>
                <w:szCs w:val="20"/>
              </w:rPr>
              <w:t>Proportion of Total Inflows</w:t>
            </w:r>
          </w:p>
        </w:tc>
      </w:tr>
      <w:tr w:rsidR="009F5766" w14:paraId="4F40B3D2" w14:textId="77777777" w:rsidTr="009F5766">
        <w:tc>
          <w:tcPr>
            <w:tcW w:w="4248" w:type="dxa"/>
            <w:shd w:val="clear" w:color="auto" w:fill="BDD6EE" w:themeFill="accent1" w:themeFillTint="66"/>
          </w:tcPr>
          <w:p w14:paraId="749DF956" w14:textId="6B5651CC" w:rsidR="009F5766" w:rsidRPr="009F5766" w:rsidRDefault="009F5766" w:rsidP="00480E15">
            <w:pPr>
              <w:rPr>
                <w:b/>
                <w:sz w:val="20"/>
                <w:szCs w:val="20"/>
              </w:rPr>
            </w:pPr>
            <w:r w:rsidRPr="009F5766">
              <w:rPr>
                <w:b/>
                <w:sz w:val="20"/>
                <w:szCs w:val="20"/>
              </w:rPr>
              <w:t>Total Funds</w:t>
            </w:r>
          </w:p>
        </w:tc>
        <w:tc>
          <w:tcPr>
            <w:tcW w:w="1701" w:type="dxa"/>
            <w:shd w:val="clear" w:color="auto" w:fill="BDD6EE" w:themeFill="accent1" w:themeFillTint="66"/>
          </w:tcPr>
          <w:p w14:paraId="6B735C43" w14:textId="77777777" w:rsidR="009F5766" w:rsidRPr="009F5766" w:rsidRDefault="009F5766" w:rsidP="00480E15">
            <w:pPr>
              <w:jc w:val="right"/>
              <w:rPr>
                <w:b/>
                <w:sz w:val="20"/>
                <w:szCs w:val="20"/>
              </w:rPr>
            </w:pPr>
          </w:p>
        </w:tc>
        <w:tc>
          <w:tcPr>
            <w:tcW w:w="1839" w:type="dxa"/>
            <w:shd w:val="clear" w:color="auto" w:fill="BDD6EE" w:themeFill="accent1" w:themeFillTint="66"/>
          </w:tcPr>
          <w:p w14:paraId="43A778A4" w14:textId="77CEE9DA" w:rsidR="009F5766" w:rsidRPr="009F5766" w:rsidRDefault="009F5766" w:rsidP="00480E15">
            <w:pPr>
              <w:jc w:val="center"/>
              <w:rPr>
                <w:b/>
                <w:sz w:val="20"/>
                <w:szCs w:val="20"/>
              </w:rPr>
            </w:pPr>
            <w:r w:rsidRPr="009F5766">
              <w:rPr>
                <w:b/>
                <w:sz w:val="20"/>
                <w:szCs w:val="20"/>
              </w:rPr>
              <w:t>$ 3,196,621,958</w:t>
            </w:r>
          </w:p>
        </w:tc>
        <w:tc>
          <w:tcPr>
            <w:tcW w:w="1840" w:type="dxa"/>
            <w:shd w:val="clear" w:color="auto" w:fill="BDD6EE" w:themeFill="accent1" w:themeFillTint="66"/>
          </w:tcPr>
          <w:p w14:paraId="0ACC00A0" w14:textId="390C9774" w:rsidR="009F5766" w:rsidRPr="009F5766" w:rsidRDefault="009F5766" w:rsidP="00480E15">
            <w:pPr>
              <w:jc w:val="center"/>
              <w:rPr>
                <w:b/>
                <w:sz w:val="20"/>
                <w:szCs w:val="20"/>
              </w:rPr>
            </w:pPr>
            <w:r w:rsidRPr="009F5766">
              <w:rPr>
                <w:b/>
                <w:sz w:val="20"/>
                <w:szCs w:val="20"/>
              </w:rPr>
              <w:t>$2,663,424,494</w:t>
            </w:r>
          </w:p>
        </w:tc>
      </w:tr>
      <w:tr w:rsidR="00480E15" w14:paraId="3B3FBF8F" w14:textId="77777777" w:rsidTr="009F5766">
        <w:tc>
          <w:tcPr>
            <w:tcW w:w="4248" w:type="dxa"/>
          </w:tcPr>
          <w:p w14:paraId="7FBFAC16" w14:textId="1CDAB4B2" w:rsidR="00480E15" w:rsidRPr="00451A54" w:rsidRDefault="00480E15" w:rsidP="00480E15">
            <w:pPr>
              <w:rPr>
                <w:sz w:val="20"/>
                <w:szCs w:val="20"/>
              </w:rPr>
            </w:pPr>
            <w:r w:rsidRPr="00451A54">
              <w:rPr>
                <w:sz w:val="20"/>
                <w:szCs w:val="20"/>
              </w:rPr>
              <w:t>Transferred to another provider</w:t>
            </w:r>
          </w:p>
        </w:tc>
        <w:tc>
          <w:tcPr>
            <w:tcW w:w="1701" w:type="dxa"/>
          </w:tcPr>
          <w:p w14:paraId="42AB3A6C" w14:textId="6A4AF468" w:rsidR="00480E15" w:rsidRPr="00451A54" w:rsidRDefault="00480E15" w:rsidP="00480E15">
            <w:pPr>
              <w:jc w:val="right"/>
              <w:rPr>
                <w:sz w:val="20"/>
                <w:szCs w:val="20"/>
              </w:rPr>
            </w:pPr>
            <w:r w:rsidRPr="00451A54">
              <w:rPr>
                <w:sz w:val="20"/>
                <w:szCs w:val="20"/>
              </w:rPr>
              <w:t>30,847,484</w:t>
            </w:r>
          </w:p>
        </w:tc>
        <w:tc>
          <w:tcPr>
            <w:tcW w:w="1839" w:type="dxa"/>
          </w:tcPr>
          <w:p w14:paraId="7739C5B8" w14:textId="79D8EBBE" w:rsidR="00480E15" w:rsidRPr="00451A54" w:rsidRDefault="00480E15" w:rsidP="00480E15">
            <w:pPr>
              <w:jc w:val="center"/>
              <w:rPr>
                <w:sz w:val="20"/>
                <w:szCs w:val="20"/>
              </w:rPr>
            </w:pPr>
            <w:r w:rsidRPr="00451A54">
              <w:rPr>
                <w:sz w:val="20"/>
                <w:szCs w:val="20"/>
              </w:rPr>
              <w:t>3.8%</w:t>
            </w:r>
          </w:p>
        </w:tc>
        <w:tc>
          <w:tcPr>
            <w:tcW w:w="1840" w:type="dxa"/>
          </w:tcPr>
          <w:p w14:paraId="7E631C40" w14:textId="765E8858" w:rsidR="00480E15" w:rsidRPr="00451A54" w:rsidRDefault="00480E15" w:rsidP="00480E15">
            <w:pPr>
              <w:jc w:val="center"/>
              <w:rPr>
                <w:sz w:val="20"/>
                <w:szCs w:val="20"/>
              </w:rPr>
            </w:pPr>
            <w:r w:rsidRPr="00451A54">
              <w:rPr>
                <w:sz w:val="20"/>
                <w:szCs w:val="20"/>
              </w:rPr>
              <w:t>4.6%</w:t>
            </w:r>
          </w:p>
        </w:tc>
      </w:tr>
      <w:tr w:rsidR="00480E15" w14:paraId="5A271D6A" w14:textId="77777777" w:rsidTr="009F5766">
        <w:tc>
          <w:tcPr>
            <w:tcW w:w="4248" w:type="dxa"/>
          </w:tcPr>
          <w:p w14:paraId="17A4919D" w14:textId="58F428AA" w:rsidR="00480E15" w:rsidRPr="00451A54" w:rsidRDefault="00480E15" w:rsidP="00480E15">
            <w:pPr>
              <w:rPr>
                <w:sz w:val="20"/>
                <w:szCs w:val="20"/>
              </w:rPr>
            </w:pPr>
            <w:r w:rsidRPr="00451A54">
              <w:rPr>
                <w:sz w:val="20"/>
                <w:szCs w:val="20"/>
              </w:rPr>
              <w:t>Returned to care recipient / estate</w:t>
            </w:r>
          </w:p>
        </w:tc>
        <w:tc>
          <w:tcPr>
            <w:tcW w:w="1701" w:type="dxa"/>
          </w:tcPr>
          <w:p w14:paraId="4C87D5D3" w14:textId="588F1F88" w:rsidR="00480E15" w:rsidRPr="00451A54" w:rsidRDefault="00480E15" w:rsidP="00480E15">
            <w:pPr>
              <w:jc w:val="right"/>
              <w:rPr>
                <w:sz w:val="20"/>
                <w:szCs w:val="20"/>
              </w:rPr>
            </w:pPr>
            <w:r w:rsidRPr="00451A54">
              <w:rPr>
                <w:sz w:val="20"/>
                <w:szCs w:val="20"/>
              </w:rPr>
              <w:t>7,045,928</w:t>
            </w:r>
          </w:p>
        </w:tc>
        <w:tc>
          <w:tcPr>
            <w:tcW w:w="1839" w:type="dxa"/>
          </w:tcPr>
          <w:p w14:paraId="1F730483" w14:textId="506E4D55" w:rsidR="00480E15" w:rsidRPr="00451A54" w:rsidRDefault="00480E15" w:rsidP="00480E15">
            <w:pPr>
              <w:jc w:val="center"/>
              <w:rPr>
                <w:sz w:val="20"/>
                <w:szCs w:val="20"/>
              </w:rPr>
            </w:pPr>
            <w:r w:rsidRPr="00451A54">
              <w:rPr>
                <w:sz w:val="20"/>
                <w:szCs w:val="20"/>
              </w:rPr>
              <w:t>0.2%</w:t>
            </w:r>
          </w:p>
        </w:tc>
        <w:tc>
          <w:tcPr>
            <w:tcW w:w="1840" w:type="dxa"/>
          </w:tcPr>
          <w:p w14:paraId="1A80CC37" w14:textId="65763529" w:rsidR="00480E15" w:rsidRPr="00451A54" w:rsidRDefault="00480E15" w:rsidP="00480E15">
            <w:pPr>
              <w:jc w:val="center"/>
              <w:rPr>
                <w:sz w:val="20"/>
                <w:szCs w:val="20"/>
              </w:rPr>
            </w:pPr>
            <w:r w:rsidRPr="00451A54">
              <w:rPr>
                <w:sz w:val="20"/>
                <w:szCs w:val="20"/>
              </w:rPr>
              <w:t>0.3%</w:t>
            </w:r>
          </w:p>
        </w:tc>
      </w:tr>
      <w:tr w:rsidR="00480E15" w14:paraId="55938FD0" w14:textId="77777777" w:rsidTr="009F5766">
        <w:tc>
          <w:tcPr>
            <w:tcW w:w="4248" w:type="dxa"/>
          </w:tcPr>
          <w:p w14:paraId="29A057A2" w14:textId="11A035A5" w:rsidR="00480E15" w:rsidRPr="00451A54" w:rsidRDefault="00480E15" w:rsidP="00480E15">
            <w:pPr>
              <w:rPr>
                <w:sz w:val="20"/>
                <w:szCs w:val="20"/>
              </w:rPr>
            </w:pPr>
            <w:r w:rsidRPr="00451A54">
              <w:rPr>
                <w:sz w:val="20"/>
                <w:szCs w:val="20"/>
              </w:rPr>
              <w:t>Returned to the Commonwealth</w:t>
            </w:r>
          </w:p>
        </w:tc>
        <w:tc>
          <w:tcPr>
            <w:tcW w:w="1701" w:type="dxa"/>
          </w:tcPr>
          <w:p w14:paraId="5D43B0DA" w14:textId="05B997E0" w:rsidR="00480E15" w:rsidRPr="00451A54" w:rsidRDefault="00480E15" w:rsidP="00480E15">
            <w:pPr>
              <w:jc w:val="right"/>
              <w:rPr>
                <w:sz w:val="20"/>
                <w:szCs w:val="20"/>
              </w:rPr>
            </w:pPr>
            <w:r w:rsidRPr="00451A54">
              <w:rPr>
                <w:sz w:val="20"/>
                <w:szCs w:val="20"/>
              </w:rPr>
              <w:t>121,259,487</w:t>
            </w:r>
          </w:p>
        </w:tc>
        <w:tc>
          <w:tcPr>
            <w:tcW w:w="1839" w:type="dxa"/>
          </w:tcPr>
          <w:p w14:paraId="074E9974" w14:textId="33D10F14" w:rsidR="00480E15" w:rsidRPr="00451A54" w:rsidRDefault="00480E15" w:rsidP="00480E15">
            <w:pPr>
              <w:jc w:val="center"/>
              <w:rPr>
                <w:sz w:val="20"/>
                <w:szCs w:val="20"/>
              </w:rPr>
            </w:pPr>
            <w:r w:rsidRPr="00451A54">
              <w:rPr>
                <w:sz w:val="20"/>
                <w:szCs w:val="20"/>
              </w:rPr>
              <w:t>1.0%</w:t>
            </w:r>
          </w:p>
        </w:tc>
        <w:tc>
          <w:tcPr>
            <w:tcW w:w="1840" w:type="dxa"/>
          </w:tcPr>
          <w:p w14:paraId="6D61A212" w14:textId="060548D6" w:rsidR="00480E15" w:rsidRPr="00451A54" w:rsidRDefault="00480E15" w:rsidP="00480E15">
            <w:pPr>
              <w:jc w:val="center"/>
              <w:rPr>
                <w:sz w:val="20"/>
                <w:szCs w:val="20"/>
              </w:rPr>
            </w:pPr>
            <w:r w:rsidRPr="00451A54">
              <w:rPr>
                <w:sz w:val="20"/>
                <w:szCs w:val="20"/>
              </w:rPr>
              <w:t>1.2%</w:t>
            </w:r>
          </w:p>
        </w:tc>
      </w:tr>
      <w:tr w:rsidR="00480E15" w14:paraId="31ED25F2" w14:textId="77777777" w:rsidTr="009F5766">
        <w:tc>
          <w:tcPr>
            <w:tcW w:w="4248" w:type="dxa"/>
          </w:tcPr>
          <w:p w14:paraId="19010165" w14:textId="6E4E8B6C" w:rsidR="00480E15" w:rsidRPr="00451A54" w:rsidRDefault="00480E15" w:rsidP="00480E15">
            <w:pPr>
              <w:rPr>
                <w:sz w:val="20"/>
                <w:szCs w:val="20"/>
              </w:rPr>
            </w:pPr>
            <w:r w:rsidRPr="00451A54">
              <w:rPr>
                <w:sz w:val="20"/>
                <w:szCs w:val="20"/>
              </w:rPr>
              <w:t>Package funds spent</w:t>
            </w:r>
          </w:p>
        </w:tc>
        <w:tc>
          <w:tcPr>
            <w:tcW w:w="1701" w:type="dxa"/>
          </w:tcPr>
          <w:p w14:paraId="3F3F8DE2" w14:textId="3C041C54" w:rsidR="00480E15" w:rsidRPr="00451A54" w:rsidRDefault="00480E15" w:rsidP="00480E15">
            <w:pPr>
              <w:jc w:val="right"/>
              <w:rPr>
                <w:sz w:val="20"/>
                <w:szCs w:val="20"/>
              </w:rPr>
            </w:pPr>
            <w:r w:rsidRPr="00451A54">
              <w:rPr>
                <w:sz w:val="20"/>
                <w:szCs w:val="20"/>
              </w:rPr>
              <w:t>2,304,252,167</w:t>
            </w:r>
          </w:p>
        </w:tc>
        <w:tc>
          <w:tcPr>
            <w:tcW w:w="1839" w:type="dxa"/>
          </w:tcPr>
          <w:p w14:paraId="569F4992" w14:textId="4C805D36" w:rsidR="00480E15" w:rsidRPr="00451A54" w:rsidRDefault="00480E15" w:rsidP="00480E15">
            <w:pPr>
              <w:jc w:val="center"/>
              <w:rPr>
                <w:sz w:val="20"/>
                <w:szCs w:val="20"/>
              </w:rPr>
            </w:pPr>
            <w:r w:rsidRPr="00451A54">
              <w:rPr>
                <w:sz w:val="20"/>
                <w:szCs w:val="20"/>
              </w:rPr>
              <w:t>72.1%</w:t>
            </w:r>
          </w:p>
        </w:tc>
        <w:tc>
          <w:tcPr>
            <w:tcW w:w="1840" w:type="dxa"/>
          </w:tcPr>
          <w:p w14:paraId="37D643A0" w14:textId="768D6A48" w:rsidR="00480E15" w:rsidRPr="00451A54" w:rsidRDefault="00480E15" w:rsidP="00480E15">
            <w:pPr>
              <w:jc w:val="center"/>
              <w:rPr>
                <w:sz w:val="20"/>
                <w:szCs w:val="20"/>
              </w:rPr>
            </w:pPr>
            <w:r w:rsidRPr="00451A54">
              <w:rPr>
                <w:sz w:val="20"/>
                <w:szCs w:val="20"/>
              </w:rPr>
              <w:t>86.5%</w:t>
            </w:r>
          </w:p>
        </w:tc>
      </w:tr>
      <w:tr w:rsidR="00480E15" w14:paraId="158B255F" w14:textId="77777777" w:rsidTr="008B3A8F">
        <w:tc>
          <w:tcPr>
            <w:tcW w:w="4248" w:type="dxa"/>
          </w:tcPr>
          <w:p w14:paraId="71D58010" w14:textId="2FE861F9" w:rsidR="00480E15" w:rsidRPr="00451A54" w:rsidRDefault="00480E15" w:rsidP="00480E15">
            <w:pPr>
              <w:rPr>
                <w:sz w:val="20"/>
                <w:szCs w:val="20"/>
              </w:rPr>
            </w:pPr>
            <w:r w:rsidRPr="00451A54">
              <w:rPr>
                <w:sz w:val="20"/>
                <w:szCs w:val="20"/>
              </w:rPr>
              <w:t>Retained in unspent funds</w:t>
            </w:r>
          </w:p>
        </w:tc>
        <w:tc>
          <w:tcPr>
            <w:tcW w:w="1701" w:type="dxa"/>
          </w:tcPr>
          <w:p w14:paraId="2F04D9BC" w14:textId="7B01B441" w:rsidR="00480E15" w:rsidRPr="00451A54" w:rsidRDefault="00356580" w:rsidP="00480E15">
            <w:pPr>
              <w:jc w:val="right"/>
              <w:rPr>
                <w:sz w:val="20"/>
                <w:szCs w:val="20"/>
              </w:rPr>
            </w:pPr>
            <w:r>
              <w:rPr>
                <w:sz w:val="20"/>
                <w:szCs w:val="20"/>
              </w:rPr>
              <w:t>733,216,892</w:t>
            </w:r>
          </w:p>
        </w:tc>
        <w:tc>
          <w:tcPr>
            <w:tcW w:w="1839" w:type="dxa"/>
          </w:tcPr>
          <w:p w14:paraId="269EED23" w14:textId="59CAA0D7" w:rsidR="00480E15" w:rsidRPr="00451A54" w:rsidRDefault="00480E15" w:rsidP="00480E15">
            <w:pPr>
              <w:jc w:val="center"/>
              <w:rPr>
                <w:sz w:val="20"/>
                <w:szCs w:val="20"/>
              </w:rPr>
            </w:pPr>
            <w:r w:rsidRPr="00451A54">
              <w:rPr>
                <w:sz w:val="20"/>
                <w:szCs w:val="20"/>
              </w:rPr>
              <w:t>22.9%</w:t>
            </w:r>
          </w:p>
        </w:tc>
        <w:tc>
          <w:tcPr>
            <w:tcW w:w="1840" w:type="dxa"/>
            <w:shd w:val="clear" w:color="auto" w:fill="DBDBDB" w:themeFill="accent3" w:themeFillTint="66"/>
          </w:tcPr>
          <w:p w14:paraId="39FC0CFD" w14:textId="77777777" w:rsidR="00480E15" w:rsidRPr="00451A54" w:rsidRDefault="00480E15" w:rsidP="00480E15">
            <w:pPr>
              <w:jc w:val="center"/>
              <w:rPr>
                <w:sz w:val="20"/>
                <w:szCs w:val="20"/>
              </w:rPr>
            </w:pPr>
          </w:p>
        </w:tc>
      </w:tr>
      <w:tr w:rsidR="00480E15" w14:paraId="79CE931F" w14:textId="77777777" w:rsidTr="008B3A8F">
        <w:tc>
          <w:tcPr>
            <w:tcW w:w="4248" w:type="dxa"/>
          </w:tcPr>
          <w:p w14:paraId="162570BA" w14:textId="5861E6D8" w:rsidR="00480E15" w:rsidRPr="00451A54" w:rsidRDefault="00480E15" w:rsidP="00480E15">
            <w:pPr>
              <w:rPr>
                <w:sz w:val="20"/>
                <w:szCs w:val="20"/>
              </w:rPr>
            </w:pPr>
            <w:r w:rsidRPr="00451A54">
              <w:rPr>
                <w:sz w:val="20"/>
                <w:szCs w:val="20"/>
              </w:rPr>
              <w:t>Change in unspent funds</w:t>
            </w:r>
          </w:p>
        </w:tc>
        <w:tc>
          <w:tcPr>
            <w:tcW w:w="1701" w:type="dxa"/>
          </w:tcPr>
          <w:p w14:paraId="75EEFEBD" w14:textId="3EE1DFA2" w:rsidR="00480E15" w:rsidRPr="00451A54" w:rsidRDefault="00480E15" w:rsidP="00480E15">
            <w:pPr>
              <w:jc w:val="right"/>
              <w:rPr>
                <w:sz w:val="20"/>
                <w:szCs w:val="20"/>
              </w:rPr>
            </w:pPr>
            <w:r w:rsidRPr="00451A54">
              <w:rPr>
                <w:sz w:val="20"/>
                <w:szCs w:val="20"/>
              </w:rPr>
              <w:t>200,019,428</w:t>
            </w:r>
          </w:p>
        </w:tc>
        <w:tc>
          <w:tcPr>
            <w:tcW w:w="1839" w:type="dxa"/>
            <w:shd w:val="clear" w:color="auto" w:fill="DBDBDB" w:themeFill="accent3" w:themeFillTint="66"/>
          </w:tcPr>
          <w:p w14:paraId="3562406D" w14:textId="3C6DA60F" w:rsidR="00480E15" w:rsidRPr="00451A54" w:rsidRDefault="00480E15" w:rsidP="00480E15">
            <w:pPr>
              <w:jc w:val="center"/>
              <w:rPr>
                <w:sz w:val="20"/>
                <w:szCs w:val="20"/>
              </w:rPr>
            </w:pPr>
          </w:p>
        </w:tc>
        <w:tc>
          <w:tcPr>
            <w:tcW w:w="1840" w:type="dxa"/>
          </w:tcPr>
          <w:p w14:paraId="154E5990" w14:textId="33D55914" w:rsidR="00480E15" w:rsidRPr="00451A54" w:rsidRDefault="00480E15" w:rsidP="00480E15">
            <w:pPr>
              <w:jc w:val="center"/>
              <w:rPr>
                <w:sz w:val="20"/>
                <w:szCs w:val="20"/>
              </w:rPr>
            </w:pPr>
            <w:r w:rsidRPr="00451A54">
              <w:rPr>
                <w:sz w:val="20"/>
                <w:szCs w:val="20"/>
              </w:rPr>
              <w:t>7.5%</w:t>
            </w:r>
          </w:p>
        </w:tc>
      </w:tr>
      <w:tr w:rsidR="00480E15" w14:paraId="389178E7" w14:textId="77777777" w:rsidTr="009F5766">
        <w:tc>
          <w:tcPr>
            <w:tcW w:w="4248" w:type="dxa"/>
          </w:tcPr>
          <w:p w14:paraId="04EEF3BE" w14:textId="7A4D2AA8" w:rsidR="00480E15" w:rsidRPr="00451A54" w:rsidRDefault="00480E15" w:rsidP="00994E34">
            <w:pPr>
              <w:rPr>
                <w:sz w:val="20"/>
                <w:szCs w:val="20"/>
              </w:rPr>
            </w:pPr>
          </w:p>
        </w:tc>
        <w:tc>
          <w:tcPr>
            <w:tcW w:w="1701" w:type="dxa"/>
          </w:tcPr>
          <w:p w14:paraId="24606C73" w14:textId="7D6A62F1" w:rsidR="00480E15" w:rsidRPr="00451A54" w:rsidRDefault="00480E15" w:rsidP="00480E15">
            <w:pPr>
              <w:jc w:val="right"/>
              <w:rPr>
                <w:sz w:val="20"/>
                <w:szCs w:val="20"/>
              </w:rPr>
            </w:pPr>
          </w:p>
        </w:tc>
        <w:tc>
          <w:tcPr>
            <w:tcW w:w="1839" w:type="dxa"/>
          </w:tcPr>
          <w:p w14:paraId="5E096DA7" w14:textId="63FA104D" w:rsidR="00480E15" w:rsidRPr="00451A54" w:rsidRDefault="00480E15" w:rsidP="00480E15">
            <w:pPr>
              <w:jc w:val="center"/>
              <w:rPr>
                <w:b/>
                <w:sz w:val="20"/>
                <w:szCs w:val="20"/>
              </w:rPr>
            </w:pPr>
            <w:r w:rsidRPr="00451A54">
              <w:rPr>
                <w:b/>
                <w:sz w:val="20"/>
                <w:szCs w:val="20"/>
              </w:rPr>
              <w:t>100.0%</w:t>
            </w:r>
          </w:p>
        </w:tc>
        <w:tc>
          <w:tcPr>
            <w:tcW w:w="1840" w:type="dxa"/>
          </w:tcPr>
          <w:p w14:paraId="2AC09143" w14:textId="559114F7" w:rsidR="00480E15" w:rsidRPr="00451A54" w:rsidRDefault="00480E15" w:rsidP="00480E15">
            <w:pPr>
              <w:jc w:val="center"/>
              <w:rPr>
                <w:b/>
                <w:sz w:val="20"/>
                <w:szCs w:val="20"/>
              </w:rPr>
            </w:pPr>
            <w:r w:rsidRPr="00451A54">
              <w:rPr>
                <w:b/>
                <w:sz w:val="20"/>
                <w:szCs w:val="20"/>
              </w:rPr>
              <w:t>100.0%</w:t>
            </w:r>
          </w:p>
        </w:tc>
      </w:tr>
    </w:tbl>
    <w:p w14:paraId="46B44096" w14:textId="33EFD575" w:rsidR="00994E34" w:rsidRDefault="00994E34" w:rsidP="00211664">
      <w:pPr>
        <w:spacing w:after="120"/>
      </w:pPr>
      <w:r w:rsidRPr="00D24380">
        <w:lastRenderedPageBreak/>
        <w:t xml:space="preserve">The increasing amount of unspent funds continues to be a significant area </w:t>
      </w:r>
      <w:r>
        <w:t>of concern for several reasons:</w:t>
      </w:r>
    </w:p>
    <w:p w14:paraId="0C1EA3EB" w14:textId="3F61EB89" w:rsidR="00994E34" w:rsidRDefault="00994E34" w:rsidP="005D395A">
      <w:pPr>
        <w:pStyle w:val="ListParagraph"/>
        <w:numPr>
          <w:ilvl w:val="0"/>
          <w:numId w:val="10"/>
        </w:numPr>
        <w:spacing w:after="120"/>
      </w:pPr>
      <w:r>
        <w:t xml:space="preserve">Care recipients </w:t>
      </w:r>
      <w:r w:rsidR="00016780">
        <w:t>may</w:t>
      </w:r>
      <w:r w:rsidR="006C5270">
        <w:t xml:space="preserve"> </w:t>
      </w:r>
      <w:r>
        <w:t xml:space="preserve">not </w:t>
      </w:r>
      <w:r w:rsidR="00887ED1">
        <w:t xml:space="preserve">be </w:t>
      </w:r>
      <w:r>
        <w:t>taking full advantage of their available package</w:t>
      </w:r>
      <w:r w:rsidR="006C5270">
        <w:t xml:space="preserve"> funding for use on services</w:t>
      </w:r>
    </w:p>
    <w:p w14:paraId="0E8337A8" w14:textId="20230BAB" w:rsidR="00994E34" w:rsidRDefault="00016780" w:rsidP="005D395A">
      <w:pPr>
        <w:pStyle w:val="ListParagraph"/>
        <w:numPr>
          <w:ilvl w:val="0"/>
          <w:numId w:val="10"/>
        </w:numPr>
        <w:spacing w:after="120"/>
      </w:pPr>
      <w:r>
        <w:t>A</w:t>
      </w:r>
      <w:r w:rsidR="00F62D07">
        <w:t>P</w:t>
      </w:r>
      <w:r w:rsidR="00994E34">
        <w:t xml:space="preserve">s </w:t>
      </w:r>
      <w:r w:rsidR="006C5270">
        <w:t xml:space="preserve">are </w:t>
      </w:r>
      <w:r w:rsidR="00994E34">
        <w:t xml:space="preserve">not </w:t>
      </w:r>
      <w:r w:rsidR="00C17EEA">
        <w:t xml:space="preserve">operating at optimal efficiency because </w:t>
      </w:r>
      <w:r>
        <w:t xml:space="preserve">the </w:t>
      </w:r>
      <w:r w:rsidR="00C17EEA">
        <w:t>c</w:t>
      </w:r>
      <w:r w:rsidR="00211664">
        <w:t>are recipients</w:t>
      </w:r>
      <w:r w:rsidR="00C17EEA">
        <w:t xml:space="preserve"> are not utilising the full value of their </w:t>
      </w:r>
      <w:r>
        <w:t xml:space="preserve">funding </w:t>
      </w:r>
      <w:r w:rsidR="00C17EEA">
        <w:t>package</w:t>
      </w:r>
    </w:p>
    <w:p w14:paraId="5AFACDDE" w14:textId="2DC63B85" w:rsidR="00994E34" w:rsidRDefault="00C17EEA" w:rsidP="005D395A">
      <w:pPr>
        <w:pStyle w:val="ListParagraph"/>
        <w:numPr>
          <w:ilvl w:val="0"/>
          <w:numId w:val="10"/>
        </w:numPr>
        <w:spacing w:after="120"/>
      </w:pPr>
      <w:r>
        <w:t xml:space="preserve">There is an increasing level of prudential risk due to the build-up of unspent funds, bringing into question the ability for some </w:t>
      </w:r>
      <w:r w:rsidR="00F62D07">
        <w:t>APs</w:t>
      </w:r>
      <w:r>
        <w:t xml:space="preserve"> to refund those monies if and when the time arises</w:t>
      </w:r>
    </w:p>
    <w:p w14:paraId="36C59F59" w14:textId="77777777" w:rsidR="005B5913" w:rsidRDefault="005B5913" w:rsidP="0000677E"/>
    <w:p w14:paraId="44F217E3" w14:textId="602237DF" w:rsidR="008C1AA2" w:rsidRDefault="008C1AA2" w:rsidP="00A274F0">
      <w:pPr>
        <w:pStyle w:val="Heading2"/>
      </w:pPr>
      <w:bookmarkStart w:id="33" w:name="_Toc26870709"/>
      <w:r>
        <w:t>Proposed Amendments to Funding Arrangements</w:t>
      </w:r>
      <w:bookmarkEnd w:id="33"/>
    </w:p>
    <w:p w14:paraId="55749504" w14:textId="262589BA" w:rsidR="00C77DC8" w:rsidRDefault="00C77DC8" w:rsidP="0000677E">
      <w:r w:rsidRPr="00055403">
        <w:t xml:space="preserve">The </w:t>
      </w:r>
      <w:r w:rsidR="00F62D07">
        <w:t xml:space="preserve">2019-20 </w:t>
      </w:r>
      <w:r w:rsidR="00EB7134">
        <w:t xml:space="preserve">Federal </w:t>
      </w:r>
      <w:r w:rsidRPr="00055403">
        <w:t xml:space="preserve">Budget measure involves home care </w:t>
      </w:r>
      <w:r w:rsidR="00F62D07">
        <w:t>AP</w:t>
      </w:r>
      <w:r w:rsidRPr="00055403">
        <w:t xml:space="preserve">s being </w:t>
      </w:r>
      <w:r w:rsidR="00EB7134">
        <w:t xml:space="preserve">reimbursed </w:t>
      </w:r>
      <w:r w:rsidRPr="00055403">
        <w:t xml:space="preserve">for the </w:t>
      </w:r>
      <w:r w:rsidR="00EB7134">
        <w:t xml:space="preserve">actual </w:t>
      </w:r>
      <w:r w:rsidRPr="00055403">
        <w:t xml:space="preserve">services provided to care recipients. The difference between the full Government </w:t>
      </w:r>
      <w:proofErr w:type="gramStart"/>
      <w:r w:rsidRPr="00055403">
        <w:t>subsidy</w:t>
      </w:r>
      <w:proofErr w:type="gramEnd"/>
      <w:r w:rsidRPr="00055403">
        <w:t xml:space="preserve"> that the care recipient is eligible to receive based on package level and days in care and the cost of the services actually provided to the care recipient will be held by the Department of Human Services (DHS) to be drawn upon by the care recipient in future, through the </w:t>
      </w:r>
      <w:r w:rsidR="00F62D07">
        <w:t>AP</w:t>
      </w:r>
      <w:r w:rsidRPr="00055403">
        <w:t>.</w:t>
      </w:r>
    </w:p>
    <w:p w14:paraId="74859A35" w14:textId="77777777" w:rsidR="00C77DC8" w:rsidRPr="00055403" w:rsidRDefault="00C77DC8" w:rsidP="0000677E"/>
    <w:p w14:paraId="4479E8B4" w14:textId="06E57AFF" w:rsidR="00C77DC8" w:rsidRDefault="00C77DC8" w:rsidP="0000677E">
      <w:r w:rsidRPr="00055403">
        <w:t xml:space="preserve">It is proposed that the available funds of care recipients held by </w:t>
      </w:r>
      <w:r w:rsidR="00F62D07">
        <w:t>AP</w:t>
      </w:r>
      <w:r w:rsidRPr="00055403">
        <w:t>s will be drawn down as part of the implementation of the new payment arrangements.</w:t>
      </w:r>
    </w:p>
    <w:p w14:paraId="6E6C4AA9" w14:textId="77777777" w:rsidR="00EB7134" w:rsidRDefault="00EB7134" w:rsidP="0000677E"/>
    <w:p w14:paraId="563945DC" w14:textId="61EB1150" w:rsidR="00DF6F37" w:rsidRDefault="00BD7C71" w:rsidP="00A274F0">
      <w:pPr>
        <w:pStyle w:val="Heading2"/>
      </w:pPr>
      <w:bookmarkStart w:id="34" w:name="_Toc26870710"/>
      <w:r>
        <w:t xml:space="preserve">Financial </w:t>
      </w:r>
      <w:r w:rsidR="00DF6F37">
        <w:t>Risks</w:t>
      </w:r>
      <w:r w:rsidR="00EB7134">
        <w:t xml:space="preserve"> to Approved Providers</w:t>
      </w:r>
      <w:bookmarkEnd w:id="34"/>
    </w:p>
    <w:p w14:paraId="6E946DEC" w14:textId="48247B8D" w:rsidR="00DF6F37" w:rsidRDefault="000372BC" w:rsidP="00EB7134">
      <w:pPr>
        <w:spacing w:after="120"/>
      </w:pPr>
      <w:r>
        <w:t xml:space="preserve">The risks to </w:t>
      </w:r>
      <w:r w:rsidR="00F62D07">
        <w:t>AP</w:t>
      </w:r>
      <w:r>
        <w:t xml:space="preserve">s are likely to be amplified for those smaller </w:t>
      </w:r>
      <w:r w:rsidR="00F62D07">
        <w:t>AP</w:t>
      </w:r>
      <w:r>
        <w:t xml:space="preserve">s who do not have other major sources of </w:t>
      </w:r>
      <w:r w:rsidR="00EB7134">
        <w:t xml:space="preserve">revenue </w:t>
      </w:r>
      <w:r>
        <w:t>other than th</w:t>
      </w:r>
      <w:r w:rsidR="00EB7134">
        <w:t>at</w:t>
      </w:r>
      <w:r>
        <w:t xml:space="preserve"> generated from the delivery of home care packages. </w:t>
      </w:r>
      <w:r w:rsidR="00DF6F37">
        <w:t xml:space="preserve">The risks to </w:t>
      </w:r>
      <w:r w:rsidR="00F62D07">
        <w:t>AP</w:t>
      </w:r>
      <w:r w:rsidR="00DF6F37">
        <w:t>s can be categorised as follows:</w:t>
      </w:r>
    </w:p>
    <w:p w14:paraId="37778BCF" w14:textId="4F0E9D87" w:rsidR="00DF6F37" w:rsidRDefault="00DF6F37" w:rsidP="005D395A">
      <w:pPr>
        <w:pStyle w:val="ListParagraph"/>
        <w:numPr>
          <w:ilvl w:val="0"/>
          <w:numId w:val="13"/>
        </w:numPr>
      </w:pPr>
      <w:r>
        <w:t>Short-term cash flow shortfalls as payments transition from advance to arrears</w:t>
      </w:r>
      <w:r w:rsidR="000372BC">
        <w:t xml:space="preserve"> and normal payments to employees and suppliers will need to continue</w:t>
      </w:r>
    </w:p>
    <w:p w14:paraId="521A2E1A" w14:textId="77777777" w:rsidR="000372BC" w:rsidRDefault="00DF6F37" w:rsidP="005D395A">
      <w:pPr>
        <w:pStyle w:val="ListParagraph"/>
        <w:numPr>
          <w:ilvl w:val="0"/>
          <w:numId w:val="13"/>
        </w:numPr>
      </w:pPr>
      <w:r>
        <w:t>Operating with a negative margin</w:t>
      </w:r>
      <w:r w:rsidR="000372BC">
        <w:t xml:space="preserve"> so payments based on services provided will not sustain the business</w:t>
      </w:r>
    </w:p>
    <w:p w14:paraId="2DA460CB" w14:textId="08960F0C" w:rsidR="000372BC" w:rsidRDefault="00C17406" w:rsidP="005D395A">
      <w:pPr>
        <w:pStyle w:val="ListParagraph"/>
        <w:numPr>
          <w:ilvl w:val="0"/>
          <w:numId w:val="13"/>
        </w:numPr>
      </w:pPr>
      <w:r>
        <w:t>A</w:t>
      </w:r>
      <w:r w:rsidR="00F62D07">
        <w:t>P</w:t>
      </w:r>
      <w:r w:rsidR="000372BC">
        <w:t>s using unspent funds as working capital and</w:t>
      </w:r>
      <w:r>
        <w:t xml:space="preserve">, accordingly, </w:t>
      </w:r>
      <w:r w:rsidR="000372BC">
        <w:t xml:space="preserve">this will be diminished as those </w:t>
      </w:r>
      <w:r>
        <w:t xml:space="preserve">unspent </w:t>
      </w:r>
      <w:r w:rsidR="000372BC">
        <w:t>funds are drawn down</w:t>
      </w:r>
    </w:p>
    <w:p w14:paraId="32BBCEB2" w14:textId="3B2434E9" w:rsidR="000372BC" w:rsidRDefault="000372BC" w:rsidP="005D395A">
      <w:pPr>
        <w:pStyle w:val="ListParagraph"/>
        <w:numPr>
          <w:ilvl w:val="0"/>
          <w:numId w:val="13"/>
        </w:numPr>
      </w:pPr>
      <w:r>
        <w:t xml:space="preserve">Inability to withstand interruptions to cash flows that might occur with the introduction of a new </w:t>
      </w:r>
      <w:r w:rsidR="00C17406">
        <w:t xml:space="preserve">funding remittance </w:t>
      </w:r>
      <w:r>
        <w:t>system</w:t>
      </w:r>
    </w:p>
    <w:p w14:paraId="770EA3E9" w14:textId="4041614D" w:rsidR="00BD7C71" w:rsidRDefault="00BD7C71" w:rsidP="00BD7C71"/>
    <w:p w14:paraId="273E90F7" w14:textId="25ED7E2B" w:rsidR="00BD7C71" w:rsidRDefault="007952C3" w:rsidP="00BD7C71">
      <w:pPr>
        <w:pStyle w:val="Heading2"/>
      </w:pPr>
      <w:bookmarkStart w:id="35" w:name="_Toc26870711"/>
      <w:r>
        <w:t>Risk of Other impacts on</w:t>
      </w:r>
      <w:r w:rsidR="00BD7C71">
        <w:t xml:space="preserve"> Approved Providers</w:t>
      </w:r>
      <w:bookmarkEnd w:id="35"/>
    </w:p>
    <w:p w14:paraId="4D2DA569" w14:textId="15E9EFD3" w:rsidR="007952C3" w:rsidRDefault="00AE7C3C" w:rsidP="00E5239F">
      <w:pPr>
        <w:spacing w:after="120"/>
      </w:pPr>
      <w:r>
        <w:t xml:space="preserve">There are </w:t>
      </w:r>
      <w:r w:rsidR="007952C3">
        <w:t xml:space="preserve">risks that other issues could impact on </w:t>
      </w:r>
      <w:r w:rsidR="00F62D07">
        <w:t>AP</w:t>
      </w:r>
      <w:r w:rsidR="007952C3">
        <w:t>s as follows:</w:t>
      </w:r>
    </w:p>
    <w:p w14:paraId="15EFE024" w14:textId="2316FF69" w:rsidR="007952C3" w:rsidRDefault="007952C3" w:rsidP="005D395A">
      <w:pPr>
        <w:pStyle w:val="ListParagraph"/>
        <w:numPr>
          <w:ilvl w:val="0"/>
          <w:numId w:val="16"/>
        </w:numPr>
      </w:pPr>
      <w:r>
        <w:t xml:space="preserve">Need to make significant adjustments to </w:t>
      </w:r>
      <w:r w:rsidR="00F62D07">
        <w:t xml:space="preserve">internal </w:t>
      </w:r>
      <w:r>
        <w:t xml:space="preserve">operating systems </w:t>
      </w:r>
      <w:r w:rsidR="00F62D07">
        <w:t xml:space="preserve">and software </w:t>
      </w:r>
      <w:r>
        <w:t>to facilitate the change in payment arrangements and transmittal of required information to D</w:t>
      </w:r>
      <w:r w:rsidR="00DD76F5">
        <w:t>epartment of Human Services (DHS)</w:t>
      </w:r>
      <w:r>
        <w:t xml:space="preserve"> or other agency to instigate the payment transaction</w:t>
      </w:r>
    </w:p>
    <w:p w14:paraId="13184475" w14:textId="07B75A70" w:rsidR="007952C3" w:rsidRDefault="007952C3" w:rsidP="005D395A">
      <w:pPr>
        <w:pStyle w:val="ListParagraph"/>
        <w:numPr>
          <w:ilvl w:val="0"/>
          <w:numId w:val="16"/>
        </w:numPr>
      </w:pPr>
      <w:r>
        <w:t xml:space="preserve">That there is a prolonged disruption to payments to </w:t>
      </w:r>
      <w:r w:rsidR="00F62D07">
        <w:t>AP</w:t>
      </w:r>
      <w:r>
        <w:t>s as a result of the payment system (through D</w:t>
      </w:r>
      <w:r w:rsidR="00DD76F5">
        <w:t>H</w:t>
      </w:r>
      <w:r>
        <w:t>S or equivalent) not making payments on time or facilitating a smooth reconciliation process between the D</w:t>
      </w:r>
      <w:r w:rsidR="00DD76F5">
        <w:t>H</w:t>
      </w:r>
      <w:r>
        <w:t xml:space="preserve">S system and the </w:t>
      </w:r>
      <w:r w:rsidR="00F62D07">
        <w:t>AP</w:t>
      </w:r>
      <w:r>
        <w:t xml:space="preserve"> internal systems  </w:t>
      </w:r>
    </w:p>
    <w:p w14:paraId="7E0A8677" w14:textId="77777777" w:rsidR="0068197D" w:rsidRDefault="0068197D" w:rsidP="0000677E"/>
    <w:p w14:paraId="1170F92C" w14:textId="6F231F0A" w:rsidR="003262C7" w:rsidRDefault="003262C7" w:rsidP="0000677E">
      <w:r>
        <w:br w:type="page"/>
      </w:r>
    </w:p>
    <w:p w14:paraId="4C23E6E7" w14:textId="7D4F1954" w:rsidR="00DF6F37" w:rsidRDefault="00DF6F37" w:rsidP="00A274F0">
      <w:pPr>
        <w:pStyle w:val="Heading2"/>
      </w:pPr>
      <w:bookmarkStart w:id="36" w:name="_Toc26870712"/>
      <w:r>
        <w:lastRenderedPageBreak/>
        <w:t>P</w:t>
      </w:r>
      <w:r w:rsidR="00EB7CB1">
        <w:t>roposed</w:t>
      </w:r>
      <w:r>
        <w:t xml:space="preserve"> Implementation Timeline</w:t>
      </w:r>
      <w:bookmarkEnd w:id="36"/>
    </w:p>
    <w:p w14:paraId="386E6199" w14:textId="2AF3201E" w:rsidR="00500EC7" w:rsidRDefault="00500EC7" w:rsidP="0000677E">
      <w:r>
        <w:t>The following proposed implementation timetable is from A</w:t>
      </w:r>
      <w:r w:rsidRPr="00C77DC8">
        <w:t>CFA</w:t>
      </w:r>
      <w:r>
        <w:t>’s co</w:t>
      </w:r>
      <w:r w:rsidRPr="00C77DC8">
        <w:t>nsultation paper “Improving home care payment arrangements</w:t>
      </w:r>
      <w:r>
        <w:t xml:space="preserve">”. </w:t>
      </w:r>
    </w:p>
    <w:p w14:paraId="20759BA7" w14:textId="5AE11A9A" w:rsidR="00B801D2" w:rsidRDefault="00B801D2" w:rsidP="0000677E"/>
    <w:p w14:paraId="08C663FC" w14:textId="74E80D6B" w:rsidR="00B801D2" w:rsidRDefault="00B801D2" w:rsidP="00252766">
      <w:pPr>
        <w:pStyle w:val="Caption"/>
        <w:spacing w:before="0"/>
      </w:pPr>
      <w:r>
        <w:t xml:space="preserve">Table </w:t>
      </w:r>
      <w:fldSimple w:instr=" SEQ Table \* ARABIC ">
        <w:r w:rsidR="00844346">
          <w:rPr>
            <w:noProof/>
          </w:rPr>
          <w:t>3</w:t>
        </w:r>
      </w:fldSimple>
      <w:r>
        <w:t>: ACFA’s Proposed Implementation Timetable</w:t>
      </w:r>
    </w:p>
    <w:tbl>
      <w:tblPr>
        <w:tblStyle w:val="TableGrid"/>
        <w:tblW w:w="0" w:type="auto"/>
        <w:tblLook w:val="04A0" w:firstRow="1" w:lastRow="0" w:firstColumn="1" w:lastColumn="0" w:noHBand="0" w:noVBand="1"/>
        <w:tblCaption w:val="Table 3: ACFA’s Proposed Implementation Timetable"/>
      </w:tblPr>
      <w:tblGrid>
        <w:gridCol w:w="3209"/>
        <w:gridCol w:w="3209"/>
        <w:gridCol w:w="3210"/>
      </w:tblGrid>
      <w:tr w:rsidR="00500EC7" w:rsidRPr="00500EC7" w14:paraId="5C2C38EF" w14:textId="77777777" w:rsidTr="003636FB">
        <w:trPr>
          <w:tblHeader/>
        </w:trPr>
        <w:tc>
          <w:tcPr>
            <w:tcW w:w="3209" w:type="dxa"/>
          </w:tcPr>
          <w:p w14:paraId="4A4968FB" w14:textId="53D3F238" w:rsidR="00500EC7" w:rsidRPr="00DF609F" w:rsidRDefault="00500EC7" w:rsidP="0000677E">
            <w:pPr>
              <w:rPr>
                <w:b/>
                <w:bCs/>
                <w:sz w:val="20"/>
                <w:szCs w:val="20"/>
              </w:rPr>
            </w:pPr>
            <w:r w:rsidRPr="00DF609F">
              <w:rPr>
                <w:b/>
                <w:bCs/>
                <w:sz w:val="20"/>
                <w:szCs w:val="20"/>
              </w:rPr>
              <w:t>Phase 1 (to commence in June 2020)</w:t>
            </w:r>
          </w:p>
        </w:tc>
        <w:tc>
          <w:tcPr>
            <w:tcW w:w="3209" w:type="dxa"/>
          </w:tcPr>
          <w:p w14:paraId="7D4D4F47" w14:textId="2F098060" w:rsidR="00500EC7" w:rsidRPr="00DF609F" w:rsidRDefault="00500EC7" w:rsidP="0000677E">
            <w:pPr>
              <w:rPr>
                <w:b/>
                <w:bCs/>
                <w:sz w:val="20"/>
                <w:szCs w:val="20"/>
              </w:rPr>
            </w:pPr>
            <w:r w:rsidRPr="00DF609F">
              <w:rPr>
                <w:b/>
                <w:bCs/>
                <w:sz w:val="20"/>
                <w:szCs w:val="20"/>
              </w:rPr>
              <w:t>Phase 2 (to commence in April 2021)</w:t>
            </w:r>
          </w:p>
        </w:tc>
        <w:tc>
          <w:tcPr>
            <w:tcW w:w="3210" w:type="dxa"/>
          </w:tcPr>
          <w:p w14:paraId="19E75ECA" w14:textId="7694C5FE" w:rsidR="00500EC7" w:rsidRPr="00DF609F" w:rsidRDefault="00500EC7" w:rsidP="0000677E">
            <w:pPr>
              <w:rPr>
                <w:b/>
                <w:bCs/>
                <w:sz w:val="20"/>
                <w:szCs w:val="20"/>
              </w:rPr>
            </w:pPr>
            <w:r w:rsidRPr="00DF609F">
              <w:rPr>
                <w:b/>
                <w:bCs/>
                <w:sz w:val="20"/>
                <w:szCs w:val="20"/>
              </w:rPr>
              <w:t>Phase 3 (drawdown of unspent funds held by providers)</w:t>
            </w:r>
          </w:p>
        </w:tc>
      </w:tr>
      <w:tr w:rsidR="00500EC7" w14:paraId="0CE8C8B9" w14:textId="77777777" w:rsidTr="00500EC7">
        <w:tc>
          <w:tcPr>
            <w:tcW w:w="3209" w:type="dxa"/>
          </w:tcPr>
          <w:p w14:paraId="27910297" w14:textId="3C82E567" w:rsidR="00500EC7" w:rsidRPr="00DF609F" w:rsidRDefault="00500EC7" w:rsidP="0000677E">
            <w:pPr>
              <w:rPr>
                <w:sz w:val="20"/>
                <w:szCs w:val="20"/>
              </w:rPr>
            </w:pPr>
            <w:r w:rsidRPr="00DF609F">
              <w:rPr>
                <w:sz w:val="20"/>
                <w:szCs w:val="20"/>
              </w:rPr>
              <w:t>• Subsidies and supplements will be paid in arrears at the full rate of subsidy based on package level and days in care, through the usual monthly claim.</w:t>
            </w:r>
          </w:p>
        </w:tc>
        <w:tc>
          <w:tcPr>
            <w:tcW w:w="3209" w:type="dxa"/>
          </w:tcPr>
          <w:p w14:paraId="011D2590" w14:textId="6FFC207F" w:rsidR="00500EC7" w:rsidRPr="00DF609F" w:rsidRDefault="00500EC7" w:rsidP="0000677E">
            <w:pPr>
              <w:rPr>
                <w:sz w:val="20"/>
                <w:szCs w:val="20"/>
              </w:rPr>
            </w:pPr>
            <w:r w:rsidRPr="00DF609F">
              <w:rPr>
                <w:sz w:val="20"/>
                <w:szCs w:val="20"/>
              </w:rPr>
              <w:t>• Payments will be based on services provided to care recipients and unspent funds will be held by the Government.</w:t>
            </w:r>
          </w:p>
        </w:tc>
        <w:tc>
          <w:tcPr>
            <w:tcW w:w="3210" w:type="dxa"/>
          </w:tcPr>
          <w:p w14:paraId="5636BC75" w14:textId="572909AC" w:rsidR="00500EC7" w:rsidRPr="00DF609F" w:rsidRDefault="00500EC7" w:rsidP="0000677E">
            <w:pPr>
              <w:rPr>
                <w:sz w:val="20"/>
                <w:szCs w:val="20"/>
              </w:rPr>
            </w:pPr>
            <w:r w:rsidRPr="00DF609F">
              <w:rPr>
                <w:sz w:val="20"/>
                <w:szCs w:val="20"/>
              </w:rPr>
              <w:t>• Commencing with the March 2021 claim lodged in April, DHS will reduce a payment for a care recipient by a portion of the available funds held by the provider for that care recipient.</w:t>
            </w:r>
          </w:p>
        </w:tc>
      </w:tr>
      <w:tr w:rsidR="00500EC7" w14:paraId="15341D74" w14:textId="77777777" w:rsidTr="00500EC7">
        <w:tc>
          <w:tcPr>
            <w:tcW w:w="3209" w:type="dxa"/>
          </w:tcPr>
          <w:p w14:paraId="7279EB8D" w14:textId="77777777" w:rsidR="00500EC7" w:rsidRPr="00252766" w:rsidRDefault="00500EC7" w:rsidP="0000677E">
            <w:pPr>
              <w:rPr>
                <w:i/>
                <w:sz w:val="20"/>
                <w:szCs w:val="20"/>
              </w:rPr>
            </w:pPr>
            <w:r w:rsidRPr="00252766">
              <w:rPr>
                <w:i/>
                <w:sz w:val="20"/>
                <w:szCs w:val="20"/>
              </w:rPr>
              <w:t xml:space="preserve">Practical application </w:t>
            </w:r>
          </w:p>
          <w:p w14:paraId="18B6D1DE" w14:textId="77777777" w:rsidR="00500EC7" w:rsidRPr="00DF609F" w:rsidRDefault="00500EC7" w:rsidP="0000677E">
            <w:pPr>
              <w:rPr>
                <w:sz w:val="20"/>
                <w:szCs w:val="20"/>
              </w:rPr>
            </w:pPr>
            <w:r w:rsidRPr="00DF609F">
              <w:rPr>
                <w:sz w:val="20"/>
                <w:szCs w:val="20"/>
              </w:rPr>
              <w:t xml:space="preserve">1. The ‘advance’ payment made at the start of May 2020, for the month of May, will be the last ‘advance’ payment made. </w:t>
            </w:r>
          </w:p>
          <w:p w14:paraId="1BEA741E" w14:textId="77777777" w:rsidR="00500EC7" w:rsidRPr="00DF609F" w:rsidRDefault="00500EC7" w:rsidP="0000677E">
            <w:pPr>
              <w:rPr>
                <w:sz w:val="20"/>
                <w:szCs w:val="20"/>
              </w:rPr>
            </w:pPr>
            <w:r w:rsidRPr="00DF609F">
              <w:rPr>
                <w:sz w:val="20"/>
                <w:szCs w:val="20"/>
              </w:rPr>
              <w:t xml:space="preserve">2. Providers will then lodge their May claim in June as per normal. The usual reconciliation will occur for the month of May. </w:t>
            </w:r>
          </w:p>
          <w:p w14:paraId="11399C1B" w14:textId="77777777" w:rsidR="00500EC7" w:rsidRPr="00DF609F" w:rsidRDefault="00500EC7" w:rsidP="0000677E">
            <w:pPr>
              <w:rPr>
                <w:sz w:val="20"/>
                <w:szCs w:val="20"/>
              </w:rPr>
            </w:pPr>
            <w:r w:rsidRPr="00DF609F">
              <w:rPr>
                <w:sz w:val="20"/>
                <w:szCs w:val="20"/>
              </w:rPr>
              <w:t xml:space="preserve">3. There will not be an ‘advance’ payment at the start of June (or any subsequent month). </w:t>
            </w:r>
          </w:p>
          <w:p w14:paraId="59691595" w14:textId="0C7575EC" w:rsidR="00500EC7" w:rsidRPr="00DF609F" w:rsidRDefault="00500EC7" w:rsidP="0000677E">
            <w:pPr>
              <w:rPr>
                <w:sz w:val="20"/>
                <w:szCs w:val="20"/>
              </w:rPr>
            </w:pPr>
            <w:r w:rsidRPr="00DF609F">
              <w:rPr>
                <w:sz w:val="20"/>
                <w:szCs w:val="20"/>
              </w:rPr>
              <w:t>4. In July, providers will lodge their claim for June and receive payment of the full subsidy for which each care recipient is eligible (i.e. based on their full entitlement and number of days in care).</w:t>
            </w:r>
          </w:p>
        </w:tc>
        <w:tc>
          <w:tcPr>
            <w:tcW w:w="3209" w:type="dxa"/>
          </w:tcPr>
          <w:p w14:paraId="40204D3D" w14:textId="77777777" w:rsidR="00500EC7" w:rsidRPr="00252766" w:rsidRDefault="00500EC7" w:rsidP="0000677E">
            <w:pPr>
              <w:rPr>
                <w:i/>
                <w:sz w:val="20"/>
                <w:szCs w:val="20"/>
              </w:rPr>
            </w:pPr>
            <w:r w:rsidRPr="00252766">
              <w:rPr>
                <w:i/>
                <w:sz w:val="20"/>
                <w:szCs w:val="20"/>
              </w:rPr>
              <w:t xml:space="preserve">Practical application </w:t>
            </w:r>
          </w:p>
          <w:p w14:paraId="5D92D0D7" w14:textId="77777777" w:rsidR="00500EC7" w:rsidRPr="00DF609F" w:rsidRDefault="00500EC7" w:rsidP="0000677E">
            <w:pPr>
              <w:rPr>
                <w:sz w:val="20"/>
                <w:szCs w:val="20"/>
              </w:rPr>
            </w:pPr>
            <w:r w:rsidRPr="00DF609F">
              <w:rPr>
                <w:sz w:val="20"/>
                <w:szCs w:val="20"/>
              </w:rPr>
              <w:t xml:space="preserve">1. Providers lodge their March claim in April based on the amount of services provided for each care recipient in March. </w:t>
            </w:r>
          </w:p>
          <w:p w14:paraId="36D7737E" w14:textId="77777777" w:rsidR="00500EC7" w:rsidRPr="00DF609F" w:rsidRDefault="00500EC7" w:rsidP="0000677E">
            <w:pPr>
              <w:rPr>
                <w:sz w:val="20"/>
                <w:szCs w:val="20"/>
              </w:rPr>
            </w:pPr>
            <w:r w:rsidRPr="00DF609F">
              <w:rPr>
                <w:sz w:val="20"/>
                <w:szCs w:val="20"/>
              </w:rPr>
              <w:t xml:space="preserve">2. DHS determines the amount to be paid for each care recipient considering: a. the amount of the claim; b. the full entitlement for which that care recipient is eligible for that month; c. any income-tested care fee payable by that care recipient; and d. [In future months] available funds held by DHS for that care recipient. </w:t>
            </w:r>
          </w:p>
          <w:p w14:paraId="2F6DCDB2" w14:textId="6462A16B" w:rsidR="00500EC7" w:rsidRPr="00DF609F" w:rsidRDefault="00500EC7" w:rsidP="0000677E">
            <w:pPr>
              <w:rPr>
                <w:sz w:val="20"/>
                <w:szCs w:val="20"/>
              </w:rPr>
            </w:pPr>
            <w:r w:rsidRPr="00DF609F">
              <w:rPr>
                <w:sz w:val="20"/>
                <w:szCs w:val="20"/>
              </w:rPr>
              <w:t>3. Any amount of subsidy, less any income-tested care fee, that is not paid to a provider for a particular care recipient accrues and is held by DHS to be drawn down in future.</w:t>
            </w:r>
          </w:p>
        </w:tc>
        <w:tc>
          <w:tcPr>
            <w:tcW w:w="3210" w:type="dxa"/>
          </w:tcPr>
          <w:p w14:paraId="5C04A062" w14:textId="77777777" w:rsidR="00500EC7" w:rsidRPr="00252766" w:rsidRDefault="00500EC7" w:rsidP="0000677E">
            <w:pPr>
              <w:rPr>
                <w:i/>
                <w:sz w:val="20"/>
                <w:szCs w:val="20"/>
              </w:rPr>
            </w:pPr>
            <w:r w:rsidRPr="00252766">
              <w:rPr>
                <w:i/>
                <w:sz w:val="20"/>
                <w:szCs w:val="20"/>
              </w:rPr>
              <w:t xml:space="preserve">Practical application </w:t>
            </w:r>
          </w:p>
          <w:p w14:paraId="15FF43E9" w14:textId="77777777" w:rsidR="00500EC7" w:rsidRPr="00DF609F" w:rsidRDefault="00500EC7" w:rsidP="0000677E">
            <w:pPr>
              <w:rPr>
                <w:sz w:val="20"/>
                <w:szCs w:val="20"/>
              </w:rPr>
            </w:pPr>
            <w:r w:rsidRPr="00DF609F">
              <w:rPr>
                <w:sz w:val="20"/>
                <w:szCs w:val="20"/>
              </w:rPr>
              <w:t xml:space="preserve">1. In February 2021 providers advise the amount of available funds held for each care recipient. </w:t>
            </w:r>
          </w:p>
          <w:p w14:paraId="4549DCB4" w14:textId="77777777" w:rsidR="00500EC7" w:rsidRPr="00DF609F" w:rsidRDefault="00500EC7" w:rsidP="0000677E">
            <w:pPr>
              <w:rPr>
                <w:sz w:val="20"/>
                <w:szCs w:val="20"/>
              </w:rPr>
            </w:pPr>
            <w:r w:rsidRPr="00DF609F">
              <w:rPr>
                <w:sz w:val="20"/>
                <w:szCs w:val="20"/>
              </w:rPr>
              <w:t xml:space="preserve">2. In addition to the matters taken into account when determining an amount of payment for a claim, DHS will reduce a payment in respect of a care recipient by a percentage amount (yet to be determined) in recognition of available funds held by the provider for that care recipient. </w:t>
            </w:r>
          </w:p>
          <w:p w14:paraId="720A25F8" w14:textId="77777777" w:rsidR="00500EC7" w:rsidRPr="00DF609F" w:rsidRDefault="00500EC7" w:rsidP="0000677E">
            <w:pPr>
              <w:rPr>
                <w:sz w:val="20"/>
                <w:szCs w:val="20"/>
              </w:rPr>
            </w:pPr>
            <w:r w:rsidRPr="00DF609F">
              <w:rPr>
                <w:sz w:val="20"/>
                <w:szCs w:val="20"/>
              </w:rPr>
              <w:t xml:space="preserve">3. This will occur until the provider no longer holds available funds for that care recipient. </w:t>
            </w:r>
          </w:p>
          <w:p w14:paraId="01988932" w14:textId="77FFC398" w:rsidR="00500EC7" w:rsidRPr="00DF609F" w:rsidRDefault="00500EC7" w:rsidP="0000677E">
            <w:pPr>
              <w:rPr>
                <w:sz w:val="20"/>
                <w:szCs w:val="20"/>
                <w:highlight w:val="yellow"/>
              </w:rPr>
            </w:pPr>
            <w:r w:rsidRPr="00DF609F">
              <w:rPr>
                <w:sz w:val="20"/>
                <w:szCs w:val="20"/>
              </w:rPr>
              <w:t>4. The portion of the care recipient’s subsidy that is not paid to the provider during the drawdown will be accrued by DHS.</w:t>
            </w:r>
          </w:p>
          <w:p w14:paraId="2278F3F7" w14:textId="77777777" w:rsidR="00500EC7" w:rsidRPr="00DF609F" w:rsidRDefault="00500EC7" w:rsidP="0000677E">
            <w:pPr>
              <w:rPr>
                <w:sz w:val="20"/>
                <w:szCs w:val="20"/>
              </w:rPr>
            </w:pPr>
          </w:p>
        </w:tc>
      </w:tr>
    </w:tbl>
    <w:p w14:paraId="7BFA6A9D" w14:textId="77777777" w:rsidR="008D2E65" w:rsidRDefault="008D2E65" w:rsidP="008D2E65"/>
    <w:p w14:paraId="32865581" w14:textId="5F69E170" w:rsidR="008D2E65" w:rsidRDefault="008D2E65" w:rsidP="008D2E65">
      <w:r>
        <w:br w:type="page"/>
      </w:r>
    </w:p>
    <w:p w14:paraId="399E029B" w14:textId="6D4CB345" w:rsidR="00630B92" w:rsidRDefault="004441DD" w:rsidP="00A274F0">
      <w:pPr>
        <w:pStyle w:val="ACFPSHeading1"/>
      </w:pPr>
      <w:bookmarkStart w:id="37" w:name="_Toc26870713"/>
      <w:r>
        <w:lastRenderedPageBreak/>
        <w:t>Home Care Sector</w:t>
      </w:r>
      <w:bookmarkEnd w:id="37"/>
      <w:r w:rsidR="00DC79C5">
        <w:t xml:space="preserve">  </w:t>
      </w:r>
      <w:r w:rsidR="00630B92">
        <w:t xml:space="preserve"> </w:t>
      </w:r>
    </w:p>
    <w:p w14:paraId="7292DEB6" w14:textId="77777777" w:rsidR="008D2E65" w:rsidRDefault="008D2E65" w:rsidP="00A274F0">
      <w:pPr>
        <w:pStyle w:val="Heading2"/>
        <w:rPr>
          <w:noProof/>
        </w:rPr>
      </w:pPr>
      <w:bookmarkStart w:id="38" w:name="_Toc26870714"/>
      <w:r>
        <w:rPr>
          <w:noProof/>
        </w:rPr>
        <w:t>Overview</w:t>
      </w:r>
      <w:bookmarkEnd w:id="38"/>
    </w:p>
    <w:p w14:paraId="6D6F84FA" w14:textId="0055B1CE" w:rsidR="00483235" w:rsidRDefault="00483235" w:rsidP="004441DD">
      <w:pPr>
        <w:rPr>
          <w:noProof/>
        </w:rPr>
      </w:pPr>
      <w:r>
        <w:rPr>
          <w:noProof/>
        </w:rPr>
        <w:t xml:space="preserve">The Home Care sector is the fastest growing segment in the aged services sector as a result of policy shifts to cater for more older Australians receiving care in their home rather than in a residential aged care setting. </w:t>
      </w:r>
    </w:p>
    <w:p w14:paraId="346C153E" w14:textId="77777777" w:rsidR="00483235" w:rsidRDefault="00483235" w:rsidP="004441DD">
      <w:pPr>
        <w:rPr>
          <w:noProof/>
        </w:rPr>
      </w:pPr>
    </w:p>
    <w:p w14:paraId="1D187B76" w14:textId="6A4D596A" w:rsidR="004441DD" w:rsidRDefault="00483235" w:rsidP="004441DD">
      <w:r>
        <w:rPr>
          <w:noProof/>
          <w:lang w:eastAsia="en-AU"/>
        </w:rPr>
        <w:drawing>
          <wp:inline distT="0" distB="0" distL="0" distR="0" wp14:anchorId="2CBC3F5B" wp14:editId="727002E0">
            <wp:extent cx="6120130" cy="7258685"/>
            <wp:effectExtent l="0" t="0" r="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py-home-care-sector-profile.png"/>
                    <pic:cNvPicPr/>
                  </pic:nvPicPr>
                  <pic:blipFill>
                    <a:blip r:embed="rId19">
                      <a:extLst>
                        <a:ext uri="{28A0092B-C50C-407E-A947-70E740481C1C}">
                          <a14:useLocalDpi xmlns:a14="http://schemas.microsoft.com/office/drawing/2010/main" val="0"/>
                        </a:ext>
                      </a:extLst>
                    </a:blip>
                    <a:stretch>
                      <a:fillRect/>
                    </a:stretch>
                  </pic:blipFill>
                  <pic:spPr>
                    <a:xfrm>
                      <a:off x="0" y="0"/>
                      <a:ext cx="6120130" cy="7258685"/>
                    </a:xfrm>
                    <a:prstGeom prst="rect">
                      <a:avLst/>
                    </a:prstGeom>
                  </pic:spPr>
                </pic:pic>
              </a:graphicData>
            </a:graphic>
          </wp:inline>
        </w:drawing>
      </w:r>
    </w:p>
    <w:p w14:paraId="28862555" w14:textId="48FAFE4D" w:rsidR="004441DD" w:rsidRDefault="004441DD" w:rsidP="004441DD"/>
    <w:p w14:paraId="5FFABB7E" w14:textId="22D017A1" w:rsidR="00483235" w:rsidRDefault="00483235" w:rsidP="004441DD"/>
    <w:p w14:paraId="70A0584C" w14:textId="77777777" w:rsidR="008D2E65" w:rsidRDefault="008D2E65" w:rsidP="00A274F0">
      <w:pPr>
        <w:pStyle w:val="Heading2"/>
      </w:pPr>
      <w:bookmarkStart w:id="39" w:name="_Toc26870715"/>
      <w:r>
        <w:lastRenderedPageBreak/>
        <w:t>Overview of Home Care Approved Providers</w:t>
      </w:r>
      <w:bookmarkEnd w:id="39"/>
      <w:r>
        <w:t xml:space="preserve">  </w:t>
      </w:r>
    </w:p>
    <w:p w14:paraId="5268452F" w14:textId="31D2B646" w:rsidR="008D2E65" w:rsidRDefault="008D2E65" w:rsidP="008D2E65">
      <w:r>
        <w:t xml:space="preserve">Many </w:t>
      </w:r>
      <w:r w:rsidR="00636ABF">
        <w:t>home care APs</w:t>
      </w:r>
      <w:r>
        <w:t xml:space="preserve"> do not operate in isolation, that is, they have other business streams within the aged care funding envelope, as well as interests outside the aged care sector including disability, affordable housing, retirement living, and children’s services as examples.</w:t>
      </w:r>
    </w:p>
    <w:p w14:paraId="0532F35F" w14:textId="77777777" w:rsidR="008D2E65" w:rsidRDefault="008D2E65" w:rsidP="008D2E65"/>
    <w:p w14:paraId="0EAF2814" w14:textId="2E78A6FF" w:rsidR="008D2E65" w:rsidRDefault="008D2E65" w:rsidP="008D2E65">
      <w:r>
        <w:t xml:space="preserve">The fact that </w:t>
      </w:r>
      <w:r w:rsidR="00636ABF">
        <w:t>AP</w:t>
      </w:r>
      <w:r>
        <w:t xml:space="preserve">s do have other sources of </w:t>
      </w:r>
      <w:r w:rsidR="00252766">
        <w:t>revenue</w:t>
      </w:r>
      <w:r>
        <w:t xml:space="preserve"> will ultimately have some bearing on the likely financial impact of any change to the payment arrangements for home care funding. A level of scale and cash reserves from other areas, particularly residential care and retirement living would help to soften any cash flow impacts of changing payment arrangements.</w:t>
      </w:r>
    </w:p>
    <w:p w14:paraId="311E9D24" w14:textId="740285D9" w:rsidR="008D2E65" w:rsidRDefault="008D2E65" w:rsidP="00880186">
      <w:pPr>
        <w:pStyle w:val="Caption"/>
      </w:pPr>
      <w:r>
        <w:t xml:space="preserve">Figure </w:t>
      </w:r>
      <w:fldSimple w:instr=" SEQ Figure \* ARABIC ">
        <w:r w:rsidR="007F5FB5">
          <w:rPr>
            <w:noProof/>
          </w:rPr>
          <w:t>3</w:t>
        </w:r>
      </w:fldSimple>
      <w:r>
        <w:t>: Proportion of aged care providers providing more than one type of aged care service, 2017-18</w:t>
      </w:r>
    </w:p>
    <w:p w14:paraId="70A15351" w14:textId="77777777" w:rsidR="008D2E65" w:rsidRPr="005F7B7F" w:rsidRDefault="008D2E65" w:rsidP="008D2E65">
      <w:pPr>
        <w:jc w:val="center"/>
      </w:pPr>
      <w:r w:rsidRPr="005F7B7F">
        <w:rPr>
          <w:noProof/>
          <w:lang w:eastAsia="en-AU"/>
        </w:rPr>
        <w:drawing>
          <wp:inline distT="0" distB="0" distL="0" distR="0" wp14:anchorId="1EB84FE8" wp14:editId="6F0C3907">
            <wp:extent cx="3320886" cy="2847975"/>
            <wp:effectExtent l="0" t="0" r="0" b="0"/>
            <wp:docPr id="3" name="Picture 3" title="Figure 3: Proportion of aged care providers providing more than one type of aged care service, 2017-18 - Ve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190" t="10321" r="27630" b="4921"/>
                    <a:stretch/>
                  </pic:blipFill>
                  <pic:spPr bwMode="auto">
                    <a:xfrm>
                      <a:off x="0" y="0"/>
                      <a:ext cx="3338029" cy="2862677"/>
                    </a:xfrm>
                    <a:prstGeom prst="rect">
                      <a:avLst/>
                    </a:prstGeom>
                    <a:ln>
                      <a:noFill/>
                    </a:ln>
                    <a:extLst>
                      <a:ext uri="{53640926-AAD7-44D8-BBD7-CCE9431645EC}">
                        <a14:shadowObscured xmlns:a14="http://schemas.microsoft.com/office/drawing/2010/main"/>
                      </a:ext>
                    </a:extLst>
                  </pic:spPr>
                </pic:pic>
              </a:graphicData>
            </a:graphic>
          </wp:inline>
        </w:drawing>
      </w:r>
    </w:p>
    <w:p w14:paraId="78063246" w14:textId="77777777" w:rsidR="008D2E65" w:rsidRPr="008D2E65" w:rsidRDefault="008D2E65" w:rsidP="008D2E65">
      <w:pPr>
        <w:rPr>
          <w:i/>
          <w:iCs/>
          <w:sz w:val="18"/>
          <w:szCs w:val="18"/>
        </w:rPr>
      </w:pPr>
      <w:r w:rsidRPr="008D2E65">
        <w:rPr>
          <w:i/>
          <w:iCs/>
          <w:sz w:val="18"/>
          <w:szCs w:val="18"/>
        </w:rPr>
        <w:t xml:space="preserve">Source: 2019 ACFA Annual Report on Funding and Financing of the Aged Care Sector </w:t>
      </w:r>
    </w:p>
    <w:p w14:paraId="20C39E58" w14:textId="77777777" w:rsidR="008D2E65" w:rsidRPr="005F7B7F" w:rsidRDefault="008D2E65" w:rsidP="008D2E65">
      <w:pPr>
        <w:rPr>
          <w:i/>
          <w:iCs/>
        </w:rPr>
      </w:pPr>
    </w:p>
    <w:p w14:paraId="01EA3F4E" w14:textId="60A72822" w:rsidR="008D2E65" w:rsidRDefault="008D2E65" w:rsidP="008D2E65">
      <w:r>
        <w:t xml:space="preserve">Data for </w:t>
      </w:r>
      <w:r w:rsidR="00252766">
        <w:t>FY</w:t>
      </w:r>
      <w:r>
        <w:t xml:space="preserve">19 is still being processed, and we would expect that the proportion of </w:t>
      </w:r>
      <w:r w:rsidR="00636ABF">
        <w:t>AP</w:t>
      </w:r>
      <w:r>
        <w:t xml:space="preserve">s who have diversified into more than one type of care continues to increase slightly.  Applying the above ratios to the 2018-19 </w:t>
      </w:r>
      <w:r w:rsidR="00576880">
        <w:t xml:space="preserve">current analysis </w:t>
      </w:r>
      <w:r>
        <w:t xml:space="preserve">population of 804 home care </w:t>
      </w:r>
      <w:r w:rsidR="00636ABF">
        <w:t>AP</w:t>
      </w:r>
      <w:r>
        <w:t xml:space="preserve">s the breakdown is as follows: </w:t>
      </w:r>
    </w:p>
    <w:p w14:paraId="128B39A1" w14:textId="77777777" w:rsidR="008D2E65" w:rsidRDefault="008D2E65" w:rsidP="008D2E65"/>
    <w:p w14:paraId="1CF12AC9" w14:textId="34D887C8" w:rsidR="00313F79" w:rsidRDefault="00313F79" w:rsidP="00252766">
      <w:pPr>
        <w:pStyle w:val="Caption"/>
        <w:spacing w:before="0"/>
      </w:pPr>
      <w:r>
        <w:t xml:space="preserve">Table </w:t>
      </w:r>
      <w:fldSimple w:instr=" SEQ Table \* ARABIC ">
        <w:r w:rsidR="00844346">
          <w:rPr>
            <w:noProof/>
          </w:rPr>
          <w:t>4</w:t>
        </w:r>
      </w:fldSimple>
      <w:r>
        <w:t xml:space="preserve">: Distribution of Home Care </w:t>
      </w:r>
      <w:r w:rsidR="00636ABF">
        <w:t>AP</w:t>
      </w:r>
      <w:r>
        <w:t>s based on types of aged care segments it is operating in</w:t>
      </w:r>
    </w:p>
    <w:tbl>
      <w:tblPr>
        <w:tblStyle w:val="GridTable4-Accent3"/>
        <w:tblW w:w="4982" w:type="pct"/>
        <w:tblLook w:val="04A0" w:firstRow="1" w:lastRow="0" w:firstColumn="1" w:lastColumn="0" w:noHBand="0" w:noVBand="1"/>
        <w:tblCaption w:val="Table 4: Distribution of Home Care APs based on types of aged care segments it is operating in"/>
      </w:tblPr>
      <w:tblGrid>
        <w:gridCol w:w="5308"/>
        <w:gridCol w:w="1185"/>
        <w:gridCol w:w="1389"/>
        <w:gridCol w:w="1711"/>
      </w:tblGrid>
      <w:tr w:rsidR="00252766" w:rsidRPr="00BB331E" w14:paraId="7355EA94" w14:textId="77777777" w:rsidTr="003636F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78" w:type="pct"/>
            <w:shd w:val="clear" w:color="auto" w:fill="B4C6E7" w:themeFill="accent5" w:themeFillTint="66"/>
            <w:noWrap/>
            <w:hideMark/>
          </w:tcPr>
          <w:p w14:paraId="022E8201" w14:textId="77777777" w:rsidR="008D2E65" w:rsidRPr="00252766" w:rsidRDefault="008D2E65" w:rsidP="00A274F0">
            <w:pPr>
              <w:jc w:val="left"/>
              <w:rPr>
                <w:rFonts w:ascii="Calibri" w:eastAsia="Times New Roman" w:hAnsi="Calibri" w:cs="Calibri"/>
                <w:color w:val="000000"/>
                <w:sz w:val="20"/>
                <w:szCs w:val="20"/>
                <w:lang w:eastAsia="en-AU"/>
              </w:rPr>
            </w:pPr>
            <w:r w:rsidRPr="00252766">
              <w:rPr>
                <w:rFonts w:ascii="Calibri" w:eastAsia="Times New Roman" w:hAnsi="Calibri" w:cs="Calibri"/>
                <w:color w:val="000000"/>
                <w:sz w:val="20"/>
                <w:szCs w:val="20"/>
                <w:lang w:eastAsia="en-AU"/>
              </w:rPr>
              <w:t xml:space="preserve">Home Care Approved Providers </w:t>
            </w:r>
          </w:p>
        </w:tc>
        <w:tc>
          <w:tcPr>
            <w:tcW w:w="629" w:type="pct"/>
            <w:shd w:val="clear" w:color="auto" w:fill="B4C6E7" w:themeFill="accent5" w:themeFillTint="66"/>
            <w:noWrap/>
            <w:hideMark/>
          </w:tcPr>
          <w:p w14:paraId="4D3E006F" w14:textId="77777777" w:rsidR="008D2E65" w:rsidRPr="00252766" w:rsidRDefault="008D2E65" w:rsidP="00A274F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252766">
              <w:rPr>
                <w:rFonts w:ascii="Calibri" w:eastAsia="Times New Roman" w:hAnsi="Calibri" w:cs="Calibri"/>
                <w:color w:val="000000"/>
                <w:sz w:val="20"/>
                <w:szCs w:val="20"/>
                <w:lang w:eastAsia="en-AU"/>
              </w:rPr>
              <w:t>2017-18</w:t>
            </w:r>
          </w:p>
        </w:tc>
        <w:tc>
          <w:tcPr>
            <w:tcW w:w="735" w:type="pct"/>
            <w:shd w:val="clear" w:color="auto" w:fill="B4C6E7" w:themeFill="accent5" w:themeFillTint="66"/>
            <w:noWrap/>
            <w:hideMark/>
          </w:tcPr>
          <w:p w14:paraId="5EA37246" w14:textId="77777777" w:rsidR="008D2E65" w:rsidRPr="00252766" w:rsidRDefault="008D2E65" w:rsidP="00A274F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color w:val="000000"/>
                <w:sz w:val="20"/>
                <w:szCs w:val="20"/>
                <w:lang w:eastAsia="en-AU"/>
              </w:rPr>
            </w:pPr>
            <w:r w:rsidRPr="00252766">
              <w:rPr>
                <w:rFonts w:ascii="Calibri" w:eastAsia="Times New Roman" w:hAnsi="Calibri" w:cs="Calibri"/>
                <w:i/>
                <w:color w:val="000000"/>
                <w:sz w:val="20"/>
                <w:szCs w:val="20"/>
                <w:lang w:eastAsia="en-AU"/>
              </w:rPr>
              <w:t>Ratio</w:t>
            </w:r>
          </w:p>
        </w:tc>
        <w:tc>
          <w:tcPr>
            <w:tcW w:w="858" w:type="pct"/>
            <w:shd w:val="clear" w:color="auto" w:fill="B4C6E7" w:themeFill="accent5" w:themeFillTint="66"/>
            <w:noWrap/>
            <w:hideMark/>
          </w:tcPr>
          <w:p w14:paraId="3F63D101" w14:textId="6C015E28" w:rsidR="008D2E65" w:rsidRPr="00252766" w:rsidRDefault="008D2E65" w:rsidP="00A274F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252766">
              <w:rPr>
                <w:rFonts w:ascii="Calibri" w:eastAsia="Times New Roman" w:hAnsi="Calibri" w:cs="Calibri"/>
                <w:color w:val="000000"/>
                <w:sz w:val="20"/>
                <w:szCs w:val="20"/>
                <w:lang w:eastAsia="en-AU"/>
              </w:rPr>
              <w:t xml:space="preserve">2018-19 </w:t>
            </w:r>
            <w:r w:rsidR="00576880">
              <w:rPr>
                <w:rFonts w:ascii="Calibri" w:eastAsia="Times New Roman" w:hAnsi="Calibri" w:cs="Calibri"/>
                <w:color w:val="000000"/>
                <w:sz w:val="20"/>
                <w:szCs w:val="20"/>
                <w:lang w:eastAsia="en-AU"/>
              </w:rPr>
              <w:t>Analysis</w:t>
            </w:r>
            <w:r w:rsidRPr="00252766">
              <w:rPr>
                <w:rFonts w:ascii="Calibri" w:eastAsia="Times New Roman" w:hAnsi="Calibri" w:cs="Calibri"/>
                <w:color w:val="000000"/>
                <w:sz w:val="20"/>
                <w:szCs w:val="20"/>
                <w:lang w:eastAsia="en-AU"/>
              </w:rPr>
              <w:t xml:space="preserve">* </w:t>
            </w:r>
          </w:p>
        </w:tc>
      </w:tr>
      <w:tr w:rsidR="00252766" w:rsidRPr="00BB331E" w14:paraId="48C3E89F" w14:textId="77777777" w:rsidTr="002527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8" w:type="pct"/>
            <w:noWrap/>
            <w:hideMark/>
          </w:tcPr>
          <w:p w14:paraId="42151A17" w14:textId="77777777" w:rsidR="008D2E65" w:rsidRPr="00252766" w:rsidRDefault="008D2E65" w:rsidP="00A274F0">
            <w:pPr>
              <w:jc w:val="left"/>
              <w:rPr>
                <w:rFonts w:ascii="Calibri" w:eastAsia="Times New Roman" w:hAnsi="Calibri" w:cs="Calibri"/>
                <w:color w:val="000000"/>
                <w:sz w:val="20"/>
                <w:szCs w:val="20"/>
                <w:lang w:eastAsia="en-AU"/>
              </w:rPr>
            </w:pPr>
            <w:r w:rsidRPr="00252766">
              <w:rPr>
                <w:rFonts w:ascii="Calibri" w:eastAsia="Times New Roman" w:hAnsi="Calibri" w:cs="Calibri"/>
                <w:color w:val="000000"/>
                <w:sz w:val="20"/>
                <w:szCs w:val="20"/>
                <w:lang w:eastAsia="en-AU"/>
              </w:rPr>
              <w:t xml:space="preserve">With Residential Care </w:t>
            </w:r>
          </w:p>
        </w:tc>
        <w:tc>
          <w:tcPr>
            <w:tcW w:w="629" w:type="pct"/>
            <w:noWrap/>
            <w:hideMark/>
          </w:tcPr>
          <w:p w14:paraId="3E96B49B" w14:textId="77777777" w:rsidR="008D2E65" w:rsidRPr="00252766" w:rsidRDefault="008D2E65" w:rsidP="00A274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252766">
              <w:rPr>
                <w:rFonts w:ascii="Calibri" w:eastAsia="Times New Roman" w:hAnsi="Calibri" w:cs="Calibri"/>
                <w:color w:val="000000"/>
                <w:sz w:val="20"/>
                <w:szCs w:val="20"/>
                <w:lang w:eastAsia="en-AU"/>
              </w:rPr>
              <w:t>98</w:t>
            </w:r>
          </w:p>
        </w:tc>
        <w:tc>
          <w:tcPr>
            <w:tcW w:w="735" w:type="pct"/>
            <w:noWrap/>
            <w:hideMark/>
          </w:tcPr>
          <w:p w14:paraId="369B6664" w14:textId="77777777" w:rsidR="008D2E65" w:rsidRPr="00252766" w:rsidRDefault="008D2E65" w:rsidP="0025276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0"/>
                <w:szCs w:val="20"/>
                <w:lang w:eastAsia="en-AU"/>
              </w:rPr>
            </w:pPr>
            <w:r w:rsidRPr="00252766">
              <w:rPr>
                <w:rFonts w:ascii="Calibri" w:eastAsia="Times New Roman" w:hAnsi="Calibri" w:cs="Calibri"/>
                <w:i/>
                <w:color w:val="000000"/>
                <w:sz w:val="20"/>
                <w:szCs w:val="20"/>
                <w:lang w:eastAsia="en-AU"/>
              </w:rPr>
              <w:t>11%</w:t>
            </w:r>
          </w:p>
        </w:tc>
        <w:tc>
          <w:tcPr>
            <w:tcW w:w="858" w:type="pct"/>
            <w:noWrap/>
            <w:hideMark/>
          </w:tcPr>
          <w:p w14:paraId="02B3DA21" w14:textId="77777777" w:rsidR="008D2E65" w:rsidRPr="00252766" w:rsidRDefault="008D2E65" w:rsidP="00A274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252766">
              <w:rPr>
                <w:rFonts w:ascii="Calibri" w:eastAsia="Times New Roman" w:hAnsi="Calibri" w:cs="Calibri"/>
                <w:color w:val="000000"/>
                <w:sz w:val="20"/>
                <w:szCs w:val="20"/>
                <w:lang w:eastAsia="en-AU"/>
              </w:rPr>
              <w:t>90</w:t>
            </w:r>
          </w:p>
        </w:tc>
      </w:tr>
      <w:tr w:rsidR="00252766" w:rsidRPr="00BB331E" w14:paraId="6EC5D9FF" w14:textId="77777777" w:rsidTr="00252766">
        <w:trPr>
          <w:trHeight w:val="300"/>
        </w:trPr>
        <w:tc>
          <w:tcPr>
            <w:cnfStyle w:val="001000000000" w:firstRow="0" w:lastRow="0" w:firstColumn="1" w:lastColumn="0" w:oddVBand="0" w:evenVBand="0" w:oddHBand="0" w:evenHBand="0" w:firstRowFirstColumn="0" w:firstRowLastColumn="0" w:lastRowFirstColumn="0" w:lastRowLastColumn="0"/>
            <w:tcW w:w="2778" w:type="pct"/>
            <w:noWrap/>
            <w:hideMark/>
          </w:tcPr>
          <w:p w14:paraId="1EC0044B" w14:textId="77777777" w:rsidR="008D2E65" w:rsidRPr="00252766" w:rsidRDefault="008D2E65" w:rsidP="00A274F0">
            <w:pPr>
              <w:jc w:val="left"/>
              <w:rPr>
                <w:rFonts w:ascii="Calibri" w:eastAsia="Times New Roman" w:hAnsi="Calibri" w:cs="Calibri"/>
                <w:color w:val="000000"/>
                <w:sz w:val="20"/>
                <w:szCs w:val="20"/>
                <w:lang w:eastAsia="en-AU"/>
              </w:rPr>
            </w:pPr>
            <w:r w:rsidRPr="00252766">
              <w:rPr>
                <w:rFonts w:ascii="Calibri" w:eastAsia="Times New Roman" w:hAnsi="Calibri" w:cs="Calibri"/>
                <w:color w:val="000000"/>
                <w:sz w:val="20"/>
                <w:szCs w:val="20"/>
                <w:lang w:eastAsia="en-AU"/>
              </w:rPr>
              <w:t xml:space="preserve">With CSHP </w:t>
            </w:r>
          </w:p>
        </w:tc>
        <w:tc>
          <w:tcPr>
            <w:tcW w:w="629" w:type="pct"/>
            <w:noWrap/>
            <w:hideMark/>
          </w:tcPr>
          <w:p w14:paraId="47716446" w14:textId="77777777" w:rsidR="008D2E65" w:rsidRPr="00252766" w:rsidRDefault="008D2E65" w:rsidP="00A274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252766">
              <w:rPr>
                <w:rFonts w:ascii="Calibri" w:eastAsia="Times New Roman" w:hAnsi="Calibri" w:cs="Calibri"/>
                <w:color w:val="000000"/>
                <w:sz w:val="20"/>
                <w:szCs w:val="20"/>
                <w:lang w:eastAsia="en-AU"/>
              </w:rPr>
              <w:t>283</w:t>
            </w:r>
          </w:p>
        </w:tc>
        <w:tc>
          <w:tcPr>
            <w:tcW w:w="735" w:type="pct"/>
            <w:noWrap/>
            <w:hideMark/>
          </w:tcPr>
          <w:p w14:paraId="64209FA7" w14:textId="77777777" w:rsidR="008D2E65" w:rsidRPr="00252766" w:rsidRDefault="008D2E65" w:rsidP="0025276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000000"/>
                <w:sz w:val="20"/>
                <w:szCs w:val="20"/>
                <w:lang w:eastAsia="en-AU"/>
              </w:rPr>
            </w:pPr>
            <w:r w:rsidRPr="00252766">
              <w:rPr>
                <w:rFonts w:ascii="Calibri" w:eastAsia="Times New Roman" w:hAnsi="Calibri" w:cs="Calibri"/>
                <w:i/>
                <w:color w:val="000000"/>
                <w:sz w:val="20"/>
                <w:szCs w:val="20"/>
                <w:lang w:eastAsia="en-AU"/>
              </w:rPr>
              <w:t>32%</w:t>
            </w:r>
          </w:p>
        </w:tc>
        <w:tc>
          <w:tcPr>
            <w:tcW w:w="858" w:type="pct"/>
            <w:noWrap/>
            <w:hideMark/>
          </w:tcPr>
          <w:p w14:paraId="5299BBC8" w14:textId="77777777" w:rsidR="008D2E65" w:rsidRPr="00252766" w:rsidRDefault="008D2E65" w:rsidP="00A274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252766">
              <w:rPr>
                <w:rFonts w:ascii="Calibri" w:eastAsia="Times New Roman" w:hAnsi="Calibri" w:cs="Calibri"/>
                <w:color w:val="000000"/>
                <w:sz w:val="20"/>
                <w:szCs w:val="20"/>
                <w:lang w:eastAsia="en-AU"/>
              </w:rPr>
              <w:t>261</w:t>
            </w:r>
          </w:p>
        </w:tc>
      </w:tr>
      <w:tr w:rsidR="00252766" w:rsidRPr="00BB331E" w14:paraId="65C72230" w14:textId="77777777" w:rsidTr="002527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8" w:type="pct"/>
            <w:noWrap/>
            <w:hideMark/>
          </w:tcPr>
          <w:p w14:paraId="3748EC85" w14:textId="77777777" w:rsidR="008D2E65" w:rsidRPr="00252766" w:rsidRDefault="008D2E65" w:rsidP="00A274F0">
            <w:pPr>
              <w:jc w:val="left"/>
              <w:rPr>
                <w:rFonts w:ascii="Calibri" w:eastAsia="Times New Roman" w:hAnsi="Calibri" w:cs="Calibri"/>
                <w:color w:val="000000"/>
                <w:sz w:val="20"/>
                <w:szCs w:val="20"/>
                <w:lang w:eastAsia="en-AU"/>
              </w:rPr>
            </w:pPr>
            <w:r w:rsidRPr="00252766">
              <w:rPr>
                <w:rFonts w:ascii="Calibri" w:eastAsia="Times New Roman" w:hAnsi="Calibri" w:cs="Calibri"/>
                <w:color w:val="000000"/>
                <w:sz w:val="20"/>
                <w:szCs w:val="20"/>
                <w:lang w:eastAsia="en-AU"/>
              </w:rPr>
              <w:t xml:space="preserve">With Home Care Only </w:t>
            </w:r>
          </w:p>
        </w:tc>
        <w:tc>
          <w:tcPr>
            <w:tcW w:w="629" w:type="pct"/>
            <w:noWrap/>
            <w:hideMark/>
          </w:tcPr>
          <w:p w14:paraId="03A67EEA" w14:textId="77777777" w:rsidR="008D2E65" w:rsidRPr="00252766" w:rsidRDefault="008D2E65" w:rsidP="00A274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252766">
              <w:rPr>
                <w:rFonts w:ascii="Calibri" w:eastAsia="Times New Roman" w:hAnsi="Calibri" w:cs="Calibri"/>
                <w:color w:val="000000"/>
                <w:sz w:val="20"/>
                <w:szCs w:val="20"/>
                <w:lang w:eastAsia="en-AU"/>
              </w:rPr>
              <w:t>330</w:t>
            </w:r>
          </w:p>
        </w:tc>
        <w:tc>
          <w:tcPr>
            <w:tcW w:w="735" w:type="pct"/>
            <w:noWrap/>
            <w:hideMark/>
          </w:tcPr>
          <w:p w14:paraId="255F8D42" w14:textId="77777777" w:rsidR="008D2E65" w:rsidRPr="00252766" w:rsidRDefault="008D2E65" w:rsidP="0025276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0"/>
                <w:szCs w:val="20"/>
                <w:lang w:eastAsia="en-AU"/>
              </w:rPr>
            </w:pPr>
            <w:r w:rsidRPr="00252766">
              <w:rPr>
                <w:rFonts w:ascii="Calibri" w:eastAsia="Times New Roman" w:hAnsi="Calibri" w:cs="Calibri"/>
                <w:i/>
                <w:color w:val="000000"/>
                <w:sz w:val="20"/>
                <w:szCs w:val="20"/>
                <w:lang w:eastAsia="en-AU"/>
              </w:rPr>
              <w:t>38%</w:t>
            </w:r>
          </w:p>
        </w:tc>
        <w:tc>
          <w:tcPr>
            <w:tcW w:w="858" w:type="pct"/>
            <w:noWrap/>
            <w:hideMark/>
          </w:tcPr>
          <w:p w14:paraId="5DBAE3EF" w14:textId="77777777" w:rsidR="008D2E65" w:rsidRPr="00252766" w:rsidRDefault="008D2E65" w:rsidP="00A274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252766">
              <w:rPr>
                <w:rFonts w:ascii="Calibri" w:eastAsia="Times New Roman" w:hAnsi="Calibri" w:cs="Calibri"/>
                <w:color w:val="000000"/>
                <w:sz w:val="20"/>
                <w:szCs w:val="20"/>
                <w:lang w:eastAsia="en-AU"/>
              </w:rPr>
              <w:t>304</w:t>
            </w:r>
          </w:p>
        </w:tc>
      </w:tr>
      <w:tr w:rsidR="00252766" w:rsidRPr="00BB331E" w14:paraId="59C6CBBB" w14:textId="77777777" w:rsidTr="00252766">
        <w:trPr>
          <w:trHeight w:val="300"/>
        </w:trPr>
        <w:tc>
          <w:tcPr>
            <w:cnfStyle w:val="001000000000" w:firstRow="0" w:lastRow="0" w:firstColumn="1" w:lastColumn="0" w:oddVBand="0" w:evenVBand="0" w:oddHBand="0" w:evenHBand="0" w:firstRowFirstColumn="0" w:firstRowLastColumn="0" w:lastRowFirstColumn="0" w:lastRowLastColumn="0"/>
            <w:tcW w:w="2778" w:type="pct"/>
            <w:noWrap/>
            <w:hideMark/>
          </w:tcPr>
          <w:p w14:paraId="23776787" w14:textId="77777777" w:rsidR="008D2E65" w:rsidRPr="00252766" w:rsidRDefault="008D2E65" w:rsidP="00A274F0">
            <w:pPr>
              <w:jc w:val="left"/>
              <w:rPr>
                <w:rFonts w:ascii="Calibri" w:eastAsia="Times New Roman" w:hAnsi="Calibri" w:cs="Calibri"/>
                <w:color w:val="000000"/>
                <w:sz w:val="20"/>
                <w:szCs w:val="20"/>
                <w:lang w:eastAsia="en-AU"/>
              </w:rPr>
            </w:pPr>
            <w:r w:rsidRPr="00252766">
              <w:rPr>
                <w:rFonts w:ascii="Calibri" w:eastAsia="Times New Roman" w:hAnsi="Calibri" w:cs="Calibri"/>
                <w:color w:val="000000"/>
                <w:sz w:val="20"/>
                <w:szCs w:val="20"/>
                <w:lang w:eastAsia="en-AU"/>
              </w:rPr>
              <w:t xml:space="preserve">With Residential Care and CSHP </w:t>
            </w:r>
          </w:p>
        </w:tc>
        <w:tc>
          <w:tcPr>
            <w:tcW w:w="629" w:type="pct"/>
            <w:noWrap/>
            <w:hideMark/>
          </w:tcPr>
          <w:p w14:paraId="36CB6296" w14:textId="77777777" w:rsidR="008D2E65" w:rsidRPr="00252766" w:rsidRDefault="008D2E65" w:rsidP="00A274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252766">
              <w:rPr>
                <w:rFonts w:ascii="Calibri" w:eastAsia="Times New Roman" w:hAnsi="Calibri" w:cs="Calibri"/>
                <w:color w:val="000000"/>
                <w:sz w:val="20"/>
                <w:szCs w:val="20"/>
                <w:lang w:eastAsia="en-AU"/>
              </w:rPr>
              <w:t>162</w:t>
            </w:r>
          </w:p>
        </w:tc>
        <w:tc>
          <w:tcPr>
            <w:tcW w:w="735" w:type="pct"/>
            <w:noWrap/>
            <w:hideMark/>
          </w:tcPr>
          <w:p w14:paraId="3391E557" w14:textId="77777777" w:rsidR="008D2E65" w:rsidRPr="00252766" w:rsidRDefault="008D2E65" w:rsidP="0025276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000000"/>
                <w:sz w:val="20"/>
                <w:szCs w:val="20"/>
                <w:lang w:eastAsia="en-AU"/>
              </w:rPr>
            </w:pPr>
            <w:r w:rsidRPr="00252766">
              <w:rPr>
                <w:rFonts w:ascii="Calibri" w:eastAsia="Times New Roman" w:hAnsi="Calibri" w:cs="Calibri"/>
                <w:i/>
                <w:color w:val="000000"/>
                <w:sz w:val="20"/>
                <w:szCs w:val="20"/>
                <w:lang w:eastAsia="en-AU"/>
              </w:rPr>
              <w:t>19%</w:t>
            </w:r>
          </w:p>
        </w:tc>
        <w:tc>
          <w:tcPr>
            <w:tcW w:w="858" w:type="pct"/>
            <w:noWrap/>
            <w:hideMark/>
          </w:tcPr>
          <w:p w14:paraId="7F181411" w14:textId="77777777" w:rsidR="008D2E65" w:rsidRPr="00252766" w:rsidRDefault="008D2E65" w:rsidP="00A274F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252766">
              <w:rPr>
                <w:rFonts w:ascii="Calibri" w:eastAsia="Times New Roman" w:hAnsi="Calibri" w:cs="Calibri"/>
                <w:color w:val="000000"/>
                <w:sz w:val="20"/>
                <w:szCs w:val="20"/>
                <w:lang w:eastAsia="en-AU"/>
              </w:rPr>
              <w:t>149</w:t>
            </w:r>
          </w:p>
        </w:tc>
      </w:tr>
      <w:tr w:rsidR="00252766" w:rsidRPr="00BB331E" w14:paraId="3C3CBDFA" w14:textId="77777777" w:rsidTr="002527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8" w:type="pct"/>
            <w:shd w:val="clear" w:color="auto" w:fill="FFE599" w:themeFill="accent4" w:themeFillTint="66"/>
            <w:noWrap/>
            <w:hideMark/>
          </w:tcPr>
          <w:p w14:paraId="3A82B301" w14:textId="77777777" w:rsidR="008D2E65" w:rsidRPr="00252766" w:rsidRDefault="008D2E65" w:rsidP="00A274F0">
            <w:pPr>
              <w:jc w:val="left"/>
              <w:rPr>
                <w:rFonts w:ascii="Calibri" w:eastAsia="Times New Roman" w:hAnsi="Calibri" w:cs="Calibri"/>
                <w:color w:val="000000"/>
                <w:sz w:val="20"/>
                <w:szCs w:val="20"/>
                <w:lang w:eastAsia="en-AU"/>
              </w:rPr>
            </w:pPr>
            <w:r w:rsidRPr="00252766">
              <w:rPr>
                <w:rFonts w:ascii="Calibri" w:eastAsia="Times New Roman" w:hAnsi="Calibri" w:cs="Calibri"/>
                <w:color w:val="000000"/>
                <w:sz w:val="20"/>
                <w:szCs w:val="20"/>
                <w:lang w:eastAsia="en-AU"/>
              </w:rPr>
              <w:t xml:space="preserve">Total </w:t>
            </w:r>
          </w:p>
        </w:tc>
        <w:tc>
          <w:tcPr>
            <w:tcW w:w="629" w:type="pct"/>
            <w:shd w:val="clear" w:color="auto" w:fill="FFE599" w:themeFill="accent4" w:themeFillTint="66"/>
            <w:noWrap/>
            <w:hideMark/>
          </w:tcPr>
          <w:p w14:paraId="431A00AF" w14:textId="77777777" w:rsidR="008D2E65" w:rsidRPr="00252766" w:rsidRDefault="008D2E65" w:rsidP="00A274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252766">
              <w:rPr>
                <w:rFonts w:ascii="Calibri" w:eastAsia="Times New Roman" w:hAnsi="Calibri" w:cs="Calibri"/>
                <w:color w:val="000000"/>
                <w:sz w:val="20"/>
                <w:szCs w:val="20"/>
                <w:lang w:eastAsia="en-AU"/>
              </w:rPr>
              <w:t>873</w:t>
            </w:r>
          </w:p>
        </w:tc>
        <w:tc>
          <w:tcPr>
            <w:tcW w:w="735" w:type="pct"/>
            <w:shd w:val="clear" w:color="auto" w:fill="FFE599" w:themeFill="accent4" w:themeFillTint="66"/>
            <w:noWrap/>
            <w:hideMark/>
          </w:tcPr>
          <w:p w14:paraId="579912D0" w14:textId="77777777" w:rsidR="008D2E65" w:rsidRPr="00252766" w:rsidRDefault="008D2E65" w:rsidP="0025276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0"/>
                <w:szCs w:val="20"/>
                <w:lang w:eastAsia="en-AU"/>
              </w:rPr>
            </w:pPr>
            <w:r w:rsidRPr="00252766">
              <w:rPr>
                <w:rFonts w:ascii="Calibri" w:eastAsia="Times New Roman" w:hAnsi="Calibri" w:cs="Calibri"/>
                <w:i/>
                <w:color w:val="000000"/>
                <w:sz w:val="20"/>
                <w:szCs w:val="20"/>
                <w:lang w:eastAsia="en-AU"/>
              </w:rPr>
              <w:t>100%</w:t>
            </w:r>
          </w:p>
        </w:tc>
        <w:tc>
          <w:tcPr>
            <w:tcW w:w="858" w:type="pct"/>
            <w:shd w:val="clear" w:color="auto" w:fill="FFE599" w:themeFill="accent4" w:themeFillTint="66"/>
            <w:noWrap/>
            <w:hideMark/>
          </w:tcPr>
          <w:p w14:paraId="26739C37" w14:textId="77777777" w:rsidR="008D2E65" w:rsidRPr="00252766" w:rsidRDefault="008D2E65" w:rsidP="00A274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252766">
              <w:rPr>
                <w:rFonts w:ascii="Calibri" w:eastAsia="Times New Roman" w:hAnsi="Calibri" w:cs="Calibri"/>
                <w:color w:val="000000"/>
                <w:sz w:val="20"/>
                <w:szCs w:val="20"/>
                <w:lang w:eastAsia="en-AU"/>
              </w:rPr>
              <w:t>804</w:t>
            </w:r>
          </w:p>
        </w:tc>
      </w:tr>
    </w:tbl>
    <w:p w14:paraId="0150EB0D" w14:textId="77777777" w:rsidR="008D2E65" w:rsidRDefault="008D2E65" w:rsidP="008D2E65"/>
    <w:p w14:paraId="1856134A" w14:textId="69B3DA56" w:rsidR="008D2E65" w:rsidRDefault="008D2E65" w:rsidP="008D2E65">
      <w:r>
        <w:t xml:space="preserve">Notwithstanding the involvement of home care </w:t>
      </w:r>
      <w:r w:rsidR="00636ABF">
        <w:t>AP</w:t>
      </w:r>
      <w:r>
        <w:t xml:space="preserve">s in other segments, most of the impact analysis will be confined to the home care segment of an </w:t>
      </w:r>
      <w:r w:rsidR="00636ABF">
        <w:t>AP</w:t>
      </w:r>
      <w:r>
        <w:t xml:space="preserve">. Most home care </w:t>
      </w:r>
      <w:r w:rsidR="00636ABF">
        <w:t>AP</w:t>
      </w:r>
      <w:r>
        <w:t xml:space="preserve">s are either home care only or home care and CHSP providers. It is likely that these </w:t>
      </w:r>
      <w:r w:rsidR="00636ABF">
        <w:t>AP</w:t>
      </w:r>
      <w:r>
        <w:t>s will be more exposed to the funding changes due to their inability to rely on cash and liquid assets provided by other business segments.</w:t>
      </w:r>
    </w:p>
    <w:p w14:paraId="392EAEE3" w14:textId="77777777" w:rsidR="008D2E65" w:rsidRDefault="008D2E65" w:rsidP="008D2E65"/>
    <w:p w14:paraId="06196DA9" w14:textId="312629CA" w:rsidR="00252766" w:rsidRDefault="008D2E65" w:rsidP="004441DD">
      <w:r>
        <w:t>To provide context, some case studies and analysis at a</w:t>
      </w:r>
      <w:r w:rsidR="00636ABF">
        <w:t xml:space="preserve"> consolidated</w:t>
      </w:r>
      <w:r>
        <w:t xml:space="preserve"> </w:t>
      </w:r>
      <w:r w:rsidR="00636ABF">
        <w:t>AP</w:t>
      </w:r>
      <w:r>
        <w:t xml:space="preserve"> level (incorporating all business segments) will be provided, however the level of information available at this level is limited to a subset of </w:t>
      </w:r>
      <w:proofErr w:type="gramStart"/>
      <w:r w:rsidR="00636ABF">
        <w:t>AP</w:t>
      </w:r>
      <w:r>
        <w:t>s, that</w:t>
      </w:r>
      <w:proofErr w:type="gramEnd"/>
      <w:r>
        <w:t xml:space="preserve"> is those that also have residential aged care.</w:t>
      </w:r>
    </w:p>
    <w:p w14:paraId="0A3EBC1A" w14:textId="3B160594" w:rsidR="00AF39D5" w:rsidRDefault="00AF39D5" w:rsidP="00252766">
      <w:pPr>
        <w:pStyle w:val="Caption"/>
        <w:spacing w:before="0"/>
      </w:pPr>
      <w:r>
        <w:lastRenderedPageBreak/>
        <w:t xml:space="preserve">Figure </w:t>
      </w:r>
      <w:fldSimple w:instr=" SEQ Figure \* ARABIC ">
        <w:r w:rsidR="007F5FB5">
          <w:rPr>
            <w:noProof/>
          </w:rPr>
          <w:t>4</w:t>
        </w:r>
      </w:fldSimple>
      <w:r>
        <w:t>: Number of persons in a Home Care package (Source: www.gen-agedcaredata.gov.au)</w:t>
      </w:r>
    </w:p>
    <w:p w14:paraId="14922C99" w14:textId="6B361DF9" w:rsidR="00483235" w:rsidRDefault="00FF6365" w:rsidP="004441DD">
      <w:r>
        <w:rPr>
          <w:noProof/>
          <w:lang w:eastAsia="en-AU"/>
        </w:rPr>
        <mc:AlternateContent>
          <mc:Choice Requires="wps">
            <w:drawing>
              <wp:anchor distT="0" distB="0" distL="114300" distR="114300" simplePos="0" relativeHeight="251661312" behindDoc="0" locked="0" layoutInCell="1" allowOverlap="1" wp14:anchorId="45803D7F" wp14:editId="343DC3B6">
                <wp:simplePos x="0" y="0"/>
                <wp:positionH relativeFrom="column">
                  <wp:posOffset>5594985</wp:posOffset>
                </wp:positionH>
                <wp:positionV relativeFrom="paragraph">
                  <wp:posOffset>300355</wp:posOffset>
                </wp:positionV>
                <wp:extent cx="501015" cy="2581275"/>
                <wp:effectExtent l="19050" t="19050" r="13335" b="28575"/>
                <wp:wrapNone/>
                <wp:docPr id="22" name="Rectangle: Rounded Corners 1" descr="Rectangle highlighting March 2019 figure of 99,110 in Figure 4: Number of persons in a Home Care package (Source: www.gen-agedcaredata.gov.au)" title="Rectangle highlight"/>
                <wp:cNvGraphicFramePr/>
                <a:graphic xmlns:a="http://schemas.openxmlformats.org/drawingml/2006/main">
                  <a:graphicData uri="http://schemas.microsoft.com/office/word/2010/wordprocessingShape">
                    <wps:wsp>
                      <wps:cNvSpPr/>
                      <wps:spPr>
                        <a:xfrm>
                          <a:off x="0" y="0"/>
                          <a:ext cx="501015" cy="2581275"/>
                        </a:xfrm>
                        <a:prstGeom prst="roundRect">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DD9082" id="Rectangle: Rounded Corners 1" o:spid="_x0000_s1026" alt="Title: Rectangle highlight - Description: Rectangle highlighting March 2019 figure of 99,110 in Figure 4: Number of persons in a Home Care package (Source: www.gen-agedcaredata.gov.au)" style="position:absolute;margin-left:440.55pt;margin-top:23.65pt;width:39.45pt;height:203.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" filled="f" strokecolor="#ffc000" strokeweight="3pt">
                <v:stroke joinstyle="miter"/>
              </v:roundrect>
            </w:pict>
          </mc:Fallback>
        </mc:AlternateContent>
      </w:r>
      <w:r w:rsidR="00483235" w:rsidRPr="00483235">
        <w:rPr>
          <w:noProof/>
          <w:lang w:eastAsia="en-AU"/>
        </w:rPr>
        <w:drawing>
          <wp:inline distT="0" distB="0" distL="0" distR="0" wp14:anchorId="2A12C631" wp14:editId="05CF5401">
            <wp:extent cx="6120130" cy="2924175"/>
            <wp:effectExtent l="0" t="0" r="13970" b="9525"/>
            <wp:docPr id="21" name="Chart 21" descr="Figure 4: Number of persons in a Home Care package (Source: www.gen-agedcaredata.gov.au)" title="Figure 4: Number of persons in a Home Care package (Source: www.gen-agedcaredata.gov.au)">
              <a:extLst xmlns:a="http://schemas.openxmlformats.org/drawingml/2006/main">
                <a:ext uri="{FF2B5EF4-FFF2-40B4-BE49-F238E27FC236}">
                  <a16:creationId xmlns:a16="http://schemas.microsoft.com/office/drawing/2014/main" id="{DC154863-9DAD-4704-95AD-FD43F81017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577C203" w14:textId="59789E7C" w:rsidR="00483235" w:rsidRDefault="00483235" w:rsidP="004441DD"/>
    <w:p w14:paraId="78EAE885" w14:textId="251F946B" w:rsidR="00483235" w:rsidRDefault="00483235" w:rsidP="004441DD">
      <w:r>
        <w:t xml:space="preserve">There has been a 40% increase in the number of persons in </w:t>
      </w:r>
      <w:proofErr w:type="gramStart"/>
      <w:r>
        <w:t>an</w:t>
      </w:r>
      <w:proofErr w:type="gramEnd"/>
      <w:r>
        <w:t xml:space="preserve"> home care package since the changes to the way packages were allocated in February 2017. It is estimated that by the end of FY20, there will be 144,912 packages allocated to care recipients</w:t>
      </w:r>
      <w:r w:rsidR="00AF39D5">
        <w:rPr>
          <w:rStyle w:val="FootnoteReference"/>
        </w:rPr>
        <w:footnoteReference w:id="2"/>
      </w:r>
      <w:r w:rsidR="00AF39D5">
        <w:t>. During this same period, unspent funds have grown to at least $7</w:t>
      </w:r>
      <w:r w:rsidR="00576880">
        <w:t>50</w:t>
      </w:r>
      <w:r w:rsidR="00AF39D5">
        <w:t xml:space="preserve"> million.</w:t>
      </w:r>
    </w:p>
    <w:p w14:paraId="6157919C" w14:textId="31C6EEA1" w:rsidR="00AF39D5" w:rsidRDefault="00AF39D5" w:rsidP="004441DD"/>
    <w:p w14:paraId="05AC5C7B" w14:textId="09076062" w:rsidR="00AF39D5" w:rsidRDefault="00AF39D5" w:rsidP="00636ABF">
      <w:pPr>
        <w:pStyle w:val="Caption"/>
        <w:spacing w:before="0"/>
      </w:pPr>
      <w:r>
        <w:t xml:space="preserve">Figure </w:t>
      </w:r>
      <w:fldSimple w:instr=" SEQ Figure \* ARABIC ">
        <w:r w:rsidR="007F5FB5">
          <w:rPr>
            <w:noProof/>
          </w:rPr>
          <w:t>5</w:t>
        </w:r>
      </w:fldSimple>
      <w:r>
        <w:t>: Number of Home Care Providers (Source: www.gen-agedcaredata.gov.au)</w:t>
      </w:r>
    </w:p>
    <w:p w14:paraId="37BD6889" w14:textId="7498CB72" w:rsidR="00AF39D5" w:rsidRDefault="00AF39D5" w:rsidP="004441DD">
      <w:r w:rsidRPr="00AF39D5">
        <w:rPr>
          <w:noProof/>
          <w:lang w:eastAsia="en-AU"/>
        </w:rPr>
        <w:drawing>
          <wp:inline distT="0" distB="0" distL="0" distR="0" wp14:anchorId="24C1CC9A" wp14:editId="149B6FDE">
            <wp:extent cx="6120130" cy="3000375"/>
            <wp:effectExtent l="0" t="0" r="13970" b="9525"/>
            <wp:docPr id="23" name="Chart 23" descr="Figure 5: Number of Home Care Providers (Source: www.gen-agedcaredata.gov.au)" title="Figure 5: Number of Home Care Providers (Source: www.gen-agedcaredata.gov.au)">
              <a:extLst xmlns:a="http://schemas.openxmlformats.org/drawingml/2006/main">
                <a:ext uri="{FF2B5EF4-FFF2-40B4-BE49-F238E27FC236}">
                  <a16:creationId xmlns:a16="http://schemas.microsoft.com/office/drawing/2014/main" id="{3C8CE6B9-9DC3-401D-A188-8CF8AFE512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763FBFD" w14:textId="67B17A79" w:rsidR="00AF39D5" w:rsidRDefault="00AF39D5" w:rsidP="00636ABF">
      <w:pPr>
        <w:spacing w:before="120"/>
      </w:pPr>
      <w:r>
        <w:t xml:space="preserve">During the same period of growth in home care packages there has also been a large increase in </w:t>
      </w:r>
      <w:r w:rsidR="00281031">
        <w:t>AP</w:t>
      </w:r>
      <w:r>
        <w:t xml:space="preserve">s of home </w:t>
      </w:r>
      <w:proofErr w:type="gramStart"/>
      <w:r>
        <w:t>care</w:t>
      </w:r>
      <w:proofErr w:type="gramEnd"/>
      <w:r>
        <w:t xml:space="preserve"> services. In the nine months leading up to, and the period since the reforms in February 2017 there has been an additional 433 </w:t>
      </w:r>
      <w:r w:rsidR="00281031">
        <w:t>AP</w:t>
      </w:r>
      <w:r>
        <w:t xml:space="preserve">s enter the market representing </w:t>
      </w:r>
      <w:proofErr w:type="gramStart"/>
      <w:r>
        <w:t>a</w:t>
      </w:r>
      <w:proofErr w:type="gramEnd"/>
      <w:r>
        <w:t xml:space="preserve"> 87% increase on the number of </w:t>
      </w:r>
      <w:r w:rsidR="00281031">
        <w:t>AP</w:t>
      </w:r>
      <w:r>
        <w:t xml:space="preserve">s at June 2016. </w:t>
      </w:r>
    </w:p>
    <w:p w14:paraId="5B2790CA" w14:textId="242B47DA" w:rsidR="00BB331E" w:rsidRDefault="008D2E65" w:rsidP="00A274F0">
      <w:pPr>
        <w:pStyle w:val="Heading2"/>
      </w:pPr>
      <w:bookmarkStart w:id="40" w:name="_Toc26870716"/>
      <w:r>
        <w:lastRenderedPageBreak/>
        <w:t xml:space="preserve">StewartBrown </w:t>
      </w:r>
      <w:r w:rsidRPr="00252766">
        <w:rPr>
          <w:i/>
        </w:rPr>
        <w:t>Survey</w:t>
      </w:r>
      <w:bookmarkEnd w:id="40"/>
    </w:p>
    <w:p w14:paraId="6A52A868" w14:textId="4AF430C8" w:rsidR="00544AAD" w:rsidRDefault="004441DD" w:rsidP="00664F7E">
      <w:r>
        <w:t xml:space="preserve">The following analysis is based on the StewartBrown </w:t>
      </w:r>
      <w:r w:rsidRPr="00252766">
        <w:rPr>
          <w:i/>
        </w:rPr>
        <w:t>Aged Care Financial Performance Survey</w:t>
      </w:r>
      <w:r>
        <w:t xml:space="preserve"> </w:t>
      </w:r>
      <w:r w:rsidR="00544AAD">
        <w:t xml:space="preserve">which surveys </w:t>
      </w:r>
      <w:r w:rsidR="00AC0570">
        <w:t xml:space="preserve">home </w:t>
      </w:r>
      <w:r w:rsidR="00544AAD">
        <w:t xml:space="preserve">care </w:t>
      </w:r>
      <w:r w:rsidR="00AC0570">
        <w:t>AP</w:t>
      </w:r>
      <w:r w:rsidR="00544AAD">
        <w:t>s on a quarterly basis with regard to their financial performance at a program level.</w:t>
      </w:r>
      <w:r w:rsidR="00412757">
        <w:t xml:space="preserve"> Coverage of the </w:t>
      </w:r>
      <w:r w:rsidR="00252766" w:rsidRPr="00252766">
        <w:rPr>
          <w:i/>
        </w:rPr>
        <w:t>S</w:t>
      </w:r>
      <w:r w:rsidR="00412757" w:rsidRPr="00252766">
        <w:rPr>
          <w:i/>
        </w:rPr>
        <w:t>urvey</w:t>
      </w:r>
      <w:r w:rsidR="00412757">
        <w:t xml:space="preserve"> is extensive as shown below.</w:t>
      </w:r>
    </w:p>
    <w:p w14:paraId="4F0BB66E" w14:textId="0F628569" w:rsidR="00FF6365" w:rsidRDefault="00FF6365" w:rsidP="00664F7E"/>
    <w:p w14:paraId="51A4D2C1" w14:textId="03CCF3CB" w:rsidR="00FF6365" w:rsidRDefault="00FF6365" w:rsidP="00FF6365">
      <w:pPr>
        <w:jc w:val="center"/>
      </w:pPr>
      <w:r>
        <w:rPr>
          <w:noProof/>
          <w:lang w:eastAsia="en-AU"/>
        </w:rPr>
        <w:drawing>
          <wp:inline distT="0" distB="0" distL="0" distR="0" wp14:anchorId="7A1207C6" wp14:editId="2109E0CB">
            <wp:extent cx="4316730" cy="6896100"/>
            <wp:effectExtent l="0" t="0" r="7620" b="0"/>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june-19-hc-survey-coverage-by-state.png"/>
                    <pic:cNvPicPr/>
                  </pic:nvPicPr>
                  <pic:blipFill>
                    <a:blip r:embed="rId23">
                      <a:extLst>
                        <a:ext uri="{28A0092B-C50C-407E-A947-70E740481C1C}">
                          <a14:useLocalDpi xmlns:a14="http://schemas.microsoft.com/office/drawing/2010/main" val="0"/>
                        </a:ext>
                      </a:extLst>
                    </a:blip>
                    <a:stretch>
                      <a:fillRect/>
                    </a:stretch>
                  </pic:blipFill>
                  <pic:spPr>
                    <a:xfrm>
                      <a:off x="0" y="0"/>
                      <a:ext cx="4339127" cy="6931880"/>
                    </a:xfrm>
                    <a:prstGeom prst="rect">
                      <a:avLst/>
                    </a:prstGeom>
                  </pic:spPr>
                </pic:pic>
              </a:graphicData>
            </a:graphic>
          </wp:inline>
        </w:drawing>
      </w:r>
    </w:p>
    <w:p w14:paraId="68B16386" w14:textId="7843EF08" w:rsidR="00B84B00" w:rsidRDefault="00B84B00" w:rsidP="00FF6365">
      <w:pPr>
        <w:jc w:val="center"/>
      </w:pPr>
    </w:p>
    <w:p w14:paraId="61360090" w14:textId="77777777" w:rsidR="00B84B00" w:rsidRDefault="00B84B00" w:rsidP="00FF6365">
      <w:pPr>
        <w:jc w:val="center"/>
      </w:pPr>
    </w:p>
    <w:p w14:paraId="0B3A634B" w14:textId="29871DFE" w:rsidR="008D2E65" w:rsidRDefault="008D2E65" w:rsidP="00A274F0">
      <w:pPr>
        <w:pStyle w:val="Heading2"/>
      </w:pPr>
      <w:bookmarkStart w:id="41" w:name="_Toc26870717"/>
      <w:r>
        <w:lastRenderedPageBreak/>
        <w:t>S</w:t>
      </w:r>
      <w:r w:rsidR="00343F8B">
        <w:t xml:space="preserve">tewartBrown </w:t>
      </w:r>
      <w:r w:rsidR="00343F8B" w:rsidRPr="00343F8B">
        <w:rPr>
          <w:i/>
        </w:rPr>
        <w:t>Survey</w:t>
      </w:r>
      <w:r>
        <w:t xml:space="preserve"> </w:t>
      </w:r>
      <w:r w:rsidR="00343F8B">
        <w:t>FY19 Results</w:t>
      </w:r>
      <w:bookmarkEnd w:id="41"/>
    </w:p>
    <w:p w14:paraId="3D822928" w14:textId="2EAB74D0" w:rsidR="00664F7E" w:rsidRDefault="00664F7E" w:rsidP="00664F7E">
      <w:r w:rsidRPr="00250917">
        <w:t xml:space="preserve">The total percentage of </w:t>
      </w:r>
      <w:r>
        <w:t xml:space="preserve">home care </w:t>
      </w:r>
      <w:r w:rsidR="00AC0570">
        <w:t>AP</w:t>
      </w:r>
      <w:r>
        <w:t xml:space="preserve">s (92 in the </w:t>
      </w:r>
      <w:r w:rsidR="00252766" w:rsidRPr="00252766">
        <w:rPr>
          <w:i/>
        </w:rPr>
        <w:t>S</w:t>
      </w:r>
      <w:r w:rsidRPr="00252766">
        <w:rPr>
          <w:i/>
        </w:rPr>
        <w:t>urvey</w:t>
      </w:r>
      <w:r>
        <w:t xml:space="preserve">) </w:t>
      </w:r>
      <w:r w:rsidRPr="00250917">
        <w:t>making a</w:t>
      </w:r>
      <w:r>
        <w:t xml:space="preserve"> negative N</w:t>
      </w:r>
      <w:r w:rsidR="00252766">
        <w:t xml:space="preserve">et </w:t>
      </w:r>
      <w:r>
        <w:t>P</w:t>
      </w:r>
      <w:r w:rsidR="00252766">
        <w:t xml:space="preserve">rofit </w:t>
      </w:r>
      <w:proofErr w:type="gramStart"/>
      <w:r>
        <w:t>B</w:t>
      </w:r>
      <w:r w:rsidR="00252766">
        <w:t>efore</w:t>
      </w:r>
      <w:proofErr w:type="gramEnd"/>
      <w:r w:rsidR="00252766">
        <w:t xml:space="preserve"> </w:t>
      </w:r>
      <w:r>
        <w:t>T</w:t>
      </w:r>
      <w:r w:rsidR="00252766">
        <w:t>ax (NPBT)</w:t>
      </w:r>
      <w:r>
        <w:t xml:space="preserve"> (i.e. a</w:t>
      </w:r>
      <w:r w:rsidR="00252766">
        <w:t>n</w:t>
      </w:r>
      <w:r>
        <w:t xml:space="preserve"> </w:t>
      </w:r>
      <w:r w:rsidR="00252766">
        <w:t xml:space="preserve">operating </w:t>
      </w:r>
      <w:r>
        <w:t xml:space="preserve">loss) is </w:t>
      </w:r>
      <w:r w:rsidR="00343807">
        <w:t>28</w:t>
      </w:r>
      <w:r>
        <w:t>.</w:t>
      </w:r>
      <w:r w:rsidR="00343807">
        <w:t>9</w:t>
      </w:r>
      <w:r>
        <w:t xml:space="preserve">%. This is a </w:t>
      </w:r>
      <w:r w:rsidRPr="00BC6B83">
        <w:rPr>
          <w:u w:val="single"/>
        </w:rPr>
        <w:t>de</w:t>
      </w:r>
      <w:r w:rsidRPr="00250917">
        <w:rPr>
          <w:u w:val="single"/>
        </w:rPr>
        <w:t>crease</w:t>
      </w:r>
      <w:r w:rsidRPr="00250917">
        <w:t xml:space="preserve"> </w:t>
      </w:r>
      <w:r w:rsidRPr="00E4274A">
        <w:t>of 1.</w:t>
      </w:r>
      <w:r w:rsidR="00E4274A" w:rsidRPr="00E4274A">
        <w:t>8</w:t>
      </w:r>
      <w:r w:rsidRPr="00E4274A">
        <w:t>% compared</w:t>
      </w:r>
      <w:r>
        <w:t xml:space="preserve"> to the FY18 figure of 3</w:t>
      </w:r>
      <w:r w:rsidR="00E4274A">
        <w:t>0</w:t>
      </w:r>
      <w:r>
        <w:t>.</w:t>
      </w:r>
      <w:r w:rsidR="00E4274A">
        <w:t>7</w:t>
      </w:r>
      <w:r>
        <w:t xml:space="preserve">%. </w:t>
      </w:r>
    </w:p>
    <w:p w14:paraId="082DEC03" w14:textId="539BC689" w:rsidR="007F5FB5" w:rsidRDefault="007F5FB5" w:rsidP="007F5FB5">
      <w:pPr>
        <w:pStyle w:val="Caption"/>
        <w:keepNext/>
      </w:pPr>
      <w:r>
        <w:t xml:space="preserve">Figure </w:t>
      </w:r>
      <w:fldSimple w:instr=" SEQ Figure \* ARABIC ">
        <w:r>
          <w:rPr>
            <w:noProof/>
          </w:rPr>
          <w:t>6</w:t>
        </w:r>
      </w:fldSimple>
      <w:r>
        <w:t xml:space="preserve">:  Percentage of home </w:t>
      </w:r>
      <w:r w:rsidR="006335A9">
        <w:t>c</w:t>
      </w:r>
      <w:r>
        <w:t xml:space="preserve">are </w:t>
      </w:r>
      <w:r w:rsidR="006335A9">
        <w:t>AP</w:t>
      </w:r>
      <w:r>
        <w:t xml:space="preserve">s making </w:t>
      </w:r>
      <w:r w:rsidR="006335A9">
        <w:t>n</w:t>
      </w:r>
      <w:r>
        <w:t>egative NPBT</w:t>
      </w:r>
    </w:p>
    <w:p w14:paraId="34BA76DF" w14:textId="2F4350ED" w:rsidR="00664F7E" w:rsidRDefault="004B5CE3" w:rsidP="00664F7E">
      <w:r>
        <w:rPr>
          <w:noProof/>
          <w:lang w:eastAsia="en-AU"/>
        </w:rPr>
        <w:drawing>
          <wp:inline distT="0" distB="0" distL="0" distR="0" wp14:anchorId="448470C9" wp14:editId="6308F96F">
            <wp:extent cx="6106795" cy="2257425"/>
            <wp:effectExtent l="0" t="0" r="8255" b="9525"/>
            <wp:docPr id="13" name="Chart 13" title="Figure 6:  Percentage of home care APs making negative NPBT">
              <a:extLst xmlns:a="http://schemas.openxmlformats.org/drawingml/2006/main">
                <a:ext uri="{FF2B5EF4-FFF2-40B4-BE49-F238E27FC236}">
                  <a16:creationId xmlns:a16="http://schemas.microsoft.com/office/drawing/2014/main" id="{01BE271F-3FC7-46C8-8337-217C3514BD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06F0840" w14:textId="77777777" w:rsidR="00664F7E" w:rsidRDefault="00664F7E" w:rsidP="00664F7E"/>
    <w:p w14:paraId="6E9C64C6" w14:textId="617C8FC0" w:rsidR="00664F7E" w:rsidRPr="005E3501" w:rsidRDefault="00664F7E" w:rsidP="00664F7E">
      <w:pPr>
        <w:rPr>
          <w:i/>
        </w:rPr>
      </w:pPr>
      <w:r>
        <w:rPr>
          <w:i/>
        </w:rPr>
        <w:t>Please note that the above analysis</w:t>
      </w:r>
      <w:r w:rsidR="00610C50">
        <w:rPr>
          <w:i/>
        </w:rPr>
        <w:t xml:space="preserve"> for StewartBrown</w:t>
      </w:r>
      <w:r w:rsidR="001351F1">
        <w:rPr>
          <w:i/>
        </w:rPr>
        <w:t xml:space="preserve"> (SB)</w:t>
      </w:r>
      <w:r w:rsidR="00610C50">
        <w:rPr>
          <w:i/>
        </w:rPr>
        <w:t xml:space="preserve"> data</w:t>
      </w:r>
      <w:r>
        <w:rPr>
          <w:i/>
        </w:rPr>
        <w:t xml:space="preserve"> is based on the financial operating performance at the consolidated home care programme </w:t>
      </w:r>
      <w:r w:rsidRPr="006E7CCB">
        <w:rPr>
          <w:i/>
          <w:u w:val="single"/>
        </w:rPr>
        <w:t xml:space="preserve">level </w:t>
      </w:r>
      <w:r>
        <w:rPr>
          <w:i/>
        </w:rPr>
        <w:t>which is an approximat</w:t>
      </w:r>
      <w:r w:rsidR="00FF4E8B">
        <w:rPr>
          <w:i/>
        </w:rPr>
        <w:t>ion</w:t>
      </w:r>
      <w:r>
        <w:rPr>
          <w:i/>
        </w:rPr>
        <w:t xml:space="preserve"> for the </w:t>
      </w:r>
      <w:r w:rsidR="00C905D2">
        <w:rPr>
          <w:i/>
        </w:rPr>
        <w:t>home care segment</w:t>
      </w:r>
      <w:r>
        <w:rPr>
          <w:i/>
        </w:rPr>
        <w:t xml:space="preserve"> level. </w:t>
      </w:r>
      <w:r w:rsidR="00C905D2">
        <w:rPr>
          <w:i/>
        </w:rPr>
        <w:t>The ACFR data is based on the 535 providers in FY19 for which data has been received and excludes government providers and others for which data has not been submitted or there is obvious missing data.</w:t>
      </w:r>
      <w:r>
        <w:rPr>
          <w:i/>
        </w:rPr>
        <w:t xml:space="preserve"> </w:t>
      </w:r>
      <w:r w:rsidR="00C905D2">
        <w:rPr>
          <w:i/>
        </w:rPr>
        <w:t>It should be noted that the ACFR data for FY19 has not been through a detailed cleansing process and is “as submitted”. The StewartBrown data undergoes a comprehensive cleansing process to ensure it is an accurate reflection of the operating performance of the provider.</w:t>
      </w:r>
    </w:p>
    <w:p w14:paraId="60295ECB" w14:textId="77777777" w:rsidR="00664F7E" w:rsidRDefault="00664F7E" w:rsidP="00BC1CEA">
      <w:pPr>
        <w:rPr>
          <w:lang w:eastAsia="en-AU"/>
        </w:rPr>
      </w:pPr>
    </w:p>
    <w:p w14:paraId="693A7A11" w14:textId="3F7C5476" w:rsidR="00BC1CEA" w:rsidRDefault="00BC1CEA" w:rsidP="00BC1CEA">
      <w:pPr>
        <w:rPr>
          <w:lang w:eastAsia="en-AU"/>
        </w:rPr>
      </w:pPr>
      <w:r>
        <w:rPr>
          <w:lang w:eastAsia="en-AU"/>
        </w:rPr>
        <w:t>The home care segment has experienced a minor decline in the average operating surplus for FY19 of $0.12 per client per day (pcpd)</w:t>
      </w:r>
      <w:r w:rsidR="003F6561">
        <w:rPr>
          <w:lang w:eastAsia="en-AU"/>
        </w:rPr>
        <w:t>.</w:t>
      </w:r>
      <w:r>
        <w:rPr>
          <w:lang w:eastAsia="en-AU"/>
        </w:rPr>
        <w:t xml:space="preserve"> </w:t>
      </w:r>
      <w:r w:rsidR="003F6561">
        <w:rPr>
          <w:lang w:eastAsia="en-AU"/>
        </w:rPr>
        <w:t xml:space="preserve">The </w:t>
      </w:r>
      <w:r w:rsidR="00E4274A" w:rsidRPr="00E4274A">
        <w:rPr>
          <w:i/>
          <w:lang w:eastAsia="en-AU"/>
        </w:rPr>
        <w:t>A</w:t>
      </w:r>
      <w:r w:rsidRPr="00E4274A">
        <w:rPr>
          <w:i/>
          <w:lang w:eastAsia="en-AU"/>
        </w:rPr>
        <w:t>verage</w:t>
      </w:r>
      <w:r>
        <w:rPr>
          <w:lang w:eastAsia="en-AU"/>
        </w:rPr>
        <w:t xml:space="preserve"> surplus </w:t>
      </w:r>
      <w:r w:rsidR="003F6561">
        <w:rPr>
          <w:lang w:eastAsia="en-AU"/>
        </w:rPr>
        <w:t>was</w:t>
      </w:r>
      <w:r>
        <w:rPr>
          <w:lang w:eastAsia="en-AU"/>
        </w:rPr>
        <w:t xml:space="preserve"> $3.65 pcpd. The </w:t>
      </w:r>
      <w:r w:rsidR="003F6561">
        <w:rPr>
          <w:lang w:eastAsia="en-AU"/>
        </w:rPr>
        <w:t xml:space="preserve">HCP </w:t>
      </w:r>
      <w:r>
        <w:rPr>
          <w:lang w:eastAsia="en-AU"/>
        </w:rPr>
        <w:t xml:space="preserve">programmes in the </w:t>
      </w:r>
      <w:r>
        <w:rPr>
          <w:i/>
          <w:lang w:eastAsia="en-AU"/>
        </w:rPr>
        <w:t>First 25%</w:t>
      </w:r>
      <w:r>
        <w:rPr>
          <w:lang w:eastAsia="en-AU"/>
        </w:rPr>
        <w:t xml:space="preserve"> fared much better with a</w:t>
      </w:r>
      <w:r w:rsidR="00E4274A">
        <w:rPr>
          <w:lang w:eastAsia="en-AU"/>
        </w:rPr>
        <w:t>n increase</w:t>
      </w:r>
      <w:r>
        <w:rPr>
          <w:lang w:eastAsia="en-AU"/>
        </w:rPr>
        <w:t xml:space="preserve"> in the surplus from $17.17 pcpd for FY18 to $18.28 pcpd in FY19, </w:t>
      </w:r>
      <w:r w:rsidR="00E4274A">
        <w:rPr>
          <w:lang w:eastAsia="en-AU"/>
        </w:rPr>
        <w:t>the</w:t>
      </w:r>
      <w:r>
        <w:rPr>
          <w:lang w:eastAsia="en-AU"/>
        </w:rPr>
        <w:t xml:space="preserve"> increase </w:t>
      </w:r>
      <w:r w:rsidR="00E4274A">
        <w:rPr>
          <w:lang w:eastAsia="en-AU"/>
        </w:rPr>
        <w:t>being</w:t>
      </w:r>
      <w:r>
        <w:rPr>
          <w:lang w:eastAsia="en-AU"/>
        </w:rPr>
        <w:t xml:space="preserve"> $1.11 pcpd.</w:t>
      </w:r>
    </w:p>
    <w:p w14:paraId="0369D10B" w14:textId="77777777" w:rsidR="00BC1CEA" w:rsidRDefault="00BC1CEA" w:rsidP="00BC1CEA">
      <w:pPr>
        <w:rPr>
          <w:lang w:eastAsia="en-AU"/>
        </w:rPr>
      </w:pPr>
    </w:p>
    <w:p w14:paraId="0D8557EF" w14:textId="77777777" w:rsidR="00BC1CEA" w:rsidRDefault="00BC1CEA" w:rsidP="00BC1CEA">
      <w:pPr>
        <w:rPr>
          <w:lang w:eastAsia="en-AU"/>
        </w:rPr>
      </w:pPr>
      <w:r>
        <w:rPr>
          <w:lang w:eastAsia="en-AU"/>
        </w:rPr>
        <w:t>These results for FY19 appear to have arrested the more dramatic declines in the results between FY17 and FY18 after the reforms in February 2017.</w:t>
      </w:r>
    </w:p>
    <w:p w14:paraId="27DD9767" w14:textId="34C850B5" w:rsidR="00BC1CEA" w:rsidRPr="006B0D65" w:rsidRDefault="00BC1CEA" w:rsidP="00880186">
      <w:pPr>
        <w:pStyle w:val="Caption"/>
      </w:pPr>
      <w:r w:rsidRPr="006B0D65">
        <w:t xml:space="preserve">Figure </w:t>
      </w:r>
      <w:r>
        <w:t>24</w:t>
      </w:r>
      <w:r w:rsidRPr="006B0D65">
        <w:t xml:space="preserve">: Trend of Net Profit </w:t>
      </w:r>
      <w:proofErr w:type="gramStart"/>
      <w:r w:rsidRPr="006B0D65">
        <w:t>Before</w:t>
      </w:r>
      <w:proofErr w:type="gramEnd"/>
      <w:r w:rsidRPr="006B0D65">
        <w:t xml:space="preserve"> Tax (NPBT) for Home Care Packages FY16 to FY19</w:t>
      </w:r>
      <w:r w:rsidR="00B84B00">
        <w:t xml:space="preserve"> -</w:t>
      </w:r>
      <w:r w:rsidRPr="006B0D65">
        <w:t xml:space="preserve"> </w:t>
      </w:r>
      <w:r w:rsidR="00E4274A">
        <w:t>Survey</w:t>
      </w:r>
      <w:r w:rsidRPr="006B0D65">
        <w:t xml:space="preserve"> Average and First 25%</w:t>
      </w:r>
    </w:p>
    <w:p w14:paraId="7B062334" w14:textId="77777777" w:rsidR="00BC1CEA" w:rsidRDefault="00BC1CEA" w:rsidP="00BC1CEA">
      <w:pPr>
        <w:rPr>
          <w:lang w:eastAsia="en-AU"/>
        </w:rPr>
      </w:pPr>
      <w:r>
        <w:rPr>
          <w:noProof/>
          <w:lang w:eastAsia="en-AU"/>
        </w:rPr>
        <w:drawing>
          <wp:inline distT="0" distB="0" distL="0" distR="0" wp14:anchorId="0114302C" wp14:editId="79BFE447">
            <wp:extent cx="6120130" cy="2476500"/>
            <wp:effectExtent l="0" t="0" r="13970" b="0"/>
            <wp:docPr id="1" name="Chart 1" title="Figure 24: Trend of Net Profit Before Tax (NPBT) for Home Care Packages FY16 to FY19 - Survey Average and First 25%">
              <a:extLst xmlns:a="http://schemas.openxmlformats.org/drawingml/2006/main">
                <a:ext uri="{FF2B5EF4-FFF2-40B4-BE49-F238E27FC236}">
                  <a16:creationId xmlns:a16="http://schemas.microsoft.com/office/drawing/2014/main" id="{0B41CF5D-FE28-461F-81F1-6448ECB20A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41BA6B8" w14:textId="77777777" w:rsidR="001351F1" w:rsidRDefault="001351F1" w:rsidP="00BC1CEA">
      <w:pPr>
        <w:rPr>
          <w:lang w:eastAsia="en-AU"/>
        </w:rPr>
      </w:pPr>
    </w:p>
    <w:p w14:paraId="45CFF43A" w14:textId="7CD6B646" w:rsidR="00BC1CEA" w:rsidRDefault="00BC1CEA" w:rsidP="00BC1CEA">
      <w:pPr>
        <w:rPr>
          <w:lang w:eastAsia="en-AU"/>
        </w:rPr>
      </w:pPr>
      <w:r>
        <w:rPr>
          <w:lang w:eastAsia="en-AU"/>
        </w:rPr>
        <w:lastRenderedPageBreak/>
        <w:t>There were various factors contributing to these results and some observations are as follows:</w:t>
      </w:r>
    </w:p>
    <w:p w14:paraId="55D91E0D" w14:textId="77777777" w:rsidR="00BC1CEA" w:rsidRDefault="00BC1CEA" w:rsidP="00BC1CEA">
      <w:pPr>
        <w:rPr>
          <w:lang w:eastAsia="en-AU"/>
        </w:rPr>
      </w:pPr>
    </w:p>
    <w:p w14:paraId="0562AF6B" w14:textId="77777777" w:rsidR="00BC1CEA" w:rsidRPr="00BC1CEA" w:rsidRDefault="00BC1CEA" w:rsidP="00BC1CEA">
      <w:pPr>
        <w:rPr>
          <w:b/>
          <w:bCs/>
          <w:lang w:eastAsia="en-AU"/>
        </w:rPr>
      </w:pPr>
      <w:r w:rsidRPr="00BC1CEA">
        <w:rPr>
          <w:b/>
          <w:bCs/>
          <w:lang w:eastAsia="en-AU"/>
        </w:rPr>
        <w:t>Package Revenue</w:t>
      </w:r>
    </w:p>
    <w:p w14:paraId="35F0556B" w14:textId="45200ABE" w:rsidR="00BC1CEA" w:rsidRDefault="00BC1CEA" w:rsidP="005D395A">
      <w:pPr>
        <w:pStyle w:val="ListParagraph"/>
        <w:numPr>
          <w:ilvl w:val="0"/>
          <w:numId w:val="7"/>
        </w:numPr>
        <w:rPr>
          <w:lang w:eastAsia="en-AU"/>
        </w:rPr>
      </w:pPr>
      <w:r>
        <w:t xml:space="preserve">Increased by 4.6% for </w:t>
      </w:r>
      <w:bookmarkStart w:id="42" w:name="_Hlk24903404"/>
      <w:r w:rsidRPr="003F6561">
        <w:rPr>
          <w:i/>
        </w:rPr>
        <w:t>Survey</w:t>
      </w:r>
      <w:bookmarkEnd w:id="42"/>
      <w:r w:rsidRPr="003F6561">
        <w:rPr>
          <w:i/>
        </w:rPr>
        <w:t xml:space="preserve"> </w:t>
      </w:r>
      <w:r w:rsidRPr="00B874F4">
        <w:rPr>
          <w:i/>
        </w:rPr>
        <w:t>Average</w:t>
      </w:r>
      <w:r>
        <w:t xml:space="preserve"> and 2.5% for </w:t>
      </w:r>
      <w:r w:rsidR="003F6561" w:rsidRPr="003F6561">
        <w:rPr>
          <w:i/>
        </w:rPr>
        <w:t>Survey</w:t>
      </w:r>
      <w:r w:rsidR="003F6561">
        <w:t xml:space="preserve"> </w:t>
      </w:r>
      <w:r>
        <w:rPr>
          <w:i/>
        </w:rPr>
        <w:t>First 25%</w:t>
      </w:r>
    </w:p>
    <w:p w14:paraId="6009B087" w14:textId="7B9672D1" w:rsidR="00BC1CEA" w:rsidRDefault="00BC1CEA" w:rsidP="005D395A">
      <w:pPr>
        <w:pStyle w:val="ListParagraph"/>
        <w:numPr>
          <w:ilvl w:val="0"/>
          <w:numId w:val="7"/>
        </w:numPr>
      </w:pPr>
      <w:r>
        <w:t xml:space="preserve">Revenue utilisation increased by 2.5% for </w:t>
      </w:r>
      <w:r w:rsidRPr="003F6561">
        <w:rPr>
          <w:i/>
        </w:rPr>
        <w:t xml:space="preserve">Survey </w:t>
      </w:r>
      <w:r w:rsidRPr="00B874F4">
        <w:rPr>
          <w:i/>
        </w:rPr>
        <w:t>Average</w:t>
      </w:r>
      <w:r>
        <w:t xml:space="preserve"> and 1.6% for </w:t>
      </w:r>
      <w:r w:rsidR="003F6561" w:rsidRPr="003F6561">
        <w:rPr>
          <w:i/>
        </w:rPr>
        <w:t xml:space="preserve">Survey </w:t>
      </w:r>
      <w:r>
        <w:rPr>
          <w:i/>
        </w:rPr>
        <w:t>First 25%</w:t>
      </w:r>
    </w:p>
    <w:p w14:paraId="6EC60FE5" w14:textId="57AC8CE9" w:rsidR="00BC1CEA" w:rsidRDefault="00BC1CEA" w:rsidP="005D395A">
      <w:pPr>
        <w:pStyle w:val="ListParagraph"/>
        <w:numPr>
          <w:ilvl w:val="0"/>
          <w:numId w:val="7"/>
        </w:numPr>
      </w:pPr>
      <w:r>
        <w:t xml:space="preserve">Higher unspent funds across </w:t>
      </w:r>
      <w:r w:rsidRPr="003F6561">
        <w:rPr>
          <w:i/>
        </w:rPr>
        <w:t xml:space="preserve">Survey </w:t>
      </w:r>
      <w:r w:rsidRPr="00B874F4">
        <w:rPr>
          <w:i/>
        </w:rPr>
        <w:t>Average</w:t>
      </w:r>
      <w:r>
        <w:t xml:space="preserve"> and </w:t>
      </w:r>
      <w:r w:rsidR="003F6561" w:rsidRPr="003F6561">
        <w:rPr>
          <w:i/>
        </w:rPr>
        <w:t>Survey</w:t>
      </w:r>
      <w:r w:rsidR="003F6561">
        <w:t xml:space="preserve"> </w:t>
      </w:r>
      <w:r>
        <w:rPr>
          <w:i/>
        </w:rPr>
        <w:t>First 25%</w:t>
      </w:r>
    </w:p>
    <w:p w14:paraId="3F5CB0C3" w14:textId="77777777" w:rsidR="00BC1CEA" w:rsidRDefault="00BC1CEA" w:rsidP="00BC1CEA">
      <w:pPr>
        <w:rPr>
          <w:lang w:eastAsia="en-AU"/>
        </w:rPr>
      </w:pPr>
    </w:p>
    <w:p w14:paraId="61F60A52" w14:textId="77777777" w:rsidR="00BC1CEA" w:rsidRPr="00BC1CEA" w:rsidRDefault="00BC1CEA" w:rsidP="00BC1CEA">
      <w:pPr>
        <w:rPr>
          <w:b/>
          <w:bCs/>
          <w:lang w:eastAsia="en-AU"/>
        </w:rPr>
      </w:pPr>
      <w:r w:rsidRPr="00BC1CEA">
        <w:rPr>
          <w:b/>
          <w:bCs/>
          <w:lang w:eastAsia="en-AU"/>
        </w:rPr>
        <w:t xml:space="preserve">Package Expenses </w:t>
      </w:r>
    </w:p>
    <w:p w14:paraId="36F6D1B1" w14:textId="3F251FCC" w:rsidR="00BC1CEA" w:rsidRDefault="00BC1CEA" w:rsidP="005D395A">
      <w:pPr>
        <w:pStyle w:val="ListParagraph"/>
        <w:numPr>
          <w:ilvl w:val="0"/>
          <w:numId w:val="8"/>
        </w:numPr>
        <w:rPr>
          <w:lang w:eastAsia="en-AU"/>
        </w:rPr>
      </w:pPr>
      <w:r>
        <w:t xml:space="preserve">Increased by 5.0% for the </w:t>
      </w:r>
      <w:r w:rsidR="003F6561" w:rsidRPr="003F6561">
        <w:rPr>
          <w:i/>
        </w:rPr>
        <w:t xml:space="preserve">Survey </w:t>
      </w:r>
      <w:r w:rsidR="003F6561" w:rsidRPr="00B874F4">
        <w:rPr>
          <w:i/>
        </w:rPr>
        <w:t>Average</w:t>
      </w:r>
      <w:r w:rsidR="003F6561">
        <w:t xml:space="preserve"> </w:t>
      </w:r>
      <w:r>
        <w:t xml:space="preserve">and 1.5% for the </w:t>
      </w:r>
      <w:r w:rsidR="003F6561" w:rsidRPr="003F6561">
        <w:rPr>
          <w:i/>
        </w:rPr>
        <w:t>Survey</w:t>
      </w:r>
      <w:r w:rsidR="003F6561">
        <w:rPr>
          <w:i/>
        </w:rPr>
        <w:t xml:space="preserve"> </w:t>
      </w:r>
      <w:r>
        <w:rPr>
          <w:i/>
        </w:rPr>
        <w:t>First 25%</w:t>
      </w:r>
    </w:p>
    <w:p w14:paraId="35D74E57" w14:textId="0397988D" w:rsidR="00BC1CEA" w:rsidRDefault="00BC1CEA" w:rsidP="005D395A">
      <w:pPr>
        <w:pStyle w:val="ListParagraph"/>
        <w:numPr>
          <w:ilvl w:val="0"/>
          <w:numId w:val="8"/>
        </w:numPr>
      </w:pPr>
      <w:r>
        <w:t xml:space="preserve">Direct service costs increased by $0.88 pcpd (2.4%) for the </w:t>
      </w:r>
      <w:r w:rsidR="003F6561" w:rsidRPr="003F6561">
        <w:rPr>
          <w:i/>
        </w:rPr>
        <w:t>Survey</w:t>
      </w:r>
      <w:r>
        <w:t xml:space="preserve"> </w:t>
      </w:r>
      <w:r w:rsidRPr="00B874F4">
        <w:rPr>
          <w:i/>
        </w:rPr>
        <w:t>Average</w:t>
      </w:r>
      <w:r>
        <w:t xml:space="preserve"> and by $2.49 pcpd (6.4%) for the </w:t>
      </w:r>
      <w:r w:rsidR="003F6561" w:rsidRPr="003F6561">
        <w:rPr>
          <w:i/>
        </w:rPr>
        <w:t>Survey</w:t>
      </w:r>
      <w:r w:rsidR="003F6561">
        <w:rPr>
          <w:i/>
        </w:rPr>
        <w:t xml:space="preserve"> </w:t>
      </w:r>
      <w:r>
        <w:rPr>
          <w:i/>
        </w:rPr>
        <w:t>First 25%</w:t>
      </w:r>
      <w:r>
        <w:t xml:space="preserve"> </w:t>
      </w:r>
    </w:p>
    <w:p w14:paraId="1FE52DAF" w14:textId="21F137A6" w:rsidR="00BC1CEA" w:rsidRDefault="00BC1CEA" w:rsidP="005D395A">
      <w:pPr>
        <w:pStyle w:val="ListParagraph"/>
        <w:numPr>
          <w:ilvl w:val="0"/>
          <w:numId w:val="8"/>
        </w:numPr>
      </w:pPr>
      <w:r>
        <w:t xml:space="preserve">Cost of direct service and brokered/sub-contracted as a percentage of total income has increased to 62% from 61% (FY18) for the </w:t>
      </w:r>
      <w:r w:rsidR="003F6561" w:rsidRPr="003F6561">
        <w:rPr>
          <w:i/>
        </w:rPr>
        <w:t>Survey</w:t>
      </w:r>
      <w:r>
        <w:t xml:space="preserve"> </w:t>
      </w:r>
      <w:r w:rsidRPr="00B874F4">
        <w:rPr>
          <w:i/>
        </w:rPr>
        <w:t>Average</w:t>
      </w:r>
    </w:p>
    <w:p w14:paraId="36165064" w14:textId="20027E82" w:rsidR="00BC1CEA" w:rsidRDefault="00BC1CEA" w:rsidP="005D395A">
      <w:pPr>
        <w:pStyle w:val="ListParagraph"/>
        <w:numPr>
          <w:ilvl w:val="0"/>
          <w:numId w:val="8"/>
        </w:numPr>
      </w:pPr>
      <w:r>
        <w:t xml:space="preserve">There was an increase in the use of brokered services of $1.65 pcpd (29.5%) for the </w:t>
      </w:r>
      <w:r w:rsidR="003F6561" w:rsidRPr="003F6561">
        <w:rPr>
          <w:i/>
        </w:rPr>
        <w:t>Survey</w:t>
      </w:r>
      <w:r>
        <w:t xml:space="preserve"> </w:t>
      </w:r>
      <w:r w:rsidRPr="00B874F4">
        <w:rPr>
          <w:i/>
        </w:rPr>
        <w:t>Average</w:t>
      </w:r>
      <w:r>
        <w:t xml:space="preserve"> compared to a reduction of $0.91 pcpd (15.3%) for the </w:t>
      </w:r>
      <w:r w:rsidR="003F6561" w:rsidRPr="003F6561">
        <w:rPr>
          <w:i/>
        </w:rPr>
        <w:t>Survey</w:t>
      </w:r>
      <w:r w:rsidR="003F6561">
        <w:rPr>
          <w:i/>
        </w:rPr>
        <w:t xml:space="preserve"> </w:t>
      </w:r>
      <w:r>
        <w:rPr>
          <w:i/>
        </w:rPr>
        <w:t>First 25%</w:t>
      </w:r>
    </w:p>
    <w:p w14:paraId="1116E08D" w14:textId="3619C96E" w:rsidR="00BC1CEA" w:rsidRDefault="00BC1CEA" w:rsidP="005D395A">
      <w:pPr>
        <w:pStyle w:val="ListParagraph"/>
        <w:numPr>
          <w:ilvl w:val="0"/>
          <w:numId w:val="8"/>
        </w:numPr>
      </w:pPr>
      <w:r>
        <w:t xml:space="preserve">Decrease in case management and advisory $0.04 pcpd (reduction in staff costs) for </w:t>
      </w:r>
      <w:r w:rsidR="003F6561" w:rsidRPr="003F6561">
        <w:rPr>
          <w:i/>
        </w:rPr>
        <w:t>Survey</w:t>
      </w:r>
      <w:r>
        <w:t xml:space="preserve"> </w:t>
      </w:r>
      <w:r w:rsidRPr="00B874F4">
        <w:rPr>
          <w:i/>
        </w:rPr>
        <w:t>Average</w:t>
      </w:r>
      <w:r>
        <w:t xml:space="preserve"> and $0.56 pcpd for </w:t>
      </w:r>
      <w:r w:rsidR="003F6561" w:rsidRPr="003F6561">
        <w:rPr>
          <w:i/>
        </w:rPr>
        <w:t>Survey</w:t>
      </w:r>
      <w:r w:rsidR="003F6561">
        <w:rPr>
          <w:i/>
        </w:rPr>
        <w:t xml:space="preserve"> </w:t>
      </w:r>
      <w:r>
        <w:rPr>
          <w:i/>
        </w:rPr>
        <w:t>First 25%</w:t>
      </w:r>
    </w:p>
    <w:p w14:paraId="35B13AFE" w14:textId="10E0EDE0" w:rsidR="00BC1CEA" w:rsidRDefault="00BC1CEA" w:rsidP="005D395A">
      <w:pPr>
        <w:pStyle w:val="ListParagraph"/>
        <w:numPr>
          <w:ilvl w:val="0"/>
          <w:numId w:val="8"/>
        </w:numPr>
      </w:pPr>
      <w:r>
        <w:t xml:space="preserve">Increase in administration costs of $0.82 pcpd for </w:t>
      </w:r>
      <w:r w:rsidR="003F6561" w:rsidRPr="003F6561">
        <w:rPr>
          <w:i/>
        </w:rPr>
        <w:t>Survey</w:t>
      </w:r>
      <w:r>
        <w:t xml:space="preserve"> </w:t>
      </w:r>
      <w:r w:rsidRPr="00B874F4">
        <w:rPr>
          <w:i/>
        </w:rPr>
        <w:t>Average</w:t>
      </w:r>
      <w:r>
        <w:t xml:space="preserve"> and $0.21 pcpd for the </w:t>
      </w:r>
      <w:r w:rsidR="003F6561" w:rsidRPr="003F6561">
        <w:rPr>
          <w:i/>
        </w:rPr>
        <w:t>Survey</w:t>
      </w:r>
      <w:r w:rsidR="003F6561">
        <w:rPr>
          <w:i/>
        </w:rPr>
        <w:t xml:space="preserve"> </w:t>
      </w:r>
      <w:r>
        <w:rPr>
          <w:i/>
        </w:rPr>
        <w:t>First 25%</w:t>
      </w:r>
      <w:r>
        <w:t xml:space="preserve"> </w:t>
      </w:r>
    </w:p>
    <w:p w14:paraId="6B30FDD5" w14:textId="77777777" w:rsidR="00BC1CEA" w:rsidRDefault="00BC1CEA" w:rsidP="00BC1CEA"/>
    <w:p w14:paraId="5186D33B" w14:textId="77777777" w:rsidR="00BC1CEA" w:rsidRPr="00BC1CEA" w:rsidRDefault="00BC1CEA" w:rsidP="00BC1CEA">
      <w:pPr>
        <w:rPr>
          <w:b/>
          <w:bCs/>
          <w:lang w:eastAsia="en-AU"/>
        </w:rPr>
      </w:pPr>
      <w:r w:rsidRPr="00BC1CEA">
        <w:rPr>
          <w:b/>
          <w:bCs/>
          <w:lang w:eastAsia="en-AU"/>
        </w:rPr>
        <w:t xml:space="preserve">Other </w:t>
      </w:r>
    </w:p>
    <w:p w14:paraId="3C626C34" w14:textId="3C71A254" w:rsidR="00BC1CEA" w:rsidRDefault="00BC1CEA" w:rsidP="005D395A">
      <w:pPr>
        <w:pStyle w:val="ListParagraph"/>
        <w:numPr>
          <w:ilvl w:val="0"/>
          <w:numId w:val="8"/>
        </w:numPr>
      </w:pPr>
      <w:bookmarkStart w:id="43" w:name="_Hlk21523011"/>
      <w:r>
        <w:t>According to the latest H</w:t>
      </w:r>
      <w:r w:rsidR="00EA4733">
        <w:t>CP</w:t>
      </w:r>
      <w:r>
        <w:t xml:space="preserve"> Programme Data Report for the 4th Quarter 2018-19 there has been a 7.9% growth in the number of persons in a home care package in the nine months to March 2019 and a 16.6% increase in the year to March 2019. For </w:t>
      </w:r>
      <w:r w:rsidR="00281031">
        <w:t>AP</w:t>
      </w:r>
      <w:r>
        <w:t xml:space="preserve">s, this type of growth has been rare </w:t>
      </w:r>
    </w:p>
    <w:p w14:paraId="26DDE4B4" w14:textId="1480749A" w:rsidR="00BC1CEA" w:rsidRDefault="00BC1CEA" w:rsidP="005D395A">
      <w:pPr>
        <w:pStyle w:val="ListParagraph"/>
        <w:numPr>
          <w:ilvl w:val="0"/>
          <w:numId w:val="8"/>
        </w:numPr>
      </w:pPr>
      <w:r>
        <w:t xml:space="preserve">In the year to March 2019 there has been an 8.9% growth in package numbers. There has also been an 8.9% increase in the number of </w:t>
      </w:r>
      <w:r w:rsidR="00EA4733">
        <w:t>AP</w:t>
      </w:r>
      <w:r>
        <w:t xml:space="preserve">s of home care services, and this has absorbed some of the growth in packages </w:t>
      </w:r>
    </w:p>
    <w:p w14:paraId="299B90C1" w14:textId="556E703D" w:rsidR="00BC1CEA" w:rsidRDefault="00BC1CEA" w:rsidP="005D395A">
      <w:pPr>
        <w:pStyle w:val="ListParagraph"/>
        <w:numPr>
          <w:ilvl w:val="0"/>
          <w:numId w:val="8"/>
        </w:numPr>
      </w:pPr>
      <w:r>
        <w:t>We have seen, at a</w:t>
      </w:r>
      <w:r w:rsidR="003F6561">
        <w:t xml:space="preserve">n </w:t>
      </w:r>
      <w:r w:rsidR="00EA4733">
        <w:t>AP</w:t>
      </w:r>
      <w:r>
        <w:t xml:space="preserve"> level, that the more consistent growth in packages has occurred for large </w:t>
      </w:r>
      <w:r w:rsidR="00EA4733">
        <w:t>AP</w:t>
      </w:r>
      <w:r>
        <w:t>s with greater than 1,000 packages</w:t>
      </w:r>
    </w:p>
    <w:p w14:paraId="500CFAE7" w14:textId="77777777" w:rsidR="00BC1CEA" w:rsidRDefault="00BC1CEA" w:rsidP="005D395A">
      <w:pPr>
        <w:pStyle w:val="ListParagraph"/>
        <w:numPr>
          <w:ilvl w:val="0"/>
          <w:numId w:val="8"/>
        </w:numPr>
      </w:pPr>
      <w:r>
        <w:t>In the year to March 2019, the number of persons in home care packages has increased by 14,139</w:t>
      </w:r>
    </w:p>
    <w:p w14:paraId="1D025200" w14:textId="6A173260" w:rsidR="00BC1CEA" w:rsidRDefault="00BC1CEA" w:rsidP="005D395A">
      <w:pPr>
        <w:pStyle w:val="ListParagraph"/>
        <w:numPr>
          <w:ilvl w:val="0"/>
          <w:numId w:val="8"/>
        </w:numPr>
      </w:pPr>
      <w:r>
        <w:t xml:space="preserve">The participants in the StewartBrown </w:t>
      </w:r>
      <w:r w:rsidR="003F6561" w:rsidRPr="003F6561">
        <w:rPr>
          <w:i/>
        </w:rPr>
        <w:t>S</w:t>
      </w:r>
      <w:r w:rsidRPr="003F6561">
        <w:rPr>
          <w:i/>
        </w:rPr>
        <w:t>urvey</w:t>
      </w:r>
      <w:r>
        <w:t xml:space="preserve"> have seen an increase of 3,078 packages in FY19, and an average increase of 9.8% across all the </w:t>
      </w:r>
      <w:r w:rsidR="00EA4733">
        <w:t>AP</w:t>
      </w:r>
      <w:r>
        <w:t xml:space="preserve">s in the </w:t>
      </w:r>
      <w:r w:rsidR="003F6561" w:rsidRPr="003F6561">
        <w:rPr>
          <w:i/>
        </w:rPr>
        <w:t>S</w:t>
      </w:r>
      <w:r w:rsidRPr="003F6561">
        <w:rPr>
          <w:i/>
        </w:rPr>
        <w:t>urvey</w:t>
      </w:r>
    </w:p>
    <w:p w14:paraId="7D109AEB" w14:textId="2EFC8F52" w:rsidR="00BC1CEA" w:rsidRDefault="00BC1CEA" w:rsidP="005D395A">
      <w:pPr>
        <w:pStyle w:val="ListParagraph"/>
        <w:numPr>
          <w:ilvl w:val="0"/>
          <w:numId w:val="8"/>
        </w:numPr>
      </w:pPr>
      <w:r>
        <w:t xml:space="preserve">Mix of packages - while there has been a significant increase in the number of high care packages in recent years, </w:t>
      </w:r>
      <w:bookmarkStart w:id="44" w:name="_Hlk21633628"/>
      <w:r>
        <w:t xml:space="preserve">the latest June release of 47,700 packages contained 9,200 (19.3%) Level 1 packages and 13,900 (29.1%) Level 2 packages. This release of low care packages, combined with the effect of unspent funds at all package levels, is likely to see the number of programmes in the low-care categories in our </w:t>
      </w:r>
      <w:r w:rsidR="003F6561" w:rsidRPr="003F6561">
        <w:rPr>
          <w:i/>
        </w:rPr>
        <w:t>S</w:t>
      </w:r>
      <w:r w:rsidRPr="003F6561">
        <w:rPr>
          <w:i/>
        </w:rPr>
        <w:t>urvey</w:t>
      </w:r>
      <w:r>
        <w:t xml:space="preserve"> increase and average revenues decline, or at least stabilise somewhat </w:t>
      </w:r>
      <w:bookmarkEnd w:id="43"/>
    </w:p>
    <w:p w14:paraId="7A83F55B" w14:textId="36A2C343" w:rsidR="00BC1CEA" w:rsidRDefault="00BC1CEA" w:rsidP="00BC1CEA"/>
    <w:p w14:paraId="1B3E2552" w14:textId="77777777" w:rsidR="00664F7E" w:rsidRDefault="00664F7E" w:rsidP="008D2E65">
      <w:pPr>
        <w:pStyle w:val="SubHeading"/>
      </w:pPr>
      <w:bookmarkStart w:id="45" w:name="_Toc23275277"/>
      <w:r w:rsidRPr="00025A6F">
        <w:t>Regional Analysis</w:t>
      </w:r>
      <w:bookmarkEnd w:id="45"/>
    </w:p>
    <w:p w14:paraId="3A2A70AA" w14:textId="7DC22C1A" w:rsidR="00664F7E" w:rsidRPr="008434E8" w:rsidRDefault="00664F7E" w:rsidP="00664F7E">
      <w:pPr>
        <w:rPr>
          <w:b/>
          <w:i/>
        </w:rPr>
      </w:pPr>
      <w:r>
        <w:rPr>
          <w:b/>
          <w:i/>
        </w:rPr>
        <w:t xml:space="preserve">For the second consecutive year, the </w:t>
      </w:r>
      <w:r w:rsidR="003F6561">
        <w:rPr>
          <w:b/>
          <w:i/>
        </w:rPr>
        <w:t>Survey</w:t>
      </w:r>
      <w:r w:rsidRPr="008434E8">
        <w:rPr>
          <w:b/>
          <w:i/>
        </w:rPr>
        <w:t xml:space="preserve"> asked participants to provide details of the geographical region (ABS Remoteness Category) for each of their home care programs.</w:t>
      </w:r>
    </w:p>
    <w:p w14:paraId="0930F43D" w14:textId="77777777" w:rsidR="00664F7E" w:rsidRDefault="00664F7E" w:rsidP="00664F7E"/>
    <w:p w14:paraId="361690C4" w14:textId="491BDBC4" w:rsidR="00664F7E" w:rsidRPr="008434E8" w:rsidRDefault="00664F7E" w:rsidP="00664F7E">
      <w:pPr>
        <w:rPr>
          <w:i/>
        </w:rPr>
      </w:pPr>
      <w:r w:rsidRPr="008434E8">
        <w:rPr>
          <w:i/>
        </w:rPr>
        <w:t xml:space="preserve">In those instances where </w:t>
      </w:r>
      <w:r w:rsidR="00EA4733">
        <w:rPr>
          <w:i/>
        </w:rPr>
        <w:t>AP</w:t>
      </w:r>
      <w:r w:rsidRPr="008434E8">
        <w:rPr>
          <w:i/>
        </w:rPr>
        <w:t>s did not provide this information, we utilised the FY1</w:t>
      </w:r>
      <w:r>
        <w:rPr>
          <w:i/>
        </w:rPr>
        <w:t>9</w:t>
      </w:r>
      <w:r w:rsidRPr="008434E8">
        <w:rPr>
          <w:i/>
        </w:rPr>
        <w:t xml:space="preserve"> </w:t>
      </w:r>
      <w:r w:rsidR="00EA4733">
        <w:rPr>
          <w:i/>
        </w:rPr>
        <w:t xml:space="preserve">provider </w:t>
      </w:r>
      <w:r w:rsidRPr="008434E8">
        <w:rPr>
          <w:i/>
        </w:rPr>
        <w:t xml:space="preserve">service list to determine the ABS Remoteness Category. We noted that in some cases there are differences between the geographic region provided and the ABS remoteness as per the service list. In these cases, we have designated the region as “mixed”. </w:t>
      </w:r>
      <w:r>
        <w:rPr>
          <w:i/>
        </w:rPr>
        <w:t xml:space="preserve"> The same approach was used in FY18.</w:t>
      </w:r>
    </w:p>
    <w:p w14:paraId="1ABC896B" w14:textId="1F6D58B8" w:rsidR="00664F7E" w:rsidRDefault="00664F7E" w:rsidP="00664F7E"/>
    <w:p w14:paraId="4B85E3BC" w14:textId="600B66AC" w:rsidR="00E4274A" w:rsidRDefault="00E4274A" w:rsidP="003F6561">
      <w:pPr>
        <w:spacing w:after="120"/>
      </w:pPr>
    </w:p>
    <w:p w14:paraId="306ECAF3" w14:textId="77777777" w:rsidR="00C66F48" w:rsidRDefault="00C66F48" w:rsidP="003F6561">
      <w:pPr>
        <w:spacing w:after="120"/>
      </w:pPr>
    </w:p>
    <w:p w14:paraId="4DF09C05" w14:textId="1FC10913" w:rsidR="00664F7E" w:rsidRPr="008434E8" w:rsidRDefault="00664F7E" w:rsidP="003F6561">
      <w:pPr>
        <w:spacing w:after="120"/>
      </w:pPr>
      <w:r>
        <w:lastRenderedPageBreak/>
        <w:t>Based on the information received and the supplemental research performed, the programs were grouped</w:t>
      </w:r>
      <w:r w:rsidRPr="008434E8">
        <w:t xml:space="preserve"> by geographic region into the following categories</w:t>
      </w:r>
      <w:r>
        <w:t>:</w:t>
      </w:r>
      <w:r w:rsidRPr="008434E8">
        <w:t xml:space="preserve"> </w:t>
      </w:r>
    </w:p>
    <w:p w14:paraId="229E56F7" w14:textId="77777777" w:rsidR="00664F7E" w:rsidRPr="008434E8" w:rsidRDefault="00664F7E" w:rsidP="005D395A">
      <w:pPr>
        <w:pStyle w:val="ListParagraph"/>
        <w:numPr>
          <w:ilvl w:val="0"/>
          <w:numId w:val="5"/>
        </w:numPr>
      </w:pPr>
      <w:r w:rsidRPr="008434E8">
        <w:t>Metro</w:t>
      </w:r>
    </w:p>
    <w:p w14:paraId="2F7B11D5" w14:textId="77777777" w:rsidR="00664F7E" w:rsidRPr="008434E8" w:rsidRDefault="00664F7E" w:rsidP="005D395A">
      <w:pPr>
        <w:pStyle w:val="ListParagraph"/>
        <w:numPr>
          <w:ilvl w:val="0"/>
          <w:numId w:val="5"/>
        </w:numPr>
      </w:pPr>
      <w:r w:rsidRPr="008434E8">
        <w:t xml:space="preserve">Mixed </w:t>
      </w:r>
      <w:r>
        <w:t>-</w:t>
      </w:r>
      <w:r w:rsidRPr="008434E8">
        <w:t xml:space="preserve"> metro &amp; inner regional </w:t>
      </w:r>
    </w:p>
    <w:p w14:paraId="1F67D287" w14:textId="77777777" w:rsidR="00664F7E" w:rsidRPr="008434E8" w:rsidRDefault="00664F7E" w:rsidP="005D395A">
      <w:pPr>
        <w:pStyle w:val="ListParagraph"/>
        <w:numPr>
          <w:ilvl w:val="0"/>
          <w:numId w:val="5"/>
        </w:numPr>
      </w:pPr>
      <w:r w:rsidRPr="008434E8">
        <w:t xml:space="preserve">Inner regional </w:t>
      </w:r>
    </w:p>
    <w:p w14:paraId="6D0436B8" w14:textId="77777777" w:rsidR="00664F7E" w:rsidRPr="008434E8" w:rsidRDefault="00664F7E" w:rsidP="005D395A">
      <w:pPr>
        <w:pStyle w:val="ListParagraph"/>
        <w:numPr>
          <w:ilvl w:val="0"/>
          <w:numId w:val="5"/>
        </w:numPr>
      </w:pPr>
      <w:r w:rsidRPr="008434E8">
        <w:t xml:space="preserve">Mixed </w:t>
      </w:r>
      <w:r>
        <w:t>-</w:t>
      </w:r>
      <w:r w:rsidRPr="008434E8">
        <w:t xml:space="preserve"> inner regional &amp; outer regional </w:t>
      </w:r>
    </w:p>
    <w:p w14:paraId="55B41B17" w14:textId="77777777" w:rsidR="00664F7E" w:rsidRPr="008434E8" w:rsidRDefault="00664F7E" w:rsidP="005D395A">
      <w:pPr>
        <w:pStyle w:val="ListParagraph"/>
        <w:numPr>
          <w:ilvl w:val="0"/>
          <w:numId w:val="5"/>
        </w:numPr>
      </w:pPr>
      <w:r w:rsidRPr="008434E8">
        <w:t>Outer regional, remote &amp; very remote</w:t>
      </w:r>
    </w:p>
    <w:p w14:paraId="79803112" w14:textId="77777777" w:rsidR="00664F7E" w:rsidRDefault="00664F7E" w:rsidP="00664F7E"/>
    <w:p w14:paraId="45E77913" w14:textId="4CD44E65" w:rsidR="00664F7E" w:rsidRDefault="00664F7E" w:rsidP="00664F7E">
      <w:r w:rsidRPr="008434E8">
        <w:t>Of the 4</w:t>
      </w:r>
      <w:r>
        <w:t>91</w:t>
      </w:r>
      <w:r w:rsidRPr="008434E8">
        <w:t xml:space="preserve"> </w:t>
      </w:r>
      <w:r w:rsidR="00576880">
        <w:t xml:space="preserve">HCP </w:t>
      </w:r>
      <w:r w:rsidRPr="008434E8">
        <w:t>programs</w:t>
      </w:r>
      <w:r w:rsidR="00576880">
        <w:t xml:space="preserve"> (34,999 packages)</w:t>
      </w:r>
      <w:r>
        <w:t>,</w:t>
      </w:r>
      <w:r w:rsidRPr="008434E8">
        <w:t xml:space="preserve"> the </w:t>
      </w:r>
      <w:r>
        <w:t>distribution of packages is displayed in the following graphic.</w:t>
      </w:r>
    </w:p>
    <w:p w14:paraId="5C1C995B" w14:textId="77777777" w:rsidR="00664F7E" w:rsidRDefault="00664F7E" w:rsidP="00664F7E"/>
    <w:p w14:paraId="50340E86" w14:textId="69EAC52A" w:rsidR="00664F7E" w:rsidRDefault="00664F7E" w:rsidP="003F6561">
      <w:pPr>
        <w:pStyle w:val="Caption"/>
        <w:spacing w:before="0"/>
      </w:pPr>
      <w:r>
        <w:t xml:space="preserve">Figure </w:t>
      </w:r>
      <w:fldSimple w:instr=" SEQ Figure \* ARABIC ">
        <w:r w:rsidR="007F5FB5">
          <w:rPr>
            <w:noProof/>
          </w:rPr>
          <w:t>7</w:t>
        </w:r>
      </w:fldSimple>
      <w:r>
        <w:t>: Distribution of Programs by Region in the FY19 and FY18 Survey</w:t>
      </w:r>
    </w:p>
    <w:p w14:paraId="781E1C0B" w14:textId="77777777" w:rsidR="00664F7E" w:rsidRPr="007C3620" w:rsidRDefault="00664F7E" w:rsidP="00664F7E">
      <w:r>
        <w:rPr>
          <w:noProof/>
          <w:lang w:eastAsia="en-AU"/>
        </w:rPr>
        <w:drawing>
          <wp:inline distT="0" distB="0" distL="0" distR="0" wp14:anchorId="55854EE5" wp14:editId="6C8C2898">
            <wp:extent cx="5695950" cy="3095625"/>
            <wp:effectExtent l="0" t="0" r="0" b="9525"/>
            <wp:docPr id="2" name="Chart 2" title="Figure 7: Distribution of Programs by Region in the FY19 and FY18 Survey">
              <a:extLst xmlns:a="http://schemas.openxmlformats.org/drawingml/2006/main">
                <a:ext uri="{FF2B5EF4-FFF2-40B4-BE49-F238E27FC236}">
                  <a16:creationId xmlns:a16="http://schemas.microsoft.com/office/drawing/2014/main" id="{08D749C9-6172-45B4-855C-2F87E36CB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626CB61" w14:textId="77777777" w:rsidR="00664F7E" w:rsidRDefault="00664F7E" w:rsidP="00664F7E"/>
    <w:p w14:paraId="09552BF9" w14:textId="674D5445" w:rsidR="00664F7E" w:rsidRDefault="00664F7E" w:rsidP="00880186">
      <w:pPr>
        <w:pStyle w:val="Caption"/>
      </w:pPr>
      <w:r>
        <w:t xml:space="preserve">Figure </w:t>
      </w:r>
      <w:fldSimple w:instr=" SEQ Figure \* ARABIC ">
        <w:r w:rsidR="007F5FB5">
          <w:rPr>
            <w:noProof/>
          </w:rPr>
          <w:t>8</w:t>
        </w:r>
      </w:fldSimple>
      <w:r>
        <w:t>: Average Profit Margin by Region FY19 vs FY18</w:t>
      </w:r>
    </w:p>
    <w:p w14:paraId="238499DE" w14:textId="77777777" w:rsidR="00664F7E" w:rsidRDefault="00664F7E" w:rsidP="00664F7E">
      <w:r>
        <w:rPr>
          <w:noProof/>
          <w:lang w:eastAsia="en-AU"/>
        </w:rPr>
        <mc:AlternateContent>
          <mc:Choice Requires="wps">
            <w:drawing>
              <wp:anchor distT="0" distB="0" distL="114300" distR="114300" simplePos="0" relativeHeight="251659264" behindDoc="0" locked="0" layoutInCell="1" allowOverlap="1" wp14:anchorId="401D4732" wp14:editId="0A499399">
                <wp:simplePos x="0" y="0"/>
                <wp:positionH relativeFrom="column">
                  <wp:posOffset>1603375</wp:posOffset>
                </wp:positionH>
                <wp:positionV relativeFrom="paragraph">
                  <wp:posOffset>762000</wp:posOffset>
                </wp:positionV>
                <wp:extent cx="2733675" cy="306000"/>
                <wp:effectExtent l="19050" t="19050" r="28575" b="18415"/>
                <wp:wrapNone/>
                <wp:docPr id="35" name="Rectangle: Rounded Corners 35" descr="Rectangle highlighting the survey average figures of 5.1% in FY19 and 5.5% in FY18 in Figure 8: Average Profit Margin by Region FY19 vs FY18" title="Rectangle highlight"/>
                <wp:cNvGraphicFramePr/>
                <a:graphic xmlns:a="http://schemas.openxmlformats.org/drawingml/2006/main">
                  <a:graphicData uri="http://schemas.microsoft.com/office/word/2010/wordprocessingShape">
                    <wps:wsp>
                      <wps:cNvSpPr/>
                      <wps:spPr>
                        <a:xfrm>
                          <a:off x="0" y="0"/>
                          <a:ext cx="2733675" cy="306000"/>
                        </a:xfrm>
                        <a:prstGeom prst="round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8F268C" id="Rectangle: Rounded Corners 35" o:spid="_x0000_s1026" alt="Title: Rectangle highlight - Description: Rectangle highlighting the survey average figures of 5.1% in FY19 and 5.5% in FY18 in Figure 8: Average Profit Margin by Region FY19 vs FY18" style="position:absolute;margin-left:126.25pt;margin-top:60pt;width:215.25pt;height:2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" filled="f" strokecolor="#ffc000" strokeweight="2.25pt">
                <v:stroke joinstyle="miter"/>
              </v:roundrect>
            </w:pict>
          </mc:Fallback>
        </mc:AlternateContent>
      </w:r>
      <w:r>
        <w:rPr>
          <w:noProof/>
          <w:lang w:eastAsia="en-AU"/>
        </w:rPr>
        <w:drawing>
          <wp:inline distT="0" distB="0" distL="0" distR="0" wp14:anchorId="645BA9DC" wp14:editId="3B36114F">
            <wp:extent cx="5695950" cy="2714625"/>
            <wp:effectExtent l="0" t="0" r="0" b="9525"/>
            <wp:docPr id="33" name="Chart 33" title="Figure 8: Average Profit Margin by Region FY19 vs FY18">
              <a:extLst xmlns:a="http://schemas.openxmlformats.org/drawingml/2006/main">
                <a:ext uri="{FF2B5EF4-FFF2-40B4-BE49-F238E27FC236}">
                  <a16:creationId xmlns:a16="http://schemas.microsoft.com/office/drawing/2014/main" id="{98A783FC-1ACE-4FEC-ADB8-F930A4E8D5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10FAC25" w14:textId="77777777" w:rsidR="00664F7E" w:rsidRDefault="00664F7E" w:rsidP="00664F7E"/>
    <w:p w14:paraId="6410527E" w14:textId="77777777" w:rsidR="00E4274A" w:rsidRDefault="00E4274A" w:rsidP="003F6561">
      <w:pPr>
        <w:spacing w:after="120"/>
      </w:pPr>
    </w:p>
    <w:p w14:paraId="414BE0C2" w14:textId="3D7246BB" w:rsidR="00664F7E" w:rsidRPr="00632FFF" w:rsidRDefault="00664F7E" w:rsidP="003F6561">
      <w:pPr>
        <w:spacing w:after="120"/>
      </w:pPr>
      <w:r>
        <w:lastRenderedPageBreak/>
        <w:t>Our analysis of the results</w:t>
      </w:r>
      <w:r w:rsidRPr="00632FFF">
        <w:t xml:space="preserve"> by region show</w:t>
      </w:r>
      <w:r>
        <w:t>s</w:t>
      </w:r>
      <w:r w:rsidRPr="00632FFF">
        <w:t xml:space="preserve"> that:</w:t>
      </w:r>
    </w:p>
    <w:p w14:paraId="16FA39BC" w14:textId="254EA014" w:rsidR="00664F7E" w:rsidRPr="00632FFF" w:rsidRDefault="00664F7E" w:rsidP="005D395A">
      <w:pPr>
        <w:pStyle w:val="ListParagraph"/>
        <w:numPr>
          <w:ilvl w:val="0"/>
          <w:numId w:val="9"/>
        </w:numPr>
      </w:pPr>
      <w:r w:rsidRPr="00632FFF">
        <w:t xml:space="preserve">Mixed </w:t>
      </w:r>
      <w:r>
        <w:t>-</w:t>
      </w:r>
      <w:r w:rsidRPr="00632FFF">
        <w:t xml:space="preserve"> metro and inner regional are </w:t>
      </w:r>
      <w:r>
        <w:t xml:space="preserve">the </w:t>
      </w:r>
      <w:r w:rsidRPr="00632FFF">
        <w:t xml:space="preserve">most profitable with lower cost of direct care and administration and support services as % of total </w:t>
      </w:r>
      <w:r>
        <w:t>revenue</w:t>
      </w:r>
    </w:p>
    <w:p w14:paraId="1885B12C" w14:textId="12DA42F0" w:rsidR="00664F7E" w:rsidRDefault="00664F7E" w:rsidP="005D395A">
      <w:pPr>
        <w:pStyle w:val="ListParagraph"/>
        <w:numPr>
          <w:ilvl w:val="0"/>
          <w:numId w:val="9"/>
        </w:numPr>
      </w:pPr>
      <w:r w:rsidRPr="00632FFF">
        <w:t xml:space="preserve">Mixed </w:t>
      </w:r>
      <w:r>
        <w:t xml:space="preserve">- </w:t>
      </w:r>
      <w:r w:rsidRPr="00632FFF">
        <w:t xml:space="preserve">inner regional and outer regional are the least profitable having both a lower revenue $pcpd and higher cost of administration and support services as % of total </w:t>
      </w:r>
      <w:r>
        <w:t xml:space="preserve">revenue and are reported a net loss in FY19 </w:t>
      </w:r>
    </w:p>
    <w:p w14:paraId="5BEAB096" w14:textId="02C102F5" w:rsidR="00664F7E" w:rsidRDefault="00664F7E" w:rsidP="005D395A">
      <w:pPr>
        <w:pStyle w:val="ListParagraph"/>
        <w:numPr>
          <w:ilvl w:val="0"/>
          <w:numId w:val="9"/>
        </w:numPr>
      </w:pPr>
      <w:r>
        <w:t xml:space="preserve">The profitability within larger </w:t>
      </w:r>
      <w:r w:rsidR="00EA4733">
        <w:t>AP</w:t>
      </w:r>
      <w:r>
        <w:t>s who operate across regions varies due to different management and operational structures</w:t>
      </w:r>
    </w:p>
    <w:p w14:paraId="1596861C" w14:textId="183C63A2" w:rsidR="00C905D2" w:rsidRDefault="00C905D2" w:rsidP="00BC1CEA">
      <w:r>
        <w:br w:type="page"/>
      </w:r>
    </w:p>
    <w:p w14:paraId="65C0DD84" w14:textId="2E4377AB" w:rsidR="00701DB9" w:rsidRDefault="00043999" w:rsidP="00F76406">
      <w:pPr>
        <w:pStyle w:val="ACFPSHeading1"/>
      </w:pPr>
      <w:bookmarkStart w:id="46" w:name="_Toc26870718"/>
      <w:r>
        <w:lastRenderedPageBreak/>
        <w:t xml:space="preserve">Impact Analysis - </w:t>
      </w:r>
      <w:r w:rsidR="00F76406">
        <w:t xml:space="preserve">Profitability of </w:t>
      </w:r>
      <w:r w:rsidR="00E4274A">
        <w:t xml:space="preserve">HCP </w:t>
      </w:r>
      <w:r w:rsidR="00F76406">
        <w:t>Providers</w:t>
      </w:r>
      <w:bookmarkEnd w:id="46"/>
      <w:r w:rsidR="00F76406">
        <w:t xml:space="preserve"> </w:t>
      </w:r>
    </w:p>
    <w:p w14:paraId="6F67FBEA" w14:textId="1E2D8F3F" w:rsidR="00F76406" w:rsidRDefault="00F50CC5" w:rsidP="00F76406">
      <w:r>
        <w:t xml:space="preserve">In the data presented by StewartBrown regarding the </w:t>
      </w:r>
      <w:r w:rsidR="00343F8B">
        <w:t xml:space="preserve">financial </w:t>
      </w:r>
      <w:r>
        <w:t>state of the sector</w:t>
      </w:r>
      <w:r w:rsidR="00576880">
        <w:t>,</w:t>
      </w:r>
      <w:r>
        <w:t xml:space="preserve"> the average margin for </w:t>
      </w:r>
      <w:r w:rsidR="00EA4733">
        <w:t>HCP</w:t>
      </w:r>
      <w:r>
        <w:t xml:space="preserve"> providers was 5.1% for FY19, down slightly from an average of 5.5% in FY18. The </w:t>
      </w:r>
      <w:r w:rsidR="00EA4733">
        <w:t>AP</w:t>
      </w:r>
      <w:r>
        <w:t xml:space="preserve">s in the StewartBrown </w:t>
      </w:r>
      <w:r w:rsidR="00E4274A">
        <w:t>S</w:t>
      </w:r>
      <w:r>
        <w:t>urvey are predominantly Not-</w:t>
      </w:r>
      <w:r w:rsidR="00E4274A">
        <w:t>F</w:t>
      </w:r>
      <w:r>
        <w:t>or-</w:t>
      </w:r>
      <w:r w:rsidR="00E4274A">
        <w:t>P</w:t>
      </w:r>
      <w:r>
        <w:t>rofit and as the following analysis will show, they do have a higher average profit margin than the For-</w:t>
      </w:r>
      <w:r w:rsidR="00576880">
        <w:t>P</w:t>
      </w:r>
      <w:r>
        <w:t xml:space="preserve">rofit </w:t>
      </w:r>
      <w:r w:rsidR="00043999">
        <w:t>providers.</w:t>
      </w:r>
    </w:p>
    <w:p w14:paraId="4D318CA8" w14:textId="45056DA7" w:rsidR="00F76406" w:rsidRDefault="00F76406" w:rsidP="00F76406"/>
    <w:p w14:paraId="4025640A" w14:textId="392EDAE6" w:rsidR="00043999" w:rsidRDefault="00043999" w:rsidP="00E4274A">
      <w:pPr>
        <w:spacing w:after="120"/>
      </w:pPr>
      <w:r>
        <w:t xml:space="preserve">The profitability of </w:t>
      </w:r>
      <w:r w:rsidR="00EA4733">
        <w:t>AP</w:t>
      </w:r>
      <w:r>
        <w:t>s is an important factor in the risk analysis for several reasons:</w:t>
      </w:r>
    </w:p>
    <w:p w14:paraId="24D4AB78" w14:textId="215994FB" w:rsidR="00043999" w:rsidRDefault="00043999" w:rsidP="005D395A">
      <w:pPr>
        <w:pStyle w:val="ListParagraph"/>
        <w:numPr>
          <w:ilvl w:val="0"/>
          <w:numId w:val="22"/>
        </w:numPr>
      </w:pPr>
      <w:r>
        <w:t xml:space="preserve">Policy for the payment arrangements for </w:t>
      </w:r>
      <w:r w:rsidR="00EA4733">
        <w:t>AP</w:t>
      </w:r>
      <w:r>
        <w:t xml:space="preserve">s should not, in our view, be predicated on providing support for poorly performing </w:t>
      </w:r>
      <w:r w:rsidR="00EA4733">
        <w:t>AP</w:t>
      </w:r>
      <w:r>
        <w:t>s</w:t>
      </w:r>
    </w:p>
    <w:p w14:paraId="7EDCBB94" w14:textId="7724ACAD" w:rsidR="00043999" w:rsidRDefault="00043999" w:rsidP="005D395A">
      <w:pPr>
        <w:pStyle w:val="ListParagraph"/>
        <w:numPr>
          <w:ilvl w:val="0"/>
          <w:numId w:val="22"/>
        </w:numPr>
      </w:pPr>
      <w:r>
        <w:t>A</w:t>
      </w:r>
      <w:r w:rsidR="00EA4733">
        <w:t>P</w:t>
      </w:r>
      <w:r>
        <w:t xml:space="preserve">s should be pricing their services to include a margin to be able to recover the costs of </w:t>
      </w:r>
      <w:r w:rsidR="00576880">
        <w:t>supplying</w:t>
      </w:r>
      <w:r>
        <w:t xml:space="preserve"> that service</w:t>
      </w:r>
    </w:p>
    <w:p w14:paraId="63136713" w14:textId="25F18032" w:rsidR="00043999" w:rsidRDefault="00043999" w:rsidP="005D395A">
      <w:pPr>
        <w:pStyle w:val="ListParagraph"/>
        <w:numPr>
          <w:ilvl w:val="0"/>
          <w:numId w:val="22"/>
        </w:numPr>
      </w:pPr>
      <w:r>
        <w:t xml:space="preserve">A profit margin helps to provide the necessary working capital to promote growth within the sector and within individual </w:t>
      </w:r>
      <w:r w:rsidR="00EA4733">
        <w:t>AP</w:t>
      </w:r>
      <w:r>
        <w:t>s</w:t>
      </w:r>
    </w:p>
    <w:p w14:paraId="4FFB7FED" w14:textId="0A93E4D6" w:rsidR="00043999" w:rsidRDefault="00043999" w:rsidP="00F76406"/>
    <w:p w14:paraId="66BE9432" w14:textId="6E33BC9F" w:rsidR="00043999" w:rsidRDefault="00B51C39" w:rsidP="00043999">
      <w:pPr>
        <w:pStyle w:val="Heading2"/>
      </w:pPr>
      <w:bookmarkStart w:id="47" w:name="_Toc26870719"/>
      <w:r>
        <w:t xml:space="preserve">FY19 HCP </w:t>
      </w:r>
      <w:r w:rsidR="00043999">
        <w:t xml:space="preserve">Sector </w:t>
      </w:r>
      <w:r>
        <w:t>Financial Performance</w:t>
      </w:r>
      <w:bookmarkEnd w:id="47"/>
    </w:p>
    <w:p w14:paraId="26A3BD9F" w14:textId="77777777" w:rsidR="00531567" w:rsidRDefault="00531567" w:rsidP="00531567">
      <w:pPr>
        <w:pStyle w:val="SubHeading"/>
      </w:pPr>
      <w:r>
        <w:t>Aged Care Financial Report (ACFR)</w:t>
      </w:r>
    </w:p>
    <w:p w14:paraId="72AE3D6C" w14:textId="2AB551D2" w:rsidR="00531567" w:rsidRDefault="00531567" w:rsidP="00531567">
      <w:r>
        <w:t xml:space="preserve">All </w:t>
      </w:r>
      <w:r w:rsidR="00EA4733">
        <w:t>AP</w:t>
      </w:r>
      <w:r>
        <w:t>s who supply residential aged care, short term restorative care and/or home care packages are required to submit an unaudited A</w:t>
      </w:r>
      <w:r w:rsidR="00EA4733">
        <w:t>CFR</w:t>
      </w:r>
      <w:r>
        <w:t xml:space="preserve"> to the Department by 31 October each year.</w:t>
      </w:r>
    </w:p>
    <w:p w14:paraId="21774F13" w14:textId="77777777" w:rsidR="00531567" w:rsidRDefault="00531567" w:rsidP="00531567"/>
    <w:p w14:paraId="792142AC" w14:textId="0E7DC54F" w:rsidR="00531567" w:rsidRDefault="00531567" w:rsidP="00531567">
      <w:r>
        <w:t xml:space="preserve">The format of the ACFR is prescriptive and specific data definitions are provided to ensure that </w:t>
      </w:r>
      <w:r w:rsidR="00EA4733">
        <w:t>AP</w:t>
      </w:r>
      <w:r>
        <w:t>s accurately complete the ACFR via the Department portal.</w:t>
      </w:r>
    </w:p>
    <w:p w14:paraId="0C07B839" w14:textId="77777777" w:rsidR="00531567" w:rsidRDefault="00531567" w:rsidP="00531567"/>
    <w:p w14:paraId="1F332060" w14:textId="24EF91F3" w:rsidR="00531567" w:rsidRDefault="00531567" w:rsidP="00531567">
      <w:r>
        <w:t xml:space="preserve">With respect to residential aged care </w:t>
      </w:r>
      <w:r w:rsidR="00EA4733">
        <w:t>AP</w:t>
      </w:r>
      <w:r>
        <w:t xml:space="preserve">s, they must complete a number of additional data spreadsheets, including a summary Financial Position (balance sheet), Income and Expenses Statement and Cash Flow Statement at the Approved Provider (consolidated) level (meaning inclusion of all activities of the </w:t>
      </w:r>
      <w:r w:rsidR="00EA4733">
        <w:t>AP</w:t>
      </w:r>
      <w:r>
        <w:t>).</w:t>
      </w:r>
    </w:p>
    <w:p w14:paraId="076DC929" w14:textId="77777777" w:rsidR="00531567" w:rsidRDefault="00531567" w:rsidP="00531567"/>
    <w:p w14:paraId="19CAEBE9" w14:textId="5A60E8C9" w:rsidR="00531567" w:rsidRDefault="00531567" w:rsidP="00531567">
      <w:r>
        <w:t>With respect to HCP providers they must complete the tab “Statement of Inc &amp; Exp (Home)” (extract below</w:t>
      </w:r>
      <w:proofErr w:type="gramStart"/>
      <w:r>
        <w:t>)  which</w:t>
      </w:r>
      <w:proofErr w:type="gramEnd"/>
      <w:r>
        <w:t xml:space="preserve"> also includes additional with respect to unspent funds, utilisation of funds (subsidy and c</w:t>
      </w:r>
      <w:r w:rsidR="00EA4733">
        <w:t>are recipient</w:t>
      </w:r>
      <w:r>
        <w:t xml:space="preserve"> contributions), movement of funds, and the total “Cash and Liquid Assets (Current)”.</w:t>
      </w:r>
    </w:p>
    <w:p w14:paraId="18C8FE19" w14:textId="77777777" w:rsidR="00531567" w:rsidRDefault="00531567" w:rsidP="00531567"/>
    <w:p w14:paraId="71C8BE40" w14:textId="1167929B" w:rsidR="00531567" w:rsidRDefault="00531567" w:rsidP="00531567">
      <w:r>
        <w:t>A</w:t>
      </w:r>
      <w:r w:rsidR="00EA4733">
        <w:t>P</w:t>
      </w:r>
      <w:r>
        <w:t>s who do not supply residential aged care services are not required to submit any A</w:t>
      </w:r>
      <w:r w:rsidR="00343F8B">
        <w:t>P</w:t>
      </w:r>
      <w:r>
        <w:t xml:space="preserve"> (consolidated</w:t>
      </w:r>
      <w:r w:rsidR="00EA4733">
        <w:t xml:space="preserve"> at whole organisation level</w:t>
      </w:r>
      <w:r>
        <w:t>) financial data.</w:t>
      </w:r>
    </w:p>
    <w:p w14:paraId="3D378DCB" w14:textId="77777777" w:rsidR="00531567" w:rsidRDefault="00531567" w:rsidP="00531567"/>
    <w:p w14:paraId="174777FF" w14:textId="30093F8F" w:rsidR="00531567" w:rsidRDefault="00531567" w:rsidP="00531567">
      <w:r>
        <w:t>A detailed review of the ACFR’s submitted as at the date of this report analysis (11 November 2019) indicated significant variances in the accuracy of the HCP data in relation to cash and liquid assets</w:t>
      </w:r>
      <w:r w:rsidR="00343F8B">
        <w:t>,</w:t>
      </w:r>
      <w:r>
        <w:t xml:space="preserve"> in addition to other insufficient data.</w:t>
      </w:r>
    </w:p>
    <w:p w14:paraId="2BD31D8C" w14:textId="77777777" w:rsidR="00531567" w:rsidRDefault="00531567" w:rsidP="00531567"/>
    <w:p w14:paraId="5D214844" w14:textId="2244B1C1" w:rsidR="00531567" w:rsidRDefault="00531567" w:rsidP="00531567">
      <w:pPr>
        <w:spacing w:after="120"/>
      </w:pPr>
      <w:r>
        <w:t xml:space="preserve">A summary of the 804 </w:t>
      </w:r>
      <w:r w:rsidR="00EA4733">
        <w:t xml:space="preserve">submitted </w:t>
      </w:r>
      <w:r>
        <w:t>ACFR’s received is as follows:-</w:t>
      </w:r>
    </w:p>
    <w:p w14:paraId="60DE52AF" w14:textId="26A69634" w:rsidR="00531567" w:rsidRDefault="00531567" w:rsidP="005D395A">
      <w:pPr>
        <w:pStyle w:val="ListParagraph"/>
        <w:numPr>
          <w:ilvl w:val="0"/>
          <w:numId w:val="22"/>
        </w:numPr>
        <w:ind w:left="284" w:hanging="284"/>
      </w:pPr>
      <w:r>
        <w:t xml:space="preserve">Income and Expenses fields not completed or missing information </w:t>
      </w:r>
      <w:r w:rsidRPr="003818E6">
        <w:rPr>
          <w:i/>
        </w:rPr>
        <w:t>(6</w:t>
      </w:r>
      <w:r>
        <w:rPr>
          <w:i/>
        </w:rPr>
        <w:t>7</w:t>
      </w:r>
      <w:r w:rsidRPr="003818E6">
        <w:rPr>
          <w:i/>
        </w:rPr>
        <w:t xml:space="preserve"> </w:t>
      </w:r>
      <w:r w:rsidR="00EA4733">
        <w:rPr>
          <w:i/>
        </w:rPr>
        <w:t>AP</w:t>
      </w:r>
      <w:r w:rsidRPr="003818E6">
        <w:rPr>
          <w:i/>
        </w:rPr>
        <w:t>s)</w:t>
      </w:r>
    </w:p>
    <w:p w14:paraId="4C16F8B0" w14:textId="33AB8AA8" w:rsidR="00531567" w:rsidRDefault="00531567" w:rsidP="005D395A">
      <w:pPr>
        <w:pStyle w:val="ListParagraph"/>
        <w:numPr>
          <w:ilvl w:val="0"/>
          <w:numId w:val="22"/>
        </w:numPr>
        <w:ind w:left="284" w:hanging="284"/>
      </w:pPr>
      <w:r>
        <w:t xml:space="preserve">HCP segment liquid assets not completed or incorrectly completed </w:t>
      </w:r>
      <w:r w:rsidRPr="003818E6">
        <w:rPr>
          <w:i/>
        </w:rPr>
        <w:t>(11</w:t>
      </w:r>
      <w:r>
        <w:rPr>
          <w:i/>
        </w:rPr>
        <w:t>4</w:t>
      </w:r>
      <w:r w:rsidRPr="003818E6">
        <w:rPr>
          <w:i/>
        </w:rPr>
        <w:t xml:space="preserve"> </w:t>
      </w:r>
      <w:r>
        <w:rPr>
          <w:i/>
        </w:rPr>
        <w:t xml:space="preserve">additional </w:t>
      </w:r>
      <w:r w:rsidR="00EA4733">
        <w:rPr>
          <w:i/>
        </w:rPr>
        <w:t>AP</w:t>
      </w:r>
      <w:r w:rsidRPr="003818E6">
        <w:rPr>
          <w:i/>
        </w:rPr>
        <w:t>s)</w:t>
      </w:r>
    </w:p>
    <w:p w14:paraId="284F4E1B" w14:textId="4BCAA92F" w:rsidR="00531567" w:rsidRDefault="00531567" w:rsidP="005D395A">
      <w:pPr>
        <w:pStyle w:val="ListParagraph"/>
        <w:numPr>
          <w:ilvl w:val="0"/>
          <w:numId w:val="22"/>
        </w:numPr>
        <w:ind w:left="284" w:hanging="284"/>
      </w:pPr>
      <w:r>
        <w:t xml:space="preserve">Government providers – not applicable in relation to </w:t>
      </w:r>
      <w:r w:rsidR="00343F8B">
        <w:t xml:space="preserve">this </w:t>
      </w:r>
      <w:r>
        <w:t xml:space="preserve">analysis </w:t>
      </w:r>
      <w:r w:rsidRPr="003818E6">
        <w:rPr>
          <w:i/>
        </w:rPr>
        <w:t xml:space="preserve">(88 </w:t>
      </w:r>
      <w:r w:rsidR="00EA4733">
        <w:rPr>
          <w:i/>
        </w:rPr>
        <w:t>AP</w:t>
      </w:r>
      <w:r w:rsidRPr="003818E6">
        <w:rPr>
          <w:i/>
        </w:rPr>
        <w:t>s)</w:t>
      </w:r>
    </w:p>
    <w:p w14:paraId="0574374E" w14:textId="77777777" w:rsidR="00531567" w:rsidRDefault="00531567" w:rsidP="00531567"/>
    <w:p w14:paraId="567A687A" w14:textId="77777777" w:rsidR="00531567" w:rsidRDefault="00531567" w:rsidP="00531567">
      <w:pPr>
        <w:spacing w:after="120"/>
      </w:pPr>
      <w:r>
        <w:t>Accordingly, the respective data sets used for this analysis are:-</w:t>
      </w:r>
    </w:p>
    <w:p w14:paraId="3106F28D" w14:textId="296394D3" w:rsidR="00531567" w:rsidRPr="003818E6" w:rsidRDefault="00531567" w:rsidP="005D395A">
      <w:pPr>
        <w:pStyle w:val="ListParagraph"/>
        <w:numPr>
          <w:ilvl w:val="0"/>
          <w:numId w:val="26"/>
        </w:numPr>
        <w:ind w:left="284" w:hanging="284"/>
        <w:rPr>
          <w:i/>
        </w:rPr>
      </w:pPr>
      <w:r>
        <w:t xml:space="preserve">Financial performance (net profit before tax) is </w:t>
      </w:r>
      <w:r w:rsidRPr="005D14B6">
        <w:rPr>
          <w:b/>
        </w:rPr>
        <w:t>73</w:t>
      </w:r>
      <w:r>
        <w:rPr>
          <w:b/>
        </w:rPr>
        <w:t>7</w:t>
      </w:r>
      <w:r>
        <w:t xml:space="preserve"> </w:t>
      </w:r>
      <w:r w:rsidR="00EA4733">
        <w:t>AP</w:t>
      </w:r>
      <w:r>
        <w:t xml:space="preserve">s </w:t>
      </w:r>
      <w:r w:rsidRPr="003818E6">
        <w:rPr>
          <w:i/>
        </w:rPr>
        <w:t>(804 less 6</w:t>
      </w:r>
      <w:r>
        <w:rPr>
          <w:i/>
        </w:rPr>
        <w:t>7</w:t>
      </w:r>
      <w:r w:rsidRPr="003818E6">
        <w:rPr>
          <w:i/>
        </w:rPr>
        <w:t>)</w:t>
      </w:r>
    </w:p>
    <w:p w14:paraId="7293EA14" w14:textId="1C9E535C" w:rsidR="00531567" w:rsidRPr="003818E6" w:rsidRDefault="00531567" w:rsidP="005D395A">
      <w:pPr>
        <w:pStyle w:val="ListParagraph"/>
        <w:numPr>
          <w:ilvl w:val="0"/>
          <w:numId w:val="26"/>
        </w:numPr>
        <w:ind w:left="284" w:hanging="284"/>
        <w:rPr>
          <w:i/>
        </w:rPr>
      </w:pPr>
      <w:r>
        <w:t xml:space="preserve">Liquid assets coverage and cash flow analysis is </w:t>
      </w:r>
      <w:r w:rsidRPr="005D14B6">
        <w:rPr>
          <w:b/>
        </w:rPr>
        <w:t>535</w:t>
      </w:r>
      <w:r>
        <w:t xml:space="preserve"> </w:t>
      </w:r>
      <w:r w:rsidR="00EA4733">
        <w:t>AP</w:t>
      </w:r>
      <w:r>
        <w:t xml:space="preserve">s </w:t>
      </w:r>
      <w:r w:rsidRPr="003818E6">
        <w:rPr>
          <w:i/>
        </w:rPr>
        <w:t>(73</w:t>
      </w:r>
      <w:r>
        <w:rPr>
          <w:i/>
        </w:rPr>
        <w:t>7</w:t>
      </w:r>
      <w:r w:rsidRPr="003818E6">
        <w:rPr>
          <w:i/>
        </w:rPr>
        <w:t xml:space="preserve"> less 11</w:t>
      </w:r>
      <w:r>
        <w:rPr>
          <w:i/>
        </w:rPr>
        <w:t>4</w:t>
      </w:r>
      <w:r w:rsidRPr="003818E6">
        <w:rPr>
          <w:i/>
        </w:rPr>
        <w:t xml:space="preserve"> less 88)</w:t>
      </w:r>
    </w:p>
    <w:p w14:paraId="5A4579EA" w14:textId="77777777" w:rsidR="00EA4733" w:rsidRDefault="00EA4733" w:rsidP="00531567">
      <w:pPr>
        <w:pStyle w:val="SubHeading"/>
      </w:pPr>
    </w:p>
    <w:p w14:paraId="0ED2A43A" w14:textId="77777777" w:rsidR="00EA4733" w:rsidRDefault="00EA4733" w:rsidP="00531567">
      <w:pPr>
        <w:pStyle w:val="SubHeading"/>
      </w:pPr>
    </w:p>
    <w:p w14:paraId="2F87FFD2" w14:textId="65878882" w:rsidR="00531567" w:rsidRDefault="00531567" w:rsidP="00531567">
      <w:pPr>
        <w:pStyle w:val="SubHeading"/>
      </w:pPr>
      <w:r>
        <w:lastRenderedPageBreak/>
        <w:t xml:space="preserve">ACFR Extract for HCP </w:t>
      </w:r>
      <w:r w:rsidR="00EA4733">
        <w:t>A</w:t>
      </w:r>
      <w:r>
        <w:t xml:space="preserve">pproved </w:t>
      </w:r>
      <w:r w:rsidR="00EA4733">
        <w:t>P</w:t>
      </w:r>
      <w:r>
        <w:t>roviders</w:t>
      </w:r>
    </w:p>
    <w:p w14:paraId="0F6DED30" w14:textId="696664F1" w:rsidR="00531567" w:rsidRDefault="00531567" w:rsidP="00531567">
      <w:r>
        <w:t xml:space="preserve">An extract of the ACFR data spreadsheet </w:t>
      </w:r>
      <w:r w:rsidR="00343F8B">
        <w:t>that</w:t>
      </w:r>
      <w:r>
        <w:t xml:space="preserve"> </w:t>
      </w:r>
      <w:r w:rsidR="00EA4733">
        <w:t>home care</w:t>
      </w:r>
      <w:r>
        <w:t xml:space="preserve"> </w:t>
      </w:r>
      <w:r w:rsidR="00EA4733">
        <w:t>AP</w:t>
      </w:r>
      <w:r>
        <w:t xml:space="preserve">s </w:t>
      </w:r>
      <w:r w:rsidR="00343F8B">
        <w:t xml:space="preserve">must complete and submit </w:t>
      </w:r>
      <w:r>
        <w:t>is as follows:-</w:t>
      </w:r>
    </w:p>
    <w:p w14:paraId="0731125F" w14:textId="77777777" w:rsidR="00531567" w:rsidRDefault="00531567" w:rsidP="00531567"/>
    <w:p w14:paraId="009A8861" w14:textId="045C0644" w:rsidR="00531567" w:rsidRDefault="00343F8B" w:rsidP="00531567">
      <w:r w:rsidRPr="00343F8B">
        <w:rPr>
          <w:noProof/>
          <w:lang w:eastAsia="en-AU"/>
        </w:rPr>
        <w:drawing>
          <wp:inline distT="0" distB="0" distL="0" distR="0" wp14:anchorId="1476D703" wp14:editId="53D639F8">
            <wp:extent cx="6120130" cy="5533390"/>
            <wp:effectExtent l="0" t="0" r="0" b="0"/>
            <wp:docPr id="5" name="Picture 5" title="An extract of the ACFR data spreadsheet that home care APs must complete and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5533390"/>
                    </a:xfrm>
                    <a:prstGeom prst="rect">
                      <a:avLst/>
                    </a:prstGeom>
                    <a:noFill/>
                    <a:ln>
                      <a:noFill/>
                    </a:ln>
                  </pic:spPr>
                </pic:pic>
              </a:graphicData>
            </a:graphic>
          </wp:inline>
        </w:drawing>
      </w:r>
    </w:p>
    <w:p w14:paraId="436E97C0" w14:textId="77777777" w:rsidR="00531567" w:rsidRDefault="00531567" w:rsidP="00531567"/>
    <w:p w14:paraId="1B6F85D5" w14:textId="77777777" w:rsidR="007318BC" w:rsidRDefault="007318BC" w:rsidP="007318BC"/>
    <w:p w14:paraId="7ADC134F" w14:textId="77777777" w:rsidR="00531567" w:rsidRDefault="00531567" w:rsidP="001B5D40">
      <w:pPr>
        <w:pStyle w:val="SubHeading"/>
      </w:pPr>
      <w:r>
        <w:br w:type="page"/>
      </w:r>
    </w:p>
    <w:p w14:paraId="39674CC5" w14:textId="276B519E" w:rsidR="001B5D40" w:rsidRDefault="00B51C39" w:rsidP="001B5D40">
      <w:pPr>
        <w:pStyle w:val="SubHeading"/>
      </w:pPr>
      <w:r>
        <w:lastRenderedPageBreak/>
        <w:t>ACFR</w:t>
      </w:r>
      <w:r w:rsidR="008B3A8F">
        <w:t xml:space="preserve"> </w:t>
      </w:r>
      <w:r w:rsidR="00343F8B">
        <w:t xml:space="preserve">- </w:t>
      </w:r>
      <w:r w:rsidR="001B5D40">
        <w:t xml:space="preserve">Sector </w:t>
      </w:r>
      <w:r w:rsidR="0032173D">
        <w:t xml:space="preserve">Financial </w:t>
      </w:r>
      <w:r w:rsidR="001B5D40">
        <w:t>Res</w:t>
      </w:r>
      <w:r w:rsidR="008B3A8F">
        <w:t>ults</w:t>
      </w:r>
    </w:p>
    <w:p w14:paraId="2CC7BE86" w14:textId="00B9D7CB" w:rsidR="00701DB9" w:rsidRDefault="00701DB9" w:rsidP="00701DB9">
      <w:r>
        <w:t xml:space="preserve">For the 804 </w:t>
      </w:r>
      <w:r w:rsidR="003750C3">
        <w:t>AP</w:t>
      </w:r>
      <w:r>
        <w:t>s that had submitted ACFR data at the time of preparing this report</w:t>
      </w:r>
      <w:r w:rsidR="00043999">
        <w:rPr>
          <w:rStyle w:val="FootnoteReference"/>
        </w:rPr>
        <w:footnoteReference w:id="3"/>
      </w:r>
      <w:r>
        <w:t xml:space="preserve">, </w:t>
      </w:r>
      <w:r w:rsidR="00B51C39">
        <w:t>6</w:t>
      </w:r>
      <w:r w:rsidR="007F2409">
        <w:t>7</w:t>
      </w:r>
      <w:r w:rsidR="00B51C39">
        <w:t xml:space="preserve"> </w:t>
      </w:r>
      <w:r w:rsidR="003750C3">
        <w:t>AP</w:t>
      </w:r>
      <w:r w:rsidR="00B51C39">
        <w:t xml:space="preserve">s submitted insufficient information. These constituted small to medium sized </w:t>
      </w:r>
      <w:r w:rsidR="003750C3">
        <w:t>AP</w:t>
      </w:r>
      <w:r w:rsidR="00B51C39">
        <w:t>s only. Accordingly, the FY19 financial performance of the remaining 73</w:t>
      </w:r>
      <w:r w:rsidR="007F2409">
        <w:t>7</w:t>
      </w:r>
      <w:r w:rsidR="00B51C39">
        <w:t xml:space="preserve"> </w:t>
      </w:r>
      <w:r w:rsidR="003750C3">
        <w:t>AP</w:t>
      </w:r>
      <w:r w:rsidR="00B51C39">
        <w:t>s i</w:t>
      </w:r>
      <w:r>
        <w:t>s follows:</w:t>
      </w:r>
    </w:p>
    <w:p w14:paraId="21D6C610" w14:textId="60C49A31" w:rsidR="006E01A9" w:rsidRDefault="006E01A9" w:rsidP="006E01A9">
      <w:pPr>
        <w:pStyle w:val="Caption"/>
        <w:keepNext/>
      </w:pPr>
      <w:r>
        <w:t xml:space="preserve">Table </w:t>
      </w:r>
      <w:fldSimple w:instr=" SEQ Table \* ARABIC ">
        <w:r w:rsidR="00844346">
          <w:rPr>
            <w:noProof/>
          </w:rPr>
          <w:t>5</w:t>
        </w:r>
      </w:fldSimple>
      <w:r>
        <w:t xml:space="preserve">:  </w:t>
      </w:r>
      <w:r w:rsidR="00B51C39">
        <w:t xml:space="preserve">FY19 </w:t>
      </w:r>
      <w:r>
        <w:t xml:space="preserve">ACFR </w:t>
      </w:r>
      <w:r w:rsidR="00B51C39">
        <w:t xml:space="preserve">financial </w:t>
      </w:r>
      <w:r>
        <w:t xml:space="preserve">data </w:t>
      </w:r>
      <w:r w:rsidR="00B51C39">
        <w:t>(based on</w:t>
      </w:r>
      <w:r>
        <w:t xml:space="preserve"> </w:t>
      </w:r>
      <w:r w:rsidR="00B51C39">
        <w:t>73</w:t>
      </w:r>
      <w:r w:rsidR="00953EC3">
        <w:t>7</w:t>
      </w:r>
      <w:r>
        <w:t xml:space="preserve"> </w:t>
      </w:r>
      <w:r w:rsidR="00FB5EFA">
        <w:t>AP</w:t>
      </w:r>
      <w:r>
        <w:t xml:space="preserve">s </w:t>
      </w:r>
      <w:r w:rsidR="008B3A8F">
        <w:t>that provided complete</w:t>
      </w:r>
      <w:r>
        <w:t xml:space="preserve"> data</w:t>
      </w:r>
      <w:r w:rsidR="008B3A8F">
        <w:t>)</w:t>
      </w:r>
    </w:p>
    <w:tbl>
      <w:tblPr>
        <w:tblStyle w:val="DefaultTable1"/>
        <w:tblW w:w="9626"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6A0" w:firstRow="1" w:lastRow="0" w:firstColumn="1" w:lastColumn="0" w:noHBand="1" w:noVBand="1"/>
        <w:tblCaption w:val="Header row Table 5:  FY19 ACFR financial data (based on 737 APs that provided complete data)"/>
      </w:tblPr>
      <w:tblGrid>
        <w:gridCol w:w="6372"/>
        <w:gridCol w:w="1701"/>
        <w:gridCol w:w="1553"/>
      </w:tblGrid>
      <w:tr w:rsidR="008B3A8F" w:rsidRPr="00EC4C44" w14:paraId="23C457A5" w14:textId="77777777" w:rsidTr="003636FB">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000" w:firstRow="0" w:lastRow="0" w:firstColumn="1" w:lastColumn="0" w:oddVBand="0" w:evenVBand="0" w:oddHBand="0" w:evenHBand="0" w:firstRowFirstColumn="0" w:firstRowLastColumn="0" w:lastRowFirstColumn="0" w:lastRowLastColumn="0"/>
            <w:tcW w:w="637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BAC053" w14:textId="77777777" w:rsidR="008B3A8F" w:rsidRPr="004A7E5B" w:rsidRDefault="008B3A8F" w:rsidP="008B3A8F">
            <w:pPr>
              <w:contextualSpacing/>
            </w:pPr>
            <w:r w:rsidRPr="004A7E5B">
              <w:t>ACFR Profit and Loss Summary - FY19</w:t>
            </w:r>
            <w:r w:rsidRPr="004A7E5B">
              <w:rPr>
                <w:rStyle w:val="FootnoteReference"/>
              </w:rPr>
              <w:footnoteReference w:id="4"/>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70E4C1" w14:textId="77777777" w:rsidR="008B3A8F" w:rsidRPr="004A7E5B" w:rsidRDefault="008B3A8F" w:rsidP="008B3A8F">
            <w:pPr>
              <w:contextualSpacing/>
              <w:jc w:val="center"/>
              <w:cnfStyle w:val="100000000000" w:firstRow="1" w:lastRow="0" w:firstColumn="0" w:lastColumn="0" w:oddVBand="0" w:evenVBand="0" w:oddHBand="0" w:evenHBand="0" w:firstRowFirstColumn="0" w:firstRowLastColumn="0" w:lastRowFirstColumn="0" w:lastRowLastColumn="0"/>
            </w:pPr>
            <w:r w:rsidRPr="004A7E5B">
              <w:t>$</w:t>
            </w:r>
          </w:p>
        </w:tc>
        <w:tc>
          <w:tcPr>
            <w:tcW w:w="155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048739" w14:textId="77777777" w:rsidR="008B3A8F" w:rsidRPr="004A7E5B" w:rsidRDefault="008B3A8F" w:rsidP="008B3A8F">
            <w:pPr>
              <w:contextualSpacing/>
              <w:jc w:val="center"/>
              <w:cnfStyle w:val="100000000000" w:firstRow="1" w:lastRow="0" w:firstColumn="0" w:lastColumn="0" w:oddVBand="0" w:evenVBand="0" w:oddHBand="0" w:evenHBand="0" w:firstRowFirstColumn="0" w:firstRowLastColumn="0" w:lastRowFirstColumn="0" w:lastRowLastColumn="0"/>
            </w:pPr>
            <w:r w:rsidRPr="004A7E5B">
              <w:t>% of Revenue</w:t>
            </w:r>
          </w:p>
        </w:tc>
      </w:tr>
    </w:tbl>
    <w:tbl>
      <w:tblPr>
        <w:tblStyle w:val="TableGrid1"/>
        <w:tblW w:w="9632" w:type="dxa"/>
        <w:tblBorders>
          <w:top w:val="single" w:sz="2" w:space="0" w:color="AEAAAA" w:themeColor="background2" w:themeShade="BF"/>
          <w:left w:val="single" w:sz="2" w:space="0" w:color="AEAAAA" w:themeColor="background2" w:themeShade="BF"/>
          <w:bottom w:val="single" w:sz="2" w:space="0" w:color="AEAAAA" w:themeColor="background2" w:themeShade="BF"/>
          <w:right w:val="single" w:sz="2" w:space="0" w:color="AEAAAA" w:themeColor="background2" w:themeShade="BF"/>
          <w:insideH w:val="single" w:sz="2" w:space="0" w:color="AEAAAA" w:themeColor="background2" w:themeShade="BF"/>
          <w:insideV w:val="single" w:sz="2" w:space="0" w:color="AEAAAA" w:themeColor="background2" w:themeShade="BF"/>
        </w:tblBorders>
        <w:tblLook w:val="04A0" w:firstRow="1" w:lastRow="0" w:firstColumn="1" w:lastColumn="0" w:noHBand="0" w:noVBand="1"/>
        <w:tblCaption w:val="Header row Table 5:  FY19 ACFR financial data (based on 737 APs that provided complete data)"/>
      </w:tblPr>
      <w:tblGrid>
        <w:gridCol w:w="6378"/>
        <w:gridCol w:w="1701"/>
        <w:gridCol w:w="1553"/>
      </w:tblGrid>
      <w:tr w:rsidR="008B3A8F" w14:paraId="7C059DEA" w14:textId="77777777" w:rsidTr="003636FB">
        <w:trPr>
          <w:trHeight w:val="227"/>
          <w:tblHeader/>
        </w:trPr>
        <w:tc>
          <w:tcPr>
            <w:tcW w:w="6378" w:type="dxa"/>
          </w:tcPr>
          <w:p w14:paraId="6D178C28" w14:textId="77777777" w:rsidR="008B3A8F" w:rsidRPr="004A7E5B" w:rsidRDefault="008B3A8F" w:rsidP="008B3A8F">
            <w:pPr>
              <w:rPr>
                <w:rFonts w:cstheme="minorHAnsi"/>
                <w:b/>
                <w:sz w:val="20"/>
                <w:szCs w:val="20"/>
              </w:rPr>
            </w:pPr>
            <w:r>
              <w:rPr>
                <w:rFonts w:cstheme="minorHAnsi"/>
                <w:b/>
                <w:sz w:val="20"/>
                <w:szCs w:val="20"/>
              </w:rPr>
              <w:t>Revenue:</w:t>
            </w:r>
          </w:p>
        </w:tc>
        <w:tc>
          <w:tcPr>
            <w:tcW w:w="1701" w:type="dxa"/>
            <w:vAlign w:val="center"/>
          </w:tcPr>
          <w:p w14:paraId="3B68DB09" w14:textId="77777777" w:rsidR="008B3A8F" w:rsidRPr="004A7E5B" w:rsidRDefault="008B3A8F" w:rsidP="008B3A8F">
            <w:pPr>
              <w:jc w:val="right"/>
              <w:rPr>
                <w:rFonts w:cstheme="minorHAnsi"/>
                <w:sz w:val="20"/>
                <w:szCs w:val="20"/>
              </w:rPr>
            </w:pPr>
          </w:p>
        </w:tc>
        <w:tc>
          <w:tcPr>
            <w:tcW w:w="1553" w:type="dxa"/>
            <w:vAlign w:val="center"/>
          </w:tcPr>
          <w:p w14:paraId="40A7AF87" w14:textId="77777777" w:rsidR="008B3A8F" w:rsidRPr="004A7E5B" w:rsidRDefault="008B3A8F" w:rsidP="008B3A8F">
            <w:pPr>
              <w:jc w:val="center"/>
              <w:rPr>
                <w:rFonts w:cstheme="minorHAnsi"/>
                <w:i/>
                <w:sz w:val="20"/>
                <w:szCs w:val="20"/>
              </w:rPr>
            </w:pPr>
          </w:p>
        </w:tc>
      </w:tr>
      <w:tr w:rsidR="008B3A8F" w14:paraId="4177B1E4" w14:textId="77777777" w:rsidTr="008B3A8F">
        <w:trPr>
          <w:trHeight w:val="227"/>
        </w:trPr>
        <w:tc>
          <w:tcPr>
            <w:tcW w:w="6378" w:type="dxa"/>
          </w:tcPr>
          <w:p w14:paraId="7E880BF8" w14:textId="77777777" w:rsidR="008B3A8F" w:rsidRPr="004A7E5B" w:rsidRDefault="008B3A8F" w:rsidP="008B3A8F">
            <w:pPr>
              <w:ind w:left="179"/>
              <w:rPr>
                <w:rFonts w:cstheme="minorHAnsi"/>
                <w:sz w:val="20"/>
                <w:szCs w:val="20"/>
              </w:rPr>
            </w:pPr>
            <w:r w:rsidRPr="004A7E5B">
              <w:rPr>
                <w:rFonts w:cstheme="minorHAnsi"/>
                <w:sz w:val="20"/>
                <w:szCs w:val="20"/>
              </w:rPr>
              <w:t xml:space="preserve">Provision of care / services </w:t>
            </w:r>
          </w:p>
        </w:tc>
        <w:tc>
          <w:tcPr>
            <w:tcW w:w="1701" w:type="dxa"/>
            <w:vAlign w:val="center"/>
          </w:tcPr>
          <w:p w14:paraId="444033F0" w14:textId="77777777" w:rsidR="008B3A8F" w:rsidRPr="004A7E5B" w:rsidRDefault="008B3A8F" w:rsidP="008B3A8F">
            <w:pPr>
              <w:jc w:val="right"/>
              <w:rPr>
                <w:rFonts w:cstheme="minorHAnsi"/>
                <w:sz w:val="20"/>
                <w:szCs w:val="20"/>
              </w:rPr>
            </w:pPr>
            <w:r w:rsidRPr="004A7E5B">
              <w:rPr>
                <w:rFonts w:cstheme="minorHAnsi"/>
                <w:sz w:val="20"/>
                <w:szCs w:val="20"/>
              </w:rPr>
              <w:t>1,675,795,331</w:t>
            </w:r>
          </w:p>
        </w:tc>
        <w:tc>
          <w:tcPr>
            <w:tcW w:w="1553" w:type="dxa"/>
            <w:vAlign w:val="center"/>
          </w:tcPr>
          <w:p w14:paraId="6E1547FD" w14:textId="77777777" w:rsidR="008B3A8F" w:rsidRPr="004A7E5B" w:rsidRDefault="008B3A8F" w:rsidP="008B3A8F">
            <w:pPr>
              <w:jc w:val="center"/>
              <w:rPr>
                <w:rFonts w:cstheme="minorHAnsi"/>
                <w:i/>
                <w:sz w:val="20"/>
                <w:szCs w:val="20"/>
              </w:rPr>
            </w:pPr>
            <w:r w:rsidRPr="004A7E5B">
              <w:rPr>
                <w:rFonts w:cstheme="minorHAnsi"/>
                <w:i/>
                <w:sz w:val="20"/>
                <w:szCs w:val="20"/>
              </w:rPr>
              <w:t>67.5%</w:t>
            </w:r>
          </w:p>
        </w:tc>
      </w:tr>
      <w:tr w:rsidR="008B3A8F" w14:paraId="0A09A983" w14:textId="77777777" w:rsidTr="008B3A8F">
        <w:trPr>
          <w:trHeight w:val="227"/>
        </w:trPr>
        <w:tc>
          <w:tcPr>
            <w:tcW w:w="6378" w:type="dxa"/>
          </w:tcPr>
          <w:p w14:paraId="27F050C5" w14:textId="77777777" w:rsidR="008B3A8F" w:rsidRPr="004A7E5B" w:rsidRDefault="008B3A8F" w:rsidP="008B3A8F">
            <w:pPr>
              <w:ind w:left="179"/>
              <w:rPr>
                <w:rFonts w:cstheme="minorHAnsi"/>
                <w:sz w:val="20"/>
                <w:szCs w:val="20"/>
              </w:rPr>
            </w:pPr>
            <w:r w:rsidRPr="004A7E5B">
              <w:rPr>
                <w:rFonts w:cstheme="minorHAnsi"/>
                <w:sz w:val="20"/>
                <w:szCs w:val="20"/>
              </w:rPr>
              <w:t>Case management fees</w:t>
            </w:r>
          </w:p>
        </w:tc>
        <w:tc>
          <w:tcPr>
            <w:tcW w:w="1701" w:type="dxa"/>
            <w:vAlign w:val="center"/>
          </w:tcPr>
          <w:p w14:paraId="49576058" w14:textId="77777777" w:rsidR="008B3A8F" w:rsidRPr="004A7E5B" w:rsidRDefault="008B3A8F" w:rsidP="008B3A8F">
            <w:pPr>
              <w:jc w:val="right"/>
              <w:rPr>
                <w:rFonts w:cstheme="minorHAnsi"/>
                <w:sz w:val="20"/>
                <w:szCs w:val="20"/>
              </w:rPr>
            </w:pPr>
            <w:r w:rsidRPr="004A7E5B">
              <w:rPr>
                <w:rFonts w:cstheme="minorHAnsi"/>
                <w:sz w:val="20"/>
                <w:szCs w:val="20"/>
              </w:rPr>
              <w:t>344,999,025</w:t>
            </w:r>
          </w:p>
        </w:tc>
        <w:tc>
          <w:tcPr>
            <w:tcW w:w="1553" w:type="dxa"/>
            <w:vAlign w:val="center"/>
          </w:tcPr>
          <w:p w14:paraId="3817F473" w14:textId="77777777" w:rsidR="008B3A8F" w:rsidRPr="004A7E5B" w:rsidRDefault="008B3A8F" w:rsidP="008B3A8F">
            <w:pPr>
              <w:jc w:val="center"/>
              <w:rPr>
                <w:rFonts w:cstheme="minorHAnsi"/>
                <w:i/>
                <w:sz w:val="20"/>
                <w:szCs w:val="20"/>
              </w:rPr>
            </w:pPr>
            <w:r w:rsidRPr="004A7E5B">
              <w:rPr>
                <w:rFonts w:cstheme="minorHAnsi"/>
                <w:i/>
                <w:sz w:val="20"/>
                <w:szCs w:val="20"/>
              </w:rPr>
              <w:t>13.9%</w:t>
            </w:r>
          </w:p>
        </w:tc>
      </w:tr>
      <w:tr w:rsidR="008B3A8F" w14:paraId="7D9E8A5A" w14:textId="77777777" w:rsidTr="008B3A8F">
        <w:trPr>
          <w:trHeight w:val="227"/>
        </w:trPr>
        <w:tc>
          <w:tcPr>
            <w:tcW w:w="6378" w:type="dxa"/>
          </w:tcPr>
          <w:p w14:paraId="2FB8AFE0" w14:textId="77777777" w:rsidR="008B3A8F" w:rsidRPr="004A7E5B" w:rsidRDefault="008B3A8F" w:rsidP="008B3A8F">
            <w:pPr>
              <w:ind w:left="179"/>
              <w:rPr>
                <w:rFonts w:cstheme="minorHAnsi"/>
                <w:sz w:val="20"/>
                <w:szCs w:val="20"/>
              </w:rPr>
            </w:pPr>
            <w:r w:rsidRPr="004A7E5B">
              <w:rPr>
                <w:rFonts w:cstheme="minorHAnsi"/>
                <w:sz w:val="20"/>
                <w:szCs w:val="20"/>
              </w:rPr>
              <w:t>Administration fees</w:t>
            </w:r>
          </w:p>
        </w:tc>
        <w:tc>
          <w:tcPr>
            <w:tcW w:w="1701" w:type="dxa"/>
            <w:vAlign w:val="center"/>
          </w:tcPr>
          <w:p w14:paraId="5B40016F" w14:textId="77777777" w:rsidR="008B3A8F" w:rsidRPr="004A7E5B" w:rsidRDefault="008B3A8F" w:rsidP="008B3A8F">
            <w:pPr>
              <w:jc w:val="right"/>
              <w:rPr>
                <w:rFonts w:cstheme="minorHAnsi"/>
                <w:sz w:val="20"/>
                <w:szCs w:val="20"/>
              </w:rPr>
            </w:pPr>
            <w:r w:rsidRPr="004A7E5B">
              <w:rPr>
                <w:rFonts w:cstheme="minorHAnsi"/>
                <w:sz w:val="20"/>
                <w:szCs w:val="20"/>
              </w:rPr>
              <w:t>385,108,260</w:t>
            </w:r>
          </w:p>
        </w:tc>
        <w:tc>
          <w:tcPr>
            <w:tcW w:w="1553" w:type="dxa"/>
            <w:vAlign w:val="center"/>
          </w:tcPr>
          <w:p w14:paraId="4183F017" w14:textId="77777777" w:rsidR="008B3A8F" w:rsidRPr="004A7E5B" w:rsidRDefault="008B3A8F" w:rsidP="008B3A8F">
            <w:pPr>
              <w:jc w:val="center"/>
              <w:rPr>
                <w:rFonts w:cstheme="minorHAnsi"/>
                <w:i/>
                <w:sz w:val="20"/>
                <w:szCs w:val="20"/>
              </w:rPr>
            </w:pPr>
            <w:r w:rsidRPr="004A7E5B">
              <w:rPr>
                <w:rFonts w:cstheme="minorHAnsi"/>
                <w:i/>
                <w:sz w:val="20"/>
                <w:szCs w:val="20"/>
              </w:rPr>
              <w:t>15.5%</w:t>
            </w:r>
          </w:p>
        </w:tc>
      </w:tr>
      <w:tr w:rsidR="008B3A8F" w14:paraId="14F53C27" w14:textId="77777777" w:rsidTr="008B3A8F">
        <w:trPr>
          <w:trHeight w:val="227"/>
        </w:trPr>
        <w:tc>
          <w:tcPr>
            <w:tcW w:w="6378" w:type="dxa"/>
          </w:tcPr>
          <w:p w14:paraId="462EA365" w14:textId="77777777" w:rsidR="008B3A8F" w:rsidRPr="004A7E5B" w:rsidRDefault="008B3A8F" w:rsidP="008B3A8F">
            <w:pPr>
              <w:ind w:left="179"/>
              <w:rPr>
                <w:rFonts w:cstheme="minorHAnsi"/>
                <w:sz w:val="20"/>
                <w:szCs w:val="20"/>
              </w:rPr>
            </w:pPr>
            <w:r w:rsidRPr="004A7E5B">
              <w:rPr>
                <w:rFonts w:cstheme="minorHAnsi"/>
                <w:sz w:val="20"/>
                <w:szCs w:val="20"/>
              </w:rPr>
              <w:t>Exit fees</w:t>
            </w:r>
          </w:p>
        </w:tc>
        <w:tc>
          <w:tcPr>
            <w:tcW w:w="1701" w:type="dxa"/>
            <w:vAlign w:val="center"/>
          </w:tcPr>
          <w:p w14:paraId="063F278C" w14:textId="77777777" w:rsidR="008B3A8F" w:rsidRPr="004A7E5B" w:rsidRDefault="008B3A8F" w:rsidP="008B3A8F">
            <w:pPr>
              <w:jc w:val="right"/>
              <w:rPr>
                <w:rFonts w:cstheme="minorHAnsi"/>
                <w:sz w:val="20"/>
                <w:szCs w:val="20"/>
              </w:rPr>
            </w:pPr>
            <w:r w:rsidRPr="004A7E5B">
              <w:rPr>
                <w:rFonts w:cstheme="minorHAnsi"/>
                <w:sz w:val="20"/>
                <w:szCs w:val="20"/>
              </w:rPr>
              <w:t>5,226,073</w:t>
            </w:r>
          </w:p>
        </w:tc>
        <w:tc>
          <w:tcPr>
            <w:tcW w:w="1553" w:type="dxa"/>
            <w:vAlign w:val="center"/>
          </w:tcPr>
          <w:p w14:paraId="3FDCCEC5" w14:textId="77777777" w:rsidR="008B3A8F" w:rsidRPr="004A7E5B" w:rsidRDefault="008B3A8F" w:rsidP="008B3A8F">
            <w:pPr>
              <w:jc w:val="center"/>
              <w:rPr>
                <w:rFonts w:cstheme="minorHAnsi"/>
                <w:i/>
                <w:sz w:val="20"/>
                <w:szCs w:val="20"/>
              </w:rPr>
            </w:pPr>
            <w:r w:rsidRPr="004A7E5B">
              <w:rPr>
                <w:rFonts w:cstheme="minorHAnsi"/>
                <w:i/>
                <w:sz w:val="20"/>
                <w:szCs w:val="20"/>
              </w:rPr>
              <w:t>0.2%</w:t>
            </w:r>
          </w:p>
        </w:tc>
      </w:tr>
      <w:tr w:rsidR="008B3A8F" w14:paraId="5A8D77F6" w14:textId="77777777" w:rsidTr="008B3A8F">
        <w:trPr>
          <w:trHeight w:val="227"/>
        </w:trPr>
        <w:tc>
          <w:tcPr>
            <w:tcW w:w="6378" w:type="dxa"/>
          </w:tcPr>
          <w:p w14:paraId="1F115CD1" w14:textId="77777777" w:rsidR="008B3A8F" w:rsidRPr="004A7E5B" w:rsidRDefault="008B3A8F" w:rsidP="008B3A8F">
            <w:pPr>
              <w:ind w:left="179"/>
              <w:rPr>
                <w:rFonts w:cstheme="minorHAnsi"/>
                <w:sz w:val="20"/>
                <w:szCs w:val="20"/>
              </w:rPr>
            </w:pPr>
            <w:r w:rsidRPr="004A7E5B">
              <w:rPr>
                <w:rFonts w:cstheme="minorHAnsi"/>
                <w:sz w:val="20"/>
                <w:szCs w:val="20"/>
              </w:rPr>
              <w:t xml:space="preserve">Other </w:t>
            </w:r>
            <w:r>
              <w:rPr>
                <w:rFonts w:cstheme="minorHAnsi"/>
                <w:sz w:val="20"/>
                <w:szCs w:val="20"/>
              </w:rPr>
              <w:t>revenue</w:t>
            </w:r>
          </w:p>
        </w:tc>
        <w:tc>
          <w:tcPr>
            <w:tcW w:w="1701" w:type="dxa"/>
            <w:vAlign w:val="center"/>
          </w:tcPr>
          <w:p w14:paraId="78227DB0" w14:textId="77777777" w:rsidR="008B3A8F" w:rsidRPr="004A7E5B" w:rsidRDefault="008B3A8F" w:rsidP="008B3A8F">
            <w:pPr>
              <w:jc w:val="right"/>
              <w:rPr>
                <w:rFonts w:cstheme="minorHAnsi"/>
                <w:sz w:val="20"/>
                <w:szCs w:val="20"/>
              </w:rPr>
            </w:pPr>
            <w:r w:rsidRPr="004A7E5B">
              <w:rPr>
                <w:rFonts w:cstheme="minorHAnsi"/>
                <w:sz w:val="20"/>
                <w:szCs w:val="20"/>
              </w:rPr>
              <w:t>70,054,043</w:t>
            </w:r>
          </w:p>
        </w:tc>
        <w:tc>
          <w:tcPr>
            <w:tcW w:w="1553" w:type="dxa"/>
            <w:vAlign w:val="center"/>
          </w:tcPr>
          <w:p w14:paraId="5E3CB8E1" w14:textId="77777777" w:rsidR="008B3A8F" w:rsidRPr="004A7E5B" w:rsidRDefault="008B3A8F" w:rsidP="008B3A8F">
            <w:pPr>
              <w:jc w:val="center"/>
              <w:rPr>
                <w:rFonts w:cstheme="minorHAnsi"/>
                <w:i/>
                <w:sz w:val="20"/>
                <w:szCs w:val="20"/>
              </w:rPr>
            </w:pPr>
            <w:r w:rsidRPr="004A7E5B">
              <w:rPr>
                <w:rFonts w:cstheme="minorHAnsi"/>
                <w:i/>
                <w:sz w:val="20"/>
                <w:szCs w:val="20"/>
              </w:rPr>
              <w:t>2.8%</w:t>
            </w:r>
          </w:p>
        </w:tc>
      </w:tr>
      <w:tr w:rsidR="008B3A8F" w14:paraId="4863A1C2" w14:textId="77777777" w:rsidTr="008B3A8F">
        <w:trPr>
          <w:trHeight w:val="227"/>
        </w:trPr>
        <w:tc>
          <w:tcPr>
            <w:tcW w:w="6378" w:type="dxa"/>
            <w:shd w:val="clear" w:color="auto" w:fill="D9E2F3" w:themeFill="accent5" w:themeFillTint="33"/>
          </w:tcPr>
          <w:p w14:paraId="00400B9C" w14:textId="77777777" w:rsidR="008B3A8F" w:rsidRPr="004A7E5B" w:rsidRDefault="008B3A8F" w:rsidP="008B3A8F">
            <w:pPr>
              <w:rPr>
                <w:rFonts w:cstheme="minorHAnsi"/>
                <w:b/>
                <w:i/>
                <w:sz w:val="20"/>
                <w:szCs w:val="20"/>
              </w:rPr>
            </w:pPr>
            <w:r>
              <w:rPr>
                <w:rFonts w:cstheme="minorHAnsi"/>
                <w:b/>
                <w:i/>
                <w:sz w:val="20"/>
                <w:szCs w:val="20"/>
              </w:rPr>
              <w:t>Total revenue</w:t>
            </w:r>
          </w:p>
        </w:tc>
        <w:tc>
          <w:tcPr>
            <w:tcW w:w="1701" w:type="dxa"/>
            <w:shd w:val="clear" w:color="auto" w:fill="D9E2F3" w:themeFill="accent5" w:themeFillTint="33"/>
            <w:vAlign w:val="center"/>
          </w:tcPr>
          <w:p w14:paraId="340A2116" w14:textId="77777777" w:rsidR="008B3A8F" w:rsidRPr="004A7E5B" w:rsidRDefault="008B3A8F" w:rsidP="008B3A8F">
            <w:pPr>
              <w:jc w:val="right"/>
              <w:rPr>
                <w:sz w:val="20"/>
                <w:szCs w:val="20"/>
              </w:rPr>
            </w:pPr>
            <w:r w:rsidRPr="004A7E5B">
              <w:rPr>
                <w:sz w:val="20"/>
                <w:szCs w:val="20"/>
              </w:rPr>
              <w:t>2,481,182,732</w:t>
            </w:r>
          </w:p>
        </w:tc>
        <w:tc>
          <w:tcPr>
            <w:tcW w:w="1553" w:type="dxa"/>
            <w:shd w:val="clear" w:color="auto" w:fill="D9E2F3" w:themeFill="accent5" w:themeFillTint="33"/>
            <w:vAlign w:val="center"/>
          </w:tcPr>
          <w:p w14:paraId="03A4126D" w14:textId="77777777" w:rsidR="008B3A8F" w:rsidRPr="004A7E5B" w:rsidRDefault="008B3A8F" w:rsidP="008B3A8F">
            <w:pPr>
              <w:jc w:val="center"/>
              <w:rPr>
                <w:i/>
                <w:sz w:val="20"/>
                <w:szCs w:val="20"/>
              </w:rPr>
            </w:pPr>
            <w:r w:rsidRPr="004A7E5B">
              <w:rPr>
                <w:i/>
                <w:sz w:val="20"/>
                <w:szCs w:val="20"/>
              </w:rPr>
              <w:t>100.0%</w:t>
            </w:r>
          </w:p>
        </w:tc>
      </w:tr>
      <w:tr w:rsidR="008B3A8F" w14:paraId="10D0EA89" w14:textId="77777777" w:rsidTr="008B3A8F">
        <w:trPr>
          <w:trHeight w:val="227"/>
        </w:trPr>
        <w:tc>
          <w:tcPr>
            <w:tcW w:w="6378" w:type="dxa"/>
          </w:tcPr>
          <w:p w14:paraId="3141783A" w14:textId="77777777" w:rsidR="008B3A8F" w:rsidRPr="004A7E5B" w:rsidRDefault="008B3A8F" w:rsidP="008B3A8F">
            <w:pPr>
              <w:rPr>
                <w:rFonts w:cstheme="minorHAnsi"/>
                <w:b/>
                <w:sz w:val="20"/>
                <w:szCs w:val="20"/>
              </w:rPr>
            </w:pPr>
            <w:r>
              <w:rPr>
                <w:rFonts w:cstheme="minorHAnsi"/>
                <w:b/>
                <w:sz w:val="20"/>
                <w:szCs w:val="20"/>
              </w:rPr>
              <w:t>Expenses:</w:t>
            </w:r>
          </w:p>
        </w:tc>
        <w:tc>
          <w:tcPr>
            <w:tcW w:w="1701" w:type="dxa"/>
            <w:vAlign w:val="center"/>
          </w:tcPr>
          <w:p w14:paraId="37AE205D" w14:textId="77777777" w:rsidR="008B3A8F" w:rsidRPr="004A7E5B" w:rsidRDefault="008B3A8F" w:rsidP="008B3A8F">
            <w:pPr>
              <w:jc w:val="right"/>
              <w:rPr>
                <w:sz w:val="20"/>
                <w:szCs w:val="20"/>
              </w:rPr>
            </w:pPr>
          </w:p>
        </w:tc>
        <w:tc>
          <w:tcPr>
            <w:tcW w:w="1553" w:type="dxa"/>
            <w:vAlign w:val="center"/>
          </w:tcPr>
          <w:p w14:paraId="2E1C5AB7" w14:textId="77777777" w:rsidR="008B3A8F" w:rsidRPr="004A7E5B" w:rsidRDefault="008B3A8F" w:rsidP="008B3A8F">
            <w:pPr>
              <w:jc w:val="center"/>
              <w:rPr>
                <w:i/>
                <w:sz w:val="20"/>
                <w:szCs w:val="20"/>
              </w:rPr>
            </w:pPr>
          </w:p>
        </w:tc>
      </w:tr>
      <w:tr w:rsidR="008B3A8F" w14:paraId="0E7D3BC0" w14:textId="77777777" w:rsidTr="008B3A8F">
        <w:trPr>
          <w:trHeight w:val="227"/>
        </w:trPr>
        <w:tc>
          <w:tcPr>
            <w:tcW w:w="6378" w:type="dxa"/>
            <w:shd w:val="clear" w:color="auto" w:fill="auto"/>
          </w:tcPr>
          <w:p w14:paraId="39C24B42" w14:textId="77777777" w:rsidR="008B3A8F" w:rsidRPr="004A7E5B" w:rsidRDefault="008B3A8F" w:rsidP="008B3A8F">
            <w:pPr>
              <w:ind w:left="179"/>
              <w:rPr>
                <w:rFonts w:cstheme="minorHAnsi"/>
                <w:sz w:val="20"/>
                <w:szCs w:val="20"/>
              </w:rPr>
            </w:pPr>
            <w:r w:rsidRPr="004A7E5B">
              <w:rPr>
                <w:rFonts w:cstheme="minorHAnsi"/>
                <w:sz w:val="20"/>
                <w:szCs w:val="20"/>
              </w:rPr>
              <w:t>Staff costs - direct care</w:t>
            </w:r>
          </w:p>
        </w:tc>
        <w:tc>
          <w:tcPr>
            <w:tcW w:w="1701" w:type="dxa"/>
            <w:shd w:val="clear" w:color="auto" w:fill="auto"/>
          </w:tcPr>
          <w:p w14:paraId="6DCDF35F" w14:textId="77777777" w:rsidR="008B3A8F" w:rsidRPr="004A7E5B" w:rsidRDefault="008B3A8F" w:rsidP="008B3A8F">
            <w:pPr>
              <w:ind w:left="179"/>
              <w:jc w:val="right"/>
              <w:rPr>
                <w:rFonts w:cstheme="minorHAnsi"/>
                <w:sz w:val="20"/>
                <w:szCs w:val="20"/>
              </w:rPr>
            </w:pPr>
            <w:r w:rsidRPr="004A7E5B">
              <w:rPr>
                <w:rFonts w:cstheme="minorHAnsi"/>
                <w:sz w:val="20"/>
                <w:szCs w:val="20"/>
              </w:rPr>
              <w:t>973,534,797</w:t>
            </w:r>
          </w:p>
        </w:tc>
        <w:tc>
          <w:tcPr>
            <w:tcW w:w="1553" w:type="dxa"/>
            <w:shd w:val="clear" w:color="auto" w:fill="auto"/>
            <w:vAlign w:val="center"/>
          </w:tcPr>
          <w:p w14:paraId="10FE7FE5" w14:textId="77777777" w:rsidR="008B3A8F" w:rsidRPr="00DF1859" w:rsidRDefault="008B3A8F" w:rsidP="008B3A8F">
            <w:pPr>
              <w:jc w:val="center"/>
              <w:rPr>
                <w:rFonts w:cstheme="minorHAnsi"/>
                <w:i/>
                <w:sz w:val="20"/>
                <w:szCs w:val="20"/>
              </w:rPr>
            </w:pPr>
            <w:r w:rsidRPr="00DF1859">
              <w:rPr>
                <w:rFonts w:cstheme="minorHAnsi"/>
                <w:i/>
                <w:sz w:val="20"/>
                <w:szCs w:val="20"/>
              </w:rPr>
              <w:t>39.2%</w:t>
            </w:r>
          </w:p>
        </w:tc>
      </w:tr>
      <w:tr w:rsidR="008B3A8F" w14:paraId="12BBD525" w14:textId="77777777" w:rsidTr="008B3A8F">
        <w:trPr>
          <w:trHeight w:val="227"/>
        </w:trPr>
        <w:tc>
          <w:tcPr>
            <w:tcW w:w="6378" w:type="dxa"/>
            <w:shd w:val="clear" w:color="auto" w:fill="auto"/>
          </w:tcPr>
          <w:p w14:paraId="7569FA21" w14:textId="77777777" w:rsidR="008B3A8F" w:rsidRPr="004A7E5B" w:rsidRDefault="008B3A8F" w:rsidP="008B3A8F">
            <w:pPr>
              <w:ind w:left="179"/>
              <w:rPr>
                <w:rFonts w:cstheme="minorHAnsi"/>
                <w:sz w:val="20"/>
                <w:szCs w:val="20"/>
              </w:rPr>
            </w:pPr>
            <w:r w:rsidRPr="004A7E5B">
              <w:rPr>
                <w:rFonts w:cstheme="minorHAnsi"/>
                <w:sz w:val="20"/>
                <w:szCs w:val="20"/>
              </w:rPr>
              <w:t>Staff costs - other</w:t>
            </w:r>
          </w:p>
        </w:tc>
        <w:tc>
          <w:tcPr>
            <w:tcW w:w="1701" w:type="dxa"/>
            <w:shd w:val="clear" w:color="auto" w:fill="auto"/>
          </w:tcPr>
          <w:p w14:paraId="7DADCBD4" w14:textId="77777777" w:rsidR="008B3A8F" w:rsidRPr="004A7E5B" w:rsidRDefault="008B3A8F" w:rsidP="008B3A8F">
            <w:pPr>
              <w:ind w:left="179"/>
              <w:jc w:val="right"/>
              <w:rPr>
                <w:rFonts w:cstheme="minorHAnsi"/>
                <w:sz w:val="20"/>
                <w:szCs w:val="20"/>
              </w:rPr>
            </w:pPr>
            <w:r w:rsidRPr="004A7E5B">
              <w:rPr>
                <w:rFonts w:cstheme="minorHAnsi"/>
                <w:sz w:val="20"/>
                <w:szCs w:val="20"/>
              </w:rPr>
              <w:t>343,508,029</w:t>
            </w:r>
          </w:p>
        </w:tc>
        <w:tc>
          <w:tcPr>
            <w:tcW w:w="1553" w:type="dxa"/>
            <w:shd w:val="clear" w:color="auto" w:fill="auto"/>
            <w:vAlign w:val="center"/>
          </w:tcPr>
          <w:p w14:paraId="0F71905C" w14:textId="77777777" w:rsidR="008B3A8F" w:rsidRPr="00DF1859" w:rsidRDefault="008B3A8F" w:rsidP="008B3A8F">
            <w:pPr>
              <w:jc w:val="center"/>
              <w:rPr>
                <w:rFonts w:cstheme="minorHAnsi"/>
                <w:i/>
                <w:sz w:val="20"/>
                <w:szCs w:val="20"/>
              </w:rPr>
            </w:pPr>
            <w:r w:rsidRPr="00DF1859">
              <w:rPr>
                <w:rFonts w:cstheme="minorHAnsi"/>
                <w:i/>
                <w:sz w:val="20"/>
                <w:szCs w:val="20"/>
              </w:rPr>
              <w:t>13.8%</w:t>
            </w:r>
          </w:p>
        </w:tc>
      </w:tr>
      <w:tr w:rsidR="008B3A8F" w14:paraId="73F3AB35" w14:textId="77777777" w:rsidTr="008B3A8F">
        <w:trPr>
          <w:trHeight w:val="227"/>
        </w:trPr>
        <w:tc>
          <w:tcPr>
            <w:tcW w:w="6378" w:type="dxa"/>
            <w:shd w:val="clear" w:color="auto" w:fill="auto"/>
          </w:tcPr>
          <w:p w14:paraId="4AEC9700" w14:textId="77777777" w:rsidR="008B3A8F" w:rsidRPr="004A7E5B" w:rsidRDefault="008B3A8F" w:rsidP="008B3A8F">
            <w:pPr>
              <w:ind w:left="179"/>
              <w:rPr>
                <w:rFonts w:cstheme="minorHAnsi"/>
                <w:sz w:val="20"/>
                <w:szCs w:val="20"/>
              </w:rPr>
            </w:pPr>
            <w:r w:rsidRPr="004A7E5B">
              <w:rPr>
                <w:rFonts w:cstheme="minorHAnsi"/>
                <w:sz w:val="20"/>
                <w:szCs w:val="20"/>
              </w:rPr>
              <w:t>Care related expenses</w:t>
            </w:r>
          </w:p>
        </w:tc>
        <w:tc>
          <w:tcPr>
            <w:tcW w:w="1701" w:type="dxa"/>
            <w:shd w:val="clear" w:color="auto" w:fill="auto"/>
          </w:tcPr>
          <w:p w14:paraId="7169BB6E" w14:textId="77777777" w:rsidR="008B3A8F" w:rsidRPr="004A7E5B" w:rsidRDefault="008B3A8F" w:rsidP="008B3A8F">
            <w:pPr>
              <w:ind w:left="179"/>
              <w:jc w:val="right"/>
              <w:rPr>
                <w:rFonts w:cstheme="minorHAnsi"/>
                <w:sz w:val="20"/>
                <w:szCs w:val="20"/>
              </w:rPr>
            </w:pPr>
            <w:r w:rsidRPr="004A7E5B">
              <w:rPr>
                <w:rFonts w:cstheme="minorHAnsi"/>
                <w:sz w:val="20"/>
                <w:szCs w:val="20"/>
              </w:rPr>
              <w:t>267,347,976</w:t>
            </w:r>
          </w:p>
        </w:tc>
        <w:tc>
          <w:tcPr>
            <w:tcW w:w="1553" w:type="dxa"/>
            <w:shd w:val="clear" w:color="auto" w:fill="auto"/>
            <w:vAlign w:val="center"/>
          </w:tcPr>
          <w:p w14:paraId="00486267" w14:textId="77777777" w:rsidR="008B3A8F" w:rsidRPr="00DF1859" w:rsidRDefault="008B3A8F" w:rsidP="008B3A8F">
            <w:pPr>
              <w:jc w:val="center"/>
              <w:rPr>
                <w:rFonts w:cstheme="minorHAnsi"/>
                <w:i/>
                <w:sz w:val="20"/>
                <w:szCs w:val="20"/>
              </w:rPr>
            </w:pPr>
            <w:r w:rsidRPr="00DF1859">
              <w:rPr>
                <w:rFonts w:cstheme="minorHAnsi"/>
                <w:i/>
                <w:sz w:val="20"/>
                <w:szCs w:val="20"/>
              </w:rPr>
              <w:t>10.8%</w:t>
            </w:r>
          </w:p>
        </w:tc>
      </w:tr>
      <w:tr w:rsidR="008B3A8F" w14:paraId="7AFA8893" w14:textId="77777777" w:rsidTr="008B3A8F">
        <w:trPr>
          <w:trHeight w:val="227"/>
        </w:trPr>
        <w:tc>
          <w:tcPr>
            <w:tcW w:w="6378" w:type="dxa"/>
            <w:shd w:val="clear" w:color="auto" w:fill="auto"/>
          </w:tcPr>
          <w:p w14:paraId="65FC0D62" w14:textId="77777777" w:rsidR="008B3A8F" w:rsidRPr="004A7E5B" w:rsidRDefault="008B3A8F" w:rsidP="008B3A8F">
            <w:pPr>
              <w:ind w:left="179"/>
              <w:rPr>
                <w:rFonts w:cstheme="minorHAnsi"/>
                <w:sz w:val="20"/>
                <w:szCs w:val="20"/>
              </w:rPr>
            </w:pPr>
            <w:r w:rsidRPr="004A7E5B">
              <w:rPr>
                <w:rFonts w:cstheme="minorHAnsi"/>
                <w:sz w:val="20"/>
                <w:szCs w:val="20"/>
              </w:rPr>
              <w:t>Sub-contracted or brokered client services</w:t>
            </w:r>
          </w:p>
        </w:tc>
        <w:tc>
          <w:tcPr>
            <w:tcW w:w="1701" w:type="dxa"/>
            <w:shd w:val="clear" w:color="auto" w:fill="auto"/>
          </w:tcPr>
          <w:p w14:paraId="119A5DDE" w14:textId="77777777" w:rsidR="008B3A8F" w:rsidRPr="004A7E5B" w:rsidRDefault="008B3A8F" w:rsidP="008B3A8F">
            <w:pPr>
              <w:ind w:left="179"/>
              <w:jc w:val="right"/>
              <w:rPr>
                <w:rFonts w:cstheme="minorHAnsi"/>
                <w:sz w:val="20"/>
                <w:szCs w:val="20"/>
              </w:rPr>
            </w:pPr>
            <w:r w:rsidRPr="004A7E5B">
              <w:rPr>
                <w:rFonts w:cstheme="minorHAnsi"/>
                <w:sz w:val="20"/>
                <w:szCs w:val="20"/>
              </w:rPr>
              <w:t>387,566,058</w:t>
            </w:r>
          </w:p>
        </w:tc>
        <w:tc>
          <w:tcPr>
            <w:tcW w:w="1553" w:type="dxa"/>
            <w:shd w:val="clear" w:color="auto" w:fill="auto"/>
            <w:vAlign w:val="center"/>
          </w:tcPr>
          <w:p w14:paraId="6A0FCB63" w14:textId="77777777" w:rsidR="008B3A8F" w:rsidRPr="00DF1859" w:rsidRDefault="008B3A8F" w:rsidP="008B3A8F">
            <w:pPr>
              <w:jc w:val="center"/>
              <w:rPr>
                <w:rFonts w:cstheme="minorHAnsi"/>
                <w:i/>
                <w:sz w:val="20"/>
                <w:szCs w:val="20"/>
              </w:rPr>
            </w:pPr>
            <w:r w:rsidRPr="00DF1859">
              <w:rPr>
                <w:rFonts w:cstheme="minorHAnsi"/>
                <w:i/>
                <w:sz w:val="20"/>
                <w:szCs w:val="20"/>
              </w:rPr>
              <w:t>15.6%</w:t>
            </w:r>
          </w:p>
        </w:tc>
      </w:tr>
      <w:tr w:rsidR="008B3A8F" w14:paraId="1ECEC177" w14:textId="77777777" w:rsidTr="008B3A8F">
        <w:trPr>
          <w:trHeight w:val="227"/>
        </w:trPr>
        <w:tc>
          <w:tcPr>
            <w:tcW w:w="6378" w:type="dxa"/>
            <w:shd w:val="clear" w:color="auto" w:fill="auto"/>
          </w:tcPr>
          <w:p w14:paraId="78567A04" w14:textId="77777777" w:rsidR="008B3A8F" w:rsidRPr="004A7E5B" w:rsidRDefault="008B3A8F" w:rsidP="008B3A8F">
            <w:pPr>
              <w:ind w:left="179"/>
              <w:rPr>
                <w:rFonts w:cstheme="minorHAnsi"/>
                <w:sz w:val="20"/>
                <w:szCs w:val="20"/>
              </w:rPr>
            </w:pPr>
            <w:r w:rsidRPr="004A7E5B">
              <w:rPr>
                <w:rFonts w:cstheme="minorHAnsi"/>
                <w:sz w:val="20"/>
                <w:szCs w:val="20"/>
              </w:rPr>
              <w:t>Administration costs and management fees</w:t>
            </w:r>
          </w:p>
        </w:tc>
        <w:tc>
          <w:tcPr>
            <w:tcW w:w="1701" w:type="dxa"/>
            <w:shd w:val="clear" w:color="auto" w:fill="auto"/>
          </w:tcPr>
          <w:p w14:paraId="2893ED28" w14:textId="77777777" w:rsidR="008B3A8F" w:rsidRPr="004A7E5B" w:rsidRDefault="008B3A8F" w:rsidP="008B3A8F">
            <w:pPr>
              <w:ind w:left="179"/>
              <w:jc w:val="right"/>
              <w:rPr>
                <w:rFonts w:cstheme="minorHAnsi"/>
                <w:sz w:val="20"/>
                <w:szCs w:val="20"/>
              </w:rPr>
            </w:pPr>
            <w:r w:rsidRPr="004A7E5B">
              <w:rPr>
                <w:rFonts w:cstheme="minorHAnsi"/>
                <w:sz w:val="20"/>
                <w:szCs w:val="20"/>
              </w:rPr>
              <w:t>322,318,988</w:t>
            </w:r>
          </w:p>
        </w:tc>
        <w:tc>
          <w:tcPr>
            <w:tcW w:w="1553" w:type="dxa"/>
            <w:shd w:val="clear" w:color="auto" w:fill="auto"/>
            <w:vAlign w:val="center"/>
          </w:tcPr>
          <w:p w14:paraId="4DFDDB31" w14:textId="77777777" w:rsidR="008B3A8F" w:rsidRPr="00DF1859" w:rsidRDefault="008B3A8F" w:rsidP="008B3A8F">
            <w:pPr>
              <w:jc w:val="center"/>
              <w:rPr>
                <w:rFonts w:cstheme="minorHAnsi"/>
                <w:i/>
                <w:sz w:val="20"/>
                <w:szCs w:val="20"/>
              </w:rPr>
            </w:pPr>
            <w:r w:rsidRPr="00DF1859">
              <w:rPr>
                <w:rFonts w:cstheme="minorHAnsi"/>
                <w:i/>
                <w:sz w:val="20"/>
                <w:szCs w:val="20"/>
              </w:rPr>
              <w:t>13.0%</w:t>
            </w:r>
          </w:p>
        </w:tc>
      </w:tr>
      <w:tr w:rsidR="008B3A8F" w14:paraId="060AD1A7" w14:textId="77777777" w:rsidTr="008B3A8F">
        <w:trPr>
          <w:trHeight w:val="227"/>
        </w:trPr>
        <w:tc>
          <w:tcPr>
            <w:tcW w:w="6378" w:type="dxa"/>
            <w:shd w:val="clear" w:color="auto" w:fill="auto"/>
          </w:tcPr>
          <w:p w14:paraId="7CE0C3D3" w14:textId="77777777" w:rsidR="008B3A8F" w:rsidRPr="004A7E5B" w:rsidRDefault="008B3A8F" w:rsidP="008B3A8F">
            <w:pPr>
              <w:ind w:left="179"/>
              <w:rPr>
                <w:rFonts w:cstheme="minorHAnsi"/>
                <w:sz w:val="20"/>
                <w:szCs w:val="20"/>
              </w:rPr>
            </w:pPr>
            <w:r w:rsidRPr="004A7E5B">
              <w:rPr>
                <w:rFonts w:cstheme="minorHAnsi"/>
                <w:sz w:val="20"/>
                <w:szCs w:val="20"/>
              </w:rPr>
              <w:t>Depreciation expense</w:t>
            </w:r>
          </w:p>
        </w:tc>
        <w:tc>
          <w:tcPr>
            <w:tcW w:w="1701" w:type="dxa"/>
            <w:shd w:val="clear" w:color="auto" w:fill="auto"/>
          </w:tcPr>
          <w:p w14:paraId="55C56E70" w14:textId="77777777" w:rsidR="008B3A8F" w:rsidRPr="004A7E5B" w:rsidRDefault="008B3A8F" w:rsidP="008B3A8F">
            <w:pPr>
              <w:ind w:left="179"/>
              <w:jc w:val="right"/>
              <w:rPr>
                <w:rFonts w:cstheme="minorHAnsi"/>
                <w:sz w:val="20"/>
                <w:szCs w:val="20"/>
              </w:rPr>
            </w:pPr>
            <w:r w:rsidRPr="004A7E5B">
              <w:rPr>
                <w:rFonts w:cstheme="minorHAnsi"/>
                <w:sz w:val="20"/>
                <w:szCs w:val="20"/>
              </w:rPr>
              <w:t>16,500,027</w:t>
            </w:r>
          </w:p>
        </w:tc>
        <w:tc>
          <w:tcPr>
            <w:tcW w:w="1553" w:type="dxa"/>
            <w:shd w:val="clear" w:color="auto" w:fill="auto"/>
            <w:vAlign w:val="center"/>
          </w:tcPr>
          <w:p w14:paraId="122A9109" w14:textId="77777777" w:rsidR="008B3A8F" w:rsidRPr="00DF1859" w:rsidRDefault="008B3A8F" w:rsidP="008B3A8F">
            <w:pPr>
              <w:jc w:val="center"/>
              <w:rPr>
                <w:rFonts w:cstheme="minorHAnsi"/>
                <w:i/>
                <w:sz w:val="20"/>
                <w:szCs w:val="20"/>
              </w:rPr>
            </w:pPr>
            <w:r w:rsidRPr="00DF1859">
              <w:rPr>
                <w:rFonts w:cstheme="minorHAnsi"/>
                <w:i/>
                <w:sz w:val="20"/>
                <w:szCs w:val="20"/>
              </w:rPr>
              <w:t>0.7%</w:t>
            </w:r>
          </w:p>
        </w:tc>
      </w:tr>
      <w:tr w:rsidR="008B3A8F" w14:paraId="219E2B58" w14:textId="77777777" w:rsidTr="008B3A8F">
        <w:trPr>
          <w:trHeight w:val="227"/>
        </w:trPr>
        <w:tc>
          <w:tcPr>
            <w:tcW w:w="6378" w:type="dxa"/>
            <w:shd w:val="clear" w:color="auto" w:fill="auto"/>
          </w:tcPr>
          <w:p w14:paraId="68199CCD" w14:textId="77777777" w:rsidR="008B3A8F" w:rsidRPr="004A7E5B" w:rsidRDefault="008B3A8F" w:rsidP="008B3A8F">
            <w:pPr>
              <w:ind w:left="179"/>
              <w:rPr>
                <w:rFonts w:cstheme="minorHAnsi"/>
                <w:sz w:val="20"/>
                <w:szCs w:val="20"/>
              </w:rPr>
            </w:pPr>
            <w:r w:rsidRPr="004A7E5B">
              <w:rPr>
                <w:rFonts w:cstheme="minorHAnsi"/>
                <w:sz w:val="20"/>
                <w:szCs w:val="20"/>
              </w:rPr>
              <w:t>Interest expense</w:t>
            </w:r>
          </w:p>
        </w:tc>
        <w:tc>
          <w:tcPr>
            <w:tcW w:w="1701" w:type="dxa"/>
            <w:shd w:val="clear" w:color="auto" w:fill="auto"/>
          </w:tcPr>
          <w:p w14:paraId="39A159F6" w14:textId="77777777" w:rsidR="008B3A8F" w:rsidRPr="004A7E5B" w:rsidRDefault="008B3A8F" w:rsidP="008B3A8F">
            <w:pPr>
              <w:ind w:left="179"/>
              <w:jc w:val="right"/>
              <w:rPr>
                <w:rFonts w:cstheme="minorHAnsi"/>
                <w:sz w:val="20"/>
                <w:szCs w:val="20"/>
              </w:rPr>
            </w:pPr>
            <w:r w:rsidRPr="004A7E5B">
              <w:rPr>
                <w:rFonts w:cstheme="minorHAnsi"/>
                <w:sz w:val="20"/>
                <w:szCs w:val="20"/>
              </w:rPr>
              <w:t>6,947,132</w:t>
            </w:r>
          </w:p>
        </w:tc>
        <w:tc>
          <w:tcPr>
            <w:tcW w:w="1553" w:type="dxa"/>
            <w:shd w:val="clear" w:color="auto" w:fill="auto"/>
            <w:vAlign w:val="center"/>
          </w:tcPr>
          <w:p w14:paraId="7E050502" w14:textId="77777777" w:rsidR="008B3A8F" w:rsidRPr="00DF1859" w:rsidRDefault="008B3A8F" w:rsidP="008B3A8F">
            <w:pPr>
              <w:jc w:val="center"/>
              <w:rPr>
                <w:rFonts w:cstheme="minorHAnsi"/>
                <w:i/>
                <w:sz w:val="20"/>
                <w:szCs w:val="20"/>
              </w:rPr>
            </w:pPr>
            <w:r w:rsidRPr="00DF1859">
              <w:rPr>
                <w:rFonts w:cstheme="minorHAnsi"/>
                <w:i/>
                <w:sz w:val="20"/>
                <w:szCs w:val="20"/>
              </w:rPr>
              <w:t>0.3%</w:t>
            </w:r>
          </w:p>
        </w:tc>
      </w:tr>
      <w:tr w:rsidR="008B3A8F" w14:paraId="5E44B775" w14:textId="77777777" w:rsidTr="008B3A8F">
        <w:trPr>
          <w:trHeight w:val="227"/>
        </w:trPr>
        <w:tc>
          <w:tcPr>
            <w:tcW w:w="6378" w:type="dxa"/>
            <w:shd w:val="clear" w:color="auto" w:fill="auto"/>
          </w:tcPr>
          <w:p w14:paraId="4BF18E22" w14:textId="77777777" w:rsidR="008B3A8F" w:rsidRPr="004A7E5B" w:rsidRDefault="008B3A8F" w:rsidP="008B3A8F">
            <w:pPr>
              <w:ind w:left="179"/>
              <w:rPr>
                <w:rFonts w:cstheme="minorHAnsi"/>
                <w:sz w:val="20"/>
                <w:szCs w:val="20"/>
              </w:rPr>
            </w:pPr>
            <w:r w:rsidRPr="004A7E5B">
              <w:rPr>
                <w:rFonts w:cstheme="minorHAnsi"/>
                <w:sz w:val="20"/>
                <w:szCs w:val="20"/>
              </w:rPr>
              <w:t>Other expenses</w:t>
            </w:r>
          </w:p>
        </w:tc>
        <w:tc>
          <w:tcPr>
            <w:tcW w:w="1701" w:type="dxa"/>
            <w:shd w:val="clear" w:color="auto" w:fill="auto"/>
          </w:tcPr>
          <w:p w14:paraId="0CE68CEA" w14:textId="77777777" w:rsidR="008B3A8F" w:rsidRPr="004A7E5B" w:rsidRDefault="008B3A8F" w:rsidP="008B3A8F">
            <w:pPr>
              <w:ind w:left="179"/>
              <w:jc w:val="right"/>
              <w:rPr>
                <w:rFonts w:cstheme="minorHAnsi"/>
                <w:sz w:val="20"/>
                <w:szCs w:val="20"/>
              </w:rPr>
            </w:pPr>
            <w:r w:rsidRPr="004A7E5B">
              <w:rPr>
                <w:rFonts w:cstheme="minorHAnsi"/>
                <w:sz w:val="20"/>
                <w:szCs w:val="20"/>
              </w:rPr>
              <w:t>70,068,008</w:t>
            </w:r>
          </w:p>
        </w:tc>
        <w:tc>
          <w:tcPr>
            <w:tcW w:w="1553" w:type="dxa"/>
            <w:shd w:val="clear" w:color="auto" w:fill="auto"/>
            <w:vAlign w:val="center"/>
          </w:tcPr>
          <w:p w14:paraId="03B8A954" w14:textId="77777777" w:rsidR="008B3A8F" w:rsidRPr="00DF1859" w:rsidRDefault="008B3A8F" w:rsidP="008B3A8F">
            <w:pPr>
              <w:jc w:val="center"/>
              <w:rPr>
                <w:rFonts w:cstheme="minorHAnsi"/>
                <w:i/>
                <w:sz w:val="20"/>
                <w:szCs w:val="20"/>
              </w:rPr>
            </w:pPr>
            <w:r w:rsidRPr="00DF1859">
              <w:rPr>
                <w:rFonts w:cstheme="minorHAnsi"/>
                <w:i/>
                <w:sz w:val="20"/>
                <w:szCs w:val="20"/>
              </w:rPr>
              <w:t>2.8%</w:t>
            </w:r>
          </w:p>
        </w:tc>
      </w:tr>
      <w:tr w:rsidR="008B3A8F" w14:paraId="548E6EC3" w14:textId="77777777" w:rsidTr="008B3A8F">
        <w:trPr>
          <w:trHeight w:val="227"/>
        </w:trPr>
        <w:tc>
          <w:tcPr>
            <w:tcW w:w="6378" w:type="dxa"/>
            <w:shd w:val="clear" w:color="auto" w:fill="D9E2F3" w:themeFill="accent5" w:themeFillTint="33"/>
          </w:tcPr>
          <w:p w14:paraId="0D3EE956" w14:textId="77777777" w:rsidR="008B3A8F" w:rsidRPr="004A7E5B" w:rsidRDefault="008B3A8F" w:rsidP="008B3A8F">
            <w:pPr>
              <w:rPr>
                <w:rFonts w:cstheme="minorHAnsi"/>
                <w:b/>
                <w:i/>
                <w:sz w:val="20"/>
                <w:szCs w:val="20"/>
              </w:rPr>
            </w:pPr>
            <w:r w:rsidRPr="004A7E5B">
              <w:rPr>
                <w:rFonts w:cstheme="minorHAnsi"/>
                <w:b/>
                <w:i/>
                <w:sz w:val="20"/>
                <w:szCs w:val="20"/>
              </w:rPr>
              <w:t>Total expenses</w:t>
            </w:r>
          </w:p>
        </w:tc>
        <w:tc>
          <w:tcPr>
            <w:tcW w:w="1701" w:type="dxa"/>
            <w:shd w:val="clear" w:color="auto" w:fill="D9E2F3" w:themeFill="accent5" w:themeFillTint="33"/>
          </w:tcPr>
          <w:p w14:paraId="418A35F3" w14:textId="77777777" w:rsidR="008B3A8F" w:rsidRPr="004A7E5B" w:rsidRDefault="008B3A8F" w:rsidP="008B3A8F">
            <w:pPr>
              <w:jc w:val="right"/>
              <w:rPr>
                <w:rFonts w:cstheme="minorHAnsi"/>
                <w:b/>
                <w:i/>
                <w:sz w:val="20"/>
                <w:szCs w:val="20"/>
              </w:rPr>
            </w:pPr>
            <w:r w:rsidRPr="004A7E5B">
              <w:rPr>
                <w:rFonts w:cstheme="minorHAnsi"/>
                <w:b/>
                <w:i/>
                <w:sz w:val="20"/>
                <w:szCs w:val="20"/>
              </w:rPr>
              <w:t>2,387,791,015</w:t>
            </w:r>
          </w:p>
        </w:tc>
        <w:tc>
          <w:tcPr>
            <w:tcW w:w="1553" w:type="dxa"/>
            <w:shd w:val="clear" w:color="auto" w:fill="D9E2F3" w:themeFill="accent5" w:themeFillTint="33"/>
            <w:vAlign w:val="center"/>
          </w:tcPr>
          <w:p w14:paraId="6E447D79" w14:textId="77777777" w:rsidR="008B3A8F" w:rsidRPr="004A7E5B" w:rsidRDefault="008B3A8F" w:rsidP="008B3A8F">
            <w:pPr>
              <w:jc w:val="center"/>
              <w:rPr>
                <w:rFonts w:cstheme="minorHAnsi"/>
                <w:b/>
                <w:i/>
                <w:sz w:val="20"/>
                <w:szCs w:val="20"/>
              </w:rPr>
            </w:pPr>
            <w:r w:rsidRPr="004A7E5B">
              <w:rPr>
                <w:rFonts w:cstheme="minorHAnsi"/>
                <w:b/>
                <w:i/>
                <w:sz w:val="20"/>
                <w:szCs w:val="20"/>
              </w:rPr>
              <w:t>96.2%</w:t>
            </w:r>
          </w:p>
        </w:tc>
      </w:tr>
      <w:tr w:rsidR="008B3A8F" w14:paraId="04385111" w14:textId="77777777" w:rsidTr="008B3A8F">
        <w:trPr>
          <w:trHeight w:val="227"/>
        </w:trPr>
        <w:tc>
          <w:tcPr>
            <w:tcW w:w="6378" w:type="dxa"/>
            <w:shd w:val="clear" w:color="auto" w:fill="FFE599" w:themeFill="accent4" w:themeFillTint="66"/>
          </w:tcPr>
          <w:p w14:paraId="773C0694" w14:textId="77777777" w:rsidR="008B3A8F" w:rsidRPr="004A7E5B" w:rsidRDefault="008B3A8F" w:rsidP="008B3A8F">
            <w:pPr>
              <w:rPr>
                <w:rFonts w:cstheme="minorHAnsi"/>
                <w:b/>
                <w:sz w:val="20"/>
                <w:szCs w:val="20"/>
              </w:rPr>
            </w:pPr>
            <w:r w:rsidRPr="004A7E5B">
              <w:rPr>
                <w:rFonts w:cstheme="minorHAnsi"/>
                <w:b/>
                <w:sz w:val="20"/>
                <w:szCs w:val="20"/>
              </w:rPr>
              <w:t>Net Profit Before Tax</w:t>
            </w:r>
          </w:p>
        </w:tc>
        <w:tc>
          <w:tcPr>
            <w:tcW w:w="1701" w:type="dxa"/>
            <w:shd w:val="clear" w:color="auto" w:fill="FFE599" w:themeFill="accent4" w:themeFillTint="66"/>
          </w:tcPr>
          <w:p w14:paraId="54D55081" w14:textId="77777777" w:rsidR="008B3A8F" w:rsidRPr="004A7E5B" w:rsidRDefault="008B3A8F" w:rsidP="008B3A8F">
            <w:pPr>
              <w:jc w:val="right"/>
              <w:rPr>
                <w:rFonts w:cstheme="minorHAnsi"/>
                <w:b/>
                <w:sz w:val="20"/>
                <w:szCs w:val="20"/>
              </w:rPr>
            </w:pPr>
            <w:r w:rsidRPr="004A7E5B">
              <w:rPr>
                <w:rFonts w:cstheme="minorHAnsi"/>
                <w:b/>
                <w:sz w:val="20"/>
                <w:szCs w:val="20"/>
              </w:rPr>
              <w:t>$ 93,391,717</w:t>
            </w:r>
          </w:p>
        </w:tc>
        <w:tc>
          <w:tcPr>
            <w:tcW w:w="1553" w:type="dxa"/>
            <w:shd w:val="clear" w:color="auto" w:fill="FFE599" w:themeFill="accent4" w:themeFillTint="66"/>
            <w:vAlign w:val="center"/>
          </w:tcPr>
          <w:p w14:paraId="167E3EB5" w14:textId="77777777" w:rsidR="008B3A8F" w:rsidRPr="00F23F69" w:rsidRDefault="008B3A8F" w:rsidP="008B3A8F">
            <w:pPr>
              <w:jc w:val="center"/>
              <w:rPr>
                <w:rFonts w:cstheme="minorHAnsi"/>
                <w:b/>
                <w:i/>
                <w:sz w:val="20"/>
                <w:szCs w:val="20"/>
              </w:rPr>
            </w:pPr>
            <w:r w:rsidRPr="00F23F69">
              <w:rPr>
                <w:rFonts w:cstheme="minorHAnsi"/>
                <w:b/>
                <w:i/>
                <w:sz w:val="20"/>
                <w:szCs w:val="20"/>
              </w:rPr>
              <w:t>3.8%</w:t>
            </w:r>
          </w:p>
        </w:tc>
      </w:tr>
      <w:tr w:rsidR="008B3A8F" w14:paraId="38A031A5" w14:textId="77777777" w:rsidTr="008B3A8F">
        <w:trPr>
          <w:trHeight w:val="227"/>
        </w:trPr>
        <w:tc>
          <w:tcPr>
            <w:tcW w:w="6378" w:type="dxa"/>
            <w:shd w:val="clear" w:color="auto" w:fill="FFFFFF" w:themeFill="background1"/>
          </w:tcPr>
          <w:p w14:paraId="7F8AAC33" w14:textId="77777777" w:rsidR="008B3A8F" w:rsidRPr="004A7E5B" w:rsidRDefault="008B3A8F" w:rsidP="008B3A8F">
            <w:pPr>
              <w:rPr>
                <w:rFonts w:cstheme="minorHAnsi"/>
                <w:b/>
                <w:sz w:val="20"/>
                <w:szCs w:val="20"/>
              </w:rPr>
            </w:pPr>
          </w:p>
        </w:tc>
        <w:tc>
          <w:tcPr>
            <w:tcW w:w="1701" w:type="dxa"/>
            <w:shd w:val="clear" w:color="auto" w:fill="FFFFFF" w:themeFill="background1"/>
          </w:tcPr>
          <w:p w14:paraId="05FD151F" w14:textId="77777777" w:rsidR="008B3A8F" w:rsidRPr="004A7E5B" w:rsidRDefault="008B3A8F" w:rsidP="008B3A8F">
            <w:pPr>
              <w:jc w:val="right"/>
              <w:rPr>
                <w:rFonts w:cstheme="minorHAnsi"/>
                <w:b/>
                <w:sz w:val="20"/>
                <w:szCs w:val="20"/>
              </w:rPr>
            </w:pPr>
          </w:p>
        </w:tc>
        <w:tc>
          <w:tcPr>
            <w:tcW w:w="1553" w:type="dxa"/>
            <w:shd w:val="clear" w:color="auto" w:fill="FFFFFF" w:themeFill="background1"/>
            <w:vAlign w:val="center"/>
          </w:tcPr>
          <w:p w14:paraId="591FEBA6" w14:textId="77777777" w:rsidR="008B3A8F" w:rsidRPr="00F23F69" w:rsidRDefault="008B3A8F" w:rsidP="008B3A8F">
            <w:pPr>
              <w:jc w:val="center"/>
              <w:rPr>
                <w:rFonts w:cstheme="minorHAnsi"/>
                <w:b/>
                <w:i/>
                <w:sz w:val="20"/>
                <w:szCs w:val="20"/>
              </w:rPr>
            </w:pPr>
          </w:p>
        </w:tc>
      </w:tr>
      <w:tr w:rsidR="008B3A8F" w14:paraId="6BB9D290" w14:textId="77777777" w:rsidTr="008B3A8F">
        <w:trPr>
          <w:trHeight w:val="227"/>
        </w:trPr>
        <w:tc>
          <w:tcPr>
            <w:tcW w:w="6378" w:type="dxa"/>
            <w:shd w:val="clear" w:color="auto" w:fill="FFFFFF" w:themeFill="background1"/>
          </w:tcPr>
          <w:p w14:paraId="749D67D2" w14:textId="5B14AFB6" w:rsidR="008B3A8F" w:rsidRPr="005E3B4C" w:rsidRDefault="008B3A8F" w:rsidP="008B3A8F">
            <w:pPr>
              <w:rPr>
                <w:rFonts w:cstheme="minorHAnsi"/>
                <w:sz w:val="20"/>
                <w:szCs w:val="20"/>
              </w:rPr>
            </w:pPr>
            <w:r>
              <w:rPr>
                <w:rFonts w:cstheme="minorHAnsi"/>
                <w:b/>
                <w:sz w:val="20"/>
                <w:szCs w:val="20"/>
              </w:rPr>
              <w:t>NPBT $ per care recipient pa</w:t>
            </w:r>
            <w:r>
              <w:rPr>
                <w:rFonts w:cstheme="minorHAnsi"/>
                <w:sz w:val="20"/>
                <w:szCs w:val="20"/>
              </w:rPr>
              <w:t xml:space="preserve"> </w:t>
            </w:r>
            <w:r w:rsidRPr="00B51C39">
              <w:rPr>
                <w:rFonts w:cstheme="minorHAnsi"/>
                <w:i/>
                <w:sz w:val="20"/>
                <w:szCs w:val="20"/>
              </w:rPr>
              <w:t>(</w:t>
            </w:r>
            <w:r w:rsidR="00B51C39" w:rsidRPr="00B51C39">
              <w:rPr>
                <w:rFonts w:cstheme="minorHAnsi"/>
                <w:i/>
                <w:sz w:val="20"/>
                <w:szCs w:val="20"/>
              </w:rPr>
              <w:t>based on estimate of 79,000 packages</w:t>
            </w:r>
            <w:r w:rsidRPr="00B51C39">
              <w:rPr>
                <w:rFonts w:cstheme="minorHAnsi"/>
                <w:i/>
                <w:sz w:val="20"/>
                <w:szCs w:val="20"/>
              </w:rPr>
              <w:t xml:space="preserve">) </w:t>
            </w:r>
          </w:p>
        </w:tc>
        <w:tc>
          <w:tcPr>
            <w:tcW w:w="1701" w:type="dxa"/>
            <w:shd w:val="clear" w:color="auto" w:fill="FFFFFF" w:themeFill="background1"/>
          </w:tcPr>
          <w:p w14:paraId="55A4DE2C" w14:textId="0FE776DB" w:rsidR="008B3A8F" w:rsidRPr="004A7E5B" w:rsidRDefault="00B51C39" w:rsidP="008B3A8F">
            <w:pPr>
              <w:jc w:val="right"/>
              <w:rPr>
                <w:rFonts w:cstheme="minorHAnsi"/>
                <w:b/>
                <w:sz w:val="20"/>
                <w:szCs w:val="20"/>
              </w:rPr>
            </w:pPr>
            <w:r>
              <w:rPr>
                <w:rFonts w:cstheme="minorHAnsi"/>
                <w:b/>
                <w:sz w:val="20"/>
                <w:szCs w:val="20"/>
              </w:rPr>
              <w:t>$ 1,182</w:t>
            </w:r>
          </w:p>
        </w:tc>
        <w:tc>
          <w:tcPr>
            <w:tcW w:w="1553" w:type="dxa"/>
            <w:shd w:val="clear" w:color="auto" w:fill="FFFFFF" w:themeFill="background1"/>
            <w:vAlign w:val="center"/>
          </w:tcPr>
          <w:p w14:paraId="30EC13A1" w14:textId="77777777" w:rsidR="008B3A8F" w:rsidRPr="00F23F69" w:rsidRDefault="008B3A8F" w:rsidP="008B3A8F">
            <w:pPr>
              <w:jc w:val="center"/>
              <w:rPr>
                <w:rFonts w:cstheme="minorHAnsi"/>
                <w:b/>
                <w:i/>
                <w:sz w:val="20"/>
                <w:szCs w:val="20"/>
              </w:rPr>
            </w:pPr>
          </w:p>
        </w:tc>
      </w:tr>
    </w:tbl>
    <w:p w14:paraId="47032B93" w14:textId="1C7E9B79" w:rsidR="009F5FFD" w:rsidRDefault="009F5FFD" w:rsidP="00701DB9"/>
    <w:p w14:paraId="401F215C" w14:textId="24C7FFB3" w:rsidR="001B5D40" w:rsidRDefault="001B5D40" w:rsidP="00701DB9">
      <w:r>
        <w:t xml:space="preserve">The sector overall made a profit before tax of $93.4 million which represents an average margin of 3.8% on revenue. Note that this is the </w:t>
      </w:r>
      <w:r w:rsidR="00B51C39">
        <w:t xml:space="preserve">services </w:t>
      </w:r>
      <w:r>
        <w:t>revenue, not the inflow of funds into the package for the year.</w:t>
      </w:r>
    </w:p>
    <w:p w14:paraId="01BD962C" w14:textId="6136CC75" w:rsidR="001B5D40" w:rsidRDefault="001B5D40" w:rsidP="00701DB9"/>
    <w:p w14:paraId="0E4E805F" w14:textId="3B6055E3" w:rsidR="001B5D40" w:rsidRDefault="001B5D40" w:rsidP="00701DB9">
      <w:r>
        <w:t>The largest single expense is staff costs which represent 53% of revenue earned. A further 13% of revenue is expended on administrative costs. A total of 15.6% of revenue is expended on sub-contracted or brokered services. This will include the purchases of goods and capital items.</w:t>
      </w:r>
    </w:p>
    <w:p w14:paraId="79CBB569" w14:textId="16FB7615" w:rsidR="001B5D40" w:rsidRDefault="001B5D40" w:rsidP="00701DB9"/>
    <w:p w14:paraId="465B78F9" w14:textId="744D00DD" w:rsidR="001B5D40" w:rsidRPr="001B5D40" w:rsidRDefault="008B3A8F" w:rsidP="001B5D40">
      <w:pPr>
        <w:pStyle w:val="SubHeading"/>
      </w:pPr>
      <w:r>
        <w:t xml:space="preserve">HCP </w:t>
      </w:r>
      <w:r w:rsidR="001B5D40" w:rsidRPr="001B5D40">
        <w:t>R</w:t>
      </w:r>
      <w:r>
        <w:t>e</w:t>
      </w:r>
      <w:r w:rsidR="001B5D40" w:rsidRPr="001B5D40">
        <w:t>s</w:t>
      </w:r>
      <w:r>
        <w:t>ults</w:t>
      </w:r>
      <w:r w:rsidR="001B5D40" w:rsidRPr="001B5D40">
        <w:t xml:space="preserve"> by Ownership</w:t>
      </w:r>
    </w:p>
    <w:p w14:paraId="39506DE2" w14:textId="1C3937B6" w:rsidR="00C66E01" w:rsidRDefault="00C66E01" w:rsidP="00C66E01">
      <w:pPr>
        <w:pStyle w:val="Caption"/>
        <w:keepNext/>
      </w:pPr>
      <w:r>
        <w:t xml:space="preserve">Table </w:t>
      </w:r>
      <w:fldSimple w:instr=" SEQ Table \* ARABIC ">
        <w:r w:rsidR="00844346">
          <w:rPr>
            <w:noProof/>
          </w:rPr>
          <w:t>6</w:t>
        </w:r>
      </w:fldSimple>
      <w:r>
        <w:t>: Aggregate result by ownership based on FY19 ACFR HCP segment data</w:t>
      </w:r>
    </w:p>
    <w:tbl>
      <w:tblPr>
        <w:tblStyle w:val="DefaultTable1"/>
        <w:tblW w:w="9608" w:type="dxa"/>
        <w:tblLayout w:type="fixed"/>
        <w:tblLook w:val="06A0" w:firstRow="1" w:lastRow="0" w:firstColumn="1" w:lastColumn="0" w:noHBand="1" w:noVBand="1"/>
        <w:tblCaption w:val="Header row for Table 6: Aggregate result by ownership based on FY19 ACFR HCP segment data"/>
      </w:tblPr>
      <w:tblGrid>
        <w:gridCol w:w="3260"/>
        <w:gridCol w:w="1587"/>
        <w:gridCol w:w="1587"/>
        <w:gridCol w:w="1587"/>
        <w:gridCol w:w="1587"/>
      </w:tblGrid>
      <w:tr w:rsidR="008B3A8F" w14:paraId="76BEE9C1" w14:textId="77777777" w:rsidTr="003636FB">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3260" w:type="dxa"/>
          </w:tcPr>
          <w:p w14:paraId="084589C5" w14:textId="77777777" w:rsidR="008B3A8F" w:rsidRDefault="008B3A8F" w:rsidP="008B3A8F">
            <w:pPr>
              <w:contextualSpacing/>
            </w:pPr>
            <w:r>
              <w:t xml:space="preserve">ACFR Profit and Loss Summary - FY19 </w:t>
            </w:r>
          </w:p>
        </w:tc>
        <w:tc>
          <w:tcPr>
            <w:tcW w:w="1587" w:type="dxa"/>
          </w:tcPr>
          <w:p w14:paraId="6EC30649" w14:textId="77777777" w:rsidR="008B3A8F" w:rsidRDefault="008B3A8F" w:rsidP="008B3A8F">
            <w:pPr>
              <w:contextualSpacing/>
              <w:jc w:val="center"/>
              <w:cnfStyle w:val="100000000000" w:firstRow="1" w:lastRow="0" w:firstColumn="0" w:lastColumn="0" w:oddVBand="0" w:evenVBand="0" w:oddHBand="0" w:evenHBand="0" w:firstRowFirstColumn="0" w:firstRowLastColumn="0" w:lastRowFirstColumn="0" w:lastRowLastColumn="0"/>
              <w:rPr>
                <w:b w:val="0"/>
                <w:bCs w:val="0"/>
              </w:rPr>
            </w:pPr>
            <w:r>
              <w:t>Not-For-Profit</w:t>
            </w:r>
          </w:p>
          <w:p w14:paraId="4AD5066F" w14:textId="26E559AE" w:rsidR="008B3A8F" w:rsidRDefault="008B3A8F" w:rsidP="008B3A8F">
            <w:pPr>
              <w:contextualSpacing/>
              <w:jc w:val="center"/>
              <w:cnfStyle w:val="100000000000" w:firstRow="1" w:lastRow="0" w:firstColumn="0" w:lastColumn="0" w:oddVBand="0" w:evenVBand="0" w:oddHBand="0" w:evenHBand="0" w:firstRowFirstColumn="0" w:firstRowLastColumn="0" w:lastRowFirstColumn="0" w:lastRowLastColumn="0"/>
              <w:rPr>
                <w:b w:val="0"/>
                <w:bCs w:val="0"/>
              </w:rPr>
            </w:pPr>
            <w:r>
              <w:t>(</w:t>
            </w:r>
            <w:r w:rsidR="007F2409">
              <w:t>401</w:t>
            </w:r>
            <w:r>
              <w:t xml:space="preserve"> providers)</w:t>
            </w:r>
          </w:p>
          <w:p w14:paraId="6964BED7" w14:textId="77777777" w:rsidR="008B3A8F" w:rsidRDefault="008B3A8F" w:rsidP="008B3A8F">
            <w:pPr>
              <w:contextualSpacing/>
              <w:jc w:val="center"/>
              <w:cnfStyle w:val="100000000000" w:firstRow="1" w:lastRow="0" w:firstColumn="0" w:lastColumn="0" w:oddVBand="0" w:evenVBand="0" w:oddHBand="0" w:evenHBand="0" w:firstRowFirstColumn="0" w:firstRowLastColumn="0" w:lastRowFirstColumn="0" w:lastRowLastColumn="0"/>
            </w:pPr>
            <w:r>
              <w:t>$</w:t>
            </w:r>
          </w:p>
        </w:tc>
        <w:tc>
          <w:tcPr>
            <w:tcW w:w="1587" w:type="dxa"/>
          </w:tcPr>
          <w:p w14:paraId="58FA3B3C" w14:textId="77777777" w:rsidR="008B3A8F" w:rsidRDefault="008B3A8F" w:rsidP="008B3A8F">
            <w:pPr>
              <w:contextualSpacing/>
              <w:jc w:val="center"/>
              <w:cnfStyle w:val="100000000000" w:firstRow="1" w:lastRow="0" w:firstColumn="0" w:lastColumn="0" w:oddVBand="0" w:evenVBand="0" w:oddHBand="0" w:evenHBand="0" w:firstRowFirstColumn="0" w:firstRowLastColumn="0" w:lastRowFirstColumn="0" w:lastRowLastColumn="0"/>
              <w:rPr>
                <w:b w:val="0"/>
                <w:bCs w:val="0"/>
              </w:rPr>
            </w:pPr>
            <w:r>
              <w:t>For-Profit</w:t>
            </w:r>
          </w:p>
          <w:p w14:paraId="12BF53AD" w14:textId="38AC5D7E" w:rsidR="008B3A8F" w:rsidRDefault="008B3A8F" w:rsidP="008B3A8F">
            <w:pPr>
              <w:contextualSpacing/>
              <w:jc w:val="center"/>
              <w:cnfStyle w:val="100000000000" w:firstRow="1" w:lastRow="0" w:firstColumn="0" w:lastColumn="0" w:oddVBand="0" w:evenVBand="0" w:oddHBand="0" w:evenHBand="0" w:firstRowFirstColumn="0" w:firstRowLastColumn="0" w:lastRowFirstColumn="0" w:lastRowLastColumn="0"/>
              <w:rPr>
                <w:b w:val="0"/>
                <w:bCs w:val="0"/>
              </w:rPr>
            </w:pPr>
            <w:r>
              <w:t>(2</w:t>
            </w:r>
            <w:r w:rsidR="00092A4D">
              <w:t>48</w:t>
            </w:r>
            <w:r>
              <w:t xml:space="preserve"> providers)</w:t>
            </w:r>
          </w:p>
          <w:p w14:paraId="50F9D662" w14:textId="77777777" w:rsidR="008B3A8F" w:rsidRDefault="008B3A8F" w:rsidP="008B3A8F">
            <w:pPr>
              <w:contextualSpacing/>
              <w:jc w:val="center"/>
              <w:cnfStyle w:val="100000000000" w:firstRow="1" w:lastRow="0" w:firstColumn="0" w:lastColumn="0" w:oddVBand="0" w:evenVBand="0" w:oddHBand="0" w:evenHBand="0" w:firstRowFirstColumn="0" w:firstRowLastColumn="0" w:lastRowFirstColumn="0" w:lastRowLastColumn="0"/>
            </w:pPr>
            <w:r>
              <w:t>$</w:t>
            </w:r>
          </w:p>
        </w:tc>
        <w:tc>
          <w:tcPr>
            <w:tcW w:w="1587" w:type="dxa"/>
          </w:tcPr>
          <w:p w14:paraId="1BA252D5" w14:textId="77777777" w:rsidR="008B3A8F" w:rsidRDefault="008B3A8F" w:rsidP="008B3A8F">
            <w:pPr>
              <w:contextualSpacing/>
              <w:jc w:val="center"/>
              <w:cnfStyle w:val="100000000000" w:firstRow="1" w:lastRow="0" w:firstColumn="0" w:lastColumn="0" w:oddVBand="0" w:evenVBand="0" w:oddHBand="0" w:evenHBand="0" w:firstRowFirstColumn="0" w:firstRowLastColumn="0" w:lastRowFirstColumn="0" w:lastRowLastColumn="0"/>
              <w:rPr>
                <w:b w:val="0"/>
                <w:bCs w:val="0"/>
              </w:rPr>
            </w:pPr>
            <w:r>
              <w:t>Government</w:t>
            </w:r>
          </w:p>
          <w:p w14:paraId="3D507811" w14:textId="77777777" w:rsidR="008B3A8F" w:rsidRDefault="008B3A8F" w:rsidP="008B3A8F">
            <w:pPr>
              <w:contextualSpacing/>
              <w:jc w:val="center"/>
              <w:cnfStyle w:val="100000000000" w:firstRow="1" w:lastRow="0" w:firstColumn="0" w:lastColumn="0" w:oddVBand="0" w:evenVBand="0" w:oddHBand="0" w:evenHBand="0" w:firstRowFirstColumn="0" w:firstRowLastColumn="0" w:lastRowFirstColumn="0" w:lastRowLastColumn="0"/>
              <w:rPr>
                <w:b w:val="0"/>
                <w:bCs w:val="0"/>
              </w:rPr>
            </w:pPr>
            <w:r>
              <w:t>(88 providers)</w:t>
            </w:r>
          </w:p>
          <w:p w14:paraId="531AF0FA" w14:textId="77777777" w:rsidR="008B3A8F" w:rsidRDefault="008B3A8F" w:rsidP="008B3A8F">
            <w:pPr>
              <w:contextualSpacing/>
              <w:jc w:val="center"/>
              <w:cnfStyle w:val="100000000000" w:firstRow="1" w:lastRow="0" w:firstColumn="0" w:lastColumn="0" w:oddVBand="0" w:evenVBand="0" w:oddHBand="0" w:evenHBand="0" w:firstRowFirstColumn="0" w:firstRowLastColumn="0" w:lastRowFirstColumn="0" w:lastRowLastColumn="0"/>
            </w:pPr>
            <w:r>
              <w:t>$</w:t>
            </w:r>
          </w:p>
        </w:tc>
        <w:tc>
          <w:tcPr>
            <w:tcW w:w="1587" w:type="dxa"/>
          </w:tcPr>
          <w:p w14:paraId="4B9B87A1" w14:textId="77777777" w:rsidR="008B3A8F" w:rsidRPr="00E014EA" w:rsidRDefault="008B3A8F" w:rsidP="008B3A8F">
            <w:pPr>
              <w:contextualSpacing/>
              <w:jc w:val="center"/>
              <w:cnfStyle w:val="100000000000" w:firstRow="1" w:lastRow="0" w:firstColumn="0" w:lastColumn="0" w:oddVBand="0" w:evenVBand="0" w:oddHBand="0" w:evenHBand="0" w:firstRowFirstColumn="0" w:firstRowLastColumn="0" w:lastRowFirstColumn="0" w:lastRowLastColumn="0"/>
            </w:pPr>
            <w:r>
              <w:t>Total</w:t>
            </w:r>
          </w:p>
          <w:p w14:paraId="28AEF90A" w14:textId="271A4605" w:rsidR="008B3A8F" w:rsidRPr="00E014EA" w:rsidRDefault="008B3A8F" w:rsidP="008B3A8F">
            <w:pPr>
              <w:contextualSpacing/>
              <w:jc w:val="center"/>
              <w:cnfStyle w:val="100000000000" w:firstRow="1" w:lastRow="0" w:firstColumn="0" w:lastColumn="0" w:oddVBand="0" w:evenVBand="0" w:oddHBand="0" w:evenHBand="0" w:firstRowFirstColumn="0" w:firstRowLastColumn="0" w:lastRowFirstColumn="0" w:lastRowLastColumn="0"/>
            </w:pPr>
            <w:r>
              <w:t>(</w:t>
            </w:r>
            <w:r w:rsidR="007F2409">
              <w:t>737</w:t>
            </w:r>
            <w:r>
              <w:t xml:space="preserve"> providers)</w:t>
            </w:r>
          </w:p>
          <w:p w14:paraId="5B94CE65" w14:textId="77777777" w:rsidR="008B3A8F" w:rsidRDefault="008B3A8F" w:rsidP="008B3A8F">
            <w:pPr>
              <w:contextualSpacing/>
              <w:jc w:val="center"/>
              <w:cnfStyle w:val="100000000000" w:firstRow="1" w:lastRow="0" w:firstColumn="0" w:lastColumn="0" w:oddVBand="0" w:evenVBand="0" w:oddHBand="0" w:evenHBand="0" w:firstRowFirstColumn="0" w:firstRowLastColumn="0" w:lastRowFirstColumn="0" w:lastRowLastColumn="0"/>
            </w:pPr>
            <w:r>
              <w:t>$</w:t>
            </w:r>
          </w:p>
        </w:tc>
      </w:tr>
    </w:tbl>
    <w:tbl>
      <w:tblPr>
        <w:tblStyle w:val="TableGrid2"/>
        <w:tblW w:w="96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Caption w:val="Header row for Table 6: Aggregate result by ownership based on FY19 ACFR HCP segment data"/>
      </w:tblPr>
      <w:tblGrid>
        <w:gridCol w:w="3260"/>
        <w:gridCol w:w="1587"/>
        <w:gridCol w:w="1587"/>
        <w:gridCol w:w="1587"/>
        <w:gridCol w:w="1587"/>
      </w:tblGrid>
      <w:tr w:rsidR="008B3A8F" w14:paraId="737979BB" w14:textId="77777777" w:rsidTr="003636FB">
        <w:trPr>
          <w:tblHeader/>
        </w:trPr>
        <w:tc>
          <w:tcPr>
            <w:tcW w:w="3260" w:type="dxa"/>
          </w:tcPr>
          <w:p w14:paraId="00A90CF9" w14:textId="77777777" w:rsidR="008B3A8F" w:rsidRPr="0038160E" w:rsidRDefault="008B3A8F" w:rsidP="008B3A8F">
            <w:pPr>
              <w:rPr>
                <w:sz w:val="20"/>
                <w:szCs w:val="20"/>
              </w:rPr>
            </w:pPr>
            <w:r w:rsidRPr="0038160E">
              <w:rPr>
                <w:rFonts w:cstheme="minorHAnsi"/>
                <w:sz w:val="20"/>
                <w:szCs w:val="20"/>
              </w:rPr>
              <w:t>Revenue</w:t>
            </w:r>
          </w:p>
        </w:tc>
        <w:tc>
          <w:tcPr>
            <w:tcW w:w="1587" w:type="dxa"/>
            <w:shd w:val="clear" w:color="auto" w:fill="auto"/>
            <w:vAlign w:val="center"/>
          </w:tcPr>
          <w:p w14:paraId="70636F84" w14:textId="77777777" w:rsidR="008B3A8F" w:rsidRPr="0038160E" w:rsidRDefault="008B3A8F" w:rsidP="008B3A8F">
            <w:pPr>
              <w:contextualSpacing/>
              <w:jc w:val="right"/>
              <w:rPr>
                <w:sz w:val="20"/>
                <w:szCs w:val="20"/>
              </w:rPr>
            </w:pPr>
            <w:r w:rsidRPr="0038160E">
              <w:rPr>
                <w:sz w:val="20"/>
                <w:szCs w:val="20"/>
              </w:rPr>
              <w:t xml:space="preserve"> 1,804,945,606 </w:t>
            </w:r>
          </w:p>
        </w:tc>
        <w:tc>
          <w:tcPr>
            <w:tcW w:w="1587" w:type="dxa"/>
            <w:shd w:val="clear" w:color="auto" w:fill="auto"/>
            <w:vAlign w:val="center"/>
          </w:tcPr>
          <w:p w14:paraId="31BA0A99" w14:textId="77777777" w:rsidR="008B3A8F" w:rsidRPr="0038160E" w:rsidRDefault="008B3A8F" w:rsidP="008B3A8F">
            <w:pPr>
              <w:contextualSpacing/>
              <w:jc w:val="right"/>
              <w:rPr>
                <w:sz w:val="20"/>
                <w:szCs w:val="20"/>
              </w:rPr>
            </w:pPr>
            <w:r w:rsidRPr="0038160E">
              <w:rPr>
                <w:sz w:val="20"/>
                <w:szCs w:val="20"/>
              </w:rPr>
              <w:t xml:space="preserve"> 527,333,817 </w:t>
            </w:r>
          </w:p>
        </w:tc>
        <w:tc>
          <w:tcPr>
            <w:tcW w:w="1587" w:type="dxa"/>
            <w:shd w:val="clear" w:color="auto" w:fill="auto"/>
            <w:vAlign w:val="center"/>
          </w:tcPr>
          <w:p w14:paraId="49356753" w14:textId="77777777" w:rsidR="008B3A8F" w:rsidRPr="0038160E" w:rsidRDefault="008B3A8F" w:rsidP="008B3A8F">
            <w:pPr>
              <w:contextualSpacing/>
              <w:jc w:val="right"/>
              <w:rPr>
                <w:sz w:val="20"/>
                <w:szCs w:val="20"/>
              </w:rPr>
            </w:pPr>
            <w:r w:rsidRPr="0038160E">
              <w:rPr>
                <w:sz w:val="20"/>
                <w:szCs w:val="20"/>
              </w:rPr>
              <w:t xml:space="preserve"> 148,903,309 </w:t>
            </w:r>
          </w:p>
        </w:tc>
        <w:tc>
          <w:tcPr>
            <w:tcW w:w="1587" w:type="dxa"/>
            <w:shd w:val="clear" w:color="auto" w:fill="FFE599" w:themeFill="accent4" w:themeFillTint="66"/>
            <w:vAlign w:val="center"/>
          </w:tcPr>
          <w:p w14:paraId="20C9A988" w14:textId="77777777" w:rsidR="008B3A8F" w:rsidRPr="0038160E" w:rsidRDefault="008B3A8F" w:rsidP="008B3A8F">
            <w:pPr>
              <w:contextualSpacing/>
              <w:jc w:val="right"/>
              <w:rPr>
                <w:sz w:val="20"/>
                <w:szCs w:val="20"/>
              </w:rPr>
            </w:pPr>
            <w:r w:rsidRPr="0038160E">
              <w:rPr>
                <w:sz w:val="20"/>
                <w:szCs w:val="20"/>
              </w:rPr>
              <w:t>2,481,182,732</w:t>
            </w:r>
          </w:p>
        </w:tc>
      </w:tr>
      <w:tr w:rsidR="008B3A8F" w14:paraId="19F80F02" w14:textId="77777777" w:rsidTr="008B3A8F">
        <w:tc>
          <w:tcPr>
            <w:tcW w:w="3260" w:type="dxa"/>
          </w:tcPr>
          <w:p w14:paraId="163FE509" w14:textId="77777777" w:rsidR="008B3A8F" w:rsidRPr="006647A0" w:rsidRDefault="008B3A8F" w:rsidP="008B3A8F">
            <w:pPr>
              <w:rPr>
                <w:rFonts w:cstheme="minorHAnsi"/>
                <w:sz w:val="20"/>
                <w:szCs w:val="20"/>
              </w:rPr>
            </w:pPr>
            <w:r>
              <w:rPr>
                <w:rFonts w:cstheme="minorHAnsi"/>
                <w:sz w:val="20"/>
                <w:szCs w:val="20"/>
              </w:rPr>
              <w:t>Expenses</w:t>
            </w:r>
          </w:p>
        </w:tc>
        <w:tc>
          <w:tcPr>
            <w:tcW w:w="1587" w:type="dxa"/>
            <w:shd w:val="clear" w:color="auto" w:fill="auto"/>
            <w:vAlign w:val="center"/>
          </w:tcPr>
          <w:p w14:paraId="2C42458A" w14:textId="77777777" w:rsidR="008B3A8F" w:rsidRPr="0038160E" w:rsidRDefault="008B3A8F" w:rsidP="008B3A8F">
            <w:pPr>
              <w:contextualSpacing/>
              <w:jc w:val="right"/>
              <w:rPr>
                <w:sz w:val="20"/>
                <w:szCs w:val="20"/>
              </w:rPr>
            </w:pPr>
            <w:r w:rsidRPr="0038160E">
              <w:rPr>
                <w:sz w:val="20"/>
                <w:szCs w:val="20"/>
              </w:rPr>
              <w:t xml:space="preserve"> 1,727,287,869 </w:t>
            </w:r>
          </w:p>
        </w:tc>
        <w:tc>
          <w:tcPr>
            <w:tcW w:w="1587" w:type="dxa"/>
            <w:shd w:val="clear" w:color="auto" w:fill="auto"/>
            <w:vAlign w:val="center"/>
          </w:tcPr>
          <w:p w14:paraId="05728C9D" w14:textId="77777777" w:rsidR="008B3A8F" w:rsidRPr="0038160E" w:rsidRDefault="008B3A8F" w:rsidP="008B3A8F">
            <w:pPr>
              <w:contextualSpacing/>
              <w:jc w:val="right"/>
              <w:rPr>
                <w:sz w:val="20"/>
                <w:szCs w:val="20"/>
              </w:rPr>
            </w:pPr>
            <w:r w:rsidRPr="0038160E">
              <w:rPr>
                <w:sz w:val="20"/>
                <w:szCs w:val="20"/>
              </w:rPr>
              <w:t xml:space="preserve"> 522,437,429 </w:t>
            </w:r>
          </w:p>
        </w:tc>
        <w:tc>
          <w:tcPr>
            <w:tcW w:w="1587" w:type="dxa"/>
            <w:shd w:val="clear" w:color="auto" w:fill="auto"/>
            <w:vAlign w:val="center"/>
          </w:tcPr>
          <w:p w14:paraId="16890F78" w14:textId="77777777" w:rsidR="008B3A8F" w:rsidRPr="0038160E" w:rsidRDefault="008B3A8F" w:rsidP="008B3A8F">
            <w:pPr>
              <w:contextualSpacing/>
              <w:jc w:val="right"/>
              <w:rPr>
                <w:sz w:val="20"/>
                <w:szCs w:val="20"/>
              </w:rPr>
            </w:pPr>
            <w:r w:rsidRPr="0038160E">
              <w:rPr>
                <w:sz w:val="20"/>
                <w:szCs w:val="20"/>
              </w:rPr>
              <w:t xml:space="preserve"> 138,065,717 </w:t>
            </w:r>
          </w:p>
        </w:tc>
        <w:tc>
          <w:tcPr>
            <w:tcW w:w="1587" w:type="dxa"/>
            <w:shd w:val="clear" w:color="auto" w:fill="FFE599" w:themeFill="accent4" w:themeFillTint="66"/>
            <w:vAlign w:val="center"/>
          </w:tcPr>
          <w:p w14:paraId="23233D6C" w14:textId="77777777" w:rsidR="008B3A8F" w:rsidRPr="0038160E" w:rsidRDefault="008B3A8F" w:rsidP="008B3A8F">
            <w:pPr>
              <w:contextualSpacing/>
              <w:jc w:val="right"/>
              <w:rPr>
                <w:sz w:val="20"/>
                <w:szCs w:val="20"/>
              </w:rPr>
            </w:pPr>
            <w:r w:rsidRPr="0038160E">
              <w:rPr>
                <w:sz w:val="20"/>
                <w:szCs w:val="20"/>
              </w:rPr>
              <w:t>2,387,791,015</w:t>
            </w:r>
          </w:p>
        </w:tc>
      </w:tr>
      <w:tr w:rsidR="008B3A8F" w14:paraId="03AF13D2" w14:textId="77777777" w:rsidTr="008B3A8F">
        <w:tc>
          <w:tcPr>
            <w:tcW w:w="3260" w:type="dxa"/>
          </w:tcPr>
          <w:p w14:paraId="5C649119" w14:textId="77777777" w:rsidR="008B3A8F" w:rsidRPr="006647A0" w:rsidRDefault="008B3A8F" w:rsidP="008B3A8F">
            <w:pPr>
              <w:rPr>
                <w:rFonts w:cstheme="minorHAnsi"/>
                <w:sz w:val="20"/>
                <w:szCs w:val="20"/>
              </w:rPr>
            </w:pPr>
            <w:r>
              <w:rPr>
                <w:rFonts w:cstheme="minorHAnsi"/>
                <w:sz w:val="20"/>
                <w:szCs w:val="20"/>
              </w:rPr>
              <w:t>Net Profit Before Tax</w:t>
            </w:r>
          </w:p>
        </w:tc>
        <w:tc>
          <w:tcPr>
            <w:tcW w:w="1587" w:type="dxa"/>
            <w:shd w:val="clear" w:color="auto" w:fill="DEEAF6" w:themeFill="accent1" w:themeFillTint="33"/>
            <w:vAlign w:val="center"/>
          </w:tcPr>
          <w:p w14:paraId="191F4FF7" w14:textId="77777777" w:rsidR="008B3A8F" w:rsidRPr="00011F5D" w:rsidRDefault="008B3A8F" w:rsidP="008B3A8F">
            <w:pPr>
              <w:contextualSpacing/>
              <w:jc w:val="right"/>
              <w:rPr>
                <w:b/>
                <w:sz w:val="20"/>
                <w:szCs w:val="20"/>
              </w:rPr>
            </w:pPr>
            <w:r w:rsidRPr="00011F5D">
              <w:rPr>
                <w:b/>
                <w:sz w:val="20"/>
                <w:szCs w:val="20"/>
              </w:rPr>
              <w:t xml:space="preserve">$ 77,657,737 </w:t>
            </w:r>
          </w:p>
        </w:tc>
        <w:tc>
          <w:tcPr>
            <w:tcW w:w="1587" w:type="dxa"/>
            <w:shd w:val="clear" w:color="auto" w:fill="DEEAF6" w:themeFill="accent1" w:themeFillTint="33"/>
            <w:vAlign w:val="center"/>
          </w:tcPr>
          <w:p w14:paraId="614B6F13" w14:textId="77777777" w:rsidR="008B3A8F" w:rsidRPr="00011F5D" w:rsidRDefault="008B3A8F" w:rsidP="008B3A8F">
            <w:pPr>
              <w:contextualSpacing/>
              <w:jc w:val="right"/>
              <w:rPr>
                <w:b/>
                <w:sz w:val="20"/>
                <w:szCs w:val="20"/>
              </w:rPr>
            </w:pPr>
            <w:r w:rsidRPr="00011F5D">
              <w:rPr>
                <w:b/>
                <w:sz w:val="20"/>
                <w:szCs w:val="20"/>
              </w:rPr>
              <w:t xml:space="preserve">$ 4,896,388 </w:t>
            </w:r>
          </w:p>
        </w:tc>
        <w:tc>
          <w:tcPr>
            <w:tcW w:w="1587" w:type="dxa"/>
            <w:shd w:val="clear" w:color="auto" w:fill="DEEAF6" w:themeFill="accent1" w:themeFillTint="33"/>
            <w:vAlign w:val="center"/>
          </w:tcPr>
          <w:p w14:paraId="25F11C85" w14:textId="77777777" w:rsidR="008B3A8F" w:rsidRPr="00011F5D" w:rsidRDefault="008B3A8F" w:rsidP="008B3A8F">
            <w:pPr>
              <w:contextualSpacing/>
              <w:jc w:val="right"/>
              <w:rPr>
                <w:b/>
                <w:sz w:val="20"/>
                <w:szCs w:val="20"/>
              </w:rPr>
            </w:pPr>
            <w:r w:rsidRPr="00011F5D">
              <w:rPr>
                <w:b/>
                <w:sz w:val="20"/>
                <w:szCs w:val="20"/>
              </w:rPr>
              <w:t xml:space="preserve">$ 10,837,592 </w:t>
            </w:r>
          </w:p>
        </w:tc>
        <w:tc>
          <w:tcPr>
            <w:tcW w:w="1587" w:type="dxa"/>
            <w:shd w:val="clear" w:color="auto" w:fill="FFE599" w:themeFill="accent4" w:themeFillTint="66"/>
            <w:vAlign w:val="center"/>
          </w:tcPr>
          <w:p w14:paraId="2DDFF462" w14:textId="77777777" w:rsidR="008B3A8F" w:rsidRPr="00011F5D" w:rsidRDefault="008B3A8F" w:rsidP="008B3A8F">
            <w:pPr>
              <w:contextualSpacing/>
              <w:jc w:val="right"/>
              <w:rPr>
                <w:b/>
                <w:sz w:val="20"/>
                <w:szCs w:val="20"/>
              </w:rPr>
            </w:pPr>
            <w:r w:rsidRPr="00011F5D">
              <w:rPr>
                <w:b/>
                <w:sz w:val="20"/>
                <w:szCs w:val="20"/>
              </w:rPr>
              <w:t>$ 93,391,717</w:t>
            </w:r>
          </w:p>
        </w:tc>
      </w:tr>
      <w:tr w:rsidR="008B3A8F" w14:paraId="1A22E3A9" w14:textId="77777777" w:rsidTr="008B3A8F">
        <w:tc>
          <w:tcPr>
            <w:tcW w:w="3260" w:type="dxa"/>
          </w:tcPr>
          <w:p w14:paraId="6E9805F3" w14:textId="77777777" w:rsidR="008B3A8F" w:rsidRPr="00011F5D" w:rsidRDefault="008B3A8F" w:rsidP="008B3A8F">
            <w:pPr>
              <w:rPr>
                <w:rFonts w:cstheme="minorHAnsi"/>
                <w:i/>
                <w:sz w:val="20"/>
                <w:szCs w:val="20"/>
              </w:rPr>
            </w:pPr>
            <w:r w:rsidRPr="00011F5D">
              <w:rPr>
                <w:rFonts w:cstheme="minorHAnsi"/>
                <w:i/>
                <w:sz w:val="20"/>
                <w:szCs w:val="20"/>
              </w:rPr>
              <w:t>Profit Margin</w:t>
            </w:r>
          </w:p>
        </w:tc>
        <w:tc>
          <w:tcPr>
            <w:tcW w:w="1587" w:type="dxa"/>
            <w:shd w:val="clear" w:color="auto" w:fill="auto"/>
            <w:vAlign w:val="center"/>
          </w:tcPr>
          <w:p w14:paraId="592930FD" w14:textId="77777777" w:rsidR="008B3A8F" w:rsidRPr="00011F5D" w:rsidRDefault="008B3A8F" w:rsidP="008B3A8F">
            <w:pPr>
              <w:contextualSpacing/>
              <w:jc w:val="right"/>
              <w:rPr>
                <w:i/>
                <w:sz w:val="20"/>
                <w:szCs w:val="20"/>
              </w:rPr>
            </w:pPr>
            <w:r w:rsidRPr="00011F5D">
              <w:rPr>
                <w:i/>
                <w:sz w:val="20"/>
                <w:szCs w:val="20"/>
              </w:rPr>
              <w:t>4.3%</w:t>
            </w:r>
          </w:p>
        </w:tc>
        <w:tc>
          <w:tcPr>
            <w:tcW w:w="1587" w:type="dxa"/>
            <w:shd w:val="clear" w:color="auto" w:fill="auto"/>
            <w:vAlign w:val="center"/>
          </w:tcPr>
          <w:p w14:paraId="1C49418A" w14:textId="77777777" w:rsidR="008B3A8F" w:rsidRPr="00011F5D" w:rsidRDefault="008B3A8F" w:rsidP="008B3A8F">
            <w:pPr>
              <w:contextualSpacing/>
              <w:jc w:val="right"/>
              <w:rPr>
                <w:i/>
                <w:sz w:val="20"/>
                <w:szCs w:val="20"/>
              </w:rPr>
            </w:pPr>
            <w:r w:rsidRPr="00011F5D">
              <w:rPr>
                <w:i/>
                <w:sz w:val="20"/>
                <w:szCs w:val="20"/>
              </w:rPr>
              <w:t>0.9%</w:t>
            </w:r>
          </w:p>
        </w:tc>
        <w:tc>
          <w:tcPr>
            <w:tcW w:w="1587" w:type="dxa"/>
            <w:shd w:val="clear" w:color="auto" w:fill="auto"/>
            <w:vAlign w:val="center"/>
          </w:tcPr>
          <w:p w14:paraId="416406A0" w14:textId="77777777" w:rsidR="008B3A8F" w:rsidRPr="00011F5D" w:rsidRDefault="008B3A8F" w:rsidP="008B3A8F">
            <w:pPr>
              <w:contextualSpacing/>
              <w:jc w:val="right"/>
              <w:rPr>
                <w:i/>
                <w:sz w:val="20"/>
                <w:szCs w:val="20"/>
              </w:rPr>
            </w:pPr>
            <w:r w:rsidRPr="00011F5D">
              <w:rPr>
                <w:i/>
                <w:sz w:val="20"/>
                <w:szCs w:val="20"/>
              </w:rPr>
              <w:t>7.3%</w:t>
            </w:r>
          </w:p>
        </w:tc>
        <w:tc>
          <w:tcPr>
            <w:tcW w:w="1587" w:type="dxa"/>
            <w:shd w:val="clear" w:color="auto" w:fill="FFE599" w:themeFill="accent4" w:themeFillTint="66"/>
            <w:vAlign w:val="center"/>
          </w:tcPr>
          <w:p w14:paraId="355F0A82" w14:textId="77777777" w:rsidR="008B3A8F" w:rsidRPr="00011F5D" w:rsidRDefault="008B3A8F" w:rsidP="008B3A8F">
            <w:pPr>
              <w:contextualSpacing/>
              <w:jc w:val="right"/>
              <w:rPr>
                <w:b/>
                <w:i/>
                <w:sz w:val="20"/>
                <w:szCs w:val="20"/>
              </w:rPr>
            </w:pPr>
            <w:r w:rsidRPr="00011F5D">
              <w:rPr>
                <w:b/>
                <w:i/>
                <w:sz w:val="20"/>
                <w:szCs w:val="20"/>
              </w:rPr>
              <w:t>3.8%</w:t>
            </w:r>
          </w:p>
        </w:tc>
      </w:tr>
      <w:tr w:rsidR="008B3A8F" w14:paraId="03D190E8" w14:textId="77777777" w:rsidTr="008B3A8F">
        <w:tc>
          <w:tcPr>
            <w:tcW w:w="3260" w:type="dxa"/>
            <w:shd w:val="clear" w:color="auto" w:fill="auto"/>
          </w:tcPr>
          <w:p w14:paraId="47849A58" w14:textId="77777777" w:rsidR="008B3A8F" w:rsidRDefault="008B3A8F" w:rsidP="008B3A8F">
            <w:pPr>
              <w:rPr>
                <w:rFonts w:cstheme="minorHAnsi"/>
                <w:sz w:val="20"/>
                <w:szCs w:val="20"/>
              </w:rPr>
            </w:pPr>
          </w:p>
        </w:tc>
        <w:tc>
          <w:tcPr>
            <w:tcW w:w="1587" w:type="dxa"/>
            <w:shd w:val="clear" w:color="auto" w:fill="auto"/>
            <w:vAlign w:val="center"/>
          </w:tcPr>
          <w:p w14:paraId="4521F48A" w14:textId="77777777" w:rsidR="008B3A8F" w:rsidRPr="00011F5D" w:rsidRDefault="008B3A8F" w:rsidP="008B3A8F">
            <w:pPr>
              <w:contextualSpacing/>
              <w:jc w:val="right"/>
              <w:rPr>
                <w:b/>
                <w:sz w:val="20"/>
                <w:szCs w:val="20"/>
              </w:rPr>
            </w:pPr>
          </w:p>
        </w:tc>
        <w:tc>
          <w:tcPr>
            <w:tcW w:w="1587" w:type="dxa"/>
            <w:shd w:val="clear" w:color="auto" w:fill="auto"/>
            <w:vAlign w:val="center"/>
          </w:tcPr>
          <w:p w14:paraId="42AF326A" w14:textId="77777777" w:rsidR="008B3A8F" w:rsidRPr="00011F5D" w:rsidRDefault="008B3A8F" w:rsidP="008B3A8F">
            <w:pPr>
              <w:contextualSpacing/>
              <w:jc w:val="right"/>
              <w:rPr>
                <w:b/>
                <w:sz w:val="20"/>
                <w:szCs w:val="20"/>
              </w:rPr>
            </w:pPr>
          </w:p>
        </w:tc>
        <w:tc>
          <w:tcPr>
            <w:tcW w:w="1587" w:type="dxa"/>
            <w:shd w:val="clear" w:color="auto" w:fill="auto"/>
            <w:vAlign w:val="center"/>
          </w:tcPr>
          <w:p w14:paraId="562DF601" w14:textId="77777777" w:rsidR="008B3A8F" w:rsidRPr="00011F5D" w:rsidRDefault="008B3A8F" w:rsidP="008B3A8F">
            <w:pPr>
              <w:contextualSpacing/>
              <w:jc w:val="right"/>
              <w:rPr>
                <w:b/>
                <w:sz w:val="20"/>
                <w:szCs w:val="20"/>
              </w:rPr>
            </w:pPr>
          </w:p>
        </w:tc>
        <w:tc>
          <w:tcPr>
            <w:tcW w:w="1587" w:type="dxa"/>
            <w:shd w:val="clear" w:color="auto" w:fill="auto"/>
            <w:vAlign w:val="center"/>
          </w:tcPr>
          <w:p w14:paraId="3C437AFA" w14:textId="77777777" w:rsidR="008B3A8F" w:rsidRPr="00011F5D" w:rsidRDefault="008B3A8F" w:rsidP="008B3A8F">
            <w:pPr>
              <w:contextualSpacing/>
              <w:jc w:val="right"/>
              <w:rPr>
                <w:b/>
                <w:sz w:val="20"/>
                <w:szCs w:val="20"/>
              </w:rPr>
            </w:pPr>
          </w:p>
        </w:tc>
      </w:tr>
      <w:tr w:rsidR="008B3A8F" w14:paraId="1B0C5638" w14:textId="77777777" w:rsidTr="008B3A8F">
        <w:tc>
          <w:tcPr>
            <w:tcW w:w="3260" w:type="dxa"/>
          </w:tcPr>
          <w:p w14:paraId="19B0BDB8" w14:textId="77777777" w:rsidR="008B3A8F" w:rsidRPr="006647A0" w:rsidRDefault="008B3A8F" w:rsidP="008B3A8F">
            <w:pPr>
              <w:rPr>
                <w:rFonts w:cstheme="minorHAnsi"/>
                <w:sz w:val="20"/>
                <w:szCs w:val="20"/>
              </w:rPr>
            </w:pPr>
            <w:r>
              <w:rPr>
                <w:rFonts w:cstheme="minorHAnsi"/>
                <w:sz w:val="20"/>
                <w:szCs w:val="20"/>
              </w:rPr>
              <w:t>Average result by provider</w:t>
            </w:r>
          </w:p>
        </w:tc>
        <w:tc>
          <w:tcPr>
            <w:tcW w:w="1587" w:type="dxa"/>
            <w:shd w:val="clear" w:color="auto" w:fill="D5DCE4" w:themeFill="text2" w:themeFillTint="33"/>
            <w:vAlign w:val="center"/>
          </w:tcPr>
          <w:p w14:paraId="2C6B007B" w14:textId="118ACED4" w:rsidR="008B3A8F" w:rsidRPr="00011F5D" w:rsidRDefault="008B3A8F" w:rsidP="008B3A8F">
            <w:pPr>
              <w:contextualSpacing/>
              <w:jc w:val="right"/>
              <w:rPr>
                <w:b/>
                <w:sz w:val="20"/>
                <w:szCs w:val="20"/>
              </w:rPr>
            </w:pPr>
            <w:r w:rsidRPr="00011F5D">
              <w:rPr>
                <w:b/>
                <w:sz w:val="20"/>
                <w:szCs w:val="20"/>
              </w:rPr>
              <w:t xml:space="preserve">$ </w:t>
            </w:r>
            <w:r w:rsidR="00CB43CC">
              <w:rPr>
                <w:b/>
                <w:sz w:val="20"/>
                <w:szCs w:val="20"/>
              </w:rPr>
              <w:t>193,660</w:t>
            </w:r>
          </w:p>
        </w:tc>
        <w:tc>
          <w:tcPr>
            <w:tcW w:w="1587" w:type="dxa"/>
            <w:shd w:val="clear" w:color="auto" w:fill="D5DCE4" w:themeFill="text2" w:themeFillTint="33"/>
            <w:vAlign w:val="center"/>
          </w:tcPr>
          <w:p w14:paraId="1FFE30D9" w14:textId="326E8AD4" w:rsidR="008B3A8F" w:rsidRPr="00011F5D" w:rsidRDefault="008B3A8F" w:rsidP="008B3A8F">
            <w:pPr>
              <w:contextualSpacing/>
              <w:jc w:val="right"/>
              <w:rPr>
                <w:b/>
                <w:sz w:val="20"/>
                <w:szCs w:val="20"/>
              </w:rPr>
            </w:pPr>
            <w:r w:rsidRPr="00011F5D">
              <w:rPr>
                <w:b/>
                <w:sz w:val="20"/>
                <w:szCs w:val="20"/>
              </w:rPr>
              <w:t xml:space="preserve">$ </w:t>
            </w:r>
            <w:r w:rsidR="00CB43CC">
              <w:rPr>
                <w:b/>
                <w:sz w:val="20"/>
                <w:szCs w:val="20"/>
              </w:rPr>
              <w:t>19,744</w:t>
            </w:r>
          </w:p>
        </w:tc>
        <w:tc>
          <w:tcPr>
            <w:tcW w:w="1587" w:type="dxa"/>
            <w:shd w:val="clear" w:color="auto" w:fill="D5DCE4" w:themeFill="text2" w:themeFillTint="33"/>
            <w:vAlign w:val="center"/>
          </w:tcPr>
          <w:p w14:paraId="75A4B737" w14:textId="77777777" w:rsidR="008B3A8F" w:rsidRPr="00011F5D" w:rsidRDefault="008B3A8F" w:rsidP="008B3A8F">
            <w:pPr>
              <w:contextualSpacing/>
              <w:jc w:val="right"/>
              <w:rPr>
                <w:b/>
                <w:sz w:val="20"/>
                <w:szCs w:val="20"/>
              </w:rPr>
            </w:pPr>
            <w:r w:rsidRPr="00011F5D">
              <w:rPr>
                <w:b/>
                <w:sz w:val="20"/>
                <w:szCs w:val="20"/>
              </w:rPr>
              <w:t>$ 123,154</w:t>
            </w:r>
          </w:p>
        </w:tc>
        <w:tc>
          <w:tcPr>
            <w:tcW w:w="1587" w:type="dxa"/>
            <w:shd w:val="clear" w:color="auto" w:fill="FFE599" w:themeFill="accent4" w:themeFillTint="66"/>
            <w:vAlign w:val="center"/>
          </w:tcPr>
          <w:p w14:paraId="4B15B6A3" w14:textId="2A32BBC1" w:rsidR="008B3A8F" w:rsidRPr="00011F5D" w:rsidRDefault="008B3A8F" w:rsidP="008B3A8F">
            <w:pPr>
              <w:contextualSpacing/>
              <w:jc w:val="right"/>
              <w:rPr>
                <w:b/>
                <w:sz w:val="20"/>
                <w:szCs w:val="20"/>
              </w:rPr>
            </w:pPr>
            <w:r w:rsidRPr="00011F5D">
              <w:rPr>
                <w:b/>
                <w:sz w:val="20"/>
                <w:szCs w:val="20"/>
              </w:rPr>
              <w:t xml:space="preserve">$ </w:t>
            </w:r>
            <w:r w:rsidR="00CB43CC">
              <w:rPr>
                <w:b/>
                <w:sz w:val="20"/>
                <w:szCs w:val="20"/>
              </w:rPr>
              <w:t>126,719</w:t>
            </w:r>
          </w:p>
        </w:tc>
      </w:tr>
    </w:tbl>
    <w:p w14:paraId="363BEB60" w14:textId="77777777" w:rsidR="00C66E01" w:rsidRDefault="00C66E01" w:rsidP="00701DB9"/>
    <w:p w14:paraId="2E8F4643" w14:textId="2CCF19F0" w:rsidR="00C66E01" w:rsidRDefault="00E94275" w:rsidP="00701DB9">
      <w:r>
        <w:lastRenderedPageBreak/>
        <w:t xml:space="preserve">Overall the average profit per </w:t>
      </w:r>
      <w:r w:rsidR="00FB5EFA">
        <w:t>AP</w:t>
      </w:r>
      <w:r>
        <w:t xml:space="preserve"> based on the FY19 ACFR segment data is higher for the Not-</w:t>
      </w:r>
      <w:r w:rsidR="00B51C39">
        <w:t>F</w:t>
      </w:r>
      <w:r>
        <w:t>or-</w:t>
      </w:r>
      <w:r w:rsidR="00B51C39">
        <w:t>P</w:t>
      </w:r>
      <w:r>
        <w:t>rofit providers than for the For-</w:t>
      </w:r>
      <w:r w:rsidR="00B51C39">
        <w:t>P</w:t>
      </w:r>
      <w:r>
        <w:t xml:space="preserve">rofit providers. This confirms the EBITDA per package data extracted from the 2019 ACFA Annual Report </w:t>
      </w:r>
      <w:r w:rsidR="00B51C39" w:rsidRPr="00F11B08">
        <w:rPr>
          <w:i/>
        </w:rPr>
        <w:t>(based on the FY18 financial results)</w:t>
      </w:r>
      <w:r w:rsidR="00B51C39">
        <w:t xml:space="preserve"> </w:t>
      </w:r>
      <w:r>
        <w:t>where the Not-</w:t>
      </w:r>
      <w:r w:rsidR="00B51C39">
        <w:t>F</w:t>
      </w:r>
      <w:r>
        <w:t>or-</w:t>
      </w:r>
      <w:r w:rsidR="00B51C39">
        <w:t>P</w:t>
      </w:r>
      <w:r>
        <w:t>rofit providers achieved an average EBTDA per consumer of $1,358 and the For-</w:t>
      </w:r>
      <w:r w:rsidR="00B51C39">
        <w:t>P</w:t>
      </w:r>
      <w:r>
        <w:t>rofit providers averaged $169 EBITDA per consumer.</w:t>
      </w:r>
    </w:p>
    <w:p w14:paraId="182F5F8D" w14:textId="77777777" w:rsidR="00E94275" w:rsidRDefault="00E94275" w:rsidP="00701DB9"/>
    <w:p w14:paraId="3D83BE6E" w14:textId="366C0F83" w:rsidR="00531567" w:rsidRDefault="001B5D40" w:rsidP="00E94275">
      <w:r>
        <w:t xml:space="preserve">It is noteworthy that of the total interest </w:t>
      </w:r>
      <w:r w:rsidR="007318BC">
        <w:t>expense</w:t>
      </w:r>
      <w:r>
        <w:t xml:space="preserve"> of $6,947,132 </w:t>
      </w:r>
      <w:r w:rsidR="007318BC">
        <w:t xml:space="preserve">(refer </w:t>
      </w:r>
      <w:r w:rsidR="007318BC" w:rsidRPr="007318BC">
        <w:rPr>
          <w:i/>
        </w:rPr>
        <w:t>Table 10</w:t>
      </w:r>
      <w:r w:rsidR="007318BC">
        <w:t xml:space="preserve">) </w:t>
      </w:r>
      <w:r>
        <w:t xml:space="preserve">incurred by </w:t>
      </w:r>
      <w:r w:rsidR="00FB5EFA">
        <w:t>AP</w:t>
      </w:r>
      <w:r>
        <w:t xml:space="preserve">s, </w:t>
      </w:r>
      <w:r w:rsidR="00EE6A53">
        <w:t>89% is incurred by the For-</w:t>
      </w:r>
      <w:r w:rsidR="007318BC">
        <w:t>P</w:t>
      </w:r>
      <w:r w:rsidR="00EE6A53">
        <w:t>rofit providers. This would strongly indicate that the For-</w:t>
      </w:r>
      <w:r w:rsidR="007318BC">
        <w:t>P</w:t>
      </w:r>
      <w:r w:rsidR="00EE6A53">
        <w:t>rofit sector is more likely to use external sources of finance to fund working capital requirements and may not maintain the same level of liquid assets as the Not-</w:t>
      </w:r>
      <w:r w:rsidR="007318BC">
        <w:t>F</w:t>
      </w:r>
      <w:r w:rsidR="00EE6A53">
        <w:t>or-</w:t>
      </w:r>
      <w:r w:rsidR="007318BC">
        <w:t>P</w:t>
      </w:r>
      <w:r w:rsidR="00EE6A53">
        <w:t>rofit providers.</w:t>
      </w:r>
    </w:p>
    <w:p w14:paraId="1E7E57CC" w14:textId="77777777" w:rsidR="00531567" w:rsidRDefault="00531567" w:rsidP="00E94275"/>
    <w:p w14:paraId="013BD69B" w14:textId="380B7208" w:rsidR="00EE6A53" w:rsidRPr="001B5D40" w:rsidRDefault="00EE6A53" w:rsidP="00EE6A53">
      <w:pPr>
        <w:pStyle w:val="SubHeading"/>
      </w:pPr>
      <w:r w:rsidRPr="001B5D40">
        <w:t xml:space="preserve">Revenue and Expenses </w:t>
      </w:r>
      <w:r>
        <w:t xml:space="preserve">for Providers based on </w:t>
      </w:r>
      <w:r w:rsidR="007D422F">
        <w:t>P</w:t>
      </w:r>
      <w:r>
        <w:t xml:space="preserve">ositive or </w:t>
      </w:r>
      <w:r w:rsidR="007D422F">
        <w:t>N</w:t>
      </w:r>
      <w:r>
        <w:t xml:space="preserve">egative Net Profit </w:t>
      </w:r>
      <w:proofErr w:type="gramStart"/>
      <w:r>
        <w:t>Before</w:t>
      </w:r>
      <w:proofErr w:type="gramEnd"/>
      <w:r>
        <w:t xml:space="preserve"> </w:t>
      </w:r>
      <w:r w:rsidR="007D422F">
        <w:t>T</w:t>
      </w:r>
      <w:r>
        <w:t>ax</w:t>
      </w:r>
    </w:p>
    <w:p w14:paraId="0AEC5BED" w14:textId="60ACA83F" w:rsidR="00E94275" w:rsidRDefault="00E94275" w:rsidP="00E94275">
      <w:r>
        <w:t xml:space="preserve">Of those </w:t>
      </w:r>
      <w:r w:rsidR="00953EC3">
        <w:t xml:space="preserve">737 </w:t>
      </w:r>
      <w:r w:rsidR="00FB5EFA">
        <w:t>AP</w:t>
      </w:r>
      <w:r>
        <w:t xml:space="preserve">s that have submitted </w:t>
      </w:r>
      <w:proofErr w:type="gramStart"/>
      <w:r>
        <w:t>an</w:t>
      </w:r>
      <w:proofErr w:type="gramEnd"/>
      <w:r>
        <w:t xml:space="preserve"> </w:t>
      </w:r>
      <w:r w:rsidR="00953EC3">
        <w:t>complete</w:t>
      </w:r>
      <w:r w:rsidR="00683463">
        <w:t>d</w:t>
      </w:r>
      <w:r w:rsidR="00953EC3">
        <w:t xml:space="preserve"> </w:t>
      </w:r>
      <w:r>
        <w:t>ACFR at 30 June 2019</w:t>
      </w:r>
      <w:r w:rsidR="00683463">
        <w:t>,</w:t>
      </w:r>
      <w:r>
        <w:t xml:space="preserve"> 2</w:t>
      </w:r>
      <w:r w:rsidR="00683463">
        <w:t>21</w:t>
      </w:r>
      <w:r>
        <w:t xml:space="preserve"> had a negative result and 5</w:t>
      </w:r>
      <w:r w:rsidR="00683463">
        <w:t>16</w:t>
      </w:r>
      <w:r>
        <w:t xml:space="preserve"> had a positive net profit before tax or a break even result as summarised below.</w:t>
      </w:r>
    </w:p>
    <w:p w14:paraId="288F4EBE" w14:textId="387A58E0" w:rsidR="00E94275" w:rsidRDefault="00E94275" w:rsidP="00E94275">
      <w:pPr>
        <w:pStyle w:val="Caption"/>
        <w:keepNext/>
      </w:pPr>
      <w:r>
        <w:t xml:space="preserve">Table </w:t>
      </w:r>
      <w:fldSimple w:instr=" SEQ Table \* ARABIC ">
        <w:r w:rsidR="00844346">
          <w:rPr>
            <w:noProof/>
          </w:rPr>
          <w:t>7</w:t>
        </w:r>
      </w:fldSimple>
      <w:r>
        <w:t xml:space="preserve">:  ACFR data for 2019 </w:t>
      </w:r>
      <w:r w:rsidR="00953EC3">
        <w:t>(</w:t>
      </w:r>
      <w:r>
        <w:t>as submitted at 1</w:t>
      </w:r>
      <w:r w:rsidR="00953EC3">
        <w:t>1</w:t>
      </w:r>
      <w:r>
        <w:t xml:space="preserve"> November 2019</w:t>
      </w:r>
      <w:r w:rsidR="00953EC3">
        <w:t>)</w:t>
      </w:r>
      <w:r>
        <w:t xml:space="preserve"> broken down by positive and negative NPBT</w:t>
      </w:r>
    </w:p>
    <w:tbl>
      <w:tblPr>
        <w:tblStyle w:val="DefaultTable11"/>
        <w:tblW w:w="9581" w:type="dxa"/>
        <w:tblLayout w:type="fixed"/>
        <w:tblLook w:val="06A0" w:firstRow="1" w:lastRow="0" w:firstColumn="1" w:lastColumn="0" w:noHBand="1" w:noVBand="1"/>
        <w:tblCaption w:val="Header row for Table 7:  ACFR data for 2019 (as submitted at 11 November 2019) broken down by positive and negative NPBT"/>
      </w:tblPr>
      <w:tblGrid>
        <w:gridCol w:w="4479"/>
        <w:gridCol w:w="1559"/>
        <w:gridCol w:w="992"/>
        <w:gridCol w:w="1559"/>
        <w:gridCol w:w="992"/>
      </w:tblGrid>
      <w:tr w:rsidR="00953EC3" w:rsidRPr="00953EC3" w14:paraId="4CD28256" w14:textId="77777777" w:rsidTr="003636FB">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4479" w:type="dxa"/>
          </w:tcPr>
          <w:p w14:paraId="40A3C26B" w14:textId="77777777" w:rsidR="00953EC3" w:rsidRPr="00953EC3" w:rsidRDefault="00953EC3" w:rsidP="00953EC3">
            <w:pPr>
              <w:contextualSpacing/>
            </w:pPr>
            <w:r w:rsidRPr="00953EC3">
              <w:t xml:space="preserve">ACFR Profit and Loss Summary - FY19 </w:t>
            </w:r>
          </w:p>
        </w:tc>
        <w:tc>
          <w:tcPr>
            <w:tcW w:w="1559" w:type="dxa"/>
          </w:tcPr>
          <w:p w14:paraId="65665404" w14:textId="6976099D" w:rsidR="00953EC3" w:rsidRPr="00953EC3" w:rsidRDefault="00953EC3" w:rsidP="00953EC3">
            <w:pPr>
              <w:contextualSpacing/>
              <w:jc w:val="center"/>
              <w:cnfStyle w:val="100000000000" w:firstRow="1" w:lastRow="0" w:firstColumn="0" w:lastColumn="0" w:oddVBand="0" w:evenVBand="0" w:oddHBand="0" w:evenHBand="0" w:firstRowFirstColumn="0" w:firstRowLastColumn="0" w:lastRowFirstColumn="0" w:lastRowLastColumn="0"/>
              <w:rPr>
                <w:b w:val="0"/>
                <w:bCs w:val="0"/>
              </w:rPr>
            </w:pPr>
            <w:r w:rsidRPr="00953EC3">
              <w:t>Providers with Positive NPBT</w:t>
            </w:r>
          </w:p>
          <w:p w14:paraId="21B212CB" w14:textId="77777777" w:rsidR="00953EC3" w:rsidRPr="00953EC3" w:rsidRDefault="00953EC3" w:rsidP="00953EC3">
            <w:pPr>
              <w:contextualSpacing/>
              <w:jc w:val="center"/>
              <w:cnfStyle w:val="100000000000" w:firstRow="1" w:lastRow="0" w:firstColumn="0" w:lastColumn="0" w:oddVBand="0" w:evenVBand="0" w:oddHBand="0" w:evenHBand="0" w:firstRowFirstColumn="0" w:firstRowLastColumn="0" w:lastRowFirstColumn="0" w:lastRowLastColumn="0"/>
              <w:rPr>
                <w:b w:val="0"/>
                <w:bCs w:val="0"/>
              </w:rPr>
            </w:pPr>
            <w:r w:rsidRPr="00953EC3">
              <w:t>(516 providers)</w:t>
            </w:r>
          </w:p>
          <w:p w14:paraId="4787BA75" w14:textId="77777777" w:rsidR="00953EC3" w:rsidRPr="00953EC3" w:rsidRDefault="00953EC3" w:rsidP="00953EC3">
            <w:pPr>
              <w:contextualSpacing/>
              <w:jc w:val="center"/>
              <w:cnfStyle w:val="100000000000" w:firstRow="1" w:lastRow="0" w:firstColumn="0" w:lastColumn="0" w:oddVBand="0" w:evenVBand="0" w:oddHBand="0" w:evenHBand="0" w:firstRowFirstColumn="0" w:firstRowLastColumn="0" w:lastRowFirstColumn="0" w:lastRowLastColumn="0"/>
            </w:pPr>
            <w:r w:rsidRPr="00953EC3">
              <w:t>$</w:t>
            </w:r>
          </w:p>
        </w:tc>
        <w:tc>
          <w:tcPr>
            <w:tcW w:w="992" w:type="dxa"/>
          </w:tcPr>
          <w:p w14:paraId="3D08E3A2" w14:textId="77777777" w:rsidR="00953EC3" w:rsidRPr="00953EC3" w:rsidRDefault="00953EC3" w:rsidP="00953EC3">
            <w:pPr>
              <w:contextualSpacing/>
              <w:jc w:val="center"/>
              <w:cnfStyle w:val="100000000000" w:firstRow="1" w:lastRow="0" w:firstColumn="0" w:lastColumn="0" w:oddVBand="0" w:evenVBand="0" w:oddHBand="0" w:evenHBand="0" w:firstRowFirstColumn="0" w:firstRowLastColumn="0" w:lastRowFirstColumn="0" w:lastRowLastColumn="0"/>
            </w:pPr>
            <w:r w:rsidRPr="00953EC3">
              <w:t>% of Revenue</w:t>
            </w:r>
          </w:p>
        </w:tc>
        <w:tc>
          <w:tcPr>
            <w:tcW w:w="1559" w:type="dxa"/>
          </w:tcPr>
          <w:p w14:paraId="1911A27C" w14:textId="77777777" w:rsidR="00953EC3" w:rsidRPr="00953EC3" w:rsidRDefault="00953EC3" w:rsidP="00953EC3">
            <w:pPr>
              <w:contextualSpacing/>
              <w:jc w:val="center"/>
              <w:cnfStyle w:val="100000000000" w:firstRow="1" w:lastRow="0" w:firstColumn="0" w:lastColumn="0" w:oddVBand="0" w:evenVBand="0" w:oddHBand="0" w:evenHBand="0" w:firstRowFirstColumn="0" w:firstRowLastColumn="0" w:lastRowFirstColumn="0" w:lastRowLastColumn="0"/>
              <w:rPr>
                <w:b w:val="0"/>
                <w:bCs w:val="0"/>
              </w:rPr>
            </w:pPr>
            <w:r w:rsidRPr="00953EC3">
              <w:t>Providers with Negative NPBT</w:t>
            </w:r>
          </w:p>
          <w:p w14:paraId="54932059" w14:textId="77777777" w:rsidR="00953EC3" w:rsidRPr="00953EC3" w:rsidRDefault="00953EC3" w:rsidP="00953EC3">
            <w:pPr>
              <w:contextualSpacing/>
              <w:jc w:val="center"/>
              <w:cnfStyle w:val="100000000000" w:firstRow="1" w:lastRow="0" w:firstColumn="0" w:lastColumn="0" w:oddVBand="0" w:evenVBand="0" w:oddHBand="0" w:evenHBand="0" w:firstRowFirstColumn="0" w:firstRowLastColumn="0" w:lastRowFirstColumn="0" w:lastRowLastColumn="0"/>
              <w:rPr>
                <w:b w:val="0"/>
                <w:bCs w:val="0"/>
              </w:rPr>
            </w:pPr>
            <w:r w:rsidRPr="00953EC3">
              <w:t>(221 providers)</w:t>
            </w:r>
          </w:p>
          <w:p w14:paraId="2B4CE41B" w14:textId="77777777" w:rsidR="00953EC3" w:rsidRPr="00953EC3" w:rsidRDefault="00953EC3" w:rsidP="00953EC3">
            <w:pPr>
              <w:contextualSpacing/>
              <w:jc w:val="center"/>
              <w:cnfStyle w:val="100000000000" w:firstRow="1" w:lastRow="0" w:firstColumn="0" w:lastColumn="0" w:oddVBand="0" w:evenVBand="0" w:oddHBand="0" w:evenHBand="0" w:firstRowFirstColumn="0" w:firstRowLastColumn="0" w:lastRowFirstColumn="0" w:lastRowLastColumn="0"/>
            </w:pPr>
            <w:r w:rsidRPr="00953EC3">
              <w:t>$</w:t>
            </w:r>
          </w:p>
        </w:tc>
        <w:tc>
          <w:tcPr>
            <w:tcW w:w="992" w:type="dxa"/>
          </w:tcPr>
          <w:p w14:paraId="3FD79742" w14:textId="77777777" w:rsidR="00953EC3" w:rsidRPr="00953EC3" w:rsidRDefault="00953EC3" w:rsidP="00953EC3">
            <w:pPr>
              <w:contextualSpacing/>
              <w:jc w:val="center"/>
              <w:cnfStyle w:val="100000000000" w:firstRow="1" w:lastRow="0" w:firstColumn="0" w:lastColumn="0" w:oddVBand="0" w:evenVBand="0" w:oddHBand="0" w:evenHBand="0" w:firstRowFirstColumn="0" w:firstRowLastColumn="0" w:lastRowFirstColumn="0" w:lastRowLastColumn="0"/>
            </w:pPr>
            <w:r w:rsidRPr="00953EC3">
              <w:t>% of Revenue</w:t>
            </w:r>
          </w:p>
        </w:tc>
      </w:tr>
    </w:tbl>
    <w:tbl>
      <w:tblPr>
        <w:tblStyle w:val="TableGrid3"/>
        <w:tblW w:w="9581"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Caption w:val="Header row for Table 7:  ACFR data for 2019 (as submitted at 11 November 2019) broken down by positive and negative NPBT"/>
      </w:tblPr>
      <w:tblGrid>
        <w:gridCol w:w="4479"/>
        <w:gridCol w:w="1559"/>
        <w:gridCol w:w="992"/>
        <w:gridCol w:w="1559"/>
        <w:gridCol w:w="992"/>
      </w:tblGrid>
      <w:tr w:rsidR="00953EC3" w14:paraId="6960CC11" w14:textId="77777777" w:rsidTr="003636FB">
        <w:trPr>
          <w:tblHeader/>
        </w:trPr>
        <w:tc>
          <w:tcPr>
            <w:tcW w:w="4479" w:type="dxa"/>
          </w:tcPr>
          <w:p w14:paraId="1FC9CE05" w14:textId="77777777" w:rsidR="00953EC3" w:rsidRPr="00192071" w:rsidRDefault="00953EC3" w:rsidP="002D6A12">
            <w:pPr>
              <w:rPr>
                <w:b/>
                <w:sz w:val="20"/>
                <w:szCs w:val="20"/>
              </w:rPr>
            </w:pPr>
            <w:r w:rsidRPr="00192071">
              <w:rPr>
                <w:rFonts w:cstheme="minorHAnsi"/>
                <w:b/>
                <w:sz w:val="20"/>
                <w:szCs w:val="20"/>
              </w:rPr>
              <w:t>Revenue:</w:t>
            </w:r>
          </w:p>
        </w:tc>
        <w:tc>
          <w:tcPr>
            <w:tcW w:w="1559" w:type="dxa"/>
            <w:shd w:val="clear" w:color="auto" w:fill="auto"/>
            <w:vAlign w:val="center"/>
          </w:tcPr>
          <w:p w14:paraId="1BF14DCA" w14:textId="77777777" w:rsidR="00953EC3" w:rsidRPr="00ED59A3" w:rsidRDefault="00953EC3" w:rsidP="002D6A12">
            <w:pPr>
              <w:contextualSpacing/>
              <w:jc w:val="right"/>
              <w:rPr>
                <w:sz w:val="20"/>
                <w:szCs w:val="20"/>
              </w:rPr>
            </w:pPr>
          </w:p>
        </w:tc>
        <w:tc>
          <w:tcPr>
            <w:tcW w:w="992" w:type="dxa"/>
            <w:shd w:val="clear" w:color="auto" w:fill="auto"/>
            <w:vAlign w:val="center"/>
          </w:tcPr>
          <w:p w14:paraId="13420C29" w14:textId="77777777" w:rsidR="00953EC3" w:rsidRPr="00ED59A3" w:rsidRDefault="00953EC3" w:rsidP="002D6A12">
            <w:pPr>
              <w:contextualSpacing/>
              <w:jc w:val="right"/>
              <w:rPr>
                <w:sz w:val="20"/>
                <w:szCs w:val="20"/>
              </w:rPr>
            </w:pPr>
          </w:p>
        </w:tc>
        <w:tc>
          <w:tcPr>
            <w:tcW w:w="1559" w:type="dxa"/>
            <w:shd w:val="clear" w:color="auto" w:fill="auto"/>
            <w:vAlign w:val="center"/>
          </w:tcPr>
          <w:p w14:paraId="67D94933" w14:textId="77777777" w:rsidR="00953EC3" w:rsidRPr="00ED59A3" w:rsidRDefault="00953EC3" w:rsidP="002D6A12">
            <w:pPr>
              <w:contextualSpacing/>
              <w:jc w:val="right"/>
              <w:rPr>
                <w:sz w:val="20"/>
                <w:szCs w:val="20"/>
              </w:rPr>
            </w:pPr>
          </w:p>
        </w:tc>
        <w:tc>
          <w:tcPr>
            <w:tcW w:w="992" w:type="dxa"/>
            <w:shd w:val="clear" w:color="auto" w:fill="auto"/>
            <w:vAlign w:val="center"/>
          </w:tcPr>
          <w:p w14:paraId="15DA0E3C" w14:textId="77777777" w:rsidR="00953EC3" w:rsidRPr="00ED59A3" w:rsidRDefault="00953EC3" w:rsidP="002D6A12">
            <w:pPr>
              <w:contextualSpacing/>
              <w:jc w:val="right"/>
              <w:rPr>
                <w:sz w:val="20"/>
                <w:szCs w:val="20"/>
              </w:rPr>
            </w:pPr>
          </w:p>
        </w:tc>
      </w:tr>
      <w:tr w:rsidR="00953EC3" w14:paraId="2CBD67F8" w14:textId="77777777" w:rsidTr="002D6A12">
        <w:tc>
          <w:tcPr>
            <w:tcW w:w="4479" w:type="dxa"/>
          </w:tcPr>
          <w:p w14:paraId="418191D3" w14:textId="77777777" w:rsidR="00953EC3" w:rsidRPr="004A7E5B" w:rsidRDefault="00953EC3" w:rsidP="002D6A12">
            <w:pPr>
              <w:ind w:left="179"/>
              <w:rPr>
                <w:rFonts w:cstheme="minorHAnsi"/>
                <w:sz w:val="20"/>
                <w:szCs w:val="20"/>
              </w:rPr>
            </w:pPr>
            <w:r w:rsidRPr="004A7E5B">
              <w:rPr>
                <w:rFonts w:cstheme="minorHAnsi"/>
                <w:sz w:val="20"/>
                <w:szCs w:val="20"/>
              </w:rPr>
              <w:t xml:space="preserve">Provision of care / services </w:t>
            </w:r>
          </w:p>
        </w:tc>
        <w:tc>
          <w:tcPr>
            <w:tcW w:w="1559" w:type="dxa"/>
            <w:shd w:val="clear" w:color="auto" w:fill="auto"/>
            <w:vAlign w:val="center"/>
          </w:tcPr>
          <w:p w14:paraId="22C429D7" w14:textId="77777777" w:rsidR="00953EC3" w:rsidRPr="0016598E" w:rsidRDefault="00953EC3" w:rsidP="002D6A12">
            <w:pPr>
              <w:contextualSpacing/>
              <w:jc w:val="right"/>
              <w:rPr>
                <w:rFonts w:cstheme="minorHAnsi"/>
                <w:sz w:val="20"/>
                <w:szCs w:val="20"/>
              </w:rPr>
            </w:pPr>
            <w:r w:rsidRPr="0016598E">
              <w:rPr>
                <w:rFonts w:cstheme="minorHAnsi"/>
                <w:sz w:val="20"/>
                <w:szCs w:val="20"/>
              </w:rPr>
              <w:t>1,184,987,289</w:t>
            </w:r>
          </w:p>
        </w:tc>
        <w:tc>
          <w:tcPr>
            <w:tcW w:w="992" w:type="dxa"/>
            <w:shd w:val="clear" w:color="auto" w:fill="auto"/>
            <w:vAlign w:val="center"/>
          </w:tcPr>
          <w:p w14:paraId="5A85DCF1" w14:textId="77777777" w:rsidR="00953EC3" w:rsidRPr="0016598E" w:rsidRDefault="00953EC3" w:rsidP="002D6A12">
            <w:pPr>
              <w:contextualSpacing/>
              <w:jc w:val="center"/>
              <w:rPr>
                <w:rFonts w:cstheme="minorHAnsi"/>
                <w:i/>
                <w:sz w:val="20"/>
                <w:szCs w:val="20"/>
              </w:rPr>
            </w:pPr>
            <w:r w:rsidRPr="0016598E">
              <w:rPr>
                <w:rFonts w:cstheme="minorHAnsi"/>
                <w:i/>
                <w:sz w:val="20"/>
                <w:szCs w:val="20"/>
              </w:rPr>
              <w:t>67.4%</w:t>
            </w:r>
          </w:p>
        </w:tc>
        <w:tc>
          <w:tcPr>
            <w:tcW w:w="1559" w:type="dxa"/>
            <w:shd w:val="clear" w:color="auto" w:fill="auto"/>
            <w:vAlign w:val="center"/>
          </w:tcPr>
          <w:p w14:paraId="5C7A0076" w14:textId="77777777" w:rsidR="00953EC3" w:rsidRPr="0016598E" w:rsidRDefault="00953EC3" w:rsidP="002D6A12">
            <w:pPr>
              <w:contextualSpacing/>
              <w:jc w:val="right"/>
              <w:rPr>
                <w:rFonts w:cstheme="minorHAnsi"/>
                <w:sz w:val="20"/>
                <w:szCs w:val="20"/>
              </w:rPr>
            </w:pPr>
            <w:r w:rsidRPr="0016598E">
              <w:rPr>
                <w:rFonts w:cstheme="minorHAnsi"/>
                <w:sz w:val="20"/>
                <w:szCs w:val="20"/>
              </w:rPr>
              <w:t>490,808,042</w:t>
            </w:r>
          </w:p>
        </w:tc>
        <w:tc>
          <w:tcPr>
            <w:tcW w:w="992" w:type="dxa"/>
            <w:shd w:val="clear" w:color="auto" w:fill="auto"/>
            <w:vAlign w:val="center"/>
          </w:tcPr>
          <w:p w14:paraId="4F7092D2" w14:textId="77777777" w:rsidR="00953EC3" w:rsidRPr="0016598E" w:rsidRDefault="00953EC3" w:rsidP="002D6A12">
            <w:pPr>
              <w:contextualSpacing/>
              <w:jc w:val="center"/>
              <w:rPr>
                <w:rFonts w:cstheme="minorHAnsi"/>
                <w:i/>
                <w:sz w:val="20"/>
                <w:szCs w:val="20"/>
              </w:rPr>
            </w:pPr>
            <w:r w:rsidRPr="0016598E">
              <w:rPr>
                <w:rFonts w:cstheme="minorHAnsi"/>
                <w:i/>
                <w:sz w:val="20"/>
                <w:szCs w:val="20"/>
              </w:rPr>
              <w:t>67.8%</w:t>
            </w:r>
          </w:p>
        </w:tc>
      </w:tr>
      <w:tr w:rsidR="00953EC3" w14:paraId="086BC014" w14:textId="77777777" w:rsidTr="002D6A12">
        <w:tc>
          <w:tcPr>
            <w:tcW w:w="4479" w:type="dxa"/>
          </w:tcPr>
          <w:p w14:paraId="794A5B39" w14:textId="77777777" w:rsidR="00953EC3" w:rsidRPr="004A7E5B" w:rsidRDefault="00953EC3" w:rsidP="002D6A12">
            <w:pPr>
              <w:ind w:left="179"/>
              <w:rPr>
                <w:rFonts w:cstheme="minorHAnsi"/>
                <w:sz w:val="20"/>
                <w:szCs w:val="20"/>
              </w:rPr>
            </w:pPr>
            <w:r w:rsidRPr="004A7E5B">
              <w:rPr>
                <w:rFonts w:cstheme="minorHAnsi"/>
                <w:sz w:val="20"/>
                <w:szCs w:val="20"/>
              </w:rPr>
              <w:t>Client / case management fees</w:t>
            </w:r>
          </w:p>
        </w:tc>
        <w:tc>
          <w:tcPr>
            <w:tcW w:w="1559" w:type="dxa"/>
            <w:shd w:val="clear" w:color="auto" w:fill="auto"/>
            <w:vAlign w:val="center"/>
          </w:tcPr>
          <w:p w14:paraId="349A9A83" w14:textId="77777777" w:rsidR="00953EC3" w:rsidRPr="0016598E" w:rsidRDefault="00953EC3" w:rsidP="002D6A12">
            <w:pPr>
              <w:contextualSpacing/>
              <w:jc w:val="right"/>
              <w:rPr>
                <w:rFonts w:cstheme="minorHAnsi"/>
                <w:sz w:val="20"/>
                <w:szCs w:val="20"/>
              </w:rPr>
            </w:pPr>
            <w:r w:rsidRPr="0016598E">
              <w:rPr>
                <w:rFonts w:cstheme="minorHAnsi"/>
                <w:sz w:val="20"/>
                <w:szCs w:val="20"/>
              </w:rPr>
              <w:t>233,789,974</w:t>
            </w:r>
          </w:p>
        </w:tc>
        <w:tc>
          <w:tcPr>
            <w:tcW w:w="992" w:type="dxa"/>
            <w:shd w:val="clear" w:color="auto" w:fill="auto"/>
            <w:vAlign w:val="center"/>
          </w:tcPr>
          <w:p w14:paraId="2A26505C" w14:textId="77777777" w:rsidR="00953EC3" w:rsidRPr="0016598E" w:rsidRDefault="00953EC3" w:rsidP="002D6A12">
            <w:pPr>
              <w:contextualSpacing/>
              <w:jc w:val="center"/>
              <w:rPr>
                <w:rFonts w:cstheme="minorHAnsi"/>
                <w:i/>
                <w:sz w:val="20"/>
                <w:szCs w:val="20"/>
              </w:rPr>
            </w:pPr>
            <w:r w:rsidRPr="0016598E">
              <w:rPr>
                <w:rFonts w:cstheme="minorHAnsi"/>
                <w:i/>
                <w:sz w:val="20"/>
                <w:szCs w:val="20"/>
              </w:rPr>
              <w:t>13.3%</w:t>
            </w:r>
          </w:p>
        </w:tc>
        <w:tc>
          <w:tcPr>
            <w:tcW w:w="1559" w:type="dxa"/>
            <w:shd w:val="clear" w:color="auto" w:fill="auto"/>
            <w:vAlign w:val="center"/>
          </w:tcPr>
          <w:p w14:paraId="1AE598D0" w14:textId="77777777" w:rsidR="00953EC3" w:rsidRPr="0016598E" w:rsidRDefault="00953EC3" w:rsidP="002D6A12">
            <w:pPr>
              <w:contextualSpacing/>
              <w:jc w:val="right"/>
              <w:rPr>
                <w:rFonts w:cstheme="minorHAnsi"/>
                <w:sz w:val="20"/>
                <w:szCs w:val="20"/>
              </w:rPr>
            </w:pPr>
            <w:r w:rsidRPr="0016598E">
              <w:rPr>
                <w:rFonts w:cstheme="minorHAnsi"/>
                <w:sz w:val="20"/>
                <w:szCs w:val="20"/>
              </w:rPr>
              <w:t>111,209,051</w:t>
            </w:r>
          </w:p>
        </w:tc>
        <w:tc>
          <w:tcPr>
            <w:tcW w:w="992" w:type="dxa"/>
            <w:shd w:val="clear" w:color="auto" w:fill="auto"/>
            <w:vAlign w:val="center"/>
          </w:tcPr>
          <w:p w14:paraId="752430A9" w14:textId="77777777" w:rsidR="00953EC3" w:rsidRPr="0016598E" w:rsidRDefault="00953EC3" w:rsidP="002D6A12">
            <w:pPr>
              <w:contextualSpacing/>
              <w:jc w:val="center"/>
              <w:rPr>
                <w:rFonts w:cstheme="minorHAnsi"/>
                <w:i/>
                <w:sz w:val="20"/>
                <w:szCs w:val="20"/>
              </w:rPr>
            </w:pPr>
            <w:r w:rsidRPr="0016598E">
              <w:rPr>
                <w:rFonts w:cstheme="minorHAnsi"/>
                <w:i/>
                <w:sz w:val="20"/>
                <w:szCs w:val="20"/>
              </w:rPr>
              <w:t>15.4%</w:t>
            </w:r>
          </w:p>
        </w:tc>
      </w:tr>
      <w:tr w:rsidR="00953EC3" w14:paraId="7EF32AED" w14:textId="77777777" w:rsidTr="002D6A12">
        <w:tc>
          <w:tcPr>
            <w:tcW w:w="4479" w:type="dxa"/>
          </w:tcPr>
          <w:p w14:paraId="28B47C55" w14:textId="77777777" w:rsidR="00953EC3" w:rsidRPr="004A7E5B" w:rsidRDefault="00953EC3" w:rsidP="002D6A12">
            <w:pPr>
              <w:ind w:left="179"/>
              <w:rPr>
                <w:rFonts w:cstheme="minorHAnsi"/>
                <w:sz w:val="20"/>
                <w:szCs w:val="20"/>
              </w:rPr>
            </w:pPr>
            <w:r w:rsidRPr="004A7E5B">
              <w:rPr>
                <w:rFonts w:cstheme="minorHAnsi"/>
                <w:sz w:val="20"/>
                <w:szCs w:val="20"/>
              </w:rPr>
              <w:t>Administration fees</w:t>
            </w:r>
          </w:p>
        </w:tc>
        <w:tc>
          <w:tcPr>
            <w:tcW w:w="1559" w:type="dxa"/>
            <w:shd w:val="clear" w:color="auto" w:fill="auto"/>
            <w:vAlign w:val="center"/>
          </w:tcPr>
          <w:p w14:paraId="2F12A425" w14:textId="77777777" w:rsidR="00953EC3" w:rsidRPr="0016598E" w:rsidRDefault="00953EC3" w:rsidP="002D6A12">
            <w:pPr>
              <w:contextualSpacing/>
              <w:jc w:val="right"/>
              <w:rPr>
                <w:rFonts w:cstheme="minorHAnsi"/>
                <w:sz w:val="20"/>
                <w:szCs w:val="20"/>
              </w:rPr>
            </w:pPr>
            <w:r w:rsidRPr="0016598E">
              <w:rPr>
                <w:rFonts w:cstheme="minorHAnsi"/>
                <w:sz w:val="20"/>
                <w:szCs w:val="20"/>
              </w:rPr>
              <w:t>286,444,890</w:t>
            </w:r>
          </w:p>
        </w:tc>
        <w:tc>
          <w:tcPr>
            <w:tcW w:w="992" w:type="dxa"/>
            <w:shd w:val="clear" w:color="auto" w:fill="auto"/>
            <w:vAlign w:val="center"/>
          </w:tcPr>
          <w:p w14:paraId="792FDC0E" w14:textId="77777777" w:rsidR="00953EC3" w:rsidRPr="0016598E" w:rsidRDefault="00953EC3" w:rsidP="002D6A12">
            <w:pPr>
              <w:contextualSpacing/>
              <w:jc w:val="center"/>
              <w:rPr>
                <w:rFonts w:cstheme="minorHAnsi"/>
                <w:i/>
                <w:sz w:val="20"/>
                <w:szCs w:val="20"/>
              </w:rPr>
            </w:pPr>
            <w:r w:rsidRPr="0016598E">
              <w:rPr>
                <w:rFonts w:cstheme="minorHAnsi"/>
                <w:i/>
                <w:sz w:val="20"/>
                <w:szCs w:val="20"/>
              </w:rPr>
              <w:t>16.3%</w:t>
            </w:r>
          </w:p>
        </w:tc>
        <w:tc>
          <w:tcPr>
            <w:tcW w:w="1559" w:type="dxa"/>
            <w:shd w:val="clear" w:color="auto" w:fill="auto"/>
            <w:vAlign w:val="center"/>
          </w:tcPr>
          <w:p w14:paraId="3C1A0344" w14:textId="77777777" w:rsidR="00953EC3" w:rsidRPr="0016598E" w:rsidRDefault="00953EC3" w:rsidP="002D6A12">
            <w:pPr>
              <w:contextualSpacing/>
              <w:jc w:val="right"/>
              <w:rPr>
                <w:rFonts w:cstheme="minorHAnsi"/>
                <w:sz w:val="20"/>
                <w:szCs w:val="20"/>
              </w:rPr>
            </w:pPr>
            <w:r w:rsidRPr="0016598E">
              <w:rPr>
                <w:rFonts w:cstheme="minorHAnsi"/>
                <w:sz w:val="20"/>
                <w:szCs w:val="20"/>
              </w:rPr>
              <w:t>98,663,370</w:t>
            </w:r>
          </w:p>
        </w:tc>
        <w:tc>
          <w:tcPr>
            <w:tcW w:w="992" w:type="dxa"/>
            <w:shd w:val="clear" w:color="auto" w:fill="auto"/>
            <w:vAlign w:val="center"/>
          </w:tcPr>
          <w:p w14:paraId="4CFC1D0C" w14:textId="77777777" w:rsidR="00953EC3" w:rsidRPr="0016598E" w:rsidRDefault="00953EC3" w:rsidP="002D6A12">
            <w:pPr>
              <w:contextualSpacing/>
              <w:jc w:val="center"/>
              <w:rPr>
                <w:rFonts w:cstheme="minorHAnsi"/>
                <w:i/>
                <w:sz w:val="20"/>
                <w:szCs w:val="20"/>
              </w:rPr>
            </w:pPr>
            <w:r w:rsidRPr="0016598E">
              <w:rPr>
                <w:rFonts w:cstheme="minorHAnsi"/>
                <w:i/>
                <w:sz w:val="20"/>
                <w:szCs w:val="20"/>
              </w:rPr>
              <w:t>13.6%</w:t>
            </w:r>
          </w:p>
        </w:tc>
      </w:tr>
      <w:tr w:rsidR="00953EC3" w14:paraId="706D22CA" w14:textId="77777777" w:rsidTr="002D6A12">
        <w:tc>
          <w:tcPr>
            <w:tcW w:w="4479" w:type="dxa"/>
          </w:tcPr>
          <w:p w14:paraId="51C2B092" w14:textId="77777777" w:rsidR="00953EC3" w:rsidRPr="004A7E5B" w:rsidRDefault="00953EC3" w:rsidP="002D6A12">
            <w:pPr>
              <w:ind w:left="179"/>
              <w:rPr>
                <w:rFonts w:cstheme="minorHAnsi"/>
                <w:sz w:val="20"/>
                <w:szCs w:val="20"/>
              </w:rPr>
            </w:pPr>
            <w:r w:rsidRPr="004A7E5B">
              <w:rPr>
                <w:rFonts w:cstheme="minorHAnsi"/>
                <w:sz w:val="20"/>
                <w:szCs w:val="20"/>
              </w:rPr>
              <w:t>Exit fees</w:t>
            </w:r>
          </w:p>
        </w:tc>
        <w:tc>
          <w:tcPr>
            <w:tcW w:w="1559" w:type="dxa"/>
            <w:shd w:val="clear" w:color="auto" w:fill="auto"/>
            <w:vAlign w:val="center"/>
          </w:tcPr>
          <w:p w14:paraId="34FCAF3A" w14:textId="77777777" w:rsidR="00953EC3" w:rsidRPr="0016598E" w:rsidRDefault="00953EC3" w:rsidP="002D6A12">
            <w:pPr>
              <w:contextualSpacing/>
              <w:jc w:val="right"/>
              <w:rPr>
                <w:rFonts w:cstheme="minorHAnsi"/>
                <w:sz w:val="20"/>
                <w:szCs w:val="20"/>
              </w:rPr>
            </w:pPr>
            <w:r w:rsidRPr="0016598E">
              <w:rPr>
                <w:rFonts w:cstheme="minorHAnsi"/>
                <w:sz w:val="20"/>
                <w:szCs w:val="20"/>
              </w:rPr>
              <w:t>3,460,709</w:t>
            </w:r>
          </w:p>
        </w:tc>
        <w:tc>
          <w:tcPr>
            <w:tcW w:w="992" w:type="dxa"/>
            <w:shd w:val="clear" w:color="auto" w:fill="auto"/>
            <w:vAlign w:val="center"/>
          </w:tcPr>
          <w:p w14:paraId="5CDB03E8" w14:textId="77777777" w:rsidR="00953EC3" w:rsidRPr="0016598E" w:rsidRDefault="00953EC3" w:rsidP="002D6A12">
            <w:pPr>
              <w:contextualSpacing/>
              <w:jc w:val="center"/>
              <w:rPr>
                <w:rFonts w:cstheme="minorHAnsi"/>
                <w:i/>
                <w:sz w:val="20"/>
                <w:szCs w:val="20"/>
              </w:rPr>
            </w:pPr>
            <w:r w:rsidRPr="0016598E">
              <w:rPr>
                <w:rFonts w:cstheme="minorHAnsi"/>
                <w:i/>
                <w:sz w:val="20"/>
                <w:szCs w:val="20"/>
              </w:rPr>
              <w:t>0.2%</w:t>
            </w:r>
          </w:p>
        </w:tc>
        <w:tc>
          <w:tcPr>
            <w:tcW w:w="1559" w:type="dxa"/>
            <w:shd w:val="clear" w:color="auto" w:fill="auto"/>
            <w:vAlign w:val="center"/>
          </w:tcPr>
          <w:p w14:paraId="5931D231" w14:textId="77777777" w:rsidR="00953EC3" w:rsidRPr="0016598E" w:rsidRDefault="00953EC3" w:rsidP="002D6A12">
            <w:pPr>
              <w:contextualSpacing/>
              <w:jc w:val="right"/>
              <w:rPr>
                <w:rFonts w:cstheme="minorHAnsi"/>
                <w:sz w:val="20"/>
                <w:szCs w:val="20"/>
              </w:rPr>
            </w:pPr>
            <w:r w:rsidRPr="0016598E">
              <w:rPr>
                <w:rFonts w:cstheme="minorHAnsi"/>
                <w:sz w:val="20"/>
                <w:szCs w:val="20"/>
              </w:rPr>
              <w:t>1,765,364</w:t>
            </w:r>
          </w:p>
        </w:tc>
        <w:tc>
          <w:tcPr>
            <w:tcW w:w="992" w:type="dxa"/>
            <w:shd w:val="clear" w:color="auto" w:fill="auto"/>
            <w:vAlign w:val="center"/>
          </w:tcPr>
          <w:p w14:paraId="675985C1" w14:textId="77777777" w:rsidR="00953EC3" w:rsidRPr="0016598E" w:rsidRDefault="00953EC3" w:rsidP="002D6A12">
            <w:pPr>
              <w:contextualSpacing/>
              <w:jc w:val="center"/>
              <w:rPr>
                <w:rFonts w:cstheme="minorHAnsi"/>
                <w:i/>
                <w:sz w:val="20"/>
                <w:szCs w:val="20"/>
              </w:rPr>
            </w:pPr>
            <w:r w:rsidRPr="0016598E">
              <w:rPr>
                <w:rFonts w:cstheme="minorHAnsi"/>
                <w:i/>
                <w:sz w:val="20"/>
                <w:szCs w:val="20"/>
              </w:rPr>
              <w:t>0.2%</w:t>
            </w:r>
          </w:p>
        </w:tc>
      </w:tr>
      <w:tr w:rsidR="00953EC3" w14:paraId="1CB31E7B" w14:textId="77777777" w:rsidTr="002D6A12">
        <w:tc>
          <w:tcPr>
            <w:tcW w:w="4479" w:type="dxa"/>
          </w:tcPr>
          <w:p w14:paraId="25DC8BE2" w14:textId="77777777" w:rsidR="00953EC3" w:rsidRPr="004A7E5B" w:rsidRDefault="00953EC3" w:rsidP="002D6A12">
            <w:pPr>
              <w:ind w:left="179"/>
              <w:rPr>
                <w:rFonts w:cstheme="minorHAnsi"/>
                <w:sz w:val="20"/>
                <w:szCs w:val="20"/>
              </w:rPr>
            </w:pPr>
            <w:r w:rsidRPr="004A7E5B">
              <w:rPr>
                <w:rFonts w:cstheme="minorHAnsi"/>
                <w:sz w:val="20"/>
                <w:szCs w:val="20"/>
              </w:rPr>
              <w:t xml:space="preserve">Other </w:t>
            </w:r>
            <w:r>
              <w:rPr>
                <w:rFonts w:cstheme="minorHAnsi"/>
                <w:sz w:val="20"/>
                <w:szCs w:val="20"/>
              </w:rPr>
              <w:t>revenue</w:t>
            </w:r>
          </w:p>
        </w:tc>
        <w:tc>
          <w:tcPr>
            <w:tcW w:w="1559" w:type="dxa"/>
            <w:shd w:val="clear" w:color="auto" w:fill="auto"/>
            <w:vAlign w:val="center"/>
          </w:tcPr>
          <w:p w14:paraId="18EF112E" w14:textId="77777777" w:rsidR="00953EC3" w:rsidRPr="0016598E" w:rsidRDefault="00953EC3" w:rsidP="002D6A12">
            <w:pPr>
              <w:contextualSpacing/>
              <w:jc w:val="right"/>
              <w:rPr>
                <w:rFonts w:cstheme="minorHAnsi"/>
                <w:sz w:val="20"/>
                <w:szCs w:val="20"/>
              </w:rPr>
            </w:pPr>
            <w:r w:rsidRPr="0016598E">
              <w:rPr>
                <w:rFonts w:cstheme="minorHAnsi"/>
                <w:sz w:val="20"/>
                <w:szCs w:val="20"/>
              </w:rPr>
              <w:t>48,703,300</w:t>
            </w:r>
          </w:p>
        </w:tc>
        <w:tc>
          <w:tcPr>
            <w:tcW w:w="992" w:type="dxa"/>
            <w:shd w:val="clear" w:color="auto" w:fill="auto"/>
            <w:vAlign w:val="center"/>
          </w:tcPr>
          <w:p w14:paraId="2672CE68" w14:textId="77777777" w:rsidR="00953EC3" w:rsidRPr="0016598E" w:rsidRDefault="00953EC3" w:rsidP="002D6A12">
            <w:pPr>
              <w:contextualSpacing/>
              <w:jc w:val="center"/>
              <w:rPr>
                <w:rFonts w:cstheme="minorHAnsi"/>
                <w:i/>
                <w:sz w:val="20"/>
                <w:szCs w:val="20"/>
              </w:rPr>
            </w:pPr>
            <w:r w:rsidRPr="0016598E">
              <w:rPr>
                <w:rFonts w:cstheme="minorHAnsi"/>
                <w:i/>
                <w:sz w:val="20"/>
                <w:szCs w:val="20"/>
              </w:rPr>
              <w:t>2.8%</w:t>
            </w:r>
          </w:p>
        </w:tc>
        <w:tc>
          <w:tcPr>
            <w:tcW w:w="1559" w:type="dxa"/>
            <w:shd w:val="clear" w:color="auto" w:fill="auto"/>
            <w:vAlign w:val="center"/>
          </w:tcPr>
          <w:p w14:paraId="1D652434" w14:textId="77777777" w:rsidR="00953EC3" w:rsidRPr="0016598E" w:rsidRDefault="00953EC3" w:rsidP="002D6A12">
            <w:pPr>
              <w:contextualSpacing/>
              <w:jc w:val="right"/>
              <w:rPr>
                <w:rFonts w:cstheme="minorHAnsi"/>
                <w:sz w:val="20"/>
                <w:szCs w:val="20"/>
              </w:rPr>
            </w:pPr>
            <w:r w:rsidRPr="0016598E">
              <w:rPr>
                <w:rFonts w:cstheme="minorHAnsi"/>
                <w:sz w:val="20"/>
                <w:szCs w:val="20"/>
              </w:rPr>
              <w:t>21,350,743</w:t>
            </w:r>
          </w:p>
        </w:tc>
        <w:tc>
          <w:tcPr>
            <w:tcW w:w="992" w:type="dxa"/>
            <w:shd w:val="clear" w:color="auto" w:fill="auto"/>
            <w:vAlign w:val="center"/>
          </w:tcPr>
          <w:p w14:paraId="4C2AB01D" w14:textId="77777777" w:rsidR="00953EC3" w:rsidRPr="0016598E" w:rsidRDefault="00953EC3" w:rsidP="002D6A12">
            <w:pPr>
              <w:contextualSpacing/>
              <w:jc w:val="center"/>
              <w:rPr>
                <w:rFonts w:cstheme="minorHAnsi"/>
                <w:i/>
                <w:sz w:val="20"/>
                <w:szCs w:val="20"/>
              </w:rPr>
            </w:pPr>
            <w:r w:rsidRPr="0016598E">
              <w:rPr>
                <w:rFonts w:cstheme="minorHAnsi"/>
                <w:i/>
                <w:sz w:val="20"/>
                <w:szCs w:val="20"/>
              </w:rPr>
              <w:t>2.9%</w:t>
            </w:r>
          </w:p>
        </w:tc>
      </w:tr>
      <w:tr w:rsidR="00953EC3" w14:paraId="60E87297" w14:textId="77777777" w:rsidTr="002D6A12">
        <w:tc>
          <w:tcPr>
            <w:tcW w:w="4479" w:type="dxa"/>
            <w:shd w:val="clear" w:color="auto" w:fill="D9E2F3" w:themeFill="accent5" w:themeFillTint="33"/>
          </w:tcPr>
          <w:p w14:paraId="1EA51546" w14:textId="77777777" w:rsidR="00953EC3" w:rsidRPr="00192071" w:rsidRDefault="00953EC3" w:rsidP="002D6A12">
            <w:pPr>
              <w:rPr>
                <w:rFonts w:cstheme="minorHAnsi"/>
                <w:b/>
                <w:sz w:val="20"/>
                <w:szCs w:val="20"/>
              </w:rPr>
            </w:pPr>
            <w:r w:rsidRPr="00192071">
              <w:rPr>
                <w:rFonts w:cstheme="minorHAnsi"/>
                <w:b/>
                <w:i/>
                <w:sz w:val="20"/>
                <w:szCs w:val="20"/>
              </w:rPr>
              <w:t>Total revenue</w:t>
            </w:r>
          </w:p>
        </w:tc>
        <w:tc>
          <w:tcPr>
            <w:tcW w:w="1559" w:type="dxa"/>
            <w:shd w:val="clear" w:color="auto" w:fill="D9E2F3" w:themeFill="accent5" w:themeFillTint="33"/>
            <w:vAlign w:val="center"/>
          </w:tcPr>
          <w:p w14:paraId="3E2DE7EF" w14:textId="77777777" w:rsidR="00953EC3" w:rsidRPr="0016598E" w:rsidRDefault="00953EC3" w:rsidP="002D6A12">
            <w:pPr>
              <w:contextualSpacing/>
              <w:jc w:val="right"/>
              <w:rPr>
                <w:rFonts w:cstheme="minorHAnsi"/>
                <w:sz w:val="20"/>
                <w:szCs w:val="20"/>
              </w:rPr>
            </w:pPr>
            <w:r w:rsidRPr="0016598E">
              <w:rPr>
                <w:rFonts w:cstheme="minorHAnsi"/>
                <w:sz w:val="20"/>
                <w:szCs w:val="20"/>
              </w:rPr>
              <w:t>1,757,386,162</w:t>
            </w:r>
          </w:p>
        </w:tc>
        <w:tc>
          <w:tcPr>
            <w:tcW w:w="992" w:type="dxa"/>
            <w:shd w:val="clear" w:color="auto" w:fill="D9E2F3" w:themeFill="accent5" w:themeFillTint="33"/>
            <w:vAlign w:val="center"/>
          </w:tcPr>
          <w:p w14:paraId="02279CEF" w14:textId="77777777" w:rsidR="00953EC3" w:rsidRPr="0016598E" w:rsidRDefault="00953EC3" w:rsidP="002D6A12">
            <w:pPr>
              <w:contextualSpacing/>
              <w:jc w:val="center"/>
              <w:rPr>
                <w:rFonts w:cstheme="minorHAnsi"/>
                <w:i/>
                <w:sz w:val="20"/>
                <w:szCs w:val="20"/>
              </w:rPr>
            </w:pPr>
            <w:r w:rsidRPr="0016598E">
              <w:rPr>
                <w:rFonts w:cstheme="minorHAnsi"/>
                <w:i/>
                <w:sz w:val="20"/>
                <w:szCs w:val="20"/>
              </w:rPr>
              <w:t>100.0%</w:t>
            </w:r>
          </w:p>
        </w:tc>
        <w:tc>
          <w:tcPr>
            <w:tcW w:w="1559" w:type="dxa"/>
            <w:shd w:val="clear" w:color="auto" w:fill="D9E2F3" w:themeFill="accent5" w:themeFillTint="33"/>
            <w:vAlign w:val="center"/>
          </w:tcPr>
          <w:p w14:paraId="44BC3FE3" w14:textId="77777777" w:rsidR="00953EC3" w:rsidRPr="0016598E" w:rsidRDefault="00953EC3" w:rsidP="002D6A12">
            <w:pPr>
              <w:contextualSpacing/>
              <w:jc w:val="right"/>
              <w:rPr>
                <w:rFonts w:cstheme="minorHAnsi"/>
                <w:sz w:val="20"/>
                <w:szCs w:val="20"/>
              </w:rPr>
            </w:pPr>
            <w:r w:rsidRPr="0016598E">
              <w:rPr>
                <w:rFonts w:cstheme="minorHAnsi"/>
                <w:sz w:val="20"/>
                <w:szCs w:val="20"/>
              </w:rPr>
              <w:t>723,796,570</w:t>
            </w:r>
          </w:p>
        </w:tc>
        <w:tc>
          <w:tcPr>
            <w:tcW w:w="992" w:type="dxa"/>
            <w:shd w:val="clear" w:color="auto" w:fill="D9E2F3" w:themeFill="accent5" w:themeFillTint="33"/>
            <w:vAlign w:val="center"/>
          </w:tcPr>
          <w:p w14:paraId="04EBB0C0" w14:textId="77777777" w:rsidR="00953EC3" w:rsidRPr="0016598E" w:rsidRDefault="00953EC3" w:rsidP="002D6A12">
            <w:pPr>
              <w:contextualSpacing/>
              <w:jc w:val="center"/>
              <w:rPr>
                <w:rFonts w:cstheme="minorHAnsi"/>
                <w:i/>
                <w:sz w:val="20"/>
                <w:szCs w:val="20"/>
              </w:rPr>
            </w:pPr>
            <w:r w:rsidRPr="0016598E">
              <w:rPr>
                <w:rFonts w:cstheme="minorHAnsi"/>
                <w:i/>
                <w:sz w:val="20"/>
                <w:szCs w:val="20"/>
              </w:rPr>
              <w:t>100.0%</w:t>
            </w:r>
          </w:p>
        </w:tc>
      </w:tr>
      <w:tr w:rsidR="00953EC3" w14:paraId="628EAC1B" w14:textId="77777777" w:rsidTr="002D6A12">
        <w:tc>
          <w:tcPr>
            <w:tcW w:w="4479" w:type="dxa"/>
          </w:tcPr>
          <w:p w14:paraId="5080F793" w14:textId="77777777" w:rsidR="00953EC3" w:rsidRPr="00192071" w:rsidRDefault="00953EC3" w:rsidP="002D6A12">
            <w:pPr>
              <w:rPr>
                <w:rFonts w:cstheme="minorHAnsi"/>
                <w:b/>
                <w:sz w:val="20"/>
                <w:szCs w:val="20"/>
              </w:rPr>
            </w:pPr>
            <w:r w:rsidRPr="00192071">
              <w:rPr>
                <w:rFonts w:cstheme="minorHAnsi"/>
                <w:b/>
                <w:sz w:val="20"/>
                <w:szCs w:val="20"/>
              </w:rPr>
              <w:t>Expenses</w:t>
            </w:r>
            <w:r>
              <w:rPr>
                <w:rFonts w:cstheme="minorHAnsi"/>
                <w:b/>
                <w:sz w:val="20"/>
                <w:szCs w:val="20"/>
              </w:rPr>
              <w:t>:</w:t>
            </w:r>
          </w:p>
        </w:tc>
        <w:tc>
          <w:tcPr>
            <w:tcW w:w="1559" w:type="dxa"/>
            <w:shd w:val="clear" w:color="auto" w:fill="auto"/>
            <w:vAlign w:val="center"/>
          </w:tcPr>
          <w:p w14:paraId="7EA6B1BE" w14:textId="77777777" w:rsidR="00953EC3" w:rsidRPr="0016598E" w:rsidRDefault="00953EC3" w:rsidP="002D6A12">
            <w:pPr>
              <w:contextualSpacing/>
              <w:jc w:val="right"/>
              <w:rPr>
                <w:rFonts w:cstheme="minorHAnsi"/>
                <w:sz w:val="20"/>
                <w:szCs w:val="20"/>
              </w:rPr>
            </w:pPr>
          </w:p>
        </w:tc>
        <w:tc>
          <w:tcPr>
            <w:tcW w:w="992" w:type="dxa"/>
            <w:shd w:val="clear" w:color="auto" w:fill="auto"/>
            <w:vAlign w:val="center"/>
          </w:tcPr>
          <w:p w14:paraId="5BFDC314" w14:textId="77777777" w:rsidR="00953EC3" w:rsidRPr="0016598E" w:rsidRDefault="00953EC3" w:rsidP="002D6A12">
            <w:pPr>
              <w:contextualSpacing/>
              <w:jc w:val="center"/>
              <w:rPr>
                <w:rFonts w:cstheme="minorHAnsi"/>
                <w:i/>
                <w:sz w:val="20"/>
                <w:szCs w:val="20"/>
              </w:rPr>
            </w:pPr>
          </w:p>
        </w:tc>
        <w:tc>
          <w:tcPr>
            <w:tcW w:w="1559" w:type="dxa"/>
            <w:shd w:val="clear" w:color="auto" w:fill="auto"/>
            <w:vAlign w:val="center"/>
          </w:tcPr>
          <w:p w14:paraId="3131B640" w14:textId="77777777" w:rsidR="00953EC3" w:rsidRPr="0016598E" w:rsidRDefault="00953EC3" w:rsidP="002D6A12">
            <w:pPr>
              <w:contextualSpacing/>
              <w:jc w:val="right"/>
              <w:rPr>
                <w:rFonts w:cstheme="minorHAnsi"/>
                <w:sz w:val="20"/>
                <w:szCs w:val="20"/>
              </w:rPr>
            </w:pPr>
          </w:p>
        </w:tc>
        <w:tc>
          <w:tcPr>
            <w:tcW w:w="992" w:type="dxa"/>
            <w:shd w:val="clear" w:color="auto" w:fill="auto"/>
            <w:vAlign w:val="center"/>
          </w:tcPr>
          <w:p w14:paraId="5B2982E0" w14:textId="77777777" w:rsidR="00953EC3" w:rsidRPr="0016598E" w:rsidRDefault="00953EC3" w:rsidP="002D6A12">
            <w:pPr>
              <w:contextualSpacing/>
              <w:jc w:val="center"/>
              <w:rPr>
                <w:rFonts w:cstheme="minorHAnsi"/>
                <w:i/>
                <w:sz w:val="20"/>
                <w:szCs w:val="20"/>
              </w:rPr>
            </w:pPr>
          </w:p>
        </w:tc>
      </w:tr>
      <w:tr w:rsidR="00953EC3" w14:paraId="192DD000" w14:textId="77777777" w:rsidTr="002D6A12">
        <w:tc>
          <w:tcPr>
            <w:tcW w:w="4479" w:type="dxa"/>
            <w:shd w:val="clear" w:color="auto" w:fill="auto"/>
          </w:tcPr>
          <w:p w14:paraId="166D74C2" w14:textId="77777777" w:rsidR="00953EC3" w:rsidRPr="004A7E5B" w:rsidRDefault="00953EC3" w:rsidP="002D6A12">
            <w:pPr>
              <w:ind w:left="179"/>
              <w:rPr>
                <w:rFonts w:cstheme="minorHAnsi"/>
                <w:sz w:val="20"/>
                <w:szCs w:val="20"/>
              </w:rPr>
            </w:pPr>
            <w:r w:rsidRPr="004A7E5B">
              <w:rPr>
                <w:rFonts w:cstheme="minorHAnsi"/>
                <w:sz w:val="20"/>
                <w:szCs w:val="20"/>
              </w:rPr>
              <w:t>Staff costs - direct care</w:t>
            </w:r>
          </w:p>
        </w:tc>
        <w:tc>
          <w:tcPr>
            <w:tcW w:w="1559" w:type="dxa"/>
            <w:shd w:val="clear" w:color="auto" w:fill="auto"/>
            <w:vAlign w:val="center"/>
          </w:tcPr>
          <w:p w14:paraId="0024EE01" w14:textId="77777777" w:rsidR="00953EC3" w:rsidRPr="0016598E" w:rsidRDefault="00953EC3" w:rsidP="002D6A12">
            <w:pPr>
              <w:contextualSpacing/>
              <w:jc w:val="right"/>
              <w:rPr>
                <w:rFonts w:cstheme="minorHAnsi"/>
                <w:sz w:val="20"/>
                <w:szCs w:val="20"/>
              </w:rPr>
            </w:pPr>
            <w:r w:rsidRPr="0016598E">
              <w:rPr>
                <w:rFonts w:cstheme="minorHAnsi"/>
                <w:sz w:val="20"/>
                <w:szCs w:val="20"/>
              </w:rPr>
              <w:t>669,605,156</w:t>
            </w:r>
          </w:p>
        </w:tc>
        <w:tc>
          <w:tcPr>
            <w:tcW w:w="992" w:type="dxa"/>
            <w:shd w:val="clear" w:color="auto" w:fill="auto"/>
            <w:vAlign w:val="center"/>
          </w:tcPr>
          <w:p w14:paraId="23CB4055" w14:textId="77777777" w:rsidR="00953EC3" w:rsidRPr="0016598E" w:rsidRDefault="00953EC3" w:rsidP="002D6A12">
            <w:pPr>
              <w:contextualSpacing/>
              <w:jc w:val="center"/>
              <w:rPr>
                <w:rFonts w:cstheme="minorHAnsi"/>
                <w:i/>
                <w:sz w:val="20"/>
                <w:szCs w:val="20"/>
              </w:rPr>
            </w:pPr>
            <w:r w:rsidRPr="0016598E">
              <w:rPr>
                <w:rFonts w:cstheme="minorHAnsi"/>
                <w:i/>
                <w:sz w:val="20"/>
                <w:szCs w:val="20"/>
              </w:rPr>
              <w:t>38.1%</w:t>
            </w:r>
          </w:p>
        </w:tc>
        <w:tc>
          <w:tcPr>
            <w:tcW w:w="1559" w:type="dxa"/>
            <w:shd w:val="clear" w:color="auto" w:fill="auto"/>
            <w:vAlign w:val="center"/>
          </w:tcPr>
          <w:p w14:paraId="476FB78D" w14:textId="77777777" w:rsidR="00953EC3" w:rsidRPr="0016598E" w:rsidRDefault="00953EC3" w:rsidP="002D6A12">
            <w:pPr>
              <w:contextualSpacing/>
              <w:jc w:val="right"/>
              <w:rPr>
                <w:rFonts w:cstheme="minorHAnsi"/>
                <w:sz w:val="20"/>
                <w:szCs w:val="20"/>
              </w:rPr>
            </w:pPr>
            <w:r w:rsidRPr="0016598E">
              <w:rPr>
                <w:rFonts w:cstheme="minorHAnsi"/>
                <w:sz w:val="20"/>
                <w:szCs w:val="20"/>
              </w:rPr>
              <w:t>303,929,641</w:t>
            </w:r>
          </w:p>
        </w:tc>
        <w:tc>
          <w:tcPr>
            <w:tcW w:w="992" w:type="dxa"/>
            <w:shd w:val="clear" w:color="auto" w:fill="auto"/>
            <w:vAlign w:val="center"/>
          </w:tcPr>
          <w:p w14:paraId="23E166B4" w14:textId="77777777" w:rsidR="00953EC3" w:rsidRPr="0016598E" w:rsidRDefault="00953EC3" w:rsidP="002D6A12">
            <w:pPr>
              <w:contextualSpacing/>
              <w:jc w:val="center"/>
              <w:rPr>
                <w:rFonts w:cstheme="minorHAnsi"/>
                <w:i/>
                <w:sz w:val="20"/>
                <w:szCs w:val="20"/>
              </w:rPr>
            </w:pPr>
            <w:r w:rsidRPr="0016598E">
              <w:rPr>
                <w:rFonts w:cstheme="minorHAnsi"/>
                <w:i/>
                <w:sz w:val="20"/>
                <w:szCs w:val="20"/>
              </w:rPr>
              <w:t>42.0%</w:t>
            </w:r>
          </w:p>
        </w:tc>
      </w:tr>
      <w:tr w:rsidR="00953EC3" w14:paraId="5B50537B" w14:textId="77777777" w:rsidTr="002D6A12">
        <w:tc>
          <w:tcPr>
            <w:tcW w:w="4479" w:type="dxa"/>
            <w:shd w:val="clear" w:color="auto" w:fill="auto"/>
          </w:tcPr>
          <w:p w14:paraId="0D9143DB" w14:textId="77777777" w:rsidR="00953EC3" w:rsidRPr="004A7E5B" w:rsidRDefault="00953EC3" w:rsidP="002D6A12">
            <w:pPr>
              <w:ind w:left="179"/>
              <w:rPr>
                <w:rFonts w:cstheme="minorHAnsi"/>
                <w:sz w:val="20"/>
                <w:szCs w:val="20"/>
              </w:rPr>
            </w:pPr>
            <w:r w:rsidRPr="004A7E5B">
              <w:rPr>
                <w:rFonts w:cstheme="minorHAnsi"/>
                <w:sz w:val="20"/>
                <w:szCs w:val="20"/>
              </w:rPr>
              <w:t>Staff costs - other</w:t>
            </w:r>
          </w:p>
        </w:tc>
        <w:tc>
          <w:tcPr>
            <w:tcW w:w="1559" w:type="dxa"/>
            <w:shd w:val="clear" w:color="auto" w:fill="auto"/>
            <w:vAlign w:val="center"/>
          </w:tcPr>
          <w:p w14:paraId="18E4D059" w14:textId="77777777" w:rsidR="00953EC3" w:rsidRPr="0016598E" w:rsidRDefault="00953EC3" w:rsidP="002D6A12">
            <w:pPr>
              <w:contextualSpacing/>
              <w:jc w:val="right"/>
              <w:rPr>
                <w:rFonts w:cstheme="minorHAnsi"/>
                <w:sz w:val="20"/>
                <w:szCs w:val="20"/>
              </w:rPr>
            </w:pPr>
            <w:r w:rsidRPr="0016598E">
              <w:rPr>
                <w:rFonts w:cstheme="minorHAnsi"/>
                <w:sz w:val="20"/>
                <w:szCs w:val="20"/>
              </w:rPr>
              <w:t>214,821,156</w:t>
            </w:r>
          </w:p>
        </w:tc>
        <w:tc>
          <w:tcPr>
            <w:tcW w:w="992" w:type="dxa"/>
            <w:shd w:val="clear" w:color="auto" w:fill="auto"/>
            <w:vAlign w:val="center"/>
          </w:tcPr>
          <w:p w14:paraId="1D19AB1E" w14:textId="77777777" w:rsidR="00953EC3" w:rsidRPr="0016598E" w:rsidRDefault="00953EC3" w:rsidP="002D6A12">
            <w:pPr>
              <w:contextualSpacing/>
              <w:jc w:val="center"/>
              <w:rPr>
                <w:rFonts w:cstheme="minorHAnsi"/>
                <w:i/>
                <w:sz w:val="20"/>
                <w:szCs w:val="20"/>
              </w:rPr>
            </w:pPr>
            <w:r w:rsidRPr="0016598E">
              <w:rPr>
                <w:rFonts w:cstheme="minorHAnsi"/>
                <w:i/>
                <w:sz w:val="20"/>
                <w:szCs w:val="20"/>
              </w:rPr>
              <w:t>12.2%</w:t>
            </w:r>
          </w:p>
        </w:tc>
        <w:tc>
          <w:tcPr>
            <w:tcW w:w="1559" w:type="dxa"/>
            <w:shd w:val="clear" w:color="auto" w:fill="auto"/>
            <w:vAlign w:val="center"/>
          </w:tcPr>
          <w:p w14:paraId="7CC66DFE" w14:textId="77777777" w:rsidR="00953EC3" w:rsidRPr="0016598E" w:rsidRDefault="00953EC3" w:rsidP="002D6A12">
            <w:pPr>
              <w:contextualSpacing/>
              <w:jc w:val="right"/>
              <w:rPr>
                <w:rFonts w:cstheme="minorHAnsi"/>
                <w:sz w:val="20"/>
                <w:szCs w:val="20"/>
              </w:rPr>
            </w:pPr>
            <w:r w:rsidRPr="0016598E">
              <w:rPr>
                <w:rFonts w:cstheme="minorHAnsi"/>
                <w:sz w:val="20"/>
                <w:szCs w:val="20"/>
              </w:rPr>
              <w:t>128,686,873</w:t>
            </w:r>
          </w:p>
        </w:tc>
        <w:tc>
          <w:tcPr>
            <w:tcW w:w="992" w:type="dxa"/>
            <w:shd w:val="clear" w:color="auto" w:fill="auto"/>
            <w:vAlign w:val="center"/>
          </w:tcPr>
          <w:p w14:paraId="6376B024" w14:textId="77777777" w:rsidR="00953EC3" w:rsidRPr="0016598E" w:rsidRDefault="00953EC3" w:rsidP="002D6A12">
            <w:pPr>
              <w:contextualSpacing/>
              <w:jc w:val="center"/>
              <w:rPr>
                <w:rFonts w:cstheme="minorHAnsi"/>
                <w:i/>
                <w:sz w:val="20"/>
                <w:szCs w:val="20"/>
              </w:rPr>
            </w:pPr>
            <w:r w:rsidRPr="0016598E">
              <w:rPr>
                <w:rFonts w:cstheme="minorHAnsi"/>
                <w:i/>
                <w:sz w:val="20"/>
                <w:szCs w:val="20"/>
              </w:rPr>
              <w:t>17.8%</w:t>
            </w:r>
          </w:p>
        </w:tc>
      </w:tr>
      <w:tr w:rsidR="00953EC3" w14:paraId="006BD8B9" w14:textId="77777777" w:rsidTr="002D6A12">
        <w:tc>
          <w:tcPr>
            <w:tcW w:w="4479" w:type="dxa"/>
            <w:shd w:val="clear" w:color="auto" w:fill="auto"/>
          </w:tcPr>
          <w:p w14:paraId="339F7FEF" w14:textId="77777777" w:rsidR="00953EC3" w:rsidRPr="004A7E5B" w:rsidRDefault="00953EC3" w:rsidP="002D6A12">
            <w:pPr>
              <w:ind w:left="179"/>
              <w:rPr>
                <w:rFonts w:cstheme="minorHAnsi"/>
                <w:sz w:val="20"/>
                <w:szCs w:val="20"/>
              </w:rPr>
            </w:pPr>
            <w:r w:rsidRPr="004A7E5B">
              <w:rPr>
                <w:rFonts w:cstheme="minorHAnsi"/>
                <w:sz w:val="20"/>
                <w:szCs w:val="20"/>
              </w:rPr>
              <w:t>Care related expenses</w:t>
            </w:r>
          </w:p>
        </w:tc>
        <w:tc>
          <w:tcPr>
            <w:tcW w:w="1559" w:type="dxa"/>
            <w:shd w:val="clear" w:color="auto" w:fill="auto"/>
            <w:vAlign w:val="center"/>
          </w:tcPr>
          <w:p w14:paraId="08FBBD08" w14:textId="77777777" w:rsidR="00953EC3" w:rsidRPr="0016598E" w:rsidRDefault="00953EC3" w:rsidP="002D6A12">
            <w:pPr>
              <w:contextualSpacing/>
              <w:jc w:val="right"/>
              <w:rPr>
                <w:rFonts w:cstheme="minorHAnsi"/>
                <w:sz w:val="20"/>
                <w:szCs w:val="20"/>
              </w:rPr>
            </w:pPr>
            <w:r w:rsidRPr="0016598E">
              <w:rPr>
                <w:rFonts w:cstheme="minorHAnsi"/>
                <w:sz w:val="20"/>
                <w:szCs w:val="20"/>
              </w:rPr>
              <w:t>172,274,291</w:t>
            </w:r>
          </w:p>
        </w:tc>
        <w:tc>
          <w:tcPr>
            <w:tcW w:w="992" w:type="dxa"/>
            <w:shd w:val="clear" w:color="auto" w:fill="auto"/>
            <w:vAlign w:val="center"/>
          </w:tcPr>
          <w:p w14:paraId="3C8FA124" w14:textId="77777777" w:rsidR="00953EC3" w:rsidRPr="0016598E" w:rsidRDefault="00953EC3" w:rsidP="002D6A12">
            <w:pPr>
              <w:contextualSpacing/>
              <w:jc w:val="center"/>
              <w:rPr>
                <w:rFonts w:cstheme="minorHAnsi"/>
                <w:i/>
                <w:sz w:val="20"/>
                <w:szCs w:val="20"/>
              </w:rPr>
            </w:pPr>
            <w:r w:rsidRPr="0016598E">
              <w:rPr>
                <w:rFonts w:cstheme="minorHAnsi"/>
                <w:i/>
                <w:sz w:val="20"/>
                <w:szCs w:val="20"/>
              </w:rPr>
              <w:t>9.8%</w:t>
            </w:r>
          </w:p>
        </w:tc>
        <w:tc>
          <w:tcPr>
            <w:tcW w:w="1559" w:type="dxa"/>
            <w:shd w:val="clear" w:color="auto" w:fill="auto"/>
            <w:vAlign w:val="center"/>
          </w:tcPr>
          <w:p w14:paraId="6D25B59F" w14:textId="77777777" w:rsidR="00953EC3" w:rsidRPr="0016598E" w:rsidRDefault="00953EC3" w:rsidP="002D6A12">
            <w:pPr>
              <w:contextualSpacing/>
              <w:jc w:val="right"/>
              <w:rPr>
                <w:rFonts w:cstheme="minorHAnsi"/>
                <w:sz w:val="20"/>
                <w:szCs w:val="20"/>
              </w:rPr>
            </w:pPr>
            <w:r w:rsidRPr="0016598E">
              <w:rPr>
                <w:rFonts w:cstheme="minorHAnsi"/>
                <w:sz w:val="20"/>
                <w:szCs w:val="20"/>
              </w:rPr>
              <w:t>95,073,685</w:t>
            </w:r>
          </w:p>
        </w:tc>
        <w:tc>
          <w:tcPr>
            <w:tcW w:w="992" w:type="dxa"/>
            <w:shd w:val="clear" w:color="auto" w:fill="auto"/>
            <w:vAlign w:val="center"/>
          </w:tcPr>
          <w:p w14:paraId="5AB582E8" w14:textId="77777777" w:rsidR="00953EC3" w:rsidRPr="0016598E" w:rsidRDefault="00953EC3" w:rsidP="002D6A12">
            <w:pPr>
              <w:contextualSpacing/>
              <w:jc w:val="center"/>
              <w:rPr>
                <w:rFonts w:cstheme="minorHAnsi"/>
                <w:i/>
                <w:sz w:val="20"/>
                <w:szCs w:val="20"/>
              </w:rPr>
            </w:pPr>
            <w:r w:rsidRPr="0016598E">
              <w:rPr>
                <w:rFonts w:cstheme="minorHAnsi"/>
                <w:i/>
                <w:sz w:val="20"/>
                <w:szCs w:val="20"/>
              </w:rPr>
              <w:t>13.1%</w:t>
            </w:r>
          </w:p>
        </w:tc>
      </w:tr>
      <w:tr w:rsidR="00953EC3" w14:paraId="23514389" w14:textId="77777777" w:rsidTr="002D6A12">
        <w:tc>
          <w:tcPr>
            <w:tcW w:w="4479" w:type="dxa"/>
            <w:shd w:val="clear" w:color="auto" w:fill="auto"/>
          </w:tcPr>
          <w:p w14:paraId="4465EDE6" w14:textId="77777777" w:rsidR="00953EC3" w:rsidRPr="004A7E5B" w:rsidRDefault="00953EC3" w:rsidP="002D6A12">
            <w:pPr>
              <w:ind w:left="179"/>
              <w:rPr>
                <w:rFonts w:cstheme="minorHAnsi"/>
                <w:sz w:val="20"/>
                <w:szCs w:val="20"/>
              </w:rPr>
            </w:pPr>
            <w:r w:rsidRPr="004A7E5B">
              <w:rPr>
                <w:rFonts w:cstheme="minorHAnsi"/>
                <w:sz w:val="20"/>
                <w:szCs w:val="20"/>
              </w:rPr>
              <w:t>Sub-contracted or brokered client services</w:t>
            </w:r>
          </w:p>
        </w:tc>
        <w:tc>
          <w:tcPr>
            <w:tcW w:w="1559" w:type="dxa"/>
            <w:shd w:val="clear" w:color="auto" w:fill="auto"/>
            <w:vAlign w:val="center"/>
          </w:tcPr>
          <w:p w14:paraId="15646F58" w14:textId="77777777" w:rsidR="00953EC3" w:rsidRPr="0016598E" w:rsidRDefault="00953EC3" w:rsidP="002D6A12">
            <w:pPr>
              <w:contextualSpacing/>
              <w:jc w:val="right"/>
              <w:rPr>
                <w:rFonts w:cstheme="minorHAnsi"/>
                <w:sz w:val="20"/>
                <w:szCs w:val="20"/>
              </w:rPr>
            </w:pPr>
            <w:r w:rsidRPr="0016598E">
              <w:rPr>
                <w:rFonts w:cstheme="minorHAnsi"/>
                <w:sz w:val="20"/>
                <w:szCs w:val="20"/>
              </w:rPr>
              <w:t>272,868,833</w:t>
            </w:r>
          </w:p>
        </w:tc>
        <w:tc>
          <w:tcPr>
            <w:tcW w:w="992" w:type="dxa"/>
            <w:shd w:val="clear" w:color="auto" w:fill="auto"/>
            <w:vAlign w:val="center"/>
          </w:tcPr>
          <w:p w14:paraId="4910394B" w14:textId="77777777" w:rsidR="00953EC3" w:rsidRPr="0016598E" w:rsidRDefault="00953EC3" w:rsidP="002D6A12">
            <w:pPr>
              <w:contextualSpacing/>
              <w:jc w:val="center"/>
              <w:rPr>
                <w:rFonts w:cstheme="minorHAnsi"/>
                <w:sz w:val="20"/>
                <w:szCs w:val="20"/>
              </w:rPr>
            </w:pPr>
            <w:r w:rsidRPr="0016598E">
              <w:rPr>
                <w:rFonts w:cstheme="minorHAnsi"/>
                <w:sz w:val="20"/>
                <w:szCs w:val="20"/>
              </w:rPr>
              <w:t>15.5%</w:t>
            </w:r>
          </w:p>
        </w:tc>
        <w:tc>
          <w:tcPr>
            <w:tcW w:w="1559" w:type="dxa"/>
            <w:shd w:val="clear" w:color="auto" w:fill="auto"/>
            <w:vAlign w:val="center"/>
          </w:tcPr>
          <w:p w14:paraId="0E72C02D" w14:textId="77777777" w:rsidR="00953EC3" w:rsidRPr="0016598E" w:rsidRDefault="00953EC3" w:rsidP="002D6A12">
            <w:pPr>
              <w:contextualSpacing/>
              <w:jc w:val="right"/>
              <w:rPr>
                <w:rFonts w:cstheme="minorHAnsi"/>
                <w:sz w:val="20"/>
                <w:szCs w:val="20"/>
              </w:rPr>
            </w:pPr>
            <w:r w:rsidRPr="0016598E">
              <w:rPr>
                <w:rFonts w:cstheme="minorHAnsi"/>
                <w:sz w:val="20"/>
                <w:szCs w:val="20"/>
              </w:rPr>
              <w:t>114,697,225</w:t>
            </w:r>
          </w:p>
        </w:tc>
        <w:tc>
          <w:tcPr>
            <w:tcW w:w="992" w:type="dxa"/>
            <w:shd w:val="clear" w:color="auto" w:fill="auto"/>
            <w:vAlign w:val="center"/>
          </w:tcPr>
          <w:p w14:paraId="63432E3A" w14:textId="77777777" w:rsidR="00953EC3" w:rsidRPr="0016598E" w:rsidRDefault="00953EC3" w:rsidP="002D6A12">
            <w:pPr>
              <w:contextualSpacing/>
              <w:jc w:val="center"/>
              <w:rPr>
                <w:rFonts w:cstheme="minorHAnsi"/>
                <w:sz w:val="20"/>
                <w:szCs w:val="20"/>
              </w:rPr>
            </w:pPr>
            <w:r w:rsidRPr="0016598E">
              <w:rPr>
                <w:rFonts w:cstheme="minorHAnsi"/>
                <w:sz w:val="20"/>
                <w:szCs w:val="20"/>
              </w:rPr>
              <w:t>15.8%</w:t>
            </w:r>
          </w:p>
        </w:tc>
      </w:tr>
      <w:tr w:rsidR="00953EC3" w14:paraId="5C62F47B" w14:textId="77777777" w:rsidTr="002D6A12">
        <w:tc>
          <w:tcPr>
            <w:tcW w:w="4479" w:type="dxa"/>
            <w:shd w:val="clear" w:color="auto" w:fill="auto"/>
          </w:tcPr>
          <w:p w14:paraId="7F9897C9" w14:textId="77777777" w:rsidR="00953EC3" w:rsidRPr="004A7E5B" w:rsidRDefault="00953EC3" w:rsidP="002D6A12">
            <w:pPr>
              <w:ind w:left="179"/>
              <w:rPr>
                <w:rFonts w:cstheme="minorHAnsi"/>
                <w:sz w:val="20"/>
                <w:szCs w:val="20"/>
              </w:rPr>
            </w:pPr>
            <w:r w:rsidRPr="004A7E5B">
              <w:rPr>
                <w:rFonts w:cstheme="minorHAnsi"/>
                <w:sz w:val="20"/>
                <w:szCs w:val="20"/>
              </w:rPr>
              <w:t>Administration costs and management fees</w:t>
            </w:r>
          </w:p>
        </w:tc>
        <w:tc>
          <w:tcPr>
            <w:tcW w:w="1559" w:type="dxa"/>
            <w:shd w:val="clear" w:color="auto" w:fill="auto"/>
            <w:vAlign w:val="center"/>
          </w:tcPr>
          <w:p w14:paraId="1C0402FE" w14:textId="77777777" w:rsidR="00953EC3" w:rsidRPr="0016598E" w:rsidRDefault="00953EC3" w:rsidP="002D6A12">
            <w:pPr>
              <w:contextualSpacing/>
              <w:jc w:val="right"/>
              <w:rPr>
                <w:rFonts w:cstheme="minorHAnsi"/>
                <w:sz w:val="20"/>
                <w:szCs w:val="20"/>
              </w:rPr>
            </w:pPr>
            <w:r w:rsidRPr="0016598E">
              <w:rPr>
                <w:rFonts w:cstheme="minorHAnsi"/>
                <w:sz w:val="20"/>
                <w:szCs w:val="20"/>
              </w:rPr>
              <w:t>209,665,356</w:t>
            </w:r>
          </w:p>
        </w:tc>
        <w:tc>
          <w:tcPr>
            <w:tcW w:w="992" w:type="dxa"/>
            <w:shd w:val="clear" w:color="auto" w:fill="auto"/>
            <w:vAlign w:val="center"/>
          </w:tcPr>
          <w:p w14:paraId="60F37F3F" w14:textId="77777777" w:rsidR="00953EC3" w:rsidRPr="0016598E" w:rsidRDefault="00953EC3" w:rsidP="002D6A12">
            <w:pPr>
              <w:contextualSpacing/>
              <w:jc w:val="center"/>
              <w:rPr>
                <w:rFonts w:cstheme="minorHAnsi"/>
                <w:i/>
                <w:sz w:val="20"/>
                <w:szCs w:val="20"/>
              </w:rPr>
            </w:pPr>
            <w:r w:rsidRPr="0016598E">
              <w:rPr>
                <w:rFonts w:cstheme="minorHAnsi"/>
                <w:i/>
                <w:sz w:val="20"/>
                <w:szCs w:val="20"/>
              </w:rPr>
              <w:t>11.9%</w:t>
            </w:r>
          </w:p>
        </w:tc>
        <w:tc>
          <w:tcPr>
            <w:tcW w:w="1559" w:type="dxa"/>
            <w:shd w:val="clear" w:color="auto" w:fill="auto"/>
            <w:vAlign w:val="center"/>
          </w:tcPr>
          <w:p w14:paraId="78657DD5" w14:textId="77777777" w:rsidR="00953EC3" w:rsidRPr="0016598E" w:rsidRDefault="00953EC3" w:rsidP="002D6A12">
            <w:pPr>
              <w:contextualSpacing/>
              <w:jc w:val="right"/>
              <w:rPr>
                <w:rFonts w:cstheme="minorHAnsi"/>
                <w:sz w:val="20"/>
                <w:szCs w:val="20"/>
              </w:rPr>
            </w:pPr>
            <w:r w:rsidRPr="0016598E">
              <w:rPr>
                <w:rFonts w:cstheme="minorHAnsi"/>
                <w:sz w:val="20"/>
                <w:szCs w:val="20"/>
              </w:rPr>
              <w:t>112,653,632</w:t>
            </w:r>
          </w:p>
        </w:tc>
        <w:tc>
          <w:tcPr>
            <w:tcW w:w="992" w:type="dxa"/>
            <w:shd w:val="clear" w:color="auto" w:fill="auto"/>
            <w:vAlign w:val="center"/>
          </w:tcPr>
          <w:p w14:paraId="68994E6F" w14:textId="77777777" w:rsidR="00953EC3" w:rsidRPr="0016598E" w:rsidRDefault="00953EC3" w:rsidP="002D6A12">
            <w:pPr>
              <w:contextualSpacing/>
              <w:jc w:val="center"/>
              <w:rPr>
                <w:rFonts w:cstheme="minorHAnsi"/>
                <w:i/>
                <w:sz w:val="20"/>
                <w:szCs w:val="20"/>
              </w:rPr>
            </w:pPr>
            <w:r w:rsidRPr="0016598E">
              <w:rPr>
                <w:rFonts w:cstheme="minorHAnsi"/>
                <w:i/>
                <w:sz w:val="20"/>
                <w:szCs w:val="20"/>
              </w:rPr>
              <w:t>15.6%</w:t>
            </w:r>
          </w:p>
        </w:tc>
      </w:tr>
      <w:tr w:rsidR="00953EC3" w14:paraId="57305508" w14:textId="77777777" w:rsidTr="002D6A12">
        <w:tc>
          <w:tcPr>
            <w:tcW w:w="4479" w:type="dxa"/>
            <w:shd w:val="clear" w:color="auto" w:fill="auto"/>
          </w:tcPr>
          <w:p w14:paraId="5B49EBB2" w14:textId="77777777" w:rsidR="00953EC3" w:rsidRPr="004A7E5B" w:rsidRDefault="00953EC3" w:rsidP="002D6A12">
            <w:pPr>
              <w:ind w:left="179"/>
              <w:rPr>
                <w:rFonts w:cstheme="minorHAnsi"/>
                <w:sz w:val="20"/>
                <w:szCs w:val="20"/>
              </w:rPr>
            </w:pPr>
            <w:r w:rsidRPr="004A7E5B">
              <w:rPr>
                <w:rFonts w:cstheme="minorHAnsi"/>
                <w:sz w:val="20"/>
                <w:szCs w:val="20"/>
              </w:rPr>
              <w:t>Depreciation expense</w:t>
            </w:r>
          </w:p>
        </w:tc>
        <w:tc>
          <w:tcPr>
            <w:tcW w:w="1559" w:type="dxa"/>
            <w:shd w:val="clear" w:color="auto" w:fill="auto"/>
            <w:vAlign w:val="center"/>
          </w:tcPr>
          <w:p w14:paraId="3DE403C6" w14:textId="77777777" w:rsidR="00953EC3" w:rsidRPr="0016598E" w:rsidRDefault="00953EC3" w:rsidP="002D6A12">
            <w:pPr>
              <w:contextualSpacing/>
              <w:jc w:val="right"/>
              <w:rPr>
                <w:rFonts w:cstheme="minorHAnsi"/>
                <w:sz w:val="20"/>
                <w:szCs w:val="20"/>
              </w:rPr>
            </w:pPr>
            <w:r w:rsidRPr="0016598E">
              <w:rPr>
                <w:rFonts w:cstheme="minorHAnsi"/>
                <w:sz w:val="20"/>
                <w:szCs w:val="20"/>
              </w:rPr>
              <w:t>9,943,112</w:t>
            </w:r>
          </w:p>
        </w:tc>
        <w:tc>
          <w:tcPr>
            <w:tcW w:w="992" w:type="dxa"/>
            <w:shd w:val="clear" w:color="auto" w:fill="auto"/>
            <w:vAlign w:val="center"/>
          </w:tcPr>
          <w:p w14:paraId="6F71A349" w14:textId="77777777" w:rsidR="00953EC3" w:rsidRPr="0016598E" w:rsidRDefault="00953EC3" w:rsidP="002D6A12">
            <w:pPr>
              <w:contextualSpacing/>
              <w:jc w:val="center"/>
              <w:rPr>
                <w:rFonts w:cstheme="minorHAnsi"/>
                <w:i/>
                <w:sz w:val="20"/>
                <w:szCs w:val="20"/>
              </w:rPr>
            </w:pPr>
            <w:r w:rsidRPr="0016598E">
              <w:rPr>
                <w:rFonts w:cstheme="minorHAnsi"/>
                <w:i/>
                <w:sz w:val="20"/>
                <w:szCs w:val="20"/>
              </w:rPr>
              <w:t>0.6%</w:t>
            </w:r>
          </w:p>
        </w:tc>
        <w:tc>
          <w:tcPr>
            <w:tcW w:w="1559" w:type="dxa"/>
            <w:shd w:val="clear" w:color="auto" w:fill="auto"/>
            <w:vAlign w:val="center"/>
          </w:tcPr>
          <w:p w14:paraId="759217FC" w14:textId="77777777" w:rsidR="00953EC3" w:rsidRPr="0016598E" w:rsidRDefault="00953EC3" w:rsidP="002D6A12">
            <w:pPr>
              <w:contextualSpacing/>
              <w:jc w:val="right"/>
              <w:rPr>
                <w:rFonts w:cstheme="minorHAnsi"/>
                <w:sz w:val="20"/>
                <w:szCs w:val="20"/>
              </w:rPr>
            </w:pPr>
            <w:r w:rsidRPr="0016598E">
              <w:rPr>
                <w:rFonts w:cstheme="minorHAnsi"/>
                <w:sz w:val="20"/>
                <w:szCs w:val="20"/>
              </w:rPr>
              <w:t>6,556,915</w:t>
            </w:r>
          </w:p>
        </w:tc>
        <w:tc>
          <w:tcPr>
            <w:tcW w:w="992" w:type="dxa"/>
            <w:shd w:val="clear" w:color="auto" w:fill="auto"/>
            <w:vAlign w:val="center"/>
          </w:tcPr>
          <w:p w14:paraId="00AF111E" w14:textId="77777777" w:rsidR="00953EC3" w:rsidRPr="0016598E" w:rsidRDefault="00953EC3" w:rsidP="002D6A12">
            <w:pPr>
              <w:contextualSpacing/>
              <w:jc w:val="center"/>
              <w:rPr>
                <w:rFonts w:cstheme="minorHAnsi"/>
                <w:i/>
                <w:sz w:val="20"/>
                <w:szCs w:val="20"/>
              </w:rPr>
            </w:pPr>
            <w:r w:rsidRPr="0016598E">
              <w:rPr>
                <w:rFonts w:cstheme="minorHAnsi"/>
                <w:i/>
                <w:sz w:val="20"/>
                <w:szCs w:val="20"/>
              </w:rPr>
              <w:t>0.9%</w:t>
            </w:r>
          </w:p>
        </w:tc>
      </w:tr>
      <w:tr w:rsidR="00953EC3" w14:paraId="26DB7AC4" w14:textId="77777777" w:rsidTr="002D6A12">
        <w:tc>
          <w:tcPr>
            <w:tcW w:w="4479" w:type="dxa"/>
            <w:shd w:val="clear" w:color="auto" w:fill="auto"/>
          </w:tcPr>
          <w:p w14:paraId="743B0964" w14:textId="77777777" w:rsidR="00953EC3" w:rsidRPr="004A7E5B" w:rsidRDefault="00953EC3" w:rsidP="002D6A12">
            <w:pPr>
              <w:ind w:left="179"/>
              <w:rPr>
                <w:rFonts w:cstheme="minorHAnsi"/>
                <w:sz w:val="20"/>
                <w:szCs w:val="20"/>
              </w:rPr>
            </w:pPr>
            <w:r w:rsidRPr="004A7E5B">
              <w:rPr>
                <w:rFonts w:cstheme="minorHAnsi"/>
                <w:sz w:val="20"/>
                <w:szCs w:val="20"/>
              </w:rPr>
              <w:t>Interest expense</w:t>
            </w:r>
          </w:p>
        </w:tc>
        <w:tc>
          <w:tcPr>
            <w:tcW w:w="1559" w:type="dxa"/>
            <w:shd w:val="clear" w:color="auto" w:fill="auto"/>
            <w:vAlign w:val="center"/>
          </w:tcPr>
          <w:p w14:paraId="17E445CE" w14:textId="77777777" w:rsidR="00953EC3" w:rsidRPr="0016598E" w:rsidRDefault="00953EC3" w:rsidP="002D6A12">
            <w:pPr>
              <w:contextualSpacing/>
              <w:jc w:val="right"/>
              <w:rPr>
                <w:rFonts w:cstheme="minorHAnsi"/>
                <w:sz w:val="20"/>
                <w:szCs w:val="20"/>
              </w:rPr>
            </w:pPr>
            <w:r w:rsidRPr="0016598E">
              <w:rPr>
                <w:rFonts w:cstheme="minorHAnsi"/>
                <w:sz w:val="20"/>
                <w:szCs w:val="20"/>
              </w:rPr>
              <w:t>1,879,389</w:t>
            </w:r>
          </w:p>
        </w:tc>
        <w:tc>
          <w:tcPr>
            <w:tcW w:w="992" w:type="dxa"/>
            <w:shd w:val="clear" w:color="auto" w:fill="auto"/>
            <w:vAlign w:val="center"/>
          </w:tcPr>
          <w:p w14:paraId="2B56A8B5" w14:textId="77777777" w:rsidR="00953EC3" w:rsidRPr="0016598E" w:rsidRDefault="00953EC3" w:rsidP="002D6A12">
            <w:pPr>
              <w:contextualSpacing/>
              <w:jc w:val="center"/>
              <w:rPr>
                <w:rFonts w:cstheme="minorHAnsi"/>
                <w:i/>
                <w:sz w:val="20"/>
                <w:szCs w:val="20"/>
              </w:rPr>
            </w:pPr>
            <w:r w:rsidRPr="0016598E">
              <w:rPr>
                <w:rFonts w:cstheme="minorHAnsi"/>
                <w:i/>
                <w:sz w:val="20"/>
                <w:szCs w:val="20"/>
              </w:rPr>
              <w:t>0.1%</w:t>
            </w:r>
          </w:p>
        </w:tc>
        <w:tc>
          <w:tcPr>
            <w:tcW w:w="1559" w:type="dxa"/>
            <w:shd w:val="clear" w:color="auto" w:fill="auto"/>
            <w:vAlign w:val="center"/>
          </w:tcPr>
          <w:p w14:paraId="3692FC6C" w14:textId="77777777" w:rsidR="00953EC3" w:rsidRPr="0016598E" w:rsidRDefault="00953EC3" w:rsidP="002D6A12">
            <w:pPr>
              <w:contextualSpacing/>
              <w:jc w:val="right"/>
              <w:rPr>
                <w:rFonts w:cstheme="minorHAnsi"/>
                <w:sz w:val="20"/>
                <w:szCs w:val="20"/>
              </w:rPr>
            </w:pPr>
            <w:r w:rsidRPr="0016598E">
              <w:rPr>
                <w:rFonts w:cstheme="minorHAnsi"/>
                <w:sz w:val="20"/>
                <w:szCs w:val="20"/>
              </w:rPr>
              <w:t>5,067,743</w:t>
            </w:r>
          </w:p>
        </w:tc>
        <w:tc>
          <w:tcPr>
            <w:tcW w:w="992" w:type="dxa"/>
            <w:shd w:val="clear" w:color="auto" w:fill="auto"/>
            <w:vAlign w:val="center"/>
          </w:tcPr>
          <w:p w14:paraId="3FEA9ED0" w14:textId="77777777" w:rsidR="00953EC3" w:rsidRPr="0016598E" w:rsidRDefault="00953EC3" w:rsidP="002D6A12">
            <w:pPr>
              <w:contextualSpacing/>
              <w:jc w:val="center"/>
              <w:rPr>
                <w:rFonts w:cstheme="minorHAnsi"/>
                <w:i/>
                <w:sz w:val="20"/>
                <w:szCs w:val="20"/>
              </w:rPr>
            </w:pPr>
            <w:r w:rsidRPr="0016598E">
              <w:rPr>
                <w:rFonts w:cstheme="minorHAnsi"/>
                <w:i/>
                <w:sz w:val="20"/>
                <w:szCs w:val="20"/>
              </w:rPr>
              <w:t>0.7%</w:t>
            </w:r>
          </w:p>
        </w:tc>
      </w:tr>
      <w:tr w:rsidR="00953EC3" w14:paraId="2EA52BF9" w14:textId="77777777" w:rsidTr="002D6A12">
        <w:tc>
          <w:tcPr>
            <w:tcW w:w="4479" w:type="dxa"/>
            <w:shd w:val="clear" w:color="auto" w:fill="auto"/>
          </w:tcPr>
          <w:p w14:paraId="4D016594" w14:textId="77777777" w:rsidR="00953EC3" w:rsidRPr="004A7E5B" w:rsidRDefault="00953EC3" w:rsidP="002D6A12">
            <w:pPr>
              <w:ind w:left="179"/>
              <w:rPr>
                <w:rFonts w:cstheme="minorHAnsi"/>
                <w:sz w:val="20"/>
                <w:szCs w:val="20"/>
              </w:rPr>
            </w:pPr>
            <w:r w:rsidRPr="004A7E5B">
              <w:rPr>
                <w:rFonts w:cstheme="minorHAnsi"/>
                <w:sz w:val="20"/>
                <w:szCs w:val="20"/>
              </w:rPr>
              <w:t>Other expenses</w:t>
            </w:r>
          </w:p>
        </w:tc>
        <w:tc>
          <w:tcPr>
            <w:tcW w:w="1559" w:type="dxa"/>
            <w:shd w:val="clear" w:color="auto" w:fill="auto"/>
            <w:vAlign w:val="center"/>
          </w:tcPr>
          <w:p w14:paraId="49A2B755" w14:textId="77777777" w:rsidR="00953EC3" w:rsidRPr="0016598E" w:rsidRDefault="00953EC3" w:rsidP="002D6A12">
            <w:pPr>
              <w:contextualSpacing/>
              <w:jc w:val="right"/>
              <w:rPr>
                <w:rFonts w:cstheme="minorHAnsi"/>
                <w:sz w:val="20"/>
                <w:szCs w:val="20"/>
              </w:rPr>
            </w:pPr>
            <w:r w:rsidRPr="0016598E">
              <w:rPr>
                <w:rFonts w:cstheme="minorHAnsi"/>
                <w:sz w:val="20"/>
                <w:szCs w:val="20"/>
              </w:rPr>
              <w:t>42,184,062</w:t>
            </w:r>
          </w:p>
        </w:tc>
        <w:tc>
          <w:tcPr>
            <w:tcW w:w="992" w:type="dxa"/>
            <w:shd w:val="clear" w:color="auto" w:fill="auto"/>
            <w:vAlign w:val="center"/>
          </w:tcPr>
          <w:p w14:paraId="0260062F" w14:textId="77777777" w:rsidR="00953EC3" w:rsidRPr="0016598E" w:rsidRDefault="00953EC3" w:rsidP="002D6A12">
            <w:pPr>
              <w:contextualSpacing/>
              <w:jc w:val="center"/>
              <w:rPr>
                <w:rFonts w:cstheme="minorHAnsi"/>
                <w:i/>
                <w:sz w:val="20"/>
                <w:szCs w:val="20"/>
              </w:rPr>
            </w:pPr>
            <w:r w:rsidRPr="0016598E">
              <w:rPr>
                <w:rFonts w:cstheme="minorHAnsi"/>
                <w:i/>
                <w:sz w:val="20"/>
                <w:szCs w:val="20"/>
              </w:rPr>
              <w:t>2.4%</w:t>
            </w:r>
          </w:p>
        </w:tc>
        <w:tc>
          <w:tcPr>
            <w:tcW w:w="1559" w:type="dxa"/>
            <w:shd w:val="clear" w:color="auto" w:fill="auto"/>
            <w:vAlign w:val="center"/>
          </w:tcPr>
          <w:p w14:paraId="38D9E56F" w14:textId="77777777" w:rsidR="00953EC3" w:rsidRPr="0016598E" w:rsidRDefault="00953EC3" w:rsidP="002D6A12">
            <w:pPr>
              <w:contextualSpacing/>
              <w:jc w:val="right"/>
              <w:rPr>
                <w:rFonts w:cstheme="minorHAnsi"/>
                <w:sz w:val="20"/>
                <w:szCs w:val="20"/>
              </w:rPr>
            </w:pPr>
            <w:r w:rsidRPr="0016598E">
              <w:rPr>
                <w:rFonts w:cstheme="minorHAnsi"/>
                <w:sz w:val="20"/>
                <w:szCs w:val="20"/>
              </w:rPr>
              <w:t>27,883,946</w:t>
            </w:r>
          </w:p>
        </w:tc>
        <w:tc>
          <w:tcPr>
            <w:tcW w:w="992" w:type="dxa"/>
            <w:shd w:val="clear" w:color="auto" w:fill="auto"/>
            <w:vAlign w:val="center"/>
          </w:tcPr>
          <w:p w14:paraId="1A439B2F" w14:textId="77777777" w:rsidR="00953EC3" w:rsidRPr="0016598E" w:rsidRDefault="00953EC3" w:rsidP="002D6A12">
            <w:pPr>
              <w:contextualSpacing/>
              <w:jc w:val="center"/>
              <w:rPr>
                <w:rFonts w:cstheme="minorHAnsi"/>
                <w:i/>
                <w:sz w:val="20"/>
                <w:szCs w:val="20"/>
              </w:rPr>
            </w:pPr>
            <w:r w:rsidRPr="0016598E">
              <w:rPr>
                <w:rFonts w:cstheme="minorHAnsi"/>
                <w:i/>
                <w:sz w:val="20"/>
                <w:szCs w:val="20"/>
              </w:rPr>
              <w:t>3.9%</w:t>
            </w:r>
          </w:p>
        </w:tc>
      </w:tr>
      <w:tr w:rsidR="00953EC3" w14:paraId="6E1DA9B9" w14:textId="77777777" w:rsidTr="002D6A12">
        <w:tc>
          <w:tcPr>
            <w:tcW w:w="4479" w:type="dxa"/>
            <w:shd w:val="clear" w:color="auto" w:fill="D9E2F3" w:themeFill="accent5" w:themeFillTint="33"/>
          </w:tcPr>
          <w:p w14:paraId="1194B764" w14:textId="77777777" w:rsidR="00953EC3" w:rsidRDefault="00953EC3" w:rsidP="002D6A12">
            <w:pPr>
              <w:rPr>
                <w:rFonts w:cstheme="minorHAnsi"/>
                <w:sz w:val="20"/>
                <w:szCs w:val="20"/>
              </w:rPr>
            </w:pPr>
            <w:r w:rsidRPr="00192071">
              <w:rPr>
                <w:rFonts w:cstheme="minorHAnsi"/>
                <w:b/>
                <w:i/>
                <w:sz w:val="20"/>
                <w:szCs w:val="20"/>
              </w:rPr>
              <w:t>Total e</w:t>
            </w:r>
            <w:r>
              <w:rPr>
                <w:rFonts w:cstheme="minorHAnsi"/>
                <w:b/>
                <w:i/>
                <w:sz w:val="20"/>
                <w:szCs w:val="20"/>
              </w:rPr>
              <w:t>xpenses</w:t>
            </w:r>
          </w:p>
        </w:tc>
        <w:tc>
          <w:tcPr>
            <w:tcW w:w="1559" w:type="dxa"/>
            <w:shd w:val="clear" w:color="auto" w:fill="D9E2F3" w:themeFill="accent5" w:themeFillTint="33"/>
            <w:vAlign w:val="center"/>
          </w:tcPr>
          <w:p w14:paraId="114C3931" w14:textId="77777777" w:rsidR="00953EC3" w:rsidRPr="0016598E" w:rsidRDefault="00953EC3" w:rsidP="002D6A12">
            <w:pPr>
              <w:contextualSpacing/>
              <w:jc w:val="right"/>
              <w:rPr>
                <w:rFonts w:cstheme="minorHAnsi"/>
                <w:sz w:val="20"/>
                <w:szCs w:val="20"/>
              </w:rPr>
            </w:pPr>
            <w:r w:rsidRPr="0016598E">
              <w:rPr>
                <w:rFonts w:cstheme="minorHAnsi"/>
                <w:sz w:val="20"/>
                <w:szCs w:val="20"/>
              </w:rPr>
              <w:t>1,593,241,355</w:t>
            </w:r>
          </w:p>
        </w:tc>
        <w:tc>
          <w:tcPr>
            <w:tcW w:w="992" w:type="dxa"/>
            <w:shd w:val="clear" w:color="auto" w:fill="D9E2F3" w:themeFill="accent5" w:themeFillTint="33"/>
            <w:vAlign w:val="center"/>
          </w:tcPr>
          <w:p w14:paraId="343AD9AE" w14:textId="77777777" w:rsidR="00953EC3" w:rsidRPr="0016598E" w:rsidRDefault="00953EC3" w:rsidP="002D6A12">
            <w:pPr>
              <w:contextualSpacing/>
              <w:jc w:val="center"/>
              <w:rPr>
                <w:rFonts w:cstheme="minorHAnsi"/>
                <w:i/>
                <w:sz w:val="20"/>
                <w:szCs w:val="20"/>
              </w:rPr>
            </w:pPr>
            <w:r w:rsidRPr="0016598E">
              <w:rPr>
                <w:rFonts w:cstheme="minorHAnsi"/>
                <w:i/>
                <w:sz w:val="20"/>
                <w:szCs w:val="20"/>
              </w:rPr>
              <w:t>90.7%</w:t>
            </w:r>
          </w:p>
        </w:tc>
        <w:tc>
          <w:tcPr>
            <w:tcW w:w="1559" w:type="dxa"/>
            <w:shd w:val="clear" w:color="auto" w:fill="D9E2F3" w:themeFill="accent5" w:themeFillTint="33"/>
            <w:vAlign w:val="center"/>
          </w:tcPr>
          <w:p w14:paraId="50BDA99F" w14:textId="77777777" w:rsidR="00953EC3" w:rsidRPr="0016598E" w:rsidRDefault="00953EC3" w:rsidP="002D6A12">
            <w:pPr>
              <w:contextualSpacing/>
              <w:jc w:val="right"/>
              <w:rPr>
                <w:rFonts w:cstheme="minorHAnsi"/>
                <w:sz w:val="20"/>
                <w:szCs w:val="20"/>
              </w:rPr>
            </w:pPr>
            <w:r w:rsidRPr="0016598E">
              <w:rPr>
                <w:rFonts w:cstheme="minorHAnsi"/>
                <w:sz w:val="20"/>
                <w:szCs w:val="20"/>
              </w:rPr>
              <w:t>794,549,660</w:t>
            </w:r>
          </w:p>
        </w:tc>
        <w:tc>
          <w:tcPr>
            <w:tcW w:w="992" w:type="dxa"/>
            <w:shd w:val="clear" w:color="auto" w:fill="D9E2F3" w:themeFill="accent5" w:themeFillTint="33"/>
            <w:vAlign w:val="center"/>
          </w:tcPr>
          <w:p w14:paraId="1721288F" w14:textId="77777777" w:rsidR="00953EC3" w:rsidRPr="0016598E" w:rsidRDefault="00953EC3" w:rsidP="002D6A12">
            <w:pPr>
              <w:contextualSpacing/>
              <w:jc w:val="center"/>
              <w:rPr>
                <w:rFonts w:cstheme="minorHAnsi"/>
                <w:i/>
                <w:sz w:val="20"/>
                <w:szCs w:val="20"/>
              </w:rPr>
            </w:pPr>
            <w:r w:rsidRPr="0016598E">
              <w:rPr>
                <w:rFonts w:cstheme="minorHAnsi"/>
                <w:i/>
                <w:sz w:val="20"/>
                <w:szCs w:val="20"/>
              </w:rPr>
              <w:t>109.8%</w:t>
            </w:r>
          </w:p>
        </w:tc>
      </w:tr>
      <w:tr w:rsidR="00953EC3" w14:paraId="0E511972" w14:textId="77777777" w:rsidTr="002D6A12">
        <w:tc>
          <w:tcPr>
            <w:tcW w:w="4479" w:type="dxa"/>
            <w:shd w:val="clear" w:color="auto" w:fill="FFE599" w:themeFill="accent4" w:themeFillTint="66"/>
          </w:tcPr>
          <w:p w14:paraId="03050BC2" w14:textId="77777777" w:rsidR="00953EC3" w:rsidRPr="00192071" w:rsidRDefault="00953EC3" w:rsidP="002D6A12">
            <w:pPr>
              <w:rPr>
                <w:rFonts w:cstheme="minorHAnsi"/>
                <w:b/>
                <w:sz w:val="20"/>
                <w:szCs w:val="20"/>
              </w:rPr>
            </w:pPr>
            <w:r w:rsidRPr="00192071">
              <w:rPr>
                <w:rFonts w:cstheme="minorHAnsi"/>
                <w:b/>
                <w:sz w:val="20"/>
                <w:szCs w:val="20"/>
              </w:rPr>
              <w:t>Net Profit Before Tax</w:t>
            </w:r>
          </w:p>
        </w:tc>
        <w:tc>
          <w:tcPr>
            <w:tcW w:w="1559" w:type="dxa"/>
            <w:shd w:val="clear" w:color="auto" w:fill="FFE599" w:themeFill="accent4" w:themeFillTint="66"/>
            <w:vAlign w:val="center"/>
          </w:tcPr>
          <w:p w14:paraId="73A0B42A" w14:textId="77777777" w:rsidR="00953EC3" w:rsidRPr="0016598E" w:rsidRDefault="00953EC3" w:rsidP="002D6A12">
            <w:pPr>
              <w:contextualSpacing/>
              <w:jc w:val="right"/>
              <w:rPr>
                <w:rFonts w:cstheme="minorHAnsi"/>
                <w:b/>
                <w:sz w:val="20"/>
                <w:szCs w:val="20"/>
              </w:rPr>
            </w:pPr>
            <w:r>
              <w:rPr>
                <w:rFonts w:cstheme="minorHAnsi"/>
                <w:b/>
                <w:sz w:val="20"/>
                <w:szCs w:val="20"/>
              </w:rPr>
              <w:t xml:space="preserve">$ </w:t>
            </w:r>
            <w:r w:rsidRPr="0016598E">
              <w:rPr>
                <w:rFonts w:cstheme="minorHAnsi"/>
                <w:b/>
                <w:sz w:val="20"/>
                <w:szCs w:val="20"/>
              </w:rPr>
              <w:t>164,144,807</w:t>
            </w:r>
          </w:p>
        </w:tc>
        <w:tc>
          <w:tcPr>
            <w:tcW w:w="992" w:type="dxa"/>
            <w:shd w:val="clear" w:color="auto" w:fill="FFE599" w:themeFill="accent4" w:themeFillTint="66"/>
            <w:vAlign w:val="center"/>
          </w:tcPr>
          <w:p w14:paraId="772CB348" w14:textId="77777777" w:rsidR="00953EC3" w:rsidRPr="0016598E" w:rsidRDefault="00953EC3" w:rsidP="002D6A12">
            <w:pPr>
              <w:contextualSpacing/>
              <w:jc w:val="center"/>
              <w:rPr>
                <w:rFonts w:cstheme="minorHAnsi"/>
                <w:b/>
                <w:i/>
                <w:sz w:val="20"/>
                <w:szCs w:val="20"/>
              </w:rPr>
            </w:pPr>
            <w:r w:rsidRPr="0016598E">
              <w:rPr>
                <w:rFonts w:cstheme="minorHAnsi"/>
                <w:b/>
                <w:i/>
                <w:sz w:val="20"/>
                <w:szCs w:val="20"/>
              </w:rPr>
              <w:t>9.3%</w:t>
            </w:r>
          </w:p>
        </w:tc>
        <w:tc>
          <w:tcPr>
            <w:tcW w:w="1559" w:type="dxa"/>
            <w:shd w:val="clear" w:color="auto" w:fill="FFE599" w:themeFill="accent4" w:themeFillTint="66"/>
            <w:vAlign w:val="center"/>
          </w:tcPr>
          <w:p w14:paraId="08E6C406" w14:textId="77777777" w:rsidR="00953EC3" w:rsidRPr="0016598E" w:rsidRDefault="00953EC3" w:rsidP="002D6A12">
            <w:pPr>
              <w:contextualSpacing/>
              <w:jc w:val="right"/>
              <w:rPr>
                <w:rFonts w:cstheme="minorHAnsi"/>
                <w:b/>
                <w:sz w:val="20"/>
                <w:szCs w:val="20"/>
              </w:rPr>
            </w:pPr>
            <w:r>
              <w:rPr>
                <w:rFonts w:cstheme="minorHAnsi"/>
                <w:b/>
                <w:sz w:val="20"/>
                <w:szCs w:val="20"/>
              </w:rPr>
              <w:t xml:space="preserve">$ </w:t>
            </w:r>
            <w:r w:rsidRPr="0016598E">
              <w:rPr>
                <w:rFonts w:cstheme="minorHAnsi"/>
                <w:b/>
                <w:sz w:val="20"/>
                <w:szCs w:val="20"/>
              </w:rPr>
              <w:t>(70,753,090)</w:t>
            </w:r>
          </w:p>
        </w:tc>
        <w:tc>
          <w:tcPr>
            <w:tcW w:w="992" w:type="dxa"/>
            <w:shd w:val="clear" w:color="auto" w:fill="FFE599" w:themeFill="accent4" w:themeFillTint="66"/>
            <w:vAlign w:val="center"/>
          </w:tcPr>
          <w:p w14:paraId="17FADF31" w14:textId="77777777" w:rsidR="00953EC3" w:rsidRPr="0016598E" w:rsidRDefault="00953EC3" w:rsidP="002D6A12">
            <w:pPr>
              <w:contextualSpacing/>
              <w:jc w:val="center"/>
              <w:rPr>
                <w:rFonts w:cstheme="minorHAnsi"/>
                <w:b/>
                <w:i/>
                <w:sz w:val="20"/>
                <w:szCs w:val="20"/>
              </w:rPr>
            </w:pPr>
            <w:r w:rsidRPr="0016598E">
              <w:rPr>
                <w:rFonts w:cstheme="minorHAnsi"/>
                <w:b/>
                <w:i/>
                <w:sz w:val="20"/>
                <w:szCs w:val="20"/>
              </w:rPr>
              <w:t>(9.8%)</w:t>
            </w:r>
          </w:p>
        </w:tc>
      </w:tr>
    </w:tbl>
    <w:p w14:paraId="19DA6BB0" w14:textId="77777777" w:rsidR="00E94275" w:rsidRDefault="00E94275" w:rsidP="00E94275"/>
    <w:p w14:paraId="313CAF38" w14:textId="0758FBAB" w:rsidR="00EE6A53" w:rsidRDefault="00F11B08" w:rsidP="00E94275">
      <w:r>
        <w:t xml:space="preserve">The </w:t>
      </w:r>
      <w:r w:rsidR="00FB5EFA">
        <w:t>AP</w:t>
      </w:r>
      <w:r w:rsidR="00EE6A53">
        <w:t xml:space="preserve">s that </w:t>
      </w:r>
      <w:r>
        <w:t xml:space="preserve">made </w:t>
      </w:r>
      <w:r w:rsidR="00EE6A53">
        <w:t xml:space="preserve">a </w:t>
      </w:r>
      <w:r w:rsidR="00301A02">
        <w:t>profit or</w:t>
      </w:r>
      <w:r w:rsidR="00EE6A53">
        <w:t xml:space="preserve"> break</w:t>
      </w:r>
      <w:r>
        <w:t>-</w:t>
      </w:r>
      <w:r w:rsidR="00EE6A53">
        <w:t xml:space="preserve">even </w:t>
      </w:r>
      <w:r>
        <w:t>result</w:t>
      </w:r>
      <w:r w:rsidR="00EE6A53">
        <w:t xml:space="preserve"> (as reported in the ACFR), the average profit margin on revenue was 9.3%. This </w:t>
      </w:r>
      <w:r>
        <w:t>represents the</w:t>
      </w:r>
      <w:r w:rsidR="00EE6A53">
        <w:t xml:space="preserve"> </w:t>
      </w:r>
      <w:r>
        <w:t>difference</w:t>
      </w:r>
      <w:r w:rsidR="00EE6A53">
        <w:t xml:space="preserve"> between the cost of providing the services to c</w:t>
      </w:r>
      <w:r>
        <w:t>are recipients</w:t>
      </w:r>
      <w:r w:rsidR="00EE6A53">
        <w:t xml:space="preserve"> and the </w:t>
      </w:r>
      <w:r>
        <w:t xml:space="preserve">actual </w:t>
      </w:r>
      <w:r w:rsidR="00EE6A53">
        <w:t>price charged to those c</w:t>
      </w:r>
      <w:r>
        <w:t>are recipients</w:t>
      </w:r>
      <w:r w:rsidR="00EE6A53">
        <w:t>.</w:t>
      </w:r>
    </w:p>
    <w:p w14:paraId="2F79993E" w14:textId="66F8BA8F" w:rsidR="00EE6A53" w:rsidRDefault="00EE6A53" w:rsidP="00E94275"/>
    <w:p w14:paraId="0D7D1AB7" w14:textId="1A6FEB3D" w:rsidR="00B81894" w:rsidRDefault="00EE6A53" w:rsidP="00E94275">
      <w:r>
        <w:t xml:space="preserve">This would indicate that, for those </w:t>
      </w:r>
      <w:r w:rsidR="00FB5EFA">
        <w:t>AP</w:t>
      </w:r>
      <w:r>
        <w:t xml:space="preserve">s, </w:t>
      </w:r>
      <w:r w:rsidR="00F11B08">
        <w:t xml:space="preserve">the cash flow effect as a result of the </w:t>
      </w:r>
      <w:r>
        <w:t xml:space="preserve">discount of 7.5% on the subsidy amount </w:t>
      </w:r>
      <w:r w:rsidR="00F11B08">
        <w:t xml:space="preserve">received (representing the actual services delivered - refer </w:t>
      </w:r>
      <w:r w:rsidR="00F11B08" w:rsidRPr="00F11B08">
        <w:rPr>
          <w:i/>
        </w:rPr>
        <w:t>Table 2</w:t>
      </w:r>
      <w:r w:rsidR="00F11B08">
        <w:t>)</w:t>
      </w:r>
      <w:r>
        <w:t>, once the drawdown of unspent funds commenced in Phase 3 of the implementation process, w</w:t>
      </w:r>
      <w:r w:rsidR="00F11B08">
        <w:t>ill</w:t>
      </w:r>
      <w:r>
        <w:t xml:space="preserve"> still provide sufficient </w:t>
      </w:r>
      <w:r w:rsidR="00B81894">
        <w:t xml:space="preserve">working capital </w:t>
      </w:r>
      <w:r>
        <w:t>cash flow</w:t>
      </w:r>
      <w:r w:rsidR="00B81894">
        <w:t>s</w:t>
      </w:r>
      <w:r>
        <w:t xml:space="preserve"> for the </w:t>
      </w:r>
      <w:r w:rsidR="00FB5EFA">
        <w:t>AP</w:t>
      </w:r>
      <w:r>
        <w:t xml:space="preserve"> to be able to cover the costs of providing services, </w:t>
      </w:r>
      <w:r w:rsidR="00B81894">
        <w:t>in the circumstance that</w:t>
      </w:r>
      <w:r>
        <w:t xml:space="preserve"> they </w:t>
      </w:r>
      <w:r w:rsidR="00B81894">
        <w:t xml:space="preserve">currently do </w:t>
      </w:r>
      <w:r>
        <w:t>not have all unspent funds balances represented by liquid assets.</w:t>
      </w:r>
    </w:p>
    <w:p w14:paraId="472071CC" w14:textId="77777777" w:rsidR="00B81894" w:rsidRDefault="00B81894" w:rsidP="00E94275"/>
    <w:p w14:paraId="4E88174C" w14:textId="42A786E9" w:rsidR="00E94275" w:rsidRDefault="00E94275" w:rsidP="00E94275">
      <w:r>
        <w:t xml:space="preserve">Total unspent funds for those loss-making </w:t>
      </w:r>
      <w:r w:rsidR="00FB5EFA">
        <w:t>AP</w:t>
      </w:r>
      <w:r>
        <w:t xml:space="preserve">s was $245.6 million at 30 June 2019 and the total cash and liquid assets at that date was $495.8 million, a ratio of 2:1 on average. A deeper analysis of the cash and subsidy coverage is included in the following </w:t>
      </w:r>
      <w:r w:rsidR="00F11B08" w:rsidRPr="00F11B08">
        <w:rPr>
          <w:i/>
        </w:rPr>
        <w:t>S</w:t>
      </w:r>
      <w:r w:rsidRPr="00F11B08">
        <w:rPr>
          <w:i/>
        </w:rPr>
        <w:t xml:space="preserve">ection </w:t>
      </w:r>
      <w:r w:rsidR="00043999" w:rsidRPr="00F11B08">
        <w:rPr>
          <w:i/>
        </w:rPr>
        <w:t>6</w:t>
      </w:r>
      <w:r>
        <w:t xml:space="preserve"> of this report.</w:t>
      </w:r>
    </w:p>
    <w:p w14:paraId="55F29839" w14:textId="37524B74" w:rsidR="00E94275" w:rsidRDefault="00E94275" w:rsidP="00E94275"/>
    <w:p w14:paraId="20CCCD54" w14:textId="79120D7B" w:rsidR="00301A02" w:rsidRDefault="00F11B08" w:rsidP="00301A02">
      <w:pPr>
        <w:pStyle w:val="SubHeading"/>
      </w:pPr>
      <w:r>
        <w:lastRenderedPageBreak/>
        <w:t xml:space="preserve">Approved </w:t>
      </w:r>
      <w:r w:rsidR="00301A02">
        <w:t xml:space="preserve">Providers with Positive Net Profit </w:t>
      </w:r>
      <w:proofErr w:type="gramStart"/>
      <w:r w:rsidR="00301A02">
        <w:t>Before</w:t>
      </w:r>
      <w:proofErr w:type="gramEnd"/>
      <w:r w:rsidR="00301A02">
        <w:t xml:space="preserve"> Tax by Ownership</w:t>
      </w:r>
    </w:p>
    <w:p w14:paraId="66C31CF3" w14:textId="32ECCC95" w:rsidR="00E42097" w:rsidRDefault="006520F5" w:rsidP="00701DB9">
      <w:r>
        <w:t xml:space="preserve">For those </w:t>
      </w:r>
      <w:r w:rsidR="00FB5EFA">
        <w:t>AP</w:t>
      </w:r>
      <w:r>
        <w:t xml:space="preserve">s </w:t>
      </w:r>
      <w:r w:rsidR="00B81894">
        <w:t xml:space="preserve">who declared a </w:t>
      </w:r>
      <w:r>
        <w:t xml:space="preserve">profit </w:t>
      </w:r>
      <w:r w:rsidR="00B81894">
        <w:t xml:space="preserve">for FY19 </w:t>
      </w:r>
      <w:r>
        <w:t>the</w:t>
      </w:r>
      <w:r w:rsidR="00B81894">
        <w:t xml:space="preserve"> stratification </w:t>
      </w:r>
      <w:r>
        <w:t xml:space="preserve">by ownership </w:t>
      </w:r>
      <w:r w:rsidR="00B81894">
        <w:t xml:space="preserve">is </w:t>
      </w:r>
      <w:r>
        <w:t>as follows:</w:t>
      </w:r>
    </w:p>
    <w:p w14:paraId="00E6E9DC" w14:textId="2CD73691" w:rsidR="00C66E01" w:rsidRDefault="00C66E01" w:rsidP="00C66E01">
      <w:pPr>
        <w:pStyle w:val="Caption"/>
        <w:keepNext/>
      </w:pPr>
      <w:r>
        <w:t xml:space="preserve">Table </w:t>
      </w:r>
      <w:fldSimple w:instr=" SEQ Table \* ARABIC ">
        <w:r w:rsidR="00844346">
          <w:rPr>
            <w:noProof/>
          </w:rPr>
          <w:t>8</w:t>
        </w:r>
      </w:fldSimple>
      <w:r>
        <w:t xml:space="preserve">:  Aggregate result by ownership for those </w:t>
      </w:r>
      <w:r w:rsidR="00FB5EFA">
        <w:t>AP</w:t>
      </w:r>
      <w:r>
        <w:t>s with positive NPBT based on FY19 ACFR HCP segment data</w:t>
      </w:r>
    </w:p>
    <w:tbl>
      <w:tblPr>
        <w:tblStyle w:val="DefaultTable12"/>
        <w:tblW w:w="9608" w:type="dxa"/>
        <w:tblLayout w:type="fixed"/>
        <w:tblLook w:val="06A0" w:firstRow="1" w:lastRow="0" w:firstColumn="1" w:lastColumn="0" w:noHBand="1" w:noVBand="1"/>
        <w:tblCaption w:val="Header row for Table 8:  Aggregate result by ownership for those APs with positive NPBT based on FY19 ACFR HCP segment data"/>
      </w:tblPr>
      <w:tblGrid>
        <w:gridCol w:w="3260"/>
        <w:gridCol w:w="1587"/>
        <w:gridCol w:w="1587"/>
        <w:gridCol w:w="1587"/>
        <w:gridCol w:w="1587"/>
      </w:tblGrid>
      <w:tr w:rsidR="00B81894" w:rsidRPr="00B81894" w14:paraId="6E161C8F" w14:textId="77777777" w:rsidTr="003636FB">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3260" w:type="dxa"/>
          </w:tcPr>
          <w:p w14:paraId="354975BC" w14:textId="77777777" w:rsidR="00B81894" w:rsidRPr="00B81894" w:rsidRDefault="00B81894" w:rsidP="00B81894">
            <w:pPr>
              <w:contextualSpacing/>
            </w:pPr>
            <w:bookmarkStart w:id="48" w:name="_Hlk25640799"/>
            <w:r w:rsidRPr="00B81894">
              <w:t xml:space="preserve">ACFR Profit and Loss Summary - FY19 </w:t>
            </w:r>
          </w:p>
        </w:tc>
        <w:tc>
          <w:tcPr>
            <w:tcW w:w="1587" w:type="dxa"/>
          </w:tcPr>
          <w:p w14:paraId="5E366FE8" w14:textId="77777777" w:rsidR="00B81894" w:rsidRPr="00B81894" w:rsidRDefault="00B81894" w:rsidP="00B81894">
            <w:pPr>
              <w:contextualSpacing/>
              <w:jc w:val="center"/>
              <w:cnfStyle w:val="100000000000" w:firstRow="1" w:lastRow="0" w:firstColumn="0" w:lastColumn="0" w:oddVBand="0" w:evenVBand="0" w:oddHBand="0" w:evenHBand="0" w:firstRowFirstColumn="0" w:firstRowLastColumn="0" w:lastRowFirstColumn="0" w:lastRowLastColumn="0"/>
              <w:rPr>
                <w:b w:val="0"/>
                <w:bCs w:val="0"/>
              </w:rPr>
            </w:pPr>
            <w:r w:rsidRPr="00B81894">
              <w:t>Not-For-Profit</w:t>
            </w:r>
          </w:p>
          <w:p w14:paraId="6970037A" w14:textId="77777777" w:rsidR="00B81894" w:rsidRPr="00B81894" w:rsidRDefault="00B81894" w:rsidP="00B81894">
            <w:pPr>
              <w:contextualSpacing/>
              <w:jc w:val="center"/>
              <w:cnfStyle w:val="100000000000" w:firstRow="1" w:lastRow="0" w:firstColumn="0" w:lastColumn="0" w:oddVBand="0" w:evenVBand="0" w:oddHBand="0" w:evenHBand="0" w:firstRowFirstColumn="0" w:firstRowLastColumn="0" w:lastRowFirstColumn="0" w:lastRowLastColumn="0"/>
              <w:rPr>
                <w:b w:val="0"/>
                <w:bCs w:val="0"/>
              </w:rPr>
            </w:pPr>
            <w:r w:rsidRPr="00B81894">
              <w:t>(281 providers)</w:t>
            </w:r>
          </w:p>
          <w:p w14:paraId="09424441" w14:textId="77777777" w:rsidR="00B81894" w:rsidRPr="00B81894" w:rsidRDefault="00B81894" w:rsidP="00B81894">
            <w:pPr>
              <w:contextualSpacing/>
              <w:jc w:val="center"/>
              <w:cnfStyle w:val="100000000000" w:firstRow="1" w:lastRow="0" w:firstColumn="0" w:lastColumn="0" w:oddVBand="0" w:evenVBand="0" w:oddHBand="0" w:evenHBand="0" w:firstRowFirstColumn="0" w:firstRowLastColumn="0" w:lastRowFirstColumn="0" w:lastRowLastColumn="0"/>
            </w:pPr>
            <w:r w:rsidRPr="00B81894">
              <w:t>$</w:t>
            </w:r>
          </w:p>
        </w:tc>
        <w:tc>
          <w:tcPr>
            <w:tcW w:w="1587" w:type="dxa"/>
          </w:tcPr>
          <w:p w14:paraId="4E41186D" w14:textId="77777777" w:rsidR="00B81894" w:rsidRPr="00B81894" w:rsidRDefault="00B81894" w:rsidP="00B81894">
            <w:pPr>
              <w:contextualSpacing/>
              <w:jc w:val="center"/>
              <w:cnfStyle w:val="100000000000" w:firstRow="1" w:lastRow="0" w:firstColumn="0" w:lastColumn="0" w:oddVBand="0" w:evenVBand="0" w:oddHBand="0" w:evenHBand="0" w:firstRowFirstColumn="0" w:firstRowLastColumn="0" w:lastRowFirstColumn="0" w:lastRowLastColumn="0"/>
              <w:rPr>
                <w:b w:val="0"/>
                <w:bCs w:val="0"/>
              </w:rPr>
            </w:pPr>
            <w:r w:rsidRPr="00B81894">
              <w:t>For-Profit</w:t>
            </w:r>
          </w:p>
          <w:p w14:paraId="3252EAE2" w14:textId="77777777" w:rsidR="00B81894" w:rsidRPr="00B81894" w:rsidRDefault="00B81894" w:rsidP="00B81894">
            <w:pPr>
              <w:contextualSpacing/>
              <w:jc w:val="center"/>
              <w:cnfStyle w:val="100000000000" w:firstRow="1" w:lastRow="0" w:firstColumn="0" w:lastColumn="0" w:oddVBand="0" w:evenVBand="0" w:oddHBand="0" w:evenHBand="0" w:firstRowFirstColumn="0" w:firstRowLastColumn="0" w:lastRowFirstColumn="0" w:lastRowLastColumn="0"/>
              <w:rPr>
                <w:b w:val="0"/>
                <w:bCs w:val="0"/>
              </w:rPr>
            </w:pPr>
            <w:r w:rsidRPr="00B81894">
              <w:t>(177 providers)</w:t>
            </w:r>
          </w:p>
          <w:p w14:paraId="3209BF69" w14:textId="77777777" w:rsidR="00B81894" w:rsidRPr="00B81894" w:rsidRDefault="00B81894" w:rsidP="00B81894">
            <w:pPr>
              <w:contextualSpacing/>
              <w:jc w:val="center"/>
              <w:cnfStyle w:val="100000000000" w:firstRow="1" w:lastRow="0" w:firstColumn="0" w:lastColumn="0" w:oddVBand="0" w:evenVBand="0" w:oddHBand="0" w:evenHBand="0" w:firstRowFirstColumn="0" w:firstRowLastColumn="0" w:lastRowFirstColumn="0" w:lastRowLastColumn="0"/>
            </w:pPr>
            <w:r w:rsidRPr="00B81894">
              <w:t>$</w:t>
            </w:r>
          </w:p>
        </w:tc>
        <w:tc>
          <w:tcPr>
            <w:tcW w:w="1587" w:type="dxa"/>
          </w:tcPr>
          <w:p w14:paraId="3B00FAC8" w14:textId="77777777" w:rsidR="00B81894" w:rsidRPr="00B81894" w:rsidRDefault="00B81894" w:rsidP="00B81894">
            <w:pPr>
              <w:contextualSpacing/>
              <w:jc w:val="center"/>
              <w:cnfStyle w:val="100000000000" w:firstRow="1" w:lastRow="0" w:firstColumn="0" w:lastColumn="0" w:oddVBand="0" w:evenVBand="0" w:oddHBand="0" w:evenHBand="0" w:firstRowFirstColumn="0" w:firstRowLastColumn="0" w:lastRowFirstColumn="0" w:lastRowLastColumn="0"/>
              <w:rPr>
                <w:b w:val="0"/>
                <w:bCs w:val="0"/>
              </w:rPr>
            </w:pPr>
            <w:r w:rsidRPr="00B81894">
              <w:t>Government</w:t>
            </w:r>
          </w:p>
          <w:p w14:paraId="2FA1AA1E" w14:textId="77777777" w:rsidR="00B81894" w:rsidRPr="00B81894" w:rsidRDefault="00B81894" w:rsidP="00B81894">
            <w:pPr>
              <w:contextualSpacing/>
              <w:jc w:val="center"/>
              <w:cnfStyle w:val="100000000000" w:firstRow="1" w:lastRow="0" w:firstColumn="0" w:lastColumn="0" w:oddVBand="0" w:evenVBand="0" w:oddHBand="0" w:evenHBand="0" w:firstRowFirstColumn="0" w:firstRowLastColumn="0" w:lastRowFirstColumn="0" w:lastRowLastColumn="0"/>
              <w:rPr>
                <w:b w:val="0"/>
                <w:bCs w:val="0"/>
              </w:rPr>
            </w:pPr>
            <w:r w:rsidRPr="00B81894">
              <w:t>(58 providers)</w:t>
            </w:r>
          </w:p>
          <w:p w14:paraId="6808041B" w14:textId="77777777" w:rsidR="00B81894" w:rsidRPr="00B81894" w:rsidRDefault="00B81894" w:rsidP="00B81894">
            <w:pPr>
              <w:contextualSpacing/>
              <w:jc w:val="center"/>
              <w:cnfStyle w:val="100000000000" w:firstRow="1" w:lastRow="0" w:firstColumn="0" w:lastColumn="0" w:oddVBand="0" w:evenVBand="0" w:oddHBand="0" w:evenHBand="0" w:firstRowFirstColumn="0" w:firstRowLastColumn="0" w:lastRowFirstColumn="0" w:lastRowLastColumn="0"/>
            </w:pPr>
            <w:r w:rsidRPr="00B81894">
              <w:t>$</w:t>
            </w:r>
          </w:p>
        </w:tc>
        <w:tc>
          <w:tcPr>
            <w:tcW w:w="1587" w:type="dxa"/>
          </w:tcPr>
          <w:p w14:paraId="16927D64" w14:textId="77777777" w:rsidR="00B81894" w:rsidRPr="00B81894" w:rsidRDefault="00B81894" w:rsidP="00B81894">
            <w:pPr>
              <w:contextualSpacing/>
              <w:jc w:val="center"/>
              <w:cnfStyle w:val="100000000000" w:firstRow="1" w:lastRow="0" w:firstColumn="0" w:lastColumn="0" w:oddVBand="0" w:evenVBand="0" w:oddHBand="0" w:evenHBand="0" w:firstRowFirstColumn="0" w:firstRowLastColumn="0" w:lastRowFirstColumn="0" w:lastRowLastColumn="0"/>
            </w:pPr>
            <w:r w:rsidRPr="00B81894">
              <w:t>Total</w:t>
            </w:r>
          </w:p>
          <w:p w14:paraId="0CE1294B" w14:textId="77777777" w:rsidR="00B81894" w:rsidRPr="00B81894" w:rsidRDefault="00B81894" w:rsidP="00B81894">
            <w:pPr>
              <w:contextualSpacing/>
              <w:jc w:val="center"/>
              <w:cnfStyle w:val="100000000000" w:firstRow="1" w:lastRow="0" w:firstColumn="0" w:lastColumn="0" w:oddVBand="0" w:evenVBand="0" w:oddHBand="0" w:evenHBand="0" w:firstRowFirstColumn="0" w:firstRowLastColumn="0" w:lastRowFirstColumn="0" w:lastRowLastColumn="0"/>
            </w:pPr>
            <w:r w:rsidRPr="00B81894">
              <w:t>(516 providers)</w:t>
            </w:r>
          </w:p>
          <w:p w14:paraId="34F9CC0F" w14:textId="77777777" w:rsidR="00B81894" w:rsidRPr="00B81894" w:rsidRDefault="00B81894" w:rsidP="00B81894">
            <w:pPr>
              <w:contextualSpacing/>
              <w:jc w:val="center"/>
              <w:cnfStyle w:val="100000000000" w:firstRow="1" w:lastRow="0" w:firstColumn="0" w:lastColumn="0" w:oddVBand="0" w:evenVBand="0" w:oddHBand="0" w:evenHBand="0" w:firstRowFirstColumn="0" w:firstRowLastColumn="0" w:lastRowFirstColumn="0" w:lastRowLastColumn="0"/>
            </w:pPr>
            <w:r w:rsidRPr="00B81894">
              <w:t>$</w:t>
            </w:r>
          </w:p>
        </w:tc>
      </w:tr>
    </w:tbl>
    <w:tbl>
      <w:tblPr>
        <w:tblStyle w:val="TableGrid4"/>
        <w:tblW w:w="96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Caption w:val="Header row for Table 8:  Aggregate result by ownership for those APs with positive NPBT based on FY19 ACFR HCP segment data"/>
      </w:tblPr>
      <w:tblGrid>
        <w:gridCol w:w="3260"/>
        <w:gridCol w:w="1587"/>
        <w:gridCol w:w="1587"/>
        <w:gridCol w:w="1587"/>
        <w:gridCol w:w="1587"/>
      </w:tblGrid>
      <w:tr w:rsidR="00B81894" w14:paraId="47F82C99" w14:textId="77777777" w:rsidTr="003636FB">
        <w:trPr>
          <w:tblHeader/>
        </w:trPr>
        <w:tc>
          <w:tcPr>
            <w:tcW w:w="3260" w:type="dxa"/>
          </w:tcPr>
          <w:p w14:paraId="39F92889" w14:textId="77777777" w:rsidR="00B81894" w:rsidRPr="0038160E" w:rsidRDefault="00B81894" w:rsidP="002D6A12">
            <w:pPr>
              <w:rPr>
                <w:sz w:val="20"/>
                <w:szCs w:val="20"/>
              </w:rPr>
            </w:pPr>
            <w:bookmarkStart w:id="49" w:name="_Hlk25640810"/>
            <w:bookmarkEnd w:id="48"/>
            <w:r w:rsidRPr="0038160E">
              <w:rPr>
                <w:rFonts w:cstheme="minorHAnsi"/>
                <w:sz w:val="20"/>
                <w:szCs w:val="20"/>
              </w:rPr>
              <w:t>Revenue</w:t>
            </w:r>
          </w:p>
        </w:tc>
        <w:tc>
          <w:tcPr>
            <w:tcW w:w="1587" w:type="dxa"/>
            <w:shd w:val="clear" w:color="auto" w:fill="auto"/>
            <w:vAlign w:val="center"/>
          </w:tcPr>
          <w:p w14:paraId="2694E87D" w14:textId="77777777" w:rsidR="00B81894" w:rsidRPr="00EC3AB4" w:rsidRDefault="00B81894" w:rsidP="002D6A12">
            <w:pPr>
              <w:contextualSpacing/>
              <w:jc w:val="right"/>
              <w:rPr>
                <w:sz w:val="20"/>
                <w:szCs w:val="20"/>
              </w:rPr>
            </w:pPr>
            <w:r w:rsidRPr="00EC3AB4">
              <w:rPr>
                <w:sz w:val="20"/>
                <w:szCs w:val="20"/>
              </w:rPr>
              <w:t>1,271,708,905</w:t>
            </w:r>
          </w:p>
        </w:tc>
        <w:tc>
          <w:tcPr>
            <w:tcW w:w="1587" w:type="dxa"/>
            <w:shd w:val="clear" w:color="auto" w:fill="auto"/>
            <w:vAlign w:val="center"/>
          </w:tcPr>
          <w:p w14:paraId="39A7B949" w14:textId="77777777" w:rsidR="00B81894" w:rsidRPr="00EC3AB4" w:rsidRDefault="00B81894" w:rsidP="002D6A12">
            <w:pPr>
              <w:contextualSpacing/>
              <w:jc w:val="right"/>
              <w:rPr>
                <w:sz w:val="20"/>
                <w:szCs w:val="20"/>
              </w:rPr>
            </w:pPr>
            <w:r w:rsidRPr="00EC3AB4">
              <w:rPr>
                <w:sz w:val="20"/>
                <w:szCs w:val="20"/>
              </w:rPr>
              <w:t>371,404,606</w:t>
            </w:r>
          </w:p>
        </w:tc>
        <w:tc>
          <w:tcPr>
            <w:tcW w:w="1587" w:type="dxa"/>
            <w:shd w:val="clear" w:color="auto" w:fill="auto"/>
            <w:vAlign w:val="center"/>
          </w:tcPr>
          <w:p w14:paraId="727BEFFF" w14:textId="77777777" w:rsidR="00B81894" w:rsidRPr="00EC3AB4" w:rsidRDefault="00B81894" w:rsidP="002D6A12">
            <w:pPr>
              <w:contextualSpacing/>
              <w:jc w:val="right"/>
              <w:rPr>
                <w:sz w:val="20"/>
                <w:szCs w:val="20"/>
              </w:rPr>
            </w:pPr>
            <w:r w:rsidRPr="00EC3AB4">
              <w:rPr>
                <w:sz w:val="20"/>
                <w:szCs w:val="20"/>
              </w:rPr>
              <w:t>114,272,651</w:t>
            </w:r>
          </w:p>
        </w:tc>
        <w:tc>
          <w:tcPr>
            <w:tcW w:w="1587" w:type="dxa"/>
            <w:shd w:val="clear" w:color="auto" w:fill="FFE599" w:themeFill="accent4" w:themeFillTint="66"/>
            <w:vAlign w:val="center"/>
          </w:tcPr>
          <w:p w14:paraId="17B2F89C" w14:textId="77777777" w:rsidR="00B81894" w:rsidRPr="00EC3AB4" w:rsidRDefault="00B81894" w:rsidP="002D6A12">
            <w:pPr>
              <w:contextualSpacing/>
              <w:jc w:val="right"/>
              <w:rPr>
                <w:sz w:val="20"/>
                <w:szCs w:val="20"/>
              </w:rPr>
            </w:pPr>
            <w:r w:rsidRPr="00EC3AB4">
              <w:rPr>
                <w:sz w:val="20"/>
                <w:szCs w:val="20"/>
              </w:rPr>
              <w:t>1,757,386,162</w:t>
            </w:r>
          </w:p>
        </w:tc>
      </w:tr>
      <w:tr w:rsidR="00B81894" w14:paraId="7128B8E1" w14:textId="77777777" w:rsidTr="002D6A12">
        <w:tc>
          <w:tcPr>
            <w:tcW w:w="3260" w:type="dxa"/>
          </w:tcPr>
          <w:p w14:paraId="16D3BEB4" w14:textId="77777777" w:rsidR="00B81894" w:rsidRPr="006647A0" w:rsidRDefault="00B81894" w:rsidP="002D6A12">
            <w:pPr>
              <w:rPr>
                <w:rFonts w:cstheme="minorHAnsi"/>
                <w:sz w:val="20"/>
                <w:szCs w:val="20"/>
              </w:rPr>
            </w:pPr>
            <w:r>
              <w:rPr>
                <w:rFonts w:cstheme="minorHAnsi"/>
                <w:sz w:val="20"/>
                <w:szCs w:val="20"/>
              </w:rPr>
              <w:t>Expenses</w:t>
            </w:r>
          </w:p>
        </w:tc>
        <w:tc>
          <w:tcPr>
            <w:tcW w:w="1587" w:type="dxa"/>
            <w:shd w:val="clear" w:color="auto" w:fill="auto"/>
            <w:vAlign w:val="center"/>
          </w:tcPr>
          <w:p w14:paraId="5447C00E" w14:textId="77777777" w:rsidR="00B81894" w:rsidRPr="00EC3AB4" w:rsidRDefault="00B81894" w:rsidP="002D6A12">
            <w:pPr>
              <w:contextualSpacing/>
              <w:jc w:val="right"/>
              <w:rPr>
                <w:sz w:val="20"/>
                <w:szCs w:val="20"/>
              </w:rPr>
            </w:pPr>
            <w:r w:rsidRPr="00EC3AB4">
              <w:rPr>
                <w:sz w:val="20"/>
                <w:szCs w:val="20"/>
              </w:rPr>
              <w:t>1,160,323,730</w:t>
            </w:r>
          </w:p>
        </w:tc>
        <w:tc>
          <w:tcPr>
            <w:tcW w:w="1587" w:type="dxa"/>
            <w:shd w:val="clear" w:color="auto" w:fill="auto"/>
            <w:vAlign w:val="center"/>
          </w:tcPr>
          <w:p w14:paraId="5F9FA98F" w14:textId="77777777" w:rsidR="00B81894" w:rsidRPr="00EC3AB4" w:rsidRDefault="00B81894" w:rsidP="002D6A12">
            <w:pPr>
              <w:contextualSpacing/>
              <w:jc w:val="right"/>
              <w:rPr>
                <w:sz w:val="20"/>
                <w:szCs w:val="20"/>
              </w:rPr>
            </w:pPr>
            <w:r w:rsidRPr="00EC3AB4">
              <w:rPr>
                <w:sz w:val="20"/>
                <w:szCs w:val="20"/>
              </w:rPr>
              <w:t>333,144,713</w:t>
            </w:r>
          </w:p>
        </w:tc>
        <w:tc>
          <w:tcPr>
            <w:tcW w:w="1587" w:type="dxa"/>
            <w:shd w:val="clear" w:color="auto" w:fill="auto"/>
            <w:vAlign w:val="center"/>
          </w:tcPr>
          <w:p w14:paraId="0B38AFF0" w14:textId="77777777" w:rsidR="00B81894" w:rsidRPr="00EC3AB4" w:rsidRDefault="00B81894" w:rsidP="002D6A12">
            <w:pPr>
              <w:contextualSpacing/>
              <w:jc w:val="right"/>
              <w:rPr>
                <w:sz w:val="20"/>
                <w:szCs w:val="20"/>
              </w:rPr>
            </w:pPr>
            <w:r w:rsidRPr="00EC3AB4">
              <w:rPr>
                <w:sz w:val="20"/>
                <w:szCs w:val="20"/>
              </w:rPr>
              <w:t>99,772,912</w:t>
            </w:r>
          </w:p>
        </w:tc>
        <w:tc>
          <w:tcPr>
            <w:tcW w:w="1587" w:type="dxa"/>
            <w:shd w:val="clear" w:color="auto" w:fill="FFE599" w:themeFill="accent4" w:themeFillTint="66"/>
            <w:vAlign w:val="center"/>
          </w:tcPr>
          <w:p w14:paraId="18C24DA0" w14:textId="77777777" w:rsidR="00B81894" w:rsidRPr="00EC3AB4" w:rsidRDefault="00B81894" w:rsidP="002D6A12">
            <w:pPr>
              <w:contextualSpacing/>
              <w:jc w:val="right"/>
              <w:rPr>
                <w:sz w:val="20"/>
                <w:szCs w:val="20"/>
              </w:rPr>
            </w:pPr>
            <w:r w:rsidRPr="00EC3AB4">
              <w:rPr>
                <w:sz w:val="20"/>
                <w:szCs w:val="20"/>
              </w:rPr>
              <w:t>1,593,241,355</w:t>
            </w:r>
          </w:p>
        </w:tc>
      </w:tr>
      <w:tr w:rsidR="00B81894" w14:paraId="63362194" w14:textId="77777777" w:rsidTr="002D6A12">
        <w:tc>
          <w:tcPr>
            <w:tcW w:w="3260" w:type="dxa"/>
          </w:tcPr>
          <w:p w14:paraId="42499410" w14:textId="77777777" w:rsidR="00B81894" w:rsidRPr="006647A0" w:rsidRDefault="00B81894" w:rsidP="002D6A12">
            <w:pPr>
              <w:rPr>
                <w:rFonts w:cstheme="minorHAnsi"/>
                <w:sz w:val="20"/>
                <w:szCs w:val="20"/>
              </w:rPr>
            </w:pPr>
            <w:r>
              <w:rPr>
                <w:rFonts w:cstheme="minorHAnsi"/>
                <w:sz w:val="20"/>
                <w:szCs w:val="20"/>
              </w:rPr>
              <w:t>Net Profit Before Tax</w:t>
            </w:r>
          </w:p>
        </w:tc>
        <w:tc>
          <w:tcPr>
            <w:tcW w:w="1587" w:type="dxa"/>
            <w:shd w:val="clear" w:color="auto" w:fill="DEEAF6" w:themeFill="accent1" w:themeFillTint="33"/>
            <w:vAlign w:val="center"/>
          </w:tcPr>
          <w:p w14:paraId="1BC1FB43" w14:textId="77777777" w:rsidR="00B81894" w:rsidRPr="00EC3AB4" w:rsidRDefault="00B81894" w:rsidP="002D6A12">
            <w:pPr>
              <w:contextualSpacing/>
              <w:jc w:val="right"/>
              <w:rPr>
                <w:b/>
                <w:sz w:val="20"/>
                <w:szCs w:val="20"/>
              </w:rPr>
            </w:pPr>
            <w:r>
              <w:rPr>
                <w:b/>
                <w:sz w:val="20"/>
                <w:szCs w:val="20"/>
              </w:rPr>
              <w:t xml:space="preserve">$ </w:t>
            </w:r>
            <w:r w:rsidRPr="00EC3AB4">
              <w:rPr>
                <w:b/>
                <w:sz w:val="20"/>
                <w:szCs w:val="20"/>
              </w:rPr>
              <w:t>111,385,175</w:t>
            </w:r>
          </w:p>
        </w:tc>
        <w:tc>
          <w:tcPr>
            <w:tcW w:w="1587" w:type="dxa"/>
            <w:shd w:val="clear" w:color="auto" w:fill="DEEAF6" w:themeFill="accent1" w:themeFillTint="33"/>
            <w:vAlign w:val="center"/>
          </w:tcPr>
          <w:p w14:paraId="7BD0FDD2" w14:textId="77777777" w:rsidR="00B81894" w:rsidRPr="00EC3AB4" w:rsidRDefault="00B81894" w:rsidP="002D6A12">
            <w:pPr>
              <w:contextualSpacing/>
              <w:jc w:val="right"/>
              <w:rPr>
                <w:b/>
                <w:sz w:val="20"/>
                <w:szCs w:val="20"/>
              </w:rPr>
            </w:pPr>
            <w:r>
              <w:rPr>
                <w:b/>
                <w:sz w:val="20"/>
                <w:szCs w:val="20"/>
              </w:rPr>
              <w:t xml:space="preserve">$ </w:t>
            </w:r>
            <w:r w:rsidRPr="00EC3AB4">
              <w:rPr>
                <w:b/>
                <w:sz w:val="20"/>
                <w:szCs w:val="20"/>
              </w:rPr>
              <w:t>38,259,893</w:t>
            </w:r>
          </w:p>
        </w:tc>
        <w:tc>
          <w:tcPr>
            <w:tcW w:w="1587" w:type="dxa"/>
            <w:shd w:val="clear" w:color="auto" w:fill="DEEAF6" w:themeFill="accent1" w:themeFillTint="33"/>
            <w:vAlign w:val="center"/>
          </w:tcPr>
          <w:p w14:paraId="1BA6623E" w14:textId="77777777" w:rsidR="00B81894" w:rsidRPr="00EC3AB4" w:rsidRDefault="00B81894" w:rsidP="002D6A12">
            <w:pPr>
              <w:contextualSpacing/>
              <w:jc w:val="right"/>
              <w:rPr>
                <w:b/>
                <w:sz w:val="20"/>
                <w:szCs w:val="20"/>
              </w:rPr>
            </w:pPr>
            <w:r>
              <w:rPr>
                <w:b/>
                <w:sz w:val="20"/>
                <w:szCs w:val="20"/>
              </w:rPr>
              <w:t xml:space="preserve">$ </w:t>
            </w:r>
            <w:r w:rsidRPr="00EC3AB4">
              <w:rPr>
                <w:b/>
                <w:sz w:val="20"/>
                <w:szCs w:val="20"/>
              </w:rPr>
              <w:t>14,499,739</w:t>
            </w:r>
          </w:p>
        </w:tc>
        <w:tc>
          <w:tcPr>
            <w:tcW w:w="1587" w:type="dxa"/>
            <w:shd w:val="clear" w:color="auto" w:fill="FFE599" w:themeFill="accent4" w:themeFillTint="66"/>
            <w:vAlign w:val="center"/>
          </w:tcPr>
          <w:p w14:paraId="5913AF3A" w14:textId="77777777" w:rsidR="00B81894" w:rsidRPr="00EC3AB4" w:rsidRDefault="00B81894" w:rsidP="002D6A12">
            <w:pPr>
              <w:contextualSpacing/>
              <w:jc w:val="right"/>
              <w:rPr>
                <w:b/>
                <w:sz w:val="20"/>
                <w:szCs w:val="20"/>
              </w:rPr>
            </w:pPr>
            <w:r>
              <w:rPr>
                <w:b/>
                <w:sz w:val="20"/>
                <w:szCs w:val="20"/>
              </w:rPr>
              <w:t xml:space="preserve">$ </w:t>
            </w:r>
            <w:r w:rsidRPr="00EC3AB4">
              <w:rPr>
                <w:b/>
                <w:sz w:val="20"/>
                <w:szCs w:val="20"/>
              </w:rPr>
              <w:t>164,144,807</w:t>
            </w:r>
          </w:p>
        </w:tc>
      </w:tr>
      <w:tr w:rsidR="00B81894" w14:paraId="196F0B92" w14:textId="77777777" w:rsidTr="002D6A12">
        <w:tc>
          <w:tcPr>
            <w:tcW w:w="3260" w:type="dxa"/>
          </w:tcPr>
          <w:p w14:paraId="2EB31EFB" w14:textId="77777777" w:rsidR="00B81894" w:rsidRPr="00011F5D" w:rsidRDefault="00B81894" w:rsidP="002D6A12">
            <w:pPr>
              <w:rPr>
                <w:rFonts w:cstheme="minorHAnsi"/>
                <w:i/>
                <w:sz w:val="20"/>
                <w:szCs w:val="20"/>
              </w:rPr>
            </w:pPr>
            <w:r w:rsidRPr="00011F5D">
              <w:rPr>
                <w:rFonts w:cstheme="minorHAnsi"/>
                <w:i/>
                <w:sz w:val="20"/>
                <w:szCs w:val="20"/>
              </w:rPr>
              <w:t>Profit Margin</w:t>
            </w:r>
          </w:p>
        </w:tc>
        <w:tc>
          <w:tcPr>
            <w:tcW w:w="1587" w:type="dxa"/>
            <w:shd w:val="clear" w:color="auto" w:fill="auto"/>
            <w:vAlign w:val="center"/>
          </w:tcPr>
          <w:p w14:paraId="28B85276" w14:textId="77777777" w:rsidR="00B81894" w:rsidRPr="00EC3AB4" w:rsidRDefault="00B81894" w:rsidP="002D6A12">
            <w:pPr>
              <w:contextualSpacing/>
              <w:jc w:val="right"/>
              <w:rPr>
                <w:i/>
                <w:sz w:val="20"/>
                <w:szCs w:val="20"/>
              </w:rPr>
            </w:pPr>
            <w:r w:rsidRPr="00EC3AB4">
              <w:rPr>
                <w:i/>
                <w:sz w:val="20"/>
                <w:szCs w:val="20"/>
              </w:rPr>
              <w:t>8.8%</w:t>
            </w:r>
          </w:p>
        </w:tc>
        <w:tc>
          <w:tcPr>
            <w:tcW w:w="1587" w:type="dxa"/>
            <w:shd w:val="clear" w:color="auto" w:fill="auto"/>
            <w:vAlign w:val="center"/>
          </w:tcPr>
          <w:p w14:paraId="42403316" w14:textId="77777777" w:rsidR="00B81894" w:rsidRPr="00EC3AB4" w:rsidRDefault="00B81894" w:rsidP="002D6A12">
            <w:pPr>
              <w:contextualSpacing/>
              <w:jc w:val="right"/>
              <w:rPr>
                <w:i/>
                <w:sz w:val="20"/>
                <w:szCs w:val="20"/>
              </w:rPr>
            </w:pPr>
            <w:r w:rsidRPr="00EC3AB4">
              <w:rPr>
                <w:i/>
                <w:sz w:val="20"/>
                <w:szCs w:val="20"/>
              </w:rPr>
              <w:t>10.3%</w:t>
            </w:r>
          </w:p>
        </w:tc>
        <w:tc>
          <w:tcPr>
            <w:tcW w:w="1587" w:type="dxa"/>
            <w:shd w:val="clear" w:color="auto" w:fill="auto"/>
            <w:vAlign w:val="center"/>
          </w:tcPr>
          <w:p w14:paraId="33F4B201" w14:textId="77777777" w:rsidR="00B81894" w:rsidRPr="00EC3AB4" w:rsidRDefault="00B81894" w:rsidP="002D6A12">
            <w:pPr>
              <w:contextualSpacing/>
              <w:jc w:val="right"/>
              <w:rPr>
                <w:i/>
                <w:sz w:val="20"/>
                <w:szCs w:val="20"/>
              </w:rPr>
            </w:pPr>
            <w:r w:rsidRPr="00EC3AB4">
              <w:rPr>
                <w:i/>
                <w:sz w:val="20"/>
                <w:szCs w:val="20"/>
              </w:rPr>
              <w:t>12.7%</w:t>
            </w:r>
          </w:p>
        </w:tc>
        <w:tc>
          <w:tcPr>
            <w:tcW w:w="1587" w:type="dxa"/>
            <w:shd w:val="clear" w:color="auto" w:fill="FFE599" w:themeFill="accent4" w:themeFillTint="66"/>
            <w:vAlign w:val="center"/>
          </w:tcPr>
          <w:p w14:paraId="4D5D9020" w14:textId="77777777" w:rsidR="00B81894" w:rsidRPr="00EC3AB4" w:rsidRDefault="00B81894" w:rsidP="002D6A12">
            <w:pPr>
              <w:contextualSpacing/>
              <w:jc w:val="right"/>
              <w:rPr>
                <w:i/>
                <w:sz w:val="20"/>
                <w:szCs w:val="20"/>
              </w:rPr>
            </w:pPr>
            <w:r w:rsidRPr="00EC3AB4">
              <w:rPr>
                <w:i/>
                <w:sz w:val="20"/>
                <w:szCs w:val="20"/>
              </w:rPr>
              <w:t>9.3%</w:t>
            </w:r>
          </w:p>
        </w:tc>
      </w:tr>
      <w:bookmarkEnd w:id="49"/>
    </w:tbl>
    <w:p w14:paraId="3D5955BC" w14:textId="77777777" w:rsidR="00E94275" w:rsidRDefault="00E94275" w:rsidP="00701DB9"/>
    <w:p w14:paraId="6DBF2ABC" w14:textId="26A23239" w:rsidR="008C781C" w:rsidRDefault="00B81894" w:rsidP="00701DB9">
      <w:r>
        <w:t xml:space="preserve">In this instance the </w:t>
      </w:r>
      <w:r w:rsidR="00E94275">
        <w:t>For-Profit providers achieve</w:t>
      </w:r>
      <w:r>
        <w:t>d</w:t>
      </w:r>
      <w:r w:rsidR="00E94275">
        <w:t xml:space="preserve"> a slightly higher margin than the Not-</w:t>
      </w:r>
      <w:r>
        <w:t>F</w:t>
      </w:r>
      <w:r w:rsidR="00E94275">
        <w:t>or-</w:t>
      </w:r>
      <w:r>
        <w:t>P</w:t>
      </w:r>
      <w:r w:rsidR="00E94275">
        <w:t xml:space="preserve">rofit providers, </w:t>
      </w:r>
      <w:r>
        <w:t xml:space="preserve">however </w:t>
      </w:r>
      <w:r w:rsidR="00E94275">
        <w:t>they ma</w:t>
      </w:r>
      <w:r>
        <w:t>de</w:t>
      </w:r>
      <w:r w:rsidR="00E94275">
        <w:t xml:space="preserve"> a significantly higher negative margin than the </w:t>
      </w:r>
      <w:r>
        <w:t>N</w:t>
      </w:r>
      <w:r w:rsidR="00E94275">
        <w:t>ot-</w:t>
      </w:r>
      <w:r>
        <w:t>F</w:t>
      </w:r>
      <w:r w:rsidR="00E94275">
        <w:t>or-</w:t>
      </w:r>
      <w:r>
        <w:t>P</w:t>
      </w:r>
      <w:r w:rsidR="00E94275">
        <w:t xml:space="preserve">rofit providers when they </w:t>
      </w:r>
      <w:r>
        <w:t xml:space="preserve">achieved </w:t>
      </w:r>
      <w:r w:rsidR="00E94275">
        <w:t>a deficit result</w:t>
      </w:r>
      <w:r w:rsidR="00301A02">
        <w:t xml:space="preserve"> as shown in </w:t>
      </w:r>
      <w:r w:rsidR="00301A02" w:rsidRPr="00301A02">
        <w:rPr>
          <w:i/>
        </w:rPr>
        <w:t>Table 9</w:t>
      </w:r>
      <w:r w:rsidR="00E94275">
        <w:t>.</w:t>
      </w:r>
      <w:r w:rsidR="00301A02">
        <w:t xml:space="preserve"> </w:t>
      </w:r>
    </w:p>
    <w:p w14:paraId="23C07346" w14:textId="376D8375" w:rsidR="00EC338A" w:rsidRDefault="00EC338A" w:rsidP="00701DB9"/>
    <w:p w14:paraId="64213D70" w14:textId="70BD436B" w:rsidR="00EC338A" w:rsidRDefault="00FB5EFA" w:rsidP="00EC338A">
      <w:pPr>
        <w:pStyle w:val="SubHeading"/>
      </w:pPr>
      <w:r>
        <w:t xml:space="preserve">Approved </w:t>
      </w:r>
      <w:r w:rsidR="00EC338A">
        <w:t xml:space="preserve">Providers with Negative Net Profit </w:t>
      </w:r>
      <w:proofErr w:type="gramStart"/>
      <w:r w:rsidR="00EC338A">
        <w:t>Before</w:t>
      </w:r>
      <w:proofErr w:type="gramEnd"/>
      <w:r w:rsidR="00EC338A">
        <w:t xml:space="preserve"> Tax by Ownership</w:t>
      </w:r>
    </w:p>
    <w:p w14:paraId="3DEB461C" w14:textId="1B4B7FAB" w:rsidR="00C66E01" w:rsidRDefault="00C66E01" w:rsidP="00C66E01">
      <w:pPr>
        <w:pStyle w:val="Caption"/>
        <w:keepNext/>
      </w:pPr>
      <w:r>
        <w:t xml:space="preserve">Table </w:t>
      </w:r>
      <w:fldSimple w:instr=" SEQ Table \* ARABIC ">
        <w:r w:rsidR="00844346">
          <w:rPr>
            <w:noProof/>
          </w:rPr>
          <w:t>9</w:t>
        </w:r>
      </w:fldSimple>
      <w:r>
        <w:t xml:space="preserve">:  Aggregate result by ownership for those </w:t>
      </w:r>
      <w:r w:rsidR="00FB5EFA">
        <w:t>AP</w:t>
      </w:r>
      <w:r>
        <w:t>s with negative NPBT based on FY19 ACFR HCP segment data</w:t>
      </w:r>
    </w:p>
    <w:tbl>
      <w:tblPr>
        <w:tblStyle w:val="DefaultTable13"/>
        <w:tblW w:w="9608" w:type="dxa"/>
        <w:tblLayout w:type="fixed"/>
        <w:tblLook w:val="06A0" w:firstRow="1" w:lastRow="0" w:firstColumn="1" w:lastColumn="0" w:noHBand="1" w:noVBand="1"/>
        <w:tblCaption w:val="header row for Table 9:  Aggregate result by ownership for those APs with negative NPBT based on FY19 ACFR HCP segment data"/>
      </w:tblPr>
      <w:tblGrid>
        <w:gridCol w:w="3260"/>
        <w:gridCol w:w="1587"/>
        <w:gridCol w:w="1587"/>
        <w:gridCol w:w="1587"/>
        <w:gridCol w:w="1587"/>
      </w:tblGrid>
      <w:tr w:rsidR="00B81894" w:rsidRPr="00B81894" w14:paraId="1DA07B81" w14:textId="77777777" w:rsidTr="003636FB">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3260" w:type="dxa"/>
          </w:tcPr>
          <w:p w14:paraId="72CA5507" w14:textId="77777777" w:rsidR="00B81894" w:rsidRPr="00B81894" w:rsidRDefault="00B81894" w:rsidP="00B81894">
            <w:pPr>
              <w:contextualSpacing/>
            </w:pPr>
            <w:r w:rsidRPr="00B81894">
              <w:t xml:space="preserve">ACFR Profit and Loss Summary - FY19 </w:t>
            </w:r>
          </w:p>
        </w:tc>
        <w:tc>
          <w:tcPr>
            <w:tcW w:w="1587" w:type="dxa"/>
          </w:tcPr>
          <w:p w14:paraId="572CDE3C" w14:textId="77777777" w:rsidR="00B81894" w:rsidRPr="00B81894" w:rsidRDefault="00B81894" w:rsidP="00B81894">
            <w:pPr>
              <w:contextualSpacing/>
              <w:jc w:val="center"/>
              <w:cnfStyle w:val="100000000000" w:firstRow="1" w:lastRow="0" w:firstColumn="0" w:lastColumn="0" w:oddVBand="0" w:evenVBand="0" w:oddHBand="0" w:evenHBand="0" w:firstRowFirstColumn="0" w:firstRowLastColumn="0" w:lastRowFirstColumn="0" w:lastRowLastColumn="0"/>
              <w:rPr>
                <w:b w:val="0"/>
                <w:bCs w:val="0"/>
              </w:rPr>
            </w:pPr>
            <w:r w:rsidRPr="00B81894">
              <w:t>Not-For-Profit</w:t>
            </w:r>
          </w:p>
          <w:p w14:paraId="6F5684D4" w14:textId="77777777" w:rsidR="00B81894" w:rsidRPr="00B81894" w:rsidRDefault="00B81894" w:rsidP="00B81894">
            <w:pPr>
              <w:contextualSpacing/>
              <w:jc w:val="center"/>
              <w:cnfStyle w:val="100000000000" w:firstRow="1" w:lastRow="0" w:firstColumn="0" w:lastColumn="0" w:oddVBand="0" w:evenVBand="0" w:oddHBand="0" w:evenHBand="0" w:firstRowFirstColumn="0" w:firstRowLastColumn="0" w:lastRowFirstColumn="0" w:lastRowLastColumn="0"/>
              <w:rPr>
                <w:b w:val="0"/>
                <w:bCs w:val="0"/>
              </w:rPr>
            </w:pPr>
            <w:r w:rsidRPr="00B81894">
              <w:t>(120 providers)</w:t>
            </w:r>
          </w:p>
          <w:p w14:paraId="65329B78" w14:textId="77777777" w:rsidR="00B81894" w:rsidRPr="00B81894" w:rsidRDefault="00B81894" w:rsidP="00B81894">
            <w:pPr>
              <w:contextualSpacing/>
              <w:jc w:val="center"/>
              <w:cnfStyle w:val="100000000000" w:firstRow="1" w:lastRow="0" w:firstColumn="0" w:lastColumn="0" w:oddVBand="0" w:evenVBand="0" w:oddHBand="0" w:evenHBand="0" w:firstRowFirstColumn="0" w:firstRowLastColumn="0" w:lastRowFirstColumn="0" w:lastRowLastColumn="0"/>
            </w:pPr>
            <w:r w:rsidRPr="00B81894">
              <w:t>$</w:t>
            </w:r>
          </w:p>
        </w:tc>
        <w:tc>
          <w:tcPr>
            <w:tcW w:w="1587" w:type="dxa"/>
          </w:tcPr>
          <w:p w14:paraId="61833E82" w14:textId="77777777" w:rsidR="00B81894" w:rsidRPr="00B81894" w:rsidRDefault="00B81894" w:rsidP="00B81894">
            <w:pPr>
              <w:contextualSpacing/>
              <w:jc w:val="center"/>
              <w:cnfStyle w:val="100000000000" w:firstRow="1" w:lastRow="0" w:firstColumn="0" w:lastColumn="0" w:oddVBand="0" w:evenVBand="0" w:oddHBand="0" w:evenHBand="0" w:firstRowFirstColumn="0" w:firstRowLastColumn="0" w:lastRowFirstColumn="0" w:lastRowLastColumn="0"/>
              <w:rPr>
                <w:b w:val="0"/>
                <w:bCs w:val="0"/>
              </w:rPr>
            </w:pPr>
            <w:r w:rsidRPr="00B81894">
              <w:t>For-Profit</w:t>
            </w:r>
          </w:p>
          <w:p w14:paraId="0301DAFF" w14:textId="77777777" w:rsidR="00B81894" w:rsidRPr="00B81894" w:rsidRDefault="00B81894" w:rsidP="00B81894">
            <w:pPr>
              <w:contextualSpacing/>
              <w:jc w:val="center"/>
              <w:cnfStyle w:val="100000000000" w:firstRow="1" w:lastRow="0" w:firstColumn="0" w:lastColumn="0" w:oddVBand="0" w:evenVBand="0" w:oddHBand="0" w:evenHBand="0" w:firstRowFirstColumn="0" w:firstRowLastColumn="0" w:lastRowFirstColumn="0" w:lastRowLastColumn="0"/>
              <w:rPr>
                <w:b w:val="0"/>
                <w:bCs w:val="0"/>
              </w:rPr>
            </w:pPr>
            <w:r w:rsidRPr="00B81894">
              <w:t>(71 providers)</w:t>
            </w:r>
          </w:p>
          <w:p w14:paraId="793B0CF9" w14:textId="77777777" w:rsidR="00B81894" w:rsidRPr="00B81894" w:rsidRDefault="00B81894" w:rsidP="00B81894">
            <w:pPr>
              <w:contextualSpacing/>
              <w:jc w:val="center"/>
              <w:cnfStyle w:val="100000000000" w:firstRow="1" w:lastRow="0" w:firstColumn="0" w:lastColumn="0" w:oddVBand="0" w:evenVBand="0" w:oddHBand="0" w:evenHBand="0" w:firstRowFirstColumn="0" w:firstRowLastColumn="0" w:lastRowFirstColumn="0" w:lastRowLastColumn="0"/>
            </w:pPr>
            <w:r w:rsidRPr="00B81894">
              <w:t>$</w:t>
            </w:r>
          </w:p>
        </w:tc>
        <w:tc>
          <w:tcPr>
            <w:tcW w:w="1587" w:type="dxa"/>
          </w:tcPr>
          <w:p w14:paraId="696DB055" w14:textId="77777777" w:rsidR="00B81894" w:rsidRPr="00B81894" w:rsidRDefault="00B81894" w:rsidP="00B81894">
            <w:pPr>
              <w:contextualSpacing/>
              <w:jc w:val="center"/>
              <w:cnfStyle w:val="100000000000" w:firstRow="1" w:lastRow="0" w:firstColumn="0" w:lastColumn="0" w:oddVBand="0" w:evenVBand="0" w:oddHBand="0" w:evenHBand="0" w:firstRowFirstColumn="0" w:firstRowLastColumn="0" w:lastRowFirstColumn="0" w:lastRowLastColumn="0"/>
              <w:rPr>
                <w:b w:val="0"/>
                <w:bCs w:val="0"/>
              </w:rPr>
            </w:pPr>
            <w:r w:rsidRPr="00B81894">
              <w:t>Government</w:t>
            </w:r>
          </w:p>
          <w:p w14:paraId="301291CF" w14:textId="77777777" w:rsidR="00B81894" w:rsidRPr="00B81894" w:rsidRDefault="00B81894" w:rsidP="00B81894">
            <w:pPr>
              <w:contextualSpacing/>
              <w:jc w:val="center"/>
              <w:cnfStyle w:val="100000000000" w:firstRow="1" w:lastRow="0" w:firstColumn="0" w:lastColumn="0" w:oddVBand="0" w:evenVBand="0" w:oddHBand="0" w:evenHBand="0" w:firstRowFirstColumn="0" w:firstRowLastColumn="0" w:lastRowFirstColumn="0" w:lastRowLastColumn="0"/>
              <w:rPr>
                <w:b w:val="0"/>
                <w:bCs w:val="0"/>
              </w:rPr>
            </w:pPr>
            <w:r w:rsidRPr="00B81894">
              <w:t>(30 providers)</w:t>
            </w:r>
          </w:p>
          <w:p w14:paraId="53707F60" w14:textId="77777777" w:rsidR="00B81894" w:rsidRPr="00B81894" w:rsidRDefault="00B81894" w:rsidP="00B81894">
            <w:pPr>
              <w:contextualSpacing/>
              <w:jc w:val="center"/>
              <w:cnfStyle w:val="100000000000" w:firstRow="1" w:lastRow="0" w:firstColumn="0" w:lastColumn="0" w:oddVBand="0" w:evenVBand="0" w:oddHBand="0" w:evenHBand="0" w:firstRowFirstColumn="0" w:firstRowLastColumn="0" w:lastRowFirstColumn="0" w:lastRowLastColumn="0"/>
            </w:pPr>
            <w:r w:rsidRPr="00B81894">
              <w:t>$</w:t>
            </w:r>
          </w:p>
        </w:tc>
        <w:tc>
          <w:tcPr>
            <w:tcW w:w="1587" w:type="dxa"/>
          </w:tcPr>
          <w:p w14:paraId="1DD3632A" w14:textId="77777777" w:rsidR="00B81894" w:rsidRPr="00B81894" w:rsidRDefault="00B81894" w:rsidP="00B81894">
            <w:pPr>
              <w:contextualSpacing/>
              <w:jc w:val="center"/>
              <w:cnfStyle w:val="100000000000" w:firstRow="1" w:lastRow="0" w:firstColumn="0" w:lastColumn="0" w:oddVBand="0" w:evenVBand="0" w:oddHBand="0" w:evenHBand="0" w:firstRowFirstColumn="0" w:firstRowLastColumn="0" w:lastRowFirstColumn="0" w:lastRowLastColumn="0"/>
            </w:pPr>
            <w:r w:rsidRPr="00B81894">
              <w:t>Total</w:t>
            </w:r>
          </w:p>
          <w:p w14:paraId="518FFB34" w14:textId="77777777" w:rsidR="00B81894" w:rsidRPr="00B81894" w:rsidRDefault="00B81894" w:rsidP="00B81894">
            <w:pPr>
              <w:contextualSpacing/>
              <w:jc w:val="center"/>
              <w:cnfStyle w:val="100000000000" w:firstRow="1" w:lastRow="0" w:firstColumn="0" w:lastColumn="0" w:oddVBand="0" w:evenVBand="0" w:oddHBand="0" w:evenHBand="0" w:firstRowFirstColumn="0" w:firstRowLastColumn="0" w:lastRowFirstColumn="0" w:lastRowLastColumn="0"/>
            </w:pPr>
            <w:r w:rsidRPr="00B81894">
              <w:t>(221 providers)</w:t>
            </w:r>
          </w:p>
          <w:p w14:paraId="1BA4D588" w14:textId="77777777" w:rsidR="00B81894" w:rsidRPr="00B81894" w:rsidRDefault="00B81894" w:rsidP="00B81894">
            <w:pPr>
              <w:contextualSpacing/>
              <w:jc w:val="center"/>
              <w:cnfStyle w:val="100000000000" w:firstRow="1" w:lastRow="0" w:firstColumn="0" w:lastColumn="0" w:oddVBand="0" w:evenVBand="0" w:oddHBand="0" w:evenHBand="0" w:firstRowFirstColumn="0" w:firstRowLastColumn="0" w:lastRowFirstColumn="0" w:lastRowLastColumn="0"/>
            </w:pPr>
            <w:r w:rsidRPr="00B81894">
              <w:t>$</w:t>
            </w:r>
          </w:p>
        </w:tc>
      </w:tr>
    </w:tbl>
    <w:tbl>
      <w:tblPr>
        <w:tblStyle w:val="TableGrid5"/>
        <w:tblW w:w="96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Caption w:val="header row for Table 9:  Aggregate result by ownership for those APs with negative NPBT based on FY19 ACFR HCP segment data"/>
      </w:tblPr>
      <w:tblGrid>
        <w:gridCol w:w="3260"/>
        <w:gridCol w:w="1587"/>
        <w:gridCol w:w="1587"/>
        <w:gridCol w:w="1587"/>
        <w:gridCol w:w="1587"/>
      </w:tblGrid>
      <w:tr w:rsidR="00B81894" w14:paraId="35EFA2C0" w14:textId="77777777" w:rsidTr="003636FB">
        <w:trPr>
          <w:tblHeader/>
        </w:trPr>
        <w:tc>
          <w:tcPr>
            <w:tcW w:w="3260" w:type="dxa"/>
          </w:tcPr>
          <w:p w14:paraId="6DF729B3" w14:textId="77777777" w:rsidR="00B81894" w:rsidRPr="0038160E" w:rsidRDefault="00B81894" w:rsidP="002D6A12">
            <w:pPr>
              <w:rPr>
                <w:sz w:val="20"/>
                <w:szCs w:val="20"/>
              </w:rPr>
            </w:pPr>
            <w:r w:rsidRPr="0038160E">
              <w:rPr>
                <w:rFonts w:cstheme="minorHAnsi"/>
                <w:sz w:val="20"/>
                <w:szCs w:val="20"/>
              </w:rPr>
              <w:t>Revenue</w:t>
            </w:r>
          </w:p>
        </w:tc>
        <w:tc>
          <w:tcPr>
            <w:tcW w:w="1587" w:type="dxa"/>
            <w:shd w:val="clear" w:color="auto" w:fill="auto"/>
            <w:vAlign w:val="center"/>
          </w:tcPr>
          <w:p w14:paraId="3E07A74C" w14:textId="77777777" w:rsidR="00B81894" w:rsidRPr="00ED59A3" w:rsidRDefault="00B81894" w:rsidP="002D6A12">
            <w:pPr>
              <w:contextualSpacing/>
              <w:jc w:val="right"/>
              <w:rPr>
                <w:sz w:val="20"/>
                <w:szCs w:val="20"/>
              </w:rPr>
            </w:pPr>
            <w:r w:rsidRPr="00ED59A3">
              <w:rPr>
                <w:sz w:val="20"/>
                <w:szCs w:val="20"/>
              </w:rPr>
              <w:t xml:space="preserve"> 533,236,701 </w:t>
            </w:r>
          </w:p>
        </w:tc>
        <w:tc>
          <w:tcPr>
            <w:tcW w:w="1587" w:type="dxa"/>
            <w:shd w:val="clear" w:color="auto" w:fill="auto"/>
            <w:vAlign w:val="center"/>
          </w:tcPr>
          <w:p w14:paraId="46A9DE68" w14:textId="77777777" w:rsidR="00B81894" w:rsidRPr="00ED59A3" w:rsidRDefault="00B81894" w:rsidP="002D6A12">
            <w:pPr>
              <w:contextualSpacing/>
              <w:jc w:val="right"/>
              <w:rPr>
                <w:sz w:val="20"/>
                <w:szCs w:val="20"/>
              </w:rPr>
            </w:pPr>
            <w:r w:rsidRPr="00ED59A3">
              <w:rPr>
                <w:sz w:val="20"/>
                <w:szCs w:val="20"/>
              </w:rPr>
              <w:t xml:space="preserve"> 155,929,211 </w:t>
            </w:r>
          </w:p>
        </w:tc>
        <w:tc>
          <w:tcPr>
            <w:tcW w:w="1587" w:type="dxa"/>
            <w:shd w:val="clear" w:color="auto" w:fill="auto"/>
            <w:vAlign w:val="center"/>
          </w:tcPr>
          <w:p w14:paraId="7DC626C7" w14:textId="77777777" w:rsidR="00B81894" w:rsidRPr="00ED59A3" w:rsidRDefault="00B81894" w:rsidP="002D6A12">
            <w:pPr>
              <w:contextualSpacing/>
              <w:jc w:val="right"/>
              <w:rPr>
                <w:sz w:val="20"/>
                <w:szCs w:val="20"/>
              </w:rPr>
            </w:pPr>
            <w:r w:rsidRPr="00ED59A3">
              <w:rPr>
                <w:sz w:val="20"/>
                <w:szCs w:val="20"/>
              </w:rPr>
              <w:t xml:space="preserve"> 34,630,658 </w:t>
            </w:r>
          </w:p>
        </w:tc>
        <w:tc>
          <w:tcPr>
            <w:tcW w:w="1587" w:type="dxa"/>
            <w:shd w:val="clear" w:color="auto" w:fill="FFE599" w:themeFill="accent4" w:themeFillTint="66"/>
            <w:vAlign w:val="center"/>
          </w:tcPr>
          <w:p w14:paraId="35CA88D2" w14:textId="77777777" w:rsidR="00B81894" w:rsidRPr="00ED59A3" w:rsidRDefault="00B81894" w:rsidP="002D6A12">
            <w:pPr>
              <w:contextualSpacing/>
              <w:jc w:val="right"/>
              <w:rPr>
                <w:sz w:val="20"/>
                <w:szCs w:val="20"/>
              </w:rPr>
            </w:pPr>
            <w:r w:rsidRPr="00ED59A3">
              <w:rPr>
                <w:sz w:val="20"/>
                <w:szCs w:val="20"/>
              </w:rPr>
              <w:t>723,796,570</w:t>
            </w:r>
          </w:p>
        </w:tc>
      </w:tr>
      <w:tr w:rsidR="00B81894" w14:paraId="3551D56E" w14:textId="77777777" w:rsidTr="002D6A12">
        <w:tc>
          <w:tcPr>
            <w:tcW w:w="3260" w:type="dxa"/>
          </w:tcPr>
          <w:p w14:paraId="45437E03" w14:textId="77777777" w:rsidR="00B81894" w:rsidRPr="006647A0" w:rsidRDefault="00B81894" w:rsidP="002D6A12">
            <w:pPr>
              <w:rPr>
                <w:rFonts w:cstheme="minorHAnsi"/>
                <w:sz w:val="20"/>
                <w:szCs w:val="20"/>
              </w:rPr>
            </w:pPr>
            <w:r>
              <w:rPr>
                <w:rFonts w:cstheme="minorHAnsi"/>
                <w:sz w:val="20"/>
                <w:szCs w:val="20"/>
              </w:rPr>
              <w:t>Expenses</w:t>
            </w:r>
          </w:p>
        </w:tc>
        <w:tc>
          <w:tcPr>
            <w:tcW w:w="1587" w:type="dxa"/>
            <w:shd w:val="clear" w:color="auto" w:fill="auto"/>
            <w:vAlign w:val="center"/>
          </w:tcPr>
          <w:p w14:paraId="4945FFE6" w14:textId="77777777" w:rsidR="00B81894" w:rsidRPr="00ED59A3" w:rsidRDefault="00B81894" w:rsidP="002D6A12">
            <w:pPr>
              <w:contextualSpacing/>
              <w:jc w:val="right"/>
              <w:rPr>
                <w:sz w:val="20"/>
                <w:szCs w:val="20"/>
              </w:rPr>
            </w:pPr>
            <w:r w:rsidRPr="00ED59A3">
              <w:rPr>
                <w:sz w:val="20"/>
                <w:szCs w:val="20"/>
              </w:rPr>
              <w:t xml:space="preserve"> 566,964,139 </w:t>
            </w:r>
          </w:p>
        </w:tc>
        <w:tc>
          <w:tcPr>
            <w:tcW w:w="1587" w:type="dxa"/>
            <w:shd w:val="clear" w:color="auto" w:fill="auto"/>
            <w:vAlign w:val="center"/>
          </w:tcPr>
          <w:p w14:paraId="1D76E6FC" w14:textId="77777777" w:rsidR="00B81894" w:rsidRPr="00ED59A3" w:rsidRDefault="00B81894" w:rsidP="002D6A12">
            <w:pPr>
              <w:contextualSpacing/>
              <w:jc w:val="right"/>
              <w:rPr>
                <w:sz w:val="20"/>
                <w:szCs w:val="20"/>
              </w:rPr>
            </w:pPr>
            <w:r w:rsidRPr="00ED59A3">
              <w:rPr>
                <w:sz w:val="20"/>
                <w:szCs w:val="20"/>
              </w:rPr>
              <w:t xml:space="preserve"> 189,292,716 </w:t>
            </w:r>
          </w:p>
        </w:tc>
        <w:tc>
          <w:tcPr>
            <w:tcW w:w="1587" w:type="dxa"/>
            <w:shd w:val="clear" w:color="auto" w:fill="auto"/>
            <w:vAlign w:val="center"/>
          </w:tcPr>
          <w:p w14:paraId="75880F82" w14:textId="77777777" w:rsidR="00B81894" w:rsidRPr="00ED59A3" w:rsidRDefault="00B81894" w:rsidP="002D6A12">
            <w:pPr>
              <w:contextualSpacing/>
              <w:jc w:val="right"/>
              <w:rPr>
                <w:sz w:val="20"/>
                <w:szCs w:val="20"/>
              </w:rPr>
            </w:pPr>
            <w:r w:rsidRPr="00ED59A3">
              <w:rPr>
                <w:sz w:val="20"/>
                <w:szCs w:val="20"/>
              </w:rPr>
              <w:t xml:space="preserve"> 38,292,805 </w:t>
            </w:r>
          </w:p>
        </w:tc>
        <w:tc>
          <w:tcPr>
            <w:tcW w:w="1587" w:type="dxa"/>
            <w:shd w:val="clear" w:color="auto" w:fill="FFE599" w:themeFill="accent4" w:themeFillTint="66"/>
            <w:vAlign w:val="center"/>
          </w:tcPr>
          <w:p w14:paraId="7FC7F6BE" w14:textId="77777777" w:rsidR="00B81894" w:rsidRPr="00ED59A3" w:rsidRDefault="00B81894" w:rsidP="002D6A12">
            <w:pPr>
              <w:contextualSpacing/>
              <w:jc w:val="right"/>
              <w:rPr>
                <w:sz w:val="20"/>
                <w:szCs w:val="20"/>
              </w:rPr>
            </w:pPr>
            <w:r w:rsidRPr="00ED59A3">
              <w:rPr>
                <w:sz w:val="20"/>
                <w:szCs w:val="20"/>
              </w:rPr>
              <w:t>794,549,660</w:t>
            </w:r>
          </w:p>
        </w:tc>
      </w:tr>
      <w:tr w:rsidR="00B81894" w14:paraId="158CD601" w14:textId="77777777" w:rsidTr="002D6A12">
        <w:tc>
          <w:tcPr>
            <w:tcW w:w="3260" w:type="dxa"/>
          </w:tcPr>
          <w:p w14:paraId="1F75A0EC" w14:textId="4F8703FA" w:rsidR="00B81894" w:rsidRPr="006647A0" w:rsidRDefault="00B81894" w:rsidP="002D6A12">
            <w:pPr>
              <w:rPr>
                <w:rFonts w:cstheme="minorHAnsi"/>
                <w:sz w:val="20"/>
                <w:szCs w:val="20"/>
              </w:rPr>
            </w:pPr>
            <w:r>
              <w:rPr>
                <w:rFonts w:cstheme="minorHAnsi"/>
                <w:sz w:val="20"/>
                <w:szCs w:val="20"/>
              </w:rPr>
              <w:t xml:space="preserve">Net Profit </w:t>
            </w:r>
            <w:r w:rsidR="009B22F5">
              <w:rPr>
                <w:rFonts w:cstheme="minorHAnsi"/>
                <w:sz w:val="20"/>
                <w:szCs w:val="20"/>
              </w:rPr>
              <w:t xml:space="preserve">(Loss) </w:t>
            </w:r>
            <w:r>
              <w:rPr>
                <w:rFonts w:cstheme="minorHAnsi"/>
                <w:sz w:val="20"/>
                <w:szCs w:val="20"/>
              </w:rPr>
              <w:t>Before Tax</w:t>
            </w:r>
          </w:p>
        </w:tc>
        <w:tc>
          <w:tcPr>
            <w:tcW w:w="1587" w:type="dxa"/>
            <w:shd w:val="clear" w:color="auto" w:fill="DEEAF6" w:themeFill="accent1" w:themeFillTint="33"/>
            <w:vAlign w:val="center"/>
          </w:tcPr>
          <w:p w14:paraId="7EAB4DE7" w14:textId="77777777" w:rsidR="00B81894" w:rsidRPr="00ED59A3" w:rsidRDefault="00B81894" w:rsidP="002D6A12">
            <w:pPr>
              <w:contextualSpacing/>
              <w:jc w:val="right"/>
              <w:rPr>
                <w:b/>
                <w:sz w:val="20"/>
                <w:szCs w:val="20"/>
              </w:rPr>
            </w:pPr>
            <w:r>
              <w:rPr>
                <w:b/>
                <w:sz w:val="20"/>
                <w:szCs w:val="20"/>
              </w:rPr>
              <w:t xml:space="preserve">$ </w:t>
            </w:r>
            <w:r w:rsidRPr="00ED59A3">
              <w:rPr>
                <w:b/>
                <w:sz w:val="20"/>
                <w:szCs w:val="20"/>
              </w:rPr>
              <w:t>(33,727,438)</w:t>
            </w:r>
          </w:p>
        </w:tc>
        <w:tc>
          <w:tcPr>
            <w:tcW w:w="1587" w:type="dxa"/>
            <w:shd w:val="clear" w:color="auto" w:fill="DEEAF6" w:themeFill="accent1" w:themeFillTint="33"/>
            <w:vAlign w:val="center"/>
          </w:tcPr>
          <w:p w14:paraId="0CD8A4C3" w14:textId="77777777" w:rsidR="00B81894" w:rsidRPr="00ED59A3" w:rsidRDefault="00B81894" w:rsidP="002D6A12">
            <w:pPr>
              <w:contextualSpacing/>
              <w:jc w:val="right"/>
              <w:rPr>
                <w:b/>
                <w:sz w:val="20"/>
                <w:szCs w:val="20"/>
              </w:rPr>
            </w:pPr>
            <w:r>
              <w:rPr>
                <w:b/>
                <w:sz w:val="20"/>
                <w:szCs w:val="20"/>
              </w:rPr>
              <w:t xml:space="preserve">$ </w:t>
            </w:r>
            <w:r w:rsidRPr="00ED59A3">
              <w:rPr>
                <w:b/>
                <w:sz w:val="20"/>
                <w:szCs w:val="20"/>
              </w:rPr>
              <w:t>(33,363,505)</w:t>
            </w:r>
          </w:p>
        </w:tc>
        <w:tc>
          <w:tcPr>
            <w:tcW w:w="1587" w:type="dxa"/>
            <w:shd w:val="clear" w:color="auto" w:fill="DEEAF6" w:themeFill="accent1" w:themeFillTint="33"/>
            <w:vAlign w:val="center"/>
          </w:tcPr>
          <w:p w14:paraId="6E357A78" w14:textId="77777777" w:rsidR="00B81894" w:rsidRPr="00ED59A3" w:rsidRDefault="00B81894" w:rsidP="002D6A12">
            <w:pPr>
              <w:contextualSpacing/>
              <w:jc w:val="right"/>
              <w:rPr>
                <w:b/>
                <w:sz w:val="20"/>
                <w:szCs w:val="20"/>
              </w:rPr>
            </w:pPr>
            <w:r>
              <w:rPr>
                <w:b/>
                <w:sz w:val="20"/>
                <w:szCs w:val="20"/>
              </w:rPr>
              <w:t xml:space="preserve">$ </w:t>
            </w:r>
            <w:r w:rsidRPr="00ED59A3">
              <w:rPr>
                <w:b/>
                <w:sz w:val="20"/>
                <w:szCs w:val="20"/>
              </w:rPr>
              <w:t>(3,662,147)</w:t>
            </w:r>
          </w:p>
        </w:tc>
        <w:tc>
          <w:tcPr>
            <w:tcW w:w="1587" w:type="dxa"/>
            <w:shd w:val="clear" w:color="auto" w:fill="FFE599" w:themeFill="accent4" w:themeFillTint="66"/>
            <w:vAlign w:val="center"/>
          </w:tcPr>
          <w:p w14:paraId="14A83F30" w14:textId="77777777" w:rsidR="00B81894" w:rsidRPr="00ED59A3" w:rsidRDefault="00B81894" w:rsidP="002D6A12">
            <w:pPr>
              <w:contextualSpacing/>
              <w:jc w:val="right"/>
              <w:rPr>
                <w:b/>
                <w:sz w:val="20"/>
                <w:szCs w:val="20"/>
              </w:rPr>
            </w:pPr>
            <w:r>
              <w:rPr>
                <w:b/>
                <w:sz w:val="20"/>
                <w:szCs w:val="20"/>
              </w:rPr>
              <w:t xml:space="preserve">$ </w:t>
            </w:r>
            <w:r w:rsidRPr="00ED59A3">
              <w:rPr>
                <w:b/>
                <w:sz w:val="20"/>
                <w:szCs w:val="20"/>
              </w:rPr>
              <w:t>(70,753,090)</w:t>
            </w:r>
          </w:p>
        </w:tc>
      </w:tr>
      <w:tr w:rsidR="00B81894" w14:paraId="60CFCB22" w14:textId="77777777" w:rsidTr="002D6A12">
        <w:tc>
          <w:tcPr>
            <w:tcW w:w="3260" w:type="dxa"/>
          </w:tcPr>
          <w:p w14:paraId="56FA955E" w14:textId="77777777" w:rsidR="00B81894" w:rsidRPr="00011F5D" w:rsidRDefault="00B81894" w:rsidP="002D6A12">
            <w:pPr>
              <w:rPr>
                <w:rFonts w:cstheme="minorHAnsi"/>
                <w:i/>
                <w:sz w:val="20"/>
                <w:szCs w:val="20"/>
              </w:rPr>
            </w:pPr>
            <w:r w:rsidRPr="00011F5D">
              <w:rPr>
                <w:rFonts w:cstheme="minorHAnsi"/>
                <w:i/>
                <w:sz w:val="20"/>
                <w:szCs w:val="20"/>
              </w:rPr>
              <w:t>Profit Margin</w:t>
            </w:r>
          </w:p>
        </w:tc>
        <w:tc>
          <w:tcPr>
            <w:tcW w:w="1587" w:type="dxa"/>
            <w:shd w:val="clear" w:color="auto" w:fill="auto"/>
            <w:vAlign w:val="center"/>
          </w:tcPr>
          <w:p w14:paraId="6641090B" w14:textId="77777777" w:rsidR="00B81894" w:rsidRPr="00ED59A3" w:rsidRDefault="00B81894" w:rsidP="002D6A12">
            <w:pPr>
              <w:contextualSpacing/>
              <w:jc w:val="right"/>
              <w:rPr>
                <w:i/>
                <w:sz w:val="20"/>
                <w:szCs w:val="20"/>
              </w:rPr>
            </w:pPr>
            <w:r w:rsidRPr="00ED59A3">
              <w:rPr>
                <w:i/>
                <w:sz w:val="20"/>
                <w:szCs w:val="20"/>
              </w:rPr>
              <w:t>(6.3%)</w:t>
            </w:r>
          </w:p>
        </w:tc>
        <w:tc>
          <w:tcPr>
            <w:tcW w:w="1587" w:type="dxa"/>
            <w:shd w:val="clear" w:color="auto" w:fill="auto"/>
            <w:vAlign w:val="center"/>
          </w:tcPr>
          <w:p w14:paraId="6804D94A" w14:textId="77777777" w:rsidR="00B81894" w:rsidRPr="00ED59A3" w:rsidRDefault="00B81894" w:rsidP="002D6A12">
            <w:pPr>
              <w:contextualSpacing/>
              <w:jc w:val="right"/>
              <w:rPr>
                <w:i/>
                <w:sz w:val="20"/>
                <w:szCs w:val="20"/>
              </w:rPr>
            </w:pPr>
            <w:r w:rsidRPr="00ED59A3">
              <w:rPr>
                <w:i/>
                <w:sz w:val="20"/>
                <w:szCs w:val="20"/>
              </w:rPr>
              <w:t>(21.1%)</w:t>
            </w:r>
          </w:p>
        </w:tc>
        <w:tc>
          <w:tcPr>
            <w:tcW w:w="1587" w:type="dxa"/>
            <w:shd w:val="clear" w:color="auto" w:fill="auto"/>
            <w:vAlign w:val="center"/>
          </w:tcPr>
          <w:p w14:paraId="1D10D41C" w14:textId="77777777" w:rsidR="00B81894" w:rsidRPr="00ED59A3" w:rsidRDefault="00B81894" w:rsidP="002D6A12">
            <w:pPr>
              <w:contextualSpacing/>
              <w:jc w:val="right"/>
              <w:rPr>
                <w:i/>
                <w:sz w:val="20"/>
                <w:szCs w:val="20"/>
              </w:rPr>
            </w:pPr>
            <w:r w:rsidRPr="00ED59A3">
              <w:rPr>
                <w:i/>
                <w:sz w:val="20"/>
                <w:szCs w:val="20"/>
              </w:rPr>
              <w:t>(10.6%)</w:t>
            </w:r>
          </w:p>
        </w:tc>
        <w:tc>
          <w:tcPr>
            <w:tcW w:w="1587" w:type="dxa"/>
            <w:shd w:val="clear" w:color="auto" w:fill="FFE599" w:themeFill="accent4" w:themeFillTint="66"/>
            <w:vAlign w:val="center"/>
          </w:tcPr>
          <w:p w14:paraId="29A6030D" w14:textId="77777777" w:rsidR="00B81894" w:rsidRPr="00ED59A3" w:rsidRDefault="00B81894" w:rsidP="002D6A12">
            <w:pPr>
              <w:contextualSpacing/>
              <w:jc w:val="right"/>
              <w:rPr>
                <w:i/>
                <w:sz w:val="20"/>
                <w:szCs w:val="20"/>
              </w:rPr>
            </w:pPr>
            <w:r w:rsidRPr="00ED59A3">
              <w:rPr>
                <w:i/>
                <w:sz w:val="20"/>
                <w:szCs w:val="20"/>
              </w:rPr>
              <w:t>(9.8%)</w:t>
            </w:r>
          </w:p>
        </w:tc>
      </w:tr>
    </w:tbl>
    <w:p w14:paraId="1CD3EF96" w14:textId="77777777" w:rsidR="00301A02" w:rsidRDefault="00301A02" w:rsidP="00701DB9"/>
    <w:p w14:paraId="27F4ABDA" w14:textId="55366B81" w:rsidR="00BE05BC" w:rsidRDefault="00043999" w:rsidP="00701DB9">
      <w:r>
        <w:t xml:space="preserve">It is these </w:t>
      </w:r>
      <w:r w:rsidR="00FB5EFA">
        <w:t>AP</w:t>
      </w:r>
      <w:r>
        <w:t xml:space="preserve">s with a negative profit margin that may be </w:t>
      </w:r>
      <w:r w:rsidR="007D422F">
        <w:t xml:space="preserve">considered to be </w:t>
      </w:r>
      <w:r>
        <w:t xml:space="preserve">at greater risk of not being able to sustain the transition to payments being made in arrears or the eventual drawdown of unspent funds over time. </w:t>
      </w:r>
    </w:p>
    <w:p w14:paraId="529D7FB7" w14:textId="77777777" w:rsidR="00BE05BC" w:rsidRDefault="00BE05BC" w:rsidP="00701DB9"/>
    <w:p w14:paraId="2A8FEC18" w14:textId="60312E99" w:rsidR="00043999" w:rsidRPr="00BE05BC" w:rsidRDefault="00BE05BC" w:rsidP="00701DB9">
      <w:pPr>
        <w:rPr>
          <w:b/>
          <w:i/>
        </w:rPr>
      </w:pPr>
      <w:r>
        <w:rPr>
          <w:b/>
          <w:i/>
        </w:rPr>
        <w:t>H</w:t>
      </w:r>
      <w:r w:rsidRPr="00BE05BC">
        <w:rPr>
          <w:b/>
          <w:i/>
        </w:rPr>
        <w:t>aving a negative profit margin within the HC</w:t>
      </w:r>
      <w:r w:rsidR="008B3A8F">
        <w:rPr>
          <w:b/>
          <w:i/>
        </w:rPr>
        <w:t>P</w:t>
      </w:r>
      <w:r w:rsidRPr="00BE05BC">
        <w:rPr>
          <w:b/>
          <w:i/>
        </w:rPr>
        <w:t xml:space="preserve"> segment, does not categorically mean that the </w:t>
      </w:r>
      <w:r w:rsidR="00FB5EFA">
        <w:rPr>
          <w:b/>
          <w:i/>
        </w:rPr>
        <w:t>AP</w:t>
      </w:r>
      <w:r w:rsidRPr="00BE05BC">
        <w:rPr>
          <w:b/>
          <w:i/>
        </w:rPr>
        <w:t xml:space="preserve"> will be at risk financially as a result of changes to the payment arrangements. Rather it is likely to be a combination of ongoing negative profits, </w:t>
      </w:r>
      <w:r w:rsidR="008B3A8F">
        <w:rPr>
          <w:b/>
          <w:i/>
        </w:rPr>
        <w:t>insufficient</w:t>
      </w:r>
      <w:r w:rsidRPr="00BE05BC">
        <w:rPr>
          <w:b/>
          <w:i/>
        </w:rPr>
        <w:t xml:space="preserve"> liquidity and lack of working capital or equity underpinning the business</w:t>
      </w:r>
      <w:r>
        <w:rPr>
          <w:b/>
          <w:i/>
        </w:rPr>
        <w:t xml:space="preserve"> that will cause the provider to be vulnerable to any impacts of a change in payment arrangements</w:t>
      </w:r>
      <w:r w:rsidRPr="00BE05BC">
        <w:rPr>
          <w:b/>
          <w:i/>
        </w:rPr>
        <w:t>.</w:t>
      </w:r>
    </w:p>
    <w:p w14:paraId="3CEE1701" w14:textId="14F547F3" w:rsidR="00BE05BC" w:rsidRDefault="00BE05BC" w:rsidP="00701DB9"/>
    <w:p w14:paraId="49EA3ECD" w14:textId="7F2A5FBC" w:rsidR="00BE05BC" w:rsidRDefault="00BE05BC" w:rsidP="00BE05BC">
      <w:r>
        <w:t xml:space="preserve">While the margin overall for </w:t>
      </w:r>
      <w:r w:rsidR="00FB5EFA">
        <w:t>AP</w:t>
      </w:r>
      <w:r>
        <w:t>s with a</w:t>
      </w:r>
      <w:r w:rsidR="007D422F">
        <w:t>n operating</w:t>
      </w:r>
      <w:r>
        <w:t xml:space="preserve"> </w:t>
      </w:r>
      <w:r w:rsidR="007D422F">
        <w:t>loss</w:t>
      </w:r>
      <w:r>
        <w:t xml:space="preserve"> is negative 9.8%, the For-</w:t>
      </w:r>
      <w:r w:rsidR="008B3A8F">
        <w:t>P</w:t>
      </w:r>
      <w:r>
        <w:t>rofit providers have a higher negative margin (</w:t>
      </w:r>
      <w:r w:rsidR="007D422F">
        <w:t>minus</w:t>
      </w:r>
      <w:r>
        <w:t xml:space="preserve"> 21.1%) than the Not-</w:t>
      </w:r>
      <w:r w:rsidR="008B3A8F">
        <w:t>F</w:t>
      </w:r>
      <w:r>
        <w:t>or-</w:t>
      </w:r>
      <w:r w:rsidR="008B3A8F">
        <w:t>P</w:t>
      </w:r>
      <w:r>
        <w:t xml:space="preserve">rofit or Government providers. One reason for this is the significant interest burden carried by the For-profit </w:t>
      </w:r>
      <w:r w:rsidR="00FB5EFA">
        <w:t>p</w:t>
      </w:r>
      <w:r>
        <w:t xml:space="preserve">roviders compared to the other </w:t>
      </w:r>
      <w:r w:rsidR="00FB5EFA">
        <w:t>AP</w:t>
      </w:r>
      <w:r>
        <w:t xml:space="preserve"> cohorts.</w:t>
      </w:r>
    </w:p>
    <w:p w14:paraId="3A781F81" w14:textId="77777777" w:rsidR="00BE05BC" w:rsidRDefault="00BE05BC" w:rsidP="00BE05BC"/>
    <w:p w14:paraId="2D5D7A52" w14:textId="62E7964D" w:rsidR="00BE05BC" w:rsidRDefault="00BE05BC" w:rsidP="00BE05BC">
      <w:r>
        <w:t xml:space="preserve">The total interest burden across the </w:t>
      </w:r>
      <w:r w:rsidR="00004AAA">
        <w:t>71</w:t>
      </w:r>
      <w:r>
        <w:t xml:space="preserve"> For-</w:t>
      </w:r>
      <w:r w:rsidR="008B3A8F">
        <w:t>P</w:t>
      </w:r>
      <w:r>
        <w:t xml:space="preserve">rofit providers </w:t>
      </w:r>
      <w:r w:rsidR="007D422F">
        <w:t xml:space="preserve">who made a loss </w:t>
      </w:r>
      <w:r>
        <w:t>is $4,978,654 which is considerably greater on average than the $1,197,142 in interest costs accumulated by the 203 For-</w:t>
      </w:r>
      <w:r w:rsidR="008B3A8F">
        <w:t>P</w:t>
      </w:r>
      <w:r>
        <w:t>rofit providers who ma</w:t>
      </w:r>
      <w:r w:rsidR="007D422F">
        <w:t>de</w:t>
      </w:r>
      <w:r>
        <w:t xml:space="preserve"> a profit</w:t>
      </w:r>
      <w:r w:rsidR="00004AAA">
        <w:t xml:space="preserve"> (refer </w:t>
      </w:r>
      <w:r w:rsidR="00004AAA" w:rsidRPr="00004AAA">
        <w:rPr>
          <w:i/>
        </w:rPr>
        <w:t>Table 10</w:t>
      </w:r>
      <w:r w:rsidR="00004AAA">
        <w:t>).</w:t>
      </w:r>
    </w:p>
    <w:p w14:paraId="762A6930" w14:textId="77777777" w:rsidR="00BE05BC" w:rsidRDefault="00BE05BC" w:rsidP="00BE05BC"/>
    <w:p w14:paraId="541248A1" w14:textId="4E0846EF" w:rsidR="00BE05BC" w:rsidRDefault="00BE05BC" w:rsidP="00BE05BC">
      <w:r>
        <w:t>Of the total of 2</w:t>
      </w:r>
      <w:r w:rsidR="00004AAA">
        <w:t>48</w:t>
      </w:r>
      <w:r>
        <w:t xml:space="preserve"> For-</w:t>
      </w:r>
      <w:r w:rsidR="008B3A8F">
        <w:t>P</w:t>
      </w:r>
      <w:r>
        <w:t>rofit providers, 91 or 3</w:t>
      </w:r>
      <w:r w:rsidR="00004AAA">
        <w:t>6</w:t>
      </w:r>
      <w:r>
        <w:t>.</w:t>
      </w:r>
      <w:r w:rsidR="00004AAA">
        <w:t>7</w:t>
      </w:r>
      <w:r>
        <w:t xml:space="preserve">% of those </w:t>
      </w:r>
      <w:r w:rsidR="00FB5EFA">
        <w:t>AP</w:t>
      </w:r>
      <w:r>
        <w:t xml:space="preserve">s </w:t>
      </w:r>
      <w:r w:rsidR="00004AAA">
        <w:t>disclosed</w:t>
      </w:r>
      <w:r>
        <w:t xml:space="preserve"> an interest cost which average</w:t>
      </w:r>
      <w:r w:rsidR="00004AAA">
        <w:t>d</w:t>
      </w:r>
      <w:r>
        <w:t xml:space="preserve"> $67,866 per </w:t>
      </w:r>
      <w:r w:rsidR="00FB5EFA">
        <w:t>AP</w:t>
      </w:r>
      <w:r>
        <w:t xml:space="preserve"> of the FY19 year. The average </w:t>
      </w:r>
      <w:r w:rsidR="00004AAA">
        <w:t xml:space="preserve">interest </w:t>
      </w:r>
      <w:r>
        <w:t>burden for those For-</w:t>
      </w:r>
      <w:r w:rsidR="008B3A8F">
        <w:t>P</w:t>
      </w:r>
      <w:r>
        <w:t xml:space="preserve">rofit providers that made a negative NPBT was $237,079 per </w:t>
      </w:r>
      <w:r w:rsidR="00FB5EFA">
        <w:t>AP</w:t>
      </w:r>
      <w:r>
        <w:t xml:space="preserve">. The average for the 70 </w:t>
      </w:r>
      <w:r w:rsidR="00FB5EFA">
        <w:t>AP</w:t>
      </w:r>
      <w:r>
        <w:t xml:space="preserve">s that made a profit was $17,102 per </w:t>
      </w:r>
      <w:r w:rsidR="00FB5EFA">
        <w:t>AP</w:t>
      </w:r>
      <w:r>
        <w:t>.</w:t>
      </w:r>
    </w:p>
    <w:p w14:paraId="20D5ECCD" w14:textId="77777777" w:rsidR="00BE05BC" w:rsidRDefault="00BE05BC" w:rsidP="00701DB9"/>
    <w:p w14:paraId="37DC79D2" w14:textId="123AB3F3" w:rsidR="00245A76" w:rsidRDefault="00245A76" w:rsidP="00245A76">
      <w:pPr>
        <w:pStyle w:val="Caption"/>
        <w:keepNext/>
      </w:pPr>
      <w:r>
        <w:lastRenderedPageBreak/>
        <w:t xml:space="preserve">Table </w:t>
      </w:r>
      <w:fldSimple w:instr=" SEQ Table \* ARABIC ">
        <w:r w:rsidR="00844346">
          <w:rPr>
            <w:noProof/>
          </w:rPr>
          <w:t>10</w:t>
        </w:r>
      </w:fldSimple>
      <w:r>
        <w:t xml:space="preserve">: Analysis of interest costs </w:t>
      </w:r>
      <w:r w:rsidR="005C01ED">
        <w:t xml:space="preserve">comparing </w:t>
      </w:r>
      <w:r>
        <w:t>For-</w:t>
      </w:r>
      <w:r w:rsidR="0032173D">
        <w:t>P</w:t>
      </w:r>
      <w:r>
        <w:t>rofit providers</w:t>
      </w:r>
      <w:r w:rsidR="005C01ED">
        <w:t xml:space="preserve"> and Not-</w:t>
      </w:r>
      <w:r w:rsidR="0032173D">
        <w:t>F</w:t>
      </w:r>
      <w:r w:rsidR="005C01ED">
        <w:t>or-</w:t>
      </w:r>
      <w:r w:rsidR="0032173D">
        <w:t>P</w:t>
      </w:r>
      <w:r w:rsidR="005C01ED">
        <w:t>rofit providers</w:t>
      </w:r>
    </w:p>
    <w:tbl>
      <w:tblPr>
        <w:tblStyle w:val="DefaultTable14"/>
        <w:tblW w:w="0" w:type="auto"/>
        <w:tblCellMar>
          <w:top w:w="28" w:type="dxa"/>
          <w:bottom w:w="28" w:type="dxa"/>
        </w:tblCellMar>
        <w:tblLook w:val="04A0" w:firstRow="1" w:lastRow="0" w:firstColumn="1" w:lastColumn="0" w:noHBand="0" w:noVBand="1"/>
        <w:tblCaption w:val="Table 10: Analysis of interest costs comparing For-Profit providers and Not-For-Profit providers"/>
      </w:tblPr>
      <w:tblGrid>
        <w:gridCol w:w="2335"/>
        <w:gridCol w:w="1502"/>
        <w:gridCol w:w="1503"/>
        <w:gridCol w:w="1537"/>
        <w:gridCol w:w="1272"/>
        <w:gridCol w:w="1479"/>
      </w:tblGrid>
      <w:tr w:rsidR="00004AAA" w:rsidRPr="00004AAA" w14:paraId="4D7DC95D" w14:textId="77777777" w:rsidTr="003636FB">
        <w:trPr>
          <w:cnfStyle w:val="100000000000" w:firstRow="1" w:lastRow="0" w:firstColumn="0" w:lastColumn="0" w:oddVBand="0" w:evenVBand="0" w:oddHBand="0" w:evenHBand="0" w:firstRowFirstColumn="0" w:firstRowLastColumn="0" w:lastRowFirstColumn="0" w:lastRowLastColumn="0"/>
          <w:trHeight w:hRule="exact" w:val="1247"/>
          <w:tblHeader/>
        </w:trPr>
        <w:tc>
          <w:tcPr>
            <w:cnfStyle w:val="001000000000" w:firstRow="0" w:lastRow="0" w:firstColumn="1" w:lastColumn="0" w:oddVBand="0" w:evenVBand="0" w:oddHBand="0" w:evenHBand="0" w:firstRowFirstColumn="0" w:firstRowLastColumn="0" w:lastRowFirstColumn="0" w:lastRowLastColumn="0"/>
            <w:tcW w:w="2335" w:type="dxa"/>
          </w:tcPr>
          <w:p w14:paraId="5836D768" w14:textId="77777777" w:rsidR="00004AAA" w:rsidRPr="00004AAA" w:rsidRDefault="00004AAA" w:rsidP="00004AAA">
            <w:pPr>
              <w:spacing w:before="0" w:after="0"/>
              <w:contextualSpacing/>
            </w:pPr>
          </w:p>
        </w:tc>
        <w:tc>
          <w:tcPr>
            <w:tcW w:w="1502" w:type="dxa"/>
            <w:vAlign w:val="bottom"/>
          </w:tcPr>
          <w:p w14:paraId="4AF298A2" w14:textId="77777777" w:rsidR="00004AAA" w:rsidRPr="00004AAA" w:rsidRDefault="00004AAA" w:rsidP="00004AAA">
            <w:pPr>
              <w:spacing w:before="0" w:after="0"/>
              <w:contextualSpacing/>
              <w:jc w:val="center"/>
              <w:cnfStyle w:val="100000000000" w:firstRow="1" w:lastRow="0" w:firstColumn="0" w:lastColumn="0" w:oddVBand="0" w:evenVBand="0" w:oddHBand="0" w:evenHBand="0" w:firstRowFirstColumn="0" w:firstRowLastColumn="0" w:lastRowFirstColumn="0" w:lastRowLastColumn="0"/>
            </w:pPr>
            <w:r w:rsidRPr="00004AAA">
              <w:t>Total number of Providers</w:t>
            </w:r>
          </w:p>
        </w:tc>
        <w:tc>
          <w:tcPr>
            <w:tcW w:w="1503" w:type="dxa"/>
            <w:vAlign w:val="bottom"/>
          </w:tcPr>
          <w:p w14:paraId="57D64F40" w14:textId="6711F0AC" w:rsidR="00004AAA" w:rsidRPr="00004AAA" w:rsidRDefault="00004AAA" w:rsidP="00004AAA">
            <w:pPr>
              <w:spacing w:before="0" w:after="0"/>
              <w:contextualSpacing/>
              <w:jc w:val="center"/>
              <w:cnfStyle w:val="100000000000" w:firstRow="1" w:lastRow="0" w:firstColumn="0" w:lastColumn="0" w:oddVBand="0" w:evenVBand="0" w:oddHBand="0" w:evenHBand="0" w:firstRowFirstColumn="0" w:firstRowLastColumn="0" w:lastRowFirstColumn="0" w:lastRowLastColumn="0"/>
            </w:pPr>
            <w:r w:rsidRPr="00004AAA">
              <w:t xml:space="preserve">Number of </w:t>
            </w:r>
            <w:r>
              <w:t>P</w:t>
            </w:r>
            <w:r w:rsidRPr="00004AAA">
              <w:t>roviders with interest expense</w:t>
            </w:r>
          </w:p>
        </w:tc>
        <w:tc>
          <w:tcPr>
            <w:tcW w:w="1537" w:type="dxa"/>
            <w:vAlign w:val="bottom"/>
          </w:tcPr>
          <w:p w14:paraId="53AB2044" w14:textId="77777777" w:rsidR="00004AAA" w:rsidRPr="00004AAA" w:rsidRDefault="00004AAA" w:rsidP="00004AAA">
            <w:pPr>
              <w:spacing w:before="0" w:after="0"/>
              <w:contextualSpacing/>
              <w:jc w:val="center"/>
              <w:cnfStyle w:val="100000000000" w:firstRow="1" w:lastRow="0" w:firstColumn="0" w:lastColumn="0" w:oddVBand="0" w:evenVBand="0" w:oddHBand="0" w:evenHBand="0" w:firstRowFirstColumn="0" w:firstRowLastColumn="0" w:lastRowFirstColumn="0" w:lastRowLastColumn="0"/>
              <w:rPr>
                <w:b w:val="0"/>
                <w:bCs w:val="0"/>
              </w:rPr>
            </w:pPr>
            <w:r w:rsidRPr="00004AAA">
              <w:t>Proportion of total</w:t>
            </w:r>
          </w:p>
          <w:p w14:paraId="6701BE9F" w14:textId="77777777" w:rsidR="00004AAA" w:rsidRPr="00004AAA" w:rsidRDefault="00004AAA" w:rsidP="00004AAA">
            <w:pPr>
              <w:spacing w:before="0" w:after="0"/>
              <w:contextualSpacing/>
              <w:jc w:val="center"/>
              <w:cnfStyle w:val="100000000000" w:firstRow="1" w:lastRow="0" w:firstColumn="0" w:lastColumn="0" w:oddVBand="0" w:evenVBand="0" w:oddHBand="0" w:evenHBand="0" w:firstRowFirstColumn="0" w:firstRowLastColumn="0" w:lastRowFirstColumn="0" w:lastRowLastColumn="0"/>
            </w:pPr>
            <w:r w:rsidRPr="00004AAA">
              <w:t>%</w:t>
            </w:r>
          </w:p>
        </w:tc>
        <w:tc>
          <w:tcPr>
            <w:tcW w:w="1272" w:type="dxa"/>
            <w:vAlign w:val="bottom"/>
          </w:tcPr>
          <w:p w14:paraId="48FAC582" w14:textId="77777777" w:rsidR="00004AAA" w:rsidRPr="00004AAA" w:rsidRDefault="00004AAA" w:rsidP="00004AAA">
            <w:pPr>
              <w:contextualSpacing/>
              <w:jc w:val="center"/>
              <w:cnfStyle w:val="100000000000" w:firstRow="1" w:lastRow="0" w:firstColumn="0" w:lastColumn="0" w:oddVBand="0" w:evenVBand="0" w:oddHBand="0" w:evenHBand="0" w:firstRowFirstColumn="0" w:firstRowLastColumn="0" w:lastRowFirstColumn="0" w:lastRowLastColumn="0"/>
              <w:rPr>
                <w:b w:val="0"/>
                <w:bCs w:val="0"/>
              </w:rPr>
            </w:pPr>
            <w:r w:rsidRPr="00004AAA">
              <w:t>Total interest cost</w:t>
            </w:r>
          </w:p>
          <w:p w14:paraId="5777EDB5" w14:textId="77777777" w:rsidR="00004AAA" w:rsidRPr="00004AAA" w:rsidRDefault="00004AAA" w:rsidP="00004AAA">
            <w:pPr>
              <w:contextualSpacing/>
              <w:jc w:val="center"/>
              <w:cnfStyle w:val="100000000000" w:firstRow="1" w:lastRow="0" w:firstColumn="0" w:lastColumn="0" w:oddVBand="0" w:evenVBand="0" w:oddHBand="0" w:evenHBand="0" w:firstRowFirstColumn="0" w:firstRowLastColumn="0" w:lastRowFirstColumn="0" w:lastRowLastColumn="0"/>
              <w:rPr>
                <w:b w:val="0"/>
                <w:bCs w:val="0"/>
              </w:rPr>
            </w:pPr>
            <w:r w:rsidRPr="00004AAA">
              <w:t>$</w:t>
            </w:r>
          </w:p>
        </w:tc>
        <w:tc>
          <w:tcPr>
            <w:tcW w:w="1479" w:type="dxa"/>
            <w:vAlign w:val="bottom"/>
          </w:tcPr>
          <w:p w14:paraId="2EE71EA8" w14:textId="77777777" w:rsidR="00004AAA" w:rsidRPr="00004AAA" w:rsidRDefault="00004AAA" w:rsidP="00004AAA">
            <w:pPr>
              <w:spacing w:before="0" w:after="0"/>
              <w:contextualSpacing/>
              <w:jc w:val="center"/>
              <w:cnfStyle w:val="100000000000" w:firstRow="1" w:lastRow="0" w:firstColumn="0" w:lastColumn="0" w:oddVBand="0" w:evenVBand="0" w:oddHBand="0" w:evenHBand="0" w:firstRowFirstColumn="0" w:firstRowLastColumn="0" w:lastRowFirstColumn="0" w:lastRowLastColumn="0"/>
              <w:rPr>
                <w:b w:val="0"/>
                <w:bCs w:val="0"/>
              </w:rPr>
            </w:pPr>
            <w:r w:rsidRPr="00004AAA">
              <w:t>Average interest cost per applicable</w:t>
            </w:r>
          </w:p>
          <w:p w14:paraId="738FEE11" w14:textId="6FA26C43" w:rsidR="00004AAA" w:rsidRPr="00004AAA" w:rsidRDefault="00004AAA" w:rsidP="00004AAA">
            <w:pPr>
              <w:spacing w:before="0" w:after="0"/>
              <w:contextualSpacing/>
              <w:jc w:val="center"/>
              <w:cnfStyle w:val="100000000000" w:firstRow="1" w:lastRow="0" w:firstColumn="0" w:lastColumn="0" w:oddVBand="0" w:evenVBand="0" w:oddHBand="0" w:evenHBand="0" w:firstRowFirstColumn="0" w:firstRowLastColumn="0" w:lastRowFirstColumn="0" w:lastRowLastColumn="0"/>
              <w:rPr>
                <w:b w:val="0"/>
                <w:bCs w:val="0"/>
              </w:rPr>
            </w:pPr>
            <w:r>
              <w:t>P</w:t>
            </w:r>
            <w:r w:rsidRPr="00004AAA">
              <w:t xml:space="preserve">rovider </w:t>
            </w:r>
          </w:p>
          <w:p w14:paraId="73ACF69D" w14:textId="77777777" w:rsidR="00004AAA" w:rsidRPr="00004AAA" w:rsidRDefault="00004AAA" w:rsidP="00004AAA">
            <w:pPr>
              <w:spacing w:before="0" w:after="0"/>
              <w:contextualSpacing/>
              <w:jc w:val="center"/>
              <w:cnfStyle w:val="100000000000" w:firstRow="1" w:lastRow="0" w:firstColumn="0" w:lastColumn="0" w:oddVBand="0" w:evenVBand="0" w:oddHBand="0" w:evenHBand="0" w:firstRowFirstColumn="0" w:firstRowLastColumn="0" w:lastRowFirstColumn="0" w:lastRowLastColumn="0"/>
              <w:rPr>
                <w:b w:val="0"/>
                <w:bCs w:val="0"/>
              </w:rPr>
            </w:pPr>
            <w:r w:rsidRPr="00004AAA">
              <w:t>$</w:t>
            </w:r>
          </w:p>
        </w:tc>
      </w:tr>
      <w:tr w:rsidR="00004AAA" w:rsidRPr="00004AAA" w14:paraId="6813D5C7" w14:textId="77777777" w:rsidTr="002D6A12">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2335" w:type="dxa"/>
            <w:shd w:val="clear" w:color="auto" w:fill="FFF2CC" w:themeFill="accent4" w:themeFillTint="33"/>
          </w:tcPr>
          <w:p w14:paraId="6DA2D704" w14:textId="77777777" w:rsidR="00004AAA" w:rsidRPr="00004AAA" w:rsidRDefault="00004AAA" w:rsidP="00004AAA">
            <w:pPr>
              <w:spacing w:before="0" w:after="0"/>
              <w:contextualSpacing/>
            </w:pPr>
            <w:r w:rsidRPr="00004AAA">
              <w:t>For-Profit providers</w:t>
            </w:r>
          </w:p>
        </w:tc>
        <w:tc>
          <w:tcPr>
            <w:tcW w:w="1502" w:type="dxa"/>
            <w:shd w:val="clear" w:color="auto" w:fill="FFF2CC" w:themeFill="accent4" w:themeFillTint="33"/>
            <w:vAlign w:val="center"/>
          </w:tcPr>
          <w:p w14:paraId="1B1F9351" w14:textId="77777777" w:rsidR="00004AAA" w:rsidRPr="00004AAA" w:rsidRDefault="00004AAA" w:rsidP="00004AAA">
            <w:pPr>
              <w:spacing w:before="0" w:after="0"/>
              <w:contextualSpacing/>
              <w:jc w:val="center"/>
              <w:cnfStyle w:val="000000100000" w:firstRow="0" w:lastRow="0" w:firstColumn="0" w:lastColumn="0" w:oddVBand="0" w:evenVBand="0" w:oddHBand="1" w:evenHBand="0" w:firstRowFirstColumn="0" w:firstRowLastColumn="0" w:lastRowFirstColumn="0" w:lastRowLastColumn="0"/>
            </w:pPr>
          </w:p>
        </w:tc>
        <w:tc>
          <w:tcPr>
            <w:tcW w:w="1503" w:type="dxa"/>
            <w:shd w:val="clear" w:color="auto" w:fill="FFF2CC" w:themeFill="accent4" w:themeFillTint="33"/>
            <w:vAlign w:val="center"/>
          </w:tcPr>
          <w:p w14:paraId="25633C68" w14:textId="77777777" w:rsidR="00004AAA" w:rsidRPr="00004AAA" w:rsidRDefault="00004AAA" w:rsidP="00004AAA">
            <w:pPr>
              <w:spacing w:before="0" w:after="0"/>
              <w:contextualSpacing/>
              <w:jc w:val="center"/>
              <w:cnfStyle w:val="000000100000" w:firstRow="0" w:lastRow="0" w:firstColumn="0" w:lastColumn="0" w:oddVBand="0" w:evenVBand="0" w:oddHBand="1" w:evenHBand="0" w:firstRowFirstColumn="0" w:firstRowLastColumn="0" w:lastRowFirstColumn="0" w:lastRowLastColumn="0"/>
            </w:pPr>
          </w:p>
        </w:tc>
        <w:tc>
          <w:tcPr>
            <w:tcW w:w="1537" w:type="dxa"/>
            <w:shd w:val="clear" w:color="auto" w:fill="FFF2CC" w:themeFill="accent4" w:themeFillTint="33"/>
            <w:vAlign w:val="center"/>
          </w:tcPr>
          <w:p w14:paraId="6B111B2D" w14:textId="77777777" w:rsidR="00004AAA" w:rsidRPr="00004AAA" w:rsidRDefault="00004AAA" w:rsidP="00004AAA">
            <w:pPr>
              <w:spacing w:before="0" w:after="0"/>
              <w:contextualSpacing/>
              <w:jc w:val="center"/>
              <w:cnfStyle w:val="000000100000" w:firstRow="0" w:lastRow="0" w:firstColumn="0" w:lastColumn="0" w:oddVBand="0" w:evenVBand="0" w:oddHBand="1" w:evenHBand="0" w:firstRowFirstColumn="0" w:firstRowLastColumn="0" w:lastRowFirstColumn="0" w:lastRowLastColumn="0"/>
            </w:pPr>
          </w:p>
        </w:tc>
        <w:tc>
          <w:tcPr>
            <w:tcW w:w="1272" w:type="dxa"/>
            <w:shd w:val="clear" w:color="auto" w:fill="FFF2CC" w:themeFill="accent4" w:themeFillTint="33"/>
          </w:tcPr>
          <w:p w14:paraId="0A4C6C6F" w14:textId="77777777" w:rsidR="00004AAA" w:rsidRPr="00004AAA" w:rsidRDefault="00004AAA" w:rsidP="00004AAA">
            <w:pPr>
              <w:contextualSpacing/>
              <w:jc w:val="center"/>
              <w:cnfStyle w:val="000000100000" w:firstRow="0" w:lastRow="0" w:firstColumn="0" w:lastColumn="0" w:oddVBand="0" w:evenVBand="0" w:oddHBand="1" w:evenHBand="0" w:firstRowFirstColumn="0" w:firstRowLastColumn="0" w:lastRowFirstColumn="0" w:lastRowLastColumn="0"/>
            </w:pPr>
          </w:p>
        </w:tc>
        <w:tc>
          <w:tcPr>
            <w:tcW w:w="1479" w:type="dxa"/>
            <w:shd w:val="clear" w:color="auto" w:fill="FFF2CC" w:themeFill="accent4" w:themeFillTint="33"/>
            <w:vAlign w:val="center"/>
          </w:tcPr>
          <w:p w14:paraId="30E8A522" w14:textId="77777777" w:rsidR="00004AAA" w:rsidRPr="00004AAA" w:rsidRDefault="00004AAA" w:rsidP="00004AAA">
            <w:pPr>
              <w:spacing w:before="0" w:after="0"/>
              <w:contextualSpacing/>
              <w:jc w:val="center"/>
              <w:cnfStyle w:val="000000100000" w:firstRow="0" w:lastRow="0" w:firstColumn="0" w:lastColumn="0" w:oddVBand="0" w:evenVBand="0" w:oddHBand="1" w:evenHBand="0" w:firstRowFirstColumn="0" w:firstRowLastColumn="0" w:lastRowFirstColumn="0" w:lastRowLastColumn="0"/>
            </w:pPr>
          </w:p>
        </w:tc>
      </w:tr>
      <w:tr w:rsidR="00004AAA" w:rsidRPr="00004AAA" w14:paraId="7C380630" w14:textId="77777777" w:rsidTr="002D6A12">
        <w:trPr>
          <w:cnfStyle w:val="000000010000" w:firstRow="0" w:lastRow="0" w:firstColumn="0" w:lastColumn="0" w:oddVBand="0" w:evenVBand="0" w:oddHBand="0" w:evenHBand="1"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2335" w:type="dxa"/>
            <w:vAlign w:val="center"/>
          </w:tcPr>
          <w:p w14:paraId="5BFD179F" w14:textId="77777777" w:rsidR="00004AAA" w:rsidRPr="00004AAA" w:rsidRDefault="00004AAA" w:rsidP="00004AAA">
            <w:pPr>
              <w:spacing w:before="0" w:after="0"/>
              <w:ind w:left="22" w:firstLine="142"/>
              <w:contextualSpacing/>
              <w:jc w:val="left"/>
              <w:rPr>
                <w:b w:val="0"/>
              </w:rPr>
            </w:pPr>
            <w:r w:rsidRPr="00004AAA">
              <w:rPr>
                <w:b w:val="0"/>
              </w:rPr>
              <w:t>NPBT &gt; $0</w:t>
            </w:r>
          </w:p>
        </w:tc>
        <w:tc>
          <w:tcPr>
            <w:tcW w:w="1502" w:type="dxa"/>
            <w:shd w:val="clear" w:color="auto" w:fill="auto"/>
            <w:vAlign w:val="center"/>
          </w:tcPr>
          <w:p w14:paraId="178010EC" w14:textId="77777777" w:rsidR="00004AAA" w:rsidRPr="00004AAA" w:rsidRDefault="00004AAA" w:rsidP="00004AAA">
            <w:pPr>
              <w:spacing w:before="0" w:after="0"/>
              <w:contextualSpacing/>
              <w:jc w:val="center"/>
              <w:cnfStyle w:val="000000010000" w:firstRow="0" w:lastRow="0" w:firstColumn="0" w:lastColumn="0" w:oddVBand="0" w:evenVBand="0" w:oddHBand="0" w:evenHBand="1" w:firstRowFirstColumn="0" w:firstRowLastColumn="0" w:lastRowFirstColumn="0" w:lastRowLastColumn="0"/>
            </w:pPr>
            <w:r w:rsidRPr="00004AAA">
              <w:t>177</w:t>
            </w:r>
          </w:p>
        </w:tc>
        <w:tc>
          <w:tcPr>
            <w:tcW w:w="1503" w:type="dxa"/>
            <w:shd w:val="clear" w:color="auto" w:fill="auto"/>
            <w:vAlign w:val="center"/>
          </w:tcPr>
          <w:p w14:paraId="2715DF44" w14:textId="77777777" w:rsidR="00004AAA" w:rsidRPr="00004AAA" w:rsidRDefault="00004AAA" w:rsidP="00004AAA">
            <w:pPr>
              <w:spacing w:before="0" w:after="0"/>
              <w:contextualSpacing/>
              <w:jc w:val="center"/>
              <w:cnfStyle w:val="000000010000" w:firstRow="0" w:lastRow="0" w:firstColumn="0" w:lastColumn="0" w:oddVBand="0" w:evenVBand="0" w:oddHBand="0" w:evenHBand="1" w:firstRowFirstColumn="0" w:firstRowLastColumn="0" w:lastRowFirstColumn="0" w:lastRowLastColumn="0"/>
            </w:pPr>
            <w:r w:rsidRPr="00004AAA">
              <w:t>70</w:t>
            </w:r>
          </w:p>
        </w:tc>
        <w:tc>
          <w:tcPr>
            <w:tcW w:w="1537" w:type="dxa"/>
            <w:shd w:val="clear" w:color="auto" w:fill="auto"/>
            <w:vAlign w:val="center"/>
          </w:tcPr>
          <w:p w14:paraId="0D22E9A8" w14:textId="77777777" w:rsidR="00004AAA" w:rsidRPr="00004AAA" w:rsidRDefault="00004AAA" w:rsidP="00004AAA">
            <w:pPr>
              <w:spacing w:before="0" w:after="0"/>
              <w:contextualSpacing/>
              <w:jc w:val="center"/>
              <w:cnfStyle w:val="000000010000" w:firstRow="0" w:lastRow="0" w:firstColumn="0" w:lastColumn="0" w:oddVBand="0" w:evenVBand="0" w:oddHBand="0" w:evenHBand="1" w:firstRowFirstColumn="0" w:firstRowLastColumn="0" w:lastRowFirstColumn="0" w:lastRowLastColumn="0"/>
              <w:rPr>
                <w:i/>
              </w:rPr>
            </w:pPr>
            <w:r w:rsidRPr="00004AAA">
              <w:rPr>
                <w:i/>
              </w:rPr>
              <w:t>39.5%</w:t>
            </w:r>
          </w:p>
        </w:tc>
        <w:tc>
          <w:tcPr>
            <w:tcW w:w="1272" w:type="dxa"/>
            <w:shd w:val="clear" w:color="auto" w:fill="auto"/>
            <w:vAlign w:val="center"/>
          </w:tcPr>
          <w:p w14:paraId="0F6A7D1E" w14:textId="77777777" w:rsidR="00004AAA" w:rsidRPr="00004AAA" w:rsidRDefault="00004AAA" w:rsidP="00004AAA">
            <w:pPr>
              <w:contextualSpacing/>
              <w:jc w:val="right"/>
              <w:cnfStyle w:val="000000010000" w:firstRow="0" w:lastRow="0" w:firstColumn="0" w:lastColumn="0" w:oddVBand="0" w:evenVBand="0" w:oddHBand="0" w:evenHBand="1" w:firstRowFirstColumn="0" w:firstRowLastColumn="0" w:lastRowFirstColumn="0" w:lastRowLastColumn="0"/>
            </w:pPr>
            <w:r w:rsidRPr="00004AAA">
              <w:t>1,197,142</w:t>
            </w:r>
          </w:p>
        </w:tc>
        <w:tc>
          <w:tcPr>
            <w:tcW w:w="1479" w:type="dxa"/>
            <w:shd w:val="clear" w:color="auto" w:fill="auto"/>
            <w:vAlign w:val="center"/>
          </w:tcPr>
          <w:p w14:paraId="034EAC63" w14:textId="77777777" w:rsidR="00004AAA" w:rsidRPr="00004AAA" w:rsidRDefault="00004AAA" w:rsidP="00004AAA">
            <w:pPr>
              <w:spacing w:before="0" w:after="0"/>
              <w:contextualSpacing/>
              <w:jc w:val="right"/>
              <w:cnfStyle w:val="000000010000" w:firstRow="0" w:lastRow="0" w:firstColumn="0" w:lastColumn="0" w:oddVBand="0" w:evenVBand="0" w:oddHBand="0" w:evenHBand="1" w:firstRowFirstColumn="0" w:firstRowLastColumn="0" w:lastRowFirstColumn="0" w:lastRowLastColumn="0"/>
            </w:pPr>
            <w:r w:rsidRPr="00004AAA">
              <w:t>17,102</w:t>
            </w:r>
          </w:p>
        </w:tc>
      </w:tr>
      <w:tr w:rsidR="00004AAA" w:rsidRPr="00004AAA" w14:paraId="1DA23FFC" w14:textId="77777777" w:rsidTr="002D6A12">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2335" w:type="dxa"/>
            <w:vAlign w:val="center"/>
          </w:tcPr>
          <w:p w14:paraId="0C52506F" w14:textId="77777777" w:rsidR="00004AAA" w:rsidRPr="00004AAA" w:rsidRDefault="00004AAA" w:rsidP="00004AAA">
            <w:pPr>
              <w:spacing w:before="0" w:after="0"/>
              <w:ind w:left="22" w:firstLine="142"/>
              <w:contextualSpacing/>
              <w:jc w:val="left"/>
              <w:rPr>
                <w:b w:val="0"/>
              </w:rPr>
            </w:pPr>
            <w:r w:rsidRPr="00004AAA">
              <w:rPr>
                <w:b w:val="0"/>
              </w:rPr>
              <w:t>NPBT &lt; $0</w:t>
            </w:r>
          </w:p>
        </w:tc>
        <w:tc>
          <w:tcPr>
            <w:tcW w:w="1502" w:type="dxa"/>
            <w:shd w:val="clear" w:color="auto" w:fill="auto"/>
            <w:vAlign w:val="center"/>
          </w:tcPr>
          <w:p w14:paraId="4CE47995" w14:textId="77777777" w:rsidR="00004AAA" w:rsidRPr="00004AAA" w:rsidRDefault="00004AAA" w:rsidP="00004AAA">
            <w:pPr>
              <w:spacing w:before="0" w:after="0"/>
              <w:contextualSpacing/>
              <w:jc w:val="center"/>
              <w:cnfStyle w:val="000000100000" w:firstRow="0" w:lastRow="0" w:firstColumn="0" w:lastColumn="0" w:oddVBand="0" w:evenVBand="0" w:oddHBand="1" w:evenHBand="0" w:firstRowFirstColumn="0" w:firstRowLastColumn="0" w:lastRowFirstColumn="0" w:lastRowLastColumn="0"/>
            </w:pPr>
            <w:r w:rsidRPr="00004AAA">
              <w:t>71</w:t>
            </w:r>
          </w:p>
        </w:tc>
        <w:tc>
          <w:tcPr>
            <w:tcW w:w="1503" w:type="dxa"/>
            <w:shd w:val="clear" w:color="auto" w:fill="auto"/>
            <w:vAlign w:val="center"/>
          </w:tcPr>
          <w:p w14:paraId="74191900" w14:textId="77777777" w:rsidR="00004AAA" w:rsidRPr="00004AAA" w:rsidRDefault="00004AAA" w:rsidP="00004AAA">
            <w:pPr>
              <w:spacing w:before="0" w:after="0"/>
              <w:contextualSpacing/>
              <w:jc w:val="center"/>
              <w:cnfStyle w:val="000000100000" w:firstRow="0" w:lastRow="0" w:firstColumn="0" w:lastColumn="0" w:oddVBand="0" w:evenVBand="0" w:oddHBand="1" w:evenHBand="0" w:firstRowFirstColumn="0" w:firstRowLastColumn="0" w:lastRowFirstColumn="0" w:lastRowLastColumn="0"/>
            </w:pPr>
            <w:r w:rsidRPr="00004AAA">
              <w:t>21</w:t>
            </w:r>
          </w:p>
        </w:tc>
        <w:tc>
          <w:tcPr>
            <w:tcW w:w="1537" w:type="dxa"/>
            <w:shd w:val="clear" w:color="auto" w:fill="auto"/>
            <w:vAlign w:val="center"/>
          </w:tcPr>
          <w:p w14:paraId="01E106F8" w14:textId="77777777" w:rsidR="00004AAA" w:rsidRPr="00004AAA" w:rsidRDefault="00004AAA" w:rsidP="00004AAA">
            <w:pPr>
              <w:spacing w:before="0" w:after="0"/>
              <w:contextualSpacing/>
              <w:jc w:val="center"/>
              <w:cnfStyle w:val="000000100000" w:firstRow="0" w:lastRow="0" w:firstColumn="0" w:lastColumn="0" w:oddVBand="0" w:evenVBand="0" w:oddHBand="1" w:evenHBand="0" w:firstRowFirstColumn="0" w:firstRowLastColumn="0" w:lastRowFirstColumn="0" w:lastRowLastColumn="0"/>
              <w:rPr>
                <w:i/>
              </w:rPr>
            </w:pPr>
            <w:r w:rsidRPr="00004AAA">
              <w:rPr>
                <w:i/>
              </w:rPr>
              <w:t>29.6%</w:t>
            </w:r>
          </w:p>
        </w:tc>
        <w:tc>
          <w:tcPr>
            <w:tcW w:w="1272" w:type="dxa"/>
            <w:shd w:val="clear" w:color="auto" w:fill="auto"/>
            <w:vAlign w:val="center"/>
          </w:tcPr>
          <w:p w14:paraId="30D51636" w14:textId="77777777" w:rsidR="00004AAA" w:rsidRPr="00004AAA" w:rsidRDefault="00004AAA" w:rsidP="00004AAA">
            <w:pPr>
              <w:contextualSpacing/>
              <w:jc w:val="right"/>
              <w:cnfStyle w:val="000000100000" w:firstRow="0" w:lastRow="0" w:firstColumn="0" w:lastColumn="0" w:oddVBand="0" w:evenVBand="0" w:oddHBand="1" w:evenHBand="0" w:firstRowFirstColumn="0" w:firstRowLastColumn="0" w:lastRowFirstColumn="0" w:lastRowLastColumn="0"/>
            </w:pPr>
            <w:r w:rsidRPr="00004AAA">
              <w:t>4,978,654</w:t>
            </w:r>
          </w:p>
        </w:tc>
        <w:tc>
          <w:tcPr>
            <w:tcW w:w="1479" w:type="dxa"/>
            <w:shd w:val="clear" w:color="auto" w:fill="auto"/>
            <w:vAlign w:val="center"/>
          </w:tcPr>
          <w:p w14:paraId="79C1DF59" w14:textId="77777777" w:rsidR="00004AAA" w:rsidRPr="00004AAA" w:rsidRDefault="00004AAA" w:rsidP="00004AAA">
            <w:pPr>
              <w:spacing w:before="0" w:after="0"/>
              <w:contextualSpacing/>
              <w:jc w:val="right"/>
              <w:cnfStyle w:val="000000100000" w:firstRow="0" w:lastRow="0" w:firstColumn="0" w:lastColumn="0" w:oddVBand="0" w:evenVBand="0" w:oddHBand="1" w:evenHBand="0" w:firstRowFirstColumn="0" w:firstRowLastColumn="0" w:lastRowFirstColumn="0" w:lastRowLastColumn="0"/>
            </w:pPr>
            <w:r w:rsidRPr="00004AAA">
              <w:t>237,079</w:t>
            </w:r>
          </w:p>
        </w:tc>
      </w:tr>
      <w:tr w:rsidR="00004AAA" w:rsidRPr="00004AAA" w14:paraId="7B7978B1" w14:textId="77777777" w:rsidTr="002D6A12">
        <w:trPr>
          <w:cnfStyle w:val="000000010000" w:firstRow="0" w:lastRow="0" w:firstColumn="0" w:lastColumn="0" w:oddVBand="0" w:evenVBand="0" w:oddHBand="0" w:evenHBand="1"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2335" w:type="dxa"/>
            <w:vAlign w:val="center"/>
          </w:tcPr>
          <w:p w14:paraId="747D7AB0" w14:textId="77777777" w:rsidR="00004AAA" w:rsidRPr="00004AAA" w:rsidRDefault="00004AAA" w:rsidP="00004AAA">
            <w:pPr>
              <w:spacing w:before="0" w:after="0"/>
              <w:contextualSpacing/>
              <w:jc w:val="left"/>
              <w:rPr>
                <w:i/>
              </w:rPr>
            </w:pPr>
            <w:r w:rsidRPr="00004AAA">
              <w:rPr>
                <w:i/>
              </w:rPr>
              <w:t>Total</w:t>
            </w:r>
          </w:p>
        </w:tc>
        <w:tc>
          <w:tcPr>
            <w:tcW w:w="1502" w:type="dxa"/>
            <w:shd w:val="clear" w:color="auto" w:fill="D9E2F3" w:themeFill="accent5" w:themeFillTint="33"/>
            <w:vAlign w:val="center"/>
          </w:tcPr>
          <w:p w14:paraId="0CD8B178" w14:textId="77777777" w:rsidR="00004AAA" w:rsidRPr="00004AAA" w:rsidRDefault="00004AAA" w:rsidP="00004AAA">
            <w:pPr>
              <w:spacing w:before="0" w:after="0"/>
              <w:contextualSpacing/>
              <w:jc w:val="center"/>
              <w:cnfStyle w:val="000000010000" w:firstRow="0" w:lastRow="0" w:firstColumn="0" w:lastColumn="0" w:oddVBand="0" w:evenVBand="0" w:oddHBand="0" w:evenHBand="1" w:firstRowFirstColumn="0" w:firstRowLastColumn="0" w:lastRowFirstColumn="0" w:lastRowLastColumn="0"/>
              <w:rPr>
                <w:b/>
              </w:rPr>
            </w:pPr>
            <w:r w:rsidRPr="00004AAA">
              <w:rPr>
                <w:b/>
              </w:rPr>
              <w:t>248</w:t>
            </w:r>
          </w:p>
        </w:tc>
        <w:tc>
          <w:tcPr>
            <w:tcW w:w="1503" w:type="dxa"/>
            <w:shd w:val="clear" w:color="auto" w:fill="D9E2F3" w:themeFill="accent5" w:themeFillTint="33"/>
            <w:vAlign w:val="center"/>
          </w:tcPr>
          <w:p w14:paraId="701D0210" w14:textId="77777777" w:rsidR="00004AAA" w:rsidRPr="00004AAA" w:rsidRDefault="00004AAA" w:rsidP="00004AAA">
            <w:pPr>
              <w:spacing w:before="0" w:after="0"/>
              <w:contextualSpacing/>
              <w:jc w:val="center"/>
              <w:cnfStyle w:val="000000010000" w:firstRow="0" w:lastRow="0" w:firstColumn="0" w:lastColumn="0" w:oddVBand="0" w:evenVBand="0" w:oddHBand="0" w:evenHBand="1" w:firstRowFirstColumn="0" w:firstRowLastColumn="0" w:lastRowFirstColumn="0" w:lastRowLastColumn="0"/>
              <w:rPr>
                <w:b/>
              </w:rPr>
            </w:pPr>
            <w:r w:rsidRPr="00004AAA">
              <w:rPr>
                <w:b/>
              </w:rPr>
              <w:t>91</w:t>
            </w:r>
          </w:p>
        </w:tc>
        <w:tc>
          <w:tcPr>
            <w:tcW w:w="1537" w:type="dxa"/>
            <w:shd w:val="clear" w:color="auto" w:fill="D9E2F3" w:themeFill="accent5" w:themeFillTint="33"/>
            <w:vAlign w:val="center"/>
          </w:tcPr>
          <w:p w14:paraId="23E505DE" w14:textId="77777777" w:rsidR="00004AAA" w:rsidRPr="00004AAA" w:rsidRDefault="00004AAA" w:rsidP="00004AAA">
            <w:pPr>
              <w:spacing w:before="0" w:after="0"/>
              <w:contextualSpacing/>
              <w:jc w:val="center"/>
              <w:cnfStyle w:val="000000010000" w:firstRow="0" w:lastRow="0" w:firstColumn="0" w:lastColumn="0" w:oddVBand="0" w:evenVBand="0" w:oddHBand="0" w:evenHBand="1" w:firstRowFirstColumn="0" w:firstRowLastColumn="0" w:lastRowFirstColumn="0" w:lastRowLastColumn="0"/>
              <w:rPr>
                <w:b/>
                <w:i/>
              </w:rPr>
            </w:pPr>
            <w:r w:rsidRPr="00004AAA">
              <w:rPr>
                <w:b/>
                <w:i/>
              </w:rPr>
              <w:t>36.7%</w:t>
            </w:r>
          </w:p>
        </w:tc>
        <w:tc>
          <w:tcPr>
            <w:tcW w:w="1272" w:type="dxa"/>
            <w:shd w:val="clear" w:color="auto" w:fill="D9E2F3" w:themeFill="accent5" w:themeFillTint="33"/>
            <w:vAlign w:val="center"/>
          </w:tcPr>
          <w:p w14:paraId="241ED869" w14:textId="77777777" w:rsidR="00004AAA" w:rsidRPr="00004AAA" w:rsidRDefault="00004AAA" w:rsidP="00004AAA">
            <w:pPr>
              <w:contextualSpacing/>
              <w:jc w:val="right"/>
              <w:cnfStyle w:val="000000010000" w:firstRow="0" w:lastRow="0" w:firstColumn="0" w:lastColumn="0" w:oddVBand="0" w:evenVBand="0" w:oddHBand="0" w:evenHBand="1" w:firstRowFirstColumn="0" w:firstRowLastColumn="0" w:lastRowFirstColumn="0" w:lastRowLastColumn="0"/>
              <w:rPr>
                <w:b/>
              </w:rPr>
            </w:pPr>
            <w:r w:rsidRPr="00004AAA">
              <w:rPr>
                <w:b/>
              </w:rPr>
              <w:t>$ 6,175,796</w:t>
            </w:r>
          </w:p>
        </w:tc>
        <w:tc>
          <w:tcPr>
            <w:tcW w:w="1479" w:type="dxa"/>
            <w:shd w:val="clear" w:color="auto" w:fill="D9E2F3" w:themeFill="accent5" w:themeFillTint="33"/>
            <w:vAlign w:val="center"/>
          </w:tcPr>
          <w:p w14:paraId="4E6107EA" w14:textId="77777777" w:rsidR="00004AAA" w:rsidRPr="00004AAA" w:rsidRDefault="00004AAA" w:rsidP="00004AAA">
            <w:pPr>
              <w:spacing w:before="0" w:after="0"/>
              <w:contextualSpacing/>
              <w:jc w:val="right"/>
              <w:cnfStyle w:val="000000010000" w:firstRow="0" w:lastRow="0" w:firstColumn="0" w:lastColumn="0" w:oddVBand="0" w:evenVBand="0" w:oddHBand="0" w:evenHBand="1" w:firstRowFirstColumn="0" w:firstRowLastColumn="0" w:lastRowFirstColumn="0" w:lastRowLastColumn="0"/>
              <w:rPr>
                <w:b/>
              </w:rPr>
            </w:pPr>
            <w:r w:rsidRPr="00004AAA">
              <w:rPr>
                <w:b/>
              </w:rPr>
              <w:t>$ 67,866</w:t>
            </w:r>
          </w:p>
        </w:tc>
      </w:tr>
      <w:tr w:rsidR="00004AAA" w:rsidRPr="00004AAA" w14:paraId="404C0BBF" w14:textId="77777777" w:rsidTr="002D6A12">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2335" w:type="dxa"/>
            <w:shd w:val="clear" w:color="auto" w:fill="FFF2CC" w:themeFill="accent4" w:themeFillTint="33"/>
            <w:vAlign w:val="center"/>
          </w:tcPr>
          <w:p w14:paraId="7E181296" w14:textId="77777777" w:rsidR="00004AAA" w:rsidRPr="00004AAA" w:rsidRDefault="00004AAA" w:rsidP="00004AAA">
            <w:pPr>
              <w:contextualSpacing/>
              <w:jc w:val="left"/>
            </w:pPr>
            <w:r w:rsidRPr="00004AAA">
              <w:t>Not-For-Profit providers</w:t>
            </w:r>
          </w:p>
        </w:tc>
        <w:tc>
          <w:tcPr>
            <w:tcW w:w="1502" w:type="dxa"/>
            <w:shd w:val="clear" w:color="auto" w:fill="FFF2CC" w:themeFill="accent4" w:themeFillTint="33"/>
            <w:vAlign w:val="center"/>
          </w:tcPr>
          <w:p w14:paraId="7C8E0118" w14:textId="77777777" w:rsidR="00004AAA" w:rsidRPr="00004AAA" w:rsidRDefault="00004AAA" w:rsidP="00004AAA">
            <w:pPr>
              <w:contextualSpacing/>
              <w:jc w:val="center"/>
              <w:cnfStyle w:val="000000100000" w:firstRow="0" w:lastRow="0" w:firstColumn="0" w:lastColumn="0" w:oddVBand="0" w:evenVBand="0" w:oddHBand="1" w:evenHBand="0" w:firstRowFirstColumn="0" w:firstRowLastColumn="0" w:lastRowFirstColumn="0" w:lastRowLastColumn="0"/>
              <w:rPr>
                <w:b/>
              </w:rPr>
            </w:pPr>
          </w:p>
        </w:tc>
        <w:tc>
          <w:tcPr>
            <w:tcW w:w="1503" w:type="dxa"/>
            <w:shd w:val="clear" w:color="auto" w:fill="FFF2CC" w:themeFill="accent4" w:themeFillTint="33"/>
            <w:vAlign w:val="center"/>
          </w:tcPr>
          <w:p w14:paraId="6ECCF89E" w14:textId="77777777" w:rsidR="00004AAA" w:rsidRPr="00004AAA" w:rsidRDefault="00004AAA" w:rsidP="00004AAA">
            <w:pPr>
              <w:contextualSpacing/>
              <w:jc w:val="center"/>
              <w:cnfStyle w:val="000000100000" w:firstRow="0" w:lastRow="0" w:firstColumn="0" w:lastColumn="0" w:oddVBand="0" w:evenVBand="0" w:oddHBand="1" w:evenHBand="0" w:firstRowFirstColumn="0" w:firstRowLastColumn="0" w:lastRowFirstColumn="0" w:lastRowLastColumn="0"/>
              <w:rPr>
                <w:b/>
              </w:rPr>
            </w:pPr>
          </w:p>
        </w:tc>
        <w:tc>
          <w:tcPr>
            <w:tcW w:w="1537" w:type="dxa"/>
            <w:shd w:val="clear" w:color="auto" w:fill="FFF2CC" w:themeFill="accent4" w:themeFillTint="33"/>
            <w:vAlign w:val="center"/>
          </w:tcPr>
          <w:p w14:paraId="486AABD3" w14:textId="77777777" w:rsidR="00004AAA" w:rsidRPr="00004AAA" w:rsidRDefault="00004AAA" w:rsidP="00004AAA">
            <w:pPr>
              <w:contextualSpacing/>
              <w:jc w:val="center"/>
              <w:cnfStyle w:val="000000100000" w:firstRow="0" w:lastRow="0" w:firstColumn="0" w:lastColumn="0" w:oddVBand="0" w:evenVBand="0" w:oddHBand="1" w:evenHBand="0" w:firstRowFirstColumn="0" w:firstRowLastColumn="0" w:lastRowFirstColumn="0" w:lastRowLastColumn="0"/>
              <w:rPr>
                <w:b/>
                <w:i/>
              </w:rPr>
            </w:pPr>
          </w:p>
        </w:tc>
        <w:tc>
          <w:tcPr>
            <w:tcW w:w="1272" w:type="dxa"/>
            <w:shd w:val="clear" w:color="auto" w:fill="FFF2CC" w:themeFill="accent4" w:themeFillTint="33"/>
            <w:vAlign w:val="center"/>
          </w:tcPr>
          <w:p w14:paraId="3F4EA32E" w14:textId="77777777" w:rsidR="00004AAA" w:rsidRPr="00004AAA" w:rsidRDefault="00004AAA" w:rsidP="00004AAA">
            <w:pPr>
              <w:contextualSpacing/>
              <w:jc w:val="right"/>
              <w:cnfStyle w:val="000000100000" w:firstRow="0" w:lastRow="0" w:firstColumn="0" w:lastColumn="0" w:oddVBand="0" w:evenVBand="0" w:oddHBand="1" w:evenHBand="0" w:firstRowFirstColumn="0" w:firstRowLastColumn="0" w:lastRowFirstColumn="0" w:lastRowLastColumn="0"/>
              <w:rPr>
                <w:b/>
              </w:rPr>
            </w:pPr>
          </w:p>
        </w:tc>
        <w:tc>
          <w:tcPr>
            <w:tcW w:w="1479" w:type="dxa"/>
            <w:shd w:val="clear" w:color="auto" w:fill="FFF2CC" w:themeFill="accent4" w:themeFillTint="33"/>
            <w:vAlign w:val="center"/>
          </w:tcPr>
          <w:p w14:paraId="46D6FA45" w14:textId="77777777" w:rsidR="00004AAA" w:rsidRPr="00004AAA" w:rsidRDefault="00004AAA" w:rsidP="00004AAA">
            <w:pPr>
              <w:contextualSpacing/>
              <w:jc w:val="right"/>
              <w:cnfStyle w:val="000000100000" w:firstRow="0" w:lastRow="0" w:firstColumn="0" w:lastColumn="0" w:oddVBand="0" w:evenVBand="0" w:oddHBand="1" w:evenHBand="0" w:firstRowFirstColumn="0" w:firstRowLastColumn="0" w:lastRowFirstColumn="0" w:lastRowLastColumn="0"/>
              <w:rPr>
                <w:b/>
              </w:rPr>
            </w:pPr>
          </w:p>
        </w:tc>
      </w:tr>
      <w:tr w:rsidR="00004AAA" w:rsidRPr="00004AAA" w14:paraId="50E457D8" w14:textId="77777777" w:rsidTr="002D6A12">
        <w:trPr>
          <w:cnfStyle w:val="000000010000" w:firstRow="0" w:lastRow="0" w:firstColumn="0" w:lastColumn="0" w:oddVBand="0" w:evenVBand="0" w:oddHBand="0" w:evenHBand="1"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2335" w:type="dxa"/>
            <w:vAlign w:val="center"/>
          </w:tcPr>
          <w:p w14:paraId="406B80B1" w14:textId="77777777" w:rsidR="00004AAA" w:rsidRPr="00004AAA" w:rsidRDefault="00004AAA" w:rsidP="00004AAA">
            <w:pPr>
              <w:ind w:left="164"/>
              <w:contextualSpacing/>
              <w:jc w:val="left"/>
              <w:rPr>
                <w:b w:val="0"/>
              </w:rPr>
            </w:pPr>
            <w:r w:rsidRPr="00004AAA">
              <w:rPr>
                <w:b w:val="0"/>
              </w:rPr>
              <w:t>NPBT &gt; $0</w:t>
            </w:r>
          </w:p>
        </w:tc>
        <w:tc>
          <w:tcPr>
            <w:tcW w:w="1502" w:type="dxa"/>
            <w:shd w:val="clear" w:color="auto" w:fill="auto"/>
            <w:vAlign w:val="center"/>
          </w:tcPr>
          <w:p w14:paraId="7734EC20" w14:textId="77777777" w:rsidR="00004AAA" w:rsidRPr="00004AAA" w:rsidRDefault="00004AAA" w:rsidP="00004AAA">
            <w:pPr>
              <w:contextualSpacing/>
              <w:jc w:val="center"/>
              <w:cnfStyle w:val="000000010000" w:firstRow="0" w:lastRow="0" w:firstColumn="0" w:lastColumn="0" w:oddVBand="0" w:evenVBand="0" w:oddHBand="0" w:evenHBand="1" w:firstRowFirstColumn="0" w:firstRowLastColumn="0" w:lastRowFirstColumn="0" w:lastRowLastColumn="0"/>
            </w:pPr>
            <w:r w:rsidRPr="00004AAA">
              <w:t>281</w:t>
            </w:r>
          </w:p>
        </w:tc>
        <w:tc>
          <w:tcPr>
            <w:tcW w:w="1503" w:type="dxa"/>
            <w:shd w:val="clear" w:color="auto" w:fill="auto"/>
            <w:vAlign w:val="center"/>
          </w:tcPr>
          <w:p w14:paraId="4453820F" w14:textId="77777777" w:rsidR="00004AAA" w:rsidRPr="00004AAA" w:rsidRDefault="00004AAA" w:rsidP="00004AAA">
            <w:pPr>
              <w:contextualSpacing/>
              <w:jc w:val="center"/>
              <w:cnfStyle w:val="000000010000" w:firstRow="0" w:lastRow="0" w:firstColumn="0" w:lastColumn="0" w:oddVBand="0" w:evenVBand="0" w:oddHBand="0" w:evenHBand="1" w:firstRowFirstColumn="0" w:firstRowLastColumn="0" w:lastRowFirstColumn="0" w:lastRowLastColumn="0"/>
            </w:pPr>
            <w:r w:rsidRPr="00004AAA">
              <w:t>14</w:t>
            </w:r>
          </w:p>
        </w:tc>
        <w:tc>
          <w:tcPr>
            <w:tcW w:w="1537" w:type="dxa"/>
            <w:shd w:val="clear" w:color="auto" w:fill="auto"/>
            <w:vAlign w:val="center"/>
          </w:tcPr>
          <w:p w14:paraId="52B14BCB" w14:textId="77777777" w:rsidR="00004AAA" w:rsidRPr="00004AAA" w:rsidRDefault="00004AAA" w:rsidP="00004AAA">
            <w:pPr>
              <w:contextualSpacing/>
              <w:jc w:val="center"/>
              <w:cnfStyle w:val="000000010000" w:firstRow="0" w:lastRow="0" w:firstColumn="0" w:lastColumn="0" w:oddVBand="0" w:evenVBand="0" w:oddHBand="0" w:evenHBand="1" w:firstRowFirstColumn="0" w:firstRowLastColumn="0" w:lastRowFirstColumn="0" w:lastRowLastColumn="0"/>
              <w:rPr>
                <w:i/>
              </w:rPr>
            </w:pPr>
            <w:r w:rsidRPr="00004AAA">
              <w:rPr>
                <w:i/>
              </w:rPr>
              <w:t>5.0%</w:t>
            </w:r>
          </w:p>
        </w:tc>
        <w:tc>
          <w:tcPr>
            <w:tcW w:w="1272" w:type="dxa"/>
            <w:shd w:val="clear" w:color="auto" w:fill="auto"/>
            <w:vAlign w:val="center"/>
          </w:tcPr>
          <w:p w14:paraId="76B59C7C" w14:textId="77777777" w:rsidR="00004AAA" w:rsidRPr="00004AAA" w:rsidRDefault="00004AAA" w:rsidP="00004AAA">
            <w:pPr>
              <w:contextualSpacing/>
              <w:jc w:val="right"/>
              <w:cnfStyle w:val="000000010000" w:firstRow="0" w:lastRow="0" w:firstColumn="0" w:lastColumn="0" w:oddVBand="0" w:evenVBand="0" w:oddHBand="0" w:evenHBand="1" w:firstRowFirstColumn="0" w:firstRowLastColumn="0" w:lastRowFirstColumn="0" w:lastRowLastColumn="0"/>
            </w:pPr>
            <w:r w:rsidRPr="00004AAA">
              <w:t>656,868</w:t>
            </w:r>
          </w:p>
        </w:tc>
        <w:tc>
          <w:tcPr>
            <w:tcW w:w="1479" w:type="dxa"/>
            <w:shd w:val="clear" w:color="auto" w:fill="auto"/>
            <w:vAlign w:val="center"/>
          </w:tcPr>
          <w:p w14:paraId="304136E9" w14:textId="77777777" w:rsidR="00004AAA" w:rsidRPr="00004AAA" w:rsidRDefault="00004AAA" w:rsidP="00004AAA">
            <w:pPr>
              <w:contextualSpacing/>
              <w:jc w:val="right"/>
              <w:cnfStyle w:val="000000010000" w:firstRow="0" w:lastRow="0" w:firstColumn="0" w:lastColumn="0" w:oddVBand="0" w:evenVBand="0" w:oddHBand="0" w:evenHBand="1" w:firstRowFirstColumn="0" w:firstRowLastColumn="0" w:lastRowFirstColumn="0" w:lastRowLastColumn="0"/>
            </w:pPr>
            <w:r w:rsidRPr="00004AAA">
              <w:t>46,919</w:t>
            </w:r>
          </w:p>
        </w:tc>
      </w:tr>
      <w:tr w:rsidR="00004AAA" w:rsidRPr="00004AAA" w14:paraId="5CA50463" w14:textId="77777777" w:rsidTr="002D6A12">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2335" w:type="dxa"/>
            <w:vAlign w:val="center"/>
          </w:tcPr>
          <w:p w14:paraId="630AD315" w14:textId="77777777" w:rsidR="00004AAA" w:rsidRPr="00004AAA" w:rsidRDefault="00004AAA" w:rsidP="00004AAA">
            <w:pPr>
              <w:ind w:left="164"/>
              <w:contextualSpacing/>
              <w:jc w:val="left"/>
              <w:rPr>
                <w:b w:val="0"/>
              </w:rPr>
            </w:pPr>
            <w:r w:rsidRPr="00004AAA">
              <w:rPr>
                <w:b w:val="0"/>
              </w:rPr>
              <w:t>NPBT &lt; $0</w:t>
            </w:r>
          </w:p>
        </w:tc>
        <w:tc>
          <w:tcPr>
            <w:tcW w:w="1502" w:type="dxa"/>
            <w:shd w:val="clear" w:color="auto" w:fill="auto"/>
            <w:vAlign w:val="center"/>
          </w:tcPr>
          <w:p w14:paraId="3150AFC3" w14:textId="77777777" w:rsidR="00004AAA" w:rsidRPr="00004AAA" w:rsidRDefault="00004AAA" w:rsidP="00004AAA">
            <w:pPr>
              <w:contextualSpacing/>
              <w:jc w:val="center"/>
              <w:cnfStyle w:val="000000100000" w:firstRow="0" w:lastRow="0" w:firstColumn="0" w:lastColumn="0" w:oddVBand="0" w:evenVBand="0" w:oddHBand="1" w:evenHBand="0" w:firstRowFirstColumn="0" w:firstRowLastColumn="0" w:lastRowFirstColumn="0" w:lastRowLastColumn="0"/>
            </w:pPr>
            <w:r w:rsidRPr="00004AAA">
              <w:t>120</w:t>
            </w:r>
          </w:p>
        </w:tc>
        <w:tc>
          <w:tcPr>
            <w:tcW w:w="1503" w:type="dxa"/>
            <w:shd w:val="clear" w:color="auto" w:fill="auto"/>
            <w:vAlign w:val="center"/>
          </w:tcPr>
          <w:p w14:paraId="7F738B3A" w14:textId="77777777" w:rsidR="00004AAA" w:rsidRPr="00004AAA" w:rsidRDefault="00004AAA" w:rsidP="00004AAA">
            <w:pPr>
              <w:contextualSpacing/>
              <w:jc w:val="center"/>
              <w:cnfStyle w:val="000000100000" w:firstRow="0" w:lastRow="0" w:firstColumn="0" w:lastColumn="0" w:oddVBand="0" w:evenVBand="0" w:oddHBand="1" w:evenHBand="0" w:firstRowFirstColumn="0" w:firstRowLastColumn="0" w:lastRowFirstColumn="0" w:lastRowLastColumn="0"/>
            </w:pPr>
            <w:r w:rsidRPr="00004AAA">
              <w:t>5</w:t>
            </w:r>
          </w:p>
        </w:tc>
        <w:tc>
          <w:tcPr>
            <w:tcW w:w="1537" w:type="dxa"/>
            <w:shd w:val="clear" w:color="auto" w:fill="auto"/>
            <w:vAlign w:val="center"/>
          </w:tcPr>
          <w:p w14:paraId="0EB1238A" w14:textId="77777777" w:rsidR="00004AAA" w:rsidRPr="00004AAA" w:rsidRDefault="00004AAA" w:rsidP="00004AAA">
            <w:pPr>
              <w:contextualSpacing/>
              <w:jc w:val="center"/>
              <w:cnfStyle w:val="000000100000" w:firstRow="0" w:lastRow="0" w:firstColumn="0" w:lastColumn="0" w:oddVBand="0" w:evenVBand="0" w:oddHBand="1" w:evenHBand="0" w:firstRowFirstColumn="0" w:firstRowLastColumn="0" w:lastRowFirstColumn="0" w:lastRowLastColumn="0"/>
              <w:rPr>
                <w:i/>
              </w:rPr>
            </w:pPr>
            <w:r w:rsidRPr="00004AAA">
              <w:rPr>
                <w:i/>
              </w:rPr>
              <w:t>4.2%</w:t>
            </w:r>
          </w:p>
        </w:tc>
        <w:tc>
          <w:tcPr>
            <w:tcW w:w="1272" w:type="dxa"/>
            <w:shd w:val="clear" w:color="auto" w:fill="auto"/>
            <w:vAlign w:val="center"/>
          </w:tcPr>
          <w:p w14:paraId="3CAD152A" w14:textId="77777777" w:rsidR="00004AAA" w:rsidRPr="00004AAA" w:rsidRDefault="00004AAA" w:rsidP="00004AAA">
            <w:pPr>
              <w:contextualSpacing/>
              <w:jc w:val="right"/>
              <w:cnfStyle w:val="000000100000" w:firstRow="0" w:lastRow="0" w:firstColumn="0" w:lastColumn="0" w:oddVBand="0" w:evenVBand="0" w:oddHBand="1" w:evenHBand="0" w:firstRowFirstColumn="0" w:firstRowLastColumn="0" w:lastRowFirstColumn="0" w:lastRowLastColumn="0"/>
            </w:pPr>
            <w:r w:rsidRPr="00004AAA">
              <w:t>89,089</w:t>
            </w:r>
          </w:p>
        </w:tc>
        <w:tc>
          <w:tcPr>
            <w:tcW w:w="1479" w:type="dxa"/>
            <w:shd w:val="clear" w:color="auto" w:fill="auto"/>
            <w:vAlign w:val="center"/>
          </w:tcPr>
          <w:p w14:paraId="5711B04B" w14:textId="77777777" w:rsidR="00004AAA" w:rsidRPr="00004AAA" w:rsidRDefault="00004AAA" w:rsidP="00004AAA">
            <w:pPr>
              <w:contextualSpacing/>
              <w:jc w:val="right"/>
              <w:cnfStyle w:val="000000100000" w:firstRow="0" w:lastRow="0" w:firstColumn="0" w:lastColumn="0" w:oddVBand="0" w:evenVBand="0" w:oddHBand="1" w:evenHBand="0" w:firstRowFirstColumn="0" w:firstRowLastColumn="0" w:lastRowFirstColumn="0" w:lastRowLastColumn="0"/>
            </w:pPr>
            <w:r w:rsidRPr="00004AAA">
              <w:t>17,818</w:t>
            </w:r>
          </w:p>
        </w:tc>
      </w:tr>
      <w:tr w:rsidR="00004AAA" w:rsidRPr="00004AAA" w14:paraId="51BBA4DE" w14:textId="77777777" w:rsidTr="002D6A12">
        <w:trPr>
          <w:cnfStyle w:val="000000010000" w:firstRow="0" w:lastRow="0" w:firstColumn="0" w:lastColumn="0" w:oddVBand="0" w:evenVBand="0" w:oddHBand="0" w:evenHBand="1"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2335" w:type="dxa"/>
            <w:vAlign w:val="center"/>
          </w:tcPr>
          <w:p w14:paraId="41A62D52" w14:textId="77777777" w:rsidR="00004AAA" w:rsidRPr="00004AAA" w:rsidRDefault="00004AAA" w:rsidP="00004AAA">
            <w:pPr>
              <w:contextualSpacing/>
              <w:jc w:val="left"/>
              <w:rPr>
                <w:i/>
              </w:rPr>
            </w:pPr>
            <w:r w:rsidRPr="00004AAA">
              <w:rPr>
                <w:i/>
              </w:rPr>
              <w:t>Total</w:t>
            </w:r>
          </w:p>
        </w:tc>
        <w:tc>
          <w:tcPr>
            <w:tcW w:w="1502" w:type="dxa"/>
            <w:shd w:val="clear" w:color="auto" w:fill="D9E2F3" w:themeFill="accent5" w:themeFillTint="33"/>
            <w:vAlign w:val="center"/>
          </w:tcPr>
          <w:p w14:paraId="1F257716" w14:textId="77777777" w:rsidR="00004AAA" w:rsidRPr="00004AAA" w:rsidRDefault="00004AAA" w:rsidP="00004AAA">
            <w:pPr>
              <w:contextualSpacing/>
              <w:jc w:val="center"/>
              <w:cnfStyle w:val="000000010000" w:firstRow="0" w:lastRow="0" w:firstColumn="0" w:lastColumn="0" w:oddVBand="0" w:evenVBand="0" w:oddHBand="0" w:evenHBand="1" w:firstRowFirstColumn="0" w:firstRowLastColumn="0" w:lastRowFirstColumn="0" w:lastRowLastColumn="0"/>
              <w:rPr>
                <w:b/>
              </w:rPr>
            </w:pPr>
            <w:r w:rsidRPr="00004AAA">
              <w:rPr>
                <w:b/>
              </w:rPr>
              <w:t>401</w:t>
            </w:r>
          </w:p>
        </w:tc>
        <w:tc>
          <w:tcPr>
            <w:tcW w:w="1503" w:type="dxa"/>
            <w:shd w:val="clear" w:color="auto" w:fill="D9E2F3" w:themeFill="accent5" w:themeFillTint="33"/>
            <w:vAlign w:val="center"/>
          </w:tcPr>
          <w:p w14:paraId="7B5647BA" w14:textId="77777777" w:rsidR="00004AAA" w:rsidRPr="00004AAA" w:rsidRDefault="00004AAA" w:rsidP="00004AAA">
            <w:pPr>
              <w:contextualSpacing/>
              <w:jc w:val="center"/>
              <w:cnfStyle w:val="000000010000" w:firstRow="0" w:lastRow="0" w:firstColumn="0" w:lastColumn="0" w:oddVBand="0" w:evenVBand="0" w:oddHBand="0" w:evenHBand="1" w:firstRowFirstColumn="0" w:firstRowLastColumn="0" w:lastRowFirstColumn="0" w:lastRowLastColumn="0"/>
              <w:rPr>
                <w:b/>
              </w:rPr>
            </w:pPr>
            <w:r w:rsidRPr="00004AAA">
              <w:rPr>
                <w:b/>
              </w:rPr>
              <w:t>19</w:t>
            </w:r>
          </w:p>
        </w:tc>
        <w:tc>
          <w:tcPr>
            <w:tcW w:w="1537" w:type="dxa"/>
            <w:shd w:val="clear" w:color="auto" w:fill="D9E2F3" w:themeFill="accent5" w:themeFillTint="33"/>
            <w:vAlign w:val="center"/>
          </w:tcPr>
          <w:p w14:paraId="380AA860" w14:textId="77777777" w:rsidR="00004AAA" w:rsidRPr="00004AAA" w:rsidRDefault="00004AAA" w:rsidP="00004AAA">
            <w:pPr>
              <w:contextualSpacing/>
              <w:jc w:val="center"/>
              <w:cnfStyle w:val="000000010000" w:firstRow="0" w:lastRow="0" w:firstColumn="0" w:lastColumn="0" w:oddVBand="0" w:evenVBand="0" w:oddHBand="0" w:evenHBand="1" w:firstRowFirstColumn="0" w:firstRowLastColumn="0" w:lastRowFirstColumn="0" w:lastRowLastColumn="0"/>
              <w:rPr>
                <w:b/>
                <w:i/>
              </w:rPr>
            </w:pPr>
            <w:r w:rsidRPr="00004AAA">
              <w:rPr>
                <w:b/>
                <w:i/>
              </w:rPr>
              <w:t>4.7%</w:t>
            </w:r>
          </w:p>
        </w:tc>
        <w:tc>
          <w:tcPr>
            <w:tcW w:w="1272" w:type="dxa"/>
            <w:shd w:val="clear" w:color="auto" w:fill="D9E2F3" w:themeFill="accent5" w:themeFillTint="33"/>
            <w:vAlign w:val="center"/>
          </w:tcPr>
          <w:p w14:paraId="0BEA43D2" w14:textId="77777777" w:rsidR="00004AAA" w:rsidRPr="00004AAA" w:rsidRDefault="00004AAA" w:rsidP="00004AAA">
            <w:pPr>
              <w:contextualSpacing/>
              <w:jc w:val="right"/>
              <w:cnfStyle w:val="000000010000" w:firstRow="0" w:lastRow="0" w:firstColumn="0" w:lastColumn="0" w:oddVBand="0" w:evenVBand="0" w:oddHBand="0" w:evenHBand="1" w:firstRowFirstColumn="0" w:firstRowLastColumn="0" w:lastRowFirstColumn="0" w:lastRowLastColumn="0"/>
              <w:rPr>
                <w:b/>
              </w:rPr>
            </w:pPr>
            <w:r w:rsidRPr="00004AAA">
              <w:rPr>
                <w:b/>
              </w:rPr>
              <w:t>$ 745,957</w:t>
            </w:r>
          </w:p>
        </w:tc>
        <w:tc>
          <w:tcPr>
            <w:tcW w:w="1479" w:type="dxa"/>
            <w:shd w:val="clear" w:color="auto" w:fill="D9E2F3" w:themeFill="accent5" w:themeFillTint="33"/>
            <w:vAlign w:val="center"/>
          </w:tcPr>
          <w:p w14:paraId="353873B5" w14:textId="77777777" w:rsidR="00004AAA" w:rsidRPr="00004AAA" w:rsidRDefault="00004AAA" w:rsidP="00004AAA">
            <w:pPr>
              <w:contextualSpacing/>
              <w:jc w:val="right"/>
              <w:cnfStyle w:val="000000010000" w:firstRow="0" w:lastRow="0" w:firstColumn="0" w:lastColumn="0" w:oddVBand="0" w:evenVBand="0" w:oddHBand="0" w:evenHBand="1" w:firstRowFirstColumn="0" w:firstRowLastColumn="0" w:lastRowFirstColumn="0" w:lastRowLastColumn="0"/>
              <w:rPr>
                <w:b/>
              </w:rPr>
            </w:pPr>
            <w:r w:rsidRPr="00004AAA">
              <w:rPr>
                <w:b/>
              </w:rPr>
              <w:t>$ 39,261</w:t>
            </w:r>
          </w:p>
        </w:tc>
      </w:tr>
    </w:tbl>
    <w:p w14:paraId="4B4ECB66" w14:textId="77777777" w:rsidR="00AD1673" w:rsidRDefault="00AD1673" w:rsidP="00701DB9"/>
    <w:p w14:paraId="177CC7CC" w14:textId="62292AE8" w:rsidR="00ED3878" w:rsidRDefault="00ED3878" w:rsidP="00701DB9">
      <w:r>
        <w:t xml:space="preserve">This data indicates that those For-profit providers that are making a negative NPBT are utilising a greater level of external financing compared to those </w:t>
      </w:r>
      <w:r w:rsidR="00FB5EFA">
        <w:t>AP</w:t>
      </w:r>
      <w:r>
        <w:t>s making a profit.</w:t>
      </w:r>
    </w:p>
    <w:p w14:paraId="6DE8A894" w14:textId="77777777" w:rsidR="00ED3878" w:rsidRDefault="00ED3878" w:rsidP="00701DB9"/>
    <w:p w14:paraId="35A2EA34" w14:textId="40C106A0" w:rsidR="00ED3878" w:rsidRDefault="00ED3878" w:rsidP="00701DB9">
      <w:r>
        <w:t>In contrast, only 4.</w:t>
      </w:r>
      <w:r w:rsidR="00004AAA">
        <w:t>7</w:t>
      </w:r>
      <w:r>
        <w:t>% of the Not-</w:t>
      </w:r>
      <w:r w:rsidR="00004AAA">
        <w:t>F</w:t>
      </w:r>
      <w:r>
        <w:t>or-</w:t>
      </w:r>
      <w:r w:rsidR="00004AAA">
        <w:t>P</w:t>
      </w:r>
      <w:r>
        <w:t xml:space="preserve">rofit providers have incurred an interest cost and the greater proportion of these are </w:t>
      </w:r>
      <w:r w:rsidR="00FB5EFA">
        <w:t>AP</w:t>
      </w:r>
      <w:r>
        <w:t>s who are achieving a positive NPBT. There is certainly a lesser reliance on debt financing in the Not-</w:t>
      </w:r>
      <w:r w:rsidR="00004AAA">
        <w:t>F</w:t>
      </w:r>
      <w:r>
        <w:t>or-</w:t>
      </w:r>
      <w:r w:rsidR="00004AAA">
        <w:t>P</w:t>
      </w:r>
      <w:r>
        <w:t>rofit se</w:t>
      </w:r>
      <w:r w:rsidR="00004AAA">
        <w:t>ctor</w:t>
      </w:r>
      <w:r>
        <w:t xml:space="preserve"> than there is in the For-</w:t>
      </w:r>
      <w:r w:rsidR="00004AAA">
        <w:t>P</w:t>
      </w:r>
      <w:r>
        <w:t>rofit sector.</w:t>
      </w:r>
    </w:p>
    <w:p w14:paraId="7B75880F" w14:textId="77777777" w:rsidR="00ED3878" w:rsidRDefault="00ED3878" w:rsidP="00701DB9"/>
    <w:p w14:paraId="26011DE8" w14:textId="42F04F05" w:rsidR="005B17AB" w:rsidRDefault="005B17AB" w:rsidP="005B17AB">
      <w:pPr>
        <w:pStyle w:val="Heading2"/>
      </w:pPr>
      <w:bookmarkStart w:id="50" w:name="_Toc26870720"/>
      <w:r>
        <w:t>Financial Sustainability - Conclusion</w:t>
      </w:r>
      <w:bookmarkEnd w:id="50"/>
    </w:p>
    <w:p w14:paraId="509482B7" w14:textId="441BA2B2" w:rsidR="00083440" w:rsidRDefault="00083440" w:rsidP="005B17AB">
      <w:r>
        <w:t xml:space="preserve">The financial performance of the HCP sector has slightly deteriorated in FY19 where the average return is $1,182 per care consumer per annum based on the ACFR data provided at the time of this analysis. Of the 649 </w:t>
      </w:r>
      <w:r w:rsidR="00FB5EFA">
        <w:t>AP</w:t>
      </w:r>
      <w:r>
        <w:t>s reviewed (government providers were excluded) some 458 (70.6%) recorded a net profit before tax, and, conversely, 191 (29.4%) recorded a loss before income tax.</w:t>
      </w:r>
    </w:p>
    <w:p w14:paraId="58E7F49D" w14:textId="77777777" w:rsidR="00083440" w:rsidRDefault="00083440" w:rsidP="005B17AB"/>
    <w:p w14:paraId="03F4634B" w14:textId="5D932722" w:rsidR="00CC28E3" w:rsidRDefault="00083440" w:rsidP="005B17AB">
      <w:r>
        <w:t xml:space="preserve">The impact of requiring additional borrowings and resultant interest expense to support the additional cash flow requirements will effect 110 of the </w:t>
      </w:r>
      <w:r w:rsidR="00FB5EFA">
        <w:t>AP</w:t>
      </w:r>
      <w:r>
        <w:t xml:space="preserve">s reviewed, however 91 </w:t>
      </w:r>
      <w:r w:rsidR="00FB5EFA">
        <w:t>AP</w:t>
      </w:r>
      <w:r w:rsidR="00EB7CB1">
        <w:t xml:space="preserve">s </w:t>
      </w:r>
      <w:r>
        <w:t xml:space="preserve">of this cohort recorded a </w:t>
      </w:r>
      <w:r w:rsidR="00CC28E3">
        <w:t>profit which could be used to reduce their level of borrowings over time.</w:t>
      </w:r>
    </w:p>
    <w:p w14:paraId="1EC55715" w14:textId="13AA82F2" w:rsidR="00CD0B2E" w:rsidRDefault="00CD0B2E" w:rsidP="005B17AB"/>
    <w:p w14:paraId="0F6E27E1" w14:textId="69E61116" w:rsidR="00CD0B2E" w:rsidRDefault="00CD0B2E" w:rsidP="005B17AB">
      <w:r>
        <w:t xml:space="preserve">Ongoing financial performance will continue to be directly linked to each </w:t>
      </w:r>
      <w:r w:rsidR="00FB5EFA">
        <w:t>AP</w:t>
      </w:r>
      <w:r>
        <w:t xml:space="preserve">s respective business model, service revenue achieved, </w:t>
      </w:r>
      <w:r w:rsidR="00EB7CB1">
        <w:t xml:space="preserve">pricing policies, </w:t>
      </w:r>
      <w:proofErr w:type="gramStart"/>
      <w:r>
        <w:t>appropriate</w:t>
      </w:r>
      <w:proofErr w:type="gramEnd"/>
      <w:r>
        <w:t xml:space="preserve"> cost management, scale of operation and capital and equity structure.</w:t>
      </w:r>
    </w:p>
    <w:p w14:paraId="63908B9B" w14:textId="77777777" w:rsidR="00CC28E3" w:rsidRDefault="00CC28E3" w:rsidP="005B17AB"/>
    <w:p w14:paraId="598B90DD" w14:textId="77777777" w:rsidR="00FB5EFA" w:rsidRPr="00FB5EFA" w:rsidRDefault="00FB5EFA" w:rsidP="00FB5EFA">
      <w:pPr>
        <w:rPr>
          <w:b/>
          <w:i/>
        </w:rPr>
      </w:pPr>
      <w:r w:rsidRPr="00FB5EFA">
        <w:rPr>
          <w:b/>
          <w:i/>
        </w:rPr>
        <w:t>The overall financial performance for APs, other than the potential additional interest expense and possible interest revenue earned on unspent funds, will not be materially impacted by the proposed changes to funding arrangements in our opinion. APs record revenue based on actual service delivery rather than subsidy received, and this treatment will remain under any amended funding amendments. Unspent funds (subsidy) is recorded as a liability and has no impact on the financial operating results.</w:t>
      </w:r>
    </w:p>
    <w:p w14:paraId="26AA65B3" w14:textId="77777777" w:rsidR="007D3730" w:rsidRDefault="007D3730" w:rsidP="005B17AB"/>
    <w:p w14:paraId="0FFEBC0F" w14:textId="35916A5E" w:rsidR="008D2E65" w:rsidRDefault="008D2E65" w:rsidP="005B17AB">
      <w:r>
        <w:br w:type="page"/>
      </w:r>
    </w:p>
    <w:p w14:paraId="7D69446F" w14:textId="2358FED8" w:rsidR="008D2E65" w:rsidRDefault="00D95231" w:rsidP="00A274F0">
      <w:pPr>
        <w:pStyle w:val="ACFPSHeading1"/>
      </w:pPr>
      <w:bookmarkStart w:id="51" w:name="_Toc26870721"/>
      <w:r>
        <w:lastRenderedPageBreak/>
        <w:t>Detailed Impact Analysis</w:t>
      </w:r>
      <w:bookmarkEnd w:id="51"/>
      <w:r w:rsidR="00631EF9">
        <w:t xml:space="preserve"> </w:t>
      </w:r>
    </w:p>
    <w:p w14:paraId="4A73510E" w14:textId="246BE69C" w:rsidR="008D2E65" w:rsidRDefault="001308F3" w:rsidP="00A274F0">
      <w:pPr>
        <w:pStyle w:val="Heading2"/>
      </w:pPr>
      <w:bookmarkStart w:id="52" w:name="_Toc26870722"/>
      <w:r>
        <w:t xml:space="preserve">Methodology </w:t>
      </w:r>
      <w:r w:rsidR="00355F89">
        <w:t>U</w:t>
      </w:r>
      <w:r>
        <w:t>sed</w:t>
      </w:r>
      <w:r w:rsidR="00631EF9">
        <w:t xml:space="preserve"> for Detailed </w:t>
      </w:r>
      <w:r w:rsidR="00355F89">
        <w:t>A</w:t>
      </w:r>
      <w:r w:rsidR="00631EF9">
        <w:t>nalysis of FY19 ACFR data</w:t>
      </w:r>
      <w:bookmarkEnd w:id="52"/>
    </w:p>
    <w:p w14:paraId="24946B31" w14:textId="20FB9EB2" w:rsidR="00887ED1" w:rsidRDefault="00631EF9" w:rsidP="007F30F6">
      <w:pPr>
        <w:spacing w:after="120"/>
      </w:pPr>
      <w:r>
        <w:t xml:space="preserve">For the remainder of the analysis where the financial data is examined on a far more granular level, a number of </w:t>
      </w:r>
      <w:r w:rsidR="00920FED">
        <w:t>AP</w:t>
      </w:r>
      <w:r>
        <w:t>s have been removed from the analysis as follows:</w:t>
      </w:r>
    </w:p>
    <w:p w14:paraId="6D6DB6CF" w14:textId="0113D82A" w:rsidR="00887ED1" w:rsidRDefault="008D2E65" w:rsidP="005D395A">
      <w:pPr>
        <w:pStyle w:val="ListParagraph"/>
        <w:numPr>
          <w:ilvl w:val="0"/>
          <w:numId w:val="23"/>
        </w:numPr>
      </w:pPr>
      <w:r>
        <w:t xml:space="preserve">Government Home Care </w:t>
      </w:r>
      <w:r w:rsidR="00920FED">
        <w:t>p</w:t>
      </w:r>
      <w:r>
        <w:t xml:space="preserve">roviders </w:t>
      </w:r>
      <w:r w:rsidR="0082079C" w:rsidRPr="00355F89">
        <w:rPr>
          <w:i/>
        </w:rPr>
        <w:t xml:space="preserve">(88 </w:t>
      </w:r>
      <w:r w:rsidR="00920FED">
        <w:rPr>
          <w:i/>
        </w:rPr>
        <w:t>AP</w:t>
      </w:r>
      <w:r w:rsidR="0082079C" w:rsidRPr="00355F89">
        <w:rPr>
          <w:i/>
        </w:rPr>
        <w:t>s)</w:t>
      </w:r>
    </w:p>
    <w:p w14:paraId="580CEC0A" w14:textId="46B6162B" w:rsidR="0082079C" w:rsidRDefault="00920FED" w:rsidP="005D395A">
      <w:pPr>
        <w:pStyle w:val="ListParagraph"/>
        <w:numPr>
          <w:ilvl w:val="0"/>
          <w:numId w:val="23"/>
        </w:numPr>
      </w:pPr>
      <w:r>
        <w:t>AP</w:t>
      </w:r>
      <w:r w:rsidR="0082079C">
        <w:t xml:space="preserve">s that did not provide important data items for the purpose of this analysis such as cash balances, unspent funds balances </w:t>
      </w:r>
      <w:r w:rsidR="0082079C" w:rsidRPr="00355F89">
        <w:rPr>
          <w:i/>
        </w:rPr>
        <w:t xml:space="preserve">(114 </w:t>
      </w:r>
      <w:r>
        <w:rPr>
          <w:i/>
        </w:rPr>
        <w:t>AP</w:t>
      </w:r>
      <w:r w:rsidR="0082079C" w:rsidRPr="00355F89">
        <w:rPr>
          <w:i/>
        </w:rPr>
        <w:t>s)</w:t>
      </w:r>
    </w:p>
    <w:p w14:paraId="03760D6B" w14:textId="410C2BD0" w:rsidR="008D2E65" w:rsidRDefault="00920FED" w:rsidP="005D395A">
      <w:pPr>
        <w:pStyle w:val="ListParagraph"/>
        <w:numPr>
          <w:ilvl w:val="0"/>
          <w:numId w:val="23"/>
        </w:numPr>
      </w:pPr>
      <w:r>
        <w:t>AP</w:t>
      </w:r>
      <w:r w:rsidR="00631EF9">
        <w:t>s that did not receive, or report having received any home care funding for FY19</w:t>
      </w:r>
      <w:r w:rsidR="0082079C">
        <w:t xml:space="preserve"> </w:t>
      </w:r>
      <w:r w:rsidR="0082079C" w:rsidRPr="00355F89">
        <w:rPr>
          <w:i/>
        </w:rPr>
        <w:t xml:space="preserve">(67 </w:t>
      </w:r>
      <w:r>
        <w:rPr>
          <w:i/>
        </w:rPr>
        <w:t>AP</w:t>
      </w:r>
      <w:r w:rsidR="0082079C" w:rsidRPr="00355F89">
        <w:rPr>
          <w:i/>
        </w:rPr>
        <w:t xml:space="preserve">s previously excluded from the 804 </w:t>
      </w:r>
      <w:r>
        <w:rPr>
          <w:i/>
        </w:rPr>
        <w:t>AP</w:t>
      </w:r>
      <w:r w:rsidR="0082079C" w:rsidRPr="00355F89">
        <w:rPr>
          <w:i/>
        </w:rPr>
        <w:t>s lodging an ACFR)</w:t>
      </w:r>
    </w:p>
    <w:p w14:paraId="5E3C3A93" w14:textId="77777777" w:rsidR="00631EF9" w:rsidRDefault="00631EF9" w:rsidP="008D2E65"/>
    <w:p w14:paraId="70D7AA8A" w14:textId="6DB0B0E6" w:rsidR="00486B6C" w:rsidRDefault="00631EF9" w:rsidP="008D2E65">
      <w:r>
        <w:t>For the purpose of performing analysis based on the size of a</w:t>
      </w:r>
      <w:r w:rsidR="00920FED">
        <w:t>n</w:t>
      </w:r>
      <w:r>
        <w:t xml:space="preserve"> </w:t>
      </w:r>
      <w:r w:rsidR="00920FED">
        <w:t>AP</w:t>
      </w:r>
      <w:r>
        <w:t>, they have been grouped in revenue bands based on subsidies received as follows:</w:t>
      </w:r>
    </w:p>
    <w:p w14:paraId="3D352D36" w14:textId="77777777" w:rsidR="00631EF9" w:rsidRDefault="00631EF9" w:rsidP="008D2E65"/>
    <w:p w14:paraId="3D0811EC" w14:textId="511E15FF" w:rsidR="00313F79" w:rsidRPr="00B80ED2" w:rsidRDefault="00313F79" w:rsidP="003F6561">
      <w:pPr>
        <w:pStyle w:val="Caption"/>
        <w:spacing w:before="0"/>
        <w:rPr>
          <w:highlight w:val="yellow"/>
        </w:rPr>
      </w:pPr>
      <w:r>
        <w:t xml:space="preserve">Table </w:t>
      </w:r>
      <w:fldSimple w:instr=" SEQ Table \* ARABIC ">
        <w:r w:rsidR="00844346">
          <w:rPr>
            <w:noProof/>
          </w:rPr>
          <w:t>11</w:t>
        </w:r>
      </w:fldSimple>
      <w:r>
        <w:t>: Category by funding size</w:t>
      </w:r>
    </w:p>
    <w:tbl>
      <w:tblPr>
        <w:tblStyle w:val="TableGrid"/>
        <w:tblW w:w="4999" w:type="pct"/>
        <w:tblLook w:val="04A0" w:firstRow="1" w:lastRow="0" w:firstColumn="1" w:lastColumn="0" w:noHBand="0" w:noVBand="1"/>
        <w:tblCaption w:val="Table 11: Category by funding size"/>
      </w:tblPr>
      <w:tblGrid>
        <w:gridCol w:w="3061"/>
        <w:gridCol w:w="4249"/>
        <w:gridCol w:w="1305"/>
        <w:gridCol w:w="1011"/>
      </w:tblGrid>
      <w:tr w:rsidR="003F6561" w:rsidRPr="00B80ED2" w14:paraId="49751E71" w14:textId="77777777" w:rsidTr="003636FB">
        <w:trPr>
          <w:tblHeader/>
        </w:trPr>
        <w:tc>
          <w:tcPr>
            <w:tcW w:w="1590" w:type="pct"/>
            <w:vAlign w:val="center"/>
          </w:tcPr>
          <w:p w14:paraId="79A4652B" w14:textId="038A5958" w:rsidR="00313F79" w:rsidRPr="003F6561" w:rsidRDefault="00313F79" w:rsidP="00F1403E">
            <w:pPr>
              <w:jc w:val="left"/>
              <w:rPr>
                <w:b/>
                <w:bCs/>
                <w:sz w:val="20"/>
                <w:szCs w:val="20"/>
              </w:rPr>
            </w:pPr>
            <w:r w:rsidRPr="003F6561">
              <w:rPr>
                <w:b/>
                <w:bCs/>
                <w:sz w:val="20"/>
                <w:szCs w:val="20"/>
              </w:rPr>
              <w:t>C</w:t>
            </w:r>
            <w:r w:rsidR="00E04111">
              <w:rPr>
                <w:b/>
                <w:bCs/>
                <w:sz w:val="20"/>
                <w:szCs w:val="20"/>
              </w:rPr>
              <w:t>ategory</w:t>
            </w:r>
          </w:p>
        </w:tc>
        <w:tc>
          <w:tcPr>
            <w:tcW w:w="2207" w:type="pct"/>
            <w:vAlign w:val="center"/>
          </w:tcPr>
          <w:p w14:paraId="32CA2C0A" w14:textId="77777777" w:rsidR="00313F79" w:rsidRPr="003F6561" w:rsidRDefault="00313F79" w:rsidP="00F1403E">
            <w:pPr>
              <w:jc w:val="center"/>
              <w:rPr>
                <w:b/>
                <w:bCs/>
                <w:sz w:val="20"/>
                <w:szCs w:val="20"/>
              </w:rPr>
            </w:pPr>
            <w:r w:rsidRPr="003F6561">
              <w:rPr>
                <w:b/>
                <w:bCs/>
                <w:sz w:val="20"/>
                <w:szCs w:val="20"/>
              </w:rPr>
              <w:t>FY19 Home Care Package (HCP) Funding</w:t>
            </w:r>
          </w:p>
        </w:tc>
        <w:tc>
          <w:tcPr>
            <w:tcW w:w="678" w:type="pct"/>
            <w:vAlign w:val="center"/>
          </w:tcPr>
          <w:p w14:paraId="11085A92" w14:textId="36C25541" w:rsidR="00313F79" w:rsidRPr="003F6561" w:rsidRDefault="00313F79" w:rsidP="00F1403E">
            <w:pPr>
              <w:jc w:val="center"/>
              <w:rPr>
                <w:b/>
                <w:bCs/>
                <w:sz w:val="20"/>
                <w:szCs w:val="20"/>
              </w:rPr>
            </w:pPr>
            <w:r w:rsidRPr="003F6561">
              <w:rPr>
                <w:b/>
                <w:bCs/>
                <w:sz w:val="20"/>
                <w:szCs w:val="20"/>
              </w:rPr>
              <w:t xml:space="preserve">Number of </w:t>
            </w:r>
            <w:r w:rsidR="00355F89">
              <w:rPr>
                <w:b/>
                <w:bCs/>
                <w:sz w:val="20"/>
                <w:szCs w:val="20"/>
              </w:rPr>
              <w:t>P</w:t>
            </w:r>
            <w:r w:rsidRPr="003F6561">
              <w:rPr>
                <w:b/>
                <w:bCs/>
                <w:sz w:val="20"/>
                <w:szCs w:val="20"/>
              </w:rPr>
              <w:t>roviders</w:t>
            </w:r>
            <w:r w:rsidR="00FC13B5" w:rsidRPr="003F6561">
              <w:rPr>
                <w:b/>
                <w:bCs/>
                <w:sz w:val="20"/>
                <w:szCs w:val="20"/>
              </w:rPr>
              <w:t xml:space="preserve"> in 2018-19</w:t>
            </w:r>
          </w:p>
        </w:tc>
        <w:tc>
          <w:tcPr>
            <w:tcW w:w="525" w:type="pct"/>
            <w:vAlign w:val="center"/>
          </w:tcPr>
          <w:p w14:paraId="08874BD7" w14:textId="77777777" w:rsidR="00313F79" w:rsidRPr="003F6561" w:rsidRDefault="00313F79" w:rsidP="00F1403E">
            <w:pPr>
              <w:jc w:val="center"/>
              <w:rPr>
                <w:b/>
                <w:bCs/>
                <w:sz w:val="20"/>
                <w:szCs w:val="20"/>
              </w:rPr>
            </w:pPr>
            <w:r w:rsidRPr="003F6561">
              <w:rPr>
                <w:b/>
                <w:bCs/>
                <w:sz w:val="20"/>
                <w:szCs w:val="20"/>
              </w:rPr>
              <w:t>%</w:t>
            </w:r>
          </w:p>
        </w:tc>
      </w:tr>
      <w:tr w:rsidR="003F6561" w:rsidRPr="00B80ED2" w14:paraId="35895641" w14:textId="77777777" w:rsidTr="00355F89">
        <w:trPr>
          <w:trHeight w:val="283"/>
        </w:trPr>
        <w:tc>
          <w:tcPr>
            <w:tcW w:w="1590" w:type="pct"/>
            <w:shd w:val="clear" w:color="auto" w:fill="auto"/>
            <w:vAlign w:val="center"/>
          </w:tcPr>
          <w:p w14:paraId="0324A7C7" w14:textId="6D9246D4" w:rsidR="00313F79" w:rsidRPr="003F6561" w:rsidRDefault="00313F79" w:rsidP="00A274F0">
            <w:pPr>
              <w:jc w:val="left"/>
              <w:rPr>
                <w:sz w:val="20"/>
                <w:szCs w:val="20"/>
              </w:rPr>
            </w:pPr>
            <w:r w:rsidRPr="003F6561">
              <w:rPr>
                <w:sz w:val="20"/>
                <w:szCs w:val="20"/>
              </w:rPr>
              <w:t>Very small</w:t>
            </w:r>
            <w:r w:rsidR="00E04111">
              <w:rPr>
                <w:sz w:val="20"/>
                <w:szCs w:val="20"/>
              </w:rPr>
              <w:t xml:space="preserve"> </w:t>
            </w:r>
          </w:p>
        </w:tc>
        <w:tc>
          <w:tcPr>
            <w:tcW w:w="2207" w:type="pct"/>
            <w:shd w:val="clear" w:color="auto" w:fill="auto"/>
            <w:vAlign w:val="center"/>
          </w:tcPr>
          <w:p w14:paraId="30453916" w14:textId="77777777" w:rsidR="00313F79" w:rsidRPr="003F6561" w:rsidRDefault="00313F79" w:rsidP="00A274F0">
            <w:pPr>
              <w:jc w:val="left"/>
              <w:rPr>
                <w:sz w:val="20"/>
                <w:szCs w:val="20"/>
              </w:rPr>
            </w:pPr>
            <w:r w:rsidRPr="003F6561">
              <w:rPr>
                <w:sz w:val="20"/>
                <w:szCs w:val="20"/>
              </w:rPr>
              <w:t>Less than or equal to $550,000</w:t>
            </w:r>
          </w:p>
        </w:tc>
        <w:tc>
          <w:tcPr>
            <w:tcW w:w="678" w:type="pct"/>
            <w:shd w:val="clear" w:color="auto" w:fill="auto"/>
            <w:vAlign w:val="center"/>
          </w:tcPr>
          <w:p w14:paraId="6AABD8E2" w14:textId="10F8D55F" w:rsidR="00313F79" w:rsidRPr="003F6561" w:rsidRDefault="00631EF9" w:rsidP="00A274F0">
            <w:pPr>
              <w:jc w:val="center"/>
              <w:rPr>
                <w:sz w:val="20"/>
                <w:szCs w:val="20"/>
              </w:rPr>
            </w:pPr>
            <w:r>
              <w:rPr>
                <w:rFonts w:ascii="Calibri" w:hAnsi="Calibri" w:cs="Calibri"/>
                <w:color w:val="000000"/>
                <w:sz w:val="20"/>
                <w:szCs w:val="20"/>
              </w:rPr>
              <w:t>206</w:t>
            </w:r>
          </w:p>
        </w:tc>
        <w:tc>
          <w:tcPr>
            <w:tcW w:w="525" w:type="pct"/>
            <w:shd w:val="clear" w:color="auto" w:fill="auto"/>
            <w:vAlign w:val="center"/>
          </w:tcPr>
          <w:p w14:paraId="5DAC496A" w14:textId="6C72A1AB" w:rsidR="00313F79" w:rsidRPr="003F6561" w:rsidRDefault="00631EF9" w:rsidP="00A274F0">
            <w:pPr>
              <w:jc w:val="center"/>
              <w:rPr>
                <w:sz w:val="20"/>
                <w:szCs w:val="20"/>
              </w:rPr>
            </w:pPr>
            <w:r>
              <w:rPr>
                <w:rFonts w:ascii="Calibri" w:hAnsi="Calibri" w:cs="Calibri"/>
                <w:color w:val="000000"/>
                <w:sz w:val="20"/>
                <w:szCs w:val="20"/>
              </w:rPr>
              <w:t>38.5</w:t>
            </w:r>
            <w:r w:rsidR="00313F79" w:rsidRPr="003F6561">
              <w:rPr>
                <w:rFonts w:ascii="Calibri" w:hAnsi="Calibri" w:cs="Calibri"/>
                <w:color w:val="000000"/>
                <w:sz w:val="20"/>
                <w:szCs w:val="20"/>
              </w:rPr>
              <w:t>%</w:t>
            </w:r>
          </w:p>
        </w:tc>
      </w:tr>
      <w:tr w:rsidR="003F6561" w:rsidRPr="00B80ED2" w14:paraId="245BBB4C" w14:textId="77777777" w:rsidTr="00355F89">
        <w:trPr>
          <w:trHeight w:val="283"/>
        </w:trPr>
        <w:tc>
          <w:tcPr>
            <w:tcW w:w="1590" w:type="pct"/>
            <w:shd w:val="clear" w:color="auto" w:fill="auto"/>
            <w:vAlign w:val="center"/>
          </w:tcPr>
          <w:p w14:paraId="70BEC0EB" w14:textId="77777777" w:rsidR="00313F79" w:rsidRPr="003F6561" w:rsidRDefault="00313F79" w:rsidP="00A274F0">
            <w:pPr>
              <w:jc w:val="left"/>
              <w:rPr>
                <w:sz w:val="20"/>
                <w:szCs w:val="20"/>
              </w:rPr>
            </w:pPr>
            <w:r w:rsidRPr="003F6561">
              <w:rPr>
                <w:sz w:val="20"/>
                <w:szCs w:val="20"/>
              </w:rPr>
              <w:t xml:space="preserve">Small </w:t>
            </w:r>
          </w:p>
        </w:tc>
        <w:tc>
          <w:tcPr>
            <w:tcW w:w="2207" w:type="pct"/>
            <w:shd w:val="clear" w:color="auto" w:fill="auto"/>
            <w:vAlign w:val="center"/>
          </w:tcPr>
          <w:p w14:paraId="60FBF83F" w14:textId="77777777" w:rsidR="00313F79" w:rsidRPr="003F6561" w:rsidRDefault="00313F79" w:rsidP="00A274F0">
            <w:pPr>
              <w:jc w:val="left"/>
              <w:rPr>
                <w:sz w:val="20"/>
                <w:szCs w:val="20"/>
              </w:rPr>
            </w:pPr>
            <w:r w:rsidRPr="003F6561">
              <w:rPr>
                <w:sz w:val="20"/>
                <w:szCs w:val="20"/>
              </w:rPr>
              <w:t xml:space="preserve">Between $550,000 and $2,000,000 </w:t>
            </w:r>
          </w:p>
        </w:tc>
        <w:tc>
          <w:tcPr>
            <w:tcW w:w="678" w:type="pct"/>
            <w:shd w:val="clear" w:color="auto" w:fill="auto"/>
            <w:vAlign w:val="center"/>
          </w:tcPr>
          <w:p w14:paraId="3D6F72E9" w14:textId="322A18F3" w:rsidR="00313F79" w:rsidRPr="003F6561" w:rsidRDefault="00631EF9" w:rsidP="00A274F0">
            <w:pPr>
              <w:jc w:val="center"/>
              <w:rPr>
                <w:sz w:val="20"/>
                <w:szCs w:val="20"/>
              </w:rPr>
            </w:pPr>
            <w:r>
              <w:rPr>
                <w:sz w:val="20"/>
                <w:szCs w:val="20"/>
              </w:rPr>
              <w:t>168</w:t>
            </w:r>
          </w:p>
        </w:tc>
        <w:tc>
          <w:tcPr>
            <w:tcW w:w="525" w:type="pct"/>
            <w:shd w:val="clear" w:color="auto" w:fill="auto"/>
            <w:vAlign w:val="center"/>
          </w:tcPr>
          <w:p w14:paraId="77982F4E" w14:textId="3DDDDAC1" w:rsidR="00313F79" w:rsidRPr="003F6561" w:rsidRDefault="00631EF9" w:rsidP="00A274F0">
            <w:pPr>
              <w:jc w:val="center"/>
              <w:rPr>
                <w:sz w:val="20"/>
                <w:szCs w:val="20"/>
              </w:rPr>
            </w:pPr>
            <w:r>
              <w:rPr>
                <w:rFonts w:ascii="Calibri" w:hAnsi="Calibri" w:cs="Calibri"/>
                <w:color w:val="000000"/>
                <w:sz w:val="20"/>
                <w:szCs w:val="20"/>
              </w:rPr>
              <w:t>31.4</w:t>
            </w:r>
            <w:r w:rsidR="00313F79" w:rsidRPr="003F6561">
              <w:rPr>
                <w:rFonts w:ascii="Calibri" w:hAnsi="Calibri" w:cs="Calibri"/>
                <w:color w:val="000000"/>
                <w:sz w:val="20"/>
                <w:szCs w:val="20"/>
              </w:rPr>
              <w:t>%</w:t>
            </w:r>
          </w:p>
        </w:tc>
      </w:tr>
      <w:tr w:rsidR="003F6561" w:rsidRPr="00B80ED2" w14:paraId="46656B6C" w14:textId="77777777" w:rsidTr="00F1403E">
        <w:trPr>
          <w:trHeight w:val="283"/>
        </w:trPr>
        <w:tc>
          <w:tcPr>
            <w:tcW w:w="1590" w:type="pct"/>
            <w:vAlign w:val="center"/>
          </w:tcPr>
          <w:p w14:paraId="6E2D251A" w14:textId="77777777" w:rsidR="00313F79" w:rsidRPr="003F6561" w:rsidRDefault="00313F79" w:rsidP="00A274F0">
            <w:pPr>
              <w:jc w:val="left"/>
              <w:rPr>
                <w:sz w:val="20"/>
                <w:szCs w:val="20"/>
              </w:rPr>
            </w:pPr>
            <w:r w:rsidRPr="003F6561">
              <w:rPr>
                <w:sz w:val="20"/>
                <w:szCs w:val="20"/>
              </w:rPr>
              <w:t>Medium</w:t>
            </w:r>
          </w:p>
        </w:tc>
        <w:tc>
          <w:tcPr>
            <w:tcW w:w="2207" w:type="pct"/>
            <w:vAlign w:val="center"/>
          </w:tcPr>
          <w:p w14:paraId="54F5561F" w14:textId="77777777" w:rsidR="00313F79" w:rsidRPr="003F6561" w:rsidRDefault="00313F79" w:rsidP="00A274F0">
            <w:pPr>
              <w:jc w:val="left"/>
              <w:rPr>
                <w:sz w:val="20"/>
                <w:szCs w:val="20"/>
              </w:rPr>
            </w:pPr>
            <w:r w:rsidRPr="003F6561">
              <w:rPr>
                <w:sz w:val="20"/>
                <w:szCs w:val="20"/>
              </w:rPr>
              <w:t>Between $2,000,000 and $5,000,000</w:t>
            </w:r>
          </w:p>
        </w:tc>
        <w:tc>
          <w:tcPr>
            <w:tcW w:w="678" w:type="pct"/>
            <w:vAlign w:val="center"/>
          </w:tcPr>
          <w:p w14:paraId="62F5D0E1" w14:textId="23310143" w:rsidR="00313F79" w:rsidRPr="003F6561" w:rsidRDefault="00631EF9" w:rsidP="00A274F0">
            <w:pPr>
              <w:jc w:val="center"/>
              <w:rPr>
                <w:sz w:val="20"/>
                <w:szCs w:val="20"/>
              </w:rPr>
            </w:pPr>
            <w:r>
              <w:rPr>
                <w:rFonts w:ascii="Calibri" w:hAnsi="Calibri" w:cs="Calibri"/>
                <w:color w:val="000000"/>
                <w:sz w:val="20"/>
                <w:szCs w:val="20"/>
              </w:rPr>
              <w:t>90</w:t>
            </w:r>
          </w:p>
        </w:tc>
        <w:tc>
          <w:tcPr>
            <w:tcW w:w="525" w:type="pct"/>
            <w:vAlign w:val="center"/>
          </w:tcPr>
          <w:p w14:paraId="0B5B3DFB" w14:textId="58C9CAF6" w:rsidR="00313F79" w:rsidRPr="003F6561" w:rsidRDefault="00631EF9" w:rsidP="00A274F0">
            <w:pPr>
              <w:jc w:val="center"/>
              <w:rPr>
                <w:sz w:val="20"/>
                <w:szCs w:val="20"/>
              </w:rPr>
            </w:pPr>
            <w:r>
              <w:rPr>
                <w:rFonts w:ascii="Calibri" w:hAnsi="Calibri" w:cs="Calibri"/>
                <w:color w:val="000000"/>
                <w:sz w:val="20"/>
                <w:szCs w:val="20"/>
              </w:rPr>
              <w:t>16.8</w:t>
            </w:r>
            <w:r w:rsidR="00313F79" w:rsidRPr="003F6561">
              <w:rPr>
                <w:rFonts w:ascii="Calibri" w:hAnsi="Calibri" w:cs="Calibri"/>
                <w:color w:val="000000"/>
                <w:sz w:val="20"/>
                <w:szCs w:val="20"/>
              </w:rPr>
              <w:t>%</w:t>
            </w:r>
          </w:p>
        </w:tc>
      </w:tr>
      <w:tr w:rsidR="003F6561" w:rsidRPr="00B80ED2" w14:paraId="6C9E0A3C" w14:textId="77777777" w:rsidTr="00F1403E">
        <w:trPr>
          <w:trHeight w:val="283"/>
        </w:trPr>
        <w:tc>
          <w:tcPr>
            <w:tcW w:w="1590" w:type="pct"/>
            <w:vAlign w:val="center"/>
          </w:tcPr>
          <w:p w14:paraId="3BD6F2A4" w14:textId="77777777" w:rsidR="00313F79" w:rsidRPr="003F6561" w:rsidRDefault="00313F79" w:rsidP="00A274F0">
            <w:pPr>
              <w:jc w:val="left"/>
              <w:rPr>
                <w:sz w:val="20"/>
                <w:szCs w:val="20"/>
              </w:rPr>
            </w:pPr>
            <w:r w:rsidRPr="003F6561">
              <w:rPr>
                <w:sz w:val="20"/>
                <w:szCs w:val="20"/>
              </w:rPr>
              <w:t>Large</w:t>
            </w:r>
          </w:p>
        </w:tc>
        <w:tc>
          <w:tcPr>
            <w:tcW w:w="2207" w:type="pct"/>
            <w:vAlign w:val="center"/>
          </w:tcPr>
          <w:p w14:paraId="40274057" w14:textId="77777777" w:rsidR="00313F79" w:rsidRPr="003F6561" w:rsidRDefault="00313F79" w:rsidP="00A274F0">
            <w:pPr>
              <w:jc w:val="left"/>
              <w:rPr>
                <w:sz w:val="20"/>
                <w:szCs w:val="20"/>
              </w:rPr>
            </w:pPr>
            <w:r w:rsidRPr="003F6561">
              <w:rPr>
                <w:sz w:val="20"/>
                <w:szCs w:val="20"/>
              </w:rPr>
              <w:t>More than $5,000,000</w:t>
            </w:r>
          </w:p>
        </w:tc>
        <w:tc>
          <w:tcPr>
            <w:tcW w:w="678" w:type="pct"/>
            <w:vAlign w:val="center"/>
          </w:tcPr>
          <w:p w14:paraId="3CDC1D60" w14:textId="7358B129" w:rsidR="00313F79" w:rsidRPr="003F6561" w:rsidRDefault="00631EF9" w:rsidP="00A274F0">
            <w:pPr>
              <w:jc w:val="center"/>
              <w:rPr>
                <w:sz w:val="20"/>
                <w:szCs w:val="20"/>
              </w:rPr>
            </w:pPr>
            <w:r>
              <w:rPr>
                <w:sz w:val="20"/>
                <w:szCs w:val="20"/>
              </w:rPr>
              <w:t>71</w:t>
            </w:r>
          </w:p>
        </w:tc>
        <w:tc>
          <w:tcPr>
            <w:tcW w:w="525" w:type="pct"/>
            <w:vAlign w:val="center"/>
          </w:tcPr>
          <w:p w14:paraId="635FC88F" w14:textId="3A53F5E5" w:rsidR="00313F79" w:rsidRPr="003F6561" w:rsidRDefault="00631EF9" w:rsidP="00A274F0">
            <w:pPr>
              <w:jc w:val="center"/>
              <w:rPr>
                <w:sz w:val="20"/>
                <w:szCs w:val="20"/>
              </w:rPr>
            </w:pPr>
            <w:r>
              <w:rPr>
                <w:rFonts w:ascii="Calibri" w:hAnsi="Calibri" w:cs="Calibri"/>
                <w:color w:val="000000"/>
                <w:sz w:val="20"/>
                <w:szCs w:val="20"/>
              </w:rPr>
              <w:t>13.3</w:t>
            </w:r>
            <w:r w:rsidR="00313F79" w:rsidRPr="003F6561">
              <w:rPr>
                <w:rFonts w:ascii="Calibri" w:hAnsi="Calibri" w:cs="Calibri"/>
                <w:color w:val="000000"/>
                <w:sz w:val="20"/>
                <w:szCs w:val="20"/>
              </w:rPr>
              <w:t>%</w:t>
            </w:r>
          </w:p>
        </w:tc>
      </w:tr>
      <w:tr w:rsidR="00EB677C" w:rsidRPr="00EB677C" w14:paraId="34EC8976" w14:textId="77777777" w:rsidTr="00355F89">
        <w:trPr>
          <w:trHeight w:val="283"/>
        </w:trPr>
        <w:tc>
          <w:tcPr>
            <w:tcW w:w="1590" w:type="pct"/>
            <w:shd w:val="clear" w:color="auto" w:fill="D9E2F3" w:themeFill="accent5" w:themeFillTint="33"/>
            <w:vAlign w:val="center"/>
          </w:tcPr>
          <w:p w14:paraId="017A457E" w14:textId="146BA3FA" w:rsidR="00EB677C" w:rsidRPr="00EB677C" w:rsidRDefault="00EB677C" w:rsidP="00A274F0">
            <w:pPr>
              <w:jc w:val="left"/>
              <w:rPr>
                <w:b/>
                <w:bCs/>
                <w:sz w:val="20"/>
                <w:szCs w:val="20"/>
              </w:rPr>
            </w:pPr>
            <w:r w:rsidRPr="00EB677C">
              <w:rPr>
                <w:b/>
                <w:bCs/>
                <w:sz w:val="20"/>
                <w:szCs w:val="20"/>
              </w:rPr>
              <w:t xml:space="preserve">Sub-total </w:t>
            </w:r>
          </w:p>
        </w:tc>
        <w:tc>
          <w:tcPr>
            <w:tcW w:w="2207" w:type="pct"/>
            <w:shd w:val="clear" w:color="auto" w:fill="D9E2F3" w:themeFill="accent5" w:themeFillTint="33"/>
            <w:vAlign w:val="center"/>
          </w:tcPr>
          <w:p w14:paraId="4AC89B4F" w14:textId="59004B60" w:rsidR="00EB677C" w:rsidRPr="00EB677C" w:rsidRDefault="00991DF0" w:rsidP="00A274F0">
            <w:pPr>
              <w:jc w:val="left"/>
              <w:rPr>
                <w:b/>
                <w:bCs/>
                <w:sz w:val="20"/>
                <w:szCs w:val="20"/>
              </w:rPr>
            </w:pPr>
            <w:r>
              <w:rPr>
                <w:b/>
                <w:bCs/>
                <w:sz w:val="20"/>
                <w:szCs w:val="20"/>
              </w:rPr>
              <w:t xml:space="preserve">Used for </w:t>
            </w:r>
            <w:r w:rsidR="00355F89">
              <w:rPr>
                <w:b/>
                <w:bCs/>
                <w:sz w:val="20"/>
                <w:szCs w:val="20"/>
              </w:rPr>
              <w:t>D</w:t>
            </w:r>
            <w:r>
              <w:rPr>
                <w:b/>
                <w:bCs/>
                <w:sz w:val="20"/>
                <w:szCs w:val="20"/>
              </w:rPr>
              <w:t>etail</w:t>
            </w:r>
            <w:r w:rsidR="00355F89">
              <w:rPr>
                <w:b/>
                <w:bCs/>
                <w:sz w:val="20"/>
                <w:szCs w:val="20"/>
              </w:rPr>
              <w:t>ed</w:t>
            </w:r>
            <w:r>
              <w:rPr>
                <w:b/>
                <w:bCs/>
                <w:sz w:val="20"/>
                <w:szCs w:val="20"/>
              </w:rPr>
              <w:t xml:space="preserve"> Analysis</w:t>
            </w:r>
          </w:p>
        </w:tc>
        <w:tc>
          <w:tcPr>
            <w:tcW w:w="678" w:type="pct"/>
            <w:shd w:val="clear" w:color="auto" w:fill="D9E2F3" w:themeFill="accent5" w:themeFillTint="33"/>
            <w:vAlign w:val="center"/>
          </w:tcPr>
          <w:p w14:paraId="0CFB09CF" w14:textId="1D9B6B27" w:rsidR="00EB677C" w:rsidRPr="00EB677C" w:rsidRDefault="00631EF9" w:rsidP="00A274F0">
            <w:pPr>
              <w:jc w:val="center"/>
              <w:rPr>
                <w:b/>
                <w:bCs/>
                <w:sz w:val="20"/>
                <w:szCs w:val="20"/>
              </w:rPr>
            </w:pPr>
            <w:r>
              <w:rPr>
                <w:b/>
                <w:bCs/>
                <w:sz w:val="20"/>
                <w:szCs w:val="20"/>
              </w:rPr>
              <w:t>535</w:t>
            </w:r>
          </w:p>
        </w:tc>
        <w:tc>
          <w:tcPr>
            <w:tcW w:w="525" w:type="pct"/>
            <w:shd w:val="clear" w:color="auto" w:fill="D9E2F3" w:themeFill="accent5" w:themeFillTint="33"/>
            <w:vAlign w:val="center"/>
          </w:tcPr>
          <w:p w14:paraId="15B3FC8E" w14:textId="0F7E73A6" w:rsidR="00EB677C" w:rsidRPr="00EB677C" w:rsidRDefault="00EB677C" w:rsidP="00A274F0">
            <w:pPr>
              <w:jc w:val="center"/>
              <w:rPr>
                <w:rFonts w:ascii="Calibri" w:hAnsi="Calibri" w:cs="Calibri"/>
                <w:b/>
                <w:bCs/>
                <w:color w:val="000000"/>
                <w:sz w:val="20"/>
                <w:szCs w:val="20"/>
              </w:rPr>
            </w:pPr>
            <w:r w:rsidRPr="00EB677C">
              <w:rPr>
                <w:rFonts w:ascii="Calibri" w:hAnsi="Calibri" w:cs="Calibri"/>
                <w:b/>
                <w:bCs/>
                <w:color w:val="000000"/>
                <w:sz w:val="20"/>
                <w:szCs w:val="20"/>
              </w:rPr>
              <w:t>100</w:t>
            </w:r>
            <w:r w:rsidR="00631EF9">
              <w:rPr>
                <w:rFonts w:ascii="Calibri" w:hAnsi="Calibri" w:cs="Calibri"/>
                <w:b/>
                <w:bCs/>
                <w:color w:val="000000"/>
                <w:sz w:val="20"/>
                <w:szCs w:val="20"/>
              </w:rPr>
              <w:t>.0</w:t>
            </w:r>
            <w:r w:rsidRPr="00EB677C">
              <w:rPr>
                <w:rFonts w:ascii="Calibri" w:hAnsi="Calibri" w:cs="Calibri"/>
                <w:b/>
                <w:bCs/>
                <w:color w:val="000000"/>
                <w:sz w:val="20"/>
                <w:szCs w:val="20"/>
              </w:rPr>
              <w:t>%</w:t>
            </w:r>
          </w:p>
        </w:tc>
      </w:tr>
      <w:tr w:rsidR="00631EF9" w:rsidRPr="00B80ED2" w14:paraId="1CB8083B" w14:textId="77777777" w:rsidTr="00F1403E">
        <w:trPr>
          <w:trHeight w:val="283"/>
        </w:trPr>
        <w:tc>
          <w:tcPr>
            <w:tcW w:w="1590" w:type="pct"/>
            <w:vAlign w:val="center"/>
          </w:tcPr>
          <w:p w14:paraId="0BF269C4" w14:textId="69ACA2C7" w:rsidR="00631EF9" w:rsidRDefault="0082079C" w:rsidP="007D156D">
            <w:pPr>
              <w:jc w:val="left"/>
              <w:rPr>
                <w:sz w:val="20"/>
                <w:szCs w:val="20"/>
              </w:rPr>
            </w:pPr>
            <w:r>
              <w:rPr>
                <w:sz w:val="20"/>
                <w:szCs w:val="20"/>
              </w:rPr>
              <w:t>Government</w:t>
            </w:r>
          </w:p>
        </w:tc>
        <w:tc>
          <w:tcPr>
            <w:tcW w:w="2207" w:type="pct"/>
            <w:vAlign w:val="center"/>
          </w:tcPr>
          <w:p w14:paraId="6DD03A13" w14:textId="030BD0EC" w:rsidR="00631EF9" w:rsidRPr="003F6561" w:rsidRDefault="0082079C" w:rsidP="007D156D">
            <w:pPr>
              <w:jc w:val="left"/>
              <w:rPr>
                <w:sz w:val="20"/>
                <w:szCs w:val="20"/>
              </w:rPr>
            </w:pPr>
            <w:r>
              <w:rPr>
                <w:sz w:val="20"/>
                <w:szCs w:val="20"/>
              </w:rPr>
              <w:t>Excluded (a)</w:t>
            </w:r>
          </w:p>
        </w:tc>
        <w:tc>
          <w:tcPr>
            <w:tcW w:w="678" w:type="pct"/>
            <w:vAlign w:val="center"/>
          </w:tcPr>
          <w:p w14:paraId="6850DBBE" w14:textId="1E5EA3AF" w:rsidR="00631EF9" w:rsidRDefault="0082079C" w:rsidP="007D156D">
            <w:pPr>
              <w:jc w:val="center"/>
              <w:rPr>
                <w:sz w:val="20"/>
                <w:szCs w:val="20"/>
              </w:rPr>
            </w:pPr>
            <w:r>
              <w:rPr>
                <w:sz w:val="20"/>
                <w:szCs w:val="20"/>
              </w:rPr>
              <w:t>88</w:t>
            </w:r>
          </w:p>
        </w:tc>
        <w:tc>
          <w:tcPr>
            <w:tcW w:w="525" w:type="pct"/>
            <w:vAlign w:val="center"/>
          </w:tcPr>
          <w:p w14:paraId="010AF725" w14:textId="77777777" w:rsidR="00631EF9" w:rsidRPr="003F6561" w:rsidRDefault="00631EF9" w:rsidP="007D156D">
            <w:pPr>
              <w:jc w:val="center"/>
              <w:rPr>
                <w:rFonts w:ascii="Calibri" w:hAnsi="Calibri" w:cs="Calibri"/>
                <w:color w:val="000000"/>
                <w:sz w:val="20"/>
                <w:szCs w:val="20"/>
              </w:rPr>
            </w:pPr>
          </w:p>
        </w:tc>
      </w:tr>
      <w:tr w:rsidR="007D156D" w:rsidRPr="00B80ED2" w14:paraId="308BF6E1" w14:textId="77777777" w:rsidTr="00F1403E">
        <w:trPr>
          <w:trHeight w:val="283"/>
        </w:trPr>
        <w:tc>
          <w:tcPr>
            <w:tcW w:w="1590" w:type="pct"/>
            <w:vAlign w:val="center"/>
          </w:tcPr>
          <w:p w14:paraId="7B9071DF" w14:textId="4CF39764" w:rsidR="007D156D" w:rsidRPr="003F6561" w:rsidRDefault="0082079C" w:rsidP="007D156D">
            <w:pPr>
              <w:jc w:val="left"/>
              <w:rPr>
                <w:sz w:val="20"/>
                <w:szCs w:val="20"/>
              </w:rPr>
            </w:pPr>
            <w:r>
              <w:rPr>
                <w:sz w:val="20"/>
                <w:szCs w:val="20"/>
              </w:rPr>
              <w:t>Excluded</w:t>
            </w:r>
          </w:p>
        </w:tc>
        <w:tc>
          <w:tcPr>
            <w:tcW w:w="2207" w:type="pct"/>
            <w:vAlign w:val="center"/>
          </w:tcPr>
          <w:p w14:paraId="6F6D8433" w14:textId="6D544A5B" w:rsidR="007D156D" w:rsidRPr="003F6561" w:rsidRDefault="0082079C" w:rsidP="007D156D">
            <w:pPr>
              <w:jc w:val="left"/>
              <w:rPr>
                <w:sz w:val="20"/>
                <w:szCs w:val="20"/>
              </w:rPr>
            </w:pPr>
            <w:r>
              <w:rPr>
                <w:sz w:val="20"/>
                <w:szCs w:val="20"/>
              </w:rPr>
              <w:t>Key data not provided (b)</w:t>
            </w:r>
          </w:p>
        </w:tc>
        <w:tc>
          <w:tcPr>
            <w:tcW w:w="678" w:type="pct"/>
            <w:vAlign w:val="center"/>
          </w:tcPr>
          <w:p w14:paraId="57759309" w14:textId="77950E31" w:rsidR="007D156D" w:rsidRDefault="0082079C" w:rsidP="007D156D">
            <w:pPr>
              <w:jc w:val="center"/>
              <w:rPr>
                <w:sz w:val="20"/>
                <w:szCs w:val="20"/>
              </w:rPr>
            </w:pPr>
            <w:r>
              <w:rPr>
                <w:sz w:val="20"/>
                <w:szCs w:val="20"/>
              </w:rPr>
              <w:t>114</w:t>
            </w:r>
          </w:p>
        </w:tc>
        <w:tc>
          <w:tcPr>
            <w:tcW w:w="525" w:type="pct"/>
            <w:vAlign w:val="center"/>
          </w:tcPr>
          <w:p w14:paraId="54969982" w14:textId="77777777" w:rsidR="007D156D" w:rsidRPr="003F6561" w:rsidRDefault="007D156D" w:rsidP="007D156D">
            <w:pPr>
              <w:jc w:val="center"/>
              <w:rPr>
                <w:rFonts w:ascii="Calibri" w:hAnsi="Calibri" w:cs="Calibri"/>
                <w:color w:val="000000"/>
                <w:sz w:val="20"/>
                <w:szCs w:val="20"/>
              </w:rPr>
            </w:pPr>
          </w:p>
        </w:tc>
      </w:tr>
      <w:tr w:rsidR="007D156D" w:rsidRPr="00B80ED2" w14:paraId="0545DD32" w14:textId="77777777" w:rsidTr="00F1403E">
        <w:trPr>
          <w:trHeight w:val="283"/>
        </w:trPr>
        <w:tc>
          <w:tcPr>
            <w:tcW w:w="1590" w:type="pct"/>
            <w:shd w:val="clear" w:color="auto" w:fill="FFE599" w:themeFill="accent4" w:themeFillTint="66"/>
          </w:tcPr>
          <w:p w14:paraId="05FB9C68" w14:textId="77777777" w:rsidR="007D156D" w:rsidRPr="00F1403E" w:rsidRDefault="007D156D" w:rsidP="007D156D">
            <w:pPr>
              <w:rPr>
                <w:b/>
                <w:sz w:val="20"/>
                <w:szCs w:val="20"/>
              </w:rPr>
            </w:pPr>
            <w:r w:rsidRPr="00F1403E">
              <w:rPr>
                <w:b/>
                <w:sz w:val="20"/>
                <w:szCs w:val="20"/>
              </w:rPr>
              <w:t xml:space="preserve">Total </w:t>
            </w:r>
          </w:p>
        </w:tc>
        <w:tc>
          <w:tcPr>
            <w:tcW w:w="2207" w:type="pct"/>
            <w:shd w:val="clear" w:color="auto" w:fill="FFE599" w:themeFill="accent4" w:themeFillTint="66"/>
          </w:tcPr>
          <w:p w14:paraId="20ABF7F5" w14:textId="77777777" w:rsidR="007D156D" w:rsidRPr="003F6561" w:rsidRDefault="007D156D" w:rsidP="007D156D">
            <w:pPr>
              <w:rPr>
                <w:sz w:val="20"/>
                <w:szCs w:val="20"/>
              </w:rPr>
            </w:pPr>
          </w:p>
        </w:tc>
        <w:tc>
          <w:tcPr>
            <w:tcW w:w="678" w:type="pct"/>
            <w:shd w:val="clear" w:color="auto" w:fill="FFE599" w:themeFill="accent4" w:themeFillTint="66"/>
            <w:vAlign w:val="center"/>
          </w:tcPr>
          <w:p w14:paraId="005431FF" w14:textId="001310B6" w:rsidR="007D156D" w:rsidRPr="003F6561" w:rsidRDefault="00991DF0" w:rsidP="007D156D">
            <w:pPr>
              <w:jc w:val="center"/>
              <w:rPr>
                <w:sz w:val="20"/>
                <w:szCs w:val="20"/>
              </w:rPr>
            </w:pPr>
            <w:r>
              <w:rPr>
                <w:rFonts w:ascii="Calibri" w:hAnsi="Calibri" w:cs="Calibri"/>
                <w:b/>
                <w:bCs/>
                <w:color w:val="000000"/>
                <w:sz w:val="20"/>
                <w:szCs w:val="20"/>
              </w:rPr>
              <w:t>73</w:t>
            </w:r>
            <w:r w:rsidR="0082079C">
              <w:rPr>
                <w:rFonts w:ascii="Calibri" w:hAnsi="Calibri" w:cs="Calibri"/>
                <w:b/>
                <w:bCs/>
                <w:color w:val="000000"/>
                <w:sz w:val="20"/>
                <w:szCs w:val="20"/>
              </w:rPr>
              <w:t>7</w:t>
            </w:r>
          </w:p>
        </w:tc>
        <w:tc>
          <w:tcPr>
            <w:tcW w:w="525" w:type="pct"/>
            <w:shd w:val="clear" w:color="auto" w:fill="FFE599" w:themeFill="accent4" w:themeFillTint="66"/>
            <w:vAlign w:val="center"/>
          </w:tcPr>
          <w:p w14:paraId="390EBBC2" w14:textId="6594B55F" w:rsidR="007D156D" w:rsidRPr="00F1403E" w:rsidRDefault="007D156D" w:rsidP="007D156D">
            <w:pPr>
              <w:jc w:val="center"/>
              <w:rPr>
                <w:b/>
                <w:sz w:val="20"/>
                <w:szCs w:val="20"/>
              </w:rPr>
            </w:pPr>
          </w:p>
        </w:tc>
      </w:tr>
    </w:tbl>
    <w:p w14:paraId="595642C6" w14:textId="5EBE4CFE" w:rsidR="00313F79" w:rsidRDefault="00313F79" w:rsidP="008D2E65"/>
    <w:p w14:paraId="247AEE0C" w14:textId="77777777" w:rsidR="00631EF9" w:rsidRDefault="00631EF9" w:rsidP="00631EF9">
      <w:r w:rsidRPr="0012463A">
        <w:rPr>
          <w:b/>
          <w:i/>
        </w:rPr>
        <w:t>Liquid assets</w:t>
      </w:r>
      <w:r>
        <w:t xml:space="preserve"> include operating cash balances, deposits with Authorised Deposit taking Institutions; financial assets (managed funds, equity investments or similar publicly traded securities) and excludes any related party receivables as these are not considered to be liquid or readily redeemable.</w:t>
      </w:r>
    </w:p>
    <w:p w14:paraId="1B0B1B01" w14:textId="77777777" w:rsidR="00631EF9" w:rsidRDefault="00631EF9" w:rsidP="00631EF9"/>
    <w:p w14:paraId="1417A445" w14:textId="100EC8B9" w:rsidR="00631EF9" w:rsidRDefault="00631EF9" w:rsidP="00631EF9">
      <w:r>
        <w:t xml:space="preserve">It should be noted that the analysis for the HCP segment data </w:t>
      </w:r>
      <w:r w:rsidRPr="00DC79C5">
        <w:t xml:space="preserve">is based on the </w:t>
      </w:r>
      <w:r>
        <w:t>liquid financial assets</w:t>
      </w:r>
      <w:r w:rsidRPr="00DC79C5">
        <w:t xml:space="preserve"> allocated to the Home Care segment. </w:t>
      </w:r>
      <w:r>
        <w:t xml:space="preserve">In many cases it is clear that the amount that has been allocated to the segment is equal to the unspent funds balance. </w:t>
      </w:r>
      <w:r w:rsidRPr="00DC79C5">
        <w:t xml:space="preserve">It is likely that most of these </w:t>
      </w:r>
      <w:r w:rsidR="00AD67F0">
        <w:t>AP</w:t>
      </w:r>
      <w:r w:rsidRPr="00DC79C5">
        <w:t>s will have additional sources of cash and liquid assets at the provider (consolidated) level.</w:t>
      </w:r>
      <w:r>
        <w:t xml:space="preserve"> </w:t>
      </w:r>
    </w:p>
    <w:p w14:paraId="2230C871" w14:textId="448652FE" w:rsidR="00D95231" w:rsidRDefault="00D95231" w:rsidP="00631EF9"/>
    <w:p w14:paraId="702AC019" w14:textId="36E54BAA" w:rsidR="00D95231" w:rsidRDefault="00D95231" w:rsidP="00631EF9">
      <w:r>
        <w:t>StewartBrown data has been used to supplement the FY19 ACFR data where appropriate to provide a further level of analysis and to support, or contradict as may be the case, the information provided in the ACFR. StewartBrown data has undergone a comprehensive data cleansing process to ensure its accuracy. At the time of receiving the ACFR data, this would not have been able to take place for all data received.</w:t>
      </w:r>
    </w:p>
    <w:p w14:paraId="459C9E8A" w14:textId="1E8037D0" w:rsidR="0069046F" w:rsidRDefault="0069046F" w:rsidP="008D2E65">
      <w:r>
        <w:br w:type="page"/>
      </w:r>
    </w:p>
    <w:p w14:paraId="62ED84DB" w14:textId="70605029" w:rsidR="008D2E65" w:rsidRDefault="00D95231" w:rsidP="00486B6C">
      <w:pPr>
        <w:pStyle w:val="Heading2"/>
      </w:pPr>
      <w:bookmarkStart w:id="53" w:name="_Toc26870723"/>
      <w:r>
        <w:lastRenderedPageBreak/>
        <w:t xml:space="preserve">Impact of Phase 1 - Deferring Payment of the Normal Subsidy for One </w:t>
      </w:r>
      <w:r w:rsidR="000063F0">
        <w:t>M</w:t>
      </w:r>
      <w:r>
        <w:t>onth</w:t>
      </w:r>
      <w:bookmarkEnd w:id="53"/>
    </w:p>
    <w:p w14:paraId="41AA18E5" w14:textId="3DC77B9A" w:rsidR="00A30C3E" w:rsidRDefault="00D95231" w:rsidP="008D2E65">
      <w:r>
        <w:t xml:space="preserve">In Phase </w:t>
      </w:r>
      <w:r w:rsidR="008B3A8F">
        <w:t>O</w:t>
      </w:r>
      <w:r>
        <w:t xml:space="preserve">ne of the implementation process it is proposed that in June 2020 DHS (Medicare) will pay the normal </w:t>
      </w:r>
      <w:r w:rsidR="0090615C">
        <w:t>HCP s</w:t>
      </w:r>
      <w:r>
        <w:t xml:space="preserve">ubsidy due to </w:t>
      </w:r>
      <w:r w:rsidR="0090615C">
        <w:t>AP</w:t>
      </w:r>
      <w:r>
        <w:t>s at the end of the month instead of at the beginning of the month. In effect this is the transition to an arrears payment system and the effect will be to defer the cash flow from the Government subsidy, less any ITCF for one month</w:t>
      </w:r>
    </w:p>
    <w:p w14:paraId="62FFD8A9" w14:textId="0C27A52A" w:rsidR="00D95231" w:rsidRDefault="00D95231" w:rsidP="008D2E65"/>
    <w:p w14:paraId="67F7E099" w14:textId="219AE097" w:rsidR="00D95231" w:rsidRDefault="00D95231" w:rsidP="00DB3A5F">
      <w:pPr>
        <w:pStyle w:val="SubHeading"/>
      </w:pPr>
      <w:r>
        <w:t>Impact on Approved Providers</w:t>
      </w:r>
    </w:p>
    <w:p w14:paraId="4DA6D06E" w14:textId="42AEA741" w:rsidR="0069046F" w:rsidRDefault="0069046F" w:rsidP="0069046F">
      <w:r>
        <w:t xml:space="preserve">While the deferral of the payment will affect the timing of cash flows for all </w:t>
      </w:r>
      <w:r w:rsidR="0090615C">
        <w:t>AP</w:t>
      </w:r>
      <w:r>
        <w:t xml:space="preserve">s, a vulnerable </w:t>
      </w:r>
      <w:r w:rsidR="0090615C">
        <w:t>AP</w:t>
      </w:r>
      <w:r>
        <w:t xml:space="preserve"> will be one that will not have sufficient working capital to sustain that cash flow effect.</w:t>
      </w:r>
    </w:p>
    <w:p w14:paraId="4180080B" w14:textId="67C15A0C" w:rsidR="0069046F" w:rsidRDefault="0069046F" w:rsidP="0069046F"/>
    <w:p w14:paraId="7FA86635" w14:textId="15FB47FA" w:rsidR="0069046F" w:rsidRDefault="0069046F" w:rsidP="0069046F">
      <w:r>
        <w:t xml:space="preserve">The normal cash flows of </w:t>
      </w:r>
      <w:r w:rsidR="0090615C">
        <w:t>AP</w:t>
      </w:r>
      <w:r>
        <w:t>s on a monthly basis, as they currently stand are typified as follows:</w:t>
      </w:r>
    </w:p>
    <w:p w14:paraId="09B76B0D" w14:textId="46FDEF84" w:rsidR="005453C7" w:rsidRDefault="005453C7" w:rsidP="005453C7">
      <w:pPr>
        <w:pStyle w:val="Caption"/>
        <w:keepNext/>
      </w:pPr>
      <w:r>
        <w:t xml:space="preserve">Table </w:t>
      </w:r>
      <w:fldSimple w:instr=" SEQ Table \* ARABIC ">
        <w:r w:rsidR="00844346">
          <w:rPr>
            <w:noProof/>
          </w:rPr>
          <w:t>12</w:t>
        </w:r>
      </w:fldSimple>
      <w:r>
        <w:t>: Illustration of the typical timing of cash flows for a Home Care Provider</w:t>
      </w:r>
    </w:p>
    <w:tbl>
      <w:tblPr>
        <w:tblStyle w:val="DefaultTable1"/>
        <w:tblW w:w="0" w:type="auto"/>
        <w:tblCellMar>
          <w:top w:w="28" w:type="dxa"/>
          <w:bottom w:w="28" w:type="dxa"/>
        </w:tblCellMar>
        <w:tblLook w:val="04A0" w:firstRow="1" w:lastRow="0" w:firstColumn="1" w:lastColumn="0" w:noHBand="0" w:noVBand="1"/>
        <w:tblCaption w:val="Table 12: Illustration of the typical timing of cash flows for a Home Care Provider"/>
      </w:tblPr>
      <w:tblGrid>
        <w:gridCol w:w="3256"/>
        <w:gridCol w:w="1593"/>
        <w:gridCol w:w="1593"/>
        <w:gridCol w:w="1593"/>
      </w:tblGrid>
      <w:tr w:rsidR="00CE01A0" w14:paraId="06524C95" w14:textId="77777777" w:rsidTr="003636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6" w:type="dxa"/>
          </w:tcPr>
          <w:p w14:paraId="049CEBC4" w14:textId="49765DAF" w:rsidR="00CE01A0" w:rsidRDefault="00CE01A0" w:rsidP="0069046F">
            <w:pPr>
              <w:spacing w:before="0" w:after="0"/>
            </w:pPr>
            <w:r>
              <w:t>Cash flow</w:t>
            </w:r>
          </w:p>
        </w:tc>
        <w:tc>
          <w:tcPr>
            <w:tcW w:w="1593" w:type="dxa"/>
            <w:vAlign w:val="center"/>
          </w:tcPr>
          <w:p w14:paraId="130D8371" w14:textId="14ED60B4" w:rsidR="00CE01A0" w:rsidRDefault="00CE01A0" w:rsidP="0069046F">
            <w:pPr>
              <w:spacing w:before="0" w:after="0"/>
              <w:jc w:val="center"/>
              <w:cnfStyle w:val="100000000000" w:firstRow="1" w:lastRow="0" w:firstColumn="0" w:lastColumn="0" w:oddVBand="0" w:evenVBand="0" w:oddHBand="0" w:evenHBand="0" w:firstRowFirstColumn="0" w:firstRowLastColumn="0" w:lastRowFirstColumn="0" w:lastRowLastColumn="0"/>
            </w:pPr>
            <w:r>
              <w:t>Beginning of the Month</w:t>
            </w:r>
          </w:p>
        </w:tc>
        <w:tc>
          <w:tcPr>
            <w:tcW w:w="1593" w:type="dxa"/>
            <w:vAlign w:val="center"/>
          </w:tcPr>
          <w:p w14:paraId="3CF127B7" w14:textId="105B8D6D" w:rsidR="00CE01A0" w:rsidRDefault="00CE01A0" w:rsidP="0069046F">
            <w:pPr>
              <w:spacing w:before="0" w:after="0"/>
              <w:jc w:val="center"/>
              <w:cnfStyle w:val="100000000000" w:firstRow="1" w:lastRow="0" w:firstColumn="0" w:lastColumn="0" w:oddVBand="0" w:evenVBand="0" w:oddHBand="0" w:evenHBand="0" w:firstRowFirstColumn="0" w:firstRowLastColumn="0" w:lastRowFirstColumn="0" w:lastRowLastColumn="0"/>
            </w:pPr>
            <w:r>
              <w:t>During the Month</w:t>
            </w:r>
          </w:p>
        </w:tc>
        <w:tc>
          <w:tcPr>
            <w:tcW w:w="1593" w:type="dxa"/>
            <w:vAlign w:val="center"/>
          </w:tcPr>
          <w:p w14:paraId="3D208E48" w14:textId="78426295" w:rsidR="00CE01A0" w:rsidRDefault="00CE01A0" w:rsidP="0069046F">
            <w:pPr>
              <w:spacing w:before="0" w:after="0"/>
              <w:jc w:val="center"/>
              <w:cnfStyle w:val="100000000000" w:firstRow="1" w:lastRow="0" w:firstColumn="0" w:lastColumn="0" w:oddVBand="0" w:evenVBand="0" w:oddHBand="0" w:evenHBand="0" w:firstRowFirstColumn="0" w:firstRowLastColumn="0" w:lastRowFirstColumn="0" w:lastRowLastColumn="0"/>
            </w:pPr>
            <w:r>
              <w:t xml:space="preserve">End of the </w:t>
            </w:r>
            <w:r w:rsidR="00E735C3">
              <w:t>M</w:t>
            </w:r>
            <w:r>
              <w:t>onth</w:t>
            </w:r>
          </w:p>
        </w:tc>
      </w:tr>
      <w:tr w:rsidR="00CE01A0" w14:paraId="1BE87BA9" w14:textId="77777777" w:rsidTr="006904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2A24974" w14:textId="31676020" w:rsidR="00CE01A0" w:rsidRDefault="00CE01A0" w:rsidP="0069046F">
            <w:pPr>
              <w:spacing w:before="0" w:after="0"/>
            </w:pPr>
            <w:r>
              <w:t xml:space="preserve">Bill clients </w:t>
            </w:r>
            <w:r w:rsidR="008B3A8F">
              <w:t>B</w:t>
            </w:r>
            <w:r>
              <w:t xml:space="preserve">asic </w:t>
            </w:r>
            <w:r w:rsidR="008B3A8F">
              <w:t>D</w:t>
            </w:r>
            <w:r>
              <w:t xml:space="preserve">aily </w:t>
            </w:r>
            <w:r w:rsidR="008B3A8F">
              <w:t>F</w:t>
            </w:r>
            <w:r>
              <w:t>ee</w:t>
            </w:r>
          </w:p>
        </w:tc>
        <w:tc>
          <w:tcPr>
            <w:tcW w:w="1593" w:type="dxa"/>
            <w:vAlign w:val="center"/>
          </w:tcPr>
          <w:p w14:paraId="66E8D0F0" w14:textId="6B43FDFC" w:rsidR="00CE01A0" w:rsidRPr="0069046F" w:rsidRDefault="00CE01A0" w:rsidP="0069046F">
            <w:pPr>
              <w:spacing w:before="0" w:after="0"/>
              <w:jc w:val="center"/>
              <w:cnfStyle w:val="000000100000" w:firstRow="0" w:lastRow="0" w:firstColumn="0" w:lastColumn="0" w:oddVBand="0" w:evenVBand="0" w:oddHBand="1" w:evenHBand="0" w:firstRowFirstColumn="0" w:firstRowLastColumn="0" w:lastRowFirstColumn="0" w:lastRowLastColumn="0"/>
              <w:rPr>
                <w:b/>
                <w:color w:val="00B050"/>
              </w:rPr>
            </w:pPr>
            <w:r w:rsidRPr="0069046F">
              <w:rPr>
                <w:b/>
                <w:color w:val="00B050"/>
              </w:rPr>
              <w:sym w:font="Wingdings" w:char="F0FC"/>
            </w:r>
          </w:p>
        </w:tc>
        <w:tc>
          <w:tcPr>
            <w:tcW w:w="1593" w:type="dxa"/>
            <w:vAlign w:val="center"/>
          </w:tcPr>
          <w:p w14:paraId="6651ABB2" w14:textId="77777777" w:rsidR="00CE01A0" w:rsidRDefault="00CE01A0" w:rsidP="0069046F">
            <w:pPr>
              <w:spacing w:before="0" w:after="0"/>
              <w:jc w:val="center"/>
              <w:cnfStyle w:val="000000100000" w:firstRow="0" w:lastRow="0" w:firstColumn="0" w:lastColumn="0" w:oddVBand="0" w:evenVBand="0" w:oddHBand="1" w:evenHBand="0" w:firstRowFirstColumn="0" w:firstRowLastColumn="0" w:lastRowFirstColumn="0" w:lastRowLastColumn="0"/>
            </w:pPr>
          </w:p>
        </w:tc>
        <w:tc>
          <w:tcPr>
            <w:tcW w:w="1593" w:type="dxa"/>
            <w:vAlign w:val="center"/>
          </w:tcPr>
          <w:p w14:paraId="25280492" w14:textId="77777777" w:rsidR="00CE01A0" w:rsidRDefault="00CE01A0" w:rsidP="0069046F">
            <w:pPr>
              <w:spacing w:before="0" w:after="0"/>
              <w:jc w:val="center"/>
              <w:cnfStyle w:val="000000100000" w:firstRow="0" w:lastRow="0" w:firstColumn="0" w:lastColumn="0" w:oddVBand="0" w:evenVBand="0" w:oddHBand="1" w:evenHBand="0" w:firstRowFirstColumn="0" w:firstRowLastColumn="0" w:lastRowFirstColumn="0" w:lastRowLastColumn="0"/>
            </w:pPr>
          </w:p>
        </w:tc>
      </w:tr>
      <w:tr w:rsidR="00CE01A0" w14:paraId="0404B1BC" w14:textId="77777777" w:rsidTr="006904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0DCD3B1" w14:textId="72AC8661" w:rsidR="00CE01A0" w:rsidRDefault="00CE01A0" w:rsidP="0069046F">
            <w:pPr>
              <w:spacing w:before="0" w:after="0"/>
            </w:pPr>
            <w:r>
              <w:t>Bill clients for ITCF</w:t>
            </w:r>
          </w:p>
        </w:tc>
        <w:tc>
          <w:tcPr>
            <w:tcW w:w="1593" w:type="dxa"/>
            <w:vAlign w:val="center"/>
          </w:tcPr>
          <w:p w14:paraId="72B20A36" w14:textId="2A7398E5" w:rsidR="00CE01A0" w:rsidRPr="0069046F" w:rsidRDefault="00CE01A0" w:rsidP="0069046F">
            <w:pPr>
              <w:spacing w:before="0" w:after="0"/>
              <w:jc w:val="center"/>
              <w:cnfStyle w:val="000000010000" w:firstRow="0" w:lastRow="0" w:firstColumn="0" w:lastColumn="0" w:oddVBand="0" w:evenVBand="0" w:oddHBand="0" w:evenHBand="1" w:firstRowFirstColumn="0" w:firstRowLastColumn="0" w:lastRowFirstColumn="0" w:lastRowLastColumn="0"/>
              <w:rPr>
                <w:b/>
                <w:color w:val="00B050"/>
              </w:rPr>
            </w:pPr>
            <w:r w:rsidRPr="0069046F">
              <w:rPr>
                <w:b/>
                <w:color w:val="00B050"/>
              </w:rPr>
              <w:sym w:font="Wingdings" w:char="F0FC"/>
            </w:r>
          </w:p>
        </w:tc>
        <w:tc>
          <w:tcPr>
            <w:tcW w:w="1593" w:type="dxa"/>
            <w:vAlign w:val="center"/>
          </w:tcPr>
          <w:p w14:paraId="0FBD9502" w14:textId="77777777" w:rsidR="00CE01A0" w:rsidRDefault="00CE01A0" w:rsidP="0069046F">
            <w:pPr>
              <w:spacing w:before="0" w:after="0"/>
              <w:jc w:val="center"/>
              <w:cnfStyle w:val="000000010000" w:firstRow="0" w:lastRow="0" w:firstColumn="0" w:lastColumn="0" w:oddVBand="0" w:evenVBand="0" w:oddHBand="0" w:evenHBand="1" w:firstRowFirstColumn="0" w:firstRowLastColumn="0" w:lastRowFirstColumn="0" w:lastRowLastColumn="0"/>
            </w:pPr>
          </w:p>
        </w:tc>
        <w:tc>
          <w:tcPr>
            <w:tcW w:w="1593" w:type="dxa"/>
            <w:vAlign w:val="center"/>
          </w:tcPr>
          <w:p w14:paraId="4C8E9B8C" w14:textId="77777777" w:rsidR="00CE01A0" w:rsidRDefault="00CE01A0" w:rsidP="0069046F">
            <w:pPr>
              <w:spacing w:before="0" w:after="0"/>
              <w:jc w:val="center"/>
              <w:cnfStyle w:val="000000010000" w:firstRow="0" w:lastRow="0" w:firstColumn="0" w:lastColumn="0" w:oddVBand="0" w:evenVBand="0" w:oddHBand="0" w:evenHBand="1" w:firstRowFirstColumn="0" w:firstRowLastColumn="0" w:lastRowFirstColumn="0" w:lastRowLastColumn="0"/>
            </w:pPr>
          </w:p>
        </w:tc>
      </w:tr>
      <w:tr w:rsidR="00CE01A0" w14:paraId="27AA9877" w14:textId="77777777" w:rsidTr="006904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323377D" w14:textId="4B3B15F6" w:rsidR="00CE01A0" w:rsidRDefault="00CE01A0" w:rsidP="0069046F">
            <w:pPr>
              <w:spacing w:before="0" w:after="0"/>
            </w:pPr>
            <w:r>
              <w:t xml:space="preserve">Receipt of </w:t>
            </w:r>
            <w:r w:rsidR="008B3A8F">
              <w:t>s</w:t>
            </w:r>
            <w:r>
              <w:t>ubsidy in advance</w:t>
            </w:r>
          </w:p>
        </w:tc>
        <w:tc>
          <w:tcPr>
            <w:tcW w:w="1593" w:type="dxa"/>
            <w:vAlign w:val="center"/>
          </w:tcPr>
          <w:p w14:paraId="3914871C" w14:textId="2FBD55D8" w:rsidR="00CE01A0" w:rsidRPr="0069046F" w:rsidRDefault="00CE01A0" w:rsidP="0069046F">
            <w:pPr>
              <w:spacing w:before="0" w:after="0"/>
              <w:jc w:val="center"/>
              <w:cnfStyle w:val="000000100000" w:firstRow="0" w:lastRow="0" w:firstColumn="0" w:lastColumn="0" w:oddVBand="0" w:evenVBand="0" w:oddHBand="1" w:evenHBand="0" w:firstRowFirstColumn="0" w:firstRowLastColumn="0" w:lastRowFirstColumn="0" w:lastRowLastColumn="0"/>
              <w:rPr>
                <w:b/>
                <w:color w:val="00B050"/>
              </w:rPr>
            </w:pPr>
            <w:r w:rsidRPr="0069046F">
              <w:rPr>
                <w:b/>
                <w:color w:val="00B050"/>
              </w:rPr>
              <w:sym w:font="Wingdings" w:char="F0FC"/>
            </w:r>
          </w:p>
        </w:tc>
        <w:tc>
          <w:tcPr>
            <w:tcW w:w="1593" w:type="dxa"/>
            <w:vAlign w:val="center"/>
          </w:tcPr>
          <w:p w14:paraId="5C6BE542" w14:textId="77777777" w:rsidR="00CE01A0" w:rsidRDefault="00CE01A0" w:rsidP="0069046F">
            <w:pPr>
              <w:spacing w:before="0" w:after="0"/>
              <w:jc w:val="center"/>
              <w:cnfStyle w:val="000000100000" w:firstRow="0" w:lastRow="0" w:firstColumn="0" w:lastColumn="0" w:oddVBand="0" w:evenVBand="0" w:oddHBand="1" w:evenHBand="0" w:firstRowFirstColumn="0" w:firstRowLastColumn="0" w:lastRowFirstColumn="0" w:lastRowLastColumn="0"/>
            </w:pPr>
          </w:p>
        </w:tc>
        <w:tc>
          <w:tcPr>
            <w:tcW w:w="1593" w:type="dxa"/>
            <w:vAlign w:val="center"/>
          </w:tcPr>
          <w:p w14:paraId="04F73FB6" w14:textId="77777777" w:rsidR="00CE01A0" w:rsidRDefault="00CE01A0" w:rsidP="0069046F">
            <w:pPr>
              <w:spacing w:before="0" w:after="0"/>
              <w:jc w:val="center"/>
              <w:cnfStyle w:val="000000100000" w:firstRow="0" w:lastRow="0" w:firstColumn="0" w:lastColumn="0" w:oddVBand="0" w:evenVBand="0" w:oddHBand="1" w:evenHBand="0" w:firstRowFirstColumn="0" w:firstRowLastColumn="0" w:lastRowFirstColumn="0" w:lastRowLastColumn="0"/>
            </w:pPr>
          </w:p>
        </w:tc>
      </w:tr>
      <w:tr w:rsidR="00CE01A0" w14:paraId="3D658BA7" w14:textId="77777777" w:rsidTr="006904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6A7D41D" w14:textId="3E16397E" w:rsidR="00CE01A0" w:rsidRDefault="00CE01A0" w:rsidP="0069046F">
            <w:pPr>
              <w:spacing w:before="0" w:after="0"/>
            </w:pPr>
            <w:r>
              <w:t>Pay suppliers</w:t>
            </w:r>
          </w:p>
        </w:tc>
        <w:tc>
          <w:tcPr>
            <w:tcW w:w="1593" w:type="dxa"/>
            <w:vAlign w:val="center"/>
          </w:tcPr>
          <w:p w14:paraId="7F812FED" w14:textId="77777777" w:rsidR="00CE01A0" w:rsidRDefault="00CE01A0" w:rsidP="0069046F">
            <w:pPr>
              <w:spacing w:before="0" w:after="0"/>
              <w:jc w:val="center"/>
              <w:cnfStyle w:val="000000010000" w:firstRow="0" w:lastRow="0" w:firstColumn="0" w:lastColumn="0" w:oddVBand="0" w:evenVBand="0" w:oddHBand="0" w:evenHBand="1" w:firstRowFirstColumn="0" w:firstRowLastColumn="0" w:lastRowFirstColumn="0" w:lastRowLastColumn="0"/>
            </w:pPr>
          </w:p>
        </w:tc>
        <w:tc>
          <w:tcPr>
            <w:tcW w:w="1593" w:type="dxa"/>
            <w:vAlign w:val="center"/>
          </w:tcPr>
          <w:p w14:paraId="66FC9152" w14:textId="169BE801" w:rsidR="00CE01A0" w:rsidRDefault="00CE01A0" w:rsidP="0069046F">
            <w:pPr>
              <w:spacing w:before="0" w:after="0"/>
              <w:jc w:val="center"/>
              <w:cnfStyle w:val="000000010000" w:firstRow="0" w:lastRow="0" w:firstColumn="0" w:lastColumn="0" w:oddVBand="0" w:evenVBand="0" w:oddHBand="0" w:evenHBand="1" w:firstRowFirstColumn="0" w:firstRowLastColumn="0" w:lastRowFirstColumn="0" w:lastRowLastColumn="0"/>
            </w:pPr>
            <w:r w:rsidRPr="0069046F">
              <w:rPr>
                <w:b/>
                <w:color w:val="00B050"/>
              </w:rPr>
              <w:sym w:font="Wingdings" w:char="F0FC"/>
            </w:r>
          </w:p>
        </w:tc>
        <w:tc>
          <w:tcPr>
            <w:tcW w:w="1593" w:type="dxa"/>
            <w:vAlign w:val="center"/>
          </w:tcPr>
          <w:p w14:paraId="5A170FCF" w14:textId="47654DA2" w:rsidR="00CE01A0" w:rsidRDefault="00CE01A0" w:rsidP="0069046F">
            <w:pPr>
              <w:spacing w:before="0" w:after="0"/>
              <w:jc w:val="center"/>
              <w:cnfStyle w:val="000000010000" w:firstRow="0" w:lastRow="0" w:firstColumn="0" w:lastColumn="0" w:oddVBand="0" w:evenVBand="0" w:oddHBand="0" w:evenHBand="1" w:firstRowFirstColumn="0" w:firstRowLastColumn="0" w:lastRowFirstColumn="0" w:lastRowLastColumn="0"/>
            </w:pPr>
            <w:r w:rsidRPr="0069046F">
              <w:rPr>
                <w:b/>
                <w:color w:val="00B050"/>
              </w:rPr>
              <w:sym w:font="Wingdings" w:char="F0FC"/>
            </w:r>
          </w:p>
        </w:tc>
      </w:tr>
      <w:tr w:rsidR="00CE01A0" w14:paraId="0289AA49" w14:textId="77777777" w:rsidTr="006904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BAB5A09" w14:textId="34191EC4" w:rsidR="00CE01A0" w:rsidRDefault="00CE01A0" w:rsidP="0069046F">
            <w:pPr>
              <w:spacing w:before="0" w:after="0"/>
            </w:pPr>
            <w:r>
              <w:t>Pay employees</w:t>
            </w:r>
          </w:p>
        </w:tc>
        <w:tc>
          <w:tcPr>
            <w:tcW w:w="1593" w:type="dxa"/>
            <w:vAlign w:val="center"/>
          </w:tcPr>
          <w:p w14:paraId="77A9F956" w14:textId="77777777" w:rsidR="00CE01A0" w:rsidRDefault="00CE01A0" w:rsidP="0069046F">
            <w:pPr>
              <w:spacing w:before="0" w:after="0"/>
              <w:jc w:val="center"/>
              <w:cnfStyle w:val="000000100000" w:firstRow="0" w:lastRow="0" w:firstColumn="0" w:lastColumn="0" w:oddVBand="0" w:evenVBand="0" w:oddHBand="1" w:evenHBand="0" w:firstRowFirstColumn="0" w:firstRowLastColumn="0" w:lastRowFirstColumn="0" w:lastRowLastColumn="0"/>
            </w:pPr>
          </w:p>
        </w:tc>
        <w:tc>
          <w:tcPr>
            <w:tcW w:w="1593" w:type="dxa"/>
            <w:vAlign w:val="center"/>
          </w:tcPr>
          <w:p w14:paraId="317A3AA9" w14:textId="42BE1886" w:rsidR="00CE01A0" w:rsidRDefault="00CE01A0" w:rsidP="0069046F">
            <w:pPr>
              <w:spacing w:before="0" w:after="0"/>
              <w:jc w:val="center"/>
              <w:cnfStyle w:val="000000100000" w:firstRow="0" w:lastRow="0" w:firstColumn="0" w:lastColumn="0" w:oddVBand="0" w:evenVBand="0" w:oddHBand="1" w:evenHBand="0" w:firstRowFirstColumn="0" w:firstRowLastColumn="0" w:lastRowFirstColumn="0" w:lastRowLastColumn="0"/>
            </w:pPr>
            <w:r w:rsidRPr="0069046F">
              <w:rPr>
                <w:b/>
                <w:color w:val="00B050"/>
              </w:rPr>
              <w:sym w:font="Wingdings" w:char="F0FC"/>
            </w:r>
          </w:p>
        </w:tc>
        <w:tc>
          <w:tcPr>
            <w:tcW w:w="1593" w:type="dxa"/>
            <w:vAlign w:val="center"/>
          </w:tcPr>
          <w:p w14:paraId="73065B9E" w14:textId="11BFB16D" w:rsidR="00CE01A0" w:rsidRDefault="00CE01A0" w:rsidP="0069046F">
            <w:pPr>
              <w:spacing w:before="0" w:after="0"/>
              <w:jc w:val="center"/>
              <w:cnfStyle w:val="000000100000" w:firstRow="0" w:lastRow="0" w:firstColumn="0" w:lastColumn="0" w:oddVBand="0" w:evenVBand="0" w:oddHBand="1" w:evenHBand="0" w:firstRowFirstColumn="0" w:firstRowLastColumn="0" w:lastRowFirstColumn="0" w:lastRowLastColumn="0"/>
            </w:pPr>
            <w:r w:rsidRPr="0069046F">
              <w:rPr>
                <w:b/>
                <w:color w:val="00B050"/>
              </w:rPr>
              <w:sym w:font="Wingdings" w:char="F0FC"/>
            </w:r>
          </w:p>
        </w:tc>
      </w:tr>
      <w:tr w:rsidR="00CE01A0" w14:paraId="5F796454" w14:textId="77777777" w:rsidTr="006904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65675A7" w14:textId="1FF894B2" w:rsidR="00CE01A0" w:rsidRDefault="00CE01A0" w:rsidP="0069046F">
            <w:pPr>
              <w:spacing w:before="0" w:after="0"/>
            </w:pPr>
            <w:r>
              <w:t>Refunds to client on exit</w:t>
            </w:r>
          </w:p>
        </w:tc>
        <w:tc>
          <w:tcPr>
            <w:tcW w:w="1593" w:type="dxa"/>
            <w:vAlign w:val="center"/>
          </w:tcPr>
          <w:p w14:paraId="6DEC7E48" w14:textId="77777777" w:rsidR="00CE01A0" w:rsidRDefault="00CE01A0" w:rsidP="0069046F">
            <w:pPr>
              <w:spacing w:before="0" w:after="0"/>
              <w:jc w:val="center"/>
              <w:cnfStyle w:val="000000010000" w:firstRow="0" w:lastRow="0" w:firstColumn="0" w:lastColumn="0" w:oddVBand="0" w:evenVBand="0" w:oddHBand="0" w:evenHBand="1" w:firstRowFirstColumn="0" w:firstRowLastColumn="0" w:lastRowFirstColumn="0" w:lastRowLastColumn="0"/>
            </w:pPr>
          </w:p>
        </w:tc>
        <w:tc>
          <w:tcPr>
            <w:tcW w:w="1593" w:type="dxa"/>
            <w:vAlign w:val="center"/>
          </w:tcPr>
          <w:p w14:paraId="7D075981" w14:textId="1E6D4423" w:rsidR="00CE01A0" w:rsidRDefault="00CE01A0" w:rsidP="0069046F">
            <w:pPr>
              <w:spacing w:before="0" w:after="0"/>
              <w:jc w:val="center"/>
              <w:cnfStyle w:val="000000010000" w:firstRow="0" w:lastRow="0" w:firstColumn="0" w:lastColumn="0" w:oddVBand="0" w:evenVBand="0" w:oddHBand="0" w:evenHBand="1" w:firstRowFirstColumn="0" w:firstRowLastColumn="0" w:lastRowFirstColumn="0" w:lastRowLastColumn="0"/>
            </w:pPr>
            <w:r w:rsidRPr="0069046F">
              <w:rPr>
                <w:b/>
                <w:color w:val="00B050"/>
              </w:rPr>
              <w:sym w:font="Wingdings" w:char="F0FC"/>
            </w:r>
          </w:p>
        </w:tc>
        <w:tc>
          <w:tcPr>
            <w:tcW w:w="1593" w:type="dxa"/>
            <w:vAlign w:val="center"/>
          </w:tcPr>
          <w:p w14:paraId="4D6B679F" w14:textId="60DBB387" w:rsidR="00CE01A0" w:rsidRDefault="00CE01A0" w:rsidP="0069046F">
            <w:pPr>
              <w:spacing w:before="0" w:after="0"/>
              <w:jc w:val="center"/>
              <w:cnfStyle w:val="000000010000" w:firstRow="0" w:lastRow="0" w:firstColumn="0" w:lastColumn="0" w:oddVBand="0" w:evenVBand="0" w:oddHBand="0" w:evenHBand="1" w:firstRowFirstColumn="0" w:firstRowLastColumn="0" w:lastRowFirstColumn="0" w:lastRowLastColumn="0"/>
            </w:pPr>
            <w:r w:rsidRPr="0069046F">
              <w:rPr>
                <w:b/>
                <w:color w:val="00B050"/>
              </w:rPr>
              <w:sym w:font="Wingdings" w:char="F0FC"/>
            </w:r>
          </w:p>
        </w:tc>
      </w:tr>
    </w:tbl>
    <w:p w14:paraId="5E935A2E" w14:textId="544D236C" w:rsidR="0069046F" w:rsidRDefault="0069046F" w:rsidP="0069046F"/>
    <w:p w14:paraId="2E54D8E0" w14:textId="38B9C16F" w:rsidR="0069046F" w:rsidRDefault="00CE01A0" w:rsidP="0069046F">
      <w:r>
        <w:t xml:space="preserve">At present the majority of the cash flow is derived at the beginning of the month and that in effect provides the working capital for the business for the remainder of the month. </w:t>
      </w:r>
      <w:r w:rsidR="0090615C">
        <w:t>T</w:t>
      </w:r>
      <w:r w:rsidR="000911BE">
        <w:t xml:space="preserve">he subsidy in advance (which includes </w:t>
      </w:r>
      <w:r>
        <w:t>unspent funds</w:t>
      </w:r>
      <w:r w:rsidR="000911BE">
        <w:t>)</w:t>
      </w:r>
      <w:r>
        <w:t xml:space="preserve"> are utilised to provide the working capital for the business.</w:t>
      </w:r>
    </w:p>
    <w:p w14:paraId="4EB35395" w14:textId="509A6D3E" w:rsidR="00CE01A0" w:rsidRDefault="00CE01A0" w:rsidP="0069046F"/>
    <w:p w14:paraId="4F5DD5DD" w14:textId="757BCED0" w:rsidR="00CE01A0" w:rsidRDefault="00CE01A0" w:rsidP="0069046F">
      <w:r>
        <w:t>The purpose of unspent funds should be to provide sufficient funds that if a c</w:t>
      </w:r>
      <w:r w:rsidR="0090615C">
        <w:t>are recipient</w:t>
      </w:r>
      <w:r>
        <w:t xml:space="preserve"> requires additional services, or needs to make a capital purchase under their package, there are sufficient funds available to the c</w:t>
      </w:r>
      <w:r w:rsidR="0090615C">
        <w:t>are recipient</w:t>
      </w:r>
      <w:r>
        <w:t xml:space="preserve"> to do so. Prudentially, those funds should be available for use by the c</w:t>
      </w:r>
      <w:r w:rsidR="0090615C">
        <w:t>are recipient</w:t>
      </w:r>
      <w:r>
        <w:t>, or to be refunded to government and c</w:t>
      </w:r>
      <w:r w:rsidR="0090615C">
        <w:t>are recipient</w:t>
      </w:r>
      <w:r>
        <w:t xml:space="preserve"> should the</w:t>
      </w:r>
      <w:r w:rsidR="0090615C">
        <w:t>y</w:t>
      </w:r>
      <w:r>
        <w:t xml:space="preserve"> leave </w:t>
      </w:r>
      <w:r w:rsidR="0090615C">
        <w:t xml:space="preserve">HCP </w:t>
      </w:r>
      <w:r>
        <w:t xml:space="preserve">or transfer to another </w:t>
      </w:r>
      <w:r w:rsidR="0090615C">
        <w:t>AP</w:t>
      </w:r>
      <w:r>
        <w:t>.</w:t>
      </w:r>
    </w:p>
    <w:p w14:paraId="6AAD2662" w14:textId="0FA669A7" w:rsidR="00CE01A0" w:rsidRDefault="00CE01A0" w:rsidP="0069046F"/>
    <w:p w14:paraId="7E2FDC4B" w14:textId="392C19E1" w:rsidR="00CE01A0" w:rsidRDefault="000911BE" w:rsidP="0069046F">
      <w:r>
        <w:t xml:space="preserve">The typical </w:t>
      </w:r>
      <w:r w:rsidR="00CE01A0">
        <w:t>business</w:t>
      </w:r>
      <w:r>
        <w:t xml:space="preserve"> model</w:t>
      </w:r>
      <w:r w:rsidR="00CE01A0">
        <w:t xml:space="preserve"> </w:t>
      </w:r>
      <w:r>
        <w:t xml:space="preserve">requires </w:t>
      </w:r>
      <w:r w:rsidR="00CE01A0">
        <w:t xml:space="preserve">the owners to </w:t>
      </w:r>
      <w:r w:rsidR="0090615C">
        <w:t>have</w:t>
      </w:r>
      <w:r w:rsidR="00CE01A0">
        <w:t xml:space="preserve"> sufficient working capital to sustain the business. Most businesses are built on the premise of either being paid at the time of </w:t>
      </w:r>
      <w:r w:rsidR="0090615C">
        <w:t>supplying</w:t>
      </w:r>
      <w:r w:rsidR="00CE01A0">
        <w:t xml:space="preserve"> the service (retail) or within trade terms if the service is </w:t>
      </w:r>
      <w:r w:rsidR="0090615C">
        <w:t>supplied</w:t>
      </w:r>
      <w:r w:rsidR="00CE01A0">
        <w:t xml:space="preserve"> on account. Very few business models would exist where funding is </w:t>
      </w:r>
      <w:r w:rsidR="0090615C">
        <w:t>extended</w:t>
      </w:r>
      <w:r w:rsidR="00CE01A0">
        <w:t xml:space="preserve"> by the taxpayer in advance to fund the business owner for the provision of services over a period of time.</w:t>
      </w:r>
    </w:p>
    <w:p w14:paraId="0A654C9B" w14:textId="6B388716" w:rsidR="0069046F" w:rsidRDefault="0069046F" w:rsidP="0069046F"/>
    <w:p w14:paraId="72A33A58" w14:textId="1597090D" w:rsidR="0069046F" w:rsidRPr="00EC3804" w:rsidRDefault="00CE01A0" w:rsidP="0069046F">
      <w:pPr>
        <w:rPr>
          <w:b/>
          <w:i/>
        </w:rPr>
      </w:pPr>
      <w:r w:rsidRPr="00EC3804">
        <w:rPr>
          <w:b/>
          <w:i/>
        </w:rPr>
        <w:t xml:space="preserve">Should payments be changed over to an arrears system, the initial impact will be on the ability of the </w:t>
      </w:r>
      <w:r w:rsidR="0090615C">
        <w:rPr>
          <w:b/>
          <w:i/>
        </w:rPr>
        <w:t>AP</w:t>
      </w:r>
      <w:r w:rsidRPr="00EC3804">
        <w:rPr>
          <w:b/>
          <w:i/>
        </w:rPr>
        <w:t xml:space="preserve"> to continue to pay </w:t>
      </w:r>
      <w:r w:rsidR="000911BE" w:rsidRPr="00EC3804">
        <w:rPr>
          <w:b/>
          <w:i/>
        </w:rPr>
        <w:t>their</w:t>
      </w:r>
      <w:r w:rsidRPr="00EC3804">
        <w:rPr>
          <w:b/>
          <w:i/>
        </w:rPr>
        <w:t xml:space="preserve"> operating costs such as wages, third party suppliers, rent etc for one month until the subsidy payment (which initially will be the gross subsidy amount as is currently the case) is paid.</w:t>
      </w:r>
    </w:p>
    <w:p w14:paraId="5B74F6AE" w14:textId="31284788" w:rsidR="00CE01A0" w:rsidRDefault="00CE01A0" w:rsidP="0069046F"/>
    <w:p w14:paraId="714CE978" w14:textId="333492C9" w:rsidR="00CE01A0" w:rsidRDefault="00CE01A0" w:rsidP="0069046F">
      <w:r>
        <w:t xml:space="preserve">The monthly operating costs </w:t>
      </w:r>
      <w:r w:rsidR="00CD0307">
        <w:t>equal to t</w:t>
      </w:r>
      <w:r>
        <w:t>he difference between the revenue charged to the c</w:t>
      </w:r>
      <w:r w:rsidR="00281031">
        <w:t>are recipient</w:t>
      </w:r>
      <w:r>
        <w:t xml:space="preserve"> budget less the</w:t>
      </w:r>
      <w:r w:rsidR="00CD0307">
        <w:t xml:space="preserve"> profit margin on that revenue.</w:t>
      </w:r>
    </w:p>
    <w:p w14:paraId="42D8BB8D" w14:textId="0F9FEAAA" w:rsidR="00CD0307" w:rsidRDefault="00CD0307" w:rsidP="0069046F"/>
    <w:p w14:paraId="04FA3874" w14:textId="4BF0EC68" w:rsidR="00CD0307" w:rsidRDefault="00CD0307" w:rsidP="0069046F">
      <w:r>
        <w:t xml:space="preserve">The following analysis looks at various groupings of </w:t>
      </w:r>
      <w:r w:rsidR="0090615C">
        <w:t>AP</w:t>
      </w:r>
      <w:r>
        <w:t xml:space="preserve">s and assesses whether there are sufficient liquid assets held by the </w:t>
      </w:r>
      <w:r w:rsidR="0090615C">
        <w:t>AP</w:t>
      </w:r>
      <w:r>
        <w:t xml:space="preserve"> (as recorded in the Home Care Segment not</w:t>
      </w:r>
      <w:r w:rsidR="0032173D">
        <w:t>e</w:t>
      </w:r>
      <w:r>
        <w:t xml:space="preserve"> in the ACFR) to cover the average monthly operating costs.</w:t>
      </w:r>
    </w:p>
    <w:p w14:paraId="12E37179" w14:textId="74AA300A" w:rsidR="00CD0307" w:rsidRDefault="00CD0307" w:rsidP="0069046F"/>
    <w:p w14:paraId="4001DCCE" w14:textId="77777777" w:rsidR="0090615C" w:rsidRDefault="0090615C" w:rsidP="0069046F"/>
    <w:p w14:paraId="177987CB" w14:textId="2C5B23C8" w:rsidR="00CD0307" w:rsidRDefault="00CD0307" w:rsidP="0069046F"/>
    <w:p w14:paraId="1E953BEB" w14:textId="7BB333F2" w:rsidR="00CD0307" w:rsidRDefault="00CD0307" w:rsidP="00CD0307">
      <w:pPr>
        <w:pStyle w:val="SubHeading"/>
      </w:pPr>
      <w:r>
        <w:lastRenderedPageBreak/>
        <w:t xml:space="preserve">Sector Operating Cost Cover </w:t>
      </w:r>
      <w:r w:rsidR="0032173D">
        <w:t>B</w:t>
      </w:r>
      <w:r>
        <w:t xml:space="preserve">ased on Size of </w:t>
      </w:r>
      <w:r w:rsidR="0090615C">
        <w:t xml:space="preserve">Approved </w:t>
      </w:r>
      <w:r>
        <w:t>Provider</w:t>
      </w:r>
    </w:p>
    <w:p w14:paraId="4BFA35F4" w14:textId="487A8684" w:rsidR="00CD0307" w:rsidRDefault="00CD0307" w:rsidP="00CD0307">
      <w:r>
        <w:t xml:space="preserve">The first level of analysis examines the liquid assets coverage of operating costs of </w:t>
      </w:r>
      <w:r w:rsidR="0090615C">
        <w:t>AP</w:t>
      </w:r>
      <w:r>
        <w:t>s based on the level of subsidy they currently receive.</w:t>
      </w:r>
    </w:p>
    <w:p w14:paraId="3B4F9748" w14:textId="77777777" w:rsidR="00CD0307" w:rsidRDefault="00CD0307" w:rsidP="00CD0307"/>
    <w:p w14:paraId="5E287B90" w14:textId="2AF889CC" w:rsidR="00CD0307" w:rsidRDefault="00CD0307" w:rsidP="000F7D67">
      <w:pPr>
        <w:pStyle w:val="Caption"/>
        <w:keepNext/>
        <w:spacing w:before="0"/>
      </w:pPr>
      <w:r>
        <w:t xml:space="preserve">Table </w:t>
      </w:r>
      <w:fldSimple w:instr=" SEQ Table \* ARABIC ">
        <w:r w:rsidR="00844346">
          <w:rPr>
            <w:noProof/>
          </w:rPr>
          <w:t>13</w:t>
        </w:r>
      </w:fldSimple>
      <w:r>
        <w:t>: Analysis of liquid asset coverage for one month’s cost of operations</w:t>
      </w:r>
    </w:p>
    <w:tbl>
      <w:tblPr>
        <w:tblStyle w:val="TableGrid"/>
        <w:tblW w:w="5000" w:type="pct"/>
        <w:tblLayout w:type="fixed"/>
        <w:tblLook w:val="04A0" w:firstRow="1" w:lastRow="0" w:firstColumn="1" w:lastColumn="0" w:noHBand="0" w:noVBand="1"/>
        <w:tblCaption w:val="Table 13: Analysis of liquid asset coverage for one month’s cost of operations"/>
      </w:tblPr>
      <w:tblGrid>
        <w:gridCol w:w="1699"/>
        <w:gridCol w:w="1327"/>
        <w:gridCol w:w="1327"/>
        <w:gridCol w:w="1323"/>
        <w:gridCol w:w="1323"/>
        <w:gridCol w:w="1323"/>
        <w:gridCol w:w="1306"/>
      </w:tblGrid>
      <w:tr w:rsidR="00CD0307" w:rsidRPr="00C33204" w14:paraId="40B8CB7C" w14:textId="77777777" w:rsidTr="003636FB">
        <w:trPr>
          <w:trHeight w:val="1350"/>
          <w:tblHeader/>
        </w:trPr>
        <w:tc>
          <w:tcPr>
            <w:tcW w:w="882" w:type="pct"/>
            <w:shd w:val="clear" w:color="auto" w:fill="5B9BD5"/>
            <w:vAlign w:val="center"/>
          </w:tcPr>
          <w:p w14:paraId="5219314E" w14:textId="77777777" w:rsidR="00CD0307" w:rsidRPr="001F0F05" w:rsidRDefault="00CD0307" w:rsidP="00E735C3">
            <w:pPr>
              <w:jc w:val="center"/>
              <w:rPr>
                <w:rFonts w:ascii="Calibri" w:eastAsia="Times New Roman" w:hAnsi="Calibri" w:cs="Calibri"/>
                <w:b/>
                <w:bCs/>
                <w:color w:val="FFFFFF" w:themeColor="background1"/>
                <w:sz w:val="20"/>
                <w:szCs w:val="20"/>
                <w:lang w:eastAsia="en-AU"/>
              </w:rPr>
            </w:pPr>
            <w:r w:rsidRPr="001F0F05">
              <w:rPr>
                <w:b/>
                <w:bCs/>
                <w:color w:val="FFFFFF" w:themeColor="background1"/>
                <w:sz w:val="20"/>
                <w:szCs w:val="20"/>
                <w:lang w:eastAsia="en-AU"/>
              </w:rPr>
              <w:t>Category</w:t>
            </w:r>
          </w:p>
        </w:tc>
        <w:tc>
          <w:tcPr>
            <w:tcW w:w="689" w:type="pct"/>
            <w:shd w:val="clear" w:color="auto" w:fill="5B9BD5"/>
            <w:vAlign w:val="center"/>
          </w:tcPr>
          <w:p w14:paraId="2B85700D" w14:textId="6652AA87" w:rsidR="00CD0307" w:rsidRDefault="00CD0307" w:rsidP="00E735C3">
            <w:pPr>
              <w:jc w:val="center"/>
              <w:rPr>
                <w:rFonts w:ascii="Calibri" w:eastAsia="Times New Roman" w:hAnsi="Calibri" w:cs="Calibri"/>
                <w:b/>
                <w:bCs/>
                <w:color w:val="FFFFFF" w:themeColor="background1"/>
                <w:sz w:val="20"/>
                <w:szCs w:val="20"/>
                <w:lang w:eastAsia="en-AU"/>
              </w:rPr>
            </w:pPr>
            <w:r>
              <w:rPr>
                <w:rFonts w:ascii="Calibri" w:eastAsia="Times New Roman" w:hAnsi="Calibri" w:cs="Calibri"/>
                <w:b/>
                <w:bCs/>
                <w:color w:val="FFFFFF" w:themeColor="background1"/>
                <w:sz w:val="20"/>
                <w:szCs w:val="20"/>
                <w:lang w:eastAsia="en-AU"/>
              </w:rPr>
              <w:t xml:space="preserve">Number of </w:t>
            </w:r>
            <w:r w:rsidR="000063F0">
              <w:rPr>
                <w:rFonts w:ascii="Calibri" w:eastAsia="Times New Roman" w:hAnsi="Calibri" w:cs="Calibri"/>
                <w:b/>
                <w:bCs/>
                <w:color w:val="FFFFFF" w:themeColor="background1"/>
                <w:sz w:val="20"/>
                <w:szCs w:val="20"/>
                <w:lang w:eastAsia="en-AU"/>
              </w:rPr>
              <w:t>P</w:t>
            </w:r>
            <w:r>
              <w:rPr>
                <w:rFonts w:ascii="Calibri" w:eastAsia="Times New Roman" w:hAnsi="Calibri" w:cs="Calibri"/>
                <w:b/>
                <w:bCs/>
                <w:color w:val="FFFFFF" w:themeColor="background1"/>
                <w:sz w:val="20"/>
                <w:szCs w:val="20"/>
                <w:lang w:eastAsia="en-AU"/>
              </w:rPr>
              <w:t>roviders</w:t>
            </w:r>
          </w:p>
        </w:tc>
        <w:tc>
          <w:tcPr>
            <w:tcW w:w="689" w:type="pct"/>
            <w:shd w:val="clear" w:color="auto" w:fill="5B9BD5"/>
            <w:vAlign w:val="center"/>
            <w:hideMark/>
          </w:tcPr>
          <w:p w14:paraId="39288016" w14:textId="77777777" w:rsidR="00CD0307" w:rsidRDefault="00CD0307" w:rsidP="00E735C3">
            <w:pPr>
              <w:jc w:val="center"/>
              <w:rPr>
                <w:rFonts w:ascii="Calibri" w:eastAsia="Times New Roman" w:hAnsi="Calibri" w:cs="Calibri"/>
                <w:b/>
                <w:bCs/>
                <w:color w:val="FFFFFF" w:themeColor="background1"/>
                <w:sz w:val="20"/>
                <w:szCs w:val="20"/>
                <w:lang w:eastAsia="en-AU"/>
              </w:rPr>
            </w:pPr>
            <w:r>
              <w:rPr>
                <w:rFonts w:ascii="Calibri" w:eastAsia="Times New Roman" w:hAnsi="Calibri" w:cs="Calibri"/>
                <w:b/>
                <w:bCs/>
                <w:color w:val="FFFFFF" w:themeColor="background1"/>
                <w:sz w:val="20"/>
                <w:szCs w:val="20"/>
                <w:lang w:eastAsia="en-AU"/>
              </w:rPr>
              <w:t>Average Monthly Revenue</w:t>
            </w:r>
          </w:p>
          <w:p w14:paraId="61C68BE7" w14:textId="77777777" w:rsidR="00CD0307" w:rsidRPr="001F0F05" w:rsidRDefault="00CD0307" w:rsidP="00E735C3">
            <w:pPr>
              <w:jc w:val="center"/>
              <w:rPr>
                <w:rFonts w:ascii="Calibri" w:eastAsia="Times New Roman" w:hAnsi="Calibri" w:cs="Calibri"/>
                <w:b/>
                <w:bCs/>
                <w:color w:val="FFFFFF" w:themeColor="background1"/>
                <w:sz w:val="20"/>
                <w:szCs w:val="20"/>
                <w:lang w:eastAsia="en-AU"/>
              </w:rPr>
            </w:pPr>
            <w:r>
              <w:rPr>
                <w:rFonts w:ascii="Calibri" w:eastAsia="Times New Roman" w:hAnsi="Calibri" w:cs="Calibri"/>
                <w:b/>
                <w:bCs/>
                <w:color w:val="FFFFFF" w:themeColor="background1"/>
                <w:sz w:val="20"/>
                <w:szCs w:val="20"/>
                <w:lang w:eastAsia="en-AU"/>
              </w:rPr>
              <w:t>$</w:t>
            </w:r>
          </w:p>
        </w:tc>
        <w:tc>
          <w:tcPr>
            <w:tcW w:w="687" w:type="pct"/>
            <w:shd w:val="clear" w:color="auto" w:fill="5B9BD5"/>
            <w:vAlign w:val="center"/>
            <w:hideMark/>
          </w:tcPr>
          <w:p w14:paraId="18F21ACD" w14:textId="77777777" w:rsidR="00CD0307" w:rsidRDefault="00CD0307" w:rsidP="00E735C3">
            <w:pPr>
              <w:jc w:val="center"/>
              <w:rPr>
                <w:rFonts w:ascii="Calibri" w:hAnsi="Calibri" w:cs="Calibri"/>
                <w:b/>
                <w:bCs/>
                <w:color w:val="FFFFFF" w:themeColor="background1"/>
                <w:sz w:val="20"/>
                <w:szCs w:val="20"/>
              </w:rPr>
            </w:pPr>
            <w:r>
              <w:rPr>
                <w:rFonts w:ascii="Calibri" w:hAnsi="Calibri" w:cs="Calibri"/>
                <w:b/>
                <w:bCs/>
                <w:color w:val="FFFFFF" w:themeColor="background1"/>
                <w:sz w:val="20"/>
                <w:szCs w:val="20"/>
              </w:rPr>
              <w:t>Average Monthly Margin</w:t>
            </w:r>
          </w:p>
          <w:p w14:paraId="1AFAE3F2" w14:textId="77777777" w:rsidR="00CD0307" w:rsidRPr="001F0F05" w:rsidRDefault="00CD0307" w:rsidP="00E735C3">
            <w:pPr>
              <w:jc w:val="center"/>
              <w:rPr>
                <w:rFonts w:ascii="Calibri" w:eastAsia="Times New Roman" w:hAnsi="Calibri" w:cs="Calibri"/>
                <w:b/>
                <w:bCs/>
                <w:color w:val="FFFFFF" w:themeColor="background1"/>
                <w:sz w:val="20"/>
                <w:szCs w:val="20"/>
                <w:lang w:eastAsia="en-AU"/>
              </w:rPr>
            </w:pPr>
            <w:r>
              <w:rPr>
                <w:rFonts w:ascii="Calibri" w:eastAsia="Times New Roman" w:hAnsi="Calibri" w:cs="Calibri"/>
                <w:b/>
                <w:bCs/>
                <w:color w:val="FFFFFF" w:themeColor="background1"/>
                <w:sz w:val="20"/>
                <w:szCs w:val="20"/>
                <w:lang w:eastAsia="en-AU"/>
              </w:rPr>
              <w:t>$</w:t>
            </w:r>
          </w:p>
        </w:tc>
        <w:tc>
          <w:tcPr>
            <w:tcW w:w="687" w:type="pct"/>
            <w:shd w:val="clear" w:color="auto" w:fill="5B9BD5"/>
            <w:vAlign w:val="center"/>
          </w:tcPr>
          <w:p w14:paraId="26077A9B" w14:textId="77777777" w:rsidR="00CD0307" w:rsidRDefault="00CD0307" w:rsidP="00E735C3">
            <w:pPr>
              <w:jc w:val="center"/>
              <w:rPr>
                <w:rFonts w:ascii="Calibri" w:hAnsi="Calibri" w:cs="Calibri"/>
                <w:b/>
                <w:bCs/>
                <w:color w:val="FFFFFF" w:themeColor="background1"/>
                <w:sz w:val="20"/>
                <w:szCs w:val="20"/>
              </w:rPr>
            </w:pPr>
            <w:r>
              <w:rPr>
                <w:rFonts w:ascii="Calibri" w:hAnsi="Calibri" w:cs="Calibri"/>
                <w:b/>
                <w:bCs/>
                <w:color w:val="FFFFFF" w:themeColor="background1"/>
                <w:sz w:val="20"/>
                <w:szCs w:val="20"/>
              </w:rPr>
              <w:t>Average monthly cost to fund operations</w:t>
            </w:r>
          </w:p>
          <w:p w14:paraId="07F74EEC" w14:textId="77777777" w:rsidR="00CD0307" w:rsidRPr="001F0F05" w:rsidRDefault="00CD0307" w:rsidP="00E735C3">
            <w:pPr>
              <w:jc w:val="center"/>
              <w:rPr>
                <w:rFonts w:ascii="Calibri" w:hAnsi="Calibri" w:cs="Calibri"/>
                <w:b/>
                <w:bCs/>
                <w:color w:val="FFFFFF" w:themeColor="background1"/>
                <w:sz w:val="20"/>
                <w:szCs w:val="20"/>
              </w:rPr>
            </w:pPr>
            <w:r>
              <w:rPr>
                <w:rFonts w:ascii="Calibri" w:hAnsi="Calibri" w:cs="Calibri"/>
                <w:b/>
                <w:bCs/>
                <w:color w:val="FFFFFF" w:themeColor="background1"/>
                <w:sz w:val="20"/>
                <w:szCs w:val="20"/>
              </w:rPr>
              <w:t>$</w:t>
            </w:r>
          </w:p>
        </w:tc>
        <w:tc>
          <w:tcPr>
            <w:tcW w:w="687" w:type="pct"/>
            <w:shd w:val="clear" w:color="auto" w:fill="5B9BD5"/>
            <w:vAlign w:val="center"/>
          </w:tcPr>
          <w:p w14:paraId="359B7992" w14:textId="0C64D9E2" w:rsidR="00CD0307" w:rsidRPr="001F0F05" w:rsidRDefault="00CD0307" w:rsidP="00E735C3">
            <w:pPr>
              <w:jc w:val="center"/>
              <w:rPr>
                <w:rFonts w:ascii="Calibri" w:hAnsi="Calibri" w:cs="Calibri"/>
                <w:b/>
                <w:bCs/>
                <w:color w:val="FFFFFF" w:themeColor="background1"/>
                <w:sz w:val="20"/>
                <w:szCs w:val="20"/>
              </w:rPr>
            </w:pPr>
            <w:r w:rsidRPr="001F0F05">
              <w:rPr>
                <w:rFonts w:ascii="Calibri" w:hAnsi="Calibri" w:cs="Calibri"/>
                <w:b/>
                <w:bCs/>
                <w:color w:val="FFFFFF" w:themeColor="background1"/>
                <w:sz w:val="20"/>
                <w:szCs w:val="20"/>
              </w:rPr>
              <w:t>HC</w:t>
            </w:r>
            <w:r w:rsidR="000063F0">
              <w:rPr>
                <w:rFonts w:ascii="Calibri" w:hAnsi="Calibri" w:cs="Calibri"/>
                <w:b/>
                <w:bCs/>
                <w:color w:val="FFFFFF" w:themeColor="background1"/>
                <w:sz w:val="20"/>
                <w:szCs w:val="20"/>
              </w:rPr>
              <w:t>P</w:t>
            </w:r>
            <w:r w:rsidRPr="001F0F05">
              <w:rPr>
                <w:rFonts w:ascii="Calibri" w:hAnsi="Calibri" w:cs="Calibri"/>
                <w:b/>
                <w:bCs/>
                <w:color w:val="FFFFFF" w:themeColor="background1"/>
                <w:sz w:val="20"/>
                <w:szCs w:val="20"/>
              </w:rPr>
              <w:t xml:space="preserve"> Segment Liquid Assets</w:t>
            </w:r>
          </w:p>
        </w:tc>
        <w:tc>
          <w:tcPr>
            <w:tcW w:w="678" w:type="pct"/>
            <w:shd w:val="clear" w:color="auto" w:fill="5B9BD5"/>
            <w:vAlign w:val="center"/>
            <w:hideMark/>
          </w:tcPr>
          <w:p w14:paraId="2893949B" w14:textId="03C03E93" w:rsidR="00CD0307" w:rsidRPr="001F0F05" w:rsidRDefault="00CD0307" w:rsidP="00E735C3">
            <w:pPr>
              <w:jc w:val="center"/>
              <w:rPr>
                <w:rFonts w:ascii="Calibri" w:eastAsia="Times New Roman" w:hAnsi="Calibri" w:cs="Calibri"/>
                <w:b/>
                <w:bCs/>
                <w:color w:val="FFFFFF" w:themeColor="background1"/>
                <w:sz w:val="20"/>
                <w:szCs w:val="20"/>
                <w:lang w:eastAsia="en-AU"/>
              </w:rPr>
            </w:pPr>
            <w:r w:rsidRPr="001F0F05">
              <w:rPr>
                <w:rFonts w:ascii="Calibri" w:hAnsi="Calibri" w:cs="Calibri"/>
                <w:b/>
                <w:bCs/>
                <w:color w:val="FFFFFF" w:themeColor="background1"/>
                <w:sz w:val="20"/>
                <w:szCs w:val="20"/>
              </w:rPr>
              <w:t>Segment  Liquid Assets</w:t>
            </w:r>
            <w:r w:rsidR="00E735C3">
              <w:rPr>
                <w:rFonts w:ascii="Calibri" w:hAnsi="Calibri" w:cs="Calibri"/>
                <w:b/>
                <w:bCs/>
                <w:color w:val="FFFFFF" w:themeColor="background1"/>
                <w:sz w:val="20"/>
                <w:szCs w:val="20"/>
              </w:rPr>
              <w:t xml:space="preserve"> </w:t>
            </w:r>
            <w:r w:rsidRPr="001F0F05">
              <w:rPr>
                <w:rFonts w:ascii="Calibri" w:hAnsi="Calibri" w:cs="Calibri"/>
                <w:b/>
                <w:bCs/>
                <w:color w:val="FFFFFF" w:themeColor="background1"/>
                <w:sz w:val="20"/>
                <w:szCs w:val="20"/>
              </w:rPr>
              <w:t xml:space="preserve">/ </w:t>
            </w:r>
            <w:r>
              <w:rPr>
                <w:rFonts w:ascii="Calibri" w:hAnsi="Calibri" w:cs="Calibri"/>
                <w:b/>
                <w:bCs/>
                <w:color w:val="FFFFFF" w:themeColor="background1"/>
                <w:sz w:val="20"/>
                <w:szCs w:val="20"/>
              </w:rPr>
              <w:t>1</w:t>
            </w:r>
            <w:r w:rsidRPr="001F0F05">
              <w:rPr>
                <w:rFonts w:ascii="Calibri" w:hAnsi="Calibri" w:cs="Calibri"/>
                <w:b/>
                <w:bCs/>
                <w:color w:val="FFFFFF" w:themeColor="background1"/>
                <w:sz w:val="20"/>
                <w:szCs w:val="20"/>
              </w:rPr>
              <w:t xml:space="preserve"> month</w:t>
            </w:r>
            <w:r>
              <w:rPr>
                <w:rFonts w:ascii="Calibri" w:hAnsi="Calibri" w:cs="Calibri"/>
                <w:b/>
                <w:bCs/>
                <w:color w:val="FFFFFF" w:themeColor="background1"/>
                <w:sz w:val="20"/>
                <w:szCs w:val="20"/>
              </w:rPr>
              <w:t>’s</w:t>
            </w:r>
            <w:r w:rsidRPr="001F0F05">
              <w:rPr>
                <w:rFonts w:ascii="Calibri" w:hAnsi="Calibri" w:cs="Calibri"/>
                <w:b/>
                <w:bCs/>
                <w:color w:val="FFFFFF" w:themeColor="background1"/>
                <w:sz w:val="20"/>
                <w:szCs w:val="20"/>
              </w:rPr>
              <w:t xml:space="preserve"> </w:t>
            </w:r>
            <w:r w:rsidR="00E735C3">
              <w:rPr>
                <w:rFonts w:ascii="Calibri" w:hAnsi="Calibri" w:cs="Calibri"/>
                <w:b/>
                <w:bCs/>
                <w:color w:val="FFFFFF" w:themeColor="background1"/>
                <w:sz w:val="20"/>
                <w:szCs w:val="20"/>
              </w:rPr>
              <w:t>o</w:t>
            </w:r>
            <w:r>
              <w:rPr>
                <w:rFonts w:ascii="Calibri" w:hAnsi="Calibri" w:cs="Calibri"/>
                <w:b/>
                <w:bCs/>
                <w:color w:val="FFFFFF" w:themeColor="background1"/>
                <w:sz w:val="20"/>
                <w:szCs w:val="20"/>
              </w:rPr>
              <w:t>perational cost</w:t>
            </w:r>
          </w:p>
        </w:tc>
      </w:tr>
      <w:tr w:rsidR="00CD0307" w:rsidRPr="00C33204" w14:paraId="428D107E" w14:textId="77777777" w:rsidTr="000911BE">
        <w:trPr>
          <w:trHeight w:val="375"/>
        </w:trPr>
        <w:tc>
          <w:tcPr>
            <w:tcW w:w="882" w:type="pct"/>
            <w:shd w:val="clear" w:color="auto" w:fill="DEEAF6"/>
            <w:vAlign w:val="center"/>
          </w:tcPr>
          <w:p w14:paraId="0C633156" w14:textId="77777777" w:rsidR="00CD0307" w:rsidRPr="009D7F80" w:rsidRDefault="00CD0307" w:rsidP="007F3F39">
            <w:pPr>
              <w:jc w:val="left"/>
              <w:rPr>
                <w:rFonts w:ascii="Calibri" w:eastAsia="Times New Roman" w:hAnsi="Calibri" w:cs="Calibri"/>
                <w:color w:val="000000"/>
                <w:sz w:val="20"/>
                <w:szCs w:val="20"/>
                <w:lang w:eastAsia="en-AU"/>
              </w:rPr>
            </w:pPr>
            <w:r w:rsidRPr="009D7F80">
              <w:rPr>
                <w:sz w:val="20"/>
                <w:szCs w:val="20"/>
                <w:lang w:eastAsia="en-AU"/>
              </w:rPr>
              <w:t xml:space="preserve">Very small </w:t>
            </w:r>
          </w:p>
        </w:tc>
        <w:tc>
          <w:tcPr>
            <w:tcW w:w="689" w:type="pct"/>
            <w:shd w:val="clear" w:color="auto" w:fill="DEEAF6"/>
            <w:vAlign w:val="center"/>
          </w:tcPr>
          <w:p w14:paraId="54686930" w14:textId="77777777" w:rsidR="00CD0307" w:rsidRDefault="00CD0307" w:rsidP="007F3F39">
            <w:pPr>
              <w:jc w:val="center"/>
              <w:rPr>
                <w:rFonts w:ascii="Calibri" w:hAnsi="Calibri" w:cs="Calibri"/>
                <w:color w:val="000000"/>
                <w:sz w:val="20"/>
                <w:szCs w:val="20"/>
              </w:rPr>
            </w:pPr>
            <w:r>
              <w:rPr>
                <w:rFonts w:ascii="Calibri" w:hAnsi="Calibri" w:cs="Calibri"/>
                <w:color w:val="000000"/>
                <w:sz w:val="20"/>
                <w:szCs w:val="20"/>
              </w:rPr>
              <w:t>206</w:t>
            </w:r>
          </w:p>
        </w:tc>
        <w:tc>
          <w:tcPr>
            <w:tcW w:w="689" w:type="pct"/>
            <w:shd w:val="clear" w:color="auto" w:fill="DEEAF6"/>
            <w:noWrap/>
            <w:vAlign w:val="center"/>
            <w:hideMark/>
          </w:tcPr>
          <w:p w14:paraId="44983213" w14:textId="77777777" w:rsidR="00CD0307" w:rsidRPr="009D7F80" w:rsidRDefault="00CD0307" w:rsidP="000911BE">
            <w:pPr>
              <w:jc w:val="right"/>
              <w:rPr>
                <w:rFonts w:ascii="Calibri" w:eastAsia="Times New Roman" w:hAnsi="Calibri" w:cs="Calibri"/>
                <w:color w:val="000000"/>
                <w:sz w:val="20"/>
                <w:szCs w:val="20"/>
                <w:lang w:eastAsia="en-AU"/>
              </w:rPr>
            </w:pPr>
            <w:r>
              <w:rPr>
                <w:rFonts w:ascii="Calibri" w:hAnsi="Calibri" w:cs="Calibri"/>
                <w:color w:val="000000"/>
                <w:sz w:val="20"/>
                <w:szCs w:val="20"/>
              </w:rPr>
              <w:t>27,694</w:t>
            </w:r>
          </w:p>
        </w:tc>
        <w:tc>
          <w:tcPr>
            <w:tcW w:w="687" w:type="pct"/>
            <w:shd w:val="clear" w:color="auto" w:fill="DEEAF6"/>
            <w:noWrap/>
            <w:vAlign w:val="center"/>
            <w:hideMark/>
          </w:tcPr>
          <w:p w14:paraId="1DC5E25D" w14:textId="77777777" w:rsidR="00CD0307" w:rsidRPr="009D7F80" w:rsidRDefault="00CD0307" w:rsidP="000911BE">
            <w:pPr>
              <w:jc w:val="right"/>
              <w:rPr>
                <w:rFonts w:ascii="Calibri" w:eastAsia="Times New Roman" w:hAnsi="Calibri" w:cs="Calibri"/>
                <w:color w:val="000000"/>
                <w:sz w:val="20"/>
                <w:szCs w:val="20"/>
                <w:lang w:eastAsia="en-AU"/>
              </w:rPr>
            </w:pPr>
            <w:r>
              <w:rPr>
                <w:rFonts w:ascii="Calibri" w:hAnsi="Calibri" w:cs="Calibri"/>
                <w:color w:val="000000"/>
                <w:sz w:val="20"/>
                <w:szCs w:val="20"/>
              </w:rPr>
              <w:t>179</w:t>
            </w:r>
          </w:p>
        </w:tc>
        <w:tc>
          <w:tcPr>
            <w:tcW w:w="687" w:type="pct"/>
            <w:shd w:val="clear" w:color="auto" w:fill="DEEAF6"/>
            <w:vAlign w:val="center"/>
          </w:tcPr>
          <w:p w14:paraId="4B89CCFF" w14:textId="77777777" w:rsidR="00CD0307" w:rsidRPr="009D7F80" w:rsidRDefault="00CD0307" w:rsidP="000911BE">
            <w:pPr>
              <w:jc w:val="right"/>
              <w:rPr>
                <w:rFonts w:ascii="Calibri" w:hAnsi="Calibri" w:cs="Calibri"/>
                <w:color w:val="000000"/>
                <w:sz w:val="20"/>
                <w:szCs w:val="20"/>
              </w:rPr>
            </w:pPr>
            <w:r>
              <w:rPr>
                <w:rFonts w:ascii="Calibri" w:hAnsi="Calibri" w:cs="Calibri"/>
                <w:color w:val="000000"/>
                <w:sz w:val="20"/>
                <w:szCs w:val="20"/>
              </w:rPr>
              <w:t>27,515</w:t>
            </w:r>
          </w:p>
        </w:tc>
        <w:tc>
          <w:tcPr>
            <w:tcW w:w="687" w:type="pct"/>
            <w:shd w:val="clear" w:color="auto" w:fill="DEEAF6"/>
            <w:vAlign w:val="center"/>
          </w:tcPr>
          <w:p w14:paraId="008A29DC" w14:textId="77777777" w:rsidR="00CD0307" w:rsidRPr="009D7F80" w:rsidRDefault="00CD0307" w:rsidP="000911BE">
            <w:pPr>
              <w:jc w:val="right"/>
              <w:rPr>
                <w:rFonts w:ascii="Calibri" w:hAnsi="Calibri" w:cs="Calibri"/>
                <w:color w:val="000000"/>
                <w:sz w:val="20"/>
                <w:szCs w:val="20"/>
              </w:rPr>
            </w:pPr>
            <w:r>
              <w:rPr>
                <w:rFonts w:ascii="Calibri" w:hAnsi="Calibri" w:cs="Calibri"/>
                <w:color w:val="000000"/>
                <w:sz w:val="20"/>
                <w:szCs w:val="20"/>
              </w:rPr>
              <w:t>707,154</w:t>
            </w:r>
          </w:p>
        </w:tc>
        <w:tc>
          <w:tcPr>
            <w:tcW w:w="678" w:type="pct"/>
            <w:shd w:val="clear" w:color="auto" w:fill="DEEAF6"/>
            <w:noWrap/>
            <w:vAlign w:val="center"/>
            <w:hideMark/>
          </w:tcPr>
          <w:p w14:paraId="4F747A85" w14:textId="77777777" w:rsidR="00CD0307" w:rsidRPr="000063F0" w:rsidRDefault="00CD0307" w:rsidP="007F3F39">
            <w:pPr>
              <w:jc w:val="center"/>
              <w:rPr>
                <w:rFonts w:ascii="Calibri" w:eastAsia="Times New Roman" w:hAnsi="Calibri" w:cs="Calibri"/>
                <w:i/>
                <w:color w:val="000000"/>
                <w:sz w:val="20"/>
                <w:szCs w:val="20"/>
                <w:lang w:eastAsia="en-AU"/>
              </w:rPr>
            </w:pPr>
            <w:r w:rsidRPr="000063F0">
              <w:rPr>
                <w:rFonts w:ascii="Calibri" w:hAnsi="Calibri" w:cs="Calibri"/>
                <w:i/>
                <w:color w:val="000000"/>
                <w:sz w:val="20"/>
                <w:szCs w:val="20"/>
              </w:rPr>
              <w:t>25.7</w:t>
            </w:r>
          </w:p>
        </w:tc>
      </w:tr>
      <w:tr w:rsidR="00CD0307" w:rsidRPr="00C33204" w14:paraId="38DD6FAC" w14:textId="77777777" w:rsidTr="000911BE">
        <w:trPr>
          <w:trHeight w:val="375"/>
        </w:trPr>
        <w:tc>
          <w:tcPr>
            <w:tcW w:w="882" w:type="pct"/>
            <w:vAlign w:val="center"/>
          </w:tcPr>
          <w:p w14:paraId="38BE7E5A" w14:textId="77777777" w:rsidR="00CD0307" w:rsidRPr="009D7F80" w:rsidRDefault="00CD0307" w:rsidP="007F3F39">
            <w:pPr>
              <w:jc w:val="left"/>
              <w:rPr>
                <w:rFonts w:ascii="Calibri" w:eastAsia="Times New Roman" w:hAnsi="Calibri" w:cs="Calibri"/>
                <w:color w:val="000000"/>
                <w:sz w:val="20"/>
                <w:szCs w:val="20"/>
                <w:lang w:eastAsia="en-AU"/>
              </w:rPr>
            </w:pPr>
            <w:r w:rsidRPr="009D7F80">
              <w:rPr>
                <w:sz w:val="20"/>
                <w:szCs w:val="20"/>
                <w:lang w:eastAsia="en-AU"/>
              </w:rPr>
              <w:t xml:space="preserve">Small </w:t>
            </w:r>
          </w:p>
        </w:tc>
        <w:tc>
          <w:tcPr>
            <w:tcW w:w="689" w:type="pct"/>
            <w:vAlign w:val="center"/>
          </w:tcPr>
          <w:p w14:paraId="7F020E98" w14:textId="77777777" w:rsidR="00CD0307" w:rsidRDefault="00CD0307" w:rsidP="007F3F39">
            <w:pPr>
              <w:jc w:val="center"/>
              <w:rPr>
                <w:rFonts w:ascii="Calibri" w:hAnsi="Calibri" w:cs="Calibri"/>
                <w:color w:val="000000"/>
                <w:sz w:val="20"/>
                <w:szCs w:val="20"/>
              </w:rPr>
            </w:pPr>
            <w:r>
              <w:rPr>
                <w:rFonts w:ascii="Calibri" w:hAnsi="Calibri" w:cs="Calibri"/>
                <w:color w:val="000000"/>
                <w:sz w:val="20"/>
                <w:szCs w:val="20"/>
              </w:rPr>
              <w:t>168</w:t>
            </w:r>
          </w:p>
        </w:tc>
        <w:tc>
          <w:tcPr>
            <w:tcW w:w="689" w:type="pct"/>
            <w:noWrap/>
            <w:vAlign w:val="center"/>
            <w:hideMark/>
          </w:tcPr>
          <w:p w14:paraId="0CF6DD80" w14:textId="77777777" w:rsidR="00CD0307" w:rsidRPr="009D7F80" w:rsidRDefault="00CD0307" w:rsidP="000911BE">
            <w:pPr>
              <w:jc w:val="right"/>
              <w:rPr>
                <w:rFonts w:ascii="Calibri" w:eastAsia="Times New Roman" w:hAnsi="Calibri" w:cs="Calibri"/>
                <w:color w:val="000000"/>
                <w:sz w:val="20"/>
                <w:szCs w:val="20"/>
                <w:lang w:eastAsia="en-AU"/>
              </w:rPr>
            </w:pPr>
            <w:r>
              <w:rPr>
                <w:rFonts w:ascii="Calibri" w:hAnsi="Calibri" w:cs="Calibri"/>
                <w:color w:val="000000"/>
                <w:sz w:val="20"/>
                <w:szCs w:val="20"/>
              </w:rPr>
              <w:t>117,876</w:t>
            </w:r>
          </w:p>
        </w:tc>
        <w:tc>
          <w:tcPr>
            <w:tcW w:w="687" w:type="pct"/>
            <w:noWrap/>
            <w:vAlign w:val="center"/>
            <w:hideMark/>
          </w:tcPr>
          <w:p w14:paraId="759C29C6" w14:textId="77777777" w:rsidR="00CD0307" w:rsidRPr="009D7F80" w:rsidRDefault="00CD0307" w:rsidP="000911BE">
            <w:pPr>
              <w:jc w:val="right"/>
              <w:rPr>
                <w:rFonts w:ascii="Calibri" w:eastAsia="Times New Roman" w:hAnsi="Calibri" w:cs="Calibri"/>
                <w:color w:val="000000"/>
                <w:sz w:val="20"/>
                <w:szCs w:val="20"/>
                <w:lang w:eastAsia="en-AU"/>
              </w:rPr>
            </w:pPr>
            <w:r>
              <w:rPr>
                <w:rFonts w:ascii="Calibri" w:hAnsi="Calibri" w:cs="Calibri"/>
                <w:color w:val="000000"/>
                <w:sz w:val="20"/>
                <w:szCs w:val="20"/>
              </w:rPr>
              <w:t>8,146</w:t>
            </w:r>
          </w:p>
        </w:tc>
        <w:tc>
          <w:tcPr>
            <w:tcW w:w="687" w:type="pct"/>
            <w:vAlign w:val="center"/>
          </w:tcPr>
          <w:p w14:paraId="02FB8C91" w14:textId="77777777" w:rsidR="00CD0307" w:rsidRPr="009D7F80" w:rsidRDefault="00CD0307" w:rsidP="000911BE">
            <w:pPr>
              <w:jc w:val="right"/>
              <w:rPr>
                <w:rFonts w:ascii="Calibri" w:hAnsi="Calibri" w:cs="Calibri"/>
                <w:color w:val="000000"/>
                <w:sz w:val="20"/>
                <w:szCs w:val="20"/>
              </w:rPr>
            </w:pPr>
            <w:r>
              <w:rPr>
                <w:rFonts w:ascii="Calibri" w:hAnsi="Calibri" w:cs="Calibri"/>
                <w:color w:val="000000"/>
                <w:sz w:val="20"/>
                <w:szCs w:val="20"/>
              </w:rPr>
              <w:t>109,730</w:t>
            </w:r>
          </w:p>
        </w:tc>
        <w:tc>
          <w:tcPr>
            <w:tcW w:w="687" w:type="pct"/>
            <w:vAlign w:val="center"/>
          </w:tcPr>
          <w:p w14:paraId="074C3F11" w14:textId="77777777" w:rsidR="00CD0307" w:rsidRPr="009D7F80" w:rsidRDefault="00CD0307" w:rsidP="000911BE">
            <w:pPr>
              <w:jc w:val="right"/>
              <w:rPr>
                <w:rFonts w:ascii="Calibri" w:hAnsi="Calibri" w:cs="Calibri"/>
                <w:color w:val="000000"/>
                <w:sz w:val="20"/>
                <w:szCs w:val="20"/>
              </w:rPr>
            </w:pPr>
            <w:r>
              <w:rPr>
                <w:rFonts w:ascii="Calibri" w:hAnsi="Calibri" w:cs="Calibri"/>
                <w:color w:val="000000"/>
                <w:sz w:val="20"/>
                <w:szCs w:val="20"/>
              </w:rPr>
              <w:t>1,059,635</w:t>
            </w:r>
          </w:p>
        </w:tc>
        <w:tc>
          <w:tcPr>
            <w:tcW w:w="678" w:type="pct"/>
            <w:noWrap/>
            <w:vAlign w:val="center"/>
            <w:hideMark/>
          </w:tcPr>
          <w:p w14:paraId="131C1EFC" w14:textId="77777777" w:rsidR="00CD0307" w:rsidRPr="000063F0" w:rsidRDefault="00CD0307" w:rsidP="007F3F39">
            <w:pPr>
              <w:jc w:val="center"/>
              <w:rPr>
                <w:rFonts w:ascii="Calibri" w:eastAsia="Times New Roman" w:hAnsi="Calibri" w:cs="Calibri"/>
                <w:i/>
                <w:color w:val="000000"/>
                <w:sz w:val="20"/>
                <w:szCs w:val="20"/>
                <w:lang w:eastAsia="en-AU"/>
              </w:rPr>
            </w:pPr>
            <w:r w:rsidRPr="000063F0">
              <w:rPr>
                <w:rFonts w:ascii="Calibri" w:hAnsi="Calibri" w:cs="Calibri"/>
                <w:i/>
                <w:color w:val="000000"/>
                <w:sz w:val="20"/>
                <w:szCs w:val="20"/>
              </w:rPr>
              <w:t>9.66</w:t>
            </w:r>
          </w:p>
        </w:tc>
      </w:tr>
      <w:tr w:rsidR="00CD0307" w:rsidRPr="00C33204" w14:paraId="42433B90" w14:textId="77777777" w:rsidTr="000911BE">
        <w:trPr>
          <w:trHeight w:val="375"/>
        </w:trPr>
        <w:tc>
          <w:tcPr>
            <w:tcW w:w="882" w:type="pct"/>
            <w:shd w:val="clear" w:color="auto" w:fill="DEEAF6"/>
            <w:vAlign w:val="center"/>
          </w:tcPr>
          <w:p w14:paraId="2211E4AD" w14:textId="77777777" w:rsidR="00CD0307" w:rsidRPr="009D7F80" w:rsidRDefault="00CD0307" w:rsidP="007F3F39">
            <w:pPr>
              <w:jc w:val="left"/>
              <w:rPr>
                <w:rFonts w:ascii="Calibri" w:eastAsia="Times New Roman" w:hAnsi="Calibri" w:cs="Calibri"/>
                <w:color w:val="000000"/>
                <w:sz w:val="20"/>
                <w:szCs w:val="20"/>
                <w:lang w:eastAsia="en-AU"/>
              </w:rPr>
            </w:pPr>
            <w:r w:rsidRPr="009D7F80">
              <w:rPr>
                <w:sz w:val="20"/>
                <w:szCs w:val="20"/>
                <w:lang w:eastAsia="en-AU"/>
              </w:rPr>
              <w:t xml:space="preserve">Medium </w:t>
            </w:r>
          </w:p>
        </w:tc>
        <w:tc>
          <w:tcPr>
            <w:tcW w:w="689" w:type="pct"/>
            <w:shd w:val="clear" w:color="auto" w:fill="DEEAF6"/>
            <w:vAlign w:val="center"/>
          </w:tcPr>
          <w:p w14:paraId="237E9212" w14:textId="77777777" w:rsidR="00CD0307" w:rsidRDefault="00CD0307" w:rsidP="007F3F39">
            <w:pPr>
              <w:jc w:val="center"/>
              <w:rPr>
                <w:rFonts w:ascii="Calibri" w:hAnsi="Calibri" w:cs="Calibri"/>
                <w:color w:val="000000"/>
                <w:sz w:val="20"/>
                <w:szCs w:val="20"/>
              </w:rPr>
            </w:pPr>
            <w:r>
              <w:rPr>
                <w:rFonts w:ascii="Calibri" w:hAnsi="Calibri" w:cs="Calibri"/>
                <w:color w:val="000000"/>
                <w:sz w:val="20"/>
                <w:szCs w:val="20"/>
              </w:rPr>
              <w:t>90</w:t>
            </w:r>
          </w:p>
        </w:tc>
        <w:tc>
          <w:tcPr>
            <w:tcW w:w="689" w:type="pct"/>
            <w:shd w:val="clear" w:color="auto" w:fill="DEEAF6"/>
            <w:noWrap/>
            <w:vAlign w:val="center"/>
            <w:hideMark/>
          </w:tcPr>
          <w:p w14:paraId="49B6927B" w14:textId="77777777" w:rsidR="00CD0307" w:rsidRPr="009D7F80" w:rsidRDefault="00CD0307" w:rsidP="000911BE">
            <w:pPr>
              <w:jc w:val="right"/>
              <w:rPr>
                <w:rFonts w:ascii="Calibri" w:eastAsia="Times New Roman" w:hAnsi="Calibri" w:cs="Calibri"/>
                <w:color w:val="000000"/>
                <w:sz w:val="20"/>
                <w:szCs w:val="20"/>
                <w:lang w:eastAsia="en-AU"/>
              </w:rPr>
            </w:pPr>
            <w:r>
              <w:rPr>
                <w:rFonts w:ascii="Calibri" w:hAnsi="Calibri" w:cs="Calibri"/>
                <w:color w:val="000000"/>
                <w:sz w:val="20"/>
                <w:szCs w:val="20"/>
              </w:rPr>
              <w:t>270,899</w:t>
            </w:r>
          </w:p>
        </w:tc>
        <w:tc>
          <w:tcPr>
            <w:tcW w:w="687" w:type="pct"/>
            <w:shd w:val="clear" w:color="auto" w:fill="DEEAF6"/>
            <w:noWrap/>
            <w:vAlign w:val="center"/>
            <w:hideMark/>
          </w:tcPr>
          <w:p w14:paraId="7C1E5FA2" w14:textId="77777777" w:rsidR="00CD0307" w:rsidRPr="009D7F80" w:rsidRDefault="00CD0307" w:rsidP="000911BE">
            <w:pPr>
              <w:jc w:val="right"/>
              <w:rPr>
                <w:rFonts w:ascii="Calibri" w:eastAsia="Times New Roman" w:hAnsi="Calibri" w:cs="Calibri"/>
                <w:color w:val="000000"/>
                <w:sz w:val="20"/>
                <w:szCs w:val="20"/>
                <w:lang w:eastAsia="en-AU"/>
              </w:rPr>
            </w:pPr>
            <w:r>
              <w:rPr>
                <w:rFonts w:ascii="Calibri" w:hAnsi="Calibri" w:cs="Calibri"/>
                <w:color w:val="000000"/>
                <w:sz w:val="20"/>
                <w:szCs w:val="20"/>
              </w:rPr>
              <w:t>22,334</w:t>
            </w:r>
          </w:p>
        </w:tc>
        <w:tc>
          <w:tcPr>
            <w:tcW w:w="687" w:type="pct"/>
            <w:shd w:val="clear" w:color="auto" w:fill="DEEAF6"/>
            <w:vAlign w:val="center"/>
          </w:tcPr>
          <w:p w14:paraId="3447B9B8" w14:textId="77777777" w:rsidR="00CD0307" w:rsidRPr="009D7F80" w:rsidRDefault="00CD0307" w:rsidP="000911BE">
            <w:pPr>
              <w:jc w:val="right"/>
              <w:rPr>
                <w:rFonts w:ascii="Calibri" w:hAnsi="Calibri" w:cs="Calibri"/>
                <w:color w:val="000000"/>
                <w:sz w:val="20"/>
                <w:szCs w:val="20"/>
              </w:rPr>
            </w:pPr>
            <w:r>
              <w:rPr>
                <w:rFonts w:ascii="Calibri" w:hAnsi="Calibri" w:cs="Calibri"/>
                <w:color w:val="000000"/>
                <w:sz w:val="20"/>
                <w:szCs w:val="20"/>
              </w:rPr>
              <w:t>248,566</w:t>
            </w:r>
          </w:p>
        </w:tc>
        <w:tc>
          <w:tcPr>
            <w:tcW w:w="687" w:type="pct"/>
            <w:shd w:val="clear" w:color="auto" w:fill="DEEAF6"/>
            <w:vAlign w:val="center"/>
          </w:tcPr>
          <w:p w14:paraId="3EACA907" w14:textId="77777777" w:rsidR="00CD0307" w:rsidRPr="009D7F80" w:rsidRDefault="00CD0307" w:rsidP="000911BE">
            <w:pPr>
              <w:jc w:val="right"/>
              <w:rPr>
                <w:rFonts w:ascii="Calibri" w:hAnsi="Calibri" w:cs="Calibri"/>
                <w:color w:val="000000"/>
                <w:sz w:val="20"/>
                <w:szCs w:val="20"/>
              </w:rPr>
            </w:pPr>
            <w:r>
              <w:rPr>
                <w:rFonts w:ascii="Calibri" w:hAnsi="Calibri" w:cs="Calibri"/>
                <w:color w:val="000000"/>
                <w:sz w:val="20"/>
                <w:szCs w:val="20"/>
              </w:rPr>
              <w:t>2,992,682</w:t>
            </w:r>
          </w:p>
        </w:tc>
        <w:tc>
          <w:tcPr>
            <w:tcW w:w="678" w:type="pct"/>
            <w:shd w:val="clear" w:color="auto" w:fill="DEEAF6"/>
            <w:noWrap/>
            <w:vAlign w:val="center"/>
            <w:hideMark/>
          </w:tcPr>
          <w:p w14:paraId="00DD3B94" w14:textId="77777777" w:rsidR="00CD0307" w:rsidRPr="000063F0" w:rsidRDefault="00CD0307" w:rsidP="007F3F39">
            <w:pPr>
              <w:jc w:val="center"/>
              <w:rPr>
                <w:rFonts w:ascii="Calibri" w:eastAsia="Times New Roman" w:hAnsi="Calibri" w:cs="Calibri"/>
                <w:i/>
                <w:color w:val="000000"/>
                <w:sz w:val="20"/>
                <w:szCs w:val="20"/>
                <w:lang w:eastAsia="en-AU"/>
              </w:rPr>
            </w:pPr>
            <w:r w:rsidRPr="000063F0">
              <w:rPr>
                <w:rFonts w:ascii="Calibri" w:hAnsi="Calibri" w:cs="Calibri"/>
                <w:i/>
                <w:color w:val="000000"/>
                <w:sz w:val="20"/>
                <w:szCs w:val="20"/>
              </w:rPr>
              <w:t>12.04</w:t>
            </w:r>
          </w:p>
        </w:tc>
      </w:tr>
      <w:tr w:rsidR="00CD0307" w:rsidRPr="00C33204" w14:paraId="18E1A2DA" w14:textId="77777777" w:rsidTr="000911BE">
        <w:trPr>
          <w:trHeight w:val="375"/>
        </w:trPr>
        <w:tc>
          <w:tcPr>
            <w:tcW w:w="882" w:type="pct"/>
            <w:vAlign w:val="center"/>
          </w:tcPr>
          <w:p w14:paraId="2850CFE4" w14:textId="77777777" w:rsidR="00CD0307" w:rsidRPr="009D7F80" w:rsidRDefault="00CD0307" w:rsidP="007F3F39">
            <w:pPr>
              <w:jc w:val="left"/>
              <w:rPr>
                <w:rFonts w:ascii="Calibri" w:eastAsia="Times New Roman" w:hAnsi="Calibri" w:cs="Calibri"/>
                <w:color w:val="000000"/>
                <w:sz w:val="20"/>
                <w:szCs w:val="20"/>
                <w:lang w:eastAsia="en-AU"/>
              </w:rPr>
            </w:pPr>
            <w:r w:rsidRPr="009D7F80">
              <w:rPr>
                <w:sz w:val="20"/>
                <w:szCs w:val="20"/>
                <w:lang w:eastAsia="en-AU"/>
              </w:rPr>
              <w:t>Large</w:t>
            </w:r>
          </w:p>
        </w:tc>
        <w:tc>
          <w:tcPr>
            <w:tcW w:w="689" w:type="pct"/>
            <w:vAlign w:val="center"/>
          </w:tcPr>
          <w:p w14:paraId="3F443532" w14:textId="77777777" w:rsidR="00CD0307" w:rsidRDefault="00CD0307" w:rsidP="007F3F39">
            <w:pPr>
              <w:jc w:val="center"/>
              <w:rPr>
                <w:rFonts w:ascii="Calibri" w:hAnsi="Calibri" w:cs="Calibri"/>
                <w:color w:val="000000"/>
                <w:sz w:val="20"/>
                <w:szCs w:val="20"/>
              </w:rPr>
            </w:pPr>
            <w:r>
              <w:rPr>
                <w:rFonts w:ascii="Calibri" w:hAnsi="Calibri" w:cs="Calibri"/>
                <w:color w:val="000000"/>
                <w:sz w:val="20"/>
                <w:szCs w:val="20"/>
              </w:rPr>
              <w:t>71</w:t>
            </w:r>
          </w:p>
        </w:tc>
        <w:tc>
          <w:tcPr>
            <w:tcW w:w="689" w:type="pct"/>
            <w:noWrap/>
            <w:vAlign w:val="center"/>
            <w:hideMark/>
          </w:tcPr>
          <w:p w14:paraId="36B99110" w14:textId="77777777" w:rsidR="00CD0307" w:rsidRPr="009D7F80" w:rsidRDefault="00CD0307" w:rsidP="000911BE">
            <w:pPr>
              <w:jc w:val="right"/>
              <w:rPr>
                <w:rFonts w:ascii="Calibri" w:eastAsia="Times New Roman" w:hAnsi="Calibri" w:cs="Calibri"/>
                <w:color w:val="000000"/>
                <w:sz w:val="20"/>
                <w:szCs w:val="20"/>
                <w:lang w:eastAsia="en-AU"/>
              </w:rPr>
            </w:pPr>
            <w:r>
              <w:rPr>
                <w:rFonts w:ascii="Calibri" w:hAnsi="Calibri" w:cs="Calibri"/>
                <w:color w:val="000000"/>
                <w:sz w:val="20"/>
                <w:szCs w:val="20"/>
              </w:rPr>
              <w:t>1,292,623</w:t>
            </w:r>
          </w:p>
        </w:tc>
        <w:tc>
          <w:tcPr>
            <w:tcW w:w="687" w:type="pct"/>
            <w:noWrap/>
            <w:vAlign w:val="center"/>
            <w:hideMark/>
          </w:tcPr>
          <w:p w14:paraId="07FEDABF" w14:textId="77777777" w:rsidR="00CD0307" w:rsidRPr="009D7F80" w:rsidRDefault="00CD0307" w:rsidP="000911BE">
            <w:pPr>
              <w:jc w:val="right"/>
              <w:rPr>
                <w:rFonts w:ascii="Calibri" w:eastAsia="Times New Roman" w:hAnsi="Calibri" w:cs="Calibri"/>
                <w:color w:val="000000"/>
                <w:sz w:val="20"/>
                <w:szCs w:val="20"/>
                <w:lang w:eastAsia="en-AU"/>
              </w:rPr>
            </w:pPr>
            <w:r>
              <w:rPr>
                <w:rFonts w:ascii="Calibri" w:hAnsi="Calibri" w:cs="Calibri"/>
                <w:color w:val="000000"/>
                <w:sz w:val="20"/>
                <w:szCs w:val="20"/>
              </w:rPr>
              <w:t>21,879</w:t>
            </w:r>
          </w:p>
        </w:tc>
        <w:tc>
          <w:tcPr>
            <w:tcW w:w="687" w:type="pct"/>
            <w:vAlign w:val="center"/>
          </w:tcPr>
          <w:p w14:paraId="571A933F" w14:textId="77777777" w:rsidR="00CD0307" w:rsidRPr="009D7F80" w:rsidRDefault="00CD0307" w:rsidP="000911BE">
            <w:pPr>
              <w:jc w:val="right"/>
              <w:rPr>
                <w:rFonts w:ascii="Calibri" w:hAnsi="Calibri" w:cs="Calibri"/>
                <w:color w:val="000000"/>
                <w:sz w:val="20"/>
                <w:szCs w:val="20"/>
              </w:rPr>
            </w:pPr>
            <w:r>
              <w:rPr>
                <w:rFonts w:ascii="Calibri" w:hAnsi="Calibri" w:cs="Calibri"/>
                <w:color w:val="000000"/>
                <w:sz w:val="20"/>
                <w:szCs w:val="20"/>
              </w:rPr>
              <w:t>1,270,743</w:t>
            </w:r>
          </w:p>
        </w:tc>
        <w:tc>
          <w:tcPr>
            <w:tcW w:w="687" w:type="pct"/>
            <w:vAlign w:val="center"/>
          </w:tcPr>
          <w:p w14:paraId="318FCB21" w14:textId="77777777" w:rsidR="00CD0307" w:rsidRPr="009D7F80" w:rsidRDefault="00CD0307" w:rsidP="000911BE">
            <w:pPr>
              <w:jc w:val="right"/>
              <w:rPr>
                <w:rFonts w:ascii="Calibri" w:hAnsi="Calibri" w:cs="Calibri"/>
                <w:color w:val="000000"/>
                <w:sz w:val="20"/>
                <w:szCs w:val="20"/>
              </w:rPr>
            </w:pPr>
            <w:r>
              <w:rPr>
                <w:rFonts w:ascii="Calibri" w:hAnsi="Calibri" w:cs="Calibri"/>
                <w:color w:val="000000"/>
                <w:sz w:val="20"/>
                <w:szCs w:val="20"/>
              </w:rPr>
              <w:t>11,076,027</w:t>
            </w:r>
          </w:p>
        </w:tc>
        <w:tc>
          <w:tcPr>
            <w:tcW w:w="678" w:type="pct"/>
            <w:noWrap/>
            <w:vAlign w:val="center"/>
            <w:hideMark/>
          </w:tcPr>
          <w:p w14:paraId="74707266" w14:textId="77777777" w:rsidR="00CD0307" w:rsidRPr="000063F0" w:rsidRDefault="00CD0307" w:rsidP="007F3F39">
            <w:pPr>
              <w:jc w:val="center"/>
              <w:rPr>
                <w:rFonts w:ascii="Calibri" w:eastAsia="Times New Roman" w:hAnsi="Calibri" w:cs="Calibri"/>
                <w:i/>
                <w:color w:val="000000"/>
                <w:sz w:val="20"/>
                <w:szCs w:val="20"/>
                <w:lang w:eastAsia="en-AU"/>
              </w:rPr>
            </w:pPr>
            <w:r w:rsidRPr="000063F0">
              <w:rPr>
                <w:rFonts w:ascii="Calibri" w:hAnsi="Calibri" w:cs="Calibri"/>
                <w:i/>
                <w:color w:val="000000"/>
                <w:sz w:val="20"/>
                <w:szCs w:val="20"/>
              </w:rPr>
              <w:t>8.72</w:t>
            </w:r>
          </w:p>
        </w:tc>
      </w:tr>
      <w:tr w:rsidR="00CD0307" w:rsidRPr="00C33204" w14:paraId="7BB59B34" w14:textId="77777777" w:rsidTr="000911BE">
        <w:trPr>
          <w:trHeight w:val="375"/>
        </w:trPr>
        <w:tc>
          <w:tcPr>
            <w:tcW w:w="882" w:type="pct"/>
            <w:shd w:val="clear" w:color="auto" w:fill="FFE599" w:themeFill="accent4" w:themeFillTint="66"/>
            <w:vAlign w:val="center"/>
          </w:tcPr>
          <w:p w14:paraId="233138F9" w14:textId="05082D34" w:rsidR="00CD0307" w:rsidRPr="009D7F80" w:rsidRDefault="000063F0" w:rsidP="007F3F39">
            <w:pPr>
              <w:jc w:val="left"/>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Total</w:t>
            </w:r>
          </w:p>
        </w:tc>
        <w:tc>
          <w:tcPr>
            <w:tcW w:w="689" w:type="pct"/>
            <w:shd w:val="clear" w:color="auto" w:fill="FFE599" w:themeFill="accent4" w:themeFillTint="66"/>
            <w:vAlign w:val="center"/>
          </w:tcPr>
          <w:p w14:paraId="32636FA4" w14:textId="77777777" w:rsidR="00CD0307" w:rsidRDefault="00CD0307" w:rsidP="007F3F39">
            <w:pPr>
              <w:jc w:val="center"/>
              <w:rPr>
                <w:rFonts w:ascii="Calibri" w:hAnsi="Calibri" w:cs="Calibri"/>
                <w:b/>
                <w:bCs/>
                <w:color w:val="000000"/>
                <w:sz w:val="20"/>
                <w:szCs w:val="20"/>
              </w:rPr>
            </w:pPr>
            <w:r>
              <w:rPr>
                <w:rFonts w:ascii="Calibri" w:hAnsi="Calibri" w:cs="Calibri"/>
                <w:b/>
                <w:bCs/>
                <w:color w:val="000000"/>
                <w:sz w:val="20"/>
                <w:szCs w:val="20"/>
              </w:rPr>
              <w:t>535</w:t>
            </w:r>
          </w:p>
        </w:tc>
        <w:tc>
          <w:tcPr>
            <w:tcW w:w="689" w:type="pct"/>
            <w:shd w:val="clear" w:color="auto" w:fill="FFE599" w:themeFill="accent4" w:themeFillTint="66"/>
            <w:noWrap/>
            <w:vAlign w:val="center"/>
            <w:hideMark/>
          </w:tcPr>
          <w:p w14:paraId="2BBEAF7C" w14:textId="18FE569D" w:rsidR="00CD0307" w:rsidRPr="009D7F80" w:rsidRDefault="000063F0" w:rsidP="000911BE">
            <w:pPr>
              <w:jc w:val="right"/>
              <w:rPr>
                <w:rFonts w:ascii="Calibri" w:eastAsia="Times New Roman" w:hAnsi="Calibri" w:cs="Calibri"/>
                <w:b/>
                <w:bCs/>
                <w:color w:val="000000"/>
                <w:sz w:val="20"/>
                <w:szCs w:val="20"/>
                <w:lang w:eastAsia="en-AU"/>
              </w:rPr>
            </w:pPr>
            <w:r>
              <w:rPr>
                <w:rFonts w:ascii="Calibri" w:hAnsi="Calibri" w:cs="Calibri"/>
                <w:b/>
                <w:bCs/>
                <w:color w:val="000000"/>
                <w:sz w:val="20"/>
                <w:szCs w:val="20"/>
              </w:rPr>
              <w:t xml:space="preserve">$ </w:t>
            </w:r>
            <w:r w:rsidR="00CD0307">
              <w:rPr>
                <w:rFonts w:ascii="Calibri" w:hAnsi="Calibri" w:cs="Calibri"/>
                <w:b/>
                <w:bCs/>
                <w:color w:val="000000"/>
                <w:sz w:val="20"/>
                <w:szCs w:val="20"/>
              </w:rPr>
              <w:t>264,795</w:t>
            </w:r>
          </w:p>
        </w:tc>
        <w:tc>
          <w:tcPr>
            <w:tcW w:w="687" w:type="pct"/>
            <w:shd w:val="clear" w:color="auto" w:fill="FFE599" w:themeFill="accent4" w:themeFillTint="66"/>
            <w:noWrap/>
            <w:vAlign w:val="center"/>
            <w:hideMark/>
          </w:tcPr>
          <w:p w14:paraId="4D5EF7C5" w14:textId="6A5F455E" w:rsidR="00CD0307" w:rsidRPr="009D7F80" w:rsidRDefault="000063F0" w:rsidP="000911BE">
            <w:pPr>
              <w:jc w:val="right"/>
              <w:rPr>
                <w:rFonts w:ascii="Calibri" w:eastAsia="Times New Roman" w:hAnsi="Calibri" w:cs="Calibri"/>
                <w:b/>
                <w:bCs/>
                <w:color w:val="000000"/>
                <w:sz w:val="20"/>
                <w:szCs w:val="20"/>
                <w:lang w:eastAsia="en-AU"/>
              </w:rPr>
            </w:pPr>
            <w:r>
              <w:rPr>
                <w:rFonts w:ascii="Calibri" w:hAnsi="Calibri" w:cs="Calibri"/>
                <w:b/>
                <w:bCs/>
                <w:color w:val="000000"/>
                <w:sz w:val="20"/>
                <w:szCs w:val="20"/>
              </w:rPr>
              <w:t xml:space="preserve">$ </w:t>
            </w:r>
            <w:r w:rsidR="00CD0307">
              <w:rPr>
                <w:rFonts w:ascii="Calibri" w:hAnsi="Calibri" w:cs="Calibri"/>
                <w:b/>
                <w:bCs/>
                <w:color w:val="000000"/>
                <w:sz w:val="20"/>
                <w:szCs w:val="20"/>
              </w:rPr>
              <w:t>9,287</w:t>
            </w:r>
          </w:p>
        </w:tc>
        <w:tc>
          <w:tcPr>
            <w:tcW w:w="687" w:type="pct"/>
            <w:shd w:val="clear" w:color="auto" w:fill="FFE599" w:themeFill="accent4" w:themeFillTint="66"/>
            <w:vAlign w:val="center"/>
          </w:tcPr>
          <w:p w14:paraId="4F542498" w14:textId="4C2A9971" w:rsidR="00CD0307" w:rsidRPr="009D7F80" w:rsidRDefault="000063F0" w:rsidP="000911BE">
            <w:pPr>
              <w:jc w:val="right"/>
              <w:rPr>
                <w:rFonts w:ascii="Calibri" w:hAnsi="Calibri" w:cs="Calibri"/>
                <w:b/>
                <w:bCs/>
                <w:color w:val="000000"/>
                <w:sz w:val="20"/>
                <w:szCs w:val="20"/>
              </w:rPr>
            </w:pPr>
            <w:r>
              <w:rPr>
                <w:rFonts w:ascii="Calibri" w:hAnsi="Calibri" w:cs="Calibri"/>
                <w:b/>
                <w:bCs/>
                <w:color w:val="000000"/>
                <w:sz w:val="20"/>
                <w:szCs w:val="20"/>
              </w:rPr>
              <w:t xml:space="preserve">$ </w:t>
            </w:r>
            <w:r w:rsidR="00CD0307">
              <w:rPr>
                <w:rFonts w:ascii="Calibri" w:hAnsi="Calibri" w:cs="Calibri"/>
                <w:b/>
                <w:bCs/>
                <w:color w:val="000000"/>
                <w:sz w:val="20"/>
                <w:szCs w:val="20"/>
              </w:rPr>
              <w:t>255,508</w:t>
            </w:r>
          </w:p>
        </w:tc>
        <w:tc>
          <w:tcPr>
            <w:tcW w:w="687" w:type="pct"/>
            <w:shd w:val="clear" w:color="auto" w:fill="FFE599" w:themeFill="accent4" w:themeFillTint="66"/>
            <w:vAlign w:val="center"/>
          </w:tcPr>
          <w:p w14:paraId="6A0CC7DD" w14:textId="45F59E12" w:rsidR="00CD0307" w:rsidRPr="009D7F80" w:rsidRDefault="000063F0" w:rsidP="000911BE">
            <w:pPr>
              <w:jc w:val="right"/>
              <w:rPr>
                <w:rFonts w:ascii="Calibri" w:hAnsi="Calibri" w:cs="Calibri"/>
                <w:b/>
                <w:bCs/>
                <w:color w:val="000000"/>
                <w:sz w:val="20"/>
                <w:szCs w:val="20"/>
              </w:rPr>
            </w:pPr>
            <w:r>
              <w:rPr>
                <w:rFonts w:ascii="Calibri" w:hAnsi="Calibri" w:cs="Calibri"/>
                <w:b/>
                <w:bCs/>
                <w:color w:val="000000"/>
                <w:sz w:val="20"/>
                <w:szCs w:val="20"/>
              </w:rPr>
              <w:t xml:space="preserve">$ </w:t>
            </w:r>
            <w:r w:rsidR="00CD0307">
              <w:rPr>
                <w:rFonts w:ascii="Calibri" w:hAnsi="Calibri" w:cs="Calibri"/>
                <w:b/>
                <w:bCs/>
                <w:color w:val="000000"/>
                <w:sz w:val="20"/>
                <w:szCs w:val="20"/>
              </w:rPr>
              <w:t>2,578,377</w:t>
            </w:r>
          </w:p>
        </w:tc>
        <w:tc>
          <w:tcPr>
            <w:tcW w:w="678" w:type="pct"/>
            <w:shd w:val="clear" w:color="auto" w:fill="FFE599" w:themeFill="accent4" w:themeFillTint="66"/>
            <w:noWrap/>
            <w:vAlign w:val="center"/>
            <w:hideMark/>
          </w:tcPr>
          <w:p w14:paraId="075C51AA" w14:textId="77777777" w:rsidR="00CD0307" w:rsidRPr="000063F0" w:rsidRDefault="00CD0307" w:rsidP="007F3F39">
            <w:pPr>
              <w:jc w:val="center"/>
              <w:rPr>
                <w:rFonts w:ascii="Calibri" w:eastAsia="Times New Roman" w:hAnsi="Calibri" w:cs="Calibri"/>
                <w:b/>
                <w:bCs/>
                <w:i/>
                <w:color w:val="000000"/>
                <w:sz w:val="20"/>
                <w:szCs w:val="20"/>
                <w:lang w:eastAsia="en-AU"/>
              </w:rPr>
            </w:pPr>
            <w:r w:rsidRPr="000063F0">
              <w:rPr>
                <w:rFonts w:ascii="Calibri" w:hAnsi="Calibri" w:cs="Calibri"/>
                <w:b/>
                <w:bCs/>
                <w:i/>
                <w:color w:val="000000"/>
                <w:sz w:val="20"/>
                <w:szCs w:val="20"/>
              </w:rPr>
              <w:t>10.09</w:t>
            </w:r>
          </w:p>
        </w:tc>
      </w:tr>
    </w:tbl>
    <w:p w14:paraId="01101FCB" w14:textId="77777777" w:rsidR="00CD0307" w:rsidRDefault="00CD0307" w:rsidP="00CD0307"/>
    <w:p w14:paraId="62A052A3" w14:textId="77777777" w:rsidR="00CD0307" w:rsidRDefault="00CD0307" w:rsidP="00CD0307">
      <w:r>
        <w:t>Based on this analysis, on average there should be sufficient liquid assets held by providers to transition from payments in advance to payments in arrears.</w:t>
      </w:r>
    </w:p>
    <w:p w14:paraId="3B8F1148" w14:textId="77777777" w:rsidR="00CD0307" w:rsidRDefault="00CD0307" w:rsidP="00CD0307"/>
    <w:p w14:paraId="7A96C2D5" w14:textId="665C6986" w:rsidR="00CD0307" w:rsidRDefault="00CD0307" w:rsidP="00CD0307">
      <w:pPr>
        <w:pStyle w:val="Caption"/>
        <w:keepNext/>
      </w:pPr>
      <w:r>
        <w:t xml:space="preserve">Table </w:t>
      </w:r>
      <w:fldSimple w:instr=" SEQ Table \* ARABIC ">
        <w:r w:rsidR="00844346">
          <w:rPr>
            <w:noProof/>
          </w:rPr>
          <w:t>14</w:t>
        </w:r>
      </w:fldSimple>
      <w:r>
        <w:t>: Analysis of liquid asset coverage of one month’s operational costs where negative margins</w:t>
      </w:r>
    </w:p>
    <w:tbl>
      <w:tblPr>
        <w:tblStyle w:val="TableGrid"/>
        <w:tblW w:w="5000" w:type="pct"/>
        <w:tblLayout w:type="fixed"/>
        <w:tblLook w:val="04A0" w:firstRow="1" w:lastRow="0" w:firstColumn="1" w:lastColumn="0" w:noHBand="0" w:noVBand="1"/>
        <w:tblCaption w:val="Table 14: Analysis of liquid asset coverage of one month’s operational costs where negative margins"/>
      </w:tblPr>
      <w:tblGrid>
        <w:gridCol w:w="1701"/>
        <w:gridCol w:w="1327"/>
        <w:gridCol w:w="1327"/>
        <w:gridCol w:w="1323"/>
        <w:gridCol w:w="1323"/>
        <w:gridCol w:w="1323"/>
        <w:gridCol w:w="1304"/>
      </w:tblGrid>
      <w:tr w:rsidR="00CD0307" w:rsidRPr="00C33204" w14:paraId="12BCE5E7" w14:textId="77777777" w:rsidTr="003636FB">
        <w:trPr>
          <w:trHeight w:val="1350"/>
          <w:tblHeader/>
        </w:trPr>
        <w:tc>
          <w:tcPr>
            <w:tcW w:w="883" w:type="pct"/>
            <w:shd w:val="clear" w:color="auto" w:fill="5B9BD5"/>
            <w:vAlign w:val="center"/>
          </w:tcPr>
          <w:p w14:paraId="04BD50C1" w14:textId="77777777" w:rsidR="00CD0307" w:rsidRPr="001F0F05" w:rsidRDefault="00CD0307" w:rsidP="00E735C3">
            <w:pPr>
              <w:jc w:val="center"/>
              <w:rPr>
                <w:rFonts w:ascii="Calibri" w:eastAsia="Times New Roman" w:hAnsi="Calibri" w:cs="Calibri"/>
                <w:b/>
                <w:bCs/>
                <w:color w:val="FFFFFF" w:themeColor="background1"/>
                <w:sz w:val="20"/>
                <w:szCs w:val="20"/>
                <w:lang w:eastAsia="en-AU"/>
              </w:rPr>
            </w:pPr>
            <w:r w:rsidRPr="001F0F05">
              <w:rPr>
                <w:b/>
                <w:bCs/>
                <w:color w:val="FFFFFF" w:themeColor="background1"/>
                <w:sz w:val="20"/>
                <w:szCs w:val="20"/>
                <w:lang w:eastAsia="en-AU"/>
              </w:rPr>
              <w:t>Category</w:t>
            </w:r>
          </w:p>
        </w:tc>
        <w:tc>
          <w:tcPr>
            <w:tcW w:w="689" w:type="pct"/>
            <w:shd w:val="clear" w:color="auto" w:fill="5B9BD5"/>
            <w:vAlign w:val="center"/>
          </w:tcPr>
          <w:p w14:paraId="6DCFBAD3" w14:textId="3EF6B6BB" w:rsidR="00CD0307" w:rsidRDefault="00CD0307" w:rsidP="00E735C3">
            <w:pPr>
              <w:jc w:val="center"/>
              <w:rPr>
                <w:rFonts w:ascii="Calibri" w:eastAsia="Times New Roman" w:hAnsi="Calibri" w:cs="Calibri"/>
                <w:b/>
                <w:bCs/>
                <w:color w:val="FFFFFF" w:themeColor="background1"/>
                <w:sz w:val="20"/>
                <w:szCs w:val="20"/>
                <w:lang w:eastAsia="en-AU"/>
              </w:rPr>
            </w:pPr>
            <w:r>
              <w:rPr>
                <w:rFonts w:ascii="Calibri" w:eastAsia="Times New Roman" w:hAnsi="Calibri" w:cs="Calibri"/>
                <w:b/>
                <w:bCs/>
                <w:color w:val="FFFFFF" w:themeColor="background1"/>
                <w:sz w:val="20"/>
                <w:szCs w:val="20"/>
                <w:lang w:eastAsia="en-AU"/>
              </w:rPr>
              <w:t xml:space="preserve">Number of </w:t>
            </w:r>
            <w:r w:rsidR="00E735C3">
              <w:rPr>
                <w:rFonts w:ascii="Calibri" w:eastAsia="Times New Roman" w:hAnsi="Calibri" w:cs="Calibri"/>
                <w:b/>
                <w:bCs/>
                <w:color w:val="FFFFFF" w:themeColor="background1"/>
                <w:sz w:val="20"/>
                <w:szCs w:val="20"/>
                <w:lang w:eastAsia="en-AU"/>
              </w:rPr>
              <w:t>P</w:t>
            </w:r>
            <w:r>
              <w:rPr>
                <w:rFonts w:ascii="Calibri" w:eastAsia="Times New Roman" w:hAnsi="Calibri" w:cs="Calibri"/>
                <w:b/>
                <w:bCs/>
                <w:color w:val="FFFFFF" w:themeColor="background1"/>
                <w:sz w:val="20"/>
                <w:szCs w:val="20"/>
                <w:lang w:eastAsia="en-AU"/>
              </w:rPr>
              <w:t>roviders</w:t>
            </w:r>
          </w:p>
        </w:tc>
        <w:tc>
          <w:tcPr>
            <w:tcW w:w="689" w:type="pct"/>
            <w:shd w:val="clear" w:color="auto" w:fill="5B9BD5"/>
            <w:vAlign w:val="center"/>
            <w:hideMark/>
          </w:tcPr>
          <w:p w14:paraId="553F3221" w14:textId="77777777" w:rsidR="00CD0307" w:rsidRDefault="00CD0307" w:rsidP="00E735C3">
            <w:pPr>
              <w:jc w:val="center"/>
              <w:rPr>
                <w:rFonts w:ascii="Calibri" w:eastAsia="Times New Roman" w:hAnsi="Calibri" w:cs="Calibri"/>
                <w:b/>
                <w:bCs/>
                <w:color w:val="FFFFFF" w:themeColor="background1"/>
                <w:sz w:val="20"/>
                <w:szCs w:val="20"/>
                <w:lang w:eastAsia="en-AU"/>
              </w:rPr>
            </w:pPr>
            <w:r>
              <w:rPr>
                <w:rFonts w:ascii="Calibri" w:eastAsia="Times New Roman" w:hAnsi="Calibri" w:cs="Calibri"/>
                <w:b/>
                <w:bCs/>
                <w:color w:val="FFFFFF" w:themeColor="background1"/>
                <w:sz w:val="20"/>
                <w:szCs w:val="20"/>
                <w:lang w:eastAsia="en-AU"/>
              </w:rPr>
              <w:t>Average Monthly Revenue</w:t>
            </w:r>
          </w:p>
          <w:p w14:paraId="7472F107" w14:textId="77777777" w:rsidR="00CD0307" w:rsidRPr="001F0F05" w:rsidRDefault="00CD0307" w:rsidP="00E735C3">
            <w:pPr>
              <w:jc w:val="center"/>
              <w:rPr>
                <w:rFonts w:ascii="Calibri" w:eastAsia="Times New Roman" w:hAnsi="Calibri" w:cs="Calibri"/>
                <w:b/>
                <w:bCs/>
                <w:color w:val="FFFFFF" w:themeColor="background1"/>
                <w:sz w:val="20"/>
                <w:szCs w:val="20"/>
                <w:lang w:eastAsia="en-AU"/>
              </w:rPr>
            </w:pPr>
            <w:r>
              <w:rPr>
                <w:rFonts w:ascii="Calibri" w:eastAsia="Times New Roman" w:hAnsi="Calibri" w:cs="Calibri"/>
                <w:b/>
                <w:bCs/>
                <w:color w:val="FFFFFF" w:themeColor="background1"/>
                <w:sz w:val="20"/>
                <w:szCs w:val="20"/>
                <w:lang w:eastAsia="en-AU"/>
              </w:rPr>
              <w:t>$</w:t>
            </w:r>
          </w:p>
        </w:tc>
        <w:tc>
          <w:tcPr>
            <w:tcW w:w="687" w:type="pct"/>
            <w:shd w:val="clear" w:color="auto" w:fill="5B9BD5"/>
            <w:vAlign w:val="center"/>
            <w:hideMark/>
          </w:tcPr>
          <w:p w14:paraId="78959FF6" w14:textId="77777777" w:rsidR="00CD0307" w:rsidRDefault="00CD0307" w:rsidP="00E735C3">
            <w:pPr>
              <w:jc w:val="center"/>
              <w:rPr>
                <w:rFonts w:ascii="Calibri" w:hAnsi="Calibri" w:cs="Calibri"/>
                <w:b/>
                <w:bCs/>
                <w:color w:val="FFFFFF" w:themeColor="background1"/>
                <w:sz w:val="20"/>
                <w:szCs w:val="20"/>
              </w:rPr>
            </w:pPr>
            <w:r>
              <w:rPr>
                <w:rFonts w:ascii="Calibri" w:hAnsi="Calibri" w:cs="Calibri"/>
                <w:b/>
                <w:bCs/>
                <w:color w:val="FFFFFF" w:themeColor="background1"/>
                <w:sz w:val="20"/>
                <w:szCs w:val="20"/>
              </w:rPr>
              <w:t>Average Monthly Margin</w:t>
            </w:r>
          </w:p>
          <w:p w14:paraId="1F269B7A" w14:textId="77777777" w:rsidR="00CD0307" w:rsidRPr="001F0F05" w:rsidRDefault="00CD0307" w:rsidP="00E735C3">
            <w:pPr>
              <w:jc w:val="center"/>
              <w:rPr>
                <w:rFonts w:ascii="Calibri" w:eastAsia="Times New Roman" w:hAnsi="Calibri" w:cs="Calibri"/>
                <w:b/>
                <w:bCs/>
                <w:color w:val="FFFFFF" w:themeColor="background1"/>
                <w:sz w:val="20"/>
                <w:szCs w:val="20"/>
                <w:lang w:eastAsia="en-AU"/>
              </w:rPr>
            </w:pPr>
            <w:r>
              <w:rPr>
                <w:rFonts w:ascii="Calibri" w:eastAsia="Times New Roman" w:hAnsi="Calibri" w:cs="Calibri"/>
                <w:b/>
                <w:bCs/>
                <w:color w:val="FFFFFF" w:themeColor="background1"/>
                <w:sz w:val="20"/>
                <w:szCs w:val="20"/>
                <w:lang w:eastAsia="en-AU"/>
              </w:rPr>
              <w:t>$</w:t>
            </w:r>
          </w:p>
        </w:tc>
        <w:tc>
          <w:tcPr>
            <w:tcW w:w="687" w:type="pct"/>
            <w:shd w:val="clear" w:color="auto" w:fill="5B9BD5"/>
            <w:vAlign w:val="center"/>
          </w:tcPr>
          <w:p w14:paraId="27275B95" w14:textId="77777777" w:rsidR="00CD0307" w:rsidRDefault="00CD0307" w:rsidP="00E735C3">
            <w:pPr>
              <w:jc w:val="center"/>
              <w:rPr>
                <w:rFonts w:ascii="Calibri" w:hAnsi="Calibri" w:cs="Calibri"/>
                <w:b/>
                <w:bCs/>
                <w:color w:val="FFFFFF" w:themeColor="background1"/>
                <w:sz w:val="20"/>
                <w:szCs w:val="20"/>
              </w:rPr>
            </w:pPr>
            <w:r>
              <w:rPr>
                <w:rFonts w:ascii="Calibri" w:hAnsi="Calibri" w:cs="Calibri"/>
                <w:b/>
                <w:bCs/>
                <w:color w:val="FFFFFF" w:themeColor="background1"/>
                <w:sz w:val="20"/>
                <w:szCs w:val="20"/>
              </w:rPr>
              <w:t>Average monthly cost to fund operations</w:t>
            </w:r>
          </w:p>
          <w:p w14:paraId="2BF128D0" w14:textId="77777777" w:rsidR="00CD0307" w:rsidRPr="001F0F05" w:rsidRDefault="00CD0307" w:rsidP="00E735C3">
            <w:pPr>
              <w:jc w:val="center"/>
              <w:rPr>
                <w:rFonts w:ascii="Calibri" w:hAnsi="Calibri" w:cs="Calibri"/>
                <w:b/>
                <w:bCs/>
                <w:color w:val="FFFFFF" w:themeColor="background1"/>
                <w:sz w:val="20"/>
                <w:szCs w:val="20"/>
              </w:rPr>
            </w:pPr>
            <w:r>
              <w:rPr>
                <w:rFonts w:ascii="Calibri" w:hAnsi="Calibri" w:cs="Calibri"/>
                <w:b/>
                <w:bCs/>
                <w:color w:val="FFFFFF" w:themeColor="background1"/>
                <w:sz w:val="20"/>
                <w:szCs w:val="20"/>
              </w:rPr>
              <w:t>$</w:t>
            </w:r>
          </w:p>
        </w:tc>
        <w:tc>
          <w:tcPr>
            <w:tcW w:w="687" w:type="pct"/>
            <w:shd w:val="clear" w:color="auto" w:fill="5B9BD5"/>
            <w:vAlign w:val="center"/>
          </w:tcPr>
          <w:p w14:paraId="5DB78A8E" w14:textId="19CCFFCD" w:rsidR="00CD0307" w:rsidRPr="001F0F05" w:rsidRDefault="00CD0307" w:rsidP="00E735C3">
            <w:pPr>
              <w:jc w:val="center"/>
              <w:rPr>
                <w:rFonts w:ascii="Calibri" w:hAnsi="Calibri" w:cs="Calibri"/>
                <w:b/>
                <w:bCs/>
                <w:color w:val="FFFFFF" w:themeColor="background1"/>
                <w:sz w:val="20"/>
                <w:szCs w:val="20"/>
              </w:rPr>
            </w:pPr>
            <w:r w:rsidRPr="001F0F05">
              <w:rPr>
                <w:rFonts w:ascii="Calibri" w:hAnsi="Calibri" w:cs="Calibri"/>
                <w:b/>
                <w:bCs/>
                <w:color w:val="FFFFFF" w:themeColor="background1"/>
                <w:sz w:val="20"/>
                <w:szCs w:val="20"/>
              </w:rPr>
              <w:t>HC</w:t>
            </w:r>
            <w:r w:rsidR="00E735C3">
              <w:rPr>
                <w:rFonts w:ascii="Calibri" w:hAnsi="Calibri" w:cs="Calibri"/>
                <w:b/>
                <w:bCs/>
                <w:color w:val="FFFFFF" w:themeColor="background1"/>
                <w:sz w:val="20"/>
                <w:szCs w:val="20"/>
              </w:rPr>
              <w:t>P</w:t>
            </w:r>
            <w:r w:rsidRPr="001F0F05">
              <w:rPr>
                <w:rFonts w:ascii="Calibri" w:hAnsi="Calibri" w:cs="Calibri"/>
                <w:b/>
                <w:bCs/>
                <w:color w:val="FFFFFF" w:themeColor="background1"/>
                <w:sz w:val="20"/>
                <w:szCs w:val="20"/>
              </w:rPr>
              <w:t xml:space="preserve"> Segment Liquid Assets</w:t>
            </w:r>
          </w:p>
        </w:tc>
        <w:tc>
          <w:tcPr>
            <w:tcW w:w="677" w:type="pct"/>
            <w:shd w:val="clear" w:color="auto" w:fill="5B9BD5"/>
            <w:vAlign w:val="center"/>
            <w:hideMark/>
          </w:tcPr>
          <w:p w14:paraId="654B3F01" w14:textId="021CCD56" w:rsidR="00CD0307" w:rsidRPr="001F0F05" w:rsidRDefault="00CD0307" w:rsidP="00E735C3">
            <w:pPr>
              <w:jc w:val="center"/>
              <w:rPr>
                <w:rFonts w:ascii="Calibri" w:eastAsia="Times New Roman" w:hAnsi="Calibri" w:cs="Calibri"/>
                <w:b/>
                <w:bCs/>
                <w:color w:val="FFFFFF" w:themeColor="background1"/>
                <w:sz w:val="20"/>
                <w:szCs w:val="20"/>
                <w:lang w:eastAsia="en-AU"/>
              </w:rPr>
            </w:pPr>
            <w:r w:rsidRPr="001F0F05">
              <w:rPr>
                <w:rFonts w:ascii="Calibri" w:hAnsi="Calibri" w:cs="Calibri"/>
                <w:b/>
                <w:bCs/>
                <w:color w:val="FFFFFF" w:themeColor="background1"/>
                <w:sz w:val="20"/>
                <w:szCs w:val="20"/>
              </w:rPr>
              <w:t>Segment  Liquid Assets</w:t>
            </w:r>
            <w:r w:rsidR="00E735C3">
              <w:rPr>
                <w:rFonts w:ascii="Calibri" w:hAnsi="Calibri" w:cs="Calibri"/>
                <w:b/>
                <w:bCs/>
                <w:color w:val="FFFFFF" w:themeColor="background1"/>
                <w:sz w:val="20"/>
                <w:szCs w:val="20"/>
              </w:rPr>
              <w:t xml:space="preserve"> </w:t>
            </w:r>
            <w:r w:rsidRPr="001F0F05">
              <w:rPr>
                <w:rFonts w:ascii="Calibri" w:hAnsi="Calibri" w:cs="Calibri"/>
                <w:b/>
                <w:bCs/>
                <w:color w:val="FFFFFF" w:themeColor="background1"/>
                <w:sz w:val="20"/>
                <w:szCs w:val="20"/>
              </w:rPr>
              <w:t xml:space="preserve">/ </w:t>
            </w:r>
            <w:r>
              <w:rPr>
                <w:rFonts w:ascii="Calibri" w:hAnsi="Calibri" w:cs="Calibri"/>
                <w:b/>
                <w:bCs/>
                <w:color w:val="FFFFFF" w:themeColor="background1"/>
                <w:sz w:val="20"/>
                <w:szCs w:val="20"/>
              </w:rPr>
              <w:t>1</w:t>
            </w:r>
            <w:r w:rsidRPr="001F0F05">
              <w:rPr>
                <w:rFonts w:ascii="Calibri" w:hAnsi="Calibri" w:cs="Calibri"/>
                <w:b/>
                <w:bCs/>
                <w:color w:val="FFFFFF" w:themeColor="background1"/>
                <w:sz w:val="20"/>
                <w:szCs w:val="20"/>
              </w:rPr>
              <w:t xml:space="preserve"> month</w:t>
            </w:r>
            <w:r>
              <w:rPr>
                <w:rFonts w:ascii="Calibri" w:hAnsi="Calibri" w:cs="Calibri"/>
                <w:b/>
                <w:bCs/>
                <w:color w:val="FFFFFF" w:themeColor="background1"/>
                <w:sz w:val="20"/>
                <w:szCs w:val="20"/>
              </w:rPr>
              <w:t>’s</w:t>
            </w:r>
            <w:r w:rsidRPr="001F0F05">
              <w:rPr>
                <w:rFonts w:ascii="Calibri" w:hAnsi="Calibri" w:cs="Calibri"/>
                <w:b/>
                <w:bCs/>
                <w:color w:val="FFFFFF" w:themeColor="background1"/>
                <w:sz w:val="20"/>
                <w:szCs w:val="20"/>
              </w:rPr>
              <w:t xml:space="preserve"> </w:t>
            </w:r>
            <w:r>
              <w:rPr>
                <w:rFonts w:ascii="Calibri" w:hAnsi="Calibri" w:cs="Calibri"/>
                <w:b/>
                <w:bCs/>
                <w:color w:val="FFFFFF" w:themeColor="background1"/>
                <w:sz w:val="20"/>
                <w:szCs w:val="20"/>
              </w:rPr>
              <w:t>Operational cost</w:t>
            </w:r>
          </w:p>
        </w:tc>
      </w:tr>
      <w:tr w:rsidR="00CD0307" w:rsidRPr="00C33204" w14:paraId="15141BC2" w14:textId="77777777" w:rsidTr="000911BE">
        <w:trPr>
          <w:trHeight w:val="375"/>
        </w:trPr>
        <w:tc>
          <w:tcPr>
            <w:tcW w:w="883" w:type="pct"/>
            <w:shd w:val="clear" w:color="auto" w:fill="DEEAF6"/>
            <w:vAlign w:val="center"/>
          </w:tcPr>
          <w:p w14:paraId="73CC8EE7" w14:textId="77777777" w:rsidR="00CD0307" w:rsidRPr="00BE6EFA" w:rsidRDefault="00CD0307" w:rsidP="007F3F39">
            <w:pPr>
              <w:jc w:val="left"/>
              <w:rPr>
                <w:rFonts w:ascii="Calibri" w:eastAsia="Times New Roman" w:hAnsi="Calibri" w:cs="Calibri"/>
                <w:color w:val="000000"/>
                <w:sz w:val="20"/>
                <w:szCs w:val="20"/>
                <w:lang w:eastAsia="en-AU"/>
              </w:rPr>
            </w:pPr>
            <w:r w:rsidRPr="00BE6EFA">
              <w:rPr>
                <w:sz w:val="20"/>
                <w:szCs w:val="20"/>
                <w:lang w:eastAsia="en-AU"/>
              </w:rPr>
              <w:t xml:space="preserve">Very small </w:t>
            </w:r>
          </w:p>
        </w:tc>
        <w:tc>
          <w:tcPr>
            <w:tcW w:w="689" w:type="pct"/>
            <w:shd w:val="clear" w:color="auto" w:fill="DEEAF6"/>
            <w:vAlign w:val="center"/>
          </w:tcPr>
          <w:p w14:paraId="099338C5" w14:textId="77777777" w:rsidR="00CD0307" w:rsidRPr="00BE6EFA" w:rsidRDefault="00CD0307" w:rsidP="007F3F39">
            <w:pPr>
              <w:jc w:val="center"/>
              <w:rPr>
                <w:rFonts w:ascii="Calibri" w:hAnsi="Calibri" w:cs="Calibri"/>
                <w:color w:val="000000"/>
                <w:sz w:val="20"/>
                <w:szCs w:val="20"/>
              </w:rPr>
            </w:pPr>
            <w:r w:rsidRPr="00BE6EFA">
              <w:rPr>
                <w:rFonts w:ascii="Calibri" w:hAnsi="Calibri" w:cs="Calibri"/>
                <w:color w:val="000000"/>
                <w:sz w:val="20"/>
                <w:szCs w:val="20"/>
              </w:rPr>
              <w:t>82</w:t>
            </w:r>
          </w:p>
        </w:tc>
        <w:tc>
          <w:tcPr>
            <w:tcW w:w="689" w:type="pct"/>
            <w:shd w:val="clear" w:color="auto" w:fill="DEEAF6"/>
            <w:noWrap/>
            <w:vAlign w:val="center"/>
          </w:tcPr>
          <w:p w14:paraId="6FF592FD" w14:textId="77777777" w:rsidR="00CD0307" w:rsidRPr="009D7F80" w:rsidRDefault="00CD0307" w:rsidP="000911BE">
            <w:pPr>
              <w:jc w:val="right"/>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16,181</w:t>
            </w:r>
          </w:p>
        </w:tc>
        <w:tc>
          <w:tcPr>
            <w:tcW w:w="687" w:type="pct"/>
            <w:shd w:val="clear" w:color="auto" w:fill="DEEAF6"/>
            <w:noWrap/>
            <w:vAlign w:val="center"/>
          </w:tcPr>
          <w:p w14:paraId="3B14E14E" w14:textId="77777777" w:rsidR="00CD0307" w:rsidRPr="009D7F80" w:rsidRDefault="00CD0307" w:rsidP="000911BE">
            <w:pPr>
              <w:jc w:val="right"/>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(7,090)</w:t>
            </w:r>
          </w:p>
        </w:tc>
        <w:tc>
          <w:tcPr>
            <w:tcW w:w="687" w:type="pct"/>
            <w:shd w:val="clear" w:color="auto" w:fill="DEEAF6"/>
            <w:vAlign w:val="center"/>
          </w:tcPr>
          <w:p w14:paraId="2B144EAB" w14:textId="77777777" w:rsidR="00CD0307" w:rsidRPr="009D7F80" w:rsidRDefault="00CD0307" w:rsidP="000911BE">
            <w:pPr>
              <w:jc w:val="right"/>
              <w:rPr>
                <w:rFonts w:ascii="Calibri" w:hAnsi="Calibri" w:cs="Calibri"/>
                <w:color w:val="000000"/>
                <w:sz w:val="20"/>
                <w:szCs w:val="20"/>
              </w:rPr>
            </w:pPr>
            <w:r>
              <w:rPr>
                <w:rFonts w:ascii="Calibri" w:hAnsi="Calibri" w:cs="Calibri"/>
                <w:color w:val="000000"/>
                <w:sz w:val="20"/>
                <w:szCs w:val="20"/>
              </w:rPr>
              <w:t>23,271</w:t>
            </w:r>
          </w:p>
        </w:tc>
        <w:tc>
          <w:tcPr>
            <w:tcW w:w="687" w:type="pct"/>
            <w:shd w:val="clear" w:color="auto" w:fill="DEEAF6"/>
            <w:vAlign w:val="center"/>
          </w:tcPr>
          <w:p w14:paraId="451ACE16" w14:textId="77777777" w:rsidR="00CD0307" w:rsidRPr="009D7F80" w:rsidRDefault="00CD0307" w:rsidP="000911BE">
            <w:pPr>
              <w:jc w:val="right"/>
              <w:rPr>
                <w:rFonts w:ascii="Calibri" w:hAnsi="Calibri" w:cs="Calibri"/>
                <w:color w:val="000000"/>
                <w:sz w:val="20"/>
                <w:szCs w:val="20"/>
              </w:rPr>
            </w:pPr>
            <w:r>
              <w:rPr>
                <w:rFonts w:ascii="Calibri" w:hAnsi="Calibri" w:cs="Calibri"/>
                <w:color w:val="000000"/>
                <w:sz w:val="20"/>
                <w:szCs w:val="20"/>
              </w:rPr>
              <w:t>1,217,418</w:t>
            </w:r>
          </w:p>
        </w:tc>
        <w:tc>
          <w:tcPr>
            <w:tcW w:w="677" w:type="pct"/>
            <w:shd w:val="clear" w:color="auto" w:fill="DEEAF6"/>
            <w:noWrap/>
            <w:vAlign w:val="center"/>
          </w:tcPr>
          <w:p w14:paraId="30610546" w14:textId="77777777" w:rsidR="00CD0307" w:rsidRPr="00E735C3" w:rsidRDefault="00CD0307" w:rsidP="007F3F39">
            <w:pPr>
              <w:jc w:val="center"/>
              <w:rPr>
                <w:rFonts w:ascii="Calibri" w:eastAsia="Times New Roman" w:hAnsi="Calibri" w:cs="Calibri"/>
                <w:i/>
                <w:color w:val="000000"/>
                <w:sz w:val="20"/>
                <w:szCs w:val="20"/>
                <w:lang w:eastAsia="en-AU"/>
              </w:rPr>
            </w:pPr>
            <w:r w:rsidRPr="00E735C3">
              <w:rPr>
                <w:rFonts w:ascii="Calibri" w:eastAsia="Times New Roman" w:hAnsi="Calibri" w:cs="Calibri"/>
                <w:i/>
                <w:color w:val="000000"/>
                <w:sz w:val="20"/>
                <w:szCs w:val="20"/>
                <w:lang w:eastAsia="en-AU"/>
              </w:rPr>
              <w:t>52.32</w:t>
            </w:r>
          </w:p>
        </w:tc>
      </w:tr>
      <w:tr w:rsidR="00CD0307" w:rsidRPr="00C33204" w14:paraId="28156795" w14:textId="77777777" w:rsidTr="000911BE">
        <w:trPr>
          <w:trHeight w:val="375"/>
        </w:trPr>
        <w:tc>
          <w:tcPr>
            <w:tcW w:w="883" w:type="pct"/>
            <w:vAlign w:val="center"/>
          </w:tcPr>
          <w:p w14:paraId="3F79A656" w14:textId="77777777" w:rsidR="00CD0307" w:rsidRPr="00BE6EFA" w:rsidRDefault="00CD0307" w:rsidP="007F3F39">
            <w:pPr>
              <w:jc w:val="left"/>
              <w:rPr>
                <w:rFonts w:ascii="Calibri" w:eastAsia="Times New Roman" w:hAnsi="Calibri" w:cs="Calibri"/>
                <w:color w:val="000000"/>
                <w:sz w:val="20"/>
                <w:szCs w:val="20"/>
                <w:lang w:eastAsia="en-AU"/>
              </w:rPr>
            </w:pPr>
            <w:r w:rsidRPr="00BE6EFA">
              <w:rPr>
                <w:sz w:val="20"/>
                <w:szCs w:val="20"/>
                <w:lang w:eastAsia="en-AU"/>
              </w:rPr>
              <w:t xml:space="preserve">Small </w:t>
            </w:r>
          </w:p>
        </w:tc>
        <w:tc>
          <w:tcPr>
            <w:tcW w:w="689" w:type="pct"/>
            <w:vAlign w:val="center"/>
          </w:tcPr>
          <w:p w14:paraId="38EF084F" w14:textId="77777777" w:rsidR="00CD0307" w:rsidRPr="00BE6EFA" w:rsidRDefault="00CD0307" w:rsidP="007F3F39">
            <w:pPr>
              <w:jc w:val="center"/>
              <w:rPr>
                <w:rFonts w:ascii="Calibri" w:hAnsi="Calibri" w:cs="Calibri"/>
                <w:color w:val="000000"/>
                <w:sz w:val="20"/>
                <w:szCs w:val="20"/>
              </w:rPr>
            </w:pPr>
            <w:r w:rsidRPr="00BE6EFA">
              <w:rPr>
                <w:rFonts w:ascii="Calibri" w:hAnsi="Calibri" w:cs="Calibri"/>
                <w:color w:val="000000"/>
                <w:sz w:val="20"/>
                <w:szCs w:val="20"/>
              </w:rPr>
              <w:t>32</w:t>
            </w:r>
          </w:p>
        </w:tc>
        <w:tc>
          <w:tcPr>
            <w:tcW w:w="689" w:type="pct"/>
            <w:noWrap/>
            <w:vAlign w:val="center"/>
          </w:tcPr>
          <w:p w14:paraId="451E9B16" w14:textId="77777777" w:rsidR="00CD0307" w:rsidRPr="009D7F80" w:rsidRDefault="00CD0307" w:rsidP="000911BE">
            <w:pPr>
              <w:jc w:val="right"/>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101,884</w:t>
            </w:r>
          </w:p>
        </w:tc>
        <w:tc>
          <w:tcPr>
            <w:tcW w:w="687" w:type="pct"/>
            <w:noWrap/>
            <w:vAlign w:val="center"/>
          </w:tcPr>
          <w:p w14:paraId="42307368" w14:textId="77777777" w:rsidR="00CD0307" w:rsidRPr="009D7F80" w:rsidRDefault="00CD0307" w:rsidP="000911BE">
            <w:pPr>
              <w:jc w:val="right"/>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(19,226)</w:t>
            </w:r>
          </w:p>
        </w:tc>
        <w:tc>
          <w:tcPr>
            <w:tcW w:w="687" w:type="pct"/>
            <w:vAlign w:val="center"/>
          </w:tcPr>
          <w:p w14:paraId="57C84382" w14:textId="77777777" w:rsidR="00CD0307" w:rsidRPr="009D7F80" w:rsidRDefault="00CD0307" w:rsidP="000911BE">
            <w:pPr>
              <w:jc w:val="right"/>
              <w:rPr>
                <w:rFonts w:ascii="Calibri" w:hAnsi="Calibri" w:cs="Calibri"/>
                <w:color w:val="000000"/>
                <w:sz w:val="20"/>
                <w:szCs w:val="20"/>
              </w:rPr>
            </w:pPr>
            <w:r>
              <w:rPr>
                <w:rFonts w:ascii="Calibri" w:hAnsi="Calibri" w:cs="Calibri"/>
                <w:color w:val="000000"/>
                <w:sz w:val="20"/>
                <w:szCs w:val="20"/>
              </w:rPr>
              <w:t>121,110</w:t>
            </w:r>
          </w:p>
        </w:tc>
        <w:tc>
          <w:tcPr>
            <w:tcW w:w="687" w:type="pct"/>
            <w:vAlign w:val="center"/>
          </w:tcPr>
          <w:p w14:paraId="38D2AD31" w14:textId="77777777" w:rsidR="00CD0307" w:rsidRPr="009D7F80" w:rsidRDefault="00CD0307" w:rsidP="000911BE">
            <w:pPr>
              <w:jc w:val="right"/>
              <w:rPr>
                <w:rFonts w:ascii="Calibri" w:hAnsi="Calibri" w:cs="Calibri"/>
                <w:color w:val="000000"/>
                <w:sz w:val="20"/>
                <w:szCs w:val="20"/>
              </w:rPr>
            </w:pPr>
            <w:r>
              <w:rPr>
                <w:rFonts w:ascii="Calibri" w:hAnsi="Calibri" w:cs="Calibri"/>
                <w:color w:val="000000"/>
                <w:sz w:val="20"/>
                <w:szCs w:val="20"/>
              </w:rPr>
              <w:t>1,447,845</w:t>
            </w:r>
          </w:p>
        </w:tc>
        <w:tc>
          <w:tcPr>
            <w:tcW w:w="677" w:type="pct"/>
            <w:noWrap/>
            <w:vAlign w:val="center"/>
          </w:tcPr>
          <w:p w14:paraId="054AF7E9" w14:textId="77777777" w:rsidR="00CD0307" w:rsidRPr="00E735C3" w:rsidRDefault="00CD0307" w:rsidP="007F3F39">
            <w:pPr>
              <w:jc w:val="center"/>
              <w:rPr>
                <w:rFonts w:ascii="Calibri" w:eastAsia="Times New Roman" w:hAnsi="Calibri" w:cs="Calibri"/>
                <w:i/>
                <w:color w:val="000000"/>
                <w:sz w:val="20"/>
                <w:szCs w:val="20"/>
                <w:lang w:eastAsia="en-AU"/>
              </w:rPr>
            </w:pPr>
            <w:r w:rsidRPr="00E735C3">
              <w:rPr>
                <w:rFonts w:ascii="Calibri" w:eastAsia="Times New Roman" w:hAnsi="Calibri" w:cs="Calibri"/>
                <w:i/>
                <w:color w:val="000000"/>
                <w:sz w:val="20"/>
                <w:szCs w:val="20"/>
                <w:lang w:eastAsia="en-AU"/>
              </w:rPr>
              <w:t>11.95</w:t>
            </w:r>
          </w:p>
        </w:tc>
      </w:tr>
      <w:tr w:rsidR="00CD0307" w:rsidRPr="00C33204" w14:paraId="417A37E7" w14:textId="77777777" w:rsidTr="000911BE">
        <w:trPr>
          <w:trHeight w:val="375"/>
        </w:trPr>
        <w:tc>
          <w:tcPr>
            <w:tcW w:w="883" w:type="pct"/>
            <w:shd w:val="clear" w:color="auto" w:fill="DEEAF6"/>
            <w:vAlign w:val="center"/>
          </w:tcPr>
          <w:p w14:paraId="583392F9" w14:textId="77777777" w:rsidR="00CD0307" w:rsidRPr="00BE6EFA" w:rsidRDefault="00CD0307" w:rsidP="007F3F39">
            <w:pPr>
              <w:jc w:val="left"/>
              <w:rPr>
                <w:rFonts w:ascii="Calibri" w:eastAsia="Times New Roman" w:hAnsi="Calibri" w:cs="Calibri"/>
                <w:color w:val="000000"/>
                <w:sz w:val="20"/>
                <w:szCs w:val="20"/>
                <w:lang w:eastAsia="en-AU"/>
              </w:rPr>
            </w:pPr>
            <w:r w:rsidRPr="00BE6EFA">
              <w:rPr>
                <w:sz w:val="20"/>
                <w:szCs w:val="20"/>
                <w:lang w:eastAsia="en-AU"/>
              </w:rPr>
              <w:t xml:space="preserve">Medium </w:t>
            </w:r>
          </w:p>
        </w:tc>
        <w:tc>
          <w:tcPr>
            <w:tcW w:w="689" w:type="pct"/>
            <w:shd w:val="clear" w:color="auto" w:fill="DEEAF6"/>
            <w:vAlign w:val="center"/>
          </w:tcPr>
          <w:p w14:paraId="4D9A3E1C" w14:textId="77777777" w:rsidR="00CD0307" w:rsidRPr="00BE6EFA" w:rsidRDefault="00CD0307" w:rsidP="007F3F39">
            <w:pPr>
              <w:jc w:val="center"/>
              <w:rPr>
                <w:rFonts w:ascii="Calibri" w:hAnsi="Calibri" w:cs="Calibri"/>
                <w:color w:val="000000"/>
                <w:sz w:val="20"/>
                <w:szCs w:val="20"/>
              </w:rPr>
            </w:pPr>
            <w:r w:rsidRPr="00BE6EFA">
              <w:rPr>
                <w:rFonts w:ascii="Calibri" w:hAnsi="Calibri" w:cs="Calibri"/>
                <w:color w:val="000000"/>
                <w:sz w:val="20"/>
                <w:szCs w:val="20"/>
              </w:rPr>
              <w:t>15</w:t>
            </w:r>
          </w:p>
        </w:tc>
        <w:tc>
          <w:tcPr>
            <w:tcW w:w="689" w:type="pct"/>
            <w:shd w:val="clear" w:color="auto" w:fill="DEEAF6"/>
            <w:noWrap/>
            <w:vAlign w:val="center"/>
          </w:tcPr>
          <w:p w14:paraId="314DA857" w14:textId="77777777" w:rsidR="00CD0307" w:rsidRPr="009D7F80" w:rsidRDefault="00CD0307" w:rsidP="000911BE">
            <w:pPr>
              <w:jc w:val="right"/>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237,396</w:t>
            </w:r>
          </w:p>
        </w:tc>
        <w:tc>
          <w:tcPr>
            <w:tcW w:w="687" w:type="pct"/>
            <w:shd w:val="clear" w:color="auto" w:fill="DEEAF6"/>
            <w:noWrap/>
            <w:vAlign w:val="center"/>
          </w:tcPr>
          <w:p w14:paraId="0B3FE83A" w14:textId="77777777" w:rsidR="00CD0307" w:rsidRPr="009D7F80" w:rsidRDefault="00CD0307" w:rsidP="000911BE">
            <w:pPr>
              <w:jc w:val="right"/>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(14,200)</w:t>
            </w:r>
          </w:p>
        </w:tc>
        <w:tc>
          <w:tcPr>
            <w:tcW w:w="687" w:type="pct"/>
            <w:shd w:val="clear" w:color="auto" w:fill="DEEAF6"/>
            <w:vAlign w:val="center"/>
          </w:tcPr>
          <w:p w14:paraId="2DBCABA6" w14:textId="77777777" w:rsidR="00CD0307" w:rsidRPr="009D7F80" w:rsidRDefault="00CD0307" w:rsidP="000911BE">
            <w:pPr>
              <w:jc w:val="right"/>
              <w:rPr>
                <w:rFonts w:ascii="Calibri" w:hAnsi="Calibri" w:cs="Calibri"/>
                <w:color w:val="000000"/>
                <w:sz w:val="20"/>
                <w:szCs w:val="20"/>
              </w:rPr>
            </w:pPr>
            <w:r>
              <w:rPr>
                <w:rFonts w:ascii="Calibri" w:hAnsi="Calibri" w:cs="Calibri"/>
                <w:color w:val="000000"/>
                <w:sz w:val="20"/>
                <w:szCs w:val="20"/>
              </w:rPr>
              <w:t>251,596</w:t>
            </w:r>
          </w:p>
        </w:tc>
        <w:tc>
          <w:tcPr>
            <w:tcW w:w="687" w:type="pct"/>
            <w:shd w:val="clear" w:color="auto" w:fill="DEEAF6"/>
            <w:vAlign w:val="center"/>
          </w:tcPr>
          <w:p w14:paraId="3A11CA15" w14:textId="77777777" w:rsidR="00CD0307" w:rsidRPr="009D7F80" w:rsidRDefault="00CD0307" w:rsidP="000911BE">
            <w:pPr>
              <w:jc w:val="right"/>
              <w:rPr>
                <w:rFonts w:ascii="Calibri" w:hAnsi="Calibri" w:cs="Calibri"/>
                <w:color w:val="000000"/>
                <w:sz w:val="20"/>
                <w:szCs w:val="20"/>
              </w:rPr>
            </w:pPr>
            <w:r>
              <w:rPr>
                <w:rFonts w:ascii="Calibri" w:hAnsi="Calibri" w:cs="Calibri"/>
                <w:color w:val="000000"/>
                <w:sz w:val="20"/>
                <w:szCs w:val="20"/>
              </w:rPr>
              <w:t>5,894,037</w:t>
            </w:r>
          </w:p>
        </w:tc>
        <w:tc>
          <w:tcPr>
            <w:tcW w:w="677" w:type="pct"/>
            <w:shd w:val="clear" w:color="auto" w:fill="DEEAF6"/>
            <w:noWrap/>
            <w:vAlign w:val="center"/>
          </w:tcPr>
          <w:p w14:paraId="57826C1B" w14:textId="77777777" w:rsidR="00CD0307" w:rsidRPr="00E735C3" w:rsidRDefault="00CD0307" w:rsidP="007F3F39">
            <w:pPr>
              <w:jc w:val="center"/>
              <w:rPr>
                <w:rFonts w:ascii="Calibri" w:eastAsia="Times New Roman" w:hAnsi="Calibri" w:cs="Calibri"/>
                <w:i/>
                <w:color w:val="000000"/>
                <w:sz w:val="20"/>
                <w:szCs w:val="20"/>
                <w:lang w:eastAsia="en-AU"/>
              </w:rPr>
            </w:pPr>
            <w:r w:rsidRPr="00E735C3">
              <w:rPr>
                <w:rFonts w:ascii="Calibri" w:eastAsia="Times New Roman" w:hAnsi="Calibri" w:cs="Calibri"/>
                <w:i/>
                <w:color w:val="000000"/>
                <w:sz w:val="20"/>
                <w:szCs w:val="20"/>
                <w:lang w:eastAsia="en-AU"/>
              </w:rPr>
              <w:t>23.43</w:t>
            </w:r>
          </w:p>
        </w:tc>
      </w:tr>
      <w:tr w:rsidR="00CD0307" w:rsidRPr="00C33204" w14:paraId="3A73D3F7" w14:textId="77777777" w:rsidTr="000911BE">
        <w:trPr>
          <w:trHeight w:val="375"/>
        </w:trPr>
        <w:tc>
          <w:tcPr>
            <w:tcW w:w="883" w:type="pct"/>
            <w:vAlign w:val="center"/>
          </w:tcPr>
          <w:p w14:paraId="08BF6892" w14:textId="77777777" w:rsidR="00CD0307" w:rsidRPr="00BE6EFA" w:rsidRDefault="00CD0307" w:rsidP="007F3F39">
            <w:pPr>
              <w:jc w:val="left"/>
              <w:rPr>
                <w:rFonts w:ascii="Calibri" w:eastAsia="Times New Roman" w:hAnsi="Calibri" w:cs="Calibri"/>
                <w:color w:val="000000"/>
                <w:sz w:val="20"/>
                <w:szCs w:val="20"/>
                <w:lang w:eastAsia="en-AU"/>
              </w:rPr>
            </w:pPr>
            <w:r w:rsidRPr="00BE6EFA">
              <w:rPr>
                <w:sz w:val="20"/>
                <w:szCs w:val="20"/>
                <w:lang w:eastAsia="en-AU"/>
              </w:rPr>
              <w:t>Large</w:t>
            </w:r>
          </w:p>
        </w:tc>
        <w:tc>
          <w:tcPr>
            <w:tcW w:w="689" w:type="pct"/>
            <w:vAlign w:val="center"/>
          </w:tcPr>
          <w:p w14:paraId="321B5FBD" w14:textId="77777777" w:rsidR="00CD0307" w:rsidRPr="00BE6EFA" w:rsidRDefault="00CD0307" w:rsidP="007F3F39">
            <w:pPr>
              <w:jc w:val="center"/>
              <w:rPr>
                <w:rFonts w:ascii="Calibri" w:hAnsi="Calibri" w:cs="Calibri"/>
                <w:color w:val="000000"/>
                <w:sz w:val="20"/>
                <w:szCs w:val="20"/>
              </w:rPr>
            </w:pPr>
            <w:r w:rsidRPr="00BE6EFA">
              <w:rPr>
                <w:rFonts w:ascii="Calibri" w:hAnsi="Calibri" w:cs="Calibri"/>
                <w:color w:val="000000"/>
                <w:sz w:val="20"/>
                <w:szCs w:val="20"/>
              </w:rPr>
              <w:t>19</w:t>
            </w:r>
          </w:p>
        </w:tc>
        <w:tc>
          <w:tcPr>
            <w:tcW w:w="689" w:type="pct"/>
            <w:noWrap/>
            <w:vAlign w:val="center"/>
          </w:tcPr>
          <w:p w14:paraId="5F34A010" w14:textId="77777777" w:rsidR="00CD0307" w:rsidRPr="009D7F80" w:rsidRDefault="00CD0307" w:rsidP="000911BE">
            <w:pPr>
              <w:jc w:val="right"/>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1,694,238</w:t>
            </w:r>
          </w:p>
        </w:tc>
        <w:tc>
          <w:tcPr>
            <w:tcW w:w="687" w:type="pct"/>
            <w:noWrap/>
            <w:vAlign w:val="center"/>
          </w:tcPr>
          <w:p w14:paraId="00ED6DD1" w14:textId="77777777" w:rsidR="00CD0307" w:rsidRPr="009D7F80" w:rsidRDefault="00CD0307" w:rsidP="000911BE">
            <w:pPr>
              <w:jc w:val="right"/>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(164,574)</w:t>
            </w:r>
          </w:p>
        </w:tc>
        <w:tc>
          <w:tcPr>
            <w:tcW w:w="687" w:type="pct"/>
            <w:vAlign w:val="center"/>
          </w:tcPr>
          <w:p w14:paraId="2F9AA2E6" w14:textId="77777777" w:rsidR="00CD0307" w:rsidRPr="009D7F80" w:rsidRDefault="00CD0307" w:rsidP="000911BE">
            <w:pPr>
              <w:jc w:val="right"/>
              <w:rPr>
                <w:rFonts w:ascii="Calibri" w:hAnsi="Calibri" w:cs="Calibri"/>
                <w:color w:val="000000"/>
                <w:sz w:val="20"/>
                <w:szCs w:val="20"/>
              </w:rPr>
            </w:pPr>
            <w:r>
              <w:rPr>
                <w:rFonts w:ascii="Calibri" w:hAnsi="Calibri" w:cs="Calibri"/>
                <w:color w:val="000000"/>
                <w:sz w:val="20"/>
                <w:szCs w:val="20"/>
              </w:rPr>
              <w:t>1,658,812</w:t>
            </w:r>
          </w:p>
        </w:tc>
        <w:tc>
          <w:tcPr>
            <w:tcW w:w="687" w:type="pct"/>
            <w:vAlign w:val="center"/>
          </w:tcPr>
          <w:p w14:paraId="5A681F55" w14:textId="77777777" w:rsidR="00CD0307" w:rsidRPr="009D7F80" w:rsidRDefault="00CD0307" w:rsidP="000911BE">
            <w:pPr>
              <w:jc w:val="right"/>
              <w:rPr>
                <w:rFonts w:ascii="Calibri" w:hAnsi="Calibri" w:cs="Calibri"/>
                <w:color w:val="000000"/>
                <w:sz w:val="20"/>
                <w:szCs w:val="20"/>
              </w:rPr>
            </w:pPr>
            <w:r>
              <w:rPr>
                <w:rFonts w:ascii="Calibri" w:hAnsi="Calibri" w:cs="Calibri"/>
                <w:color w:val="000000"/>
                <w:sz w:val="20"/>
                <w:szCs w:val="20"/>
              </w:rPr>
              <w:t>12,423,361</w:t>
            </w:r>
          </w:p>
        </w:tc>
        <w:tc>
          <w:tcPr>
            <w:tcW w:w="677" w:type="pct"/>
            <w:noWrap/>
            <w:vAlign w:val="center"/>
          </w:tcPr>
          <w:p w14:paraId="6786D3AF" w14:textId="77777777" w:rsidR="00CD0307" w:rsidRPr="00E735C3" w:rsidRDefault="00CD0307" w:rsidP="007F3F39">
            <w:pPr>
              <w:jc w:val="center"/>
              <w:rPr>
                <w:rFonts w:ascii="Calibri" w:eastAsia="Times New Roman" w:hAnsi="Calibri" w:cs="Calibri"/>
                <w:i/>
                <w:color w:val="000000"/>
                <w:sz w:val="20"/>
                <w:szCs w:val="20"/>
                <w:lang w:eastAsia="en-AU"/>
              </w:rPr>
            </w:pPr>
            <w:r w:rsidRPr="00E735C3">
              <w:rPr>
                <w:rFonts w:ascii="Calibri" w:eastAsia="Times New Roman" w:hAnsi="Calibri" w:cs="Calibri"/>
                <w:i/>
                <w:color w:val="000000"/>
                <w:sz w:val="20"/>
                <w:szCs w:val="20"/>
                <w:lang w:eastAsia="en-AU"/>
              </w:rPr>
              <w:t>6.68</w:t>
            </w:r>
          </w:p>
        </w:tc>
      </w:tr>
      <w:tr w:rsidR="00CD0307" w:rsidRPr="00C33204" w14:paraId="6EB48A25" w14:textId="77777777" w:rsidTr="000911BE">
        <w:trPr>
          <w:trHeight w:val="375"/>
        </w:trPr>
        <w:tc>
          <w:tcPr>
            <w:tcW w:w="883" w:type="pct"/>
            <w:shd w:val="clear" w:color="auto" w:fill="FFE599" w:themeFill="accent4" w:themeFillTint="66"/>
            <w:vAlign w:val="center"/>
          </w:tcPr>
          <w:p w14:paraId="08977A15" w14:textId="0089AD1D" w:rsidR="00CD0307" w:rsidRPr="009D7F80" w:rsidRDefault="000063F0" w:rsidP="007F3F39">
            <w:pPr>
              <w:jc w:val="left"/>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Total</w:t>
            </w:r>
          </w:p>
        </w:tc>
        <w:tc>
          <w:tcPr>
            <w:tcW w:w="689" w:type="pct"/>
            <w:shd w:val="clear" w:color="auto" w:fill="FFE599" w:themeFill="accent4" w:themeFillTint="66"/>
            <w:vAlign w:val="center"/>
          </w:tcPr>
          <w:p w14:paraId="363338D1" w14:textId="77777777" w:rsidR="00CD0307" w:rsidRDefault="00CD0307" w:rsidP="007F3F39">
            <w:pPr>
              <w:jc w:val="center"/>
              <w:rPr>
                <w:rFonts w:ascii="Calibri" w:hAnsi="Calibri" w:cs="Calibri"/>
                <w:b/>
                <w:bCs/>
                <w:color w:val="000000"/>
                <w:sz w:val="20"/>
                <w:szCs w:val="20"/>
              </w:rPr>
            </w:pPr>
            <w:r>
              <w:rPr>
                <w:rFonts w:ascii="Calibri" w:hAnsi="Calibri" w:cs="Calibri"/>
                <w:b/>
                <w:bCs/>
                <w:color w:val="000000"/>
                <w:sz w:val="20"/>
                <w:szCs w:val="20"/>
              </w:rPr>
              <w:t>148</w:t>
            </w:r>
          </w:p>
        </w:tc>
        <w:tc>
          <w:tcPr>
            <w:tcW w:w="689" w:type="pct"/>
            <w:shd w:val="clear" w:color="auto" w:fill="FFE599" w:themeFill="accent4" w:themeFillTint="66"/>
            <w:noWrap/>
            <w:vAlign w:val="center"/>
          </w:tcPr>
          <w:p w14:paraId="661784D0" w14:textId="1F34F171" w:rsidR="00CD0307" w:rsidRPr="009D7F80" w:rsidRDefault="00E735C3" w:rsidP="000911BE">
            <w:pPr>
              <w:jc w:val="right"/>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 xml:space="preserve">$ </w:t>
            </w:r>
            <w:r w:rsidR="00CD0307">
              <w:rPr>
                <w:rFonts w:ascii="Calibri" w:eastAsia="Times New Roman" w:hAnsi="Calibri" w:cs="Calibri"/>
                <w:b/>
                <w:bCs/>
                <w:color w:val="000000"/>
                <w:sz w:val="20"/>
                <w:szCs w:val="20"/>
                <w:lang w:eastAsia="en-AU"/>
              </w:rPr>
              <w:t>272,558</w:t>
            </w:r>
          </w:p>
        </w:tc>
        <w:tc>
          <w:tcPr>
            <w:tcW w:w="687" w:type="pct"/>
            <w:shd w:val="clear" w:color="auto" w:fill="FFE599" w:themeFill="accent4" w:themeFillTint="66"/>
            <w:noWrap/>
            <w:vAlign w:val="center"/>
          </w:tcPr>
          <w:p w14:paraId="2F4F0611" w14:textId="43887C05" w:rsidR="00CD0307" w:rsidRPr="009D7F80" w:rsidRDefault="00E735C3" w:rsidP="000911BE">
            <w:pPr>
              <w:jc w:val="right"/>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 xml:space="preserve">$ </w:t>
            </w:r>
            <w:r w:rsidR="00CD0307">
              <w:rPr>
                <w:rFonts w:ascii="Calibri" w:eastAsia="Times New Roman" w:hAnsi="Calibri" w:cs="Calibri"/>
                <w:b/>
                <w:bCs/>
                <w:color w:val="000000"/>
                <w:sz w:val="20"/>
                <w:szCs w:val="20"/>
                <w:lang w:eastAsia="en-AU"/>
              </w:rPr>
              <w:t>(30,652)</w:t>
            </w:r>
          </w:p>
        </w:tc>
        <w:tc>
          <w:tcPr>
            <w:tcW w:w="687" w:type="pct"/>
            <w:shd w:val="clear" w:color="auto" w:fill="FFE599" w:themeFill="accent4" w:themeFillTint="66"/>
            <w:vAlign w:val="center"/>
          </w:tcPr>
          <w:p w14:paraId="05A8803D" w14:textId="43761933" w:rsidR="00CD0307" w:rsidRPr="009D7F80" w:rsidRDefault="00E735C3" w:rsidP="000911BE">
            <w:pPr>
              <w:jc w:val="right"/>
              <w:rPr>
                <w:rFonts w:ascii="Calibri" w:hAnsi="Calibri" w:cs="Calibri"/>
                <w:b/>
                <w:bCs/>
                <w:color w:val="000000"/>
                <w:sz w:val="20"/>
                <w:szCs w:val="20"/>
              </w:rPr>
            </w:pPr>
            <w:r>
              <w:rPr>
                <w:rFonts w:ascii="Calibri" w:hAnsi="Calibri" w:cs="Calibri"/>
                <w:b/>
                <w:bCs/>
                <w:color w:val="000000"/>
                <w:sz w:val="20"/>
                <w:szCs w:val="20"/>
              </w:rPr>
              <w:t xml:space="preserve">$ </w:t>
            </w:r>
            <w:r w:rsidR="00CD0307">
              <w:rPr>
                <w:rFonts w:ascii="Calibri" w:hAnsi="Calibri" w:cs="Calibri"/>
                <w:b/>
                <w:bCs/>
                <w:color w:val="000000"/>
                <w:sz w:val="20"/>
                <w:szCs w:val="20"/>
              </w:rPr>
              <w:t>303,210</w:t>
            </w:r>
          </w:p>
        </w:tc>
        <w:tc>
          <w:tcPr>
            <w:tcW w:w="687" w:type="pct"/>
            <w:shd w:val="clear" w:color="auto" w:fill="FFE599" w:themeFill="accent4" w:themeFillTint="66"/>
            <w:vAlign w:val="center"/>
          </w:tcPr>
          <w:p w14:paraId="2C4C5145" w14:textId="4D243B2A" w:rsidR="00CD0307" w:rsidRPr="009D7F80" w:rsidRDefault="00E735C3" w:rsidP="000911BE">
            <w:pPr>
              <w:jc w:val="right"/>
              <w:rPr>
                <w:rFonts w:ascii="Calibri" w:hAnsi="Calibri" w:cs="Calibri"/>
                <w:b/>
                <w:bCs/>
                <w:color w:val="000000"/>
                <w:sz w:val="20"/>
                <w:szCs w:val="20"/>
              </w:rPr>
            </w:pPr>
            <w:r>
              <w:rPr>
                <w:rFonts w:ascii="Calibri" w:hAnsi="Calibri" w:cs="Calibri"/>
                <w:b/>
                <w:bCs/>
                <w:color w:val="000000"/>
                <w:sz w:val="20"/>
                <w:szCs w:val="20"/>
              </w:rPr>
              <w:t xml:space="preserve">$ </w:t>
            </w:r>
            <w:r w:rsidR="00CD0307">
              <w:rPr>
                <w:rFonts w:ascii="Calibri" w:hAnsi="Calibri" w:cs="Calibri"/>
                <w:b/>
                <w:bCs/>
                <w:color w:val="000000"/>
                <w:sz w:val="20"/>
                <w:szCs w:val="20"/>
              </w:rPr>
              <w:t>3,179,823</w:t>
            </w:r>
          </w:p>
        </w:tc>
        <w:tc>
          <w:tcPr>
            <w:tcW w:w="677" w:type="pct"/>
            <w:shd w:val="clear" w:color="auto" w:fill="FFE599" w:themeFill="accent4" w:themeFillTint="66"/>
            <w:noWrap/>
            <w:vAlign w:val="center"/>
          </w:tcPr>
          <w:p w14:paraId="06D684E2" w14:textId="77777777" w:rsidR="00CD0307" w:rsidRPr="00E735C3" w:rsidRDefault="00CD0307" w:rsidP="007F3F39">
            <w:pPr>
              <w:jc w:val="center"/>
              <w:rPr>
                <w:rFonts w:ascii="Calibri" w:eastAsia="Times New Roman" w:hAnsi="Calibri" w:cs="Calibri"/>
                <w:b/>
                <w:bCs/>
                <w:i/>
                <w:color w:val="000000"/>
                <w:sz w:val="20"/>
                <w:szCs w:val="20"/>
                <w:lang w:eastAsia="en-AU"/>
              </w:rPr>
            </w:pPr>
            <w:r w:rsidRPr="00E735C3">
              <w:rPr>
                <w:rFonts w:ascii="Calibri" w:eastAsia="Times New Roman" w:hAnsi="Calibri" w:cs="Calibri"/>
                <w:b/>
                <w:bCs/>
                <w:i/>
                <w:color w:val="000000"/>
                <w:sz w:val="20"/>
                <w:szCs w:val="20"/>
                <w:lang w:eastAsia="en-AU"/>
              </w:rPr>
              <w:t>10.49</w:t>
            </w:r>
          </w:p>
        </w:tc>
      </w:tr>
    </w:tbl>
    <w:p w14:paraId="1F24A88D" w14:textId="77777777" w:rsidR="00CD0307" w:rsidRPr="00C33204" w:rsidRDefault="00CD0307" w:rsidP="00CD0307"/>
    <w:p w14:paraId="5C62ED7B" w14:textId="58009FEA" w:rsidR="00CD0307" w:rsidRDefault="00CD0307" w:rsidP="00CD0307">
      <w:r>
        <w:t xml:space="preserve">For those </w:t>
      </w:r>
      <w:r w:rsidR="0090615C">
        <w:t>AP</w:t>
      </w:r>
      <w:r>
        <w:t>s with a negative profit margin, there is on average sufficient liquid assets to transition from payment in advance to payment in arrears in that those liquid assets will cover at least one month’s operating costs to provide services to c</w:t>
      </w:r>
      <w:r w:rsidR="00281031">
        <w:t>are recipient</w:t>
      </w:r>
      <w:r>
        <w:t>s.</w:t>
      </w:r>
    </w:p>
    <w:p w14:paraId="5A3D73BB" w14:textId="77777777" w:rsidR="00CD0307" w:rsidRDefault="00CD0307" w:rsidP="00CD0307"/>
    <w:p w14:paraId="2FBF7A00" w14:textId="77777777" w:rsidR="009E38C8" w:rsidRDefault="009E38C8" w:rsidP="00CD0307">
      <w:r>
        <w:br w:type="page"/>
      </w:r>
    </w:p>
    <w:p w14:paraId="028DA3EE" w14:textId="3E147AAF" w:rsidR="00CD0307" w:rsidRDefault="00CD0307" w:rsidP="00CD0307">
      <w:r>
        <w:lastRenderedPageBreak/>
        <w:t xml:space="preserve">Of the 535 </w:t>
      </w:r>
      <w:r w:rsidR="0090615C">
        <w:t>AP</w:t>
      </w:r>
      <w:r>
        <w:t xml:space="preserve">s in the sample analysed, there are a total of 58 (11%) of </w:t>
      </w:r>
      <w:r w:rsidR="0090615C">
        <w:t>AP</w:t>
      </w:r>
      <w:r>
        <w:t xml:space="preserve">s that have a liquid asset to operating cost ratio of less than 1. This is stratified by size of </w:t>
      </w:r>
      <w:r w:rsidR="0090615C">
        <w:t>AP</w:t>
      </w:r>
      <w:r>
        <w:t xml:space="preserve"> as follows:</w:t>
      </w:r>
    </w:p>
    <w:p w14:paraId="0ED69085" w14:textId="77777777" w:rsidR="00CD0307" w:rsidRDefault="00CD0307" w:rsidP="00CD0307"/>
    <w:p w14:paraId="5872F47E" w14:textId="336176F0" w:rsidR="00CD0307" w:rsidRDefault="00CD0307" w:rsidP="00E735C3">
      <w:pPr>
        <w:pStyle w:val="Caption"/>
        <w:keepNext/>
        <w:spacing w:before="0"/>
      </w:pPr>
      <w:r>
        <w:t xml:space="preserve">Table </w:t>
      </w:r>
      <w:fldSimple w:instr=" SEQ Table \* ARABIC ">
        <w:r w:rsidR="00844346">
          <w:rPr>
            <w:noProof/>
          </w:rPr>
          <w:t>15</w:t>
        </w:r>
      </w:fldSimple>
      <w:r>
        <w:t xml:space="preserve">: Number of </w:t>
      </w:r>
      <w:r w:rsidR="0090615C">
        <w:t>AP</w:t>
      </w:r>
      <w:r>
        <w:t>s with liquid assets to operating cost ratio of less than 1</w:t>
      </w:r>
    </w:p>
    <w:tbl>
      <w:tblPr>
        <w:tblStyle w:val="TableGrid"/>
        <w:tblW w:w="3678" w:type="pct"/>
        <w:tblLayout w:type="fixed"/>
        <w:tblLook w:val="04A0" w:firstRow="1" w:lastRow="0" w:firstColumn="1" w:lastColumn="0" w:noHBand="0" w:noVBand="1"/>
        <w:tblCaption w:val="Table 15: Number of APs with liquid assets to operating cost ratio of less than 1"/>
      </w:tblPr>
      <w:tblGrid>
        <w:gridCol w:w="1980"/>
        <w:gridCol w:w="1276"/>
        <w:gridCol w:w="2269"/>
        <w:gridCol w:w="1557"/>
      </w:tblGrid>
      <w:tr w:rsidR="00CD0307" w:rsidRPr="00C33204" w14:paraId="2D9490DA" w14:textId="77777777" w:rsidTr="003636FB">
        <w:trPr>
          <w:trHeight w:val="541"/>
          <w:tblHeader/>
        </w:trPr>
        <w:tc>
          <w:tcPr>
            <w:tcW w:w="1398" w:type="pct"/>
            <w:shd w:val="clear" w:color="auto" w:fill="5B9BD5"/>
            <w:vAlign w:val="center"/>
          </w:tcPr>
          <w:p w14:paraId="4D1A5CC4" w14:textId="77777777" w:rsidR="00CD0307" w:rsidRPr="001F0F05" w:rsidRDefault="00CD0307" w:rsidP="00E735C3">
            <w:pPr>
              <w:jc w:val="center"/>
              <w:rPr>
                <w:rFonts w:ascii="Calibri" w:eastAsia="Times New Roman" w:hAnsi="Calibri" w:cs="Calibri"/>
                <w:b/>
                <w:bCs/>
                <w:color w:val="FFFFFF" w:themeColor="background1"/>
                <w:sz w:val="20"/>
                <w:szCs w:val="20"/>
                <w:lang w:eastAsia="en-AU"/>
              </w:rPr>
            </w:pPr>
            <w:r w:rsidRPr="001F0F05">
              <w:rPr>
                <w:b/>
                <w:bCs/>
                <w:color w:val="FFFFFF" w:themeColor="background1"/>
                <w:sz w:val="20"/>
                <w:szCs w:val="20"/>
                <w:lang w:eastAsia="en-AU"/>
              </w:rPr>
              <w:t>Category</w:t>
            </w:r>
          </w:p>
        </w:tc>
        <w:tc>
          <w:tcPr>
            <w:tcW w:w="901" w:type="pct"/>
            <w:shd w:val="clear" w:color="auto" w:fill="5B9BD5"/>
            <w:vAlign w:val="center"/>
          </w:tcPr>
          <w:p w14:paraId="0765A0A0" w14:textId="1C902B42" w:rsidR="00CD0307" w:rsidRDefault="00CD0307" w:rsidP="00E735C3">
            <w:pPr>
              <w:jc w:val="center"/>
              <w:rPr>
                <w:rFonts w:ascii="Calibri" w:eastAsia="Times New Roman" w:hAnsi="Calibri" w:cs="Calibri"/>
                <w:b/>
                <w:bCs/>
                <w:color w:val="FFFFFF" w:themeColor="background1"/>
                <w:sz w:val="20"/>
                <w:szCs w:val="20"/>
                <w:lang w:eastAsia="en-AU"/>
              </w:rPr>
            </w:pPr>
            <w:r>
              <w:rPr>
                <w:rFonts w:ascii="Calibri" w:eastAsia="Times New Roman" w:hAnsi="Calibri" w:cs="Calibri"/>
                <w:b/>
                <w:bCs/>
                <w:color w:val="FFFFFF" w:themeColor="background1"/>
                <w:sz w:val="20"/>
                <w:szCs w:val="20"/>
                <w:lang w:eastAsia="en-AU"/>
              </w:rPr>
              <w:t xml:space="preserve">Number of </w:t>
            </w:r>
            <w:r w:rsidR="00E735C3">
              <w:rPr>
                <w:rFonts w:ascii="Calibri" w:eastAsia="Times New Roman" w:hAnsi="Calibri" w:cs="Calibri"/>
                <w:b/>
                <w:bCs/>
                <w:color w:val="FFFFFF" w:themeColor="background1"/>
                <w:sz w:val="20"/>
                <w:szCs w:val="20"/>
                <w:lang w:eastAsia="en-AU"/>
              </w:rPr>
              <w:t>P</w:t>
            </w:r>
            <w:r>
              <w:rPr>
                <w:rFonts w:ascii="Calibri" w:eastAsia="Times New Roman" w:hAnsi="Calibri" w:cs="Calibri"/>
                <w:b/>
                <w:bCs/>
                <w:color w:val="FFFFFF" w:themeColor="background1"/>
                <w:sz w:val="20"/>
                <w:szCs w:val="20"/>
                <w:lang w:eastAsia="en-AU"/>
              </w:rPr>
              <w:t>roviders</w:t>
            </w:r>
          </w:p>
        </w:tc>
        <w:tc>
          <w:tcPr>
            <w:tcW w:w="1602" w:type="pct"/>
            <w:shd w:val="clear" w:color="auto" w:fill="5B9BD5"/>
            <w:vAlign w:val="center"/>
            <w:hideMark/>
          </w:tcPr>
          <w:p w14:paraId="60CFD04C" w14:textId="42963BCF" w:rsidR="00CD0307" w:rsidRPr="001F0F05" w:rsidRDefault="00CD0307" w:rsidP="00E735C3">
            <w:pPr>
              <w:jc w:val="center"/>
              <w:rPr>
                <w:rFonts w:ascii="Calibri" w:eastAsia="Times New Roman" w:hAnsi="Calibri" w:cs="Calibri"/>
                <w:b/>
                <w:bCs/>
                <w:color w:val="FFFFFF" w:themeColor="background1"/>
                <w:sz w:val="20"/>
                <w:szCs w:val="20"/>
                <w:lang w:eastAsia="en-AU"/>
              </w:rPr>
            </w:pPr>
            <w:r>
              <w:rPr>
                <w:rFonts w:ascii="Calibri" w:eastAsia="Times New Roman" w:hAnsi="Calibri" w:cs="Calibri"/>
                <w:b/>
                <w:bCs/>
                <w:color w:val="FFFFFF" w:themeColor="background1"/>
                <w:sz w:val="20"/>
                <w:szCs w:val="20"/>
                <w:lang w:eastAsia="en-AU"/>
              </w:rPr>
              <w:t xml:space="preserve">Number of </w:t>
            </w:r>
            <w:r w:rsidR="00E735C3">
              <w:rPr>
                <w:rFonts w:ascii="Calibri" w:eastAsia="Times New Roman" w:hAnsi="Calibri" w:cs="Calibri"/>
                <w:b/>
                <w:bCs/>
                <w:color w:val="FFFFFF" w:themeColor="background1"/>
                <w:sz w:val="20"/>
                <w:szCs w:val="20"/>
                <w:lang w:eastAsia="en-AU"/>
              </w:rPr>
              <w:t>P</w:t>
            </w:r>
            <w:r>
              <w:rPr>
                <w:rFonts w:ascii="Calibri" w:eastAsia="Times New Roman" w:hAnsi="Calibri" w:cs="Calibri"/>
                <w:b/>
                <w:bCs/>
                <w:color w:val="FFFFFF" w:themeColor="background1"/>
                <w:sz w:val="20"/>
                <w:szCs w:val="20"/>
                <w:lang w:eastAsia="en-AU"/>
              </w:rPr>
              <w:t>roviders with liquid assets to operating cost ratio &lt; 1</w:t>
            </w:r>
          </w:p>
        </w:tc>
        <w:tc>
          <w:tcPr>
            <w:tcW w:w="1099" w:type="pct"/>
            <w:shd w:val="clear" w:color="auto" w:fill="5B9BD5"/>
            <w:vAlign w:val="center"/>
            <w:hideMark/>
          </w:tcPr>
          <w:p w14:paraId="1F76D9F7" w14:textId="27CDE15A" w:rsidR="00CD0307" w:rsidRPr="001F0F05" w:rsidRDefault="00CD0307" w:rsidP="00E735C3">
            <w:pPr>
              <w:jc w:val="center"/>
              <w:rPr>
                <w:rFonts w:ascii="Calibri" w:eastAsia="Times New Roman" w:hAnsi="Calibri" w:cs="Calibri"/>
                <w:b/>
                <w:bCs/>
                <w:color w:val="FFFFFF" w:themeColor="background1"/>
                <w:sz w:val="20"/>
                <w:szCs w:val="20"/>
                <w:lang w:eastAsia="en-AU"/>
              </w:rPr>
            </w:pPr>
            <w:r>
              <w:rPr>
                <w:rFonts w:ascii="Calibri" w:hAnsi="Calibri" w:cs="Calibri"/>
                <w:b/>
                <w:bCs/>
                <w:color w:val="FFFFFF" w:themeColor="background1"/>
                <w:sz w:val="20"/>
                <w:szCs w:val="20"/>
              </w:rPr>
              <w:t xml:space="preserve">% of </w:t>
            </w:r>
            <w:r w:rsidR="00E735C3">
              <w:rPr>
                <w:rFonts w:ascii="Calibri" w:hAnsi="Calibri" w:cs="Calibri"/>
                <w:b/>
                <w:bCs/>
                <w:color w:val="FFFFFF" w:themeColor="background1"/>
                <w:sz w:val="20"/>
                <w:szCs w:val="20"/>
              </w:rPr>
              <w:t>T</w:t>
            </w:r>
            <w:r>
              <w:rPr>
                <w:rFonts w:ascii="Calibri" w:hAnsi="Calibri" w:cs="Calibri"/>
                <w:b/>
                <w:bCs/>
                <w:color w:val="FFFFFF" w:themeColor="background1"/>
                <w:sz w:val="20"/>
                <w:szCs w:val="20"/>
              </w:rPr>
              <w:t>otal</w:t>
            </w:r>
          </w:p>
        </w:tc>
      </w:tr>
      <w:tr w:rsidR="00CD0307" w:rsidRPr="00C33204" w14:paraId="70A2E245" w14:textId="77777777" w:rsidTr="005453C7">
        <w:trPr>
          <w:trHeight w:val="375"/>
        </w:trPr>
        <w:tc>
          <w:tcPr>
            <w:tcW w:w="1398" w:type="pct"/>
            <w:shd w:val="clear" w:color="auto" w:fill="DEEAF6"/>
            <w:vAlign w:val="center"/>
          </w:tcPr>
          <w:p w14:paraId="3785D6E9" w14:textId="77777777" w:rsidR="00CD0307" w:rsidRPr="00BE6EFA" w:rsidRDefault="00CD0307" w:rsidP="007F3F39">
            <w:pPr>
              <w:jc w:val="left"/>
              <w:rPr>
                <w:rFonts w:ascii="Calibri" w:eastAsia="Times New Roman" w:hAnsi="Calibri" w:cs="Calibri"/>
                <w:color w:val="000000"/>
                <w:sz w:val="20"/>
                <w:szCs w:val="20"/>
                <w:lang w:eastAsia="en-AU"/>
              </w:rPr>
            </w:pPr>
            <w:r w:rsidRPr="00BE6EFA">
              <w:rPr>
                <w:sz w:val="20"/>
                <w:szCs w:val="20"/>
                <w:lang w:eastAsia="en-AU"/>
              </w:rPr>
              <w:t xml:space="preserve">Very small </w:t>
            </w:r>
          </w:p>
        </w:tc>
        <w:tc>
          <w:tcPr>
            <w:tcW w:w="901" w:type="pct"/>
            <w:shd w:val="clear" w:color="auto" w:fill="DEEAF6"/>
            <w:vAlign w:val="center"/>
          </w:tcPr>
          <w:p w14:paraId="249268B6" w14:textId="77777777" w:rsidR="00CD0307" w:rsidRPr="00BE6EFA" w:rsidRDefault="00CD0307" w:rsidP="007F3F39">
            <w:pPr>
              <w:jc w:val="center"/>
              <w:rPr>
                <w:rFonts w:ascii="Calibri" w:hAnsi="Calibri" w:cs="Calibri"/>
                <w:color w:val="000000"/>
                <w:sz w:val="20"/>
                <w:szCs w:val="20"/>
              </w:rPr>
            </w:pPr>
            <w:r w:rsidRPr="00BE6EFA">
              <w:rPr>
                <w:rFonts w:ascii="Calibri" w:hAnsi="Calibri" w:cs="Calibri"/>
                <w:color w:val="000000"/>
                <w:sz w:val="20"/>
                <w:szCs w:val="20"/>
              </w:rPr>
              <w:t>206</w:t>
            </w:r>
          </w:p>
        </w:tc>
        <w:tc>
          <w:tcPr>
            <w:tcW w:w="1602" w:type="pct"/>
            <w:shd w:val="clear" w:color="auto" w:fill="DEEAF6"/>
            <w:noWrap/>
            <w:vAlign w:val="center"/>
          </w:tcPr>
          <w:p w14:paraId="1FC7CD36" w14:textId="77777777" w:rsidR="00CD0307" w:rsidRPr="009D7F80" w:rsidRDefault="00CD0307" w:rsidP="007F3F39">
            <w:pPr>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27</w:t>
            </w:r>
          </w:p>
        </w:tc>
        <w:tc>
          <w:tcPr>
            <w:tcW w:w="1099" w:type="pct"/>
            <w:shd w:val="clear" w:color="auto" w:fill="DEEAF6"/>
            <w:noWrap/>
            <w:vAlign w:val="center"/>
          </w:tcPr>
          <w:p w14:paraId="4F1841D8" w14:textId="77777777" w:rsidR="00CD0307" w:rsidRPr="00E735C3" w:rsidRDefault="00CD0307" w:rsidP="007F3F39">
            <w:pPr>
              <w:jc w:val="center"/>
              <w:rPr>
                <w:rFonts w:ascii="Calibri" w:eastAsia="Times New Roman" w:hAnsi="Calibri" w:cs="Calibri"/>
                <w:i/>
                <w:color w:val="000000"/>
                <w:sz w:val="20"/>
                <w:szCs w:val="20"/>
                <w:lang w:eastAsia="en-AU"/>
              </w:rPr>
            </w:pPr>
            <w:r w:rsidRPr="00E735C3">
              <w:rPr>
                <w:rFonts w:ascii="Calibri" w:eastAsia="Times New Roman" w:hAnsi="Calibri" w:cs="Calibri"/>
                <w:i/>
                <w:color w:val="000000"/>
                <w:sz w:val="20"/>
                <w:szCs w:val="20"/>
                <w:lang w:eastAsia="en-AU"/>
              </w:rPr>
              <w:t>13%</w:t>
            </w:r>
          </w:p>
        </w:tc>
      </w:tr>
      <w:tr w:rsidR="00CD0307" w:rsidRPr="00C33204" w14:paraId="33DAFA3C" w14:textId="77777777" w:rsidTr="005453C7">
        <w:trPr>
          <w:trHeight w:val="375"/>
        </w:trPr>
        <w:tc>
          <w:tcPr>
            <w:tcW w:w="1398" w:type="pct"/>
            <w:vAlign w:val="center"/>
          </w:tcPr>
          <w:p w14:paraId="33CF5300" w14:textId="77777777" w:rsidR="00CD0307" w:rsidRPr="00BE6EFA" w:rsidRDefault="00CD0307" w:rsidP="007F3F39">
            <w:pPr>
              <w:jc w:val="left"/>
              <w:rPr>
                <w:rFonts w:ascii="Calibri" w:eastAsia="Times New Roman" w:hAnsi="Calibri" w:cs="Calibri"/>
                <w:color w:val="000000"/>
                <w:sz w:val="20"/>
                <w:szCs w:val="20"/>
                <w:lang w:eastAsia="en-AU"/>
              </w:rPr>
            </w:pPr>
            <w:r w:rsidRPr="00BE6EFA">
              <w:rPr>
                <w:sz w:val="20"/>
                <w:szCs w:val="20"/>
                <w:lang w:eastAsia="en-AU"/>
              </w:rPr>
              <w:t xml:space="preserve">Small </w:t>
            </w:r>
          </w:p>
        </w:tc>
        <w:tc>
          <w:tcPr>
            <w:tcW w:w="901" w:type="pct"/>
            <w:vAlign w:val="center"/>
          </w:tcPr>
          <w:p w14:paraId="33AFEA10" w14:textId="77777777" w:rsidR="00CD0307" w:rsidRPr="00BE6EFA" w:rsidRDefault="00CD0307" w:rsidP="007F3F39">
            <w:pPr>
              <w:jc w:val="center"/>
              <w:rPr>
                <w:rFonts w:ascii="Calibri" w:hAnsi="Calibri" w:cs="Calibri"/>
                <w:color w:val="000000"/>
                <w:sz w:val="20"/>
                <w:szCs w:val="20"/>
              </w:rPr>
            </w:pPr>
            <w:r w:rsidRPr="00BE6EFA">
              <w:rPr>
                <w:rFonts w:ascii="Calibri" w:hAnsi="Calibri" w:cs="Calibri"/>
                <w:color w:val="000000"/>
                <w:sz w:val="20"/>
                <w:szCs w:val="20"/>
              </w:rPr>
              <w:t>168</w:t>
            </w:r>
          </w:p>
        </w:tc>
        <w:tc>
          <w:tcPr>
            <w:tcW w:w="1602" w:type="pct"/>
            <w:noWrap/>
            <w:vAlign w:val="center"/>
          </w:tcPr>
          <w:p w14:paraId="7EB33117" w14:textId="77777777" w:rsidR="00CD0307" w:rsidRPr="009D7F80" w:rsidRDefault="00CD0307" w:rsidP="007F3F39">
            <w:pPr>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21</w:t>
            </w:r>
          </w:p>
        </w:tc>
        <w:tc>
          <w:tcPr>
            <w:tcW w:w="1099" w:type="pct"/>
            <w:noWrap/>
            <w:vAlign w:val="center"/>
          </w:tcPr>
          <w:p w14:paraId="3B6F31EC" w14:textId="77777777" w:rsidR="00CD0307" w:rsidRPr="00E735C3" w:rsidRDefault="00CD0307" w:rsidP="007F3F39">
            <w:pPr>
              <w:jc w:val="center"/>
              <w:rPr>
                <w:rFonts w:ascii="Calibri" w:eastAsia="Times New Roman" w:hAnsi="Calibri" w:cs="Calibri"/>
                <w:i/>
                <w:color w:val="000000"/>
                <w:sz w:val="20"/>
                <w:szCs w:val="20"/>
                <w:lang w:eastAsia="en-AU"/>
              </w:rPr>
            </w:pPr>
            <w:r w:rsidRPr="00E735C3">
              <w:rPr>
                <w:rFonts w:ascii="Calibri" w:eastAsia="Times New Roman" w:hAnsi="Calibri" w:cs="Calibri"/>
                <w:i/>
                <w:color w:val="000000"/>
                <w:sz w:val="20"/>
                <w:szCs w:val="20"/>
                <w:lang w:eastAsia="en-AU"/>
              </w:rPr>
              <w:t>13%</w:t>
            </w:r>
          </w:p>
        </w:tc>
      </w:tr>
      <w:tr w:rsidR="00CD0307" w:rsidRPr="00C33204" w14:paraId="0C8B7DE6" w14:textId="77777777" w:rsidTr="005453C7">
        <w:trPr>
          <w:trHeight w:val="375"/>
        </w:trPr>
        <w:tc>
          <w:tcPr>
            <w:tcW w:w="1398" w:type="pct"/>
            <w:shd w:val="clear" w:color="auto" w:fill="DEEAF6"/>
            <w:vAlign w:val="center"/>
          </w:tcPr>
          <w:p w14:paraId="72BE9EEB" w14:textId="77777777" w:rsidR="00CD0307" w:rsidRPr="00BE6EFA" w:rsidRDefault="00CD0307" w:rsidP="007F3F39">
            <w:pPr>
              <w:jc w:val="left"/>
              <w:rPr>
                <w:rFonts w:ascii="Calibri" w:eastAsia="Times New Roman" w:hAnsi="Calibri" w:cs="Calibri"/>
                <w:color w:val="000000"/>
                <w:sz w:val="20"/>
                <w:szCs w:val="20"/>
                <w:lang w:eastAsia="en-AU"/>
              </w:rPr>
            </w:pPr>
            <w:r w:rsidRPr="00BE6EFA">
              <w:rPr>
                <w:sz w:val="20"/>
                <w:szCs w:val="20"/>
                <w:lang w:eastAsia="en-AU"/>
              </w:rPr>
              <w:t xml:space="preserve">Medium </w:t>
            </w:r>
          </w:p>
        </w:tc>
        <w:tc>
          <w:tcPr>
            <w:tcW w:w="901" w:type="pct"/>
            <w:shd w:val="clear" w:color="auto" w:fill="DEEAF6"/>
            <w:vAlign w:val="center"/>
          </w:tcPr>
          <w:p w14:paraId="15E39662" w14:textId="77777777" w:rsidR="00CD0307" w:rsidRPr="00BE6EFA" w:rsidRDefault="00CD0307" w:rsidP="007F3F39">
            <w:pPr>
              <w:jc w:val="center"/>
              <w:rPr>
                <w:rFonts w:ascii="Calibri" w:hAnsi="Calibri" w:cs="Calibri"/>
                <w:color w:val="000000"/>
                <w:sz w:val="20"/>
                <w:szCs w:val="20"/>
              </w:rPr>
            </w:pPr>
            <w:r w:rsidRPr="00BE6EFA">
              <w:rPr>
                <w:rFonts w:ascii="Calibri" w:hAnsi="Calibri" w:cs="Calibri"/>
                <w:color w:val="000000"/>
                <w:sz w:val="20"/>
                <w:szCs w:val="20"/>
              </w:rPr>
              <w:t>90</w:t>
            </w:r>
          </w:p>
        </w:tc>
        <w:tc>
          <w:tcPr>
            <w:tcW w:w="1602" w:type="pct"/>
            <w:shd w:val="clear" w:color="auto" w:fill="DEEAF6"/>
            <w:noWrap/>
            <w:vAlign w:val="center"/>
          </w:tcPr>
          <w:p w14:paraId="570CEE90" w14:textId="77777777" w:rsidR="00CD0307" w:rsidRPr="009D7F80" w:rsidRDefault="00CD0307" w:rsidP="007F3F39">
            <w:pPr>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3</w:t>
            </w:r>
          </w:p>
        </w:tc>
        <w:tc>
          <w:tcPr>
            <w:tcW w:w="1099" w:type="pct"/>
            <w:shd w:val="clear" w:color="auto" w:fill="DEEAF6"/>
            <w:noWrap/>
            <w:vAlign w:val="center"/>
          </w:tcPr>
          <w:p w14:paraId="2628F6A9" w14:textId="77777777" w:rsidR="00CD0307" w:rsidRPr="00E735C3" w:rsidRDefault="00CD0307" w:rsidP="007F3F39">
            <w:pPr>
              <w:jc w:val="center"/>
              <w:rPr>
                <w:rFonts w:ascii="Calibri" w:eastAsia="Times New Roman" w:hAnsi="Calibri" w:cs="Calibri"/>
                <w:i/>
                <w:color w:val="000000"/>
                <w:sz w:val="20"/>
                <w:szCs w:val="20"/>
                <w:lang w:eastAsia="en-AU"/>
              </w:rPr>
            </w:pPr>
            <w:r w:rsidRPr="00E735C3">
              <w:rPr>
                <w:rFonts w:ascii="Calibri" w:eastAsia="Times New Roman" w:hAnsi="Calibri" w:cs="Calibri"/>
                <w:i/>
                <w:color w:val="000000"/>
                <w:sz w:val="20"/>
                <w:szCs w:val="20"/>
                <w:lang w:eastAsia="en-AU"/>
              </w:rPr>
              <w:t>3%</w:t>
            </w:r>
          </w:p>
        </w:tc>
      </w:tr>
      <w:tr w:rsidR="00CD0307" w:rsidRPr="00C33204" w14:paraId="7C796634" w14:textId="77777777" w:rsidTr="005453C7">
        <w:trPr>
          <w:trHeight w:val="375"/>
        </w:trPr>
        <w:tc>
          <w:tcPr>
            <w:tcW w:w="1398" w:type="pct"/>
            <w:vAlign w:val="center"/>
          </w:tcPr>
          <w:p w14:paraId="5E69A57D" w14:textId="77777777" w:rsidR="00CD0307" w:rsidRPr="00BE6EFA" w:rsidRDefault="00CD0307" w:rsidP="007F3F39">
            <w:pPr>
              <w:jc w:val="left"/>
              <w:rPr>
                <w:rFonts w:ascii="Calibri" w:eastAsia="Times New Roman" w:hAnsi="Calibri" w:cs="Calibri"/>
                <w:color w:val="000000"/>
                <w:sz w:val="20"/>
                <w:szCs w:val="20"/>
                <w:lang w:eastAsia="en-AU"/>
              </w:rPr>
            </w:pPr>
            <w:r w:rsidRPr="00BE6EFA">
              <w:rPr>
                <w:sz w:val="20"/>
                <w:szCs w:val="20"/>
                <w:lang w:eastAsia="en-AU"/>
              </w:rPr>
              <w:t>Large</w:t>
            </w:r>
          </w:p>
        </w:tc>
        <w:tc>
          <w:tcPr>
            <w:tcW w:w="901" w:type="pct"/>
            <w:vAlign w:val="center"/>
          </w:tcPr>
          <w:p w14:paraId="15FE8A73" w14:textId="77777777" w:rsidR="00CD0307" w:rsidRPr="00BE6EFA" w:rsidRDefault="00CD0307" w:rsidP="007F3F39">
            <w:pPr>
              <w:jc w:val="center"/>
              <w:rPr>
                <w:rFonts w:ascii="Calibri" w:hAnsi="Calibri" w:cs="Calibri"/>
                <w:color w:val="000000"/>
                <w:sz w:val="20"/>
                <w:szCs w:val="20"/>
              </w:rPr>
            </w:pPr>
            <w:r w:rsidRPr="00BE6EFA">
              <w:rPr>
                <w:rFonts w:ascii="Calibri" w:hAnsi="Calibri" w:cs="Calibri"/>
                <w:color w:val="000000"/>
                <w:sz w:val="20"/>
                <w:szCs w:val="20"/>
              </w:rPr>
              <w:t>71</w:t>
            </w:r>
          </w:p>
        </w:tc>
        <w:tc>
          <w:tcPr>
            <w:tcW w:w="1602" w:type="pct"/>
            <w:noWrap/>
            <w:vAlign w:val="center"/>
          </w:tcPr>
          <w:p w14:paraId="61120FAE" w14:textId="77777777" w:rsidR="00CD0307" w:rsidRPr="009D7F80" w:rsidRDefault="00CD0307" w:rsidP="007F3F39">
            <w:pPr>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7</w:t>
            </w:r>
          </w:p>
        </w:tc>
        <w:tc>
          <w:tcPr>
            <w:tcW w:w="1099" w:type="pct"/>
            <w:noWrap/>
            <w:vAlign w:val="center"/>
          </w:tcPr>
          <w:p w14:paraId="0CF05F01" w14:textId="77777777" w:rsidR="00CD0307" w:rsidRPr="00E735C3" w:rsidRDefault="00CD0307" w:rsidP="007F3F39">
            <w:pPr>
              <w:jc w:val="center"/>
              <w:rPr>
                <w:rFonts w:ascii="Calibri" w:eastAsia="Times New Roman" w:hAnsi="Calibri" w:cs="Calibri"/>
                <w:i/>
                <w:color w:val="000000"/>
                <w:sz w:val="20"/>
                <w:szCs w:val="20"/>
                <w:lang w:eastAsia="en-AU"/>
              </w:rPr>
            </w:pPr>
            <w:r w:rsidRPr="00E735C3">
              <w:rPr>
                <w:rFonts w:ascii="Calibri" w:eastAsia="Times New Roman" w:hAnsi="Calibri" w:cs="Calibri"/>
                <w:i/>
                <w:color w:val="000000"/>
                <w:sz w:val="20"/>
                <w:szCs w:val="20"/>
                <w:lang w:eastAsia="en-AU"/>
              </w:rPr>
              <w:t>10%</w:t>
            </w:r>
          </w:p>
        </w:tc>
      </w:tr>
      <w:tr w:rsidR="00CD0307" w:rsidRPr="00C33204" w14:paraId="4847874C" w14:textId="77777777" w:rsidTr="005453C7">
        <w:trPr>
          <w:trHeight w:val="375"/>
        </w:trPr>
        <w:tc>
          <w:tcPr>
            <w:tcW w:w="1398" w:type="pct"/>
            <w:shd w:val="clear" w:color="auto" w:fill="FFE599" w:themeFill="accent4" w:themeFillTint="66"/>
            <w:vAlign w:val="center"/>
          </w:tcPr>
          <w:p w14:paraId="5852C59C" w14:textId="1EBADF4D" w:rsidR="00CD0307" w:rsidRPr="009D7F80" w:rsidRDefault="00E735C3" w:rsidP="007F3F39">
            <w:pPr>
              <w:jc w:val="left"/>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Total</w:t>
            </w:r>
          </w:p>
        </w:tc>
        <w:tc>
          <w:tcPr>
            <w:tcW w:w="901" w:type="pct"/>
            <w:shd w:val="clear" w:color="auto" w:fill="FFE599" w:themeFill="accent4" w:themeFillTint="66"/>
            <w:vAlign w:val="center"/>
          </w:tcPr>
          <w:p w14:paraId="7A73E116" w14:textId="77777777" w:rsidR="00CD0307" w:rsidRDefault="00CD0307" w:rsidP="007F3F39">
            <w:pPr>
              <w:jc w:val="center"/>
              <w:rPr>
                <w:rFonts w:ascii="Calibri" w:hAnsi="Calibri" w:cs="Calibri"/>
                <w:b/>
                <w:bCs/>
                <w:color w:val="000000"/>
                <w:sz w:val="20"/>
                <w:szCs w:val="20"/>
              </w:rPr>
            </w:pPr>
            <w:r>
              <w:rPr>
                <w:rFonts w:ascii="Calibri" w:hAnsi="Calibri" w:cs="Calibri"/>
                <w:b/>
                <w:bCs/>
                <w:color w:val="000000"/>
                <w:sz w:val="20"/>
                <w:szCs w:val="20"/>
              </w:rPr>
              <w:t>535</w:t>
            </w:r>
          </w:p>
        </w:tc>
        <w:tc>
          <w:tcPr>
            <w:tcW w:w="1602" w:type="pct"/>
            <w:shd w:val="clear" w:color="auto" w:fill="FFE599" w:themeFill="accent4" w:themeFillTint="66"/>
            <w:noWrap/>
            <w:vAlign w:val="center"/>
          </w:tcPr>
          <w:p w14:paraId="4A8F0D04" w14:textId="77777777" w:rsidR="00CD0307" w:rsidRPr="009D7F80" w:rsidRDefault="00CD0307" w:rsidP="007F3F39">
            <w:pPr>
              <w:jc w:val="center"/>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58</w:t>
            </w:r>
          </w:p>
        </w:tc>
        <w:tc>
          <w:tcPr>
            <w:tcW w:w="1099" w:type="pct"/>
            <w:shd w:val="clear" w:color="auto" w:fill="FFE599" w:themeFill="accent4" w:themeFillTint="66"/>
            <w:noWrap/>
            <w:vAlign w:val="center"/>
          </w:tcPr>
          <w:p w14:paraId="6CF32E63" w14:textId="77777777" w:rsidR="00CD0307" w:rsidRPr="00E735C3" w:rsidRDefault="00CD0307" w:rsidP="007F3F39">
            <w:pPr>
              <w:jc w:val="center"/>
              <w:rPr>
                <w:rFonts w:ascii="Calibri" w:eastAsia="Times New Roman" w:hAnsi="Calibri" w:cs="Calibri"/>
                <w:b/>
                <w:bCs/>
                <w:i/>
                <w:color w:val="000000"/>
                <w:sz w:val="20"/>
                <w:szCs w:val="20"/>
                <w:lang w:eastAsia="en-AU"/>
              </w:rPr>
            </w:pPr>
            <w:r w:rsidRPr="00E735C3">
              <w:rPr>
                <w:rFonts w:ascii="Calibri" w:eastAsia="Times New Roman" w:hAnsi="Calibri" w:cs="Calibri"/>
                <w:b/>
                <w:bCs/>
                <w:i/>
                <w:color w:val="000000"/>
                <w:sz w:val="20"/>
                <w:szCs w:val="20"/>
                <w:lang w:eastAsia="en-AU"/>
              </w:rPr>
              <w:t>11%</w:t>
            </w:r>
          </w:p>
        </w:tc>
      </w:tr>
    </w:tbl>
    <w:p w14:paraId="7B1E47D8" w14:textId="77777777" w:rsidR="00CD0307" w:rsidRDefault="00CD0307" w:rsidP="00CD0307"/>
    <w:p w14:paraId="53B7367C" w14:textId="61F3443D" w:rsidR="00CD0307" w:rsidRDefault="00CD0307" w:rsidP="00CD0307">
      <w:r>
        <w:t xml:space="preserve">These </w:t>
      </w:r>
      <w:r w:rsidR="0090615C">
        <w:t>AP</w:t>
      </w:r>
      <w:r>
        <w:t xml:space="preserve">s are also likely to have negative liquid assets to unspent funds balances which means that they may have a prudential risk of not being able to refund unspent funds when the time comes, or they have other financing arrangements. It should also be noted that once again, this analysis is using the cash and financial assets at the </w:t>
      </w:r>
      <w:r w:rsidRPr="0032173D">
        <w:rPr>
          <w:i/>
        </w:rPr>
        <w:t>home care segment level</w:t>
      </w:r>
      <w:r>
        <w:t>.</w:t>
      </w:r>
    </w:p>
    <w:p w14:paraId="4A49A546" w14:textId="77777777" w:rsidR="00CD0307" w:rsidRDefault="00CD0307" w:rsidP="0069046F"/>
    <w:p w14:paraId="3B89A386" w14:textId="27A33556" w:rsidR="008D2E65" w:rsidRPr="009E38C8" w:rsidRDefault="008D2E65" w:rsidP="00FB0E43">
      <w:r w:rsidRPr="009E38C8">
        <w:t xml:space="preserve">In order to form an overall conclusion, further analysis would be required based on the </w:t>
      </w:r>
      <w:r w:rsidRPr="009E38C8">
        <w:rPr>
          <w:u w:val="single"/>
        </w:rPr>
        <w:t xml:space="preserve">liquid assets held at </w:t>
      </w:r>
      <w:r w:rsidR="00281031">
        <w:rPr>
          <w:u w:val="single"/>
        </w:rPr>
        <w:t>AP</w:t>
      </w:r>
      <w:r w:rsidRPr="009E38C8">
        <w:rPr>
          <w:u w:val="single"/>
        </w:rPr>
        <w:t xml:space="preserve"> level</w:t>
      </w:r>
      <w:r w:rsidRPr="009E38C8">
        <w:t xml:space="preserve"> for all </w:t>
      </w:r>
      <w:r w:rsidR="0090615C">
        <w:t>h</w:t>
      </w:r>
      <w:r w:rsidRPr="009E38C8">
        <w:t xml:space="preserve">ome </w:t>
      </w:r>
      <w:r w:rsidR="0090615C">
        <w:t>c</w:t>
      </w:r>
      <w:r w:rsidRPr="009E38C8">
        <w:t xml:space="preserve">are </w:t>
      </w:r>
      <w:r w:rsidR="0090615C">
        <w:t>AP</w:t>
      </w:r>
      <w:r w:rsidRPr="009E38C8">
        <w:t>s.</w:t>
      </w:r>
    </w:p>
    <w:p w14:paraId="144BE58F" w14:textId="3EB248D6" w:rsidR="007E7FA4" w:rsidRPr="009E38C8" w:rsidRDefault="007E7FA4" w:rsidP="00FB0E43"/>
    <w:p w14:paraId="6B0611E3" w14:textId="5ABE4468" w:rsidR="0032173D" w:rsidRDefault="007E7FA4" w:rsidP="00FB0E43">
      <w:r w:rsidRPr="009E38C8">
        <w:t xml:space="preserve">This information is likely to be available if recommended changes to the information to be collected in ACFRs in the future are adopted. As part of recommendations before the Department </w:t>
      </w:r>
      <w:r w:rsidR="0032173D">
        <w:t>included in the</w:t>
      </w:r>
      <w:r w:rsidRPr="009E38C8">
        <w:t xml:space="preserve"> review of the current Prudential Regulations, it has been proposed that all </w:t>
      </w:r>
      <w:r w:rsidR="0090615C">
        <w:t>provider</w:t>
      </w:r>
      <w:r w:rsidRPr="009E38C8">
        <w:t xml:space="preserve">s of funded aged care services will be required to provide data at an </w:t>
      </w:r>
      <w:r w:rsidR="0032173D">
        <w:t>A</w:t>
      </w:r>
      <w:r w:rsidRPr="009E38C8">
        <w:t xml:space="preserve">pproved </w:t>
      </w:r>
      <w:r w:rsidR="0032173D">
        <w:t>P</w:t>
      </w:r>
      <w:r w:rsidRPr="009E38C8">
        <w:t xml:space="preserve">rovider </w:t>
      </w:r>
      <w:r w:rsidR="0032173D">
        <w:t xml:space="preserve">(consolidated) </w:t>
      </w:r>
      <w:r w:rsidRPr="009E38C8">
        <w:t xml:space="preserve">level, not just residential aged care providers </w:t>
      </w:r>
      <w:r w:rsidR="00B3405C" w:rsidRPr="009E38C8">
        <w:t>as currently required.</w:t>
      </w:r>
      <w:r w:rsidR="008D6A78" w:rsidRPr="009E38C8">
        <w:t xml:space="preserve"> </w:t>
      </w:r>
    </w:p>
    <w:p w14:paraId="26658768" w14:textId="77777777" w:rsidR="0032173D" w:rsidRDefault="0032173D" w:rsidP="00FB0E43"/>
    <w:p w14:paraId="134330BC" w14:textId="1E342A10" w:rsidR="00005996" w:rsidRDefault="00B3405C" w:rsidP="00FB0E43">
      <w:r w:rsidRPr="009E38C8">
        <w:t>This additional information w</w:t>
      </w:r>
      <w:r w:rsidR="0032173D">
        <w:t>ill enable</w:t>
      </w:r>
      <w:r w:rsidRPr="009E38C8">
        <w:t xml:space="preserve"> an additional layer of analysis </w:t>
      </w:r>
      <w:r w:rsidR="0032173D">
        <w:t xml:space="preserve">of the total assets and liabilities of each </w:t>
      </w:r>
      <w:r w:rsidR="0090615C">
        <w:t>AP</w:t>
      </w:r>
      <w:r w:rsidRPr="009E38C8">
        <w:t xml:space="preserve"> that is not currently available</w:t>
      </w:r>
      <w:r w:rsidR="0032173D">
        <w:t xml:space="preserve"> for </w:t>
      </w:r>
      <w:r w:rsidR="0090615C">
        <w:t>h</w:t>
      </w:r>
      <w:r w:rsidR="0032173D">
        <w:t xml:space="preserve">ome </w:t>
      </w:r>
      <w:r w:rsidR="0090615C">
        <w:t>c</w:t>
      </w:r>
      <w:r w:rsidR="0032173D">
        <w:t xml:space="preserve">are </w:t>
      </w:r>
      <w:r w:rsidR="0090615C">
        <w:t>AP</w:t>
      </w:r>
      <w:r w:rsidR="0032173D">
        <w:t>s (nor CHSP providers)</w:t>
      </w:r>
      <w:r w:rsidRPr="009E38C8">
        <w:t xml:space="preserve">. While this data would not be available prior to the changeover to providing the full subsidy in arrears in June 2020, it should be available (subject to the ACFR </w:t>
      </w:r>
      <w:r w:rsidR="0032173D">
        <w:t>recommendations</w:t>
      </w:r>
      <w:r w:rsidRPr="009E38C8">
        <w:t xml:space="preserve"> being adopted) prior to the phasing in of the full changes to the subsidy arrangements in April 2021.</w:t>
      </w:r>
    </w:p>
    <w:p w14:paraId="354C157D" w14:textId="77777777" w:rsidR="009E38C8" w:rsidRDefault="009E38C8" w:rsidP="00FB0E43"/>
    <w:p w14:paraId="60060DB4" w14:textId="77777777" w:rsidR="00862384" w:rsidRDefault="009E38C8" w:rsidP="009E38C8">
      <w:r>
        <w:t>While the changes to the D</w:t>
      </w:r>
      <w:r w:rsidR="0032173D">
        <w:t>H</w:t>
      </w:r>
      <w:r>
        <w:t xml:space="preserve">S payment system should be minimal in Phase 1 of the implementation process as the changes only relate to the timing of the payment rather than how the payment is calculated, the changes to the system for Phases 2 and 3 will be significant. </w:t>
      </w:r>
    </w:p>
    <w:p w14:paraId="761DCCB7" w14:textId="77777777" w:rsidR="00862384" w:rsidRDefault="00862384" w:rsidP="009E38C8"/>
    <w:p w14:paraId="42E11EF2" w14:textId="47872A96" w:rsidR="009E38C8" w:rsidRPr="00862384" w:rsidRDefault="009E38C8" w:rsidP="009E38C8">
      <w:pPr>
        <w:rPr>
          <w:i/>
        </w:rPr>
      </w:pPr>
      <w:r w:rsidRPr="00862384">
        <w:rPr>
          <w:i/>
        </w:rPr>
        <w:t xml:space="preserve">It will be critical to the sector that these </w:t>
      </w:r>
      <w:r w:rsidR="00862384">
        <w:rPr>
          <w:i/>
        </w:rPr>
        <w:t xml:space="preserve">proposed </w:t>
      </w:r>
      <w:r w:rsidRPr="00862384">
        <w:rPr>
          <w:i/>
        </w:rPr>
        <w:t xml:space="preserve">changes </w:t>
      </w:r>
      <w:r w:rsidR="00862384">
        <w:rPr>
          <w:i/>
        </w:rPr>
        <w:t xml:space="preserve">to the funding arrangements </w:t>
      </w:r>
      <w:r w:rsidRPr="00862384">
        <w:rPr>
          <w:i/>
        </w:rPr>
        <w:t xml:space="preserve">do not cause long delays in processing claims </w:t>
      </w:r>
      <w:r w:rsidR="00862384">
        <w:rPr>
          <w:i/>
        </w:rPr>
        <w:t xml:space="preserve">by DHS </w:t>
      </w:r>
      <w:r w:rsidRPr="00862384">
        <w:rPr>
          <w:i/>
        </w:rPr>
        <w:t xml:space="preserve">from </w:t>
      </w:r>
      <w:r w:rsidR="0090615C">
        <w:rPr>
          <w:i/>
        </w:rPr>
        <w:t>AP</w:t>
      </w:r>
      <w:r w:rsidRPr="00862384">
        <w:rPr>
          <w:i/>
        </w:rPr>
        <w:t xml:space="preserve">s to be paid. There are far </w:t>
      </w:r>
      <w:proofErr w:type="gramStart"/>
      <w:r w:rsidRPr="00862384">
        <w:rPr>
          <w:i/>
        </w:rPr>
        <w:t>more smaller</w:t>
      </w:r>
      <w:proofErr w:type="gramEnd"/>
      <w:r w:rsidRPr="00862384">
        <w:rPr>
          <w:i/>
        </w:rPr>
        <w:t xml:space="preserve"> </w:t>
      </w:r>
      <w:r w:rsidR="0090615C">
        <w:rPr>
          <w:i/>
        </w:rPr>
        <w:t>AP</w:t>
      </w:r>
      <w:r w:rsidRPr="00862384">
        <w:rPr>
          <w:i/>
        </w:rPr>
        <w:t xml:space="preserve">s in the sector since June 2017 and these smaller </w:t>
      </w:r>
      <w:r w:rsidR="0090615C">
        <w:rPr>
          <w:i/>
        </w:rPr>
        <w:t>AP</w:t>
      </w:r>
      <w:r w:rsidRPr="00862384">
        <w:rPr>
          <w:i/>
        </w:rPr>
        <w:t>s will be more vulnerable to long delays in processing claims and making payments.</w:t>
      </w:r>
    </w:p>
    <w:p w14:paraId="2F1B9FD1" w14:textId="34D0474D" w:rsidR="00005996" w:rsidRDefault="00005996" w:rsidP="00FB0E43">
      <w:r>
        <w:br w:type="page"/>
      </w:r>
    </w:p>
    <w:bookmarkEnd w:id="44"/>
    <w:p w14:paraId="2DFF5384" w14:textId="56FE53AE" w:rsidR="00630B92" w:rsidRDefault="003E7992" w:rsidP="0017115F">
      <w:pPr>
        <w:pStyle w:val="SubHeading"/>
      </w:pPr>
      <w:r>
        <w:lastRenderedPageBreak/>
        <w:t>Analysis</w:t>
      </w:r>
      <w:r w:rsidR="006417F1">
        <w:t xml:space="preserve"> by </w:t>
      </w:r>
      <w:r w:rsidR="00AA6468">
        <w:t>Region</w:t>
      </w:r>
      <w:r w:rsidR="00630B92">
        <w:t xml:space="preserve"> </w:t>
      </w:r>
    </w:p>
    <w:p w14:paraId="11DCFF51" w14:textId="617BF4A0" w:rsidR="00664F7E" w:rsidRDefault="0094467E" w:rsidP="00862384">
      <w:pPr>
        <w:spacing w:after="120"/>
      </w:pPr>
      <w:r>
        <w:t>A regional analysis is</w:t>
      </w:r>
      <w:r w:rsidR="00862384">
        <w:t xml:space="preserve"> less conclusive </w:t>
      </w:r>
      <w:r>
        <w:t xml:space="preserve">with home care data as a result of the different ways in which </w:t>
      </w:r>
      <w:r w:rsidR="0090615C">
        <w:t>AP</w:t>
      </w:r>
      <w:r>
        <w:t xml:space="preserve">s report. Many </w:t>
      </w:r>
      <w:r w:rsidR="0090615C">
        <w:t>AP</w:t>
      </w:r>
      <w:r>
        <w:t>s are also operating in regions where they may not be physically based and using brokered services to deliver services.</w:t>
      </w:r>
      <w:r w:rsidR="007773C2">
        <w:t xml:space="preserve"> </w:t>
      </w:r>
      <w:r w:rsidR="00FC6584">
        <w:t xml:space="preserve">We have adopted the same </w:t>
      </w:r>
      <w:r w:rsidR="00AA6468">
        <w:t xml:space="preserve">categories for grouping by region as that used by </w:t>
      </w:r>
      <w:r w:rsidR="00664F7E">
        <w:t xml:space="preserve">ACFA </w:t>
      </w:r>
      <w:r w:rsidR="00F26659">
        <w:t>as follows:-</w:t>
      </w:r>
    </w:p>
    <w:p w14:paraId="3CC65A91" w14:textId="0EE21B7F" w:rsidR="0094467E" w:rsidRDefault="001E5BD2" w:rsidP="005D395A">
      <w:pPr>
        <w:pStyle w:val="ListParagraph"/>
        <w:numPr>
          <w:ilvl w:val="0"/>
          <w:numId w:val="6"/>
        </w:numPr>
      </w:pPr>
      <w:bookmarkStart w:id="54" w:name="_Hlk24375942"/>
      <w:r>
        <w:t>City</w:t>
      </w:r>
    </w:p>
    <w:p w14:paraId="1C133692" w14:textId="76233909" w:rsidR="0094467E" w:rsidRDefault="0094467E" w:rsidP="005D395A">
      <w:pPr>
        <w:pStyle w:val="ListParagraph"/>
        <w:numPr>
          <w:ilvl w:val="0"/>
          <w:numId w:val="6"/>
        </w:numPr>
      </w:pPr>
      <w:r>
        <w:t xml:space="preserve">Regional </w:t>
      </w:r>
    </w:p>
    <w:p w14:paraId="4050172A" w14:textId="3CF7BBBB" w:rsidR="0094467E" w:rsidRDefault="001E5BD2" w:rsidP="005D395A">
      <w:pPr>
        <w:pStyle w:val="ListParagraph"/>
        <w:numPr>
          <w:ilvl w:val="0"/>
          <w:numId w:val="6"/>
        </w:numPr>
      </w:pPr>
      <w:r>
        <w:t xml:space="preserve">City </w:t>
      </w:r>
      <w:r w:rsidR="0094467E">
        <w:t xml:space="preserve">and regional </w:t>
      </w:r>
    </w:p>
    <w:p w14:paraId="06E9D7C5" w14:textId="77777777" w:rsidR="00AA6468" w:rsidRDefault="00AA6468" w:rsidP="00AA6468"/>
    <w:bookmarkEnd w:id="54"/>
    <w:p w14:paraId="04A96363" w14:textId="4606E7B3" w:rsidR="005C2BB9" w:rsidRPr="00AA6468" w:rsidRDefault="005C2BB9" w:rsidP="005C2BB9">
      <w:pPr>
        <w:pStyle w:val="Caption"/>
        <w:spacing w:before="0"/>
      </w:pPr>
      <w:r w:rsidRPr="00AA6468">
        <w:t xml:space="preserve">Table </w:t>
      </w:r>
      <w:fldSimple w:instr=" SEQ Table \* ARABIC ">
        <w:r w:rsidR="00844346">
          <w:rPr>
            <w:noProof/>
          </w:rPr>
          <w:t>16</w:t>
        </w:r>
      </w:fldSimple>
      <w:r w:rsidRPr="00AA6468">
        <w:t xml:space="preserve">: </w:t>
      </w:r>
      <w:r w:rsidR="00862384">
        <w:t xml:space="preserve">AP </w:t>
      </w:r>
      <w:r w:rsidRPr="00AA6468">
        <w:t xml:space="preserve">Category by </w:t>
      </w:r>
      <w:r w:rsidR="00862384">
        <w:t>R</w:t>
      </w:r>
      <w:r w:rsidR="00AA6468" w:rsidRPr="00AA6468">
        <w:t>egion</w:t>
      </w:r>
    </w:p>
    <w:tbl>
      <w:tblPr>
        <w:tblStyle w:val="TableGrid"/>
        <w:tblW w:w="5000" w:type="pct"/>
        <w:tblLook w:val="04A0" w:firstRow="1" w:lastRow="0" w:firstColumn="1" w:lastColumn="0" w:noHBand="0" w:noVBand="1"/>
        <w:tblCaption w:val="Table 16: AP Category by Region"/>
      </w:tblPr>
      <w:tblGrid>
        <w:gridCol w:w="4673"/>
        <w:gridCol w:w="3145"/>
        <w:gridCol w:w="1810"/>
      </w:tblGrid>
      <w:tr w:rsidR="005C2BB9" w:rsidRPr="00B80ED2" w14:paraId="0A5ACBBA" w14:textId="77777777" w:rsidTr="003636FB">
        <w:trPr>
          <w:trHeight w:val="340"/>
          <w:tblHeader/>
        </w:trPr>
        <w:tc>
          <w:tcPr>
            <w:tcW w:w="2427" w:type="pct"/>
            <w:shd w:val="clear" w:color="auto" w:fill="D9E2F3" w:themeFill="accent5" w:themeFillTint="33"/>
            <w:vAlign w:val="center"/>
          </w:tcPr>
          <w:p w14:paraId="71568D07" w14:textId="1BA8F013" w:rsidR="005C2BB9" w:rsidRPr="00E735C3" w:rsidRDefault="00E735C3" w:rsidP="00D910DF">
            <w:pPr>
              <w:jc w:val="left"/>
              <w:rPr>
                <w:b/>
                <w:bCs/>
                <w:sz w:val="20"/>
                <w:szCs w:val="20"/>
              </w:rPr>
            </w:pPr>
            <w:r>
              <w:rPr>
                <w:b/>
                <w:bCs/>
                <w:sz w:val="20"/>
                <w:szCs w:val="20"/>
              </w:rPr>
              <w:t>Region</w:t>
            </w:r>
          </w:p>
        </w:tc>
        <w:tc>
          <w:tcPr>
            <w:tcW w:w="1633" w:type="pct"/>
            <w:shd w:val="clear" w:color="auto" w:fill="D9E2F3" w:themeFill="accent5" w:themeFillTint="33"/>
            <w:vAlign w:val="center"/>
          </w:tcPr>
          <w:p w14:paraId="17175061" w14:textId="5706C4E1" w:rsidR="005C2BB9" w:rsidRPr="00E735C3" w:rsidRDefault="005C2BB9" w:rsidP="00D910DF">
            <w:pPr>
              <w:jc w:val="center"/>
              <w:rPr>
                <w:b/>
                <w:bCs/>
                <w:sz w:val="20"/>
                <w:szCs w:val="20"/>
              </w:rPr>
            </w:pPr>
            <w:r w:rsidRPr="00E735C3">
              <w:rPr>
                <w:b/>
                <w:bCs/>
                <w:sz w:val="20"/>
                <w:szCs w:val="20"/>
              </w:rPr>
              <w:t xml:space="preserve">Number of </w:t>
            </w:r>
            <w:r w:rsidR="00AE6460">
              <w:rPr>
                <w:b/>
                <w:bCs/>
                <w:sz w:val="20"/>
                <w:szCs w:val="20"/>
              </w:rPr>
              <w:t>P</w:t>
            </w:r>
            <w:r w:rsidRPr="00E735C3">
              <w:rPr>
                <w:b/>
                <w:bCs/>
                <w:sz w:val="20"/>
                <w:szCs w:val="20"/>
              </w:rPr>
              <w:t>roviders in 2018-19</w:t>
            </w:r>
          </w:p>
        </w:tc>
        <w:tc>
          <w:tcPr>
            <w:tcW w:w="940" w:type="pct"/>
            <w:shd w:val="clear" w:color="auto" w:fill="D9E2F3" w:themeFill="accent5" w:themeFillTint="33"/>
            <w:vAlign w:val="center"/>
          </w:tcPr>
          <w:p w14:paraId="7473679C" w14:textId="77777777" w:rsidR="005C2BB9" w:rsidRPr="00E735C3" w:rsidRDefault="005C2BB9" w:rsidP="00D910DF">
            <w:pPr>
              <w:jc w:val="center"/>
              <w:rPr>
                <w:b/>
                <w:bCs/>
                <w:sz w:val="20"/>
                <w:szCs w:val="20"/>
              </w:rPr>
            </w:pPr>
            <w:r w:rsidRPr="00E735C3">
              <w:rPr>
                <w:b/>
                <w:bCs/>
                <w:sz w:val="20"/>
                <w:szCs w:val="20"/>
              </w:rPr>
              <w:t>%</w:t>
            </w:r>
          </w:p>
        </w:tc>
      </w:tr>
      <w:tr w:rsidR="005C2BB9" w:rsidRPr="00B80ED2" w14:paraId="093784F0" w14:textId="77777777" w:rsidTr="007773C2">
        <w:trPr>
          <w:trHeight w:val="283"/>
        </w:trPr>
        <w:tc>
          <w:tcPr>
            <w:tcW w:w="2427" w:type="pct"/>
            <w:vAlign w:val="center"/>
          </w:tcPr>
          <w:p w14:paraId="58466261" w14:textId="1314CE33" w:rsidR="005C2BB9" w:rsidRPr="00E735C3" w:rsidRDefault="005C2BB9" w:rsidP="005C2BB9">
            <w:pPr>
              <w:jc w:val="left"/>
              <w:rPr>
                <w:sz w:val="20"/>
                <w:szCs w:val="20"/>
              </w:rPr>
            </w:pPr>
            <w:r w:rsidRPr="00E735C3">
              <w:rPr>
                <w:rFonts w:ascii="Calibri" w:hAnsi="Calibri" w:cs="Calibri"/>
                <w:color w:val="000000"/>
                <w:sz w:val="20"/>
                <w:szCs w:val="20"/>
              </w:rPr>
              <w:t>C</w:t>
            </w:r>
            <w:r w:rsidR="000063F0" w:rsidRPr="00E735C3">
              <w:rPr>
                <w:rFonts w:ascii="Calibri" w:hAnsi="Calibri" w:cs="Calibri"/>
                <w:color w:val="000000"/>
                <w:sz w:val="20"/>
                <w:szCs w:val="20"/>
              </w:rPr>
              <w:t>ity</w:t>
            </w:r>
          </w:p>
        </w:tc>
        <w:tc>
          <w:tcPr>
            <w:tcW w:w="1633" w:type="pct"/>
            <w:vAlign w:val="center"/>
          </w:tcPr>
          <w:p w14:paraId="6A880075" w14:textId="19189E9C" w:rsidR="005C2BB9" w:rsidRPr="00E735C3" w:rsidRDefault="00AA6468" w:rsidP="005C2BB9">
            <w:pPr>
              <w:jc w:val="center"/>
              <w:rPr>
                <w:sz w:val="20"/>
                <w:szCs w:val="20"/>
              </w:rPr>
            </w:pPr>
            <w:r w:rsidRPr="00E735C3">
              <w:rPr>
                <w:rFonts w:ascii="Calibri" w:hAnsi="Calibri" w:cs="Calibri"/>
                <w:color w:val="000000"/>
                <w:sz w:val="20"/>
                <w:szCs w:val="20"/>
              </w:rPr>
              <w:t>349</w:t>
            </w:r>
          </w:p>
        </w:tc>
        <w:tc>
          <w:tcPr>
            <w:tcW w:w="940" w:type="pct"/>
            <w:vAlign w:val="center"/>
          </w:tcPr>
          <w:p w14:paraId="7E868209" w14:textId="067AE39B" w:rsidR="005C2BB9" w:rsidRPr="00AE6460" w:rsidRDefault="0017115F" w:rsidP="005C2BB9">
            <w:pPr>
              <w:jc w:val="center"/>
              <w:rPr>
                <w:i/>
                <w:sz w:val="20"/>
                <w:szCs w:val="20"/>
              </w:rPr>
            </w:pPr>
            <w:r w:rsidRPr="00AE6460">
              <w:rPr>
                <w:rFonts w:ascii="Calibri" w:hAnsi="Calibri" w:cs="Calibri"/>
                <w:i/>
                <w:color w:val="000000"/>
                <w:sz w:val="20"/>
                <w:szCs w:val="20"/>
              </w:rPr>
              <w:t>47</w:t>
            </w:r>
            <w:r w:rsidR="005C2BB9" w:rsidRPr="00AE6460">
              <w:rPr>
                <w:rFonts w:ascii="Calibri" w:hAnsi="Calibri" w:cs="Calibri"/>
                <w:i/>
                <w:color w:val="000000"/>
                <w:sz w:val="20"/>
                <w:szCs w:val="20"/>
              </w:rPr>
              <w:t>%</w:t>
            </w:r>
          </w:p>
        </w:tc>
      </w:tr>
      <w:tr w:rsidR="005C2BB9" w:rsidRPr="00B80ED2" w14:paraId="547F5B6A" w14:textId="77777777" w:rsidTr="00AE6460">
        <w:trPr>
          <w:trHeight w:val="283"/>
        </w:trPr>
        <w:tc>
          <w:tcPr>
            <w:tcW w:w="2427" w:type="pct"/>
            <w:shd w:val="clear" w:color="auto" w:fill="auto"/>
            <w:vAlign w:val="center"/>
          </w:tcPr>
          <w:p w14:paraId="31F3B3CB" w14:textId="6E2AF6FC" w:rsidR="005C2BB9" w:rsidRPr="00E735C3" w:rsidRDefault="005C2BB9" w:rsidP="005C2BB9">
            <w:pPr>
              <w:jc w:val="left"/>
              <w:rPr>
                <w:sz w:val="20"/>
                <w:szCs w:val="20"/>
              </w:rPr>
            </w:pPr>
            <w:r w:rsidRPr="00E735C3">
              <w:rPr>
                <w:rFonts w:ascii="Calibri" w:hAnsi="Calibri" w:cs="Calibri"/>
                <w:color w:val="000000"/>
                <w:sz w:val="20"/>
                <w:szCs w:val="20"/>
              </w:rPr>
              <w:t>Regional</w:t>
            </w:r>
          </w:p>
        </w:tc>
        <w:tc>
          <w:tcPr>
            <w:tcW w:w="1633" w:type="pct"/>
            <w:shd w:val="clear" w:color="auto" w:fill="auto"/>
            <w:vAlign w:val="center"/>
          </w:tcPr>
          <w:p w14:paraId="16A64785" w14:textId="5EA0320C" w:rsidR="005C2BB9" w:rsidRPr="00E735C3" w:rsidRDefault="00AA6468" w:rsidP="005C2BB9">
            <w:pPr>
              <w:jc w:val="center"/>
              <w:rPr>
                <w:sz w:val="20"/>
                <w:szCs w:val="20"/>
              </w:rPr>
            </w:pPr>
            <w:r w:rsidRPr="00E735C3">
              <w:rPr>
                <w:rFonts w:ascii="Calibri" w:hAnsi="Calibri" w:cs="Calibri"/>
                <w:color w:val="000000"/>
                <w:sz w:val="20"/>
                <w:szCs w:val="20"/>
              </w:rPr>
              <w:t>168</w:t>
            </w:r>
          </w:p>
        </w:tc>
        <w:tc>
          <w:tcPr>
            <w:tcW w:w="940" w:type="pct"/>
            <w:shd w:val="clear" w:color="auto" w:fill="auto"/>
            <w:vAlign w:val="center"/>
          </w:tcPr>
          <w:p w14:paraId="04127E2E" w14:textId="2AD1B7CC" w:rsidR="005C2BB9" w:rsidRPr="00AE6460" w:rsidRDefault="0017115F" w:rsidP="005C2BB9">
            <w:pPr>
              <w:jc w:val="center"/>
              <w:rPr>
                <w:i/>
                <w:sz w:val="20"/>
                <w:szCs w:val="20"/>
              </w:rPr>
            </w:pPr>
            <w:r w:rsidRPr="00AE6460">
              <w:rPr>
                <w:rFonts w:ascii="Calibri" w:hAnsi="Calibri" w:cs="Calibri"/>
                <w:i/>
                <w:color w:val="000000"/>
                <w:sz w:val="20"/>
                <w:szCs w:val="20"/>
              </w:rPr>
              <w:t>23</w:t>
            </w:r>
            <w:r w:rsidR="005C2BB9" w:rsidRPr="00AE6460">
              <w:rPr>
                <w:rFonts w:ascii="Calibri" w:hAnsi="Calibri" w:cs="Calibri"/>
                <w:i/>
                <w:color w:val="000000"/>
                <w:sz w:val="20"/>
                <w:szCs w:val="20"/>
              </w:rPr>
              <w:t>%</w:t>
            </w:r>
          </w:p>
        </w:tc>
      </w:tr>
      <w:tr w:rsidR="005C2BB9" w:rsidRPr="00B80ED2" w14:paraId="5E4C9BC6" w14:textId="77777777" w:rsidTr="00AE6460">
        <w:trPr>
          <w:trHeight w:val="283"/>
        </w:trPr>
        <w:tc>
          <w:tcPr>
            <w:tcW w:w="2427" w:type="pct"/>
            <w:shd w:val="clear" w:color="auto" w:fill="auto"/>
            <w:vAlign w:val="center"/>
          </w:tcPr>
          <w:p w14:paraId="34E2CDE5" w14:textId="74991732" w:rsidR="005C2BB9" w:rsidRPr="00E735C3" w:rsidRDefault="005C2BB9" w:rsidP="005C2BB9">
            <w:pPr>
              <w:jc w:val="left"/>
              <w:rPr>
                <w:sz w:val="20"/>
                <w:szCs w:val="20"/>
              </w:rPr>
            </w:pPr>
            <w:r w:rsidRPr="00E735C3">
              <w:rPr>
                <w:rFonts w:ascii="Calibri" w:hAnsi="Calibri" w:cs="Calibri"/>
                <w:color w:val="000000"/>
                <w:sz w:val="20"/>
                <w:szCs w:val="20"/>
              </w:rPr>
              <w:t>C</w:t>
            </w:r>
            <w:r w:rsidR="000063F0" w:rsidRPr="00E735C3">
              <w:rPr>
                <w:rFonts w:ascii="Calibri" w:hAnsi="Calibri" w:cs="Calibri"/>
                <w:color w:val="000000"/>
                <w:sz w:val="20"/>
                <w:szCs w:val="20"/>
              </w:rPr>
              <w:t>ity</w:t>
            </w:r>
            <w:r w:rsidRPr="00E735C3">
              <w:rPr>
                <w:rFonts w:ascii="Calibri" w:hAnsi="Calibri" w:cs="Calibri"/>
                <w:color w:val="000000"/>
                <w:sz w:val="20"/>
                <w:szCs w:val="20"/>
              </w:rPr>
              <w:t xml:space="preserve"> &amp; R</w:t>
            </w:r>
            <w:r w:rsidR="000063F0" w:rsidRPr="00E735C3">
              <w:rPr>
                <w:rFonts w:ascii="Calibri" w:hAnsi="Calibri" w:cs="Calibri"/>
                <w:color w:val="000000"/>
                <w:sz w:val="20"/>
                <w:szCs w:val="20"/>
              </w:rPr>
              <w:t>egional</w:t>
            </w:r>
          </w:p>
        </w:tc>
        <w:tc>
          <w:tcPr>
            <w:tcW w:w="1633" w:type="pct"/>
            <w:shd w:val="clear" w:color="auto" w:fill="auto"/>
            <w:vAlign w:val="center"/>
          </w:tcPr>
          <w:p w14:paraId="65C7FB09" w14:textId="23E83D58" w:rsidR="005C2BB9" w:rsidRPr="00E735C3" w:rsidRDefault="00AA6468" w:rsidP="005C2BB9">
            <w:pPr>
              <w:jc w:val="center"/>
              <w:rPr>
                <w:sz w:val="20"/>
                <w:szCs w:val="20"/>
              </w:rPr>
            </w:pPr>
            <w:r w:rsidRPr="00E735C3">
              <w:rPr>
                <w:rFonts w:ascii="Calibri" w:hAnsi="Calibri" w:cs="Calibri"/>
                <w:color w:val="000000"/>
                <w:sz w:val="20"/>
                <w:szCs w:val="20"/>
              </w:rPr>
              <w:t>18</w:t>
            </w:r>
          </w:p>
        </w:tc>
        <w:tc>
          <w:tcPr>
            <w:tcW w:w="940" w:type="pct"/>
            <w:shd w:val="clear" w:color="auto" w:fill="auto"/>
            <w:vAlign w:val="center"/>
          </w:tcPr>
          <w:p w14:paraId="43F6634F" w14:textId="1AAE55D1" w:rsidR="005C2BB9" w:rsidRPr="00AE6460" w:rsidRDefault="0017115F" w:rsidP="0017115F">
            <w:pPr>
              <w:jc w:val="center"/>
              <w:rPr>
                <w:rFonts w:ascii="Calibri" w:hAnsi="Calibri" w:cs="Calibri"/>
                <w:i/>
                <w:color w:val="000000"/>
                <w:sz w:val="20"/>
                <w:szCs w:val="20"/>
              </w:rPr>
            </w:pPr>
            <w:r w:rsidRPr="00AE6460">
              <w:rPr>
                <w:rFonts w:ascii="Calibri" w:hAnsi="Calibri" w:cs="Calibri"/>
                <w:i/>
                <w:color w:val="000000"/>
                <w:sz w:val="20"/>
                <w:szCs w:val="20"/>
              </w:rPr>
              <w:t>2</w:t>
            </w:r>
            <w:r w:rsidR="005C2BB9" w:rsidRPr="00AE6460">
              <w:rPr>
                <w:rFonts w:ascii="Calibri" w:hAnsi="Calibri" w:cs="Calibri"/>
                <w:i/>
                <w:color w:val="000000"/>
                <w:sz w:val="20"/>
                <w:szCs w:val="20"/>
              </w:rPr>
              <w:t>%</w:t>
            </w:r>
          </w:p>
        </w:tc>
      </w:tr>
      <w:tr w:rsidR="005C2BB9" w:rsidRPr="00EB677C" w14:paraId="6D8896B6" w14:textId="77777777" w:rsidTr="007773C2">
        <w:trPr>
          <w:trHeight w:val="283"/>
        </w:trPr>
        <w:tc>
          <w:tcPr>
            <w:tcW w:w="2427" w:type="pct"/>
            <w:vAlign w:val="center"/>
          </w:tcPr>
          <w:p w14:paraId="0C9A695C" w14:textId="77777777" w:rsidR="005C2BB9" w:rsidRPr="00E735C3" w:rsidRDefault="005C2BB9" w:rsidP="005C2BB9">
            <w:pPr>
              <w:jc w:val="left"/>
              <w:rPr>
                <w:b/>
                <w:bCs/>
                <w:sz w:val="20"/>
                <w:szCs w:val="20"/>
              </w:rPr>
            </w:pPr>
            <w:r w:rsidRPr="00E735C3">
              <w:rPr>
                <w:b/>
                <w:bCs/>
                <w:sz w:val="20"/>
                <w:szCs w:val="20"/>
              </w:rPr>
              <w:t xml:space="preserve">Sub-total </w:t>
            </w:r>
          </w:p>
        </w:tc>
        <w:tc>
          <w:tcPr>
            <w:tcW w:w="1633" w:type="pct"/>
            <w:vAlign w:val="center"/>
          </w:tcPr>
          <w:p w14:paraId="1E0EC532" w14:textId="60795BB1" w:rsidR="005C2BB9" w:rsidRPr="00E735C3" w:rsidRDefault="005C2BB9" w:rsidP="005C2BB9">
            <w:pPr>
              <w:jc w:val="center"/>
              <w:rPr>
                <w:b/>
                <w:bCs/>
                <w:sz w:val="20"/>
                <w:szCs w:val="20"/>
              </w:rPr>
            </w:pPr>
            <w:r w:rsidRPr="00E735C3">
              <w:rPr>
                <w:rFonts w:ascii="Calibri" w:hAnsi="Calibri" w:cs="Calibri"/>
                <w:b/>
                <w:bCs/>
                <w:color w:val="000000"/>
                <w:sz w:val="20"/>
                <w:szCs w:val="20"/>
              </w:rPr>
              <w:t>5</w:t>
            </w:r>
            <w:r w:rsidR="00AA6468" w:rsidRPr="00E735C3">
              <w:rPr>
                <w:rFonts w:ascii="Calibri" w:hAnsi="Calibri" w:cs="Calibri"/>
                <w:b/>
                <w:bCs/>
                <w:color w:val="000000"/>
                <w:sz w:val="20"/>
                <w:szCs w:val="20"/>
              </w:rPr>
              <w:t>35</w:t>
            </w:r>
          </w:p>
        </w:tc>
        <w:tc>
          <w:tcPr>
            <w:tcW w:w="940" w:type="pct"/>
            <w:vAlign w:val="center"/>
          </w:tcPr>
          <w:p w14:paraId="37AFC796" w14:textId="6CF9927C" w:rsidR="005C2BB9" w:rsidRPr="00AE6460" w:rsidRDefault="0017115F" w:rsidP="005C2BB9">
            <w:pPr>
              <w:jc w:val="center"/>
              <w:rPr>
                <w:rFonts w:ascii="Calibri" w:hAnsi="Calibri" w:cs="Calibri"/>
                <w:b/>
                <w:bCs/>
                <w:i/>
                <w:color w:val="000000"/>
                <w:sz w:val="20"/>
                <w:szCs w:val="20"/>
              </w:rPr>
            </w:pPr>
            <w:r w:rsidRPr="00AE6460">
              <w:rPr>
                <w:rFonts w:ascii="Calibri" w:hAnsi="Calibri" w:cs="Calibri"/>
                <w:b/>
                <w:bCs/>
                <w:i/>
                <w:color w:val="000000"/>
                <w:sz w:val="20"/>
                <w:szCs w:val="20"/>
              </w:rPr>
              <w:t>73</w:t>
            </w:r>
            <w:r w:rsidR="005C2BB9" w:rsidRPr="00AE6460">
              <w:rPr>
                <w:rFonts w:ascii="Calibri" w:hAnsi="Calibri" w:cs="Calibri"/>
                <w:b/>
                <w:bCs/>
                <w:i/>
                <w:color w:val="000000"/>
                <w:sz w:val="20"/>
                <w:szCs w:val="20"/>
              </w:rPr>
              <w:t>%</w:t>
            </w:r>
          </w:p>
        </w:tc>
      </w:tr>
      <w:tr w:rsidR="005C2BB9" w:rsidRPr="00B80ED2" w14:paraId="77FC24A8" w14:textId="77777777" w:rsidTr="007773C2">
        <w:trPr>
          <w:trHeight w:val="283"/>
        </w:trPr>
        <w:tc>
          <w:tcPr>
            <w:tcW w:w="2427" w:type="pct"/>
            <w:vAlign w:val="center"/>
          </w:tcPr>
          <w:p w14:paraId="2C0AC06D" w14:textId="2A23CC2E" w:rsidR="005C2BB9" w:rsidRPr="00E735C3" w:rsidRDefault="005C2BB9" w:rsidP="005C2BB9">
            <w:pPr>
              <w:jc w:val="left"/>
              <w:rPr>
                <w:sz w:val="20"/>
                <w:szCs w:val="20"/>
              </w:rPr>
            </w:pPr>
            <w:r w:rsidRPr="00E735C3">
              <w:rPr>
                <w:sz w:val="20"/>
                <w:szCs w:val="20"/>
              </w:rPr>
              <w:t>Government and excluded</w:t>
            </w:r>
          </w:p>
        </w:tc>
        <w:tc>
          <w:tcPr>
            <w:tcW w:w="1633" w:type="pct"/>
            <w:vAlign w:val="center"/>
          </w:tcPr>
          <w:p w14:paraId="0A1C98D1" w14:textId="3AB5E291" w:rsidR="005C2BB9" w:rsidRPr="00E735C3" w:rsidRDefault="0017115F" w:rsidP="005C2BB9">
            <w:pPr>
              <w:jc w:val="center"/>
              <w:rPr>
                <w:sz w:val="20"/>
                <w:szCs w:val="20"/>
              </w:rPr>
            </w:pPr>
            <w:r w:rsidRPr="00E735C3">
              <w:rPr>
                <w:rFonts w:ascii="Calibri" w:hAnsi="Calibri" w:cs="Calibri"/>
                <w:color w:val="000000"/>
                <w:sz w:val="20"/>
                <w:szCs w:val="20"/>
              </w:rPr>
              <w:t>202</w:t>
            </w:r>
          </w:p>
        </w:tc>
        <w:tc>
          <w:tcPr>
            <w:tcW w:w="940" w:type="pct"/>
            <w:vAlign w:val="center"/>
          </w:tcPr>
          <w:p w14:paraId="061F408D" w14:textId="4FE56B9B" w:rsidR="005C2BB9" w:rsidRPr="00AE6460" w:rsidRDefault="0017115F" w:rsidP="005C2BB9">
            <w:pPr>
              <w:jc w:val="center"/>
              <w:rPr>
                <w:rFonts w:ascii="Calibri" w:hAnsi="Calibri" w:cs="Calibri"/>
                <w:i/>
                <w:color w:val="000000"/>
                <w:sz w:val="20"/>
                <w:szCs w:val="20"/>
              </w:rPr>
            </w:pPr>
            <w:r w:rsidRPr="00AE6460">
              <w:rPr>
                <w:rFonts w:ascii="Calibri" w:hAnsi="Calibri" w:cs="Calibri"/>
                <w:i/>
                <w:color w:val="000000"/>
                <w:sz w:val="20"/>
                <w:szCs w:val="20"/>
              </w:rPr>
              <w:t>27</w:t>
            </w:r>
            <w:r w:rsidR="005C2BB9" w:rsidRPr="00AE6460">
              <w:rPr>
                <w:rFonts w:ascii="Calibri" w:hAnsi="Calibri" w:cs="Calibri"/>
                <w:i/>
                <w:color w:val="000000"/>
                <w:sz w:val="20"/>
                <w:szCs w:val="20"/>
              </w:rPr>
              <w:t>%</w:t>
            </w:r>
          </w:p>
        </w:tc>
      </w:tr>
      <w:tr w:rsidR="005C2BB9" w:rsidRPr="00B80ED2" w14:paraId="55FA8DFE" w14:textId="77777777" w:rsidTr="007773C2">
        <w:trPr>
          <w:trHeight w:val="283"/>
        </w:trPr>
        <w:tc>
          <w:tcPr>
            <w:tcW w:w="2427" w:type="pct"/>
            <w:shd w:val="clear" w:color="auto" w:fill="FFE599" w:themeFill="accent4" w:themeFillTint="66"/>
          </w:tcPr>
          <w:p w14:paraId="1F172D28" w14:textId="77777777" w:rsidR="005C2BB9" w:rsidRPr="00E735C3" w:rsidRDefault="005C2BB9" w:rsidP="005C2BB9">
            <w:pPr>
              <w:rPr>
                <w:b/>
                <w:sz w:val="20"/>
                <w:szCs w:val="20"/>
              </w:rPr>
            </w:pPr>
            <w:r w:rsidRPr="00E735C3">
              <w:rPr>
                <w:b/>
                <w:sz w:val="20"/>
                <w:szCs w:val="20"/>
              </w:rPr>
              <w:t xml:space="preserve">Total </w:t>
            </w:r>
          </w:p>
        </w:tc>
        <w:tc>
          <w:tcPr>
            <w:tcW w:w="1633" w:type="pct"/>
            <w:shd w:val="clear" w:color="auto" w:fill="FFE599" w:themeFill="accent4" w:themeFillTint="66"/>
            <w:vAlign w:val="center"/>
          </w:tcPr>
          <w:p w14:paraId="50501628" w14:textId="5EC6570A" w:rsidR="005C2BB9" w:rsidRPr="00E735C3" w:rsidRDefault="0017115F" w:rsidP="005C2BB9">
            <w:pPr>
              <w:jc w:val="center"/>
              <w:rPr>
                <w:sz w:val="20"/>
                <w:szCs w:val="20"/>
              </w:rPr>
            </w:pPr>
            <w:r w:rsidRPr="00E735C3">
              <w:rPr>
                <w:rFonts w:ascii="Calibri" w:hAnsi="Calibri" w:cs="Calibri"/>
                <w:b/>
                <w:bCs/>
                <w:color w:val="000000"/>
                <w:sz w:val="20"/>
                <w:szCs w:val="20"/>
              </w:rPr>
              <w:t>7</w:t>
            </w:r>
            <w:r w:rsidR="00E735C3">
              <w:rPr>
                <w:rFonts w:ascii="Calibri" w:hAnsi="Calibri" w:cs="Calibri"/>
                <w:b/>
                <w:bCs/>
                <w:color w:val="000000"/>
                <w:sz w:val="20"/>
                <w:szCs w:val="20"/>
              </w:rPr>
              <w:t>3</w:t>
            </w:r>
            <w:r w:rsidRPr="00E735C3">
              <w:rPr>
                <w:rFonts w:ascii="Calibri" w:hAnsi="Calibri" w:cs="Calibri"/>
                <w:b/>
                <w:bCs/>
                <w:color w:val="000000"/>
                <w:sz w:val="20"/>
                <w:szCs w:val="20"/>
              </w:rPr>
              <w:t>7</w:t>
            </w:r>
          </w:p>
        </w:tc>
        <w:tc>
          <w:tcPr>
            <w:tcW w:w="940" w:type="pct"/>
            <w:shd w:val="clear" w:color="auto" w:fill="FFE599" w:themeFill="accent4" w:themeFillTint="66"/>
            <w:vAlign w:val="center"/>
          </w:tcPr>
          <w:p w14:paraId="2B6ED553" w14:textId="0A2F92E0" w:rsidR="005C2BB9" w:rsidRPr="00AE6460" w:rsidRDefault="005C2BB9" w:rsidP="005C2BB9">
            <w:pPr>
              <w:jc w:val="center"/>
              <w:rPr>
                <w:b/>
                <w:i/>
                <w:sz w:val="20"/>
                <w:szCs w:val="20"/>
              </w:rPr>
            </w:pPr>
            <w:r w:rsidRPr="00AE6460">
              <w:rPr>
                <w:rFonts w:ascii="Calibri" w:hAnsi="Calibri" w:cs="Calibri"/>
                <w:b/>
                <w:bCs/>
                <w:i/>
                <w:color w:val="000000"/>
                <w:sz w:val="20"/>
                <w:szCs w:val="20"/>
              </w:rPr>
              <w:t>100%</w:t>
            </w:r>
          </w:p>
        </w:tc>
      </w:tr>
    </w:tbl>
    <w:p w14:paraId="1AFC8331" w14:textId="44619CB4" w:rsidR="0094467E" w:rsidRDefault="0094467E" w:rsidP="005C2BB9">
      <w:pPr>
        <w:pStyle w:val="ListParagraph"/>
      </w:pPr>
    </w:p>
    <w:p w14:paraId="3BE72559" w14:textId="7F190AEA" w:rsidR="00542405" w:rsidRDefault="00542405" w:rsidP="00542405">
      <w:r>
        <w:t xml:space="preserve">Within each regional designation there is, on average, sufficient liquidity to cover operating costs for one month while payment systems are transferred. It should be noted </w:t>
      </w:r>
      <w:r w:rsidR="007773C2">
        <w:t xml:space="preserve">of the 18 </w:t>
      </w:r>
      <w:r w:rsidR="0090615C">
        <w:t>AP</w:t>
      </w:r>
      <w:r w:rsidR="007773C2">
        <w:t xml:space="preserve">s that operate across City and Regional areas, 13 of them are </w:t>
      </w:r>
      <w:r w:rsidR="00862384">
        <w:t>l</w:t>
      </w:r>
      <w:r w:rsidR="007773C2">
        <w:t xml:space="preserve">arge </w:t>
      </w:r>
      <w:r w:rsidR="0090615C">
        <w:t>AP</w:t>
      </w:r>
      <w:r w:rsidR="007773C2">
        <w:t xml:space="preserve">s. </w:t>
      </w:r>
    </w:p>
    <w:p w14:paraId="19E0FEA0" w14:textId="77777777" w:rsidR="00862384" w:rsidRDefault="00862384" w:rsidP="00542405"/>
    <w:p w14:paraId="20B69F1B" w14:textId="6FFCFFDF" w:rsidR="00542405" w:rsidRDefault="00542405" w:rsidP="00862384">
      <w:pPr>
        <w:pStyle w:val="Caption"/>
        <w:keepNext/>
        <w:spacing w:before="0"/>
      </w:pPr>
      <w:r>
        <w:t xml:space="preserve">Table </w:t>
      </w:r>
      <w:fldSimple w:instr=" SEQ Table \* ARABIC ">
        <w:r w:rsidR="00844346">
          <w:rPr>
            <w:noProof/>
          </w:rPr>
          <w:t>17</w:t>
        </w:r>
      </w:fldSimple>
      <w:r>
        <w:t xml:space="preserve">: Regional analysis of </w:t>
      </w:r>
      <w:r w:rsidR="0090615C">
        <w:t>AP</w:t>
      </w:r>
      <w:r>
        <w:t>s ability to continue to pay operating costs while subsidy payments are deferred</w:t>
      </w:r>
    </w:p>
    <w:tbl>
      <w:tblPr>
        <w:tblStyle w:val="TableGrid"/>
        <w:tblW w:w="5000" w:type="pct"/>
        <w:tblLayout w:type="fixed"/>
        <w:tblLook w:val="04A0" w:firstRow="1" w:lastRow="0" w:firstColumn="1" w:lastColumn="0" w:noHBand="0" w:noVBand="1"/>
        <w:tblCaption w:val="Table 17: Regional analysis of APs ability to continue to pay operating costs while subsidy payments are deferred"/>
      </w:tblPr>
      <w:tblGrid>
        <w:gridCol w:w="1699"/>
        <w:gridCol w:w="1327"/>
        <w:gridCol w:w="1327"/>
        <w:gridCol w:w="1323"/>
        <w:gridCol w:w="1323"/>
        <w:gridCol w:w="1323"/>
        <w:gridCol w:w="1306"/>
      </w:tblGrid>
      <w:tr w:rsidR="00EF1290" w:rsidRPr="00C33204" w14:paraId="6BD69C29" w14:textId="77777777" w:rsidTr="003636FB">
        <w:trPr>
          <w:trHeight w:val="1350"/>
          <w:tblHeader/>
        </w:trPr>
        <w:tc>
          <w:tcPr>
            <w:tcW w:w="882" w:type="pct"/>
            <w:shd w:val="clear" w:color="auto" w:fill="5B9BD5"/>
            <w:vAlign w:val="center"/>
          </w:tcPr>
          <w:p w14:paraId="4DF6DFFF" w14:textId="77777777" w:rsidR="00EF1290" w:rsidRPr="001F0F05" w:rsidRDefault="00EF1290" w:rsidP="00E735C3">
            <w:pPr>
              <w:jc w:val="center"/>
              <w:rPr>
                <w:rFonts w:ascii="Calibri" w:eastAsia="Times New Roman" w:hAnsi="Calibri" w:cs="Calibri"/>
                <w:b/>
                <w:bCs/>
                <w:color w:val="FFFFFF" w:themeColor="background1"/>
                <w:sz w:val="20"/>
                <w:szCs w:val="20"/>
                <w:lang w:eastAsia="en-AU"/>
              </w:rPr>
            </w:pPr>
            <w:r w:rsidRPr="001F0F05">
              <w:rPr>
                <w:b/>
                <w:bCs/>
                <w:color w:val="FFFFFF" w:themeColor="background1"/>
                <w:sz w:val="20"/>
                <w:szCs w:val="20"/>
                <w:lang w:eastAsia="en-AU"/>
              </w:rPr>
              <w:t>Category</w:t>
            </w:r>
          </w:p>
        </w:tc>
        <w:tc>
          <w:tcPr>
            <w:tcW w:w="689" w:type="pct"/>
            <w:shd w:val="clear" w:color="auto" w:fill="5B9BD5"/>
            <w:vAlign w:val="center"/>
          </w:tcPr>
          <w:p w14:paraId="12FC271C" w14:textId="3ED0CD3F" w:rsidR="00EF1290" w:rsidRDefault="00EF1290" w:rsidP="00E735C3">
            <w:pPr>
              <w:jc w:val="center"/>
              <w:rPr>
                <w:rFonts w:ascii="Calibri" w:eastAsia="Times New Roman" w:hAnsi="Calibri" w:cs="Calibri"/>
                <w:b/>
                <w:bCs/>
                <w:color w:val="FFFFFF" w:themeColor="background1"/>
                <w:sz w:val="20"/>
                <w:szCs w:val="20"/>
                <w:lang w:eastAsia="en-AU"/>
              </w:rPr>
            </w:pPr>
            <w:r>
              <w:rPr>
                <w:rFonts w:ascii="Calibri" w:eastAsia="Times New Roman" w:hAnsi="Calibri" w:cs="Calibri"/>
                <w:b/>
                <w:bCs/>
                <w:color w:val="FFFFFF" w:themeColor="background1"/>
                <w:sz w:val="20"/>
                <w:szCs w:val="20"/>
                <w:lang w:eastAsia="en-AU"/>
              </w:rPr>
              <w:t xml:space="preserve">Number of </w:t>
            </w:r>
            <w:r w:rsidR="00E735C3">
              <w:rPr>
                <w:rFonts w:ascii="Calibri" w:eastAsia="Times New Roman" w:hAnsi="Calibri" w:cs="Calibri"/>
                <w:b/>
                <w:bCs/>
                <w:color w:val="FFFFFF" w:themeColor="background1"/>
                <w:sz w:val="20"/>
                <w:szCs w:val="20"/>
                <w:lang w:eastAsia="en-AU"/>
              </w:rPr>
              <w:t>P</w:t>
            </w:r>
            <w:r>
              <w:rPr>
                <w:rFonts w:ascii="Calibri" w:eastAsia="Times New Roman" w:hAnsi="Calibri" w:cs="Calibri"/>
                <w:b/>
                <w:bCs/>
                <w:color w:val="FFFFFF" w:themeColor="background1"/>
                <w:sz w:val="20"/>
                <w:szCs w:val="20"/>
                <w:lang w:eastAsia="en-AU"/>
              </w:rPr>
              <w:t>roviders</w:t>
            </w:r>
          </w:p>
        </w:tc>
        <w:tc>
          <w:tcPr>
            <w:tcW w:w="689" w:type="pct"/>
            <w:shd w:val="clear" w:color="auto" w:fill="5B9BD5"/>
            <w:vAlign w:val="center"/>
            <w:hideMark/>
          </w:tcPr>
          <w:p w14:paraId="6E751F1B" w14:textId="77777777" w:rsidR="00EF1290" w:rsidRDefault="00EF1290" w:rsidP="00E735C3">
            <w:pPr>
              <w:jc w:val="center"/>
              <w:rPr>
                <w:rFonts w:ascii="Calibri" w:eastAsia="Times New Roman" w:hAnsi="Calibri" w:cs="Calibri"/>
                <w:b/>
                <w:bCs/>
                <w:color w:val="FFFFFF" w:themeColor="background1"/>
                <w:sz w:val="20"/>
                <w:szCs w:val="20"/>
                <w:lang w:eastAsia="en-AU"/>
              </w:rPr>
            </w:pPr>
            <w:r>
              <w:rPr>
                <w:rFonts w:ascii="Calibri" w:eastAsia="Times New Roman" w:hAnsi="Calibri" w:cs="Calibri"/>
                <w:b/>
                <w:bCs/>
                <w:color w:val="FFFFFF" w:themeColor="background1"/>
                <w:sz w:val="20"/>
                <w:szCs w:val="20"/>
                <w:lang w:eastAsia="en-AU"/>
              </w:rPr>
              <w:t>Average Monthly Revenue</w:t>
            </w:r>
          </w:p>
          <w:p w14:paraId="1E374905" w14:textId="77777777" w:rsidR="00EF1290" w:rsidRPr="001F0F05" w:rsidRDefault="00EF1290" w:rsidP="00E735C3">
            <w:pPr>
              <w:jc w:val="center"/>
              <w:rPr>
                <w:rFonts w:ascii="Calibri" w:eastAsia="Times New Roman" w:hAnsi="Calibri" w:cs="Calibri"/>
                <w:b/>
                <w:bCs/>
                <w:color w:val="FFFFFF" w:themeColor="background1"/>
                <w:sz w:val="20"/>
                <w:szCs w:val="20"/>
                <w:lang w:eastAsia="en-AU"/>
              </w:rPr>
            </w:pPr>
            <w:r>
              <w:rPr>
                <w:rFonts w:ascii="Calibri" w:eastAsia="Times New Roman" w:hAnsi="Calibri" w:cs="Calibri"/>
                <w:b/>
                <w:bCs/>
                <w:color w:val="FFFFFF" w:themeColor="background1"/>
                <w:sz w:val="20"/>
                <w:szCs w:val="20"/>
                <w:lang w:eastAsia="en-AU"/>
              </w:rPr>
              <w:t>$</w:t>
            </w:r>
          </w:p>
        </w:tc>
        <w:tc>
          <w:tcPr>
            <w:tcW w:w="687" w:type="pct"/>
            <w:shd w:val="clear" w:color="auto" w:fill="5B9BD5"/>
            <w:vAlign w:val="center"/>
            <w:hideMark/>
          </w:tcPr>
          <w:p w14:paraId="49F9022F" w14:textId="77777777" w:rsidR="00EF1290" w:rsidRDefault="00EF1290" w:rsidP="00E735C3">
            <w:pPr>
              <w:jc w:val="center"/>
              <w:rPr>
                <w:rFonts w:ascii="Calibri" w:hAnsi="Calibri" w:cs="Calibri"/>
                <w:b/>
                <w:bCs/>
                <w:color w:val="FFFFFF" w:themeColor="background1"/>
                <w:sz w:val="20"/>
                <w:szCs w:val="20"/>
              </w:rPr>
            </w:pPr>
            <w:r>
              <w:rPr>
                <w:rFonts w:ascii="Calibri" w:hAnsi="Calibri" w:cs="Calibri"/>
                <w:b/>
                <w:bCs/>
                <w:color w:val="FFFFFF" w:themeColor="background1"/>
                <w:sz w:val="20"/>
                <w:szCs w:val="20"/>
              </w:rPr>
              <w:t>Average Monthly Margin</w:t>
            </w:r>
          </w:p>
          <w:p w14:paraId="70D595D8" w14:textId="77777777" w:rsidR="00EF1290" w:rsidRPr="001F0F05" w:rsidRDefault="00EF1290" w:rsidP="00E735C3">
            <w:pPr>
              <w:jc w:val="center"/>
              <w:rPr>
                <w:rFonts w:ascii="Calibri" w:eastAsia="Times New Roman" w:hAnsi="Calibri" w:cs="Calibri"/>
                <w:b/>
                <w:bCs/>
                <w:color w:val="FFFFFF" w:themeColor="background1"/>
                <w:sz w:val="20"/>
                <w:szCs w:val="20"/>
                <w:lang w:eastAsia="en-AU"/>
              </w:rPr>
            </w:pPr>
            <w:r>
              <w:rPr>
                <w:rFonts w:ascii="Calibri" w:eastAsia="Times New Roman" w:hAnsi="Calibri" w:cs="Calibri"/>
                <w:b/>
                <w:bCs/>
                <w:color w:val="FFFFFF" w:themeColor="background1"/>
                <w:sz w:val="20"/>
                <w:szCs w:val="20"/>
                <w:lang w:eastAsia="en-AU"/>
              </w:rPr>
              <w:t>$</w:t>
            </w:r>
          </w:p>
        </w:tc>
        <w:tc>
          <w:tcPr>
            <w:tcW w:w="687" w:type="pct"/>
            <w:shd w:val="clear" w:color="auto" w:fill="5B9BD5"/>
            <w:vAlign w:val="center"/>
          </w:tcPr>
          <w:p w14:paraId="4CE27854" w14:textId="77777777" w:rsidR="00EF1290" w:rsidRDefault="00EF1290" w:rsidP="00E735C3">
            <w:pPr>
              <w:jc w:val="center"/>
              <w:rPr>
                <w:rFonts w:ascii="Calibri" w:hAnsi="Calibri" w:cs="Calibri"/>
                <w:b/>
                <w:bCs/>
                <w:color w:val="FFFFFF" w:themeColor="background1"/>
                <w:sz w:val="20"/>
                <w:szCs w:val="20"/>
              </w:rPr>
            </w:pPr>
            <w:r>
              <w:rPr>
                <w:rFonts w:ascii="Calibri" w:hAnsi="Calibri" w:cs="Calibri"/>
                <w:b/>
                <w:bCs/>
                <w:color w:val="FFFFFF" w:themeColor="background1"/>
                <w:sz w:val="20"/>
                <w:szCs w:val="20"/>
              </w:rPr>
              <w:t>Average monthly cost to fund operations</w:t>
            </w:r>
          </w:p>
          <w:p w14:paraId="272F07E8" w14:textId="77777777" w:rsidR="00EF1290" w:rsidRPr="001F0F05" w:rsidRDefault="00EF1290" w:rsidP="00E735C3">
            <w:pPr>
              <w:jc w:val="center"/>
              <w:rPr>
                <w:rFonts w:ascii="Calibri" w:hAnsi="Calibri" w:cs="Calibri"/>
                <w:b/>
                <w:bCs/>
                <w:color w:val="FFFFFF" w:themeColor="background1"/>
                <w:sz w:val="20"/>
                <w:szCs w:val="20"/>
              </w:rPr>
            </w:pPr>
            <w:r>
              <w:rPr>
                <w:rFonts w:ascii="Calibri" w:hAnsi="Calibri" w:cs="Calibri"/>
                <w:b/>
                <w:bCs/>
                <w:color w:val="FFFFFF" w:themeColor="background1"/>
                <w:sz w:val="20"/>
                <w:szCs w:val="20"/>
              </w:rPr>
              <w:t>$</w:t>
            </w:r>
          </w:p>
        </w:tc>
        <w:tc>
          <w:tcPr>
            <w:tcW w:w="687" w:type="pct"/>
            <w:shd w:val="clear" w:color="auto" w:fill="5B9BD5"/>
            <w:vAlign w:val="center"/>
          </w:tcPr>
          <w:p w14:paraId="524F1D81" w14:textId="6B5ECD64" w:rsidR="00EF1290" w:rsidRPr="001F0F05" w:rsidRDefault="00EF1290" w:rsidP="00E735C3">
            <w:pPr>
              <w:jc w:val="center"/>
              <w:rPr>
                <w:rFonts w:ascii="Calibri" w:hAnsi="Calibri" w:cs="Calibri"/>
                <w:b/>
                <w:bCs/>
                <w:color w:val="FFFFFF" w:themeColor="background1"/>
                <w:sz w:val="20"/>
                <w:szCs w:val="20"/>
              </w:rPr>
            </w:pPr>
            <w:r w:rsidRPr="001F0F05">
              <w:rPr>
                <w:rFonts w:ascii="Calibri" w:hAnsi="Calibri" w:cs="Calibri"/>
                <w:b/>
                <w:bCs/>
                <w:color w:val="FFFFFF" w:themeColor="background1"/>
                <w:sz w:val="20"/>
                <w:szCs w:val="20"/>
              </w:rPr>
              <w:t>HC</w:t>
            </w:r>
            <w:r w:rsidR="00E735C3">
              <w:rPr>
                <w:rFonts w:ascii="Calibri" w:hAnsi="Calibri" w:cs="Calibri"/>
                <w:b/>
                <w:bCs/>
                <w:color w:val="FFFFFF" w:themeColor="background1"/>
                <w:sz w:val="20"/>
                <w:szCs w:val="20"/>
              </w:rPr>
              <w:t>P</w:t>
            </w:r>
            <w:r w:rsidRPr="001F0F05">
              <w:rPr>
                <w:rFonts w:ascii="Calibri" w:hAnsi="Calibri" w:cs="Calibri"/>
                <w:b/>
                <w:bCs/>
                <w:color w:val="FFFFFF" w:themeColor="background1"/>
                <w:sz w:val="20"/>
                <w:szCs w:val="20"/>
              </w:rPr>
              <w:t xml:space="preserve"> Segment Liquid Assets</w:t>
            </w:r>
          </w:p>
        </w:tc>
        <w:tc>
          <w:tcPr>
            <w:tcW w:w="678" w:type="pct"/>
            <w:shd w:val="clear" w:color="auto" w:fill="5B9BD5"/>
            <w:vAlign w:val="center"/>
            <w:hideMark/>
          </w:tcPr>
          <w:p w14:paraId="402BCFFB" w14:textId="7304E00A" w:rsidR="00EF1290" w:rsidRPr="001F0F05" w:rsidRDefault="00EF1290" w:rsidP="00E735C3">
            <w:pPr>
              <w:jc w:val="center"/>
              <w:rPr>
                <w:rFonts w:ascii="Calibri" w:eastAsia="Times New Roman" w:hAnsi="Calibri" w:cs="Calibri"/>
                <w:b/>
                <w:bCs/>
                <w:color w:val="FFFFFF" w:themeColor="background1"/>
                <w:sz w:val="20"/>
                <w:szCs w:val="20"/>
                <w:lang w:eastAsia="en-AU"/>
              </w:rPr>
            </w:pPr>
            <w:r w:rsidRPr="001F0F05">
              <w:rPr>
                <w:rFonts w:ascii="Calibri" w:hAnsi="Calibri" w:cs="Calibri"/>
                <w:b/>
                <w:bCs/>
                <w:color w:val="FFFFFF" w:themeColor="background1"/>
                <w:sz w:val="20"/>
                <w:szCs w:val="20"/>
              </w:rPr>
              <w:t>Segment  Liquid Assets</w:t>
            </w:r>
            <w:r w:rsidR="00E735C3">
              <w:rPr>
                <w:rFonts w:ascii="Calibri" w:hAnsi="Calibri" w:cs="Calibri"/>
                <w:b/>
                <w:bCs/>
                <w:color w:val="FFFFFF" w:themeColor="background1"/>
                <w:sz w:val="20"/>
                <w:szCs w:val="20"/>
              </w:rPr>
              <w:t xml:space="preserve"> </w:t>
            </w:r>
            <w:r w:rsidRPr="001F0F05">
              <w:rPr>
                <w:rFonts w:ascii="Calibri" w:hAnsi="Calibri" w:cs="Calibri"/>
                <w:b/>
                <w:bCs/>
                <w:color w:val="FFFFFF" w:themeColor="background1"/>
                <w:sz w:val="20"/>
                <w:szCs w:val="20"/>
              </w:rPr>
              <w:t xml:space="preserve">/ </w:t>
            </w:r>
            <w:r>
              <w:rPr>
                <w:rFonts w:ascii="Calibri" w:hAnsi="Calibri" w:cs="Calibri"/>
                <w:b/>
                <w:bCs/>
                <w:color w:val="FFFFFF" w:themeColor="background1"/>
                <w:sz w:val="20"/>
                <w:szCs w:val="20"/>
              </w:rPr>
              <w:t>1</w:t>
            </w:r>
            <w:r w:rsidRPr="001F0F05">
              <w:rPr>
                <w:rFonts w:ascii="Calibri" w:hAnsi="Calibri" w:cs="Calibri"/>
                <w:b/>
                <w:bCs/>
                <w:color w:val="FFFFFF" w:themeColor="background1"/>
                <w:sz w:val="20"/>
                <w:szCs w:val="20"/>
              </w:rPr>
              <w:t xml:space="preserve"> month</w:t>
            </w:r>
            <w:r>
              <w:rPr>
                <w:rFonts w:ascii="Calibri" w:hAnsi="Calibri" w:cs="Calibri"/>
                <w:b/>
                <w:bCs/>
                <w:color w:val="FFFFFF" w:themeColor="background1"/>
                <w:sz w:val="20"/>
                <w:szCs w:val="20"/>
              </w:rPr>
              <w:t>’s</w:t>
            </w:r>
            <w:r w:rsidRPr="001F0F05">
              <w:rPr>
                <w:rFonts w:ascii="Calibri" w:hAnsi="Calibri" w:cs="Calibri"/>
                <w:b/>
                <w:bCs/>
                <w:color w:val="FFFFFF" w:themeColor="background1"/>
                <w:sz w:val="20"/>
                <w:szCs w:val="20"/>
              </w:rPr>
              <w:t xml:space="preserve"> </w:t>
            </w:r>
            <w:r>
              <w:rPr>
                <w:rFonts w:ascii="Calibri" w:hAnsi="Calibri" w:cs="Calibri"/>
                <w:b/>
                <w:bCs/>
                <w:color w:val="FFFFFF" w:themeColor="background1"/>
                <w:sz w:val="20"/>
                <w:szCs w:val="20"/>
              </w:rPr>
              <w:t>Operational cost</w:t>
            </w:r>
          </w:p>
        </w:tc>
      </w:tr>
      <w:tr w:rsidR="00EF1290" w:rsidRPr="00C33204" w14:paraId="243C586F" w14:textId="77777777" w:rsidTr="000063F0">
        <w:trPr>
          <w:trHeight w:val="375"/>
        </w:trPr>
        <w:tc>
          <w:tcPr>
            <w:tcW w:w="882" w:type="pct"/>
            <w:vAlign w:val="center"/>
          </w:tcPr>
          <w:p w14:paraId="7414E102" w14:textId="1D767050" w:rsidR="00EF1290" w:rsidRPr="00BE6EFA" w:rsidRDefault="00EF1290" w:rsidP="000063F0">
            <w:pPr>
              <w:jc w:val="left"/>
              <w:rPr>
                <w:rFonts w:ascii="Calibri" w:eastAsia="Times New Roman" w:hAnsi="Calibri" w:cs="Calibri"/>
                <w:color w:val="000000"/>
                <w:sz w:val="20"/>
                <w:szCs w:val="20"/>
                <w:lang w:eastAsia="en-AU"/>
              </w:rPr>
            </w:pPr>
            <w:r w:rsidRPr="00BE6EFA">
              <w:rPr>
                <w:sz w:val="20"/>
                <w:szCs w:val="20"/>
              </w:rPr>
              <w:t>C</w:t>
            </w:r>
            <w:r w:rsidR="000063F0">
              <w:rPr>
                <w:sz w:val="20"/>
                <w:szCs w:val="20"/>
              </w:rPr>
              <w:t>ity</w:t>
            </w:r>
          </w:p>
        </w:tc>
        <w:tc>
          <w:tcPr>
            <w:tcW w:w="689" w:type="pct"/>
            <w:vAlign w:val="center"/>
          </w:tcPr>
          <w:p w14:paraId="6008EEE1" w14:textId="0EDD8B90" w:rsidR="00EF1290" w:rsidRPr="00BE6EFA" w:rsidRDefault="00EF1290" w:rsidP="00EF1290">
            <w:pPr>
              <w:jc w:val="center"/>
              <w:rPr>
                <w:rFonts w:ascii="Calibri" w:hAnsi="Calibri" w:cs="Calibri"/>
                <w:color w:val="000000"/>
                <w:sz w:val="20"/>
                <w:szCs w:val="20"/>
              </w:rPr>
            </w:pPr>
            <w:r w:rsidRPr="00BE6EFA">
              <w:rPr>
                <w:sz w:val="20"/>
                <w:szCs w:val="20"/>
              </w:rPr>
              <w:t xml:space="preserve">349 </w:t>
            </w:r>
          </w:p>
        </w:tc>
        <w:tc>
          <w:tcPr>
            <w:tcW w:w="689" w:type="pct"/>
            <w:noWrap/>
            <w:vAlign w:val="center"/>
          </w:tcPr>
          <w:p w14:paraId="51C10FF8" w14:textId="049CA4B4" w:rsidR="00EF1290" w:rsidRPr="009D7F80" w:rsidRDefault="00EF1290" w:rsidP="00EF1290">
            <w:pPr>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247,578</w:t>
            </w:r>
          </w:p>
        </w:tc>
        <w:tc>
          <w:tcPr>
            <w:tcW w:w="687" w:type="pct"/>
            <w:noWrap/>
            <w:vAlign w:val="center"/>
          </w:tcPr>
          <w:p w14:paraId="768E7BF3" w14:textId="183DF2AE" w:rsidR="00EF1290" w:rsidRPr="009D7F80" w:rsidRDefault="00EF1290" w:rsidP="00EF1290">
            <w:pPr>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9,160</w:t>
            </w:r>
          </w:p>
        </w:tc>
        <w:tc>
          <w:tcPr>
            <w:tcW w:w="687" w:type="pct"/>
            <w:vAlign w:val="center"/>
          </w:tcPr>
          <w:p w14:paraId="533617D5" w14:textId="5E67C9BE" w:rsidR="00EF1290" w:rsidRPr="009D7F80" w:rsidRDefault="00EF1290" w:rsidP="00EF1290">
            <w:pPr>
              <w:jc w:val="center"/>
              <w:rPr>
                <w:rFonts w:ascii="Calibri" w:hAnsi="Calibri" w:cs="Calibri"/>
                <w:color w:val="000000"/>
                <w:sz w:val="20"/>
                <w:szCs w:val="20"/>
              </w:rPr>
            </w:pPr>
            <w:r>
              <w:rPr>
                <w:rFonts w:ascii="Calibri" w:hAnsi="Calibri" w:cs="Calibri"/>
                <w:color w:val="000000"/>
                <w:sz w:val="20"/>
                <w:szCs w:val="20"/>
              </w:rPr>
              <w:t>238,419</w:t>
            </w:r>
          </w:p>
        </w:tc>
        <w:tc>
          <w:tcPr>
            <w:tcW w:w="687" w:type="pct"/>
            <w:vAlign w:val="center"/>
          </w:tcPr>
          <w:p w14:paraId="5D3D1846" w14:textId="398CE02B" w:rsidR="00EF1290" w:rsidRPr="009D7F80" w:rsidRDefault="00EF1290" w:rsidP="00EF1290">
            <w:pPr>
              <w:jc w:val="center"/>
              <w:rPr>
                <w:rFonts w:ascii="Calibri" w:hAnsi="Calibri" w:cs="Calibri"/>
                <w:color w:val="000000"/>
                <w:sz w:val="20"/>
                <w:szCs w:val="20"/>
              </w:rPr>
            </w:pPr>
            <w:r>
              <w:rPr>
                <w:rFonts w:ascii="Calibri" w:hAnsi="Calibri" w:cs="Calibri"/>
                <w:color w:val="000000"/>
                <w:sz w:val="20"/>
                <w:szCs w:val="20"/>
              </w:rPr>
              <w:t>2,173,244</w:t>
            </w:r>
          </w:p>
        </w:tc>
        <w:tc>
          <w:tcPr>
            <w:tcW w:w="678" w:type="pct"/>
            <w:noWrap/>
            <w:vAlign w:val="center"/>
          </w:tcPr>
          <w:p w14:paraId="0BD923BA" w14:textId="3A5838F0" w:rsidR="00EF1290" w:rsidRPr="00E735C3" w:rsidRDefault="00542405" w:rsidP="00EF1290">
            <w:pPr>
              <w:jc w:val="center"/>
              <w:rPr>
                <w:rFonts w:ascii="Calibri" w:eastAsia="Times New Roman" w:hAnsi="Calibri" w:cs="Calibri"/>
                <w:i/>
                <w:color w:val="000000"/>
                <w:sz w:val="20"/>
                <w:szCs w:val="20"/>
                <w:lang w:eastAsia="en-AU"/>
              </w:rPr>
            </w:pPr>
            <w:r w:rsidRPr="00E735C3">
              <w:rPr>
                <w:rFonts w:ascii="Calibri" w:eastAsia="Times New Roman" w:hAnsi="Calibri" w:cs="Calibri"/>
                <w:i/>
                <w:color w:val="000000"/>
                <w:sz w:val="20"/>
                <w:szCs w:val="20"/>
                <w:lang w:eastAsia="en-AU"/>
              </w:rPr>
              <w:t>9.12</w:t>
            </w:r>
          </w:p>
        </w:tc>
      </w:tr>
      <w:tr w:rsidR="00EF1290" w:rsidRPr="00C33204" w14:paraId="0E47CF28" w14:textId="77777777" w:rsidTr="000063F0">
        <w:trPr>
          <w:trHeight w:val="375"/>
        </w:trPr>
        <w:tc>
          <w:tcPr>
            <w:tcW w:w="882" w:type="pct"/>
            <w:shd w:val="clear" w:color="auto" w:fill="DEEAF6"/>
            <w:vAlign w:val="center"/>
          </w:tcPr>
          <w:p w14:paraId="3A196734" w14:textId="767C667D" w:rsidR="00EF1290" w:rsidRPr="00BE6EFA" w:rsidRDefault="00EF1290" w:rsidP="000063F0">
            <w:pPr>
              <w:jc w:val="left"/>
              <w:rPr>
                <w:rFonts w:ascii="Calibri" w:eastAsia="Times New Roman" w:hAnsi="Calibri" w:cs="Calibri"/>
                <w:color w:val="000000"/>
                <w:sz w:val="20"/>
                <w:szCs w:val="20"/>
                <w:lang w:eastAsia="en-AU"/>
              </w:rPr>
            </w:pPr>
            <w:r w:rsidRPr="00BE6EFA">
              <w:rPr>
                <w:sz w:val="20"/>
                <w:szCs w:val="20"/>
              </w:rPr>
              <w:t>Regional</w:t>
            </w:r>
          </w:p>
        </w:tc>
        <w:tc>
          <w:tcPr>
            <w:tcW w:w="689" w:type="pct"/>
            <w:shd w:val="clear" w:color="auto" w:fill="DEEAF6"/>
            <w:vAlign w:val="center"/>
          </w:tcPr>
          <w:p w14:paraId="7B98F74D" w14:textId="0123DDBE" w:rsidR="00EF1290" w:rsidRPr="00BE6EFA" w:rsidRDefault="00EF1290" w:rsidP="00EF1290">
            <w:pPr>
              <w:jc w:val="center"/>
              <w:rPr>
                <w:rFonts w:ascii="Calibri" w:hAnsi="Calibri" w:cs="Calibri"/>
                <w:color w:val="000000"/>
                <w:sz w:val="20"/>
                <w:szCs w:val="20"/>
              </w:rPr>
            </w:pPr>
            <w:r w:rsidRPr="00BE6EFA">
              <w:rPr>
                <w:sz w:val="20"/>
                <w:szCs w:val="20"/>
              </w:rPr>
              <w:t xml:space="preserve">168 </w:t>
            </w:r>
          </w:p>
        </w:tc>
        <w:tc>
          <w:tcPr>
            <w:tcW w:w="689" w:type="pct"/>
            <w:shd w:val="clear" w:color="auto" w:fill="DEEAF6"/>
            <w:noWrap/>
            <w:vAlign w:val="center"/>
          </w:tcPr>
          <w:p w14:paraId="365434C4" w14:textId="6CBDFFF3" w:rsidR="00EF1290" w:rsidRPr="009D7F80" w:rsidRDefault="00542405" w:rsidP="00EF1290">
            <w:pPr>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155,261</w:t>
            </w:r>
          </w:p>
        </w:tc>
        <w:tc>
          <w:tcPr>
            <w:tcW w:w="687" w:type="pct"/>
            <w:shd w:val="clear" w:color="auto" w:fill="DEEAF6"/>
            <w:noWrap/>
            <w:vAlign w:val="center"/>
          </w:tcPr>
          <w:p w14:paraId="57791D57" w14:textId="4E4849F0" w:rsidR="00EF1290" w:rsidRPr="009D7F80" w:rsidRDefault="00542405" w:rsidP="00EF1290">
            <w:pPr>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1,322</w:t>
            </w:r>
          </w:p>
        </w:tc>
        <w:tc>
          <w:tcPr>
            <w:tcW w:w="687" w:type="pct"/>
            <w:shd w:val="clear" w:color="auto" w:fill="DEEAF6"/>
            <w:vAlign w:val="center"/>
          </w:tcPr>
          <w:p w14:paraId="5C678026" w14:textId="0C8435CB" w:rsidR="00EF1290" w:rsidRPr="009D7F80" w:rsidRDefault="00542405" w:rsidP="00EF1290">
            <w:pPr>
              <w:jc w:val="center"/>
              <w:rPr>
                <w:rFonts w:ascii="Calibri" w:hAnsi="Calibri" w:cs="Calibri"/>
                <w:color w:val="000000"/>
                <w:sz w:val="20"/>
                <w:szCs w:val="20"/>
              </w:rPr>
            </w:pPr>
            <w:r>
              <w:rPr>
                <w:rFonts w:ascii="Calibri" w:hAnsi="Calibri" w:cs="Calibri"/>
                <w:color w:val="000000"/>
                <w:sz w:val="20"/>
                <w:szCs w:val="20"/>
              </w:rPr>
              <w:t>153,939</w:t>
            </w:r>
          </w:p>
        </w:tc>
        <w:tc>
          <w:tcPr>
            <w:tcW w:w="687" w:type="pct"/>
            <w:shd w:val="clear" w:color="auto" w:fill="DEEAF6"/>
            <w:vAlign w:val="center"/>
          </w:tcPr>
          <w:p w14:paraId="09AC2114" w14:textId="76A4F559" w:rsidR="00EF1290" w:rsidRPr="009D7F80" w:rsidRDefault="00542405" w:rsidP="00EF1290">
            <w:pPr>
              <w:jc w:val="center"/>
              <w:rPr>
                <w:rFonts w:ascii="Calibri" w:hAnsi="Calibri" w:cs="Calibri"/>
                <w:color w:val="000000"/>
                <w:sz w:val="20"/>
                <w:szCs w:val="20"/>
              </w:rPr>
            </w:pPr>
            <w:r>
              <w:rPr>
                <w:rFonts w:ascii="Calibri" w:hAnsi="Calibri" w:cs="Calibri"/>
                <w:color w:val="000000"/>
                <w:sz w:val="20"/>
                <w:szCs w:val="20"/>
              </w:rPr>
              <w:t>1,614,329</w:t>
            </w:r>
          </w:p>
        </w:tc>
        <w:tc>
          <w:tcPr>
            <w:tcW w:w="678" w:type="pct"/>
            <w:shd w:val="clear" w:color="auto" w:fill="DEEAF6"/>
            <w:noWrap/>
            <w:vAlign w:val="center"/>
          </w:tcPr>
          <w:p w14:paraId="2B7DA5A1" w14:textId="70C647F3" w:rsidR="00EF1290" w:rsidRPr="00E735C3" w:rsidRDefault="00542405" w:rsidP="00EF1290">
            <w:pPr>
              <w:jc w:val="center"/>
              <w:rPr>
                <w:rFonts w:ascii="Calibri" w:eastAsia="Times New Roman" w:hAnsi="Calibri" w:cs="Calibri"/>
                <w:i/>
                <w:color w:val="000000"/>
                <w:sz w:val="20"/>
                <w:szCs w:val="20"/>
                <w:lang w:eastAsia="en-AU"/>
              </w:rPr>
            </w:pPr>
            <w:r w:rsidRPr="00E735C3">
              <w:rPr>
                <w:rFonts w:ascii="Calibri" w:eastAsia="Times New Roman" w:hAnsi="Calibri" w:cs="Calibri"/>
                <w:i/>
                <w:color w:val="000000"/>
                <w:sz w:val="20"/>
                <w:szCs w:val="20"/>
                <w:lang w:eastAsia="en-AU"/>
              </w:rPr>
              <w:t>10.49</w:t>
            </w:r>
          </w:p>
        </w:tc>
      </w:tr>
      <w:tr w:rsidR="00EF1290" w:rsidRPr="00C33204" w14:paraId="0243CD38" w14:textId="77777777" w:rsidTr="000063F0">
        <w:trPr>
          <w:trHeight w:val="375"/>
        </w:trPr>
        <w:tc>
          <w:tcPr>
            <w:tcW w:w="882" w:type="pct"/>
            <w:vAlign w:val="center"/>
          </w:tcPr>
          <w:p w14:paraId="73E2F7D0" w14:textId="1246138D" w:rsidR="00EF1290" w:rsidRPr="00BE6EFA" w:rsidRDefault="00EF1290" w:rsidP="000063F0">
            <w:pPr>
              <w:jc w:val="left"/>
              <w:rPr>
                <w:rFonts w:ascii="Calibri" w:eastAsia="Times New Roman" w:hAnsi="Calibri" w:cs="Calibri"/>
                <w:color w:val="000000"/>
                <w:sz w:val="20"/>
                <w:szCs w:val="20"/>
                <w:lang w:eastAsia="en-AU"/>
              </w:rPr>
            </w:pPr>
            <w:r w:rsidRPr="00BE6EFA">
              <w:rPr>
                <w:sz w:val="20"/>
                <w:szCs w:val="20"/>
              </w:rPr>
              <w:t>C</w:t>
            </w:r>
            <w:r w:rsidR="000063F0">
              <w:rPr>
                <w:sz w:val="20"/>
                <w:szCs w:val="20"/>
              </w:rPr>
              <w:t>ity</w:t>
            </w:r>
            <w:r w:rsidRPr="00BE6EFA">
              <w:rPr>
                <w:sz w:val="20"/>
                <w:szCs w:val="20"/>
              </w:rPr>
              <w:t xml:space="preserve"> &amp; R</w:t>
            </w:r>
            <w:r w:rsidR="000063F0">
              <w:rPr>
                <w:sz w:val="20"/>
                <w:szCs w:val="20"/>
              </w:rPr>
              <w:t>egional</w:t>
            </w:r>
          </w:p>
        </w:tc>
        <w:tc>
          <w:tcPr>
            <w:tcW w:w="689" w:type="pct"/>
            <w:vAlign w:val="center"/>
          </w:tcPr>
          <w:p w14:paraId="6549CEF0" w14:textId="59D72B30" w:rsidR="00EF1290" w:rsidRPr="00BE6EFA" w:rsidRDefault="00EF1290" w:rsidP="00EF1290">
            <w:pPr>
              <w:jc w:val="center"/>
              <w:rPr>
                <w:rFonts w:ascii="Calibri" w:hAnsi="Calibri" w:cs="Calibri"/>
                <w:color w:val="000000"/>
                <w:sz w:val="20"/>
                <w:szCs w:val="20"/>
              </w:rPr>
            </w:pPr>
            <w:r w:rsidRPr="00BE6EFA">
              <w:rPr>
                <w:sz w:val="20"/>
                <w:szCs w:val="20"/>
              </w:rPr>
              <w:t xml:space="preserve"> 18 </w:t>
            </w:r>
          </w:p>
        </w:tc>
        <w:tc>
          <w:tcPr>
            <w:tcW w:w="689" w:type="pct"/>
            <w:noWrap/>
            <w:vAlign w:val="center"/>
          </w:tcPr>
          <w:p w14:paraId="5B94A813" w14:textId="095B9717" w:rsidR="00EF1290" w:rsidRPr="009D7F80" w:rsidRDefault="00542405" w:rsidP="00EF1290">
            <w:pPr>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1,620,920</w:t>
            </w:r>
          </w:p>
        </w:tc>
        <w:tc>
          <w:tcPr>
            <w:tcW w:w="687" w:type="pct"/>
            <w:noWrap/>
            <w:vAlign w:val="center"/>
          </w:tcPr>
          <w:p w14:paraId="7100C767" w14:textId="1DF84778" w:rsidR="00EF1290" w:rsidRPr="009D7F80" w:rsidRDefault="00542405" w:rsidP="00EF1290">
            <w:pPr>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86,102</w:t>
            </w:r>
          </w:p>
        </w:tc>
        <w:tc>
          <w:tcPr>
            <w:tcW w:w="687" w:type="pct"/>
            <w:vAlign w:val="center"/>
          </w:tcPr>
          <w:p w14:paraId="45EEA6D7" w14:textId="06FCB1DF" w:rsidR="00EF1290" w:rsidRPr="009D7F80" w:rsidRDefault="00542405" w:rsidP="00EF1290">
            <w:pPr>
              <w:jc w:val="center"/>
              <w:rPr>
                <w:rFonts w:ascii="Calibri" w:hAnsi="Calibri" w:cs="Calibri"/>
                <w:color w:val="000000"/>
                <w:sz w:val="20"/>
                <w:szCs w:val="20"/>
              </w:rPr>
            </w:pPr>
            <w:r>
              <w:rPr>
                <w:rFonts w:ascii="Calibri" w:hAnsi="Calibri" w:cs="Calibri"/>
                <w:color w:val="000000"/>
                <w:sz w:val="20"/>
                <w:szCs w:val="20"/>
              </w:rPr>
              <w:t>1,534,818</w:t>
            </w:r>
          </w:p>
        </w:tc>
        <w:tc>
          <w:tcPr>
            <w:tcW w:w="687" w:type="pct"/>
            <w:vAlign w:val="center"/>
          </w:tcPr>
          <w:p w14:paraId="6F8359A6" w14:textId="501761F8" w:rsidR="00EF1290" w:rsidRPr="009D7F80" w:rsidRDefault="00542405" w:rsidP="00EF1290">
            <w:pPr>
              <w:jc w:val="center"/>
              <w:rPr>
                <w:rFonts w:ascii="Calibri" w:hAnsi="Calibri" w:cs="Calibri"/>
                <w:color w:val="000000"/>
                <w:sz w:val="20"/>
                <w:szCs w:val="20"/>
              </w:rPr>
            </w:pPr>
            <w:r>
              <w:rPr>
                <w:rFonts w:ascii="Calibri" w:eastAsia="Times New Roman" w:hAnsi="Calibri" w:cs="Calibri"/>
                <w:color w:val="000000"/>
                <w:sz w:val="20"/>
                <w:szCs w:val="20"/>
                <w:lang w:eastAsia="en-AU"/>
              </w:rPr>
              <w:t>19,431,242</w:t>
            </w:r>
          </w:p>
        </w:tc>
        <w:tc>
          <w:tcPr>
            <w:tcW w:w="678" w:type="pct"/>
            <w:noWrap/>
            <w:vAlign w:val="center"/>
          </w:tcPr>
          <w:p w14:paraId="1D132374" w14:textId="3D83C799" w:rsidR="00EF1290" w:rsidRPr="00E735C3" w:rsidRDefault="00542405" w:rsidP="00EF1290">
            <w:pPr>
              <w:jc w:val="center"/>
              <w:rPr>
                <w:rFonts w:ascii="Calibri" w:eastAsia="Times New Roman" w:hAnsi="Calibri" w:cs="Calibri"/>
                <w:i/>
                <w:color w:val="000000"/>
                <w:sz w:val="20"/>
                <w:szCs w:val="20"/>
                <w:lang w:eastAsia="en-AU"/>
              </w:rPr>
            </w:pPr>
            <w:r w:rsidRPr="00E735C3">
              <w:rPr>
                <w:rFonts w:ascii="Calibri" w:eastAsia="Times New Roman" w:hAnsi="Calibri" w:cs="Calibri"/>
                <w:i/>
                <w:color w:val="000000"/>
                <w:sz w:val="20"/>
                <w:szCs w:val="20"/>
                <w:lang w:eastAsia="en-AU"/>
              </w:rPr>
              <w:t>12.66</w:t>
            </w:r>
          </w:p>
        </w:tc>
      </w:tr>
      <w:tr w:rsidR="00EF1290" w:rsidRPr="00C33204" w14:paraId="283F0AD5" w14:textId="77777777" w:rsidTr="00EF1290">
        <w:trPr>
          <w:trHeight w:val="375"/>
        </w:trPr>
        <w:tc>
          <w:tcPr>
            <w:tcW w:w="882" w:type="pct"/>
            <w:shd w:val="clear" w:color="auto" w:fill="FFE599" w:themeFill="accent4" w:themeFillTint="66"/>
            <w:vAlign w:val="center"/>
          </w:tcPr>
          <w:p w14:paraId="7E249A08" w14:textId="533596DB" w:rsidR="00EF1290" w:rsidRPr="009D7F80" w:rsidRDefault="00E735C3" w:rsidP="00623B6F">
            <w:pPr>
              <w:jc w:val="left"/>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Total</w:t>
            </w:r>
          </w:p>
        </w:tc>
        <w:tc>
          <w:tcPr>
            <w:tcW w:w="689" w:type="pct"/>
            <w:shd w:val="clear" w:color="auto" w:fill="FFE599" w:themeFill="accent4" w:themeFillTint="66"/>
            <w:vAlign w:val="center"/>
          </w:tcPr>
          <w:p w14:paraId="5D362A0E" w14:textId="77777777" w:rsidR="00EF1290" w:rsidRDefault="00EF1290" w:rsidP="00623B6F">
            <w:pPr>
              <w:jc w:val="center"/>
              <w:rPr>
                <w:rFonts w:ascii="Calibri" w:hAnsi="Calibri" w:cs="Calibri"/>
                <w:b/>
                <w:bCs/>
                <w:color w:val="000000"/>
                <w:sz w:val="20"/>
                <w:szCs w:val="20"/>
              </w:rPr>
            </w:pPr>
            <w:r>
              <w:rPr>
                <w:rFonts w:ascii="Calibri" w:hAnsi="Calibri" w:cs="Calibri"/>
                <w:b/>
                <w:bCs/>
                <w:color w:val="000000"/>
                <w:sz w:val="20"/>
                <w:szCs w:val="20"/>
              </w:rPr>
              <w:t>535</w:t>
            </w:r>
          </w:p>
        </w:tc>
        <w:tc>
          <w:tcPr>
            <w:tcW w:w="689" w:type="pct"/>
            <w:shd w:val="clear" w:color="auto" w:fill="FFE599" w:themeFill="accent4" w:themeFillTint="66"/>
            <w:noWrap/>
            <w:vAlign w:val="center"/>
          </w:tcPr>
          <w:p w14:paraId="01F84351" w14:textId="1144DB76" w:rsidR="00EF1290" w:rsidRPr="009D7F80" w:rsidRDefault="00E735C3" w:rsidP="00623B6F">
            <w:pPr>
              <w:jc w:val="center"/>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 xml:space="preserve">$ </w:t>
            </w:r>
            <w:r w:rsidR="00542405">
              <w:rPr>
                <w:rFonts w:ascii="Calibri" w:eastAsia="Times New Roman" w:hAnsi="Calibri" w:cs="Calibri"/>
                <w:b/>
                <w:bCs/>
                <w:color w:val="000000"/>
                <w:sz w:val="20"/>
                <w:szCs w:val="20"/>
                <w:lang w:eastAsia="en-AU"/>
              </w:rPr>
              <w:t>264,795</w:t>
            </w:r>
          </w:p>
        </w:tc>
        <w:tc>
          <w:tcPr>
            <w:tcW w:w="687" w:type="pct"/>
            <w:shd w:val="clear" w:color="auto" w:fill="FFE599" w:themeFill="accent4" w:themeFillTint="66"/>
            <w:noWrap/>
            <w:vAlign w:val="center"/>
          </w:tcPr>
          <w:p w14:paraId="2C3B20F1" w14:textId="43FB1149" w:rsidR="00EF1290" w:rsidRPr="009D7F80" w:rsidRDefault="00E735C3" w:rsidP="00623B6F">
            <w:pPr>
              <w:jc w:val="center"/>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 xml:space="preserve">$ </w:t>
            </w:r>
            <w:r w:rsidR="00542405">
              <w:rPr>
                <w:rFonts w:ascii="Calibri" w:eastAsia="Times New Roman" w:hAnsi="Calibri" w:cs="Calibri"/>
                <w:b/>
                <w:bCs/>
                <w:color w:val="000000"/>
                <w:sz w:val="20"/>
                <w:szCs w:val="20"/>
                <w:lang w:eastAsia="en-AU"/>
              </w:rPr>
              <w:t>9,287</w:t>
            </w:r>
          </w:p>
        </w:tc>
        <w:tc>
          <w:tcPr>
            <w:tcW w:w="687" w:type="pct"/>
            <w:shd w:val="clear" w:color="auto" w:fill="FFE599" w:themeFill="accent4" w:themeFillTint="66"/>
            <w:vAlign w:val="center"/>
          </w:tcPr>
          <w:p w14:paraId="736B7EF6" w14:textId="6320D058" w:rsidR="00EF1290" w:rsidRPr="009D7F80" w:rsidRDefault="00E735C3" w:rsidP="00623B6F">
            <w:pPr>
              <w:jc w:val="center"/>
              <w:rPr>
                <w:rFonts w:ascii="Calibri" w:hAnsi="Calibri" w:cs="Calibri"/>
                <w:b/>
                <w:bCs/>
                <w:color w:val="000000"/>
                <w:sz w:val="20"/>
                <w:szCs w:val="20"/>
              </w:rPr>
            </w:pPr>
            <w:r>
              <w:rPr>
                <w:rFonts w:ascii="Calibri" w:hAnsi="Calibri" w:cs="Calibri"/>
                <w:b/>
                <w:bCs/>
                <w:color w:val="000000"/>
                <w:sz w:val="20"/>
                <w:szCs w:val="20"/>
              </w:rPr>
              <w:t xml:space="preserve">$ </w:t>
            </w:r>
            <w:r w:rsidR="00542405">
              <w:rPr>
                <w:rFonts w:ascii="Calibri" w:hAnsi="Calibri" w:cs="Calibri"/>
                <w:b/>
                <w:bCs/>
                <w:color w:val="000000"/>
                <w:sz w:val="20"/>
                <w:szCs w:val="20"/>
              </w:rPr>
              <w:t>255,508</w:t>
            </w:r>
          </w:p>
        </w:tc>
        <w:tc>
          <w:tcPr>
            <w:tcW w:w="687" w:type="pct"/>
            <w:shd w:val="clear" w:color="auto" w:fill="FFE599" w:themeFill="accent4" w:themeFillTint="66"/>
            <w:vAlign w:val="center"/>
          </w:tcPr>
          <w:p w14:paraId="7DF2AA29" w14:textId="13DC573D" w:rsidR="00EF1290" w:rsidRPr="009D7F80" w:rsidRDefault="00E735C3" w:rsidP="00623B6F">
            <w:pPr>
              <w:jc w:val="center"/>
              <w:rPr>
                <w:rFonts w:ascii="Calibri" w:hAnsi="Calibri" w:cs="Calibri"/>
                <w:b/>
                <w:bCs/>
                <w:color w:val="000000"/>
                <w:sz w:val="20"/>
                <w:szCs w:val="20"/>
              </w:rPr>
            </w:pPr>
            <w:r>
              <w:rPr>
                <w:rFonts w:ascii="Calibri" w:hAnsi="Calibri" w:cs="Calibri"/>
                <w:b/>
                <w:bCs/>
                <w:color w:val="000000"/>
                <w:sz w:val="20"/>
                <w:szCs w:val="20"/>
              </w:rPr>
              <w:t xml:space="preserve">$ </w:t>
            </w:r>
            <w:r w:rsidR="00542405">
              <w:rPr>
                <w:rFonts w:ascii="Calibri" w:hAnsi="Calibri" w:cs="Calibri"/>
                <w:b/>
                <w:bCs/>
                <w:color w:val="000000"/>
                <w:sz w:val="20"/>
                <w:szCs w:val="20"/>
              </w:rPr>
              <w:t>2,578,377</w:t>
            </w:r>
          </w:p>
        </w:tc>
        <w:tc>
          <w:tcPr>
            <w:tcW w:w="678" w:type="pct"/>
            <w:shd w:val="clear" w:color="auto" w:fill="FFE599" w:themeFill="accent4" w:themeFillTint="66"/>
            <w:noWrap/>
            <w:vAlign w:val="center"/>
          </w:tcPr>
          <w:p w14:paraId="6176DE67" w14:textId="1323A409" w:rsidR="00EF1290" w:rsidRPr="00E735C3" w:rsidRDefault="00542405" w:rsidP="00623B6F">
            <w:pPr>
              <w:jc w:val="center"/>
              <w:rPr>
                <w:rFonts w:ascii="Calibri" w:eastAsia="Times New Roman" w:hAnsi="Calibri" w:cs="Calibri"/>
                <w:b/>
                <w:bCs/>
                <w:i/>
                <w:color w:val="000000"/>
                <w:sz w:val="20"/>
                <w:szCs w:val="20"/>
                <w:lang w:eastAsia="en-AU"/>
              </w:rPr>
            </w:pPr>
            <w:r w:rsidRPr="00E735C3">
              <w:rPr>
                <w:rFonts w:ascii="Calibri" w:eastAsia="Times New Roman" w:hAnsi="Calibri" w:cs="Calibri"/>
                <w:b/>
                <w:bCs/>
                <w:i/>
                <w:color w:val="000000"/>
                <w:sz w:val="20"/>
                <w:szCs w:val="20"/>
                <w:lang w:eastAsia="en-AU"/>
              </w:rPr>
              <w:t>10.09</w:t>
            </w:r>
          </w:p>
        </w:tc>
      </w:tr>
    </w:tbl>
    <w:p w14:paraId="0962F317" w14:textId="18D16485" w:rsidR="00FA5F6C" w:rsidRDefault="00FA5F6C" w:rsidP="00FA5F6C"/>
    <w:p w14:paraId="340A077A" w14:textId="53A28295" w:rsidR="00542405" w:rsidRDefault="0085120B" w:rsidP="00FA5F6C">
      <w:r>
        <w:t xml:space="preserve">The majority of </w:t>
      </w:r>
      <w:r w:rsidR="0090615C">
        <w:t>AP</w:t>
      </w:r>
      <w:r>
        <w:t xml:space="preserve">s that have a liquid asset to operating cost ratio less than one are situated in the City regions. Four of the 18 </w:t>
      </w:r>
      <w:r w:rsidR="0090615C">
        <w:t>AP</w:t>
      </w:r>
      <w:r>
        <w:t xml:space="preserve">s that operate across the City and Regional areas have ratios less than 1. </w:t>
      </w:r>
      <w:r w:rsidR="007773C2">
        <w:t xml:space="preserve">Of these one is very small and the other three are large </w:t>
      </w:r>
      <w:r w:rsidR="0090615C">
        <w:t>AP</w:t>
      </w:r>
      <w:r w:rsidR="007773C2">
        <w:t xml:space="preserve">s. The three large </w:t>
      </w:r>
      <w:r w:rsidR="0090615C">
        <w:t>AP</w:t>
      </w:r>
      <w:r w:rsidR="007773C2">
        <w:t xml:space="preserve">s all operated residential care as well as home care and each of them have a liquid asset to operating cost ratio </w:t>
      </w:r>
      <w:r w:rsidR="00862384">
        <w:t>significantly greater than one when assessed using</w:t>
      </w:r>
      <w:r w:rsidR="007773C2">
        <w:t xml:space="preserve"> the</w:t>
      </w:r>
      <w:r w:rsidR="00862384">
        <w:t>ir overall liquid assets</w:t>
      </w:r>
      <w:r w:rsidR="007773C2">
        <w:t>.</w:t>
      </w:r>
      <w:r>
        <w:t xml:space="preserve"> </w:t>
      </w:r>
    </w:p>
    <w:p w14:paraId="4710907E" w14:textId="5A32921D" w:rsidR="00542405" w:rsidRDefault="00542405" w:rsidP="00542405">
      <w:pPr>
        <w:pStyle w:val="Caption"/>
        <w:keepNext/>
      </w:pPr>
      <w:r>
        <w:t xml:space="preserve">Table </w:t>
      </w:r>
      <w:fldSimple w:instr=" SEQ Table \* ARABIC ">
        <w:r w:rsidR="00844346">
          <w:rPr>
            <w:noProof/>
          </w:rPr>
          <w:t>18</w:t>
        </w:r>
      </w:fldSimple>
      <w:r>
        <w:t xml:space="preserve">: Number of providers by region with a </w:t>
      </w:r>
      <w:r w:rsidR="0085120B">
        <w:t>liquid asset to operating cost ratio less than 1</w:t>
      </w:r>
    </w:p>
    <w:tbl>
      <w:tblPr>
        <w:tblStyle w:val="TableGrid"/>
        <w:tblW w:w="3752" w:type="pct"/>
        <w:tblLayout w:type="fixed"/>
        <w:tblLook w:val="04A0" w:firstRow="1" w:lastRow="0" w:firstColumn="1" w:lastColumn="0" w:noHBand="0" w:noVBand="1"/>
        <w:tblCaption w:val="Table 18: Number of providers by region with a liquid asset to operating cost ratio less than 1"/>
      </w:tblPr>
      <w:tblGrid>
        <w:gridCol w:w="2122"/>
        <w:gridCol w:w="1276"/>
        <w:gridCol w:w="2266"/>
        <w:gridCol w:w="1561"/>
      </w:tblGrid>
      <w:tr w:rsidR="00542405" w:rsidRPr="00C33204" w14:paraId="243C011C" w14:textId="77777777" w:rsidTr="003636FB">
        <w:trPr>
          <w:tblHeader/>
        </w:trPr>
        <w:tc>
          <w:tcPr>
            <w:tcW w:w="1469" w:type="pct"/>
            <w:shd w:val="clear" w:color="auto" w:fill="5B9BD5"/>
            <w:vAlign w:val="center"/>
          </w:tcPr>
          <w:p w14:paraId="1276A85E" w14:textId="77777777" w:rsidR="00542405" w:rsidRPr="001F0F05" w:rsidRDefault="00542405" w:rsidP="00E735C3">
            <w:pPr>
              <w:contextualSpacing/>
              <w:jc w:val="center"/>
              <w:rPr>
                <w:rFonts w:ascii="Calibri" w:eastAsia="Times New Roman" w:hAnsi="Calibri" w:cs="Calibri"/>
                <w:b/>
                <w:bCs/>
                <w:color w:val="FFFFFF" w:themeColor="background1"/>
                <w:sz w:val="20"/>
                <w:szCs w:val="20"/>
                <w:lang w:eastAsia="en-AU"/>
              </w:rPr>
            </w:pPr>
            <w:r w:rsidRPr="001F0F05">
              <w:rPr>
                <w:b/>
                <w:bCs/>
                <w:color w:val="FFFFFF" w:themeColor="background1"/>
                <w:sz w:val="20"/>
                <w:szCs w:val="20"/>
                <w:lang w:eastAsia="en-AU"/>
              </w:rPr>
              <w:t>Category</w:t>
            </w:r>
          </w:p>
        </w:tc>
        <w:tc>
          <w:tcPr>
            <w:tcW w:w="883" w:type="pct"/>
            <w:shd w:val="clear" w:color="auto" w:fill="5B9BD5"/>
            <w:vAlign w:val="center"/>
          </w:tcPr>
          <w:p w14:paraId="6D25D691" w14:textId="5C786447" w:rsidR="00542405" w:rsidRDefault="00542405" w:rsidP="00E735C3">
            <w:pPr>
              <w:contextualSpacing/>
              <w:jc w:val="center"/>
              <w:rPr>
                <w:rFonts w:ascii="Calibri" w:eastAsia="Times New Roman" w:hAnsi="Calibri" w:cs="Calibri"/>
                <w:b/>
                <w:bCs/>
                <w:color w:val="FFFFFF" w:themeColor="background1"/>
                <w:sz w:val="20"/>
                <w:szCs w:val="20"/>
                <w:lang w:eastAsia="en-AU"/>
              </w:rPr>
            </w:pPr>
            <w:r>
              <w:rPr>
                <w:rFonts w:ascii="Calibri" w:eastAsia="Times New Roman" w:hAnsi="Calibri" w:cs="Calibri"/>
                <w:b/>
                <w:bCs/>
                <w:color w:val="FFFFFF" w:themeColor="background1"/>
                <w:sz w:val="20"/>
                <w:szCs w:val="20"/>
                <w:lang w:eastAsia="en-AU"/>
              </w:rPr>
              <w:t xml:space="preserve">Number of </w:t>
            </w:r>
            <w:r w:rsidR="00E735C3">
              <w:rPr>
                <w:rFonts w:ascii="Calibri" w:eastAsia="Times New Roman" w:hAnsi="Calibri" w:cs="Calibri"/>
                <w:b/>
                <w:bCs/>
                <w:color w:val="FFFFFF" w:themeColor="background1"/>
                <w:sz w:val="20"/>
                <w:szCs w:val="20"/>
                <w:lang w:eastAsia="en-AU"/>
              </w:rPr>
              <w:t>P</w:t>
            </w:r>
            <w:r>
              <w:rPr>
                <w:rFonts w:ascii="Calibri" w:eastAsia="Times New Roman" w:hAnsi="Calibri" w:cs="Calibri"/>
                <w:b/>
                <w:bCs/>
                <w:color w:val="FFFFFF" w:themeColor="background1"/>
                <w:sz w:val="20"/>
                <w:szCs w:val="20"/>
                <w:lang w:eastAsia="en-AU"/>
              </w:rPr>
              <w:t>roviders</w:t>
            </w:r>
          </w:p>
        </w:tc>
        <w:tc>
          <w:tcPr>
            <w:tcW w:w="1568" w:type="pct"/>
            <w:shd w:val="clear" w:color="auto" w:fill="5B9BD5"/>
            <w:vAlign w:val="center"/>
            <w:hideMark/>
          </w:tcPr>
          <w:p w14:paraId="5FA57042" w14:textId="77777777" w:rsidR="00542405" w:rsidRPr="001F0F05" w:rsidRDefault="00542405" w:rsidP="00E735C3">
            <w:pPr>
              <w:contextualSpacing/>
              <w:jc w:val="center"/>
              <w:rPr>
                <w:rFonts w:ascii="Calibri" w:eastAsia="Times New Roman" w:hAnsi="Calibri" w:cs="Calibri"/>
                <w:b/>
                <w:bCs/>
                <w:color w:val="FFFFFF" w:themeColor="background1"/>
                <w:sz w:val="20"/>
                <w:szCs w:val="20"/>
                <w:lang w:eastAsia="en-AU"/>
              </w:rPr>
            </w:pPr>
            <w:r>
              <w:rPr>
                <w:rFonts w:ascii="Calibri" w:eastAsia="Times New Roman" w:hAnsi="Calibri" w:cs="Calibri"/>
                <w:b/>
                <w:bCs/>
                <w:color w:val="FFFFFF" w:themeColor="background1"/>
                <w:sz w:val="20"/>
                <w:szCs w:val="20"/>
                <w:lang w:eastAsia="en-AU"/>
              </w:rPr>
              <w:t>Number of providers with liquid assets to operating cost ratio &lt; 1</w:t>
            </w:r>
          </w:p>
        </w:tc>
        <w:tc>
          <w:tcPr>
            <w:tcW w:w="1080" w:type="pct"/>
            <w:shd w:val="clear" w:color="auto" w:fill="5B9BD5"/>
            <w:vAlign w:val="center"/>
            <w:hideMark/>
          </w:tcPr>
          <w:p w14:paraId="68D09048" w14:textId="08569CDD" w:rsidR="00542405" w:rsidRPr="001F0F05" w:rsidRDefault="00542405" w:rsidP="00E735C3">
            <w:pPr>
              <w:contextualSpacing/>
              <w:jc w:val="center"/>
              <w:rPr>
                <w:rFonts w:ascii="Calibri" w:eastAsia="Times New Roman" w:hAnsi="Calibri" w:cs="Calibri"/>
                <w:b/>
                <w:bCs/>
                <w:color w:val="FFFFFF" w:themeColor="background1"/>
                <w:sz w:val="20"/>
                <w:szCs w:val="20"/>
                <w:lang w:eastAsia="en-AU"/>
              </w:rPr>
            </w:pPr>
            <w:r>
              <w:rPr>
                <w:rFonts w:ascii="Calibri" w:hAnsi="Calibri" w:cs="Calibri"/>
                <w:b/>
                <w:bCs/>
                <w:color w:val="FFFFFF" w:themeColor="background1"/>
                <w:sz w:val="20"/>
                <w:szCs w:val="20"/>
              </w:rPr>
              <w:t xml:space="preserve">% of </w:t>
            </w:r>
            <w:r w:rsidR="00E735C3">
              <w:rPr>
                <w:rFonts w:ascii="Calibri" w:hAnsi="Calibri" w:cs="Calibri"/>
                <w:b/>
                <w:bCs/>
                <w:color w:val="FFFFFF" w:themeColor="background1"/>
                <w:sz w:val="20"/>
                <w:szCs w:val="20"/>
              </w:rPr>
              <w:t>T</w:t>
            </w:r>
            <w:r>
              <w:rPr>
                <w:rFonts w:ascii="Calibri" w:hAnsi="Calibri" w:cs="Calibri"/>
                <w:b/>
                <w:bCs/>
                <w:color w:val="FFFFFF" w:themeColor="background1"/>
                <w:sz w:val="20"/>
                <w:szCs w:val="20"/>
              </w:rPr>
              <w:t>otal</w:t>
            </w:r>
          </w:p>
        </w:tc>
      </w:tr>
      <w:tr w:rsidR="00542405" w:rsidRPr="00C33204" w14:paraId="116EE388" w14:textId="77777777" w:rsidTr="0017115F">
        <w:tc>
          <w:tcPr>
            <w:tcW w:w="1469" w:type="pct"/>
          </w:tcPr>
          <w:p w14:paraId="74DDD111" w14:textId="5FD2794F" w:rsidR="00542405" w:rsidRPr="00BE6EFA" w:rsidRDefault="00542405" w:rsidP="0017115F">
            <w:pPr>
              <w:contextualSpacing/>
              <w:jc w:val="left"/>
              <w:rPr>
                <w:rFonts w:ascii="Calibri" w:eastAsia="Times New Roman" w:hAnsi="Calibri" w:cs="Calibri"/>
                <w:color w:val="000000"/>
                <w:sz w:val="20"/>
                <w:szCs w:val="20"/>
                <w:lang w:eastAsia="en-AU"/>
              </w:rPr>
            </w:pPr>
            <w:r w:rsidRPr="00BE6EFA">
              <w:rPr>
                <w:sz w:val="20"/>
                <w:szCs w:val="20"/>
              </w:rPr>
              <w:t>C</w:t>
            </w:r>
            <w:r w:rsidR="00E735C3">
              <w:rPr>
                <w:sz w:val="20"/>
                <w:szCs w:val="20"/>
              </w:rPr>
              <w:t>ity</w:t>
            </w:r>
          </w:p>
        </w:tc>
        <w:tc>
          <w:tcPr>
            <w:tcW w:w="883" w:type="pct"/>
            <w:vAlign w:val="center"/>
          </w:tcPr>
          <w:p w14:paraId="7CAA6811" w14:textId="46A91D7C" w:rsidR="00542405" w:rsidRPr="00BE6EFA" w:rsidRDefault="00542405" w:rsidP="0017115F">
            <w:pPr>
              <w:contextualSpacing/>
              <w:jc w:val="center"/>
              <w:rPr>
                <w:rFonts w:ascii="Calibri" w:hAnsi="Calibri" w:cs="Calibri"/>
                <w:color w:val="000000"/>
                <w:sz w:val="20"/>
                <w:szCs w:val="20"/>
              </w:rPr>
            </w:pPr>
            <w:r w:rsidRPr="00BE6EFA">
              <w:rPr>
                <w:sz w:val="20"/>
                <w:szCs w:val="20"/>
              </w:rPr>
              <w:t xml:space="preserve">349 </w:t>
            </w:r>
          </w:p>
        </w:tc>
        <w:tc>
          <w:tcPr>
            <w:tcW w:w="1568" w:type="pct"/>
            <w:noWrap/>
            <w:vAlign w:val="center"/>
          </w:tcPr>
          <w:p w14:paraId="30674DC9" w14:textId="04DDF805" w:rsidR="00542405" w:rsidRPr="009D7F80" w:rsidRDefault="00542405" w:rsidP="0017115F">
            <w:pPr>
              <w:contextualSpacing/>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40</w:t>
            </w:r>
          </w:p>
        </w:tc>
        <w:tc>
          <w:tcPr>
            <w:tcW w:w="1080" w:type="pct"/>
            <w:noWrap/>
            <w:vAlign w:val="center"/>
          </w:tcPr>
          <w:p w14:paraId="061FEA5F" w14:textId="37994D18" w:rsidR="00542405" w:rsidRPr="00E735C3" w:rsidRDefault="00542405" w:rsidP="0017115F">
            <w:pPr>
              <w:contextualSpacing/>
              <w:jc w:val="center"/>
              <w:rPr>
                <w:rFonts w:ascii="Calibri" w:eastAsia="Times New Roman" w:hAnsi="Calibri" w:cs="Calibri"/>
                <w:i/>
                <w:color w:val="000000"/>
                <w:sz w:val="20"/>
                <w:szCs w:val="20"/>
                <w:lang w:eastAsia="en-AU"/>
              </w:rPr>
            </w:pPr>
            <w:r w:rsidRPr="00E735C3">
              <w:rPr>
                <w:rFonts w:ascii="Calibri" w:eastAsia="Times New Roman" w:hAnsi="Calibri" w:cs="Calibri"/>
                <w:i/>
                <w:color w:val="000000"/>
                <w:sz w:val="20"/>
                <w:szCs w:val="20"/>
                <w:lang w:eastAsia="en-AU"/>
              </w:rPr>
              <w:t>11%</w:t>
            </w:r>
          </w:p>
        </w:tc>
      </w:tr>
      <w:tr w:rsidR="00542405" w:rsidRPr="00C33204" w14:paraId="1CA55749" w14:textId="77777777" w:rsidTr="0017115F">
        <w:tc>
          <w:tcPr>
            <w:tcW w:w="1469" w:type="pct"/>
            <w:shd w:val="clear" w:color="auto" w:fill="DEEAF6"/>
          </w:tcPr>
          <w:p w14:paraId="661B818A" w14:textId="162787C6" w:rsidR="00542405" w:rsidRPr="00BE6EFA" w:rsidRDefault="00542405" w:rsidP="0017115F">
            <w:pPr>
              <w:contextualSpacing/>
              <w:jc w:val="left"/>
              <w:rPr>
                <w:rFonts w:ascii="Calibri" w:eastAsia="Times New Roman" w:hAnsi="Calibri" w:cs="Calibri"/>
                <w:color w:val="000000"/>
                <w:sz w:val="20"/>
                <w:szCs w:val="20"/>
                <w:lang w:eastAsia="en-AU"/>
              </w:rPr>
            </w:pPr>
            <w:r w:rsidRPr="00BE6EFA">
              <w:rPr>
                <w:sz w:val="20"/>
                <w:szCs w:val="20"/>
              </w:rPr>
              <w:t>Regional</w:t>
            </w:r>
          </w:p>
        </w:tc>
        <w:tc>
          <w:tcPr>
            <w:tcW w:w="883" w:type="pct"/>
            <w:shd w:val="clear" w:color="auto" w:fill="DEEAF6"/>
            <w:vAlign w:val="center"/>
          </w:tcPr>
          <w:p w14:paraId="4845809F" w14:textId="0F15978E" w:rsidR="00542405" w:rsidRPr="00BE6EFA" w:rsidRDefault="00542405" w:rsidP="0017115F">
            <w:pPr>
              <w:contextualSpacing/>
              <w:jc w:val="center"/>
              <w:rPr>
                <w:rFonts w:ascii="Calibri" w:hAnsi="Calibri" w:cs="Calibri"/>
                <w:color w:val="000000"/>
                <w:sz w:val="20"/>
                <w:szCs w:val="20"/>
              </w:rPr>
            </w:pPr>
            <w:r w:rsidRPr="00BE6EFA">
              <w:rPr>
                <w:sz w:val="20"/>
                <w:szCs w:val="20"/>
              </w:rPr>
              <w:t xml:space="preserve">168 </w:t>
            </w:r>
          </w:p>
        </w:tc>
        <w:tc>
          <w:tcPr>
            <w:tcW w:w="1568" w:type="pct"/>
            <w:shd w:val="clear" w:color="auto" w:fill="DEEAF6"/>
            <w:noWrap/>
            <w:vAlign w:val="center"/>
          </w:tcPr>
          <w:p w14:paraId="2D642669" w14:textId="63FDBBD8" w:rsidR="00542405" w:rsidRPr="009D7F80" w:rsidRDefault="00542405" w:rsidP="0017115F">
            <w:pPr>
              <w:contextualSpacing/>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14</w:t>
            </w:r>
          </w:p>
        </w:tc>
        <w:tc>
          <w:tcPr>
            <w:tcW w:w="1080" w:type="pct"/>
            <w:shd w:val="clear" w:color="auto" w:fill="DEEAF6"/>
            <w:noWrap/>
            <w:vAlign w:val="center"/>
          </w:tcPr>
          <w:p w14:paraId="76224B08" w14:textId="25A08844" w:rsidR="00542405" w:rsidRPr="00E735C3" w:rsidRDefault="00542405" w:rsidP="0017115F">
            <w:pPr>
              <w:contextualSpacing/>
              <w:jc w:val="center"/>
              <w:rPr>
                <w:rFonts w:ascii="Calibri" w:eastAsia="Times New Roman" w:hAnsi="Calibri" w:cs="Calibri"/>
                <w:i/>
                <w:color w:val="000000"/>
                <w:sz w:val="20"/>
                <w:szCs w:val="20"/>
                <w:lang w:eastAsia="en-AU"/>
              </w:rPr>
            </w:pPr>
            <w:r w:rsidRPr="00E735C3">
              <w:rPr>
                <w:rFonts w:ascii="Calibri" w:eastAsia="Times New Roman" w:hAnsi="Calibri" w:cs="Calibri"/>
                <w:i/>
                <w:color w:val="000000"/>
                <w:sz w:val="20"/>
                <w:szCs w:val="20"/>
                <w:lang w:eastAsia="en-AU"/>
              </w:rPr>
              <w:t>8%</w:t>
            </w:r>
          </w:p>
        </w:tc>
      </w:tr>
      <w:tr w:rsidR="00542405" w:rsidRPr="00C33204" w14:paraId="54FD4FA9" w14:textId="77777777" w:rsidTr="0017115F">
        <w:tc>
          <w:tcPr>
            <w:tcW w:w="1469" w:type="pct"/>
          </w:tcPr>
          <w:p w14:paraId="0E125C38" w14:textId="7A524A34" w:rsidR="00542405" w:rsidRPr="00BE6EFA" w:rsidRDefault="00542405" w:rsidP="0017115F">
            <w:pPr>
              <w:contextualSpacing/>
              <w:jc w:val="left"/>
              <w:rPr>
                <w:rFonts w:ascii="Calibri" w:eastAsia="Times New Roman" w:hAnsi="Calibri" w:cs="Calibri"/>
                <w:color w:val="000000"/>
                <w:sz w:val="20"/>
                <w:szCs w:val="20"/>
                <w:lang w:eastAsia="en-AU"/>
              </w:rPr>
            </w:pPr>
            <w:r w:rsidRPr="00BE6EFA">
              <w:rPr>
                <w:sz w:val="20"/>
                <w:szCs w:val="20"/>
              </w:rPr>
              <w:t>C</w:t>
            </w:r>
            <w:r w:rsidR="00E735C3">
              <w:rPr>
                <w:sz w:val="20"/>
                <w:szCs w:val="20"/>
              </w:rPr>
              <w:t>ity</w:t>
            </w:r>
            <w:r w:rsidRPr="00BE6EFA">
              <w:rPr>
                <w:sz w:val="20"/>
                <w:szCs w:val="20"/>
              </w:rPr>
              <w:t xml:space="preserve"> &amp; R</w:t>
            </w:r>
            <w:r w:rsidR="00E735C3">
              <w:rPr>
                <w:sz w:val="20"/>
                <w:szCs w:val="20"/>
              </w:rPr>
              <w:t>egional</w:t>
            </w:r>
          </w:p>
        </w:tc>
        <w:tc>
          <w:tcPr>
            <w:tcW w:w="883" w:type="pct"/>
            <w:vAlign w:val="center"/>
          </w:tcPr>
          <w:p w14:paraId="71689BDE" w14:textId="79585AA1" w:rsidR="00542405" w:rsidRPr="00BE6EFA" w:rsidRDefault="00542405" w:rsidP="0017115F">
            <w:pPr>
              <w:contextualSpacing/>
              <w:jc w:val="center"/>
              <w:rPr>
                <w:rFonts w:ascii="Calibri" w:hAnsi="Calibri" w:cs="Calibri"/>
                <w:color w:val="000000"/>
                <w:sz w:val="20"/>
                <w:szCs w:val="20"/>
              </w:rPr>
            </w:pPr>
            <w:r w:rsidRPr="00BE6EFA">
              <w:rPr>
                <w:sz w:val="20"/>
                <w:szCs w:val="20"/>
              </w:rPr>
              <w:t xml:space="preserve"> 18 </w:t>
            </w:r>
          </w:p>
        </w:tc>
        <w:tc>
          <w:tcPr>
            <w:tcW w:w="1568" w:type="pct"/>
            <w:noWrap/>
            <w:vAlign w:val="center"/>
          </w:tcPr>
          <w:p w14:paraId="55309772" w14:textId="0F474365" w:rsidR="00542405" w:rsidRPr="009D7F80" w:rsidRDefault="00542405" w:rsidP="0017115F">
            <w:pPr>
              <w:contextualSpacing/>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4</w:t>
            </w:r>
          </w:p>
        </w:tc>
        <w:tc>
          <w:tcPr>
            <w:tcW w:w="1080" w:type="pct"/>
            <w:noWrap/>
            <w:vAlign w:val="center"/>
          </w:tcPr>
          <w:p w14:paraId="442EDDBC" w14:textId="6562C2A0" w:rsidR="00542405" w:rsidRPr="00E735C3" w:rsidRDefault="00542405" w:rsidP="0017115F">
            <w:pPr>
              <w:contextualSpacing/>
              <w:jc w:val="center"/>
              <w:rPr>
                <w:rFonts w:ascii="Calibri" w:eastAsia="Times New Roman" w:hAnsi="Calibri" w:cs="Calibri"/>
                <w:i/>
                <w:color w:val="000000"/>
                <w:sz w:val="20"/>
                <w:szCs w:val="20"/>
                <w:lang w:eastAsia="en-AU"/>
              </w:rPr>
            </w:pPr>
            <w:r w:rsidRPr="00E735C3">
              <w:rPr>
                <w:rFonts w:ascii="Calibri" w:eastAsia="Times New Roman" w:hAnsi="Calibri" w:cs="Calibri"/>
                <w:i/>
                <w:color w:val="000000"/>
                <w:sz w:val="20"/>
                <w:szCs w:val="20"/>
                <w:lang w:eastAsia="en-AU"/>
              </w:rPr>
              <w:t>22%</w:t>
            </w:r>
          </w:p>
        </w:tc>
      </w:tr>
      <w:tr w:rsidR="00542405" w:rsidRPr="00C33204" w14:paraId="3991C0C1" w14:textId="77777777" w:rsidTr="0017115F">
        <w:tc>
          <w:tcPr>
            <w:tcW w:w="1469" w:type="pct"/>
            <w:shd w:val="clear" w:color="auto" w:fill="FFE599" w:themeFill="accent4" w:themeFillTint="66"/>
            <w:vAlign w:val="center"/>
          </w:tcPr>
          <w:p w14:paraId="14E5E27C" w14:textId="45CE7037" w:rsidR="00542405" w:rsidRPr="009D7F80" w:rsidRDefault="00E735C3" w:rsidP="0017115F">
            <w:pPr>
              <w:contextualSpacing/>
              <w:jc w:val="left"/>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Total</w:t>
            </w:r>
          </w:p>
        </w:tc>
        <w:tc>
          <w:tcPr>
            <w:tcW w:w="883" w:type="pct"/>
            <w:shd w:val="clear" w:color="auto" w:fill="FFE599" w:themeFill="accent4" w:themeFillTint="66"/>
            <w:vAlign w:val="center"/>
          </w:tcPr>
          <w:p w14:paraId="522E6B97" w14:textId="77777777" w:rsidR="00542405" w:rsidRDefault="00542405" w:rsidP="0017115F">
            <w:pPr>
              <w:contextualSpacing/>
              <w:jc w:val="center"/>
              <w:rPr>
                <w:rFonts w:ascii="Calibri" w:hAnsi="Calibri" w:cs="Calibri"/>
                <w:b/>
                <w:bCs/>
                <w:color w:val="000000"/>
                <w:sz w:val="20"/>
                <w:szCs w:val="20"/>
              </w:rPr>
            </w:pPr>
            <w:r>
              <w:rPr>
                <w:rFonts w:ascii="Calibri" w:hAnsi="Calibri" w:cs="Calibri"/>
                <w:b/>
                <w:bCs/>
                <w:color w:val="000000"/>
                <w:sz w:val="20"/>
                <w:szCs w:val="20"/>
              </w:rPr>
              <w:t>535</w:t>
            </w:r>
          </w:p>
        </w:tc>
        <w:tc>
          <w:tcPr>
            <w:tcW w:w="1568" w:type="pct"/>
            <w:shd w:val="clear" w:color="auto" w:fill="FFE599" w:themeFill="accent4" w:themeFillTint="66"/>
            <w:noWrap/>
            <w:vAlign w:val="center"/>
          </w:tcPr>
          <w:p w14:paraId="59E250B4" w14:textId="77777777" w:rsidR="00542405" w:rsidRPr="009D7F80" w:rsidRDefault="00542405" w:rsidP="0017115F">
            <w:pPr>
              <w:contextualSpacing/>
              <w:jc w:val="center"/>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58</w:t>
            </w:r>
          </w:p>
        </w:tc>
        <w:tc>
          <w:tcPr>
            <w:tcW w:w="1080" w:type="pct"/>
            <w:shd w:val="clear" w:color="auto" w:fill="FFE599" w:themeFill="accent4" w:themeFillTint="66"/>
            <w:noWrap/>
            <w:vAlign w:val="center"/>
          </w:tcPr>
          <w:p w14:paraId="5A3EE2DB" w14:textId="77777777" w:rsidR="00542405" w:rsidRPr="00E735C3" w:rsidRDefault="00542405" w:rsidP="0017115F">
            <w:pPr>
              <w:contextualSpacing/>
              <w:jc w:val="center"/>
              <w:rPr>
                <w:rFonts w:ascii="Calibri" w:eastAsia="Times New Roman" w:hAnsi="Calibri" w:cs="Calibri"/>
                <w:b/>
                <w:bCs/>
                <w:i/>
                <w:color w:val="000000"/>
                <w:sz w:val="20"/>
                <w:szCs w:val="20"/>
                <w:lang w:eastAsia="en-AU"/>
              </w:rPr>
            </w:pPr>
            <w:r w:rsidRPr="00E735C3">
              <w:rPr>
                <w:rFonts w:ascii="Calibri" w:eastAsia="Times New Roman" w:hAnsi="Calibri" w:cs="Calibri"/>
                <w:b/>
                <w:bCs/>
                <w:i/>
                <w:color w:val="000000"/>
                <w:sz w:val="20"/>
                <w:szCs w:val="20"/>
                <w:lang w:eastAsia="en-AU"/>
              </w:rPr>
              <w:t>11%</w:t>
            </w:r>
          </w:p>
        </w:tc>
      </w:tr>
    </w:tbl>
    <w:p w14:paraId="148E5F2A" w14:textId="77777777" w:rsidR="0017115F" w:rsidRDefault="0017115F" w:rsidP="0017115F">
      <w:pPr>
        <w:pStyle w:val="SubHeading"/>
      </w:pPr>
      <w:bookmarkStart w:id="55" w:name="_Hlk24904792"/>
    </w:p>
    <w:p w14:paraId="6E026372" w14:textId="34E59A76" w:rsidR="00664F7E" w:rsidRDefault="00542405" w:rsidP="0017115F">
      <w:pPr>
        <w:pStyle w:val="SubHeading"/>
      </w:pPr>
      <w:r>
        <w:lastRenderedPageBreak/>
        <w:t>Analysis by Number of Services</w:t>
      </w:r>
    </w:p>
    <w:bookmarkEnd w:id="55"/>
    <w:p w14:paraId="1AE84E0A" w14:textId="5858F4CD" w:rsidR="0094467E" w:rsidRDefault="00664F7E" w:rsidP="00862384">
      <w:pPr>
        <w:spacing w:after="120"/>
      </w:pPr>
      <w:r>
        <w:t xml:space="preserve">ACFA uses the following split which we have also adopted </w:t>
      </w:r>
      <w:r w:rsidR="00F26659">
        <w:t>as follows:-</w:t>
      </w:r>
    </w:p>
    <w:p w14:paraId="7B5DB093" w14:textId="4CE4928C" w:rsidR="0094467E" w:rsidRDefault="0094467E" w:rsidP="005D395A">
      <w:pPr>
        <w:pStyle w:val="ListParagraph"/>
        <w:numPr>
          <w:ilvl w:val="0"/>
          <w:numId w:val="6"/>
        </w:numPr>
      </w:pPr>
      <w:bookmarkStart w:id="56" w:name="_Hlk24375972"/>
      <w:r>
        <w:t>Single service</w:t>
      </w:r>
    </w:p>
    <w:p w14:paraId="77D6D016" w14:textId="16E6FC2A" w:rsidR="0094467E" w:rsidRDefault="0094467E" w:rsidP="005D395A">
      <w:pPr>
        <w:pStyle w:val="ListParagraph"/>
        <w:numPr>
          <w:ilvl w:val="0"/>
          <w:numId w:val="6"/>
        </w:numPr>
      </w:pPr>
      <w:r>
        <w:t xml:space="preserve">Two to </w:t>
      </w:r>
      <w:r w:rsidR="00862384">
        <w:t>six</w:t>
      </w:r>
      <w:r>
        <w:t xml:space="preserve"> services </w:t>
      </w:r>
    </w:p>
    <w:p w14:paraId="072FD5E1" w14:textId="378E2A3D" w:rsidR="0094467E" w:rsidRDefault="0094467E" w:rsidP="005D395A">
      <w:pPr>
        <w:pStyle w:val="ListParagraph"/>
        <w:numPr>
          <w:ilvl w:val="0"/>
          <w:numId w:val="6"/>
        </w:numPr>
      </w:pPr>
      <w:r>
        <w:t xml:space="preserve">Seven or more services </w:t>
      </w:r>
    </w:p>
    <w:p w14:paraId="63F73DE6" w14:textId="1A131F9A" w:rsidR="001E5BD2" w:rsidRDefault="001E5BD2" w:rsidP="001E5BD2"/>
    <w:p w14:paraId="633434DE" w14:textId="157F3A75" w:rsidR="005C2BB9" w:rsidRPr="007773C2" w:rsidRDefault="005C2BB9" w:rsidP="005C2BB9">
      <w:pPr>
        <w:pStyle w:val="Caption"/>
        <w:spacing w:before="0"/>
      </w:pPr>
      <w:r w:rsidRPr="007773C2">
        <w:t xml:space="preserve">Table </w:t>
      </w:r>
      <w:fldSimple w:instr=" SEQ Table \* ARABIC ">
        <w:r w:rsidR="00844346">
          <w:rPr>
            <w:noProof/>
          </w:rPr>
          <w:t>19</w:t>
        </w:r>
      </w:fldSimple>
      <w:r w:rsidRPr="007773C2">
        <w:t xml:space="preserve">: </w:t>
      </w:r>
      <w:r w:rsidR="00862384">
        <w:t>A</w:t>
      </w:r>
      <w:r w:rsidR="0090615C">
        <w:t>P</w:t>
      </w:r>
      <w:r w:rsidR="00862384">
        <w:t xml:space="preserve"> </w:t>
      </w:r>
      <w:r w:rsidRPr="007773C2">
        <w:t xml:space="preserve">Category by </w:t>
      </w:r>
      <w:r w:rsidR="00862384">
        <w:t>number of services (separate programs)</w:t>
      </w:r>
    </w:p>
    <w:tbl>
      <w:tblPr>
        <w:tblStyle w:val="TableGrid"/>
        <w:tblW w:w="4970" w:type="pct"/>
        <w:tblLook w:val="04A0" w:firstRow="1" w:lastRow="0" w:firstColumn="1" w:lastColumn="0" w:noHBand="0" w:noVBand="1"/>
        <w:tblCaption w:val="Table 19: AP Category by number of services (separate programs)"/>
      </w:tblPr>
      <w:tblGrid>
        <w:gridCol w:w="4819"/>
        <w:gridCol w:w="2948"/>
        <w:gridCol w:w="1803"/>
      </w:tblGrid>
      <w:tr w:rsidR="00E735C3" w:rsidRPr="00B80ED2" w14:paraId="38778521" w14:textId="77777777" w:rsidTr="003636FB">
        <w:trPr>
          <w:trHeight w:val="340"/>
          <w:tblHeader/>
        </w:trPr>
        <w:tc>
          <w:tcPr>
            <w:tcW w:w="2518" w:type="pct"/>
            <w:shd w:val="clear" w:color="auto" w:fill="D9E2F3" w:themeFill="accent5" w:themeFillTint="33"/>
            <w:vAlign w:val="center"/>
          </w:tcPr>
          <w:p w14:paraId="64DD0A47" w14:textId="77777777" w:rsidR="005C2BB9" w:rsidRPr="00AE6460" w:rsidRDefault="005C2BB9" w:rsidP="00D910DF">
            <w:pPr>
              <w:jc w:val="left"/>
              <w:rPr>
                <w:b/>
                <w:bCs/>
                <w:sz w:val="20"/>
                <w:szCs w:val="20"/>
              </w:rPr>
            </w:pPr>
            <w:r w:rsidRPr="00AE6460">
              <w:rPr>
                <w:b/>
                <w:bCs/>
                <w:sz w:val="20"/>
                <w:szCs w:val="20"/>
              </w:rPr>
              <w:t>Category</w:t>
            </w:r>
          </w:p>
        </w:tc>
        <w:tc>
          <w:tcPr>
            <w:tcW w:w="1540" w:type="pct"/>
            <w:shd w:val="clear" w:color="auto" w:fill="D9E2F3" w:themeFill="accent5" w:themeFillTint="33"/>
            <w:vAlign w:val="center"/>
          </w:tcPr>
          <w:p w14:paraId="0EE039A3" w14:textId="3E1FEFD2" w:rsidR="005C2BB9" w:rsidRPr="00AE6460" w:rsidRDefault="005C2BB9" w:rsidP="00D910DF">
            <w:pPr>
              <w:jc w:val="center"/>
              <w:rPr>
                <w:b/>
                <w:bCs/>
                <w:sz w:val="20"/>
                <w:szCs w:val="20"/>
              </w:rPr>
            </w:pPr>
            <w:r w:rsidRPr="00AE6460">
              <w:rPr>
                <w:b/>
                <w:bCs/>
                <w:sz w:val="20"/>
                <w:szCs w:val="20"/>
              </w:rPr>
              <w:t xml:space="preserve">Number of </w:t>
            </w:r>
            <w:r w:rsidR="00E735C3" w:rsidRPr="00AE6460">
              <w:rPr>
                <w:b/>
                <w:bCs/>
                <w:sz w:val="20"/>
                <w:szCs w:val="20"/>
              </w:rPr>
              <w:t>P</w:t>
            </w:r>
            <w:r w:rsidRPr="00AE6460">
              <w:rPr>
                <w:b/>
                <w:bCs/>
                <w:sz w:val="20"/>
                <w:szCs w:val="20"/>
              </w:rPr>
              <w:t>roviders in 2018-19</w:t>
            </w:r>
          </w:p>
        </w:tc>
        <w:tc>
          <w:tcPr>
            <w:tcW w:w="942" w:type="pct"/>
            <w:shd w:val="clear" w:color="auto" w:fill="D9E2F3" w:themeFill="accent5" w:themeFillTint="33"/>
            <w:vAlign w:val="center"/>
          </w:tcPr>
          <w:p w14:paraId="4B0FCEA6" w14:textId="77777777" w:rsidR="005C2BB9" w:rsidRPr="00AE6460" w:rsidRDefault="005C2BB9" w:rsidP="00D910DF">
            <w:pPr>
              <w:jc w:val="center"/>
              <w:rPr>
                <w:b/>
                <w:bCs/>
                <w:sz w:val="20"/>
                <w:szCs w:val="20"/>
              </w:rPr>
            </w:pPr>
            <w:r w:rsidRPr="00AE6460">
              <w:rPr>
                <w:b/>
                <w:bCs/>
                <w:sz w:val="20"/>
                <w:szCs w:val="20"/>
              </w:rPr>
              <w:t>%</w:t>
            </w:r>
          </w:p>
        </w:tc>
      </w:tr>
      <w:tr w:rsidR="00E735C3" w:rsidRPr="00B80ED2" w14:paraId="15B434AA" w14:textId="77777777" w:rsidTr="00E735C3">
        <w:trPr>
          <w:trHeight w:val="283"/>
        </w:trPr>
        <w:tc>
          <w:tcPr>
            <w:tcW w:w="2518" w:type="pct"/>
            <w:vAlign w:val="center"/>
          </w:tcPr>
          <w:p w14:paraId="5C3B201F" w14:textId="250B51FF" w:rsidR="005C2BB9" w:rsidRPr="00AE6460" w:rsidRDefault="005C2BB9" w:rsidP="005C2BB9">
            <w:pPr>
              <w:jc w:val="left"/>
              <w:rPr>
                <w:sz w:val="20"/>
                <w:szCs w:val="20"/>
              </w:rPr>
            </w:pPr>
            <w:r w:rsidRPr="00AE6460">
              <w:rPr>
                <w:rFonts w:ascii="Calibri" w:hAnsi="Calibri" w:cs="Calibri"/>
                <w:color w:val="000000"/>
                <w:sz w:val="20"/>
                <w:szCs w:val="20"/>
              </w:rPr>
              <w:t>Single service</w:t>
            </w:r>
          </w:p>
        </w:tc>
        <w:tc>
          <w:tcPr>
            <w:tcW w:w="1540" w:type="pct"/>
            <w:vAlign w:val="center"/>
          </w:tcPr>
          <w:p w14:paraId="634C3CFF" w14:textId="53EEA589" w:rsidR="005C2BB9" w:rsidRPr="00AE6460" w:rsidRDefault="007773C2" w:rsidP="005C2BB9">
            <w:pPr>
              <w:jc w:val="center"/>
              <w:rPr>
                <w:sz w:val="20"/>
                <w:szCs w:val="20"/>
              </w:rPr>
            </w:pPr>
            <w:r w:rsidRPr="00AE6460">
              <w:rPr>
                <w:rFonts w:ascii="Calibri" w:hAnsi="Calibri" w:cs="Calibri"/>
                <w:color w:val="000000"/>
                <w:sz w:val="20"/>
                <w:szCs w:val="20"/>
              </w:rPr>
              <w:t>392</w:t>
            </w:r>
          </w:p>
        </w:tc>
        <w:tc>
          <w:tcPr>
            <w:tcW w:w="942" w:type="pct"/>
            <w:vAlign w:val="center"/>
          </w:tcPr>
          <w:p w14:paraId="7ECCE683" w14:textId="09C5B4B1" w:rsidR="005C2BB9" w:rsidRPr="00AE6460" w:rsidRDefault="0017115F" w:rsidP="005C2BB9">
            <w:pPr>
              <w:jc w:val="center"/>
              <w:rPr>
                <w:i/>
                <w:sz w:val="20"/>
                <w:szCs w:val="20"/>
              </w:rPr>
            </w:pPr>
            <w:r w:rsidRPr="00AE6460">
              <w:rPr>
                <w:rFonts w:ascii="Calibri" w:hAnsi="Calibri" w:cs="Calibri"/>
                <w:i/>
                <w:color w:val="000000"/>
                <w:sz w:val="20"/>
                <w:szCs w:val="20"/>
              </w:rPr>
              <w:t>53</w:t>
            </w:r>
            <w:r w:rsidR="005C2BB9" w:rsidRPr="00AE6460">
              <w:rPr>
                <w:rFonts w:ascii="Calibri" w:hAnsi="Calibri" w:cs="Calibri"/>
                <w:i/>
                <w:color w:val="000000"/>
                <w:sz w:val="20"/>
                <w:szCs w:val="20"/>
              </w:rPr>
              <w:t>%</w:t>
            </w:r>
          </w:p>
        </w:tc>
      </w:tr>
      <w:tr w:rsidR="00E735C3" w:rsidRPr="00B80ED2" w14:paraId="6D60AF69" w14:textId="77777777" w:rsidTr="00AE6460">
        <w:trPr>
          <w:trHeight w:val="283"/>
        </w:trPr>
        <w:tc>
          <w:tcPr>
            <w:tcW w:w="2518" w:type="pct"/>
            <w:shd w:val="clear" w:color="auto" w:fill="auto"/>
            <w:vAlign w:val="center"/>
          </w:tcPr>
          <w:p w14:paraId="3D552803" w14:textId="6DDE83F8" w:rsidR="005C2BB9" w:rsidRPr="00AE6460" w:rsidRDefault="005C2BB9" w:rsidP="005C2BB9">
            <w:pPr>
              <w:jc w:val="left"/>
              <w:rPr>
                <w:sz w:val="20"/>
                <w:szCs w:val="20"/>
              </w:rPr>
            </w:pPr>
            <w:r w:rsidRPr="00AE6460">
              <w:rPr>
                <w:rFonts w:ascii="Calibri" w:hAnsi="Calibri" w:cs="Calibri"/>
                <w:color w:val="000000"/>
                <w:sz w:val="20"/>
                <w:szCs w:val="20"/>
              </w:rPr>
              <w:t xml:space="preserve">Two to six services </w:t>
            </w:r>
          </w:p>
        </w:tc>
        <w:tc>
          <w:tcPr>
            <w:tcW w:w="1540" w:type="pct"/>
            <w:shd w:val="clear" w:color="auto" w:fill="auto"/>
            <w:vAlign w:val="center"/>
          </w:tcPr>
          <w:p w14:paraId="06ECD528" w14:textId="267943E5" w:rsidR="005C2BB9" w:rsidRPr="00AE6460" w:rsidRDefault="005C2BB9" w:rsidP="005C2BB9">
            <w:pPr>
              <w:jc w:val="center"/>
              <w:rPr>
                <w:sz w:val="20"/>
                <w:szCs w:val="20"/>
              </w:rPr>
            </w:pPr>
            <w:r w:rsidRPr="00AE6460">
              <w:rPr>
                <w:rFonts w:ascii="Calibri" w:hAnsi="Calibri" w:cs="Calibri"/>
                <w:color w:val="000000"/>
                <w:sz w:val="20"/>
                <w:szCs w:val="20"/>
              </w:rPr>
              <w:t>92</w:t>
            </w:r>
          </w:p>
        </w:tc>
        <w:tc>
          <w:tcPr>
            <w:tcW w:w="942" w:type="pct"/>
            <w:shd w:val="clear" w:color="auto" w:fill="auto"/>
            <w:vAlign w:val="center"/>
          </w:tcPr>
          <w:p w14:paraId="46BA1FBF" w14:textId="5A832022" w:rsidR="005C2BB9" w:rsidRPr="00AE6460" w:rsidRDefault="0017115F" w:rsidP="005C2BB9">
            <w:pPr>
              <w:jc w:val="center"/>
              <w:rPr>
                <w:i/>
                <w:sz w:val="20"/>
                <w:szCs w:val="20"/>
              </w:rPr>
            </w:pPr>
            <w:r w:rsidRPr="00AE6460">
              <w:rPr>
                <w:rFonts w:ascii="Calibri" w:hAnsi="Calibri" w:cs="Calibri"/>
                <w:i/>
                <w:color w:val="000000"/>
                <w:sz w:val="20"/>
                <w:szCs w:val="20"/>
              </w:rPr>
              <w:t>12</w:t>
            </w:r>
            <w:r w:rsidR="005C2BB9" w:rsidRPr="00AE6460">
              <w:rPr>
                <w:rFonts w:ascii="Calibri" w:hAnsi="Calibri" w:cs="Calibri"/>
                <w:i/>
                <w:color w:val="000000"/>
                <w:sz w:val="20"/>
                <w:szCs w:val="20"/>
              </w:rPr>
              <w:t>%</w:t>
            </w:r>
          </w:p>
        </w:tc>
      </w:tr>
      <w:tr w:rsidR="00E735C3" w:rsidRPr="00B80ED2" w14:paraId="6D1FDDD7" w14:textId="77777777" w:rsidTr="00E735C3">
        <w:trPr>
          <w:trHeight w:val="283"/>
        </w:trPr>
        <w:tc>
          <w:tcPr>
            <w:tcW w:w="2518" w:type="pct"/>
            <w:shd w:val="clear" w:color="auto" w:fill="auto"/>
            <w:vAlign w:val="center"/>
          </w:tcPr>
          <w:p w14:paraId="313644DC" w14:textId="326A1B6E" w:rsidR="005C2BB9" w:rsidRPr="00AE6460" w:rsidRDefault="005C2BB9" w:rsidP="005C2BB9">
            <w:pPr>
              <w:jc w:val="left"/>
              <w:rPr>
                <w:sz w:val="20"/>
                <w:szCs w:val="20"/>
              </w:rPr>
            </w:pPr>
            <w:r w:rsidRPr="00AE6460">
              <w:rPr>
                <w:rFonts w:ascii="Calibri" w:hAnsi="Calibri" w:cs="Calibri"/>
                <w:color w:val="000000"/>
                <w:sz w:val="20"/>
                <w:szCs w:val="20"/>
              </w:rPr>
              <w:t xml:space="preserve">Seven or more services </w:t>
            </w:r>
          </w:p>
        </w:tc>
        <w:tc>
          <w:tcPr>
            <w:tcW w:w="1540" w:type="pct"/>
            <w:shd w:val="clear" w:color="auto" w:fill="auto"/>
            <w:vAlign w:val="center"/>
          </w:tcPr>
          <w:p w14:paraId="09FC6D30" w14:textId="30A48818" w:rsidR="005C2BB9" w:rsidRPr="00AE6460" w:rsidRDefault="005C2BB9" w:rsidP="005C2BB9">
            <w:pPr>
              <w:jc w:val="center"/>
              <w:rPr>
                <w:sz w:val="20"/>
                <w:szCs w:val="20"/>
              </w:rPr>
            </w:pPr>
            <w:r w:rsidRPr="00AE6460">
              <w:rPr>
                <w:rFonts w:ascii="Calibri" w:hAnsi="Calibri" w:cs="Calibri"/>
                <w:color w:val="000000"/>
                <w:sz w:val="20"/>
                <w:szCs w:val="20"/>
              </w:rPr>
              <w:t>51</w:t>
            </w:r>
          </w:p>
        </w:tc>
        <w:tc>
          <w:tcPr>
            <w:tcW w:w="942" w:type="pct"/>
            <w:shd w:val="clear" w:color="auto" w:fill="auto"/>
            <w:vAlign w:val="center"/>
          </w:tcPr>
          <w:p w14:paraId="33F585EE" w14:textId="5924DE77" w:rsidR="005C2BB9" w:rsidRPr="00AE6460" w:rsidRDefault="0017115F" w:rsidP="005C2BB9">
            <w:pPr>
              <w:jc w:val="center"/>
              <w:rPr>
                <w:i/>
                <w:sz w:val="20"/>
                <w:szCs w:val="20"/>
              </w:rPr>
            </w:pPr>
            <w:r w:rsidRPr="00AE6460">
              <w:rPr>
                <w:rFonts w:ascii="Calibri" w:hAnsi="Calibri" w:cs="Calibri"/>
                <w:i/>
                <w:color w:val="000000"/>
                <w:sz w:val="20"/>
                <w:szCs w:val="20"/>
              </w:rPr>
              <w:t>7</w:t>
            </w:r>
            <w:r w:rsidR="005C2BB9" w:rsidRPr="00AE6460">
              <w:rPr>
                <w:rFonts w:ascii="Calibri" w:hAnsi="Calibri" w:cs="Calibri"/>
                <w:i/>
                <w:color w:val="000000"/>
                <w:sz w:val="20"/>
                <w:szCs w:val="20"/>
              </w:rPr>
              <w:t>%</w:t>
            </w:r>
          </w:p>
        </w:tc>
      </w:tr>
      <w:tr w:rsidR="00E735C3" w:rsidRPr="00EB677C" w14:paraId="01E63580" w14:textId="77777777" w:rsidTr="00E735C3">
        <w:trPr>
          <w:trHeight w:val="283"/>
        </w:trPr>
        <w:tc>
          <w:tcPr>
            <w:tcW w:w="2518" w:type="pct"/>
            <w:vAlign w:val="center"/>
          </w:tcPr>
          <w:p w14:paraId="7A8E6DE6" w14:textId="11044940" w:rsidR="005C2BB9" w:rsidRPr="00AE6460" w:rsidRDefault="00E735C3" w:rsidP="005C2BB9">
            <w:pPr>
              <w:jc w:val="left"/>
              <w:rPr>
                <w:rFonts w:ascii="Calibri" w:hAnsi="Calibri" w:cs="Calibri"/>
                <w:b/>
                <w:bCs/>
                <w:color w:val="000000"/>
                <w:sz w:val="20"/>
                <w:szCs w:val="20"/>
              </w:rPr>
            </w:pPr>
            <w:r w:rsidRPr="00AE6460">
              <w:rPr>
                <w:rFonts w:ascii="Calibri" w:hAnsi="Calibri" w:cs="Calibri"/>
                <w:b/>
                <w:bCs/>
                <w:color w:val="000000"/>
                <w:sz w:val="20"/>
                <w:szCs w:val="20"/>
              </w:rPr>
              <w:t>Sub-t</w:t>
            </w:r>
            <w:r w:rsidR="005C2BB9" w:rsidRPr="00AE6460">
              <w:rPr>
                <w:rFonts w:ascii="Calibri" w:hAnsi="Calibri" w:cs="Calibri"/>
                <w:b/>
                <w:bCs/>
                <w:color w:val="000000"/>
                <w:sz w:val="20"/>
                <w:szCs w:val="20"/>
              </w:rPr>
              <w:t>otal</w:t>
            </w:r>
          </w:p>
        </w:tc>
        <w:tc>
          <w:tcPr>
            <w:tcW w:w="1540" w:type="pct"/>
            <w:vAlign w:val="center"/>
          </w:tcPr>
          <w:p w14:paraId="451B06DE" w14:textId="3B9A466B" w:rsidR="005C2BB9" w:rsidRPr="00AE6460" w:rsidRDefault="007773C2" w:rsidP="005C2BB9">
            <w:pPr>
              <w:jc w:val="center"/>
              <w:rPr>
                <w:b/>
                <w:bCs/>
                <w:sz w:val="20"/>
                <w:szCs w:val="20"/>
              </w:rPr>
            </w:pPr>
            <w:r w:rsidRPr="00AE6460">
              <w:rPr>
                <w:rFonts w:ascii="Calibri" w:hAnsi="Calibri" w:cs="Calibri"/>
                <w:b/>
                <w:bCs/>
                <w:color w:val="000000"/>
                <w:sz w:val="20"/>
                <w:szCs w:val="20"/>
              </w:rPr>
              <w:t>535</w:t>
            </w:r>
          </w:p>
        </w:tc>
        <w:tc>
          <w:tcPr>
            <w:tcW w:w="942" w:type="pct"/>
            <w:vAlign w:val="center"/>
          </w:tcPr>
          <w:p w14:paraId="38E3454C" w14:textId="7AD04739" w:rsidR="005C2BB9" w:rsidRPr="00AE6460" w:rsidRDefault="0017115F" w:rsidP="005C2BB9">
            <w:pPr>
              <w:jc w:val="center"/>
              <w:rPr>
                <w:rFonts w:ascii="Calibri" w:hAnsi="Calibri" w:cs="Calibri"/>
                <w:b/>
                <w:bCs/>
                <w:i/>
                <w:color w:val="000000"/>
                <w:sz w:val="20"/>
                <w:szCs w:val="20"/>
              </w:rPr>
            </w:pPr>
            <w:r w:rsidRPr="00AE6460">
              <w:rPr>
                <w:rFonts w:ascii="Calibri" w:hAnsi="Calibri" w:cs="Calibri"/>
                <w:b/>
                <w:bCs/>
                <w:i/>
                <w:color w:val="000000"/>
                <w:sz w:val="20"/>
                <w:szCs w:val="20"/>
              </w:rPr>
              <w:t>73</w:t>
            </w:r>
            <w:r w:rsidR="005C2BB9" w:rsidRPr="00AE6460">
              <w:rPr>
                <w:rFonts w:ascii="Calibri" w:hAnsi="Calibri" w:cs="Calibri"/>
                <w:b/>
                <w:bCs/>
                <w:i/>
                <w:color w:val="000000"/>
                <w:sz w:val="20"/>
                <w:szCs w:val="20"/>
              </w:rPr>
              <w:t>%</w:t>
            </w:r>
          </w:p>
        </w:tc>
      </w:tr>
      <w:tr w:rsidR="00E735C3" w:rsidRPr="00B80ED2" w14:paraId="0B07D1E1" w14:textId="77777777" w:rsidTr="00E735C3">
        <w:trPr>
          <w:trHeight w:val="283"/>
        </w:trPr>
        <w:tc>
          <w:tcPr>
            <w:tcW w:w="2518" w:type="pct"/>
            <w:vAlign w:val="center"/>
          </w:tcPr>
          <w:p w14:paraId="779F2E83" w14:textId="20A00859" w:rsidR="005C2BB9" w:rsidRPr="00AE6460" w:rsidRDefault="005C2BB9" w:rsidP="005C2BB9">
            <w:pPr>
              <w:jc w:val="left"/>
              <w:rPr>
                <w:sz w:val="20"/>
                <w:szCs w:val="20"/>
              </w:rPr>
            </w:pPr>
            <w:r w:rsidRPr="00AE6460">
              <w:rPr>
                <w:sz w:val="20"/>
                <w:szCs w:val="20"/>
              </w:rPr>
              <w:t>Government and excluded</w:t>
            </w:r>
          </w:p>
        </w:tc>
        <w:tc>
          <w:tcPr>
            <w:tcW w:w="1540" w:type="pct"/>
            <w:vAlign w:val="center"/>
          </w:tcPr>
          <w:p w14:paraId="30C84E94" w14:textId="0670CC65" w:rsidR="005C2BB9" w:rsidRPr="00AE6460" w:rsidRDefault="0017115F" w:rsidP="005C2BB9">
            <w:pPr>
              <w:jc w:val="center"/>
              <w:rPr>
                <w:sz w:val="20"/>
                <w:szCs w:val="20"/>
              </w:rPr>
            </w:pPr>
            <w:r w:rsidRPr="00AE6460">
              <w:rPr>
                <w:rFonts w:ascii="Calibri" w:hAnsi="Calibri" w:cs="Calibri"/>
                <w:color w:val="000000"/>
                <w:sz w:val="20"/>
                <w:szCs w:val="20"/>
              </w:rPr>
              <w:t>202</w:t>
            </w:r>
          </w:p>
        </w:tc>
        <w:tc>
          <w:tcPr>
            <w:tcW w:w="942" w:type="pct"/>
            <w:vAlign w:val="center"/>
          </w:tcPr>
          <w:p w14:paraId="0F7B5F68" w14:textId="1954E29D" w:rsidR="005C2BB9" w:rsidRPr="00AE6460" w:rsidRDefault="0017115F" w:rsidP="005C2BB9">
            <w:pPr>
              <w:jc w:val="center"/>
              <w:rPr>
                <w:rFonts w:ascii="Calibri" w:hAnsi="Calibri" w:cs="Calibri"/>
                <w:i/>
                <w:color w:val="000000"/>
                <w:sz w:val="20"/>
                <w:szCs w:val="20"/>
              </w:rPr>
            </w:pPr>
            <w:r w:rsidRPr="00AE6460">
              <w:rPr>
                <w:rFonts w:ascii="Calibri" w:hAnsi="Calibri" w:cs="Calibri"/>
                <w:i/>
                <w:color w:val="000000"/>
                <w:sz w:val="20"/>
                <w:szCs w:val="20"/>
              </w:rPr>
              <w:t>27</w:t>
            </w:r>
            <w:r w:rsidR="005C2BB9" w:rsidRPr="00AE6460">
              <w:rPr>
                <w:rFonts w:ascii="Calibri" w:hAnsi="Calibri" w:cs="Calibri"/>
                <w:i/>
                <w:color w:val="000000"/>
                <w:sz w:val="20"/>
                <w:szCs w:val="20"/>
              </w:rPr>
              <w:t>%</w:t>
            </w:r>
          </w:p>
        </w:tc>
      </w:tr>
      <w:tr w:rsidR="00E735C3" w:rsidRPr="00B80ED2" w14:paraId="0F3FB742" w14:textId="77777777" w:rsidTr="00E735C3">
        <w:trPr>
          <w:trHeight w:val="283"/>
        </w:trPr>
        <w:tc>
          <w:tcPr>
            <w:tcW w:w="2518" w:type="pct"/>
            <w:shd w:val="clear" w:color="auto" w:fill="FFE599" w:themeFill="accent4" w:themeFillTint="66"/>
          </w:tcPr>
          <w:p w14:paraId="460B67F3" w14:textId="77777777" w:rsidR="005C2BB9" w:rsidRPr="00AE6460" w:rsidRDefault="005C2BB9" w:rsidP="005C2BB9">
            <w:pPr>
              <w:rPr>
                <w:b/>
                <w:sz w:val="20"/>
                <w:szCs w:val="20"/>
              </w:rPr>
            </w:pPr>
            <w:r w:rsidRPr="00AE6460">
              <w:rPr>
                <w:b/>
                <w:sz w:val="20"/>
                <w:szCs w:val="20"/>
              </w:rPr>
              <w:t xml:space="preserve">Total </w:t>
            </w:r>
          </w:p>
        </w:tc>
        <w:tc>
          <w:tcPr>
            <w:tcW w:w="1540" w:type="pct"/>
            <w:shd w:val="clear" w:color="auto" w:fill="FFE599" w:themeFill="accent4" w:themeFillTint="66"/>
            <w:vAlign w:val="center"/>
          </w:tcPr>
          <w:p w14:paraId="3E9FAC7F" w14:textId="2592ABA4" w:rsidR="005C2BB9" w:rsidRPr="00AE6460" w:rsidRDefault="0017115F" w:rsidP="005C2BB9">
            <w:pPr>
              <w:jc w:val="center"/>
              <w:rPr>
                <w:sz w:val="20"/>
                <w:szCs w:val="20"/>
              </w:rPr>
            </w:pPr>
            <w:r w:rsidRPr="00AE6460">
              <w:rPr>
                <w:rFonts w:ascii="Calibri" w:hAnsi="Calibri" w:cs="Calibri"/>
                <w:b/>
                <w:bCs/>
                <w:color w:val="000000"/>
                <w:sz w:val="20"/>
                <w:szCs w:val="20"/>
              </w:rPr>
              <w:t>737</w:t>
            </w:r>
          </w:p>
        </w:tc>
        <w:tc>
          <w:tcPr>
            <w:tcW w:w="942" w:type="pct"/>
            <w:shd w:val="clear" w:color="auto" w:fill="FFE599" w:themeFill="accent4" w:themeFillTint="66"/>
            <w:vAlign w:val="center"/>
          </w:tcPr>
          <w:p w14:paraId="0EA9481A" w14:textId="4E0ABE1E" w:rsidR="005C2BB9" w:rsidRPr="00AE6460" w:rsidRDefault="005C2BB9" w:rsidP="005C2BB9">
            <w:pPr>
              <w:jc w:val="center"/>
              <w:rPr>
                <w:b/>
                <w:i/>
                <w:sz w:val="20"/>
                <w:szCs w:val="20"/>
              </w:rPr>
            </w:pPr>
            <w:r w:rsidRPr="00AE6460">
              <w:rPr>
                <w:rFonts w:ascii="Calibri" w:hAnsi="Calibri" w:cs="Calibri"/>
                <w:b/>
                <w:bCs/>
                <w:i/>
                <w:color w:val="000000"/>
                <w:sz w:val="20"/>
                <w:szCs w:val="20"/>
              </w:rPr>
              <w:t>100%</w:t>
            </w:r>
          </w:p>
        </w:tc>
      </w:tr>
    </w:tbl>
    <w:p w14:paraId="1A662018" w14:textId="77777777" w:rsidR="005C2BB9" w:rsidRDefault="005C2BB9" w:rsidP="005C2BB9">
      <w:pPr>
        <w:pStyle w:val="ListParagraph"/>
      </w:pPr>
    </w:p>
    <w:p w14:paraId="342127E6" w14:textId="0AEDEA8A" w:rsidR="00210E24" w:rsidRDefault="00210E24" w:rsidP="00210E24">
      <w:r>
        <w:t>Th</w:t>
      </w:r>
      <w:r w:rsidR="0017115F">
        <w:t>e</w:t>
      </w:r>
      <w:r>
        <w:t xml:space="preserve"> </w:t>
      </w:r>
      <w:r w:rsidR="00623B6F">
        <w:t xml:space="preserve">results of this analysis also follows the same pattern </w:t>
      </w:r>
      <w:r w:rsidR="0017115F">
        <w:t xml:space="preserve">as when </w:t>
      </w:r>
      <w:r w:rsidR="0090615C">
        <w:t>AP</w:t>
      </w:r>
      <w:r w:rsidR="0017115F">
        <w:t>s were grouped in bands by subsidy received</w:t>
      </w:r>
      <w:r w:rsidR="00623B6F">
        <w:t xml:space="preserve"> where the smaller </w:t>
      </w:r>
      <w:r w:rsidR="0090615C">
        <w:t>AP</w:t>
      </w:r>
      <w:r w:rsidR="00623B6F">
        <w:t xml:space="preserve">s have a slightly higher cash coverage than some of the larger </w:t>
      </w:r>
      <w:r w:rsidR="0090615C">
        <w:t>AP</w:t>
      </w:r>
      <w:r w:rsidR="00623B6F">
        <w:t xml:space="preserve">s. This is reversed however, if the analysis is done at the </w:t>
      </w:r>
      <w:r w:rsidR="0090615C">
        <w:t>AP</w:t>
      </w:r>
      <w:r w:rsidR="00623B6F">
        <w:t xml:space="preserve"> </w:t>
      </w:r>
      <w:r w:rsidR="00796180">
        <w:t xml:space="preserve">consolidated </w:t>
      </w:r>
      <w:r w:rsidR="00623B6F">
        <w:t xml:space="preserve">level as shown in the past where many of the larger </w:t>
      </w:r>
      <w:r w:rsidR="00796180">
        <w:t>AP</w:t>
      </w:r>
      <w:r w:rsidR="00623B6F">
        <w:t>s also operate residential aged care services.</w:t>
      </w:r>
    </w:p>
    <w:p w14:paraId="4B7CAC06" w14:textId="77777777" w:rsidR="00862384" w:rsidRDefault="00862384" w:rsidP="00210E24"/>
    <w:p w14:paraId="3984233C" w14:textId="05B669D1" w:rsidR="00210E24" w:rsidRDefault="00210E24" w:rsidP="00862384">
      <w:pPr>
        <w:pStyle w:val="Caption"/>
        <w:keepNext/>
        <w:spacing w:before="0"/>
      </w:pPr>
      <w:r>
        <w:t xml:space="preserve">Table </w:t>
      </w:r>
      <w:fldSimple w:instr=" SEQ Table \* ARABIC ">
        <w:r w:rsidR="00844346">
          <w:rPr>
            <w:noProof/>
          </w:rPr>
          <w:t>20</w:t>
        </w:r>
      </w:fldSimple>
      <w:r>
        <w:t xml:space="preserve">: </w:t>
      </w:r>
      <w:r w:rsidR="00862384">
        <w:t>A</w:t>
      </w:r>
      <w:r>
        <w:t xml:space="preserve">nalysis of </w:t>
      </w:r>
      <w:r w:rsidR="00796180">
        <w:t>AP</w:t>
      </w:r>
      <w:r>
        <w:t>s ability to pay operating costs while subsidy payments are deferred</w:t>
      </w:r>
      <w:r w:rsidR="00666D33">
        <w:t xml:space="preserve"> (based on services)</w:t>
      </w:r>
    </w:p>
    <w:tbl>
      <w:tblPr>
        <w:tblStyle w:val="TableGrid"/>
        <w:tblW w:w="5000" w:type="pct"/>
        <w:tblLayout w:type="fixed"/>
        <w:tblLook w:val="04A0" w:firstRow="1" w:lastRow="0" w:firstColumn="1" w:lastColumn="0" w:noHBand="0" w:noVBand="1"/>
        <w:tblCaption w:val="Table 20: Analysis of APs ability to pay operating costs while subsidy payments are deferred (based on services)"/>
      </w:tblPr>
      <w:tblGrid>
        <w:gridCol w:w="1699"/>
        <w:gridCol w:w="1327"/>
        <w:gridCol w:w="1327"/>
        <w:gridCol w:w="1323"/>
        <w:gridCol w:w="1323"/>
        <w:gridCol w:w="1323"/>
        <w:gridCol w:w="1306"/>
      </w:tblGrid>
      <w:tr w:rsidR="00210E24" w:rsidRPr="00C33204" w14:paraId="6242B6B4" w14:textId="77777777" w:rsidTr="003636FB">
        <w:trPr>
          <w:trHeight w:val="1350"/>
          <w:tblHeader/>
        </w:trPr>
        <w:tc>
          <w:tcPr>
            <w:tcW w:w="882" w:type="pct"/>
            <w:shd w:val="clear" w:color="auto" w:fill="5B9BD5"/>
            <w:vAlign w:val="center"/>
          </w:tcPr>
          <w:p w14:paraId="1D489A1A" w14:textId="77777777" w:rsidR="00210E24" w:rsidRPr="001F0F05" w:rsidRDefault="00210E24" w:rsidP="00AE6460">
            <w:pPr>
              <w:jc w:val="center"/>
              <w:rPr>
                <w:rFonts w:ascii="Calibri" w:eastAsia="Times New Roman" w:hAnsi="Calibri" w:cs="Calibri"/>
                <w:b/>
                <w:bCs/>
                <w:color w:val="FFFFFF" w:themeColor="background1"/>
                <w:sz w:val="20"/>
                <w:szCs w:val="20"/>
                <w:lang w:eastAsia="en-AU"/>
              </w:rPr>
            </w:pPr>
            <w:r w:rsidRPr="001F0F05">
              <w:rPr>
                <w:b/>
                <w:bCs/>
                <w:color w:val="FFFFFF" w:themeColor="background1"/>
                <w:sz w:val="20"/>
                <w:szCs w:val="20"/>
                <w:lang w:eastAsia="en-AU"/>
              </w:rPr>
              <w:t>Category</w:t>
            </w:r>
          </w:p>
        </w:tc>
        <w:tc>
          <w:tcPr>
            <w:tcW w:w="689" w:type="pct"/>
            <w:shd w:val="clear" w:color="auto" w:fill="5B9BD5"/>
            <w:vAlign w:val="center"/>
          </w:tcPr>
          <w:p w14:paraId="054CA11B" w14:textId="7751E580" w:rsidR="00210E24" w:rsidRDefault="00210E24" w:rsidP="00AE6460">
            <w:pPr>
              <w:jc w:val="center"/>
              <w:rPr>
                <w:rFonts w:ascii="Calibri" w:eastAsia="Times New Roman" w:hAnsi="Calibri" w:cs="Calibri"/>
                <w:b/>
                <w:bCs/>
                <w:color w:val="FFFFFF" w:themeColor="background1"/>
                <w:sz w:val="20"/>
                <w:szCs w:val="20"/>
                <w:lang w:eastAsia="en-AU"/>
              </w:rPr>
            </w:pPr>
            <w:r>
              <w:rPr>
                <w:rFonts w:ascii="Calibri" w:eastAsia="Times New Roman" w:hAnsi="Calibri" w:cs="Calibri"/>
                <w:b/>
                <w:bCs/>
                <w:color w:val="FFFFFF" w:themeColor="background1"/>
                <w:sz w:val="20"/>
                <w:szCs w:val="20"/>
                <w:lang w:eastAsia="en-AU"/>
              </w:rPr>
              <w:t xml:space="preserve">Number of </w:t>
            </w:r>
            <w:r w:rsidR="00AE6460">
              <w:rPr>
                <w:rFonts w:ascii="Calibri" w:eastAsia="Times New Roman" w:hAnsi="Calibri" w:cs="Calibri"/>
                <w:b/>
                <w:bCs/>
                <w:color w:val="FFFFFF" w:themeColor="background1"/>
                <w:sz w:val="20"/>
                <w:szCs w:val="20"/>
                <w:lang w:eastAsia="en-AU"/>
              </w:rPr>
              <w:t>P</w:t>
            </w:r>
            <w:r>
              <w:rPr>
                <w:rFonts w:ascii="Calibri" w:eastAsia="Times New Roman" w:hAnsi="Calibri" w:cs="Calibri"/>
                <w:b/>
                <w:bCs/>
                <w:color w:val="FFFFFF" w:themeColor="background1"/>
                <w:sz w:val="20"/>
                <w:szCs w:val="20"/>
                <w:lang w:eastAsia="en-AU"/>
              </w:rPr>
              <w:t>roviders</w:t>
            </w:r>
          </w:p>
        </w:tc>
        <w:tc>
          <w:tcPr>
            <w:tcW w:w="689" w:type="pct"/>
            <w:shd w:val="clear" w:color="auto" w:fill="5B9BD5"/>
            <w:vAlign w:val="center"/>
            <w:hideMark/>
          </w:tcPr>
          <w:p w14:paraId="67CD2B20" w14:textId="77777777" w:rsidR="00210E24" w:rsidRDefault="00210E24" w:rsidP="00AE6460">
            <w:pPr>
              <w:jc w:val="center"/>
              <w:rPr>
                <w:rFonts w:ascii="Calibri" w:eastAsia="Times New Roman" w:hAnsi="Calibri" w:cs="Calibri"/>
                <w:b/>
                <w:bCs/>
                <w:color w:val="FFFFFF" w:themeColor="background1"/>
                <w:sz w:val="20"/>
                <w:szCs w:val="20"/>
                <w:lang w:eastAsia="en-AU"/>
              </w:rPr>
            </w:pPr>
            <w:r>
              <w:rPr>
                <w:rFonts w:ascii="Calibri" w:eastAsia="Times New Roman" w:hAnsi="Calibri" w:cs="Calibri"/>
                <w:b/>
                <w:bCs/>
                <w:color w:val="FFFFFF" w:themeColor="background1"/>
                <w:sz w:val="20"/>
                <w:szCs w:val="20"/>
                <w:lang w:eastAsia="en-AU"/>
              </w:rPr>
              <w:t>Average Monthly Revenue</w:t>
            </w:r>
          </w:p>
          <w:p w14:paraId="44FC4BCF" w14:textId="77777777" w:rsidR="00210E24" w:rsidRPr="001F0F05" w:rsidRDefault="00210E24" w:rsidP="00AE6460">
            <w:pPr>
              <w:jc w:val="center"/>
              <w:rPr>
                <w:rFonts w:ascii="Calibri" w:eastAsia="Times New Roman" w:hAnsi="Calibri" w:cs="Calibri"/>
                <w:b/>
                <w:bCs/>
                <w:color w:val="FFFFFF" w:themeColor="background1"/>
                <w:sz w:val="20"/>
                <w:szCs w:val="20"/>
                <w:lang w:eastAsia="en-AU"/>
              </w:rPr>
            </w:pPr>
            <w:r>
              <w:rPr>
                <w:rFonts w:ascii="Calibri" w:eastAsia="Times New Roman" w:hAnsi="Calibri" w:cs="Calibri"/>
                <w:b/>
                <w:bCs/>
                <w:color w:val="FFFFFF" w:themeColor="background1"/>
                <w:sz w:val="20"/>
                <w:szCs w:val="20"/>
                <w:lang w:eastAsia="en-AU"/>
              </w:rPr>
              <w:t>$</w:t>
            </w:r>
          </w:p>
        </w:tc>
        <w:tc>
          <w:tcPr>
            <w:tcW w:w="687" w:type="pct"/>
            <w:shd w:val="clear" w:color="auto" w:fill="5B9BD5"/>
            <w:vAlign w:val="center"/>
            <w:hideMark/>
          </w:tcPr>
          <w:p w14:paraId="1DF50E3B" w14:textId="77777777" w:rsidR="00210E24" w:rsidRDefault="00210E24" w:rsidP="00AE6460">
            <w:pPr>
              <w:jc w:val="center"/>
              <w:rPr>
                <w:rFonts w:ascii="Calibri" w:hAnsi="Calibri" w:cs="Calibri"/>
                <w:b/>
                <w:bCs/>
                <w:color w:val="FFFFFF" w:themeColor="background1"/>
                <w:sz w:val="20"/>
                <w:szCs w:val="20"/>
              </w:rPr>
            </w:pPr>
            <w:r>
              <w:rPr>
                <w:rFonts w:ascii="Calibri" w:hAnsi="Calibri" w:cs="Calibri"/>
                <w:b/>
                <w:bCs/>
                <w:color w:val="FFFFFF" w:themeColor="background1"/>
                <w:sz w:val="20"/>
                <w:szCs w:val="20"/>
              </w:rPr>
              <w:t>Average Monthly Margin</w:t>
            </w:r>
          </w:p>
          <w:p w14:paraId="5D2FB297" w14:textId="77777777" w:rsidR="00210E24" w:rsidRPr="001F0F05" w:rsidRDefault="00210E24" w:rsidP="00AE6460">
            <w:pPr>
              <w:jc w:val="center"/>
              <w:rPr>
                <w:rFonts w:ascii="Calibri" w:eastAsia="Times New Roman" w:hAnsi="Calibri" w:cs="Calibri"/>
                <w:b/>
                <w:bCs/>
                <w:color w:val="FFFFFF" w:themeColor="background1"/>
                <w:sz w:val="20"/>
                <w:szCs w:val="20"/>
                <w:lang w:eastAsia="en-AU"/>
              </w:rPr>
            </w:pPr>
            <w:r>
              <w:rPr>
                <w:rFonts w:ascii="Calibri" w:eastAsia="Times New Roman" w:hAnsi="Calibri" w:cs="Calibri"/>
                <w:b/>
                <w:bCs/>
                <w:color w:val="FFFFFF" w:themeColor="background1"/>
                <w:sz w:val="20"/>
                <w:szCs w:val="20"/>
                <w:lang w:eastAsia="en-AU"/>
              </w:rPr>
              <w:t>$</w:t>
            </w:r>
          </w:p>
        </w:tc>
        <w:tc>
          <w:tcPr>
            <w:tcW w:w="687" w:type="pct"/>
            <w:shd w:val="clear" w:color="auto" w:fill="5B9BD5"/>
            <w:vAlign w:val="center"/>
          </w:tcPr>
          <w:p w14:paraId="09E33DCD" w14:textId="77777777" w:rsidR="00210E24" w:rsidRDefault="00210E24" w:rsidP="00AE6460">
            <w:pPr>
              <w:jc w:val="center"/>
              <w:rPr>
                <w:rFonts w:ascii="Calibri" w:hAnsi="Calibri" w:cs="Calibri"/>
                <w:b/>
                <w:bCs/>
                <w:color w:val="FFFFFF" w:themeColor="background1"/>
                <w:sz w:val="20"/>
                <w:szCs w:val="20"/>
              </w:rPr>
            </w:pPr>
            <w:r>
              <w:rPr>
                <w:rFonts w:ascii="Calibri" w:hAnsi="Calibri" w:cs="Calibri"/>
                <w:b/>
                <w:bCs/>
                <w:color w:val="FFFFFF" w:themeColor="background1"/>
                <w:sz w:val="20"/>
                <w:szCs w:val="20"/>
              </w:rPr>
              <w:t>Average monthly cost to fund operations</w:t>
            </w:r>
          </w:p>
          <w:p w14:paraId="6DC68702" w14:textId="77777777" w:rsidR="00210E24" w:rsidRPr="001F0F05" w:rsidRDefault="00210E24" w:rsidP="00AE6460">
            <w:pPr>
              <w:jc w:val="center"/>
              <w:rPr>
                <w:rFonts w:ascii="Calibri" w:hAnsi="Calibri" w:cs="Calibri"/>
                <w:b/>
                <w:bCs/>
                <w:color w:val="FFFFFF" w:themeColor="background1"/>
                <w:sz w:val="20"/>
                <w:szCs w:val="20"/>
              </w:rPr>
            </w:pPr>
            <w:r>
              <w:rPr>
                <w:rFonts w:ascii="Calibri" w:hAnsi="Calibri" w:cs="Calibri"/>
                <w:b/>
                <w:bCs/>
                <w:color w:val="FFFFFF" w:themeColor="background1"/>
                <w:sz w:val="20"/>
                <w:szCs w:val="20"/>
              </w:rPr>
              <w:t>$</w:t>
            </w:r>
          </w:p>
        </w:tc>
        <w:tc>
          <w:tcPr>
            <w:tcW w:w="687" w:type="pct"/>
            <w:shd w:val="clear" w:color="auto" w:fill="5B9BD5"/>
            <w:vAlign w:val="center"/>
          </w:tcPr>
          <w:p w14:paraId="74365800" w14:textId="1BDE45C8" w:rsidR="00210E24" w:rsidRPr="001F0F05" w:rsidRDefault="00210E24" w:rsidP="00AE6460">
            <w:pPr>
              <w:jc w:val="center"/>
              <w:rPr>
                <w:rFonts w:ascii="Calibri" w:hAnsi="Calibri" w:cs="Calibri"/>
                <w:b/>
                <w:bCs/>
                <w:color w:val="FFFFFF" w:themeColor="background1"/>
                <w:sz w:val="20"/>
                <w:szCs w:val="20"/>
              </w:rPr>
            </w:pPr>
            <w:r w:rsidRPr="001F0F05">
              <w:rPr>
                <w:rFonts w:ascii="Calibri" w:hAnsi="Calibri" w:cs="Calibri"/>
                <w:b/>
                <w:bCs/>
                <w:color w:val="FFFFFF" w:themeColor="background1"/>
                <w:sz w:val="20"/>
                <w:szCs w:val="20"/>
              </w:rPr>
              <w:t>HC</w:t>
            </w:r>
            <w:r w:rsidR="00AE6460">
              <w:rPr>
                <w:rFonts w:ascii="Calibri" w:hAnsi="Calibri" w:cs="Calibri"/>
                <w:b/>
                <w:bCs/>
                <w:color w:val="FFFFFF" w:themeColor="background1"/>
                <w:sz w:val="20"/>
                <w:szCs w:val="20"/>
              </w:rPr>
              <w:t>P</w:t>
            </w:r>
            <w:r w:rsidRPr="001F0F05">
              <w:rPr>
                <w:rFonts w:ascii="Calibri" w:hAnsi="Calibri" w:cs="Calibri"/>
                <w:b/>
                <w:bCs/>
                <w:color w:val="FFFFFF" w:themeColor="background1"/>
                <w:sz w:val="20"/>
                <w:szCs w:val="20"/>
              </w:rPr>
              <w:t xml:space="preserve"> Segment Liquid Assets</w:t>
            </w:r>
          </w:p>
        </w:tc>
        <w:tc>
          <w:tcPr>
            <w:tcW w:w="678" w:type="pct"/>
            <w:shd w:val="clear" w:color="auto" w:fill="5B9BD5"/>
            <w:vAlign w:val="center"/>
            <w:hideMark/>
          </w:tcPr>
          <w:p w14:paraId="63DAF700" w14:textId="17CB172F" w:rsidR="00210E24" w:rsidRPr="001F0F05" w:rsidRDefault="00210E24" w:rsidP="00AE6460">
            <w:pPr>
              <w:jc w:val="center"/>
              <w:rPr>
                <w:rFonts w:ascii="Calibri" w:eastAsia="Times New Roman" w:hAnsi="Calibri" w:cs="Calibri"/>
                <w:b/>
                <w:bCs/>
                <w:color w:val="FFFFFF" w:themeColor="background1"/>
                <w:sz w:val="20"/>
                <w:szCs w:val="20"/>
                <w:lang w:eastAsia="en-AU"/>
              </w:rPr>
            </w:pPr>
            <w:r w:rsidRPr="001F0F05">
              <w:rPr>
                <w:rFonts w:ascii="Calibri" w:hAnsi="Calibri" w:cs="Calibri"/>
                <w:b/>
                <w:bCs/>
                <w:color w:val="FFFFFF" w:themeColor="background1"/>
                <w:sz w:val="20"/>
                <w:szCs w:val="20"/>
              </w:rPr>
              <w:t>Segment  Liquid Assets</w:t>
            </w:r>
            <w:r w:rsidR="00AE6460">
              <w:rPr>
                <w:rFonts w:ascii="Calibri" w:hAnsi="Calibri" w:cs="Calibri"/>
                <w:b/>
                <w:bCs/>
                <w:color w:val="FFFFFF" w:themeColor="background1"/>
                <w:sz w:val="20"/>
                <w:szCs w:val="20"/>
              </w:rPr>
              <w:t xml:space="preserve"> </w:t>
            </w:r>
            <w:r w:rsidRPr="001F0F05">
              <w:rPr>
                <w:rFonts w:ascii="Calibri" w:hAnsi="Calibri" w:cs="Calibri"/>
                <w:b/>
                <w:bCs/>
                <w:color w:val="FFFFFF" w:themeColor="background1"/>
                <w:sz w:val="20"/>
                <w:szCs w:val="20"/>
              </w:rPr>
              <w:t xml:space="preserve">/ </w:t>
            </w:r>
            <w:r>
              <w:rPr>
                <w:rFonts w:ascii="Calibri" w:hAnsi="Calibri" w:cs="Calibri"/>
                <w:b/>
                <w:bCs/>
                <w:color w:val="FFFFFF" w:themeColor="background1"/>
                <w:sz w:val="20"/>
                <w:szCs w:val="20"/>
              </w:rPr>
              <w:t>1</w:t>
            </w:r>
            <w:r w:rsidRPr="001F0F05">
              <w:rPr>
                <w:rFonts w:ascii="Calibri" w:hAnsi="Calibri" w:cs="Calibri"/>
                <w:b/>
                <w:bCs/>
                <w:color w:val="FFFFFF" w:themeColor="background1"/>
                <w:sz w:val="20"/>
                <w:szCs w:val="20"/>
              </w:rPr>
              <w:t xml:space="preserve"> month</w:t>
            </w:r>
            <w:r>
              <w:rPr>
                <w:rFonts w:ascii="Calibri" w:hAnsi="Calibri" w:cs="Calibri"/>
                <w:b/>
                <w:bCs/>
                <w:color w:val="FFFFFF" w:themeColor="background1"/>
                <w:sz w:val="20"/>
                <w:szCs w:val="20"/>
              </w:rPr>
              <w:t>’s</w:t>
            </w:r>
            <w:r w:rsidRPr="001F0F05">
              <w:rPr>
                <w:rFonts w:ascii="Calibri" w:hAnsi="Calibri" w:cs="Calibri"/>
                <w:b/>
                <w:bCs/>
                <w:color w:val="FFFFFF" w:themeColor="background1"/>
                <w:sz w:val="20"/>
                <w:szCs w:val="20"/>
              </w:rPr>
              <w:t xml:space="preserve"> </w:t>
            </w:r>
            <w:r>
              <w:rPr>
                <w:rFonts w:ascii="Calibri" w:hAnsi="Calibri" w:cs="Calibri"/>
                <w:b/>
                <w:bCs/>
                <w:color w:val="FFFFFF" w:themeColor="background1"/>
                <w:sz w:val="20"/>
                <w:szCs w:val="20"/>
              </w:rPr>
              <w:t>Operational cost</w:t>
            </w:r>
          </w:p>
        </w:tc>
      </w:tr>
      <w:tr w:rsidR="00210E24" w:rsidRPr="00C33204" w14:paraId="33448442" w14:textId="77777777" w:rsidTr="00666D33">
        <w:trPr>
          <w:trHeight w:val="375"/>
        </w:trPr>
        <w:tc>
          <w:tcPr>
            <w:tcW w:w="882" w:type="pct"/>
            <w:vAlign w:val="center"/>
          </w:tcPr>
          <w:p w14:paraId="34681353" w14:textId="3C125348" w:rsidR="00210E24" w:rsidRPr="00BE6EFA" w:rsidRDefault="00210E24" w:rsidP="00666D33">
            <w:pPr>
              <w:jc w:val="left"/>
              <w:rPr>
                <w:rFonts w:ascii="Calibri" w:eastAsia="Times New Roman" w:hAnsi="Calibri" w:cs="Calibri"/>
                <w:color w:val="000000"/>
                <w:sz w:val="20"/>
                <w:szCs w:val="20"/>
                <w:lang w:eastAsia="en-AU"/>
              </w:rPr>
            </w:pPr>
            <w:r w:rsidRPr="00BE6EFA">
              <w:rPr>
                <w:sz w:val="20"/>
                <w:szCs w:val="20"/>
              </w:rPr>
              <w:t>Single service</w:t>
            </w:r>
          </w:p>
        </w:tc>
        <w:tc>
          <w:tcPr>
            <w:tcW w:w="689" w:type="pct"/>
            <w:vAlign w:val="center"/>
          </w:tcPr>
          <w:p w14:paraId="17BA1B44" w14:textId="3AD4F734" w:rsidR="00210E24" w:rsidRPr="00BE6EFA" w:rsidRDefault="00210E24" w:rsidP="00210E24">
            <w:pPr>
              <w:jc w:val="center"/>
              <w:rPr>
                <w:rFonts w:ascii="Calibri" w:hAnsi="Calibri" w:cs="Calibri"/>
                <w:color w:val="000000"/>
                <w:sz w:val="20"/>
                <w:szCs w:val="20"/>
              </w:rPr>
            </w:pPr>
            <w:r w:rsidRPr="00BE6EFA">
              <w:rPr>
                <w:sz w:val="20"/>
                <w:szCs w:val="20"/>
              </w:rPr>
              <w:t xml:space="preserve">392 </w:t>
            </w:r>
          </w:p>
        </w:tc>
        <w:tc>
          <w:tcPr>
            <w:tcW w:w="689" w:type="pct"/>
            <w:noWrap/>
            <w:vAlign w:val="center"/>
          </w:tcPr>
          <w:p w14:paraId="59B4B773" w14:textId="58071125" w:rsidR="00210E24" w:rsidRPr="009D7F80" w:rsidRDefault="00210E24" w:rsidP="00210E24">
            <w:pPr>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93,875</w:t>
            </w:r>
          </w:p>
        </w:tc>
        <w:tc>
          <w:tcPr>
            <w:tcW w:w="687" w:type="pct"/>
            <w:noWrap/>
            <w:vAlign w:val="center"/>
          </w:tcPr>
          <w:p w14:paraId="04EE9604" w14:textId="36FA8F55" w:rsidR="00210E24" w:rsidRPr="009D7F80" w:rsidRDefault="00210E24" w:rsidP="00210E24">
            <w:pPr>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6,145</w:t>
            </w:r>
          </w:p>
        </w:tc>
        <w:tc>
          <w:tcPr>
            <w:tcW w:w="687" w:type="pct"/>
            <w:vAlign w:val="center"/>
          </w:tcPr>
          <w:p w14:paraId="4FFDC5C2" w14:textId="31F42F08" w:rsidR="00210E24" w:rsidRPr="009D7F80" w:rsidRDefault="00210E24" w:rsidP="00210E24">
            <w:pPr>
              <w:jc w:val="center"/>
              <w:rPr>
                <w:rFonts w:ascii="Calibri" w:hAnsi="Calibri" w:cs="Calibri"/>
                <w:color w:val="000000"/>
                <w:sz w:val="20"/>
                <w:szCs w:val="20"/>
              </w:rPr>
            </w:pPr>
            <w:r>
              <w:rPr>
                <w:rFonts w:ascii="Calibri" w:hAnsi="Calibri" w:cs="Calibri"/>
                <w:color w:val="000000"/>
                <w:sz w:val="20"/>
                <w:szCs w:val="20"/>
              </w:rPr>
              <w:t>87,730</w:t>
            </w:r>
          </w:p>
        </w:tc>
        <w:tc>
          <w:tcPr>
            <w:tcW w:w="687" w:type="pct"/>
            <w:vAlign w:val="center"/>
          </w:tcPr>
          <w:p w14:paraId="5598870E" w14:textId="7914E5B6" w:rsidR="00210E24" w:rsidRPr="009D7F80" w:rsidRDefault="00210E24" w:rsidP="00210E24">
            <w:pPr>
              <w:jc w:val="center"/>
              <w:rPr>
                <w:rFonts w:ascii="Calibri" w:hAnsi="Calibri" w:cs="Calibri"/>
                <w:color w:val="000000"/>
                <w:sz w:val="20"/>
                <w:szCs w:val="20"/>
              </w:rPr>
            </w:pPr>
            <w:r>
              <w:rPr>
                <w:rFonts w:ascii="Calibri" w:hAnsi="Calibri" w:cs="Calibri"/>
                <w:color w:val="000000"/>
                <w:sz w:val="20"/>
                <w:szCs w:val="20"/>
              </w:rPr>
              <w:t>955,493</w:t>
            </w:r>
          </w:p>
        </w:tc>
        <w:tc>
          <w:tcPr>
            <w:tcW w:w="678" w:type="pct"/>
            <w:noWrap/>
            <w:vAlign w:val="center"/>
          </w:tcPr>
          <w:p w14:paraId="57820D49" w14:textId="2C8A058B" w:rsidR="00210E24" w:rsidRPr="00AE6460" w:rsidRDefault="00210E24" w:rsidP="00210E24">
            <w:pPr>
              <w:jc w:val="center"/>
              <w:rPr>
                <w:rFonts w:ascii="Calibri" w:eastAsia="Times New Roman" w:hAnsi="Calibri" w:cs="Calibri"/>
                <w:i/>
                <w:color w:val="000000"/>
                <w:sz w:val="20"/>
                <w:szCs w:val="20"/>
                <w:lang w:eastAsia="en-AU"/>
              </w:rPr>
            </w:pPr>
            <w:r w:rsidRPr="00AE6460">
              <w:rPr>
                <w:rFonts w:ascii="Calibri" w:eastAsia="Times New Roman" w:hAnsi="Calibri" w:cs="Calibri"/>
                <w:i/>
                <w:color w:val="000000"/>
                <w:sz w:val="20"/>
                <w:szCs w:val="20"/>
                <w:lang w:eastAsia="en-AU"/>
              </w:rPr>
              <w:t>10.89</w:t>
            </w:r>
          </w:p>
        </w:tc>
      </w:tr>
      <w:tr w:rsidR="00210E24" w:rsidRPr="00C33204" w14:paraId="6E4DC6DB" w14:textId="77777777" w:rsidTr="00623B6F">
        <w:trPr>
          <w:trHeight w:val="375"/>
        </w:trPr>
        <w:tc>
          <w:tcPr>
            <w:tcW w:w="882" w:type="pct"/>
            <w:shd w:val="clear" w:color="auto" w:fill="DEEAF6"/>
          </w:tcPr>
          <w:p w14:paraId="6692B08A" w14:textId="114F8536" w:rsidR="00210E24" w:rsidRPr="00BE6EFA" w:rsidRDefault="00210E24" w:rsidP="00210E24">
            <w:pPr>
              <w:jc w:val="left"/>
              <w:rPr>
                <w:rFonts w:ascii="Calibri" w:eastAsia="Times New Roman" w:hAnsi="Calibri" w:cs="Calibri"/>
                <w:color w:val="000000"/>
                <w:sz w:val="20"/>
                <w:szCs w:val="20"/>
                <w:lang w:eastAsia="en-AU"/>
              </w:rPr>
            </w:pPr>
            <w:r w:rsidRPr="00BE6EFA">
              <w:rPr>
                <w:sz w:val="20"/>
                <w:szCs w:val="20"/>
              </w:rPr>
              <w:t xml:space="preserve">Two to six services </w:t>
            </w:r>
          </w:p>
        </w:tc>
        <w:tc>
          <w:tcPr>
            <w:tcW w:w="689" w:type="pct"/>
            <w:shd w:val="clear" w:color="auto" w:fill="DEEAF6"/>
            <w:vAlign w:val="center"/>
          </w:tcPr>
          <w:p w14:paraId="248B92CC" w14:textId="38436714" w:rsidR="00210E24" w:rsidRPr="00BE6EFA" w:rsidRDefault="00210E24" w:rsidP="00210E24">
            <w:pPr>
              <w:jc w:val="center"/>
              <w:rPr>
                <w:rFonts w:ascii="Calibri" w:hAnsi="Calibri" w:cs="Calibri"/>
                <w:color w:val="000000"/>
                <w:sz w:val="20"/>
                <w:szCs w:val="20"/>
              </w:rPr>
            </w:pPr>
            <w:r w:rsidRPr="00BE6EFA">
              <w:rPr>
                <w:sz w:val="20"/>
                <w:szCs w:val="20"/>
              </w:rPr>
              <w:t xml:space="preserve"> 92 </w:t>
            </w:r>
          </w:p>
        </w:tc>
        <w:tc>
          <w:tcPr>
            <w:tcW w:w="689" w:type="pct"/>
            <w:shd w:val="clear" w:color="auto" w:fill="DEEAF6"/>
            <w:noWrap/>
            <w:vAlign w:val="center"/>
          </w:tcPr>
          <w:p w14:paraId="198B6ED5" w14:textId="63FA4529" w:rsidR="00210E24" w:rsidRPr="009D7F80" w:rsidRDefault="00210E24" w:rsidP="00210E24">
            <w:pPr>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320,308</w:t>
            </w:r>
          </w:p>
        </w:tc>
        <w:tc>
          <w:tcPr>
            <w:tcW w:w="687" w:type="pct"/>
            <w:shd w:val="clear" w:color="auto" w:fill="DEEAF6"/>
            <w:noWrap/>
            <w:vAlign w:val="center"/>
          </w:tcPr>
          <w:p w14:paraId="1527A93D" w14:textId="2D17E680" w:rsidR="00210E24" w:rsidRPr="009D7F80" w:rsidRDefault="00210E24" w:rsidP="00210E24">
            <w:pPr>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18,532</w:t>
            </w:r>
          </w:p>
        </w:tc>
        <w:tc>
          <w:tcPr>
            <w:tcW w:w="687" w:type="pct"/>
            <w:shd w:val="clear" w:color="auto" w:fill="DEEAF6"/>
            <w:vAlign w:val="center"/>
          </w:tcPr>
          <w:p w14:paraId="2D94440E" w14:textId="2800D20C" w:rsidR="00210E24" w:rsidRPr="009D7F80" w:rsidRDefault="00210E24" w:rsidP="00210E24">
            <w:pPr>
              <w:jc w:val="center"/>
              <w:rPr>
                <w:rFonts w:ascii="Calibri" w:hAnsi="Calibri" w:cs="Calibri"/>
                <w:color w:val="000000"/>
                <w:sz w:val="20"/>
                <w:szCs w:val="20"/>
              </w:rPr>
            </w:pPr>
            <w:r>
              <w:rPr>
                <w:rFonts w:ascii="Calibri" w:hAnsi="Calibri" w:cs="Calibri"/>
                <w:color w:val="000000"/>
                <w:sz w:val="20"/>
                <w:szCs w:val="20"/>
              </w:rPr>
              <w:t>301,777</w:t>
            </w:r>
          </w:p>
        </w:tc>
        <w:tc>
          <w:tcPr>
            <w:tcW w:w="687" w:type="pct"/>
            <w:shd w:val="clear" w:color="auto" w:fill="DEEAF6"/>
            <w:vAlign w:val="center"/>
          </w:tcPr>
          <w:p w14:paraId="2C039E16" w14:textId="605E2047" w:rsidR="00210E24" w:rsidRPr="009D7F80" w:rsidRDefault="00210E24" w:rsidP="00210E24">
            <w:pPr>
              <w:jc w:val="center"/>
              <w:rPr>
                <w:rFonts w:ascii="Calibri" w:hAnsi="Calibri" w:cs="Calibri"/>
                <w:color w:val="000000"/>
                <w:sz w:val="20"/>
                <w:szCs w:val="20"/>
              </w:rPr>
            </w:pPr>
            <w:r>
              <w:rPr>
                <w:rFonts w:ascii="Calibri" w:hAnsi="Calibri" w:cs="Calibri"/>
                <w:color w:val="000000"/>
                <w:sz w:val="20"/>
                <w:szCs w:val="20"/>
              </w:rPr>
              <w:t>3,380,314</w:t>
            </w:r>
          </w:p>
        </w:tc>
        <w:tc>
          <w:tcPr>
            <w:tcW w:w="678" w:type="pct"/>
            <w:shd w:val="clear" w:color="auto" w:fill="DEEAF6"/>
            <w:noWrap/>
            <w:vAlign w:val="center"/>
          </w:tcPr>
          <w:p w14:paraId="21D47308" w14:textId="7FB7BB6E" w:rsidR="00210E24" w:rsidRPr="00AE6460" w:rsidRDefault="00210E24" w:rsidP="00210E24">
            <w:pPr>
              <w:jc w:val="center"/>
              <w:rPr>
                <w:rFonts w:ascii="Calibri" w:eastAsia="Times New Roman" w:hAnsi="Calibri" w:cs="Calibri"/>
                <w:i/>
                <w:color w:val="000000"/>
                <w:sz w:val="20"/>
                <w:szCs w:val="20"/>
                <w:lang w:eastAsia="en-AU"/>
              </w:rPr>
            </w:pPr>
            <w:r w:rsidRPr="00AE6460">
              <w:rPr>
                <w:rFonts w:ascii="Calibri" w:eastAsia="Times New Roman" w:hAnsi="Calibri" w:cs="Calibri"/>
                <w:i/>
                <w:color w:val="000000"/>
                <w:sz w:val="20"/>
                <w:szCs w:val="20"/>
                <w:lang w:eastAsia="en-AU"/>
              </w:rPr>
              <w:t>11.20</w:t>
            </w:r>
          </w:p>
        </w:tc>
      </w:tr>
      <w:tr w:rsidR="00210E24" w:rsidRPr="00C33204" w14:paraId="4DCF127F" w14:textId="77777777" w:rsidTr="00623B6F">
        <w:trPr>
          <w:trHeight w:val="375"/>
        </w:trPr>
        <w:tc>
          <w:tcPr>
            <w:tcW w:w="882" w:type="pct"/>
          </w:tcPr>
          <w:p w14:paraId="38D2AE4E" w14:textId="11494069" w:rsidR="00210E24" w:rsidRPr="00BE6EFA" w:rsidRDefault="00210E24" w:rsidP="00210E24">
            <w:pPr>
              <w:jc w:val="left"/>
              <w:rPr>
                <w:rFonts w:ascii="Calibri" w:eastAsia="Times New Roman" w:hAnsi="Calibri" w:cs="Calibri"/>
                <w:color w:val="000000"/>
                <w:sz w:val="20"/>
                <w:szCs w:val="20"/>
                <w:lang w:eastAsia="en-AU"/>
              </w:rPr>
            </w:pPr>
            <w:r w:rsidRPr="00BE6EFA">
              <w:rPr>
                <w:sz w:val="20"/>
                <w:szCs w:val="20"/>
              </w:rPr>
              <w:t xml:space="preserve">Seven or more services </w:t>
            </w:r>
          </w:p>
        </w:tc>
        <w:tc>
          <w:tcPr>
            <w:tcW w:w="689" w:type="pct"/>
            <w:vAlign w:val="center"/>
          </w:tcPr>
          <w:p w14:paraId="0575ABCC" w14:textId="11A980E0" w:rsidR="00210E24" w:rsidRPr="00BE6EFA" w:rsidRDefault="00210E24" w:rsidP="00210E24">
            <w:pPr>
              <w:jc w:val="center"/>
              <w:rPr>
                <w:rFonts w:ascii="Calibri" w:hAnsi="Calibri" w:cs="Calibri"/>
                <w:color w:val="000000"/>
                <w:sz w:val="20"/>
                <w:szCs w:val="20"/>
              </w:rPr>
            </w:pPr>
            <w:r w:rsidRPr="00BE6EFA">
              <w:rPr>
                <w:sz w:val="20"/>
                <w:szCs w:val="20"/>
              </w:rPr>
              <w:t xml:space="preserve"> 51 </w:t>
            </w:r>
          </w:p>
        </w:tc>
        <w:tc>
          <w:tcPr>
            <w:tcW w:w="689" w:type="pct"/>
            <w:noWrap/>
            <w:vAlign w:val="center"/>
          </w:tcPr>
          <w:p w14:paraId="0E4C7333" w14:textId="563D5EEC" w:rsidR="00210E24" w:rsidRPr="009D7F80" w:rsidRDefault="00210E24" w:rsidP="00210E24">
            <w:pPr>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1,478,386</w:t>
            </w:r>
          </w:p>
        </w:tc>
        <w:tc>
          <w:tcPr>
            <w:tcW w:w="687" w:type="pct"/>
            <w:noWrap/>
            <w:vAlign w:val="center"/>
          </w:tcPr>
          <w:p w14:paraId="25EC26F3" w14:textId="37CEAC68" w:rsidR="00210E24" w:rsidRPr="009D7F80" w:rsidRDefault="00210E24" w:rsidP="00210E24">
            <w:pPr>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16,762</w:t>
            </w:r>
          </w:p>
        </w:tc>
        <w:tc>
          <w:tcPr>
            <w:tcW w:w="687" w:type="pct"/>
            <w:vAlign w:val="center"/>
          </w:tcPr>
          <w:p w14:paraId="6F9EED53" w14:textId="0AB7AC51" w:rsidR="00210E24" w:rsidRPr="009D7F80" w:rsidRDefault="00210E24" w:rsidP="00210E24">
            <w:pPr>
              <w:jc w:val="center"/>
              <w:rPr>
                <w:rFonts w:ascii="Calibri" w:hAnsi="Calibri" w:cs="Calibri"/>
                <w:color w:val="000000"/>
                <w:sz w:val="20"/>
                <w:szCs w:val="20"/>
              </w:rPr>
            </w:pPr>
            <w:r>
              <w:rPr>
                <w:rFonts w:ascii="Calibri" w:hAnsi="Calibri" w:cs="Calibri"/>
                <w:color w:val="000000"/>
                <w:sz w:val="20"/>
                <w:szCs w:val="20"/>
              </w:rPr>
              <w:t>1,461,624</w:t>
            </w:r>
          </w:p>
        </w:tc>
        <w:tc>
          <w:tcPr>
            <w:tcW w:w="687" w:type="pct"/>
            <w:vAlign w:val="center"/>
          </w:tcPr>
          <w:p w14:paraId="3F037A12" w14:textId="26232841" w:rsidR="00210E24" w:rsidRPr="009D7F80" w:rsidRDefault="00210E24" w:rsidP="00210E24">
            <w:pPr>
              <w:jc w:val="center"/>
              <w:rPr>
                <w:rFonts w:ascii="Calibri" w:hAnsi="Calibri" w:cs="Calibri"/>
                <w:color w:val="000000"/>
                <w:sz w:val="20"/>
                <w:szCs w:val="20"/>
              </w:rPr>
            </w:pPr>
            <w:r>
              <w:rPr>
                <w:rFonts w:ascii="Calibri" w:hAnsi="Calibri" w:cs="Calibri"/>
                <w:color w:val="000000"/>
                <w:sz w:val="20"/>
                <w:szCs w:val="20"/>
              </w:rPr>
              <w:t>13,605,680</w:t>
            </w:r>
          </w:p>
        </w:tc>
        <w:tc>
          <w:tcPr>
            <w:tcW w:w="678" w:type="pct"/>
            <w:noWrap/>
            <w:vAlign w:val="center"/>
          </w:tcPr>
          <w:p w14:paraId="036ED431" w14:textId="71693739" w:rsidR="00210E24" w:rsidRPr="00AE6460" w:rsidRDefault="00210E24" w:rsidP="00210E24">
            <w:pPr>
              <w:jc w:val="center"/>
              <w:rPr>
                <w:rFonts w:ascii="Calibri" w:eastAsia="Times New Roman" w:hAnsi="Calibri" w:cs="Calibri"/>
                <w:i/>
                <w:color w:val="000000"/>
                <w:sz w:val="20"/>
                <w:szCs w:val="20"/>
                <w:lang w:eastAsia="en-AU"/>
              </w:rPr>
            </w:pPr>
            <w:r w:rsidRPr="00AE6460">
              <w:rPr>
                <w:rFonts w:ascii="Calibri" w:eastAsia="Times New Roman" w:hAnsi="Calibri" w:cs="Calibri"/>
                <w:i/>
                <w:color w:val="000000"/>
                <w:sz w:val="20"/>
                <w:szCs w:val="20"/>
                <w:lang w:eastAsia="en-AU"/>
              </w:rPr>
              <w:t>9.31</w:t>
            </w:r>
          </w:p>
        </w:tc>
      </w:tr>
      <w:tr w:rsidR="00210E24" w:rsidRPr="00C33204" w14:paraId="1270E163" w14:textId="77777777" w:rsidTr="00623B6F">
        <w:trPr>
          <w:trHeight w:val="375"/>
        </w:trPr>
        <w:tc>
          <w:tcPr>
            <w:tcW w:w="882" w:type="pct"/>
            <w:shd w:val="clear" w:color="auto" w:fill="FFE599" w:themeFill="accent4" w:themeFillTint="66"/>
            <w:vAlign w:val="center"/>
          </w:tcPr>
          <w:p w14:paraId="1C0582E8" w14:textId="76C6E6D3" w:rsidR="00210E24" w:rsidRPr="009D7F80" w:rsidRDefault="00AE6460" w:rsidP="00623B6F">
            <w:pPr>
              <w:jc w:val="left"/>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Total</w:t>
            </w:r>
          </w:p>
        </w:tc>
        <w:tc>
          <w:tcPr>
            <w:tcW w:w="689" w:type="pct"/>
            <w:shd w:val="clear" w:color="auto" w:fill="FFE599" w:themeFill="accent4" w:themeFillTint="66"/>
            <w:vAlign w:val="center"/>
          </w:tcPr>
          <w:p w14:paraId="1A7BBFEC" w14:textId="77777777" w:rsidR="00210E24" w:rsidRDefault="00210E24" w:rsidP="00623B6F">
            <w:pPr>
              <w:jc w:val="center"/>
              <w:rPr>
                <w:rFonts w:ascii="Calibri" w:hAnsi="Calibri" w:cs="Calibri"/>
                <w:b/>
                <w:bCs/>
                <w:color w:val="000000"/>
                <w:sz w:val="20"/>
                <w:szCs w:val="20"/>
              </w:rPr>
            </w:pPr>
            <w:r>
              <w:rPr>
                <w:rFonts w:ascii="Calibri" w:hAnsi="Calibri" w:cs="Calibri"/>
                <w:b/>
                <w:bCs/>
                <w:color w:val="000000"/>
                <w:sz w:val="20"/>
                <w:szCs w:val="20"/>
              </w:rPr>
              <w:t>535</w:t>
            </w:r>
          </w:p>
        </w:tc>
        <w:tc>
          <w:tcPr>
            <w:tcW w:w="689" w:type="pct"/>
            <w:shd w:val="clear" w:color="auto" w:fill="FFE599" w:themeFill="accent4" w:themeFillTint="66"/>
            <w:noWrap/>
            <w:vAlign w:val="center"/>
          </w:tcPr>
          <w:p w14:paraId="187E78B5" w14:textId="292B2E4A" w:rsidR="00210E24" w:rsidRPr="009D7F80" w:rsidRDefault="00AE6460" w:rsidP="00623B6F">
            <w:pPr>
              <w:jc w:val="center"/>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 xml:space="preserve">$ </w:t>
            </w:r>
            <w:r w:rsidR="00210E24">
              <w:rPr>
                <w:rFonts w:ascii="Calibri" w:eastAsia="Times New Roman" w:hAnsi="Calibri" w:cs="Calibri"/>
                <w:b/>
                <w:bCs/>
                <w:color w:val="000000"/>
                <w:sz w:val="20"/>
                <w:szCs w:val="20"/>
                <w:lang w:eastAsia="en-AU"/>
              </w:rPr>
              <w:t>264,795</w:t>
            </w:r>
          </w:p>
        </w:tc>
        <w:tc>
          <w:tcPr>
            <w:tcW w:w="687" w:type="pct"/>
            <w:shd w:val="clear" w:color="auto" w:fill="FFE599" w:themeFill="accent4" w:themeFillTint="66"/>
            <w:noWrap/>
            <w:vAlign w:val="center"/>
          </w:tcPr>
          <w:p w14:paraId="46E98588" w14:textId="04B9EB81" w:rsidR="00210E24" w:rsidRPr="009D7F80" w:rsidRDefault="00AE6460" w:rsidP="00623B6F">
            <w:pPr>
              <w:jc w:val="center"/>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 xml:space="preserve">$ </w:t>
            </w:r>
            <w:r w:rsidR="00210E24">
              <w:rPr>
                <w:rFonts w:ascii="Calibri" w:eastAsia="Times New Roman" w:hAnsi="Calibri" w:cs="Calibri"/>
                <w:b/>
                <w:bCs/>
                <w:color w:val="000000"/>
                <w:sz w:val="20"/>
                <w:szCs w:val="20"/>
                <w:lang w:eastAsia="en-AU"/>
              </w:rPr>
              <w:t>9,287</w:t>
            </w:r>
          </w:p>
        </w:tc>
        <w:tc>
          <w:tcPr>
            <w:tcW w:w="687" w:type="pct"/>
            <w:shd w:val="clear" w:color="auto" w:fill="FFE599" w:themeFill="accent4" w:themeFillTint="66"/>
            <w:vAlign w:val="center"/>
          </w:tcPr>
          <w:p w14:paraId="07B47AB7" w14:textId="070BA7C3" w:rsidR="00210E24" w:rsidRPr="009D7F80" w:rsidRDefault="00AE6460" w:rsidP="00623B6F">
            <w:pPr>
              <w:jc w:val="center"/>
              <w:rPr>
                <w:rFonts w:ascii="Calibri" w:hAnsi="Calibri" w:cs="Calibri"/>
                <w:b/>
                <w:bCs/>
                <w:color w:val="000000"/>
                <w:sz w:val="20"/>
                <w:szCs w:val="20"/>
              </w:rPr>
            </w:pPr>
            <w:r>
              <w:rPr>
                <w:rFonts w:ascii="Calibri" w:hAnsi="Calibri" w:cs="Calibri"/>
                <w:b/>
                <w:bCs/>
                <w:color w:val="000000"/>
                <w:sz w:val="20"/>
                <w:szCs w:val="20"/>
              </w:rPr>
              <w:t xml:space="preserve">$ </w:t>
            </w:r>
            <w:r w:rsidR="00210E24">
              <w:rPr>
                <w:rFonts w:ascii="Calibri" w:hAnsi="Calibri" w:cs="Calibri"/>
                <w:b/>
                <w:bCs/>
                <w:color w:val="000000"/>
                <w:sz w:val="20"/>
                <w:szCs w:val="20"/>
              </w:rPr>
              <w:t>255,508</w:t>
            </w:r>
          </w:p>
        </w:tc>
        <w:tc>
          <w:tcPr>
            <w:tcW w:w="687" w:type="pct"/>
            <w:shd w:val="clear" w:color="auto" w:fill="FFE599" w:themeFill="accent4" w:themeFillTint="66"/>
            <w:vAlign w:val="center"/>
          </w:tcPr>
          <w:p w14:paraId="31D47CD2" w14:textId="6BBBE7E4" w:rsidR="00210E24" w:rsidRPr="009D7F80" w:rsidRDefault="00AE6460" w:rsidP="00623B6F">
            <w:pPr>
              <w:jc w:val="center"/>
              <w:rPr>
                <w:rFonts w:ascii="Calibri" w:hAnsi="Calibri" w:cs="Calibri"/>
                <w:b/>
                <w:bCs/>
                <w:color w:val="000000"/>
                <w:sz w:val="20"/>
                <w:szCs w:val="20"/>
              </w:rPr>
            </w:pPr>
            <w:r>
              <w:rPr>
                <w:rFonts w:ascii="Calibri" w:hAnsi="Calibri" w:cs="Calibri"/>
                <w:b/>
                <w:bCs/>
                <w:color w:val="000000"/>
                <w:sz w:val="20"/>
                <w:szCs w:val="20"/>
              </w:rPr>
              <w:t xml:space="preserve">$ </w:t>
            </w:r>
            <w:r w:rsidR="00210E24">
              <w:rPr>
                <w:rFonts w:ascii="Calibri" w:hAnsi="Calibri" w:cs="Calibri"/>
                <w:b/>
                <w:bCs/>
                <w:color w:val="000000"/>
                <w:sz w:val="20"/>
                <w:szCs w:val="20"/>
              </w:rPr>
              <w:t>2,578,377</w:t>
            </w:r>
          </w:p>
        </w:tc>
        <w:tc>
          <w:tcPr>
            <w:tcW w:w="678" w:type="pct"/>
            <w:shd w:val="clear" w:color="auto" w:fill="FFE599" w:themeFill="accent4" w:themeFillTint="66"/>
            <w:noWrap/>
            <w:vAlign w:val="center"/>
          </w:tcPr>
          <w:p w14:paraId="3FC562ED" w14:textId="36AD27B2" w:rsidR="00210E24" w:rsidRPr="00AE6460" w:rsidRDefault="00210E24" w:rsidP="00623B6F">
            <w:pPr>
              <w:jc w:val="center"/>
              <w:rPr>
                <w:rFonts w:ascii="Calibri" w:eastAsia="Times New Roman" w:hAnsi="Calibri" w:cs="Calibri"/>
                <w:b/>
                <w:bCs/>
                <w:i/>
                <w:color w:val="000000"/>
                <w:sz w:val="20"/>
                <w:szCs w:val="20"/>
                <w:lang w:eastAsia="en-AU"/>
              </w:rPr>
            </w:pPr>
            <w:r w:rsidRPr="00AE6460">
              <w:rPr>
                <w:rFonts w:ascii="Calibri" w:eastAsia="Times New Roman" w:hAnsi="Calibri" w:cs="Calibri"/>
                <w:b/>
                <w:bCs/>
                <w:i/>
                <w:color w:val="000000"/>
                <w:sz w:val="20"/>
                <w:szCs w:val="20"/>
                <w:lang w:eastAsia="en-AU"/>
              </w:rPr>
              <w:t>10.09</w:t>
            </w:r>
          </w:p>
        </w:tc>
      </w:tr>
    </w:tbl>
    <w:p w14:paraId="0F834ACA" w14:textId="77777777" w:rsidR="00210E24" w:rsidRDefault="00210E24" w:rsidP="00210E24"/>
    <w:p w14:paraId="3AD8E739" w14:textId="7115DEFE" w:rsidR="00210E24" w:rsidRDefault="00623B6F" w:rsidP="00210E24">
      <w:r>
        <w:t xml:space="preserve">The smaller and larger </w:t>
      </w:r>
      <w:r w:rsidR="00796180">
        <w:t>AP</w:t>
      </w:r>
      <w:r>
        <w:t xml:space="preserve">s have a slightly higher proportion of their groups with a ratio less than 1. As commented upon above, this is mitigated in respect to the larger </w:t>
      </w:r>
      <w:r w:rsidR="00796180">
        <w:t>AP</w:t>
      </w:r>
      <w:r>
        <w:t>s as most of these have other business streams and hold sufficient liquid assets at the</w:t>
      </w:r>
      <w:r w:rsidR="00666D33">
        <w:t>ir</w:t>
      </w:r>
      <w:r>
        <w:t xml:space="preserve"> </w:t>
      </w:r>
      <w:r w:rsidR="00666D33">
        <w:t>consolidated</w:t>
      </w:r>
      <w:r>
        <w:t xml:space="preserve"> level. This may not be the case with the smaller </w:t>
      </w:r>
      <w:r w:rsidR="00796180">
        <w:t>AP</w:t>
      </w:r>
      <w:r>
        <w:t xml:space="preserve">s, however this can’t be ascertained without </w:t>
      </w:r>
      <w:r w:rsidR="00666D33">
        <w:t>access to their consolidated financial statements</w:t>
      </w:r>
      <w:r>
        <w:t>.</w:t>
      </w:r>
    </w:p>
    <w:p w14:paraId="2E2B4642" w14:textId="77777777" w:rsidR="00210E24" w:rsidRDefault="00210E24" w:rsidP="00210E24"/>
    <w:p w14:paraId="4D330F91" w14:textId="649B3214" w:rsidR="00210E24" w:rsidRDefault="00210E24" w:rsidP="00210E24">
      <w:pPr>
        <w:pStyle w:val="Caption"/>
        <w:keepNext/>
      </w:pPr>
      <w:r>
        <w:t xml:space="preserve">Table </w:t>
      </w:r>
      <w:fldSimple w:instr=" SEQ Table \* ARABIC ">
        <w:r w:rsidR="00844346">
          <w:rPr>
            <w:noProof/>
          </w:rPr>
          <w:t>21</w:t>
        </w:r>
      </w:fldSimple>
      <w:r>
        <w:t xml:space="preserve">: Number of </w:t>
      </w:r>
      <w:r w:rsidR="00796180">
        <w:t>AP</w:t>
      </w:r>
      <w:r>
        <w:t>s by region with a liquid asset to operating cost ratio less than 1</w:t>
      </w:r>
    </w:p>
    <w:tbl>
      <w:tblPr>
        <w:tblStyle w:val="TableGrid"/>
        <w:tblW w:w="3988" w:type="pct"/>
        <w:tblLayout w:type="fixed"/>
        <w:tblLook w:val="04A0" w:firstRow="1" w:lastRow="0" w:firstColumn="1" w:lastColumn="0" w:noHBand="0" w:noVBand="1"/>
        <w:tblCaption w:val="Table 21: Number of APs by region with a liquid asset to operating cost ratio less than 1"/>
      </w:tblPr>
      <w:tblGrid>
        <w:gridCol w:w="2263"/>
        <w:gridCol w:w="1277"/>
        <w:gridCol w:w="2553"/>
        <w:gridCol w:w="1586"/>
      </w:tblGrid>
      <w:tr w:rsidR="00210E24" w:rsidRPr="00C33204" w14:paraId="245E79C4" w14:textId="77777777" w:rsidTr="00627E62">
        <w:trPr>
          <w:trHeight w:val="635"/>
          <w:tblHeader/>
        </w:trPr>
        <w:tc>
          <w:tcPr>
            <w:tcW w:w="1473" w:type="pct"/>
            <w:shd w:val="clear" w:color="auto" w:fill="5B9BD5"/>
            <w:vAlign w:val="center"/>
          </w:tcPr>
          <w:p w14:paraId="3AE9135B" w14:textId="77777777" w:rsidR="00210E24" w:rsidRPr="001F0F05" w:rsidRDefault="00210E24" w:rsidP="00AE6460">
            <w:pPr>
              <w:jc w:val="center"/>
              <w:rPr>
                <w:rFonts w:ascii="Calibri" w:eastAsia="Times New Roman" w:hAnsi="Calibri" w:cs="Calibri"/>
                <w:b/>
                <w:bCs/>
                <w:color w:val="FFFFFF" w:themeColor="background1"/>
                <w:sz w:val="20"/>
                <w:szCs w:val="20"/>
                <w:lang w:eastAsia="en-AU"/>
              </w:rPr>
            </w:pPr>
            <w:r w:rsidRPr="001F0F05">
              <w:rPr>
                <w:b/>
                <w:bCs/>
                <w:color w:val="FFFFFF" w:themeColor="background1"/>
                <w:sz w:val="20"/>
                <w:szCs w:val="20"/>
                <w:lang w:eastAsia="en-AU"/>
              </w:rPr>
              <w:t>Category</w:t>
            </w:r>
          </w:p>
        </w:tc>
        <w:tc>
          <w:tcPr>
            <w:tcW w:w="831" w:type="pct"/>
            <w:shd w:val="clear" w:color="auto" w:fill="5B9BD5"/>
            <w:vAlign w:val="center"/>
          </w:tcPr>
          <w:p w14:paraId="1A985032" w14:textId="1AC68FA3" w:rsidR="00210E24" w:rsidRDefault="00210E24" w:rsidP="00AE6460">
            <w:pPr>
              <w:jc w:val="center"/>
              <w:rPr>
                <w:rFonts w:ascii="Calibri" w:eastAsia="Times New Roman" w:hAnsi="Calibri" w:cs="Calibri"/>
                <w:b/>
                <w:bCs/>
                <w:color w:val="FFFFFF" w:themeColor="background1"/>
                <w:sz w:val="20"/>
                <w:szCs w:val="20"/>
                <w:lang w:eastAsia="en-AU"/>
              </w:rPr>
            </w:pPr>
            <w:r>
              <w:rPr>
                <w:rFonts w:ascii="Calibri" w:eastAsia="Times New Roman" w:hAnsi="Calibri" w:cs="Calibri"/>
                <w:b/>
                <w:bCs/>
                <w:color w:val="FFFFFF" w:themeColor="background1"/>
                <w:sz w:val="20"/>
                <w:szCs w:val="20"/>
                <w:lang w:eastAsia="en-AU"/>
              </w:rPr>
              <w:t xml:space="preserve">Number of </w:t>
            </w:r>
            <w:r w:rsidR="00AE6460">
              <w:rPr>
                <w:rFonts w:ascii="Calibri" w:eastAsia="Times New Roman" w:hAnsi="Calibri" w:cs="Calibri"/>
                <w:b/>
                <w:bCs/>
                <w:color w:val="FFFFFF" w:themeColor="background1"/>
                <w:sz w:val="20"/>
                <w:szCs w:val="20"/>
                <w:lang w:eastAsia="en-AU"/>
              </w:rPr>
              <w:t>P</w:t>
            </w:r>
            <w:r>
              <w:rPr>
                <w:rFonts w:ascii="Calibri" w:eastAsia="Times New Roman" w:hAnsi="Calibri" w:cs="Calibri"/>
                <w:b/>
                <w:bCs/>
                <w:color w:val="FFFFFF" w:themeColor="background1"/>
                <w:sz w:val="20"/>
                <w:szCs w:val="20"/>
                <w:lang w:eastAsia="en-AU"/>
              </w:rPr>
              <w:t>roviders</w:t>
            </w:r>
          </w:p>
        </w:tc>
        <w:tc>
          <w:tcPr>
            <w:tcW w:w="1662" w:type="pct"/>
            <w:shd w:val="clear" w:color="auto" w:fill="5B9BD5"/>
            <w:vAlign w:val="center"/>
            <w:hideMark/>
          </w:tcPr>
          <w:p w14:paraId="6049423D" w14:textId="77777777" w:rsidR="00210E24" w:rsidRPr="001F0F05" w:rsidRDefault="00210E24" w:rsidP="00AE6460">
            <w:pPr>
              <w:jc w:val="center"/>
              <w:rPr>
                <w:rFonts w:ascii="Calibri" w:eastAsia="Times New Roman" w:hAnsi="Calibri" w:cs="Calibri"/>
                <w:b/>
                <w:bCs/>
                <w:color w:val="FFFFFF" w:themeColor="background1"/>
                <w:sz w:val="20"/>
                <w:szCs w:val="20"/>
                <w:lang w:eastAsia="en-AU"/>
              </w:rPr>
            </w:pPr>
            <w:r>
              <w:rPr>
                <w:rFonts w:ascii="Calibri" w:eastAsia="Times New Roman" w:hAnsi="Calibri" w:cs="Calibri"/>
                <w:b/>
                <w:bCs/>
                <w:color w:val="FFFFFF" w:themeColor="background1"/>
                <w:sz w:val="20"/>
                <w:szCs w:val="20"/>
                <w:lang w:eastAsia="en-AU"/>
              </w:rPr>
              <w:t>Number of providers with liquid assets to operating cost ratio &lt; 1</w:t>
            </w:r>
          </w:p>
        </w:tc>
        <w:tc>
          <w:tcPr>
            <w:tcW w:w="1033" w:type="pct"/>
            <w:shd w:val="clear" w:color="auto" w:fill="5B9BD5"/>
            <w:vAlign w:val="center"/>
            <w:hideMark/>
          </w:tcPr>
          <w:p w14:paraId="757F0136" w14:textId="3267B3B6" w:rsidR="00210E24" w:rsidRPr="001F0F05" w:rsidRDefault="00210E24" w:rsidP="00AE6460">
            <w:pPr>
              <w:jc w:val="center"/>
              <w:rPr>
                <w:rFonts w:ascii="Calibri" w:eastAsia="Times New Roman" w:hAnsi="Calibri" w:cs="Calibri"/>
                <w:b/>
                <w:bCs/>
                <w:color w:val="FFFFFF" w:themeColor="background1"/>
                <w:sz w:val="20"/>
                <w:szCs w:val="20"/>
                <w:lang w:eastAsia="en-AU"/>
              </w:rPr>
            </w:pPr>
            <w:r>
              <w:rPr>
                <w:rFonts w:ascii="Calibri" w:hAnsi="Calibri" w:cs="Calibri"/>
                <w:b/>
                <w:bCs/>
                <w:color w:val="FFFFFF" w:themeColor="background1"/>
                <w:sz w:val="20"/>
                <w:szCs w:val="20"/>
              </w:rPr>
              <w:t xml:space="preserve">% of </w:t>
            </w:r>
            <w:r w:rsidR="00AE6460">
              <w:rPr>
                <w:rFonts w:ascii="Calibri" w:hAnsi="Calibri" w:cs="Calibri"/>
                <w:b/>
                <w:bCs/>
                <w:color w:val="FFFFFF" w:themeColor="background1"/>
                <w:sz w:val="20"/>
                <w:szCs w:val="20"/>
              </w:rPr>
              <w:t>T</w:t>
            </w:r>
            <w:r>
              <w:rPr>
                <w:rFonts w:ascii="Calibri" w:hAnsi="Calibri" w:cs="Calibri"/>
                <w:b/>
                <w:bCs/>
                <w:color w:val="FFFFFF" w:themeColor="background1"/>
                <w:sz w:val="20"/>
                <w:szCs w:val="20"/>
              </w:rPr>
              <w:t>otal</w:t>
            </w:r>
          </w:p>
        </w:tc>
      </w:tr>
      <w:tr w:rsidR="00210E24" w:rsidRPr="00C33204" w14:paraId="50526A9D" w14:textId="77777777" w:rsidTr="00AE6460">
        <w:tc>
          <w:tcPr>
            <w:tcW w:w="1473" w:type="pct"/>
          </w:tcPr>
          <w:p w14:paraId="57722580" w14:textId="433C3555" w:rsidR="00210E24" w:rsidRPr="00BE6EFA" w:rsidRDefault="00210E24" w:rsidP="00210E24">
            <w:pPr>
              <w:jc w:val="left"/>
              <w:rPr>
                <w:rFonts w:ascii="Calibri" w:eastAsia="Times New Roman" w:hAnsi="Calibri" w:cs="Calibri"/>
                <w:color w:val="000000"/>
                <w:sz w:val="20"/>
                <w:szCs w:val="20"/>
                <w:lang w:eastAsia="en-AU"/>
              </w:rPr>
            </w:pPr>
            <w:r w:rsidRPr="00BE6EFA">
              <w:rPr>
                <w:sz w:val="20"/>
                <w:szCs w:val="20"/>
              </w:rPr>
              <w:t>Single service</w:t>
            </w:r>
          </w:p>
        </w:tc>
        <w:tc>
          <w:tcPr>
            <w:tcW w:w="831" w:type="pct"/>
            <w:vAlign w:val="center"/>
          </w:tcPr>
          <w:p w14:paraId="51157C69" w14:textId="07BCC3EB" w:rsidR="00210E24" w:rsidRPr="00BE6EFA" w:rsidRDefault="00210E24" w:rsidP="00210E24">
            <w:pPr>
              <w:jc w:val="center"/>
              <w:rPr>
                <w:rFonts w:ascii="Calibri" w:hAnsi="Calibri" w:cs="Calibri"/>
                <w:color w:val="000000"/>
                <w:sz w:val="20"/>
                <w:szCs w:val="20"/>
              </w:rPr>
            </w:pPr>
            <w:r w:rsidRPr="00BE6EFA">
              <w:rPr>
                <w:sz w:val="20"/>
                <w:szCs w:val="20"/>
              </w:rPr>
              <w:t xml:space="preserve">392 </w:t>
            </w:r>
          </w:p>
        </w:tc>
        <w:tc>
          <w:tcPr>
            <w:tcW w:w="1662" w:type="pct"/>
            <w:noWrap/>
            <w:vAlign w:val="center"/>
          </w:tcPr>
          <w:p w14:paraId="4052AAFA" w14:textId="542983B5" w:rsidR="00210E24" w:rsidRPr="009D7F80" w:rsidRDefault="00210E24" w:rsidP="00210E24">
            <w:pPr>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47</w:t>
            </w:r>
          </w:p>
        </w:tc>
        <w:tc>
          <w:tcPr>
            <w:tcW w:w="1033" w:type="pct"/>
            <w:noWrap/>
            <w:vAlign w:val="center"/>
          </w:tcPr>
          <w:p w14:paraId="3E7602B3" w14:textId="155F4414" w:rsidR="00210E24" w:rsidRPr="00AE6460" w:rsidRDefault="00210E24" w:rsidP="00210E24">
            <w:pPr>
              <w:jc w:val="center"/>
              <w:rPr>
                <w:rFonts w:ascii="Calibri" w:eastAsia="Times New Roman" w:hAnsi="Calibri" w:cs="Calibri"/>
                <w:i/>
                <w:color w:val="000000"/>
                <w:sz w:val="20"/>
                <w:szCs w:val="20"/>
                <w:lang w:eastAsia="en-AU"/>
              </w:rPr>
            </w:pPr>
            <w:r w:rsidRPr="00AE6460">
              <w:rPr>
                <w:rFonts w:ascii="Calibri" w:eastAsia="Times New Roman" w:hAnsi="Calibri" w:cs="Calibri"/>
                <w:i/>
                <w:color w:val="000000"/>
                <w:sz w:val="20"/>
                <w:szCs w:val="20"/>
                <w:lang w:eastAsia="en-AU"/>
              </w:rPr>
              <w:t>12%</w:t>
            </w:r>
          </w:p>
        </w:tc>
      </w:tr>
      <w:tr w:rsidR="00210E24" w:rsidRPr="00C33204" w14:paraId="2A0D49DA" w14:textId="77777777" w:rsidTr="00AE6460">
        <w:tc>
          <w:tcPr>
            <w:tcW w:w="1473" w:type="pct"/>
            <w:shd w:val="clear" w:color="auto" w:fill="DEEAF6"/>
          </w:tcPr>
          <w:p w14:paraId="04D0DDDC" w14:textId="026C8B4E" w:rsidR="00210E24" w:rsidRPr="00BE6EFA" w:rsidRDefault="00210E24" w:rsidP="00210E24">
            <w:pPr>
              <w:jc w:val="left"/>
              <w:rPr>
                <w:rFonts w:ascii="Calibri" w:eastAsia="Times New Roman" w:hAnsi="Calibri" w:cs="Calibri"/>
                <w:color w:val="000000"/>
                <w:sz w:val="20"/>
                <w:szCs w:val="20"/>
                <w:lang w:eastAsia="en-AU"/>
              </w:rPr>
            </w:pPr>
            <w:r w:rsidRPr="00BE6EFA">
              <w:rPr>
                <w:sz w:val="20"/>
                <w:szCs w:val="20"/>
              </w:rPr>
              <w:t xml:space="preserve">Two to six services </w:t>
            </w:r>
          </w:p>
        </w:tc>
        <w:tc>
          <w:tcPr>
            <w:tcW w:w="831" w:type="pct"/>
            <w:shd w:val="clear" w:color="auto" w:fill="DEEAF6"/>
            <w:vAlign w:val="center"/>
          </w:tcPr>
          <w:p w14:paraId="5BDBE5B6" w14:textId="4F2DA746" w:rsidR="00210E24" w:rsidRPr="00BE6EFA" w:rsidRDefault="00210E24" w:rsidP="00210E24">
            <w:pPr>
              <w:jc w:val="center"/>
              <w:rPr>
                <w:rFonts w:ascii="Calibri" w:hAnsi="Calibri" w:cs="Calibri"/>
                <w:color w:val="000000"/>
                <w:sz w:val="20"/>
                <w:szCs w:val="20"/>
              </w:rPr>
            </w:pPr>
            <w:r w:rsidRPr="00BE6EFA">
              <w:rPr>
                <w:sz w:val="20"/>
                <w:szCs w:val="20"/>
              </w:rPr>
              <w:t xml:space="preserve"> 92 </w:t>
            </w:r>
          </w:p>
        </w:tc>
        <w:tc>
          <w:tcPr>
            <w:tcW w:w="1662" w:type="pct"/>
            <w:shd w:val="clear" w:color="auto" w:fill="DEEAF6"/>
            <w:noWrap/>
            <w:vAlign w:val="center"/>
          </w:tcPr>
          <w:p w14:paraId="1E085814" w14:textId="02C37B20" w:rsidR="00210E24" w:rsidRPr="009D7F80" w:rsidRDefault="00210E24" w:rsidP="00210E24">
            <w:pPr>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5</w:t>
            </w:r>
          </w:p>
        </w:tc>
        <w:tc>
          <w:tcPr>
            <w:tcW w:w="1033" w:type="pct"/>
            <w:shd w:val="clear" w:color="auto" w:fill="DEEAF6"/>
            <w:noWrap/>
            <w:vAlign w:val="center"/>
          </w:tcPr>
          <w:p w14:paraId="4127AC64" w14:textId="4CAD0051" w:rsidR="00210E24" w:rsidRPr="00AE6460" w:rsidRDefault="00210E24" w:rsidP="00210E24">
            <w:pPr>
              <w:jc w:val="center"/>
              <w:rPr>
                <w:rFonts w:ascii="Calibri" w:eastAsia="Times New Roman" w:hAnsi="Calibri" w:cs="Calibri"/>
                <w:i/>
                <w:color w:val="000000"/>
                <w:sz w:val="20"/>
                <w:szCs w:val="20"/>
                <w:lang w:eastAsia="en-AU"/>
              </w:rPr>
            </w:pPr>
            <w:r w:rsidRPr="00AE6460">
              <w:rPr>
                <w:rFonts w:ascii="Calibri" w:eastAsia="Times New Roman" w:hAnsi="Calibri" w:cs="Calibri"/>
                <w:i/>
                <w:color w:val="000000"/>
                <w:sz w:val="20"/>
                <w:szCs w:val="20"/>
                <w:lang w:eastAsia="en-AU"/>
              </w:rPr>
              <w:t>5%</w:t>
            </w:r>
          </w:p>
        </w:tc>
      </w:tr>
      <w:tr w:rsidR="00210E24" w:rsidRPr="00C33204" w14:paraId="73EB9832" w14:textId="77777777" w:rsidTr="00AE6460">
        <w:tc>
          <w:tcPr>
            <w:tcW w:w="1473" w:type="pct"/>
          </w:tcPr>
          <w:p w14:paraId="5AD6FBA6" w14:textId="6117C8D1" w:rsidR="00210E24" w:rsidRPr="00BE6EFA" w:rsidRDefault="00210E24" w:rsidP="00210E24">
            <w:pPr>
              <w:jc w:val="left"/>
              <w:rPr>
                <w:rFonts w:ascii="Calibri" w:eastAsia="Times New Roman" w:hAnsi="Calibri" w:cs="Calibri"/>
                <w:color w:val="000000"/>
                <w:sz w:val="20"/>
                <w:szCs w:val="20"/>
                <w:lang w:eastAsia="en-AU"/>
              </w:rPr>
            </w:pPr>
            <w:r w:rsidRPr="00BE6EFA">
              <w:rPr>
                <w:sz w:val="20"/>
                <w:szCs w:val="20"/>
              </w:rPr>
              <w:t xml:space="preserve">Seven or more services </w:t>
            </w:r>
          </w:p>
        </w:tc>
        <w:tc>
          <w:tcPr>
            <w:tcW w:w="831" w:type="pct"/>
            <w:vAlign w:val="center"/>
          </w:tcPr>
          <w:p w14:paraId="0480E5C7" w14:textId="0B22756C" w:rsidR="00210E24" w:rsidRPr="00BE6EFA" w:rsidRDefault="00210E24" w:rsidP="00210E24">
            <w:pPr>
              <w:jc w:val="center"/>
              <w:rPr>
                <w:rFonts w:ascii="Calibri" w:hAnsi="Calibri" w:cs="Calibri"/>
                <w:color w:val="000000"/>
                <w:sz w:val="20"/>
                <w:szCs w:val="20"/>
              </w:rPr>
            </w:pPr>
            <w:r w:rsidRPr="00BE6EFA">
              <w:rPr>
                <w:sz w:val="20"/>
                <w:szCs w:val="20"/>
              </w:rPr>
              <w:t xml:space="preserve"> 51 </w:t>
            </w:r>
          </w:p>
        </w:tc>
        <w:tc>
          <w:tcPr>
            <w:tcW w:w="1662" w:type="pct"/>
            <w:noWrap/>
            <w:vAlign w:val="center"/>
          </w:tcPr>
          <w:p w14:paraId="5FFBA7EE" w14:textId="23F1FB78" w:rsidR="00210E24" w:rsidRPr="009D7F80" w:rsidRDefault="00210E24" w:rsidP="00210E24">
            <w:pPr>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6</w:t>
            </w:r>
          </w:p>
        </w:tc>
        <w:tc>
          <w:tcPr>
            <w:tcW w:w="1033" w:type="pct"/>
            <w:noWrap/>
            <w:vAlign w:val="center"/>
          </w:tcPr>
          <w:p w14:paraId="54664ED8" w14:textId="37A8C910" w:rsidR="00210E24" w:rsidRPr="00AE6460" w:rsidRDefault="00210E24" w:rsidP="00210E24">
            <w:pPr>
              <w:jc w:val="center"/>
              <w:rPr>
                <w:rFonts w:ascii="Calibri" w:eastAsia="Times New Roman" w:hAnsi="Calibri" w:cs="Calibri"/>
                <w:i/>
                <w:color w:val="000000"/>
                <w:sz w:val="20"/>
                <w:szCs w:val="20"/>
                <w:lang w:eastAsia="en-AU"/>
              </w:rPr>
            </w:pPr>
            <w:r w:rsidRPr="00AE6460">
              <w:rPr>
                <w:rFonts w:ascii="Calibri" w:eastAsia="Times New Roman" w:hAnsi="Calibri" w:cs="Calibri"/>
                <w:i/>
                <w:color w:val="000000"/>
                <w:sz w:val="20"/>
                <w:szCs w:val="20"/>
                <w:lang w:eastAsia="en-AU"/>
              </w:rPr>
              <w:t>12%</w:t>
            </w:r>
          </w:p>
        </w:tc>
      </w:tr>
      <w:tr w:rsidR="00210E24" w:rsidRPr="00C33204" w14:paraId="4EF5D832" w14:textId="77777777" w:rsidTr="00AE6460">
        <w:tc>
          <w:tcPr>
            <w:tcW w:w="1473" w:type="pct"/>
            <w:shd w:val="clear" w:color="auto" w:fill="FFE599" w:themeFill="accent4" w:themeFillTint="66"/>
            <w:vAlign w:val="center"/>
          </w:tcPr>
          <w:p w14:paraId="303AAD4D" w14:textId="7325B2A9" w:rsidR="00210E24" w:rsidRPr="009D7F80" w:rsidRDefault="00AE6460" w:rsidP="00623B6F">
            <w:pPr>
              <w:jc w:val="left"/>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Total</w:t>
            </w:r>
          </w:p>
        </w:tc>
        <w:tc>
          <w:tcPr>
            <w:tcW w:w="831" w:type="pct"/>
            <w:shd w:val="clear" w:color="auto" w:fill="FFE599" w:themeFill="accent4" w:themeFillTint="66"/>
            <w:vAlign w:val="center"/>
          </w:tcPr>
          <w:p w14:paraId="5617359E" w14:textId="77777777" w:rsidR="00210E24" w:rsidRDefault="00210E24" w:rsidP="00623B6F">
            <w:pPr>
              <w:jc w:val="center"/>
              <w:rPr>
                <w:rFonts w:ascii="Calibri" w:hAnsi="Calibri" w:cs="Calibri"/>
                <w:b/>
                <w:bCs/>
                <w:color w:val="000000"/>
                <w:sz w:val="20"/>
                <w:szCs w:val="20"/>
              </w:rPr>
            </w:pPr>
            <w:r>
              <w:rPr>
                <w:rFonts w:ascii="Calibri" w:hAnsi="Calibri" w:cs="Calibri"/>
                <w:b/>
                <w:bCs/>
                <w:color w:val="000000"/>
                <w:sz w:val="20"/>
                <w:szCs w:val="20"/>
              </w:rPr>
              <w:t>535</w:t>
            </w:r>
          </w:p>
        </w:tc>
        <w:tc>
          <w:tcPr>
            <w:tcW w:w="1662" w:type="pct"/>
            <w:shd w:val="clear" w:color="auto" w:fill="FFE599" w:themeFill="accent4" w:themeFillTint="66"/>
            <w:noWrap/>
            <w:vAlign w:val="center"/>
          </w:tcPr>
          <w:p w14:paraId="5370D5A6" w14:textId="79031733" w:rsidR="00210E24" w:rsidRPr="009D7F80" w:rsidRDefault="00210E24" w:rsidP="00623B6F">
            <w:pPr>
              <w:jc w:val="center"/>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58</w:t>
            </w:r>
          </w:p>
        </w:tc>
        <w:tc>
          <w:tcPr>
            <w:tcW w:w="1033" w:type="pct"/>
            <w:shd w:val="clear" w:color="auto" w:fill="FFE599" w:themeFill="accent4" w:themeFillTint="66"/>
            <w:noWrap/>
            <w:vAlign w:val="center"/>
          </w:tcPr>
          <w:p w14:paraId="2AC126AF" w14:textId="36DDC0EA" w:rsidR="00210E24" w:rsidRPr="00AE6460" w:rsidRDefault="00210E24" w:rsidP="00623B6F">
            <w:pPr>
              <w:jc w:val="center"/>
              <w:rPr>
                <w:rFonts w:ascii="Calibri" w:eastAsia="Times New Roman" w:hAnsi="Calibri" w:cs="Calibri"/>
                <w:b/>
                <w:bCs/>
                <w:i/>
                <w:color w:val="000000"/>
                <w:sz w:val="20"/>
                <w:szCs w:val="20"/>
                <w:lang w:eastAsia="en-AU"/>
              </w:rPr>
            </w:pPr>
            <w:r w:rsidRPr="00AE6460">
              <w:rPr>
                <w:rFonts w:ascii="Calibri" w:eastAsia="Times New Roman" w:hAnsi="Calibri" w:cs="Calibri"/>
                <w:b/>
                <w:bCs/>
                <w:i/>
                <w:color w:val="000000"/>
                <w:sz w:val="20"/>
                <w:szCs w:val="20"/>
                <w:lang w:eastAsia="en-AU"/>
              </w:rPr>
              <w:t>11%</w:t>
            </w:r>
          </w:p>
        </w:tc>
      </w:tr>
    </w:tbl>
    <w:p w14:paraId="6AB012F6" w14:textId="602C117A" w:rsidR="00623B6F" w:rsidRDefault="00623B6F" w:rsidP="001E5BD2">
      <w:r>
        <w:br w:type="page"/>
      </w:r>
    </w:p>
    <w:bookmarkEnd w:id="56"/>
    <w:p w14:paraId="627111CF" w14:textId="66425765" w:rsidR="00664F7E" w:rsidRDefault="001A1D88" w:rsidP="005453C7">
      <w:pPr>
        <w:pStyle w:val="SubHeading"/>
      </w:pPr>
      <w:r>
        <w:lastRenderedPageBreak/>
        <w:t>Analysis b</w:t>
      </w:r>
      <w:r w:rsidR="00664F7E" w:rsidRPr="005F7B7F">
        <w:t xml:space="preserve">y </w:t>
      </w:r>
      <w:r>
        <w:t>Ownership Structure</w:t>
      </w:r>
      <w:r w:rsidR="00664F7E">
        <w:t xml:space="preserve"> </w:t>
      </w:r>
    </w:p>
    <w:p w14:paraId="007F4DB0" w14:textId="7D70C9B8" w:rsidR="00536293" w:rsidRDefault="00536293" w:rsidP="00170405">
      <w:pPr>
        <w:spacing w:after="120"/>
      </w:pPr>
      <w:r>
        <w:t>ACFA report</w:t>
      </w:r>
      <w:r w:rsidR="001A1D88">
        <w:t>ing</w:t>
      </w:r>
      <w:r>
        <w:t xml:space="preserve"> </w:t>
      </w:r>
      <w:r w:rsidR="001A1D88">
        <w:t>defines</w:t>
      </w:r>
      <w:r>
        <w:t xml:space="preserve"> </w:t>
      </w:r>
      <w:r w:rsidR="001A1D88">
        <w:t xml:space="preserve">ownership </w:t>
      </w:r>
      <w:r>
        <w:t xml:space="preserve">categories </w:t>
      </w:r>
      <w:r w:rsidR="00F26659">
        <w:t>which we have also adopted as follows:-</w:t>
      </w:r>
    </w:p>
    <w:p w14:paraId="2ED41269" w14:textId="77777777" w:rsidR="00536293" w:rsidRDefault="00536293" w:rsidP="005D395A">
      <w:pPr>
        <w:pStyle w:val="ListParagraph"/>
        <w:numPr>
          <w:ilvl w:val="0"/>
          <w:numId w:val="6"/>
        </w:numPr>
        <w:ind w:left="426" w:hanging="284"/>
      </w:pPr>
      <w:r>
        <w:t xml:space="preserve">Not for profit </w:t>
      </w:r>
    </w:p>
    <w:p w14:paraId="18D305D6" w14:textId="77777777" w:rsidR="00536293" w:rsidRDefault="00536293" w:rsidP="005D395A">
      <w:pPr>
        <w:pStyle w:val="ListParagraph"/>
        <w:numPr>
          <w:ilvl w:val="0"/>
          <w:numId w:val="6"/>
        </w:numPr>
        <w:ind w:left="426" w:hanging="284"/>
      </w:pPr>
      <w:r>
        <w:t xml:space="preserve">For profit </w:t>
      </w:r>
    </w:p>
    <w:p w14:paraId="7293B0DA" w14:textId="77777777" w:rsidR="00536293" w:rsidRDefault="00536293" w:rsidP="005D395A">
      <w:pPr>
        <w:pStyle w:val="ListParagraph"/>
        <w:numPr>
          <w:ilvl w:val="0"/>
          <w:numId w:val="6"/>
        </w:numPr>
        <w:ind w:left="426" w:hanging="284"/>
      </w:pPr>
      <w:r>
        <w:t xml:space="preserve">Government </w:t>
      </w:r>
    </w:p>
    <w:p w14:paraId="0A166706" w14:textId="2EDB4C96" w:rsidR="001E5BD2" w:rsidRPr="00F26659" w:rsidRDefault="001E5BD2" w:rsidP="00170405">
      <w:pPr>
        <w:ind w:firstLine="426"/>
        <w:rPr>
          <w:i/>
        </w:rPr>
      </w:pPr>
      <w:r w:rsidRPr="00F26659">
        <w:rPr>
          <w:i/>
        </w:rPr>
        <w:t xml:space="preserve">Government </w:t>
      </w:r>
      <w:r w:rsidR="00F26659">
        <w:rPr>
          <w:i/>
        </w:rPr>
        <w:t xml:space="preserve">providers </w:t>
      </w:r>
      <w:r w:rsidRPr="00F26659">
        <w:rPr>
          <w:i/>
        </w:rPr>
        <w:t xml:space="preserve">have been excluded from our analysis </w:t>
      </w:r>
    </w:p>
    <w:p w14:paraId="6D055448" w14:textId="7320A32B" w:rsidR="00536293" w:rsidRDefault="00536293" w:rsidP="0094467E">
      <w:pPr>
        <w:rPr>
          <w:b/>
          <w:i/>
        </w:rPr>
      </w:pPr>
    </w:p>
    <w:p w14:paraId="01C68566" w14:textId="3E2543F8" w:rsidR="005C2BB9" w:rsidRPr="00623B6F" w:rsidRDefault="005C2BB9" w:rsidP="005C2BB9">
      <w:pPr>
        <w:pStyle w:val="Caption"/>
        <w:spacing w:before="0"/>
      </w:pPr>
      <w:r w:rsidRPr="00623B6F">
        <w:t xml:space="preserve">Table </w:t>
      </w:r>
      <w:fldSimple w:instr=" SEQ Table \* ARABIC ">
        <w:r w:rsidR="00844346">
          <w:rPr>
            <w:noProof/>
          </w:rPr>
          <w:t>22</w:t>
        </w:r>
      </w:fldSimple>
      <w:r w:rsidRPr="00623B6F">
        <w:t xml:space="preserve">: </w:t>
      </w:r>
      <w:r w:rsidR="001A1D88">
        <w:t>A</w:t>
      </w:r>
      <w:r w:rsidR="00796180">
        <w:t>P</w:t>
      </w:r>
      <w:r w:rsidR="001A1D88">
        <w:t xml:space="preserve"> </w:t>
      </w:r>
      <w:r w:rsidRPr="00623B6F">
        <w:t>Category by</w:t>
      </w:r>
      <w:r w:rsidR="001A1D88">
        <w:t xml:space="preserve"> ownership</w:t>
      </w:r>
    </w:p>
    <w:tbl>
      <w:tblPr>
        <w:tblStyle w:val="TableGrid"/>
        <w:tblW w:w="4968" w:type="pct"/>
        <w:tblLook w:val="04A0" w:firstRow="1" w:lastRow="0" w:firstColumn="1" w:lastColumn="0" w:noHBand="0" w:noVBand="1"/>
        <w:tblCaption w:val="Table 22: AP Category by ownership"/>
      </w:tblPr>
      <w:tblGrid>
        <w:gridCol w:w="4707"/>
        <w:gridCol w:w="3061"/>
        <w:gridCol w:w="1798"/>
      </w:tblGrid>
      <w:tr w:rsidR="00170405" w:rsidRPr="00B80ED2" w14:paraId="41B48075" w14:textId="77777777" w:rsidTr="00627E62">
        <w:trPr>
          <w:trHeight w:val="340"/>
          <w:tblHeader/>
        </w:trPr>
        <w:tc>
          <w:tcPr>
            <w:tcW w:w="2460" w:type="pct"/>
            <w:shd w:val="clear" w:color="auto" w:fill="D9E2F3" w:themeFill="accent5" w:themeFillTint="33"/>
            <w:vAlign w:val="center"/>
          </w:tcPr>
          <w:p w14:paraId="37F84AE9" w14:textId="77777777" w:rsidR="005C2BB9" w:rsidRPr="00170405" w:rsidRDefault="005C2BB9" w:rsidP="00D910DF">
            <w:pPr>
              <w:jc w:val="left"/>
              <w:rPr>
                <w:b/>
                <w:bCs/>
                <w:sz w:val="20"/>
                <w:szCs w:val="20"/>
              </w:rPr>
            </w:pPr>
            <w:r w:rsidRPr="00170405">
              <w:rPr>
                <w:b/>
                <w:bCs/>
                <w:sz w:val="20"/>
                <w:szCs w:val="20"/>
              </w:rPr>
              <w:t>Category</w:t>
            </w:r>
          </w:p>
        </w:tc>
        <w:tc>
          <w:tcPr>
            <w:tcW w:w="1600" w:type="pct"/>
            <w:shd w:val="clear" w:color="auto" w:fill="D9E2F3" w:themeFill="accent5" w:themeFillTint="33"/>
            <w:vAlign w:val="center"/>
          </w:tcPr>
          <w:p w14:paraId="4B5E909B" w14:textId="77777777" w:rsidR="005C2BB9" w:rsidRPr="00170405" w:rsidRDefault="005C2BB9" w:rsidP="00D910DF">
            <w:pPr>
              <w:jc w:val="center"/>
              <w:rPr>
                <w:b/>
                <w:bCs/>
                <w:sz w:val="20"/>
                <w:szCs w:val="20"/>
              </w:rPr>
            </w:pPr>
            <w:r w:rsidRPr="00170405">
              <w:rPr>
                <w:b/>
                <w:bCs/>
                <w:sz w:val="20"/>
                <w:szCs w:val="20"/>
              </w:rPr>
              <w:t>Number of providers in 2018-19</w:t>
            </w:r>
          </w:p>
        </w:tc>
        <w:tc>
          <w:tcPr>
            <w:tcW w:w="940" w:type="pct"/>
            <w:shd w:val="clear" w:color="auto" w:fill="D9E2F3" w:themeFill="accent5" w:themeFillTint="33"/>
            <w:vAlign w:val="center"/>
          </w:tcPr>
          <w:p w14:paraId="05DE717D" w14:textId="77777777" w:rsidR="005C2BB9" w:rsidRPr="00170405" w:rsidRDefault="005C2BB9" w:rsidP="00D910DF">
            <w:pPr>
              <w:jc w:val="center"/>
              <w:rPr>
                <w:b/>
                <w:bCs/>
                <w:sz w:val="20"/>
                <w:szCs w:val="20"/>
              </w:rPr>
            </w:pPr>
            <w:r w:rsidRPr="00170405">
              <w:rPr>
                <w:b/>
                <w:bCs/>
                <w:sz w:val="20"/>
                <w:szCs w:val="20"/>
              </w:rPr>
              <w:t>%</w:t>
            </w:r>
          </w:p>
        </w:tc>
      </w:tr>
      <w:tr w:rsidR="00170405" w:rsidRPr="00B80ED2" w14:paraId="2CB91988" w14:textId="77777777" w:rsidTr="00170405">
        <w:trPr>
          <w:trHeight w:val="283"/>
        </w:trPr>
        <w:tc>
          <w:tcPr>
            <w:tcW w:w="2460" w:type="pct"/>
            <w:vAlign w:val="center"/>
          </w:tcPr>
          <w:p w14:paraId="44B0DD3F" w14:textId="2C728DEE" w:rsidR="005C2BB9" w:rsidRPr="00170405" w:rsidRDefault="005C2BB9" w:rsidP="00170405">
            <w:pPr>
              <w:jc w:val="left"/>
              <w:rPr>
                <w:sz w:val="20"/>
                <w:szCs w:val="20"/>
              </w:rPr>
            </w:pPr>
            <w:r w:rsidRPr="00170405">
              <w:rPr>
                <w:rFonts w:ascii="Calibri" w:hAnsi="Calibri" w:cs="Calibri"/>
                <w:color w:val="000000"/>
                <w:sz w:val="20"/>
                <w:szCs w:val="20"/>
              </w:rPr>
              <w:t>Not for Profit</w:t>
            </w:r>
          </w:p>
        </w:tc>
        <w:tc>
          <w:tcPr>
            <w:tcW w:w="1600" w:type="pct"/>
            <w:vAlign w:val="center"/>
          </w:tcPr>
          <w:p w14:paraId="5024A46F" w14:textId="290B3767" w:rsidR="005C2BB9" w:rsidRPr="00170405" w:rsidRDefault="000A1659" w:rsidP="005C2BB9">
            <w:pPr>
              <w:jc w:val="center"/>
              <w:rPr>
                <w:sz w:val="20"/>
                <w:szCs w:val="20"/>
              </w:rPr>
            </w:pPr>
            <w:r w:rsidRPr="00170405">
              <w:rPr>
                <w:rFonts w:ascii="Calibri" w:hAnsi="Calibri" w:cs="Calibri"/>
                <w:color w:val="000000"/>
                <w:sz w:val="20"/>
                <w:szCs w:val="20"/>
              </w:rPr>
              <w:t>307</w:t>
            </w:r>
          </w:p>
        </w:tc>
        <w:tc>
          <w:tcPr>
            <w:tcW w:w="940" w:type="pct"/>
            <w:vAlign w:val="center"/>
          </w:tcPr>
          <w:p w14:paraId="28C51B67" w14:textId="5E951AA2" w:rsidR="005C2BB9" w:rsidRPr="00170405" w:rsidRDefault="005453C7" w:rsidP="005C2BB9">
            <w:pPr>
              <w:jc w:val="center"/>
              <w:rPr>
                <w:i/>
                <w:sz w:val="20"/>
                <w:szCs w:val="20"/>
              </w:rPr>
            </w:pPr>
            <w:r w:rsidRPr="00170405">
              <w:rPr>
                <w:rFonts w:ascii="Calibri" w:hAnsi="Calibri" w:cs="Calibri"/>
                <w:i/>
                <w:color w:val="000000"/>
                <w:sz w:val="20"/>
                <w:szCs w:val="20"/>
              </w:rPr>
              <w:t>42</w:t>
            </w:r>
            <w:r w:rsidR="005C2BB9" w:rsidRPr="00170405">
              <w:rPr>
                <w:rFonts w:ascii="Calibri" w:hAnsi="Calibri" w:cs="Calibri"/>
                <w:i/>
                <w:color w:val="000000"/>
                <w:sz w:val="20"/>
                <w:szCs w:val="20"/>
              </w:rPr>
              <w:t>%</w:t>
            </w:r>
          </w:p>
        </w:tc>
      </w:tr>
      <w:tr w:rsidR="00170405" w:rsidRPr="00B80ED2" w14:paraId="6621F7DA" w14:textId="77777777" w:rsidTr="00170405">
        <w:trPr>
          <w:trHeight w:val="283"/>
        </w:trPr>
        <w:tc>
          <w:tcPr>
            <w:tcW w:w="2460" w:type="pct"/>
            <w:shd w:val="clear" w:color="auto" w:fill="auto"/>
            <w:vAlign w:val="center"/>
          </w:tcPr>
          <w:p w14:paraId="54154B73" w14:textId="56D08D62" w:rsidR="005C2BB9" w:rsidRPr="00170405" w:rsidRDefault="005C2BB9" w:rsidP="00170405">
            <w:pPr>
              <w:jc w:val="left"/>
              <w:rPr>
                <w:sz w:val="20"/>
                <w:szCs w:val="20"/>
              </w:rPr>
            </w:pPr>
            <w:r w:rsidRPr="00170405">
              <w:rPr>
                <w:rFonts w:ascii="Calibri" w:hAnsi="Calibri" w:cs="Calibri"/>
                <w:color w:val="000000"/>
                <w:sz w:val="20"/>
                <w:szCs w:val="20"/>
              </w:rPr>
              <w:t>For Profit</w:t>
            </w:r>
          </w:p>
        </w:tc>
        <w:tc>
          <w:tcPr>
            <w:tcW w:w="1600" w:type="pct"/>
            <w:shd w:val="clear" w:color="auto" w:fill="auto"/>
            <w:vAlign w:val="center"/>
          </w:tcPr>
          <w:p w14:paraId="4FFC5AD6" w14:textId="1E8A76AE" w:rsidR="005C2BB9" w:rsidRPr="00170405" w:rsidRDefault="000A1659" w:rsidP="005C2BB9">
            <w:pPr>
              <w:jc w:val="center"/>
              <w:rPr>
                <w:sz w:val="20"/>
                <w:szCs w:val="20"/>
              </w:rPr>
            </w:pPr>
            <w:r w:rsidRPr="00170405">
              <w:rPr>
                <w:rFonts w:ascii="Calibri" w:hAnsi="Calibri" w:cs="Calibri"/>
                <w:color w:val="000000"/>
                <w:sz w:val="20"/>
                <w:szCs w:val="20"/>
              </w:rPr>
              <w:t>228</w:t>
            </w:r>
          </w:p>
        </w:tc>
        <w:tc>
          <w:tcPr>
            <w:tcW w:w="940" w:type="pct"/>
            <w:shd w:val="clear" w:color="auto" w:fill="auto"/>
            <w:vAlign w:val="center"/>
          </w:tcPr>
          <w:p w14:paraId="1F359857" w14:textId="0DE62109" w:rsidR="005C2BB9" w:rsidRPr="00170405" w:rsidRDefault="005453C7" w:rsidP="005C2BB9">
            <w:pPr>
              <w:jc w:val="center"/>
              <w:rPr>
                <w:i/>
                <w:sz w:val="20"/>
                <w:szCs w:val="20"/>
              </w:rPr>
            </w:pPr>
            <w:r w:rsidRPr="00170405">
              <w:rPr>
                <w:rFonts w:ascii="Calibri" w:hAnsi="Calibri" w:cs="Calibri"/>
                <w:i/>
                <w:color w:val="000000"/>
                <w:sz w:val="20"/>
                <w:szCs w:val="20"/>
              </w:rPr>
              <w:t>31</w:t>
            </w:r>
            <w:r w:rsidR="005C2BB9" w:rsidRPr="00170405">
              <w:rPr>
                <w:rFonts w:ascii="Calibri" w:hAnsi="Calibri" w:cs="Calibri"/>
                <w:i/>
                <w:color w:val="000000"/>
                <w:sz w:val="20"/>
                <w:szCs w:val="20"/>
              </w:rPr>
              <w:t>%</w:t>
            </w:r>
          </w:p>
        </w:tc>
      </w:tr>
      <w:tr w:rsidR="00170405" w:rsidRPr="00EB677C" w14:paraId="14E9D527" w14:textId="77777777" w:rsidTr="00170405">
        <w:trPr>
          <w:trHeight w:val="283"/>
        </w:trPr>
        <w:tc>
          <w:tcPr>
            <w:tcW w:w="2460" w:type="pct"/>
            <w:vAlign w:val="center"/>
          </w:tcPr>
          <w:p w14:paraId="3AD4F0FC" w14:textId="77777777" w:rsidR="005C2BB9" w:rsidRPr="00170405" w:rsidRDefault="005C2BB9" w:rsidP="00170405">
            <w:pPr>
              <w:jc w:val="left"/>
              <w:rPr>
                <w:b/>
                <w:bCs/>
                <w:sz w:val="20"/>
                <w:szCs w:val="20"/>
              </w:rPr>
            </w:pPr>
            <w:r w:rsidRPr="00170405">
              <w:rPr>
                <w:b/>
                <w:bCs/>
                <w:sz w:val="20"/>
                <w:szCs w:val="20"/>
              </w:rPr>
              <w:t xml:space="preserve">Sub-total </w:t>
            </w:r>
          </w:p>
        </w:tc>
        <w:tc>
          <w:tcPr>
            <w:tcW w:w="1600" w:type="pct"/>
            <w:vAlign w:val="center"/>
          </w:tcPr>
          <w:p w14:paraId="162DCD04" w14:textId="15E9EB0B" w:rsidR="005C2BB9" w:rsidRPr="00170405" w:rsidRDefault="000A1659" w:rsidP="005C2BB9">
            <w:pPr>
              <w:jc w:val="center"/>
              <w:rPr>
                <w:b/>
                <w:bCs/>
                <w:sz w:val="20"/>
                <w:szCs w:val="20"/>
              </w:rPr>
            </w:pPr>
            <w:r w:rsidRPr="00170405">
              <w:rPr>
                <w:rFonts w:ascii="Calibri" w:hAnsi="Calibri" w:cs="Calibri"/>
                <w:b/>
                <w:bCs/>
                <w:color w:val="000000"/>
                <w:sz w:val="20"/>
                <w:szCs w:val="20"/>
              </w:rPr>
              <w:t>535</w:t>
            </w:r>
          </w:p>
        </w:tc>
        <w:tc>
          <w:tcPr>
            <w:tcW w:w="940" w:type="pct"/>
            <w:vAlign w:val="center"/>
          </w:tcPr>
          <w:p w14:paraId="761EC148" w14:textId="673D4DFB" w:rsidR="005C2BB9" w:rsidRPr="00170405" w:rsidRDefault="005453C7" w:rsidP="005C2BB9">
            <w:pPr>
              <w:jc w:val="center"/>
              <w:rPr>
                <w:rFonts w:ascii="Calibri" w:hAnsi="Calibri" w:cs="Calibri"/>
                <w:b/>
                <w:bCs/>
                <w:i/>
                <w:color w:val="000000"/>
                <w:sz w:val="20"/>
                <w:szCs w:val="20"/>
              </w:rPr>
            </w:pPr>
            <w:r w:rsidRPr="00170405">
              <w:rPr>
                <w:rFonts w:ascii="Calibri" w:hAnsi="Calibri" w:cs="Calibri"/>
                <w:b/>
                <w:bCs/>
                <w:i/>
                <w:color w:val="000000"/>
                <w:sz w:val="20"/>
                <w:szCs w:val="20"/>
              </w:rPr>
              <w:t>73</w:t>
            </w:r>
            <w:r w:rsidR="005C2BB9" w:rsidRPr="00170405">
              <w:rPr>
                <w:rFonts w:ascii="Calibri" w:hAnsi="Calibri" w:cs="Calibri"/>
                <w:b/>
                <w:bCs/>
                <w:i/>
                <w:color w:val="000000"/>
                <w:sz w:val="20"/>
                <w:szCs w:val="20"/>
              </w:rPr>
              <w:t>%</w:t>
            </w:r>
          </w:p>
        </w:tc>
      </w:tr>
      <w:tr w:rsidR="00170405" w:rsidRPr="00B80ED2" w14:paraId="3E33C624" w14:textId="77777777" w:rsidTr="00170405">
        <w:trPr>
          <w:trHeight w:val="283"/>
        </w:trPr>
        <w:tc>
          <w:tcPr>
            <w:tcW w:w="2460" w:type="pct"/>
            <w:vAlign w:val="center"/>
          </w:tcPr>
          <w:p w14:paraId="69A30585" w14:textId="77777777" w:rsidR="005C2BB9" w:rsidRPr="00170405" w:rsidRDefault="005C2BB9" w:rsidP="00170405">
            <w:pPr>
              <w:jc w:val="left"/>
              <w:rPr>
                <w:sz w:val="20"/>
                <w:szCs w:val="20"/>
              </w:rPr>
            </w:pPr>
            <w:r w:rsidRPr="00170405">
              <w:rPr>
                <w:sz w:val="20"/>
                <w:szCs w:val="20"/>
              </w:rPr>
              <w:t>Government and excluded</w:t>
            </w:r>
          </w:p>
        </w:tc>
        <w:tc>
          <w:tcPr>
            <w:tcW w:w="1600" w:type="pct"/>
            <w:vAlign w:val="center"/>
          </w:tcPr>
          <w:p w14:paraId="2E179CAE" w14:textId="5045E4EF" w:rsidR="005C2BB9" w:rsidRPr="00170405" w:rsidRDefault="005453C7" w:rsidP="005C2BB9">
            <w:pPr>
              <w:jc w:val="center"/>
              <w:rPr>
                <w:sz w:val="20"/>
                <w:szCs w:val="20"/>
              </w:rPr>
            </w:pPr>
            <w:r w:rsidRPr="00170405">
              <w:rPr>
                <w:rFonts w:ascii="Calibri" w:hAnsi="Calibri" w:cs="Calibri"/>
                <w:color w:val="000000"/>
                <w:sz w:val="20"/>
                <w:szCs w:val="20"/>
              </w:rPr>
              <w:t>202</w:t>
            </w:r>
          </w:p>
        </w:tc>
        <w:tc>
          <w:tcPr>
            <w:tcW w:w="940" w:type="pct"/>
            <w:vAlign w:val="center"/>
          </w:tcPr>
          <w:p w14:paraId="5AE27F20" w14:textId="10C87EE5" w:rsidR="005C2BB9" w:rsidRPr="00170405" w:rsidRDefault="005453C7" w:rsidP="005C2BB9">
            <w:pPr>
              <w:jc w:val="center"/>
              <w:rPr>
                <w:rFonts w:ascii="Calibri" w:hAnsi="Calibri" w:cs="Calibri"/>
                <w:i/>
                <w:color w:val="000000"/>
                <w:sz w:val="20"/>
                <w:szCs w:val="20"/>
              </w:rPr>
            </w:pPr>
            <w:r w:rsidRPr="00170405">
              <w:rPr>
                <w:rFonts w:ascii="Calibri" w:hAnsi="Calibri" w:cs="Calibri"/>
                <w:i/>
                <w:color w:val="000000"/>
                <w:sz w:val="20"/>
                <w:szCs w:val="20"/>
              </w:rPr>
              <w:t>27</w:t>
            </w:r>
            <w:r w:rsidR="005C2BB9" w:rsidRPr="00170405">
              <w:rPr>
                <w:rFonts w:ascii="Calibri" w:hAnsi="Calibri" w:cs="Calibri"/>
                <w:i/>
                <w:color w:val="000000"/>
                <w:sz w:val="20"/>
                <w:szCs w:val="20"/>
              </w:rPr>
              <w:t>%</w:t>
            </w:r>
          </w:p>
        </w:tc>
      </w:tr>
      <w:tr w:rsidR="00170405" w:rsidRPr="00B80ED2" w14:paraId="6328C47C" w14:textId="77777777" w:rsidTr="00170405">
        <w:trPr>
          <w:trHeight w:val="283"/>
        </w:trPr>
        <w:tc>
          <w:tcPr>
            <w:tcW w:w="2460" w:type="pct"/>
            <w:shd w:val="clear" w:color="auto" w:fill="FFE599" w:themeFill="accent4" w:themeFillTint="66"/>
            <w:vAlign w:val="center"/>
          </w:tcPr>
          <w:p w14:paraId="634532E9" w14:textId="77777777" w:rsidR="005C2BB9" w:rsidRPr="00170405" w:rsidRDefault="005C2BB9" w:rsidP="00170405">
            <w:pPr>
              <w:jc w:val="left"/>
              <w:rPr>
                <w:b/>
                <w:sz w:val="20"/>
                <w:szCs w:val="20"/>
              </w:rPr>
            </w:pPr>
            <w:r w:rsidRPr="00170405">
              <w:rPr>
                <w:b/>
                <w:sz w:val="20"/>
                <w:szCs w:val="20"/>
              </w:rPr>
              <w:t xml:space="preserve">Total </w:t>
            </w:r>
          </w:p>
        </w:tc>
        <w:tc>
          <w:tcPr>
            <w:tcW w:w="1600" w:type="pct"/>
            <w:shd w:val="clear" w:color="auto" w:fill="FFE599" w:themeFill="accent4" w:themeFillTint="66"/>
            <w:vAlign w:val="center"/>
          </w:tcPr>
          <w:p w14:paraId="70BEFAB2" w14:textId="2C9A2898" w:rsidR="005C2BB9" w:rsidRPr="00170405" w:rsidRDefault="005453C7" w:rsidP="005C2BB9">
            <w:pPr>
              <w:jc w:val="center"/>
              <w:rPr>
                <w:sz w:val="20"/>
                <w:szCs w:val="20"/>
              </w:rPr>
            </w:pPr>
            <w:r w:rsidRPr="00170405">
              <w:rPr>
                <w:rFonts w:ascii="Calibri" w:hAnsi="Calibri" w:cs="Calibri"/>
                <w:b/>
                <w:bCs/>
                <w:color w:val="000000"/>
                <w:sz w:val="20"/>
                <w:szCs w:val="20"/>
              </w:rPr>
              <w:t>737</w:t>
            </w:r>
          </w:p>
        </w:tc>
        <w:tc>
          <w:tcPr>
            <w:tcW w:w="940" w:type="pct"/>
            <w:shd w:val="clear" w:color="auto" w:fill="FFE599" w:themeFill="accent4" w:themeFillTint="66"/>
            <w:vAlign w:val="center"/>
          </w:tcPr>
          <w:p w14:paraId="69A467A3" w14:textId="1DF7E70A" w:rsidR="005C2BB9" w:rsidRPr="00170405" w:rsidRDefault="005C2BB9" w:rsidP="005C2BB9">
            <w:pPr>
              <w:jc w:val="center"/>
              <w:rPr>
                <w:b/>
                <w:i/>
                <w:sz w:val="20"/>
                <w:szCs w:val="20"/>
              </w:rPr>
            </w:pPr>
            <w:r w:rsidRPr="00170405">
              <w:rPr>
                <w:rFonts w:ascii="Calibri" w:hAnsi="Calibri" w:cs="Calibri"/>
                <w:b/>
                <w:bCs/>
                <w:i/>
                <w:color w:val="000000"/>
                <w:sz w:val="20"/>
                <w:szCs w:val="20"/>
              </w:rPr>
              <w:t>100%</w:t>
            </w:r>
          </w:p>
        </w:tc>
      </w:tr>
    </w:tbl>
    <w:p w14:paraId="2E06B4F2" w14:textId="77777777" w:rsidR="005C2BB9" w:rsidRDefault="005C2BB9" w:rsidP="005C2BB9">
      <w:pPr>
        <w:pStyle w:val="ListParagraph"/>
      </w:pPr>
    </w:p>
    <w:p w14:paraId="23D00DE9" w14:textId="5A7DD9AB" w:rsidR="00EF4EF8" w:rsidRDefault="00EF4EF8" w:rsidP="00EF4EF8">
      <w:pPr>
        <w:pStyle w:val="Caption"/>
        <w:keepNext/>
      </w:pPr>
      <w:r>
        <w:t xml:space="preserve">Table </w:t>
      </w:r>
      <w:fldSimple w:instr=" SEQ Table \* ARABIC ">
        <w:r w:rsidR="00844346">
          <w:rPr>
            <w:noProof/>
          </w:rPr>
          <w:t>23</w:t>
        </w:r>
      </w:fldSimple>
      <w:r>
        <w:t xml:space="preserve">: </w:t>
      </w:r>
      <w:r w:rsidR="005453C7">
        <w:t>Analysis</w:t>
      </w:r>
      <w:r>
        <w:t xml:space="preserve"> of </w:t>
      </w:r>
      <w:r w:rsidR="00796180">
        <w:t>AP</w:t>
      </w:r>
      <w:r>
        <w:t>s</w:t>
      </w:r>
      <w:r w:rsidR="001A1D88">
        <w:t xml:space="preserve"> </w:t>
      </w:r>
      <w:r>
        <w:t>ability to pay operating costs while subsidy payments are deferred</w:t>
      </w:r>
      <w:r w:rsidR="005453C7">
        <w:t xml:space="preserve"> </w:t>
      </w:r>
      <w:r w:rsidR="001A1D88">
        <w:t>(based on</w:t>
      </w:r>
      <w:r w:rsidR="005453C7">
        <w:t xml:space="preserve"> </w:t>
      </w:r>
      <w:r w:rsidR="001A1D88">
        <w:t>ownership)</w:t>
      </w:r>
    </w:p>
    <w:tbl>
      <w:tblPr>
        <w:tblStyle w:val="TableGrid"/>
        <w:tblW w:w="5000" w:type="pct"/>
        <w:tblLayout w:type="fixed"/>
        <w:tblLook w:val="04A0" w:firstRow="1" w:lastRow="0" w:firstColumn="1" w:lastColumn="0" w:noHBand="0" w:noVBand="1"/>
        <w:tblCaption w:val="Table 23: Analysis of APs ability to pay operating costs while subsidy payments are deferred (based on ownership)"/>
      </w:tblPr>
      <w:tblGrid>
        <w:gridCol w:w="1699"/>
        <w:gridCol w:w="1327"/>
        <w:gridCol w:w="1327"/>
        <w:gridCol w:w="1323"/>
        <w:gridCol w:w="1323"/>
        <w:gridCol w:w="1323"/>
        <w:gridCol w:w="1306"/>
      </w:tblGrid>
      <w:tr w:rsidR="00EF4EF8" w:rsidRPr="00C33204" w14:paraId="3B6CA1FB" w14:textId="77777777" w:rsidTr="00627E62">
        <w:trPr>
          <w:trHeight w:val="1350"/>
          <w:tblHeader/>
        </w:trPr>
        <w:tc>
          <w:tcPr>
            <w:tcW w:w="882" w:type="pct"/>
            <w:shd w:val="clear" w:color="auto" w:fill="5B9BD5"/>
            <w:vAlign w:val="center"/>
          </w:tcPr>
          <w:p w14:paraId="7FB274B7" w14:textId="77777777" w:rsidR="00EF4EF8" w:rsidRPr="001F0F05" w:rsidRDefault="00EF4EF8" w:rsidP="002D6A12">
            <w:pPr>
              <w:jc w:val="center"/>
              <w:rPr>
                <w:rFonts w:ascii="Calibri" w:eastAsia="Times New Roman" w:hAnsi="Calibri" w:cs="Calibri"/>
                <w:b/>
                <w:bCs/>
                <w:color w:val="FFFFFF" w:themeColor="background1"/>
                <w:sz w:val="20"/>
                <w:szCs w:val="20"/>
                <w:lang w:eastAsia="en-AU"/>
              </w:rPr>
            </w:pPr>
            <w:r w:rsidRPr="001F0F05">
              <w:rPr>
                <w:b/>
                <w:bCs/>
                <w:color w:val="FFFFFF" w:themeColor="background1"/>
                <w:sz w:val="20"/>
                <w:szCs w:val="20"/>
                <w:lang w:eastAsia="en-AU"/>
              </w:rPr>
              <w:t>Category</w:t>
            </w:r>
          </w:p>
        </w:tc>
        <w:tc>
          <w:tcPr>
            <w:tcW w:w="689" w:type="pct"/>
            <w:shd w:val="clear" w:color="auto" w:fill="5B9BD5"/>
            <w:vAlign w:val="center"/>
          </w:tcPr>
          <w:p w14:paraId="7C347ED9" w14:textId="0A774DBA" w:rsidR="00EF4EF8" w:rsidRDefault="00EF4EF8" w:rsidP="002D6A12">
            <w:pPr>
              <w:jc w:val="center"/>
              <w:rPr>
                <w:rFonts w:ascii="Calibri" w:eastAsia="Times New Roman" w:hAnsi="Calibri" w:cs="Calibri"/>
                <w:b/>
                <w:bCs/>
                <w:color w:val="FFFFFF" w:themeColor="background1"/>
                <w:sz w:val="20"/>
                <w:szCs w:val="20"/>
                <w:lang w:eastAsia="en-AU"/>
              </w:rPr>
            </w:pPr>
            <w:r>
              <w:rPr>
                <w:rFonts w:ascii="Calibri" w:eastAsia="Times New Roman" w:hAnsi="Calibri" w:cs="Calibri"/>
                <w:b/>
                <w:bCs/>
                <w:color w:val="FFFFFF" w:themeColor="background1"/>
                <w:sz w:val="20"/>
                <w:szCs w:val="20"/>
                <w:lang w:eastAsia="en-AU"/>
              </w:rPr>
              <w:t xml:space="preserve">Number of </w:t>
            </w:r>
            <w:r w:rsidR="002D6A12">
              <w:rPr>
                <w:rFonts w:ascii="Calibri" w:eastAsia="Times New Roman" w:hAnsi="Calibri" w:cs="Calibri"/>
                <w:b/>
                <w:bCs/>
                <w:color w:val="FFFFFF" w:themeColor="background1"/>
                <w:sz w:val="20"/>
                <w:szCs w:val="20"/>
                <w:lang w:eastAsia="en-AU"/>
              </w:rPr>
              <w:t>P</w:t>
            </w:r>
            <w:r>
              <w:rPr>
                <w:rFonts w:ascii="Calibri" w:eastAsia="Times New Roman" w:hAnsi="Calibri" w:cs="Calibri"/>
                <w:b/>
                <w:bCs/>
                <w:color w:val="FFFFFF" w:themeColor="background1"/>
                <w:sz w:val="20"/>
                <w:szCs w:val="20"/>
                <w:lang w:eastAsia="en-AU"/>
              </w:rPr>
              <w:t>roviders</w:t>
            </w:r>
          </w:p>
        </w:tc>
        <w:tc>
          <w:tcPr>
            <w:tcW w:w="689" w:type="pct"/>
            <w:shd w:val="clear" w:color="auto" w:fill="5B9BD5"/>
            <w:vAlign w:val="center"/>
            <w:hideMark/>
          </w:tcPr>
          <w:p w14:paraId="04F33A1B" w14:textId="77777777" w:rsidR="00EF4EF8" w:rsidRDefault="00EF4EF8" w:rsidP="002D6A12">
            <w:pPr>
              <w:jc w:val="center"/>
              <w:rPr>
                <w:rFonts w:ascii="Calibri" w:eastAsia="Times New Roman" w:hAnsi="Calibri" w:cs="Calibri"/>
                <w:b/>
                <w:bCs/>
                <w:color w:val="FFFFFF" w:themeColor="background1"/>
                <w:sz w:val="20"/>
                <w:szCs w:val="20"/>
                <w:lang w:eastAsia="en-AU"/>
              </w:rPr>
            </w:pPr>
            <w:r>
              <w:rPr>
                <w:rFonts w:ascii="Calibri" w:eastAsia="Times New Roman" w:hAnsi="Calibri" w:cs="Calibri"/>
                <w:b/>
                <w:bCs/>
                <w:color w:val="FFFFFF" w:themeColor="background1"/>
                <w:sz w:val="20"/>
                <w:szCs w:val="20"/>
                <w:lang w:eastAsia="en-AU"/>
              </w:rPr>
              <w:t>Average Monthly Revenue</w:t>
            </w:r>
          </w:p>
          <w:p w14:paraId="0208C740" w14:textId="77777777" w:rsidR="00EF4EF8" w:rsidRPr="001F0F05" w:rsidRDefault="00EF4EF8" w:rsidP="002D6A12">
            <w:pPr>
              <w:jc w:val="center"/>
              <w:rPr>
                <w:rFonts w:ascii="Calibri" w:eastAsia="Times New Roman" w:hAnsi="Calibri" w:cs="Calibri"/>
                <w:b/>
                <w:bCs/>
                <w:color w:val="FFFFFF" w:themeColor="background1"/>
                <w:sz w:val="20"/>
                <w:szCs w:val="20"/>
                <w:lang w:eastAsia="en-AU"/>
              </w:rPr>
            </w:pPr>
            <w:r>
              <w:rPr>
                <w:rFonts w:ascii="Calibri" w:eastAsia="Times New Roman" w:hAnsi="Calibri" w:cs="Calibri"/>
                <w:b/>
                <w:bCs/>
                <w:color w:val="FFFFFF" w:themeColor="background1"/>
                <w:sz w:val="20"/>
                <w:szCs w:val="20"/>
                <w:lang w:eastAsia="en-AU"/>
              </w:rPr>
              <w:t>$</w:t>
            </w:r>
          </w:p>
        </w:tc>
        <w:tc>
          <w:tcPr>
            <w:tcW w:w="687" w:type="pct"/>
            <w:shd w:val="clear" w:color="auto" w:fill="5B9BD5"/>
            <w:vAlign w:val="center"/>
            <w:hideMark/>
          </w:tcPr>
          <w:p w14:paraId="25D08086" w14:textId="77777777" w:rsidR="00EF4EF8" w:rsidRDefault="00EF4EF8" w:rsidP="002D6A12">
            <w:pPr>
              <w:jc w:val="center"/>
              <w:rPr>
                <w:rFonts w:ascii="Calibri" w:hAnsi="Calibri" w:cs="Calibri"/>
                <w:b/>
                <w:bCs/>
                <w:color w:val="FFFFFF" w:themeColor="background1"/>
                <w:sz w:val="20"/>
                <w:szCs w:val="20"/>
              </w:rPr>
            </w:pPr>
            <w:r>
              <w:rPr>
                <w:rFonts w:ascii="Calibri" w:hAnsi="Calibri" w:cs="Calibri"/>
                <w:b/>
                <w:bCs/>
                <w:color w:val="FFFFFF" w:themeColor="background1"/>
                <w:sz w:val="20"/>
                <w:szCs w:val="20"/>
              </w:rPr>
              <w:t>Average Monthly Margin</w:t>
            </w:r>
          </w:p>
          <w:p w14:paraId="4ADF56D8" w14:textId="77777777" w:rsidR="00EF4EF8" w:rsidRPr="001F0F05" w:rsidRDefault="00EF4EF8" w:rsidP="002D6A12">
            <w:pPr>
              <w:jc w:val="center"/>
              <w:rPr>
                <w:rFonts w:ascii="Calibri" w:eastAsia="Times New Roman" w:hAnsi="Calibri" w:cs="Calibri"/>
                <w:b/>
                <w:bCs/>
                <w:color w:val="FFFFFF" w:themeColor="background1"/>
                <w:sz w:val="20"/>
                <w:szCs w:val="20"/>
                <w:lang w:eastAsia="en-AU"/>
              </w:rPr>
            </w:pPr>
            <w:r>
              <w:rPr>
                <w:rFonts w:ascii="Calibri" w:eastAsia="Times New Roman" w:hAnsi="Calibri" w:cs="Calibri"/>
                <w:b/>
                <w:bCs/>
                <w:color w:val="FFFFFF" w:themeColor="background1"/>
                <w:sz w:val="20"/>
                <w:szCs w:val="20"/>
                <w:lang w:eastAsia="en-AU"/>
              </w:rPr>
              <w:t>$</w:t>
            </w:r>
          </w:p>
        </w:tc>
        <w:tc>
          <w:tcPr>
            <w:tcW w:w="687" w:type="pct"/>
            <w:shd w:val="clear" w:color="auto" w:fill="5B9BD5"/>
            <w:vAlign w:val="center"/>
          </w:tcPr>
          <w:p w14:paraId="751375DB" w14:textId="77777777" w:rsidR="00EF4EF8" w:rsidRDefault="00EF4EF8" w:rsidP="002D6A12">
            <w:pPr>
              <w:jc w:val="center"/>
              <w:rPr>
                <w:rFonts w:ascii="Calibri" w:hAnsi="Calibri" w:cs="Calibri"/>
                <w:b/>
                <w:bCs/>
                <w:color w:val="FFFFFF" w:themeColor="background1"/>
                <w:sz w:val="20"/>
                <w:szCs w:val="20"/>
              </w:rPr>
            </w:pPr>
            <w:r>
              <w:rPr>
                <w:rFonts w:ascii="Calibri" w:hAnsi="Calibri" w:cs="Calibri"/>
                <w:b/>
                <w:bCs/>
                <w:color w:val="FFFFFF" w:themeColor="background1"/>
                <w:sz w:val="20"/>
                <w:szCs w:val="20"/>
              </w:rPr>
              <w:t>Average monthly cost to fund operations</w:t>
            </w:r>
          </w:p>
          <w:p w14:paraId="069D4727" w14:textId="77777777" w:rsidR="00EF4EF8" w:rsidRPr="001F0F05" w:rsidRDefault="00EF4EF8" w:rsidP="002D6A12">
            <w:pPr>
              <w:jc w:val="center"/>
              <w:rPr>
                <w:rFonts w:ascii="Calibri" w:hAnsi="Calibri" w:cs="Calibri"/>
                <w:b/>
                <w:bCs/>
                <w:color w:val="FFFFFF" w:themeColor="background1"/>
                <w:sz w:val="20"/>
                <w:szCs w:val="20"/>
              </w:rPr>
            </w:pPr>
            <w:r>
              <w:rPr>
                <w:rFonts w:ascii="Calibri" w:hAnsi="Calibri" w:cs="Calibri"/>
                <w:b/>
                <w:bCs/>
                <w:color w:val="FFFFFF" w:themeColor="background1"/>
                <w:sz w:val="20"/>
                <w:szCs w:val="20"/>
              </w:rPr>
              <w:t>$</w:t>
            </w:r>
          </w:p>
        </w:tc>
        <w:tc>
          <w:tcPr>
            <w:tcW w:w="687" w:type="pct"/>
            <w:shd w:val="clear" w:color="auto" w:fill="5B9BD5"/>
            <w:vAlign w:val="center"/>
          </w:tcPr>
          <w:p w14:paraId="5ABF488E" w14:textId="1DEDA154" w:rsidR="00EF4EF8" w:rsidRPr="001F0F05" w:rsidRDefault="00EF4EF8" w:rsidP="002D6A12">
            <w:pPr>
              <w:jc w:val="center"/>
              <w:rPr>
                <w:rFonts w:ascii="Calibri" w:hAnsi="Calibri" w:cs="Calibri"/>
                <w:b/>
                <w:bCs/>
                <w:color w:val="FFFFFF" w:themeColor="background1"/>
                <w:sz w:val="20"/>
                <w:szCs w:val="20"/>
              </w:rPr>
            </w:pPr>
            <w:r w:rsidRPr="001F0F05">
              <w:rPr>
                <w:rFonts w:ascii="Calibri" w:hAnsi="Calibri" w:cs="Calibri"/>
                <w:b/>
                <w:bCs/>
                <w:color w:val="FFFFFF" w:themeColor="background1"/>
                <w:sz w:val="20"/>
                <w:szCs w:val="20"/>
              </w:rPr>
              <w:t>HC</w:t>
            </w:r>
            <w:r w:rsidR="002D6A12">
              <w:rPr>
                <w:rFonts w:ascii="Calibri" w:hAnsi="Calibri" w:cs="Calibri"/>
                <w:b/>
                <w:bCs/>
                <w:color w:val="FFFFFF" w:themeColor="background1"/>
                <w:sz w:val="20"/>
                <w:szCs w:val="20"/>
              </w:rPr>
              <w:t>P</w:t>
            </w:r>
            <w:r w:rsidRPr="001F0F05">
              <w:rPr>
                <w:rFonts w:ascii="Calibri" w:hAnsi="Calibri" w:cs="Calibri"/>
                <w:b/>
                <w:bCs/>
                <w:color w:val="FFFFFF" w:themeColor="background1"/>
                <w:sz w:val="20"/>
                <w:szCs w:val="20"/>
              </w:rPr>
              <w:t xml:space="preserve"> Segment Liquid Assets</w:t>
            </w:r>
          </w:p>
        </w:tc>
        <w:tc>
          <w:tcPr>
            <w:tcW w:w="678" w:type="pct"/>
            <w:shd w:val="clear" w:color="auto" w:fill="5B9BD5"/>
            <w:vAlign w:val="center"/>
            <w:hideMark/>
          </w:tcPr>
          <w:p w14:paraId="774F61EC" w14:textId="248B654B" w:rsidR="00EF4EF8" w:rsidRPr="001F0F05" w:rsidRDefault="00EF4EF8" w:rsidP="002D6A12">
            <w:pPr>
              <w:jc w:val="center"/>
              <w:rPr>
                <w:rFonts w:ascii="Calibri" w:eastAsia="Times New Roman" w:hAnsi="Calibri" w:cs="Calibri"/>
                <w:b/>
                <w:bCs/>
                <w:color w:val="FFFFFF" w:themeColor="background1"/>
                <w:sz w:val="20"/>
                <w:szCs w:val="20"/>
                <w:lang w:eastAsia="en-AU"/>
              </w:rPr>
            </w:pPr>
            <w:r w:rsidRPr="001F0F05">
              <w:rPr>
                <w:rFonts w:ascii="Calibri" w:hAnsi="Calibri" w:cs="Calibri"/>
                <w:b/>
                <w:bCs/>
                <w:color w:val="FFFFFF" w:themeColor="background1"/>
                <w:sz w:val="20"/>
                <w:szCs w:val="20"/>
              </w:rPr>
              <w:t>Segment  Liquid Assets</w:t>
            </w:r>
            <w:r w:rsidR="002D6A12">
              <w:rPr>
                <w:rFonts w:ascii="Calibri" w:hAnsi="Calibri" w:cs="Calibri"/>
                <w:b/>
                <w:bCs/>
                <w:color w:val="FFFFFF" w:themeColor="background1"/>
                <w:sz w:val="20"/>
                <w:szCs w:val="20"/>
              </w:rPr>
              <w:t xml:space="preserve"> </w:t>
            </w:r>
            <w:r w:rsidRPr="001F0F05">
              <w:rPr>
                <w:rFonts w:ascii="Calibri" w:hAnsi="Calibri" w:cs="Calibri"/>
                <w:b/>
                <w:bCs/>
                <w:color w:val="FFFFFF" w:themeColor="background1"/>
                <w:sz w:val="20"/>
                <w:szCs w:val="20"/>
              </w:rPr>
              <w:t xml:space="preserve">/ </w:t>
            </w:r>
            <w:r>
              <w:rPr>
                <w:rFonts w:ascii="Calibri" w:hAnsi="Calibri" w:cs="Calibri"/>
                <w:b/>
                <w:bCs/>
                <w:color w:val="FFFFFF" w:themeColor="background1"/>
                <w:sz w:val="20"/>
                <w:szCs w:val="20"/>
              </w:rPr>
              <w:t>1</w:t>
            </w:r>
            <w:r w:rsidRPr="001F0F05">
              <w:rPr>
                <w:rFonts w:ascii="Calibri" w:hAnsi="Calibri" w:cs="Calibri"/>
                <w:b/>
                <w:bCs/>
                <w:color w:val="FFFFFF" w:themeColor="background1"/>
                <w:sz w:val="20"/>
                <w:szCs w:val="20"/>
              </w:rPr>
              <w:t xml:space="preserve"> month</w:t>
            </w:r>
            <w:r>
              <w:rPr>
                <w:rFonts w:ascii="Calibri" w:hAnsi="Calibri" w:cs="Calibri"/>
                <w:b/>
                <w:bCs/>
                <w:color w:val="FFFFFF" w:themeColor="background1"/>
                <w:sz w:val="20"/>
                <w:szCs w:val="20"/>
              </w:rPr>
              <w:t>’s</w:t>
            </w:r>
            <w:r w:rsidRPr="001F0F05">
              <w:rPr>
                <w:rFonts w:ascii="Calibri" w:hAnsi="Calibri" w:cs="Calibri"/>
                <w:b/>
                <w:bCs/>
                <w:color w:val="FFFFFF" w:themeColor="background1"/>
                <w:sz w:val="20"/>
                <w:szCs w:val="20"/>
              </w:rPr>
              <w:t xml:space="preserve"> </w:t>
            </w:r>
            <w:r>
              <w:rPr>
                <w:rFonts w:ascii="Calibri" w:hAnsi="Calibri" w:cs="Calibri"/>
                <w:b/>
                <w:bCs/>
                <w:color w:val="FFFFFF" w:themeColor="background1"/>
                <w:sz w:val="20"/>
                <w:szCs w:val="20"/>
              </w:rPr>
              <w:t>Operational cost</w:t>
            </w:r>
          </w:p>
        </w:tc>
      </w:tr>
      <w:tr w:rsidR="00EF4EF8" w:rsidRPr="00C33204" w14:paraId="53461740" w14:textId="77777777" w:rsidTr="006B65EA">
        <w:trPr>
          <w:trHeight w:val="375"/>
        </w:trPr>
        <w:tc>
          <w:tcPr>
            <w:tcW w:w="882" w:type="pct"/>
            <w:shd w:val="clear" w:color="auto" w:fill="DEEAF6"/>
            <w:vAlign w:val="center"/>
          </w:tcPr>
          <w:p w14:paraId="691A6468" w14:textId="37EC8149" w:rsidR="00EF4EF8" w:rsidRPr="00EF4EF8" w:rsidRDefault="00EF4EF8" w:rsidP="00EF4EF8">
            <w:pPr>
              <w:jc w:val="left"/>
              <w:rPr>
                <w:rFonts w:ascii="Calibri" w:eastAsia="Times New Roman" w:hAnsi="Calibri" w:cs="Calibri"/>
                <w:color w:val="000000"/>
                <w:sz w:val="20"/>
                <w:szCs w:val="20"/>
                <w:lang w:eastAsia="en-AU"/>
              </w:rPr>
            </w:pPr>
            <w:r w:rsidRPr="00EF4EF8">
              <w:rPr>
                <w:b/>
                <w:sz w:val="20"/>
                <w:szCs w:val="20"/>
                <w:lang w:eastAsia="en-AU"/>
              </w:rPr>
              <w:t>Not for Profit</w:t>
            </w:r>
          </w:p>
        </w:tc>
        <w:tc>
          <w:tcPr>
            <w:tcW w:w="689" w:type="pct"/>
            <w:shd w:val="clear" w:color="auto" w:fill="DEEAF6"/>
            <w:vAlign w:val="center"/>
          </w:tcPr>
          <w:p w14:paraId="348AC5CB" w14:textId="3DF122DC" w:rsidR="00EF4EF8" w:rsidRPr="00EF4EF8" w:rsidRDefault="00EF4EF8" w:rsidP="00EF4EF8">
            <w:pPr>
              <w:jc w:val="center"/>
              <w:rPr>
                <w:rFonts w:ascii="Calibri" w:hAnsi="Calibri" w:cs="Calibri"/>
                <w:color w:val="000000"/>
                <w:sz w:val="20"/>
                <w:szCs w:val="20"/>
              </w:rPr>
            </w:pPr>
            <w:r w:rsidRPr="00EF4EF8">
              <w:rPr>
                <w:sz w:val="20"/>
                <w:szCs w:val="20"/>
              </w:rPr>
              <w:t>307</w:t>
            </w:r>
          </w:p>
        </w:tc>
        <w:tc>
          <w:tcPr>
            <w:tcW w:w="689" w:type="pct"/>
            <w:shd w:val="clear" w:color="auto" w:fill="DEEAF6"/>
            <w:noWrap/>
            <w:vAlign w:val="center"/>
          </w:tcPr>
          <w:p w14:paraId="4AD2D8AF" w14:textId="6032B1CD" w:rsidR="00EF4EF8" w:rsidRPr="009D7F80" w:rsidRDefault="00EF4EF8" w:rsidP="00EF4EF8">
            <w:pPr>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325,569</w:t>
            </w:r>
          </w:p>
        </w:tc>
        <w:tc>
          <w:tcPr>
            <w:tcW w:w="687" w:type="pct"/>
            <w:shd w:val="clear" w:color="auto" w:fill="DEEAF6"/>
            <w:noWrap/>
            <w:vAlign w:val="center"/>
          </w:tcPr>
          <w:p w14:paraId="15CF868C" w14:textId="7684C083" w:rsidR="00EF4EF8" w:rsidRPr="009D7F80" w:rsidRDefault="00EF4EF8" w:rsidP="00EF4EF8">
            <w:pPr>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15,478</w:t>
            </w:r>
          </w:p>
        </w:tc>
        <w:tc>
          <w:tcPr>
            <w:tcW w:w="687" w:type="pct"/>
            <w:shd w:val="clear" w:color="auto" w:fill="DEEAF6"/>
            <w:vAlign w:val="center"/>
          </w:tcPr>
          <w:p w14:paraId="55695B96" w14:textId="3497F869" w:rsidR="00EF4EF8" w:rsidRPr="009D7F80" w:rsidRDefault="00EF4EF8" w:rsidP="00EF4EF8">
            <w:pPr>
              <w:jc w:val="center"/>
              <w:rPr>
                <w:rFonts w:ascii="Calibri" w:hAnsi="Calibri" w:cs="Calibri"/>
                <w:color w:val="000000"/>
                <w:sz w:val="20"/>
                <w:szCs w:val="20"/>
              </w:rPr>
            </w:pPr>
            <w:r>
              <w:rPr>
                <w:rFonts w:ascii="Calibri" w:hAnsi="Calibri" w:cs="Calibri"/>
                <w:color w:val="000000"/>
                <w:sz w:val="20"/>
                <w:szCs w:val="20"/>
              </w:rPr>
              <w:t>310,091</w:t>
            </w:r>
          </w:p>
        </w:tc>
        <w:tc>
          <w:tcPr>
            <w:tcW w:w="687" w:type="pct"/>
            <w:shd w:val="clear" w:color="auto" w:fill="DEEAF6"/>
            <w:vAlign w:val="center"/>
          </w:tcPr>
          <w:p w14:paraId="45EB6235" w14:textId="7883BAE2" w:rsidR="00EF4EF8" w:rsidRPr="009D7F80" w:rsidRDefault="00EF4EF8" w:rsidP="00EF4EF8">
            <w:pPr>
              <w:jc w:val="center"/>
              <w:rPr>
                <w:rFonts w:ascii="Calibri" w:hAnsi="Calibri" w:cs="Calibri"/>
                <w:color w:val="000000"/>
                <w:sz w:val="20"/>
                <w:szCs w:val="20"/>
              </w:rPr>
            </w:pPr>
            <w:r>
              <w:rPr>
                <w:rFonts w:ascii="Calibri" w:hAnsi="Calibri" w:cs="Calibri"/>
                <w:color w:val="000000"/>
                <w:sz w:val="20"/>
                <w:szCs w:val="20"/>
              </w:rPr>
              <w:t>3,570,331</w:t>
            </w:r>
          </w:p>
        </w:tc>
        <w:tc>
          <w:tcPr>
            <w:tcW w:w="678" w:type="pct"/>
            <w:shd w:val="clear" w:color="auto" w:fill="DEEAF6"/>
            <w:noWrap/>
            <w:vAlign w:val="center"/>
          </w:tcPr>
          <w:p w14:paraId="7223677D" w14:textId="631D31E9" w:rsidR="00EF4EF8" w:rsidRPr="002D6A12" w:rsidRDefault="00EF4EF8" w:rsidP="00EF4EF8">
            <w:pPr>
              <w:jc w:val="center"/>
              <w:rPr>
                <w:rFonts w:ascii="Calibri" w:eastAsia="Times New Roman" w:hAnsi="Calibri" w:cs="Calibri"/>
                <w:i/>
                <w:color w:val="000000"/>
                <w:sz w:val="20"/>
                <w:szCs w:val="20"/>
                <w:lang w:eastAsia="en-AU"/>
              </w:rPr>
            </w:pPr>
            <w:r w:rsidRPr="002D6A12">
              <w:rPr>
                <w:rFonts w:ascii="Calibri" w:eastAsia="Times New Roman" w:hAnsi="Calibri" w:cs="Calibri"/>
                <w:i/>
                <w:color w:val="000000"/>
                <w:sz w:val="20"/>
                <w:szCs w:val="20"/>
                <w:lang w:eastAsia="en-AU"/>
              </w:rPr>
              <w:t>11.51</w:t>
            </w:r>
          </w:p>
        </w:tc>
      </w:tr>
      <w:tr w:rsidR="00EF4EF8" w:rsidRPr="00C33204" w14:paraId="010DDA88" w14:textId="77777777" w:rsidTr="006B65EA">
        <w:trPr>
          <w:trHeight w:val="375"/>
        </w:trPr>
        <w:tc>
          <w:tcPr>
            <w:tcW w:w="882" w:type="pct"/>
            <w:vAlign w:val="center"/>
          </w:tcPr>
          <w:p w14:paraId="42F6E15E" w14:textId="50003577" w:rsidR="00EF4EF8" w:rsidRPr="00EF4EF8" w:rsidRDefault="00EF4EF8" w:rsidP="00EF4EF8">
            <w:pPr>
              <w:jc w:val="left"/>
              <w:rPr>
                <w:rFonts w:ascii="Calibri" w:eastAsia="Times New Roman" w:hAnsi="Calibri" w:cs="Calibri"/>
                <w:color w:val="000000"/>
                <w:sz w:val="20"/>
                <w:szCs w:val="20"/>
                <w:lang w:eastAsia="en-AU"/>
              </w:rPr>
            </w:pPr>
            <w:r w:rsidRPr="00EF4EF8">
              <w:rPr>
                <w:rFonts w:ascii="Calibri" w:hAnsi="Calibri" w:cs="Calibri"/>
                <w:b/>
                <w:color w:val="000000"/>
                <w:sz w:val="20"/>
                <w:szCs w:val="20"/>
              </w:rPr>
              <w:t>For Profit</w:t>
            </w:r>
          </w:p>
        </w:tc>
        <w:tc>
          <w:tcPr>
            <w:tcW w:w="689" w:type="pct"/>
            <w:vAlign w:val="center"/>
          </w:tcPr>
          <w:p w14:paraId="1430BB4D" w14:textId="076AFDD7" w:rsidR="00EF4EF8" w:rsidRPr="00EF4EF8" w:rsidRDefault="00EF4EF8" w:rsidP="00EF4EF8">
            <w:pPr>
              <w:jc w:val="center"/>
              <w:rPr>
                <w:rFonts w:ascii="Calibri" w:hAnsi="Calibri" w:cs="Calibri"/>
                <w:color w:val="000000"/>
                <w:sz w:val="20"/>
                <w:szCs w:val="20"/>
              </w:rPr>
            </w:pPr>
            <w:r w:rsidRPr="00EF4EF8">
              <w:rPr>
                <w:sz w:val="20"/>
                <w:szCs w:val="20"/>
              </w:rPr>
              <w:t>228</w:t>
            </w:r>
          </w:p>
        </w:tc>
        <w:tc>
          <w:tcPr>
            <w:tcW w:w="689" w:type="pct"/>
            <w:noWrap/>
            <w:vAlign w:val="center"/>
          </w:tcPr>
          <w:p w14:paraId="2C8E3EE2" w14:textId="6259B5C3" w:rsidR="00EF4EF8" w:rsidRPr="009D7F80" w:rsidRDefault="00EF4EF8" w:rsidP="00EF4EF8">
            <w:pPr>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182,962</w:t>
            </w:r>
          </w:p>
        </w:tc>
        <w:tc>
          <w:tcPr>
            <w:tcW w:w="687" w:type="pct"/>
            <w:noWrap/>
            <w:vAlign w:val="center"/>
          </w:tcPr>
          <w:p w14:paraId="680F29A2" w14:textId="00193419" w:rsidR="00EF4EF8" w:rsidRPr="009D7F80" w:rsidRDefault="00EF4EF8" w:rsidP="00EF4EF8">
            <w:pPr>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952</w:t>
            </w:r>
          </w:p>
        </w:tc>
        <w:tc>
          <w:tcPr>
            <w:tcW w:w="687" w:type="pct"/>
            <w:vAlign w:val="center"/>
          </w:tcPr>
          <w:p w14:paraId="28BD1B46" w14:textId="05A493DA" w:rsidR="00EF4EF8" w:rsidRPr="009D7F80" w:rsidRDefault="00EF4EF8" w:rsidP="00EF4EF8">
            <w:pPr>
              <w:jc w:val="center"/>
              <w:rPr>
                <w:rFonts w:ascii="Calibri" w:hAnsi="Calibri" w:cs="Calibri"/>
                <w:color w:val="000000"/>
                <w:sz w:val="20"/>
                <w:szCs w:val="20"/>
              </w:rPr>
            </w:pPr>
            <w:r>
              <w:rPr>
                <w:rFonts w:ascii="Calibri" w:hAnsi="Calibri" w:cs="Calibri"/>
                <w:color w:val="000000"/>
                <w:sz w:val="20"/>
                <w:szCs w:val="20"/>
              </w:rPr>
              <w:t>182,011</w:t>
            </w:r>
          </w:p>
        </w:tc>
        <w:tc>
          <w:tcPr>
            <w:tcW w:w="687" w:type="pct"/>
            <w:vAlign w:val="center"/>
          </w:tcPr>
          <w:p w14:paraId="79CC03B9" w14:textId="3D9B6563" w:rsidR="00EF4EF8" w:rsidRPr="009D7F80" w:rsidRDefault="00EF4EF8" w:rsidP="00EF4EF8">
            <w:pPr>
              <w:jc w:val="center"/>
              <w:rPr>
                <w:rFonts w:ascii="Calibri" w:hAnsi="Calibri" w:cs="Calibri"/>
                <w:color w:val="000000"/>
                <w:sz w:val="20"/>
                <w:szCs w:val="20"/>
              </w:rPr>
            </w:pPr>
            <w:r>
              <w:rPr>
                <w:rFonts w:ascii="Calibri" w:hAnsi="Calibri" w:cs="Calibri"/>
                <w:color w:val="000000"/>
                <w:sz w:val="20"/>
                <w:szCs w:val="20"/>
              </w:rPr>
              <w:t>1,242,720</w:t>
            </w:r>
          </w:p>
        </w:tc>
        <w:tc>
          <w:tcPr>
            <w:tcW w:w="678" w:type="pct"/>
            <w:noWrap/>
            <w:vAlign w:val="center"/>
          </w:tcPr>
          <w:p w14:paraId="22B7D25C" w14:textId="19489201" w:rsidR="00EF4EF8" w:rsidRPr="002D6A12" w:rsidRDefault="00EF4EF8" w:rsidP="00EF4EF8">
            <w:pPr>
              <w:jc w:val="center"/>
              <w:rPr>
                <w:rFonts w:ascii="Calibri" w:eastAsia="Times New Roman" w:hAnsi="Calibri" w:cs="Calibri"/>
                <w:i/>
                <w:color w:val="000000"/>
                <w:sz w:val="20"/>
                <w:szCs w:val="20"/>
                <w:lang w:eastAsia="en-AU"/>
              </w:rPr>
            </w:pPr>
            <w:r w:rsidRPr="002D6A12">
              <w:rPr>
                <w:rFonts w:ascii="Calibri" w:eastAsia="Times New Roman" w:hAnsi="Calibri" w:cs="Calibri"/>
                <w:i/>
                <w:color w:val="000000"/>
                <w:sz w:val="20"/>
                <w:szCs w:val="20"/>
                <w:lang w:eastAsia="en-AU"/>
              </w:rPr>
              <w:t>6.83</w:t>
            </w:r>
          </w:p>
        </w:tc>
      </w:tr>
      <w:tr w:rsidR="00EF4EF8" w:rsidRPr="00C33204" w14:paraId="51876058" w14:textId="77777777" w:rsidTr="006B65EA">
        <w:trPr>
          <w:trHeight w:val="375"/>
        </w:trPr>
        <w:tc>
          <w:tcPr>
            <w:tcW w:w="882" w:type="pct"/>
            <w:shd w:val="clear" w:color="auto" w:fill="FFE599" w:themeFill="accent4" w:themeFillTint="66"/>
            <w:vAlign w:val="center"/>
          </w:tcPr>
          <w:p w14:paraId="0B855559" w14:textId="5C757E15" w:rsidR="00EF4EF8" w:rsidRPr="00EF4EF8" w:rsidRDefault="002D6A12" w:rsidP="006B65EA">
            <w:pPr>
              <w:jc w:val="left"/>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Total</w:t>
            </w:r>
          </w:p>
        </w:tc>
        <w:tc>
          <w:tcPr>
            <w:tcW w:w="689" w:type="pct"/>
            <w:shd w:val="clear" w:color="auto" w:fill="FFE599" w:themeFill="accent4" w:themeFillTint="66"/>
            <w:vAlign w:val="center"/>
          </w:tcPr>
          <w:p w14:paraId="1527E4D1" w14:textId="77777777" w:rsidR="00EF4EF8" w:rsidRPr="00EF4EF8" w:rsidRDefault="00EF4EF8" w:rsidP="006B65EA">
            <w:pPr>
              <w:jc w:val="center"/>
              <w:rPr>
                <w:rFonts w:ascii="Calibri" w:hAnsi="Calibri" w:cs="Calibri"/>
                <w:b/>
                <w:bCs/>
                <w:color w:val="000000"/>
                <w:sz w:val="20"/>
                <w:szCs w:val="20"/>
              </w:rPr>
            </w:pPr>
            <w:r w:rsidRPr="00EF4EF8">
              <w:rPr>
                <w:rFonts w:ascii="Calibri" w:hAnsi="Calibri" w:cs="Calibri"/>
                <w:b/>
                <w:bCs/>
                <w:color w:val="000000"/>
                <w:sz w:val="20"/>
                <w:szCs w:val="20"/>
              </w:rPr>
              <w:t>535</w:t>
            </w:r>
          </w:p>
        </w:tc>
        <w:tc>
          <w:tcPr>
            <w:tcW w:w="689" w:type="pct"/>
            <w:shd w:val="clear" w:color="auto" w:fill="FFE599" w:themeFill="accent4" w:themeFillTint="66"/>
            <w:noWrap/>
            <w:vAlign w:val="center"/>
          </w:tcPr>
          <w:p w14:paraId="3681EEB8" w14:textId="2C4744A5" w:rsidR="00EF4EF8" w:rsidRPr="009D7F80" w:rsidRDefault="002D6A12" w:rsidP="006B65EA">
            <w:pPr>
              <w:jc w:val="center"/>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 xml:space="preserve">$ </w:t>
            </w:r>
            <w:r w:rsidR="00EF4EF8">
              <w:rPr>
                <w:rFonts w:ascii="Calibri" w:eastAsia="Times New Roman" w:hAnsi="Calibri" w:cs="Calibri"/>
                <w:b/>
                <w:bCs/>
                <w:color w:val="000000"/>
                <w:sz w:val="20"/>
                <w:szCs w:val="20"/>
                <w:lang w:eastAsia="en-AU"/>
              </w:rPr>
              <w:t>264,795</w:t>
            </w:r>
          </w:p>
        </w:tc>
        <w:tc>
          <w:tcPr>
            <w:tcW w:w="687" w:type="pct"/>
            <w:shd w:val="clear" w:color="auto" w:fill="FFE599" w:themeFill="accent4" w:themeFillTint="66"/>
            <w:noWrap/>
            <w:vAlign w:val="center"/>
          </w:tcPr>
          <w:p w14:paraId="31AFE14C" w14:textId="251F9F9F" w:rsidR="00EF4EF8" w:rsidRPr="009D7F80" w:rsidRDefault="002D6A12" w:rsidP="006B65EA">
            <w:pPr>
              <w:jc w:val="center"/>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 xml:space="preserve">$ </w:t>
            </w:r>
            <w:r w:rsidR="00EF4EF8">
              <w:rPr>
                <w:rFonts w:ascii="Calibri" w:eastAsia="Times New Roman" w:hAnsi="Calibri" w:cs="Calibri"/>
                <w:b/>
                <w:bCs/>
                <w:color w:val="000000"/>
                <w:sz w:val="20"/>
                <w:szCs w:val="20"/>
                <w:lang w:eastAsia="en-AU"/>
              </w:rPr>
              <w:t>9,287</w:t>
            </w:r>
          </w:p>
        </w:tc>
        <w:tc>
          <w:tcPr>
            <w:tcW w:w="687" w:type="pct"/>
            <w:shd w:val="clear" w:color="auto" w:fill="FFE599" w:themeFill="accent4" w:themeFillTint="66"/>
            <w:vAlign w:val="center"/>
          </w:tcPr>
          <w:p w14:paraId="4362F7AD" w14:textId="03457035" w:rsidR="00EF4EF8" w:rsidRPr="009D7F80" w:rsidRDefault="002D6A12" w:rsidP="006B65EA">
            <w:pPr>
              <w:jc w:val="center"/>
              <w:rPr>
                <w:rFonts w:ascii="Calibri" w:hAnsi="Calibri" w:cs="Calibri"/>
                <w:b/>
                <w:bCs/>
                <w:color w:val="000000"/>
                <w:sz w:val="20"/>
                <w:szCs w:val="20"/>
              </w:rPr>
            </w:pPr>
            <w:r>
              <w:rPr>
                <w:rFonts w:ascii="Calibri" w:hAnsi="Calibri" w:cs="Calibri"/>
                <w:b/>
                <w:bCs/>
                <w:color w:val="000000"/>
                <w:sz w:val="20"/>
                <w:szCs w:val="20"/>
              </w:rPr>
              <w:t xml:space="preserve">$ </w:t>
            </w:r>
            <w:r w:rsidR="00EF4EF8">
              <w:rPr>
                <w:rFonts w:ascii="Calibri" w:hAnsi="Calibri" w:cs="Calibri"/>
                <w:b/>
                <w:bCs/>
                <w:color w:val="000000"/>
                <w:sz w:val="20"/>
                <w:szCs w:val="20"/>
              </w:rPr>
              <w:t>255,508</w:t>
            </w:r>
          </w:p>
        </w:tc>
        <w:tc>
          <w:tcPr>
            <w:tcW w:w="687" w:type="pct"/>
            <w:shd w:val="clear" w:color="auto" w:fill="FFE599" w:themeFill="accent4" w:themeFillTint="66"/>
            <w:vAlign w:val="center"/>
          </w:tcPr>
          <w:p w14:paraId="46C4843C" w14:textId="6532D2C1" w:rsidR="00EF4EF8" w:rsidRPr="009D7F80" w:rsidRDefault="002D6A12" w:rsidP="006B65EA">
            <w:pPr>
              <w:jc w:val="center"/>
              <w:rPr>
                <w:rFonts w:ascii="Calibri" w:hAnsi="Calibri" w:cs="Calibri"/>
                <w:b/>
                <w:bCs/>
                <w:color w:val="000000"/>
                <w:sz w:val="20"/>
                <w:szCs w:val="20"/>
              </w:rPr>
            </w:pPr>
            <w:r>
              <w:rPr>
                <w:rFonts w:ascii="Calibri" w:hAnsi="Calibri" w:cs="Calibri"/>
                <w:b/>
                <w:bCs/>
                <w:color w:val="000000"/>
                <w:sz w:val="20"/>
                <w:szCs w:val="20"/>
              </w:rPr>
              <w:t xml:space="preserve">$ </w:t>
            </w:r>
            <w:r w:rsidR="00EF4EF8">
              <w:rPr>
                <w:rFonts w:ascii="Calibri" w:hAnsi="Calibri" w:cs="Calibri"/>
                <w:b/>
                <w:bCs/>
                <w:color w:val="000000"/>
                <w:sz w:val="20"/>
                <w:szCs w:val="20"/>
              </w:rPr>
              <w:t>2,578,377</w:t>
            </w:r>
          </w:p>
        </w:tc>
        <w:tc>
          <w:tcPr>
            <w:tcW w:w="678" w:type="pct"/>
            <w:shd w:val="clear" w:color="auto" w:fill="FFE599" w:themeFill="accent4" w:themeFillTint="66"/>
            <w:noWrap/>
            <w:vAlign w:val="center"/>
          </w:tcPr>
          <w:p w14:paraId="7C11CA35" w14:textId="77777777" w:rsidR="00EF4EF8" w:rsidRPr="002D6A12" w:rsidRDefault="00EF4EF8" w:rsidP="006B65EA">
            <w:pPr>
              <w:jc w:val="center"/>
              <w:rPr>
                <w:rFonts w:ascii="Calibri" w:eastAsia="Times New Roman" w:hAnsi="Calibri" w:cs="Calibri"/>
                <w:b/>
                <w:bCs/>
                <w:i/>
                <w:color w:val="000000"/>
                <w:sz w:val="20"/>
                <w:szCs w:val="20"/>
                <w:lang w:eastAsia="en-AU"/>
              </w:rPr>
            </w:pPr>
            <w:r w:rsidRPr="002D6A12">
              <w:rPr>
                <w:rFonts w:ascii="Calibri" w:eastAsia="Times New Roman" w:hAnsi="Calibri" w:cs="Calibri"/>
                <w:b/>
                <w:bCs/>
                <w:i/>
                <w:color w:val="000000"/>
                <w:sz w:val="20"/>
                <w:szCs w:val="20"/>
                <w:lang w:eastAsia="en-AU"/>
              </w:rPr>
              <w:t>10.09</w:t>
            </w:r>
          </w:p>
        </w:tc>
      </w:tr>
    </w:tbl>
    <w:p w14:paraId="5187EB02" w14:textId="77777777" w:rsidR="00EF4EF8" w:rsidRDefault="00EF4EF8" w:rsidP="00EF4EF8"/>
    <w:p w14:paraId="664F79CD" w14:textId="4D28308C" w:rsidR="00EF4EF8" w:rsidRDefault="005453C7" w:rsidP="00EF4EF8">
      <w:r>
        <w:t>The Not-</w:t>
      </w:r>
      <w:r w:rsidR="002D6A12">
        <w:t>F</w:t>
      </w:r>
      <w:r>
        <w:t>or-</w:t>
      </w:r>
      <w:r w:rsidR="002D6A12">
        <w:t>P</w:t>
      </w:r>
      <w:r>
        <w:t>rofit providers have a more favourable level of coverage than the For-</w:t>
      </w:r>
      <w:r w:rsidR="002D6A12">
        <w:t>P</w:t>
      </w:r>
      <w:r>
        <w:t>rofit providers and this is expected. It was observed in earlier analysis that the For-</w:t>
      </w:r>
      <w:r w:rsidR="002D6A12">
        <w:t>P</w:t>
      </w:r>
      <w:r>
        <w:t>rofit sector relied more heavily on debt than the Not-</w:t>
      </w:r>
      <w:r w:rsidR="002D6A12">
        <w:t>F</w:t>
      </w:r>
      <w:r>
        <w:t>or-</w:t>
      </w:r>
      <w:r w:rsidR="002D6A12">
        <w:t>P</w:t>
      </w:r>
      <w:r>
        <w:t>rofit sector based on the level of interest paid by the For-</w:t>
      </w:r>
      <w:r w:rsidR="002D6A12">
        <w:t>P</w:t>
      </w:r>
      <w:r>
        <w:t>rofit providers. They are more likely to use debt for working capital purposes whereas the Not-</w:t>
      </w:r>
      <w:r w:rsidR="002D6A12">
        <w:t>F</w:t>
      </w:r>
      <w:r>
        <w:t>or-</w:t>
      </w:r>
      <w:r w:rsidR="002D6A12">
        <w:t>P</w:t>
      </w:r>
      <w:r>
        <w:t>rofit sector is more likely to use internally generated liquidity to provide working capital.</w:t>
      </w:r>
    </w:p>
    <w:p w14:paraId="120091A8" w14:textId="77777777" w:rsidR="00EF4EF8" w:rsidRDefault="00EF4EF8" w:rsidP="00EF4EF8"/>
    <w:p w14:paraId="3AE087E3" w14:textId="391D1867" w:rsidR="00EF4EF8" w:rsidRDefault="00EF4EF8" w:rsidP="00EF4EF8">
      <w:pPr>
        <w:pStyle w:val="Caption"/>
        <w:keepNext/>
      </w:pPr>
      <w:r>
        <w:t xml:space="preserve">Table </w:t>
      </w:r>
      <w:fldSimple w:instr=" SEQ Table \* ARABIC ">
        <w:r w:rsidR="00844346">
          <w:rPr>
            <w:noProof/>
          </w:rPr>
          <w:t>24</w:t>
        </w:r>
      </w:fldSimple>
      <w:r>
        <w:t xml:space="preserve">: Number of </w:t>
      </w:r>
      <w:r w:rsidR="00796180">
        <w:t>AP</w:t>
      </w:r>
      <w:r>
        <w:t xml:space="preserve">s by </w:t>
      </w:r>
      <w:r w:rsidR="001A1D88">
        <w:t>ownership</w:t>
      </w:r>
      <w:r>
        <w:t xml:space="preserve"> with a liquid asset to operating cost ratio less than 1</w:t>
      </w:r>
    </w:p>
    <w:tbl>
      <w:tblPr>
        <w:tblStyle w:val="TableGrid"/>
        <w:tblW w:w="4310" w:type="pct"/>
        <w:tblLayout w:type="fixed"/>
        <w:tblLook w:val="04A0" w:firstRow="1" w:lastRow="0" w:firstColumn="1" w:lastColumn="0" w:noHBand="0" w:noVBand="1"/>
        <w:tblCaption w:val="Table 24: Number of APs by ownership with a liquid asset to operating cost ratio less than 1"/>
      </w:tblPr>
      <w:tblGrid>
        <w:gridCol w:w="3344"/>
        <w:gridCol w:w="1333"/>
        <w:gridCol w:w="2211"/>
        <w:gridCol w:w="1411"/>
      </w:tblGrid>
      <w:tr w:rsidR="001A1D88" w:rsidRPr="00C33204" w14:paraId="4190D460" w14:textId="77777777" w:rsidTr="00627E62">
        <w:trPr>
          <w:trHeight w:val="652"/>
          <w:tblHeader/>
        </w:trPr>
        <w:tc>
          <w:tcPr>
            <w:tcW w:w="2015" w:type="pct"/>
            <w:shd w:val="clear" w:color="auto" w:fill="5B9BD5"/>
            <w:vAlign w:val="center"/>
          </w:tcPr>
          <w:p w14:paraId="52C9EF99" w14:textId="77777777" w:rsidR="00EF4EF8" w:rsidRPr="001F0F05" w:rsidRDefault="00EF4EF8" w:rsidP="002D6A12">
            <w:pPr>
              <w:jc w:val="center"/>
              <w:rPr>
                <w:rFonts w:ascii="Calibri" w:eastAsia="Times New Roman" w:hAnsi="Calibri" w:cs="Calibri"/>
                <w:b/>
                <w:bCs/>
                <w:color w:val="FFFFFF" w:themeColor="background1"/>
                <w:sz w:val="20"/>
                <w:szCs w:val="20"/>
                <w:lang w:eastAsia="en-AU"/>
              </w:rPr>
            </w:pPr>
            <w:r w:rsidRPr="001F0F05">
              <w:rPr>
                <w:b/>
                <w:bCs/>
                <w:color w:val="FFFFFF" w:themeColor="background1"/>
                <w:sz w:val="20"/>
                <w:szCs w:val="20"/>
                <w:lang w:eastAsia="en-AU"/>
              </w:rPr>
              <w:t>Category</w:t>
            </w:r>
          </w:p>
        </w:tc>
        <w:tc>
          <w:tcPr>
            <w:tcW w:w="803" w:type="pct"/>
            <w:shd w:val="clear" w:color="auto" w:fill="5B9BD5"/>
            <w:vAlign w:val="center"/>
          </w:tcPr>
          <w:p w14:paraId="27F99C25" w14:textId="0D854614" w:rsidR="00EF4EF8" w:rsidRDefault="00EF4EF8" w:rsidP="002D6A12">
            <w:pPr>
              <w:jc w:val="center"/>
              <w:rPr>
                <w:rFonts w:ascii="Calibri" w:eastAsia="Times New Roman" w:hAnsi="Calibri" w:cs="Calibri"/>
                <w:b/>
                <w:bCs/>
                <w:color w:val="FFFFFF" w:themeColor="background1"/>
                <w:sz w:val="20"/>
                <w:szCs w:val="20"/>
                <w:lang w:eastAsia="en-AU"/>
              </w:rPr>
            </w:pPr>
            <w:r>
              <w:rPr>
                <w:rFonts w:ascii="Calibri" w:eastAsia="Times New Roman" w:hAnsi="Calibri" w:cs="Calibri"/>
                <w:b/>
                <w:bCs/>
                <w:color w:val="FFFFFF" w:themeColor="background1"/>
                <w:sz w:val="20"/>
                <w:szCs w:val="20"/>
                <w:lang w:eastAsia="en-AU"/>
              </w:rPr>
              <w:t xml:space="preserve">Number of </w:t>
            </w:r>
            <w:r w:rsidR="002D6A12">
              <w:rPr>
                <w:rFonts w:ascii="Calibri" w:eastAsia="Times New Roman" w:hAnsi="Calibri" w:cs="Calibri"/>
                <w:b/>
                <w:bCs/>
                <w:color w:val="FFFFFF" w:themeColor="background1"/>
                <w:sz w:val="20"/>
                <w:szCs w:val="20"/>
                <w:lang w:eastAsia="en-AU"/>
              </w:rPr>
              <w:t>P</w:t>
            </w:r>
            <w:r>
              <w:rPr>
                <w:rFonts w:ascii="Calibri" w:eastAsia="Times New Roman" w:hAnsi="Calibri" w:cs="Calibri"/>
                <w:b/>
                <w:bCs/>
                <w:color w:val="FFFFFF" w:themeColor="background1"/>
                <w:sz w:val="20"/>
                <w:szCs w:val="20"/>
                <w:lang w:eastAsia="en-AU"/>
              </w:rPr>
              <w:t>roviders</w:t>
            </w:r>
          </w:p>
        </w:tc>
        <w:tc>
          <w:tcPr>
            <w:tcW w:w="1332" w:type="pct"/>
            <w:shd w:val="clear" w:color="auto" w:fill="5B9BD5"/>
            <w:vAlign w:val="center"/>
            <w:hideMark/>
          </w:tcPr>
          <w:p w14:paraId="2DE80FEF" w14:textId="0397884C" w:rsidR="00EF4EF8" w:rsidRPr="001F0F05" w:rsidRDefault="00EF4EF8" w:rsidP="002D6A12">
            <w:pPr>
              <w:jc w:val="center"/>
              <w:rPr>
                <w:rFonts w:ascii="Calibri" w:eastAsia="Times New Roman" w:hAnsi="Calibri" w:cs="Calibri"/>
                <w:b/>
                <w:bCs/>
                <w:color w:val="FFFFFF" w:themeColor="background1"/>
                <w:sz w:val="20"/>
                <w:szCs w:val="20"/>
                <w:lang w:eastAsia="en-AU"/>
              </w:rPr>
            </w:pPr>
            <w:r>
              <w:rPr>
                <w:rFonts w:ascii="Calibri" w:eastAsia="Times New Roman" w:hAnsi="Calibri" w:cs="Calibri"/>
                <w:b/>
                <w:bCs/>
                <w:color w:val="FFFFFF" w:themeColor="background1"/>
                <w:sz w:val="20"/>
                <w:szCs w:val="20"/>
                <w:lang w:eastAsia="en-AU"/>
              </w:rPr>
              <w:t xml:space="preserve">Number of </w:t>
            </w:r>
            <w:r w:rsidR="002D6A12">
              <w:rPr>
                <w:rFonts w:ascii="Calibri" w:eastAsia="Times New Roman" w:hAnsi="Calibri" w:cs="Calibri"/>
                <w:b/>
                <w:bCs/>
                <w:color w:val="FFFFFF" w:themeColor="background1"/>
                <w:sz w:val="20"/>
                <w:szCs w:val="20"/>
                <w:lang w:eastAsia="en-AU"/>
              </w:rPr>
              <w:t>P</w:t>
            </w:r>
            <w:r>
              <w:rPr>
                <w:rFonts w:ascii="Calibri" w:eastAsia="Times New Roman" w:hAnsi="Calibri" w:cs="Calibri"/>
                <w:b/>
                <w:bCs/>
                <w:color w:val="FFFFFF" w:themeColor="background1"/>
                <w:sz w:val="20"/>
                <w:szCs w:val="20"/>
                <w:lang w:eastAsia="en-AU"/>
              </w:rPr>
              <w:t>roviders with liquid assets to operating cost ratio &lt; 1</w:t>
            </w:r>
          </w:p>
        </w:tc>
        <w:tc>
          <w:tcPr>
            <w:tcW w:w="850" w:type="pct"/>
            <w:shd w:val="clear" w:color="auto" w:fill="5B9BD5"/>
            <w:vAlign w:val="center"/>
            <w:hideMark/>
          </w:tcPr>
          <w:p w14:paraId="3AB80B28" w14:textId="77777777" w:rsidR="00EF4EF8" w:rsidRPr="001F0F05" w:rsidRDefault="00EF4EF8" w:rsidP="002D6A12">
            <w:pPr>
              <w:jc w:val="center"/>
              <w:rPr>
                <w:rFonts w:ascii="Calibri" w:eastAsia="Times New Roman" w:hAnsi="Calibri" w:cs="Calibri"/>
                <w:b/>
                <w:bCs/>
                <w:color w:val="FFFFFF" w:themeColor="background1"/>
                <w:sz w:val="20"/>
                <w:szCs w:val="20"/>
                <w:lang w:eastAsia="en-AU"/>
              </w:rPr>
            </w:pPr>
            <w:r>
              <w:rPr>
                <w:rFonts w:ascii="Calibri" w:hAnsi="Calibri" w:cs="Calibri"/>
                <w:b/>
                <w:bCs/>
                <w:color w:val="FFFFFF" w:themeColor="background1"/>
                <w:sz w:val="20"/>
                <w:szCs w:val="20"/>
              </w:rPr>
              <w:t>% of total</w:t>
            </w:r>
          </w:p>
        </w:tc>
      </w:tr>
      <w:tr w:rsidR="001A1D88" w:rsidRPr="00C33204" w14:paraId="31EC927B" w14:textId="77777777" w:rsidTr="001A1D88">
        <w:trPr>
          <w:trHeight w:val="283"/>
        </w:trPr>
        <w:tc>
          <w:tcPr>
            <w:tcW w:w="2015" w:type="pct"/>
            <w:shd w:val="clear" w:color="auto" w:fill="DEEAF6"/>
            <w:vAlign w:val="center"/>
          </w:tcPr>
          <w:p w14:paraId="225E8A8D" w14:textId="19EF2874" w:rsidR="00EF4EF8" w:rsidRPr="00EF4EF8" w:rsidRDefault="00EF4EF8" w:rsidP="00EF4EF8">
            <w:pPr>
              <w:jc w:val="left"/>
              <w:rPr>
                <w:rFonts w:ascii="Calibri" w:eastAsia="Times New Roman" w:hAnsi="Calibri" w:cs="Calibri"/>
                <w:color w:val="000000"/>
                <w:sz w:val="20"/>
                <w:szCs w:val="20"/>
                <w:lang w:eastAsia="en-AU"/>
              </w:rPr>
            </w:pPr>
            <w:r w:rsidRPr="00EF4EF8">
              <w:rPr>
                <w:b/>
                <w:sz w:val="20"/>
                <w:szCs w:val="20"/>
                <w:lang w:eastAsia="en-AU"/>
              </w:rPr>
              <w:t>Not for Profit</w:t>
            </w:r>
          </w:p>
        </w:tc>
        <w:tc>
          <w:tcPr>
            <w:tcW w:w="803" w:type="pct"/>
            <w:shd w:val="clear" w:color="auto" w:fill="DEEAF6"/>
            <w:vAlign w:val="center"/>
          </w:tcPr>
          <w:p w14:paraId="1FF5FBA5" w14:textId="0DCE5651" w:rsidR="00EF4EF8" w:rsidRPr="00EF4EF8" w:rsidRDefault="00EF4EF8" w:rsidP="00EF4EF8">
            <w:pPr>
              <w:jc w:val="center"/>
              <w:rPr>
                <w:rFonts w:ascii="Calibri" w:hAnsi="Calibri" w:cs="Calibri"/>
                <w:color w:val="000000"/>
                <w:sz w:val="20"/>
                <w:szCs w:val="20"/>
              </w:rPr>
            </w:pPr>
            <w:r w:rsidRPr="00EF4EF8">
              <w:rPr>
                <w:sz w:val="20"/>
                <w:szCs w:val="20"/>
              </w:rPr>
              <w:t>307</w:t>
            </w:r>
          </w:p>
        </w:tc>
        <w:tc>
          <w:tcPr>
            <w:tcW w:w="1332" w:type="pct"/>
            <w:shd w:val="clear" w:color="auto" w:fill="DEEAF6"/>
            <w:noWrap/>
            <w:vAlign w:val="center"/>
          </w:tcPr>
          <w:p w14:paraId="3AC3BA2A" w14:textId="7F452DE6" w:rsidR="00EF4EF8" w:rsidRPr="009D7F80" w:rsidRDefault="00BE6EFA" w:rsidP="00EF4EF8">
            <w:pPr>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27</w:t>
            </w:r>
          </w:p>
        </w:tc>
        <w:tc>
          <w:tcPr>
            <w:tcW w:w="850" w:type="pct"/>
            <w:shd w:val="clear" w:color="auto" w:fill="DEEAF6"/>
            <w:noWrap/>
            <w:vAlign w:val="center"/>
          </w:tcPr>
          <w:p w14:paraId="01C9B334" w14:textId="1B3681CF" w:rsidR="00EF4EF8" w:rsidRPr="002D6A12" w:rsidRDefault="00BE6EFA" w:rsidP="00EF4EF8">
            <w:pPr>
              <w:jc w:val="center"/>
              <w:rPr>
                <w:rFonts w:ascii="Calibri" w:eastAsia="Times New Roman" w:hAnsi="Calibri" w:cs="Calibri"/>
                <w:i/>
                <w:color w:val="000000"/>
                <w:sz w:val="20"/>
                <w:szCs w:val="20"/>
                <w:lang w:eastAsia="en-AU"/>
              </w:rPr>
            </w:pPr>
            <w:r w:rsidRPr="002D6A12">
              <w:rPr>
                <w:rFonts w:ascii="Calibri" w:eastAsia="Times New Roman" w:hAnsi="Calibri" w:cs="Calibri"/>
                <w:i/>
                <w:color w:val="000000"/>
                <w:sz w:val="20"/>
                <w:szCs w:val="20"/>
                <w:lang w:eastAsia="en-AU"/>
              </w:rPr>
              <w:t>9%</w:t>
            </w:r>
          </w:p>
        </w:tc>
      </w:tr>
      <w:tr w:rsidR="001A1D88" w:rsidRPr="00C33204" w14:paraId="3D945FE8" w14:textId="77777777" w:rsidTr="001A1D88">
        <w:trPr>
          <w:trHeight w:val="283"/>
        </w:trPr>
        <w:tc>
          <w:tcPr>
            <w:tcW w:w="2015" w:type="pct"/>
            <w:vAlign w:val="center"/>
          </w:tcPr>
          <w:p w14:paraId="5BBC4230" w14:textId="27C260FF" w:rsidR="00EF4EF8" w:rsidRPr="00EF4EF8" w:rsidRDefault="00EF4EF8" w:rsidP="00EF4EF8">
            <w:pPr>
              <w:jc w:val="left"/>
              <w:rPr>
                <w:rFonts w:ascii="Calibri" w:eastAsia="Times New Roman" w:hAnsi="Calibri" w:cs="Calibri"/>
                <w:color w:val="000000"/>
                <w:sz w:val="20"/>
                <w:szCs w:val="20"/>
                <w:lang w:eastAsia="en-AU"/>
              </w:rPr>
            </w:pPr>
            <w:r w:rsidRPr="00EF4EF8">
              <w:rPr>
                <w:rFonts w:ascii="Calibri" w:hAnsi="Calibri" w:cs="Calibri"/>
                <w:b/>
                <w:color w:val="000000"/>
                <w:sz w:val="20"/>
                <w:szCs w:val="20"/>
              </w:rPr>
              <w:t>For Profit</w:t>
            </w:r>
          </w:p>
        </w:tc>
        <w:tc>
          <w:tcPr>
            <w:tcW w:w="803" w:type="pct"/>
            <w:vAlign w:val="center"/>
          </w:tcPr>
          <w:p w14:paraId="6044238C" w14:textId="3FD21859" w:rsidR="00EF4EF8" w:rsidRPr="00EF4EF8" w:rsidRDefault="00EF4EF8" w:rsidP="00EF4EF8">
            <w:pPr>
              <w:jc w:val="center"/>
              <w:rPr>
                <w:rFonts w:ascii="Calibri" w:hAnsi="Calibri" w:cs="Calibri"/>
                <w:color w:val="000000"/>
                <w:sz w:val="20"/>
                <w:szCs w:val="20"/>
              </w:rPr>
            </w:pPr>
            <w:r w:rsidRPr="00EF4EF8">
              <w:rPr>
                <w:sz w:val="20"/>
                <w:szCs w:val="20"/>
              </w:rPr>
              <w:t>228</w:t>
            </w:r>
          </w:p>
        </w:tc>
        <w:tc>
          <w:tcPr>
            <w:tcW w:w="1332" w:type="pct"/>
            <w:noWrap/>
            <w:vAlign w:val="center"/>
          </w:tcPr>
          <w:p w14:paraId="31149238" w14:textId="5152802A" w:rsidR="00EF4EF8" w:rsidRPr="009D7F80" w:rsidRDefault="00BE6EFA" w:rsidP="00EF4EF8">
            <w:pPr>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31</w:t>
            </w:r>
          </w:p>
        </w:tc>
        <w:tc>
          <w:tcPr>
            <w:tcW w:w="850" w:type="pct"/>
            <w:noWrap/>
            <w:vAlign w:val="center"/>
          </w:tcPr>
          <w:p w14:paraId="7D3A3872" w14:textId="4F80E717" w:rsidR="00EF4EF8" w:rsidRPr="002D6A12" w:rsidRDefault="00BE6EFA" w:rsidP="00EF4EF8">
            <w:pPr>
              <w:jc w:val="center"/>
              <w:rPr>
                <w:rFonts w:ascii="Calibri" w:eastAsia="Times New Roman" w:hAnsi="Calibri" w:cs="Calibri"/>
                <w:i/>
                <w:color w:val="000000"/>
                <w:sz w:val="20"/>
                <w:szCs w:val="20"/>
                <w:lang w:eastAsia="en-AU"/>
              </w:rPr>
            </w:pPr>
            <w:r w:rsidRPr="002D6A12">
              <w:rPr>
                <w:rFonts w:ascii="Calibri" w:eastAsia="Times New Roman" w:hAnsi="Calibri" w:cs="Calibri"/>
                <w:i/>
                <w:color w:val="000000"/>
                <w:sz w:val="20"/>
                <w:szCs w:val="20"/>
                <w:lang w:eastAsia="en-AU"/>
              </w:rPr>
              <w:t>14%</w:t>
            </w:r>
          </w:p>
        </w:tc>
      </w:tr>
      <w:tr w:rsidR="001A1D88" w:rsidRPr="00C33204" w14:paraId="40B78B92" w14:textId="77777777" w:rsidTr="001A1D88">
        <w:trPr>
          <w:trHeight w:val="283"/>
        </w:trPr>
        <w:tc>
          <w:tcPr>
            <w:tcW w:w="2015" w:type="pct"/>
            <w:shd w:val="clear" w:color="auto" w:fill="FFE599" w:themeFill="accent4" w:themeFillTint="66"/>
            <w:vAlign w:val="center"/>
          </w:tcPr>
          <w:p w14:paraId="00300FBE" w14:textId="666E1810" w:rsidR="00EF4EF8" w:rsidRPr="009D7F80" w:rsidRDefault="002D6A12" w:rsidP="006B65EA">
            <w:pPr>
              <w:jc w:val="left"/>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Total</w:t>
            </w:r>
          </w:p>
        </w:tc>
        <w:tc>
          <w:tcPr>
            <w:tcW w:w="803" w:type="pct"/>
            <w:shd w:val="clear" w:color="auto" w:fill="FFE599" w:themeFill="accent4" w:themeFillTint="66"/>
            <w:vAlign w:val="center"/>
          </w:tcPr>
          <w:p w14:paraId="4ED891F0" w14:textId="77777777" w:rsidR="00EF4EF8" w:rsidRDefault="00EF4EF8" w:rsidP="006B65EA">
            <w:pPr>
              <w:jc w:val="center"/>
              <w:rPr>
                <w:rFonts w:ascii="Calibri" w:hAnsi="Calibri" w:cs="Calibri"/>
                <w:b/>
                <w:bCs/>
                <w:color w:val="000000"/>
                <w:sz w:val="20"/>
                <w:szCs w:val="20"/>
              </w:rPr>
            </w:pPr>
            <w:r>
              <w:rPr>
                <w:rFonts w:ascii="Calibri" w:hAnsi="Calibri" w:cs="Calibri"/>
                <w:b/>
                <w:bCs/>
                <w:color w:val="000000"/>
                <w:sz w:val="20"/>
                <w:szCs w:val="20"/>
              </w:rPr>
              <w:t>535</w:t>
            </w:r>
          </w:p>
        </w:tc>
        <w:tc>
          <w:tcPr>
            <w:tcW w:w="1332" w:type="pct"/>
            <w:shd w:val="clear" w:color="auto" w:fill="FFE599" w:themeFill="accent4" w:themeFillTint="66"/>
            <w:noWrap/>
            <w:vAlign w:val="center"/>
          </w:tcPr>
          <w:p w14:paraId="65637A94" w14:textId="77777777" w:rsidR="00EF4EF8" w:rsidRPr="009D7F80" w:rsidRDefault="00EF4EF8" w:rsidP="006B65EA">
            <w:pPr>
              <w:jc w:val="center"/>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58</w:t>
            </w:r>
          </w:p>
        </w:tc>
        <w:tc>
          <w:tcPr>
            <w:tcW w:w="850" w:type="pct"/>
            <w:shd w:val="clear" w:color="auto" w:fill="FFE599" w:themeFill="accent4" w:themeFillTint="66"/>
            <w:noWrap/>
            <w:vAlign w:val="center"/>
          </w:tcPr>
          <w:p w14:paraId="3462788D" w14:textId="77777777" w:rsidR="00EF4EF8" w:rsidRPr="002D6A12" w:rsidRDefault="00EF4EF8" w:rsidP="006B65EA">
            <w:pPr>
              <w:jc w:val="center"/>
              <w:rPr>
                <w:rFonts w:ascii="Calibri" w:eastAsia="Times New Roman" w:hAnsi="Calibri" w:cs="Calibri"/>
                <w:b/>
                <w:bCs/>
                <w:i/>
                <w:color w:val="000000"/>
                <w:sz w:val="20"/>
                <w:szCs w:val="20"/>
                <w:lang w:eastAsia="en-AU"/>
              </w:rPr>
            </w:pPr>
            <w:r w:rsidRPr="002D6A12">
              <w:rPr>
                <w:rFonts w:ascii="Calibri" w:eastAsia="Times New Roman" w:hAnsi="Calibri" w:cs="Calibri"/>
                <w:b/>
                <w:bCs/>
                <w:i/>
                <w:color w:val="000000"/>
                <w:sz w:val="20"/>
                <w:szCs w:val="20"/>
                <w:lang w:eastAsia="en-AU"/>
              </w:rPr>
              <w:t>11%</w:t>
            </w:r>
          </w:p>
        </w:tc>
      </w:tr>
    </w:tbl>
    <w:p w14:paraId="5C722B6A" w14:textId="77777777" w:rsidR="00EF4EF8" w:rsidRDefault="00EF4EF8" w:rsidP="00EF4EF8">
      <w:pPr>
        <w:pStyle w:val="SubHeading"/>
      </w:pPr>
    </w:p>
    <w:p w14:paraId="4620A3CE" w14:textId="657275CF" w:rsidR="00DF3475" w:rsidRDefault="00DF3475" w:rsidP="0094467E">
      <w:pPr>
        <w:rPr>
          <w:b/>
          <w:i/>
        </w:rPr>
      </w:pPr>
      <w:r>
        <w:rPr>
          <w:b/>
          <w:i/>
        </w:rPr>
        <w:br w:type="page"/>
      </w:r>
    </w:p>
    <w:p w14:paraId="3F5301DD" w14:textId="3E1CC227" w:rsidR="001E5BD2" w:rsidRDefault="005F7B7F" w:rsidP="00BE4F37">
      <w:pPr>
        <w:pStyle w:val="SubHeading"/>
      </w:pPr>
      <w:r>
        <w:lastRenderedPageBreak/>
        <w:t xml:space="preserve">Other </w:t>
      </w:r>
      <w:r w:rsidR="00F26659">
        <w:t>F</w:t>
      </w:r>
      <w:r>
        <w:t>actors</w:t>
      </w:r>
    </w:p>
    <w:p w14:paraId="40A863D3" w14:textId="2A30B1AA" w:rsidR="001E5BD2" w:rsidRDefault="00BE6EFA" w:rsidP="001E5BD2">
      <w:pPr>
        <w:rPr>
          <w:lang w:eastAsia="en-AU"/>
        </w:rPr>
      </w:pPr>
      <w:r>
        <w:rPr>
          <w:lang w:eastAsia="en-AU"/>
        </w:rPr>
        <w:t xml:space="preserve">In previous analysis, there has been some comparison between liquid assets at the </w:t>
      </w:r>
      <w:r w:rsidR="00796180">
        <w:rPr>
          <w:lang w:eastAsia="en-AU"/>
        </w:rPr>
        <w:t>AP</w:t>
      </w:r>
      <w:r>
        <w:rPr>
          <w:lang w:eastAsia="en-AU"/>
        </w:rPr>
        <w:t xml:space="preserve"> </w:t>
      </w:r>
      <w:r w:rsidR="00796180">
        <w:rPr>
          <w:lang w:eastAsia="en-AU"/>
        </w:rPr>
        <w:t xml:space="preserve">consolidated </w:t>
      </w:r>
      <w:r>
        <w:rPr>
          <w:lang w:eastAsia="en-AU"/>
        </w:rPr>
        <w:t xml:space="preserve">level where that information is available, which at present, is only for those </w:t>
      </w:r>
      <w:r w:rsidR="00796180">
        <w:rPr>
          <w:lang w:eastAsia="en-AU"/>
        </w:rPr>
        <w:t>AP</w:t>
      </w:r>
      <w:r>
        <w:rPr>
          <w:lang w:eastAsia="en-AU"/>
        </w:rPr>
        <w:t xml:space="preserve">s that also operate residential aged care services. The following analysis breaks down the data by </w:t>
      </w:r>
      <w:r w:rsidR="00796180">
        <w:rPr>
          <w:lang w:eastAsia="en-AU"/>
        </w:rPr>
        <w:t>AP</w:t>
      </w:r>
      <w:r>
        <w:rPr>
          <w:lang w:eastAsia="en-AU"/>
        </w:rPr>
        <w:t>s who do have residential aged care services and those that don’t.</w:t>
      </w:r>
    </w:p>
    <w:p w14:paraId="76CF5846" w14:textId="0B7A5AF6" w:rsidR="005C2BB9" w:rsidRDefault="005C2BB9" w:rsidP="001E5BD2">
      <w:pPr>
        <w:rPr>
          <w:lang w:eastAsia="en-AU"/>
        </w:rPr>
      </w:pPr>
    </w:p>
    <w:p w14:paraId="55C921DD" w14:textId="1AE06D99" w:rsidR="005C2BB9" w:rsidRPr="00BE6EFA" w:rsidRDefault="005C2BB9" w:rsidP="005C2BB9">
      <w:pPr>
        <w:pStyle w:val="Caption"/>
        <w:spacing w:before="0"/>
      </w:pPr>
      <w:r w:rsidRPr="00BE6EFA">
        <w:t xml:space="preserve">Table </w:t>
      </w:r>
      <w:fldSimple w:instr=" SEQ Table \* ARABIC ">
        <w:r w:rsidR="00844346">
          <w:rPr>
            <w:noProof/>
          </w:rPr>
          <w:t>25</w:t>
        </w:r>
      </w:fldSimple>
      <w:r w:rsidRPr="00BE6EFA">
        <w:t xml:space="preserve">: Category by </w:t>
      </w:r>
      <w:r w:rsidR="00796180">
        <w:t>AP</w:t>
      </w:r>
      <w:r w:rsidR="005453C7">
        <w:t xml:space="preserve"> type</w:t>
      </w:r>
    </w:p>
    <w:tbl>
      <w:tblPr>
        <w:tblStyle w:val="TableGrid"/>
        <w:tblW w:w="4977" w:type="pct"/>
        <w:tblLook w:val="04A0" w:firstRow="1" w:lastRow="0" w:firstColumn="1" w:lastColumn="0" w:noHBand="0" w:noVBand="1"/>
        <w:tblCaption w:val="Table 25: Category by AP type"/>
      </w:tblPr>
      <w:tblGrid>
        <w:gridCol w:w="5047"/>
        <w:gridCol w:w="3232"/>
        <w:gridCol w:w="1305"/>
      </w:tblGrid>
      <w:tr w:rsidR="002D6A12" w:rsidRPr="00B80ED2" w14:paraId="25A9D165" w14:textId="77777777" w:rsidTr="00627E62">
        <w:trPr>
          <w:trHeight w:val="340"/>
          <w:tblHeader/>
        </w:trPr>
        <w:tc>
          <w:tcPr>
            <w:tcW w:w="2633" w:type="pct"/>
            <w:shd w:val="clear" w:color="auto" w:fill="D9E2F3" w:themeFill="accent5" w:themeFillTint="33"/>
            <w:vAlign w:val="center"/>
          </w:tcPr>
          <w:p w14:paraId="2024F99F" w14:textId="77777777" w:rsidR="005C2BB9" w:rsidRPr="003F6561" w:rsidRDefault="005C2BB9" w:rsidP="00D910DF">
            <w:pPr>
              <w:jc w:val="left"/>
              <w:rPr>
                <w:b/>
                <w:bCs/>
                <w:sz w:val="20"/>
                <w:szCs w:val="20"/>
              </w:rPr>
            </w:pPr>
            <w:r w:rsidRPr="003F6561">
              <w:rPr>
                <w:b/>
                <w:bCs/>
                <w:sz w:val="20"/>
                <w:szCs w:val="20"/>
              </w:rPr>
              <w:t>C</w:t>
            </w:r>
            <w:r>
              <w:rPr>
                <w:b/>
                <w:bCs/>
                <w:sz w:val="20"/>
                <w:szCs w:val="20"/>
              </w:rPr>
              <w:t>ategory</w:t>
            </w:r>
          </w:p>
        </w:tc>
        <w:tc>
          <w:tcPr>
            <w:tcW w:w="1686" w:type="pct"/>
            <w:shd w:val="clear" w:color="auto" w:fill="D9E2F3" w:themeFill="accent5" w:themeFillTint="33"/>
            <w:vAlign w:val="center"/>
          </w:tcPr>
          <w:p w14:paraId="4589168A" w14:textId="77777777" w:rsidR="005C2BB9" w:rsidRPr="003F6561" w:rsidRDefault="005C2BB9" w:rsidP="00D910DF">
            <w:pPr>
              <w:jc w:val="center"/>
              <w:rPr>
                <w:b/>
                <w:bCs/>
                <w:sz w:val="20"/>
                <w:szCs w:val="20"/>
              </w:rPr>
            </w:pPr>
            <w:r w:rsidRPr="003F6561">
              <w:rPr>
                <w:b/>
                <w:bCs/>
                <w:sz w:val="20"/>
                <w:szCs w:val="20"/>
              </w:rPr>
              <w:t>Number of providers in 2018-19</w:t>
            </w:r>
          </w:p>
        </w:tc>
        <w:tc>
          <w:tcPr>
            <w:tcW w:w="681" w:type="pct"/>
            <w:shd w:val="clear" w:color="auto" w:fill="D9E2F3" w:themeFill="accent5" w:themeFillTint="33"/>
            <w:vAlign w:val="center"/>
          </w:tcPr>
          <w:p w14:paraId="37327471" w14:textId="77777777" w:rsidR="005C2BB9" w:rsidRPr="003F6561" w:rsidRDefault="005C2BB9" w:rsidP="00D910DF">
            <w:pPr>
              <w:jc w:val="center"/>
              <w:rPr>
                <w:b/>
                <w:bCs/>
                <w:sz w:val="20"/>
                <w:szCs w:val="20"/>
              </w:rPr>
            </w:pPr>
            <w:r w:rsidRPr="003F6561">
              <w:rPr>
                <w:b/>
                <w:bCs/>
                <w:sz w:val="20"/>
                <w:szCs w:val="20"/>
              </w:rPr>
              <w:t>%</w:t>
            </w:r>
          </w:p>
        </w:tc>
      </w:tr>
      <w:tr w:rsidR="002D6A12" w:rsidRPr="00B80ED2" w14:paraId="2C4F703C" w14:textId="77777777" w:rsidTr="002D6A12">
        <w:trPr>
          <w:trHeight w:val="283"/>
        </w:trPr>
        <w:tc>
          <w:tcPr>
            <w:tcW w:w="2633" w:type="pct"/>
            <w:vAlign w:val="center"/>
          </w:tcPr>
          <w:p w14:paraId="7ED2C7F6" w14:textId="27163563" w:rsidR="005C2BB9" w:rsidRPr="003F6561" w:rsidRDefault="005C2BB9" w:rsidP="005C2BB9">
            <w:pPr>
              <w:jc w:val="left"/>
              <w:rPr>
                <w:sz w:val="20"/>
                <w:szCs w:val="20"/>
              </w:rPr>
            </w:pPr>
            <w:r w:rsidRPr="006417F1">
              <w:rPr>
                <w:rFonts w:ascii="Calibri" w:eastAsia="Times New Roman" w:hAnsi="Calibri" w:cs="Calibri"/>
                <w:color w:val="000000"/>
                <w:sz w:val="20"/>
                <w:szCs w:val="20"/>
                <w:lang w:eastAsia="en-AU"/>
              </w:rPr>
              <w:t>Operate residential aged care homes</w:t>
            </w:r>
          </w:p>
        </w:tc>
        <w:tc>
          <w:tcPr>
            <w:tcW w:w="1686" w:type="pct"/>
            <w:vAlign w:val="center"/>
          </w:tcPr>
          <w:p w14:paraId="774E1203" w14:textId="538E0C70" w:rsidR="005C2BB9" w:rsidRPr="00BE6EFA" w:rsidRDefault="005C2BB9" w:rsidP="005C2BB9">
            <w:pPr>
              <w:jc w:val="center"/>
              <w:rPr>
                <w:sz w:val="20"/>
                <w:szCs w:val="20"/>
              </w:rPr>
            </w:pPr>
            <w:r w:rsidRPr="00BE6EFA">
              <w:rPr>
                <w:rFonts w:ascii="Calibri" w:hAnsi="Calibri" w:cs="Calibri"/>
                <w:color w:val="000000"/>
                <w:sz w:val="20"/>
                <w:szCs w:val="20"/>
              </w:rPr>
              <w:t>143</w:t>
            </w:r>
          </w:p>
        </w:tc>
        <w:tc>
          <w:tcPr>
            <w:tcW w:w="681" w:type="pct"/>
            <w:vAlign w:val="center"/>
          </w:tcPr>
          <w:p w14:paraId="091601CB" w14:textId="5F945A0D" w:rsidR="005C2BB9" w:rsidRPr="002D6A12" w:rsidRDefault="005453C7" w:rsidP="005C2BB9">
            <w:pPr>
              <w:jc w:val="center"/>
              <w:rPr>
                <w:i/>
                <w:sz w:val="20"/>
                <w:szCs w:val="20"/>
              </w:rPr>
            </w:pPr>
            <w:r w:rsidRPr="002D6A12">
              <w:rPr>
                <w:rFonts w:ascii="Calibri" w:hAnsi="Calibri" w:cs="Calibri"/>
                <w:i/>
                <w:color w:val="000000"/>
                <w:sz w:val="20"/>
                <w:szCs w:val="20"/>
              </w:rPr>
              <w:t>19</w:t>
            </w:r>
            <w:r w:rsidR="005C2BB9" w:rsidRPr="002D6A12">
              <w:rPr>
                <w:rFonts w:ascii="Calibri" w:hAnsi="Calibri" w:cs="Calibri"/>
                <w:i/>
                <w:color w:val="000000"/>
                <w:sz w:val="20"/>
                <w:szCs w:val="20"/>
              </w:rPr>
              <w:t>%</w:t>
            </w:r>
          </w:p>
        </w:tc>
      </w:tr>
      <w:tr w:rsidR="002D6A12" w:rsidRPr="00B80ED2" w14:paraId="1F4FED11" w14:textId="77777777" w:rsidTr="002D6A12">
        <w:trPr>
          <w:trHeight w:val="283"/>
        </w:trPr>
        <w:tc>
          <w:tcPr>
            <w:tcW w:w="2633" w:type="pct"/>
            <w:shd w:val="clear" w:color="auto" w:fill="auto"/>
            <w:vAlign w:val="center"/>
          </w:tcPr>
          <w:p w14:paraId="7E917D11" w14:textId="2C97909E" w:rsidR="005C2BB9" w:rsidRPr="003F6561" w:rsidRDefault="005C2BB9" w:rsidP="005C2BB9">
            <w:pPr>
              <w:jc w:val="left"/>
              <w:rPr>
                <w:sz w:val="20"/>
                <w:szCs w:val="20"/>
              </w:rPr>
            </w:pPr>
            <w:r w:rsidRPr="006417F1">
              <w:rPr>
                <w:rFonts w:ascii="Calibri" w:eastAsia="Times New Roman" w:hAnsi="Calibri" w:cs="Calibri"/>
                <w:color w:val="000000"/>
                <w:sz w:val="20"/>
                <w:szCs w:val="20"/>
                <w:lang w:eastAsia="en-AU"/>
              </w:rPr>
              <w:t xml:space="preserve">Don’t operate residential aged care homes </w:t>
            </w:r>
          </w:p>
        </w:tc>
        <w:tc>
          <w:tcPr>
            <w:tcW w:w="1686" w:type="pct"/>
            <w:shd w:val="clear" w:color="auto" w:fill="auto"/>
            <w:vAlign w:val="center"/>
          </w:tcPr>
          <w:p w14:paraId="2E77FC1F" w14:textId="765ED9F8" w:rsidR="005C2BB9" w:rsidRPr="00BE6EFA" w:rsidRDefault="00BE6EFA" w:rsidP="005C2BB9">
            <w:pPr>
              <w:jc w:val="center"/>
              <w:rPr>
                <w:sz w:val="20"/>
                <w:szCs w:val="20"/>
              </w:rPr>
            </w:pPr>
            <w:r w:rsidRPr="00BE6EFA">
              <w:rPr>
                <w:rFonts w:ascii="Calibri" w:hAnsi="Calibri" w:cs="Calibri"/>
                <w:color w:val="000000"/>
                <w:sz w:val="20"/>
                <w:szCs w:val="20"/>
              </w:rPr>
              <w:t>392</w:t>
            </w:r>
          </w:p>
        </w:tc>
        <w:tc>
          <w:tcPr>
            <w:tcW w:w="681" w:type="pct"/>
            <w:shd w:val="clear" w:color="auto" w:fill="auto"/>
            <w:vAlign w:val="center"/>
          </w:tcPr>
          <w:p w14:paraId="4C101058" w14:textId="1AB27739" w:rsidR="005C2BB9" w:rsidRPr="002D6A12" w:rsidRDefault="005453C7" w:rsidP="005C2BB9">
            <w:pPr>
              <w:jc w:val="center"/>
              <w:rPr>
                <w:i/>
                <w:sz w:val="20"/>
                <w:szCs w:val="20"/>
              </w:rPr>
            </w:pPr>
            <w:r w:rsidRPr="002D6A12">
              <w:rPr>
                <w:rFonts w:ascii="Calibri" w:hAnsi="Calibri" w:cs="Calibri"/>
                <w:i/>
                <w:color w:val="000000"/>
                <w:sz w:val="20"/>
                <w:szCs w:val="20"/>
              </w:rPr>
              <w:t>54</w:t>
            </w:r>
            <w:r w:rsidR="005C2BB9" w:rsidRPr="002D6A12">
              <w:rPr>
                <w:rFonts w:ascii="Calibri" w:hAnsi="Calibri" w:cs="Calibri"/>
                <w:i/>
                <w:color w:val="000000"/>
                <w:sz w:val="20"/>
                <w:szCs w:val="20"/>
              </w:rPr>
              <w:t>%</w:t>
            </w:r>
          </w:p>
        </w:tc>
      </w:tr>
      <w:tr w:rsidR="002D6A12" w:rsidRPr="00EB677C" w14:paraId="01FF9F88" w14:textId="77777777" w:rsidTr="002D6A12">
        <w:trPr>
          <w:trHeight w:val="283"/>
        </w:trPr>
        <w:tc>
          <w:tcPr>
            <w:tcW w:w="2633" w:type="pct"/>
            <w:vAlign w:val="center"/>
          </w:tcPr>
          <w:p w14:paraId="58466AA2" w14:textId="77777777" w:rsidR="005C2BB9" w:rsidRPr="00EB677C" w:rsidRDefault="005C2BB9" w:rsidP="005C2BB9">
            <w:pPr>
              <w:jc w:val="left"/>
              <w:rPr>
                <w:b/>
                <w:bCs/>
                <w:sz w:val="20"/>
                <w:szCs w:val="20"/>
              </w:rPr>
            </w:pPr>
            <w:r w:rsidRPr="00EB677C">
              <w:rPr>
                <w:b/>
                <w:bCs/>
                <w:sz w:val="20"/>
                <w:szCs w:val="20"/>
              </w:rPr>
              <w:t xml:space="preserve">Sub-total </w:t>
            </w:r>
          </w:p>
        </w:tc>
        <w:tc>
          <w:tcPr>
            <w:tcW w:w="1686" w:type="pct"/>
            <w:vAlign w:val="center"/>
          </w:tcPr>
          <w:p w14:paraId="2075B14E" w14:textId="24E9E4F9" w:rsidR="005C2BB9" w:rsidRPr="00BE6EFA" w:rsidRDefault="00BE6EFA" w:rsidP="005C2BB9">
            <w:pPr>
              <w:jc w:val="center"/>
              <w:rPr>
                <w:b/>
                <w:bCs/>
                <w:sz w:val="20"/>
                <w:szCs w:val="20"/>
              </w:rPr>
            </w:pPr>
            <w:r w:rsidRPr="00BE6EFA">
              <w:rPr>
                <w:rFonts w:ascii="Calibri" w:hAnsi="Calibri" w:cs="Calibri"/>
                <w:b/>
                <w:bCs/>
                <w:color w:val="000000"/>
                <w:sz w:val="20"/>
                <w:szCs w:val="20"/>
              </w:rPr>
              <w:t>535</w:t>
            </w:r>
          </w:p>
        </w:tc>
        <w:tc>
          <w:tcPr>
            <w:tcW w:w="681" w:type="pct"/>
            <w:vAlign w:val="center"/>
          </w:tcPr>
          <w:p w14:paraId="5E1FB8C1" w14:textId="6EB088AE" w:rsidR="005C2BB9" w:rsidRPr="002D6A12" w:rsidRDefault="005453C7" w:rsidP="005C2BB9">
            <w:pPr>
              <w:jc w:val="center"/>
              <w:rPr>
                <w:rFonts w:ascii="Calibri" w:hAnsi="Calibri" w:cs="Calibri"/>
                <w:b/>
                <w:bCs/>
                <w:i/>
                <w:color w:val="000000"/>
                <w:sz w:val="20"/>
                <w:szCs w:val="20"/>
              </w:rPr>
            </w:pPr>
            <w:r w:rsidRPr="002D6A12">
              <w:rPr>
                <w:rFonts w:ascii="Calibri" w:hAnsi="Calibri" w:cs="Calibri"/>
                <w:b/>
                <w:bCs/>
                <w:i/>
                <w:color w:val="000000"/>
                <w:sz w:val="20"/>
                <w:szCs w:val="20"/>
              </w:rPr>
              <w:t>73</w:t>
            </w:r>
            <w:r w:rsidR="005C2BB9" w:rsidRPr="002D6A12">
              <w:rPr>
                <w:rFonts w:ascii="Calibri" w:hAnsi="Calibri" w:cs="Calibri"/>
                <w:b/>
                <w:bCs/>
                <w:i/>
                <w:color w:val="000000"/>
                <w:sz w:val="20"/>
                <w:szCs w:val="20"/>
              </w:rPr>
              <w:t>%</w:t>
            </w:r>
          </w:p>
        </w:tc>
      </w:tr>
      <w:tr w:rsidR="002D6A12" w:rsidRPr="00B80ED2" w14:paraId="41B591F2" w14:textId="77777777" w:rsidTr="002D6A12">
        <w:trPr>
          <w:trHeight w:val="283"/>
        </w:trPr>
        <w:tc>
          <w:tcPr>
            <w:tcW w:w="2633" w:type="pct"/>
            <w:vAlign w:val="center"/>
          </w:tcPr>
          <w:p w14:paraId="4697C899" w14:textId="77777777" w:rsidR="005C2BB9" w:rsidRPr="003F6561" w:rsidRDefault="005C2BB9" w:rsidP="005C2BB9">
            <w:pPr>
              <w:jc w:val="left"/>
              <w:rPr>
                <w:sz w:val="20"/>
                <w:szCs w:val="20"/>
              </w:rPr>
            </w:pPr>
            <w:r>
              <w:rPr>
                <w:sz w:val="20"/>
                <w:szCs w:val="20"/>
              </w:rPr>
              <w:t>Government and excluded</w:t>
            </w:r>
          </w:p>
        </w:tc>
        <w:tc>
          <w:tcPr>
            <w:tcW w:w="1686" w:type="pct"/>
            <w:vAlign w:val="center"/>
          </w:tcPr>
          <w:p w14:paraId="47F76528" w14:textId="22BFC379" w:rsidR="005C2BB9" w:rsidRPr="00BE6EFA" w:rsidRDefault="005453C7" w:rsidP="005C2BB9">
            <w:pPr>
              <w:jc w:val="center"/>
              <w:rPr>
                <w:sz w:val="20"/>
                <w:szCs w:val="20"/>
              </w:rPr>
            </w:pPr>
            <w:r>
              <w:rPr>
                <w:rFonts w:ascii="Calibri" w:hAnsi="Calibri" w:cs="Calibri"/>
                <w:color w:val="000000"/>
                <w:sz w:val="20"/>
                <w:szCs w:val="20"/>
              </w:rPr>
              <w:t>202</w:t>
            </w:r>
          </w:p>
        </w:tc>
        <w:tc>
          <w:tcPr>
            <w:tcW w:w="681" w:type="pct"/>
            <w:vAlign w:val="center"/>
          </w:tcPr>
          <w:p w14:paraId="78F09CA0" w14:textId="7FC50652" w:rsidR="005C2BB9" w:rsidRPr="002D6A12" w:rsidRDefault="005453C7" w:rsidP="005C2BB9">
            <w:pPr>
              <w:jc w:val="center"/>
              <w:rPr>
                <w:rFonts w:ascii="Calibri" w:hAnsi="Calibri" w:cs="Calibri"/>
                <w:i/>
                <w:color w:val="000000"/>
                <w:sz w:val="20"/>
                <w:szCs w:val="20"/>
              </w:rPr>
            </w:pPr>
            <w:r w:rsidRPr="002D6A12">
              <w:rPr>
                <w:rFonts w:ascii="Calibri" w:hAnsi="Calibri" w:cs="Calibri"/>
                <w:i/>
                <w:color w:val="000000"/>
                <w:sz w:val="20"/>
                <w:szCs w:val="20"/>
              </w:rPr>
              <w:t>27</w:t>
            </w:r>
            <w:r w:rsidR="005C2BB9" w:rsidRPr="002D6A12">
              <w:rPr>
                <w:rFonts w:ascii="Calibri" w:hAnsi="Calibri" w:cs="Calibri"/>
                <w:i/>
                <w:color w:val="000000"/>
                <w:sz w:val="20"/>
                <w:szCs w:val="20"/>
              </w:rPr>
              <w:t>%</w:t>
            </w:r>
          </w:p>
        </w:tc>
      </w:tr>
      <w:tr w:rsidR="002D6A12" w:rsidRPr="00B80ED2" w14:paraId="287A20DB" w14:textId="77777777" w:rsidTr="002D6A12">
        <w:trPr>
          <w:trHeight w:val="283"/>
        </w:trPr>
        <w:tc>
          <w:tcPr>
            <w:tcW w:w="2633" w:type="pct"/>
            <w:shd w:val="clear" w:color="auto" w:fill="FFE599" w:themeFill="accent4" w:themeFillTint="66"/>
          </w:tcPr>
          <w:p w14:paraId="6DACD970" w14:textId="77777777" w:rsidR="005C2BB9" w:rsidRPr="00F1403E" w:rsidRDefault="005C2BB9" w:rsidP="005C2BB9">
            <w:pPr>
              <w:rPr>
                <w:b/>
                <w:sz w:val="20"/>
                <w:szCs w:val="20"/>
              </w:rPr>
            </w:pPr>
            <w:r w:rsidRPr="00F1403E">
              <w:rPr>
                <w:b/>
                <w:sz w:val="20"/>
                <w:szCs w:val="20"/>
              </w:rPr>
              <w:t xml:space="preserve">Total </w:t>
            </w:r>
          </w:p>
        </w:tc>
        <w:tc>
          <w:tcPr>
            <w:tcW w:w="1686" w:type="pct"/>
            <w:shd w:val="clear" w:color="auto" w:fill="FFE599" w:themeFill="accent4" w:themeFillTint="66"/>
            <w:vAlign w:val="center"/>
          </w:tcPr>
          <w:p w14:paraId="1B1E8671" w14:textId="6330902A" w:rsidR="005C2BB9" w:rsidRPr="00BE6EFA" w:rsidRDefault="005453C7" w:rsidP="005C2BB9">
            <w:pPr>
              <w:jc w:val="center"/>
              <w:rPr>
                <w:sz w:val="20"/>
                <w:szCs w:val="20"/>
              </w:rPr>
            </w:pPr>
            <w:r>
              <w:rPr>
                <w:rFonts w:ascii="Calibri" w:hAnsi="Calibri" w:cs="Calibri"/>
                <w:b/>
                <w:bCs/>
                <w:color w:val="000000"/>
                <w:sz w:val="20"/>
                <w:szCs w:val="20"/>
              </w:rPr>
              <w:t>737</w:t>
            </w:r>
          </w:p>
        </w:tc>
        <w:tc>
          <w:tcPr>
            <w:tcW w:w="681" w:type="pct"/>
            <w:shd w:val="clear" w:color="auto" w:fill="FFE599" w:themeFill="accent4" w:themeFillTint="66"/>
            <w:vAlign w:val="center"/>
          </w:tcPr>
          <w:p w14:paraId="7D184E20" w14:textId="0D0A8A7C" w:rsidR="005C2BB9" w:rsidRPr="002D6A12" w:rsidRDefault="005C2BB9" w:rsidP="005C2BB9">
            <w:pPr>
              <w:jc w:val="center"/>
              <w:rPr>
                <w:b/>
                <w:i/>
                <w:sz w:val="20"/>
                <w:szCs w:val="20"/>
              </w:rPr>
            </w:pPr>
            <w:r w:rsidRPr="002D6A12">
              <w:rPr>
                <w:rFonts w:ascii="Calibri" w:hAnsi="Calibri" w:cs="Calibri"/>
                <w:b/>
                <w:bCs/>
                <w:i/>
                <w:color w:val="000000"/>
                <w:sz w:val="20"/>
                <w:szCs w:val="20"/>
              </w:rPr>
              <w:t>100%</w:t>
            </w:r>
          </w:p>
        </w:tc>
      </w:tr>
    </w:tbl>
    <w:p w14:paraId="6664E69B" w14:textId="77777777" w:rsidR="00BE4F37" w:rsidRDefault="00BE4F37" w:rsidP="0018754B">
      <w:pPr>
        <w:pStyle w:val="Caption"/>
        <w:keepNext/>
      </w:pPr>
    </w:p>
    <w:p w14:paraId="7B83ED11" w14:textId="1BEA6EBE" w:rsidR="0018754B" w:rsidRDefault="0018754B" w:rsidP="0018754B">
      <w:pPr>
        <w:pStyle w:val="Caption"/>
        <w:keepNext/>
      </w:pPr>
      <w:r>
        <w:t xml:space="preserve">Table </w:t>
      </w:r>
      <w:fldSimple w:instr=" SEQ Table \* ARABIC ">
        <w:r w:rsidR="00844346">
          <w:rPr>
            <w:noProof/>
          </w:rPr>
          <w:t>26</w:t>
        </w:r>
      </w:fldSimple>
      <w:r>
        <w:t xml:space="preserve">: Regional analysis of </w:t>
      </w:r>
      <w:r w:rsidR="00796180">
        <w:t>AP</w:t>
      </w:r>
      <w:r>
        <w:t>s ability to continue to pay operating costs while subsidy payments are deferred</w:t>
      </w:r>
    </w:p>
    <w:tbl>
      <w:tblPr>
        <w:tblStyle w:val="TableGrid"/>
        <w:tblW w:w="5000" w:type="pct"/>
        <w:tblLayout w:type="fixed"/>
        <w:tblLook w:val="04A0" w:firstRow="1" w:lastRow="0" w:firstColumn="1" w:lastColumn="0" w:noHBand="0" w:noVBand="1"/>
        <w:tblCaption w:val="Table 26: Regional analysis of APs ability to continue to pay operating costs while subsidy payments are deferred"/>
      </w:tblPr>
      <w:tblGrid>
        <w:gridCol w:w="1699"/>
        <w:gridCol w:w="1327"/>
        <w:gridCol w:w="1327"/>
        <w:gridCol w:w="1323"/>
        <w:gridCol w:w="1323"/>
        <w:gridCol w:w="1323"/>
        <w:gridCol w:w="1306"/>
      </w:tblGrid>
      <w:tr w:rsidR="0018754B" w:rsidRPr="00C33204" w14:paraId="1440F209" w14:textId="77777777" w:rsidTr="00627E62">
        <w:trPr>
          <w:trHeight w:val="1350"/>
          <w:tblHeader/>
        </w:trPr>
        <w:tc>
          <w:tcPr>
            <w:tcW w:w="882" w:type="pct"/>
            <w:shd w:val="clear" w:color="auto" w:fill="5B9BD5"/>
            <w:vAlign w:val="center"/>
          </w:tcPr>
          <w:p w14:paraId="0F2AB0C5" w14:textId="77777777" w:rsidR="0018754B" w:rsidRPr="001F0F05" w:rsidRDefault="0018754B" w:rsidP="002D6A12">
            <w:pPr>
              <w:jc w:val="center"/>
              <w:rPr>
                <w:rFonts w:ascii="Calibri" w:eastAsia="Times New Roman" w:hAnsi="Calibri" w:cs="Calibri"/>
                <w:b/>
                <w:bCs/>
                <w:color w:val="FFFFFF" w:themeColor="background1"/>
                <w:sz w:val="20"/>
                <w:szCs w:val="20"/>
                <w:lang w:eastAsia="en-AU"/>
              </w:rPr>
            </w:pPr>
            <w:r w:rsidRPr="001F0F05">
              <w:rPr>
                <w:b/>
                <w:bCs/>
                <w:color w:val="FFFFFF" w:themeColor="background1"/>
                <w:sz w:val="20"/>
                <w:szCs w:val="20"/>
                <w:lang w:eastAsia="en-AU"/>
              </w:rPr>
              <w:t>Category</w:t>
            </w:r>
          </w:p>
        </w:tc>
        <w:tc>
          <w:tcPr>
            <w:tcW w:w="689" w:type="pct"/>
            <w:shd w:val="clear" w:color="auto" w:fill="5B9BD5"/>
            <w:vAlign w:val="center"/>
          </w:tcPr>
          <w:p w14:paraId="73CC3853" w14:textId="046871AB" w:rsidR="0018754B" w:rsidRDefault="0018754B" w:rsidP="002D6A12">
            <w:pPr>
              <w:jc w:val="center"/>
              <w:rPr>
                <w:rFonts w:ascii="Calibri" w:eastAsia="Times New Roman" w:hAnsi="Calibri" w:cs="Calibri"/>
                <w:b/>
                <w:bCs/>
                <w:color w:val="FFFFFF" w:themeColor="background1"/>
                <w:sz w:val="20"/>
                <w:szCs w:val="20"/>
                <w:lang w:eastAsia="en-AU"/>
              </w:rPr>
            </w:pPr>
            <w:r>
              <w:rPr>
                <w:rFonts w:ascii="Calibri" w:eastAsia="Times New Roman" w:hAnsi="Calibri" w:cs="Calibri"/>
                <w:b/>
                <w:bCs/>
                <w:color w:val="FFFFFF" w:themeColor="background1"/>
                <w:sz w:val="20"/>
                <w:szCs w:val="20"/>
                <w:lang w:eastAsia="en-AU"/>
              </w:rPr>
              <w:t xml:space="preserve">Number of </w:t>
            </w:r>
            <w:r w:rsidR="002D6A12">
              <w:rPr>
                <w:rFonts w:ascii="Calibri" w:eastAsia="Times New Roman" w:hAnsi="Calibri" w:cs="Calibri"/>
                <w:b/>
                <w:bCs/>
                <w:color w:val="FFFFFF" w:themeColor="background1"/>
                <w:sz w:val="20"/>
                <w:szCs w:val="20"/>
                <w:lang w:eastAsia="en-AU"/>
              </w:rPr>
              <w:t>P</w:t>
            </w:r>
            <w:r>
              <w:rPr>
                <w:rFonts w:ascii="Calibri" w:eastAsia="Times New Roman" w:hAnsi="Calibri" w:cs="Calibri"/>
                <w:b/>
                <w:bCs/>
                <w:color w:val="FFFFFF" w:themeColor="background1"/>
                <w:sz w:val="20"/>
                <w:szCs w:val="20"/>
                <w:lang w:eastAsia="en-AU"/>
              </w:rPr>
              <w:t>roviders</w:t>
            </w:r>
          </w:p>
        </w:tc>
        <w:tc>
          <w:tcPr>
            <w:tcW w:w="689" w:type="pct"/>
            <w:shd w:val="clear" w:color="auto" w:fill="5B9BD5"/>
            <w:vAlign w:val="center"/>
            <w:hideMark/>
          </w:tcPr>
          <w:p w14:paraId="7C99C248" w14:textId="77777777" w:rsidR="0018754B" w:rsidRDefault="0018754B" w:rsidP="002D6A12">
            <w:pPr>
              <w:jc w:val="center"/>
              <w:rPr>
                <w:rFonts w:ascii="Calibri" w:eastAsia="Times New Roman" w:hAnsi="Calibri" w:cs="Calibri"/>
                <w:b/>
                <w:bCs/>
                <w:color w:val="FFFFFF" w:themeColor="background1"/>
                <w:sz w:val="20"/>
                <w:szCs w:val="20"/>
                <w:lang w:eastAsia="en-AU"/>
              </w:rPr>
            </w:pPr>
            <w:r>
              <w:rPr>
                <w:rFonts w:ascii="Calibri" w:eastAsia="Times New Roman" w:hAnsi="Calibri" w:cs="Calibri"/>
                <w:b/>
                <w:bCs/>
                <w:color w:val="FFFFFF" w:themeColor="background1"/>
                <w:sz w:val="20"/>
                <w:szCs w:val="20"/>
                <w:lang w:eastAsia="en-AU"/>
              </w:rPr>
              <w:t>Average Monthly Revenue</w:t>
            </w:r>
          </w:p>
          <w:p w14:paraId="31BF475B" w14:textId="77777777" w:rsidR="0018754B" w:rsidRPr="001F0F05" w:rsidRDefault="0018754B" w:rsidP="002D6A12">
            <w:pPr>
              <w:jc w:val="center"/>
              <w:rPr>
                <w:rFonts w:ascii="Calibri" w:eastAsia="Times New Roman" w:hAnsi="Calibri" w:cs="Calibri"/>
                <w:b/>
                <w:bCs/>
                <w:color w:val="FFFFFF" w:themeColor="background1"/>
                <w:sz w:val="20"/>
                <w:szCs w:val="20"/>
                <w:lang w:eastAsia="en-AU"/>
              </w:rPr>
            </w:pPr>
            <w:r>
              <w:rPr>
                <w:rFonts w:ascii="Calibri" w:eastAsia="Times New Roman" w:hAnsi="Calibri" w:cs="Calibri"/>
                <w:b/>
                <w:bCs/>
                <w:color w:val="FFFFFF" w:themeColor="background1"/>
                <w:sz w:val="20"/>
                <w:szCs w:val="20"/>
                <w:lang w:eastAsia="en-AU"/>
              </w:rPr>
              <w:t>$</w:t>
            </w:r>
          </w:p>
        </w:tc>
        <w:tc>
          <w:tcPr>
            <w:tcW w:w="687" w:type="pct"/>
            <w:shd w:val="clear" w:color="auto" w:fill="5B9BD5"/>
            <w:vAlign w:val="center"/>
            <w:hideMark/>
          </w:tcPr>
          <w:p w14:paraId="12214A00" w14:textId="77777777" w:rsidR="0018754B" w:rsidRDefault="0018754B" w:rsidP="002D6A12">
            <w:pPr>
              <w:jc w:val="center"/>
              <w:rPr>
                <w:rFonts w:ascii="Calibri" w:hAnsi="Calibri" w:cs="Calibri"/>
                <w:b/>
                <w:bCs/>
                <w:color w:val="FFFFFF" w:themeColor="background1"/>
                <w:sz w:val="20"/>
                <w:szCs w:val="20"/>
              </w:rPr>
            </w:pPr>
            <w:r>
              <w:rPr>
                <w:rFonts w:ascii="Calibri" w:hAnsi="Calibri" w:cs="Calibri"/>
                <w:b/>
                <w:bCs/>
                <w:color w:val="FFFFFF" w:themeColor="background1"/>
                <w:sz w:val="20"/>
                <w:szCs w:val="20"/>
              </w:rPr>
              <w:t>Average Monthly Margin</w:t>
            </w:r>
          </w:p>
          <w:p w14:paraId="2220909C" w14:textId="77777777" w:rsidR="0018754B" w:rsidRPr="001F0F05" w:rsidRDefault="0018754B" w:rsidP="002D6A12">
            <w:pPr>
              <w:jc w:val="center"/>
              <w:rPr>
                <w:rFonts w:ascii="Calibri" w:eastAsia="Times New Roman" w:hAnsi="Calibri" w:cs="Calibri"/>
                <w:b/>
                <w:bCs/>
                <w:color w:val="FFFFFF" w:themeColor="background1"/>
                <w:sz w:val="20"/>
                <w:szCs w:val="20"/>
                <w:lang w:eastAsia="en-AU"/>
              </w:rPr>
            </w:pPr>
            <w:r>
              <w:rPr>
                <w:rFonts w:ascii="Calibri" w:eastAsia="Times New Roman" w:hAnsi="Calibri" w:cs="Calibri"/>
                <w:b/>
                <w:bCs/>
                <w:color w:val="FFFFFF" w:themeColor="background1"/>
                <w:sz w:val="20"/>
                <w:szCs w:val="20"/>
                <w:lang w:eastAsia="en-AU"/>
              </w:rPr>
              <w:t>$</w:t>
            </w:r>
          </w:p>
        </w:tc>
        <w:tc>
          <w:tcPr>
            <w:tcW w:w="687" w:type="pct"/>
            <w:shd w:val="clear" w:color="auto" w:fill="5B9BD5"/>
            <w:vAlign w:val="center"/>
          </w:tcPr>
          <w:p w14:paraId="56586366" w14:textId="77777777" w:rsidR="0018754B" w:rsidRDefault="0018754B" w:rsidP="002D6A12">
            <w:pPr>
              <w:jc w:val="center"/>
              <w:rPr>
                <w:rFonts w:ascii="Calibri" w:hAnsi="Calibri" w:cs="Calibri"/>
                <w:b/>
                <w:bCs/>
                <w:color w:val="FFFFFF" w:themeColor="background1"/>
                <w:sz w:val="20"/>
                <w:szCs w:val="20"/>
              </w:rPr>
            </w:pPr>
            <w:r>
              <w:rPr>
                <w:rFonts w:ascii="Calibri" w:hAnsi="Calibri" w:cs="Calibri"/>
                <w:b/>
                <w:bCs/>
                <w:color w:val="FFFFFF" w:themeColor="background1"/>
                <w:sz w:val="20"/>
                <w:szCs w:val="20"/>
              </w:rPr>
              <w:t>Average monthly cost to fund operations</w:t>
            </w:r>
          </w:p>
          <w:p w14:paraId="17EA18C6" w14:textId="77777777" w:rsidR="0018754B" w:rsidRPr="001F0F05" w:rsidRDefault="0018754B" w:rsidP="002D6A12">
            <w:pPr>
              <w:jc w:val="center"/>
              <w:rPr>
                <w:rFonts w:ascii="Calibri" w:hAnsi="Calibri" w:cs="Calibri"/>
                <w:b/>
                <w:bCs/>
                <w:color w:val="FFFFFF" w:themeColor="background1"/>
                <w:sz w:val="20"/>
                <w:szCs w:val="20"/>
              </w:rPr>
            </w:pPr>
            <w:r>
              <w:rPr>
                <w:rFonts w:ascii="Calibri" w:hAnsi="Calibri" w:cs="Calibri"/>
                <w:b/>
                <w:bCs/>
                <w:color w:val="FFFFFF" w:themeColor="background1"/>
                <w:sz w:val="20"/>
                <w:szCs w:val="20"/>
              </w:rPr>
              <w:t>$</w:t>
            </w:r>
          </w:p>
        </w:tc>
        <w:tc>
          <w:tcPr>
            <w:tcW w:w="687" w:type="pct"/>
            <w:shd w:val="clear" w:color="auto" w:fill="5B9BD5"/>
            <w:vAlign w:val="center"/>
          </w:tcPr>
          <w:p w14:paraId="0AC519CF" w14:textId="35DD4F70" w:rsidR="0018754B" w:rsidRPr="001F0F05" w:rsidRDefault="0018754B" w:rsidP="002D6A12">
            <w:pPr>
              <w:jc w:val="center"/>
              <w:rPr>
                <w:rFonts w:ascii="Calibri" w:hAnsi="Calibri" w:cs="Calibri"/>
                <w:b/>
                <w:bCs/>
                <w:color w:val="FFFFFF" w:themeColor="background1"/>
                <w:sz w:val="20"/>
                <w:szCs w:val="20"/>
              </w:rPr>
            </w:pPr>
            <w:r w:rsidRPr="001F0F05">
              <w:rPr>
                <w:rFonts w:ascii="Calibri" w:hAnsi="Calibri" w:cs="Calibri"/>
                <w:b/>
                <w:bCs/>
                <w:color w:val="FFFFFF" w:themeColor="background1"/>
                <w:sz w:val="20"/>
                <w:szCs w:val="20"/>
              </w:rPr>
              <w:t>HC</w:t>
            </w:r>
            <w:r w:rsidR="002D6A12">
              <w:rPr>
                <w:rFonts w:ascii="Calibri" w:hAnsi="Calibri" w:cs="Calibri"/>
                <w:b/>
                <w:bCs/>
                <w:color w:val="FFFFFF" w:themeColor="background1"/>
                <w:sz w:val="20"/>
                <w:szCs w:val="20"/>
              </w:rPr>
              <w:t>P</w:t>
            </w:r>
            <w:r w:rsidRPr="001F0F05">
              <w:rPr>
                <w:rFonts w:ascii="Calibri" w:hAnsi="Calibri" w:cs="Calibri"/>
                <w:b/>
                <w:bCs/>
                <w:color w:val="FFFFFF" w:themeColor="background1"/>
                <w:sz w:val="20"/>
                <w:szCs w:val="20"/>
              </w:rPr>
              <w:t xml:space="preserve"> Segment Liquid Assets</w:t>
            </w:r>
          </w:p>
        </w:tc>
        <w:tc>
          <w:tcPr>
            <w:tcW w:w="678" w:type="pct"/>
            <w:shd w:val="clear" w:color="auto" w:fill="5B9BD5"/>
            <w:vAlign w:val="center"/>
            <w:hideMark/>
          </w:tcPr>
          <w:p w14:paraId="467BBE51" w14:textId="75AD132E" w:rsidR="0018754B" w:rsidRPr="001F0F05" w:rsidRDefault="0018754B" w:rsidP="002D6A12">
            <w:pPr>
              <w:jc w:val="center"/>
              <w:rPr>
                <w:rFonts w:ascii="Calibri" w:eastAsia="Times New Roman" w:hAnsi="Calibri" w:cs="Calibri"/>
                <w:b/>
                <w:bCs/>
                <w:color w:val="FFFFFF" w:themeColor="background1"/>
                <w:sz w:val="20"/>
                <w:szCs w:val="20"/>
                <w:lang w:eastAsia="en-AU"/>
              </w:rPr>
            </w:pPr>
            <w:r w:rsidRPr="001F0F05">
              <w:rPr>
                <w:rFonts w:ascii="Calibri" w:hAnsi="Calibri" w:cs="Calibri"/>
                <w:b/>
                <w:bCs/>
                <w:color w:val="FFFFFF" w:themeColor="background1"/>
                <w:sz w:val="20"/>
                <w:szCs w:val="20"/>
              </w:rPr>
              <w:t>Segment  Liquid Assets</w:t>
            </w:r>
            <w:r w:rsidR="002D6A12">
              <w:rPr>
                <w:rFonts w:ascii="Calibri" w:hAnsi="Calibri" w:cs="Calibri"/>
                <w:b/>
                <w:bCs/>
                <w:color w:val="FFFFFF" w:themeColor="background1"/>
                <w:sz w:val="20"/>
                <w:szCs w:val="20"/>
              </w:rPr>
              <w:t xml:space="preserve"> </w:t>
            </w:r>
            <w:r w:rsidRPr="001F0F05">
              <w:rPr>
                <w:rFonts w:ascii="Calibri" w:hAnsi="Calibri" w:cs="Calibri"/>
                <w:b/>
                <w:bCs/>
                <w:color w:val="FFFFFF" w:themeColor="background1"/>
                <w:sz w:val="20"/>
                <w:szCs w:val="20"/>
              </w:rPr>
              <w:t xml:space="preserve">/ </w:t>
            </w:r>
            <w:r>
              <w:rPr>
                <w:rFonts w:ascii="Calibri" w:hAnsi="Calibri" w:cs="Calibri"/>
                <w:b/>
                <w:bCs/>
                <w:color w:val="FFFFFF" w:themeColor="background1"/>
                <w:sz w:val="20"/>
                <w:szCs w:val="20"/>
              </w:rPr>
              <w:t>1</w:t>
            </w:r>
            <w:r w:rsidRPr="001F0F05">
              <w:rPr>
                <w:rFonts w:ascii="Calibri" w:hAnsi="Calibri" w:cs="Calibri"/>
                <w:b/>
                <w:bCs/>
                <w:color w:val="FFFFFF" w:themeColor="background1"/>
                <w:sz w:val="20"/>
                <w:szCs w:val="20"/>
              </w:rPr>
              <w:t xml:space="preserve"> month</w:t>
            </w:r>
            <w:r>
              <w:rPr>
                <w:rFonts w:ascii="Calibri" w:hAnsi="Calibri" w:cs="Calibri"/>
                <w:b/>
                <w:bCs/>
                <w:color w:val="FFFFFF" w:themeColor="background1"/>
                <w:sz w:val="20"/>
                <w:szCs w:val="20"/>
              </w:rPr>
              <w:t>’s</w:t>
            </w:r>
            <w:r w:rsidRPr="001F0F05">
              <w:rPr>
                <w:rFonts w:ascii="Calibri" w:hAnsi="Calibri" w:cs="Calibri"/>
                <w:b/>
                <w:bCs/>
                <w:color w:val="FFFFFF" w:themeColor="background1"/>
                <w:sz w:val="20"/>
                <w:szCs w:val="20"/>
              </w:rPr>
              <w:t xml:space="preserve"> </w:t>
            </w:r>
            <w:r>
              <w:rPr>
                <w:rFonts w:ascii="Calibri" w:hAnsi="Calibri" w:cs="Calibri"/>
                <w:b/>
                <w:bCs/>
                <w:color w:val="FFFFFF" w:themeColor="background1"/>
                <w:sz w:val="20"/>
                <w:szCs w:val="20"/>
              </w:rPr>
              <w:t>Operational cost</w:t>
            </w:r>
          </w:p>
        </w:tc>
      </w:tr>
      <w:tr w:rsidR="0018754B" w:rsidRPr="00C33204" w14:paraId="116ABBA2" w14:textId="77777777" w:rsidTr="0018754B">
        <w:trPr>
          <w:trHeight w:val="375"/>
        </w:trPr>
        <w:tc>
          <w:tcPr>
            <w:tcW w:w="882" w:type="pct"/>
            <w:shd w:val="clear" w:color="auto" w:fill="DEEAF6"/>
          </w:tcPr>
          <w:p w14:paraId="1A91F71F" w14:textId="2A7369D7" w:rsidR="0018754B" w:rsidRPr="0018754B" w:rsidRDefault="0018754B" w:rsidP="0018754B">
            <w:pPr>
              <w:jc w:val="left"/>
              <w:rPr>
                <w:rFonts w:ascii="Calibri" w:eastAsia="Times New Roman" w:hAnsi="Calibri" w:cs="Calibri"/>
                <w:color w:val="000000"/>
                <w:sz w:val="20"/>
                <w:szCs w:val="20"/>
                <w:lang w:eastAsia="en-AU"/>
              </w:rPr>
            </w:pPr>
            <w:r w:rsidRPr="0018754B">
              <w:rPr>
                <w:sz w:val="20"/>
                <w:szCs w:val="20"/>
              </w:rPr>
              <w:t>Operate residential aged care homes</w:t>
            </w:r>
          </w:p>
        </w:tc>
        <w:tc>
          <w:tcPr>
            <w:tcW w:w="689" w:type="pct"/>
            <w:shd w:val="clear" w:color="auto" w:fill="DEEAF6"/>
            <w:vAlign w:val="center"/>
          </w:tcPr>
          <w:p w14:paraId="6CC22E69" w14:textId="23E337C4" w:rsidR="0018754B" w:rsidRPr="0018754B" w:rsidRDefault="0018754B" w:rsidP="0018754B">
            <w:pPr>
              <w:jc w:val="center"/>
              <w:rPr>
                <w:rFonts w:ascii="Calibri" w:hAnsi="Calibri" w:cs="Calibri"/>
                <w:color w:val="000000"/>
                <w:sz w:val="20"/>
                <w:szCs w:val="20"/>
              </w:rPr>
            </w:pPr>
            <w:r w:rsidRPr="0018754B">
              <w:rPr>
                <w:sz w:val="20"/>
                <w:szCs w:val="20"/>
              </w:rPr>
              <w:t>143</w:t>
            </w:r>
          </w:p>
        </w:tc>
        <w:tc>
          <w:tcPr>
            <w:tcW w:w="689" w:type="pct"/>
            <w:shd w:val="clear" w:color="auto" w:fill="DEEAF6"/>
            <w:noWrap/>
            <w:vAlign w:val="center"/>
          </w:tcPr>
          <w:p w14:paraId="707B5D4A" w14:textId="25255787" w:rsidR="0018754B" w:rsidRPr="009D7F80" w:rsidRDefault="0018754B" w:rsidP="0018754B">
            <w:pPr>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444,560</w:t>
            </w:r>
          </w:p>
        </w:tc>
        <w:tc>
          <w:tcPr>
            <w:tcW w:w="687" w:type="pct"/>
            <w:shd w:val="clear" w:color="auto" w:fill="DEEAF6"/>
            <w:noWrap/>
            <w:vAlign w:val="center"/>
          </w:tcPr>
          <w:p w14:paraId="47B6D67F" w14:textId="0165FBBC" w:rsidR="0018754B" w:rsidRPr="009D7F80" w:rsidRDefault="0018754B" w:rsidP="0018754B">
            <w:pPr>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19,941</w:t>
            </w:r>
          </w:p>
        </w:tc>
        <w:tc>
          <w:tcPr>
            <w:tcW w:w="687" w:type="pct"/>
            <w:shd w:val="clear" w:color="auto" w:fill="DEEAF6"/>
            <w:vAlign w:val="center"/>
          </w:tcPr>
          <w:p w14:paraId="4C4F8E4B" w14:textId="0A05758C" w:rsidR="0018754B" w:rsidRPr="009D7F80" w:rsidRDefault="0018754B" w:rsidP="0018754B">
            <w:pPr>
              <w:jc w:val="center"/>
              <w:rPr>
                <w:rFonts w:ascii="Calibri" w:hAnsi="Calibri" w:cs="Calibri"/>
                <w:color w:val="000000"/>
                <w:sz w:val="20"/>
                <w:szCs w:val="20"/>
              </w:rPr>
            </w:pPr>
            <w:r>
              <w:rPr>
                <w:rFonts w:ascii="Calibri" w:hAnsi="Calibri" w:cs="Calibri"/>
                <w:color w:val="000000"/>
                <w:sz w:val="20"/>
                <w:szCs w:val="20"/>
              </w:rPr>
              <w:t>424,618</w:t>
            </w:r>
          </w:p>
        </w:tc>
        <w:tc>
          <w:tcPr>
            <w:tcW w:w="687" w:type="pct"/>
            <w:shd w:val="clear" w:color="auto" w:fill="DEEAF6"/>
            <w:vAlign w:val="center"/>
          </w:tcPr>
          <w:p w14:paraId="2312AA04" w14:textId="02C65A17" w:rsidR="0018754B" w:rsidRPr="009D7F80" w:rsidRDefault="0018754B" w:rsidP="0018754B">
            <w:pPr>
              <w:jc w:val="center"/>
              <w:rPr>
                <w:rFonts w:ascii="Calibri" w:hAnsi="Calibri" w:cs="Calibri"/>
                <w:color w:val="000000"/>
                <w:sz w:val="20"/>
                <w:szCs w:val="20"/>
              </w:rPr>
            </w:pPr>
            <w:r>
              <w:rPr>
                <w:rFonts w:ascii="Calibri" w:hAnsi="Calibri" w:cs="Calibri"/>
                <w:color w:val="000000"/>
                <w:sz w:val="20"/>
                <w:szCs w:val="20"/>
              </w:rPr>
              <w:t>5,491,427</w:t>
            </w:r>
          </w:p>
        </w:tc>
        <w:tc>
          <w:tcPr>
            <w:tcW w:w="678" w:type="pct"/>
            <w:shd w:val="clear" w:color="auto" w:fill="DEEAF6"/>
            <w:noWrap/>
            <w:vAlign w:val="center"/>
          </w:tcPr>
          <w:p w14:paraId="1E111BF8" w14:textId="73A7B9DF" w:rsidR="0018754B" w:rsidRPr="002D6A12" w:rsidRDefault="0018754B" w:rsidP="0018754B">
            <w:pPr>
              <w:jc w:val="center"/>
              <w:rPr>
                <w:rFonts w:ascii="Calibri" w:eastAsia="Times New Roman" w:hAnsi="Calibri" w:cs="Calibri"/>
                <w:i/>
                <w:color w:val="000000"/>
                <w:sz w:val="20"/>
                <w:szCs w:val="20"/>
                <w:lang w:eastAsia="en-AU"/>
              </w:rPr>
            </w:pPr>
            <w:r w:rsidRPr="002D6A12">
              <w:rPr>
                <w:rFonts w:ascii="Calibri" w:eastAsia="Times New Roman" w:hAnsi="Calibri" w:cs="Calibri"/>
                <w:i/>
                <w:color w:val="000000"/>
                <w:sz w:val="20"/>
                <w:szCs w:val="20"/>
                <w:lang w:eastAsia="en-AU"/>
              </w:rPr>
              <w:t>12.93</w:t>
            </w:r>
          </w:p>
        </w:tc>
      </w:tr>
      <w:tr w:rsidR="0018754B" w:rsidRPr="00C33204" w14:paraId="380FC0FA" w14:textId="77777777" w:rsidTr="0018754B">
        <w:trPr>
          <w:trHeight w:val="375"/>
        </w:trPr>
        <w:tc>
          <w:tcPr>
            <w:tcW w:w="882" w:type="pct"/>
          </w:tcPr>
          <w:p w14:paraId="46ACF4B7" w14:textId="578B64D0" w:rsidR="0018754B" w:rsidRPr="0018754B" w:rsidRDefault="0018754B" w:rsidP="0018754B">
            <w:pPr>
              <w:jc w:val="left"/>
              <w:rPr>
                <w:rFonts w:ascii="Calibri" w:eastAsia="Times New Roman" w:hAnsi="Calibri" w:cs="Calibri"/>
                <w:color w:val="000000"/>
                <w:sz w:val="20"/>
                <w:szCs w:val="20"/>
                <w:lang w:eastAsia="en-AU"/>
              </w:rPr>
            </w:pPr>
            <w:r w:rsidRPr="0018754B">
              <w:rPr>
                <w:sz w:val="20"/>
                <w:szCs w:val="20"/>
              </w:rPr>
              <w:t xml:space="preserve">Don’t operate residential aged care homes </w:t>
            </w:r>
          </w:p>
        </w:tc>
        <w:tc>
          <w:tcPr>
            <w:tcW w:w="689" w:type="pct"/>
            <w:vAlign w:val="center"/>
          </w:tcPr>
          <w:p w14:paraId="7434F987" w14:textId="5EDF2F65" w:rsidR="0018754B" w:rsidRPr="0018754B" w:rsidRDefault="0018754B" w:rsidP="0018754B">
            <w:pPr>
              <w:jc w:val="center"/>
              <w:rPr>
                <w:rFonts w:ascii="Calibri" w:hAnsi="Calibri" w:cs="Calibri"/>
                <w:color w:val="000000"/>
                <w:sz w:val="20"/>
                <w:szCs w:val="20"/>
              </w:rPr>
            </w:pPr>
            <w:r w:rsidRPr="0018754B">
              <w:rPr>
                <w:sz w:val="20"/>
                <w:szCs w:val="20"/>
              </w:rPr>
              <w:t>392</w:t>
            </w:r>
          </w:p>
        </w:tc>
        <w:tc>
          <w:tcPr>
            <w:tcW w:w="689" w:type="pct"/>
            <w:noWrap/>
            <w:vAlign w:val="center"/>
          </w:tcPr>
          <w:p w14:paraId="2F55A336" w14:textId="4B76E41C" w:rsidR="0018754B" w:rsidRPr="009D7F80" w:rsidRDefault="0018754B" w:rsidP="0018754B">
            <w:pPr>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199,217</w:t>
            </w:r>
          </w:p>
        </w:tc>
        <w:tc>
          <w:tcPr>
            <w:tcW w:w="687" w:type="pct"/>
            <w:noWrap/>
            <w:vAlign w:val="center"/>
          </w:tcPr>
          <w:p w14:paraId="03630924" w14:textId="2C68DF8C" w:rsidR="0018754B" w:rsidRPr="009D7F80" w:rsidRDefault="0018754B" w:rsidP="0018754B">
            <w:pPr>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5,401</w:t>
            </w:r>
          </w:p>
        </w:tc>
        <w:tc>
          <w:tcPr>
            <w:tcW w:w="687" w:type="pct"/>
            <w:vAlign w:val="center"/>
          </w:tcPr>
          <w:p w14:paraId="0962583D" w14:textId="02EA3F23" w:rsidR="0018754B" w:rsidRPr="009D7F80" w:rsidRDefault="0018754B" w:rsidP="0018754B">
            <w:pPr>
              <w:jc w:val="center"/>
              <w:rPr>
                <w:rFonts w:ascii="Calibri" w:hAnsi="Calibri" w:cs="Calibri"/>
                <w:color w:val="000000"/>
                <w:sz w:val="20"/>
                <w:szCs w:val="20"/>
              </w:rPr>
            </w:pPr>
            <w:r>
              <w:rPr>
                <w:rFonts w:ascii="Calibri" w:hAnsi="Calibri" w:cs="Calibri"/>
                <w:color w:val="000000"/>
                <w:sz w:val="20"/>
                <w:szCs w:val="20"/>
              </w:rPr>
              <w:t>193,817</w:t>
            </w:r>
          </w:p>
        </w:tc>
        <w:tc>
          <w:tcPr>
            <w:tcW w:w="687" w:type="pct"/>
            <w:vAlign w:val="center"/>
          </w:tcPr>
          <w:p w14:paraId="1CDFCB71" w14:textId="3DA1B0F4" w:rsidR="0018754B" w:rsidRPr="009D7F80" w:rsidRDefault="0018754B" w:rsidP="0018754B">
            <w:pPr>
              <w:jc w:val="center"/>
              <w:rPr>
                <w:rFonts w:ascii="Calibri" w:hAnsi="Calibri" w:cs="Calibri"/>
                <w:color w:val="000000"/>
                <w:sz w:val="20"/>
                <w:szCs w:val="20"/>
              </w:rPr>
            </w:pPr>
            <w:r>
              <w:rPr>
                <w:rFonts w:ascii="Calibri" w:hAnsi="Calibri" w:cs="Calibri"/>
                <w:color w:val="000000"/>
                <w:sz w:val="20"/>
                <w:szCs w:val="20"/>
              </w:rPr>
              <w:t>1,515,709</w:t>
            </w:r>
          </w:p>
        </w:tc>
        <w:tc>
          <w:tcPr>
            <w:tcW w:w="678" w:type="pct"/>
            <w:noWrap/>
            <w:vAlign w:val="center"/>
          </w:tcPr>
          <w:p w14:paraId="508C7921" w14:textId="0A0370E7" w:rsidR="0018754B" w:rsidRPr="002D6A12" w:rsidRDefault="009B247B" w:rsidP="0018754B">
            <w:pPr>
              <w:jc w:val="center"/>
              <w:rPr>
                <w:rFonts w:ascii="Calibri" w:eastAsia="Times New Roman" w:hAnsi="Calibri" w:cs="Calibri"/>
                <w:i/>
                <w:color w:val="000000"/>
                <w:sz w:val="20"/>
                <w:szCs w:val="20"/>
                <w:lang w:eastAsia="en-AU"/>
              </w:rPr>
            </w:pPr>
            <w:r w:rsidRPr="002D6A12">
              <w:rPr>
                <w:rFonts w:ascii="Calibri" w:eastAsia="Times New Roman" w:hAnsi="Calibri" w:cs="Calibri"/>
                <w:i/>
                <w:color w:val="000000"/>
                <w:sz w:val="20"/>
                <w:szCs w:val="20"/>
                <w:lang w:eastAsia="en-AU"/>
              </w:rPr>
              <w:t>7.82</w:t>
            </w:r>
          </w:p>
        </w:tc>
      </w:tr>
      <w:tr w:rsidR="0018754B" w:rsidRPr="00C33204" w14:paraId="6113B559" w14:textId="77777777" w:rsidTr="006B65EA">
        <w:trPr>
          <w:trHeight w:val="375"/>
        </w:trPr>
        <w:tc>
          <w:tcPr>
            <w:tcW w:w="882" w:type="pct"/>
            <w:shd w:val="clear" w:color="auto" w:fill="FFE599" w:themeFill="accent4" w:themeFillTint="66"/>
            <w:vAlign w:val="center"/>
          </w:tcPr>
          <w:p w14:paraId="4F6B166E" w14:textId="15FDF069" w:rsidR="0018754B" w:rsidRPr="00EF4EF8" w:rsidRDefault="002D6A12" w:rsidP="006B65EA">
            <w:pPr>
              <w:jc w:val="left"/>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Total</w:t>
            </w:r>
          </w:p>
        </w:tc>
        <w:tc>
          <w:tcPr>
            <w:tcW w:w="689" w:type="pct"/>
            <w:shd w:val="clear" w:color="auto" w:fill="FFE599" w:themeFill="accent4" w:themeFillTint="66"/>
            <w:vAlign w:val="center"/>
          </w:tcPr>
          <w:p w14:paraId="5A484B1B" w14:textId="77777777" w:rsidR="0018754B" w:rsidRPr="00EF4EF8" w:rsidRDefault="0018754B" w:rsidP="006B65EA">
            <w:pPr>
              <w:jc w:val="center"/>
              <w:rPr>
                <w:rFonts w:ascii="Calibri" w:hAnsi="Calibri" w:cs="Calibri"/>
                <w:b/>
                <w:bCs/>
                <w:color w:val="000000"/>
                <w:sz w:val="20"/>
                <w:szCs w:val="20"/>
              </w:rPr>
            </w:pPr>
            <w:r w:rsidRPr="00EF4EF8">
              <w:rPr>
                <w:rFonts w:ascii="Calibri" w:hAnsi="Calibri" w:cs="Calibri"/>
                <w:b/>
                <w:bCs/>
                <w:color w:val="000000"/>
                <w:sz w:val="20"/>
                <w:szCs w:val="20"/>
              </w:rPr>
              <w:t>535</w:t>
            </w:r>
          </w:p>
        </w:tc>
        <w:tc>
          <w:tcPr>
            <w:tcW w:w="689" w:type="pct"/>
            <w:shd w:val="clear" w:color="auto" w:fill="FFE599" w:themeFill="accent4" w:themeFillTint="66"/>
            <w:noWrap/>
            <w:vAlign w:val="center"/>
          </w:tcPr>
          <w:p w14:paraId="22764026" w14:textId="7A4276EA" w:rsidR="0018754B" w:rsidRPr="009D7F80" w:rsidRDefault="002D6A12" w:rsidP="006B65EA">
            <w:pPr>
              <w:jc w:val="center"/>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 xml:space="preserve">$ </w:t>
            </w:r>
            <w:r w:rsidR="0018754B">
              <w:rPr>
                <w:rFonts w:ascii="Calibri" w:eastAsia="Times New Roman" w:hAnsi="Calibri" w:cs="Calibri"/>
                <w:b/>
                <w:bCs/>
                <w:color w:val="000000"/>
                <w:sz w:val="20"/>
                <w:szCs w:val="20"/>
                <w:lang w:eastAsia="en-AU"/>
              </w:rPr>
              <w:t>264,795</w:t>
            </w:r>
          </w:p>
        </w:tc>
        <w:tc>
          <w:tcPr>
            <w:tcW w:w="687" w:type="pct"/>
            <w:shd w:val="clear" w:color="auto" w:fill="FFE599" w:themeFill="accent4" w:themeFillTint="66"/>
            <w:noWrap/>
            <w:vAlign w:val="center"/>
          </w:tcPr>
          <w:p w14:paraId="2D87B684" w14:textId="377A7B12" w:rsidR="0018754B" w:rsidRPr="009D7F80" w:rsidRDefault="002D6A12" w:rsidP="006B65EA">
            <w:pPr>
              <w:jc w:val="center"/>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 xml:space="preserve">$ </w:t>
            </w:r>
            <w:r w:rsidR="0018754B">
              <w:rPr>
                <w:rFonts w:ascii="Calibri" w:eastAsia="Times New Roman" w:hAnsi="Calibri" w:cs="Calibri"/>
                <w:b/>
                <w:bCs/>
                <w:color w:val="000000"/>
                <w:sz w:val="20"/>
                <w:szCs w:val="20"/>
                <w:lang w:eastAsia="en-AU"/>
              </w:rPr>
              <w:t>9,287</w:t>
            </w:r>
          </w:p>
        </w:tc>
        <w:tc>
          <w:tcPr>
            <w:tcW w:w="687" w:type="pct"/>
            <w:shd w:val="clear" w:color="auto" w:fill="FFE599" w:themeFill="accent4" w:themeFillTint="66"/>
            <w:vAlign w:val="center"/>
          </w:tcPr>
          <w:p w14:paraId="4A71AF15" w14:textId="000FA394" w:rsidR="0018754B" w:rsidRPr="009D7F80" w:rsidRDefault="002D6A12" w:rsidP="006B65EA">
            <w:pPr>
              <w:jc w:val="center"/>
              <w:rPr>
                <w:rFonts w:ascii="Calibri" w:hAnsi="Calibri" w:cs="Calibri"/>
                <w:b/>
                <w:bCs/>
                <w:color w:val="000000"/>
                <w:sz w:val="20"/>
                <w:szCs w:val="20"/>
              </w:rPr>
            </w:pPr>
            <w:r>
              <w:rPr>
                <w:rFonts w:ascii="Calibri" w:hAnsi="Calibri" w:cs="Calibri"/>
                <w:b/>
                <w:bCs/>
                <w:color w:val="000000"/>
                <w:sz w:val="20"/>
                <w:szCs w:val="20"/>
              </w:rPr>
              <w:t xml:space="preserve">$ </w:t>
            </w:r>
            <w:r w:rsidR="0018754B">
              <w:rPr>
                <w:rFonts w:ascii="Calibri" w:hAnsi="Calibri" w:cs="Calibri"/>
                <w:b/>
                <w:bCs/>
                <w:color w:val="000000"/>
                <w:sz w:val="20"/>
                <w:szCs w:val="20"/>
              </w:rPr>
              <w:t>255,508</w:t>
            </w:r>
          </w:p>
        </w:tc>
        <w:tc>
          <w:tcPr>
            <w:tcW w:w="687" w:type="pct"/>
            <w:shd w:val="clear" w:color="auto" w:fill="FFE599" w:themeFill="accent4" w:themeFillTint="66"/>
            <w:vAlign w:val="center"/>
          </w:tcPr>
          <w:p w14:paraId="06569D43" w14:textId="5733664D" w:rsidR="0018754B" w:rsidRPr="009D7F80" w:rsidRDefault="002D6A12" w:rsidP="006B65EA">
            <w:pPr>
              <w:jc w:val="center"/>
              <w:rPr>
                <w:rFonts w:ascii="Calibri" w:hAnsi="Calibri" w:cs="Calibri"/>
                <w:b/>
                <w:bCs/>
                <w:color w:val="000000"/>
                <w:sz w:val="20"/>
                <w:szCs w:val="20"/>
              </w:rPr>
            </w:pPr>
            <w:r>
              <w:rPr>
                <w:rFonts w:ascii="Calibri" w:hAnsi="Calibri" w:cs="Calibri"/>
                <w:b/>
                <w:bCs/>
                <w:color w:val="000000"/>
                <w:sz w:val="20"/>
                <w:szCs w:val="20"/>
              </w:rPr>
              <w:t xml:space="preserve">$ </w:t>
            </w:r>
            <w:r w:rsidR="0018754B">
              <w:rPr>
                <w:rFonts w:ascii="Calibri" w:hAnsi="Calibri" w:cs="Calibri"/>
                <w:b/>
                <w:bCs/>
                <w:color w:val="000000"/>
                <w:sz w:val="20"/>
                <w:szCs w:val="20"/>
              </w:rPr>
              <w:t>2,578,377</w:t>
            </w:r>
          </w:p>
        </w:tc>
        <w:tc>
          <w:tcPr>
            <w:tcW w:w="678" w:type="pct"/>
            <w:shd w:val="clear" w:color="auto" w:fill="FFE599" w:themeFill="accent4" w:themeFillTint="66"/>
            <w:noWrap/>
            <w:vAlign w:val="center"/>
          </w:tcPr>
          <w:p w14:paraId="43DBC4A5" w14:textId="77777777" w:rsidR="0018754B" w:rsidRPr="002D6A12" w:rsidRDefault="0018754B" w:rsidP="006B65EA">
            <w:pPr>
              <w:jc w:val="center"/>
              <w:rPr>
                <w:rFonts w:ascii="Calibri" w:eastAsia="Times New Roman" w:hAnsi="Calibri" w:cs="Calibri"/>
                <w:b/>
                <w:bCs/>
                <w:i/>
                <w:color w:val="000000"/>
                <w:sz w:val="20"/>
                <w:szCs w:val="20"/>
                <w:lang w:eastAsia="en-AU"/>
              </w:rPr>
            </w:pPr>
            <w:r w:rsidRPr="002D6A12">
              <w:rPr>
                <w:rFonts w:ascii="Calibri" w:eastAsia="Times New Roman" w:hAnsi="Calibri" w:cs="Calibri"/>
                <w:b/>
                <w:bCs/>
                <w:i/>
                <w:color w:val="000000"/>
                <w:sz w:val="20"/>
                <w:szCs w:val="20"/>
                <w:lang w:eastAsia="en-AU"/>
              </w:rPr>
              <w:t>10.09</w:t>
            </w:r>
          </w:p>
        </w:tc>
      </w:tr>
    </w:tbl>
    <w:p w14:paraId="4C20F524" w14:textId="77777777" w:rsidR="0018754B" w:rsidRDefault="0018754B" w:rsidP="0018754B"/>
    <w:p w14:paraId="27694FCE" w14:textId="08C90AB9" w:rsidR="0018754B" w:rsidRDefault="009B247B" w:rsidP="0018754B">
      <w:r>
        <w:t xml:space="preserve">Those </w:t>
      </w:r>
      <w:r w:rsidR="00796180">
        <w:t>AP</w:t>
      </w:r>
      <w:r>
        <w:t xml:space="preserve">s that operate both residential aged care and home care services have significantly more coverage of the operating costs by liquid assets than those </w:t>
      </w:r>
      <w:r w:rsidR="00796180">
        <w:t>AP</w:t>
      </w:r>
      <w:r>
        <w:t xml:space="preserve">s that do not operate residential aged care homes. In any event, on average there are still sufficient liquidity held by both cohorts to support a </w:t>
      </w:r>
      <w:proofErr w:type="gramStart"/>
      <w:r>
        <w:t>months</w:t>
      </w:r>
      <w:proofErr w:type="gramEnd"/>
      <w:r>
        <w:t xml:space="preserve"> transition to payment in arrears.</w:t>
      </w:r>
    </w:p>
    <w:p w14:paraId="0E2750A1" w14:textId="654CF029" w:rsidR="0018754B" w:rsidRDefault="0018754B" w:rsidP="0018754B"/>
    <w:p w14:paraId="53A652B3" w14:textId="396988EC" w:rsidR="009B247B" w:rsidRDefault="009B247B" w:rsidP="0018754B">
      <w:r>
        <w:t xml:space="preserve">The proportion of </w:t>
      </w:r>
      <w:r w:rsidR="00796180">
        <w:t>AP</w:t>
      </w:r>
      <w:r>
        <w:t xml:space="preserve">s that have less than one months operating costs held in liquid assets is spread evenly across the two types of </w:t>
      </w:r>
      <w:r w:rsidR="00796180">
        <w:t>AP</w:t>
      </w:r>
      <w:r>
        <w:t>s (based on their overall numbers).</w:t>
      </w:r>
    </w:p>
    <w:p w14:paraId="154CEC36" w14:textId="2B8F88CB" w:rsidR="0018754B" w:rsidRDefault="0018754B" w:rsidP="0018754B">
      <w:pPr>
        <w:pStyle w:val="Caption"/>
        <w:keepNext/>
      </w:pPr>
      <w:r>
        <w:t xml:space="preserve">Table </w:t>
      </w:r>
      <w:fldSimple w:instr=" SEQ Table \* ARABIC ">
        <w:r w:rsidR="00844346">
          <w:rPr>
            <w:noProof/>
          </w:rPr>
          <w:t>27</w:t>
        </w:r>
      </w:fldSimple>
      <w:r>
        <w:t xml:space="preserve">: Number of </w:t>
      </w:r>
      <w:r w:rsidR="00796180">
        <w:t>AP</w:t>
      </w:r>
      <w:r>
        <w:t>s by region with a liquid asset to operating cost ratio less than 1</w:t>
      </w:r>
    </w:p>
    <w:tbl>
      <w:tblPr>
        <w:tblStyle w:val="TableGrid"/>
        <w:tblW w:w="4930" w:type="pct"/>
        <w:tblLayout w:type="fixed"/>
        <w:tblLook w:val="04A0" w:firstRow="1" w:lastRow="0" w:firstColumn="1" w:lastColumn="0" w:noHBand="0" w:noVBand="1"/>
        <w:tblCaption w:val="Table 27: Number of APs by region with a liquid asset to operating cost ratio less than 1"/>
      </w:tblPr>
      <w:tblGrid>
        <w:gridCol w:w="3824"/>
        <w:gridCol w:w="1276"/>
        <w:gridCol w:w="2977"/>
        <w:gridCol w:w="1416"/>
      </w:tblGrid>
      <w:tr w:rsidR="00D72DD3" w:rsidRPr="00C33204" w14:paraId="51C72461" w14:textId="77777777" w:rsidTr="00627E62">
        <w:trPr>
          <w:trHeight w:val="552"/>
          <w:tblHeader/>
        </w:trPr>
        <w:tc>
          <w:tcPr>
            <w:tcW w:w="2014" w:type="pct"/>
            <w:shd w:val="clear" w:color="auto" w:fill="5B9BD5"/>
            <w:vAlign w:val="center"/>
          </w:tcPr>
          <w:p w14:paraId="430E7E2D" w14:textId="77777777" w:rsidR="0018754B" w:rsidRPr="001F0F05" w:rsidRDefault="0018754B" w:rsidP="002D6A12">
            <w:pPr>
              <w:jc w:val="center"/>
              <w:rPr>
                <w:rFonts w:ascii="Calibri" w:eastAsia="Times New Roman" w:hAnsi="Calibri" w:cs="Calibri"/>
                <w:b/>
                <w:bCs/>
                <w:color w:val="FFFFFF" w:themeColor="background1"/>
                <w:sz w:val="20"/>
                <w:szCs w:val="20"/>
                <w:lang w:eastAsia="en-AU"/>
              </w:rPr>
            </w:pPr>
            <w:r w:rsidRPr="001F0F05">
              <w:rPr>
                <w:b/>
                <w:bCs/>
                <w:color w:val="FFFFFF" w:themeColor="background1"/>
                <w:sz w:val="20"/>
                <w:szCs w:val="20"/>
                <w:lang w:eastAsia="en-AU"/>
              </w:rPr>
              <w:t>Category</w:t>
            </w:r>
          </w:p>
        </w:tc>
        <w:tc>
          <w:tcPr>
            <w:tcW w:w="672" w:type="pct"/>
            <w:shd w:val="clear" w:color="auto" w:fill="5B9BD5"/>
            <w:vAlign w:val="center"/>
          </w:tcPr>
          <w:p w14:paraId="1E0B64C8" w14:textId="179C30A1" w:rsidR="0018754B" w:rsidRDefault="0018754B" w:rsidP="002D6A12">
            <w:pPr>
              <w:jc w:val="center"/>
              <w:rPr>
                <w:rFonts w:ascii="Calibri" w:eastAsia="Times New Roman" w:hAnsi="Calibri" w:cs="Calibri"/>
                <w:b/>
                <w:bCs/>
                <w:color w:val="FFFFFF" w:themeColor="background1"/>
                <w:sz w:val="20"/>
                <w:szCs w:val="20"/>
                <w:lang w:eastAsia="en-AU"/>
              </w:rPr>
            </w:pPr>
            <w:r>
              <w:rPr>
                <w:rFonts w:ascii="Calibri" w:eastAsia="Times New Roman" w:hAnsi="Calibri" w:cs="Calibri"/>
                <w:b/>
                <w:bCs/>
                <w:color w:val="FFFFFF" w:themeColor="background1"/>
                <w:sz w:val="20"/>
                <w:szCs w:val="20"/>
                <w:lang w:eastAsia="en-AU"/>
              </w:rPr>
              <w:t xml:space="preserve">Number of </w:t>
            </w:r>
            <w:r w:rsidR="002D6A12">
              <w:rPr>
                <w:rFonts w:ascii="Calibri" w:eastAsia="Times New Roman" w:hAnsi="Calibri" w:cs="Calibri"/>
                <w:b/>
                <w:bCs/>
                <w:color w:val="FFFFFF" w:themeColor="background1"/>
                <w:sz w:val="20"/>
                <w:szCs w:val="20"/>
                <w:lang w:eastAsia="en-AU"/>
              </w:rPr>
              <w:t>P</w:t>
            </w:r>
            <w:r>
              <w:rPr>
                <w:rFonts w:ascii="Calibri" w:eastAsia="Times New Roman" w:hAnsi="Calibri" w:cs="Calibri"/>
                <w:b/>
                <w:bCs/>
                <w:color w:val="FFFFFF" w:themeColor="background1"/>
                <w:sz w:val="20"/>
                <w:szCs w:val="20"/>
                <w:lang w:eastAsia="en-AU"/>
              </w:rPr>
              <w:t>roviders</w:t>
            </w:r>
          </w:p>
        </w:tc>
        <w:tc>
          <w:tcPr>
            <w:tcW w:w="1568" w:type="pct"/>
            <w:shd w:val="clear" w:color="auto" w:fill="5B9BD5"/>
            <w:vAlign w:val="center"/>
            <w:hideMark/>
          </w:tcPr>
          <w:p w14:paraId="36261DBB" w14:textId="77777777" w:rsidR="0018754B" w:rsidRPr="001F0F05" w:rsidRDefault="0018754B" w:rsidP="002D6A12">
            <w:pPr>
              <w:jc w:val="center"/>
              <w:rPr>
                <w:rFonts w:ascii="Calibri" w:eastAsia="Times New Roman" w:hAnsi="Calibri" w:cs="Calibri"/>
                <w:b/>
                <w:bCs/>
                <w:color w:val="FFFFFF" w:themeColor="background1"/>
                <w:sz w:val="20"/>
                <w:szCs w:val="20"/>
                <w:lang w:eastAsia="en-AU"/>
              </w:rPr>
            </w:pPr>
            <w:r>
              <w:rPr>
                <w:rFonts w:ascii="Calibri" w:eastAsia="Times New Roman" w:hAnsi="Calibri" w:cs="Calibri"/>
                <w:b/>
                <w:bCs/>
                <w:color w:val="FFFFFF" w:themeColor="background1"/>
                <w:sz w:val="20"/>
                <w:szCs w:val="20"/>
                <w:lang w:eastAsia="en-AU"/>
              </w:rPr>
              <w:t>Number of providers with liquid assets to operating cost ratio &lt; 1</w:t>
            </w:r>
          </w:p>
        </w:tc>
        <w:tc>
          <w:tcPr>
            <w:tcW w:w="747" w:type="pct"/>
            <w:shd w:val="clear" w:color="auto" w:fill="5B9BD5"/>
            <w:vAlign w:val="center"/>
            <w:hideMark/>
          </w:tcPr>
          <w:p w14:paraId="6F4F56F0" w14:textId="1C17FCD0" w:rsidR="0018754B" w:rsidRPr="001F0F05" w:rsidRDefault="0018754B" w:rsidP="002D6A12">
            <w:pPr>
              <w:jc w:val="center"/>
              <w:rPr>
                <w:rFonts w:ascii="Calibri" w:eastAsia="Times New Roman" w:hAnsi="Calibri" w:cs="Calibri"/>
                <w:b/>
                <w:bCs/>
                <w:color w:val="FFFFFF" w:themeColor="background1"/>
                <w:sz w:val="20"/>
                <w:szCs w:val="20"/>
                <w:lang w:eastAsia="en-AU"/>
              </w:rPr>
            </w:pPr>
            <w:r>
              <w:rPr>
                <w:rFonts w:ascii="Calibri" w:hAnsi="Calibri" w:cs="Calibri"/>
                <w:b/>
                <w:bCs/>
                <w:color w:val="FFFFFF" w:themeColor="background1"/>
                <w:sz w:val="20"/>
                <w:szCs w:val="20"/>
              </w:rPr>
              <w:t xml:space="preserve">% of </w:t>
            </w:r>
            <w:r w:rsidR="002D6A12">
              <w:rPr>
                <w:rFonts w:ascii="Calibri" w:hAnsi="Calibri" w:cs="Calibri"/>
                <w:b/>
                <w:bCs/>
                <w:color w:val="FFFFFF" w:themeColor="background1"/>
                <w:sz w:val="20"/>
                <w:szCs w:val="20"/>
              </w:rPr>
              <w:t>T</w:t>
            </w:r>
            <w:r>
              <w:rPr>
                <w:rFonts w:ascii="Calibri" w:hAnsi="Calibri" w:cs="Calibri"/>
                <w:b/>
                <w:bCs/>
                <w:color w:val="FFFFFF" w:themeColor="background1"/>
                <w:sz w:val="20"/>
                <w:szCs w:val="20"/>
              </w:rPr>
              <w:t>otal</w:t>
            </w:r>
          </w:p>
        </w:tc>
      </w:tr>
      <w:tr w:rsidR="00D72DD3" w:rsidRPr="00C33204" w14:paraId="59487ED2" w14:textId="77777777" w:rsidTr="002D6A12">
        <w:trPr>
          <w:trHeight w:val="375"/>
        </w:trPr>
        <w:tc>
          <w:tcPr>
            <w:tcW w:w="2014" w:type="pct"/>
            <w:shd w:val="clear" w:color="auto" w:fill="DEEAF6"/>
            <w:vAlign w:val="center"/>
          </w:tcPr>
          <w:p w14:paraId="5FCB8C5B" w14:textId="433F7D37" w:rsidR="0018754B" w:rsidRPr="0018754B" w:rsidRDefault="0018754B" w:rsidP="002D6A12">
            <w:pPr>
              <w:jc w:val="left"/>
              <w:rPr>
                <w:rFonts w:ascii="Calibri" w:eastAsia="Times New Roman" w:hAnsi="Calibri" w:cs="Calibri"/>
                <w:color w:val="000000"/>
                <w:sz w:val="20"/>
                <w:szCs w:val="20"/>
                <w:lang w:eastAsia="en-AU"/>
              </w:rPr>
            </w:pPr>
            <w:r w:rsidRPr="0018754B">
              <w:rPr>
                <w:sz w:val="20"/>
                <w:szCs w:val="20"/>
              </w:rPr>
              <w:t>Operate residential aged care homes</w:t>
            </w:r>
          </w:p>
        </w:tc>
        <w:tc>
          <w:tcPr>
            <w:tcW w:w="672" w:type="pct"/>
            <w:shd w:val="clear" w:color="auto" w:fill="DEEAF6"/>
            <w:vAlign w:val="center"/>
          </w:tcPr>
          <w:p w14:paraId="1ED46736" w14:textId="02730930" w:rsidR="0018754B" w:rsidRPr="0018754B" w:rsidRDefault="0018754B" w:rsidP="0018754B">
            <w:pPr>
              <w:jc w:val="center"/>
              <w:rPr>
                <w:rFonts w:ascii="Calibri" w:hAnsi="Calibri" w:cs="Calibri"/>
                <w:color w:val="000000"/>
                <w:sz w:val="20"/>
                <w:szCs w:val="20"/>
              </w:rPr>
            </w:pPr>
            <w:r w:rsidRPr="0018754B">
              <w:rPr>
                <w:sz w:val="20"/>
                <w:szCs w:val="20"/>
              </w:rPr>
              <w:t xml:space="preserve"> 143 </w:t>
            </w:r>
          </w:p>
        </w:tc>
        <w:tc>
          <w:tcPr>
            <w:tcW w:w="1568" w:type="pct"/>
            <w:shd w:val="clear" w:color="auto" w:fill="DEEAF6"/>
            <w:noWrap/>
            <w:vAlign w:val="center"/>
          </w:tcPr>
          <w:p w14:paraId="55884886" w14:textId="19EAC966" w:rsidR="0018754B" w:rsidRPr="009D7F80" w:rsidRDefault="009B247B" w:rsidP="0018754B">
            <w:pPr>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16</w:t>
            </w:r>
          </w:p>
        </w:tc>
        <w:tc>
          <w:tcPr>
            <w:tcW w:w="747" w:type="pct"/>
            <w:shd w:val="clear" w:color="auto" w:fill="DEEAF6"/>
            <w:noWrap/>
            <w:vAlign w:val="center"/>
          </w:tcPr>
          <w:p w14:paraId="68532893" w14:textId="65A7E901" w:rsidR="0018754B" w:rsidRPr="002D6A12" w:rsidRDefault="009B247B" w:rsidP="0018754B">
            <w:pPr>
              <w:jc w:val="center"/>
              <w:rPr>
                <w:rFonts w:ascii="Calibri" w:eastAsia="Times New Roman" w:hAnsi="Calibri" w:cs="Calibri"/>
                <w:i/>
                <w:color w:val="000000"/>
                <w:sz w:val="20"/>
                <w:szCs w:val="20"/>
                <w:lang w:eastAsia="en-AU"/>
              </w:rPr>
            </w:pPr>
            <w:r w:rsidRPr="002D6A12">
              <w:rPr>
                <w:rFonts w:ascii="Calibri" w:eastAsia="Times New Roman" w:hAnsi="Calibri" w:cs="Calibri"/>
                <w:i/>
                <w:color w:val="000000"/>
                <w:sz w:val="20"/>
                <w:szCs w:val="20"/>
                <w:lang w:eastAsia="en-AU"/>
              </w:rPr>
              <w:t>11%</w:t>
            </w:r>
          </w:p>
        </w:tc>
      </w:tr>
      <w:tr w:rsidR="00D72DD3" w:rsidRPr="00C33204" w14:paraId="6BDE3075" w14:textId="77777777" w:rsidTr="002D6A12">
        <w:trPr>
          <w:trHeight w:val="375"/>
        </w:trPr>
        <w:tc>
          <w:tcPr>
            <w:tcW w:w="2014" w:type="pct"/>
            <w:vAlign w:val="center"/>
          </w:tcPr>
          <w:p w14:paraId="4D361BF3" w14:textId="7832B0EB" w:rsidR="0018754B" w:rsidRPr="0018754B" w:rsidRDefault="0018754B" w:rsidP="002D6A12">
            <w:pPr>
              <w:jc w:val="left"/>
              <w:rPr>
                <w:rFonts w:ascii="Calibri" w:eastAsia="Times New Roman" w:hAnsi="Calibri" w:cs="Calibri"/>
                <w:color w:val="000000"/>
                <w:sz w:val="20"/>
                <w:szCs w:val="20"/>
                <w:lang w:eastAsia="en-AU"/>
              </w:rPr>
            </w:pPr>
            <w:r w:rsidRPr="0018754B">
              <w:rPr>
                <w:sz w:val="20"/>
                <w:szCs w:val="20"/>
              </w:rPr>
              <w:t xml:space="preserve">Don’t operate residential aged care homes </w:t>
            </w:r>
          </w:p>
        </w:tc>
        <w:tc>
          <w:tcPr>
            <w:tcW w:w="672" w:type="pct"/>
            <w:vAlign w:val="center"/>
          </w:tcPr>
          <w:p w14:paraId="2FDB1511" w14:textId="3DB87928" w:rsidR="0018754B" w:rsidRPr="0018754B" w:rsidRDefault="0018754B" w:rsidP="0018754B">
            <w:pPr>
              <w:jc w:val="center"/>
              <w:rPr>
                <w:rFonts w:ascii="Calibri" w:hAnsi="Calibri" w:cs="Calibri"/>
                <w:color w:val="000000"/>
                <w:sz w:val="20"/>
                <w:szCs w:val="20"/>
              </w:rPr>
            </w:pPr>
            <w:r w:rsidRPr="0018754B">
              <w:rPr>
                <w:sz w:val="20"/>
                <w:szCs w:val="20"/>
              </w:rPr>
              <w:t xml:space="preserve">392 </w:t>
            </w:r>
          </w:p>
        </w:tc>
        <w:tc>
          <w:tcPr>
            <w:tcW w:w="1568" w:type="pct"/>
            <w:noWrap/>
            <w:vAlign w:val="center"/>
          </w:tcPr>
          <w:p w14:paraId="02C3F436" w14:textId="41AFF8BE" w:rsidR="0018754B" w:rsidRPr="009D7F80" w:rsidRDefault="009B247B" w:rsidP="0018754B">
            <w:pPr>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42</w:t>
            </w:r>
          </w:p>
        </w:tc>
        <w:tc>
          <w:tcPr>
            <w:tcW w:w="747" w:type="pct"/>
            <w:noWrap/>
            <w:vAlign w:val="center"/>
          </w:tcPr>
          <w:p w14:paraId="327C7696" w14:textId="645003DD" w:rsidR="0018754B" w:rsidRPr="002D6A12" w:rsidRDefault="009B247B" w:rsidP="0018754B">
            <w:pPr>
              <w:jc w:val="center"/>
              <w:rPr>
                <w:rFonts w:ascii="Calibri" w:eastAsia="Times New Roman" w:hAnsi="Calibri" w:cs="Calibri"/>
                <w:i/>
                <w:color w:val="000000"/>
                <w:sz w:val="20"/>
                <w:szCs w:val="20"/>
                <w:lang w:eastAsia="en-AU"/>
              </w:rPr>
            </w:pPr>
            <w:r w:rsidRPr="002D6A12">
              <w:rPr>
                <w:rFonts w:ascii="Calibri" w:eastAsia="Times New Roman" w:hAnsi="Calibri" w:cs="Calibri"/>
                <w:i/>
                <w:color w:val="000000"/>
                <w:sz w:val="20"/>
                <w:szCs w:val="20"/>
                <w:lang w:eastAsia="en-AU"/>
              </w:rPr>
              <w:t>11%</w:t>
            </w:r>
          </w:p>
        </w:tc>
      </w:tr>
      <w:tr w:rsidR="00D72DD3" w:rsidRPr="00C33204" w14:paraId="12B2B765" w14:textId="77777777" w:rsidTr="002D6A12">
        <w:trPr>
          <w:trHeight w:val="375"/>
        </w:trPr>
        <w:tc>
          <w:tcPr>
            <w:tcW w:w="2014" w:type="pct"/>
            <w:shd w:val="clear" w:color="auto" w:fill="FFE599" w:themeFill="accent4" w:themeFillTint="66"/>
            <w:vAlign w:val="center"/>
          </w:tcPr>
          <w:p w14:paraId="45F5F2C9" w14:textId="2941EFE5" w:rsidR="0018754B" w:rsidRPr="009D7F80" w:rsidRDefault="0089205B" w:rsidP="002D6A12">
            <w:pPr>
              <w:jc w:val="left"/>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Total</w:t>
            </w:r>
          </w:p>
        </w:tc>
        <w:tc>
          <w:tcPr>
            <w:tcW w:w="672" w:type="pct"/>
            <w:shd w:val="clear" w:color="auto" w:fill="FFE599" w:themeFill="accent4" w:themeFillTint="66"/>
            <w:vAlign w:val="center"/>
          </w:tcPr>
          <w:p w14:paraId="076FF3A5" w14:textId="77777777" w:rsidR="0018754B" w:rsidRDefault="0018754B" w:rsidP="006B65EA">
            <w:pPr>
              <w:jc w:val="center"/>
              <w:rPr>
                <w:rFonts w:ascii="Calibri" w:hAnsi="Calibri" w:cs="Calibri"/>
                <w:b/>
                <w:bCs/>
                <w:color w:val="000000"/>
                <w:sz w:val="20"/>
                <w:szCs w:val="20"/>
              </w:rPr>
            </w:pPr>
            <w:r>
              <w:rPr>
                <w:rFonts w:ascii="Calibri" w:hAnsi="Calibri" w:cs="Calibri"/>
                <w:b/>
                <w:bCs/>
                <w:color w:val="000000"/>
                <w:sz w:val="20"/>
                <w:szCs w:val="20"/>
              </w:rPr>
              <w:t>535</w:t>
            </w:r>
          </w:p>
        </w:tc>
        <w:tc>
          <w:tcPr>
            <w:tcW w:w="1568" w:type="pct"/>
            <w:shd w:val="clear" w:color="auto" w:fill="FFE599" w:themeFill="accent4" w:themeFillTint="66"/>
            <w:noWrap/>
            <w:vAlign w:val="center"/>
          </w:tcPr>
          <w:p w14:paraId="6CE2C69F" w14:textId="77777777" w:rsidR="0018754B" w:rsidRPr="009D7F80" w:rsidRDefault="0018754B" w:rsidP="006B65EA">
            <w:pPr>
              <w:jc w:val="center"/>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58</w:t>
            </w:r>
          </w:p>
        </w:tc>
        <w:tc>
          <w:tcPr>
            <w:tcW w:w="747" w:type="pct"/>
            <w:shd w:val="clear" w:color="auto" w:fill="FFE599" w:themeFill="accent4" w:themeFillTint="66"/>
            <w:noWrap/>
            <w:vAlign w:val="center"/>
          </w:tcPr>
          <w:p w14:paraId="52EABF1E" w14:textId="77777777" w:rsidR="0018754B" w:rsidRPr="002D6A12" w:rsidRDefault="0018754B" w:rsidP="006B65EA">
            <w:pPr>
              <w:jc w:val="center"/>
              <w:rPr>
                <w:rFonts w:ascii="Calibri" w:eastAsia="Times New Roman" w:hAnsi="Calibri" w:cs="Calibri"/>
                <w:b/>
                <w:bCs/>
                <w:i/>
                <w:color w:val="000000"/>
                <w:sz w:val="20"/>
                <w:szCs w:val="20"/>
                <w:lang w:eastAsia="en-AU"/>
              </w:rPr>
            </w:pPr>
            <w:r w:rsidRPr="002D6A12">
              <w:rPr>
                <w:rFonts w:ascii="Calibri" w:eastAsia="Times New Roman" w:hAnsi="Calibri" w:cs="Calibri"/>
                <w:b/>
                <w:bCs/>
                <w:i/>
                <w:color w:val="000000"/>
                <w:sz w:val="20"/>
                <w:szCs w:val="20"/>
                <w:lang w:eastAsia="en-AU"/>
              </w:rPr>
              <w:t>11%</w:t>
            </w:r>
          </w:p>
        </w:tc>
      </w:tr>
    </w:tbl>
    <w:p w14:paraId="616ABDE8" w14:textId="77777777" w:rsidR="00BE4F37" w:rsidRDefault="00BE4F37" w:rsidP="00671556"/>
    <w:p w14:paraId="3476503A" w14:textId="566FC278" w:rsidR="0017115F" w:rsidRDefault="00671556" w:rsidP="00671556">
      <w:r>
        <w:t xml:space="preserve">For those </w:t>
      </w:r>
      <w:r w:rsidR="00796180">
        <w:t>AP</w:t>
      </w:r>
      <w:r>
        <w:t xml:space="preserve">s that also operate aged care homes, </w:t>
      </w:r>
      <w:r w:rsidR="00796180">
        <w:t>consolidated AP</w:t>
      </w:r>
      <w:r>
        <w:t xml:space="preserve"> level financial data is available. At that level, the number of </w:t>
      </w:r>
      <w:r w:rsidR="00796180">
        <w:t>AP</w:t>
      </w:r>
      <w:r>
        <w:t xml:space="preserve">s that have a liquid asset to operating cost ratio of less than one falls to </w:t>
      </w:r>
      <w:r w:rsidR="00516BC4">
        <w:t>2</w:t>
      </w:r>
      <w:r>
        <w:t xml:space="preserve"> </w:t>
      </w:r>
      <w:r w:rsidR="00796180">
        <w:t>AP</w:t>
      </w:r>
      <w:r>
        <w:t xml:space="preserve">s. </w:t>
      </w:r>
      <w:r w:rsidR="00516BC4">
        <w:t>These are both</w:t>
      </w:r>
      <w:r>
        <w:t xml:space="preserve"> Religious entities that have cash and financial assets in a separate vehicle to the property trust that holds the </w:t>
      </w:r>
      <w:r w:rsidR="00796180">
        <w:t>AP</w:t>
      </w:r>
      <w:r>
        <w:t xml:space="preserve"> licence. </w:t>
      </w:r>
    </w:p>
    <w:p w14:paraId="4799D20B" w14:textId="77777777" w:rsidR="002D6A12" w:rsidRDefault="002D6A12" w:rsidP="0017115F">
      <w:pPr>
        <w:pStyle w:val="SubHeading"/>
      </w:pPr>
    </w:p>
    <w:p w14:paraId="39F08DDF" w14:textId="0F015A1A" w:rsidR="0017115F" w:rsidRDefault="0017115F" w:rsidP="0017115F">
      <w:pPr>
        <w:pStyle w:val="SubHeading"/>
      </w:pPr>
      <w:r w:rsidRPr="003E7992">
        <w:lastRenderedPageBreak/>
        <w:t xml:space="preserve">Supplementary Analysis - Using StewartBrown </w:t>
      </w:r>
      <w:r w:rsidR="002D6A12" w:rsidRPr="002D6A12">
        <w:rPr>
          <w:i/>
        </w:rPr>
        <w:t>Survey</w:t>
      </w:r>
      <w:r w:rsidR="002D6A12">
        <w:t xml:space="preserve"> </w:t>
      </w:r>
      <w:r w:rsidRPr="003E7992">
        <w:t>data set</w:t>
      </w:r>
    </w:p>
    <w:p w14:paraId="4579FA20" w14:textId="1088DE8F" w:rsidR="002D71B3" w:rsidRDefault="002D6A12" w:rsidP="00516BC4">
      <w:r>
        <w:t xml:space="preserve">The </w:t>
      </w:r>
      <w:r w:rsidR="002D71B3">
        <w:t xml:space="preserve">StewartBrown </w:t>
      </w:r>
      <w:r w:rsidRPr="002D6A12">
        <w:rPr>
          <w:i/>
        </w:rPr>
        <w:t>Survey</w:t>
      </w:r>
      <w:r>
        <w:t xml:space="preserve"> </w:t>
      </w:r>
      <w:r w:rsidR="002D71B3">
        <w:t xml:space="preserve">data for FY18 for 6 </w:t>
      </w:r>
      <w:r w:rsidR="005334FA">
        <w:t>h</w:t>
      </w:r>
      <w:r w:rsidR="002D71B3">
        <w:t xml:space="preserve">ome </w:t>
      </w:r>
      <w:r w:rsidR="005334FA">
        <w:t>c</w:t>
      </w:r>
      <w:r w:rsidR="002D71B3">
        <w:t xml:space="preserve">are </w:t>
      </w:r>
      <w:r w:rsidR="005334FA">
        <w:t>AP</w:t>
      </w:r>
      <w:r w:rsidR="002D71B3">
        <w:t xml:space="preserve">s who do not operate residential aged care homes the average liquid assets to the average monthly </w:t>
      </w:r>
      <w:r w:rsidR="005334FA">
        <w:t xml:space="preserve">HCP </w:t>
      </w:r>
      <w:r w:rsidR="002D71B3">
        <w:t>operating costs was 36.34</w:t>
      </w:r>
      <w:r>
        <w:t xml:space="preserve"> times</w:t>
      </w:r>
      <w:r w:rsidR="002D71B3">
        <w:t xml:space="preserve">. The minimum was 6.41 </w:t>
      </w:r>
      <w:r>
        <w:t xml:space="preserve">times </w:t>
      </w:r>
      <w:r w:rsidR="002D71B3">
        <w:t>and the maximum was 72.68</w:t>
      </w:r>
      <w:r>
        <w:t xml:space="preserve"> times</w:t>
      </w:r>
      <w:r w:rsidR="002D71B3">
        <w:t>.</w:t>
      </w:r>
    </w:p>
    <w:p w14:paraId="2A19492F" w14:textId="27195A54" w:rsidR="002D71B3" w:rsidRDefault="002D71B3" w:rsidP="00516BC4"/>
    <w:p w14:paraId="3EA69CAE" w14:textId="731BC423" w:rsidR="00C37102" w:rsidRDefault="002D71B3" w:rsidP="002D6A12">
      <w:pPr>
        <w:spacing w:after="120"/>
      </w:pPr>
      <w:r>
        <w:t>In contrast, the ACFR data extracted from the Home Care segment note</w:t>
      </w:r>
      <w:r w:rsidR="00C37102">
        <w:t xml:space="preserve"> provided the following results:</w:t>
      </w:r>
    </w:p>
    <w:p w14:paraId="56600DC1" w14:textId="1D0DB26C" w:rsidR="00C37102" w:rsidRDefault="00C37102" w:rsidP="005D395A">
      <w:pPr>
        <w:pStyle w:val="ListParagraph"/>
        <w:numPr>
          <w:ilvl w:val="0"/>
          <w:numId w:val="24"/>
        </w:numPr>
      </w:pPr>
      <w:r>
        <w:t>Average liquid assets to monthly expense ratio = 1.53</w:t>
      </w:r>
      <w:r w:rsidR="002D6A12">
        <w:t xml:space="preserve"> times</w:t>
      </w:r>
    </w:p>
    <w:p w14:paraId="0714FED9" w14:textId="60C01BF3" w:rsidR="00C37102" w:rsidRDefault="00C37102" w:rsidP="005D395A">
      <w:pPr>
        <w:pStyle w:val="ListParagraph"/>
        <w:numPr>
          <w:ilvl w:val="0"/>
          <w:numId w:val="24"/>
        </w:numPr>
      </w:pPr>
      <w:r>
        <w:t>Minimum liquid assets to monthly expense ratio = 0.65</w:t>
      </w:r>
      <w:r w:rsidR="002D6A12">
        <w:t xml:space="preserve"> times</w:t>
      </w:r>
    </w:p>
    <w:p w14:paraId="4142506D" w14:textId="04B9CBEE" w:rsidR="00C37102" w:rsidRDefault="00C37102" w:rsidP="005D395A">
      <w:pPr>
        <w:pStyle w:val="ListParagraph"/>
        <w:numPr>
          <w:ilvl w:val="0"/>
          <w:numId w:val="24"/>
        </w:numPr>
      </w:pPr>
      <w:r>
        <w:t>Maximum liquid assets to monthly expense ratio = 4.93</w:t>
      </w:r>
      <w:r w:rsidR="002D6A12">
        <w:t xml:space="preserve"> times</w:t>
      </w:r>
    </w:p>
    <w:p w14:paraId="2E7F8BDD" w14:textId="77777777" w:rsidR="002D71B3" w:rsidRDefault="002D71B3" w:rsidP="00516BC4"/>
    <w:p w14:paraId="1691D928" w14:textId="647F5632" w:rsidR="002D6A12" w:rsidRDefault="00C37102" w:rsidP="00516BC4">
      <w:r>
        <w:t xml:space="preserve">This further demonstrates that the cash and liquid assets declared as part of the </w:t>
      </w:r>
      <w:r w:rsidR="002D6A12">
        <w:t xml:space="preserve">ACFR </w:t>
      </w:r>
      <w:r>
        <w:t xml:space="preserve">Home Care segment note is likely to be </w:t>
      </w:r>
      <w:r w:rsidR="002D6A12">
        <w:t xml:space="preserve">considerably </w:t>
      </w:r>
      <w:r>
        <w:t xml:space="preserve">less than the total holdings of liquid assets at an </w:t>
      </w:r>
      <w:r w:rsidR="002D6A12">
        <w:t>AP</w:t>
      </w:r>
      <w:r>
        <w:t xml:space="preserve"> </w:t>
      </w:r>
      <w:r w:rsidR="002D6A12">
        <w:t xml:space="preserve">(consolidated) </w:t>
      </w:r>
      <w:r>
        <w:t xml:space="preserve">level. </w:t>
      </w:r>
    </w:p>
    <w:p w14:paraId="07EFFBE1" w14:textId="77777777" w:rsidR="002D6A12" w:rsidRDefault="002D6A12" w:rsidP="00516BC4"/>
    <w:p w14:paraId="3E30A37C" w14:textId="1D645FA3" w:rsidR="00516BC4" w:rsidRDefault="002D6A12" w:rsidP="00516BC4">
      <w:r>
        <w:t>This</w:t>
      </w:r>
      <w:r w:rsidR="00C37102">
        <w:t xml:space="preserve"> also reinforces the </w:t>
      </w:r>
      <w:r>
        <w:t>future requirement</w:t>
      </w:r>
      <w:r w:rsidR="00C37102">
        <w:t xml:space="preserve"> for all </w:t>
      </w:r>
      <w:r w:rsidR="005334FA">
        <w:t>AP</w:t>
      </w:r>
      <w:r w:rsidR="00C37102">
        <w:t>s, including H</w:t>
      </w:r>
      <w:r w:rsidR="005334FA">
        <w:t>CP</w:t>
      </w:r>
      <w:r w:rsidR="00C37102">
        <w:t xml:space="preserve"> and CHSP providers</w:t>
      </w:r>
      <w:r>
        <w:t>,</w:t>
      </w:r>
      <w:r w:rsidR="00C37102">
        <w:t xml:space="preserve"> to </w:t>
      </w:r>
      <w:r>
        <w:t xml:space="preserve">submit within the ACFR </w:t>
      </w:r>
      <w:r w:rsidR="00C37102">
        <w:t xml:space="preserve">financial information at both the segment level and the </w:t>
      </w:r>
      <w:r>
        <w:t>A</w:t>
      </w:r>
      <w:r w:rsidR="005334FA">
        <w:t>P</w:t>
      </w:r>
      <w:r w:rsidR="00C37102">
        <w:t xml:space="preserve"> </w:t>
      </w:r>
      <w:r>
        <w:t xml:space="preserve">(consolidated) </w:t>
      </w:r>
      <w:r w:rsidR="00C37102">
        <w:t xml:space="preserve">level as is currently required of </w:t>
      </w:r>
      <w:r>
        <w:t xml:space="preserve">all </w:t>
      </w:r>
      <w:r w:rsidR="00C37102">
        <w:t xml:space="preserve">residential aged care providers. </w:t>
      </w:r>
      <w:r w:rsidR="002D71B3">
        <w:t xml:space="preserve"> </w:t>
      </w:r>
    </w:p>
    <w:p w14:paraId="76C8A5EA" w14:textId="77777777" w:rsidR="00516BC4" w:rsidRDefault="00516BC4" w:rsidP="00516BC4"/>
    <w:p w14:paraId="5C7F84D1" w14:textId="367ED68D" w:rsidR="0017115F" w:rsidRDefault="00BE4F37" w:rsidP="004B4B5B">
      <w:pPr>
        <w:pStyle w:val="SubHeading"/>
      </w:pPr>
      <w:r>
        <w:t>Conclusion</w:t>
      </w:r>
    </w:p>
    <w:p w14:paraId="0E565AD5" w14:textId="7B154D3A" w:rsidR="001C4E2A" w:rsidRDefault="00BE4F37" w:rsidP="0017115F">
      <w:r>
        <w:t xml:space="preserve">On average, and across </w:t>
      </w:r>
      <w:r w:rsidR="00670378">
        <w:t xml:space="preserve">each </w:t>
      </w:r>
      <w:r>
        <w:t xml:space="preserve">cohort of </w:t>
      </w:r>
      <w:r w:rsidR="005334FA">
        <w:t>AP</w:t>
      </w:r>
      <w:r>
        <w:t xml:space="preserve">s, </w:t>
      </w:r>
      <w:r w:rsidR="002D6A12">
        <w:t xml:space="preserve">the results of this detailed impact analysis indicate that </w:t>
      </w:r>
      <w:r>
        <w:t xml:space="preserve">there </w:t>
      </w:r>
      <w:r w:rsidR="002D6A12">
        <w:t>are</w:t>
      </w:r>
      <w:r>
        <w:t xml:space="preserve"> sufficient liquid assets held </w:t>
      </w:r>
      <w:r w:rsidR="00670378">
        <w:t>by</w:t>
      </w:r>
      <w:r w:rsidR="004B4B5B">
        <w:t xml:space="preserve"> </w:t>
      </w:r>
      <w:r w:rsidR="00670378">
        <w:t>at least 89% (4</w:t>
      </w:r>
      <w:r w:rsidR="001C4E2A">
        <w:t>7</w:t>
      </w:r>
      <w:r w:rsidR="00670378">
        <w:t xml:space="preserve">7) </w:t>
      </w:r>
      <w:r w:rsidR="001C4E2A">
        <w:t xml:space="preserve">of </w:t>
      </w:r>
      <w:r w:rsidR="005334FA">
        <w:t>AP</w:t>
      </w:r>
      <w:r w:rsidR="00670378">
        <w:t xml:space="preserve">s (from the data set of 535) </w:t>
      </w:r>
      <w:r>
        <w:t xml:space="preserve">to </w:t>
      </w:r>
      <w:r w:rsidR="00670378">
        <w:t xml:space="preserve">have sufficient cash flows to meet normal </w:t>
      </w:r>
      <w:r w:rsidR="002D6A12">
        <w:t xml:space="preserve">operating </w:t>
      </w:r>
      <w:r>
        <w:t xml:space="preserve">expenses for one month while the payment arrangements of the full subsidy transitions from being paid in advance to being paid in arrears. </w:t>
      </w:r>
    </w:p>
    <w:p w14:paraId="419CF8AA" w14:textId="77777777" w:rsidR="001C4E2A" w:rsidRDefault="001C4E2A" w:rsidP="0017115F"/>
    <w:p w14:paraId="287A32EB" w14:textId="45E7E378" w:rsidR="00BE4F37" w:rsidRDefault="00BE4F37" w:rsidP="0017115F">
      <w:r>
        <w:t xml:space="preserve">The risk to </w:t>
      </w:r>
      <w:r w:rsidR="005334FA">
        <w:t>AP</w:t>
      </w:r>
      <w:r>
        <w:t>s is further mitigated by the fact that they will still be collecting c</w:t>
      </w:r>
      <w:r w:rsidR="00281031">
        <w:t>are recipient</w:t>
      </w:r>
      <w:r>
        <w:t xml:space="preserve"> contributions and income tested care fees at the beginning of </w:t>
      </w:r>
      <w:r w:rsidR="005334FA">
        <w:t>each</w:t>
      </w:r>
      <w:r>
        <w:t xml:space="preserve"> month </w:t>
      </w:r>
      <w:r w:rsidR="001C4E2A">
        <w:t>in the majority of instances</w:t>
      </w:r>
      <w:r>
        <w:t xml:space="preserve">. This will provide a further </w:t>
      </w:r>
      <w:r w:rsidR="001C4E2A">
        <w:t xml:space="preserve">cash flow </w:t>
      </w:r>
      <w:r>
        <w:t xml:space="preserve">buffer for </w:t>
      </w:r>
      <w:r w:rsidR="005334FA">
        <w:t>APs</w:t>
      </w:r>
      <w:r>
        <w:t>.</w:t>
      </w:r>
    </w:p>
    <w:p w14:paraId="76B2997F" w14:textId="3CB78DFB" w:rsidR="004B4B5B" w:rsidRDefault="004B4B5B" w:rsidP="0017115F"/>
    <w:p w14:paraId="68CE9EF0" w14:textId="3B9C7AB5" w:rsidR="004B4B5B" w:rsidRDefault="001B1C82" w:rsidP="0017115F">
      <w:r>
        <w:t>T</w:t>
      </w:r>
      <w:r w:rsidR="004B4B5B">
        <w:t xml:space="preserve">he </w:t>
      </w:r>
      <w:r w:rsidR="001C4E2A">
        <w:t xml:space="preserve">remaining </w:t>
      </w:r>
      <w:r w:rsidR="004B4B5B">
        <w:t xml:space="preserve">58 </w:t>
      </w:r>
      <w:r w:rsidR="005334FA">
        <w:t>AP</w:t>
      </w:r>
      <w:r w:rsidR="004B4B5B">
        <w:t xml:space="preserve">s </w:t>
      </w:r>
      <w:r w:rsidR="001C4E2A">
        <w:t xml:space="preserve">who may </w:t>
      </w:r>
      <w:r w:rsidR="004B4B5B">
        <w:t xml:space="preserve">not have sufficient funds at the segment level </w:t>
      </w:r>
      <w:r>
        <w:t xml:space="preserve">also </w:t>
      </w:r>
      <w:r w:rsidR="004B4B5B">
        <w:t xml:space="preserve">indicates that they are also unlikely to have sufficient funds to fully cover the balance of unspent funds </w:t>
      </w:r>
      <w:r>
        <w:t xml:space="preserve">currently </w:t>
      </w:r>
      <w:r w:rsidR="004B4B5B">
        <w:t xml:space="preserve">held. This </w:t>
      </w:r>
      <w:r>
        <w:t>indicates</w:t>
      </w:r>
      <w:r w:rsidR="004B4B5B">
        <w:t xml:space="preserve"> that they are using unspent funds for working capital purposes, which was not the intention of </w:t>
      </w:r>
      <w:r>
        <w:t>HCP funding</w:t>
      </w:r>
      <w:r w:rsidR="004B4B5B">
        <w:t xml:space="preserve"> </w:t>
      </w:r>
      <w:r>
        <w:t>arrangements in our opinion</w:t>
      </w:r>
      <w:r w:rsidR="004B4B5B">
        <w:t xml:space="preserve">. These </w:t>
      </w:r>
      <w:r w:rsidR="005334FA">
        <w:t>AP</w:t>
      </w:r>
      <w:r w:rsidR="004B4B5B">
        <w:t xml:space="preserve">s will need to </w:t>
      </w:r>
      <w:r>
        <w:t xml:space="preserve">review </w:t>
      </w:r>
      <w:r w:rsidR="004B4B5B">
        <w:t xml:space="preserve">their business model </w:t>
      </w:r>
      <w:r>
        <w:t xml:space="preserve">and equity structure </w:t>
      </w:r>
      <w:r w:rsidR="004B4B5B">
        <w:t>to adapt to the new payment arrangements.</w:t>
      </w:r>
    </w:p>
    <w:p w14:paraId="65A27533" w14:textId="77777777" w:rsidR="00BE4F37" w:rsidRDefault="00BE4F37" w:rsidP="0017115F"/>
    <w:p w14:paraId="0D6E99AD" w14:textId="3CCD1777" w:rsidR="00BE4F37" w:rsidRDefault="00BE4F37" w:rsidP="001B1C82">
      <w:pPr>
        <w:spacing w:after="120"/>
      </w:pPr>
      <w:r>
        <w:t>The other mitigating factors are that:</w:t>
      </w:r>
    </w:p>
    <w:p w14:paraId="4041D9F5" w14:textId="42558280" w:rsidR="004B4B5B" w:rsidRDefault="00BE4F37" w:rsidP="005D395A">
      <w:pPr>
        <w:pStyle w:val="ListParagraph"/>
        <w:numPr>
          <w:ilvl w:val="0"/>
          <w:numId w:val="25"/>
        </w:numPr>
      </w:pPr>
      <w:r>
        <w:t xml:space="preserve">For many of the </w:t>
      </w:r>
      <w:r w:rsidR="005334FA">
        <w:t>AP</w:t>
      </w:r>
      <w:r>
        <w:t xml:space="preserve">s, the liquid assets at </w:t>
      </w:r>
      <w:r w:rsidR="001B1C82">
        <w:t>A</w:t>
      </w:r>
      <w:r w:rsidR="005334FA">
        <w:t>P</w:t>
      </w:r>
      <w:r>
        <w:t xml:space="preserve"> </w:t>
      </w:r>
      <w:r w:rsidR="001B1C82">
        <w:t xml:space="preserve">(consolidated) </w:t>
      </w:r>
      <w:r>
        <w:t xml:space="preserve">level will be </w:t>
      </w:r>
      <w:r w:rsidR="004B4B5B">
        <w:t>greater than that d</w:t>
      </w:r>
      <w:r w:rsidR="001B1C82">
        <w:t>isclosed</w:t>
      </w:r>
      <w:r w:rsidR="004B4B5B">
        <w:t xml:space="preserve"> in the </w:t>
      </w:r>
      <w:r w:rsidR="001B1C82">
        <w:t xml:space="preserve">ACFR </w:t>
      </w:r>
      <w:r w:rsidR="004B4B5B">
        <w:t xml:space="preserve">Home Care segment and the number of vulnerable </w:t>
      </w:r>
      <w:r w:rsidR="005334FA">
        <w:t>AP</w:t>
      </w:r>
      <w:r w:rsidR="004B4B5B">
        <w:t>s should decrease significantly as a result</w:t>
      </w:r>
    </w:p>
    <w:p w14:paraId="3AF9A37C" w14:textId="7A3D49F1" w:rsidR="00BE4F37" w:rsidRDefault="004B4B5B" w:rsidP="005D395A">
      <w:pPr>
        <w:pStyle w:val="ListParagraph"/>
        <w:numPr>
          <w:ilvl w:val="0"/>
          <w:numId w:val="25"/>
        </w:numPr>
      </w:pPr>
      <w:r>
        <w:t xml:space="preserve">There should be sufficient time </w:t>
      </w:r>
      <w:r w:rsidR="001B1C82">
        <w:t xml:space="preserve">under the proposed transition timetable for </w:t>
      </w:r>
      <w:r w:rsidR="005334FA">
        <w:t>AP</w:t>
      </w:r>
      <w:r w:rsidR="001B1C82">
        <w:t>s t</w:t>
      </w:r>
      <w:r>
        <w:t xml:space="preserve">o </w:t>
      </w:r>
      <w:r w:rsidR="001B1C82">
        <w:t xml:space="preserve">consider their future </w:t>
      </w:r>
      <w:r>
        <w:t xml:space="preserve">working capital </w:t>
      </w:r>
      <w:r w:rsidR="001B1C82">
        <w:t>requirements as a result of the funding payments reform</w:t>
      </w:r>
      <w:r>
        <w:t xml:space="preserve">  </w:t>
      </w:r>
      <w:r w:rsidR="00BE4F37">
        <w:t xml:space="preserve"> </w:t>
      </w:r>
    </w:p>
    <w:p w14:paraId="0EEC58A0" w14:textId="77777777" w:rsidR="004B4B5B" w:rsidRDefault="004B4B5B" w:rsidP="0018754B">
      <w:pPr>
        <w:pStyle w:val="SubHeading"/>
      </w:pPr>
    </w:p>
    <w:p w14:paraId="480A0DD0" w14:textId="60EF43E4" w:rsidR="004B4B5B" w:rsidRDefault="004B4B5B" w:rsidP="004B4B5B">
      <w:pPr>
        <w:rPr>
          <w:b/>
          <w:i/>
        </w:rPr>
      </w:pPr>
      <w:r w:rsidRPr="004B4B5B">
        <w:rPr>
          <w:b/>
          <w:i/>
        </w:rPr>
        <w:t xml:space="preserve">Based on the </w:t>
      </w:r>
      <w:r w:rsidR="001B1C82">
        <w:rPr>
          <w:b/>
          <w:i/>
        </w:rPr>
        <w:t>detailed impact analysis performed</w:t>
      </w:r>
      <w:r w:rsidRPr="004B4B5B">
        <w:rPr>
          <w:b/>
          <w:i/>
        </w:rPr>
        <w:t xml:space="preserve">, the </w:t>
      </w:r>
      <w:r w:rsidR="001B1C82">
        <w:rPr>
          <w:b/>
          <w:i/>
        </w:rPr>
        <w:t xml:space="preserve">HCP </w:t>
      </w:r>
      <w:r w:rsidRPr="004B4B5B">
        <w:rPr>
          <w:b/>
          <w:i/>
        </w:rPr>
        <w:t xml:space="preserve">sector, and individual </w:t>
      </w:r>
      <w:r w:rsidR="005334FA">
        <w:rPr>
          <w:b/>
          <w:i/>
        </w:rPr>
        <w:t>AP</w:t>
      </w:r>
      <w:r w:rsidRPr="004B4B5B">
        <w:rPr>
          <w:b/>
          <w:i/>
        </w:rPr>
        <w:t>s, should</w:t>
      </w:r>
      <w:r w:rsidR="001B1C82">
        <w:rPr>
          <w:b/>
          <w:i/>
        </w:rPr>
        <w:t>,</w:t>
      </w:r>
      <w:r w:rsidRPr="004B4B5B">
        <w:rPr>
          <w:b/>
          <w:i/>
        </w:rPr>
        <w:t xml:space="preserve"> with few exceptions</w:t>
      </w:r>
      <w:r w:rsidR="001B1C82">
        <w:rPr>
          <w:b/>
          <w:i/>
        </w:rPr>
        <w:t>,</w:t>
      </w:r>
      <w:r w:rsidRPr="004B4B5B">
        <w:rPr>
          <w:b/>
          <w:i/>
        </w:rPr>
        <w:t xml:space="preserve"> be able to sustain their business while the payment arrangements transition to </w:t>
      </w:r>
      <w:r w:rsidR="001B1C82">
        <w:rPr>
          <w:b/>
          <w:i/>
        </w:rPr>
        <w:t>the subsidy reimbursement</w:t>
      </w:r>
      <w:r w:rsidRPr="004B4B5B">
        <w:rPr>
          <w:b/>
          <w:i/>
        </w:rPr>
        <w:t xml:space="preserve"> in arrears </w:t>
      </w:r>
      <w:r w:rsidR="001B1C82">
        <w:rPr>
          <w:b/>
          <w:i/>
        </w:rPr>
        <w:t>from</w:t>
      </w:r>
      <w:r w:rsidRPr="004B4B5B">
        <w:rPr>
          <w:b/>
          <w:i/>
        </w:rPr>
        <w:t xml:space="preserve"> June 2020.</w:t>
      </w:r>
    </w:p>
    <w:p w14:paraId="33970D19" w14:textId="44DE3AC5" w:rsidR="004B4B5B" w:rsidRDefault="004B4B5B" w:rsidP="004B4B5B"/>
    <w:p w14:paraId="1C81645F" w14:textId="78EC668D" w:rsidR="004B4B5B" w:rsidRDefault="004B4B5B" w:rsidP="004B4B5B">
      <w:r>
        <w:br w:type="page"/>
      </w:r>
    </w:p>
    <w:p w14:paraId="20272F5A" w14:textId="1FF6D20F" w:rsidR="004B4B5B" w:rsidRDefault="009608D2" w:rsidP="009608D2">
      <w:pPr>
        <w:pStyle w:val="Heading2"/>
      </w:pPr>
      <w:bookmarkStart w:id="57" w:name="_Toc26870724"/>
      <w:r>
        <w:lastRenderedPageBreak/>
        <w:t>Impact of Phase</w:t>
      </w:r>
      <w:r w:rsidR="00531567">
        <w:t>s</w:t>
      </w:r>
      <w:r>
        <w:t xml:space="preserve"> 2 and 3</w:t>
      </w:r>
      <w:bookmarkEnd w:id="57"/>
    </w:p>
    <w:p w14:paraId="76F2E9E4" w14:textId="70EE193D" w:rsidR="009608D2" w:rsidRDefault="009608D2" w:rsidP="004B4B5B">
      <w:r>
        <w:t xml:space="preserve">Phase two of the implementation process involves changing the way subsidies are paid to </w:t>
      </w:r>
      <w:r w:rsidR="00F6370A">
        <w:t>AP</w:t>
      </w:r>
      <w:r>
        <w:t xml:space="preserve">s so that instead of the gross subsidy amount, less any income tested care fee, the payment to </w:t>
      </w:r>
      <w:r w:rsidR="00F6370A">
        <w:t>AP</w:t>
      </w:r>
      <w:r>
        <w:t xml:space="preserve">s will be based on the amount of services </w:t>
      </w:r>
      <w:r w:rsidR="00F6370A">
        <w:t>supplied (</w:t>
      </w:r>
      <w:r>
        <w:t>charged</w:t>
      </w:r>
      <w:r w:rsidR="00F6370A">
        <w:t>)</w:t>
      </w:r>
      <w:r>
        <w:t xml:space="preserve"> to c</w:t>
      </w:r>
      <w:r w:rsidR="00F6370A">
        <w:t>are recipient</w:t>
      </w:r>
      <w:r>
        <w:t xml:space="preserve">s in the previous month. In effect </w:t>
      </w:r>
      <w:r w:rsidR="00F6370A">
        <w:t>DHS</w:t>
      </w:r>
      <w:r>
        <w:t xml:space="preserve"> will hold any unspent funds balance.</w:t>
      </w:r>
    </w:p>
    <w:p w14:paraId="2933ACB1" w14:textId="3E74C822" w:rsidR="00531567" w:rsidRDefault="00531567" w:rsidP="004B4B5B"/>
    <w:p w14:paraId="212EA548" w14:textId="2403119F" w:rsidR="00531567" w:rsidRDefault="00531567" w:rsidP="004B4B5B">
      <w:r>
        <w:t xml:space="preserve">At the same time, </w:t>
      </w:r>
      <w:r w:rsidR="00F6370A">
        <w:t>DHS</w:t>
      </w:r>
      <w:r>
        <w:t xml:space="preserve"> will start “recouping” the unspent funds currently being held by </w:t>
      </w:r>
      <w:r w:rsidR="00CB2A16">
        <w:t>AP</w:t>
      </w:r>
      <w:r>
        <w:t xml:space="preserve">s. At 30 June 2019 this is likely to total </w:t>
      </w:r>
      <w:r w:rsidR="00D14561">
        <w:t>above</w:t>
      </w:r>
      <w:r>
        <w:t xml:space="preserve"> $750 million. It is anticipated that </w:t>
      </w:r>
      <w:r w:rsidR="00CB2A16">
        <w:t>DHS</w:t>
      </w:r>
      <w:r>
        <w:t xml:space="preserve">, through the payment process, will reduce the amount of subsidy paid to the </w:t>
      </w:r>
      <w:r w:rsidR="00CB2A16">
        <w:t>AP</w:t>
      </w:r>
      <w:r>
        <w:t xml:space="preserve"> in any given month by an as yet undetermined amount until the unspent funds balance held by the </w:t>
      </w:r>
      <w:r w:rsidR="00CB2A16">
        <w:t>AP</w:t>
      </w:r>
      <w:r>
        <w:t xml:space="preserve"> is exhausted. After that point </w:t>
      </w:r>
      <w:r w:rsidR="00CB2A16">
        <w:t>DHS</w:t>
      </w:r>
      <w:r>
        <w:t xml:space="preserve"> will pay the full amount claimed by the </w:t>
      </w:r>
      <w:r w:rsidR="00CB2A16">
        <w:t>AP</w:t>
      </w:r>
      <w:r>
        <w:t xml:space="preserve"> based on service</w:t>
      </w:r>
      <w:r w:rsidR="00CB2A16">
        <w:t>s</w:t>
      </w:r>
      <w:r>
        <w:t xml:space="preserve"> </w:t>
      </w:r>
      <w:r w:rsidR="00CB2A16">
        <w:t>supplied</w:t>
      </w:r>
      <w:r>
        <w:t xml:space="preserve"> to the c</w:t>
      </w:r>
      <w:r w:rsidR="00CB2A16">
        <w:t>are recipients</w:t>
      </w:r>
      <w:r>
        <w:t xml:space="preserve"> less any income tested fee, and any basic daily care fee charged to the c</w:t>
      </w:r>
      <w:r w:rsidR="00CB2A16">
        <w:t>are recipient</w:t>
      </w:r>
      <w:r>
        <w:t>s.</w:t>
      </w:r>
    </w:p>
    <w:p w14:paraId="746350F7" w14:textId="21261A01" w:rsidR="00531567" w:rsidRDefault="00531567" w:rsidP="004B4B5B"/>
    <w:p w14:paraId="4DC05F05" w14:textId="7E562452" w:rsidR="00531567" w:rsidRDefault="00531567" w:rsidP="004B4B5B">
      <w:r>
        <w:t xml:space="preserve">Based on the information recorded on the ACFR home care segment note, there were </w:t>
      </w:r>
      <w:r w:rsidR="00B37A80">
        <w:t xml:space="preserve">117 (22%) of the 535 </w:t>
      </w:r>
      <w:r w:rsidR="00CB2A16">
        <w:t>AP</w:t>
      </w:r>
      <w:r w:rsidR="00B37A80">
        <w:t xml:space="preserve">s that did not have liquid assets in excess of the balance of unspent funds held at 30 June 2019. While this appears to a significant number, as has been demonstrated throughout this report, these numbers will reduce significantly when liquid assets are measured at the </w:t>
      </w:r>
      <w:r w:rsidR="006C0F05">
        <w:t>A</w:t>
      </w:r>
      <w:r w:rsidR="00CB2A16">
        <w:t>P</w:t>
      </w:r>
      <w:r w:rsidR="00B37A80">
        <w:t xml:space="preserve"> </w:t>
      </w:r>
      <w:r w:rsidR="006C0F05">
        <w:t xml:space="preserve">(consolidated) </w:t>
      </w:r>
      <w:r w:rsidR="00B37A80">
        <w:t>level.</w:t>
      </w:r>
    </w:p>
    <w:p w14:paraId="79723E09" w14:textId="2EC2E564" w:rsidR="00B37A80" w:rsidRDefault="00B37A80" w:rsidP="004B4B5B"/>
    <w:p w14:paraId="17853F4B" w14:textId="1524DFAF" w:rsidR="00B37A80" w:rsidRDefault="006C0F05" w:rsidP="004B4B5B">
      <w:r>
        <w:t>In this regard, of</w:t>
      </w:r>
      <w:r w:rsidR="00B37A80">
        <w:t xml:space="preserve"> the </w:t>
      </w:r>
      <w:r w:rsidR="00E47022">
        <w:t>143</w:t>
      </w:r>
      <w:r w:rsidR="00B37A80">
        <w:t xml:space="preserve"> </w:t>
      </w:r>
      <w:r w:rsidR="00CB2A16">
        <w:t>h</w:t>
      </w:r>
      <w:r w:rsidR="00B37A80">
        <w:t xml:space="preserve">ome care </w:t>
      </w:r>
      <w:r w:rsidR="00CB2A16">
        <w:t>AP</w:t>
      </w:r>
      <w:r w:rsidR="00B37A80">
        <w:t xml:space="preserve">s that </w:t>
      </w:r>
      <w:r w:rsidR="008C09E6">
        <w:t xml:space="preserve">also </w:t>
      </w:r>
      <w:r>
        <w:t>submitted</w:t>
      </w:r>
      <w:r w:rsidR="00B37A80">
        <w:t xml:space="preserve"> </w:t>
      </w:r>
      <w:r w:rsidR="00E47022">
        <w:t>A</w:t>
      </w:r>
      <w:r w:rsidR="00CB2A16">
        <w:t>P</w:t>
      </w:r>
      <w:r w:rsidR="00E47022">
        <w:t xml:space="preserve"> </w:t>
      </w:r>
      <w:r w:rsidR="008C09E6">
        <w:t xml:space="preserve">(consolidated) </w:t>
      </w:r>
      <w:r w:rsidR="00E47022">
        <w:t xml:space="preserve">level </w:t>
      </w:r>
      <w:r>
        <w:t>f</w:t>
      </w:r>
      <w:r w:rsidR="00E47022">
        <w:t xml:space="preserve">inancial data </w:t>
      </w:r>
      <w:r>
        <w:t>in their ACFR (</w:t>
      </w:r>
      <w:r w:rsidR="00E47022">
        <w:t xml:space="preserve">due to them also </w:t>
      </w:r>
      <w:r w:rsidR="00CB2A16">
        <w:t>supplying</w:t>
      </w:r>
      <w:r w:rsidR="00E47022">
        <w:t xml:space="preserve"> residential aged care services</w:t>
      </w:r>
      <w:r>
        <w:t>)</w:t>
      </w:r>
      <w:r w:rsidR="00E47022">
        <w:t xml:space="preserve"> the following outcomes in relation to liquid asset coverage of the total unspent funds were:</w:t>
      </w:r>
    </w:p>
    <w:p w14:paraId="5187D888" w14:textId="638ABEDB" w:rsidR="00E47022" w:rsidRDefault="00E47022" w:rsidP="004B4B5B"/>
    <w:p w14:paraId="0E719410" w14:textId="36976AA2" w:rsidR="00807ABD" w:rsidRDefault="00807ABD" w:rsidP="006C0F05">
      <w:pPr>
        <w:pStyle w:val="Caption"/>
        <w:keepNext/>
        <w:spacing w:before="0"/>
      </w:pPr>
      <w:r>
        <w:t xml:space="preserve">Table </w:t>
      </w:r>
      <w:fldSimple w:instr=" SEQ Table \* ARABIC ">
        <w:r w:rsidR="00844346">
          <w:rPr>
            <w:noProof/>
          </w:rPr>
          <w:t>28</w:t>
        </w:r>
      </w:fldSimple>
      <w:r>
        <w:t xml:space="preserve">: Analysis of liquid assets coverage of unspent funds for </w:t>
      </w:r>
      <w:r w:rsidR="00CB2A16">
        <w:t>AP</w:t>
      </w:r>
      <w:r>
        <w:t xml:space="preserve">s of both </w:t>
      </w:r>
      <w:r w:rsidR="00CB2A16">
        <w:t>HCP</w:t>
      </w:r>
      <w:r>
        <w:t xml:space="preserve"> and residential aged care</w:t>
      </w:r>
      <w:r w:rsidR="006C0F05">
        <w:t xml:space="preserve"> (source: ACFR)</w:t>
      </w:r>
    </w:p>
    <w:tbl>
      <w:tblPr>
        <w:tblStyle w:val="GridTable4-Accent5"/>
        <w:tblW w:w="0" w:type="auto"/>
        <w:tblLook w:val="0620" w:firstRow="1" w:lastRow="0" w:firstColumn="0" w:lastColumn="0" w:noHBand="1" w:noVBand="1"/>
        <w:tblCaption w:val="Table 28: Analysis of liquid assets coverage of unspent funds for APs of both HCP and residential aged care (source: ACFR)"/>
      </w:tblPr>
      <w:tblGrid>
        <w:gridCol w:w="5098"/>
        <w:gridCol w:w="2268"/>
      </w:tblGrid>
      <w:tr w:rsidR="00E47022" w14:paraId="264587F3" w14:textId="77777777" w:rsidTr="00627E62">
        <w:trPr>
          <w:cnfStyle w:val="100000000000" w:firstRow="1" w:lastRow="0" w:firstColumn="0" w:lastColumn="0" w:oddVBand="0" w:evenVBand="0" w:oddHBand="0" w:evenHBand="0" w:firstRowFirstColumn="0" w:firstRowLastColumn="0" w:lastRowFirstColumn="0" w:lastRowLastColumn="0"/>
          <w:tblHeader/>
        </w:trPr>
        <w:tc>
          <w:tcPr>
            <w:tcW w:w="5098" w:type="dxa"/>
          </w:tcPr>
          <w:p w14:paraId="587D4A00" w14:textId="77777777" w:rsidR="00E47022" w:rsidRDefault="00E47022" w:rsidP="004B4B5B"/>
        </w:tc>
        <w:tc>
          <w:tcPr>
            <w:tcW w:w="2268" w:type="dxa"/>
          </w:tcPr>
          <w:p w14:paraId="598CC0DC" w14:textId="025E4FA6" w:rsidR="00E47022" w:rsidRDefault="00E47022" w:rsidP="00E47022">
            <w:pPr>
              <w:jc w:val="center"/>
            </w:pPr>
          </w:p>
        </w:tc>
      </w:tr>
      <w:tr w:rsidR="00E47022" w14:paraId="28C1B66F" w14:textId="77777777" w:rsidTr="006C0F05">
        <w:tc>
          <w:tcPr>
            <w:tcW w:w="5098" w:type="dxa"/>
            <w:shd w:val="clear" w:color="auto" w:fill="DEEAF6" w:themeFill="accent1" w:themeFillTint="33"/>
          </w:tcPr>
          <w:p w14:paraId="547D41C7" w14:textId="0FED929F" w:rsidR="00E47022" w:rsidRPr="008C09E6" w:rsidRDefault="00E47022" w:rsidP="004B4B5B">
            <w:pPr>
              <w:rPr>
                <w:b/>
                <w:sz w:val="20"/>
                <w:szCs w:val="20"/>
              </w:rPr>
            </w:pPr>
            <w:r w:rsidRPr="008C09E6">
              <w:rPr>
                <w:b/>
                <w:sz w:val="20"/>
                <w:szCs w:val="20"/>
              </w:rPr>
              <w:t xml:space="preserve">At the </w:t>
            </w:r>
            <w:r w:rsidR="008C09E6">
              <w:rPr>
                <w:b/>
                <w:sz w:val="20"/>
                <w:szCs w:val="20"/>
              </w:rPr>
              <w:t xml:space="preserve">ACFR </w:t>
            </w:r>
            <w:r w:rsidRPr="008C09E6">
              <w:rPr>
                <w:b/>
                <w:sz w:val="20"/>
                <w:szCs w:val="20"/>
              </w:rPr>
              <w:t>Home Care Segment Level</w:t>
            </w:r>
          </w:p>
        </w:tc>
        <w:tc>
          <w:tcPr>
            <w:tcW w:w="2268" w:type="dxa"/>
            <w:shd w:val="clear" w:color="auto" w:fill="DEEAF6" w:themeFill="accent1" w:themeFillTint="33"/>
          </w:tcPr>
          <w:p w14:paraId="64515A97" w14:textId="77777777" w:rsidR="00E47022" w:rsidRPr="008C09E6" w:rsidRDefault="00E47022" w:rsidP="004B4B5B">
            <w:pPr>
              <w:rPr>
                <w:sz w:val="20"/>
                <w:szCs w:val="20"/>
              </w:rPr>
            </w:pPr>
          </w:p>
        </w:tc>
      </w:tr>
      <w:tr w:rsidR="00E47022" w14:paraId="12519237" w14:textId="77777777" w:rsidTr="00807ABD">
        <w:tc>
          <w:tcPr>
            <w:tcW w:w="5098" w:type="dxa"/>
          </w:tcPr>
          <w:p w14:paraId="2A8086AF" w14:textId="379FA3DE" w:rsidR="00E47022" w:rsidRPr="008C09E6" w:rsidRDefault="00E47022" w:rsidP="004B4B5B">
            <w:pPr>
              <w:rPr>
                <w:sz w:val="20"/>
                <w:szCs w:val="20"/>
              </w:rPr>
            </w:pPr>
            <w:r w:rsidRPr="008C09E6">
              <w:rPr>
                <w:sz w:val="20"/>
                <w:szCs w:val="20"/>
              </w:rPr>
              <w:t xml:space="preserve">Number of </w:t>
            </w:r>
            <w:r w:rsidR="008C09E6">
              <w:rPr>
                <w:sz w:val="20"/>
                <w:szCs w:val="20"/>
              </w:rPr>
              <w:t>P</w:t>
            </w:r>
            <w:r w:rsidRPr="008C09E6">
              <w:rPr>
                <w:sz w:val="20"/>
                <w:szCs w:val="20"/>
              </w:rPr>
              <w:t>roviders</w:t>
            </w:r>
          </w:p>
        </w:tc>
        <w:tc>
          <w:tcPr>
            <w:tcW w:w="2268" w:type="dxa"/>
          </w:tcPr>
          <w:p w14:paraId="1FBBB08F" w14:textId="4C32E330" w:rsidR="00E47022" w:rsidRPr="008C09E6" w:rsidRDefault="00E47022" w:rsidP="00E47022">
            <w:pPr>
              <w:jc w:val="center"/>
              <w:rPr>
                <w:sz w:val="20"/>
                <w:szCs w:val="20"/>
              </w:rPr>
            </w:pPr>
            <w:r w:rsidRPr="008C09E6">
              <w:rPr>
                <w:sz w:val="20"/>
                <w:szCs w:val="20"/>
              </w:rPr>
              <w:t>143</w:t>
            </w:r>
          </w:p>
        </w:tc>
      </w:tr>
      <w:tr w:rsidR="00E47022" w14:paraId="420C0302" w14:textId="77777777" w:rsidTr="00807ABD">
        <w:tc>
          <w:tcPr>
            <w:tcW w:w="5098" w:type="dxa"/>
          </w:tcPr>
          <w:p w14:paraId="5E630E30" w14:textId="17F81626" w:rsidR="00E47022" w:rsidRPr="008C09E6" w:rsidRDefault="00E47022" w:rsidP="004B4B5B">
            <w:pPr>
              <w:rPr>
                <w:sz w:val="20"/>
                <w:szCs w:val="20"/>
              </w:rPr>
            </w:pPr>
            <w:r w:rsidRPr="008C09E6">
              <w:rPr>
                <w:sz w:val="20"/>
                <w:szCs w:val="20"/>
              </w:rPr>
              <w:t xml:space="preserve">Total </w:t>
            </w:r>
            <w:r w:rsidR="006C0F05">
              <w:rPr>
                <w:sz w:val="20"/>
                <w:szCs w:val="20"/>
              </w:rPr>
              <w:t>U</w:t>
            </w:r>
            <w:r w:rsidRPr="008C09E6">
              <w:rPr>
                <w:sz w:val="20"/>
                <w:szCs w:val="20"/>
              </w:rPr>
              <w:t>nspent Funds at June 2019</w:t>
            </w:r>
          </w:p>
        </w:tc>
        <w:tc>
          <w:tcPr>
            <w:tcW w:w="2268" w:type="dxa"/>
          </w:tcPr>
          <w:p w14:paraId="192428D9" w14:textId="76D1B18C" w:rsidR="00E47022" w:rsidRPr="008C09E6" w:rsidRDefault="008C09E6" w:rsidP="00E47022">
            <w:pPr>
              <w:jc w:val="center"/>
              <w:rPr>
                <w:sz w:val="20"/>
                <w:szCs w:val="20"/>
              </w:rPr>
            </w:pPr>
            <w:r>
              <w:rPr>
                <w:sz w:val="20"/>
                <w:szCs w:val="20"/>
              </w:rPr>
              <w:t xml:space="preserve">$ </w:t>
            </w:r>
            <w:r w:rsidR="00E47022" w:rsidRPr="008C09E6">
              <w:rPr>
                <w:sz w:val="20"/>
                <w:szCs w:val="20"/>
              </w:rPr>
              <w:t>235,571,519</w:t>
            </w:r>
          </w:p>
        </w:tc>
      </w:tr>
      <w:tr w:rsidR="00E47022" w14:paraId="52FF40FB" w14:textId="77777777" w:rsidTr="00807ABD">
        <w:tc>
          <w:tcPr>
            <w:tcW w:w="5098" w:type="dxa"/>
          </w:tcPr>
          <w:p w14:paraId="263C66EB" w14:textId="29C83196" w:rsidR="00E47022" w:rsidRPr="008C09E6" w:rsidRDefault="00E47022" w:rsidP="004B4B5B">
            <w:pPr>
              <w:rPr>
                <w:sz w:val="20"/>
                <w:szCs w:val="20"/>
              </w:rPr>
            </w:pPr>
            <w:r w:rsidRPr="008C09E6">
              <w:rPr>
                <w:sz w:val="20"/>
                <w:szCs w:val="20"/>
              </w:rPr>
              <w:t xml:space="preserve">Total liquid assets declared in </w:t>
            </w:r>
            <w:r w:rsidR="006C0F05">
              <w:rPr>
                <w:sz w:val="20"/>
                <w:szCs w:val="20"/>
              </w:rPr>
              <w:t>HCP</w:t>
            </w:r>
            <w:r w:rsidRPr="008C09E6">
              <w:rPr>
                <w:sz w:val="20"/>
                <w:szCs w:val="20"/>
              </w:rPr>
              <w:t xml:space="preserve"> segment note</w:t>
            </w:r>
          </w:p>
        </w:tc>
        <w:tc>
          <w:tcPr>
            <w:tcW w:w="2268" w:type="dxa"/>
          </w:tcPr>
          <w:p w14:paraId="76451338" w14:textId="003E4548" w:rsidR="00E47022" w:rsidRPr="008C09E6" w:rsidRDefault="008C09E6" w:rsidP="00E47022">
            <w:pPr>
              <w:jc w:val="center"/>
              <w:rPr>
                <w:sz w:val="20"/>
                <w:szCs w:val="20"/>
              </w:rPr>
            </w:pPr>
            <w:r>
              <w:rPr>
                <w:sz w:val="20"/>
                <w:szCs w:val="20"/>
              </w:rPr>
              <w:t xml:space="preserve"> $</w:t>
            </w:r>
            <w:r w:rsidR="006C0F05">
              <w:rPr>
                <w:sz w:val="20"/>
                <w:szCs w:val="20"/>
              </w:rPr>
              <w:t xml:space="preserve"> </w:t>
            </w:r>
            <w:r w:rsidR="00E47022" w:rsidRPr="008C09E6">
              <w:rPr>
                <w:sz w:val="20"/>
                <w:szCs w:val="20"/>
              </w:rPr>
              <w:t>785,274,066</w:t>
            </w:r>
          </w:p>
        </w:tc>
      </w:tr>
      <w:tr w:rsidR="00E47022" w14:paraId="3815874A" w14:textId="77777777" w:rsidTr="00807ABD">
        <w:tc>
          <w:tcPr>
            <w:tcW w:w="5098" w:type="dxa"/>
          </w:tcPr>
          <w:p w14:paraId="2D291999" w14:textId="7207B83A" w:rsidR="00E47022" w:rsidRPr="008C09E6" w:rsidRDefault="00E47022" w:rsidP="004B4B5B">
            <w:pPr>
              <w:rPr>
                <w:sz w:val="20"/>
                <w:szCs w:val="20"/>
              </w:rPr>
            </w:pPr>
            <w:r w:rsidRPr="008C09E6">
              <w:rPr>
                <w:sz w:val="20"/>
                <w:szCs w:val="20"/>
              </w:rPr>
              <w:t xml:space="preserve">Average coverage </w:t>
            </w:r>
            <w:r w:rsidR="008C09E6">
              <w:rPr>
                <w:sz w:val="20"/>
                <w:szCs w:val="20"/>
              </w:rPr>
              <w:t>(times)</w:t>
            </w:r>
          </w:p>
        </w:tc>
        <w:tc>
          <w:tcPr>
            <w:tcW w:w="2268" w:type="dxa"/>
          </w:tcPr>
          <w:p w14:paraId="1CC7CD23" w14:textId="7B023078" w:rsidR="00E47022" w:rsidRPr="008C09E6" w:rsidRDefault="00E47022" w:rsidP="00E47022">
            <w:pPr>
              <w:jc w:val="center"/>
              <w:rPr>
                <w:sz w:val="20"/>
                <w:szCs w:val="20"/>
              </w:rPr>
            </w:pPr>
            <w:r w:rsidRPr="008C09E6">
              <w:rPr>
                <w:sz w:val="20"/>
                <w:szCs w:val="20"/>
              </w:rPr>
              <w:t>3.33</w:t>
            </w:r>
          </w:p>
        </w:tc>
      </w:tr>
      <w:tr w:rsidR="00E47022" w14:paraId="2DE0540B" w14:textId="77777777" w:rsidTr="00807ABD">
        <w:tc>
          <w:tcPr>
            <w:tcW w:w="5098" w:type="dxa"/>
          </w:tcPr>
          <w:p w14:paraId="20602CA0" w14:textId="2B34CAA0" w:rsidR="00E47022" w:rsidRPr="008C09E6" w:rsidRDefault="00E47022" w:rsidP="004B4B5B">
            <w:pPr>
              <w:rPr>
                <w:sz w:val="20"/>
                <w:szCs w:val="20"/>
              </w:rPr>
            </w:pPr>
            <w:r w:rsidRPr="008C09E6">
              <w:rPr>
                <w:sz w:val="20"/>
                <w:szCs w:val="20"/>
              </w:rPr>
              <w:t xml:space="preserve">Number of </w:t>
            </w:r>
            <w:r w:rsidR="008C09E6">
              <w:rPr>
                <w:sz w:val="20"/>
                <w:szCs w:val="20"/>
              </w:rPr>
              <w:t>P</w:t>
            </w:r>
            <w:r w:rsidRPr="008C09E6">
              <w:rPr>
                <w:sz w:val="20"/>
                <w:szCs w:val="20"/>
              </w:rPr>
              <w:t>roviders with ratio less than 1</w:t>
            </w:r>
          </w:p>
        </w:tc>
        <w:tc>
          <w:tcPr>
            <w:tcW w:w="2268" w:type="dxa"/>
          </w:tcPr>
          <w:p w14:paraId="249CC939" w14:textId="06F89B3E" w:rsidR="00E47022" w:rsidRPr="008C09E6" w:rsidRDefault="00E47022" w:rsidP="00E47022">
            <w:pPr>
              <w:jc w:val="center"/>
              <w:rPr>
                <w:sz w:val="20"/>
                <w:szCs w:val="20"/>
              </w:rPr>
            </w:pPr>
            <w:r w:rsidRPr="008C09E6">
              <w:rPr>
                <w:sz w:val="20"/>
                <w:szCs w:val="20"/>
              </w:rPr>
              <w:t>29</w:t>
            </w:r>
          </w:p>
        </w:tc>
      </w:tr>
      <w:tr w:rsidR="00E47022" w14:paraId="5A680650" w14:textId="77777777" w:rsidTr="006C0F05">
        <w:tc>
          <w:tcPr>
            <w:tcW w:w="5098" w:type="dxa"/>
            <w:shd w:val="clear" w:color="auto" w:fill="FFE599" w:themeFill="accent4" w:themeFillTint="66"/>
          </w:tcPr>
          <w:p w14:paraId="4AA26282" w14:textId="4B135DA7" w:rsidR="00E47022" w:rsidRPr="006C0F05" w:rsidRDefault="00E47022" w:rsidP="004B4B5B">
            <w:pPr>
              <w:rPr>
                <w:i/>
                <w:sz w:val="20"/>
                <w:szCs w:val="20"/>
              </w:rPr>
            </w:pPr>
            <w:r w:rsidRPr="006C0F05">
              <w:rPr>
                <w:i/>
                <w:sz w:val="20"/>
                <w:szCs w:val="20"/>
              </w:rPr>
              <w:t>Proportion of total</w:t>
            </w:r>
          </w:p>
        </w:tc>
        <w:tc>
          <w:tcPr>
            <w:tcW w:w="2268" w:type="dxa"/>
            <w:shd w:val="clear" w:color="auto" w:fill="FFE599" w:themeFill="accent4" w:themeFillTint="66"/>
          </w:tcPr>
          <w:p w14:paraId="52A9E2A0" w14:textId="3D480463" w:rsidR="00E47022" w:rsidRPr="006C0F05" w:rsidRDefault="00E47022" w:rsidP="00E47022">
            <w:pPr>
              <w:jc w:val="center"/>
              <w:rPr>
                <w:i/>
                <w:sz w:val="20"/>
                <w:szCs w:val="20"/>
              </w:rPr>
            </w:pPr>
            <w:r w:rsidRPr="006C0F05">
              <w:rPr>
                <w:i/>
                <w:sz w:val="20"/>
                <w:szCs w:val="20"/>
              </w:rPr>
              <w:t>20.3%</w:t>
            </w:r>
          </w:p>
        </w:tc>
      </w:tr>
      <w:tr w:rsidR="00E47022" w14:paraId="0F7D02EE" w14:textId="77777777" w:rsidTr="00807ABD">
        <w:tc>
          <w:tcPr>
            <w:tcW w:w="5098" w:type="dxa"/>
            <w:shd w:val="clear" w:color="auto" w:fill="4472C4" w:themeFill="accent5"/>
          </w:tcPr>
          <w:p w14:paraId="1CD2CA0C" w14:textId="77777777" w:rsidR="00E47022" w:rsidRPr="008C09E6" w:rsidRDefault="00E47022" w:rsidP="004B4B5B">
            <w:pPr>
              <w:rPr>
                <w:sz w:val="20"/>
                <w:szCs w:val="20"/>
              </w:rPr>
            </w:pPr>
          </w:p>
        </w:tc>
        <w:tc>
          <w:tcPr>
            <w:tcW w:w="2268" w:type="dxa"/>
            <w:shd w:val="clear" w:color="auto" w:fill="4472C4" w:themeFill="accent5"/>
          </w:tcPr>
          <w:p w14:paraId="5D9DF2EB" w14:textId="77777777" w:rsidR="00E47022" w:rsidRPr="008C09E6" w:rsidRDefault="00E47022" w:rsidP="00E47022">
            <w:pPr>
              <w:jc w:val="center"/>
              <w:rPr>
                <w:sz w:val="20"/>
                <w:szCs w:val="20"/>
              </w:rPr>
            </w:pPr>
          </w:p>
        </w:tc>
      </w:tr>
      <w:tr w:rsidR="00E47022" w:rsidRPr="00807ABD" w14:paraId="1265195D" w14:textId="77777777" w:rsidTr="006C0F05">
        <w:tc>
          <w:tcPr>
            <w:tcW w:w="5098" w:type="dxa"/>
            <w:shd w:val="clear" w:color="auto" w:fill="DEEAF6" w:themeFill="accent1" w:themeFillTint="33"/>
          </w:tcPr>
          <w:p w14:paraId="3116988A" w14:textId="6C79A994" w:rsidR="00E47022" w:rsidRPr="008C09E6" w:rsidRDefault="00E47022" w:rsidP="004B4B5B">
            <w:pPr>
              <w:rPr>
                <w:b/>
                <w:sz w:val="20"/>
                <w:szCs w:val="20"/>
              </w:rPr>
            </w:pPr>
            <w:r w:rsidRPr="008C09E6">
              <w:rPr>
                <w:b/>
                <w:sz w:val="20"/>
                <w:szCs w:val="20"/>
              </w:rPr>
              <w:t xml:space="preserve">At the </w:t>
            </w:r>
            <w:r w:rsidR="008C09E6">
              <w:rPr>
                <w:b/>
                <w:sz w:val="20"/>
                <w:szCs w:val="20"/>
              </w:rPr>
              <w:t>A</w:t>
            </w:r>
            <w:r w:rsidRPr="008C09E6">
              <w:rPr>
                <w:b/>
                <w:sz w:val="20"/>
                <w:szCs w:val="20"/>
              </w:rPr>
              <w:t xml:space="preserve">pproved </w:t>
            </w:r>
            <w:r w:rsidR="008C09E6">
              <w:rPr>
                <w:b/>
                <w:sz w:val="20"/>
                <w:szCs w:val="20"/>
              </w:rPr>
              <w:t>P</w:t>
            </w:r>
            <w:r w:rsidRPr="008C09E6">
              <w:rPr>
                <w:b/>
                <w:sz w:val="20"/>
                <w:szCs w:val="20"/>
              </w:rPr>
              <w:t xml:space="preserve">rovider </w:t>
            </w:r>
            <w:r w:rsidR="006C0F05">
              <w:rPr>
                <w:b/>
                <w:sz w:val="20"/>
                <w:szCs w:val="20"/>
              </w:rPr>
              <w:t xml:space="preserve">(consolidated) </w:t>
            </w:r>
            <w:r w:rsidRPr="008C09E6">
              <w:rPr>
                <w:b/>
                <w:sz w:val="20"/>
                <w:szCs w:val="20"/>
              </w:rPr>
              <w:t>level</w:t>
            </w:r>
          </w:p>
        </w:tc>
        <w:tc>
          <w:tcPr>
            <w:tcW w:w="2268" w:type="dxa"/>
            <w:shd w:val="clear" w:color="auto" w:fill="DEEAF6" w:themeFill="accent1" w:themeFillTint="33"/>
          </w:tcPr>
          <w:p w14:paraId="4AE6C6CA" w14:textId="77777777" w:rsidR="00E47022" w:rsidRPr="008C09E6" w:rsidRDefault="00E47022" w:rsidP="00E47022">
            <w:pPr>
              <w:jc w:val="center"/>
              <w:rPr>
                <w:b/>
                <w:sz w:val="20"/>
                <w:szCs w:val="20"/>
              </w:rPr>
            </w:pPr>
          </w:p>
        </w:tc>
      </w:tr>
      <w:tr w:rsidR="00E47022" w14:paraId="5495332A" w14:textId="77777777" w:rsidTr="00807ABD">
        <w:tc>
          <w:tcPr>
            <w:tcW w:w="5098" w:type="dxa"/>
          </w:tcPr>
          <w:p w14:paraId="7618A9C6" w14:textId="422BDA46" w:rsidR="00E47022" w:rsidRPr="008C09E6" w:rsidRDefault="00E47022" w:rsidP="00E47022">
            <w:pPr>
              <w:rPr>
                <w:sz w:val="20"/>
                <w:szCs w:val="20"/>
              </w:rPr>
            </w:pPr>
            <w:r w:rsidRPr="008C09E6">
              <w:rPr>
                <w:sz w:val="20"/>
                <w:szCs w:val="20"/>
              </w:rPr>
              <w:t xml:space="preserve">Number of </w:t>
            </w:r>
            <w:r w:rsidR="006C0F05">
              <w:rPr>
                <w:sz w:val="20"/>
                <w:szCs w:val="20"/>
              </w:rPr>
              <w:t>P</w:t>
            </w:r>
            <w:r w:rsidRPr="008C09E6">
              <w:rPr>
                <w:sz w:val="20"/>
                <w:szCs w:val="20"/>
              </w:rPr>
              <w:t>roviders</w:t>
            </w:r>
          </w:p>
        </w:tc>
        <w:tc>
          <w:tcPr>
            <w:tcW w:w="2268" w:type="dxa"/>
          </w:tcPr>
          <w:p w14:paraId="2B361375" w14:textId="0C9E1594" w:rsidR="00E47022" w:rsidRPr="008C09E6" w:rsidRDefault="00E47022" w:rsidP="00E47022">
            <w:pPr>
              <w:jc w:val="center"/>
              <w:rPr>
                <w:sz w:val="20"/>
                <w:szCs w:val="20"/>
              </w:rPr>
            </w:pPr>
            <w:r w:rsidRPr="008C09E6">
              <w:rPr>
                <w:sz w:val="20"/>
                <w:szCs w:val="20"/>
              </w:rPr>
              <w:t>143</w:t>
            </w:r>
          </w:p>
        </w:tc>
      </w:tr>
      <w:tr w:rsidR="00E47022" w14:paraId="3746890F" w14:textId="77777777" w:rsidTr="00807ABD">
        <w:tc>
          <w:tcPr>
            <w:tcW w:w="5098" w:type="dxa"/>
          </w:tcPr>
          <w:p w14:paraId="61AFAE60" w14:textId="3875B290" w:rsidR="00E47022" w:rsidRPr="008C09E6" w:rsidRDefault="00E47022" w:rsidP="00E47022">
            <w:pPr>
              <w:rPr>
                <w:sz w:val="20"/>
                <w:szCs w:val="20"/>
              </w:rPr>
            </w:pPr>
            <w:r w:rsidRPr="008C09E6">
              <w:rPr>
                <w:sz w:val="20"/>
                <w:szCs w:val="20"/>
              </w:rPr>
              <w:t xml:space="preserve">Total </w:t>
            </w:r>
            <w:r w:rsidR="006C0F05">
              <w:rPr>
                <w:sz w:val="20"/>
                <w:szCs w:val="20"/>
              </w:rPr>
              <w:t>U</w:t>
            </w:r>
            <w:r w:rsidRPr="008C09E6">
              <w:rPr>
                <w:sz w:val="20"/>
                <w:szCs w:val="20"/>
              </w:rPr>
              <w:t>nspent Funds at June 2019</w:t>
            </w:r>
          </w:p>
        </w:tc>
        <w:tc>
          <w:tcPr>
            <w:tcW w:w="2268" w:type="dxa"/>
          </w:tcPr>
          <w:p w14:paraId="2BC17231" w14:textId="64ADC44C" w:rsidR="00E47022" w:rsidRPr="008C09E6" w:rsidRDefault="006C0F05" w:rsidP="00E47022">
            <w:pPr>
              <w:jc w:val="center"/>
              <w:rPr>
                <w:sz w:val="20"/>
                <w:szCs w:val="20"/>
              </w:rPr>
            </w:pPr>
            <w:r>
              <w:rPr>
                <w:sz w:val="20"/>
                <w:szCs w:val="20"/>
              </w:rPr>
              <w:t xml:space="preserve">$ </w:t>
            </w:r>
            <w:r w:rsidR="00E47022" w:rsidRPr="008C09E6">
              <w:rPr>
                <w:sz w:val="20"/>
                <w:szCs w:val="20"/>
              </w:rPr>
              <w:t>235,571,519</w:t>
            </w:r>
          </w:p>
        </w:tc>
      </w:tr>
      <w:tr w:rsidR="00E47022" w14:paraId="2E6DAB09" w14:textId="77777777" w:rsidTr="00807ABD">
        <w:tc>
          <w:tcPr>
            <w:tcW w:w="5098" w:type="dxa"/>
          </w:tcPr>
          <w:p w14:paraId="5A64B384" w14:textId="2001F544" w:rsidR="00E47022" w:rsidRPr="008C09E6" w:rsidRDefault="00E47022" w:rsidP="00E47022">
            <w:pPr>
              <w:rPr>
                <w:sz w:val="20"/>
                <w:szCs w:val="20"/>
              </w:rPr>
            </w:pPr>
            <w:r w:rsidRPr="008C09E6">
              <w:rPr>
                <w:sz w:val="20"/>
                <w:szCs w:val="20"/>
              </w:rPr>
              <w:t>Total liquid assets declared in  segment note</w:t>
            </w:r>
          </w:p>
        </w:tc>
        <w:tc>
          <w:tcPr>
            <w:tcW w:w="2268" w:type="dxa"/>
          </w:tcPr>
          <w:p w14:paraId="6447B813" w14:textId="1EF4B0C1" w:rsidR="00E47022" w:rsidRPr="008C09E6" w:rsidRDefault="006C0F05" w:rsidP="00E47022">
            <w:pPr>
              <w:jc w:val="center"/>
              <w:rPr>
                <w:sz w:val="20"/>
                <w:szCs w:val="20"/>
              </w:rPr>
            </w:pPr>
            <w:r>
              <w:rPr>
                <w:sz w:val="20"/>
                <w:szCs w:val="20"/>
              </w:rPr>
              <w:t xml:space="preserve">$ </w:t>
            </w:r>
            <w:r w:rsidR="00E47022" w:rsidRPr="008C09E6">
              <w:rPr>
                <w:sz w:val="20"/>
                <w:szCs w:val="20"/>
              </w:rPr>
              <w:t>7,071,413,248</w:t>
            </w:r>
          </w:p>
        </w:tc>
      </w:tr>
      <w:tr w:rsidR="00E47022" w14:paraId="39F79394" w14:textId="77777777" w:rsidTr="00807ABD">
        <w:tc>
          <w:tcPr>
            <w:tcW w:w="5098" w:type="dxa"/>
          </w:tcPr>
          <w:p w14:paraId="22CA68B5" w14:textId="3860EEB1" w:rsidR="00E47022" w:rsidRPr="008C09E6" w:rsidRDefault="00E47022" w:rsidP="00E47022">
            <w:pPr>
              <w:rPr>
                <w:sz w:val="20"/>
                <w:szCs w:val="20"/>
              </w:rPr>
            </w:pPr>
            <w:r w:rsidRPr="008C09E6">
              <w:rPr>
                <w:sz w:val="20"/>
                <w:szCs w:val="20"/>
              </w:rPr>
              <w:t xml:space="preserve">Average coverage </w:t>
            </w:r>
            <w:r w:rsidR="006C0F05">
              <w:rPr>
                <w:sz w:val="20"/>
                <w:szCs w:val="20"/>
              </w:rPr>
              <w:t>(times)</w:t>
            </w:r>
          </w:p>
        </w:tc>
        <w:tc>
          <w:tcPr>
            <w:tcW w:w="2268" w:type="dxa"/>
          </w:tcPr>
          <w:p w14:paraId="4A1F9DDA" w14:textId="6BDA16C6" w:rsidR="00E47022" w:rsidRPr="008C09E6" w:rsidRDefault="00E47022" w:rsidP="00E47022">
            <w:pPr>
              <w:jc w:val="center"/>
              <w:rPr>
                <w:sz w:val="20"/>
                <w:szCs w:val="20"/>
              </w:rPr>
            </w:pPr>
            <w:r w:rsidRPr="008C09E6">
              <w:rPr>
                <w:sz w:val="20"/>
                <w:szCs w:val="20"/>
              </w:rPr>
              <w:t>30.02</w:t>
            </w:r>
          </w:p>
        </w:tc>
      </w:tr>
      <w:tr w:rsidR="00E47022" w14:paraId="1486666B" w14:textId="77777777" w:rsidTr="00807ABD">
        <w:tc>
          <w:tcPr>
            <w:tcW w:w="5098" w:type="dxa"/>
          </w:tcPr>
          <w:p w14:paraId="507438C8" w14:textId="3814A1DF" w:rsidR="00E47022" w:rsidRPr="008C09E6" w:rsidRDefault="00E47022" w:rsidP="00E47022">
            <w:pPr>
              <w:rPr>
                <w:sz w:val="20"/>
                <w:szCs w:val="20"/>
              </w:rPr>
            </w:pPr>
            <w:r w:rsidRPr="008C09E6">
              <w:rPr>
                <w:sz w:val="20"/>
                <w:szCs w:val="20"/>
              </w:rPr>
              <w:t xml:space="preserve">Number of </w:t>
            </w:r>
            <w:r w:rsidR="006C0F05">
              <w:rPr>
                <w:sz w:val="20"/>
                <w:szCs w:val="20"/>
              </w:rPr>
              <w:t>P</w:t>
            </w:r>
            <w:r w:rsidRPr="008C09E6">
              <w:rPr>
                <w:sz w:val="20"/>
                <w:szCs w:val="20"/>
              </w:rPr>
              <w:t>roviders with ratio less than 1</w:t>
            </w:r>
          </w:p>
        </w:tc>
        <w:tc>
          <w:tcPr>
            <w:tcW w:w="2268" w:type="dxa"/>
          </w:tcPr>
          <w:p w14:paraId="15B3245B" w14:textId="07FE606E" w:rsidR="00E47022" w:rsidRPr="008C09E6" w:rsidRDefault="00807ABD" w:rsidP="00E47022">
            <w:pPr>
              <w:jc w:val="center"/>
              <w:rPr>
                <w:sz w:val="20"/>
                <w:szCs w:val="20"/>
              </w:rPr>
            </w:pPr>
            <w:r w:rsidRPr="008C09E6">
              <w:rPr>
                <w:sz w:val="20"/>
                <w:szCs w:val="20"/>
              </w:rPr>
              <w:t>8</w:t>
            </w:r>
          </w:p>
        </w:tc>
      </w:tr>
      <w:tr w:rsidR="00E47022" w14:paraId="3BA14A48" w14:textId="77777777" w:rsidTr="006C0F05">
        <w:tc>
          <w:tcPr>
            <w:tcW w:w="5098" w:type="dxa"/>
            <w:shd w:val="clear" w:color="auto" w:fill="FFE599" w:themeFill="accent4" w:themeFillTint="66"/>
          </w:tcPr>
          <w:p w14:paraId="458E1D20" w14:textId="157BB308" w:rsidR="00E47022" w:rsidRPr="006C0F05" w:rsidRDefault="00E47022" w:rsidP="00E47022">
            <w:pPr>
              <w:rPr>
                <w:i/>
                <w:sz w:val="20"/>
                <w:szCs w:val="20"/>
              </w:rPr>
            </w:pPr>
            <w:r w:rsidRPr="006C0F05">
              <w:rPr>
                <w:i/>
                <w:sz w:val="20"/>
                <w:szCs w:val="20"/>
              </w:rPr>
              <w:t>Proportion of total</w:t>
            </w:r>
          </w:p>
        </w:tc>
        <w:tc>
          <w:tcPr>
            <w:tcW w:w="2268" w:type="dxa"/>
            <w:shd w:val="clear" w:color="auto" w:fill="FFE599" w:themeFill="accent4" w:themeFillTint="66"/>
          </w:tcPr>
          <w:p w14:paraId="78003940" w14:textId="62215E4E" w:rsidR="00E47022" w:rsidRPr="006C0F05" w:rsidRDefault="00807ABD" w:rsidP="00E47022">
            <w:pPr>
              <w:jc w:val="center"/>
              <w:rPr>
                <w:i/>
                <w:sz w:val="20"/>
                <w:szCs w:val="20"/>
              </w:rPr>
            </w:pPr>
            <w:r w:rsidRPr="006C0F05">
              <w:rPr>
                <w:i/>
                <w:sz w:val="20"/>
                <w:szCs w:val="20"/>
              </w:rPr>
              <w:t>5.6%</w:t>
            </w:r>
          </w:p>
        </w:tc>
      </w:tr>
    </w:tbl>
    <w:p w14:paraId="5CC8D583" w14:textId="77777777" w:rsidR="00E47022" w:rsidRDefault="00E47022" w:rsidP="004B4B5B"/>
    <w:p w14:paraId="74460550" w14:textId="29506766" w:rsidR="009608D2" w:rsidRDefault="00807ABD" w:rsidP="004B4B5B">
      <w:r>
        <w:t xml:space="preserve">Similar outcomes resulted from an analysis of the </w:t>
      </w:r>
      <w:r w:rsidR="00CB2A16">
        <w:t>AP</w:t>
      </w:r>
      <w:r>
        <w:t xml:space="preserve"> level data and ACFR data for 6 home care providers in the StewartBrown </w:t>
      </w:r>
      <w:r w:rsidR="006C0F05" w:rsidRPr="006C0F05">
        <w:rPr>
          <w:i/>
        </w:rPr>
        <w:t>S</w:t>
      </w:r>
      <w:r w:rsidRPr="006C0F05">
        <w:rPr>
          <w:i/>
        </w:rPr>
        <w:t>urvey</w:t>
      </w:r>
      <w:r>
        <w:t xml:space="preserve"> for FY19. These </w:t>
      </w:r>
      <w:r w:rsidR="00CB2A16">
        <w:t>AP</w:t>
      </w:r>
      <w:r>
        <w:t xml:space="preserve">s did not have residential aged care, although they did have other business streams other than the delivery of services under </w:t>
      </w:r>
      <w:r w:rsidR="00CB2A16">
        <w:t>home care</w:t>
      </w:r>
      <w:r>
        <w:t xml:space="preserve"> packages.</w:t>
      </w:r>
    </w:p>
    <w:p w14:paraId="6508B12A" w14:textId="67FF2DC6" w:rsidR="00807ABD" w:rsidRDefault="00807ABD" w:rsidP="004B4B5B"/>
    <w:p w14:paraId="438BE8A9" w14:textId="77777777" w:rsidR="006C0F05" w:rsidRDefault="006C0F05" w:rsidP="004B4B5B"/>
    <w:p w14:paraId="1B4FBDB7" w14:textId="5B71AC43" w:rsidR="00807ABD" w:rsidRDefault="00807ABD" w:rsidP="004B4B5B"/>
    <w:p w14:paraId="32EA77B5" w14:textId="77777777" w:rsidR="006C0F05" w:rsidRDefault="006C0F05" w:rsidP="004B4B5B"/>
    <w:p w14:paraId="5D89B94C" w14:textId="5C8204EB" w:rsidR="009608D2" w:rsidRDefault="009608D2" w:rsidP="004B4B5B"/>
    <w:p w14:paraId="03038F68" w14:textId="3AA128B4" w:rsidR="006C0F05" w:rsidRDefault="006C0F05" w:rsidP="004B4B5B"/>
    <w:p w14:paraId="53A34367" w14:textId="77777777" w:rsidR="006C0F05" w:rsidRDefault="006C0F05" w:rsidP="004B4B5B"/>
    <w:p w14:paraId="0C67801F" w14:textId="02F42FB5" w:rsidR="006C0F05" w:rsidRDefault="006C0F05" w:rsidP="006C0F05">
      <w:pPr>
        <w:pStyle w:val="Caption"/>
        <w:keepNext/>
        <w:spacing w:before="0"/>
      </w:pPr>
      <w:r>
        <w:lastRenderedPageBreak/>
        <w:t xml:space="preserve">Table </w:t>
      </w:r>
      <w:fldSimple w:instr=" SEQ Table \* ARABIC ">
        <w:r>
          <w:rPr>
            <w:noProof/>
          </w:rPr>
          <w:t>29</w:t>
        </w:r>
      </w:fldSimple>
      <w:r>
        <w:t xml:space="preserve">: Analysis of liquid assets coverage of unspent funds for </w:t>
      </w:r>
      <w:r w:rsidR="00CB2A16">
        <w:t>AP</w:t>
      </w:r>
      <w:r>
        <w:t>s of both H</w:t>
      </w:r>
      <w:r w:rsidR="00CB2A16">
        <w:t>CP</w:t>
      </w:r>
      <w:r>
        <w:t xml:space="preserve"> and residential aged care (source StewartBrown Survey)</w:t>
      </w:r>
    </w:p>
    <w:tbl>
      <w:tblPr>
        <w:tblStyle w:val="GridTable4-Accent5"/>
        <w:tblW w:w="0" w:type="auto"/>
        <w:tblLook w:val="0620" w:firstRow="1" w:lastRow="0" w:firstColumn="0" w:lastColumn="0" w:noHBand="1" w:noVBand="1"/>
        <w:tblCaption w:val="Table 29: Analysis of liquid assets coverage of unspent funds for APs of both HCP and residential aged care (source StewartBrown Survey)"/>
      </w:tblPr>
      <w:tblGrid>
        <w:gridCol w:w="5098"/>
        <w:gridCol w:w="2268"/>
      </w:tblGrid>
      <w:tr w:rsidR="00807ABD" w14:paraId="4BFF2B0B" w14:textId="77777777" w:rsidTr="00627E62">
        <w:trPr>
          <w:cnfStyle w:val="100000000000" w:firstRow="1" w:lastRow="0" w:firstColumn="0" w:lastColumn="0" w:oddVBand="0" w:evenVBand="0" w:oddHBand="0" w:evenHBand="0" w:firstRowFirstColumn="0" w:firstRowLastColumn="0" w:lastRowFirstColumn="0" w:lastRowLastColumn="0"/>
          <w:tblHeader/>
        </w:trPr>
        <w:tc>
          <w:tcPr>
            <w:tcW w:w="5098" w:type="dxa"/>
          </w:tcPr>
          <w:p w14:paraId="758BED01" w14:textId="77777777" w:rsidR="00807ABD" w:rsidRDefault="00807ABD" w:rsidP="00576880"/>
        </w:tc>
        <w:tc>
          <w:tcPr>
            <w:tcW w:w="2268" w:type="dxa"/>
          </w:tcPr>
          <w:p w14:paraId="14102F9C" w14:textId="77777777" w:rsidR="00807ABD" w:rsidRDefault="00807ABD" w:rsidP="00576880">
            <w:pPr>
              <w:jc w:val="center"/>
            </w:pPr>
            <w:r>
              <w:t>$</w:t>
            </w:r>
          </w:p>
        </w:tc>
      </w:tr>
      <w:tr w:rsidR="006C0F05" w:rsidRPr="006C0F05" w14:paraId="6090F9E2" w14:textId="77777777" w:rsidTr="006C0F05">
        <w:tc>
          <w:tcPr>
            <w:tcW w:w="5098" w:type="dxa"/>
            <w:shd w:val="clear" w:color="auto" w:fill="DEEAF6" w:themeFill="accent1" w:themeFillTint="33"/>
          </w:tcPr>
          <w:p w14:paraId="172327C1" w14:textId="27B9F24C" w:rsidR="006C0F05" w:rsidRPr="006C0F05" w:rsidRDefault="006C0F05" w:rsidP="006C0F05">
            <w:pPr>
              <w:rPr>
                <w:b/>
                <w:sz w:val="20"/>
                <w:szCs w:val="20"/>
              </w:rPr>
            </w:pPr>
            <w:r w:rsidRPr="008C09E6">
              <w:rPr>
                <w:b/>
                <w:sz w:val="20"/>
                <w:szCs w:val="20"/>
              </w:rPr>
              <w:t xml:space="preserve">At the </w:t>
            </w:r>
            <w:r>
              <w:rPr>
                <w:b/>
                <w:sz w:val="20"/>
                <w:szCs w:val="20"/>
              </w:rPr>
              <w:t xml:space="preserve">ACFR </w:t>
            </w:r>
            <w:r w:rsidRPr="008C09E6">
              <w:rPr>
                <w:b/>
                <w:sz w:val="20"/>
                <w:szCs w:val="20"/>
              </w:rPr>
              <w:t>Home Care Segment Level</w:t>
            </w:r>
          </w:p>
        </w:tc>
        <w:tc>
          <w:tcPr>
            <w:tcW w:w="2268" w:type="dxa"/>
            <w:shd w:val="clear" w:color="auto" w:fill="DEEAF6" w:themeFill="accent1" w:themeFillTint="33"/>
          </w:tcPr>
          <w:p w14:paraId="3AB8DA06" w14:textId="77777777" w:rsidR="006C0F05" w:rsidRPr="006C0F05" w:rsidRDefault="006C0F05" w:rsidP="006C0F05">
            <w:pPr>
              <w:rPr>
                <w:sz w:val="20"/>
                <w:szCs w:val="20"/>
              </w:rPr>
            </w:pPr>
          </w:p>
        </w:tc>
      </w:tr>
      <w:tr w:rsidR="006C0F05" w:rsidRPr="006C0F05" w14:paraId="0681C2FE" w14:textId="77777777" w:rsidTr="00576880">
        <w:tc>
          <w:tcPr>
            <w:tcW w:w="5098" w:type="dxa"/>
          </w:tcPr>
          <w:p w14:paraId="34CF4DE9" w14:textId="11FF5FD3" w:rsidR="006C0F05" w:rsidRPr="006C0F05" w:rsidRDefault="006C0F05" w:rsidP="006C0F05">
            <w:pPr>
              <w:rPr>
                <w:sz w:val="20"/>
                <w:szCs w:val="20"/>
              </w:rPr>
            </w:pPr>
            <w:r w:rsidRPr="008C09E6">
              <w:rPr>
                <w:sz w:val="20"/>
                <w:szCs w:val="20"/>
              </w:rPr>
              <w:t xml:space="preserve">Number of </w:t>
            </w:r>
            <w:r>
              <w:rPr>
                <w:sz w:val="20"/>
                <w:szCs w:val="20"/>
              </w:rPr>
              <w:t>P</w:t>
            </w:r>
            <w:r w:rsidRPr="008C09E6">
              <w:rPr>
                <w:sz w:val="20"/>
                <w:szCs w:val="20"/>
              </w:rPr>
              <w:t>roviders</w:t>
            </w:r>
          </w:p>
        </w:tc>
        <w:tc>
          <w:tcPr>
            <w:tcW w:w="2268" w:type="dxa"/>
          </w:tcPr>
          <w:p w14:paraId="0FECB253" w14:textId="0F9B9585" w:rsidR="006C0F05" w:rsidRPr="006C0F05" w:rsidRDefault="006C0F05" w:rsidP="006C0F05">
            <w:pPr>
              <w:jc w:val="center"/>
              <w:rPr>
                <w:sz w:val="20"/>
                <w:szCs w:val="20"/>
              </w:rPr>
            </w:pPr>
            <w:r w:rsidRPr="006C0F05">
              <w:rPr>
                <w:sz w:val="20"/>
                <w:szCs w:val="20"/>
              </w:rPr>
              <w:t>6</w:t>
            </w:r>
          </w:p>
        </w:tc>
      </w:tr>
      <w:tr w:rsidR="006C0F05" w:rsidRPr="006C0F05" w14:paraId="12BA8AF4" w14:textId="77777777" w:rsidTr="00576880">
        <w:tc>
          <w:tcPr>
            <w:tcW w:w="5098" w:type="dxa"/>
          </w:tcPr>
          <w:p w14:paraId="3B223D86" w14:textId="1A9FFD4B" w:rsidR="006C0F05" w:rsidRPr="006C0F05" w:rsidRDefault="006C0F05" w:rsidP="006C0F05">
            <w:pPr>
              <w:rPr>
                <w:sz w:val="20"/>
                <w:szCs w:val="20"/>
              </w:rPr>
            </w:pPr>
            <w:r w:rsidRPr="008C09E6">
              <w:rPr>
                <w:sz w:val="20"/>
                <w:szCs w:val="20"/>
              </w:rPr>
              <w:t xml:space="preserve">Total </w:t>
            </w:r>
            <w:r>
              <w:rPr>
                <w:sz w:val="20"/>
                <w:szCs w:val="20"/>
              </w:rPr>
              <w:t>U</w:t>
            </w:r>
            <w:r w:rsidRPr="008C09E6">
              <w:rPr>
                <w:sz w:val="20"/>
                <w:szCs w:val="20"/>
              </w:rPr>
              <w:t>nspent Funds at June 2019</w:t>
            </w:r>
          </w:p>
        </w:tc>
        <w:tc>
          <w:tcPr>
            <w:tcW w:w="2268" w:type="dxa"/>
          </w:tcPr>
          <w:p w14:paraId="2B9F20D0" w14:textId="63D23C38" w:rsidR="006C0F05" w:rsidRPr="006C0F05" w:rsidRDefault="006C0F05" w:rsidP="006C0F05">
            <w:pPr>
              <w:jc w:val="center"/>
              <w:rPr>
                <w:sz w:val="20"/>
                <w:szCs w:val="20"/>
              </w:rPr>
            </w:pPr>
            <w:r>
              <w:rPr>
                <w:sz w:val="20"/>
                <w:szCs w:val="20"/>
              </w:rPr>
              <w:t xml:space="preserve">$ </w:t>
            </w:r>
            <w:r w:rsidRPr="006C0F05">
              <w:rPr>
                <w:sz w:val="20"/>
                <w:szCs w:val="20"/>
              </w:rPr>
              <w:t>18,685,866</w:t>
            </w:r>
          </w:p>
        </w:tc>
      </w:tr>
      <w:tr w:rsidR="006C0F05" w:rsidRPr="006C0F05" w14:paraId="20B5570A" w14:textId="77777777" w:rsidTr="00576880">
        <w:tc>
          <w:tcPr>
            <w:tcW w:w="5098" w:type="dxa"/>
          </w:tcPr>
          <w:p w14:paraId="19717FBF" w14:textId="481B08CD" w:rsidR="006C0F05" w:rsidRPr="006C0F05" w:rsidRDefault="006C0F05" w:rsidP="006C0F05">
            <w:pPr>
              <w:rPr>
                <w:sz w:val="20"/>
                <w:szCs w:val="20"/>
              </w:rPr>
            </w:pPr>
            <w:r w:rsidRPr="008C09E6">
              <w:rPr>
                <w:sz w:val="20"/>
                <w:szCs w:val="20"/>
              </w:rPr>
              <w:t xml:space="preserve">Total liquid assets declared in </w:t>
            </w:r>
            <w:r>
              <w:rPr>
                <w:sz w:val="20"/>
                <w:szCs w:val="20"/>
              </w:rPr>
              <w:t>HCP</w:t>
            </w:r>
            <w:r w:rsidRPr="008C09E6">
              <w:rPr>
                <w:sz w:val="20"/>
                <w:szCs w:val="20"/>
              </w:rPr>
              <w:t xml:space="preserve"> segment note</w:t>
            </w:r>
          </w:p>
        </w:tc>
        <w:tc>
          <w:tcPr>
            <w:tcW w:w="2268" w:type="dxa"/>
          </w:tcPr>
          <w:p w14:paraId="323E7258" w14:textId="76CEF70A" w:rsidR="006C0F05" w:rsidRPr="006C0F05" w:rsidRDefault="006C0F05" w:rsidP="006C0F05">
            <w:pPr>
              <w:jc w:val="center"/>
              <w:rPr>
                <w:sz w:val="20"/>
                <w:szCs w:val="20"/>
              </w:rPr>
            </w:pPr>
            <w:r>
              <w:rPr>
                <w:sz w:val="20"/>
                <w:szCs w:val="20"/>
              </w:rPr>
              <w:t xml:space="preserve">$ </w:t>
            </w:r>
            <w:r w:rsidRPr="006C0F05">
              <w:rPr>
                <w:sz w:val="20"/>
                <w:szCs w:val="20"/>
              </w:rPr>
              <w:t>8,517,561</w:t>
            </w:r>
          </w:p>
        </w:tc>
      </w:tr>
      <w:tr w:rsidR="006C0F05" w:rsidRPr="006C0F05" w14:paraId="7156E8C7" w14:textId="77777777" w:rsidTr="00576880">
        <w:tc>
          <w:tcPr>
            <w:tcW w:w="5098" w:type="dxa"/>
          </w:tcPr>
          <w:p w14:paraId="67D8CF88" w14:textId="7E076638" w:rsidR="006C0F05" w:rsidRPr="006C0F05" w:rsidRDefault="006C0F05" w:rsidP="006C0F05">
            <w:pPr>
              <w:rPr>
                <w:sz w:val="20"/>
                <w:szCs w:val="20"/>
              </w:rPr>
            </w:pPr>
            <w:r w:rsidRPr="008C09E6">
              <w:rPr>
                <w:sz w:val="20"/>
                <w:szCs w:val="20"/>
              </w:rPr>
              <w:t xml:space="preserve">Average coverage </w:t>
            </w:r>
            <w:r>
              <w:rPr>
                <w:sz w:val="20"/>
                <w:szCs w:val="20"/>
              </w:rPr>
              <w:t>(times)</w:t>
            </w:r>
          </w:p>
        </w:tc>
        <w:tc>
          <w:tcPr>
            <w:tcW w:w="2268" w:type="dxa"/>
          </w:tcPr>
          <w:p w14:paraId="039E7764" w14:textId="4B9EE74C" w:rsidR="006C0F05" w:rsidRPr="006C0F05" w:rsidRDefault="006C0F05" w:rsidP="006C0F05">
            <w:pPr>
              <w:jc w:val="center"/>
              <w:rPr>
                <w:sz w:val="20"/>
                <w:szCs w:val="20"/>
              </w:rPr>
            </w:pPr>
            <w:r w:rsidRPr="006C0F05">
              <w:rPr>
                <w:sz w:val="20"/>
                <w:szCs w:val="20"/>
              </w:rPr>
              <w:t>0.46</w:t>
            </w:r>
          </w:p>
        </w:tc>
      </w:tr>
      <w:tr w:rsidR="006C0F05" w:rsidRPr="006C0F05" w14:paraId="4B112C05" w14:textId="77777777" w:rsidTr="00576880">
        <w:tc>
          <w:tcPr>
            <w:tcW w:w="5098" w:type="dxa"/>
          </w:tcPr>
          <w:p w14:paraId="2E2D1600" w14:textId="22AB58E2" w:rsidR="006C0F05" w:rsidRPr="006C0F05" w:rsidRDefault="006C0F05" w:rsidP="006C0F05">
            <w:pPr>
              <w:rPr>
                <w:sz w:val="20"/>
                <w:szCs w:val="20"/>
              </w:rPr>
            </w:pPr>
            <w:r w:rsidRPr="008C09E6">
              <w:rPr>
                <w:sz w:val="20"/>
                <w:szCs w:val="20"/>
              </w:rPr>
              <w:t xml:space="preserve">Number of </w:t>
            </w:r>
            <w:r>
              <w:rPr>
                <w:sz w:val="20"/>
                <w:szCs w:val="20"/>
              </w:rPr>
              <w:t>P</w:t>
            </w:r>
            <w:r w:rsidRPr="008C09E6">
              <w:rPr>
                <w:sz w:val="20"/>
                <w:szCs w:val="20"/>
              </w:rPr>
              <w:t>roviders with ratio less than 1</w:t>
            </w:r>
          </w:p>
        </w:tc>
        <w:tc>
          <w:tcPr>
            <w:tcW w:w="2268" w:type="dxa"/>
          </w:tcPr>
          <w:p w14:paraId="12B1D3A5" w14:textId="16064CEB" w:rsidR="006C0F05" w:rsidRPr="006C0F05" w:rsidRDefault="006C0F05" w:rsidP="006C0F05">
            <w:pPr>
              <w:jc w:val="center"/>
              <w:rPr>
                <w:sz w:val="20"/>
                <w:szCs w:val="20"/>
              </w:rPr>
            </w:pPr>
            <w:r w:rsidRPr="006C0F05">
              <w:rPr>
                <w:sz w:val="20"/>
                <w:szCs w:val="20"/>
              </w:rPr>
              <w:t>6</w:t>
            </w:r>
          </w:p>
        </w:tc>
      </w:tr>
      <w:tr w:rsidR="006C0F05" w:rsidRPr="006C0F05" w14:paraId="0C8DE991" w14:textId="77777777" w:rsidTr="006C0F05">
        <w:tc>
          <w:tcPr>
            <w:tcW w:w="5098" w:type="dxa"/>
            <w:shd w:val="clear" w:color="auto" w:fill="FFE599" w:themeFill="accent4" w:themeFillTint="66"/>
          </w:tcPr>
          <w:p w14:paraId="6CD295CE" w14:textId="461C388A" w:rsidR="006C0F05" w:rsidRPr="006C0F05" w:rsidRDefault="006C0F05" w:rsidP="006C0F05">
            <w:pPr>
              <w:rPr>
                <w:sz w:val="20"/>
                <w:szCs w:val="20"/>
              </w:rPr>
            </w:pPr>
            <w:r w:rsidRPr="006C0F05">
              <w:rPr>
                <w:i/>
                <w:sz w:val="20"/>
                <w:szCs w:val="20"/>
              </w:rPr>
              <w:t>Proportion of total</w:t>
            </w:r>
          </w:p>
        </w:tc>
        <w:tc>
          <w:tcPr>
            <w:tcW w:w="2268" w:type="dxa"/>
            <w:shd w:val="clear" w:color="auto" w:fill="FFE599" w:themeFill="accent4" w:themeFillTint="66"/>
          </w:tcPr>
          <w:p w14:paraId="65C9DF71" w14:textId="62A91B4B" w:rsidR="006C0F05" w:rsidRPr="006C0F05" w:rsidRDefault="006C0F05" w:rsidP="006C0F05">
            <w:pPr>
              <w:jc w:val="center"/>
              <w:rPr>
                <w:i/>
                <w:sz w:val="20"/>
                <w:szCs w:val="20"/>
              </w:rPr>
            </w:pPr>
            <w:r w:rsidRPr="006C0F05">
              <w:rPr>
                <w:i/>
                <w:sz w:val="20"/>
                <w:szCs w:val="20"/>
              </w:rPr>
              <w:t>100%</w:t>
            </w:r>
          </w:p>
        </w:tc>
      </w:tr>
      <w:tr w:rsidR="006C0F05" w:rsidRPr="006C0F05" w14:paraId="3334675A" w14:textId="77777777" w:rsidTr="00576880">
        <w:tc>
          <w:tcPr>
            <w:tcW w:w="5098" w:type="dxa"/>
            <w:shd w:val="clear" w:color="auto" w:fill="4472C4" w:themeFill="accent5"/>
          </w:tcPr>
          <w:p w14:paraId="3B46084A" w14:textId="77777777" w:rsidR="006C0F05" w:rsidRPr="006C0F05" w:rsidRDefault="006C0F05" w:rsidP="006C0F05">
            <w:pPr>
              <w:rPr>
                <w:sz w:val="20"/>
                <w:szCs w:val="20"/>
              </w:rPr>
            </w:pPr>
          </w:p>
        </w:tc>
        <w:tc>
          <w:tcPr>
            <w:tcW w:w="2268" w:type="dxa"/>
            <w:shd w:val="clear" w:color="auto" w:fill="4472C4" w:themeFill="accent5"/>
          </w:tcPr>
          <w:p w14:paraId="08B8C399" w14:textId="77777777" w:rsidR="006C0F05" w:rsidRPr="006C0F05" w:rsidRDefault="006C0F05" w:rsidP="006C0F05">
            <w:pPr>
              <w:jc w:val="center"/>
              <w:rPr>
                <w:sz w:val="20"/>
                <w:szCs w:val="20"/>
              </w:rPr>
            </w:pPr>
          </w:p>
        </w:tc>
      </w:tr>
      <w:tr w:rsidR="006C0F05" w:rsidRPr="006C0F05" w14:paraId="1CE26ED4" w14:textId="77777777" w:rsidTr="006C0F05">
        <w:tc>
          <w:tcPr>
            <w:tcW w:w="5098" w:type="dxa"/>
            <w:shd w:val="clear" w:color="auto" w:fill="DEEAF6" w:themeFill="accent1" w:themeFillTint="33"/>
          </w:tcPr>
          <w:p w14:paraId="7C6DA5F5" w14:textId="1A855E26" w:rsidR="006C0F05" w:rsidRPr="006C0F05" w:rsidRDefault="006C0F05" w:rsidP="006C0F05">
            <w:pPr>
              <w:rPr>
                <w:b/>
                <w:sz w:val="20"/>
                <w:szCs w:val="20"/>
              </w:rPr>
            </w:pPr>
            <w:r w:rsidRPr="008C09E6">
              <w:rPr>
                <w:b/>
                <w:sz w:val="20"/>
                <w:szCs w:val="20"/>
              </w:rPr>
              <w:t xml:space="preserve">At the </w:t>
            </w:r>
            <w:r>
              <w:rPr>
                <w:b/>
                <w:sz w:val="20"/>
                <w:szCs w:val="20"/>
              </w:rPr>
              <w:t>A</w:t>
            </w:r>
            <w:r w:rsidRPr="008C09E6">
              <w:rPr>
                <w:b/>
                <w:sz w:val="20"/>
                <w:szCs w:val="20"/>
              </w:rPr>
              <w:t xml:space="preserve">pproved </w:t>
            </w:r>
            <w:r>
              <w:rPr>
                <w:b/>
                <w:sz w:val="20"/>
                <w:szCs w:val="20"/>
              </w:rPr>
              <w:t>P</w:t>
            </w:r>
            <w:r w:rsidRPr="008C09E6">
              <w:rPr>
                <w:b/>
                <w:sz w:val="20"/>
                <w:szCs w:val="20"/>
              </w:rPr>
              <w:t xml:space="preserve">rovider </w:t>
            </w:r>
            <w:r>
              <w:rPr>
                <w:b/>
                <w:sz w:val="20"/>
                <w:szCs w:val="20"/>
              </w:rPr>
              <w:t xml:space="preserve">(consolidated) </w:t>
            </w:r>
            <w:r w:rsidRPr="008C09E6">
              <w:rPr>
                <w:b/>
                <w:sz w:val="20"/>
                <w:szCs w:val="20"/>
              </w:rPr>
              <w:t>level</w:t>
            </w:r>
          </w:p>
        </w:tc>
        <w:tc>
          <w:tcPr>
            <w:tcW w:w="2268" w:type="dxa"/>
            <w:shd w:val="clear" w:color="auto" w:fill="DEEAF6" w:themeFill="accent1" w:themeFillTint="33"/>
          </w:tcPr>
          <w:p w14:paraId="1584A609" w14:textId="77777777" w:rsidR="006C0F05" w:rsidRPr="006C0F05" w:rsidRDefault="006C0F05" w:rsidP="006C0F05">
            <w:pPr>
              <w:jc w:val="center"/>
              <w:rPr>
                <w:b/>
                <w:sz w:val="20"/>
                <w:szCs w:val="20"/>
              </w:rPr>
            </w:pPr>
          </w:p>
        </w:tc>
      </w:tr>
      <w:tr w:rsidR="006C0F05" w:rsidRPr="006C0F05" w14:paraId="70CF2FAB" w14:textId="77777777" w:rsidTr="00576880">
        <w:tc>
          <w:tcPr>
            <w:tcW w:w="5098" w:type="dxa"/>
          </w:tcPr>
          <w:p w14:paraId="35C28066" w14:textId="17F50E6A" w:rsidR="006C0F05" w:rsidRPr="006C0F05" w:rsidRDefault="006C0F05" w:rsidP="006C0F05">
            <w:pPr>
              <w:rPr>
                <w:sz w:val="20"/>
                <w:szCs w:val="20"/>
              </w:rPr>
            </w:pPr>
            <w:r w:rsidRPr="008C09E6">
              <w:rPr>
                <w:sz w:val="20"/>
                <w:szCs w:val="20"/>
              </w:rPr>
              <w:t xml:space="preserve">Number of </w:t>
            </w:r>
            <w:r>
              <w:rPr>
                <w:sz w:val="20"/>
                <w:szCs w:val="20"/>
              </w:rPr>
              <w:t>P</w:t>
            </w:r>
            <w:r w:rsidRPr="008C09E6">
              <w:rPr>
                <w:sz w:val="20"/>
                <w:szCs w:val="20"/>
              </w:rPr>
              <w:t>roviders</w:t>
            </w:r>
          </w:p>
        </w:tc>
        <w:tc>
          <w:tcPr>
            <w:tcW w:w="2268" w:type="dxa"/>
          </w:tcPr>
          <w:p w14:paraId="01C4AA8A" w14:textId="7D4590C3" w:rsidR="006C0F05" w:rsidRPr="006C0F05" w:rsidRDefault="006C0F05" w:rsidP="006C0F05">
            <w:pPr>
              <w:jc w:val="center"/>
              <w:rPr>
                <w:sz w:val="20"/>
                <w:szCs w:val="20"/>
              </w:rPr>
            </w:pPr>
            <w:r w:rsidRPr="006C0F05">
              <w:rPr>
                <w:sz w:val="20"/>
                <w:szCs w:val="20"/>
              </w:rPr>
              <w:t>6</w:t>
            </w:r>
          </w:p>
        </w:tc>
      </w:tr>
      <w:tr w:rsidR="006C0F05" w:rsidRPr="006C0F05" w14:paraId="1E0FB697" w14:textId="77777777" w:rsidTr="00576880">
        <w:tc>
          <w:tcPr>
            <w:tcW w:w="5098" w:type="dxa"/>
          </w:tcPr>
          <w:p w14:paraId="5764B486" w14:textId="63534778" w:rsidR="006C0F05" w:rsidRPr="006C0F05" w:rsidRDefault="006C0F05" w:rsidP="006C0F05">
            <w:pPr>
              <w:rPr>
                <w:sz w:val="20"/>
                <w:szCs w:val="20"/>
              </w:rPr>
            </w:pPr>
            <w:r w:rsidRPr="008C09E6">
              <w:rPr>
                <w:sz w:val="20"/>
                <w:szCs w:val="20"/>
              </w:rPr>
              <w:t xml:space="preserve">Total </w:t>
            </w:r>
            <w:r>
              <w:rPr>
                <w:sz w:val="20"/>
                <w:szCs w:val="20"/>
              </w:rPr>
              <w:t>U</w:t>
            </w:r>
            <w:r w:rsidRPr="008C09E6">
              <w:rPr>
                <w:sz w:val="20"/>
                <w:szCs w:val="20"/>
              </w:rPr>
              <w:t>nspent Funds at June 2019</w:t>
            </w:r>
          </w:p>
        </w:tc>
        <w:tc>
          <w:tcPr>
            <w:tcW w:w="2268" w:type="dxa"/>
          </w:tcPr>
          <w:p w14:paraId="4D6E5DC2" w14:textId="743454C4" w:rsidR="006C0F05" w:rsidRPr="006C0F05" w:rsidRDefault="006C0F05" w:rsidP="006C0F05">
            <w:pPr>
              <w:jc w:val="center"/>
              <w:rPr>
                <w:sz w:val="20"/>
                <w:szCs w:val="20"/>
              </w:rPr>
            </w:pPr>
            <w:r>
              <w:rPr>
                <w:sz w:val="20"/>
                <w:szCs w:val="20"/>
              </w:rPr>
              <w:t xml:space="preserve">$ </w:t>
            </w:r>
            <w:r w:rsidRPr="006C0F05">
              <w:rPr>
                <w:sz w:val="20"/>
                <w:szCs w:val="20"/>
              </w:rPr>
              <w:t>18,685,856</w:t>
            </w:r>
          </w:p>
        </w:tc>
      </w:tr>
      <w:tr w:rsidR="006C0F05" w:rsidRPr="006C0F05" w14:paraId="27F761A2" w14:textId="77777777" w:rsidTr="00576880">
        <w:tc>
          <w:tcPr>
            <w:tcW w:w="5098" w:type="dxa"/>
          </w:tcPr>
          <w:p w14:paraId="5BDC93E6" w14:textId="7E73DDAD" w:rsidR="006C0F05" w:rsidRPr="006C0F05" w:rsidRDefault="006C0F05" w:rsidP="006C0F05">
            <w:pPr>
              <w:rPr>
                <w:sz w:val="20"/>
                <w:szCs w:val="20"/>
              </w:rPr>
            </w:pPr>
            <w:r w:rsidRPr="008C09E6">
              <w:rPr>
                <w:sz w:val="20"/>
                <w:szCs w:val="20"/>
              </w:rPr>
              <w:t>Total liquid assets declared in  segment note</w:t>
            </w:r>
          </w:p>
        </w:tc>
        <w:tc>
          <w:tcPr>
            <w:tcW w:w="2268" w:type="dxa"/>
          </w:tcPr>
          <w:p w14:paraId="3822BE9D" w14:textId="4B9002BD" w:rsidR="006C0F05" w:rsidRPr="006C0F05" w:rsidRDefault="006C0F05" w:rsidP="006C0F05">
            <w:pPr>
              <w:jc w:val="center"/>
              <w:rPr>
                <w:sz w:val="20"/>
                <w:szCs w:val="20"/>
              </w:rPr>
            </w:pPr>
            <w:r>
              <w:rPr>
                <w:sz w:val="20"/>
                <w:szCs w:val="20"/>
              </w:rPr>
              <w:t xml:space="preserve">$ </w:t>
            </w:r>
            <w:r w:rsidRPr="006C0F05">
              <w:rPr>
                <w:sz w:val="20"/>
                <w:szCs w:val="20"/>
              </w:rPr>
              <w:t>202,925,542</w:t>
            </w:r>
          </w:p>
        </w:tc>
      </w:tr>
      <w:tr w:rsidR="006C0F05" w:rsidRPr="006C0F05" w14:paraId="4A234FC8" w14:textId="77777777" w:rsidTr="00576880">
        <w:tc>
          <w:tcPr>
            <w:tcW w:w="5098" w:type="dxa"/>
          </w:tcPr>
          <w:p w14:paraId="58693A19" w14:textId="74C4AB01" w:rsidR="006C0F05" w:rsidRPr="006C0F05" w:rsidRDefault="006C0F05" w:rsidP="006C0F05">
            <w:pPr>
              <w:rPr>
                <w:sz w:val="20"/>
                <w:szCs w:val="20"/>
              </w:rPr>
            </w:pPr>
            <w:r w:rsidRPr="008C09E6">
              <w:rPr>
                <w:sz w:val="20"/>
                <w:szCs w:val="20"/>
              </w:rPr>
              <w:t xml:space="preserve">Average coverage </w:t>
            </w:r>
            <w:r>
              <w:rPr>
                <w:sz w:val="20"/>
                <w:szCs w:val="20"/>
              </w:rPr>
              <w:t>(times)</w:t>
            </w:r>
          </w:p>
        </w:tc>
        <w:tc>
          <w:tcPr>
            <w:tcW w:w="2268" w:type="dxa"/>
          </w:tcPr>
          <w:p w14:paraId="57E6BE67" w14:textId="7A79D913" w:rsidR="006C0F05" w:rsidRPr="006C0F05" w:rsidRDefault="006C0F05" w:rsidP="006C0F05">
            <w:pPr>
              <w:jc w:val="center"/>
              <w:rPr>
                <w:sz w:val="20"/>
                <w:szCs w:val="20"/>
              </w:rPr>
            </w:pPr>
            <w:r w:rsidRPr="006C0F05">
              <w:rPr>
                <w:sz w:val="20"/>
                <w:szCs w:val="20"/>
              </w:rPr>
              <w:t>10.86</w:t>
            </w:r>
          </w:p>
        </w:tc>
      </w:tr>
      <w:tr w:rsidR="006C0F05" w:rsidRPr="006C0F05" w14:paraId="6145894F" w14:textId="77777777" w:rsidTr="00576880">
        <w:tc>
          <w:tcPr>
            <w:tcW w:w="5098" w:type="dxa"/>
          </w:tcPr>
          <w:p w14:paraId="47B887BE" w14:textId="53F52E5C" w:rsidR="006C0F05" w:rsidRPr="006C0F05" w:rsidRDefault="006C0F05" w:rsidP="006C0F05">
            <w:pPr>
              <w:rPr>
                <w:sz w:val="20"/>
                <w:szCs w:val="20"/>
              </w:rPr>
            </w:pPr>
            <w:r w:rsidRPr="008C09E6">
              <w:rPr>
                <w:sz w:val="20"/>
                <w:szCs w:val="20"/>
              </w:rPr>
              <w:t xml:space="preserve">Number of </w:t>
            </w:r>
            <w:r>
              <w:rPr>
                <w:sz w:val="20"/>
                <w:szCs w:val="20"/>
              </w:rPr>
              <w:t>P</w:t>
            </w:r>
            <w:r w:rsidRPr="008C09E6">
              <w:rPr>
                <w:sz w:val="20"/>
                <w:szCs w:val="20"/>
              </w:rPr>
              <w:t>roviders with ratio less than 1</w:t>
            </w:r>
          </w:p>
        </w:tc>
        <w:tc>
          <w:tcPr>
            <w:tcW w:w="2268" w:type="dxa"/>
          </w:tcPr>
          <w:p w14:paraId="0D3C66EF" w14:textId="50536EB2" w:rsidR="006C0F05" w:rsidRPr="006C0F05" w:rsidRDefault="006C0F05" w:rsidP="006C0F05">
            <w:pPr>
              <w:jc w:val="center"/>
              <w:rPr>
                <w:sz w:val="20"/>
                <w:szCs w:val="20"/>
              </w:rPr>
            </w:pPr>
            <w:r w:rsidRPr="006C0F05">
              <w:rPr>
                <w:sz w:val="20"/>
                <w:szCs w:val="20"/>
              </w:rPr>
              <w:t>0</w:t>
            </w:r>
          </w:p>
        </w:tc>
      </w:tr>
      <w:tr w:rsidR="006C0F05" w:rsidRPr="006C0F05" w14:paraId="3C86A6C6" w14:textId="77777777" w:rsidTr="006C0F05">
        <w:tc>
          <w:tcPr>
            <w:tcW w:w="5098" w:type="dxa"/>
            <w:shd w:val="clear" w:color="auto" w:fill="FFE599" w:themeFill="accent4" w:themeFillTint="66"/>
          </w:tcPr>
          <w:p w14:paraId="43B1752A" w14:textId="2C752296" w:rsidR="006C0F05" w:rsidRPr="006C0F05" w:rsidRDefault="006C0F05" w:rsidP="006C0F05">
            <w:pPr>
              <w:rPr>
                <w:sz w:val="20"/>
                <w:szCs w:val="20"/>
              </w:rPr>
            </w:pPr>
            <w:r w:rsidRPr="006C0F05">
              <w:rPr>
                <w:i/>
                <w:sz w:val="20"/>
                <w:szCs w:val="20"/>
              </w:rPr>
              <w:t>Proportion of total</w:t>
            </w:r>
          </w:p>
        </w:tc>
        <w:tc>
          <w:tcPr>
            <w:tcW w:w="2268" w:type="dxa"/>
            <w:shd w:val="clear" w:color="auto" w:fill="FFE599" w:themeFill="accent4" w:themeFillTint="66"/>
          </w:tcPr>
          <w:p w14:paraId="09E8A174" w14:textId="122B51A2" w:rsidR="006C0F05" w:rsidRPr="006C0F05" w:rsidRDefault="006C0F05" w:rsidP="006C0F05">
            <w:pPr>
              <w:jc w:val="center"/>
              <w:rPr>
                <w:i/>
                <w:sz w:val="20"/>
                <w:szCs w:val="20"/>
              </w:rPr>
            </w:pPr>
            <w:r w:rsidRPr="006C0F05">
              <w:rPr>
                <w:i/>
                <w:sz w:val="20"/>
                <w:szCs w:val="20"/>
              </w:rPr>
              <w:t>0%</w:t>
            </w:r>
          </w:p>
        </w:tc>
      </w:tr>
    </w:tbl>
    <w:p w14:paraId="6EBFDF82" w14:textId="77777777" w:rsidR="0018754B" w:rsidRPr="006C0F05" w:rsidRDefault="0018754B" w:rsidP="0018754B">
      <w:pPr>
        <w:pStyle w:val="SubHeading"/>
        <w:rPr>
          <w:sz w:val="20"/>
          <w:szCs w:val="20"/>
        </w:rPr>
      </w:pPr>
    </w:p>
    <w:p w14:paraId="471BC99B" w14:textId="56B77207" w:rsidR="00DC79C5" w:rsidRDefault="00085447" w:rsidP="00085447">
      <w:r>
        <w:t xml:space="preserve">It is clear that the information </w:t>
      </w:r>
      <w:proofErr w:type="gramStart"/>
      <w:r>
        <w:t>declared  on</w:t>
      </w:r>
      <w:proofErr w:type="gramEnd"/>
      <w:r>
        <w:t xml:space="preserve"> the ACFR in the Home Care segment note is likely to overstate the vulnerability of </w:t>
      </w:r>
      <w:r w:rsidR="00CB2A16">
        <w:t>AP</w:t>
      </w:r>
      <w:r>
        <w:t>s in holding sufficient cash to cover the total amount of unspent funds.</w:t>
      </w:r>
    </w:p>
    <w:p w14:paraId="231EE42D" w14:textId="588D50D5" w:rsidR="00085447" w:rsidRDefault="00085447" w:rsidP="00085447"/>
    <w:p w14:paraId="095026B2" w14:textId="3886EE7D" w:rsidR="00325354" w:rsidRDefault="00085447" w:rsidP="00085447">
      <w:r>
        <w:t xml:space="preserve">It is also very important to note that the proposal is not to request that </w:t>
      </w:r>
      <w:r w:rsidR="00CB2A16">
        <w:t>AP</w:t>
      </w:r>
      <w:r>
        <w:t xml:space="preserve">s refund the whole of the unspent funds balance to </w:t>
      </w:r>
      <w:r w:rsidR="00CB2A16">
        <w:t>DHS</w:t>
      </w:r>
      <w:r>
        <w:t xml:space="preserve">. Instead it is proposed to draw down the unspent funds balance over time. This would be done by applying a “discount” to the </w:t>
      </w:r>
      <w:r w:rsidR="0064362C">
        <w:t xml:space="preserve">revenue claimed each month. </w:t>
      </w:r>
    </w:p>
    <w:p w14:paraId="27CF7EEA" w14:textId="3993B1C9" w:rsidR="00325354" w:rsidRDefault="00325354" w:rsidP="00085447"/>
    <w:p w14:paraId="721839CB" w14:textId="4E1BD4B7" w:rsidR="00B33CA5" w:rsidRDefault="00B33CA5" w:rsidP="00085447">
      <w:r>
        <w:t xml:space="preserve">Based on the outcomes in from the analysis, there are very few </w:t>
      </w:r>
      <w:r w:rsidR="00CB2A16">
        <w:t>AP</w:t>
      </w:r>
      <w:r>
        <w:t xml:space="preserve">s that should not be able to manage the drawdown in unspent funds given the existing liquid assets maintained by the </w:t>
      </w:r>
      <w:r w:rsidR="00CB2A16">
        <w:t>AP</w:t>
      </w:r>
      <w:r>
        <w:t xml:space="preserve">s. Even at a revenue reduction rate of 20%, there would only be 20 </w:t>
      </w:r>
      <w:r w:rsidR="00CB2A16">
        <w:t>AP</w:t>
      </w:r>
      <w:r>
        <w:t xml:space="preserve">s (4.3%) of the total of 535 </w:t>
      </w:r>
      <w:r w:rsidR="00CB2A16">
        <w:t>AP</w:t>
      </w:r>
      <w:r>
        <w:t>s analysed that would have insufficient cash balances</w:t>
      </w:r>
      <w:r w:rsidR="00844346">
        <w:t xml:space="preserve"> to cover that loss in cash flow.</w:t>
      </w:r>
    </w:p>
    <w:p w14:paraId="38F9DC20" w14:textId="647E7B5C" w:rsidR="00844346" w:rsidRDefault="00844346" w:rsidP="00085447"/>
    <w:p w14:paraId="634F5A0D" w14:textId="7026BCFC" w:rsidR="00844346" w:rsidRDefault="00844346" w:rsidP="00085447">
      <w:r>
        <w:t xml:space="preserve">Given that this change will not occur until March 2021, there should be sufficient time for all </w:t>
      </w:r>
      <w:r w:rsidR="00CB2A16">
        <w:t>AP</w:t>
      </w:r>
      <w:r>
        <w:t xml:space="preserve">s to put their </w:t>
      </w:r>
      <w:r w:rsidR="00CB2A16">
        <w:t xml:space="preserve">financial and capital requirements </w:t>
      </w:r>
      <w:r>
        <w:t>in order so that they can address any current shortfalls in liquid assets.</w:t>
      </w:r>
    </w:p>
    <w:p w14:paraId="2F1DE708" w14:textId="2934F161" w:rsidR="00844346" w:rsidRDefault="00844346" w:rsidP="00085447"/>
    <w:p w14:paraId="6F1CD70C" w14:textId="15B25D14" w:rsidR="00844346" w:rsidRDefault="00844346" w:rsidP="00844346">
      <w:pPr>
        <w:pStyle w:val="SubHeading"/>
      </w:pPr>
      <w:r>
        <w:t>Conclusion</w:t>
      </w:r>
    </w:p>
    <w:p w14:paraId="027DC621" w14:textId="10C36840" w:rsidR="00721BF6" w:rsidRDefault="00721BF6" w:rsidP="00721BF6">
      <w:r>
        <w:t xml:space="preserve">On the basis of the analysis testing conducted (refer </w:t>
      </w:r>
      <w:r w:rsidRPr="00721BF6">
        <w:rPr>
          <w:i/>
        </w:rPr>
        <w:t>Table 30</w:t>
      </w:r>
      <w:r>
        <w:t xml:space="preserve">), over 95% of </w:t>
      </w:r>
      <w:r w:rsidR="00CB2A16">
        <w:t>AP</w:t>
      </w:r>
      <w:r>
        <w:t xml:space="preserve">s could cater for a monthly reduction in subsidies equivalent to 20% of their monthly claim to DHS for services provided to care recipients, </w:t>
      </w:r>
      <w:r w:rsidR="00CB2A16">
        <w:t xml:space="preserve">in order </w:t>
      </w:r>
      <w:r>
        <w:t xml:space="preserve">to repay the unspent funds they currently hold. 23 </w:t>
      </w:r>
      <w:r w:rsidR="00CB2A16">
        <w:t>AP</w:t>
      </w:r>
      <w:r>
        <w:t>s out of the total of 525 appear to have insufficient liquid asset levels to meet this criteria.</w:t>
      </w:r>
    </w:p>
    <w:p w14:paraId="2E268574" w14:textId="77777777" w:rsidR="00721BF6" w:rsidRDefault="00721BF6" w:rsidP="00721BF6"/>
    <w:p w14:paraId="7C03D851" w14:textId="5DD95E4F" w:rsidR="00844346" w:rsidRDefault="00721BF6" w:rsidP="00721BF6">
      <w:r>
        <w:t xml:space="preserve">At a subsidy reduction rate of 7.5% that percentage rises to 97.6% with only 13 of 535 </w:t>
      </w:r>
      <w:r w:rsidR="00CB2A16">
        <w:t>AP</w:t>
      </w:r>
      <w:r>
        <w:t>s having insufficient liquid asset levels as reported on the ACFR home care segment note.</w:t>
      </w:r>
    </w:p>
    <w:p w14:paraId="0DB2CD45" w14:textId="77777777" w:rsidR="00844346" w:rsidRDefault="00844346" w:rsidP="00085447"/>
    <w:p w14:paraId="6831A0A2" w14:textId="3A8EA73E" w:rsidR="00844346" w:rsidRDefault="00844346" w:rsidP="00085447">
      <w:pPr>
        <w:sectPr w:rsidR="00844346" w:rsidSect="00ED5243">
          <w:headerReference w:type="even" r:id="rId29"/>
          <w:headerReference w:type="default" r:id="rId30"/>
          <w:headerReference w:type="first" r:id="rId31"/>
          <w:footerReference w:type="first" r:id="rId32"/>
          <w:pgSz w:w="11906" w:h="16838"/>
          <w:pgMar w:top="1418" w:right="1134" w:bottom="1418" w:left="1134" w:header="709" w:footer="709" w:gutter="0"/>
          <w:cols w:space="708"/>
          <w:docGrid w:linePitch="360"/>
        </w:sectPr>
      </w:pPr>
    </w:p>
    <w:p w14:paraId="2D230D5E" w14:textId="6EC5F003" w:rsidR="00085447" w:rsidRDefault="0064362C" w:rsidP="00085447">
      <w:r>
        <w:lastRenderedPageBreak/>
        <w:t>Using this basis for the analysis has the following outcomes for a variety of discount rates:</w:t>
      </w:r>
    </w:p>
    <w:p w14:paraId="18CFD2C6" w14:textId="4F652D35" w:rsidR="00844346" w:rsidRDefault="00844346" w:rsidP="00844346">
      <w:pPr>
        <w:pStyle w:val="Caption"/>
        <w:keepNext/>
      </w:pPr>
      <w:r>
        <w:t xml:space="preserve">Table </w:t>
      </w:r>
      <w:fldSimple w:instr=" SEQ Table \* ARABIC ">
        <w:r w:rsidR="00E46E09">
          <w:rPr>
            <w:noProof/>
          </w:rPr>
          <w:t>30</w:t>
        </w:r>
      </w:fldSimple>
      <w:r>
        <w:t xml:space="preserve">: Analysis of liquid asset coverage for reductions in revenue claims </w:t>
      </w:r>
      <w:r w:rsidR="00E46E09">
        <w:t xml:space="preserve">(due to draw down on unspent funds) </w:t>
      </w:r>
      <w:r w:rsidR="00CB2A16">
        <w:t xml:space="preserve">by </w:t>
      </w:r>
      <w:r w:rsidR="006C0F05">
        <w:t>DHS</w:t>
      </w:r>
    </w:p>
    <w:tbl>
      <w:tblPr>
        <w:tblStyle w:val="DefaultTable1"/>
        <w:tblW w:w="13887" w:type="dxa"/>
        <w:tblLayout w:type="fixed"/>
        <w:tblLook w:val="04A0" w:firstRow="1" w:lastRow="0" w:firstColumn="1" w:lastColumn="0" w:noHBand="0" w:noVBand="1"/>
        <w:tblCaption w:val="Table 30: Analysis of liquid asset coverage for reductions in revenue claims (due to draw down on unspent funds) by DHS"/>
      </w:tblPr>
      <w:tblGrid>
        <w:gridCol w:w="1271"/>
        <w:gridCol w:w="1086"/>
        <w:gridCol w:w="1087"/>
        <w:gridCol w:w="1087"/>
        <w:gridCol w:w="1087"/>
        <w:gridCol w:w="1087"/>
        <w:gridCol w:w="1087"/>
        <w:gridCol w:w="1219"/>
        <w:gridCol w:w="1219"/>
        <w:gridCol w:w="1219"/>
        <w:gridCol w:w="1219"/>
        <w:gridCol w:w="1219"/>
      </w:tblGrid>
      <w:tr w:rsidR="007133DC" w:rsidRPr="00DB5446" w14:paraId="142EF2B6" w14:textId="77777777" w:rsidTr="00627E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1" w:type="dxa"/>
            <w:vMerge w:val="restart"/>
            <w:vAlign w:val="center"/>
          </w:tcPr>
          <w:p w14:paraId="5F931525" w14:textId="5CB4E00B" w:rsidR="007133DC" w:rsidRPr="00DB5446" w:rsidRDefault="007133DC" w:rsidP="00CF4A4C">
            <w:pPr>
              <w:jc w:val="left"/>
            </w:pPr>
            <w:r>
              <w:t>Sector in aggregate</w:t>
            </w:r>
          </w:p>
        </w:tc>
        <w:tc>
          <w:tcPr>
            <w:tcW w:w="1086" w:type="dxa"/>
            <w:vMerge w:val="restart"/>
          </w:tcPr>
          <w:p w14:paraId="289F1425" w14:textId="4554A818" w:rsidR="007133DC" w:rsidRDefault="007133DC" w:rsidP="00DB5446">
            <w:pPr>
              <w:spacing w:before="0" w:after="0"/>
              <w:jc w:val="center"/>
              <w:cnfStyle w:val="100000000000" w:firstRow="1" w:lastRow="0" w:firstColumn="0" w:lastColumn="0" w:oddVBand="0" w:evenVBand="0" w:oddHBand="0" w:evenHBand="0" w:firstRowFirstColumn="0" w:firstRowLastColumn="0" w:lastRowFirstColumn="0" w:lastRowLastColumn="0"/>
            </w:pPr>
            <w:r>
              <w:t>Providers</w:t>
            </w:r>
          </w:p>
        </w:tc>
        <w:tc>
          <w:tcPr>
            <w:tcW w:w="1087" w:type="dxa"/>
            <w:vMerge w:val="restart"/>
          </w:tcPr>
          <w:p w14:paraId="11D36033" w14:textId="77777777" w:rsidR="007133DC" w:rsidRDefault="007133DC" w:rsidP="00DB5446">
            <w:pPr>
              <w:jc w:val="center"/>
              <w:cnfStyle w:val="100000000000" w:firstRow="1" w:lastRow="0" w:firstColumn="0" w:lastColumn="0" w:oddVBand="0" w:evenVBand="0" w:oddHBand="0" w:evenHBand="0" w:firstRowFirstColumn="0" w:firstRowLastColumn="0" w:lastRowFirstColumn="0" w:lastRowLastColumn="0"/>
            </w:pPr>
            <w:r>
              <w:t>Unspent Funds</w:t>
            </w:r>
          </w:p>
          <w:p w14:paraId="79D491E6" w14:textId="751E2C9C" w:rsidR="007133DC" w:rsidRDefault="007133DC" w:rsidP="00DB5446">
            <w:pPr>
              <w:spacing w:before="0" w:after="0"/>
              <w:jc w:val="center"/>
              <w:cnfStyle w:val="100000000000" w:firstRow="1" w:lastRow="0" w:firstColumn="0" w:lastColumn="0" w:oddVBand="0" w:evenVBand="0" w:oddHBand="0" w:evenHBand="0" w:firstRowFirstColumn="0" w:firstRowLastColumn="0" w:lastRowFirstColumn="0" w:lastRowLastColumn="0"/>
            </w:pPr>
            <w:r>
              <w:t>$’Millions</w:t>
            </w:r>
          </w:p>
        </w:tc>
        <w:tc>
          <w:tcPr>
            <w:tcW w:w="1087" w:type="dxa"/>
            <w:vMerge w:val="restart"/>
          </w:tcPr>
          <w:p w14:paraId="5742E422" w14:textId="77777777" w:rsidR="007133DC" w:rsidRDefault="007133DC" w:rsidP="00DB5446">
            <w:pPr>
              <w:jc w:val="center"/>
              <w:cnfStyle w:val="100000000000" w:firstRow="1" w:lastRow="0" w:firstColumn="0" w:lastColumn="0" w:oddVBand="0" w:evenVBand="0" w:oddHBand="0" w:evenHBand="0" w:firstRowFirstColumn="0" w:firstRowLastColumn="0" w:lastRowFirstColumn="0" w:lastRowLastColumn="0"/>
            </w:pPr>
            <w:r>
              <w:t>Segment Liquid Assets</w:t>
            </w:r>
          </w:p>
          <w:p w14:paraId="6AEE292D" w14:textId="3C36C37E" w:rsidR="007133DC" w:rsidRDefault="007133DC" w:rsidP="00DB5446">
            <w:pPr>
              <w:spacing w:before="0" w:after="0"/>
              <w:jc w:val="center"/>
              <w:cnfStyle w:val="100000000000" w:firstRow="1" w:lastRow="0" w:firstColumn="0" w:lastColumn="0" w:oddVBand="0" w:evenVBand="0" w:oddHBand="0" w:evenHBand="0" w:firstRowFirstColumn="0" w:firstRowLastColumn="0" w:lastRowFirstColumn="0" w:lastRowLastColumn="0"/>
            </w:pPr>
            <w:r>
              <w:t>$’Millions</w:t>
            </w:r>
          </w:p>
        </w:tc>
        <w:tc>
          <w:tcPr>
            <w:tcW w:w="1087" w:type="dxa"/>
            <w:vMerge w:val="restart"/>
          </w:tcPr>
          <w:p w14:paraId="281D48DC" w14:textId="77777777" w:rsidR="007133DC" w:rsidRDefault="007133DC" w:rsidP="00DB5446">
            <w:pPr>
              <w:jc w:val="center"/>
              <w:cnfStyle w:val="100000000000" w:firstRow="1" w:lastRow="0" w:firstColumn="0" w:lastColumn="0" w:oddVBand="0" w:evenVBand="0" w:oddHBand="0" w:evenHBand="0" w:firstRowFirstColumn="0" w:firstRowLastColumn="0" w:lastRowFirstColumn="0" w:lastRowLastColumn="0"/>
            </w:pPr>
            <w:r>
              <w:t>Average Monthly Revenue</w:t>
            </w:r>
          </w:p>
          <w:p w14:paraId="4DAE90AB" w14:textId="0680EDA0" w:rsidR="007133DC" w:rsidRDefault="007133DC" w:rsidP="00DB5446">
            <w:pPr>
              <w:spacing w:before="0" w:after="0"/>
              <w:jc w:val="center"/>
              <w:cnfStyle w:val="100000000000" w:firstRow="1" w:lastRow="0" w:firstColumn="0" w:lastColumn="0" w:oddVBand="0" w:evenVBand="0" w:oddHBand="0" w:evenHBand="0" w:firstRowFirstColumn="0" w:firstRowLastColumn="0" w:lastRowFirstColumn="0" w:lastRowLastColumn="0"/>
            </w:pPr>
            <w:r>
              <w:t>$’Millions</w:t>
            </w:r>
          </w:p>
        </w:tc>
        <w:tc>
          <w:tcPr>
            <w:tcW w:w="1087" w:type="dxa"/>
            <w:vMerge w:val="restart"/>
          </w:tcPr>
          <w:p w14:paraId="3CF0CA8F" w14:textId="5EE5F4D0" w:rsidR="007133DC" w:rsidRDefault="007133DC" w:rsidP="00DB5446">
            <w:pPr>
              <w:spacing w:before="0" w:after="0"/>
              <w:jc w:val="center"/>
              <w:cnfStyle w:val="100000000000" w:firstRow="1" w:lastRow="0" w:firstColumn="0" w:lastColumn="0" w:oddVBand="0" w:evenVBand="0" w:oddHBand="0" w:evenHBand="0" w:firstRowFirstColumn="0" w:firstRowLastColumn="0" w:lastRowFirstColumn="0" w:lastRowLastColumn="0"/>
            </w:pPr>
            <w:r>
              <w:t>Ratio of unspent funds to Monthly Revenue</w:t>
            </w:r>
          </w:p>
        </w:tc>
        <w:tc>
          <w:tcPr>
            <w:tcW w:w="1087" w:type="dxa"/>
            <w:vMerge w:val="restart"/>
          </w:tcPr>
          <w:p w14:paraId="6341A974" w14:textId="123E0631" w:rsidR="007133DC" w:rsidRDefault="007133DC" w:rsidP="00DB5446">
            <w:pPr>
              <w:spacing w:before="0" w:after="0"/>
              <w:jc w:val="center"/>
              <w:cnfStyle w:val="100000000000" w:firstRow="1" w:lastRow="0" w:firstColumn="0" w:lastColumn="0" w:oddVBand="0" w:evenVBand="0" w:oddHBand="0" w:evenHBand="0" w:firstRowFirstColumn="0" w:firstRowLastColumn="0" w:lastRowFirstColumn="0" w:lastRowLastColumn="0"/>
            </w:pPr>
            <w:r>
              <w:t>Ratio of Liquid Assets to Average Monthly Revenue</w:t>
            </w:r>
          </w:p>
        </w:tc>
        <w:tc>
          <w:tcPr>
            <w:tcW w:w="6095" w:type="dxa"/>
            <w:gridSpan w:val="5"/>
          </w:tcPr>
          <w:p w14:paraId="094416E5" w14:textId="7C3DA075" w:rsidR="007133DC" w:rsidRDefault="007133DC" w:rsidP="00DB5446">
            <w:pPr>
              <w:jc w:val="center"/>
              <w:cnfStyle w:val="100000000000" w:firstRow="1" w:lastRow="0" w:firstColumn="0" w:lastColumn="0" w:oddVBand="0" w:evenVBand="0" w:oddHBand="0" w:evenHBand="0" w:firstRowFirstColumn="0" w:firstRowLastColumn="0" w:lastRowFirstColumn="0" w:lastRowLastColumn="0"/>
            </w:pPr>
            <w:r>
              <w:t>Ratio of Segment Liquid Assets to Average Monthly Revenue Reduction</w:t>
            </w:r>
          </w:p>
        </w:tc>
      </w:tr>
      <w:tr w:rsidR="007133DC" w:rsidRPr="00DB5446" w14:paraId="468D6A02" w14:textId="2A51F333" w:rsidTr="00627E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1" w:type="dxa"/>
            <w:vMerge/>
          </w:tcPr>
          <w:p w14:paraId="7C459790" w14:textId="77777777" w:rsidR="007133DC" w:rsidRPr="00DB5446" w:rsidRDefault="007133DC" w:rsidP="00DB5446"/>
        </w:tc>
        <w:tc>
          <w:tcPr>
            <w:tcW w:w="1086" w:type="dxa"/>
            <w:vMerge/>
          </w:tcPr>
          <w:p w14:paraId="14D473F0" w14:textId="6E5B72EC" w:rsidR="007133DC" w:rsidRPr="00DB5446" w:rsidRDefault="007133DC" w:rsidP="00DB5446">
            <w:pPr>
              <w:jc w:val="center"/>
              <w:cnfStyle w:val="100000000000" w:firstRow="1" w:lastRow="0" w:firstColumn="0" w:lastColumn="0" w:oddVBand="0" w:evenVBand="0" w:oddHBand="0" w:evenHBand="0" w:firstRowFirstColumn="0" w:firstRowLastColumn="0" w:lastRowFirstColumn="0" w:lastRowLastColumn="0"/>
            </w:pPr>
          </w:p>
        </w:tc>
        <w:tc>
          <w:tcPr>
            <w:tcW w:w="1087" w:type="dxa"/>
            <w:vMerge/>
          </w:tcPr>
          <w:p w14:paraId="35708525" w14:textId="3CEAABF3" w:rsidR="007133DC" w:rsidRPr="00DB5446" w:rsidRDefault="007133DC" w:rsidP="00DB5446">
            <w:pPr>
              <w:jc w:val="center"/>
              <w:cnfStyle w:val="100000000000" w:firstRow="1" w:lastRow="0" w:firstColumn="0" w:lastColumn="0" w:oddVBand="0" w:evenVBand="0" w:oddHBand="0" w:evenHBand="0" w:firstRowFirstColumn="0" w:firstRowLastColumn="0" w:lastRowFirstColumn="0" w:lastRowLastColumn="0"/>
            </w:pPr>
          </w:p>
        </w:tc>
        <w:tc>
          <w:tcPr>
            <w:tcW w:w="1087" w:type="dxa"/>
            <w:vMerge/>
          </w:tcPr>
          <w:p w14:paraId="38B0B6CE" w14:textId="2A7B4CED" w:rsidR="007133DC" w:rsidRPr="00DB5446" w:rsidRDefault="007133DC" w:rsidP="00DB5446">
            <w:pPr>
              <w:jc w:val="center"/>
              <w:cnfStyle w:val="100000000000" w:firstRow="1" w:lastRow="0" w:firstColumn="0" w:lastColumn="0" w:oddVBand="0" w:evenVBand="0" w:oddHBand="0" w:evenHBand="0" w:firstRowFirstColumn="0" w:firstRowLastColumn="0" w:lastRowFirstColumn="0" w:lastRowLastColumn="0"/>
            </w:pPr>
          </w:p>
        </w:tc>
        <w:tc>
          <w:tcPr>
            <w:tcW w:w="1087" w:type="dxa"/>
            <w:vMerge/>
          </w:tcPr>
          <w:p w14:paraId="6E61D8EC" w14:textId="6FFBC0B8" w:rsidR="007133DC" w:rsidRPr="00DB5446" w:rsidRDefault="007133DC" w:rsidP="00DB5446">
            <w:pPr>
              <w:jc w:val="center"/>
              <w:cnfStyle w:val="100000000000" w:firstRow="1" w:lastRow="0" w:firstColumn="0" w:lastColumn="0" w:oddVBand="0" w:evenVBand="0" w:oddHBand="0" w:evenHBand="0" w:firstRowFirstColumn="0" w:firstRowLastColumn="0" w:lastRowFirstColumn="0" w:lastRowLastColumn="0"/>
            </w:pPr>
          </w:p>
        </w:tc>
        <w:tc>
          <w:tcPr>
            <w:tcW w:w="1087" w:type="dxa"/>
            <w:vMerge/>
          </w:tcPr>
          <w:p w14:paraId="3ACBB8A4" w14:textId="4C2C69DC" w:rsidR="007133DC" w:rsidRPr="00DB5446" w:rsidRDefault="007133DC" w:rsidP="00DB5446">
            <w:pPr>
              <w:jc w:val="center"/>
              <w:cnfStyle w:val="100000000000" w:firstRow="1" w:lastRow="0" w:firstColumn="0" w:lastColumn="0" w:oddVBand="0" w:evenVBand="0" w:oddHBand="0" w:evenHBand="0" w:firstRowFirstColumn="0" w:firstRowLastColumn="0" w:lastRowFirstColumn="0" w:lastRowLastColumn="0"/>
            </w:pPr>
          </w:p>
        </w:tc>
        <w:tc>
          <w:tcPr>
            <w:tcW w:w="1087" w:type="dxa"/>
            <w:vMerge/>
          </w:tcPr>
          <w:p w14:paraId="74BDA6C3" w14:textId="16DC087B" w:rsidR="007133DC" w:rsidRDefault="007133DC" w:rsidP="00DB5446">
            <w:pPr>
              <w:jc w:val="center"/>
              <w:cnfStyle w:val="100000000000" w:firstRow="1" w:lastRow="0" w:firstColumn="0" w:lastColumn="0" w:oddVBand="0" w:evenVBand="0" w:oddHBand="0" w:evenHBand="0" w:firstRowFirstColumn="0" w:firstRowLastColumn="0" w:lastRowFirstColumn="0" w:lastRowLastColumn="0"/>
            </w:pPr>
          </w:p>
        </w:tc>
        <w:tc>
          <w:tcPr>
            <w:tcW w:w="1219" w:type="dxa"/>
          </w:tcPr>
          <w:p w14:paraId="34773C6D" w14:textId="690EB835" w:rsidR="007133DC" w:rsidRPr="00DB5446" w:rsidRDefault="007133DC" w:rsidP="00DB5446">
            <w:pPr>
              <w:jc w:val="center"/>
              <w:cnfStyle w:val="100000000000" w:firstRow="1" w:lastRow="0" w:firstColumn="0" w:lastColumn="0" w:oddVBand="0" w:evenVBand="0" w:oddHBand="0" w:evenHBand="0" w:firstRowFirstColumn="0" w:firstRowLastColumn="0" w:lastRowFirstColumn="0" w:lastRowLastColumn="0"/>
            </w:pPr>
            <w:r>
              <w:t>Reduction of 7.5% of average Revenue</w:t>
            </w:r>
          </w:p>
        </w:tc>
        <w:tc>
          <w:tcPr>
            <w:tcW w:w="1219" w:type="dxa"/>
          </w:tcPr>
          <w:p w14:paraId="5D55FB10" w14:textId="6B3A32CF" w:rsidR="007133DC" w:rsidRPr="00DB5446" w:rsidRDefault="007133DC" w:rsidP="00DB5446">
            <w:pPr>
              <w:jc w:val="center"/>
              <w:cnfStyle w:val="100000000000" w:firstRow="1" w:lastRow="0" w:firstColumn="0" w:lastColumn="0" w:oddVBand="0" w:evenVBand="0" w:oddHBand="0" w:evenHBand="0" w:firstRowFirstColumn="0" w:firstRowLastColumn="0" w:lastRowFirstColumn="0" w:lastRowLastColumn="0"/>
            </w:pPr>
            <w:r>
              <w:t>Reduction of 8.3% of average Revenue</w:t>
            </w:r>
          </w:p>
        </w:tc>
        <w:tc>
          <w:tcPr>
            <w:tcW w:w="1219" w:type="dxa"/>
          </w:tcPr>
          <w:p w14:paraId="6A8BE890" w14:textId="07787968" w:rsidR="007133DC" w:rsidRPr="00DB5446" w:rsidRDefault="007133DC" w:rsidP="00DB5446">
            <w:pPr>
              <w:jc w:val="center"/>
              <w:cnfStyle w:val="100000000000" w:firstRow="1" w:lastRow="0" w:firstColumn="0" w:lastColumn="0" w:oddVBand="0" w:evenVBand="0" w:oddHBand="0" w:evenHBand="0" w:firstRowFirstColumn="0" w:firstRowLastColumn="0" w:lastRowFirstColumn="0" w:lastRowLastColumn="0"/>
            </w:pPr>
            <w:r>
              <w:t>Reduction of 10% of average Revenue</w:t>
            </w:r>
          </w:p>
        </w:tc>
        <w:tc>
          <w:tcPr>
            <w:tcW w:w="1219" w:type="dxa"/>
          </w:tcPr>
          <w:p w14:paraId="7ABFC52C" w14:textId="563F6848" w:rsidR="007133DC" w:rsidRPr="00DB5446" w:rsidRDefault="007133DC" w:rsidP="00DB5446">
            <w:pPr>
              <w:jc w:val="center"/>
              <w:cnfStyle w:val="100000000000" w:firstRow="1" w:lastRow="0" w:firstColumn="0" w:lastColumn="0" w:oddVBand="0" w:evenVBand="0" w:oddHBand="0" w:evenHBand="0" w:firstRowFirstColumn="0" w:firstRowLastColumn="0" w:lastRowFirstColumn="0" w:lastRowLastColumn="0"/>
            </w:pPr>
            <w:r>
              <w:t>Reduction of 15% of average Revenue</w:t>
            </w:r>
          </w:p>
        </w:tc>
        <w:tc>
          <w:tcPr>
            <w:tcW w:w="1219" w:type="dxa"/>
          </w:tcPr>
          <w:p w14:paraId="24EBC0DF" w14:textId="2E39F81A" w:rsidR="007133DC" w:rsidRPr="00DB5446" w:rsidRDefault="007133DC" w:rsidP="00DB5446">
            <w:pPr>
              <w:jc w:val="center"/>
              <w:cnfStyle w:val="100000000000" w:firstRow="1" w:lastRow="0" w:firstColumn="0" w:lastColumn="0" w:oddVBand="0" w:evenVBand="0" w:oddHBand="0" w:evenHBand="0" w:firstRowFirstColumn="0" w:firstRowLastColumn="0" w:lastRowFirstColumn="0" w:lastRowLastColumn="0"/>
            </w:pPr>
            <w:r>
              <w:t>Reduction of 20% of average Revenue</w:t>
            </w:r>
          </w:p>
        </w:tc>
      </w:tr>
      <w:tr w:rsidR="00CF4A4C" w:rsidRPr="00DB5446" w14:paraId="44A78503" w14:textId="0F90BA47" w:rsidTr="006C0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ACCE6EE" w14:textId="39B3093C" w:rsidR="007133DC" w:rsidRPr="00DB5446" w:rsidRDefault="007133DC" w:rsidP="00DB5446">
            <w:pPr>
              <w:jc w:val="left"/>
            </w:pPr>
            <w:r>
              <w:t>NFP</w:t>
            </w:r>
          </w:p>
        </w:tc>
        <w:tc>
          <w:tcPr>
            <w:tcW w:w="1086" w:type="dxa"/>
            <w:shd w:val="clear" w:color="auto" w:fill="auto"/>
          </w:tcPr>
          <w:p w14:paraId="51C434D7" w14:textId="44A08735" w:rsidR="007133DC" w:rsidRPr="00DB5446" w:rsidRDefault="007133DC" w:rsidP="00DB5446">
            <w:pPr>
              <w:jc w:val="center"/>
              <w:cnfStyle w:val="000000100000" w:firstRow="0" w:lastRow="0" w:firstColumn="0" w:lastColumn="0" w:oddVBand="0" w:evenVBand="0" w:oddHBand="1" w:evenHBand="0" w:firstRowFirstColumn="0" w:firstRowLastColumn="0" w:lastRowFirstColumn="0" w:lastRowLastColumn="0"/>
            </w:pPr>
            <w:r>
              <w:t>307</w:t>
            </w:r>
          </w:p>
        </w:tc>
        <w:tc>
          <w:tcPr>
            <w:tcW w:w="1087" w:type="dxa"/>
            <w:shd w:val="clear" w:color="auto" w:fill="auto"/>
          </w:tcPr>
          <w:p w14:paraId="6F2C0A06" w14:textId="2DE635D2" w:rsidR="007133DC" w:rsidRPr="00DB5446" w:rsidRDefault="007133DC" w:rsidP="00DB5446">
            <w:pPr>
              <w:jc w:val="right"/>
              <w:cnfStyle w:val="000000100000" w:firstRow="0" w:lastRow="0" w:firstColumn="0" w:lastColumn="0" w:oddVBand="0" w:evenVBand="0" w:oddHBand="1" w:evenHBand="0" w:firstRowFirstColumn="0" w:firstRowLastColumn="0" w:lastRowFirstColumn="0" w:lastRowLastColumn="0"/>
            </w:pPr>
            <w:r>
              <w:t>376.3</w:t>
            </w:r>
          </w:p>
        </w:tc>
        <w:tc>
          <w:tcPr>
            <w:tcW w:w="1087" w:type="dxa"/>
            <w:shd w:val="clear" w:color="auto" w:fill="auto"/>
          </w:tcPr>
          <w:p w14:paraId="078973EE" w14:textId="1F057C29" w:rsidR="007133DC" w:rsidRPr="00DB5446" w:rsidRDefault="007133DC" w:rsidP="00DB5446">
            <w:pPr>
              <w:jc w:val="right"/>
              <w:cnfStyle w:val="000000100000" w:firstRow="0" w:lastRow="0" w:firstColumn="0" w:lastColumn="0" w:oddVBand="0" w:evenVBand="0" w:oddHBand="1" w:evenHBand="0" w:firstRowFirstColumn="0" w:firstRowLastColumn="0" w:lastRowFirstColumn="0" w:lastRowLastColumn="0"/>
            </w:pPr>
            <w:r>
              <w:t>1,096.1</w:t>
            </w:r>
          </w:p>
        </w:tc>
        <w:tc>
          <w:tcPr>
            <w:tcW w:w="1087" w:type="dxa"/>
            <w:shd w:val="clear" w:color="auto" w:fill="auto"/>
          </w:tcPr>
          <w:p w14:paraId="3F312CBB" w14:textId="6C180113" w:rsidR="007133DC" w:rsidRPr="00DB5446" w:rsidRDefault="007133DC" w:rsidP="00DB5446">
            <w:pPr>
              <w:jc w:val="right"/>
              <w:cnfStyle w:val="000000100000" w:firstRow="0" w:lastRow="0" w:firstColumn="0" w:lastColumn="0" w:oddVBand="0" w:evenVBand="0" w:oddHBand="1" w:evenHBand="0" w:firstRowFirstColumn="0" w:firstRowLastColumn="0" w:lastRowFirstColumn="0" w:lastRowLastColumn="0"/>
            </w:pPr>
            <w:r>
              <w:t>99.9</w:t>
            </w:r>
          </w:p>
        </w:tc>
        <w:tc>
          <w:tcPr>
            <w:tcW w:w="1087" w:type="dxa"/>
            <w:shd w:val="clear" w:color="auto" w:fill="auto"/>
          </w:tcPr>
          <w:p w14:paraId="5C8DCF68" w14:textId="6528E783" w:rsidR="007133DC" w:rsidRPr="00DB5446" w:rsidRDefault="007133DC" w:rsidP="00DB5446">
            <w:pPr>
              <w:jc w:val="center"/>
              <w:cnfStyle w:val="000000100000" w:firstRow="0" w:lastRow="0" w:firstColumn="0" w:lastColumn="0" w:oddVBand="0" w:evenVBand="0" w:oddHBand="1" w:evenHBand="0" w:firstRowFirstColumn="0" w:firstRowLastColumn="0" w:lastRowFirstColumn="0" w:lastRowLastColumn="0"/>
            </w:pPr>
            <w:r>
              <w:t>3.76</w:t>
            </w:r>
          </w:p>
        </w:tc>
        <w:tc>
          <w:tcPr>
            <w:tcW w:w="1087" w:type="dxa"/>
            <w:shd w:val="clear" w:color="auto" w:fill="auto"/>
          </w:tcPr>
          <w:p w14:paraId="1DD4C044" w14:textId="2470D3B9" w:rsidR="007133DC" w:rsidRPr="00DB5446" w:rsidRDefault="007133DC" w:rsidP="00DB5446">
            <w:pPr>
              <w:jc w:val="center"/>
              <w:cnfStyle w:val="000000100000" w:firstRow="0" w:lastRow="0" w:firstColumn="0" w:lastColumn="0" w:oddVBand="0" w:evenVBand="0" w:oddHBand="1" w:evenHBand="0" w:firstRowFirstColumn="0" w:firstRowLastColumn="0" w:lastRowFirstColumn="0" w:lastRowLastColumn="0"/>
            </w:pPr>
            <w:r>
              <w:t>10.97</w:t>
            </w:r>
          </w:p>
        </w:tc>
        <w:tc>
          <w:tcPr>
            <w:tcW w:w="1219" w:type="dxa"/>
            <w:shd w:val="clear" w:color="auto" w:fill="auto"/>
          </w:tcPr>
          <w:p w14:paraId="475AC1F1" w14:textId="55FDB1D3" w:rsidR="007133DC" w:rsidRPr="007133DC" w:rsidRDefault="007133DC" w:rsidP="007133DC">
            <w:pPr>
              <w:jc w:val="center"/>
              <w:cnfStyle w:val="000000100000" w:firstRow="0" w:lastRow="0" w:firstColumn="0" w:lastColumn="0" w:oddVBand="0" w:evenVBand="0" w:oddHBand="1" w:evenHBand="0" w:firstRowFirstColumn="0" w:firstRowLastColumn="0" w:lastRowFirstColumn="0" w:lastRowLastColumn="0"/>
            </w:pPr>
            <w:r w:rsidRPr="007133DC">
              <w:t>146.22</w:t>
            </w:r>
          </w:p>
        </w:tc>
        <w:tc>
          <w:tcPr>
            <w:tcW w:w="1219" w:type="dxa"/>
            <w:shd w:val="clear" w:color="auto" w:fill="auto"/>
          </w:tcPr>
          <w:p w14:paraId="7FCF095F" w14:textId="13E6292C" w:rsidR="007133DC" w:rsidRPr="007133DC" w:rsidRDefault="007133DC" w:rsidP="007133DC">
            <w:pPr>
              <w:jc w:val="center"/>
              <w:cnfStyle w:val="000000100000" w:firstRow="0" w:lastRow="0" w:firstColumn="0" w:lastColumn="0" w:oddVBand="0" w:evenVBand="0" w:oddHBand="1" w:evenHBand="0" w:firstRowFirstColumn="0" w:firstRowLastColumn="0" w:lastRowFirstColumn="0" w:lastRowLastColumn="0"/>
            </w:pPr>
            <w:r w:rsidRPr="007133DC">
              <w:t>132.13</w:t>
            </w:r>
          </w:p>
        </w:tc>
        <w:tc>
          <w:tcPr>
            <w:tcW w:w="1219" w:type="dxa"/>
            <w:shd w:val="clear" w:color="auto" w:fill="auto"/>
          </w:tcPr>
          <w:p w14:paraId="73AD0674" w14:textId="12C865B2" w:rsidR="007133DC" w:rsidRPr="007133DC" w:rsidRDefault="007133DC" w:rsidP="007133DC">
            <w:pPr>
              <w:jc w:val="center"/>
              <w:cnfStyle w:val="000000100000" w:firstRow="0" w:lastRow="0" w:firstColumn="0" w:lastColumn="0" w:oddVBand="0" w:evenVBand="0" w:oddHBand="1" w:evenHBand="0" w:firstRowFirstColumn="0" w:firstRowLastColumn="0" w:lastRowFirstColumn="0" w:lastRowLastColumn="0"/>
            </w:pPr>
            <w:r w:rsidRPr="007133DC">
              <w:t>109.66</w:t>
            </w:r>
          </w:p>
        </w:tc>
        <w:tc>
          <w:tcPr>
            <w:tcW w:w="1219" w:type="dxa"/>
            <w:shd w:val="clear" w:color="auto" w:fill="auto"/>
          </w:tcPr>
          <w:p w14:paraId="06127839" w14:textId="67DD2690" w:rsidR="007133DC" w:rsidRPr="007133DC" w:rsidRDefault="007133DC" w:rsidP="007133DC">
            <w:pPr>
              <w:jc w:val="center"/>
              <w:cnfStyle w:val="000000100000" w:firstRow="0" w:lastRow="0" w:firstColumn="0" w:lastColumn="0" w:oddVBand="0" w:evenVBand="0" w:oddHBand="1" w:evenHBand="0" w:firstRowFirstColumn="0" w:firstRowLastColumn="0" w:lastRowFirstColumn="0" w:lastRowLastColumn="0"/>
            </w:pPr>
            <w:r w:rsidRPr="007133DC">
              <w:t>73.11</w:t>
            </w:r>
          </w:p>
        </w:tc>
        <w:tc>
          <w:tcPr>
            <w:tcW w:w="1219" w:type="dxa"/>
            <w:shd w:val="clear" w:color="auto" w:fill="auto"/>
          </w:tcPr>
          <w:p w14:paraId="3E46DF4E" w14:textId="05794529" w:rsidR="007133DC" w:rsidRPr="007133DC" w:rsidRDefault="007133DC" w:rsidP="007133DC">
            <w:pPr>
              <w:jc w:val="center"/>
              <w:cnfStyle w:val="000000100000" w:firstRow="0" w:lastRow="0" w:firstColumn="0" w:lastColumn="0" w:oddVBand="0" w:evenVBand="0" w:oddHBand="1" w:evenHBand="0" w:firstRowFirstColumn="0" w:firstRowLastColumn="0" w:lastRowFirstColumn="0" w:lastRowLastColumn="0"/>
            </w:pPr>
            <w:r w:rsidRPr="007133DC">
              <w:t>54.83</w:t>
            </w:r>
          </w:p>
        </w:tc>
      </w:tr>
      <w:tr w:rsidR="00CF4A4C" w:rsidRPr="00DB5446" w14:paraId="097AADF4" w14:textId="3FF17EF0" w:rsidTr="006C0F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9A69589" w14:textId="63EA573A" w:rsidR="007133DC" w:rsidRPr="00DB5446" w:rsidRDefault="007133DC" w:rsidP="007133DC">
            <w:pPr>
              <w:jc w:val="left"/>
            </w:pPr>
            <w:r>
              <w:t>FP</w:t>
            </w:r>
          </w:p>
        </w:tc>
        <w:tc>
          <w:tcPr>
            <w:tcW w:w="1086" w:type="dxa"/>
            <w:shd w:val="clear" w:color="auto" w:fill="auto"/>
          </w:tcPr>
          <w:p w14:paraId="36C3939E" w14:textId="29197507" w:rsidR="007133DC" w:rsidRPr="00DB5446" w:rsidRDefault="007133DC" w:rsidP="007133DC">
            <w:pPr>
              <w:jc w:val="center"/>
              <w:cnfStyle w:val="000000010000" w:firstRow="0" w:lastRow="0" w:firstColumn="0" w:lastColumn="0" w:oddVBand="0" w:evenVBand="0" w:oddHBand="0" w:evenHBand="1" w:firstRowFirstColumn="0" w:firstRowLastColumn="0" w:lastRowFirstColumn="0" w:lastRowLastColumn="0"/>
            </w:pPr>
            <w:r>
              <w:t>228</w:t>
            </w:r>
          </w:p>
        </w:tc>
        <w:tc>
          <w:tcPr>
            <w:tcW w:w="1087" w:type="dxa"/>
            <w:shd w:val="clear" w:color="auto" w:fill="auto"/>
          </w:tcPr>
          <w:p w14:paraId="0802EEFE" w14:textId="032E6ACF" w:rsidR="007133DC" w:rsidRPr="00DB5446" w:rsidRDefault="007133DC" w:rsidP="007133DC">
            <w:pPr>
              <w:jc w:val="right"/>
              <w:cnfStyle w:val="000000010000" w:firstRow="0" w:lastRow="0" w:firstColumn="0" w:lastColumn="0" w:oddVBand="0" w:evenVBand="0" w:oddHBand="0" w:evenHBand="1" w:firstRowFirstColumn="0" w:firstRowLastColumn="0" w:lastRowFirstColumn="0" w:lastRowLastColumn="0"/>
            </w:pPr>
            <w:r>
              <w:t>125.4</w:t>
            </w:r>
          </w:p>
        </w:tc>
        <w:tc>
          <w:tcPr>
            <w:tcW w:w="1087" w:type="dxa"/>
            <w:shd w:val="clear" w:color="auto" w:fill="auto"/>
          </w:tcPr>
          <w:p w14:paraId="73972A89" w14:textId="5DD98CCF" w:rsidR="007133DC" w:rsidRPr="00DB5446" w:rsidRDefault="007133DC" w:rsidP="007133DC">
            <w:pPr>
              <w:jc w:val="right"/>
              <w:cnfStyle w:val="000000010000" w:firstRow="0" w:lastRow="0" w:firstColumn="0" w:lastColumn="0" w:oddVBand="0" w:evenVBand="0" w:oddHBand="0" w:evenHBand="1" w:firstRowFirstColumn="0" w:firstRowLastColumn="0" w:lastRowFirstColumn="0" w:lastRowLastColumn="0"/>
            </w:pPr>
            <w:r>
              <w:t>283.3</w:t>
            </w:r>
          </w:p>
        </w:tc>
        <w:tc>
          <w:tcPr>
            <w:tcW w:w="1087" w:type="dxa"/>
            <w:shd w:val="clear" w:color="auto" w:fill="auto"/>
          </w:tcPr>
          <w:p w14:paraId="0947C6AE" w14:textId="44A6CA99" w:rsidR="007133DC" w:rsidRPr="00DB5446" w:rsidRDefault="007133DC" w:rsidP="007133DC">
            <w:pPr>
              <w:jc w:val="right"/>
              <w:cnfStyle w:val="000000010000" w:firstRow="0" w:lastRow="0" w:firstColumn="0" w:lastColumn="0" w:oddVBand="0" w:evenVBand="0" w:oddHBand="0" w:evenHBand="1" w:firstRowFirstColumn="0" w:firstRowLastColumn="0" w:lastRowFirstColumn="0" w:lastRowLastColumn="0"/>
            </w:pPr>
            <w:r>
              <w:t>41.8</w:t>
            </w:r>
          </w:p>
        </w:tc>
        <w:tc>
          <w:tcPr>
            <w:tcW w:w="1087" w:type="dxa"/>
            <w:shd w:val="clear" w:color="auto" w:fill="auto"/>
          </w:tcPr>
          <w:p w14:paraId="219DACE5" w14:textId="0BD74304" w:rsidR="007133DC" w:rsidRPr="00DB5446" w:rsidRDefault="007133DC" w:rsidP="007133DC">
            <w:pPr>
              <w:jc w:val="center"/>
              <w:cnfStyle w:val="000000010000" w:firstRow="0" w:lastRow="0" w:firstColumn="0" w:lastColumn="0" w:oddVBand="0" w:evenVBand="0" w:oddHBand="0" w:evenHBand="1" w:firstRowFirstColumn="0" w:firstRowLastColumn="0" w:lastRowFirstColumn="0" w:lastRowLastColumn="0"/>
            </w:pPr>
            <w:r>
              <w:t>3.01</w:t>
            </w:r>
          </w:p>
        </w:tc>
        <w:tc>
          <w:tcPr>
            <w:tcW w:w="1087" w:type="dxa"/>
            <w:shd w:val="clear" w:color="auto" w:fill="auto"/>
          </w:tcPr>
          <w:p w14:paraId="17EFF466" w14:textId="60EE3F61" w:rsidR="007133DC" w:rsidRPr="00DB5446" w:rsidRDefault="007133DC" w:rsidP="007133DC">
            <w:pPr>
              <w:jc w:val="center"/>
              <w:cnfStyle w:val="000000010000" w:firstRow="0" w:lastRow="0" w:firstColumn="0" w:lastColumn="0" w:oddVBand="0" w:evenVBand="0" w:oddHBand="0" w:evenHBand="1" w:firstRowFirstColumn="0" w:firstRowLastColumn="0" w:lastRowFirstColumn="0" w:lastRowLastColumn="0"/>
            </w:pPr>
            <w:r>
              <w:t>6.79</w:t>
            </w:r>
          </w:p>
        </w:tc>
        <w:tc>
          <w:tcPr>
            <w:tcW w:w="1219" w:type="dxa"/>
            <w:shd w:val="clear" w:color="auto" w:fill="auto"/>
          </w:tcPr>
          <w:p w14:paraId="38FEA30F" w14:textId="7E8FA989" w:rsidR="007133DC" w:rsidRPr="007133DC" w:rsidRDefault="007133DC" w:rsidP="007133DC">
            <w:pPr>
              <w:jc w:val="center"/>
              <w:cnfStyle w:val="000000010000" w:firstRow="0" w:lastRow="0" w:firstColumn="0" w:lastColumn="0" w:oddVBand="0" w:evenVBand="0" w:oddHBand="0" w:evenHBand="1" w:firstRowFirstColumn="0" w:firstRowLastColumn="0" w:lastRowFirstColumn="0" w:lastRowLastColumn="0"/>
            </w:pPr>
            <w:r w:rsidRPr="007133DC">
              <w:t>90.56</w:t>
            </w:r>
          </w:p>
        </w:tc>
        <w:tc>
          <w:tcPr>
            <w:tcW w:w="1219" w:type="dxa"/>
            <w:shd w:val="clear" w:color="auto" w:fill="auto"/>
          </w:tcPr>
          <w:p w14:paraId="1BC2566F" w14:textId="72ED0161" w:rsidR="007133DC" w:rsidRPr="007133DC" w:rsidRDefault="007133DC" w:rsidP="007133DC">
            <w:pPr>
              <w:jc w:val="center"/>
              <w:cnfStyle w:val="000000010000" w:firstRow="0" w:lastRow="0" w:firstColumn="0" w:lastColumn="0" w:oddVBand="0" w:evenVBand="0" w:oddHBand="0" w:evenHBand="1" w:firstRowFirstColumn="0" w:firstRowLastColumn="0" w:lastRowFirstColumn="0" w:lastRowLastColumn="0"/>
            </w:pPr>
            <w:r w:rsidRPr="007133DC">
              <w:t>81.83</w:t>
            </w:r>
          </w:p>
        </w:tc>
        <w:tc>
          <w:tcPr>
            <w:tcW w:w="1219" w:type="dxa"/>
            <w:shd w:val="clear" w:color="auto" w:fill="auto"/>
          </w:tcPr>
          <w:p w14:paraId="7DE6C087" w14:textId="7BC39759" w:rsidR="007133DC" w:rsidRPr="007133DC" w:rsidRDefault="007133DC" w:rsidP="007133DC">
            <w:pPr>
              <w:jc w:val="center"/>
              <w:cnfStyle w:val="000000010000" w:firstRow="0" w:lastRow="0" w:firstColumn="0" w:lastColumn="0" w:oddVBand="0" w:evenVBand="0" w:oddHBand="0" w:evenHBand="1" w:firstRowFirstColumn="0" w:firstRowLastColumn="0" w:lastRowFirstColumn="0" w:lastRowLastColumn="0"/>
            </w:pPr>
            <w:r w:rsidRPr="007133DC">
              <w:t>67.92</w:t>
            </w:r>
          </w:p>
        </w:tc>
        <w:tc>
          <w:tcPr>
            <w:tcW w:w="1219" w:type="dxa"/>
            <w:shd w:val="clear" w:color="auto" w:fill="auto"/>
          </w:tcPr>
          <w:p w14:paraId="0AA9DD22" w14:textId="185DC846" w:rsidR="007133DC" w:rsidRPr="007133DC" w:rsidRDefault="007133DC" w:rsidP="007133DC">
            <w:pPr>
              <w:jc w:val="center"/>
              <w:cnfStyle w:val="000000010000" w:firstRow="0" w:lastRow="0" w:firstColumn="0" w:lastColumn="0" w:oddVBand="0" w:evenVBand="0" w:oddHBand="0" w:evenHBand="1" w:firstRowFirstColumn="0" w:firstRowLastColumn="0" w:lastRowFirstColumn="0" w:lastRowLastColumn="0"/>
            </w:pPr>
            <w:r w:rsidRPr="007133DC">
              <w:t>45.28</w:t>
            </w:r>
          </w:p>
        </w:tc>
        <w:tc>
          <w:tcPr>
            <w:tcW w:w="1219" w:type="dxa"/>
            <w:shd w:val="clear" w:color="auto" w:fill="auto"/>
          </w:tcPr>
          <w:p w14:paraId="2E9FA198" w14:textId="7E52FC6B" w:rsidR="007133DC" w:rsidRPr="007133DC" w:rsidRDefault="007133DC" w:rsidP="007133DC">
            <w:pPr>
              <w:jc w:val="center"/>
              <w:cnfStyle w:val="000000010000" w:firstRow="0" w:lastRow="0" w:firstColumn="0" w:lastColumn="0" w:oddVBand="0" w:evenVBand="0" w:oddHBand="0" w:evenHBand="1" w:firstRowFirstColumn="0" w:firstRowLastColumn="0" w:lastRowFirstColumn="0" w:lastRowLastColumn="0"/>
            </w:pPr>
            <w:r w:rsidRPr="007133DC">
              <w:t>33.96</w:t>
            </w:r>
          </w:p>
        </w:tc>
      </w:tr>
      <w:tr w:rsidR="00CF4A4C" w:rsidRPr="00DB5446" w14:paraId="51EEF9B1" w14:textId="3D0706FB" w:rsidTr="006C0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2702403" w14:textId="0BA15BA5" w:rsidR="007133DC" w:rsidRPr="00DB5446" w:rsidRDefault="007133DC" w:rsidP="007133DC">
            <w:pPr>
              <w:jc w:val="left"/>
            </w:pPr>
            <w:r>
              <w:t>Total</w:t>
            </w:r>
          </w:p>
        </w:tc>
        <w:tc>
          <w:tcPr>
            <w:tcW w:w="1086" w:type="dxa"/>
            <w:shd w:val="clear" w:color="auto" w:fill="auto"/>
          </w:tcPr>
          <w:p w14:paraId="63224DAC" w14:textId="03823253" w:rsidR="007133DC" w:rsidRPr="0055399A" w:rsidRDefault="007133DC" w:rsidP="007133DC">
            <w:pPr>
              <w:jc w:val="center"/>
              <w:cnfStyle w:val="000000100000" w:firstRow="0" w:lastRow="0" w:firstColumn="0" w:lastColumn="0" w:oddVBand="0" w:evenVBand="0" w:oddHBand="1" w:evenHBand="0" w:firstRowFirstColumn="0" w:firstRowLastColumn="0" w:lastRowFirstColumn="0" w:lastRowLastColumn="0"/>
              <w:rPr>
                <w:b/>
              </w:rPr>
            </w:pPr>
            <w:r w:rsidRPr="0055399A">
              <w:rPr>
                <w:b/>
              </w:rPr>
              <w:t>535</w:t>
            </w:r>
          </w:p>
        </w:tc>
        <w:tc>
          <w:tcPr>
            <w:tcW w:w="1087" w:type="dxa"/>
            <w:shd w:val="clear" w:color="auto" w:fill="auto"/>
          </w:tcPr>
          <w:p w14:paraId="360A9D5F" w14:textId="04C3832D" w:rsidR="007133DC" w:rsidRPr="0055399A" w:rsidRDefault="0055399A" w:rsidP="007133DC">
            <w:pPr>
              <w:jc w:val="right"/>
              <w:cnfStyle w:val="000000100000" w:firstRow="0" w:lastRow="0" w:firstColumn="0" w:lastColumn="0" w:oddVBand="0" w:evenVBand="0" w:oddHBand="1" w:evenHBand="0" w:firstRowFirstColumn="0" w:firstRowLastColumn="0" w:lastRowFirstColumn="0" w:lastRowLastColumn="0"/>
              <w:rPr>
                <w:b/>
              </w:rPr>
            </w:pPr>
            <w:r>
              <w:rPr>
                <w:b/>
              </w:rPr>
              <w:t xml:space="preserve">$ </w:t>
            </w:r>
            <w:r w:rsidR="007133DC" w:rsidRPr="0055399A">
              <w:rPr>
                <w:b/>
              </w:rPr>
              <w:t>501.7</w:t>
            </w:r>
          </w:p>
        </w:tc>
        <w:tc>
          <w:tcPr>
            <w:tcW w:w="1087" w:type="dxa"/>
            <w:shd w:val="clear" w:color="auto" w:fill="auto"/>
          </w:tcPr>
          <w:p w14:paraId="50440FD7" w14:textId="23EE12D7" w:rsidR="007133DC" w:rsidRPr="0055399A" w:rsidRDefault="0055399A" w:rsidP="007133DC">
            <w:pPr>
              <w:jc w:val="right"/>
              <w:cnfStyle w:val="000000100000" w:firstRow="0" w:lastRow="0" w:firstColumn="0" w:lastColumn="0" w:oddVBand="0" w:evenVBand="0" w:oddHBand="1" w:evenHBand="0" w:firstRowFirstColumn="0" w:firstRowLastColumn="0" w:lastRowFirstColumn="0" w:lastRowLastColumn="0"/>
              <w:rPr>
                <w:b/>
              </w:rPr>
            </w:pPr>
            <w:r>
              <w:rPr>
                <w:b/>
              </w:rPr>
              <w:t xml:space="preserve">$ </w:t>
            </w:r>
            <w:r w:rsidR="007133DC" w:rsidRPr="0055399A">
              <w:rPr>
                <w:b/>
              </w:rPr>
              <w:t>1,379.4</w:t>
            </w:r>
          </w:p>
        </w:tc>
        <w:tc>
          <w:tcPr>
            <w:tcW w:w="1087" w:type="dxa"/>
            <w:shd w:val="clear" w:color="auto" w:fill="auto"/>
          </w:tcPr>
          <w:p w14:paraId="5E208C23" w14:textId="0C9B0628" w:rsidR="007133DC" w:rsidRPr="0055399A" w:rsidRDefault="0055399A" w:rsidP="007133DC">
            <w:pPr>
              <w:jc w:val="right"/>
              <w:cnfStyle w:val="000000100000" w:firstRow="0" w:lastRow="0" w:firstColumn="0" w:lastColumn="0" w:oddVBand="0" w:evenVBand="0" w:oddHBand="1" w:evenHBand="0" w:firstRowFirstColumn="0" w:firstRowLastColumn="0" w:lastRowFirstColumn="0" w:lastRowLastColumn="0"/>
              <w:rPr>
                <w:b/>
              </w:rPr>
            </w:pPr>
            <w:r>
              <w:rPr>
                <w:b/>
              </w:rPr>
              <w:t xml:space="preserve">$ </w:t>
            </w:r>
            <w:r w:rsidR="007133DC" w:rsidRPr="0055399A">
              <w:rPr>
                <w:b/>
              </w:rPr>
              <w:t>141.7</w:t>
            </w:r>
          </w:p>
        </w:tc>
        <w:tc>
          <w:tcPr>
            <w:tcW w:w="1087" w:type="dxa"/>
            <w:shd w:val="clear" w:color="auto" w:fill="auto"/>
          </w:tcPr>
          <w:p w14:paraId="21ACFD2C" w14:textId="56F95190" w:rsidR="007133DC" w:rsidRPr="0055399A" w:rsidRDefault="007133DC" w:rsidP="007133DC">
            <w:pPr>
              <w:jc w:val="center"/>
              <w:cnfStyle w:val="000000100000" w:firstRow="0" w:lastRow="0" w:firstColumn="0" w:lastColumn="0" w:oddVBand="0" w:evenVBand="0" w:oddHBand="1" w:evenHBand="0" w:firstRowFirstColumn="0" w:firstRowLastColumn="0" w:lastRowFirstColumn="0" w:lastRowLastColumn="0"/>
              <w:rPr>
                <w:b/>
              </w:rPr>
            </w:pPr>
            <w:r w:rsidRPr="0055399A">
              <w:rPr>
                <w:b/>
              </w:rPr>
              <w:t>3.54</w:t>
            </w:r>
          </w:p>
        </w:tc>
        <w:tc>
          <w:tcPr>
            <w:tcW w:w="1087" w:type="dxa"/>
            <w:shd w:val="clear" w:color="auto" w:fill="auto"/>
          </w:tcPr>
          <w:p w14:paraId="1E6BA2F9" w14:textId="34C59813" w:rsidR="007133DC" w:rsidRPr="0055399A" w:rsidRDefault="007133DC" w:rsidP="007133DC">
            <w:pPr>
              <w:jc w:val="center"/>
              <w:cnfStyle w:val="000000100000" w:firstRow="0" w:lastRow="0" w:firstColumn="0" w:lastColumn="0" w:oddVBand="0" w:evenVBand="0" w:oddHBand="1" w:evenHBand="0" w:firstRowFirstColumn="0" w:firstRowLastColumn="0" w:lastRowFirstColumn="0" w:lastRowLastColumn="0"/>
              <w:rPr>
                <w:b/>
              </w:rPr>
            </w:pPr>
            <w:r w:rsidRPr="0055399A">
              <w:rPr>
                <w:b/>
              </w:rPr>
              <w:t>9.74</w:t>
            </w:r>
          </w:p>
        </w:tc>
        <w:tc>
          <w:tcPr>
            <w:tcW w:w="1219" w:type="dxa"/>
            <w:shd w:val="clear" w:color="auto" w:fill="auto"/>
          </w:tcPr>
          <w:p w14:paraId="04794E64" w14:textId="32F8E576" w:rsidR="007133DC" w:rsidRPr="0055399A" w:rsidRDefault="007133DC" w:rsidP="007133DC">
            <w:pPr>
              <w:jc w:val="center"/>
              <w:cnfStyle w:val="000000100000" w:firstRow="0" w:lastRow="0" w:firstColumn="0" w:lastColumn="0" w:oddVBand="0" w:evenVBand="0" w:oddHBand="1" w:evenHBand="0" w:firstRowFirstColumn="0" w:firstRowLastColumn="0" w:lastRowFirstColumn="0" w:lastRowLastColumn="0"/>
              <w:rPr>
                <w:b/>
              </w:rPr>
            </w:pPr>
            <w:r w:rsidRPr="0055399A">
              <w:rPr>
                <w:b/>
              </w:rPr>
              <w:t>129.83</w:t>
            </w:r>
          </w:p>
        </w:tc>
        <w:tc>
          <w:tcPr>
            <w:tcW w:w="1219" w:type="dxa"/>
            <w:shd w:val="clear" w:color="auto" w:fill="auto"/>
          </w:tcPr>
          <w:p w14:paraId="3CC0F7CB" w14:textId="1B3D50D9" w:rsidR="007133DC" w:rsidRPr="0055399A" w:rsidRDefault="007133DC" w:rsidP="007133DC">
            <w:pPr>
              <w:jc w:val="center"/>
              <w:cnfStyle w:val="000000100000" w:firstRow="0" w:lastRow="0" w:firstColumn="0" w:lastColumn="0" w:oddVBand="0" w:evenVBand="0" w:oddHBand="1" w:evenHBand="0" w:firstRowFirstColumn="0" w:firstRowLastColumn="0" w:lastRowFirstColumn="0" w:lastRowLastColumn="0"/>
              <w:rPr>
                <w:b/>
              </w:rPr>
            </w:pPr>
            <w:r w:rsidRPr="0055399A">
              <w:rPr>
                <w:b/>
              </w:rPr>
              <w:t>117.32</w:t>
            </w:r>
          </w:p>
        </w:tc>
        <w:tc>
          <w:tcPr>
            <w:tcW w:w="1219" w:type="dxa"/>
            <w:shd w:val="clear" w:color="auto" w:fill="auto"/>
          </w:tcPr>
          <w:p w14:paraId="5B2ACDCF" w14:textId="095181A2" w:rsidR="007133DC" w:rsidRPr="0055399A" w:rsidRDefault="007133DC" w:rsidP="007133DC">
            <w:pPr>
              <w:jc w:val="center"/>
              <w:cnfStyle w:val="000000100000" w:firstRow="0" w:lastRow="0" w:firstColumn="0" w:lastColumn="0" w:oddVBand="0" w:evenVBand="0" w:oddHBand="1" w:evenHBand="0" w:firstRowFirstColumn="0" w:firstRowLastColumn="0" w:lastRowFirstColumn="0" w:lastRowLastColumn="0"/>
              <w:rPr>
                <w:b/>
              </w:rPr>
            </w:pPr>
            <w:r w:rsidRPr="0055399A">
              <w:rPr>
                <w:b/>
              </w:rPr>
              <w:t>97.37</w:t>
            </w:r>
          </w:p>
        </w:tc>
        <w:tc>
          <w:tcPr>
            <w:tcW w:w="1219" w:type="dxa"/>
            <w:shd w:val="clear" w:color="auto" w:fill="auto"/>
          </w:tcPr>
          <w:p w14:paraId="4188E0F4" w14:textId="2F641443" w:rsidR="007133DC" w:rsidRPr="0055399A" w:rsidRDefault="007133DC" w:rsidP="007133DC">
            <w:pPr>
              <w:jc w:val="center"/>
              <w:cnfStyle w:val="000000100000" w:firstRow="0" w:lastRow="0" w:firstColumn="0" w:lastColumn="0" w:oddVBand="0" w:evenVBand="0" w:oddHBand="1" w:evenHBand="0" w:firstRowFirstColumn="0" w:firstRowLastColumn="0" w:lastRowFirstColumn="0" w:lastRowLastColumn="0"/>
              <w:rPr>
                <w:b/>
              </w:rPr>
            </w:pPr>
            <w:r w:rsidRPr="0055399A">
              <w:rPr>
                <w:b/>
              </w:rPr>
              <w:t>64.92</w:t>
            </w:r>
          </w:p>
        </w:tc>
        <w:tc>
          <w:tcPr>
            <w:tcW w:w="1219" w:type="dxa"/>
            <w:shd w:val="clear" w:color="auto" w:fill="auto"/>
          </w:tcPr>
          <w:p w14:paraId="51A39EF4" w14:textId="57CBB579" w:rsidR="007133DC" w:rsidRPr="0055399A" w:rsidRDefault="007133DC" w:rsidP="007133DC">
            <w:pPr>
              <w:jc w:val="center"/>
              <w:cnfStyle w:val="000000100000" w:firstRow="0" w:lastRow="0" w:firstColumn="0" w:lastColumn="0" w:oddVBand="0" w:evenVBand="0" w:oddHBand="1" w:evenHBand="0" w:firstRowFirstColumn="0" w:firstRowLastColumn="0" w:lastRowFirstColumn="0" w:lastRowLastColumn="0"/>
              <w:rPr>
                <w:b/>
              </w:rPr>
            </w:pPr>
            <w:r w:rsidRPr="0055399A">
              <w:rPr>
                <w:b/>
              </w:rPr>
              <w:t>48.69</w:t>
            </w:r>
          </w:p>
        </w:tc>
      </w:tr>
    </w:tbl>
    <w:p w14:paraId="7337D5D9" w14:textId="77777777" w:rsidR="00085447" w:rsidRDefault="00085447" w:rsidP="00085447"/>
    <w:tbl>
      <w:tblPr>
        <w:tblStyle w:val="DefaultTable1"/>
        <w:tblW w:w="13992" w:type="dxa"/>
        <w:tblLayout w:type="fixed"/>
        <w:tblLook w:val="04A0" w:firstRow="1" w:lastRow="0" w:firstColumn="1" w:lastColumn="0" w:noHBand="0" w:noVBand="1"/>
        <w:tblCaption w:val="Table 30: Analysis of liquid asset coverage for reductions in revenue claims (due to draw down on unspent funds) by DHS"/>
      </w:tblPr>
      <w:tblGrid>
        <w:gridCol w:w="1225"/>
        <w:gridCol w:w="1049"/>
        <w:gridCol w:w="1167"/>
        <w:gridCol w:w="1168"/>
        <w:gridCol w:w="1167"/>
        <w:gridCol w:w="1168"/>
        <w:gridCol w:w="1168"/>
        <w:gridCol w:w="1176"/>
        <w:gridCol w:w="1176"/>
        <w:gridCol w:w="1176"/>
        <w:gridCol w:w="1176"/>
        <w:gridCol w:w="1176"/>
      </w:tblGrid>
      <w:tr w:rsidR="00CF4A4C" w:rsidRPr="00DB5446" w14:paraId="11BC226F" w14:textId="77777777" w:rsidTr="00627E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25" w:type="dxa"/>
            <w:vMerge w:val="restart"/>
            <w:vAlign w:val="center"/>
          </w:tcPr>
          <w:p w14:paraId="064C58F8" w14:textId="77777777" w:rsidR="00CF4A4C" w:rsidRPr="00DB5446" w:rsidRDefault="00CF4A4C" w:rsidP="00576880">
            <w:pPr>
              <w:jc w:val="left"/>
            </w:pPr>
            <w:r>
              <w:t>Sector in aggregate</w:t>
            </w:r>
          </w:p>
        </w:tc>
        <w:tc>
          <w:tcPr>
            <w:tcW w:w="1049" w:type="dxa"/>
            <w:vMerge w:val="restart"/>
          </w:tcPr>
          <w:p w14:paraId="39FDD20C" w14:textId="77777777" w:rsidR="00CF4A4C" w:rsidRDefault="00CF4A4C" w:rsidP="00576880">
            <w:pPr>
              <w:spacing w:before="0" w:after="0"/>
              <w:jc w:val="center"/>
              <w:cnfStyle w:val="100000000000" w:firstRow="1" w:lastRow="0" w:firstColumn="0" w:lastColumn="0" w:oddVBand="0" w:evenVBand="0" w:oddHBand="0" w:evenHBand="0" w:firstRowFirstColumn="0" w:firstRowLastColumn="0" w:lastRowFirstColumn="0" w:lastRowLastColumn="0"/>
            </w:pPr>
            <w:r>
              <w:t>Providers</w:t>
            </w:r>
          </w:p>
        </w:tc>
        <w:tc>
          <w:tcPr>
            <w:tcW w:w="5838" w:type="dxa"/>
            <w:gridSpan w:val="5"/>
          </w:tcPr>
          <w:p w14:paraId="6FA4411F" w14:textId="702676D8" w:rsidR="00CF4A4C" w:rsidRDefault="00CF4A4C" w:rsidP="00576880">
            <w:pPr>
              <w:jc w:val="center"/>
              <w:cnfStyle w:val="100000000000" w:firstRow="1" w:lastRow="0" w:firstColumn="0" w:lastColumn="0" w:oddVBand="0" w:evenVBand="0" w:oddHBand="0" w:evenHBand="0" w:firstRowFirstColumn="0" w:firstRowLastColumn="0" w:lastRowFirstColumn="0" w:lastRowLastColumn="0"/>
            </w:pPr>
            <w:r>
              <w:t>Months to Exhaust Unspent Funds Balance (assuming no exits)</w:t>
            </w:r>
          </w:p>
        </w:tc>
        <w:tc>
          <w:tcPr>
            <w:tcW w:w="5880" w:type="dxa"/>
            <w:gridSpan w:val="5"/>
          </w:tcPr>
          <w:p w14:paraId="7D49C29E" w14:textId="6911D33F" w:rsidR="00CF4A4C" w:rsidRDefault="00CF4A4C" w:rsidP="00576880">
            <w:pPr>
              <w:jc w:val="center"/>
              <w:cnfStyle w:val="100000000000" w:firstRow="1" w:lastRow="0" w:firstColumn="0" w:lastColumn="0" w:oddVBand="0" w:evenVBand="0" w:oddHBand="0" w:evenHBand="0" w:firstRowFirstColumn="0" w:firstRowLastColumn="0" w:lastRowFirstColumn="0" w:lastRowLastColumn="0"/>
            </w:pPr>
            <w:r>
              <w:t>Number of Providers with Liquid Asset to Average Monthly Revenue Reduction of Less than 1</w:t>
            </w:r>
          </w:p>
        </w:tc>
      </w:tr>
      <w:tr w:rsidR="00CF4A4C" w:rsidRPr="00DB5446" w14:paraId="49378982" w14:textId="77777777" w:rsidTr="00627E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25" w:type="dxa"/>
            <w:vMerge/>
          </w:tcPr>
          <w:p w14:paraId="7981B9B0" w14:textId="77777777" w:rsidR="00CF4A4C" w:rsidRPr="00DB5446" w:rsidRDefault="00CF4A4C" w:rsidP="00CF4A4C"/>
        </w:tc>
        <w:tc>
          <w:tcPr>
            <w:tcW w:w="1049" w:type="dxa"/>
            <w:vMerge/>
          </w:tcPr>
          <w:p w14:paraId="00BD8C14" w14:textId="77777777" w:rsidR="00CF4A4C" w:rsidRPr="00DB5446" w:rsidRDefault="00CF4A4C" w:rsidP="00CF4A4C">
            <w:pPr>
              <w:jc w:val="center"/>
              <w:cnfStyle w:val="100000000000" w:firstRow="1" w:lastRow="0" w:firstColumn="0" w:lastColumn="0" w:oddVBand="0" w:evenVBand="0" w:oddHBand="0" w:evenHBand="0" w:firstRowFirstColumn="0" w:firstRowLastColumn="0" w:lastRowFirstColumn="0" w:lastRowLastColumn="0"/>
            </w:pPr>
          </w:p>
        </w:tc>
        <w:tc>
          <w:tcPr>
            <w:tcW w:w="1167" w:type="dxa"/>
          </w:tcPr>
          <w:p w14:paraId="0CD0E805" w14:textId="493CAA48" w:rsidR="00CF4A4C" w:rsidRDefault="00CF4A4C" w:rsidP="00CF4A4C">
            <w:pPr>
              <w:jc w:val="center"/>
              <w:cnfStyle w:val="100000000000" w:firstRow="1" w:lastRow="0" w:firstColumn="0" w:lastColumn="0" w:oddVBand="0" w:evenVBand="0" w:oddHBand="0" w:evenHBand="0" w:firstRowFirstColumn="0" w:firstRowLastColumn="0" w:lastRowFirstColumn="0" w:lastRowLastColumn="0"/>
            </w:pPr>
            <w:r>
              <w:t>Reduction of 7.5% of average Revenue</w:t>
            </w:r>
          </w:p>
        </w:tc>
        <w:tc>
          <w:tcPr>
            <w:tcW w:w="1168" w:type="dxa"/>
          </w:tcPr>
          <w:p w14:paraId="4561C0C3" w14:textId="375D5BE1" w:rsidR="00CF4A4C" w:rsidRDefault="00CF4A4C" w:rsidP="00CF4A4C">
            <w:pPr>
              <w:jc w:val="center"/>
              <w:cnfStyle w:val="100000000000" w:firstRow="1" w:lastRow="0" w:firstColumn="0" w:lastColumn="0" w:oddVBand="0" w:evenVBand="0" w:oddHBand="0" w:evenHBand="0" w:firstRowFirstColumn="0" w:firstRowLastColumn="0" w:lastRowFirstColumn="0" w:lastRowLastColumn="0"/>
            </w:pPr>
            <w:r>
              <w:t>Reduction of 8.3% of average Revenue</w:t>
            </w:r>
          </w:p>
        </w:tc>
        <w:tc>
          <w:tcPr>
            <w:tcW w:w="1167" w:type="dxa"/>
          </w:tcPr>
          <w:p w14:paraId="522CD47A" w14:textId="139AAAC5" w:rsidR="00CF4A4C" w:rsidRDefault="00CF4A4C" w:rsidP="00CF4A4C">
            <w:pPr>
              <w:jc w:val="center"/>
              <w:cnfStyle w:val="100000000000" w:firstRow="1" w:lastRow="0" w:firstColumn="0" w:lastColumn="0" w:oddVBand="0" w:evenVBand="0" w:oddHBand="0" w:evenHBand="0" w:firstRowFirstColumn="0" w:firstRowLastColumn="0" w:lastRowFirstColumn="0" w:lastRowLastColumn="0"/>
            </w:pPr>
            <w:r>
              <w:t>Reduction of 10% of average Revenue</w:t>
            </w:r>
          </w:p>
        </w:tc>
        <w:tc>
          <w:tcPr>
            <w:tcW w:w="1168" w:type="dxa"/>
          </w:tcPr>
          <w:p w14:paraId="1CE02BC8" w14:textId="2F960DDA" w:rsidR="00CF4A4C" w:rsidRDefault="00CF4A4C" w:rsidP="00CF4A4C">
            <w:pPr>
              <w:jc w:val="center"/>
              <w:cnfStyle w:val="100000000000" w:firstRow="1" w:lastRow="0" w:firstColumn="0" w:lastColumn="0" w:oddVBand="0" w:evenVBand="0" w:oddHBand="0" w:evenHBand="0" w:firstRowFirstColumn="0" w:firstRowLastColumn="0" w:lastRowFirstColumn="0" w:lastRowLastColumn="0"/>
            </w:pPr>
            <w:r>
              <w:t>Reduction of 15% of average Revenue</w:t>
            </w:r>
          </w:p>
        </w:tc>
        <w:tc>
          <w:tcPr>
            <w:tcW w:w="1168" w:type="dxa"/>
          </w:tcPr>
          <w:p w14:paraId="76DD64DF" w14:textId="2A9E2635" w:rsidR="00CF4A4C" w:rsidRDefault="00CF4A4C" w:rsidP="00CF4A4C">
            <w:pPr>
              <w:jc w:val="center"/>
              <w:cnfStyle w:val="100000000000" w:firstRow="1" w:lastRow="0" w:firstColumn="0" w:lastColumn="0" w:oddVBand="0" w:evenVBand="0" w:oddHBand="0" w:evenHBand="0" w:firstRowFirstColumn="0" w:firstRowLastColumn="0" w:lastRowFirstColumn="0" w:lastRowLastColumn="0"/>
            </w:pPr>
            <w:r>
              <w:t>Reduction of 20% of average Revenue</w:t>
            </w:r>
          </w:p>
        </w:tc>
        <w:tc>
          <w:tcPr>
            <w:tcW w:w="1176" w:type="dxa"/>
          </w:tcPr>
          <w:p w14:paraId="0A29DB86" w14:textId="3DD40A39" w:rsidR="00CF4A4C" w:rsidRPr="00DB5446" w:rsidRDefault="00E46E09" w:rsidP="00CF4A4C">
            <w:pPr>
              <w:jc w:val="center"/>
              <w:cnfStyle w:val="100000000000" w:firstRow="1"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63360" behindDoc="0" locked="0" layoutInCell="1" allowOverlap="1" wp14:anchorId="0A990B92" wp14:editId="27386AD2">
                      <wp:simplePos x="0" y="0"/>
                      <wp:positionH relativeFrom="column">
                        <wp:posOffset>1270</wp:posOffset>
                      </wp:positionH>
                      <wp:positionV relativeFrom="paragraph">
                        <wp:posOffset>-24765</wp:posOffset>
                      </wp:positionV>
                      <wp:extent cx="628650" cy="1685925"/>
                      <wp:effectExtent l="19050" t="19050" r="19050" b="28575"/>
                      <wp:wrapNone/>
                      <wp:docPr id="30" name="Rectangle: Rounded Corners 30" descr="Rectangle highlighting figures in the  reduction of 7.5% ofaverage revenue column in Table 30: Analysis of liquid asset coverage for reductions in revenue claims (due to draw down on unspent funds) by DHS. Figures are as follows: NFP :9, FP:4 and Total:13." title="Rectangle highlight"/>
                      <wp:cNvGraphicFramePr/>
                      <a:graphic xmlns:a="http://schemas.openxmlformats.org/drawingml/2006/main">
                        <a:graphicData uri="http://schemas.microsoft.com/office/word/2010/wordprocessingShape">
                          <wps:wsp>
                            <wps:cNvSpPr/>
                            <wps:spPr>
                              <a:xfrm>
                                <a:off x="0" y="0"/>
                                <a:ext cx="628650" cy="1685925"/>
                              </a:xfrm>
                              <a:prstGeom prst="round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A817D7" id="Rectangle: Rounded Corners 30" o:spid="_x0000_s1026" alt="Title: Rectangle highlight - Description: Rectangle highlighting figures in the  reduction of 7.5% ofaverage revenue column in Table 30: Analysis of liquid asset coverage for reductions in revenue claims (due to draw down on unspent funds) by DHS. Figures are as follows: NFP :9, FP:4 and Total:13." style="position:absolute;margin-left:.1pt;margin-top:-1.95pt;width:49.5pt;height:132.7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" filled="f" strokecolor="#ffc000" strokeweight="2.25pt">
                      <v:stroke joinstyle="miter"/>
                    </v:roundrect>
                  </w:pict>
                </mc:Fallback>
              </mc:AlternateContent>
            </w:r>
            <w:r w:rsidR="00CF4A4C">
              <w:t>Reduction of 7.5% of average Revenue</w:t>
            </w:r>
          </w:p>
        </w:tc>
        <w:tc>
          <w:tcPr>
            <w:tcW w:w="1176" w:type="dxa"/>
          </w:tcPr>
          <w:p w14:paraId="02D766F8" w14:textId="77777777" w:rsidR="00CF4A4C" w:rsidRPr="00DB5446" w:rsidRDefault="00CF4A4C" w:rsidP="00CF4A4C">
            <w:pPr>
              <w:jc w:val="center"/>
              <w:cnfStyle w:val="100000000000" w:firstRow="1" w:lastRow="0" w:firstColumn="0" w:lastColumn="0" w:oddVBand="0" w:evenVBand="0" w:oddHBand="0" w:evenHBand="0" w:firstRowFirstColumn="0" w:firstRowLastColumn="0" w:lastRowFirstColumn="0" w:lastRowLastColumn="0"/>
            </w:pPr>
            <w:r>
              <w:t>Reduction of 8.3% of average Revenue</w:t>
            </w:r>
          </w:p>
        </w:tc>
        <w:tc>
          <w:tcPr>
            <w:tcW w:w="1176" w:type="dxa"/>
          </w:tcPr>
          <w:p w14:paraId="1C95EFEB" w14:textId="77777777" w:rsidR="00CF4A4C" w:rsidRPr="00DB5446" w:rsidRDefault="00CF4A4C" w:rsidP="00CF4A4C">
            <w:pPr>
              <w:jc w:val="center"/>
              <w:cnfStyle w:val="100000000000" w:firstRow="1" w:lastRow="0" w:firstColumn="0" w:lastColumn="0" w:oddVBand="0" w:evenVBand="0" w:oddHBand="0" w:evenHBand="0" w:firstRowFirstColumn="0" w:firstRowLastColumn="0" w:lastRowFirstColumn="0" w:lastRowLastColumn="0"/>
            </w:pPr>
            <w:r>
              <w:t>Reduction of 10% of average Revenue</w:t>
            </w:r>
          </w:p>
        </w:tc>
        <w:tc>
          <w:tcPr>
            <w:tcW w:w="1176" w:type="dxa"/>
          </w:tcPr>
          <w:p w14:paraId="3F21CA36" w14:textId="77777777" w:rsidR="00CF4A4C" w:rsidRPr="00DB5446" w:rsidRDefault="00CF4A4C" w:rsidP="00CF4A4C">
            <w:pPr>
              <w:jc w:val="center"/>
              <w:cnfStyle w:val="100000000000" w:firstRow="1" w:lastRow="0" w:firstColumn="0" w:lastColumn="0" w:oddVBand="0" w:evenVBand="0" w:oddHBand="0" w:evenHBand="0" w:firstRowFirstColumn="0" w:firstRowLastColumn="0" w:lastRowFirstColumn="0" w:lastRowLastColumn="0"/>
            </w:pPr>
            <w:r>
              <w:t>Reduction of 15% of average Revenue</w:t>
            </w:r>
          </w:p>
        </w:tc>
        <w:tc>
          <w:tcPr>
            <w:tcW w:w="1176" w:type="dxa"/>
          </w:tcPr>
          <w:p w14:paraId="0E57612C" w14:textId="73D4B011" w:rsidR="00CF4A4C" w:rsidRPr="00DB5446" w:rsidRDefault="00E46E09" w:rsidP="00CF4A4C">
            <w:pPr>
              <w:jc w:val="center"/>
              <w:cnfStyle w:val="100000000000" w:firstRow="1"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62336" behindDoc="0" locked="0" layoutInCell="1" allowOverlap="1" wp14:anchorId="41738286" wp14:editId="1EE6107B">
                      <wp:simplePos x="0" y="0"/>
                      <wp:positionH relativeFrom="column">
                        <wp:posOffset>14605</wp:posOffset>
                      </wp:positionH>
                      <wp:positionV relativeFrom="paragraph">
                        <wp:posOffset>-24765</wp:posOffset>
                      </wp:positionV>
                      <wp:extent cx="590550" cy="1685925"/>
                      <wp:effectExtent l="19050" t="19050" r="19050" b="28575"/>
                      <wp:wrapNone/>
                      <wp:docPr id="29" name="Rectangle: Rounded Corners 29" descr="Rectangle highlighting figures in the  reduction of 20% ofaverage revenue column in Table 30: Analysis of liquid asset coverage for reductions in revenue claims (due to draw down on unspent funds) by DHS. Figures are as follows: NFP :13, FP:10 and Total:23." title="Rectangle highlight"/>
                      <wp:cNvGraphicFramePr/>
                      <a:graphic xmlns:a="http://schemas.openxmlformats.org/drawingml/2006/main">
                        <a:graphicData uri="http://schemas.microsoft.com/office/word/2010/wordprocessingShape">
                          <wps:wsp>
                            <wps:cNvSpPr/>
                            <wps:spPr>
                              <a:xfrm>
                                <a:off x="0" y="0"/>
                                <a:ext cx="590550" cy="1685925"/>
                              </a:xfrm>
                              <a:prstGeom prst="round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EBEDAB" id="Rectangle: Rounded Corners 29" o:spid="_x0000_s1026" alt="Title: Rectangle highlight - Description: Rectangle highlighting figures in the  reduction of 20% ofaverage revenue column in Table 30: Analysis of liquid asset coverage for reductions in revenue claims (due to draw down on unspent funds) by DHS. Figures are as follows: NFP :13, FP:10 and Total:23." style="position:absolute;margin-left:1.15pt;margin-top:-1.95pt;width:46.5pt;height:132.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" filled="f" strokecolor="#ffc000" strokeweight="2.25pt">
                      <v:stroke joinstyle="miter"/>
                    </v:roundrect>
                  </w:pict>
                </mc:Fallback>
              </mc:AlternateContent>
            </w:r>
            <w:r w:rsidR="00CF4A4C">
              <w:t>Reduction of 20% of average Revenue</w:t>
            </w:r>
          </w:p>
        </w:tc>
      </w:tr>
      <w:tr w:rsidR="00CF4A4C" w:rsidRPr="00DB5446" w14:paraId="6374A647" w14:textId="77777777" w:rsidTr="006C0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5" w:type="dxa"/>
          </w:tcPr>
          <w:p w14:paraId="72A326BA" w14:textId="77777777" w:rsidR="00CF4A4C" w:rsidRPr="00DB5446" w:rsidRDefault="00CF4A4C" w:rsidP="00CF4A4C">
            <w:pPr>
              <w:jc w:val="left"/>
            </w:pPr>
            <w:r>
              <w:t>NFP</w:t>
            </w:r>
          </w:p>
        </w:tc>
        <w:tc>
          <w:tcPr>
            <w:tcW w:w="1049" w:type="dxa"/>
            <w:shd w:val="clear" w:color="auto" w:fill="auto"/>
          </w:tcPr>
          <w:p w14:paraId="781199FD" w14:textId="77777777" w:rsidR="00CF4A4C" w:rsidRPr="00DB5446" w:rsidRDefault="00CF4A4C" w:rsidP="00CF4A4C">
            <w:pPr>
              <w:jc w:val="center"/>
              <w:cnfStyle w:val="000000100000" w:firstRow="0" w:lastRow="0" w:firstColumn="0" w:lastColumn="0" w:oddVBand="0" w:evenVBand="0" w:oddHBand="1" w:evenHBand="0" w:firstRowFirstColumn="0" w:firstRowLastColumn="0" w:lastRowFirstColumn="0" w:lastRowLastColumn="0"/>
            </w:pPr>
            <w:r>
              <w:t>307</w:t>
            </w:r>
          </w:p>
        </w:tc>
        <w:tc>
          <w:tcPr>
            <w:tcW w:w="1167" w:type="dxa"/>
            <w:shd w:val="clear" w:color="auto" w:fill="auto"/>
          </w:tcPr>
          <w:p w14:paraId="2B195DD6" w14:textId="1E3E326A" w:rsidR="00CF4A4C" w:rsidRPr="007133DC" w:rsidRDefault="00CF4A4C" w:rsidP="00CF4A4C">
            <w:pPr>
              <w:jc w:val="center"/>
              <w:cnfStyle w:val="000000100000" w:firstRow="0" w:lastRow="0" w:firstColumn="0" w:lastColumn="0" w:oddVBand="0" w:evenVBand="0" w:oddHBand="1" w:evenHBand="0" w:firstRowFirstColumn="0" w:firstRowLastColumn="0" w:lastRowFirstColumn="0" w:lastRowLastColumn="0"/>
            </w:pPr>
            <w:r w:rsidRPr="009924CF">
              <w:t xml:space="preserve"> 50 </w:t>
            </w:r>
          </w:p>
        </w:tc>
        <w:tc>
          <w:tcPr>
            <w:tcW w:w="1168" w:type="dxa"/>
            <w:shd w:val="clear" w:color="auto" w:fill="auto"/>
          </w:tcPr>
          <w:p w14:paraId="07319F01" w14:textId="5320C394" w:rsidR="00CF4A4C" w:rsidRPr="007133DC" w:rsidRDefault="00CF4A4C" w:rsidP="00CF4A4C">
            <w:pPr>
              <w:jc w:val="center"/>
              <w:cnfStyle w:val="000000100000" w:firstRow="0" w:lastRow="0" w:firstColumn="0" w:lastColumn="0" w:oddVBand="0" w:evenVBand="0" w:oddHBand="1" w:evenHBand="0" w:firstRowFirstColumn="0" w:firstRowLastColumn="0" w:lastRowFirstColumn="0" w:lastRowLastColumn="0"/>
            </w:pPr>
            <w:r w:rsidRPr="009924CF">
              <w:t xml:space="preserve"> 45 </w:t>
            </w:r>
          </w:p>
        </w:tc>
        <w:tc>
          <w:tcPr>
            <w:tcW w:w="1167" w:type="dxa"/>
            <w:shd w:val="clear" w:color="auto" w:fill="auto"/>
          </w:tcPr>
          <w:p w14:paraId="15ADAF0D" w14:textId="2AFBF203" w:rsidR="00CF4A4C" w:rsidRPr="007133DC" w:rsidRDefault="00CF4A4C" w:rsidP="00CF4A4C">
            <w:pPr>
              <w:jc w:val="center"/>
              <w:cnfStyle w:val="000000100000" w:firstRow="0" w:lastRow="0" w:firstColumn="0" w:lastColumn="0" w:oddVBand="0" w:evenVBand="0" w:oddHBand="1" w:evenHBand="0" w:firstRowFirstColumn="0" w:firstRowLastColumn="0" w:lastRowFirstColumn="0" w:lastRowLastColumn="0"/>
            </w:pPr>
            <w:r w:rsidRPr="009924CF">
              <w:t xml:space="preserve"> 38 </w:t>
            </w:r>
          </w:p>
        </w:tc>
        <w:tc>
          <w:tcPr>
            <w:tcW w:w="1168" w:type="dxa"/>
            <w:shd w:val="clear" w:color="auto" w:fill="auto"/>
          </w:tcPr>
          <w:p w14:paraId="4321365A" w14:textId="1E80307D" w:rsidR="00CF4A4C" w:rsidRPr="007133DC" w:rsidRDefault="00CF4A4C" w:rsidP="00CF4A4C">
            <w:pPr>
              <w:jc w:val="center"/>
              <w:cnfStyle w:val="000000100000" w:firstRow="0" w:lastRow="0" w:firstColumn="0" w:lastColumn="0" w:oddVBand="0" w:evenVBand="0" w:oddHBand="1" w:evenHBand="0" w:firstRowFirstColumn="0" w:firstRowLastColumn="0" w:lastRowFirstColumn="0" w:lastRowLastColumn="0"/>
            </w:pPr>
            <w:r w:rsidRPr="009924CF">
              <w:t xml:space="preserve"> 25 </w:t>
            </w:r>
          </w:p>
        </w:tc>
        <w:tc>
          <w:tcPr>
            <w:tcW w:w="1168" w:type="dxa"/>
            <w:shd w:val="clear" w:color="auto" w:fill="auto"/>
          </w:tcPr>
          <w:p w14:paraId="42198BB0" w14:textId="36D0E541" w:rsidR="00CF4A4C" w:rsidRPr="007133DC" w:rsidRDefault="00CF4A4C" w:rsidP="00CF4A4C">
            <w:pPr>
              <w:jc w:val="center"/>
              <w:cnfStyle w:val="000000100000" w:firstRow="0" w:lastRow="0" w:firstColumn="0" w:lastColumn="0" w:oddVBand="0" w:evenVBand="0" w:oddHBand="1" w:evenHBand="0" w:firstRowFirstColumn="0" w:firstRowLastColumn="0" w:lastRowFirstColumn="0" w:lastRowLastColumn="0"/>
            </w:pPr>
            <w:r w:rsidRPr="009924CF">
              <w:t xml:space="preserve"> 19 </w:t>
            </w:r>
          </w:p>
        </w:tc>
        <w:tc>
          <w:tcPr>
            <w:tcW w:w="1176" w:type="dxa"/>
            <w:shd w:val="clear" w:color="auto" w:fill="auto"/>
          </w:tcPr>
          <w:p w14:paraId="10C9A5DD" w14:textId="0EA5238F" w:rsidR="00CF4A4C" w:rsidRPr="007133DC" w:rsidRDefault="00CF4A4C" w:rsidP="00CF4A4C">
            <w:pPr>
              <w:jc w:val="center"/>
              <w:cnfStyle w:val="000000100000" w:firstRow="0" w:lastRow="0" w:firstColumn="0" w:lastColumn="0" w:oddVBand="0" w:evenVBand="0" w:oddHBand="1" w:evenHBand="0" w:firstRowFirstColumn="0" w:firstRowLastColumn="0" w:lastRowFirstColumn="0" w:lastRowLastColumn="0"/>
            </w:pPr>
            <w:r w:rsidRPr="00164293">
              <w:t xml:space="preserve"> 9 </w:t>
            </w:r>
          </w:p>
        </w:tc>
        <w:tc>
          <w:tcPr>
            <w:tcW w:w="1176" w:type="dxa"/>
            <w:shd w:val="clear" w:color="auto" w:fill="auto"/>
          </w:tcPr>
          <w:p w14:paraId="22ECD86B" w14:textId="0EF41EC1" w:rsidR="00CF4A4C" w:rsidRPr="007133DC" w:rsidRDefault="00CF4A4C" w:rsidP="00CF4A4C">
            <w:pPr>
              <w:jc w:val="center"/>
              <w:cnfStyle w:val="000000100000" w:firstRow="0" w:lastRow="0" w:firstColumn="0" w:lastColumn="0" w:oddVBand="0" w:evenVBand="0" w:oddHBand="1" w:evenHBand="0" w:firstRowFirstColumn="0" w:firstRowLastColumn="0" w:lastRowFirstColumn="0" w:lastRowLastColumn="0"/>
            </w:pPr>
            <w:r w:rsidRPr="00164293">
              <w:t xml:space="preserve"> 9 </w:t>
            </w:r>
          </w:p>
        </w:tc>
        <w:tc>
          <w:tcPr>
            <w:tcW w:w="1176" w:type="dxa"/>
            <w:shd w:val="clear" w:color="auto" w:fill="auto"/>
          </w:tcPr>
          <w:p w14:paraId="73373F22" w14:textId="03E99E49" w:rsidR="00CF4A4C" w:rsidRPr="007133DC" w:rsidRDefault="00CF4A4C" w:rsidP="00CF4A4C">
            <w:pPr>
              <w:jc w:val="center"/>
              <w:cnfStyle w:val="000000100000" w:firstRow="0" w:lastRow="0" w:firstColumn="0" w:lastColumn="0" w:oddVBand="0" w:evenVBand="0" w:oddHBand="1" w:evenHBand="0" w:firstRowFirstColumn="0" w:firstRowLastColumn="0" w:lastRowFirstColumn="0" w:lastRowLastColumn="0"/>
            </w:pPr>
            <w:r w:rsidRPr="00164293">
              <w:t xml:space="preserve"> 9 </w:t>
            </w:r>
          </w:p>
        </w:tc>
        <w:tc>
          <w:tcPr>
            <w:tcW w:w="1176" w:type="dxa"/>
            <w:shd w:val="clear" w:color="auto" w:fill="auto"/>
          </w:tcPr>
          <w:p w14:paraId="297DF962" w14:textId="635909F2" w:rsidR="00CF4A4C" w:rsidRPr="007133DC" w:rsidRDefault="00CF4A4C" w:rsidP="00CF4A4C">
            <w:pPr>
              <w:jc w:val="center"/>
              <w:cnfStyle w:val="000000100000" w:firstRow="0" w:lastRow="0" w:firstColumn="0" w:lastColumn="0" w:oddVBand="0" w:evenVBand="0" w:oddHBand="1" w:evenHBand="0" w:firstRowFirstColumn="0" w:firstRowLastColumn="0" w:lastRowFirstColumn="0" w:lastRowLastColumn="0"/>
            </w:pPr>
            <w:r w:rsidRPr="00164293">
              <w:t xml:space="preserve"> 12 </w:t>
            </w:r>
          </w:p>
        </w:tc>
        <w:tc>
          <w:tcPr>
            <w:tcW w:w="1176" w:type="dxa"/>
            <w:shd w:val="clear" w:color="auto" w:fill="auto"/>
          </w:tcPr>
          <w:p w14:paraId="60D4EC28" w14:textId="3AFBCADA" w:rsidR="00CF4A4C" w:rsidRPr="007133DC" w:rsidRDefault="00CF4A4C" w:rsidP="00CF4A4C">
            <w:pPr>
              <w:jc w:val="center"/>
              <w:cnfStyle w:val="000000100000" w:firstRow="0" w:lastRow="0" w:firstColumn="0" w:lastColumn="0" w:oddVBand="0" w:evenVBand="0" w:oddHBand="1" w:evenHBand="0" w:firstRowFirstColumn="0" w:firstRowLastColumn="0" w:lastRowFirstColumn="0" w:lastRowLastColumn="0"/>
            </w:pPr>
            <w:r w:rsidRPr="00164293">
              <w:t xml:space="preserve"> 13 </w:t>
            </w:r>
          </w:p>
        </w:tc>
      </w:tr>
      <w:tr w:rsidR="00CF4A4C" w:rsidRPr="00DB5446" w14:paraId="587D6A3F" w14:textId="77777777" w:rsidTr="006C0F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5" w:type="dxa"/>
          </w:tcPr>
          <w:p w14:paraId="0D1BD347" w14:textId="77777777" w:rsidR="00CF4A4C" w:rsidRPr="00DB5446" w:rsidRDefault="00CF4A4C" w:rsidP="00CF4A4C">
            <w:pPr>
              <w:jc w:val="left"/>
            </w:pPr>
            <w:r>
              <w:t>FP</w:t>
            </w:r>
          </w:p>
        </w:tc>
        <w:tc>
          <w:tcPr>
            <w:tcW w:w="1049" w:type="dxa"/>
            <w:shd w:val="clear" w:color="auto" w:fill="auto"/>
          </w:tcPr>
          <w:p w14:paraId="7F850A54" w14:textId="77777777" w:rsidR="00CF4A4C" w:rsidRPr="00DB5446" w:rsidRDefault="00CF4A4C" w:rsidP="00CF4A4C">
            <w:pPr>
              <w:jc w:val="center"/>
              <w:cnfStyle w:val="000000010000" w:firstRow="0" w:lastRow="0" w:firstColumn="0" w:lastColumn="0" w:oddVBand="0" w:evenVBand="0" w:oddHBand="0" w:evenHBand="1" w:firstRowFirstColumn="0" w:firstRowLastColumn="0" w:lastRowFirstColumn="0" w:lastRowLastColumn="0"/>
            </w:pPr>
            <w:r>
              <w:t>228</w:t>
            </w:r>
          </w:p>
        </w:tc>
        <w:tc>
          <w:tcPr>
            <w:tcW w:w="1167" w:type="dxa"/>
            <w:shd w:val="clear" w:color="auto" w:fill="auto"/>
          </w:tcPr>
          <w:p w14:paraId="5241D88F" w14:textId="06F7D126" w:rsidR="00CF4A4C" w:rsidRPr="007133DC" w:rsidRDefault="00CF4A4C" w:rsidP="00CF4A4C">
            <w:pPr>
              <w:jc w:val="center"/>
              <w:cnfStyle w:val="000000010000" w:firstRow="0" w:lastRow="0" w:firstColumn="0" w:lastColumn="0" w:oddVBand="0" w:evenVBand="0" w:oddHBand="0" w:evenHBand="1" w:firstRowFirstColumn="0" w:firstRowLastColumn="0" w:lastRowFirstColumn="0" w:lastRowLastColumn="0"/>
            </w:pPr>
            <w:r w:rsidRPr="009924CF">
              <w:t xml:space="preserve"> 40 </w:t>
            </w:r>
          </w:p>
        </w:tc>
        <w:tc>
          <w:tcPr>
            <w:tcW w:w="1168" w:type="dxa"/>
            <w:shd w:val="clear" w:color="auto" w:fill="auto"/>
          </w:tcPr>
          <w:p w14:paraId="431DC7E1" w14:textId="6C1F4CCF" w:rsidR="00CF4A4C" w:rsidRPr="007133DC" w:rsidRDefault="00CF4A4C" w:rsidP="00CF4A4C">
            <w:pPr>
              <w:jc w:val="center"/>
              <w:cnfStyle w:val="000000010000" w:firstRow="0" w:lastRow="0" w:firstColumn="0" w:lastColumn="0" w:oddVBand="0" w:evenVBand="0" w:oddHBand="0" w:evenHBand="1" w:firstRowFirstColumn="0" w:firstRowLastColumn="0" w:lastRowFirstColumn="0" w:lastRowLastColumn="0"/>
            </w:pPr>
            <w:r w:rsidRPr="009924CF">
              <w:t xml:space="preserve"> 36 </w:t>
            </w:r>
          </w:p>
        </w:tc>
        <w:tc>
          <w:tcPr>
            <w:tcW w:w="1167" w:type="dxa"/>
            <w:shd w:val="clear" w:color="auto" w:fill="auto"/>
          </w:tcPr>
          <w:p w14:paraId="6889EC16" w14:textId="07D28F46" w:rsidR="00CF4A4C" w:rsidRPr="007133DC" w:rsidRDefault="00CF4A4C" w:rsidP="00CF4A4C">
            <w:pPr>
              <w:jc w:val="center"/>
              <w:cnfStyle w:val="000000010000" w:firstRow="0" w:lastRow="0" w:firstColumn="0" w:lastColumn="0" w:oddVBand="0" w:evenVBand="0" w:oddHBand="0" w:evenHBand="1" w:firstRowFirstColumn="0" w:firstRowLastColumn="0" w:lastRowFirstColumn="0" w:lastRowLastColumn="0"/>
            </w:pPr>
            <w:r w:rsidRPr="009924CF">
              <w:t xml:space="preserve"> 30 </w:t>
            </w:r>
          </w:p>
        </w:tc>
        <w:tc>
          <w:tcPr>
            <w:tcW w:w="1168" w:type="dxa"/>
            <w:shd w:val="clear" w:color="auto" w:fill="auto"/>
          </w:tcPr>
          <w:p w14:paraId="0E32F0AC" w14:textId="33CF1D76" w:rsidR="00CF4A4C" w:rsidRPr="007133DC" w:rsidRDefault="00CF4A4C" w:rsidP="00CF4A4C">
            <w:pPr>
              <w:jc w:val="center"/>
              <w:cnfStyle w:val="000000010000" w:firstRow="0" w:lastRow="0" w:firstColumn="0" w:lastColumn="0" w:oddVBand="0" w:evenVBand="0" w:oddHBand="0" w:evenHBand="1" w:firstRowFirstColumn="0" w:firstRowLastColumn="0" w:lastRowFirstColumn="0" w:lastRowLastColumn="0"/>
            </w:pPr>
            <w:r w:rsidRPr="009924CF">
              <w:t xml:space="preserve"> 20 </w:t>
            </w:r>
          </w:p>
        </w:tc>
        <w:tc>
          <w:tcPr>
            <w:tcW w:w="1168" w:type="dxa"/>
            <w:shd w:val="clear" w:color="auto" w:fill="auto"/>
          </w:tcPr>
          <w:p w14:paraId="4419FE9C" w14:textId="2BAA1814" w:rsidR="00CF4A4C" w:rsidRPr="007133DC" w:rsidRDefault="00CF4A4C" w:rsidP="00CF4A4C">
            <w:pPr>
              <w:jc w:val="center"/>
              <w:cnfStyle w:val="000000010000" w:firstRow="0" w:lastRow="0" w:firstColumn="0" w:lastColumn="0" w:oddVBand="0" w:evenVBand="0" w:oddHBand="0" w:evenHBand="1" w:firstRowFirstColumn="0" w:firstRowLastColumn="0" w:lastRowFirstColumn="0" w:lastRowLastColumn="0"/>
            </w:pPr>
            <w:r w:rsidRPr="009924CF">
              <w:t xml:space="preserve"> 15 </w:t>
            </w:r>
          </w:p>
        </w:tc>
        <w:tc>
          <w:tcPr>
            <w:tcW w:w="1176" w:type="dxa"/>
            <w:shd w:val="clear" w:color="auto" w:fill="auto"/>
          </w:tcPr>
          <w:p w14:paraId="32EE9D39" w14:textId="279345A6" w:rsidR="00CF4A4C" w:rsidRPr="007133DC" w:rsidRDefault="00CF4A4C" w:rsidP="00CF4A4C">
            <w:pPr>
              <w:jc w:val="center"/>
              <w:cnfStyle w:val="000000010000" w:firstRow="0" w:lastRow="0" w:firstColumn="0" w:lastColumn="0" w:oddVBand="0" w:evenVBand="0" w:oddHBand="0" w:evenHBand="1" w:firstRowFirstColumn="0" w:firstRowLastColumn="0" w:lastRowFirstColumn="0" w:lastRowLastColumn="0"/>
            </w:pPr>
            <w:r w:rsidRPr="00164293">
              <w:t xml:space="preserve"> 4 </w:t>
            </w:r>
          </w:p>
        </w:tc>
        <w:tc>
          <w:tcPr>
            <w:tcW w:w="1176" w:type="dxa"/>
            <w:shd w:val="clear" w:color="auto" w:fill="auto"/>
          </w:tcPr>
          <w:p w14:paraId="071257AC" w14:textId="55D04053" w:rsidR="00CF4A4C" w:rsidRPr="007133DC" w:rsidRDefault="00CF4A4C" w:rsidP="00CF4A4C">
            <w:pPr>
              <w:jc w:val="center"/>
              <w:cnfStyle w:val="000000010000" w:firstRow="0" w:lastRow="0" w:firstColumn="0" w:lastColumn="0" w:oddVBand="0" w:evenVBand="0" w:oddHBand="0" w:evenHBand="1" w:firstRowFirstColumn="0" w:firstRowLastColumn="0" w:lastRowFirstColumn="0" w:lastRowLastColumn="0"/>
            </w:pPr>
            <w:r w:rsidRPr="00164293">
              <w:t xml:space="preserve"> 4 </w:t>
            </w:r>
          </w:p>
        </w:tc>
        <w:tc>
          <w:tcPr>
            <w:tcW w:w="1176" w:type="dxa"/>
            <w:shd w:val="clear" w:color="auto" w:fill="auto"/>
          </w:tcPr>
          <w:p w14:paraId="65BA0B4B" w14:textId="145C628D" w:rsidR="00CF4A4C" w:rsidRPr="007133DC" w:rsidRDefault="00CF4A4C" w:rsidP="00CF4A4C">
            <w:pPr>
              <w:jc w:val="center"/>
              <w:cnfStyle w:val="000000010000" w:firstRow="0" w:lastRow="0" w:firstColumn="0" w:lastColumn="0" w:oddVBand="0" w:evenVBand="0" w:oddHBand="0" w:evenHBand="1" w:firstRowFirstColumn="0" w:firstRowLastColumn="0" w:lastRowFirstColumn="0" w:lastRowLastColumn="0"/>
            </w:pPr>
            <w:r w:rsidRPr="00164293">
              <w:t xml:space="preserve"> 5 </w:t>
            </w:r>
          </w:p>
        </w:tc>
        <w:tc>
          <w:tcPr>
            <w:tcW w:w="1176" w:type="dxa"/>
            <w:shd w:val="clear" w:color="auto" w:fill="auto"/>
          </w:tcPr>
          <w:p w14:paraId="2D5023B9" w14:textId="4CBB0474" w:rsidR="00CF4A4C" w:rsidRPr="007133DC" w:rsidRDefault="00CF4A4C" w:rsidP="00CF4A4C">
            <w:pPr>
              <w:jc w:val="center"/>
              <w:cnfStyle w:val="000000010000" w:firstRow="0" w:lastRow="0" w:firstColumn="0" w:lastColumn="0" w:oddVBand="0" w:evenVBand="0" w:oddHBand="0" w:evenHBand="1" w:firstRowFirstColumn="0" w:firstRowLastColumn="0" w:lastRowFirstColumn="0" w:lastRowLastColumn="0"/>
            </w:pPr>
            <w:r w:rsidRPr="00164293">
              <w:t xml:space="preserve"> 8 </w:t>
            </w:r>
          </w:p>
        </w:tc>
        <w:tc>
          <w:tcPr>
            <w:tcW w:w="1176" w:type="dxa"/>
            <w:shd w:val="clear" w:color="auto" w:fill="auto"/>
          </w:tcPr>
          <w:p w14:paraId="76774420" w14:textId="41AB1FF9" w:rsidR="00CF4A4C" w:rsidRPr="007133DC" w:rsidRDefault="00CF4A4C" w:rsidP="00CF4A4C">
            <w:pPr>
              <w:jc w:val="center"/>
              <w:cnfStyle w:val="000000010000" w:firstRow="0" w:lastRow="0" w:firstColumn="0" w:lastColumn="0" w:oddVBand="0" w:evenVBand="0" w:oddHBand="0" w:evenHBand="1" w:firstRowFirstColumn="0" w:firstRowLastColumn="0" w:lastRowFirstColumn="0" w:lastRowLastColumn="0"/>
            </w:pPr>
            <w:r w:rsidRPr="00164293">
              <w:t xml:space="preserve"> 10 </w:t>
            </w:r>
          </w:p>
        </w:tc>
      </w:tr>
      <w:tr w:rsidR="00CF4A4C" w:rsidRPr="00DB5446" w14:paraId="77E10587" w14:textId="77777777" w:rsidTr="006C0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5" w:type="dxa"/>
          </w:tcPr>
          <w:p w14:paraId="5E61DF02" w14:textId="77777777" w:rsidR="00CF4A4C" w:rsidRPr="00DB5446" w:rsidRDefault="00CF4A4C" w:rsidP="00CF4A4C">
            <w:pPr>
              <w:jc w:val="left"/>
            </w:pPr>
            <w:r>
              <w:t>Total</w:t>
            </w:r>
          </w:p>
        </w:tc>
        <w:tc>
          <w:tcPr>
            <w:tcW w:w="1049" w:type="dxa"/>
            <w:shd w:val="clear" w:color="auto" w:fill="auto"/>
          </w:tcPr>
          <w:p w14:paraId="6BB52DAF" w14:textId="77777777" w:rsidR="00CF4A4C" w:rsidRPr="0055399A" w:rsidRDefault="00CF4A4C" w:rsidP="00CF4A4C">
            <w:pPr>
              <w:jc w:val="center"/>
              <w:cnfStyle w:val="000000100000" w:firstRow="0" w:lastRow="0" w:firstColumn="0" w:lastColumn="0" w:oddVBand="0" w:evenVBand="0" w:oddHBand="1" w:evenHBand="0" w:firstRowFirstColumn="0" w:firstRowLastColumn="0" w:lastRowFirstColumn="0" w:lastRowLastColumn="0"/>
              <w:rPr>
                <w:b/>
              </w:rPr>
            </w:pPr>
            <w:r w:rsidRPr="0055399A">
              <w:rPr>
                <w:b/>
              </w:rPr>
              <w:t>535</w:t>
            </w:r>
          </w:p>
        </w:tc>
        <w:tc>
          <w:tcPr>
            <w:tcW w:w="1167" w:type="dxa"/>
            <w:shd w:val="clear" w:color="auto" w:fill="auto"/>
          </w:tcPr>
          <w:p w14:paraId="048A9890" w14:textId="376A736F" w:rsidR="00CF4A4C" w:rsidRPr="0055399A" w:rsidRDefault="00CF4A4C" w:rsidP="00CF4A4C">
            <w:pPr>
              <w:jc w:val="center"/>
              <w:cnfStyle w:val="000000100000" w:firstRow="0" w:lastRow="0" w:firstColumn="0" w:lastColumn="0" w:oddVBand="0" w:evenVBand="0" w:oddHBand="1" w:evenHBand="0" w:firstRowFirstColumn="0" w:firstRowLastColumn="0" w:lastRowFirstColumn="0" w:lastRowLastColumn="0"/>
              <w:rPr>
                <w:b/>
              </w:rPr>
            </w:pPr>
            <w:r w:rsidRPr="0055399A">
              <w:rPr>
                <w:b/>
              </w:rPr>
              <w:t xml:space="preserve"> 47 </w:t>
            </w:r>
          </w:p>
        </w:tc>
        <w:tc>
          <w:tcPr>
            <w:tcW w:w="1168" w:type="dxa"/>
            <w:shd w:val="clear" w:color="auto" w:fill="auto"/>
          </w:tcPr>
          <w:p w14:paraId="540B8DE0" w14:textId="09DB3DB2" w:rsidR="00CF4A4C" w:rsidRPr="0055399A" w:rsidRDefault="00CF4A4C" w:rsidP="00CF4A4C">
            <w:pPr>
              <w:jc w:val="center"/>
              <w:cnfStyle w:val="000000100000" w:firstRow="0" w:lastRow="0" w:firstColumn="0" w:lastColumn="0" w:oddVBand="0" w:evenVBand="0" w:oddHBand="1" w:evenHBand="0" w:firstRowFirstColumn="0" w:firstRowLastColumn="0" w:lastRowFirstColumn="0" w:lastRowLastColumn="0"/>
              <w:rPr>
                <w:b/>
              </w:rPr>
            </w:pPr>
            <w:r w:rsidRPr="0055399A">
              <w:rPr>
                <w:b/>
              </w:rPr>
              <w:t xml:space="preserve"> 43 </w:t>
            </w:r>
          </w:p>
        </w:tc>
        <w:tc>
          <w:tcPr>
            <w:tcW w:w="1167" w:type="dxa"/>
            <w:shd w:val="clear" w:color="auto" w:fill="auto"/>
          </w:tcPr>
          <w:p w14:paraId="5A4EA1BD" w14:textId="3ADA9D5F" w:rsidR="00CF4A4C" w:rsidRPr="0055399A" w:rsidRDefault="00CF4A4C" w:rsidP="00CF4A4C">
            <w:pPr>
              <w:jc w:val="center"/>
              <w:cnfStyle w:val="000000100000" w:firstRow="0" w:lastRow="0" w:firstColumn="0" w:lastColumn="0" w:oddVBand="0" w:evenVBand="0" w:oddHBand="1" w:evenHBand="0" w:firstRowFirstColumn="0" w:firstRowLastColumn="0" w:lastRowFirstColumn="0" w:lastRowLastColumn="0"/>
              <w:rPr>
                <w:b/>
              </w:rPr>
            </w:pPr>
            <w:r w:rsidRPr="0055399A">
              <w:rPr>
                <w:b/>
              </w:rPr>
              <w:t xml:space="preserve"> 35 </w:t>
            </w:r>
          </w:p>
        </w:tc>
        <w:tc>
          <w:tcPr>
            <w:tcW w:w="1168" w:type="dxa"/>
            <w:shd w:val="clear" w:color="auto" w:fill="auto"/>
          </w:tcPr>
          <w:p w14:paraId="159FC7EC" w14:textId="6FD418D4" w:rsidR="00CF4A4C" w:rsidRPr="0055399A" w:rsidRDefault="00CF4A4C" w:rsidP="00CF4A4C">
            <w:pPr>
              <w:jc w:val="center"/>
              <w:cnfStyle w:val="000000100000" w:firstRow="0" w:lastRow="0" w:firstColumn="0" w:lastColumn="0" w:oddVBand="0" w:evenVBand="0" w:oddHBand="1" w:evenHBand="0" w:firstRowFirstColumn="0" w:firstRowLastColumn="0" w:lastRowFirstColumn="0" w:lastRowLastColumn="0"/>
              <w:rPr>
                <w:b/>
              </w:rPr>
            </w:pPr>
            <w:r w:rsidRPr="0055399A">
              <w:rPr>
                <w:b/>
              </w:rPr>
              <w:t xml:space="preserve"> 24 </w:t>
            </w:r>
          </w:p>
        </w:tc>
        <w:tc>
          <w:tcPr>
            <w:tcW w:w="1168" w:type="dxa"/>
            <w:shd w:val="clear" w:color="auto" w:fill="auto"/>
          </w:tcPr>
          <w:p w14:paraId="008C6D85" w14:textId="36C97C9F" w:rsidR="00CF4A4C" w:rsidRPr="0055399A" w:rsidRDefault="00CF4A4C" w:rsidP="00CF4A4C">
            <w:pPr>
              <w:jc w:val="center"/>
              <w:cnfStyle w:val="000000100000" w:firstRow="0" w:lastRow="0" w:firstColumn="0" w:lastColumn="0" w:oddVBand="0" w:evenVBand="0" w:oddHBand="1" w:evenHBand="0" w:firstRowFirstColumn="0" w:firstRowLastColumn="0" w:lastRowFirstColumn="0" w:lastRowLastColumn="0"/>
              <w:rPr>
                <w:b/>
              </w:rPr>
            </w:pPr>
            <w:r w:rsidRPr="0055399A">
              <w:rPr>
                <w:b/>
              </w:rPr>
              <w:t xml:space="preserve"> 18 </w:t>
            </w:r>
          </w:p>
        </w:tc>
        <w:tc>
          <w:tcPr>
            <w:tcW w:w="1176" w:type="dxa"/>
            <w:shd w:val="clear" w:color="auto" w:fill="auto"/>
          </w:tcPr>
          <w:p w14:paraId="7EB50744" w14:textId="73E5D8A0" w:rsidR="00CF4A4C" w:rsidRPr="0055399A" w:rsidRDefault="00CF4A4C" w:rsidP="00CF4A4C">
            <w:pPr>
              <w:jc w:val="center"/>
              <w:cnfStyle w:val="000000100000" w:firstRow="0" w:lastRow="0" w:firstColumn="0" w:lastColumn="0" w:oddVBand="0" w:evenVBand="0" w:oddHBand="1" w:evenHBand="0" w:firstRowFirstColumn="0" w:firstRowLastColumn="0" w:lastRowFirstColumn="0" w:lastRowLastColumn="0"/>
              <w:rPr>
                <w:b/>
              </w:rPr>
            </w:pPr>
            <w:r w:rsidRPr="0055399A">
              <w:rPr>
                <w:b/>
              </w:rPr>
              <w:t xml:space="preserve"> 13 </w:t>
            </w:r>
          </w:p>
        </w:tc>
        <w:tc>
          <w:tcPr>
            <w:tcW w:w="1176" w:type="dxa"/>
            <w:shd w:val="clear" w:color="auto" w:fill="auto"/>
          </w:tcPr>
          <w:p w14:paraId="01E4BEFB" w14:textId="4A2BADF0" w:rsidR="00CF4A4C" w:rsidRPr="0055399A" w:rsidRDefault="00CF4A4C" w:rsidP="00CF4A4C">
            <w:pPr>
              <w:jc w:val="center"/>
              <w:cnfStyle w:val="000000100000" w:firstRow="0" w:lastRow="0" w:firstColumn="0" w:lastColumn="0" w:oddVBand="0" w:evenVBand="0" w:oddHBand="1" w:evenHBand="0" w:firstRowFirstColumn="0" w:firstRowLastColumn="0" w:lastRowFirstColumn="0" w:lastRowLastColumn="0"/>
              <w:rPr>
                <w:b/>
              </w:rPr>
            </w:pPr>
            <w:r w:rsidRPr="0055399A">
              <w:rPr>
                <w:b/>
              </w:rPr>
              <w:t xml:space="preserve"> 13 </w:t>
            </w:r>
          </w:p>
        </w:tc>
        <w:tc>
          <w:tcPr>
            <w:tcW w:w="1176" w:type="dxa"/>
            <w:shd w:val="clear" w:color="auto" w:fill="auto"/>
          </w:tcPr>
          <w:p w14:paraId="3F7F5FA7" w14:textId="49BC75BD" w:rsidR="00CF4A4C" w:rsidRPr="0055399A" w:rsidRDefault="00CF4A4C" w:rsidP="00CF4A4C">
            <w:pPr>
              <w:jc w:val="center"/>
              <w:cnfStyle w:val="000000100000" w:firstRow="0" w:lastRow="0" w:firstColumn="0" w:lastColumn="0" w:oddVBand="0" w:evenVBand="0" w:oddHBand="1" w:evenHBand="0" w:firstRowFirstColumn="0" w:firstRowLastColumn="0" w:lastRowFirstColumn="0" w:lastRowLastColumn="0"/>
              <w:rPr>
                <w:b/>
              </w:rPr>
            </w:pPr>
            <w:r w:rsidRPr="0055399A">
              <w:rPr>
                <w:b/>
              </w:rPr>
              <w:t xml:space="preserve"> 14 </w:t>
            </w:r>
          </w:p>
        </w:tc>
        <w:tc>
          <w:tcPr>
            <w:tcW w:w="1176" w:type="dxa"/>
            <w:shd w:val="clear" w:color="auto" w:fill="auto"/>
          </w:tcPr>
          <w:p w14:paraId="1485538D" w14:textId="699C6629" w:rsidR="00CF4A4C" w:rsidRPr="0055399A" w:rsidRDefault="00CF4A4C" w:rsidP="00CF4A4C">
            <w:pPr>
              <w:jc w:val="center"/>
              <w:cnfStyle w:val="000000100000" w:firstRow="0" w:lastRow="0" w:firstColumn="0" w:lastColumn="0" w:oddVBand="0" w:evenVBand="0" w:oddHBand="1" w:evenHBand="0" w:firstRowFirstColumn="0" w:firstRowLastColumn="0" w:lastRowFirstColumn="0" w:lastRowLastColumn="0"/>
              <w:rPr>
                <w:b/>
              </w:rPr>
            </w:pPr>
            <w:r w:rsidRPr="0055399A">
              <w:rPr>
                <w:b/>
              </w:rPr>
              <w:t xml:space="preserve"> 20 </w:t>
            </w:r>
          </w:p>
        </w:tc>
        <w:tc>
          <w:tcPr>
            <w:tcW w:w="1176" w:type="dxa"/>
            <w:shd w:val="clear" w:color="auto" w:fill="auto"/>
          </w:tcPr>
          <w:p w14:paraId="59E31672" w14:textId="40FFACE8" w:rsidR="00CF4A4C" w:rsidRPr="0055399A" w:rsidRDefault="00CF4A4C" w:rsidP="00CF4A4C">
            <w:pPr>
              <w:jc w:val="center"/>
              <w:cnfStyle w:val="000000100000" w:firstRow="0" w:lastRow="0" w:firstColumn="0" w:lastColumn="0" w:oddVBand="0" w:evenVBand="0" w:oddHBand="1" w:evenHBand="0" w:firstRowFirstColumn="0" w:firstRowLastColumn="0" w:lastRowFirstColumn="0" w:lastRowLastColumn="0"/>
              <w:rPr>
                <w:b/>
              </w:rPr>
            </w:pPr>
            <w:r w:rsidRPr="0055399A">
              <w:rPr>
                <w:b/>
              </w:rPr>
              <w:t xml:space="preserve"> 23 </w:t>
            </w:r>
          </w:p>
        </w:tc>
      </w:tr>
    </w:tbl>
    <w:p w14:paraId="5154601A" w14:textId="77777777" w:rsidR="00085447" w:rsidRDefault="00085447" w:rsidP="00085447"/>
    <w:p w14:paraId="146E6C42" w14:textId="77777777" w:rsidR="00DB5446" w:rsidRDefault="00DB5446" w:rsidP="00085447"/>
    <w:p w14:paraId="74819466" w14:textId="77777777" w:rsidR="00DB5446" w:rsidRDefault="00DB5446" w:rsidP="00085447"/>
    <w:p w14:paraId="37B2E909" w14:textId="77777777" w:rsidR="00DB5446" w:rsidRDefault="00DB5446" w:rsidP="00085447">
      <w:pPr>
        <w:sectPr w:rsidR="00DB5446" w:rsidSect="00DB5446">
          <w:pgSz w:w="16838" w:h="11906" w:orient="landscape"/>
          <w:pgMar w:top="1134" w:right="1418" w:bottom="1134" w:left="1418" w:header="709" w:footer="709" w:gutter="0"/>
          <w:cols w:space="708"/>
          <w:docGrid w:linePitch="360"/>
        </w:sectPr>
      </w:pPr>
    </w:p>
    <w:p w14:paraId="37A013BD" w14:textId="0CA33D21" w:rsidR="00063258" w:rsidRDefault="00A75A46" w:rsidP="006417F1">
      <w:pPr>
        <w:pStyle w:val="ACFPSHeading1"/>
      </w:pPr>
      <w:bookmarkStart w:id="59" w:name="_Toc26870725"/>
      <w:r>
        <w:lastRenderedPageBreak/>
        <w:t>O</w:t>
      </w:r>
      <w:r w:rsidR="00063258">
        <w:t xml:space="preserve">ther Issues </w:t>
      </w:r>
      <w:r w:rsidR="00D2353C">
        <w:t>t</w:t>
      </w:r>
      <w:r w:rsidR="00063258">
        <w:t>o Consider</w:t>
      </w:r>
      <w:bookmarkEnd w:id="59"/>
    </w:p>
    <w:p w14:paraId="0606E377" w14:textId="77777777" w:rsidR="00354062" w:rsidRDefault="00354062" w:rsidP="00354062">
      <w:pPr>
        <w:pStyle w:val="Heading2"/>
      </w:pPr>
      <w:bookmarkStart w:id="60" w:name="_Toc26870726"/>
      <w:r>
        <w:t>Current Subsidy Claiming Process</w:t>
      </w:r>
      <w:bookmarkEnd w:id="60"/>
    </w:p>
    <w:p w14:paraId="5151027A" w14:textId="22CCC98E" w:rsidR="00354062" w:rsidRDefault="00354062" w:rsidP="00354062">
      <w:r w:rsidRPr="00FB518C">
        <w:t>In the current funding arrangements, subsidy funding is received in advanced based on the care recipient’s assessed home care package (refer sections 2.1 and 2.2). In this respect, the subsidy funding received is at the gross amount less any income tested care fee.</w:t>
      </w:r>
      <w:r>
        <w:t xml:space="preserve"> A</w:t>
      </w:r>
      <w:r w:rsidR="00CB2A16">
        <w:t>P</w:t>
      </w:r>
      <w:r>
        <w:t xml:space="preserve">s lodge a claim for these subsidies which is on an exception </w:t>
      </w:r>
      <w:proofErr w:type="gramStart"/>
      <w:r>
        <w:t>basis, that</w:t>
      </w:r>
      <w:proofErr w:type="gramEnd"/>
      <w:r>
        <w:t xml:space="preserve"> is they only need to enter any changes that have occurred since the previous claim such as exits, persons on hospital leave and new care recipients.</w:t>
      </w:r>
    </w:p>
    <w:p w14:paraId="2BD8EFA4" w14:textId="77777777" w:rsidR="00354062" w:rsidRDefault="00354062" w:rsidP="00354062"/>
    <w:p w14:paraId="3C6E40F1" w14:textId="77777777" w:rsidR="00354062" w:rsidRDefault="00354062" w:rsidP="00354062">
      <w:r>
        <w:t>The gross amounts for each package level, current as at 20 September 2019 is as follows:</w:t>
      </w:r>
    </w:p>
    <w:p w14:paraId="6C878E8B" w14:textId="27745F16" w:rsidR="009E677F" w:rsidRDefault="009E677F" w:rsidP="0000677E"/>
    <w:tbl>
      <w:tblPr>
        <w:tblStyle w:val="DefaultTable1"/>
        <w:tblW w:w="0" w:type="auto"/>
        <w:tblLook w:val="0420" w:firstRow="1" w:lastRow="0" w:firstColumn="0" w:lastColumn="0" w:noHBand="0" w:noVBand="1"/>
        <w:tblCaption w:val="Daily and annual home care subsidy rates for all package levels, current as at 20 September 2019."/>
      </w:tblPr>
      <w:tblGrid>
        <w:gridCol w:w="4814"/>
        <w:gridCol w:w="1560"/>
        <w:gridCol w:w="1560"/>
      </w:tblGrid>
      <w:tr w:rsidR="009E677F" w14:paraId="032C5DB1" w14:textId="77777777" w:rsidTr="00627E62">
        <w:trPr>
          <w:cnfStyle w:val="100000000000" w:firstRow="1" w:lastRow="0" w:firstColumn="0" w:lastColumn="0" w:oddVBand="0" w:evenVBand="0" w:oddHBand="0" w:evenHBand="0" w:firstRowFirstColumn="0" w:firstRowLastColumn="0" w:lastRowFirstColumn="0" w:lastRowLastColumn="0"/>
          <w:tblHeader/>
        </w:trPr>
        <w:tc>
          <w:tcPr>
            <w:tcW w:w="4814" w:type="dxa"/>
          </w:tcPr>
          <w:p w14:paraId="2E272834" w14:textId="77777777" w:rsidR="009E677F" w:rsidRDefault="009E677F" w:rsidP="00701DB9">
            <w:r>
              <w:t>Package Level</w:t>
            </w:r>
          </w:p>
        </w:tc>
        <w:tc>
          <w:tcPr>
            <w:tcW w:w="1560" w:type="dxa"/>
          </w:tcPr>
          <w:p w14:paraId="2F3E14C1" w14:textId="77777777" w:rsidR="009E677F" w:rsidRDefault="009E677F" w:rsidP="00701DB9">
            <w:pPr>
              <w:jc w:val="center"/>
            </w:pPr>
            <w:r>
              <w:t>Daily Rate</w:t>
            </w:r>
          </w:p>
        </w:tc>
        <w:tc>
          <w:tcPr>
            <w:tcW w:w="1560" w:type="dxa"/>
          </w:tcPr>
          <w:p w14:paraId="7BAEFCFD" w14:textId="77777777" w:rsidR="009E677F" w:rsidRDefault="009E677F" w:rsidP="00701DB9">
            <w:pPr>
              <w:jc w:val="center"/>
            </w:pPr>
            <w:r>
              <w:t>Annual Amount</w:t>
            </w:r>
          </w:p>
        </w:tc>
      </w:tr>
      <w:tr w:rsidR="009E677F" w14:paraId="3B32ED95" w14:textId="77777777" w:rsidTr="00701DB9">
        <w:trPr>
          <w:cnfStyle w:val="000000100000" w:firstRow="0" w:lastRow="0" w:firstColumn="0" w:lastColumn="0" w:oddVBand="0" w:evenVBand="0" w:oddHBand="1" w:evenHBand="0" w:firstRowFirstColumn="0" w:firstRowLastColumn="0" w:lastRowFirstColumn="0" w:lastRowLastColumn="0"/>
        </w:trPr>
        <w:tc>
          <w:tcPr>
            <w:tcW w:w="4814" w:type="dxa"/>
          </w:tcPr>
          <w:p w14:paraId="5812F271" w14:textId="77777777" w:rsidR="009E677F" w:rsidRDefault="009E677F" w:rsidP="00701DB9">
            <w:r>
              <w:t>Home Care - Level 1 package</w:t>
            </w:r>
          </w:p>
        </w:tc>
        <w:tc>
          <w:tcPr>
            <w:tcW w:w="1560" w:type="dxa"/>
          </w:tcPr>
          <w:p w14:paraId="69EBBA28" w14:textId="6F0D074B" w:rsidR="009E677F" w:rsidRDefault="009E677F" w:rsidP="00701DB9">
            <w:pPr>
              <w:jc w:val="center"/>
            </w:pPr>
            <w:r>
              <w:t>$24.07</w:t>
            </w:r>
          </w:p>
        </w:tc>
        <w:tc>
          <w:tcPr>
            <w:tcW w:w="1560" w:type="dxa"/>
          </w:tcPr>
          <w:p w14:paraId="135190F6" w14:textId="7F8F2664" w:rsidR="009E677F" w:rsidRDefault="009E677F" w:rsidP="00701DB9">
            <w:pPr>
              <w:jc w:val="center"/>
            </w:pPr>
            <w:r>
              <w:t>$8,785.55</w:t>
            </w:r>
          </w:p>
        </w:tc>
      </w:tr>
      <w:tr w:rsidR="009E677F" w14:paraId="1B23CBC6" w14:textId="77777777" w:rsidTr="00701DB9">
        <w:trPr>
          <w:cnfStyle w:val="000000010000" w:firstRow="0" w:lastRow="0" w:firstColumn="0" w:lastColumn="0" w:oddVBand="0" w:evenVBand="0" w:oddHBand="0" w:evenHBand="1" w:firstRowFirstColumn="0" w:firstRowLastColumn="0" w:lastRowFirstColumn="0" w:lastRowLastColumn="0"/>
        </w:trPr>
        <w:tc>
          <w:tcPr>
            <w:tcW w:w="4814" w:type="dxa"/>
          </w:tcPr>
          <w:p w14:paraId="2BD13A28" w14:textId="77777777" w:rsidR="009E677F" w:rsidRDefault="009E677F" w:rsidP="00701DB9">
            <w:r>
              <w:t>Home Care - Level 2 package</w:t>
            </w:r>
          </w:p>
        </w:tc>
        <w:tc>
          <w:tcPr>
            <w:tcW w:w="1560" w:type="dxa"/>
          </w:tcPr>
          <w:p w14:paraId="14B0DFE2" w14:textId="0022EA2B" w:rsidR="009E677F" w:rsidRDefault="009E677F" w:rsidP="00701DB9">
            <w:pPr>
              <w:jc w:val="center"/>
            </w:pPr>
            <w:r>
              <w:t>$42.35</w:t>
            </w:r>
          </w:p>
        </w:tc>
        <w:tc>
          <w:tcPr>
            <w:tcW w:w="1560" w:type="dxa"/>
          </w:tcPr>
          <w:p w14:paraId="6089A24A" w14:textId="33E72943" w:rsidR="009E677F" w:rsidRDefault="009E677F" w:rsidP="00701DB9">
            <w:pPr>
              <w:jc w:val="center"/>
            </w:pPr>
            <w:r>
              <w:t>$15,457.75</w:t>
            </w:r>
          </w:p>
        </w:tc>
      </w:tr>
      <w:tr w:rsidR="009E677F" w14:paraId="1789060D" w14:textId="77777777" w:rsidTr="00701DB9">
        <w:trPr>
          <w:cnfStyle w:val="000000100000" w:firstRow="0" w:lastRow="0" w:firstColumn="0" w:lastColumn="0" w:oddVBand="0" w:evenVBand="0" w:oddHBand="1" w:evenHBand="0" w:firstRowFirstColumn="0" w:firstRowLastColumn="0" w:lastRowFirstColumn="0" w:lastRowLastColumn="0"/>
        </w:trPr>
        <w:tc>
          <w:tcPr>
            <w:tcW w:w="4814" w:type="dxa"/>
          </w:tcPr>
          <w:p w14:paraId="474D2B11" w14:textId="77777777" w:rsidR="009E677F" w:rsidRDefault="009E677F" w:rsidP="00701DB9">
            <w:r>
              <w:t>Home Care - Level 3 package</w:t>
            </w:r>
          </w:p>
        </w:tc>
        <w:tc>
          <w:tcPr>
            <w:tcW w:w="1560" w:type="dxa"/>
          </w:tcPr>
          <w:p w14:paraId="767A1798" w14:textId="09FAEF5F" w:rsidR="009E677F" w:rsidRDefault="009E677F" w:rsidP="00701DB9">
            <w:pPr>
              <w:jc w:val="center"/>
            </w:pPr>
            <w:r>
              <w:t>$92.16</w:t>
            </w:r>
          </w:p>
        </w:tc>
        <w:tc>
          <w:tcPr>
            <w:tcW w:w="1560" w:type="dxa"/>
          </w:tcPr>
          <w:p w14:paraId="44E81C0D" w14:textId="318CF6C7" w:rsidR="009E677F" w:rsidRDefault="009E677F" w:rsidP="00701DB9">
            <w:pPr>
              <w:jc w:val="center"/>
            </w:pPr>
            <w:r>
              <w:t>$33,638.40</w:t>
            </w:r>
          </w:p>
        </w:tc>
      </w:tr>
      <w:tr w:rsidR="009E677F" w14:paraId="76437A8C" w14:textId="77777777" w:rsidTr="00701DB9">
        <w:trPr>
          <w:cnfStyle w:val="000000010000" w:firstRow="0" w:lastRow="0" w:firstColumn="0" w:lastColumn="0" w:oddVBand="0" w:evenVBand="0" w:oddHBand="0" w:evenHBand="1" w:firstRowFirstColumn="0" w:firstRowLastColumn="0" w:lastRowFirstColumn="0" w:lastRowLastColumn="0"/>
        </w:trPr>
        <w:tc>
          <w:tcPr>
            <w:tcW w:w="4814" w:type="dxa"/>
          </w:tcPr>
          <w:p w14:paraId="7EB9E6B4" w14:textId="77777777" w:rsidR="009E677F" w:rsidRDefault="009E677F" w:rsidP="00701DB9">
            <w:r>
              <w:t>Home Care - Level 4 package</w:t>
            </w:r>
          </w:p>
        </w:tc>
        <w:tc>
          <w:tcPr>
            <w:tcW w:w="1560" w:type="dxa"/>
          </w:tcPr>
          <w:p w14:paraId="3CD47A42" w14:textId="0FAE3C99" w:rsidR="009E677F" w:rsidRDefault="009E677F" w:rsidP="00701DB9">
            <w:pPr>
              <w:jc w:val="center"/>
            </w:pPr>
            <w:r>
              <w:t>$139.70</w:t>
            </w:r>
          </w:p>
        </w:tc>
        <w:tc>
          <w:tcPr>
            <w:tcW w:w="1560" w:type="dxa"/>
          </w:tcPr>
          <w:p w14:paraId="3E62FAFC" w14:textId="1F42F996" w:rsidR="009E677F" w:rsidRDefault="009E677F" w:rsidP="00701DB9">
            <w:pPr>
              <w:jc w:val="center"/>
            </w:pPr>
            <w:r>
              <w:t>$50,990.50</w:t>
            </w:r>
          </w:p>
        </w:tc>
      </w:tr>
    </w:tbl>
    <w:p w14:paraId="36709ABF" w14:textId="77777777" w:rsidR="009E677F" w:rsidRPr="00FB518C" w:rsidRDefault="009E677F" w:rsidP="0000677E"/>
    <w:p w14:paraId="3622C05E" w14:textId="6C5B0A05" w:rsidR="00FB518C" w:rsidRDefault="00063258" w:rsidP="0000677E">
      <w:r w:rsidRPr="00FB518C">
        <w:t>A</w:t>
      </w:r>
      <w:r w:rsidR="00CB2A16">
        <w:t>Ps</w:t>
      </w:r>
      <w:r w:rsidRPr="00FB518C">
        <w:t xml:space="preserve"> are entitled to charge a co-contribution to the care recipient, and this amount is included in the overall home care package budget. The full amount of the co-contribution is not levied in many instances for a variety of reasons.</w:t>
      </w:r>
      <w:r w:rsidR="00EC28EF">
        <w:t xml:space="preserve"> </w:t>
      </w:r>
      <w:r w:rsidR="00FB518C">
        <w:t>Currently the maximum basic daily fee that can be charged for each package level is as follows</w:t>
      </w:r>
      <w:r w:rsidR="005C2DE2">
        <w:t>:</w:t>
      </w:r>
    </w:p>
    <w:p w14:paraId="5638C3DB" w14:textId="208D0703" w:rsidR="005C2DE2" w:rsidRDefault="005C2DE2" w:rsidP="0000677E"/>
    <w:tbl>
      <w:tblPr>
        <w:tblStyle w:val="DefaultTable1"/>
        <w:tblW w:w="0" w:type="auto"/>
        <w:tblLook w:val="0420" w:firstRow="1" w:lastRow="0" w:firstColumn="0" w:lastColumn="0" w:noHBand="0" w:noVBand="1"/>
        <w:tblCaption w:val="Maximum basic daily fee rates that can be chaged per hoe care package levels, current as at 20 September 2019."/>
      </w:tblPr>
      <w:tblGrid>
        <w:gridCol w:w="4814"/>
        <w:gridCol w:w="1560"/>
        <w:gridCol w:w="1560"/>
      </w:tblGrid>
      <w:tr w:rsidR="009E677F" w14:paraId="488E0277" w14:textId="5CDC8FA0" w:rsidTr="00627E62">
        <w:trPr>
          <w:cnfStyle w:val="100000000000" w:firstRow="1" w:lastRow="0" w:firstColumn="0" w:lastColumn="0" w:oddVBand="0" w:evenVBand="0" w:oddHBand="0" w:evenHBand="0" w:firstRowFirstColumn="0" w:firstRowLastColumn="0" w:lastRowFirstColumn="0" w:lastRowLastColumn="0"/>
          <w:tblHeader/>
        </w:trPr>
        <w:tc>
          <w:tcPr>
            <w:tcW w:w="4814" w:type="dxa"/>
          </w:tcPr>
          <w:p w14:paraId="5CABCAB8" w14:textId="1361CF89" w:rsidR="009E677F" w:rsidRDefault="009E677F" w:rsidP="0000677E">
            <w:r>
              <w:t>Package Level</w:t>
            </w:r>
          </w:p>
        </w:tc>
        <w:tc>
          <w:tcPr>
            <w:tcW w:w="1560" w:type="dxa"/>
          </w:tcPr>
          <w:p w14:paraId="458CE084" w14:textId="1EAB14C3" w:rsidR="009E677F" w:rsidRDefault="009E677F" w:rsidP="009E677F">
            <w:pPr>
              <w:jc w:val="center"/>
            </w:pPr>
            <w:r>
              <w:t>Daily Rate</w:t>
            </w:r>
          </w:p>
        </w:tc>
        <w:tc>
          <w:tcPr>
            <w:tcW w:w="1560" w:type="dxa"/>
          </w:tcPr>
          <w:p w14:paraId="147EE5FD" w14:textId="5488AB8B" w:rsidR="009E677F" w:rsidRDefault="009E677F" w:rsidP="009E677F">
            <w:pPr>
              <w:jc w:val="center"/>
            </w:pPr>
            <w:r>
              <w:t>Annual Amount</w:t>
            </w:r>
          </w:p>
        </w:tc>
      </w:tr>
      <w:tr w:rsidR="009E677F" w14:paraId="4E59AE64" w14:textId="6349CDDC" w:rsidTr="009E677F">
        <w:trPr>
          <w:cnfStyle w:val="000000100000" w:firstRow="0" w:lastRow="0" w:firstColumn="0" w:lastColumn="0" w:oddVBand="0" w:evenVBand="0" w:oddHBand="1" w:evenHBand="0" w:firstRowFirstColumn="0" w:firstRowLastColumn="0" w:lastRowFirstColumn="0" w:lastRowLastColumn="0"/>
        </w:trPr>
        <w:tc>
          <w:tcPr>
            <w:tcW w:w="4814" w:type="dxa"/>
          </w:tcPr>
          <w:p w14:paraId="0B017942" w14:textId="73FC74E6" w:rsidR="009E677F" w:rsidRDefault="009E677F" w:rsidP="0000677E">
            <w:r>
              <w:t>Home Care - Level 1 package</w:t>
            </w:r>
          </w:p>
        </w:tc>
        <w:tc>
          <w:tcPr>
            <w:tcW w:w="1560" w:type="dxa"/>
          </w:tcPr>
          <w:p w14:paraId="52958D47" w14:textId="700EDEA6" w:rsidR="009E677F" w:rsidRDefault="009E677F" w:rsidP="009E677F">
            <w:pPr>
              <w:jc w:val="center"/>
            </w:pPr>
            <w:r>
              <w:t>$9.52</w:t>
            </w:r>
          </w:p>
        </w:tc>
        <w:tc>
          <w:tcPr>
            <w:tcW w:w="1560" w:type="dxa"/>
          </w:tcPr>
          <w:p w14:paraId="216B5E8B" w14:textId="25FDD578" w:rsidR="009E677F" w:rsidRDefault="009E677F" w:rsidP="009E677F">
            <w:pPr>
              <w:jc w:val="center"/>
            </w:pPr>
            <w:r>
              <w:t>$3,474.80</w:t>
            </w:r>
          </w:p>
        </w:tc>
      </w:tr>
      <w:tr w:rsidR="009E677F" w14:paraId="2957E676" w14:textId="2F16CA5F" w:rsidTr="009E677F">
        <w:trPr>
          <w:cnfStyle w:val="000000010000" w:firstRow="0" w:lastRow="0" w:firstColumn="0" w:lastColumn="0" w:oddVBand="0" w:evenVBand="0" w:oddHBand="0" w:evenHBand="1" w:firstRowFirstColumn="0" w:firstRowLastColumn="0" w:lastRowFirstColumn="0" w:lastRowLastColumn="0"/>
        </w:trPr>
        <w:tc>
          <w:tcPr>
            <w:tcW w:w="4814" w:type="dxa"/>
          </w:tcPr>
          <w:p w14:paraId="618404BF" w14:textId="3CDE70BC" w:rsidR="009E677F" w:rsidRDefault="009E677F" w:rsidP="0000677E">
            <w:r>
              <w:t>Home Care - Level 2 package</w:t>
            </w:r>
          </w:p>
        </w:tc>
        <w:tc>
          <w:tcPr>
            <w:tcW w:w="1560" w:type="dxa"/>
          </w:tcPr>
          <w:p w14:paraId="20B70C19" w14:textId="4B6D8E28" w:rsidR="009E677F" w:rsidRDefault="009E677F" w:rsidP="009E677F">
            <w:pPr>
              <w:jc w:val="center"/>
            </w:pPr>
            <w:r>
              <w:t>$10.07</w:t>
            </w:r>
          </w:p>
        </w:tc>
        <w:tc>
          <w:tcPr>
            <w:tcW w:w="1560" w:type="dxa"/>
          </w:tcPr>
          <w:p w14:paraId="185E6A1E" w14:textId="3A5CDC2C" w:rsidR="009E677F" w:rsidRDefault="009E677F" w:rsidP="009E677F">
            <w:pPr>
              <w:jc w:val="center"/>
            </w:pPr>
            <w:r>
              <w:t>$3,675.55</w:t>
            </w:r>
          </w:p>
        </w:tc>
      </w:tr>
      <w:tr w:rsidR="009E677F" w14:paraId="4E38ED13" w14:textId="7919BEF0" w:rsidTr="009E677F">
        <w:trPr>
          <w:cnfStyle w:val="000000100000" w:firstRow="0" w:lastRow="0" w:firstColumn="0" w:lastColumn="0" w:oddVBand="0" w:evenVBand="0" w:oddHBand="1" w:evenHBand="0" w:firstRowFirstColumn="0" w:firstRowLastColumn="0" w:lastRowFirstColumn="0" w:lastRowLastColumn="0"/>
        </w:trPr>
        <w:tc>
          <w:tcPr>
            <w:tcW w:w="4814" w:type="dxa"/>
          </w:tcPr>
          <w:p w14:paraId="2C310C5E" w14:textId="64D6005B" w:rsidR="009E677F" w:rsidRDefault="009E677F" w:rsidP="0000677E">
            <w:r>
              <w:t>Home Care - Level 3 package</w:t>
            </w:r>
          </w:p>
        </w:tc>
        <w:tc>
          <w:tcPr>
            <w:tcW w:w="1560" w:type="dxa"/>
          </w:tcPr>
          <w:p w14:paraId="70B44145" w14:textId="035FB54A" w:rsidR="009E677F" w:rsidRDefault="009E677F" w:rsidP="009E677F">
            <w:pPr>
              <w:jc w:val="center"/>
            </w:pPr>
            <w:r>
              <w:t>$10.35</w:t>
            </w:r>
          </w:p>
        </w:tc>
        <w:tc>
          <w:tcPr>
            <w:tcW w:w="1560" w:type="dxa"/>
          </w:tcPr>
          <w:p w14:paraId="6BBEE64F" w14:textId="570D957D" w:rsidR="009E677F" w:rsidRDefault="009E677F" w:rsidP="009E677F">
            <w:pPr>
              <w:jc w:val="center"/>
            </w:pPr>
            <w:r>
              <w:t>$3,777.75</w:t>
            </w:r>
          </w:p>
        </w:tc>
      </w:tr>
      <w:tr w:rsidR="009E677F" w14:paraId="1EA73F86" w14:textId="15965EE9" w:rsidTr="009E677F">
        <w:trPr>
          <w:cnfStyle w:val="000000010000" w:firstRow="0" w:lastRow="0" w:firstColumn="0" w:lastColumn="0" w:oddVBand="0" w:evenVBand="0" w:oddHBand="0" w:evenHBand="1" w:firstRowFirstColumn="0" w:firstRowLastColumn="0" w:lastRowFirstColumn="0" w:lastRowLastColumn="0"/>
        </w:trPr>
        <w:tc>
          <w:tcPr>
            <w:tcW w:w="4814" w:type="dxa"/>
          </w:tcPr>
          <w:p w14:paraId="78EBD93A" w14:textId="50D9F17F" w:rsidR="009E677F" w:rsidRDefault="009E677F" w:rsidP="0000677E">
            <w:r>
              <w:t>Home Care - Level 4 package</w:t>
            </w:r>
          </w:p>
        </w:tc>
        <w:tc>
          <w:tcPr>
            <w:tcW w:w="1560" w:type="dxa"/>
          </w:tcPr>
          <w:p w14:paraId="0AF9726C" w14:textId="18181C4F" w:rsidR="009E677F" w:rsidRDefault="009E677F" w:rsidP="009E677F">
            <w:pPr>
              <w:jc w:val="center"/>
            </w:pPr>
            <w:r>
              <w:t>$10.63</w:t>
            </w:r>
          </w:p>
        </w:tc>
        <w:tc>
          <w:tcPr>
            <w:tcW w:w="1560" w:type="dxa"/>
          </w:tcPr>
          <w:p w14:paraId="44C3CE03" w14:textId="726F3667" w:rsidR="009E677F" w:rsidRDefault="009E677F" w:rsidP="009E677F">
            <w:pPr>
              <w:jc w:val="center"/>
            </w:pPr>
            <w:r>
              <w:t>$3,879.95</w:t>
            </w:r>
          </w:p>
        </w:tc>
      </w:tr>
    </w:tbl>
    <w:p w14:paraId="5D52C964" w14:textId="77777777" w:rsidR="005C2DE2" w:rsidRDefault="005C2DE2" w:rsidP="0000677E"/>
    <w:p w14:paraId="29234F0F" w14:textId="6DF7F460" w:rsidR="00583A2F" w:rsidRDefault="009E677F" w:rsidP="0000677E">
      <w:r>
        <w:t>Based on the current subsidy levels and maximum daily fee chargeable the full package value for each package level is as follows:</w:t>
      </w:r>
    </w:p>
    <w:p w14:paraId="5C670BDF" w14:textId="783F53BC" w:rsidR="009E677F" w:rsidRDefault="009E677F" w:rsidP="0000677E"/>
    <w:tbl>
      <w:tblPr>
        <w:tblStyle w:val="DefaultTable1"/>
        <w:tblW w:w="0" w:type="auto"/>
        <w:tblLook w:val="0420" w:firstRow="1" w:lastRow="0" w:firstColumn="0" w:lastColumn="0" w:noHBand="0" w:noVBand="1"/>
        <w:tblCaption w:val="current subsidy levels and maximum daily fee chargeable the full package value for each package level "/>
      </w:tblPr>
      <w:tblGrid>
        <w:gridCol w:w="2728"/>
        <w:gridCol w:w="1403"/>
        <w:gridCol w:w="1397"/>
        <w:gridCol w:w="1390"/>
        <w:gridCol w:w="1355"/>
        <w:gridCol w:w="1355"/>
      </w:tblGrid>
      <w:tr w:rsidR="009E677F" w14:paraId="52539CC3" w14:textId="3F7E3687" w:rsidTr="00627E62">
        <w:trPr>
          <w:cnfStyle w:val="100000000000" w:firstRow="1" w:lastRow="0" w:firstColumn="0" w:lastColumn="0" w:oddVBand="0" w:evenVBand="0" w:oddHBand="0" w:evenHBand="0" w:firstRowFirstColumn="0" w:firstRowLastColumn="0" w:lastRowFirstColumn="0" w:lastRowLastColumn="0"/>
          <w:tblHeader/>
        </w:trPr>
        <w:tc>
          <w:tcPr>
            <w:tcW w:w="2728" w:type="dxa"/>
          </w:tcPr>
          <w:p w14:paraId="3A2F64F2" w14:textId="77777777" w:rsidR="009E677F" w:rsidRDefault="009E677F" w:rsidP="00701DB9">
            <w:r>
              <w:t>Package Level</w:t>
            </w:r>
          </w:p>
        </w:tc>
        <w:tc>
          <w:tcPr>
            <w:tcW w:w="1403" w:type="dxa"/>
          </w:tcPr>
          <w:p w14:paraId="47406949" w14:textId="709CB5C6" w:rsidR="009E677F" w:rsidRDefault="009E677F" w:rsidP="00701DB9">
            <w:pPr>
              <w:jc w:val="center"/>
            </w:pPr>
            <w:r>
              <w:t>Annual Subsidy</w:t>
            </w:r>
          </w:p>
        </w:tc>
        <w:tc>
          <w:tcPr>
            <w:tcW w:w="1397" w:type="dxa"/>
          </w:tcPr>
          <w:p w14:paraId="0D13F967" w14:textId="0D9F430F" w:rsidR="009E677F" w:rsidRDefault="009E677F" w:rsidP="00701DB9">
            <w:pPr>
              <w:jc w:val="center"/>
            </w:pPr>
            <w:r>
              <w:t>Annual Basic Daily Fee</w:t>
            </w:r>
          </w:p>
        </w:tc>
        <w:tc>
          <w:tcPr>
            <w:tcW w:w="1390" w:type="dxa"/>
          </w:tcPr>
          <w:p w14:paraId="09F33386" w14:textId="69C01EE5" w:rsidR="009E677F" w:rsidRDefault="009E677F" w:rsidP="00701DB9">
            <w:pPr>
              <w:jc w:val="center"/>
            </w:pPr>
            <w:r>
              <w:t>Total Package Value</w:t>
            </w:r>
          </w:p>
        </w:tc>
        <w:tc>
          <w:tcPr>
            <w:tcW w:w="1355" w:type="dxa"/>
          </w:tcPr>
          <w:p w14:paraId="2748C9FC" w14:textId="1F93CA7B" w:rsidR="009E677F" w:rsidRDefault="009E677F" w:rsidP="00701DB9">
            <w:pPr>
              <w:jc w:val="center"/>
            </w:pPr>
            <w:r>
              <w:t>Subsidy as % of Total</w:t>
            </w:r>
          </w:p>
        </w:tc>
        <w:tc>
          <w:tcPr>
            <w:tcW w:w="1355" w:type="dxa"/>
          </w:tcPr>
          <w:p w14:paraId="67FE9E20" w14:textId="732C7440" w:rsidR="009E677F" w:rsidRDefault="00F74034" w:rsidP="00701DB9">
            <w:pPr>
              <w:jc w:val="center"/>
            </w:pPr>
            <w:r>
              <w:t>BDF as % of Total</w:t>
            </w:r>
          </w:p>
        </w:tc>
      </w:tr>
      <w:tr w:rsidR="009E677F" w14:paraId="0EACE276" w14:textId="2E051D99" w:rsidTr="009E677F">
        <w:trPr>
          <w:cnfStyle w:val="000000100000" w:firstRow="0" w:lastRow="0" w:firstColumn="0" w:lastColumn="0" w:oddVBand="0" w:evenVBand="0" w:oddHBand="1" w:evenHBand="0" w:firstRowFirstColumn="0" w:firstRowLastColumn="0" w:lastRowFirstColumn="0" w:lastRowLastColumn="0"/>
        </w:trPr>
        <w:tc>
          <w:tcPr>
            <w:tcW w:w="2728" w:type="dxa"/>
          </w:tcPr>
          <w:p w14:paraId="6CB1D574" w14:textId="77777777" w:rsidR="009E677F" w:rsidRDefault="009E677F" w:rsidP="009E677F">
            <w:r>
              <w:t>Home Care - Level 1 package</w:t>
            </w:r>
          </w:p>
        </w:tc>
        <w:tc>
          <w:tcPr>
            <w:tcW w:w="1403" w:type="dxa"/>
          </w:tcPr>
          <w:p w14:paraId="7D56C390" w14:textId="317A3DF5" w:rsidR="009E677F" w:rsidRDefault="009E677F" w:rsidP="009E677F">
            <w:pPr>
              <w:jc w:val="center"/>
            </w:pPr>
            <w:r>
              <w:t>$8,785.55</w:t>
            </w:r>
          </w:p>
        </w:tc>
        <w:tc>
          <w:tcPr>
            <w:tcW w:w="1397" w:type="dxa"/>
          </w:tcPr>
          <w:p w14:paraId="04997868" w14:textId="0D1CC0C6" w:rsidR="009E677F" w:rsidRDefault="009E677F" w:rsidP="009E677F">
            <w:pPr>
              <w:jc w:val="center"/>
            </w:pPr>
            <w:r>
              <w:t>$3,474.80</w:t>
            </w:r>
          </w:p>
        </w:tc>
        <w:tc>
          <w:tcPr>
            <w:tcW w:w="1390" w:type="dxa"/>
          </w:tcPr>
          <w:p w14:paraId="3BC45489" w14:textId="72B2E819" w:rsidR="009E677F" w:rsidRDefault="00F74034" w:rsidP="009E677F">
            <w:pPr>
              <w:jc w:val="center"/>
            </w:pPr>
            <w:r>
              <w:t>$12,260.35</w:t>
            </w:r>
          </w:p>
        </w:tc>
        <w:tc>
          <w:tcPr>
            <w:tcW w:w="1355" w:type="dxa"/>
          </w:tcPr>
          <w:p w14:paraId="0A0450E7" w14:textId="6BBD3EB8" w:rsidR="009E677F" w:rsidRDefault="00F74034" w:rsidP="009E677F">
            <w:pPr>
              <w:jc w:val="center"/>
            </w:pPr>
            <w:r>
              <w:t>71.7%</w:t>
            </w:r>
          </w:p>
        </w:tc>
        <w:tc>
          <w:tcPr>
            <w:tcW w:w="1355" w:type="dxa"/>
          </w:tcPr>
          <w:p w14:paraId="154D469C" w14:textId="64426F4D" w:rsidR="009E677F" w:rsidRDefault="00F74034" w:rsidP="009E677F">
            <w:pPr>
              <w:jc w:val="center"/>
            </w:pPr>
            <w:r>
              <w:t>28.3$</w:t>
            </w:r>
          </w:p>
        </w:tc>
      </w:tr>
      <w:tr w:rsidR="009E677F" w14:paraId="0D67397D" w14:textId="509A81D9" w:rsidTr="009E677F">
        <w:trPr>
          <w:cnfStyle w:val="000000010000" w:firstRow="0" w:lastRow="0" w:firstColumn="0" w:lastColumn="0" w:oddVBand="0" w:evenVBand="0" w:oddHBand="0" w:evenHBand="1" w:firstRowFirstColumn="0" w:firstRowLastColumn="0" w:lastRowFirstColumn="0" w:lastRowLastColumn="0"/>
        </w:trPr>
        <w:tc>
          <w:tcPr>
            <w:tcW w:w="2728" w:type="dxa"/>
          </w:tcPr>
          <w:p w14:paraId="19787095" w14:textId="77777777" w:rsidR="009E677F" w:rsidRDefault="009E677F" w:rsidP="009E677F">
            <w:r>
              <w:t>Home Care - Level 2 package</w:t>
            </w:r>
          </w:p>
        </w:tc>
        <w:tc>
          <w:tcPr>
            <w:tcW w:w="1403" w:type="dxa"/>
          </w:tcPr>
          <w:p w14:paraId="3C83C1F2" w14:textId="6F80A872" w:rsidR="009E677F" w:rsidRDefault="009E677F" w:rsidP="009E677F">
            <w:pPr>
              <w:jc w:val="center"/>
            </w:pPr>
            <w:r>
              <w:t>$15,457.75</w:t>
            </w:r>
          </w:p>
        </w:tc>
        <w:tc>
          <w:tcPr>
            <w:tcW w:w="1397" w:type="dxa"/>
          </w:tcPr>
          <w:p w14:paraId="25B43523" w14:textId="085DF0EC" w:rsidR="009E677F" w:rsidRDefault="009E677F" w:rsidP="009E677F">
            <w:pPr>
              <w:jc w:val="center"/>
            </w:pPr>
            <w:r>
              <w:t>$3,675.55</w:t>
            </w:r>
          </w:p>
        </w:tc>
        <w:tc>
          <w:tcPr>
            <w:tcW w:w="1390" w:type="dxa"/>
          </w:tcPr>
          <w:p w14:paraId="72480C35" w14:textId="38984A8F" w:rsidR="009E677F" w:rsidRDefault="00F74034" w:rsidP="009E677F">
            <w:pPr>
              <w:jc w:val="center"/>
            </w:pPr>
            <w:r>
              <w:t>$19,133.30</w:t>
            </w:r>
          </w:p>
        </w:tc>
        <w:tc>
          <w:tcPr>
            <w:tcW w:w="1355" w:type="dxa"/>
          </w:tcPr>
          <w:p w14:paraId="3BD6C79C" w14:textId="57F5C281" w:rsidR="009E677F" w:rsidRDefault="00F74034" w:rsidP="009E677F">
            <w:pPr>
              <w:jc w:val="center"/>
            </w:pPr>
            <w:r>
              <w:t>80.8%</w:t>
            </w:r>
          </w:p>
        </w:tc>
        <w:tc>
          <w:tcPr>
            <w:tcW w:w="1355" w:type="dxa"/>
          </w:tcPr>
          <w:p w14:paraId="52743DFE" w14:textId="15B02AD1" w:rsidR="009E677F" w:rsidRDefault="00F74034" w:rsidP="009E677F">
            <w:pPr>
              <w:jc w:val="center"/>
            </w:pPr>
            <w:r>
              <w:t>19.2%</w:t>
            </w:r>
          </w:p>
        </w:tc>
      </w:tr>
      <w:tr w:rsidR="009E677F" w14:paraId="5A947BB2" w14:textId="507B2325" w:rsidTr="009E677F">
        <w:trPr>
          <w:cnfStyle w:val="000000100000" w:firstRow="0" w:lastRow="0" w:firstColumn="0" w:lastColumn="0" w:oddVBand="0" w:evenVBand="0" w:oddHBand="1" w:evenHBand="0" w:firstRowFirstColumn="0" w:firstRowLastColumn="0" w:lastRowFirstColumn="0" w:lastRowLastColumn="0"/>
        </w:trPr>
        <w:tc>
          <w:tcPr>
            <w:tcW w:w="2728" w:type="dxa"/>
          </w:tcPr>
          <w:p w14:paraId="4C15259C" w14:textId="77777777" w:rsidR="009E677F" w:rsidRDefault="009E677F" w:rsidP="009E677F">
            <w:r>
              <w:t>Home Care - Level 3 package</w:t>
            </w:r>
          </w:p>
        </w:tc>
        <w:tc>
          <w:tcPr>
            <w:tcW w:w="1403" w:type="dxa"/>
          </w:tcPr>
          <w:p w14:paraId="6250AA29" w14:textId="484B1577" w:rsidR="009E677F" w:rsidRDefault="009E677F" w:rsidP="009E677F">
            <w:pPr>
              <w:jc w:val="center"/>
            </w:pPr>
            <w:r>
              <w:t>$33,638.40</w:t>
            </w:r>
          </w:p>
        </w:tc>
        <w:tc>
          <w:tcPr>
            <w:tcW w:w="1397" w:type="dxa"/>
          </w:tcPr>
          <w:p w14:paraId="4B9CD497" w14:textId="1C136E7F" w:rsidR="009E677F" w:rsidRDefault="009E677F" w:rsidP="009E677F">
            <w:pPr>
              <w:jc w:val="center"/>
            </w:pPr>
            <w:r>
              <w:t>$3,777.75</w:t>
            </w:r>
          </w:p>
        </w:tc>
        <w:tc>
          <w:tcPr>
            <w:tcW w:w="1390" w:type="dxa"/>
          </w:tcPr>
          <w:p w14:paraId="6C915763" w14:textId="7B941631" w:rsidR="009E677F" w:rsidRDefault="00F74034" w:rsidP="009E677F">
            <w:pPr>
              <w:jc w:val="center"/>
            </w:pPr>
            <w:r>
              <w:t>$37,416.15</w:t>
            </w:r>
          </w:p>
        </w:tc>
        <w:tc>
          <w:tcPr>
            <w:tcW w:w="1355" w:type="dxa"/>
          </w:tcPr>
          <w:p w14:paraId="5A5F27B2" w14:textId="485D7AA8" w:rsidR="009E677F" w:rsidRDefault="00F74034" w:rsidP="009E677F">
            <w:pPr>
              <w:jc w:val="center"/>
            </w:pPr>
            <w:r>
              <w:t>89.9%</w:t>
            </w:r>
          </w:p>
        </w:tc>
        <w:tc>
          <w:tcPr>
            <w:tcW w:w="1355" w:type="dxa"/>
          </w:tcPr>
          <w:p w14:paraId="1F003589" w14:textId="19230298" w:rsidR="009E677F" w:rsidRDefault="00F74034" w:rsidP="009E677F">
            <w:pPr>
              <w:jc w:val="center"/>
            </w:pPr>
            <w:r>
              <w:t>10.1%</w:t>
            </w:r>
          </w:p>
        </w:tc>
      </w:tr>
      <w:tr w:rsidR="009E677F" w14:paraId="28A7B543" w14:textId="66127C3E" w:rsidTr="009E677F">
        <w:trPr>
          <w:cnfStyle w:val="000000010000" w:firstRow="0" w:lastRow="0" w:firstColumn="0" w:lastColumn="0" w:oddVBand="0" w:evenVBand="0" w:oddHBand="0" w:evenHBand="1" w:firstRowFirstColumn="0" w:firstRowLastColumn="0" w:lastRowFirstColumn="0" w:lastRowLastColumn="0"/>
        </w:trPr>
        <w:tc>
          <w:tcPr>
            <w:tcW w:w="2728" w:type="dxa"/>
          </w:tcPr>
          <w:p w14:paraId="0D5A4983" w14:textId="77777777" w:rsidR="009E677F" w:rsidRDefault="009E677F" w:rsidP="009E677F">
            <w:r>
              <w:t>Home Care - Level 4 package</w:t>
            </w:r>
          </w:p>
        </w:tc>
        <w:tc>
          <w:tcPr>
            <w:tcW w:w="1403" w:type="dxa"/>
          </w:tcPr>
          <w:p w14:paraId="5BC2E501" w14:textId="5DE04883" w:rsidR="009E677F" w:rsidRDefault="009E677F" w:rsidP="009E677F">
            <w:pPr>
              <w:jc w:val="center"/>
            </w:pPr>
            <w:r>
              <w:t>$50,990.50</w:t>
            </w:r>
          </w:p>
        </w:tc>
        <w:tc>
          <w:tcPr>
            <w:tcW w:w="1397" w:type="dxa"/>
          </w:tcPr>
          <w:p w14:paraId="5ED83CF7" w14:textId="222C56F7" w:rsidR="009E677F" w:rsidRDefault="009E677F" w:rsidP="009E677F">
            <w:pPr>
              <w:jc w:val="center"/>
            </w:pPr>
            <w:r>
              <w:t>$3,879.95</w:t>
            </w:r>
          </w:p>
        </w:tc>
        <w:tc>
          <w:tcPr>
            <w:tcW w:w="1390" w:type="dxa"/>
          </w:tcPr>
          <w:p w14:paraId="080A8A71" w14:textId="1D7CC536" w:rsidR="009E677F" w:rsidRDefault="00F74034" w:rsidP="009E677F">
            <w:pPr>
              <w:jc w:val="center"/>
            </w:pPr>
            <w:r>
              <w:t>$54,870.45</w:t>
            </w:r>
          </w:p>
        </w:tc>
        <w:tc>
          <w:tcPr>
            <w:tcW w:w="1355" w:type="dxa"/>
          </w:tcPr>
          <w:p w14:paraId="264D579A" w14:textId="56F9390D" w:rsidR="009E677F" w:rsidRDefault="00F74034" w:rsidP="009E677F">
            <w:pPr>
              <w:jc w:val="center"/>
            </w:pPr>
            <w:r>
              <w:t>92.9%</w:t>
            </w:r>
          </w:p>
        </w:tc>
        <w:tc>
          <w:tcPr>
            <w:tcW w:w="1355" w:type="dxa"/>
          </w:tcPr>
          <w:p w14:paraId="6E354E8E" w14:textId="70148227" w:rsidR="009E677F" w:rsidRDefault="00F74034" w:rsidP="009E677F">
            <w:pPr>
              <w:jc w:val="center"/>
            </w:pPr>
            <w:r>
              <w:t>7.1%</w:t>
            </w:r>
          </w:p>
        </w:tc>
      </w:tr>
    </w:tbl>
    <w:p w14:paraId="35589A61" w14:textId="77777777" w:rsidR="00CB2A16" w:rsidRDefault="00CB2A16" w:rsidP="0000677E"/>
    <w:p w14:paraId="374DEE0F" w14:textId="77777777" w:rsidR="00CB2A16" w:rsidRDefault="00CB2A16" w:rsidP="0000677E"/>
    <w:p w14:paraId="5E206361" w14:textId="23275754" w:rsidR="00F74034" w:rsidRDefault="00F74034" w:rsidP="0000677E">
      <w:r>
        <w:lastRenderedPageBreak/>
        <w:t>In addition to the basic subsidy and basic daily fee there are a variety of supplements available as follows:</w:t>
      </w:r>
    </w:p>
    <w:p w14:paraId="5D8A1D2C" w14:textId="4BEB4F78" w:rsidR="00F74034" w:rsidRDefault="00F74034" w:rsidP="000E7889">
      <w:pPr>
        <w:jc w:val="center"/>
      </w:pPr>
      <w:r w:rsidRPr="00F74034">
        <w:rPr>
          <w:noProof/>
          <w:lang w:eastAsia="en-AU"/>
        </w:rPr>
        <w:drawing>
          <wp:inline distT="0" distB="0" distL="0" distR="0" wp14:anchorId="0F115940" wp14:editId="0AE23C81">
            <wp:extent cx="5727600" cy="5230800"/>
            <wp:effectExtent l="0" t="0" r="6985" b="8255"/>
            <wp:docPr id="6" name="Picture 6" title="Image of the schedule of subsidies and supplements - Home Care Supp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27600" cy="5230800"/>
                    </a:xfrm>
                    <a:prstGeom prst="rect">
                      <a:avLst/>
                    </a:prstGeom>
                  </pic:spPr>
                </pic:pic>
              </a:graphicData>
            </a:graphic>
          </wp:inline>
        </w:drawing>
      </w:r>
    </w:p>
    <w:p w14:paraId="502053D1" w14:textId="5C9FE3A8" w:rsidR="00F74034" w:rsidRDefault="00F74034" w:rsidP="000E7889">
      <w:pPr>
        <w:jc w:val="center"/>
      </w:pPr>
      <w:r w:rsidRPr="00F74034">
        <w:rPr>
          <w:noProof/>
          <w:lang w:eastAsia="en-AU"/>
        </w:rPr>
        <w:drawing>
          <wp:inline distT="0" distB="0" distL="0" distR="0" wp14:anchorId="5208CC38" wp14:editId="1E93F442">
            <wp:extent cx="5752800" cy="2296800"/>
            <wp:effectExtent l="0" t="0" r="635" b="8255"/>
            <wp:docPr id="9" name="Picture 9" title="mage of the schedule of subsidies and supplements - ARIA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2800" cy="2296800"/>
                    </a:xfrm>
                    <a:prstGeom prst="rect">
                      <a:avLst/>
                    </a:prstGeom>
                  </pic:spPr>
                </pic:pic>
              </a:graphicData>
            </a:graphic>
          </wp:inline>
        </w:drawing>
      </w:r>
    </w:p>
    <w:p w14:paraId="7CED8C07" w14:textId="5BA3EA94" w:rsidR="009E74BA" w:rsidRDefault="009E74BA" w:rsidP="009E74BA">
      <w:r>
        <w:br w:type="page"/>
      </w:r>
    </w:p>
    <w:p w14:paraId="7AA86AF1" w14:textId="77777777" w:rsidR="00354062" w:rsidRDefault="00354062" w:rsidP="00354062">
      <w:pPr>
        <w:pStyle w:val="Heading2"/>
      </w:pPr>
      <w:bookmarkStart w:id="61" w:name="_Toc26870727"/>
      <w:r>
        <w:lastRenderedPageBreak/>
        <w:t>Transaction Flows and Revenue Recognition</w:t>
      </w:r>
      <w:bookmarkEnd w:id="61"/>
    </w:p>
    <w:p w14:paraId="2A1BA06E" w14:textId="4F4AA4E6" w:rsidR="00354062" w:rsidRDefault="00354062" w:rsidP="00354062">
      <w:r>
        <w:t xml:space="preserve">Currently, the receipt of subsidy and the billing of care recipients does not precipitate (or should not precipitate) the recognition of revenue for the </w:t>
      </w:r>
      <w:r w:rsidR="00CB2A16">
        <w:t>AP</w:t>
      </w:r>
      <w:r>
        <w:t xml:space="preserve">. Rather this is in effect a billing exercise where a claim is made on </w:t>
      </w:r>
      <w:r w:rsidR="00CB2A16">
        <w:t xml:space="preserve">DHS </w:t>
      </w:r>
      <w:r>
        <w:t xml:space="preserve">through the Medicare portal and care recipients are billed separately. </w:t>
      </w:r>
    </w:p>
    <w:p w14:paraId="00E65FA0" w14:textId="77777777" w:rsidR="00354062" w:rsidRDefault="00354062" w:rsidP="00354062"/>
    <w:p w14:paraId="20EF316D" w14:textId="0F8307EA" w:rsidR="00354062" w:rsidRDefault="00354062" w:rsidP="00354062">
      <w:r>
        <w:t xml:space="preserve">In the case of the </w:t>
      </w:r>
      <w:r w:rsidR="00CB2A16">
        <w:t>DHS</w:t>
      </w:r>
      <w:r>
        <w:t xml:space="preserve">, the subsidy payment is remitted in advance based on the number of packages lodged by each </w:t>
      </w:r>
      <w:r w:rsidR="00CB2A16">
        <w:t>AP</w:t>
      </w:r>
      <w:r>
        <w:t xml:space="preserve"> </w:t>
      </w:r>
      <w:r w:rsidR="00CB2A16">
        <w:t>via</w:t>
      </w:r>
      <w:r>
        <w:t xml:space="preserve"> the portal and adjusted by the means tested fees and any movements processed for the </w:t>
      </w:r>
      <w:r w:rsidR="00CB2A16">
        <w:t>AP</w:t>
      </w:r>
      <w:r>
        <w:t xml:space="preserve"> in the previous month.</w:t>
      </w:r>
    </w:p>
    <w:p w14:paraId="1347F433" w14:textId="77777777" w:rsidR="00354062" w:rsidRDefault="00354062" w:rsidP="00354062"/>
    <w:p w14:paraId="4A700016" w14:textId="5B937C0B" w:rsidR="00354062" w:rsidRDefault="00354062" w:rsidP="00354062">
      <w:r>
        <w:t xml:space="preserve">In the case of the care recipient, they are either billed in advance or arrears (dependent upon the particular </w:t>
      </w:r>
      <w:r w:rsidR="00CB2A16">
        <w:t xml:space="preserve">AP </w:t>
      </w:r>
      <w:r>
        <w:t xml:space="preserve">software and internal processes) and calculated on the agreed amount basic daily fee levied as well as any income tested care fee (noting that depending on the level of unspent funds held for a care recipient an </w:t>
      </w:r>
      <w:r w:rsidR="00CB2A16">
        <w:t>AP</w:t>
      </w:r>
      <w:r>
        <w:t xml:space="preserve"> may decide to stop charging the care recipient the income tested fee amount as well).</w:t>
      </w:r>
    </w:p>
    <w:p w14:paraId="45C02CFD" w14:textId="77777777" w:rsidR="00354062" w:rsidRDefault="00354062" w:rsidP="00354062"/>
    <w:p w14:paraId="788AB1BC" w14:textId="5A7D462C" w:rsidR="00354062" w:rsidRDefault="00354062" w:rsidP="00354062">
      <w:r>
        <w:t xml:space="preserve">At this point all funds received by </w:t>
      </w:r>
      <w:r w:rsidR="00CB2A16">
        <w:t>the AP</w:t>
      </w:r>
      <w:r>
        <w:t xml:space="preserve"> should be recorded as being an unspent funds liability. No revenue should be recognised by the </w:t>
      </w:r>
      <w:r w:rsidR="00CB2A16">
        <w:t>AP</w:t>
      </w:r>
      <w:r>
        <w:t xml:space="preserve"> until they satisfactorily supply the agreed services to the care recipient. This is when revenue recognition occurs in the books of the </w:t>
      </w:r>
      <w:r w:rsidR="00CB2A16">
        <w:t>AP</w:t>
      </w:r>
      <w:r>
        <w:t xml:space="preserve"> (being the amount charged against the care recipient budget or package funds) for those services including any goods purchased, or capital expenditure made on the care recipient’s behalf. </w:t>
      </w:r>
    </w:p>
    <w:p w14:paraId="7BD1729A" w14:textId="77777777" w:rsidR="00354062" w:rsidRDefault="00354062" w:rsidP="00354062"/>
    <w:p w14:paraId="2D268125" w14:textId="5E3D2E00" w:rsidR="00354062" w:rsidRDefault="00354062" w:rsidP="00354062">
      <w:pPr>
        <w:spacing w:after="120"/>
      </w:pPr>
      <w:r>
        <w:t>The monthly CDC statement to c</w:t>
      </w:r>
      <w:r w:rsidR="00165F15">
        <w:t>are recipient</w:t>
      </w:r>
      <w:r>
        <w:t>s should itemise the following at a minimum:-</w:t>
      </w:r>
    </w:p>
    <w:p w14:paraId="39354461" w14:textId="77777777" w:rsidR="00354062" w:rsidRDefault="00354062" w:rsidP="005D395A">
      <w:pPr>
        <w:pStyle w:val="ListParagraph"/>
        <w:numPr>
          <w:ilvl w:val="0"/>
          <w:numId w:val="18"/>
        </w:numPr>
      </w:pPr>
      <w:r>
        <w:t>Opening balance of unspent funds</w:t>
      </w:r>
    </w:p>
    <w:p w14:paraId="4B8D1235" w14:textId="77777777" w:rsidR="00354062" w:rsidRDefault="00354062" w:rsidP="005D395A">
      <w:pPr>
        <w:pStyle w:val="ListParagraph"/>
        <w:numPr>
          <w:ilvl w:val="0"/>
          <w:numId w:val="18"/>
        </w:numPr>
      </w:pPr>
      <w:r>
        <w:t>Subsidy received</w:t>
      </w:r>
    </w:p>
    <w:p w14:paraId="7E005457" w14:textId="2E5A6566" w:rsidR="00354062" w:rsidRDefault="00354062" w:rsidP="005D395A">
      <w:pPr>
        <w:pStyle w:val="ListParagraph"/>
        <w:numPr>
          <w:ilvl w:val="0"/>
          <w:numId w:val="18"/>
        </w:numPr>
      </w:pPr>
      <w:r>
        <w:t>Income tested care fee contributed by the c</w:t>
      </w:r>
      <w:r w:rsidR="00165F15">
        <w:t>are recipient</w:t>
      </w:r>
    </w:p>
    <w:p w14:paraId="6DB08CAE" w14:textId="12A2922C" w:rsidR="00354062" w:rsidRDefault="00354062" w:rsidP="005D395A">
      <w:pPr>
        <w:pStyle w:val="ListParagraph"/>
        <w:numPr>
          <w:ilvl w:val="0"/>
          <w:numId w:val="18"/>
        </w:numPr>
      </w:pPr>
      <w:r>
        <w:t>Basic daily fee contributed to the package by the c</w:t>
      </w:r>
      <w:r w:rsidR="00165F15">
        <w:t>are recipient</w:t>
      </w:r>
    </w:p>
    <w:p w14:paraId="2911F1D0" w14:textId="77777777" w:rsidR="00354062" w:rsidRDefault="00354062" w:rsidP="005D395A">
      <w:pPr>
        <w:pStyle w:val="ListParagraph"/>
        <w:numPr>
          <w:ilvl w:val="0"/>
          <w:numId w:val="18"/>
        </w:numPr>
      </w:pPr>
      <w:r>
        <w:t>Itemised list of services provided at the “sale price” including care management and package management (administration) fees</w:t>
      </w:r>
    </w:p>
    <w:p w14:paraId="3076831E" w14:textId="77777777" w:rsidR="00354062" w:rsidRDefault="00354062" w:rsidP="005D395A">
      <w:pPr>
        <w:pStyle w:val="ListParagraph"/>
        <w:numPr>
          <w:ilvl w:val="0"/>
          <w:numId w:val="18"/>
        </w:numPr>
      </w:pPr>
      <w:r>
        <w:t xml:space="preserve">Itemised list of any third party goods or services provided </w:t>
      </w:r>
    </w:p>
    <w:p w14:paraId="4D90E579" w14:textId="77777777" w:rsidR="00354062" w:rsidRDefault="00354062" w:rsidP="005D395A">
      <w:pPr>
        <w:pStyle w:val="ListParagraph"/>
        <w:numPr>
          <w:ilvl w:val="0"/>
          <w:numId w:val="18"/>
        </w:numPr>
      </w:pPr>
      <w:r>
        <w:t>Closing balance of unspent funds</w:t>
      </w:r>
    </w:p>
    <w:p w14:paraId="4AC0290D" w14:textId="77777777" w:rsidR="00354062" w:rsidRDefault="00354062" w:rsidP="00354062"/>
    <w:p w14:paraId="48F3A63F" w14:textId="77777777" w:rsidR="00354062" w:rsidRDefault="00354062" w:rsidP="00354062">
      <w:r>
        <w:t>Currently this information is used to recognise revenue internally and to reconcile unspent funds between the HCP subsidiary software and the finance system.</w:t>
      </w:r>
    </w:p>
    <w:p w14:paraId="463DA683" w14:textId="77777777" w:rsidR="00354062" w:rsidRDefault="00354062" w:rsidP="00354062"/>
    <w:p w14:paraId="4629D172" w14:textId="7E315788" w:rsidR="00354062" w:rsidRDefault="00354062" w:rsidP="00354062">
      <w:r w:rsidRPr="00FB518C">
        <w:t xml:space="preserve">When a care recipient leaves a HCP (transition to residential care or death), the </w:t>
      </w:r>
      <w:r w:rsidR="00165F15">
        <w:t>AP</w:t>
      </w:r>
      <w:r w:rsidRPr="00FB518C">
        <w:t xml:space="preserve"> must remit to </w:t>
      </w:r>
      <w:r w:rsidR="00165F15">
        <w:t>DHS</w:t>
      </w:r>
      <w:r w:rsidRPr="00FB518C">
        <w:t xml:space="preserve"> the subsidy portion of the unspent funds and remit to the care recipient (or estate) the co-contribution portion of the unspent funds. This requires a calculation of the total subsidy amount received as a percentage of the total package amount (subsidy plus co-contribution) to ensure that the refunds are calculated correctly.</w:t>
      </w:r>
    </w:p>
    <w:p w14:paraId="0FD693B9" w14:textId="35EDCF6A" w:rsidR="00127D71" w:rsidRDefault="00127D71" w:rsidP="00EC28EF"/>
    <w:p w14:paraId="4BCC02A4" w14:textId="77777777" w:rsidR="00EB3C65" w:rsidRDefault="00EB3C65" w:rsidP="00EC28EF"/>
    <w:p w14:paraId="440A1100" w14:textId="77777777" w:rsidR="00EC28EF" w:rsidRDefault="00EC28EF" w:rsidP="0000677E"/>
    <w:p w14:paraId="2DBE5068" w14:textId="61A154D0" w:rsidR="00EC28EF" w:rsidRDefault="00EC28EF" w:rsidP="0000677E">
      <w:pPr>
        <w:sectPr w:rsidR="00EC28EF" w:rsidSect="00ED5243">
          <w:pgSz w:w="11906" w:h="16838" w:code="9"/>
          <w:pgMar w:top="1418" w:right="1134" w:bottom="1418" w:left="1134" w:header="709" w:footer="709" w:gutter="0"/>
          <w:cols w:space="708"/>
          <w:docGrid w:linePitch="360"/>
        </w:sectPr>
      </w:pPr>
    </w:p>
    <w:p w14:paraId="1E353C1F" w14:textId="4478A792" w:rsidR="00027407" w:rsidRDefault="00027407" w:rsidP="00027407">
      <w:pPr>
        <w:pStyle w:val="Caption"/>
        <w:keepNext/>
      </w:pPr>
      <w:r>
        <w:lastRenderedPageBreak/>
        <w:t xml:space="preserve">Figure </w:t>
      </w:r>
      <w:fldSimple w:instr=" SEQ Figure \* ARABIC ">
        <w:r w:rsidR="007F5FB5">
          <w:rPr>
            <w:noProof/>
          </w:rPr>
          <w:t>9</w:t>
        </w:r>
      </w:fldSimple>
      <w:r>
        <w:t xml:space="preserve">: </w:t>
      </w:r>
      <w:r w:rsidR="00354062">
        <w:t>Flowchart of current transaction flows for subsidies, c</w:t>
      </w:r>
      <w:r w:rsidR="00281031">
        <w:t>are recipient</w:t>
      </w:r>
      <w:r w:rsidR="00354062">
        <w:t xml:space="preserve"> fees and services provided</w:t>
      </w:r>
    </w:p>
    <w:p w14:paraId="78A48260" w14:textId="727C8BF6" w:rsidR="00FB518C" w:rsidRDefault="000E7889" w:rsidP="0000677E">
      <w:pPr>
        <w:rPr>
          <w:highlight w:val="yellow"/>
        </w:rPr>
      </w:pPr>
      <w:r>
        <w:rPr>
          <w:noProof/>
          <w:lang w:eastAsia="en-AU"/>
        </w:rPr>
        <w:drawing>
          <wp:inline distT="0" distB="0" distL="0" distR="0" wp14:anchorId="2569478C" wp14:editId="19B7B89F">
            <wp:extent cx="8838000" cy="5551200"/>
            <wp:effectExtent l="0" t="0" r="127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urrent Transaction Flow.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838000" cy="5551200"/>
                    </a:xfrm>
                    <a:prstGeom prst="rect">
                      <a:avLst/>
                    </a:prstGeom>
                  </pic:spPr>
                </pic:pic>
              </a:graphicData>
            </a:graphic>
          </wp:inline>
        </w:drawing>
      </w:r>
    </w:p>
    <w:p w14:paraId="2F123E26" w14:textId="77777777" w:rsidR="00027407" w:rsidRPr="00B80ED2" w:rsidRDefault="00027407" w:rsidP="0000677E">
      <w:pPr>
        <w:rPr>
          <w:highlight w:val="yellow"/>
        </w:rPr>
      </w:pPr>
    </w:p>
    <w:p w14:paraId="43D25D96" w14:textId="77777777" w:rsidR="000E7889" w:rsidRDefault="000E7889" w:rsidP="0000677E">
      <w:pPr>
        <w:pStyle w:val="SubHeading"/>
        <w:rPr>
          <w:highlight w:val="yellow"/>
        </w:rPr>
        <w:sectPr w:rsidR="000E7889" w:rsidSect="000E7889">
          <w:pgSz w:w="16838" w:h="11906" w:orient="landscape" w:code="9"/>
          <w:pgMar w:top="1134" w:right="1418" w:bottom="1134" w:left="1418" w:header="709" w:footer="709" w:gutter="0"/>
          <w:cols w:space="708"/>
          <w:docGrid w:linePitch="360"/>
        </w:sectPr>
      </w:pPr>
    </w:p>
    <w:p w14:paraId="69D4A1D0" w14:textId="77777777" w:rsidR="00354062" w:rsidRPr="00EB3C65" w:rsidRDefault="00354062" w:rsidP="00354062">
      <w:pPr>
        <w:pStyle w:val="Heading2"/>
      </w:pPr>
      <w:bookmarkStart w:id="62" w:name="_Toc26870728"/>
      <w:r w:rsidRPr="00EB3C65">
        <w:lastRenderedPageBreak/>
        <w:t xml:space="preserve">Proposed </w:t>
      </w:r>
      <w:r>
        <w:t xml:space="preserve">Funding </w:t>
      </w:r>
      <w:r w:rsidRPr="00EB3C65">
        <w:t>Arrangements</w:t>
      </w:r>
      <w:bookmarkEnd w:id="62"/>
    </w:p>
    <w:p w14:paraId="1D50A3AC" w14:textId="751D6156" w:rsidR="00354062" w:rsidRPr="00EB3C65" w:rsidRDefault="00354062" w:rsidP="00354062">
      <w:r w:rsidRPr="00EB3C65">
        <w:t xml:space="preserve">The proposed system countenances that subsidies will be paid </w:t>
      </w:r>
      <w:r>
        <w:t xml:space="preserve">in arrears to the </w:t>
      </w:r>
      <w:r w:rsidR="00165F15">
        <w:t>AP</w:t>
      </w:r>
      <w:r w:rsidRPr="00EB3C65">
        <w:t xml:space="preserve"> based on the </w:t>
      </w:r>
      <w:r>
        <w:t xml:space="preserve">actual </w:t>
      </w:r>
      <w:r w:rsidRPr="00EB3C65">
        <w:t xml:space="preserve">services provided to the home care </w:t>
      </w:r>
      <w:r w:rsidR="00165F15">
        <w:t>recipient</w:t>
      </w:r>
      <w:r w:rsidRPr="00EB3C65">
        <w:t>.</w:t>
      </w:r>
    </w:p>
    <w:p w14:paraId="39A3C1AB" w14:textId="77777777" w:rsidR="00354062" w:rsidRPr="00EB3C65" w:rsidRDefault="00354062" w:rsidP="00354062"/>
    <w:p w14:paraId="5A49A233" w14:textId="068C4342" w:rsidR="00354062" w:rsidRPr="005861FF" w:rsidRDefault="00354062" w:rsidP="00354062">
      <w:pPr>
        <w:rPr>
          <w:i/>
        </w:rPr>
      </w:pPr>
      <w:r w:rsidRPr="00EB3C65">
        <w:t xml:space="preserve">Other than </w:t>
      </w:r>
      <w:r>
        <w:t xml:space="preserve">the </w:t>
      </w:r>
      <w:r w:rsidRPr="00EB3C65">
        <w:t>short term cash flow impact of th</w:t>
      </w:r>
      <w:r>
        <w:t xml:space="preserve">e subsidy payment </w:t>
      </w:r>
      <w:r w:rsidRPr="00EB3C65">
        <w:t xml:space="preserve">change which is </w:t>
      </w:r>
      <w:r>
        <w:t>considered</w:t>
      </w:r>
      <w:r w:rsidRPr="00EB3C65">
        <w:t xml:space="preserve"> in this report, th</w:t>
      </w:r>
      <w:r>
        <w:t xml:space="preserve">e </w:t>
      </w:r>
      <w:proofErr w:type="gramStart"/>
      <w:r>
        <w:t>proposed</w:t>
      </w:r>
      <w:r w:rsidRPr="00EB3C65">
        <w:t xml:space="preserve"> </w:t>
      </w:r>
      <w:r>
        <w:t xml:space="preserve"> funding</w:t>
      </w:r>
      <w:proofErr w:type="gramEnd"/>
      <w:r>
        <w:t xml:space="preserve"> arrangements </w:t>
      </w:r>
      <w:r w:rsidRPr="00EB3C65">
        <w:t xml:space="preserve">should have little or no impact on the systems </w:t>
      </w:r>
      <w:r>
        <w:t xml:space="preserve">and transaction processes </w:t>
      </w:r>
      <w:r w:rsidRPr="00EB3C65">
        <w:t xml:space="preserve">of </w:t>
      </w:r>
      <w:r w:rsidR="00165F15">
        <w:t>AP</w:t>
      </w:r>
      <w:r w:rsidRPr="00EB3C65">
        <w:t xml:space="preserve">s </w:t>
      </w:r>
      <w:r w:rsidRPr="005861FF">
        <w:rPr>
          <w:i/>
        </w:rPr>
        <w:t xml:space="preserve">unless they are required to transmit the amounts being claimed for services provided </w:t>
      </w:r>
      <w:r>
        <w:rPr>
          <w:i/>
        </w:rPr>
        <w:t xml:space="preserve">individually </w:t>
      </w:r>
      <w:r w:rsidRPr="005861FF">
        <w:rPr>
          <w:i/>
        </w:rPr>
        <w:t>for each c</w:t>
      </w:r>
      <w:r w:rsidR="00281031">
        <w:rPr>
          <w:i/>
        </w:rPr>
        <w:t>are recipient</w:t>
      </w:r>
      <w:r w:rsidRPr="005861FF">
        <w:rPr>
          <w:i/>
        </w:rPr>
        <w:t>.</w:t>
      </w:r>
    </w:p>
    <w:p w14:paraId="55E059A4" w14:textId="77777777" w:rsidR="00354062" w:rsidRPr="00EB3C65" w:rsidRDefault="00354062" w:rsidP="00354062"/>
    <w:p w14:paraId="1ADBBDA0" w14:textId="5531F077" w:rsidR="00354062" w:rsidRDefault="00354062" w:rsidP="00354062">
      <w:r w:rsidRPr="00EB3C65">
        <w:t>Th</w:t>
      </w:r>
      <w:r>
        <w:t>e reimbursement funding calculation</w:t>
      </w:r>
      <w:r w:rsidRPr="00EB3C65">
        <w:t xml:space="preserve"> will be required to exclude the </w:t>
      </w:r>
      <w:r>
        <w:t xml:space="preserve">care recipient </w:t>
      </w:r>
      <w:r w:rsidRPr="00EB3C65">
        <w:t xml:space="preserve">co-contribution portion, </w:t>
      </w:r>
      <w:r>
        <w:t>and accordingly,</w:t>
      </w:r>
      <w:r w:rsidRPr="00EB3C65">
        <w:t xml:space="preserve"> the </w:t>
      </w:r>
      <w:r w:rsidR="00165F15">
        <w:t>AP</w:t>
      </w:r>
      <w:r w:rsidRPr="00EB3C65">
        <w:t xml:space="preserve">s </w:t>
      </w:r>
      <w:r>
        <w:t>may be required</w:t>
      </w:r>
      <w:r w:rsidRPr="00EB3C65">
        <w:t xml:space="preserve"> to amend their processes to allow this to be calculated. As noted above, this calculation is </w:t>
      </w:r>
      <w:r>
        <w:t xml:space="preserve">already </w:t>
      </w:r>
      <w:r w:rsidRPr="00EB3C65">
        <w:t xml:space="preserve">made at the point of a care recipient departing the service, but would now have to be </w:t>
      </w:r>
      <w:r>
        <w:t xml:space="preserve">calculated </w:t>
      </w:r>
      <w:r w:rsidRPr="00EB3C65">
        <w:t>each month.</w:t>
      </w:r>
    </w:p>
    <w:p w14:paraId="7B065CD1" w14:textId="77777777" w:rsidR="00354062" w:rsidRDefault="00354062" w:rsidP="00354062"/>
    <w:p w14:paraId="3E23B8E2" w14:textId="75B9ADBF" w:rsidR="00354062" w:rsidRPr="00784464" w:rsidRDefault="00354062" w:rsidP="00354062">
      <w:pPr>
        <w:rPr>
          <w:i/>
        </w:rPr>
      </w:pPr>
      <w:bookmarkStart w:id="63" w:name="_Hlk25929297"/>
      <w:r w:rsidRPr="00784464">
        <w:rPr>
          <w:i/>
        </w:rPr>
        <w:t xml:space="preserve">If the </w:t>
      </w:r>
      <w:r>
        <w:rPr>
          <w:i/>
        </w:rPr>
        <w:t>Government</w:t>
      </w:r>
      <w:r w:rsidRPr="00784464">
        <w:rPr>
          <w:i/>
        </w:rPr>
        <w:t xml:space="preserve">, through DHS (Medicare) required </w:t>
      </w:r>
      <w:r w:rsidR="00165F15">
        <w:rPr>
          <w:i/>
        </w:rPr>
        <w:t>AP</w:t>
      </w:r>
      <w:r w:rsidRPr="00784464">
        <w:rPr>
          <w:i/>
        </w:rPr>
        <w:t>s to submit each claim at the individual care recipient level (similar to NDIS funding), this could result in considerable additional work, not only in making the claim but also reconciling the reimbursed funding receipt to the claim on a care recipient by care recipient basis.</w:t>
      </w:r>
    </w:p>
    <w:p w14:paraId="7B7892C9" w14:textId="77777777" w:rsidR="00354062" w:rsidRDefault="00354062" w:rsidP="00354062"/>
    <w:p w14:paraId="5BA41D4F" w14:textId="771FBC76" w:rsidR="00354062" w:rsidRDefault="00354062" w:rsidP="00354062">
      <w:pPr>
        <w:spacing w:after="120"/>
      </w:pPr>
      <w:r>
        <w:t xml:space="preserve">While it reasonable to expect </w:t>
      </w:r>
      <w:r w:rsidR="00165F15">
        <w:t>AP</w:t>
      </w:r>
      <w:r>
        <w:t>s to extract from their respective home care subsidiary systems the aggregate amount for the monthly in arrears funding claim to DHS, a major concern that needs to be strongly considered is in relation to the potential additional workload. The considerations include:-</w:t>
      </w:r>
    </w:p>
    <w:p w14:paraId="420535F1" w14:textId="4D9CCAF3" w:rsidR="00354062" w:rsidRDefault="00354062" w:rsidP="005D395A">
      <w:pPr>
        <w:pStyle w:val="ListParagraph"/>
        <w:numPr>
          <w:ilvl w:val="0"/>
          <w:numId w:val="19"/>
        </w:numPr>
      </w:pPr>
      <w:r>
        <w:t xml:space="preserve">Currently there is no B2B functionality in relation to the HCP subsidy claiming system, and many smaller </w:t>
      </w:r>
      <w:r w:rsidR="00165F15">
        <w:t>AP</w:t>
      </w:r>
      <w:r>
        <w:t xml:space="preserve">s currently do not use software conducive to making B2B transactions in any event. Many smaller </w:t>
      </w:r>
      <w:r w:rsidR="00165F15">
        <w:t>AP</w:t>
      </w:r>
      <w:r>
        <w:t>s are still using off-the-shelf software complimented by Excel spreadsheets to manage care recipient transactions</w:t>
      </w:r>
    </w:p>
    <w:p w14:paraId="5CF33B03" w14:textId="1ACD3458" w:rsidR="00354062" w:rsidRDefault="00354062" w:rsidP="005D395A">
      <w:pPr>
        <w:pStyle w:val="ListParagraph"/>
        <w:numPr>
          <w:ilvl w:val="0"/>
          <w:numId w:val="19"/>
        </w:numPr>
      </w:pPr>
      <w:r>
        <w:t xml:space="preserve">Currently the subsidy claiming system is operated on an exception basis. The transition to a system where transactions have to be transmitted every month for all individual care recipients would be a major shift in policy and a significant additional burden on </w:t>
      </w:r>
      <w:r w:rsidR="00165F15">
        <w:t>AP</w:t>
      </w:r>
      <w:r>
        <w:t>s</w:t>
      </w:r>
    </w:p>
    <w:p w14:paraId="7A2BC178" w14:textId="4B3B3296" w:rsidR="00354062" w:rsidRDefault="00354062" w:rsidP="005D395A">
      <w:pPr>
        <w:pStyle w:val="ListParagraph"/>
        <w:numPr>
          <w:ilvl w:val="0"/>
          <w:numId w:val="19"/>
        </w:numPr>
      </w:pPr>
      <w:r>
        <w:t xml:space="preserve">The reconciliation process between the claim to DHS and the subsidy reimbursement from DHS would be far easier in aggregate than it would on a care recipient by care recipient basis, particularly if there was no B2B capability and limited automated ability to reconcile payment advices within the </w:t>
      </w:r>
      <w:r w:rsidR="00281031">
        <w:t>HCP</w:t>
      </w:r>
      <w:r>
        <w:t xml:space="preserve"> software module</w:t>
      </w:r>
    </w:p>
    <w:p w14:paraId="7BAA218F" w14:textId="77777777" w:rsidR="00354062" w:rsidRDefault="00354062" w:rsidP="00354062"/>
    <w:p w14:paraId="48D66CA6" w14:textId="11E347D2" w:rsidR="00354062" w:rsidRDefault="00354062" w:rsidP="00354062">
      <w:r>
        <w:t xml:space="preserve">If there was a valid reason for requiring </w:t>
      </w:r>
      <w:r w:rsidR="00165F15">
        <w:t>AP</w:t>
      </w:r>
      <w:r>
        <w:t>s to lodge claims at the care recipient level, we would suggest that this requirement be delayed until later stage once the initial transition to claiming in arrears had been completed.</w:t>
      </w:r>
    </w:p>
    <w:p w14:paraId="65130654" w14:textId="77777777" w:rsidR="00354062" w:rsidRDefault="00354062" w:rsidP="00354062"/>
    <w:p w14:paraId="25E69F2E" w14:textId="2BE0D7D1" w:rsidR="00354062" w:rsidRPr="00CD0B2E" w:rsidRDefault="00354062" w:rsidP="00354062">
      <w:pPr>
        <w:rPr>
          <w:b/>
          <w:i/>
        </w:rPr>
      </w:pPr>
      <w:r w:rsidRPr="00CD0B2E">
        <w:rPr>
          <w:b/>
          <w:i/>
        </w:rPr>
        <w:t xml:space="preserve">We </w:t>
      </w:r>
      <w:r w:rsidRPr="00CD0B2E">
        <w:rPr>
          <w:b/>
          <w:i/>
          <w:u w:val="single"/>
        </w:rPr>
        <w:t>strongly recommend</w:t>
      </w:r>
      <w:r w:rsidRPr="00CD0B2E">
        <w:rPr>
          <w:b/>
          <w:i/>
        </w:rPr>
        <w:t xml:space="preserve"> that subsidy claiming be conducted based on the aggregated data for the </w:t>
      </w:r>
      <w:proofErr w:type="spellStart"/>
      <w:r w:rsidR="00165F15">
        <w:rPr>
          <w:b/>
          <w:i/>
        </w:rPr>
        <w:t>AP</w:t>
      </w:r>
      <w:r w:rsidRPr="00CD0B2E">
        <w:rPr>
          <w:b/>
          <w:i/>
        </w:rPr>
        <w:t>r.</w:t>
      </w:r>
      <w:proofErr w:type="spellEnd"/>
    </w:p>
    <w:bookmarkEnd w:id="63"/>
    <w:p w14:paraId="1B75794F" w14:textId="77777777" w:rsidR="00354062" w:rsidRDefault="00354062" w:rsidP="00354062"/>
    <w:p w14:paraId="04BB9E20" w14:textId="43021D86" w:rsidR="00354062" w:rsidRDefault="00354062" w:rsidP="00354062">
      <w:pPr>
        <w:pStyle w:val="SubHeading"/>
      </w:pPr>
      <w:r>
        <w:t>C</w:t>
      </w:r>
      <w:r w:rsidR="00281031">
        <w:t>are Recipient</w:t>
      </w:r>
      <w:r>
        <w:t xml:space="preserve"> Basic Daily Fee and Income Tested Fees</w:t>
      </w:r>
    </w:p>
    <w:p w14:paraId="2CADDD9C" w14:textId="77777777" w:rsidR="00354062" w:rsidRDefault="00354062" w:rsidP="00354062">
      <w:r w:rsidRPr="00EB3C65">
        <w:t xml:space="preserve">Currently the </w:t>
      </w:r>
      <w:r>
        <w:t xml:space="preserve">monthly </w:t>
      </w:r>
      <w:r w:rsidRPr="00EB3C65">
        <w:t xml:space="preserve">CDC Statement does not separately identify the subsidy and co-contribution portion in relation to care services delivered (including case management, </w:t>
      </w:r>
      <w:r>
        <w:t xml:space="preserve">package management, sub-contract </w:t>
      </w:r>
      <w:r w:rsidRPr="00EB3C65">
        <w:t xml:space="preserve">brokerage etc). </w:t>
      </w:r>
    </w:p>
    <w:p w14:paraId="251B750D" w14:textId="77777777" w:rsidR="00354062" w:rsidRDefault="00354062" w:rsidP="00354062"/>
    <w:p w14:paraId="29664339" w14:textId="2A42DE46" w:rsidR="00354062" w:rsidRPr="00EB3C65" w:rsidRDefault="00354062" w:rsidP="00354062">
      <w:r w:rsidRPr="00EB3C65">
        <w:t xml:space="preserve">Under the proposed new </w:t>
      </w:r>
      <w:r>
        <w:t xml:space="preserve">funding </w:t>
      </w:r>
      <w:r w:rsidRPr="00EB3C65">
        <w:t xml:space="preserve">arrangements being considered, the </w:t>
      </w:r>
      <w:r w:rsidR="00165F15">
        <w:t>AP</w:t>
      </w:r>
      <w:r>
        <w:t xml:space="preserve"> </w:t>
      </w:r>
      <w:r w:rsidRPr="00EB3C65">
        <w:t xml:space="preserve">will have to advise </w:t>
      </w:r>
      <w:r>
        <w:t>DHS</w:t>
      </w:r>
      <w:r w:rsidRPr="00EB3C65">
        <w:t xml:space="preserve"> of the subsidy portion of the service delivery</w:t>
      </w:r>
      <w:r>
        <w:t>,</w:t>
      </w:r>
      <w:r w:rsidRPr="00EB3C65">
        <w:t xml:space="preserve"> aggregated by care recipient (client) for the month.</w:t>
      </w:r>
    </w:p>
    <w:p w14:paraId="532DB0D5" w14:textId="77777777" w:rsidR="00354062" w:rsidRDefault="00354062" w:rsidP="00354062"/>
    <w:p w14:paraId="1AE5AE07" w14:textId="77777777" w:rsidR="00354062" w:rsidRDefault="00354062" w:rsidP="00354062">
      <w:r>
        <w:t>Consideration will be required as to the process to calculate how the claims to the DHS are to be made based on the actual services supplied to each care recipient, including whether the ITCF and BDF are to be separately accounted for in the claiming process.</w:t>
      </w:r>
    </w:p>
    <w:p w14:paraId="7852036E" w14:textId="77777777" w:rsidR="00354062" w:rsidRDefault="00354062" w:rsidP="00354062"/>
    <w:p w14:paraId="7D5A7856" w14:textId="4A5D85FE" w:rsidR="00354062" w:rsidRDefault="00354062" w:rsidP="00354062">
      <w:pPr>
        <w:spacing w:after="120"/>
      </w:pPr>
      <w:r>
        <w:t>We recommend that, irrespective of whether a claim is made in aggregate or at the c</w:t>
      </w:r>
      <w:r w:rsidR="00281031">
        <w:t>are recipient</w:t>
      </w:r>
      <w:r>
        <w:t xml:space="preserve"> level, the following methodology be used:</w:t>
      </w:r>
    </w:p>
    <w:p w14:paraId="12C7724E" w14:textId="783EEA47" w:rsidR="00354062" w:rsidRDefault="00354062" w:rsidP="005D395A">
      <w:pPr>
        <w:pStyle w:val="ListParagraph"/>
        <w:numPr>
          <w:ilvl w:val="0"/>
          <w:numId w:val="20"/>
        </w:numPr>
      </w:pPr>
      <w:r>
        <w:t xml:space="preserve">Funding reimbursement claim is made by the </w:t>
      </w:r>
      <w:r w:rsidR="00165F15">
        <w:t>AP</w:t>
      </w:r>
      <w:r>
        <w:t xml:space="preserve"> based on the services </w:t>
      </w:r>
      <w:r w:rsidR="00165F15">
        <w:t>delivered</w:t>
      </w:r>
    </w:p>
    <w:p w14:paraId="0878E5F1" w14:textId="2DE3EAC5" w:rsidR="00354062" w:rsidRDefault="00354062" w:rsidP="005D395A">
      <w:pPr>
        <w:pStyle w:val="ListParagraph"/>
        <w:numPr>
          <w:ilvl w:val="0"/>
          <w:numId w:val="20"/>
        </w:numPr>
      </w:pPr>
      <w:r>
        <w:t xml:space="preserve">DHS deducts the gross amount of ITCF relevant to that </w:t>
      </w:r>
      <w:r w:rsidR="00165F15">
        <w:t>AP</w:t>
      </w:r>
      <w:r>
        <w:t xml:space="preserve"> (irrespective of whether the care recipient has been charged the ICCF by the </w:t>
      </w:r>
      <w:r w:rsidR="00165F15">
        <w:t>AP</w:t>
      </w:r>
      <w:r>
        <w:t>)</w:t>
      </w:r>
    </w:p>
    <w:p w14:paraId="211A0C98" w14:textId="21E3A4F2" w:rsidR="00354062" w:rsidRDefault="00354062" w:rsidP="005D395A">
      <w:pPr>
        <w:pStyle w:val="ListParagraph"/>
        <w:numPr>
          <w:ilvl w:val="0"/>
          <w:numId w:val="20"/>
        </w:numPr>
      </w:pPr>
      <w:r>
        <w:t>DHS deducts the maximum amount of the BDF chargeable to the c</w:t>
      </w:r>
      <w:r w:rsidR="00165F15">
        <w:t>are recipient</w:t>
      </w:r>
      <w:r>
        <w:t xml:space="preserve"> (irrespective of whether the care recipient has been charged the BDF by </w:t>
      </w:r>
      <w:r w:rsidR="00165F15">
        <w:t>the AP</w:t>
      </w:r>
      <w:r>
        <w:t>)</w:t>
      </w:r>
    </w:p>
    <w:p w14:paraId="7F61E5FA" w14:textId="77777777" w:rsidR="00354062" w:rsidRDefault="00354062" w:rsidP="00354062">
      <w:r>
        <w:t xml:space="preserve">  </w:t>
      </w:r>
    </w:p>
    <w:p w14:paraId="69C0A1F4" w14:textId="77777777" w:rsidR="00354062" w:rsidRDefault="00354062" w:rsidP="00354062">
      <w:pPr>
        <w:spacing w:after="120"/>
      </w:pPr>
      <w:r>
        <w:t>This methodology has a number of advantages:</w:t>
      </w:r>
    </w:p>
    <w:p w14:paraId="1E11EA7B" w14:textId="4B76F91C" w:rsidR="00354062" w:rsidRDefault="00354062" w:rsidP="005D395A">
      <w:pPr>
        <w:pStyle w:val="ListParagraph"/>
        <w:numPr>
          <w:ilvl w:val="0"/>
          <w:numId w:val="21"/>
        </w:numPr>
      </w:pPr>
      <w:r>
        <w:t xml:space="preserve">Encourages all </w:t>
      </w:r>
      <w:r w:rsidR="00165F15">
        <w:t>AP</w:t>
      </w:r>
      <w:r>
        <w:t>s to fully charge the ITCF and BDF to all care recipients (unless they chose to forego this as a business decision)</w:t>
      </w:r>
    </w:p>
    <w:p w14:paraId="305D262F" w14:textId="77777777" w:rsidR="00354062" w:rsidRDefault="00354062" w:rsidP="005D395A">
      <w:pPr>
        <w:pStyle w:val="ListParagraph"/>
        <w:numPr>
          <w:ilvl w:val="0"/>
          <w:numId w:val="21"/>
        </w:numPr>
      </w:pPr>
      <w:r>
        <w:t>The total contribution to the overall HCP funding pool by the consumer (care recipient) will increase, making that pool of funds larger overall</w:t>
      </w:r>
    </w:p>
    <w:p w14:paraId="008EA714" w14:textId="75CA085A" w:rsidR="00354062" w:rsidRDefault="00354062" w:rsidP="005D395A">
      <w:pPr>
        <w:pStyle w:val="ListParagraph"/>
        <w:numPr>
          <w:ilvl w:val="0"/>
          <w:numId w:val="21"/>
        </w:numPr>
      </w:pPr>
      <w:r>
        <w:t xml:space="preserve">The claiming and reconciliation process by both the </w:t>
      </w:r>
      <w:r w:rsidR="00165F15">
        <w:t>AP</w:t>
      </w:r>
      <w:r>
        <w:t xml:space="preserve"> and DHS should be more streamlined as a result</w:t>
      </w:r>
    </w:p>
    <w:p w14:paraId="7BAC611C" w14:textId="77777777" w:rsidR="00354062" w:rsidRDefault="00354062" w:rsidP="00354062"/>
    <w:p w14:paraId="1F166DE1" w14:textId="77777777" w:rsidR="00354062" w:rsidRDefault="00354062" w:rsidP="00354062"/>
    <w:p w14:paraId="1F189820" w14:textId="77777777" w:rsidR="00354062" w:rsidRDefault="00354062" w:rsidP="00354062">
      <w:pPr>
        <w:sectPr w:rsidR="00354062" w:rsidSect="004D2763">
          <w:pgSz w:w="11906" w:h="16838" w:code="9"/>
          <w:pgMar w:top="1418" w:right="1134" w:bottom="1418" w:left="1134" w:header="709" w:footer="709" w:gutter="0"/>
          <w:cols w:space="708"/>
          <w:docGrid w:linePitch="360"/>
        </w:sectPr>
      </w:pPr>
    </w:p>
    <w:p w14:paraId="7AC98475" w14:textId="3952496C" w:rsidR="00027407" w:rsidRDefault="00027407" w:rsidP="00027407">
      <w:pPr>
        <w:pStyle w:val="Caption"/>
        <w:keepNext/>
      </w:pPr>
      <w:r>
        <w:lastRenderedPageBreak/>
        <w:t xml:space="preserve">Figure </w:t>
      </w:r>
      <w:fldSimple w:instr=" SEQ Figure \* ARABIC ">
        <w:r w:rsidR="007F5FB5">
          <w:rPr>
            <w:noProof/>
          </w:rPr>
          <w:t>10</w:t>
        </w:r>
      </w:fldSimple>
      <w:r>
        <w:t>:  Flowchart of future transaction flows for subsidies, c</w:t>
      </w:r>
      <w:r w:rsidR="00281031">
        <w:t>are recipient</w:t>
      </w:r>
      <w:r>
        <w:t xml:space="preserve"> fees and services provided</w:t>
      </w:r>
    </w:p>
    <w:p w14:paraId="7A1F5319" w14:textId="4FFA072E" w:rsidR="00027407" w:rsidRDefault="00027407" w:rsidP="0000677E">
      <w:r>
        <w:rPr>
          <w:noProof/>
          <w:lang w:eastAsia="en-AU"/>
        </w:rPr>
        <w:drawing>
          <wp:inline distT="0" distB="0" distL="0" distR="0" wp14:anchorId="29769621" wp14:editId="71548B2D">
            <wp:extent cx="8891270" cy="5452745"/>
            <wp:effectExtent l="0" t="0" r="508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uture Transaction Flow.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891270" cy="5452745"/>
                    </a:xfrm>
                    <a:prstGeom prst="rect">
                      <a:avLst/>
                    </a:prstGeom>
                  </pic:spPr>
                </pic:pic>
              </a:graphicData>
            </a:graphic>
          </wp:inline>
        </w:drawing>
      </w:r>
    </w:p>
    <w:bookmarkEnd w:id="15"/>
    <w:bookmarkEnd w:id="16"/>
    <w:bookmarkEnd w:id="17"/>
    <w:bookmarkEnd w:id="18"/>
    <w:bookmarkEnd w:id="2"/>
    <w:bookmarkEnd w:id="1"/>
    <w:p w14:paraId="4724DEBC" w14:textId="624DBE6B" w:rsidR="00164AE3" w:rsidRDefault="00164AE3" w:rsidP="00165F15">
      <w:pPr>
        <w:pStyle w:val="ACFPSHeading1"/>
        <w:numPr>
          <w:ilvl w:val="0"/>
          <w:numId w:val="0"/>
        </w:numPr>
      </w:pPr>
    </w:p>
    <w:sectPr w:rsidR="00164AE3" w:rsidSect="00EB3C65">
      <w:headerReference w:type="even" r:id="rId37"/>
      <w:headerReference w:type="default" r:id="rId38"/>
      <w:headerReference w:type="first" r:id="rId39"/>
      <w:footerReference w:type="first" r:id="rId40"/>
      <w:pgSz w:w="16838" w:h="11906" w:orient="landscape"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6385CD" w14:textId="77777777" w:rsidR="006E3CD6" w:rsidRDefault="006E3CD6" w:rsidP="0000677E">
      <w:r>
        <w:separator/>
      </w:r>
    </w:p>
    <w:p w14:paraId="1E110CAD" w14:textId="77777777" w:rsidR="006E3CD6" w:rsidRDefault="006E3CD6" w:rsidP="0000677E"/>
  </w:endnote>
  <w:endnote w:type="continuationSeparator" w:id="0">
    <w:p w14:paraId="59704A34" w14:textId="77777777" w:rsidR="006E3CD6" w:rsidRDefault="006E3CD6" w:rsidP="0000677E">
      <w:r>
        <w:continuationSeparator/>
      </w:r>
    </w:p>
    <w:p w14:paraId="43DB85FB" w14:textId="77777777" w:rsidR="006E3CD6" w:rsidRDefault="006E3CD6" w:rsidP="000067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03DB8" w14:textId="77777777" w:rsidR="006E3CD6" w:rsidRDefault="006E3CD6" w:rsidP="0000677E">
    <w:pPr>
      <w:pStyle w:val="Footer"/>
    </w:pPr>
  </w:p>
  <w:p w14:paraId="09ACA7E5" w14:textId="77777777" w:rsidR="006E3CD6" w:rsidRDefault="006E3CD6" w:rsidP="000067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082D0" w14:textId="7E8D2F7B" w:rsidR="006E3CD6" w:rsidRPr="005D2491" w:rsidRDefault="006E3CD6" w:rsidP="00ED5243">
    <w:pPr>
      <w:pStyle w:val="Footer"/>
      <w:rPr>
        <w:i/>
        <w:color w:val="0070C0"/>
      </w:rPr>
    </w:pPr>
    <w:r>
      <w:rPr>
        <w:i/>
        <w:color w:val="0070C0"/>
      </w:rPr>
      <w:t>Aged Care Financing Authority</w:t>
    </w:r>
    <w:r w:rsidRPr="00ED5243">
      <w:rPr>
        <w:i/>
        <w:color w:val="0070C0"/>
      </w:rPr>
      <w:t xml:space="preserve"> - Home Care Funding Analysis</w:t>
    </w:r>
    <w:r>
      <w:rPr>
        <w:i/>
        <w:color w:val="0070C0"/>
      </w:rPr>
      <w:tab/>
    </w:r>
    <w:r w:rsidRPr="005D2491">
      <w:rPr>
        <w:i/>
        <w:color w:val="7F7F7F" w:themeColor="background1" w:themeShade="7F"/>
        <w:spacing w:val="60"/>
      </w:rPr>
      <w:t>Page</w:t>
    </w:r>
    <w:r w:rsidRPr="005D2491">
      <w:rPr>
        <w:i/>
        <w:color w:val="0070C0"/>
      </w:rPr>
      <w:t xml:space="preserve"> | </w:t>
    </w:r>
    <w:r w:rsidRPr="005D2491">
      <w:rPr>
        <w:i/>
        <w:color w:val="0070C0"/>
      </w:rPr>
      <w:fldChar w:fldCharType="begin"/>
    </w:r>
    <w:r w:rsidRPr="005D2491">
      <w:rPr>
        <w:i/>
        <w:color w:val="0070C0"/>
      </w:rPr>
      <w:instrText xml:space="preserve"> PAGE   \* MERGEFORMAT </w:instrText>
    </w:r>
    <w:r w:rsidRPr="005D2491">
      <w:rPr>
        <w:i/>
        <w:color w:val="0070C0"/>
      </w:rPr>
      <w:fldChar w:fldCharType="separate"/>
    </w:r>
    <w:r w:rsidR="001E0B84">
      <w:rPr>
        <w:i/>
        <w:noProof/>
        <w:color w:val="0070C0"/>
      </w:rPr>
      <w:t>19</w:t>
    </w:r>
    <w:r w:rsidRPr="005D2491">
      <w:rPr>
        <w:b/>
        <w:bCs/>
        <w:i/>
        <w:noProof/>
        <w:color w:val="0070C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F8A77" w14:textId="77777777" w:rsidR="006E3CD6" w:rsidRDefault="006E3CD6" w:rsidP="0000677E">
    <w:pPr>
      <w:pStyle w:val="Footer"/>
    </w:pPr>
  </w:p>
  <w:p w14:paraId="35EFA563" w14:textId="77777777" w:rsidR="006E3CD6" w:rsidRDefault="006E3CD6" w:rsidP="0000677E">
    <w:pPr>
      <w:pStyle w:val="Footer"/>
    </w:pPr>
    <w:r>
      <w:t>Uniting AgeWell Community Care Review</w:t>
    </w:r>
  </w:p>
  <w:p w14:paraId="45A89C9C" w14:textId="77777777" w:rsidR="006E3CD6" w:rsidRPr="005D2491" w:rsidRDefault="006E3CD6" w:rsidP="0000677E">
    <w:pPr>
      <w:pStyle w:val="Footer"/>
    </w:pPr>
    <w:r>
      <w:tab/>
    </w:r>
    <w:r>
      <w:tab/>
      <w:t xml:space="preserve">        </w:t>
    </w:r>
    <w:r w:rsidRPr="005D2491">
      <w:rPr>
        <w:color w:val="7F7F7F" w:themeColor="background1" w:themeShade="7F"/>
        <w:spacing w:val="60"/>
      </w:rPr>
      <w:t>Page</w:t>
    </w:r>
    <w:r w:rsidRPr="005D2491">
      <w:t xml:space="preserve"> | </w:t>
    </w:r>
    <w:r w:rsidRPr="00B8057D">
      <w:fldChar w:fldCharType="begin"/>
    </w:r>
    <w:r w:rsidRPr="00B8057D">
      <w:instrText xml:space="preserve"> PAGE   \* MERGEFORMAT </w:instrText>
    </w:r>
    <w:r w:rsidRPr="00B8057D">
      <w:fldChar w:fldCharType="separate"/>
    </w:r>
    <w:r w:rsidRPr="00B8057D">
      <w:t>10</w:t>
    </w:r>
    <w:r w:rsidRPr="00B8057D">
      <w:rPr>
        <w:bCs/>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3CF38" w14:textId="77777777" w:rsidR="006E3CD6" w:rsidRDefault="006E3CD6" w:rsidP="0000677E">
    <w:pPr>
      <w:pStyle w:val="Footer"/>
    </w:pPr>
  </w:p>
  <w:p w14:paraId="73719F56" w14:textId="77777777" w:rsidR="006E3CD6" w:rsidRDefault="006E3CD6" w:rsidP="0000677E">
    <w:pPr>
      <w:pStyle w:val="Footer"/>
    </w:pPr>
    <w:r>
      <w:t>Uniting AgeWell Community Care Review</w:t>
    </w:r>
  </w:p>
  <w:p w14:paraId="6BEDDAB4" w14:textId="77777777" w:rsidR="006E3CD6" w:rsidRPr="005D2491" w:rsidRDefault="006E3CD6" w:rsidP="0000677E">
    <w:pPr>
      <w:pStyle w:val="Footer"/>
    </w:pPr>
    <w:r>
      <w:tab/>
    </w:r>
    <w:r>
      <w:tab/>
      <w:t xml:space="preserve">        </w:t>
    </w:r>
    <w:r w:rsidRPr="005D2491">
      <w:rPr>
        <w:color w:val="7F7F7F" w:themeColor="background1" w:themeShade="7F"/>
        <w:spacing w:val="60"/>
      </w:rPr>
      <w:t>Page</w:t>
    </w:r>
    <w:r w:rsidRPr="005D2491">
      <w:t xml:space="preserve"> | </w:t>
    </w:r>
    <w:r w:rsidRPr="00B8057D">
      <w:fldChar w:fldCharType="begin"/>
    </w:r>
    <w:r w:rsidRPr="00B8057D">
      <w:instrText xml:space="preserve"> PAGE   \* MERGEFORMAT </w:instrText>
    </w:r>
    <w:r w:rsidRPr="00B8057D">
      <w:fldChar w:fldCharType="separate"/>
    </w:r>
    <w:r w:rsidRPr="00B8057D">
      <w:t>10</w:t>
    </w:r>
    <w:r w:rsidRPr="00B8057D">
      <w:rPr>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989C49" w14:textId="77777777" w:rsidR="006E3CD6" w:rsidRDefault="006E3CD6" w:rsidP="0000677E">
      <w:r>
        <w:separator/>
      </w:r>
    </w:p>
    <w:p w14:paraId="41B09049" w14:textId="77777777" w:rsidR="006E3CD6" w:rsidRDefault="006E3CD6" w:rsidP="0000677E"/>
  </w:footnote>
  <w:footnote w:type="continuationSeparator" w:id="0">
    <w:p w14:paraId="56928547" w14:textId="77777777" w:rsidR="006E3CD6" w:rsidRDefault="006E3CD6" w:rsidP="0000677E">
      <w:r>
        <w:continuationSeparator/>
      </w:r>
    </w:p>
    <w:p w14:paraId="4E0FD18E" w14:textId="77777777" w:rsidR="006E3CD6" w:rsidRDefault="006E3CD6" w:rsidP="0000677E"/>
  </w:footnote>
  <w:footnote w:id="1">
    <w:p w14:paraId="1AFE3FEC" w14:textId="05E897D8" w:rsidR="006E3CD6" w:rsidRDefault="006E3CD6">
      <w:pPr>
        <w:pStyle w:val="FootnoteText"/>
      </w:pPr>
      <w:r>
        <w:rPr>
          <w:rStyle w:val="FootnoteReference"/>
        </w:rPr>
        <w:footnoteRef/>
      </w:r>
      <w:r>
        <w:t xml:space="preserve"> As provided in the 2018 Aged Care Financial Report lodged by approved providers of home care packages</w:t>
      </w:r>
    </w:p>
  </w:footnote>
  <w:footnote w:id="2">
    <w:p w14:paraId="3A6BCBDA" w14:textId="4CE7FE8F" w:rsidR="006E3CD6" w:rsidRDefault="006E3CD6">
      <w:pPr>
        <w:pStyle w:val="FootnoteText"/>
      </w:pPr>
      <w:r>
        <w:rPr>
          <w:rStyle w:val="FootnoteReference"/>
        </w:rPr>
        <w:footnoteRef/>
      </w:r>
      <w:r>
        <w:t xml:space="preserve"> Home Care packages Program Data Report 4th Quarter 2018-19</w:t>
      </w:r>
    </w:p>
  </w:footnote>
  <w:footnote w:id="3">
    <w:p w14:paraId="7A4F6B02" w14:textId="0A7FE5A0" w:rsidR="006E3CD6" w:rsidRDefault="006E3CD6">
      <w:pPr>
        <w:pStyle w:val="FootnoteText"/>
      </w:pPr>
      <w:r>
        <w:rPr>
          <w:rStyle w:val="FootnoteReference"/>
        </w:rPr>
        <w:footnoteRef/>
      </w:r>
      <w:r>
        <w:t xml:space="preserve"> It is apparent from an examination of the data, and the timing of it, that the ACFR data is still to undergo a data cleansing process to increase its level of accuracy</w:t>
      </w:r>
    </w:p>
  </w:footnote>
  <w:footnote w:id="4">
    <w:p w14:paraId="3E6328C9" w14:textId="3FFAF4E7" w:rsidR="006E3CD6" w:rsidRDefault="006E3CD6" w:rsidP="008B3A8F">
      <w:pPr>
        <w:pStyle w:val="FootnoteText"/>
      </w:pPr>
      <w:r>
        <w:rPr>
          <w:rStyle w:val="FootnoteReference"/>
        </w:rPr>
        <w:footnoteRef/>
      </w:r>
      <w:r>
        <w:t xml:space="preserve"> Aggregate of all information for the 737 providers that submitted complete data in the HCP segment note in the ACFR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F0731" w14:textId="5E1738B6" w:rsidR="006E3CD6" w:rsidRDefault="006E3CD6" w:rsidP="0000677E">
    <w:pPr>
      <w:pStyle w:val="Header"/>
    </w:pPr>
  </w:p>
  <w:p w14:paraId="2C43A3EA" w14:textId="77777777" w:rsidR="006E3CD6" w:rsidRDefault="006E3CD6" w:rsidP="0000677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824DD" w14:textId="724286B9" w:rsidR="006E3CD6" w:rsidRDefault="001E0B84" w:rsidP="0000677E">
    <w:pPr>
      <w:pStyle w:val="Header"/>
    </w:pPr>
    <w:r>
      <w:rPr>
        <w:noProof/>
        <w:lang w:eastAsia="en-AU"/>
      </w:rPr>
      <w:t xml:space="preserve"> </w:t>
    </w:r>
    <w:r w:rsidR="006E3CD6">
      <w:rPr>
        <w:noProof/>
        <w:lang w:eastAsia="en-AU"/>
      </w:rPr>
      <w:drawing>
        <wp:inline distT="0" distB="0" distL="0" distR="0" wp14:anchorId="767B20BA" wp14:editId="06954227">
          <wp:extent cx="810895" cy="292735"/>
          <wp:effectExtent l="0" t="0" r="8255" b="0"/>
          <wp:docPr id="26" name="Picture 26"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95" cy="292735"/>
                  </a:xfrm>
                  <a:prstGeom prst="rect">
                    <a:avLst/>
                  </a:prstGeom>
                  <a:noFill/>
                </pic:spPr>
              </pic:pic>
            </a:graphicData>
          </a:graphic>
        </wp:inline>
      </w:drawing>
    </w:r>
  </w:p>
  <w:p w14:paraId="137BD717" w14:textId="2CA8221A" w:rsidR="006E3CD6" w:rsidRDefault="006E3CD6" w:rsidP="000067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89DD0" w14:textId="409F7359" w:rsidR="006E3CD6" w:rsidRDefault="006E3CD6" w:rsidP="000067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A7240" w14:textId="4019028F" w:rsidR="006E3CD6" w:rsidRDefault="006E3CD6" w:rsidP="00A75A46">
    <w:pPr>
      <w:pStyle w:val="Header"/>
      <w:jc w:val="right"/>
    </w:pPr>
    <w:r>
      <w:rPr>
        <w:noProof/>
        <w:lang w:eastAsia="en-AU"/>
      </w:rPr>
      <w:drawing>
        <wp:inline distT="0" distB="0" distL="0" distR="0" wp14:anchorId="164C9185" wp14:editId="355D0248">
          <wp:extent cx="810895" cy="292735"/>
          <wp:effectExtent l="0" t="0" r="8255" b="0"/>
          <wp:docPr id="16" name="Picture 16" title="Image of StewartBrow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95" cy="29273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52644" w14:textId="6ED6C70F" w:rsidR="006E3CD6" w:rsidRDefault="006E3CD6" w:rsidP="0000677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42959" w14:textId="578CF9CD" w:rsidR="006E3CD6" w:rsidRDefault="006E3CD6" w:rsidP="0000677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04CE0" w14:textId="56580E47" w:rsidR="006E3CD6" w:rsidRDefault="006E3CD6" w:rsidP="00A75A46">
    <w:pPr>
      <w:pStyle w:val="Header"/>
      <w:jc w:val="right"/>
    </w:pPr>
    <w:r>
      <w:rPr>
        <w:noProof/>
        <w:lang w:eastAsia="en-AU"/>
      </w:rPr>
      <w:drawing>
        <wp:inline distT="0" distB="0" distL="0" distR="0" wp14:anchorId="3B80A01D" wp14:editId="0D789211">
          <wp:extent cx="810895" cy="292735"/>
          <wp:effectExtent l="0" t="0" r="8255" b="0"/>
          <wp:docPr id="17" name="Picture 17" title="Image of StewartBrow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95" cy="292735"/>
                  </a:xfrm>
                  <a:prstGeom prst="rect">
                    <a:avLst/>
                  </a:prstGeom>
                  <a:noFill/>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A9DA5" w14:textId="1A841100" w:rsidR="006E3CD6" w:rsidRDefault="006E3CD6" w:rsidP="0000677E">
    <w:pPr>
      <w:pStyle w:val="Header"/>
    </w:pPr>
    <w:bookmarkStart w:id="58" w:name="_GoBack"/>
    <w:r>
      <w:rPr>
        <w:noProof/>
        <w:lang w:eastAsia="en-AU"/>
      </w:rPr>
      <w:drawing>
        <wp:inline distT="0" distB="0" distL="0" distR="0" wp14:anchorId="663DBABD" wp14:editId="1E5C88D1">
          <wp:extent cx="810895" cy="292735"/>
          <wp:effectExtent l="0" t="0" r="8255" b="0"/>
          <wp:docPr id="31" name="Picture 31"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95" cy="292735"/>
                  </a:xfrm>
                  <a:prstGeom prst="rect">
                    <a:avLst/>
                  </a:prstGeom>
                  <a:noFill/>
                </pic:spPr>
              </pic:pic>
            </a:graphicData>
          </a:graphic>
        </wp:inline>
      </w:drawing>
    </w:r>
    <w:bookmarkEnd w:id="58"/>
  </w:p>
  <w:p w14:paraId="0E7E8EB2" w14:textId="77777777" w:rsidR="006E3CD6" w:rsidRDefault="006E3CD6" w:rsidP="0000677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543B9" w14:textId="329CD285" w:rsidR="006E3CD6" w:rsidRDefault="006E3CD6" w:rsidP="0000677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E8FE9" w14:textId="45450305" w:rsidR="006E3CD6" w:rsidRDefault="006E3CD6" w:rsidP="00A75A46">
    <w:pPr>
      <w:pStyle w:val="Header"/>
      <w:jc w:val="right"/>
    </w:pPr>
    <w:r>
      <w:rPr>
        <w:noProof/>
        <w:lang w:eastAsia="en-AU"/>
      </w:rPr>
      <w:drawing>
        <wp:inline distT="0" distB="0" distL="0" distR="0" wp14:anchorId="5ED676CE" wp14:editId="4D5E5EE0">
          <wp:extent cx="810895" cy="292735"/>
          <wp:effectExtent l="0" t="0" r="8255" b="0"/>
          <wp:docPr id="25" name="Picture 25" title="Image of StewartBrow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95" cy="29273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9160B0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BD70D3"/>
    <w:multiLevelType w:val="hybridMultilevel"/>
    <w:tmpl w:val="AC442A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A76672"/>
    <w:multiLevelType w:val="hybridMultilevel"/>
    <w:tmpl w:val="D6724F6A"/>
    <w:lvl w:ilvl="0" w:tplc="584834FA">
      <w:start w:val="1"/>
      <w:numFmt w:val="bullet"/>
      <w:lvlText w:val=""/>
      <w:lvlJc w:val="left"/>
      <w:pPr>
        <w:ind w:left="720" w:hanging="360"/>
      </w:pPr>
      <w:rPr>
        <w:rFonts w:ascii="Symbol" w:hAnsi="Symbol" w:hint="default"/>
        <w:color w:val="FF66F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6D3AF5"/>
    <w:multiLevelType w:val="hybridMultilevel"/>
    <w:tmpl w:val="18087154"/>
    <w:lvl w:ilvl="0" w:tplc="584834FA">
      <w:start w:val="1"/>
      <w:numFmt w:val="bullet"/>
      <w:lvlText w:val=""/>
      <w:lvlJc w:val="left"/>
      <w:pPr>
        <w:ind w:left="720" w:hanging="360"/>
      </w:pPr>
      <w:rPr>
        <w:rFonts w:ascii="Symbol" w:hAnsi="Symbol" w:hint="default"/>
        <w:color w:val="FF66F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04424A"/>
    <w:multiLevelType w:val="hybridMultilevel"/>
    <w:tmpl w:val="C54EFD2E"/>
    <w:lvl w:ilvl="0" w:tplc="584834FA">
      <w:start w:val="1"/>
      <w:numFmt w:val="bullet"/>
      <w:lvlText w:val=""/>
      <w:lvlJc w:val="left"/>
      <w:pPr>
        <w:ind w:left="720" w:hanging="360"/>
      </w:pPr>
      <w:rPr>
        <w:rFonts w:ascii="Symbol" w:hAnsi="Symbol" w:hint="default"/>
        <w:color w:val="FF66F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417019"/>
    <w:multiLevelType w:val="hybridMultilevel"/>
    <w:tmpl w:val="96EC54A6"/>
    <w:lvl w:ilvl="0" w:tplc="584834FA">
      <w:start w:val="1"/>
      <w:numFmt w:val="bullet"/>
      <w:lvlText w:val=""/>
      <w:lvlJc w:val="left"/>
      <w:pPr>
        <w:ind w:left="720" w:hanging="360"/>
      </w:pPr>
      <w:rPr>
        <w:rFonts w:ascii="Symbol" w:hAnsi="Symbol" w:hint="default"/>
        <w:color w:val="FF66FF"/>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EED258F"/>
    <w:multiLevelType w:val="hybridMultilevel"/>
    <w:tmpl w:val="3196A56E"/>
    <w:lvl w:ilvl="0" w:tplc="E1144FFE">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0C0338"/>
    <w:multiLevelType w:val="hybridMultilevel"/>
    <w:tmpl w:val="69925E50"/>
    <w:lvl w:ilvl="0" w:tplc="0C090005">
      <w:start w:val="1"/>
      <w:numFmt w:val="bullet"/>
      <w:lvlText w:val=""/>
      <w:lvlJc w:val="left"/>
      <w:pPr>
        <w:ind w:left="720" w:hanging="360"/>
      </w:pPr>
      <w:rPr>
        <w:rFonts w:ascii="Wingdings" w:hAnsi="Wingdings" w:hint="default"/>
        <w:color w:val="FF66F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D7456D"/>
    <w:multiLevelType w:val="hybridMultilevel"/>
    <w:tmpl w:val="746CC952"/>
    <w:lvl w:ilvl="0" w:tplc="584834FA">
      <w:start w:val="1"/>
      <w:numFmt w:val="bullet"/>
      <w:lvlText w:val=""/>
      <w:lvlJc w:val="left"/>
      <w:pPr>
        <w:ind w:left="720" w:hanging="360"/>
      </w:pPr>
      <w:rPr>
        <w:rFonts w:ascii="Symbol" w:hAnsi="Symbol" w:hint="default"/>
        <w:color w:val="FF66F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BD72A4"/>
    <w:multiLevelType w:val="hybridMultilevel"/>
    <w:tmpl w:val="6166E32C"/>
    <w:lvl w:ilvl="0" w:tplc="874E283E">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125A07"/>
    <w:multiLevelType w:val="multilevel"/>
    <w:tmpl w:val="F622221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2C2F2FC4"/>
    <w:multiLevelType w:val="hybridMultilevel"/>
    <w:tmpl w:val="6C12660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2" w15:restartNumberingAfterBreak="0">
    <w:nsid w:val="2F870988"/>
    <w:multiLevelType w:val="hybridMultilevel"/>
    <w:tmpl w:val="D4869A7C"/>
    <w:lvl w:ilvl="0" w:tplc="584834FA">
      <w:start w:val="1"/>
      <w:numFmt w:val="bullet"/>
      <w:lvlText w:val=""/>
      <w:lvlJc w:val="left"/>
      <w:pPr>
        <w:ind w:left="720" w:hanging="360"/>
      </w:pPr>
      <w:rPr>
        <w:rFonts w:ascii="Symbol" w:hAnsi="Symbol" w:hint="default"/>
        <w:color w:val="FF66F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3D59B8"/>
    <w:multiLevelType w:val="hybridMultilevel"/>
    <w:tmpl w:val="53D0B894"/>
    <w:lvl w:ilvl="0" w:tplc="584834FA">
      <w:start w:val="1"/>
      <w:numFmt w:val="bullet"/>
      <w:lvlText w:val=""/>
      <w:lvlJc w:val="left"/>
      <w:pPr>
        <w:ind w:left="720" w:hanging="360"/>
      </w:pPr>
      <w:rPr>
        <w:rFonts w:ascii="Symbol" w:hAnsi="Symbol" w:hint="default"/>
        <w:color w:val="FF66F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FA4CC2"/>
    <w:multiLevelType w:val="hybridMultilevel"/>
    <w:tmpl w:val="C7189D22"/>
    <w:lvl w:ilvl="0" w:tplc="584834FA">
      <w:start w:val="1"/>
      <w:numFmt w:val="bullet"/>
      <w:lvlText w:val=""/>
      <w:lvlJc w:val="left"/>
      <w:pPr>
        <w:ind w:left="720" w:hanging="360"/>
      </w:pPr>
      <w:rPr>
        <w:rFonts w:ascii="Symbol" w:hAnsi="Symbol" w:hint="default"/>
        <w:color w:val="FF66FF"/>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811CB1"/>
    <w:multiLevelType w:val="hybridMultilevel"/>
    <w:tmpl w:val="D2CC6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3786F4C"/>
    <w:multiLevelType w:val="hybridMultilevel"/>
    <w:tmpl w:val="1136B55A"/>
    <w:lvl w:ilvl="0" w:tplc="584834FA">
      <w:start w:val="1"/>
      <w:numFmt w:val="bullet"/>
      <w:lvlText w:val=""/>
      <w:lvlJc w:val="left"/>
      <w:pPr>
        <w:ind w:left="720" w:hanging="360"/>
      </w:pPr>
      <w:rPr>
        <w:rFonts w:ascii="Symbol" w:hAnsi="Symbol" w:hint="default"/>
        <w:color w:val="FF66F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0E30CB"/>
    <w:multiLevelType w:val="hybridMultilevel"/>
    <w:tmpl w:val="3834A580"/>
    <w:lvl w:ilvl="0" w:tplc="584834FA">
      <w:start w:val="1"/>
      <w:numFmt w:val="bullet"/>
      <w:lvlText w:val=""/>
      <w:lvlJc w:val="left"/>
      <w:pPr>
        <w:ind w:left="720" w:hanging="360"/>
      </w:pPr>
      <w:rPr>
        <w:rFonts w:ascii="Symbol" w:hAnsi="Symbol" w:hint="default"/>
        <w:color w:val="FF66F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1B36562"/>
    <w:multiLevelType w:val="hybridMultilevel"/>
    <w:tmpl w:val="66D6B77A"/>
    <w:lvl w:ilvl="0" w:tplc="584834FA">
      <w:start w:val="1"/>
      <w:numFmt w:val="bullet"/>
      <w:lvlText w:val=""/>
      <w:lvlJc w:val="left"/>
      <w:pPr>
        <w:ind w:left="720" w:hanging="360"/>
      </w:pPr>
      <w:rPr>
        <w:rFonts w:ascii="Symbol" w:hAnsi="Symbol" w:hint="default"/>
        <w:color w:val="FF66F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4170B76"/>
    <w:multiLevelType w:val="hybridMultilevel"/>
    <w:tmpl w:val="98C09BEA"/>
    <w:lvl w:ilvl="0" w:tplc="584834FA">
      <w:start w:val="1"/>
      <w:numFmt w:val="bullet"/>
      <w:lvlText w:val=""/>
      <w:lvlJc w:val="left"/>
      <w:pPr>
        <w:ind w:left="720" w:hanging="360"/>
      </w:pPr>
      <w:rPr>
        <w:rFonts w:ascii="Symbol" w:hAnsi="Symbol" w:hint="default"/>
        <w:color w:val="FF66F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D842536"/>
    <w:multiLevelType w:val="hybridMultilevel"/>
    <w:tmpl w:val="7E90E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EDF2EE7"/>
    <w:multiLevelType w:val="hybridMultilevel"/>
    <w:tmpl w:val="4A1CAC5C"/>
    <w:lvl w:ilvl="0" w:tplc="A0960F6A">
      <w:start w:val="1"/>
      <w:numFmt w:val="bullet"/>
      <w:lvlText w:val=""/>
      <w:lvlJc w:val="left"/>
      <w:pPr>
        <w:ind w:left="720" w:hanging="360"/>
      </w:pPr>
      <w:rPr>
        <w:rFonts w:ascii="Symbol" w:hAnsi="Symbol"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1E0617F"/>
    <w:multiLevelType w:val="hybridMultilevel"/>
    <w:tmpl w:val="095C91BA"/>
    <w:lvl w:ilvl="0" w:tplc="584834FA">
      <w:start w:val="1"/>
      <w:numFmt w:val="bullet"/>
      <w:lvlText w:val=""/>
      <w:lvlJc w:val="left"/>
      <w:pPr>
        <w:ind w:left="720" w:hanging="360"/>
      </w:pPr>
      <w:rPr>
        <w:rFonts w:ascii="Symbol" w:hAnsi="Symbol" w:hint="default"/>
        <w:color w:val="FF66F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58A7ADC"/>
    <w:multiLevelType w:val="hybridMultilevel"/>
    <w:tmpl w:val="4A121F46"/>
    <w:lvl w:ilvl="0" w:tplc="584834FA">
      <w:start w:val="1"/>
      <w:numFmt w:val="bullet"/>
      <w:lvlText w:val=""/>
      <w:lvlJc w:val="left"/>
      <w:pPr>
        <w:ind w:left="720" w:hanging="360"/>
      </w:pPr>
      <w:rPr>
        <w:rFonts w:ascii="Symbol" w:hAnsi="Symbol" w:hint="default"/>
        <w:color w:val="FF66FF"/>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7B925146"/>
    <w:multiLevelType w:val="multilevel"/>
    <w:tmpl w:val="752EF1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DB42F51"/>
    <w:multiLevelType w:val="hybridMultilevel"/>
    <w:tmpl w:val="E9168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F22084F"/>
    <w:multiLevelType w:val="hybridMultilevel"/>
    <w:tmpl w:val="C26A02BA"/>
    <w:lvl w:ilvl="0" w:tplc="584834FA">
      <w:start w:val="1"/>
      <w:numFmt w:val="bullet"/>
      <w:lvlText w:val=""/>
      <w:lvlJc w:val="left"/>
      <w:pPr>
        <w:ind w:left="720" w:hanging="360"/>
      </w:pPr>
      <w:rPr>
        <w:rFonts w:ascii="Symbol" w:hAnsi="Symbol" w:hint="default"/>
        <w:color w:val="FF66F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1"/>
  </w:num>
  <w:num w:numId="3">
    <w:abstractNumId w:val="20"/>
  </w:num>
  <w:num w:numId="4">
    <w:abstractNumId w:val="15"/>
  </w:num>
  <w:num w:numId="5">
    <w:abstractNumId w:val="7"/>
  </w:num>
  <w:num w:numId="6">
    <w:abstractNumId w:val="9"/>
  </w:num>
  <w:num w:numId="7">
    <w:abstractNumId w:val="23"/>
  </w:num>
  <w:num w:numId="8">
    <w:abstractNumId w:val="5"/>
  </w:num>
  <w:num w:numId="9">
    <w:abstractNumId w:val="18"/>
  </w:num>
  <w:num w:numId="10">
    <w:abstractNumId w:val="4"/>
  </w:num>
  <w:num w:numId="11">
    <w:abstractNumId w:val="10"/>
  </w:num>
  <w:num w:numId="12">
    <w:abstractNumId w:val="14"/>
  </w:num>
  <w:num w:numId="13">
    <w:abstractNumId w:val="13"/>
  </w:num>
  <w:num w:numId="14">
    <w:abstractNumId w:val="12"/>
  </w:num>
  <w:num w:numId="15">
    <w:abstractNumId w:val="3"/>
  </w:num>
  <w:num w:numId="16">
    <w:abstractNumId w:val="19"/>
  </w:num>
  <w:num w:numId="17">
    <w:abstractNumId w:val="0"/>
  </w:num>
  <w:num w:numId="18">
    <w:abstractNumId w:val="16"/>
  </w:num>
  <w:num w:numId="19">
    <w:abstractNumId w:val="17"/>
  </w:num>
  <w:num w:numId="20">
    <w:abstractNumId w:val="8"/>
  </w:num>
  <w:num w:numId="21">
    <w:abstractNumId w:val="26"/>
  </w:num>
  <w:num w:numId="22">
    <w:abstractNumId w:val="21"/>
  </w:num>
  <w:num w:numId="23">
    <w:abstractNumId w:val="6"/>
  </w:num>
  <w:num w:numId="24">
    <w:abstractNumId w:val="2"/>
  </w:num>
  <w:num w:numId="25">
    <w:abstractNumId w:val="22"/>
  </w:num>
  <w:num w:numId="26">
    <w:abstractNumId w:val="11"/>
  </w:num>
  <w:num w:numId="27">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A8F"/>
    <w:rsid w:val="0000154C"/>
    <w:rsid w:val="00002A40"/>
    <w:rsid w:val="000036CC"/>
    <w:rsid w:val="0000468D"/>
    <w:rsid w:val="00004AAA"/>
    <w:rsid w:val="00005996"/>
    <w:rsid w:val="000063F0"/>
    <w:rsid w:val="0000677E"/>
    <w:rsid w:val="000070AB"/>
    <w:rsid w:val="00007E58"/>
    <w:rsid w:val="00014F62"/>
    <w:rsid w:val="00015458"/>
    <w:rsid w:val="00015BD6"/>
    <w:rsid w:val="0001613B"/>
    <w:rsid w:val="00016780"/>
    <w:rsid w:val="000170A6"/>
    <w:rsid w:val="00020308"/>
    <w:rsid w:val="00021403"/>
    <w:rsid w:val="0002167B"/>
    <w:rsid w:val="00021889"/>
    <w:rsid w:val="00021A3F"/>
    <w:rsid w:val="00023B5C"/>
    <w:rsid w:val="000258E5"/>
    <w:rsid w:val="00026E9B"/>
    <w:rsid w:val="00027407"/>
    <w:rsid w:val="00030761"/>
    <w:rsid w:val="000311A6"/>
    <w:rsid w:val="000313E2"/>
    <w:rsid w:val="00033105"/>
    <w:rsid w:val="00035C17"/>
    <w:rsid w:val="00036A51"/>
    <w:rsid w:val="000372BC"/>
    <w:rsid w:val="00037DBB"/>
    <w:rsid w:val="000408AB"/>
    <w:rsid w:val="000431FC"/>
    <w:rsid w:val="000436A1"/>
    <w:rsid w:val="00043999"/>
    <w:rsid w:val="00047C60"/>
    <w:rsid w:val="00047FF4"/>
    <w:rsid w:val="00050077"/>
    <w:rsid w:val="00051209"/>
    <w:rsid w:val="00053A4B"/>
    <w:rsid w:val="00055D13"/>
    <w:rsid w:val="00061241"/>
    <w:rsid w:val="00061A4B"/>
    <w:rsid w:val="0006293C"/>
    <w:rsid w:val="00063258"/>
    <w:rsid w:val="000635BA"/>
    <w:rsid w:val="00064140"/>
    <w:rsid w:val="00065F30"/>
    <w:rsid w:val="000714B0"/>
    <w:rsid w:val="0007559B"/>
    <w:rsid w:val="00077DD9"/>
    <w:rsid w:val="00081C7A"/>
    <w:rsid w:val="000825B9"/>
    <w:rsid w:val="00083440"/>
    <w:rsid w:val="000835B8"/>
    <w:rsid w:val="00085447"/>
    <w:rsid w:val="00086383"/>
    <w:rsid w:val="0008685B"/>
    <w:rsid w:val="0008794C"/>
    <w:rsid w:val="000911BE"/>
    <w:rsid w:val="00091758"/>
    <w:rsid w:val="0009199A"/>
    <w:rsid w:val="00091DF5"/>
    <w:rsid w:val="00092A4D"/>
    <w:rsid w:val="000934B7"/>
    <w:rsid w:val="00096F4B"/>
    <w:rsid w:val="00097B2C"/>
    <w:rsid w:val="000A1659"/>
    <w:rsid w:val="000A396E"/>
    <w:rsid w:val="000A57E6"/>
    <w:rsid w:val="000B2FE9"/>
    <w:rsid w:val="000B48A2"/>
    <w:rsid w:val="000B6414"/>
    <w:rsid w:val="000C0138"/>
    <w:rsid w:val="000C5BE7"/>
    <w:rsid w:val="000D12B3"/>
    <w:rsid w:val="000D2091"/>
    <w:rsid w:val="000D25DA"/>
    <w:rsid w:val="000D28AE"/>
    <w:rsid w:val="000D427B"/>
    <w:rsid w:val="000D5D62"/>
    <w:rsid w:val="000E2921"/>
    <w:rsid w:val="000E6021"/>
    <w:rsid w:val="000E6336"/>
    <w:rsid w:val="000E7889"/>
    <w:rsid w:val="000F0213"/>
    <w:rsid w:val="000F1921"/>
    <w:rsid w:val="000F1B3C"/>
    <w:rsid w:val="000F2390"/>
    <w:rsid w:val="000F5BE8"/>
    <w:rsid w:val="000F6267"/>
    <w:rsid w:val="000F6454"/>
    <w:rsid w:val="000F74E7"/>
    <w:rsid w:val="000F7CEE"/>
    <w:rsid w:val="000F7D67"/>
    <w:rsid w:val="00102E1D"/>
    <w:rsid w:val="001038B2"/>
    <w:rsid w:val="00107049"/>
    <w:rsid w:val="001116D0"/>
    <w:rsid w:val="00113FFA"/>
    <w:rsid w:val="00121729"/>
    <w:rsid w:val="00121972"/>
    <w:rsid w:val="00122E98"/>
    <w:rsid w:val="0012463A"/>
    <w:rsid w:val="00127A74"/>
    <w:rsid w:val="00127D71"/>
    <w:rsid w:val="00130204"/>
    <w:rsid w:val="001308F3"/>
    <w:rsid w:val="00133A9D"/>
    <w:rsid w:val="001351F1"/>
    <w:rsid w:val="001360EA"/>
    <w:rsid w:val="0013646A"/>
    <w:rsid w:val="00136FB5"/>
    <w:rsid w:val="00137E6A"/>
    <w:rsid w:val="00142A8F"/>
    <w:rsid w:val="00143E62"/>
    <w:rsid w:val="00143FE1"/>
    <w:rsid w:val="001442E7"/>
    <w:rsid w:val="00144F53"/>
    <w:rsid w:val="001461C5"/>
    <w:rsid w:val="0014782B"/>
    <w:rsid w:val="00147FFA"/>
    <w:rsid w:val="00151756"/>
    <w:rsid w:val="001518A5"/>
    <w:rsid w:val="00154A6D"/>
    <w:rsid w:val="00154C28"/>
    <w:rsid w:val="001552F3"/>
    <w:rsid w:val="00155B6F"/>
    <w:rsid w:val="001560A4"/>
    <w:rsid w:val="0015727A"/>
    <w:rsid w:val="0015749F"/>
    <w:rsid w:val="00161626"/>
    <w:rsid w:val="00164186"/>
    <w:rsid w:val="00164AE3"/>
    <w:rsid w:val="00164CA0"/>
    <w:rsid w:val="00165F15"/>
    <w:rsid w:val="00167798"/>
    <w:rsid w:val="00170405"/>
    <w:rsid w:val="00170B27"/>
    <w:rsid w:val="00170F1A"/>
    <w:rsid w:val="0017115F"/>
    <w:rsid w:val="0017154E"/>
    <w:rsid w:val="00171E8A"/>
    <w:rsid w:val="001722C7"/>
    <w:rsid w:val="00173CE3"/>
    <w:rsid w:val="0017426D"/>
    <w:rsid w:val="001825F5"/>
    <w:rsid w:val="00184DB4"/>
    <w:rsid w:val="0018754B"/>
    <w:rsid w:val="00187695"/>
    <w:rsid w:val="001876CF"/>
    <w:rsid w:val="00191FBF"/>
    <w:rsid w:val="00192B86"/>
    <w:rsid w:val="001943F9"/>
    <w:rsid w:val="0019570A"/>
    <w:rsid w:val="00196853"/>
    <w:rsid w:val="00197F9B"/>
    <w:rsid w:val="001A030E"/>
    <w:rsid w:val="001A1D88"/>
    <w:rsid w:val="001A1EE4"/>
    <w:rsid w:val="001A5723"/>
    <w:rsid w:val="001A5C1F"/>
    <w:rsid w:val="001A6053"/>
    <w:rsid w:val="001A61ED"/>
    <w:rsid w:val="001B04E3"/>
    <w:rsid w:val="001B0552"/>
    <w:rsid w:val="001B1C82"/>
    <w:rsid w:val="001B5D40"/>
    <w:rsid w:val="001C36B7"/>
    <w:rsid w:val="001C495A"/>
    <w:rsid w:val="001C4E2A"/>
    <w:rsid w:val="001C5988"/>
    <w:rsid w:val="001C75F8"/>
    <w:rsid w:val="001D003B"/>
    <w:rsid w:val="001D1633"/>
    <w:rsid w:val="001D1EB5"/>
    <w:rsid w:val="001D538B"/>
    <w:rsid w:val="001D7082"/>
    <w:rsid w:val="001E09D1"/>
    <w:rsid w:val="001E0B84"/>
    <w:rsid w:val="001E24B5"/>
    <w:rsid w:val="001E2CF9"/>
    <w:rsid w:val="001E39D8"/>
    <w:rsid w:val="001E5BD2"/>
    <w:rsid w:val="001E60F8"/>
    <w:rsid w:val="001F0F05"/>
    <w:rsid w:val="001F26D3"/>
    <w:rsid w:val="001F54B1"/>
    <w:rsid w:val="001F7B71"/>
    <w:rsid w:val="002013A6"/>
    <w:rsid w:val="00204129"/>
    <w:rsid w:val="00204D78"/>
    <w:rsid w:val="002067E5"/>
    <w:rsid w:val="00210E24"/>
    <w:rsid w:val="00211664"/>
    <w:rsid w:val="00211867"/>
    <w:rsid w:val="00211A52"/>
    <w:rsid w:val="0021325F"/>
    <w:rsid w:val="002223B7"/>
    <w:rsid w:val="00222A84"/>
    <w:rsid w:val="00222BEF"/>
    <w:rsid w:val="00223005"/>
    <w:rsid w:val="00224F70"/>
    <w:rsid w:val="00225280"/>
    <w:rsid w:val="00226037"/>
    <w:rsid w:val="0022609B"/>
    <w:rsid w:val="0023047F"/>
    <w:rsid w:val="00231AD0"/>
    <w:rsid w:val="0023688B"/>
    <w:rsid w:val="0023719C"/>
    <w:rsid w:val="00237E55"/>
    <w:rsid w:val="00240421"/>
    <w:rsid w:val="002410CC"/>
    <w:rsid w:val="00241836"/>
    <w:rsid w:val="00241E28"/>
    <w:rsid w:val="00245813"/>
    <w:rsid w:val="00245A76"/>
    <w:rsid w:val="00252544"/>
    <w:rsid w:val="00252766"/>
    <w:rsid w:val="0025293C"/>
    <w:rsid w:val="00253082"/>
    <w:rsid w:val="0025473C"/>
    <w:rsid w:val="00254B2E"/>
    <w:rsid w:val="002550DD"/>
    <w:rsid w:val="002557B5"/>
    <w:rsid w:val="0025673A"/>
    <w:rsid w:val="002609B9"/>
    <w:rsid w:val="002635F3"/>
    <w:rsid w:val="00263CB1"/>
    <w:rsid w:val="0026667E"/>
    <w:rsid w:val="0026673E"/>
    <w:rsid w:val="00266A28"/>
    <w:rsid w:val="0026746E"/>
    <w:rsid w:val="00270AF1"/>
    <w:rsid w:val="00273B58"/>
    <w:rsid w:val="002745ED"/>
    <w:rsid w:val="00274ACD"/>
    <w:rsid w:val="0027605B"/>
    <w:rsid w:val="002767E5"/>
    <w:rsid w:val="002772A8"/>
    <w:rsid w:val="00281031"/>
    <w:rsid w:val="002812CB"/>
    <w:rsid w:val="00281730"/>
    <w:rsid w:val="002852FE"/>
    <w:rsid w:val="002865EF"/>
    <w:rsid w:val="00287AE3"/>
    <w:rsid w:val="00290DAF"/>
    <w:rsid w:val="00290EAE"/>
    <w:rsid w:val="00296075"/>
    <w:rsid w:val="002A3370"/>
    <w:rsid w:val="002A688E"/>
    <w:rsid w:val="002A74C6"/>
    <w:rsid w:val="002B0231"/>
    <w:rsid w:val="002B1E04"/>
    <w:rsid w:val="002B5FA8"/>
    <w:rsid w:val="002C0CFF"/>
    <w:rsid w:val="002C1616"/>
    <w:rsid w:val="002C2A7E"/>
    <w:rsid w:val="002C3136"/>
    <w:rsid w:val="002C364C"/>
    <w:rsid w:val="002C6BFF"/>
    <w:rsid w:val="002D018D"/>
    <w:rsid w:val="002D28FF"/>
    <w:rsid w:val="002D6A12"/>
    <w:rsid w:val="002D71B3"/>
    <w:rsid w:val="002D7A25"/>
    <w:rsid w:val="002E005E"/>
    <w:rsid w:val="002E065E"/>
    <w:rsid w:val="002E0A05"/>
    <w:rsid w:val="002E0F89"/>
    <w:rsid w:val="002E16E6"/>
    <w:rsid w:val="002E2CED"/>
    <w:rsid w:val="002E369A"/>
    <w:rsid w:val="002E4151"/>
    <w:rsid w:val="002E6A28"/>
    <w:rsid w:val="002E6C9E"/>
    <w:rsid w:val="002E72DB"/>
    <w:rsid w:val="002F0D89"/>
    <w:rsid w:val="002F1EBB"/>
    <w:rsid w:val="002F5711"/>
    <w:rsid w:val="003012EC"/>
    <w:rsid w:val="00301A02"/>
    <w:rsid w:val="003035BE"/>
    <w:rsid w:val="003038FD"/>
    <w:rsid w:val="00306987"/>
    <w:rsid w:val="0031038E"/>
    <w:rsid w:val="00312327"/>
    <w:rsid w:val="00313F79"/>
    <w:rsid w:val="003143FE"/>
    <w:rsid w:val="00315729"/>
    <w:rsid w:val="003174D6"/>
    <w:rsid w:val="0032141C"/>
    <w:rsid w:val="0032173D"/>
    <w:rsid w:val="0032355E"/>
    <w:rsid w:val="00325203"/>
    <w:rsid w:val="00325332"/>
    <w:rsid w:val="00325354"/>
    <w:rsid w:val="003262C7"/>
    <w:rsid w:val="00327C45"/>
    <w:rsid w:val="003335DB"/>
    <w:rsid w:val="00333CB3"/>
    <w:rsid w:val="0033462F"/>
    <w:rsid w:val="00335D1C"/>
    <w:rsid w:val="0033710D"/>
    <w:rsid w:val="0033719B"/>
    <w:rsid w:val="003409AC"/>
    <w:rsid w:val="003412E4"/>
    <w:rsid w:val="00343807"/>
    <w:rsid w:val="00343F8B"/>
    <w:rsid w:val="00343FF5"/>
    <w:rsid w:val="00344D0C"/>
    <w:rsid w:val="0034629F"/>
    <w:rsid w:val="00346CAD"/>
    <w:rsid w:val="003505AF"/>
    <w:rsid w:val="00352202"/>
    <w:rsid w:val="00354062"/>
    <w:rsid w:val="00354C54"/>
    <w:rsid w:val="00355F89"/>
    <w:rsid w:val="00356580"/>
    <w:rsid w:val="00360E34"/>
    <w:rsid w:val="00360E37"/>
    <w:rsid w:val="00361FD3"/>
    <w:rsid w:val="00362400"/>
    <w:rsid w:val="003636FB"/>
    <w:rsid w:val="003638A0"/>
    <w:rsid w:val="0036409F"/>
    <w:rsid w:val="00366454"/>
    <w:rsid w:val="0036740B"/>
    <w:rsid w:val="003724E5"/>
    <w:rsid w:val="003750C3"/>
    <w:rsid w:val="0038076F"/>
    <w:rsid w:val="00381293"/>
    <w:rsid w:val="00384075"/>
    <w:rsid w:val="0038477D"/>
    <w:rsid w:val="00384C27"/>
    <w:rsid w:val="00387EE2"/>
    <w:rsid w:val="00392BC9"/>
    <w:rsid w:val="00392BF5"/>
    <w:rsid w:val="00393C52"/>
    <w:rsid w:val="003948A7"/>
    <w:rsid w:val="00396FAB"/>
    <w:rsid w:val="0039703A"/>
    <w:rsid w:val="003A3292"/>
    <w:rsid w:val="003A46BD"/>
    <w:rsid w:val="003A4BB7"/>
    <w:rsid w:val="003B0C06"/>
    <w:rsid w:val="003B33BC"/>
    <w:rsid w:val="003B370F"/>
    <w:rsid w:val="003B3F67"/>
    <w:rsid w:val="003B7351"/>
    <w:rsid w:val="003C0B68"/>
    <w:rsid w:val="003C27D3"/>
    <w:rsid w:val="003C2AA8"/>
    <w:rsid w:val="003C30EC"/>
    <w:rsid w:val="003C511C"/>
    <w:rsid w:val="003C5513"/>
    <w:rsid w:val="003C6301"/>
    <w:rsid w:val="003C71B6"/>
    <w:rsid w:val="003D49F8"/>
    <w:rsid w:val="003D4C0F"/>
    <w:rsid w:val="003D51A1"/>
    <w:rsid w:val="003D6D4B"/>
    <w:rsid w:val="003D6E3B"/>
    <w:rsid w:val="003E39C5"/>
    <w:rsid w:val="003E3F13"/>
    <w:rsid w:val="003E41A7"/>
    <w:rsid w:val="003E4E5A"/>
    <w:rsid w:val="003E7992"/>
    <w:rsid w:val="003F339F"/>
    <w:rsid w:val="003F636D"/>
    <w:rsid w:val="003F6439"/>
    <w:rsid w:val="003F6561"/>
    <w:rsid w:val="003F7E15"/>
    <w:rsid w:val="00401323"/>
    <w:rsid w:val="0040350F"/>
    <w:rsid w:val="00405DF1"/>
    <w:rsid w:val="004060A1"/>
    <w:rsid w:val="00412480"/>
    <w:rsid w:val="00412757"/>
    <w:rsid w:val="00414C4F"/>
    <w:rsid w:val="00415465"/>
    <w:rsid w:val="0041576E"/>
    <w:rsid w:val="0041714F"/>
    <w:rsid w:val="00420A29"/>
    <w:rsid w:val="004218CC"/>
    <w:rsid w:val="00422ED2"/>
    <w:rsid w:val="004249DC"/>
    <w:rsid w:val="00427AC6"/>
    <w:rsid w:val="0043066C"/>
    <w:rsid w:val="00430CFB"/>
    <w:rsid w:val="00431691"/>
    <w:rsid w:val="00434B1E"/>
    <w:rsid w:val="00436243"/>
    <w:rsid w:val="00437425"/>
    <w:rsid w:val="00437A6C"/>
    <w:rsid w:val="00437CFE"/>
    <w:rsid w:val="00442857"/>
    <w:rsid w:val="004441DD"/>
    <w:rsid w:val="00445D30"/>
    <w:rsid w:val="00446BF6"/>
    <w:rsid w:val="00446F14"/>
    <w:rsid w:val="00450B3B"/>
    <w:rsid w:val="00451A54"/>
    <w:rsid w:val="00452483"/>
    <w:rsid w:val="004577F5"/>
    <w:rsid w:val="0046260C"/>
    <w:rsid w:val="00463E9D"/>
    <w:rsid w:val="00471D54"/>
    <w:rsid w:val="0047686A"/>
    <w:rsid w:val="00476C35"/>
    <w:rsid w:val="00480E15"/>
    <w:rsid w:val="004820D0"/>
    <w:rsid w:val="004826AD"/>
    <w:rsid w:val="00482E03"/>
    <w:rsid w:val="00483235"/>
    <w:rsid w:val="004868B7"/>
    <w:rsid w:val="00486B6C"/>
    <w:rsid w:val="004901D0"/>
    <w:rsid w:val="004926C6"/>
    <w:rsid w:val="00492FCD"/>
    <w:rsid w:val="00493A96"/>
    <w:rsid w:val="0049408D"/>
    <w:rsid w:val="00494236"/>
    <w:rsid w:val="00495427"/>
    <w:rsid w:val="004A199B"/>
    <w:rsid w:val="004A317B"/>
    <w:rsid w:val="004A3613"/>
    <w:rsid w:val="004A6EA4"/>
    <w:rsid w:val="004B18BC"/>
    <w:rsid w:val="004B4B5B"/>
    <w:rsid w:val="004B4C8B"/>
    <w:rsid w:val="004B5CE3"/>
    <w:rsid w:val="004B689F"/>
    <w:rsid w:val="004B6ED2"/>
    <w:rsid w:val="004B7244"/>
    <w:rsid w:val="004C1045"/>
    <w:rsid w:val="004C1780"/>
    <w:rsid w:val="004C564B"/>
    <w:rsid w:val="004C64BD"/>
    <w:rsid w:val="004D2763"/>
    <w:rsid w:val="004D2937"/>
    <w:rsid w:val="004D5F81"/>
    <w:rsid w:val="004D6C7F"/>
    <w:rsid w:val="004D6DF3"/>
    <w:rsid w:val="004D7009"/>
    <w:rsid w:val="004D78E2"/>
    <w:rsid w:val="004E0471"/>
    <w:rsid w:val="004E0A8B"/>
    <w:rsid w:val="004E108A"/>
    <w:rsid w:val="004E7534"/>
    <w:rsid w:val="004E7B43"/>
    <w:rsid w:val="004F23AC"/>
    <w:rsid w:val="004F32E4"/>
    <w:rsid w:val="004F3BA0"/>
    <w:rsid w:val="004F42E3"/>
    <w:rsid w:val="00500A11"/>
    <w:rsid w:val="00500B02"/>
    <w:rsid w:val="00500EC7"/>
    <w:rsid w:val="00503630"/>
    <w:rsid w:val="00504062"/>
    <w:rsid w:val="00504BF7"/>
    <w:rsid w:val="005052C6"/>
    <w:rsid w:val="00510894"/>
    <w:rsid w:val="00510CB3"/>
    <w:rsid w:val="00514CAE"/>
    <w:rsid w:val="00516BC4"/>
    <w:rsid w:val="005177B9"/>
    <w:rsid w:val="00522223"/>
    <w:rsid w:val="00522400"/>
    <w:rsid w:val="00522706"/>
    <w:rsid w:val="00522B8F"/>
    <w:rsid w:val="00522FC2"/>
    <w:rsid w:val="0052467F"/>
    <w:rsid w:val="005248F8"/>
    <w:rsid w:val="00525011"/>
    <w:rsid w:val="005256C8"/>
    <w:rsid w:val="00531567"/>
    <w:rsid w:val="0053345D"/>
    <w:rsid w:val="005334FA"/>
    <w:rsid w:val="00535F60"/>
    <w:rsid w:val="00536019"/>
    <w:rsid w:val="00536293"/>
    <w:rsid w:val="00536FCA"/>
    <w:rsid w:val="00537B84"/>
    <w:rsid w:val="00540055"/>
    <w:rsid w:val="00542405"/>
    <w:rsid w:val="0054308F"/>
    <w:rsid w:val="005434CD"/>
    <w:rsid w:val="00543CBB"/>
    <w:rsid w:val="00544AAD"/>
    <w:rsid w:val="005453C7"/>
    <w:rsid w:val="00546651"/>
    <w:rsid w:val="005512E4"/>
    <w:rsid w:val="00552D8C"/>
    <w:rsid w:val="005534E4"/>
    <w:rsid w:val="0055399A"/>
    <w:rsid w:val="005565E8"/>
    <w:rsid w:val="0055775A"/>
    <w:rsid w:val="00560BA1"/>
    <w:rsid w:val="005636E2"/>
    <w:rsid w:val="00563924"/>
    <w:rsid w:val="00563CFC"/>
    <w:rsid w:val="00574317"/>
    <w:rsid w:val="005750AB"/>
    <w:rsid w:val="00576880"/>
    <w:rsid w:val="00577034"/>
    <w:rsid w:val="005775E5"/>
    <w:rsid w:val="00583A2F"/>
    <w:rsid w:val="00585E53"/>
    <w:rsid w:val="0058703A"/>
    <w:rsid w:val="00594EC9"/>
    <w:rsid w:val="005954CE"/>
    <w:rsid w:val="005960F5"/>
    <w:rsid w:val="00597728"/>
    <w:rsid w:val="005977ED"/>
    <w:rsid w:val="005A09F5"/>
    <w:rsid w:val="005A271B"/>
    <w:rsid w:val="005A2D68"/>
    <w:rsid w:val="005A361C"/>
    <w:rsid w:val="005A3C67"/>
    <w:rsid w:val="005A3E18"/>
    <w:rsid w:val="005A4250"/>
    <w:rsid w:val="005A7EF0"/>
    <w:rsid w:val="005B0639"/>
    <w:rsid w:val="005B17AB"/>
    <w:rsid w:val="005B1AAE"/>
    <w:rsid w:val="005B347C"/>
    <w:rsid w:val="005B5092"/>
    <w:rsid w:val="005B5913"/>
    <w:rsid w:val="005C01ED"/>
    <w:rsid w:val="005C2BB9"/>
    <w:rsid w:val="005C2DE2"/>
    <w:rsid w:val="005C59AC"/>
    <w:rsid w:val="005D2491"/>
    <w:rsid w:val="005D395A"/>
    <w:rsid w:val="005D53B2"/>
    <w:rsid w:val="005D563A"/>
    <w:rsid w:val="005D65DC"/>
    <w:rsid w:val="005E2B2D"/>
    <w:rsid w:val="005E2FA5"/>
    <w:rsid w:val="005E5D4F"/>
    <w:rsid w:val="005E7470"/>
    <w:rsid w:val="005F28BB"/>
    <w:rsid w:val="005F7B7F"/>
    <w:rsid w:val="006038A7"/>
    <w:rsid w:val="00603C2A"/>
    <w:rsid w:val="00605218"/>
    <w:rsid w:val="00610985"/>
    <w:rsid w:val="00610C50"/>
    <w:rsid w:val="00610D67"/>
    <w:rsid w:val="006218EA"/>
    <w:rsid w:val="006221FD"/>
    <w:rsid w:val="006224A2"/>
    <w:rsid w:val="00623B6F"/>
    <w:rsid w:val="0062536F"/>
    <w:rsid w:val="00625A19"/>
    <w:rsid w:val="00625BC8"/>
    <w:rsid w:val="00627E62"/>
    <w:rsid w:val="00630B92"/>
    <w:rsid w:val="00631EF9"/>
    <w:rsid w:val="00632399"/>
    <w:rsid w:val="006335A9"/>
    <w:rsid w:val="0063510A"/>
    <w:rsid w:val="00636ABF"/>
    <w:rsid w:val="00637ADB"/>
    <w:rsid w:val="006417F1"/>
    <w:rsid w:val="00641A31"/>
    <w:rsid w:val="0064362C"/>
    <w:rsid w:val="006510A1"/>
    <w:rsid w:val="006520F5"/>
    <w:rsid w:val="00652C6B"/>
    <w:rsid w:val="006544F0"/>
    <w:rsid w:val="00655698"/>
    <w:rsid w:val="00655792"/>
    <w:rsid w:val="006611A0"/>
    <w:rsid w:val="00663F7B"/>
    <w:rsid w:val="006648BD"/>
    <w:rsid w:val="00664CB5"/>
    <w:rsid w:val="00664F7E"/>
    <w:rsid w:val="00666D33"/>
    <w:rsid w:val="006700AF"/>
    <w:rsid w:val="00670378"/>
    <w:rsid w:val="00671556"/>
    <w:rsid w:val="006748EB"/>
    <w:rsid w:val="00675E7E"/>
    <w:rsid w:val="0068157D"/>
    <w:rsid w:val="0068197D"/>
    <w:rsid w:val="00683463"/>
    <w:rsid w:val="0068362B"/>
    <w:rsid w:val="00684D06"/>
    <w:rsid w:val="006858D3"/>
    <w:rsid w:val="00687602"/>
    <w:rsid w:val="0069046F"/>
    <w:rsid w:val="00691029"/>
    <w:rsid w:val="00693FF1"/>
    <w:rsid w:val="006942A6"/>
    <w:rsid w:val="0069535B"/>
    <w:rsid w:val="00695888"/>
    <w:rsid w:val="006A0417"/>
    <w:rsid w:val="006A7C4B"/>
    <w:rsid w:val="006B179F"/>
    <w:rsid w:val="006B1F73"/>
    <w:rsid w:val="006B4744"/>
    <w:rsid w:val="006B5587"/>
    <w:rsid w:val="006B6531"/>
    <w:rsid w:val="006B65EA"/>
    <w:rsid w:val="006C0E64"/>
    <w:rsid w:val="006C0F05"/>
    <w:rsid w:val="006C110E"/>
    <w:rsid w:val="006C295B"/>
    <w:rsid w:val="006C32D0"/>
    <w:rsid w:val="006C39CD"/>
    <w:rsid w:val="006C3F39"/>
    <w:rsid w:val="006C457A"/>
    <w:rsid w:val="006C5270"/>
    <w:rsid w:val="006C647F"/>
    <w:rsid w:val="006C66C0"/>
    <w:rsid w:val="006D0740"/>
    <w:rsid w:val="006D106D"/>
    <w:rsid w:val="006D18EA"/>
    <w:rsid w:val="006D1C3A"/>
    <w:rsid w:val="006E01A9"/>
    <w:rsid w:val="006E1432"/>
    <w:rsid w:val="006E17C3"/>
    <w:rsid w:val="006E276D"/>
    <w:rsid w:val="006E3CD6"/>
    <w:rsid w:val="006E3F0B"/>
    <w:rsid w:val="006E48CE"/>
    <w:rsid w:val="006E67F5"/>
    <w:rsid w:val="006F1226"/>
    <w:rsid w:val="006F14CD"/>
    <w:rsid w:val="006F1CF7"/>
    <w:rsid w:val="006F1D3D"/>
    <w:rsid w:val="006F1D67"/>
    <w:rsid w:val="006F280B"/>
    <w:rsid w:val="006F2A1A"/>
    <w:rsid w:val="006F486B"/>
    <w:rsid w:val="006F498D"/>
    <w:rsid w:val="006F51B2"/>
    <w:rsid w:val="006F5C33"/>
    <w:rsid w:val="006F5EA6"/>
    <w:rsid w:val="006F69FC"/>
    <w:rsid w:val="006F731E"/>
    <w:rsid w:val="00701DB9"/>
    <w:rsid w:val="00702B50"/>
    <w:rsid w:val="00702C36"/>
    <w:rsid w:val="00704789"/>
    <w:rsid w:val="00706979"/>
    <w:rsid w:val="00706E59"/>
    <w:rsid w:val="00707D97"/>
    <w:rsid w:val="00710AAE"/>
    <w:rsid w:val="00711F40"/>
    <w:rsid w:val="007133DC"/>
    <w:rsid w:val="007138E6"/>
    <w:rsid w:val="00714651"/>
    <w:rsid w:val="007157CD"/>
    <w:rsid w:val="00715C98"/>
    <w:rsid w:val="007204AF"/>
    <w:rsid w:val="00721BF6"/>
    <w:rsid w:val="00721C01"/>
    <w:rsid w:val="0072524E"/>
    <w:rsid w:val="00725512"/>
    <w:rsid w:val="00730798"/>
    <w:rsid w:val="00731201"/>
    <w:rsid w:val="007318BC"/>
    <w:rsid w:val="007339B9"/>
    <w:rsid w:val="007341A2"/>
    <w:rsid w:val="007367A5"/>
    <w:rsid w:val="0074399C"/>
    <w:rsid w:val="00745924"/>
    <w:rsid w:val="00751FB5"/>
    <w:rsid w:val="007542AF"/>
    <w:rsid w:val="00755209"/>
    <w:rsid w:val="00762819"/>
    <w:rsid w:val="007629EA"/>
    <w:rsid w:val="007632EF"/>
    <w:rsid w:val="00763CA4"/>
    <w:rsid w:val="00763FC8"/>
    <w:rsid w:val="00765944"/>
    <w:rsid w:val="00771B5D"/>
    <w:rsid w:val="007733A0"/>
    <w:rsid w:val="00776F9B"/>
    <w:rsid w:val="007773C2"/>
    <w:rsid w:val="007814C6"/>
    <w:rsid w:val="00783877"/>
    <w:rsid w:val="007844C1"/>
    <w:rsid w:val="00786434"/>
    <w:rsid w:val="00790FC5"/>
    <w:rsid w:val="0079384C"/>
    <w:rsid w:val="00794660"/>
    <w:rsid w:val="00794AFD"/>
    <w:rsid w:val="007952C3"/>
    <w:rsid w:val="00796180"/>
    <w:rsid w:val="007A0318"/>
    <w:rsid w:val="007A0B85"/>
    <w:rsid w:val="007A3A6C"/>
    <w:rsid w:val="007A4025"/>
    <w:rsid w:val="007A4CA8"/>
    <w:rsid w:val="007A7147"/>
    <w:rsid w:val="007A755D"/>
    <w:rsid w:val="007A7EDD"/>
    <w:rsid w:val="007C1947"/>
    <w:rsid w:val="007C2041"/>
    <w:rsid w:val="007C36F7"/>
    <w:rsid w:val="007C4331"/>
    <w:rsid w:val="007C4C14"/>
    <w:rsid w:val="007C6FA2"/>
    <w:rsid w:val="007C7A06"/>
    <w:rsid w:val="007D156D"/>
    <w:rsid w:val="007D3730"/>
    <w:rsid w:val="007D422F"/>
    <w:rsid w:val="007D4A49"/>
    <w:rsid w:val="007D4C7B"/>
    <w:rsid w:val="007D5152"/>
    <w:rsid w:val="007D5176"/>
    <w:rsid w:val="007D51AE"/>
    <w:rsid w:val="007D5C8D"/>
    <w:rsid w:val="007D6A73"/>
    <w:rsid w:val="007D6B64"/>
    <w:rsid w:val="007D7527"/>
    <w:rsid w:val="007E0CB8"/>
    <w:rsid w:val="007E115B"/>
    <w:rsid w:val="007E20F9"/>
    <w:rsid w:val="007E6417"/>
    <w:rsid w:val="007E7FA4"/>
    <w:rsid w:val="007F1ADE"/>
    <w:rsid w:val="007F1F79"/>
    <w:rsid w:val="007F2409"/>
    <w:rsid w:val="007F299E"/>
    <w:rsid w:val="007F30F6"/>
    <w:rsid w:val="007F3F39"/>
    <w:rsid w:val="007F4BBE"/>
    <w:rsid w:val="007F5FB5"/>
    <w:rsid w:val="007F6E99"/>
    <w:rsid w:val="008016DC"/>
    <w:rsid w:val="00803B8F"/>
    <w:rsid w:val="00804044"/>
    <w:rsid w:val="00807ABD"/>
    <w:rsid w:val="0081026C"/>
    <w:rsid w:val="00812319"/>
    <w:rsid w:val="00812EBD"/>
    <w:rsid w:val="00813930"/>
    <w:rsid w:val="00813F99"/>
    <w:rsid w:val="00814BE9"/>
    <w:rsid w:val="00820300"/>
    <w:rsid w:val="0082079C"/>
    <w:rsid w:val="00821DEF"/>
    <w:rsid w:val="00821FA5"/>
    <w:rsid w:val="008274E3"/>
    <w:rsid w:val="0083248B"/>
    <w:rsid w:val="008328A6"/>
    <w:rsid w:val="00833CD3"/>
    <w:rsid w:val="008353ED"/>
    <w:rsid w:val="008412D9"/>
    <w:rsid w:val="008417B7"/>
    <w:rsid w:val="00843CCB"/>
    <w:rsid w:val="0084410B"/>
    <w:rsid w:val="00844346"/>
    <w:rsid w:val="00845DD2"/>
    <w:rsid w:val="008478B7"/>
    <w:rsid w:val="00850BA4"/>
    <w:rsid w:val="0085120B"/>
    <w:rsid w:val="0085180B"/>
    <w:rsid w:val="00851FD2"/>
    <w:rsid w:val="00852892"/>
    <w:rsid w:val="00852A89"/>
    <w:rsid w:val="00857251"/>
    <w:rsid w:val="00861A5F"/>
    <w:rsid w:val="00862384"/>
    <w:rsid w:val="00862EEA"/>
    <w:rsid w:val="0086462C"/>
    <w:rsid w:val="008674AB"/>
    <w:rsid w:val="00867A44"/>
    <w:rsid w:val="0087088B"/>
    <w:rsid w:val="00871CF4"/>
    <w:rsid w:val="00872102"/>
    <w:rsid w:val="00874364"/>
    <w:rsid w:val="00874F64"/>
    <w:rsid w:val="00876222"/>
    <w:rsid w:val="0087745C"/>
    <w:rsid w:val="00880186"/>
    <w:rsid w:val="0088079A"/>
    <w:rsid w:val="00884BA8"/>
    <w:rsid w:val="00887D33"/>
    <w:rsid w:val="00887ED1"/>
    <w:rsid w:val="0089205B"/>
    <w:rsid w:val="0089226C"/>
    <w:rsid w:val="00892E08"/>
    <w:rsid w:val="00894D3F"/>
    <w:rsid w:val="00894E1A"/>
    <w:rsid w:val="00894E49"/>
    <w:rsid w:val="008970DA"/>
    <w:rsid w:val="008A2406"/>
    <w:rsid w:val="008A2FAC"/>
    <w:rsid w:val="008A58A9"/>
    <w:rsid w:val="008A6810"/>
    <w:rsid w:val="008A70B7"/>
    <w:rsid w:val="008B06F5"/>
    <w:rsid w:val="008B155D"/>
    <w:rsid w:val="008B191A"/>
    <w:rsid w:val="008B19E8"/>
    <w:rsid w:val="008B1D5F"/>
    <w:rsid w:val="008B2C77"/>
    <w:rsid w:val="008B3A8F"/>
    <w:rsid w:val="008B48C5"/>
    <w:rsid w:val="008C06A5"/>
    <w:rsid w:val="008C09E6"/>
    <w:rsid w:val="008C1AA2"/>
    <w:rsid w:val="008C31E4"/>
    <w:rsid w:val="008C3C11"/>
    <w:rsid w:val="008C52A7"/>
    <w:rsid w:val="008C781C"/>
    <w:rsid w:val="008D20E5"/>
    <w:rsid w:val="008D2E65"/>
    <w:rsid w:val="008D35B2"/>
    <w:rsid w:val="008D5756"/>
    <w:rsid w:val="008D59F7"/>
    <w:rsid w:val="008D6A78"/>
    <w:rsid w:val="008D6EDE"/>
    <w:rsid w:val="008E01C8"/>
    <w:rsid w:val="008E3287"/>
    <w:rsid w:val="008E3DEF"/>
    <w:rsid w:val="008E45E2"/>
    <w:rsid w:val="008E63DE"/>
    <w:rsid w:val="008F0651"/>
    <w:rsid w:val="008F0A21"/>
    <w:rsid w:val="008F21CC"/>
    <w:rsid w:val="008F277A"/>
    <w:rsid w:val="008F28FA"/>
    <w:rsid w:val="009003A6"/>
    <w:rsid w:val="009003EE"/>
    <w:rsid w:val="00902E47"/>
    <w:rsid w:val="00905B66"/>
    <w:rsid w:val="0090615C"/>
    <w:rsid w:val="00906822"/>
    <w:rsid w:val="009068A3"/>
    <w:rsid w:val="009103D9"/>
    <w:rsid w:val="00913A23"/>
    <w:rsid w:val="00917454"/>
    <w:rsid w:val="00917851"/>
    <w:rsid w:val="00920FED"/>
    <w:rsid w:val="009215F2"/>
    <w:rsid w:val="0092713B"/>
    <w:rsid w:val="009327AD"/>
    <w:rsid w:val="0093324B"/>
    <w:rsid w:val="00933DA4"/>
    <w:rsid w:val="009345CE"/>
    <w:rsid w:val="009350C4"/>
    <w:rsid w:val="00935FD8"/>
    <w:rsid w:val="009360D6"/>
    <w:rsid w:val="009411FE"/>
    <w:rsid w:val="0094467E"/>
    <w:rsid w:val="009451BF"/>
    <w:rsid w:val="0094593B"/>
    <w:rsid w:val="00945E6B"/>
    <w:rsid w:val="0094668C"/>
    <w:rsid w:val="00950EDB"/>
    <w:rsid w:val="0095106A"/>
    <w:rsid w:val="0095374D"/>
    <w:rsid w:val="00953EC3"/>
    <w:rsid w:val="009548FB"/>
    <w:rsid w:val="00954966"/>
    <w:rsid w:val="009558DA"/>
    <w:rsid w:val="00957475"/>
    <w:rsid w:val="009608D2"/>
    <w:rsid w:val="00961187"/>
    <w:rsid w:val="0096121B"/>
    <w:rsid w:val="00961C2C"/>
    <w:rsid w:val="00962BE0"/>
    <w:rsid w:val="00962DB9"/>
    <w:rsid w:val="00963B17"/>
    <w:rsid w:val="00963B1C"/>
    <w:rsid w:val="00963C54"/>
    <w:rsid w:val="00965DE9"/>
    <w:rsid w:val="00966023"/>
    <w:rsid w:val="00966CC5"/>
    <w:rsid w:val="00966E61"/>
    <w:rsid w:val="00970507"/>
    <w:rsid w:val="0097374D"/>
    <w:rsid w:val="00974B08"/>
    <w:rsid w:val="00974C13"/>
    <w:rsid w:val="00974E91"/>
    <w:rsid w:val="00975405"/>
    <w:rsid w:val="00975A35"/>
    <w:rsid w:val="00976661"/>
    <w:rsid w:val="0098193E"/>
    <w:rsid w:val="00983B65"/>
    <w:rsid w:val="00985444"/>
    <w:rsid w:val="00986606"/>
    <w:rsid w:val="00987E8F"/>
    <w:rsid w:val="00991360"/>
    <w:rsid w:val="0099154F"/>
    <w:rsid w:val="00991DF0"/>
    <w:rsid w:val="0099240D"/>
    <w:rsid w:val="009924FF"/>
    <w:rsid w:val="00992A6A"/>
    <w:rsid w:val="00994E34"/>
    <w:rsid w:val="00997011"/>
    <w:rsid w:val="009A1FFB"/>
    <w:rsid w:val="009A2D8E"/>
    <w:rsid w:val="009B22F5"/>
    <w:rsid w:val="009B247B"/>
    <w:rsid w:val="009B50E0"/>
    <w:rsid w:val="009B5840"/>
    <w:rsid w:val="009B6419"/>
    <w:rsid w:val="009C05F0"/>
    <w:rsid w:val="009C5EFB"/>
    <w:rsid w:val="009C76AF"/>
    <w:rsid w:val="009D1BB7"/>
    <w:rsid w:val="009D36AD"/>
    <w:rsid w:val="009D3E33"/>
    <w:rsid w:val="009D6FCA"/>
    <w:rsid w:val="009D7935"/>
    <w:rsid w:val="009D7F80"/>
    <w:rsid w:val="009E17AC"/>
    <w:rsid w:val="009E38C8"/>
    <w:rsid w:val="009E5374"/>
    <w:rsid w:val="009E55D4"/>
    <w:rsid w:val="009E677F"/>
    <w:rsid w:val="009E74BA"/>
    <w:rsid w:val="009F5766"/>
    <w:rsid w:val="009F5FFD"/>
    <w:rsid w:val="00A0126D"/>
    <w:rsid w:val="00A04294"/>
    <w:rsid w:val="00A05D24"/>
    <w:rsid w:val="00A06D5A"/>
    <w:rsid w:val="00A1038F"/>
    <w:rsid w:val="00A11473"/>
    <w:rsid w:val="00A12455"/>
    <w:rsid w:val="00A126D9"/>
    <w:rsid w:val="00A12D3C"/>
    <w:rsid w:val="00A13711"/>
    <w:rsid w:val="00A143B6"/>
    <w:rsid w:val="00A14E22"/>
    <w:rsid w:val="00A15F9C"/>
    <w:rsid w:val="00A16F2B"/>
    <w:rsid w:val="00A1787A"/>
    <w:rsid w:val="00A24C51"/>
    <w:rsid w:val="00A24F6C"/>
    <w:rsid w:val="00A270FB"/>
    <w:rsid w:val="00A274F0"/>
    <w:rsid w:val="00A30C3E"/>
    <w:rsid w:val="00A324DA"/>
    <w:rsid w:val="00A32A52"/>
    <w:rsid w:val="00A34835"/>
    <w:rsid w:val="00A35765"/>
    <w:rsid w:val="00A3753C"/>
    <w:rsid w:val="00A40077"/>
    <w:rsid w:val="00A434D8"/>
    <w:rsid w:val="00A43B07"/>
    <w:rsid w:val="00A44A23"/>
    <w:rsid w:val="00A44E90"/>
    <w:rsid w:val="00A463A6"/>
    <w:rsid w:val="00A500C9"/>
    <w:rsid w:val="00A50550"/>
    <w:rsid w:val="00A50CB7"/>
    <w:rsid w:val="00A539B9"/>
    <w:rsid w:val="00A54281"/>
    <w:rsid w:val="00A54AB4"/>
    <w:rsid w:val="00A573BB"/>
    <w:rsid w:val="00A63731"/>
    <w:rsid w:val="00A641D5"/>
    <w:rsid w:val="00A65C66"/>
    <w:rsid w:val="00A6712E"/>
    <w:rsid w:val="00A70FFF"/>
    <w:rsid w:val="00A7140C"/>
    <w:rsid w:val="00A71CDD"/>
    <w:rsid w:val="00A72E89"/>
    <w:rsid w:val="00A72F1D"/>
    <w:rsid w:val="00A731FE"/>
    <w:rsid w:val="00A7347B"/>
    <w:rsid w:val="00A74B9E"/>
    <w:rsid w:val="00A75A46"/>
    <w:rsid w:val="00A7733D"/>
    <w:rsid w:val="00A80037"/>
    <w:rsid w:val="00A814F7"/>
    <w:rsid w:val="00A820CB"/>
    <w:rsid w:val="00A8277A"/>
    <w:rsid w:val="00A82E58"/>
    <w:rsid w:val="00A82E6E"/>
    <w:rsid w:val="00A83CE6"/>
    <w:rsid w:val="00A84F09"/>
    <w:rsid w:val="00A85233"/>
    <w:rsid w:val="00A86C48"/>
    <w:rsid w:val="00A87F06"/>
    <w:rsid w:val="00A92AD2"/>
    <w:rsid w:val="00A93B11"/>
    <w:rsid w:val="00A93FA3"/>
    <w:rsid w:val="00A9400A"/>
    <w:rsid w:val="00A9402B"/>
    <w:rsid w:val="00A95B52"/>
    <w:rsid w:val="00AA40DE"/>
    <w:rsid w:val="00AA6468"/>
    <w:rsid w:val="00AA67D1"/>
    <w:rsid w:val="00AA6C25"/>
    <w:rsid w:val="00AA7130"/>
    <w:rsid w:val="00AB294E"/>
    <w:rsid w:val="00AB6009"/>
    <w:rsid w:val="00AB6346"/>
    <w:rsid w:val="00AB7234"/>
    <w:rsid w:val="00AC0570"/>
    <w:rsid w:val="00AC0C4E"/>
    <w:rsid w:val="00AC48FD"/>
    <w:rsid w:val="00AC6E1D"/>
    <w:rsid w:val="00AD06F6"/>
    <w:rsid w:val="00AD1673"/>
    <w:rsid w:val="00AD2401"/>
    <w:rsid w:val="00AD6446"/>
    <w:rsid w:val="00AD67F0"/>
    <w:rsid w:val="00AE0F66"/>
    <w:rsid w:val="00AE29CD"/>
    <w:rsid w:val="00AE6460"/>
    <w:rsid w:val="00AE6730"/>
    <w:rsid w:val="00AE7C3C"/>
    <w:rsid w:val="00AF015A"/>
    <w:rsid w:val="00AF171D"/>
    <w:rsid w:val="00AF23E7"/>
    <w:rsid w:val="00AF39D5"/>
    <w:rsid w:val="00AF57BF"/>
    <w:rsid w:val="00AF6320"/>
    <w:rsid w:val="00B01622"/>
    <w:rsid w:val="00B0276F"/>
    <w:rsid w:val="00B04D65"/>
    <w:rsid w:val="00B04FB8"/>
    <w:rsid w:val="00B05321"/>
    <w:rsid w:val="00B066DC"/>
    <w:rsid w:val="00B07C7D"/>
    <w:rsid w:val="00B10D2A"/>
    <w:rsid w:val="00B123E4"/>
    <w:rsid w:val="00B145B6"/>
    <w:rsid w:val="00B1599B"/>
    <w:rsid w:val="00B164E4"/>
    <w:rsid w:val="00B17FAA"/>
    <w:rsid w:val="00B2352B"/>
    <w:rsid w:val="00B23FDB"/>
    <w:rsid w:val="00B26CE4"/>
    <w:rsid w:val="00B31474"/>
    <w:rsid w:val="00B329E8"/>
    <w:rsid w:val="00B32EA2"/>
    <w:rsid w:val="00B33CA5"/>
    <w:rsid w:val="00B3405C"/>
    <w:rsid w:val="00B37A80"/>
    <w:rsid w:val="00B43A20"/>
    <w:rsid w:val="00B44A12"/>
    <w:rsid w:val="00B4559E"/>
    <w:rsid w:val="00B50EE7"/>
    <w:rsid w:val="00B51C39"/>
    <w:rsid w:val="00B53424"/>
    <w:rsid w:val="00B5391E"/>
    <w:rsid w:val="00B54852"/>
    <w:rsid w:val="00B55D67"/>
    <w:rsid w:val="00B60250"/>
    <w:rsid w:val="00B633DE"/>
    <w:rsid w:val="00B63E5A"/>
    <w:rsid w:val="00B65D8D"/>
    <w:rsid w:val="00B661AA"/>
    <w:rsid w:val="00B7675F"/>
    <w:rsid w:val="00B76962"/>
    <w:rsid w:val="00B76F71"/>
    <w:rsid w:val="00B7742A"/>
    <w:rsid w:val="00B778A3"/>
    <w:rsid w:val="00B801D2"/>
    <w:rsid w:val="00B8057D"/>
    <w:rsid w:val="00B80ED2"/>
    <w:rsid w:val="00B81894"/>
    <w:rsid w:val="00B821E9"/>
    <w:rsid w:val="00B82501"/>
    <w:rsid w:val="00B8295F"/>
    <w:rsid w:val="00B84B00"/>
    <w:rsid w:val="00B85F15"/>
    <w:rsid w:val="00B94B5C"/>
    <w:rsid w:val="00B958B7"/>
    <w:rsid w:val="00B95E3E"/>
    <w:rsid w:val="00BA0306"/>
    <w:rsid w:val="00BA55D7"/>
    <w:rsid w:val="00BA69AB"/>
    <w:rsid w:val="00BB14FC"/>
    <w:rsid w:val="00BB1A4F"/>
    <w:rsid w:val="00BB2B4D"/>
    <w:rsid w:val="00BB331E"/>
    <w:rsid w:val="00BB6C94"/>
    <w:rsid w:val="00BB71EB"/>
    <w:rsid w:val="00BC1B00"/>
    <w:rsid w:val="00BC1BA4"/>
    <w:rsid w:val="00BC1CEA"/>
    <w:rsid w:val="00BC2359"/>
    <w:rsid w:val="00BC2362"/>
    <w:rsid w:val="00BC25ED"/>
    <w:rsid w:val="00BC288C"/>
    <w:rsid w:val="00BC4919"/>
    <w:rsid w:val="00BC55D3"/>
    <w:rsid w:val="00BC7C20"/>
    <w:rsid w:val="00BC7F76"/>
    <w:rsid w:val="00BD1921"/>
    <w:rsid w:val="00BD2646"/>
    <w:rsid w:val="00BD3C18"/>
    <w:rsid w:val="00BD42E8"/>
    <w:rsid w:val="00BD6038"/>
    <w:rsid w:val="00BD7C71"/>
    <w:rsid w:val="00BE05BC"/>
    <w:rsid w:val="00BE07B8"/>
    <w:rsid w:val="00BE0B48"/>
    <w:rsid w:val="00BE1897"/>
    <w:rsid w:val="00BE4F37"/>
    <w:rsid w:val="00BE6EFA"/>
    <w:rsid w:val="00BE7EDD"/>
    <w:rsid w:val="00BF00BB"/>
    <w:rsid w:val="00BF2023"/>
    <w:rsid w:val="00BF2F5D"/>
    <w:rsid w:val="00BF4220"/>
    <w:rsid w:val="00BF4BC8"/>
    <w:rsid w:val="00BF4CCB"/>
    <w:rsid w:val="00BF59F7"/>
    <w:rsid w:val="00BF64F1"/>
    <w:rsid w:val="00C01AA2"/>
    <w:rsid w:val="00C03E7F"/>
    <w:rsid w:val="00C041D4"/>
    <w:rsid w:val="00C06248"/>
    <w:rsid w:val="00C06B81"/>
    <w:rsid w:val="00C07074"/>
    <w:rsid w:val="00C11C29"/>
    <w:rsid w:val="00C11FF0"/>
    <w:rsid w:val="00C12CE1"/>
    <w:rsid w:val="00C145BC"/>
    <w:rsid w:val="00C17406"/>
    <w:rsid w:val="00C17EEA"/>
    <w:rsid w:val="00C17FA4"/>
    <w:rsid w:val="00C21807"/>
    <w:rsid w:val="00C23876"/>
    <w:rsid w:val="00C2412D"/>
    <w:rsid w:val="00C26330"/>
    <w:rsid w:val="00C26FB3"/>
    <w:rsid w:val="00C308B8"/>
    <w:rsid w:val="00C3098F"/>
    <w:rsid w:val="00C31401"/>
    <w:rsid w:val="00C3195A"/>
    <w:rsid w:val="00C31E04"/>
    <w:rsid w:val="00C331ED"/>
    <w:rsid w:val="00C33204"/>
    <w:rsid w:val="00C34FB8"/>
    <w:rsid w:val="00C35284"/>
    <w:rsid w:val="00C35A5D"/>
    <w:rsid w:val="00C37102"/>
    <w:rsid w:val="00C44357"/>
    <w:rsid w:val="00C45902"/>
    <w:rsid w:val="00C50AE5"/>
    <w:rsid w:val="00C52358"/>
    <w:rsid w:val="00C53DD3"/>
    <w:rsid w:val="00C53F65"/>
    <w:rsid w:val="00C56CA0"/>
    <w:rsid w:val="00C6073B"/>
    <w:rsid w:val="00C664B3"/>
    <w:rsid w:val="00C66E01"/>
    <w:rsid w:val="00C66F48"/>
    <w:rsid w:val="00C67C35"/>
    <w:rsid w:val="00C70576"/>
    <w:rsid w:val="00C70A04"/>
    <w:rsid w:val="00C719B3"/>
    <w:rsid w:val="00C729D8"/>
    <w:rsid w:val="00C72F77"/>
    <w:rsid w:val="00C74E05"/>
    <w:rsid w:val="00C77DC8"/>
    <w:rsid w:val="00C83174"/>
    <w:rsid w:val="00C834D2"/>
    <w:rsid w:val="00C84216"/>
    <w:rsid w:val="00C84742"/>
    <w:rsid w:val="00C871B5"/>
    <w:rsid w:val="00C905D2"/>
    <w:rsid w:val="00C917D9"/>
    <w:rsid w:val="00C91FA1"/>
    <w:rsid w:val="00C945CA"/>
    <w:rsid w:val="00C946C9"/>
    <w:rsid w:val="00C94D4E"/>
    <w:rsid w:val="00C97C2A"/>
    <w:rsid w:val="00CA0E71"/>
    <w:rsid w:val="00CA1F38"/>
    <w:rsid w:val="00CA3653"/>
    <w:rsid w:val="00CA396A"/>
    <w:rsid w:val="00CA3D18"/>
    <w:rsid w:val="00CA5203"/>
    <w:rsid w:val="00CA59F7"/>
    <w:rsid w:val="00CA6A2D"/>
    <w:rsid w:val="00CA7430"/>
    <w:rsid w:val="00CB04F4"/>
    <w:rsid w:val="00CB1652"/>
    <w:rsid w:val="00CB2A16"/>
    <w:rsid w:val="00CB43CC"/>
    <w:rsid w:val="00CB6F33"/>
    <w:rsid w:val="00CC07A9"/>
    <w:rsid w:val="00CC1029"/>
    <w:rsid w:val="00CC28E3"/>
    <w:rsid w:val="00CC3A2F"/>
    <w:rsid w:val="00CC3F49"/>
    <w:rsid w:val="00CC4311"/>
    <w:rsid w:val="00CC7577"/>
    <w:rsid w:val="00CD0307"/>
    <w:rsid w:val="00CD0B2E"/>
    <w:rsid w:val="00CD0DBD"/>
    <w:rsid w:val="00CD11D4"/>
    <w:rsid w:val="00CD1748"/>
    <w:rsid w:val="00CD33DC"/>
    <w:rsid w:val="00CD58CD"/>
    <w:rsid w:val="00CD605A"/>
    <w:rsid w:val="00CD7D1B"/>
    <w:rsid w:val="00CE01A0"/>
    <w:rsid w:val="00CE07EF"/>
    <w:rsid w:val="00CE0C8E"/>
    <w:rsid w:val="00CE186C"/>
    <w:rsid w:val="00CE1AEA"/>
    <w:rsid w:val="00CE1F6D"/>
    <w:rsid w:val="00CE2B76"/>
    <w:rsid w:val="00CE5E9E"/>
    <w:rsid w:val="00CF13DE"/>
    <w:rsid w:val="00CF30BB"/>
    <w:rsid w:val="00CF368E"/>
    <w:rsid w:val="00CF4A4C"/>
    <w:rsid w:val="00CF7D8C"/>
    <w:rsid w:val="00D0263A"/>
    <w:rsid w:val="00D06453"/>
    <w:rsid w:val="00D1132B"/>
    <w:rsid w:val="00D11539"/>
    <w:rsid w:val="00D1296D"/>
    <w:rsid w:val="00D13F5A"/>
    <w:rsid w:val="00D14229"/>
    <w:rsid w:val="00D14561"/>
    <w:rsid w:val="00D178B8"/>
    <w:rsid w:val="00D20BDC"/>
    <w:rsid w:val="00D22E3B"/>
    <w:rsid w:val="00D2353C"/>
    <w:rsid w:val="00D2371B"/>
    <w:rsid w:val="00D23923"/>
    <w:rsid w:val="00D23FC7"/>
    <w:rsid w:val="00D262D8"/>
    <w:rsid w:val="00D26AA7"/>
    <w:rsid w:val="00D27C96"/>
    <w:rsid w:val="00D30435"/>
    <w:rsid w:val="00D30549"/>
    <w:rsid w:val="00D30FC6"/>
    <w:rsid w:val="00D323D4"/>
    <w:rsid w:val="00D32994"/>
    <w:rsid w:val="00D344B1"/>
    <w:rsid w:val="00D37F90"/>
    <w:rsid w:val="00D41ADF"/>
    <w:rsid w:val="00D4266D"/>
    <w:rsid w:val="00D51B14"/>
    <w:rsid w:val="00D53B2F"/>
    <w:rsid w:val="00D5472A"/>
    <w:rsid w:val="00D550B4"/>
    <w:rsid w:val="00D55DB2"/>
    <w:rsid w:val="00D56DDC"/>
    <w:rsid w:val="00D577FF"/>
    <w:rsid w:val="00D61010"/>
    <w:rsid w:val="00D63325"/>
    <w:rsid w:val="00D646B6"/>
    <w:rsid w:val="00D65B83"/>
    <w:rsid w:val="00D67F21"/>
    <w:rsid w:val="00D7282F"/>
    <w:rsid w:val="00D7299C"/>
    <w:rsid w:val="00D72DD3"/>
    <w:rsid w:val="00D74E48"/>
    <w:rsid w:val="00D801EA"/>
    <w:rsid w:val="00D82537"/>
    <w:rsid w:val="00D83141"/>
    <w:rsid w:val="00D83EDC"/>
    <w:rsid w:val="00D84304"/>
    <w:rsid w:val="00D84A21"/>
    <w:rsid w:val="00D86FD7"/>
    <w:rsid w:val="00D910DF"/>
    <w:rsid w:val="00D9285E"/>
    <w:rsid w:val="00D92FF8"/>
    <w:rsid w:val="00D95231"/>
    <w:rsid w:val="00D96B9B"/>
    <w:rsid w:val="00D977DD"/>
    <w:rsid w:val="00DA128B"/>
    <w:rsid w:val="00DA63C3"/>
    <w:rsid w:val="00DA7E80"/>
    <w:rsid w:val="00DB0D42"/>
    <w:rsid w:val="00DB3A5F"/>
    <w:rsid w:val="00DB494C"/>
    <w:rsid w:val="00DB5446"/>
    <w:rsid w:val="00DC2351"/>
    <w:rsid w:val="00DC4134"/>
    <w:rsid w:val="00DC5176"/>
    <w:rsid w:val="00DC535F"/>
    <w:rsid w:val="00DC661A"/>
    <w:rsid w:val="00DC79C5"/>
    <w:rsid w:val="00DD1EFE"/>
    <w:rsid w:val="00DD2864"/>
    <w:rsid w:val="00DD3562"/>
    <w:rsid w:val="00DD54C3"/>
    <w:rsid w:val="00DD76F5"/>
    <w:rsid w:val="00DE051E"/>
    <w:rsid w:val="00DE0CF7"/>
    <w:rsid w:val="00DE13EF"/>
    <w:rsid w:val="00DE5B97"/>
    <w:rsid w:val="00DE60DB"/>
    <w:rsid w:val="00DE63AF"/>
    <w:rsid w:val="00DE7A1C"/>
    <w:rsid w:val="00DF1420"/>
    <w:rsid w:val="00DF17B6"/>
    <w:rsid w:val="00DF2D86"/>
    <w:rsid w:val="00DF3475"/>
    <w:rsid w:val="00DF41EA"/>
    <w:rsid w:val="00DF5CC4"/>
    <w:rsid w:val="00DF609F"/>
    <w:rsid w:val="00DF6AC6"/>
    <w:rsid w:val="00DF6F37"/>
    <w:rsid w:val="00E007CD"/>
    <w:rsid w:val="00E01114"/>
    <w:rsid w:val="00E014EA"/>
    <w:rsid w:val="00E03271"/>
    <w:rsid w:val="00E04111"/>
    <w:rsid w:val="00E056C2"/>
    <w:rsid w:val="00E06C0F"/>
    <w:rsid w:val="00E07DAE"/>
    <w:rsid w:val="00E1014C"/>
    <w:rsid w:val="00E13B1A"/>
    <w:rsid w:val="00E1419B"/>
    <w:rsid w:val="00E14BB9"/>
    <w:rsid w:val="00E1599F"/>
    <w:rsid w:val="00E17537"/>
    <w:rsid w:val="00E20881"/>
    <w:rsid w:val="00E221A9"/>
    <w:rsid w:val="00E23B6C"/>
    <w:rsid w:val="00E23D87"/>
    <w:rsid w:val="00E24C7E"/>
    <w:rsid w:val="00E25AED"/>
    <w:rsid w:val="00E27253"/>
    <w:rsid w:val="00E34200"/>
    <w:rsid w:val="00E41B53"/>
    <w:rsid w:val="00E41B8B"/>
    <w:rsid w:val="00E42097"/>
    <w:rsid w:val="00E4274A"/>
    <w:rsid w:val="00E442D0"/>
    <w:rsid w:val="00E45F5F"/>
    <w:rsid w:val="00E46E09"/>
    <w:rsid w:val="00E47022"/>
    <w:rsid w:val="00E502EE"/>
    <w:rsid w:val="00E5239F"/>
    <w:rsid w:val="00E535C3"/>
    <w:rsid w:val="00E540D0"/>
    <w:rsid w:val="00E554CE"/>
    <w:rsid w:val="00E62140"/>
    <w:rsid w:val="00E6289B"/>
    <w:rsid w:val="00E649AE"/>
    <w:rsid w:val="00E72806"/>
    <w:rsid w:val="00E735C3"/>
    <w:rsid w:val="00E753C9"/>
    <w:rsid w:val="00E75562"/>
    <w:rsid w:val="00E75E5B"/>
    <w:rsid w:val="00E75F29"/>
    <w:rsid w:val="00E813A1"/>
    <w:rsid w:val="00E81F9C"/>
    <w:rsid w:val="00E83314"/>
    <w:rsid w:val="00E83C2D"/>
    <w:rsid w:val="00E90FED"/>
    <w:rsid w:val="00E94275"/>
    <w:rsid w:val="00E943F6"/>
    <w:rsid w:val="00E9619C"/>
    <w:rsid w:val="00EA20C4"/>
    <w:rsid w:val="00EA2902"/>
    <w:rsid w:val="00EA38AA"/>
    <w:rsid w:val="00EA4733"/>
    <w:rsid w:val="00EA4BBE"/>
    <w:rsid w:val="00EA5B56"/>
    <w:rsid w:val="00EA640D"/>
    <w:rsid w:val="00EB0731"/>
    <w:rsid w:val="00EB286E"/>
    <w:rsid w:val="00EB3C65"/>
    <w:rsid w:val="00EB4269"/>
    <w:rsid w:val="00EB518E"/>
    <w:rsid w:val="00EB677C"/>
    <w:rsid w:val="00EB7134"/>
    <w:rsid w:val="00EB7CB1"/>
    <w:rsid w:val="00EC0F14"/>
    <w:rsid w:val="00EC1165"/>
    <w:rsid w:val="00EC172A"/>
    <w:rsid w:val="00EC28EF"/>
    <w:rsid w:val="00EC338A"/>
    <w:rsid w:val="00EC3804"/>
    <w:rsid w:val="00EC4C44"/>
    <w:rsid w:val="00EC5014"/>
    <w:rsid w:val="00EC58B1"/>
    <w:rsid w:val="00EC6926"/>
    <w:rsid w:val="00ED1852"/>
    <w:rsid w:val="00ED18EF"/>
    <w:rsid w:val="00ED2725"/>
    <w:rsid w:val="00ED3878"/>
    <w:rsid w:val="00ED408D"/>
    <w:rsid w:val="00ED5243"/>
    <w:rsid w:val="00ED7D0F"/>
    <w:rsid w:val="00EE179B"/>
    <w:rsid w:val="00EE21FD"/>
    <w:rsid w:val="00EE5A16"/>
    <w:rsid w:val="00EE6A53"/>
    <w:rsid w:val="00EF1290"/>
    <w:rsid w:val="00EF2A63"/>
    <w:rsid w:val="00EF2A8D"/>
    <w:rsid w:val="00EF4EF8"/>
    <w:rsid w:val="00EF576C"/>
    <w:rsid w:val="00EF64D5"/>
    <w:rsid w:val="00EF6602"/>
    <w:rsid w:val="00EF7038"/>
    <w:rsid w:val="00F00977"/>
    <w:rsid w:val="00F02080"/>
    <w:rsid w:val="00F0215A"/>
    <w:rsid w:val="00F04599"/>
    <w:rsid w:val="00F05E70"/>
    <w:rsid w:val="00F06391"/>
    <w:rsid w:val="00F11046"/>
    <w:rsid w:val="00F11B08"/>
    <w:rsid w:val="00F12CB1"/>
    <w:rsid w:val="00F12EFD"/>
    <w:rsid w:val="00F13FA3"/>
    <w:rsid w:val="00F1403E"/>
    <w:rsid w:val="00F14883"/>
    <w:rsid w:val="00F24D06"/>
    <w:rsid w:val="00F25948"/>
    <w:rsid w:val="00F26659"/>
    <w:rsid w:val="00F267B9"/>
    <w:rsid w:val="00F273A3"/>
    <w:rsid w:val="00F3038E"/>
    <w:rsid w:val="00F31166"/>
    <w:rsid w:val="00F313A4"/>
    <w:rsid w:val="00F32573"/>
    <w:rsid w:val="00F3306F"/>
    <w:rsid w:val="00F33765"/>
    <w:rsid w:val="00F33BB3"/>
    <w:rsid w:val="00F33CB9"/>
    <w:rsid w:val="00F33E5E"/>
    <w:rsid w:val="00F36B9D"/>
    <w:rsid w:val="00F37679"/>
    <w:rsid w:val="00F37D20"/>
    <w:rsid w:val="00F441A2"/>
    <w:rsid w:val="00F44310"/>
    <w:rsid w:val="00F45F6A"/>
    <w:rsid w:val="00F501D2"/>
    <w:rsid w:val="00F50CC5"/>
    <w:rsid w:val="00F5182F"/>
    <w:rsid w:val="00F53626"/>
    <w:rsid w:val="00F55EA3"/>
    <w:rsid w:val="00F5629A"/>
    <w:rsid w:val="00F61C87"/>
    <w:rsid w:val="00F62D07"/>
    <w:rsid w:val="00F6312F"/>
    <w:rsid w:val="00F6370A"/>
    <w:rsid w:val="00F706AD"/>
    <w:rsid w:val="00F70923"/>
    <w:rsid w:val="00F7116D"/>
    <w:rsid w:val="00F74034"/>
    <w:rsid w:val="00F74520"/>
    <w:rsid w:val="00F74546"/>
    <w:rsid w:val="00F76406"/>
    <w:rsid w:val="00F815D8"/>
    <w:rsid w:val="00F83CBD"/>
    <w:rsid w:val="00F84CBC"/>
    <w:rsid w:val="00F85A3D"/>
    <w:rsid w:val="00F90B63"/>
    <w:rsid w:val="00F92084"/>
    <w:rsid w:val="00F92E5D"/>
    <w:rsid w:val="00F97D63"/>
    <w:rsid w:val="00FA056E"/>
    <w:rsid w:val="00FA05B3"/>
    <w:rsid w:val="00FA129A"/>
    <w:rsid w:val="00FA266C"/>
    <w:rsid w:val="00FA374E"/>
    <w:rsid w:val="00FA52A0"/>
    <w:rsid w:val="00FA5F6C"/>
    <w:rsid w:val="00FA60F9"/>
    <w:rsid w:val="00FB0E43"/>
    <w:rsid w:val="00FB0E78"/>
    <w:rsid w:val="00FB0E8B"/>
    <w:rsid w:val="00FB2199"/>
    <w:rsid w:val="00FB2B9D"/>
    <w:rsid w:val="00FB518C"/>
    <w:rsid w:val="00FB5EFA"/>
    <w:rsid w:val="00FB6A4A"/>
    <w:rsid w:val="00FC13B5"/>
    <w:rsid w:val="00FC1544"/>
    <w:rsid w:val="00FC1D78"/>
    <w:rsid w:val="00FC6584"/>
    <w:rsid w:val="00FC67AE"/>
    <w:rsid w:val="00FC7260"/>
    <w:rsid w:val="00FD12EF"/>
    <w:rsid w:val="00FD13AF"/>
    <w:rsid w:val="00FD1E5C"/>
    <w:rsid w:val="00FD4133"/>
    <w:rsid w:val="00FD548E"/>
    <w:rsid w:val="00FE1504"/>
    <w:rsid w:val="00FE1D3F"/>
    <w:rsid w:val="00FE2DF6"/>
    <w:rsid w:val="00FE417E"/>
    <w:rsid w:val="00FE5990"/>
    <w:rsid w:val="00FE63BA"/>
    <w:rsid w:val="00FE7413"/>
    <w:rsid w:val="00FF0F9C"/>
    <w:rsid w:val="00FF4E8B"/>
    <w:rsid w:val="00FF4FE7"/>
    <w:rsid w:val="00FF636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BAB4A2E"/>
  <w15:chartTrackingRefBased/>
  <w15:docId w15:val="{ADCA9EA9-BCD7-45A8-B555-2DE705402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AU"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4E34"/>
    <w:pPr>
      <w:spacing w:line="240" w:lineRule="auto"/>
      <w:jc w:val="both"/>
    </w:pPr>
  </w:style>
  <w:style w:type="paragraph" w:styleId="Heading1">
    <w:name w:val="heading 1"/>
    <w:aliases w:val="SB Heading"/>
    <w:basedOn w:val="Normal"/>
    <w:next w:val="Normal"/>
    <w:link w:val="Heading1Char"/>
    <w:uiPriority w:val="9"/>
    <w:qFormat/>
    <w:rsid w:val="0088079A"/>
    <w:pPr>
      <w:keepNext/>
      <w:keepLines/>
      <w:numPr>
        <w:numId w:val="11"/>
      </w:numPr>
      <w:tabs>
        <w:tab w:val="left" w:pos="851"/>
      </w:tabs>
      <w:spacing w:after="240"/>
      <w:outlineLvl w:val="0"/>
    </w:pPr>
    <w:rPr>
      <w:rFonts w:ascii="Calibri" w:eastAsiaTheme="majorEastAsia" w:hAnsi="Calibri" w:cs="Times New Roman"/>
      <w:b/>
      <w:bCs/>
      <w:color w:val="FF0066"/>
      <w:sz w:val="40"/>
      <w:szCs w:val="32"/>
    </w:rPr>
  </w:style>
  <w:style w:type="paragraph" w:styleId="Heading2">
    <w:name w:val="heading 2"/>
    <w:basedOn w:val="Normal"/>
    <w:next w:val="Normal"/>
    <w:link w:val="Heading2Char"/>
    <w:uiPriority w:val="9"/>
    <w:unhideWhenUsed/>
    <w:qFormat/>
    <w:rsid w:val="00A274F0"/>
    <w:pPr>
      <w:keepNext/>
      <w:keepLines/>
      <w:numPr>
        <w:ilvl w:val="1"/>
        <w:numId w:val="11"/>
      </w:numPr>
      <w:spacing w:before="120" w:after="120"/>
      <w:outlineLvl w:val="1"/>
    </w:pPr>
    <w:rPr>
      <w:rFonts w:eastAsiaTheme="majorEastAsia" w:cstheme="majorBidi"/>
      <w:b/>
      <w:color w:val="2E74B5" w:themeColor="accent1" w:themeShade="BF"/>
      <w:sz w:val="26"/>
      <w:szCs w:val="26"/>
    </w:rPr>
  </w:style>
  <w:style w:type="paragraph" w:styleId="Heading3">
    <w:name w:val="heading 3"/>
    <w:basedOn w:val="Normal"/>
    <w:next w:val="Normal"/>
    <w:link w:val="Heading3Char"/>
    <w:autoRedefine/>
    <w:uiPriority w:val="9"/>
    <w:unhideWhenUsed/>
    <w:qFormat/>
    <w:rsid w:val="0088079A"/>
    <w:pPr>
      <w:keepNext/>
      <w:keepLines/>
      <w:numPr>
        <w:ilvl w:val="2"/>
        <w:numId w:val="11"/>
      </w:numPr>
      <w:outlineLvl w:val="2"/>
    </w:pPr>
    <w:rPr>
      <w:rFonts w:eastAsiaTheme="majorEastAsia" w:cstheme="majorBidi"/>
      <w:b/>
      <w:color w:val="538135" w:themeColor="accent6" w:themeShade="BF"/>
      <w:sz w:val="24"/>
      <w:szCs w:val="24"/>
    </w:rPr>
  </w:style>
  <w:style w:type="paragraph" w:styleId="Heading4">
    <w:name w:val="heading 4"/>
    <w:basedOn w:val="Normal"/>
    <w:next w:val="Normal"/>
    <w:link w:val="Heading4Char"/>
    <w:uiPriority w:val="9"/>
    <w:unhideWhenUsed/>
    <w:qFormat/>
    <w:rsid w:val="0026746E"/>
    <w:pPr>
      <w:keepNext/>
      <w:keepLines/>
      <w:numPr>
        <w:ilvl w:val="3"/>
        <w:numId w:val="11"/>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D18EF"/>
    <w:pPr>
      <w:keepNext/>
      <w:keepLines/>
      <w:numPr>
        <w:ilvl w:val="4"/>
        <w:numId w:val="1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D18EF"/>
    <w:pPr>
      <w:keepNext/>
      <w:keepLines/>
      <w:numPr>
        <w:ilvl w:val="5"/>
        <w:numId w:val="1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D18EF"/>
    <w:pPr>
      <w:keepNext/>
      <w:keepLines/>
      <w:numPr>
        <w:ilvl w:val="6"/>
        <w:numId w:val="1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D18EF"/>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D18EF"/>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B Heading Char"/>
    <w:basedOn w:val="DefaultParagraphFont"/>
    <w:link w:val="Heading1"/>
    <w:uiPriority w:val="9"/>
    <w:rsid w:val="0088079A"/>
    <w:rPr>
      <w:rFonts w:ascii="Calibri" w:eastAsiaTheme="majorEastAsia" w:hAnsi="Calibri" w:cs="Times New Roman"/>
      <w:b/>
      <w:bCs/>
      <w:color w:val="FF0066"/>
      <w:sz w:val="40"/>
      <w:szCs w:val="32"/>
    </w:rPr>
  </w:style>
  <w:style w:type="paragraph" w:styleId="Header">
    <w:name w:val="header"/>
    <w:basedOn w:val="Normal"/>
    <w:link w:val="HeaderChar"/>
    <w:uiPriority w:val="99"/>
    <w:unhideWhenUsed/>
    <w:rsid w:val="00A85233"/>
    <w:pPr>
      <w:tabs>
        <w:tab w:val="center" w:pos="4513"/>
        <w:tab w:val="right" w:pos="9026"/>
      </w:tabs>
    </w:pPr>
  </w:style>
  <w:style w:type="character" w:customStyle="1" w:styleId="HeaderChar">
    <w:name w:val="Header Char"/>
    <w:basedOn w:val="DefaultParagraphFont"/>
    <w:link w:val="Header"/>
    <w:uiPriority w:val="99"/>
    <w:rsid w:val="00A85233"/>
  </w:style>
  <w:style w:type="paragraph" w:styleId="Footer">
    <w:name w:val="footer"/>
    <w:basedOn w:val="Normal"/>
    <w:link w:val="FooterChar"/>
    <w:uiPriority w:val="99"/>
    <w:unhideWhenUsed/>
    <w:rsid w:val="00A85233"/>
    <w:pPr>
      <w:tabs>
        <w:tab w:val="center" w:pos="4513"/>
        <w:tab w:val="right" w:pos="9026"/>
      </w:tabs>
    </w:pPr>
  </w:style>
  <w:style w:type="character" w:customStyle="1" w:styleId="FooterChar">
    <w:name w:val="Footer Char"/>
    <w:basedOn w:val="DefaultParagraphFont"/>
    <w:link w:val="Footer"/>
    <w:uiPriority w:val="99"/>
    <w:rsid w:val="00A85233"/>
  </w:style>
  <w:style w:type="paragraph" w:styleId="TOCHeading">
    <w:name w:val="TOC Heading"/>
    <w:basedOn w:val="Heading1"/>
    <w:next w:val="Normal"/>
    <w:link w:val="TOCHeadingChar"/>
    <w:uiPriority w:val="39"/>
    <w:unhideWhenUsed/>
    <w:qFormat/>
    <w:rsid w:val="00A85233"/>
    <w:pPr>
      <w:spacing w:before="240"/>
      <w:outlineLvl w:val="9"/>
    </w:pPr>
    <w:rPr>
      <w:rFonts w:asciiTheme="majorHAnsi" w:hAnsiTheme="majorHAnsi"/>
      <w:bCs w:val="0"/>
      <w:color w:val="2E74B5" w:themeColor="accent1" w:themeShade="BF"/>
      <w:sz w:val="32"/>
      <w:lang w:val="en-US"/>
    </w:rPr>
  </w:style>
  <w:style w:type="paragraph" w:styleId="ListParagraph">
    <w:name w:val="List Paragraph"/>
    <w:aliases w:val="dot point 1,Recommendation,List Paragraph1,List Paragraph11,L,#List Paragraph"/>
    <w:basedOn w:val="Normal"/>
    <w:link w:val="ListParagraphChar"/>
    <w:uiPriority w:val="34"/>
    <w:qFormat/>
    <w:rsid w:val="009A1FFB"/>
    <w:pPr>
      <w:ind w:left="720"/>
      <w:contextualSpacing/>
    </w:pPr>
  </w:style>
  <w:style w:type="character" w:customStyle="1" w:styleId="Heading2Char">
    <w:name w:val="Heading 2 Char"/>
    <w:basedOn w:val="DefaultParagraphFont"/>
    <w:link w:val="Heading2"/>
    <w:uiPriority w:val="9"/>
    <w:rsid w:val="00A274F0"/>
    <w:rPr>
      <w:rFonts w:eastAsiaTheme="majorEastAsia" w:cstheme="majorBidi"/>
      <w:b/>
      <w:color w:val="2E74B5" w:themeColor="accent1" w:themeShade="BF"/>
      <w:sz w:val="26"/>
      <w:szCs w:val="26"/>
    </w:rPr>
  </w:style>
  <w:style w:type="character" w:customStyle="1" w:styleId="ContentsChar">
    <w:name w:val="Contents Char"/>
    <w:basedOn w:val="DefaultParagraphFont"/>
    <w:link w:val="Contents"/>
    <w:locked/>
    <w:rsid w:val="0094668C"/>
    <w:rPr>
      <w:rFonts w:asciiTheme="majorHAnsi" w:eastAsiaTheme="majorEastAsia" w:hAnsiTheme="majorHAnsi" w:cs="Times New Roman"/>
      <w:color w:val="FF66CC"/>
      <w:sz w:val="32"/>
      <w:szCs w:val="32"/>
      <w:lang w:val="en-US"/>
    </w:rPr>
  </w:style>
  <w:style w:type="paragraph" w:customStyle="1" w:styleId="Contents">
    <w:name w:val="Contents"/>
    <w:basedOn w:val="TOCHeading"/>
    <w:link w:val="ContentsChar"/>
    <w:rsid w:val="0094668C"/>
    <w:rPr>
      <w:b w:val="0"/>
      <w:color w:val="FF66CC"/>
    </w:rPr>
  </w:style>
  <w:style w:type="paragraph" w:customStyle="1" w:styleId="SubHeading">
    <w:name w:val="Sub Heading"/>
    <w:basedOn w:val="Normal"/>
    <w:link w:val="SubHeadingChar"/>
    <w:qFormat/>
    <w:rsid w:val="006D18EA"/>
    <w:rPr>
      <w:b/>
      <w:color w:val="C45911" w:themeColor="accent2" w:themeShade="BF"/>
      <w:sz w:val="24"/>
      <w:szCs w:val="24"/>
    </w:rPr>
  </w:style>
  <w:style w:type="character" w:customStyle="1" w:styleId="SubHeadingChar">
    <w:name w:val="Sub Heading Char"/>
    <w:basedOn w:val="DefaultParagraphFont"/>
    <w:link w:val="SubHeading"/>
    <w:rsid w:val="006D18EA"/>
    <w:rPr>
      <w:b/>
      <w:color w:val="C45911" w:themeColor="accent2" w:themeShade="BF"/>
      <w:sz w:val="24"/>
      <w:szCs w:val="24"/>
    </w:rPr>
  </w:style>
  <w:style w:type="paragraph" w:styleId="TOC1">
    <w:name w:val="toc 1"/>
    <w:basedOn w:val="Normal"/>
    <w:next w:val="Normal"/>
    <w:autoRedefine/>
    <w:uiPriority w:val="39"/>
    <w:unhideWhenUsed/>
    <w:rsid w:val="00A63731"/>
    <w:pPr>
      <w:tabs>
        <w:tab w:val="left" w:pos="440"/>
        <w:tab w:val="right" w:leader="dot" w:pos="9060"/>
      </w:tabs>
      <w:spacing w:after="100"/>
    </w:pPr>
  </w:style>
  <w:style w:type="paragraph" w:styleId="TOC2">
    <w:name w:val="toc 2"/>
    <w:basedOn w:val="Normal"/>
    <w:next w:val="Normal"/>
    <w:autoRedefine/>
    <w:uiPriority w:val="39"/>
    <w:unhideWhenUsed/>
    <w:rsid w:val="0094668C"/>
    <w:pPr>
      <w:spacing w:after="100"/>
      <w:ind w:left="220"/>
    </w:pPr>
  </w:style>
  <w:style w:type="character" w:styleId="Hyperlink">
    <w:name w:val="Hyperlink"/>
    <w:basedOn w:val="DefaultParagraphFont"/>
    <w:uiPriority w:val="99"/>
    <w:unhideWhenUsed/>
    <w:rsid w:val="0094668C"/>
    <w:rPr>
      <w:color w:val="0563C1" w:themeColor="hyperlink"/>
      <w:u w:val="single"/>
    </w:rPr>
  </w:style>
  <w:style w:type="paragraph" w:customStyle="1" w:styleId="ContentsPage">
    <w:name w:val="Contents Page"/>
    <w:basedOn w:val="TOCHeading"/>
    <w:link w:val="ContentsPageChar"/>
    <w:qFormat/>
    <w:rsid w:val="006D18EA"/>
    <w:pPr>
      <w:ind w:left="-426"/>
      <w:jc w:val="center"/>
    </w:pPr>
    <w:rPr>
      <w:color w:val="FF66CC"/>
    </w:rPr>
  </w:style>
  <w:style w:type="character" w:customStyle="1" w:styleId="TOCHeadingChar">
    <w:name w:val="TOC Heading Char"/>
    <w:basedOn w:val="Heading1Char"/>
    <w:link w:val="TOCHeading"/>
    <w:uiPriority w:val="39"/>
    <w:rsid w:val="006D18EA"/>
    <w:rPr>
      <w:rFonts w:asciiTheme="majorHAnsi" w:eastAsiaTheme="majorEastAsia" w:hAnsiTheme="majorHAnsi" w:cs="Times New Roman"/>
      <w:b/>
      <w:bCs w:val="0"/>
      <w:color w:val="2E74B5" w:themeColor="accent1" w:themeShade="BF"/>
      <w:sz w:val="32"/>
      <w:szCs w:val="32"/>
      <w:lang w:val="en-US"/>
    </w:rPr>
  </w:style>
  <w:style w:type="character" w:customStyle="1" w:styleId="ContentsPageChar">
    <w:name w:val="Contents Page Char"/>
    <w:basedOn w:val="TOCHeadingChar"/>
    <w:link w:val="ContentsPage"/>
    <w:rsid w:val="006D18EA"/>
    <w:rPr>
      <w:rFonts w:asciiTheme="majorHAnsi" w:eastAsiaTheme="majorEastAsia" w:hAnsiTheme="majorHAnsi" w:cs="Times New Roman"/>
      <w:b/>
      <w:bCs w:val="0"/>
      <w:color w:val="FF66CC"/>
      <w:sz w:val="32"/>
      <w:szCs w:val="32"/>
      <w:lang w:val="en-US"/>
    </w:rPr>
  </w:style>
  <w:style w:type="table" w:styleId="TableGrid">
    <w:name w:val="Table Grid"/>
    <w:basedOn w:val="TableNormal"/>
    <w:uiPriority w:val="39"/>
    <w:rsid w:val="004577F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qFormat/>
    <w:rsid w:val="004249DC"/>
    <w:rPr>
      <w:sz w:val="20"/>
      <w:szCs w:val="20"/>
    </w:rPr>
  </w:style>
  <w:style w:type="character" w:customStyle="1" w:styleId="FootnoteTextChar">
    <w:name w:val="Footnote Text Char"/>
    <w:basedOn w:val="DefaultParagraphFont"/>
    <w:link w:val="FootnoteText"/>
    <w:uiPriority w:val="99"/>
    <w:rsid w:val="004249DC"/>
    <w:rPr>
      <w:sz w:val="20"/>
      <w:szCs w:val="20"/>
    </w:rPr>
  </w:style>
  <w:style w:type="character" w:styleId="FootnoteReference">
    <w:name w:val="footnote reference"/>
    <w:basedOn w:val="DefaultParagraphFont"/>
    <w:uiPriority w:val="99"/>
    <w:unhideWhenUsed/>
    <w:rsid w:val="004249DC"/>
    <w:rPr>
      <w:vertAlign w:val="superscript"/>
    </w:rPr>
  </w:style>
  <w:style w:type="paragraph" w:styleId="BalloonText">
    <w:name w:val="Balloon Text"/>
    <w:basedOn w:val="Normal"/>
    <w:link w:val="BalloonTextChar"/>
    <w:uiPriority w:val="99"/>
    <w:semiHidden/>
    <w:unhideWhenUsed/>
    <w:rsid w:val="00D323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23D4"/>
    <w:rPr>
      <w:rFonts w:ascii="Segoe UI" w:hAnsi="Segoe UI" w:cs="Segoe UI"/>
      <w:sz w:val="18"/>
      <w:szCs w:val="18"/>
    </w:rPr>
  </w:style>
  <w:style w:type="paragraph" w:styleId="Caption">
    <w:name w:val="caption"/>
    <w:basedOn w:val="Normal"/>
    <w:next w:val="Normal"/>
    <w:uiPriority w:val="35"/>
    <w:unhideWhenUsed/>
    <w:qFormat/>
    <w:rsid w:val="00880186"/>
    <w:pPr>
      <w:spacing w:before="120" w:after="120"/>
    </w:pPr>
    <w:rPr>
      <w:rFonts w:ascii="Calibri" w:eastAsia="Times New Roman" w:hAnsi="Calibri" w:cs="Times New Roman"/>
      <w:i/>
      <w:iCs/>
      <w:color w:val="7030A0"/>
      <w:sz w:val="20"/>
      <w:szCs w:val="20"/>
    </w:rPr>
  </w:style>
  <w:style w:type="character" w:customStyle="1" w:styleId="ListParagraphChar">
    <w:name w:val="List Paragraph Char"/>
    <w:aliases w:val="dot point 1 Char,Recommendation Char,List Paragraph1 Char,List Paragraph11 Char,L Char,#List Paragraph Char"/>
    <w:link w:val="ListParagraph"/>
    <w:uiPriority w:val="34"/>
    <w:locked/>
    <w:rsid w:val="00710AAE"/>
  </w:style>
  <w:style w:type="table" w:styleId="GridTable4-Accent1">
    <w:name w:val="Grid Table 4 Accent 1"/>
    <w:basedOn w:val="TableNormal"/>
    <w:uiPriority w:val="49"/>
    <w:rsid w:val="00D61010"/>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4">
    <w:name w:val="Grid Table 2 Accent 4"/>
    <w:basedOn w:val="TableNormal"/>
    <w:uiPriority w:val="47"/>
    <w:rsid w:val="002F1EBB"/>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2F1EBB"/>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alWeb">
    <w:name w:val="Normal (Web)"/>
    <w:basedOn w:val="Normal"/>
    <w:uiPriority w:val="99"/>
    <w:semiHidden/>
    <w:unhideWhenUsed/>
    <w:rsid w:val="005434CD"/>
    <w:pPr>
      <w:spacing w:before="100" w:beforeAutospacing="1" w:after="100" w:afterAutospacing="1"/>
      <w:jc w:val="left"/>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2E369A"/>
    <w:rPr>
      <w:sz w:val="16"/>
      <w:szCs w:val="16"/>
    </w:rPr>
  </w:style>
  <w:style w:type="paragraph" w:styleId="CommentText">
    <w:name w:val="annotation text"/>
    <w:basedOn w:val="Normal"/>
    <w:link w:val="CommentTextChar"/>
    <w:uiPriority w:val="99"/>
    <w:semiHidden/>
    <w:unhideWhenUsed/>
    <w:rsid w:val="002E369A"/>
    <w:rPr>
      <w:sz w:val="20"/>
      <w:szCs w:val="20"/>
    </w:rPr>
  </w:style>
  <w:style w:type="character" w:customStyle="1" w:styleId="CommentTextChar">
    <w:name w:val="Comment Text Char"/>
    <w:basedOn w:val="DefaultParagraphFont"/>
    <w:link w:val="CommentText"/>
    <w:uiPriority w:val="99"/>
    <w:semiHidden/>
    <w:rsid w:val="002E369A"/>
    <w:rPr>
      <w:sz w:val="20"/>
      <w:szCs w:val="20"/>
    </w:rPr>
  </w:style>
  <w:style w:type="paragraph" w:styleId="CommentSubject">
    <w:name w:val="annotation subject"/>
    <w:basedOn w:val="CommentText"/>
    <w:next w:val="CommentText"/>
    <w:link w:val="CommentSubjectChar"/>
    <w:uiPriority w:val="99"/>
    <w:semiHidden/>
    <w:unhideWhenUsed/>
    <w:rsid w:val="002E369A"/>
    <w:rPr>
      <w:b/>
      <w:bCs/>
    </w:rPr>
  </w:style>
  <w:style w:type="character" w:customStyle="1" w:styleId="CommentSubjectChar">
    <w:name w:val="Comment Subject Char"/>
    <w:basedOn w:val="CommentTextChar"/>
    <w:link w:val="CommentSubject"/>
    <w:uiPriority w:val="99"/>
    <w:semiHidden/>
    <w:rsid w:val="002E369A"/>
    <w:rPr>
      <w:b/>
      <w:bCs/>
      <w:sz w:val="20"/>
      <w:szCs w:val="20"/>
    </w:rPr>
  </w:style>
  <w:style w:type="table" w:styleId="GridTable1Light-Accent2">
    <w:name w:val="Grid Table 1 Light Accent 2"/>
    <w:basedOn w:val="TableNormal"/>
    <w:uiPriority w:val="46"/>
    <w:rsid w:val="00CA3D18"/>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rsid w:val="0026746E"/>
    <w:rPr>
      <w:rFonts w:asciiTheme="majorHAnsi" w:eastAsiaTheme="majorEastAsia" w:hAnsiTheme="majorHAnsi" w:cstheme="majorBidi"/>
      <w:i/>
      <w:iCs/>
      <w:color w:val="2E74B5" w:themeColor="accent1" w:themeShade="BF"/>
    </w:rPr>
  </w:style>
  <w:style w:type="table" w:styleId="GridTable1Light-Accent5">
    <w:name w:val="Grid Table 1 Light Accent 5"/>
    <w:basedOn w:val="TableNormal"/>
    <w:uiPriority w:val="46"/>
    <w:rsid w:val="00A43B07"/>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rsid w:val="0088079A"/>
    <w:rPr>
      <w:rFonts w:eastAsiaTheme="majorEastAsia" w:cstheme="majorBidi"/>
      <w:b/>
      <w:color w:val="538135" w:themeColor="accent6" w:themeShade="BF"/>
      <w:sz w:val="24"/>
      <w:szCs w:val="24"/>
    </w:rPr>
  </w:style>
  <w:style w:type="paragraph" w:styleId="TOC3">
    <w:name w:val="toc 3"/>
    <w:basedOn w:val="Normal"/>
    <w:next w:val="Normal"/>
    <w:autoRedefine/>
    <w:uiPriority w:val="39"/>
    <w:unhideWhenUsed/>
    <w:rsid w:val="000D427B"/>
    <w:pPr>
      <w:spacing w:before="120" w:after="100"/>
      <w:ind w:left="440"/>
    </w:pPr>
  </w:style>
  <w:style w:type="table" w:customStyle="1" w:styleId="GridTable1Light-Accent11">
    <w:name w:val="Grid Table 1 Light - Accent 11"/>
    <w:basedOn w:val="TableNormal"/>
    <w:uiPriority w:val="46"/>
    <w:rsid w:val="000D427B"/>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0D427B"/>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0D427B"/>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0D427B"/>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0D427B"/>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styleId="IntenseEmphasis">
    <w:name w:val="Intense Emphasis"/>
    <w:basedOn w:val="DefaultParagraphFont"/>
    <w:uiPriority w:val="21"/>
    <w:qFormat/>
    <w:rsid w:val="000D427B"/>
    <w:rPr>
      <w:i/>
      <w:iCs/>
      <w:color w:val="5B9BD5" w:themeColor="accent1"/>
    </w:rPr>
  </w:style>
  <w:style w:type="table" w:customStyle="1" w:styleId="GridTable2-Accent31">
    <w:name w:val="Grid Table 2 - Accent 31"/>
    <w:basedOn w:val="TableNormal"/>
    <w:uiPriority w:val="47"/>
    <w:rsid w:val="000D427B"/>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FollowedHyperlink">
    <w:name w:val="FollowedHyperlink"/>
    <w:basedOn w:val="DefaultParagraphFont"/>
    <w:uiPriority w:val="99"/>
    <w:semiHidden/>
    <w:unhideWhenUsed/>
    <w:rsid w:val="000D427B"/>
    <w:rPr>
      <w:color w:val="954F72"/>
      <w:u w:val="single"/>
    </w:rPr>
  </w:style>
  <w:style w:type="paragraph" w:customStyle="1" w:styleId="font5">
    <w:name w:val="font5"/>
    <w:basedOn w:val="Normal"/>
    <w:rsid w:val="000D427B"/>
    <w:pPr>
      <w:spacing w:before="100" w:beforeAutospacing="1" w:after="100" w:afterAutospacing="1"/>
    </w:pPr>
    <w:rPr>
      <w:rFonts w:ascii="Tahoma" w:eastAsia="Times New Roman" w:hAnsi="Tahoma" w:cs="Tahoma"/>
      <w:color w:val="000000"/>
      <w:sz w:val="18"/>
      <w:szCs w:val="18"/>
      <w:lang w:eastAsia="en-AU"/>
    </w:rPr>
  </w:style>
  <w:style w:type="paragraph" w:customStyle="1" w:styleId="font6">
    <w:name w:val="font6"/>
    <w:basedOn w:val="Normal"/>
    <w:rsid w:val="000D427B"/>
    <w:pPr>
      <w:spacing w:before="100" w:beforeAutospacing="1" w:after="100" w:afterAutospacing="1"/>
    </w:pPr>
    <w:rPr>
      <w:rFonts w:ascii="Tahoma" w:eastAsia="Times New Roman" w:hAnsi="Tahoma" w:cs="Tahoma"/>
      <w:b/>
      <w:bCs/>
      <w:color w:val="000000"/>
      <w:sz w:val="18"/>
      <w:szCs w:val="18"/>
      <w:lang w:eastAsia="en-AU"/>
    </w:rPr>
  </w:style>
  <w:style w:type="paragraph" w:customStyle="1" w:styleId="xl140">
    <w:name w:val="xl140"/>
    <w:basedOn w:val="Normal"/>
    <w:rsid w:val="000D427B"/>
    <w:pPr>
      <w:pBdr>
        <w:left w:val="single" w:sz="8" w:space="0" w:color="auto"/>
      </w:pBdr>
      <w:spacing w:before="100" w:beforeAutospacing="1" w:after="100" w:afterAutospacing="1"/>
    </w:pPr>
    <w:rPr>
      <w:rFonts w:ascii="Times New Roman" w:eastAsia="Times New Roman" w:hAnsi="Times New Roman" w:cs="Times New Roman"/>
      <w:sz w:val="24"/>
      <w:szCs w:val="24"/>
      <w:lang w:eastAsia="en-AU"/>
    </w:rPr>
  </w:style>
  <w:style w:type="paragraph" w:customStyle="1" w:styleId="xl141">
    <w:name w:val="xl141"/>
    <w:basedOn w:val="Normal"/>
    <w:rsid w:val="000D427B"/>
    <w:pPr>
      <w:pBdr>
        <w:top w:val="single" w:sz="8" w:space="0" w:color="auto"/>
        <w:left w:val="single" w:sz="8" w:space="0" w:color="auto"/>
      </w:pBdr>
      <w:spacing w:before="100" w:beforeAutospacing="1" w:after="100" w:afterAutospacing="1"/>
    </w:pPr>
    <w:rPr>
      <w:rFonts w:ascii="Times New Roman" w:eastAsia="Times New Roman" w:hAnsi="Times New Roman" w:cs="Times New Roman"/>
      <w:sz w:val="24"/>
      <w:szCs w:val="24"/>
      <w:lang w:eastAsia="en-AU"/>
    </w:rPr>
  </w:style>
  <w:style w:type="paragraph" w:customStyle="1" w:styleId="xl142">
    <w:name w:val="xl142"/>
    <w:basedOn w:val="Normal"/>
    <w:rsid w:val="000D427B"/>
    <w:pPr>
      <w:pBdr>
        <w:right w:val="single" w:sz="8" w:space="0" w:color="auto"/>
      </w:pBdr>
      <w:spacing w:before="100" w:beforeAutospacing="1" w:after="100" w:afterAutospacing="1"/>
    </w:pPr>
    <w:rPr>
      <w:rFonts w:ascii="Times New Roman" w:eastAsia="Times New Roman" w:hAnsi="Times New Roman" w:cs="Times New Roman"/>
      <w:sz w:val="24"/>
      <w:szCs w:val="24"/>
      <w:lang w:eastAsia="en-AU"/>
    </w:rPr>
  </w:style>
  <w:style w:type="paragraph" w:customStyle="1" w:styleId="xl143">
    <w:name w:val="xl143"/>
    <w:basedOn w:val="Normal"/>
    <w:rsid w:val="000D427B"/>
    <w:pPr>
      <w:pBdr>
        <w:top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lang w:eastAsia="en-AU"/>
    </w:rPr>
  </w:style>
  <w:style w:type="paragraph" w:customStyle="1" w:styleId="xl145">
    <w:name w:val="xl145"/>
    <w:basedOn w:val="Normal"/>
    <w:rsid w:val="000D427B"/>
    <w:pPr>
      <w:pBdr>
        <w:top w:val="single" w:sz="8" w:space="0" w:color="auto"/>
        <w:left w:val="single" w:sz="8" w:space="0" w:color="auto"/>
        <w:right w:val="single" w:sz="8" w:space="0" w:color="auto"/>
      </w:pBdr>
      <w:spacing w:before="100" w:beforeAutospacing="1" w:after="100" w:afterAutospacing="1"/>
    </w:pPr>
    <w:rPr>
      <w:rFonts w:ascii="Times New Roman" w:eastAsia="Times New Roman" w:hAnsi="Times New Roman" w:cs="Times New Roman"/>
      <w:b/>
      <w:bCs/>
      <w:lang w:eastAsia="en-AU"/>
    </w:rPr>
  </w:style>
  <w:style w:type="paragraph" w:customStyle="1" w:styleId="xl146">
    <w:name w:val="xl146"/>
    <w:basedOn w:val="Normal"/>
    <w:rsid w:val="000D427B"/>
    <w:pPr>
      <w:pBdr>
        <w:left w:val="single" w:sz="8" w:space="7" w:color="auto"/>
        <w:right w:val="single" w:sz="8" w:space="0" w:color="auto"/>
      </w:pBdr>
      <w:spacing w:before="100" w:beforeAutospacing="1" w:after="100" w:afterAutospacing="1"/>
      <w:ind w:firstLineChars="100" w:firstLine="100"/>
    </w:pPr>
    <w:rPr>
      <w:rFonts w:ascii="Times New Roman" w:eastAsia="Times New Roman" w:hAnsi="Times New Roman" w:cs="Times New Roman"/>
      <w:sz w:val="24"/>
      <w:szCs w:val="24"/>
      <w:lang w:eastAsia="en-AU"/>
    </w:rPr>
  </w:style>
  <w:style w:type="paragraph" w:customStyle="1" w:styleId="xl147">
    <w:name w:val="xl147"/>
    <w:basedOn w:val="Normal"/>
    <w:rsid w:val="000D427B"/>
    <w:pPr>
      <w:pBdr>
        <w:left w:val="single" w:sz="8" w:space="0" w:color="auto"/>
        <w:right w:val="single" w:sz="8" w:space="0" w:color="auto"/>
      </w:pBdr>
      <w:spacing w:before="100" w:beforeAutospacing="1" w:after="100" w:afterAutospacing="1"/>
    </w:pPr>
    <w:rPr>
      <w:rFonts w:ascii="Times New Roman" w:eastAsia="Times New Roman" w:hAnsi="Times New Roman" w:cs="Times New Roman"/>
      <w:b/>
      <w:bCs/>
      <w:lang w:eastAsia="en-AU"/>
    </w:rPr>
  </w:style>
  <w:style w:type="paragraph" w:customStyle="1" w:styleId="xl148">
    <w:name w:val="xl148"/>
    <w:basedOn w:val="Normal"/>
    <w:rsid w:val="000D427B"/>
    <w:pPr>
      <w:pBdr>
        <w:left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lang w:eastAsia="en-AU"/>
    </w:rPr>
  </w:style>
  <w:style w:type="paragraph" w:customStyle="1" w:styleId="xl149">
    <w:name w:val="xl149"/>
    <w:basedOn w:val="Normal"/>
    <w:rsid w:val="000D427B"/>
    <w:pPr>
      <w:pBdr>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b/>
      <w:bCs/>
      <w:lang w:eastAsia="en-AU"/>
    </w:rPr>
  </w:style>
  <w:style w:type="paragraph" w:customStyle="1" w:styleId="xl150">
    <w:name w:val="xl150"/>
    <w:basedOn w:val="Normal"/>
    <w:rsid w:val="000D427B"/>
    <w:pPr>
      <w:pBdr>
        <w:top w:val="single" w:sz="8" w:space="0" w:color="auto"/>
        <w:left w:val="single" w:sz="8" w:space="0" w:color="auto"/>
        <w:right w:val="single" w:sz="8" w:space="0" w:color="auto"/>
      </w:pBdr>
      <w:spacing w:before="100" w:beforeAutospacing="1" w:after="100" w:afterAutospacing="1"/>
    </w:pPr>
    <w:rPr>
      <w:rFonts w:ascii="Times New Roman" w:eastAsia="Times New Roman" w:hAnsi="Times New Roman" w:cs="Times New Roman"/>
      <w:b/>
      <w:bCs/>
      <w:lang w:eastAsia="en-AU"/>
    </w:rPr>
  </w:style>
  <w:style w:type="paragraph" w:customStyle="1" w:styleId="xl151">
    <w:name w:val="xl151"/>
    <w:basedOn w:val="Normal"/>
    <w:rsid w:val="000D427B"/>
    <w:pPr>
      <w:pBdr>
        <w:left w:val="single" w:sz="8" w:space="0" w:color="auto"/>
        <w:right w:val="single" w:sz="8" w:space="0" w:color="auto"/>
      </w:pBdr>
      <w:spacing w:before="100" w:beforeAutospacing="1" w:after="100" w:afterAutospacing="1"/>
    </w:pPr>
    <w:rPr>
      <w:rFonts w:ascii="Times New Roman" w:eastAsia="Times New Roman" w:hAnsi="Times New Roman" w:cs="Times New Roman"/>
      <w:b/>
      <w:bCs/>
      <w:lang w:eastAsia="en-AU"/>
    </w:rPr>
  </w:style>
  <w:style w:type="paragraph" w:customStyle="1" w:styleId="xl152">
    <w:name w:val="xl152"/>
    <w:basedOn w:val="Normal"/>
    <w:rsid w:val="000D427B"/>
    <w:pPr>
      <w:pBdr>
        <w:top w:val="single" w:sz="8" w:space="0" w:color="auto"/>
      </w:pBdr>
      <w:spacing w:before="100" w:beforeAutospacing="1" w:after="100" w:afterAutospacing="1"/>
    </w:pPr>
    <w:rPr>
      <w:rFonts w:ascii="Times New Roman" w:eastAsia="Times New Roman" w:hAnsi="Times New Roman" w:cs="Times New Roman"/>
      <w:sz w:val="24"/>
      <w:szCs w:val="24"/>
      <w:lang w:eastAsia="en-AU"/>
    </w:rPr>
  </w:style>
  <w:style w:type="paragraph" w:customStyle="1" w:styleId="xl153">
    <w:name w:val="xl153"/>
    <w:basedOn w:val="Normal"/>
    <w:rsid w:val="000D427B"/>
    <w:pPr>
      <w:pBdr>
        <w:left w:val="single" w:sz="8" w:space="0" w:color="auto"/>
      </w:pBdr>
      <w:spacing w:before="100" w:beforeAutospacing="1" w:after="100" w:afterAutospacing="1"/>
    </w:pPr>
    <w:rPr>
      <w:rFonts w:ascii="Times New Roman" w:eastAsia="Times New Roman" w:hAnsi="Times New Roman" w:cs="Times New Roman"/>
      <w:sz w:val="24"/>
      <w:szCs w:val="24"/>
      <w:lang w:eastAsia="en-AU"/>
    </w:rPr>
  </w:style>
  <w:style w:type="paragraph" w:customStyle="1" w:styleId="xl154">
    <w:name w:val="xl154"/>
    <w:basedOn w:val="Normal"/>
    <w:rsid w:val="000D427B"/>
    <w:pPr>
      <w:pBdr>
        <w:right w:val="single" w:sz="8" w:space="0" w:color="auto"/>
      </w:pBdr>
      <w:spacing w:before="100" w:beforeAutospacing="1" w:after="100" w:afterAutospacing="1"/>
    </w:pPr>
    <w:rPr>
      <w:rFonts w:ascii="Times New Roman" w:eastAsia="Times New Roman" w:hAnsi="Times New Roman" w:cs="Times New Roman"/>
      <w:sz w:val="24"/>
      <w:szCs w:val="24"/>
      <w:lang w:eastAsia="en-AU"/>
    </w:rPr>
  </w:style>
  <w:style w:type="paragraph" w:customStyle="1" w:styleId="xl155">
    <w:name w:val="xl155"/>
    <w:basedOn w:val="Normal"/>
    <w:rsid w:val="000D427B"/>
    <w:pPr>
      <w:pBdr>
        <w:top w:val="single" w:sz="8" w:space="0" w:color="auto"/>
        <w:left w:val="single" w:sz="8" w:space="0" w:color="auto"/>
      </w:pBdr>
      <w:spacing w:before="100" w:beforeAutospacing="1" w:after="100" w:afterAutospacing="1"/>
    </w:pPr>
    <w:rPr>
      <w:rFonts w:ascii="Times New Roman" w:eastAsia="Times New Roman" w:hAnsi="Times New Roman" w:cs="Times New Roman"/>
      <w:sz w:val="24"/>
      <w:szCs w:val="24"/>
      <w:lang w:eastAsia="en-AU"/>
    </w:rPr>
  </w:style>
  <w:style w:type="paragraph" w:customStyle="1" w:styleId="xl156">
    <w:name w:val="xl156"/>
    <w:basedOn w:val="Normal"/>
    <w:rsid w:val="000D427B"/>
    <w:pPr>
      <w:pBdr>
        <w:top w:val="single" w:sz="8" w:space="0" w:color="auto"/>
      </w:pBdr>
      <w:spacing w:before="100" w:beforeAutospacing="1" w:after="100" w:afterAutospacing="1"/>
    </w:pPr>
    <w:rPr>
      <w:rFonts w:ascii="Times New Roman" w:eastAsia="Times New Roman" w:hAnsi="Times New Roman" w:cs="Times New Roman"/>
      <w:sz w:val="24"/>
      <w:szCs w:val="24"/>
      <w:lang w:eastAsia="en-AU"/>
    </w:rPr>
  </w:style>
  <w:style w:type="paragraph" w:customStyle="1" w:styleId="xl157">
    <w:name w:val="xl157"/>
    <w:basedOn w:val="Normal"/>
    <w:rsid w:val="000D427B"/>
    <w:pPr>
      <w:pBdr>
        <w:top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lang w:eastAsia="en-AU"/>
    </w:rPr>
  </w:style>
  <w:style w:type="paragraph" w:customStyle="1" w:styleId="xl158">
    <w:name w:val="xl158"/>
    <w:basedOn w:val="Normal"/>
    <w:rsid w:val="000D427B"/>
    <w:pPr>
      <w:pBdr>
        <w:left w:val="single" w:sz="8" w:space="0" w:color="auto"/>
      </w:pBdr>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159">
    <w:name w:val="xl159"/>
    <w:basedOn w:val="Normal"/>
    <w:rsid w:val="000D427B"/>
    <w:pPr>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160">
    <w:name w:val="xl160"/>
    <w:basedOn w:val="Normal"/>
    <w:rsid w:val="000D427B"/>
    <w:pPr>
      <w:pBdr>
        <w:right w:val="single" w:sz="8" w:space="0" w:color="auto"/>
      </w:pBdr>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161">
    <w:name w:val="xl161"/>
    <w:basedOn w:val="Normal"/>
    <w:rsid w:val="000D427B"/>
    <w:pPr>
      <w:pBdr>
        <w:left w:val="single" w:sz="8" w:space="0" w:color="auto"/>
        <w:bottom w:val="single" w:sz="8" w:space="0" w:color="auto"/>
      </w:pBdr>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162">
    <w:name w:val="xl162"/>
    <w:basedOn w:val="Normal"/>
    <w:rsid w:val="000D427B"/>
    <w:pPr>
      <w:pBdr>
        <w:bottom w:val="single" w:sz="8" w:space="0" w:color="auto"/>
      </w:pBdr>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163">
    <w:name w:val="xl163"/>
    <w:basedOn w:val="Normal"/>
    <w:rsid w:val="000D427B"/>
    <w:pPr>
      <w:pBdr>
        <w:bottom w:val="single" w:sz="8" w:space="0" w:color="auto"/>
        <w:right w:val="single" w:sz="8" w:space="0" w:color="auto"/>
      </w:pBdr>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164">
    <w:name w:val="xl164"/>
    <w:basedOn w:val="Normal"/>
    <w:rsid w:val="000D427B"/>
    <w:pPr>
      <w:pBdr>
        <w:top w:val="single" w:sz="8" w:space="0" w:color="auto"/>
        <w:left w:val="single" w:sz="8" w:space="0" w:color="auto"/>
        <w:bottom w:val="single" w:sz="8" w:space="0" w:color="auto"/>
      </w:pBdr>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165">
    <w:name w:val="xl165"/>
    <w:basedOn w:val="Normal"/>
    <w:rsid w:val="000D427B"/>
    <w:pPr>
      <w:pBdr>
        <w:top w:val="single" w:sz="8" w:space="0" w:color="auto"/>
        <w:left w:val="single" w:sz="8" w:space="0" w:color="auto"/>
        <w:bottom w:val="single" w:sz="8" w:space="0" w:color="auto"/>
      </w:pBdr>
      <w:shd w:val="clear" w:color="000000" w:fill="FFF2CC"/>
      <w:spacing w:before="100" w:beforeAutospacing="1" w:after="100" w:afterAutospacing="1"/>
    </w:pPr>
    <w:rPr>
      <w:rFonts w:ascii="Times New Roman" w:eastAsia="Times New Roman" w:hAnsi="Times New Roman" w:cs="Times New Roman"/>
      <w:sz w:val="24"/>
      <w:szCs w:val="24"/>
      <w:lang w:eastAsia="en-AU"/>
    </w:rPr>
  </w:style>
  <w:style w:type="paragraph" w:customStyle="1" w:styleId="xl166">
    <w:name w:val="xl166"/>
    <w:basedOn w:val="Normal"/>
    <w:rsid w:val="000D427B"/>
    <w:pPr>
      <w:pBdr>
        <w:top w:val="single" w:sz="8" w:space="0" w:color="auto"/>
        <w:bottom w:val="single" w:sz="8" w:space="0" w:color="auto"/>
      </w:pBdr>
      <w:shd w:val="clear" w:color="000000" w:fill="FFF2CC"/>
      <w:spacing w:before="100" w:beforeAutospacing="1" w:after="100" w:afterAutospacing="1"/>
    </w:pPr>
    <w:rPr>
      <w:rFonts w:ascii="Times New Roman" w:eastAsia="Times New Roman" w:hAnsi="Times New Roman" w:cs="Times New Roman"/>
      <w:sz w:val="24"/>
      <w:szCs w:val="24"/>
      <w:lang w:eastAsia="en-AU"/>
    </w:rPr>
  </w:style>
  <w:style w:type="paragraph" w:customStyle="1" w:styleId="xl167">
    <w:name w:val="xl167"/>
    <w:basedOn w:val="Normal"/>
    <w:rsid w:val="000D427B"/>
    <w:pPr>
      <w:pBdr>
        <w:top w:val="single" w:sz="8" w:space="0" w:color="auto"/>
        <w:bottom w:val="single" w:sz="8" w:space="0" w:color="auto"/>
        <w:right w:val="single" w:sz="8" w:space="0" w:color="auto"/>
      </w:pBdr>
      <w:shd w:val="clear" w:color="000000" w:fill="FFF2CC"/>
      <w:spacing w:before="100" w:beforeAutospacing="1" w:after="100" w:afterAutospacing="1"/>
    </w:pPr>
    <w:rPr>
      <w:rFonts w:ascii="Times New Roman" w:eastAsia="Times New Roman" w:hAnsi="Times New Roman" w:cs="Times New Roman"/>
      <w:sz w:val="24"/>
      <w:szCs w:val="24"/>
      <w:lang w:eastAsia="en-AU"/>
    </w:rPr>
  </w:style>
  <w:style w:type="paragraph" w:customStyle="1" w:styleId="xl168">
    <w:name w:val="xl168"/>
    <w:basedOn w:val="Normal"/>
    <w:rsid w:val="000D427B"/>
    <w:pPr>
      <w:pBdr>
        <w:left w:val="single" w:sz="8" w:space="0" w:color="auto"/>
      </w:pBdr>
      <w:shd w:val="clear" w:color="000000" w:fill="FFF2CC"/>
      <w:spacing w:before="100" w:beforeAutospacing="1" w:after="100" w:afterAutospacing="1"/>
    </w:pPr>
    <w:rPr>
      <w:rFonts w:ascii="Times New Roman" w:eastAsia="Times New Roman" w:hAnsi="Times New Roman" w:cs="Times New Roman"/>
      <w:sz w:val="24"/>
      <w:szCs w:val="24"/>
      <w:lang w:eastAsia="en-AU"/>
    </w:rPr>
  </w:style>
  <w:style w:type="paragraph" w:customStyle="1" w:styleId="xl169">
    <w:name w:val="xl169"/>
    <w:basedOn w:val="Normal"/>
    <w:rsid w:val="000D427B"/>
    <w:pPr>
      <w:shd w:val="clear" w:color="000000" w:fill="FFF2CC"/>
      <w:spacing w:before="100" w:beforeAutospacing="1" w:after="100" w:afterAutospacing="1"/>
    </w:pPr>
    <w:rPr>
      <w:rFonts w:ascii="Times New Roman" w:eastAsia="Times New Roman" w:hAnsi="Times New Roman" w:cs="Times New Roman"/>
      <w:sz w:val="24"/>
      <w:szCs w:val="24"/>
      <w:lang w:eastAsia="en-AU"/>
    </w:rPr>
  </w:style>
  <w:style w:type="paragraph" w:customStyle="1" w:styleId="xl170">
    <w:name w:val="xl170"/>
    <w:basedOn w:val="Normal"/>
    <w:rsid w:val="000D427B"/>
    <w:pPr>
      <w:pBdr>
        <w:right w:val="single" w:sz="8" w:space="0" w:color="auto"/>
      </w:pBdr>
      <w:shd w:val="clear" w:color="000000" w:fill="FFF2CC"/>
      <w:spacing w:before="100" w:beforeAutospacing="1" w:after="100" w:afterAutospacing="1"/>
    </w:pPr>
    <w:rPr>
      <w:rFonts w:ascii="Times New Roman" w:eastAsia="Times New Roman" w:hAnsi="Times New Roman" w:cs="Times New Roman"/>
      <w:sz w:val="24"/>
      <w:szCs w:val="24"/>
      <w:lang w:eastAsia="en-AU"/>
    </w:rPr>
  </w:style>
  <w:style w:type="paragraph" w:customStyle="1" w:styleId="xl171">
    <w:name w:val="xl171"/>
    <w:basedOn w:val="Normal"/>
    <w:rsid w:val="000D427B"/>
    <w:pPr>
      <w:pBdr>
        <w:left w:val="single" w:sz="8" w:space="0" w:color="auto"/>
      </w:pBdr>
      <w:shd w:val="clear" w:color="000000" w:fill="FFF2CC"/>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172">
    <w:name w:val="xl172"/>
    <w:basedOn w:val="Normal"/>
    <w:rsid w:val="000D427B"/>
    <w:pPr>
      <w:shd w:val="clear" w:color="000000" w:fill="FFF2CC"/>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173">
    <w:name w:val="xl173"/>
    <w:basedOn w:val="Normal"/>
    <w:rsid w:val="000D427B"/>
    <w:pPr>
      <w:pBdr>
        <w:right w:val="single" w:sz="8" w:space="0" w:color="auto"/>
      </w:pBdr>
      <w:shd w:val="clear" w:color="000000" w:fill="FFF2CC"/>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174">
    <w:name w:val="xl174"/>
    <w:basedOn w:val="Normal"/>
    <w:rsid w:val="000D427B"/>
    <w:pPr>
      <w:pBdr>
        <w:left w:val="single" w:sz="8" w:space="0" w:color="auto"/>
      </w:pBdr>
      <w:shd w:val="clear" w:color="000000" w:fill="FFF2CC"/>
      <w:spacing w:before="100" w:beforeAutospacing="1" w:after="100" w:afterAutospacing="1"/>
    </w:pPr>
    <w:rPr>
      <w:rFonts w:ascii="Times New Roman" w:eastAsia="Times New Roman" w:hAnsi="Times New Roman" w:cs="Times New Roman"/>
      <w:sz w:val="24"/>
      <w:szCs w:val="24"/>
      <w:lang w:eastAsia="en-AU"/>
    </w:rPr>
  </w:style>
  <w:style w:type="paragraph" w:customStyle="1" w:styleId="xl175">
    <w:name w:val="xl175"/>
    <w:basedOn w:val="Normal"/>
    <w:rsid w:val="000D427B"/>
    <w:pPr>
      <w:shd w:val="clear" w:color="000000" w:fill="FFF2CC"/>
      <w:spacing w:before="100" w:beforeAutospacing="1" w:after="100" w:afterAutospacing="1"/>
    </w:pPr>
    <w:rPr>
      <w:rFonts w:ascii="Times New Roman" w:eastAsia="Times New Roman" w:hAnsi="Times New Roman" w:cs="Times New Roman"/>
      <w:sz w:val="24"/>
      <w:szCs w:val="24"/>
      <w:lang w:eastAsia="en-AU"/>
    </w:rPr>
  </w:style>
  <w:style w:type="paragraph" w:customStyle="1" w:styleId="xl176">
    <w:name w:val="xl176"/>
    <w:basedOn w:val="Normal"/>
    <w:rsid w:val="000D427B"/>
    <w:pPr>
      <w:pBdr>
        <w:right w:val="single" w:sz="8" w:space="0" w:color="auto"/>
      </w:pBdr>
      <w:shd w:val="clear" w:color="000000" w:fill="FFF2CC"/>
      <w:spacing w:before="100" w:beforeAutospacing="1" w:after="100" w:afterAutospacing="1"/>
    </w:pPr>
    <w:rPr>
      <w:rFonts w:ascii="Times New Roman" w:eastAsia="Times New Roman" w:hAnsi="Times New Roman" w:cs="Times New Roman"/>
      <w:sz w:val="24"/>
      <w:szCs w:val="24"/>
      <w:lang w:eastAsia="en-AU"/>
    </w:rPr>
  </w:style>
  <w:style w:type="paragraph" w:customStyle="1" w:styleId="xl177">
    <w:name w:val="xl177"/>
    <w:basedOn w:val="Normal"/>
    <w:rsid w:val="000D427B"/>
    <w:pPr>
      <w:pBdr>
        <w:left w:val="single" w:sz="8" w:space="0" w:color="auto"/>
      </w:pBdr>
      <w:shd w:val="clear" w:color="000000" w:fill="FFF2CC"/>
      <w:spacing w:before="100" w:beforeAutospacing="1" w:after="100" w:afterAutospacing="1"/>
    </w:pPr>
    <w:rPr>
      <w:rFonts w:ascii="Times New Roman" w:eastAsia="Times New Roman" w:hAnsi="Times New Roman" w:cs="Times New Roman"/>
      <w:sz w:val="24"/>
      <w:szCs w:val="24"/>
      <w:lang w:eastAsia="en-AU"/>
    </w:rPr>
  </w:style>
  <w:style w:type="paragraph" w:customStyle="1" w:styleId="xl178">
    <w:name w:val="xl178"/>
    <w:basedOn w:val="Normal"/>
    <w:rsid w:val="000D427B"/>
    <w:pPr>
      <w:shd w:val="clear" w:color="000000" w:fill="FFF2CC"/>
      <w:spacing w:before="100" w:beforeAutospacing="1" w:after="100" w:afterAutospacing="1"/>
    </w:pPr>
    <w:rPr>
      <w:rFonts w:ascii="Times New Roman" w:eastAsia="Times New Roman" w:hAnsi="Times New Roman" w:cs="Times New Roman"/>
      <w:sz w:val="24"/>
      <w:szCs w:val="24"/>
      <w:lang w:eastAsia="en-AU"/>
    </w:rPr>
  </w:style>
  <w:style w:type="paragraph" w:customStyle="1" w:styleId="xl179">
    <w:name w:val="xl179"/>
    <w:basedOn w:val="Normal"/>
    <w:rsid w:val="000D427B"/>
    <w:pPr>
      <w:pBdr>
        <w:right w:val="single" w:sz="8" w:space="0" w:color="auto"/>
      </w:pBdr>
      <w:shd w:val="clear" w:color="000000" w:fill="FFF2CC"/>
      <w:spacing w:before="100" w:beforeAutospacing="1" w:after="100" w:afterAutospacing="1"/>
    </w:pPr>
    <w:rPr>
      <w:rFonts w:ascii="Times New Roman" w:eastAsia="Times New Roman" w:hAnsi="Times New Roman" w:cs="Times New Roman"/>
      <w:sz w:val="24"/>
      <w:szCs w:val="24"/>
      <w:lang w:eastAsia="en-AU"/>
    </w:rPr>
  </w:style>
  <w:style w:type="paragraph" w:customStyle="1" w:styleId="xl180">
    <w:name w:val="xl180"/>
    <w:basedOn w:val="Normal"/>
    <w:rsid w:val="000D427B"/>
    <w:pPr>
      <w:pBdr>
        <w:left w:val="single" w:sz="8" w:space="0" w:color="auto"/>
        <w:bottom w:val="single" w:sz="8" w:space="0" w:color="auto"/>
      </w:pBdr>
      <w:spacing w:before="100" w:beforeAutospacing="1" w:after="100" w:afterAutospacing="1"/>
    </w:pPr>
    <w:rPr>
      <w:rFonts w:ascii="Times New Roman" w:eastAsia="Times New Roman" w:hAnsi="Times New Roman" w:cs="Times New Roman"/>
      <w:sz w:val="24"/>
      <w:szCs w:val="24"/>
      <w:lang w:eastAsia="en-AU"/>
    </w:rPr>
  </w:style>
  <w:style w:type="paragraph" w:customStyle="1" w:styleId="xl181">
    <w:name w:val="xl181"/>
    <w:basedOn w:val="Normal"/>
    <w:rsid w:val="000D427B"/>
    <w:pPr>
      <w:pBdr>
        <w:bottom w:val="single" w:sz="8" w:space="0" w:color="auto"/>
      </w:pBdr>
      <w:spacing w:before="100" w:beforeAutospacing="1" w:after="100" w:afterAutospacing="1"/>
    </w:pPr>
    <w:rPr>
      <w:rFonts w:ascii="Times New Roman" w:eastAsia="Times New Roman" w:hAnsi="Times New Roman" w:cs="Times New Roman"/>
      <w:sz w:val="24"/>
      <w:szCs w:val="24"/>
      <w:lang w:eastAsia="en-AU"/>
    </w:rPr>
  </w:style>
  <w:style w:type="paragraph" w:customStyle="1" w:styleId="xl182">
    <w:name w:val="xl182"/>
    <w:basedOn w:val="Normal"/>
    <w:rsid w:val="000D427B"/>
    <w:pPr>
      <w:pBdr>
        <w:bottom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lang w:eastAsia="en-AU"/>
    </w:rPr>
  </w:style>
  <w:style w:type="paragraph" w:customStyle="1" w:styleId="xl183">
    <w:name w:val="xl183"/>
    <w:basedOn w:val="Normal"/>
    <w:rsid w:val="000D427B"/>
    <w:pPr>
      <w:pBdr>
        <w:top w:val="single" w:sz="8" w:space="0" w:color="auto"/>
        <w:left w:val="single" w:sz="8" w:space="0" w:color="auto"/>
      </w:pBdr>
      <w:shd w:val="clear" w:color="000000" w:fill="FFF2CC"/>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184">
    <w:name w:val="xl184"/>
    <w:basedOn w:val="Normal"/>
    <w:rsid w:val="000D427B"/>
    <w:pPr>
      <w:pBdr>
        <w:left w:val="single" w:sz="8" w:space="0" w:color="auto"/>
        <w:bottom w:val="single" w:sz="4" w:space="0" w:color="auto"/>
      </w:pBdr>
      <w:shd w:val="clear" w:color="000000" w:fill="FFF2CC"/>
      <w:spacing w:before="100" w:beforeAutospacing="1" w:after="100" w:afterAutospacing="1"/>
    </w:pPr>
    <w:rPr>
      <w:rFonts w:ascii="Times New Roman" w:eastAsia="Times New Roman" w:hAnsi="Times New Roman" w:cs="Times New Roman"/>
      <w:sz w:val="24"/>
      <w:szCs w:val="24"/>
      <w:lang w:eastAsia="en-AU"/>
    </w:rPr>
  </w:style>
  <w:style w:type="paragraph" w:customStyle="1" w:styleId="xl185">
    <w:name w:val="xl185"/>
    <w:basedOn w:val="Normal"/>
    <w:rsid w:val="000D427B"/>
    <w:pPr>
      <w:pBdr>
        <w:bottom w:val="single" w:sz="4" w:space="0" w:color="auto"/>
      </w:pBdr>
      <w:shd w:val="clear" w:color="000000" w:fill="FFF2CC"/>
      <w:spacing w:before="100" w:beforeAutospacing="1" w:after="100" w:afterAutospacing="1"/>
    </w:pPr>
    <w:rPr>
      <w:rFonts w:ascii="Times New Roman" w:eastAsia="Times New Roman" w:hAnsi="Times New Roman" w:cs="Times New Roman"/>
      <w:sz w:val="24"/>
      <w:szCs w:val="24"/>
      <w:lang w:eastAsia="en-AU"/>
    </w:rPr>
  </w:style>
  <w:style w:type="paragraph" w:customStyle="1" w:styleId="xl186">
    <w:name w:val="xl186"/>
    <w:basedOn w:val="Normal"/>
    <w:rsid w:val="000D427B"/>
    <w:pPr>
      <w:pBdr>
        <w:bottom w:val="single" w:sz="4" w:space="0" w:color="auto"/>
        <w:right w:val="single" w:sz="8" w:space="0" w:color="auto"/>
      </w:pBdr>
      <w:shd w:val="clear" w:color="000000" w:fill="FFF2CC"/>
      <w:spacing w:before="100" w:beforeAutospacing="1" w:after="100" w:afterAutospacing="1"/>
    </w:pPr>
    <w:rPr>
      <w:rFonts w:ascii="Times New Roman" w:eastAsia="Times New Roman" w:hAnsi="Times New Roman" w:cs="Times New Roman"/>
      <w:sz w:val="24"/>
      <w:szCs w:val="24"/>
      <w:lang w:eastAsia="en-AU"/>
    </w:rPr>
  </w:style>
  <w:style w:type="paragraph" w:customStyle="1" w:styleId="xl187">
    <w:name w:val="xl187"/>
    <w:basedOn w:val="Normal"/>
    <w:rsid w:val="000D427B"/>
    <w:pPr>
      <w:pBdr>
        <w:left w:val="single" w:sz="8" w:space="7" w:color="auto"/>
        <w:right w:val="single" w:sz="8" w:space="0" w:color="auto"/>
      </w:pBdr>
      <w:spacing w:before="100" w:beforeAutospacing="1" w:after="100" w:afterAutospacing="1"/>
      <w:ind w:firstLineChars="100" w:firstLine="100"/>
    </w:pPr>
    <w:rPr>
      <w:rFonts w:ascii="Times New Roman" w:eastAsia="Times New Roman" w:hAnsi="Times New Roman" w:cs="Times New Roman"/>
      <w:b/>
      <w:bCs/>
      <w:sz w:val="24"/>
      <w:szCs w:val="24"/>
      <w:lang w:eastAsia="en-AU"/>
    </w:rPr>
  </w:style>
  <w:style w:type="paragraph" w:customStyle="1" w:styleId="xl188">
    <w:name w:val="xl188"/>
    <w:basedOn w:val="Normal"/>
    <w:rsid w:val="000D427B"/>
    <w:pPr>
      <w:pBdr>
        <w:left w:val="single" w:sz="8" w:space="0" w:color="auto"/>
        <w:bottom w:val="single" w:sz="8" w:space="0" w:color="auto"/>
      </w:pBdr>
      <w:spacing w:before="100" w:beforeAutospacing="1" w:after="100" w:afterAutospacing="1"/>
    </w:pPr>
    <w:rPr>
      <w:rFonts w:ascii="Times New Roman" w:eastAsia="Times New Roman" w:hAnsi="Times New Roman" w:cs="Times New Roman"/>
      <w:sz w:val="24"/>
      <w:szCs w:val="24"/>
      <w:lang w:eastAsia="en-AU"/>
    </w:rPr>
  </w:style>
  <w:style w:type="paragraph" w:customStyle="1" w:styleId="xl189">
    <w:name w:val="xl189"/>
    <w:basedOn w:val="Normal"/>
    <w:rsid w:val="000D427B"/>
    <w:pPr>
      <w:pBdr>
        <w:bottom w:val="single" w:sz="8" w:space="0" w:color="auto"/>
      </w:pBdr>
      <w:spacing w:before="100" w:beforeAutospacing="1" w:after="100" w:afterAutospacing="1"/>
    </w:pPr>
    <w:rPr>
      <w:rFonts w:ascii="Times New Roman" w:eastAsia="Times New Roman" w:hAnsi="Times New Roman" w:cs="Times New Roman"/>
      <w:sz w:val="24"/>
      <w:szCs w:val="24"/>
      <w:lang w:eastAsia="en-AU"/>
    </w:rPr>
  </w:style>
  <w:style w:type="paragraph" w:customStyle="1" w:styleId="xl190">
    <w:name w:val="xl190"/>
    <w:basedOn w:val="Normal"/>
    <w:rsid w:val="000D427B"/>
    <w:pPr>
      <w:pBdr>
        <w:bottom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lang w:eastAsia="en-AU"/>
    </w:rPr>
  </w:style>
  <w:style w:type="paragraph" w:customStyle="1" w:styleId="xl191">
    <w:name w:val="xl191"/>
    <w:basedOn w:val="Normal"/>
    <w:rsid w:val="000D427B"/>
    <w:pPr>
      <w:pBdr>
        <w:top w:val="single" w:sz="8" w:space="0" w:color="auto"/>
        <w:left w:val="single" w:sz="8" w:space="0" w:color="auto"/>
        <w:bottom w:val="single" w:sz="8" w:space="0" w:color="auto"/>
      </w:pBdr>
      <w:shd w:val="clear" w:color="000000" w:fill="FFF2CC"/>
      <w:spacing w:before="100" w:beforeAutospacing="1" w:after="100" w:afterAutospacing="1"/>
    </w:pPr>
    <w:rPr>
      <w:rFonts w:ascii="Times New Roman" w:eastAsia="Times New Roman" w:hAnsi="Times New Roman" w:cs="Times New Roman"/>
      <w:sz w:val="24"/>
      <w:szCs w:val="24"/>
      <w:lang w:eastAsia="en-AU"/>
    </w:rPr>
  </w:style>
  <w:style w:type="paragraph" w:customStyle="1" w:styleId="xl192">
    <w:name w:val="xl192"/>
    <w:basedOn w:val="Normal"/>
    <w:rsid w:val="000D427B"/>
    <w:pPr>
      <w:pBdr>
        <w:top w:val="single" w:sz="8" w:space="0" w:color="auto"/>
        <w:bottom w:val="single" w:sz="8" w:space="0" w:color="auto"/>
      </w:pBdr>
      <w:shd w:val="clear" w:color="000000" w:fill="FFF2CC"/>
      <w:spacing w:before="100" w:beforeAutospacing="1" w:after="100" w:afterAutospacing="1"/>
    </w:pPr>
    <w:rPr>
      <w:rFonts w:ascii="Times New Roman" w:eastAsia="Times New Roman" w:hAnsi="Times New Roman" w:cs="Times New Roman"/>
      <w:sz w:val="24"/>
      <w:szCs w:val="24"/>
      <w:lang w:eastAsia="en-AU"/>
    </w:rPr>
  </w:style>
  <w:style w:type="paragraph" w:customStyle="1" w:styleId="xl193">
    <w:name w:val="xl193"/>
    <w:basedOn w:val="Normal"/>
    <w:rsid w:val="000D427B"/>
    <w:pPr>
      <w:pBdr>
        <w:top w:val="single" w:sz="8" w:space="0" w:color="auto"/>
        <w:bottom w:val="single" w:sz="8" w:space="0" w:color="auto"/>
        <w:right w:val="single" w:sz="8" w:space="0" w:color="auto"/>
      </w:pBdr>
      <w:shd w:val="clear" w:color="000000" w:fill="FFF2CC"/>
      <w:spacing w:before="100" w:beforeAutospacing="1" w:after="100" w:afterAutospacing="1"/>
    </w:pPr>
    <w:rPr>
      <w:rFonts w:ascii="Times New Roman" w:eastAsia="Times New Roman" w:hAnsi="Times New Roman" w:cs="Times New Roman"/>
      <w:sz w:val="24"/>
      <w:szCs w:val="24"/>
      <w:lang w:eastAsia="en-AU"/>
    </w:rPr>
  </w:style>
  <w:style w:type="paragraph" w:customStyle="1" w:styleId="xl194">
    <w:name w:val="xl194"/>
    <w:basedOn w:val="Normal"/>
    <w:rsid w:val="000D427B"/>
    <w:pPr>
      <w:pBdr>
        <w:left w:val="single" w:sz="8" w:space="0" w:color="auto"/>
        <w:bottom w:val="single" w:sz="8" w:space="0" w:color="auto"/>
      </w:pBdr>
      <w:shd w:val="clear" w:color="000000" w:fill="FFF2CC"/>
      <w:spacing w:before="100" w:beforeAutospacing="1" w:after="100" w:afterAutospacing="1"/>
    </w:pPr>
    <w:rPr>
      <w:rFonts w:ascii="Times New Roman" w:eastAsia="Times New Roman" w:hAnsi="Times New Roman" w:cs="Times New Roman"/>
      <w:b/>
      <w:bCs/>
      <w:sz w:val="24"/>
      <w:szCs w:val="24"/>
      <w:lang w:eastAsia="en-AU"/>
    </w:rPr>
  </w:style>
  <w:style w:type="paragraph" w:styleId="NoSpacing">
    <w:name w:val="No Spacing"/>
    <w:uiPriority w:val="1"/>
    <w:qFormat/>
    <w:rsid w:val="000D427B"/>
    <w:pPr>
      <w:spacing w:line="240" w:lineRule="auto"/>
      <w:jc w:val="both"/>
    </w:pPr>
    <w:rPr>
      <w:rFonts w:ascii="Calibri Light" w:hAnsi="Calibri Light"/>
    </w:rPr>
  </w:style>
  <w:style w:type="table" w:customStyle="1" w:styleId="PlainTable51">
    <w:name w:val="Plain Table 51"/>
    <w:basedOn w:val="TableNormal"/>
    <w:uiPriority w:val="45"/>
    <w:rsid w:val="000D427B"/>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31">
    <w:name w:val="Grid Table 4 - Accent 31"/>
    <w:basedOn w:val="TableNormal"/>
    <w:uiPriority w:val="49"/>
    <w:rsid w:val="000D427B"/>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Quote">
    <w:name w:val="Quote"/>
    <w:basedOn w:val="Normal"/>
    <w:next w:val="Normal"/>
    <w:link w:val="QuoteChar"/>
    <w:uiPriority w:val="29"/>
    <w:qFormat/>
    <w:rsid w:val="000D427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D427B"/>
    <w:rPr>
      <w:i/>
      <w:iCs/>
      <w:color w:val="404040" w:themeColor="text1" w:themeTint="BF"/>
    </w:rPr>
  </w:style>
  <w:style w:type="paragraph" w:customStyle="1" w:styleId="Body">
    <w:name w:val="Body"/>
    <w:rsid w:val="00A32A52"/>
    <w:pPr>
      <w:pBdr>
        <w:top w:val="nil"/>
        <w:left w:val="nil"/>
        <w:bottom w:val="nil"/>
        <w:right w:val="nil"/>
        <w:between w:val="nil"/>
        <w:bar w:val="nil"/>
      </w:pBdr>
      <w:jc w:val="both"/>
    </w:pPr>
    <w:rPr>
      <w:rFonts w:ascii="Calibri" w:eastAsia="Calibri" w:hAnsi="Calibri" w:cs="Calibri"/>
      <w:color w:val="000000"/>
      <w:u w:color="000000"/>
      <w:bdr w:val="nil"/>
      <w:lang w:eastAsia="en-AU"/>
    </w:rPr>
  </w:style>
  <w:style w:type="table" w:styleId="GridTable5Dark-Accent2">
    <w:name w:val="Grid Table 5 Dark Accent 2"/>
    <w:basedOn w:val="TableNormal"/>
    <w:uiPriority w:val="50"/>
    <w:rsid w:val="00C871B5"/>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Heading5Char">
    <w:name w:val="Heading 5 Char"/>
    <w:basedOn w:val="DefaultParagraphFont"/>
    <w:link w:val="Heading5"/>
    <w:uiPriority w:val="9"/>
    <w:semiHidden/>
    <w:rsid w:val="00ED18E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ED18EF"/>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ED18EF"/>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ED18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D18EF"/>
    <w:rPr>
      <w:rFonts w:asciiTheme="majorHAnsi" w:eastAsiaTheme="majorEastAsia" w:hAnsiTheme="majorHAnsi" w:cstheme="majorBidi"/>
      <w:i/>
      <w:iCs/>
      <w:color w:val="272727" w:themeColor="text1" w:themeTint="D8"/>
      <w:sz w:val="21"/>
      <w:szCs w:val="21"/>
    </w:rPr>
  </w:style>
  <w:style w:type="table" w:customStyle="1" w:styleId="DefaultTable1">
    <w:name w:val="Default Table 1"/>
    <w:basedOn w:val="GridTable5Dark-Accent1"/>
    <w:uiPriority w:val="99"/>
    <w:rsid w:val="007C7A06"/>
    <w:pPr>
      <w:spacing w:before="60" w:after="60"/>
    </w:pPr>
    <w:rPr>
      <w:color w:val="262626" w:themeColor="text1" w:themeTint="D9"/>
      <w:sz w:val="20"/>
      <w:szCs w:val="20"/>
      <w:lang w:eastAsia="en-AU"/>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20"/>
      </w:rPr>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l2br w:val="nil"/>
          <w:tr2bl w:val="nil"/>
        </w:tcBorders>
        <w:shd w:val="clear" w:color="auto" w:fill="5B9BD5" w:themeFill="accent1"/>
      </w:tcPr>
    </w:tblStylePr>
    <w:tblStylePr w:type="lastRow">
      <w:rPr>
        <w:b/>
        <w:bCs/>
        <w:color w:val="000000" w:themeColor="text1"/>
      </w:rPr>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cBorders>
        <w:shd w:val="clear" w:color="auto" w:fill="auto"/>
      </w:tcPr>
    </w:tblStylePr>
    <w:tblStylePr w:type="firstCol">
      <w:rPr>
        <w:b/>
        <w:bCs/>
        <w:color w:val="262626" w:themeColor="text1" w:themeTint="D9"/>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cBorders>
        <w:shd w:val="clear" w:color="auto" w:fill="auto"/>
      </w:tcPr>
    </w:tblStylePr>
    <w:tblStylePr w:type="lastCol">
      <w:pPr>
        <w:jc w:val="right"/>
      </w:pPr>
      <w:rPr>
        <w:b/>
        <w:bCs/>
        <w:color w:val="262626" w:themeColor="text1" w:themeTint="D9"/>
      </w:rPr>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cBorders>
        <w:shd w:val="clear" w:color="auto" w:fill="auto"/>
      </w:tcPr>
    </w:tblStylePr>
    <w:tblStylePr w:type="band1Vert">
      <w:tblPr/>
      <w:tcPr>
        <w:shd w:val="clear" w:color="auto" w:fill="D9E2F3" w:themeFill="accent5" w:themeFillTint="33"/>
      </w:tcPr>
    </w:tblStylePr>
    <w:tblStylePr w:type="band2Vert">
      <w:tblPr/>
      <w:tcPr>
        <w:shd w:val="clear" w:color="auto" w:fill="B4C6E7" w:themeFill="accent5" w:themeFillTint="66"/>
      </w:tcPr>
    </w:tblStylePr>
    <w:tblStylePr w:type="band1Horz">
      <w:tblPr/>
      <w:tcPr>
        <w:shd w:val="clear" w:color="auto" w:fill="D9E2F3" w:themeFill="accent5" w:themeFillTint="33"/>
      </w:tcPr>
    </w:tblStylePr>
    <w:tblStylePr w:type="band2Horz">
      <w:tblPr/>
      <w:tcPr>
        <w:shd w:val="clear" w:color="auto" w:fill="B4C6E7" w:themeFill="accent5" w:themeFillTint="66"/>
      </w:tcPr>
    </w:tblStylePr>
  </w:style>
  <w:style w:type="table" w:styleId="GridTable5Dark-Accent1">
    <w:name w:val="Grid Table 5 Dark Accent 1"/>
    <w:basedOn w:val="TableNormal"/>
    <w:uiPriority w:val="50"/>
    <w:rsid w:val="007C7A0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ListTable3-Accent4">
    <w:name w:val="List Table 3 Accent 4"/>
    <w:basedOn w:val="TableNormal"/>
    <w:uiPriority w:val="48"/>
    <w:rsid w:val="00BD2646"/>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5Dark-Accent4">
    <w:name w:val="List Table 5 Dark Accent 4"/>
    <w:basedOn w:val="TableNormal"/>
    <w:uiPriority w:val="50"/>
    <w:rsid w:val="00BD2646"/>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4-Accent4">
    <w:name w:val="Grid Table 4 Accent 4"/>
    <w:basedOn w:val="TableNormal"/>
    <w:uiPriority w:val="49"/>
    <w:rsid w:val="00BD264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GridLight">
    <w:name w:val="Grid Table Light"/>
    <w:basedOn w:val="TableNormal"/>
    <w:uiPriority w:val="40"/>
    <w:rsid w:val="00A72E89"/>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6">
    <w:name w:val="Grid Table 4 Accent 6"/>
    <w:basedOn w:val="TableNormal"/>
    <w:uiPriority w:val="49"/>
    <w:rsid w:val="003638A0"/>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2">
    <w:name w:val="Grid Table 4 Accent 2"/>
    <w:basedOn w:val="TableNormal"/>
    <w:uiPriority w:val="49"/>
    <w:rsid w:val="001722C7"/>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ACFPSHeading1">
    <w:name w:val="ACFPS Heading 1"/>
    <w:basedOn w:val="Heading1"/>
    <w:link w:val="ACFPSHeading1Char"/>
    <w:qFormat/>
    <w:rsid w:val="00A274F0"/>
    <w:pPr>
      <w:ind w:left="567" w:hanging="567"/>
    </w:pPr>
  </w:style>
  <w:style w:type="character" w:customStyle="1" w:styleId="ACFPSHeading1Char">
    <w:name w:val="ACFPS Heading 1 Char"/>
    <w:basedOn w:val="DefaultParagraphFont"/>
    <w:link w:val="ACFPSHeading1"/>
    <w:rsid w:val="00A274F0"/>
    <w:rPr>
      <w:rFonts w:ascii="Calibri" w:eastAsiaTheme="majorEastAsia" w:hAnsi="Calibri" w:cs="Times New Roman"/>
      <w:b/>
      <w:bCs/>
      <w:color w:val="FF0066"/>
      <w:sz w:val="40"/>
      <w:szCs w:val="32"/>
    </w:rPr>
  </w:style>
  <w:style w:type="table" w:styleId="GridTable4-Accent5">
    <w:name w:val="Grid Table 4 Accent 5"/>
    <w:basedOn w:val="TableNormal"/>
    <w:uiPriority w:val="49"/>
    <w:rsid w:val="00387EE2"/>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3">
    <w:name w:val="Grid Table 4 Accent 3"/>
    <w:basedOn w:val="TableNormal"/>
    <w:uiPriority w:val="49"/>
    <w:rsid w:val="00BB331E"/>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5">
    <w:name w:val="Grid Table 5 Dark Accent 5"/>
    <w:basedOn w:val="TableNormal"/>
    <w:uiPriority w:val="50"/>
    <w:rsid w:val="006C527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ListBullet">
    <w:name w:val="List Bullet"/>
    <w:basedOn w:val="Normal"/>
    <w:uiPriority w:val="99"/>
    <w:unhideWhenUsed/>
    <w:rsid w:val="005C2DE2"/>
    <w:pPr>
      <w:numPr>
        <w:numId w:val="17"/>
      </w:numPr>
      <w:contextualSpacing/>
    </w:pPr>
  </w:style>
  <w:style w:type="table" w:customStyle="1" w:styleId="TableGrid1">
    <w:name w:val="Table Grid1"/>
    <w:basedOn w:val="TableNormal"/>
    <w:next w:val="TableGrid"/>
    <w:uiPriority w:val="39"/>
    <w:rsid w:val="008B3A8F"/>
    <w:pPr>
      <w:spacing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B3A8F"/>
    <w:pPr>
      <w:spacing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11">
    <w:name w:val="Default Table 11"/>
    <w:basedOn w:val="GridTable5Dark-Accent1"/>
    <w:uiPriority w:val="99"/>
    <w:rsid w:val="00953EC3"/>
    <w:pPr>
      <w:spacing w:before="60" w:after="60"/>
    </w:pPr>
    <w:rPr>
      <w:color w:val="262626" w:themeColor="text1" w:themeTint="D9"/>
      <w:sz w:val="20"/>
      <w:szCs w:val="20"/>
      <w:lang w:eastAsia="en-AU"/>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20"/>
      </w:rPr>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l2br w:val="nil"/>
          <w:tr2bl w:val="nil"/>
        </w:tcBorders>
        <w:shd w:val="clear" w:color="auto" w:fill="5B9BD5" w:themeFill="accent1"/>
      </w:tcPr>
    </w:tblStylePr>
    <w:tblStylePr w:type="lastRow">
      <w:rPr>
        <w:b/>
        <w:bCs/>
        <w:color w:val="000000" w:themeColor="text1"/>
      </w:rPr>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cBorders>
        <w:shd w:val="clear" w:color="auto" w:fill="auto"/>
      </w:tcPr>
    </w:tblStylePr>
    <w:tblStylePr w:type="firstCol">
      <w:rPr>
        <w:b/>
        <w:bCs/>
        <w:color w:val="262626" w:themeColor="text1" w:themeTint="D9"/>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cBorders>
        <w:shd w:val="clear" w:color="auto" w:fill="auto"/>
      </w:tcPr>
    </w:tblStylePr>
    <w:tblStylePr w:type="lastCol">
      <w:pPr>
        <w:jc w:val="right"/>
      </w:pPr>
      <w:rPr>
        <w:b/>
        <w:bCs/>
        <w:color w:val="262626" w:themeColor="text1" w:themeTint="D9"/>
      </w:rPr>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cBorders>
        <w:shd w:val="clear" w:color="auto" w:fill="auto"/>
      </w:tcPr>
    </w:tblStylePr>
    <w:tblStylePr w:type="band1Vert">
      <w:tblPr/>
      <w:tcPr>
        <w:shd w:val="clear" w:color="auto" w:fill="D9E2F3" w:themeFill="accent5" w:themeFillTint="33"/>
      </w:tcPr>
    </w:tblStylePr>
    <w:tblStylePr w:type="band2Vert">
      <w:tblPr/>
      <w:tcPr>
        <w:shd w:val="clear" w:color="auto" w:fill="B4C6E7" w:themeFill="accent5" w:themeFillTint="66"/>
      </w:tcPr>
    </w:tblStylePr>
    <w:tblStylePr w:type="band1Horz">
      <w:tblPr/>
      <w:tcPr>
        <w:shd w:val="clear" w:color="auto" w:fill="D9E2F3" w:themeFill="accent5" w:themeFillTint="33"/>
      </w:tcPr>
    </w:tblStylePr>
    <w:tblStylePr w:type="band2Horz">
      <w:tblPr/>
      <w:tcPr>
        <w:shd w:val="clear" w:color="auto" w:fill="B4C6E7" w:themeFill="accent5" w:themeFillTint="66"/>
      </w:tcPr>
    </w:tblStylePr>
  </w:style>
  <w:style w:type="table" w:customStyle="1" w:styleId="TableGrid3">
    <w:name w:val="Table Grid3"/>
    <w:basedOn w:val="TableNormal"/>
    <w:next w:val="TableGrid"/>
    <w:uiPriority w:val="39"/>
    <w:rsid w:val="00953EC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12">
    <w:name w:val="Default Table 12"/>
    <w:basedOn w:val="GridTable5Dark-Accent1"/>
    <w:uiPriority w:val="99"/>
    <w:rsid w:val="00B81894"/>
    <w:pPr>
      <w:spacing w:before="60" w:after="60"/>
    </w:pPr>
    <w:rPr>
      <w:color w:val="262626" w:themeColor="text1" w:themeTint="D9"/>
      <w:sz w:val="20"/>
      <w:szCs w:val="20"/>
      <w:lang w:eastAsia="en-AU"/>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20"/>
      </w:rPr>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l2br w:val="nil"/>
          <w:tr2bl w:val="nil"/>
        </w:tcBorders>
        <w:shd w:val="clear" w:color="auto" w:fill="5B9BD5" w:themeFill="accent1"/>
      </w:tcPr>
    </w:tblStylePr>
    <w:tblStylePr w:type="lastRow">
      <w:rPr>
        <w:b/>
        <w:bCs/>
        <w:color w:val="000000" w:themeColor="text1"/>
      </w:rPr>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cBorders>
        <w:shd w:val="clear" w:color="auto" w:fill="auto"/>
      </w:tcPr>
    </w:tblStylePr>
    <w:tblStylePr w:type="firstCol">
      <w:rPr>
        <w:b/>
        <w:bCs/>
        <w:color w:val="262626" w:themeColor="text1" w:themeTint="D9"/>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cBorders>
        <w:shd w:val="clear" w:color="auto" w:fill="auto"/>
      </w:tcPr>
    </w:tblStylePr>
    <w:tblStylePr w:type="lastCol">
      <w:pPr>
        <w:jc w:val="right"/>
      </w:pPr>
      <w:rPr>
        <w:b/>
        <w:bCs/>
        <w:color w:val="262626" w:themeColor="text1" w:themeTint="D9"/>
      </w:rPr>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cBorders>
        <w:shd w:val="clear" w:color="auto" w:fill="auto"/>
      </w:tcPr>
    </w:tblStylePr>
    <w:tblStylePr w:type="band1Vert">
      <w:tblPr/>
      <w:tcPr>
        <w:shd w:val="clear" w:color="auto" w:fill="D9E2F3" w:themeFill="accent5" w:themeFillTint="33"/>
      </w:tcPr>
    </w:tblStylePr>
    <w:tblStylePr w:type="band2Vert">
      <w:tblPr/>
      <w:tcPr>
        <w:shd w:val="clear" w:color="auto" w:fill="B4C6E7" w:themeFill="accent5" w:themeFillTint="66"/>
      </w:tcPr>
    </w:tblStylePr>
    <w:tblStylePr w:type="band1Horz">
      <w:tblPr/>
      <w:tcPr>
        <w:shd w:val="clear" w:color="auto" w:fill="D9E2F3" w:themeFill="accent5" w:themeFillTint="33"/>
      </w:tcPr>
    </w:tblStylePr>
    <w:tblStylePr w:type="band2Horz">
      <w:tblPr/>
      <w:tcPr>
        <w:shd w:val="clear" w:color="auto" w:fill="B4C6E7" w:themeFill="accent5" w:themeFillTint="66"/>
      </w:tcPr>
    </w:tblStylePr>
  </w:style>
  <w:style w:type="table" w:customStyle="1" w:styleId="TableGrid4">
    <w:name w:val="Table Grid4"/>
    <w:basedOn w:val="TableNormal"/>
    <w:next w:val="TableGrid"/>
    <w:uiPriority w:val="39"/>
    <w:rsid w:val="00B8189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13">
    <w:name w:val="Default Table 13"/>
    <w:basedOn w:val="GridTable5Dark-Accent1"/>
    <w:uiPriority w:val="99"/>
    <w:rsid w:val="00B81894"/>
    <w:pPr>
      <w:spacing w:before="60" w:after="60"/>
    </w:pPr>
    <w:rPr>
      <w:color w:val="262626" w:themeColor="text1" w:themeTint="D9"/>
      <w:sz w:val="20"/>
      <w:szCs w:val="20"/>
      <w:lang w:eastAsia="en-AU"/>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20"/>
      </w:rPr>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l2br w:val="nil"/>
          <w:tr2bl w:val="nil"/>
        </w:tcBorders>
        <w:shd w:val="clear" w:color="auto" w:fill="5B9BD5" w:themeFill="accent1"/>
      </w:tcPr>
    </w:tblStylePr>
    <w:tblStylePr w:type="lastRow">
      <w:rPr>
        <w:b/>
        <w:bCs/>
        <w:color w:val="000000" w:themeColor="text1"/>
      </w:rPr>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cBorders>
        <w:shd w:val="clear" w:color="auto" w:fill="auto"/>
      </w:tcPr>
    </w:tblStylePr>
    <w:tblStylePr w:type="firstCol">
      <w:rPr>
        <w:b/>
        <w:bCs/>
        <w:color w:val="262626" w:themeColor="text1" w:themeTint="D9"/>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cBorders>
        <w:shd w:val="clear" w:color="auto" w:fill="auto"/>
      </w:tcPr>
    </w:tblStylePr>
    <w:tblStylePr w:type="lastCol">
      <w:pPr>
        <w:jc w:val="right"/>
      </w:pPr>
      <w:rPr>
        <w:b/>
        <w:bCs/>
        <w:color w:val="262626" w:themeColor="text1" w:themeTint="D9"/>
      </w:rPr>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cBorders>
        <w:shd w:val="clear" w:color="auto" w:fill="auto"/>
      </w:tcPr>
    </w:tblStylePr>
    <w:tblStylePr w:type="band1Vert">
      <w:tblPr/>
      <w:tcPr>
        <w:shd w:val="clear" w:color="auto" w:fill="D9E2F3" w:themeFill="accent5" w:themeFillTint="33"/>
      </w:tcPr>
    </w:tblStylePr>
    <w:tblStylePr w:type="band2Vert">
      <w:tblPr/>
      <w:tcPr>
        <w:shd w:val="clear" w:color="auto" w:fill="B4C6E7" w:themeFill="accent5" w:themeFillTint="66"/>
      </w:tcPr>
    </w:tblStylePr>
    <w:tblStylePr w:type="band1Horz">
      <w:tblPr/>
      <w:tcPr>
        <w:shd w:val="clear" w:color="auto" w:fill="D9E2F3" w:themeFill="accent5" w:themeFillTint="33"/>
      </w:tcPr>
    </w:tblStylePr>
    <w:tblStylePr w:type="band2Horz">
      <w:tblPr/>
      <w:tcPr>
        <w:shd w:val="clear" w:color="auto" w:fill="B4C6E7" w:themeFill="accent5" w:themeFillTint="66"/>
      </w:tcPr>
    </w:tblStylePr>
  </w:style>
  <w:style w:type="table" w:customStyle="1" w:styleId="TableGrid5">
    <w:name w:val="Table Grid5"/>
    <w:basedOn w:val="TableNormal"/>
    <w:next w:val="TableGrid"/>
    <w:uiPriority w:val="39"/>
    <w:rsid w:val="00B8189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14">
    <w:name w:val="Default Table 14"/>
    <w:basedOn w:val="GridTable5Dark-Accent1"/>
    <w:uiPriority w:val="99"/>
    <w:rsid w:val="00004AAA"/>
    <w:pPr>
      <w:spacing w:before="60" w:after="60"/>
    </w:pPr>
    <w:rPr>
      <w:color w:val="262626" w:themeColor="text1" w:themeTint="D9"/>
      <w:sz w:val="20"/>
      <w:szCs w:val="20"/>
      <w:lang w:eastAsia="en-AU"/>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20"/>
      </w:rPr>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l2br w:val="nil"/>
          <w:tr2bl w:val="nil"/>
        </w:tcBorders>
        <w:shd w:val="clear" w:color="auto" w:fill="5B9BD5" w:themeFill="accent1"/>
      </w:tcPr>
    </w:tblStylePr>
    <w:tblStylePr w:type="lastRow">
      <w:rPr>
        <w:b/>
        <w:bCs/>
        <w:color w:val="000000" w:themeColor="text1"/>
      </w:rPr>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cBorders>
        <w:shd w:val="clear" w:color="auto" w:fill="auto"/>
      </w:tcPr>
    </w:tblStylePr>
    <w:tblStylePr w:type="firstCol">
      <w:rPr>
        <w:b/>
        <w:bCs/>
        <w:color w:val="262626" w:themeColor="text1" w:themeTint="D9"/>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cBorders>
        <w:shd w:val="clear" w:color="auto" w:fill="auto"/>
      </w:tcPr>
    </w:tblStylePr>
    <w:tblStylePr w:type="lastCol">
      <w:pPr>
        <w:jc w:val="right"/>
      </w:pPr>
      <w:rPr>
        <w:b/>
        <w:bCs/>
        <w:color w:val="262626" w:themeColor="text1" w:themeTint="D9"/>
      </w:rPr>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cBorders>
        <w:shd w:val="clear" w:color="auto" w:fill="auto"/>
      </w:tcPr>
    </w:tblStylePr>
    <w:tblStylePr w:type="band1Vert">
      <w:tblPr/>
      <w:tcPr>
        <w:shd w:val="clear" w:color="auto" w:fill="D9E2F3" w:themeFill="accent5" w:themeFillTint="33"/>
      </w:tcPr>
    </w:tblStylePr>
    <w:tblStylePr w:type="band2Vert">
      <w:tblPr/>
      <w:tcPr>
        <w:shd w:val="clear" w:color="auto" w:fill="B4C6E7" w:themeFill="accent5" w:themeFillTint="66"/>
      </w:tcPr>
    </w:tblStylePr>
    <w:tblStylePr w:type="band1Horz">
      <w:tblPr/>
      <w:tcPr>
        <w:shd w:val="clear" w:color="auto" w:fill="D9E2F3" w:themeFill="accent5" w:themeFillTint="33"/>
      </w:tcPr>
    </w:tblStylePr>
    <w:tblStylePr w:type="band2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5290">
      <w:bodyDiv w:val="1"/>
      <w:marLeft w:val="0"/>
      <w:marRight w:val="0"/>
      <w:marTop w:val="0"/>
      <w:marBottom w:val="0"/>
      <w:divBdr>
        <w:top w:val="none" w:sz="0" w:space="0" w:color="auto"/>
        <w:left w:val="none" w:sz="0" w:space="0" w:color="auto"/>
        <w:bottom w:val="none" w:sz="0" w:space="0" w:color="auto"/>
        <w:right w:val="none" w:sz="0" w:space="0" w:color="auto"/>
      </w:divBdr>
      <w:divsChild>
        <w:div w:id="1804696044">
          <w:marLeft w:val="547"/>
          <w:marRight w:val="0"/>
          <w:marTop w:val="0"/>
          <w:marBottom w:val="0"/>
          <w:divBdr>
            <w:top w:val="none" w:sz="0" w:space="0" w:color="auto"/>
            <w:left w:val="none" w:sz="0" w:space="0" w:color="auto"/>
            <w:bottom w:val="none" w:sz="0" w:space="0" w:color="auto"/>
            <w:right w:val="none" w:sz="0" w:space="0" w:color="auto"/>
          </w:divBdr>
        </w:div>
      </w:divsChild>
    </w:div>
    <w:div w:id="12147906">
      <w:bodyDiv w:val="1"/>
      <w:marLeft w:val="0"/>
      <w:marRight w:val="0"/>
      <w:marTop w:val="0"/>
      <w:marBottom w:val="0"/>
      <w:divBdr>
        <w:top w:val="none" w:sz="0" w:space="0" w:color="auto"/>
        <w:left w:val="none" w:sz="0" w:space="0" w:color="auto"/>
        <w:bottom w:val="none" w:sz="0" w:space="0" w:color="auto"/>
        <w:right w:val="none" w:sz="0" w:space="0" w:color="auto"/>
      </w:divBdr>
    </w:div>
    <w:div w:id="13456428">
      <w:bodyDiv w:val="1"/>
      <w:marLeft w:val="0"/>
      <w:marRight w:val="0"/>
      <w:marTop w:val="0"/>
      <w:marBottom w:val="0"/>
      <w:divBdr>
        <w:top w:val="none" w:sz="0" w:space="0" w:color="auto"/>
        <w:left w:val="none" w:sz="0" w:space="0" w:color="auto"/>
        <w:bottom w:val="none" w:sz="0" w:space="0" w:color="auto"/>
        <w:right w:val="none" w:sz="0" w:space="0" w:color="auto"/>
      </w:divBdr>
    </w:div>
    <w:div w:id="36127204">
      <w:bodyDiv w:val="1"/>
      <w:marLeft w:val="0"/>
      <w:marRight w:val="0"/>
      <w:marTop w:val="0"/>
      <w:marBottom w:val="0"/>
      <w:divBdr>
        <w:top w:val="none" w:sz="0" w:space="0" w:color="auto"/>
        <w:left w:val="none" w:sz="0" w:space="0" w:color="auto"/>
        <w:bottom w:val="none" w:sz="0" w:space="0" w:color="auto"/>
        <w:right w:val="none" w:sz="0" w:space="0" w:color="auto"/>
      </w:divBdr>
    </w:div>
    <w:div w:id="164170231">
      <w:bodyDiv w:val="1"/>
      <w:marLeft w:val="0"/>
      <w:marRight w:val="0"/>
      <w:marTop w:val="0"/>
      <w:marBottom w:val="0"/>
      <w:divBdr>
        <w:top w:val="none" w:sz="0" w:space="0" w:color="auto"/>
        <w:left w:val="none" w:sz="0" w:space="0" w:color="auto"/>
        <w:bottom w:val="none" w:sz="0" w:space="0" w:color="auto"/>
        <w:right w:val="none" w:sz="0" w:space="0" w:color="auto"/>
      </w:divBdr>
      <w:divsChild>
        <w:div w:id="231165124">
          <w:marLeft w:val="547"/>
          <w:marRight w:val="0"/>
          <w:marTop w:val="0"/>
          <w:marBottom w:val="0"/>
          <w:divBdr>
            <w:top w:val="none" w:sz="0" w:space="0" w:color="auto"/>
            <w:left w:val="none" w:sz="0" w:space="0" w:color="auto"/>
            <w:bottom w:val="none" w:sz="0" w:space="0" w:color="auto"/>
            <w:right w:val="none" w:sz="0" w:space="0" w:color="auto"/>
          </w:divBdr>
        </w:div>
      </w:divsChild>
    </w:div>
    <w:div w:id="176699176">
      <w:bodyDiv w:val="1"/>
      <w:marLeft w:val="0"/>
      <w:marRight w:val="0"/>
      <w:marTop w:val="0"/>
      <w:marBottom w:val="0"/>
      <w:divBdr>
        <w:top w:val="none" w:sz="0" w:space="0" w:color="auto"/>
        <w:left w:val="none" w:sz="0" w:space="0" w:color="auto"/>
        <w:bottom w:val="none" w:sz="0" w:space="0" w:color="auto"/>
        <w:right w:val="none" w:sz="0" w:space="0" w:color="auto"/>
      </w:divBdr>
    </w:div>
    <w:div w:id="197739209">
      <w:bodyDiv w:val="1"/>
      <w:marLeft w:val="0"/>
      <w:marRight w:val="0"/>
      <w:marTop w:val="0"/>
      <w:marBottom w:val="0"/>
      <w:divBdr>
        <w:top w:val="none" w:sz="0" w:space="0" w:color="auto"/>
        <w:left w:val="none" w:sz="0" w:space="0" w:color="auto"/>
        <w:bottom w:val="none" w:sz="0" w:space="0" w:color="auto"/>
        <w:right w:val="none" w:sz="0" w:space="0" w:color="auto"/>
      </w:divBdr>
      <w:divsChild>
        <w:div w:id="1607038566">
          <w:marLeft w:val="648"/>
          <w:marRight w:val="43"/>
          <w:marTop w:val="125"/>
          <w:marBottom w:val="60"/>
          <w:divBdr>
            <w:top w:val="none" w:sz="0" w:space="0" w:color="auto"/>
            <w:left w:val="none" w:sz="0" w:space="0" w:color="auto"/>
            <w:bottom w:val="none" w:sz="0" w:space="0" w:color="auto"/>
            <w:right w:val="none" w:sz="0" w:space="0" w:color="auto"/>
          </w:divBdr>
        </w:div>
        <w:div w:id="1751540432">
          <w:marLeft w:val="648"/>
          <w:marRight w:val="43"/>
          <w:marTop w:val="125"/>
          <w:marBottom w:val="60"/>
          <w:divBdr>
            <w:top w:val="none" w:sz="0" w:space="0" w:color="auto"/>
            <w:left w:val="none" w:sz="0" w:space="0" w:color="auto"/>
            <w:bottom w:val="none" w:sz="0" w:space="0" w:color="auto"/>
            <w:right w:val="none" w:sz="0" w:space="0" w:color="auto"/>
          </w:divBdr>
        </w:div>
        <w:div w:id="1475947742">
          <w:marLeft w:val="648"/>
          <w:marRight w:val="43"/>
          <w:marTop w:val="125"/>
          <w:marBottom w:val="60"/>
          <w:divBdr>
            <w:top w:val="none" w:sz="0" w:space="0" w:color="auto"/>
            <w:left w:val="none" w:sz="0" w:space="0" w:color="auto"/>
            <w:bottom w:val="none" w:sz="0" w:space="0" w:color="auto"/>
            <w:right w:val="none" w:sz="0" w:space="0" w:color="auto"/>
          </w:divBdr>
        </w:div>
        <w:div w:id="329410177">
          <w:marLeft w:val="648"/>
          <w:marRight w:val="43"/>
          <w:marTop w:val="125"/>
          <w:marBottom w:val="60"/>
          <w:divBdr>
            <w:top w:val="none" w:sz="0" w:space="0" w:color="auto"/>
            <w:left w:val="none" w:sz="0" w:space="0" w:color="auto"/>
            <w:bottom w:val="none" w:sz="0" w:space="0" w:color="auto"/>
            <w:right w:val="none" w:sz="0" w:space="0" w:color="auto"/>
          </w:divBdr>
        </w:div>
        <w:div w:id="401680387">
          <w:marLeft w:val="648"/>
          <w:marRight w:val="43"/>
          <w:marTop w:val="125"/>
          <w:marBottom w:val="60"/>
          <w:divBdr>
            <w:top w:val="none" w:sz="0" w:space="0" w:color="auto"/>
            <w:left w:val="none" w:sz="0" w:space="0" w:color="auto"/>
            <w:bottom w:val="none" w:sz="0" w:space="0" w:color="auto"/>
            <w:right w:val="none" w:sz="0" w:space="0" w:color="auto"/>
          </w:divBdr>
        </w:div>
      </w:divsChild>
    </w:div>
    <w:div w:id="242222008">
      <w:bodyDiv w:val="1"/>
      <w:marLeft w:val="0"/>
      <w:marRight w:val="0"/>
      <w:marTop w:val="0"/>
      <w:marBottom w:val="0"/>
      <w:divBdr>
        <w:top w:val="none" w:sz="0" w:space="0" w:color="auto"/>
        <w:left w:val="none" w:sz="0" w:space="0" w:color="auto"/>
        <w:bottom w:val="none" w:sz="0" w:space="0" w:color="auto"/>
        <w:right w:val="none" w:sz="0" w:space="0" w:color="auto"/>
      </w:divBdr>
    </w:div>
    <w:div w:id="292175670">
      <w:bodyDiv w:val="1"/>
      <w:marLeft w:val="0"/>
      <w:marRight w:val="0"/>
      <w:marTop w:val="0"/>
      <w:marBottom w:val="0"/>
      <w:divBdr>
        <w:top w:val="none" w:sz="0" w:space="0" w:color="auto"/>
        <w:left w:val="none" w:sz="0" w:space="0" w:color="auto"/>
        <w:bottom w:val="none" w:sz="0" w:space="0" w:color="auto"/>
        <w:right w:val="none" w:sz="0" w:space="0" w:color="auto"/>
      </w:divBdr>
    </w:div>
    <w:div w:id="298532605">
      <w:bodyDiv w:val="1"/>
      <w:marLeft w:val="0"/>
      <w:marRight w:val="0"/>
      <w:marTop w:val="0"/>
      <w:marBottom w:val="0"/>
      <w:divBdr>
        <w:top w:val="none" w:sz="0" w:space="0" w:color="auto"/>
        <w:left w:val="none" w:sz="0" w:space="0" w:color="auto"/>
        <w:bottom w:val="none" w:sz="0" w:space="0" w:color="auto"/>
        <w:right w:val="none" w:sz="0" w:space="0" w:color="auto"/>
      </w:divBdr>
    </w:div>
    <w:div w:id="393240626">
      <w:bodyDiv w:val="1"/>
      <w:marLeft w:val="0"/>
      <w:marRight w:val="0"/>
      <w:marTop w:val="0"/>
      <w:marBottom w:val="0"/>
      <w:divBdr>
        <w:top w:val="none" w:sz="0" w:space="0" w:color="auto"/>
        <w:left w:val="none" w:sz="0" w:space="0" w:color="auto"/>
        <w:bottom w:val="none" w:sz="0" w:space="0" w:color="auto"/>
        <w:right w:val="none" w:sz="0" w:space="0" w:color="auto"/>
      </w:divBdr>
    </w:div>
    <w:div w:id="398526321">
      <w:bodyDiv w:val="1"/>
      <w:marLeft w:val="0"/>
      <w:marRight w:val="0"/>
      <w:marTop w:val="0"/>
      <w:marBottom w:val="0"/>
      <w:divBdr>
        <w:top w:val="none" w:sz="0" w:space="0" w:color="auto"/>
        <w:left w:val="none" w:sz="0" w:space="0" w:color="auto"/>
        <w:bottom w:val="none" w:sz="0" w:space="0" w:color="auto"/>
        <w:right w:val="none" w:sz="0" w:space="0" w:color="auto"/>
      </w:divBdr>
    </w:div>
    <w:div w:id="399523917">
      <w:bodyDiv w:val="1"/>
      <w:marLeft w:val="0"/>
      <w:marRight w:val="0"/>
      <w:marTop w:val="0"/>
      <w:marBottom w:val="0"/>
      <w:divBdr>
        <w:top w:val="none" w:sz="0" w:space="0" w:color="auto"/>
        <w:left w:val="none" w:sz="0" w:space="0" w:color="auto"/>
        <w:bottom w:val="none" w:sz="0" w:space="0" w:color="auto"/>
        <w:right w:val="none" w:sz="0" w:space="0" w:color="auto"/>
      </w:divBdr>
      <w:divsChild>
        <w:div w:id="495651324">
          <w:marLeft w:val="547"/>
          <w:marRight w:val="0"/>
          <w:marTop w:val="0"/>
          <w:marBottom w:val="0"/>
          <w:divBdr>
            <w:top w:val="none" w:sz="0" w:space="0" w:color="auto"/>
            <w:left w:val="none" w:sz="0" w:space="0" w:color="auto"/>
            <w:bottom w:val="none" w:sz="0" w:space="0" w:color="auto"/>
            <w:right w:val="none" w:sz="0" w:space="0" w:color="auto"/>
          </w:divBdr>
        </w:div>
      </w:divsChild>
    </w:div>
    <w:div w:id="401298094">
      <w:bodyDiv w:val="1"/>
      <w:marLeft w:val="0"/>
      <w:marRight w:val="0"/>
      <w:marTop w:val="0"/>
      <w:marBottom w:val="0"/>
      <w:divBdr>
        <w:top w:val="none" w:sz="0" w:space="0" w:color="auto"/>
        <w:left w:val="none" w:sz="0" w:space="0" w:color="auto"/>
        <w:bottom w:val="none" w:sz="0" w:space="0" w:color="auto"/>
        <w:right w:val="none" w:sz="0" w:space="0" w:color="auto"/>
      </w:divBdr>
    </w:div>
    <w:div w:id="443575399">
      <w:bodyDiv w:val="1"/>
      <w:marLeft w:val="0"/>
      <w:marRight w:val="0"/>
      <w:marTop w:val="0"/>
      <w:marBottom w:val="0"/>
      <w:divBdr>
        <w:top w:val="none" w:sz="0" w:space="0" w:color="auto"/>
        <w:left w:val="none" w:sz="0" w:space="0" w:color="auto"/>
        <w:bottom w:val="none" w:sz="0" w:space="0" w:color="auto"/>
        <w:right w:val="none" w:sz="0" w:space="0" w:color="auto"/>
      </w:divBdr>
      <w:divsChild>
        <w:div w:id="494226354">
          <w:marLeft w:val="547"/>
          <w:marRight w:val="0"/>
          <w:marTop w:val="0"/>
          <w:marBottom w:val="0"/>
          <w:divBdr>
            <w:top w:val="none" w:sz="0" w:space="0" w:color="auto"/>
            <w:left w:val="none" w:sz="0" w:space="0" w:color="auto"/>
            <w:bottom w:val="none" w:sz="0" w:space="0" w:color="auto"/>
            <w:right w:val="none" w:sz="0" w:space="0" w:color="auto"/>
          </w:divBdr>
        </w:div>
      </w:divsChild>
    </w:div>
    <w:div w:id="484976047">
      <w:bodyDiv w:val="1"/>
      <w:marLeft w:val="0"/>
      <w:marRight w:val="0"/>
      <w:marTop w:val="0"/>
      <w:marBottom w:val="0"/>
      <w:divBdr>
        <w:top w:val="none" w:sz="0" w:space="0" w:color="auto"/>
        <w:left w:val="none" w:sz="0" w:space="0" w:color="auto"/>
        <w:bottom w:val="none" w:sz="0" w:space="0" w:color="auto"/>
        <w:right w:val="none" w:sz="0" w:space="0" w:color="auto"/>
      </w:divBdr>
      <w:divsChild>
        <w:div w:id="1329752205">
          <w:marLeft w:val="547"/>
          <w:marRight w:val="0"/>
          <w:marTop w:val="0"/>
          <w:marBottom w:val="0"/>
          <w:divBdr>
            <w:top w:val="none" w:sz="0" w:space="0" w:color="auto"/>
            <w:left w:val="none" w:sz="0" w:space="0" w:color="auto"/>
            <w:bottom w:val="none" w:sz="0" w:space="0" w:color="auto"/>
            <w:right w:val="none" w:sz="0" w:space="0" w:color="auto"/>
          </w:divBdr>
        </w:div>
      </w:divsChild>
    </w:div>
    <w:div w:id="527454304">
      <w:bodyDiv w:val="1"/>
      <w:marLeft w:val="0"/>
      <w:marRight w:val="0"/>
      <w:marTop w:val="0"/>
      <w:marBottom w:val="0"/>
      <w:divBdr>
        <w:top w:val="none" w:sz="0" w:space="0" w:color="auto"/>
        <w:left w:val="none" w:sz="0" w:space="0" w:color="auto"/>
        <w:bottom w:val="none" w:sz="0" w:space="0" w:color="auto"/>
        <w:right w:val="none" w:sz="0" w:space="0" w:color="auto"/>
      </w:divBdr>
    </w:div>
    <w:div w:id="537009958">
      <w:bodyDiv w:val="1"/>
      <w:marLeft w:val="0"/>
      <w:marRight w:val="0"/>
      <w:marTop w:val="0"/>
      <w:marBottom w:val="0"/>
      <w:divBdr>
        <w:top w:val="none" w:sz="0" w:space="0" w:color="auto"/>
        <w:left w:val="none" w:sz="0" w:space="0" w:color="auto"/>
        <w:bottom w:val="none" w:sz="0" w:space="0" w:color="auto"/>
        <w:right w:val="none" w:sz="0" w:space="0" w:color="auto"/>
      </w:divBdr>
      <w:divsChild>
        <w:div w:id="140969518">
          <w:marLeft w:val="547"/>
          <w:marRight w:val="0"/>
          <w:marTop w:val="0"/>
          <w:marBottom w:val="0"/>
          <w:divBdr>
            <w:top w:val="none" w:sz="0" w:space="0" w:color="auto"/>
            <w:left w:val="none" w:sz="0" w:space="0" w:color="auto"/>
            <w:bottom w:val="none" w:sz="0" w:space="0" w:color="auto"/>
            <w:right w:val="none" w:sz="0" w:space="0" w:color="auto"/>
          </w:divBdr>
        </w:div>
      </w:divsChild>
    </w:div>
    <w:div w:id="538590745">
      <w:bodyDiv w:val="1"/>
      <w:marLeft w:val="0"/>
      <w:marRight w:val="0"/>
      <w:marTop w:val="0"/>
      <w:marBottom w:val="0"/>
      <w:divBdr>
        <w:top w:val="none" w:sz="0" w:space="0" w:color="auto"/>
        <w:left w:val="none" w:sz="0" w:space="0" w:color="auto"/>
        <w:bottom w:val="none" w:sz="0" w:space="0" w:color="auto"/>
        <w:right w:val="none" w:sz="0" w:space="0" w:color="auto"/>
      </w:divBdr>
    </w:div>
    <w:div w:id="557934515">
      <w:bodyDiv w:val="1"/>
      <w:marLeft w:val="0"/>
      <w:marRight w:val="0"/>
      <w:marTop w:val="0"/>
      <w:marBottom w:val="0"/>
      <w:divBdr>
        <w:top w:val="none" w:sz="0" w:space="0" w:color="auto"/>
        <w:left w:val="none" w:sz="0" w:space="0" w:color="auto"/>
        <w:bottom w:val="none" w:sz="0" w:space="0" w:color="auto"/>
        <w:right w:val="none" w:sz="0" w:space="0" w:color="auto"/>
      </w:divBdr>
    </w:div>
    <w:div w:id="597060565">
      <w:bodyDiv w:val="1"/>
      <w:marLeft w:val="0"/>
      <w:marRight w:val="0"/>
      <w:marTop w:val="0"/>
      <w:marBottom w:val="0"/>
      <w:divBdr>
        <w:top w:val="none" w:sz="0" w:space="0" w:color="auto"/>
        <w:left w:val="none" w:sz="0" w:space="0" w:color="auto"/>
        <w:bottom w:val="none" w:sz="0" w:space="0" w:color="auto"/>
        <w:right w:val="none" w:sz="0" w:space="0" w:color="auto"/>
      </w:divBdr>
    </w:div>
    <w:div w:id="603806439">
      <w:bodyDiv w:val="1"/>
      <w:marLeft w:val="0"/>
      <w:marRight w:val="0"/>
      <w:marTop w:val="0"/>
      <w:marBottom w:val="0"/>
      <w:divBdr>
        <w:top w:val="none" w:sz="0" w:space="0" w:color="auto"/>
        <w:left w:val="none" w:sz="0" w:space="0" w:color="auto"/>
        <w:bottom w:val="none" w:sz="0" w:space="0" w:color="auto"/>
        <w:right w:val="none" w:sz="0" w:space="0" w:color="auto"/>
      </w:divBdr>
    </w:div>
    <w:div w:id="613558388">
      <w:bodyDiv w:val="1"/>
      <w:marLeft w:val="0"/>
      <w:marRight w:val="0"/>
      <w:marTop w:val="0"/>
      <w:marBottom w:val="0"/>
      <w:divBdr>
        <w:top w:val="none" w:sz="0" w:space="0" w:color="auto"/>
        <w:left w:val="none" w:sz="0" w:space="0" w:color="auto"/>
        <w:bottom w:val="none" w:sz="0" w:space="0" w:color="auto"/>
        <w:right w:val="none" w:sz="0" w:space="0" w:color="auto"/>
      </w:divBdr>
    </w:div>
    <w:div w:id="653484140">
      <w:bodyDiv w:val="1"/>
      <w:marLeft w:val="0"/>
      <w:marRight w:val="0"/>
      <w:marTop w:val="0"/>
      <w:marBottom w:val="0"/>
      <w:divBdr>
        <w:top w:val="none" w:sz="0" w:space="0" w:color="auto"/>
        <w:left w:val="none" w:sz="0" w:space="0" w:color="auto"/>
        <w:bottom w:val="none" w:sz="0" w:space="0" w:color="auto"/>
        <w:right w:val="none" w:sz="0" w:space="0" w:color="auto"/>
      </w:divBdr>
    </w:div>
    <w:div w:id="654341259">
      <w:bodyDiv w:val="1"/>
      <w:marLeft w:val="0"/>
      <w:marRight w:val="0"/>
      <w:marTop w:val="0"/>
      <w:marBottom w:val="0"/>
      <w:divBdr>
        <w:top w:val="none" w:sz="0" w:space="0" w:color="auto"/>
        <w:left w:val="none" w:sz="0" w:space="0" w:color="auto"/>
        <w:bottom w:val="none" w:sz="0" w:space="0" w:color="auto"/>
        <w:right w:val="none" w:sz="0" w:space="0" w:color="auto"/>
      </w:divBdr>
    </w:div>
    <w:div w:id="659239702">
      <w:bodyDiv w:val="1"/>
      <w:marLeft w:val="0"/>
      <w:marRight w:val="0"/>
      <w:marTop w:val="0"/>
      <w:marBottom w:val="0"/>
      <w:divBdr>
        <w:top w:val="none" w:sz="0" w:space="0" w:color="auto"/>
        <w:left w:val="none" w:sz="0" w:space="0" w:color="auto"/>
        <w:bottom w:val="none" w:sz="0" w:space="0" w:color="auto"/>
        <w:right w:val="none" w:sz="0" w:space="0" w:color="auto"/>
      </w:divBdr>
      <w:divsChild>
        <w:div w:id="518668387">
          <w:marLeft w:val="547"/>
          <w:marRight w:val="0"/>
          <w:marTop w:val="0"/>
          <w:marBottom w:val="0"/>
          <w:divBdr>
            <w:top w:val="none" w:sz="0" w:space="0" w:color="auto"/>
            <w:left w:val="none" w:sz="0" w:space="0" w:color="auto"/>
            <w:bottom w:val="none" w:sz="0" w:space="0" w:color="auto"/>
            <w:right w:val="none" w:sz="0" w:space="0" w:color="auto"/>
          </w:divBdr>
        </w:div>
      </w:divsChild>
    </w:div>
    <w:div w:id="681705526">
      <w:bodyDiv w:val="1"/>
      <w:marLeft w:val="0"/>
      <w:marRight w:val="0"/>
      <w:marTop w:val="0"/>
      <w:marBottom w:val="0"/>
      <w:divBdr>
        <w:top w:val="none" w:sz="0" w:space="0" w:color="auto"/>
        <w:left w:val="none" w:sz="0" w:space="0" w:color="auto"/>
        <w:bottom w:val="none" w:sz="0" w:space="0" w:color="auto"/>
        <w:right w:val="none" w:sz="0" w:space="0" w:color="auto"/>
      </w:divBdr>
      <w:divsChild>
        <w:div w:id="1316642043">
          <w:marLeft w:val="547"/>
          <w:marRight w:val="0"/>
          <w:marTop w:val="0"/>
          <w:marBottom w:val="0"/>
          <w:divBdr>
            <w:top w:val="none" w:sz="0" w:space="0" w:color="auto"/>
            <w:left w:val="none" w:sz="0" w:space="0" w:color="auto"/>
            <w:bottom w:val="none" w:sz="0" w:space="0" w:color="auto"/>
            <w:right w:val="none" w:sz="0" w:space="0" w:color="auto"/>
          </w:divBdr>
        </w:div>
      </w:divsChild>
    </w:div>
    <w:div w:id="725035847">
      <w:bodyDiv w:val="1"/>
      <w:marLeft w:val="0"/>
      <w:marRight w:val="0"/>
      <w:marTop w:val="0"/>
      <w:marBottom w:val="0"/>
      <w:divBdr>
        <w:top w:val="none" w:sz="0" w:space="0" w:color="auto"/>
        <w:left w:val="none" w:sz="0" w:space="0" w:color="auto"/>
        <w:bottom w:val="none" w:sz="0" w:space="0" w:color="auto"/>
        <w:right w:val="none" w:sz="0" w:space="0" w:color="auto"/>
      </w:divBdr>
    </w:div>
    <w:div w:id="776094904">
      <w:bodyDiv w:val="1"/>
      <w:marLeft w:val="0"/>
      <w:marRight w:val="0"/>
      <w:marTop w:val="0"/>
      <w:marBottom w:val="0"/>
      <w:divBdr>
        <w:top w:val="none" w:sz="0" w:space="0" w:color="auto"/>
        <w:left w:val="none" w:sz="0" w:space="0" w:color="auto"/>
        <w:bottom w:val="none" w:sz="0" w:space="0" w:color="auto"/>
        <w:right w:val="none" w:sz="0" w:space="0" w:color="auto"/>
      </w:divBdr>
      <w:divsChild>
        <w:div w:id="438767648">
          <w:marLeft w:val="547"/>
          <w:marRight w:val="0"/>
          <w:marTop w:val="0"/>
          <w:marBottom w:val="0"/>
          <w:divBdr>
            <w:top w:val="none" w:sz="0" w:space="0" w:color="auto"/>
            <w:left w:val="none" w:sz="0" w:space="0" w:color="auto"/>
            <w:bottom w:val="none" w:sz="0" w:space="0" w:color="auto"/>
            <w:right w:val="none" w:sz="0" w:space="0" w:color="auto"/>
          </w:divBdr>
        </w:div>
      </w:divsChild>
    </w:div>
    <w:div w:id="784812307">
      <w:bodyDiv w:val="1"/>
      <w:marLeft w:val="0"/>
      <w:marRight w:val="0"/>
      <w:marTop w:val="0"/>
      <w:marBottom w:val="0"/>
      <w:divBdr>
        <w:top w:val="none" w:sz="0" w:space="0" w:color="auto"/>
        <w:left w:val="none" w:sz="0" w:space="0" w:color="auto"/>
        <w:bottom w:val="none" w:sz="0" w:space="0" w:color="auto"/>
        <w:right w:val="none" w:sz="0" w:space="0" w:color="auto"/>
      </w:divBdr>
      <w:divsChild>
        <w:div w:id="1191649644">
          <w:marLeft w:val="547"/>
          <w:marRight w:val="0"/>
          <w:marTop w:val="0"/>
          <w:marBottom w:val="0"/>
          <w:divBdr>
            <w:top w:val="none" w:sz="0" w:space="0" w:color="auto"/>
            <w:left w:val="none" w:sz="0" w:space="0" w:color="auto"/>
            <w:bottom w:val="none" w:sz="0" w:space="0" w:color="auto"/>
            <w:right w:val="none" w:sz="0" w:space="0" w:color="auto"/>
          </w:divBdr>
        </w:div>
      </w:divsChild>
    </w:div>
    <w:div w:id="806892456">
      <w:bodyDiv w:val="1"/>
      <w:marLeft w:val="0"/>
      <w:marRight w:val="0"/>
      <w:marTop w:val="0"/>
      <w:marBottom w:val="0"/>
      <w:divBdr>
        <w:top w:val="none" w:sz="0" w:space="0" w:color="auto"/>
        <w:left w:val="none" w:sz="0" w:space="0" w:color="auto"/>
        <w:bottom w:val="none" w:sz="0" w:space="0" w:color="auto"/>
        <w:right w:val="none" w:sz="0" w:space="0" w:color="auto"/>
      </w:divBdr>
    </w:div>
    <w:div w:id="824978946">
      <w:bodyDiv w:val="1"/>
      <w:marLeft w:val="0"/>
      <w:marRight w:val="0"/>
      <w:marTop w:val="0"/>
      <w:marBottom w:val="0"/>
      <w:divBdr>
        <w:top w:val="none" w:sz="0" w:space="0" w:color="auto"/>
        <w:left w:val="none" w:sz="0" w:space="0" w:color="auto"/>
        <w:bottom w:val="none" w:sz="0" w:space="0" w:color="auto"/>
        <w:right w:val="none" w:sz="0" w:space="0" w:color="auto"/>
      </w:divBdr>
    </w:div>
    <w:div w:id="891622062">
      <w:bodyDiv w:val="1"/>
      <w:marLeft w:val="0"/>
      <w:marRight w:val="0"/>
      <w:marTop w:val="0"/>
      <w:marBottom w:val="0"/>
      <w:divBdr>
        <w:top w:val="none" w:sz="0" w:space="0" w:color="auto"/>
        <w:left w:val="none" w:sz="0" w:space="0" w:color="auto"/>
        <w:bottom w:val="none" w:sz="0" w:space="0" w:color="auto"/>
        <w:right w:val="none" w:sz="0" w:space="0" w:color="auto"/>
      </w:divBdr>
      <w:divsChild>
        <w:div w:id="359939862">
          <w:marLeft w:val="547"/>
          <w:marRight w:val="0"/>
          <w:marTop w:val="154"/>
          <w:marBottom w:val="0"/>
          <w:divBdr>
            <w:top w:val="none" w:sz="0" w:space="0" w:color="auto"/>
            <w:left w:val="none" w:sz="0" w:space="0" w:color="auto"/>
            <w:bottom w:val="none" w:sz="0" w:space="0" w:color="auto"/>
            <w:right w:val="none" w:sz="0" w:space="0" w:color="auto"/>
          </w:divBdr>
        </w:div>
        <w:div w:id="1480921971">
          <w:marLeft w:val="547"/>
          <w:marRight w:val="0"/>
          <w:marTop w:val="154"/>
          <w:marBottom w:val="0"/>
          <w:divBdr>
            <w:top w:val="none" w:sz="0" w:space="0" w:color="auto"/>
            <w:left w:val="none" w:sz="0" w:space="0" w:color="auto"/>
            <w:bottom w:val="none" w:sz="0" w:space="0" w:color="auto"/>
            <w:right w:val="none" w:sz="0" w:space="0" w:color="auto"/>
          </w:divBdr>
        </w:div>
        <w:div w:id="21055485">
          <w:marLeft w:val="547"/>
          <w:marRight w:val="0"/>
          <w:marTop w:val="154"/>
          <w:marBottom w:val="0"/>
          <w:divBdr>
            <w:top w:val="none" w:sz="0" w:space="0" w:color="auto"/>
            <w:left w:val="none" w:sz="0" w:space="0" w:color="auto"/>
            <w:bottom w:val="none" w:sz="0" w:space="0" w:color="auto"/>
            <w:right w:val="none" w:sz="0" w:space="0" w:color="auto"/>
          </w:divBdr>
        </w:div>
        <w:div w:id="1636179988">
          <w:marLeft w:val="547"/>
          <w:marRight w:val="0"/>
          <w:marTop w:val="154"/>
          <w:marBottom w:val="0"/>
          <w:divBdr>
            <w:top w:val="none" w:sz="0" w:space="0" w:color="auto"/>
            <w:left w:val="none" w:sz="0" w:space="0" w:color="auto"/>
            <w:bottom w:val="none" w:sz="0" w:space="0" w:color="auto"/>
            <w:right w:val="none" w:sz="0" w:space="0" w:color="auto"/>
          </w:divBdr>
        </w:div>
        <w:div w:id="1426877569">
          <w:marLeft w:val="547"/>
          <w:marRight w:val="0"/>
          <w:marTop w:val="154"/>
          <w:marBottom w:val="0"/>
          <w:divBdr>
            <w:top w:val="none" w:sz="0" w:space="0" w:color="auto"/>
            <w:left w:val="none" w:sz="0" w:space="0" w:color="auto"/>
            <w:bottom w:val="none" w:sz="0" w:space="0" w:color="auto"/>
            <w:right w:val="none" w:sz="0" w:space="0" w:color="auto"/>
          </w:divBdr>
        </w:div>
      </w:divsChild>
    </w:div>
    <w:div w:id="936132047">
      <w:bodyDiv w:val="1"/>
      <w:marLeft w:val="0"/>
      <w:marRight w:val="0"/>
      <w:marTop w:val="0"/>
      <w:marBottom w:val="0"/>
      <w:divBdr>
        <w:top w:val="none" w:sz="0" w:space="0" w:color="auto"/>
        <w:left w:val="none" w:sz="0" w:space="0" w:color="auto"/>
        <w:bottom w:val="none" w:sz="0" w:space="0" w:color="auto"/>
        <w:right w:val="none" w:sz="0" w:space="0" w:color="auto"/>
      </w:divBdr>
      <w:divsChild>
        <w:div w:id="64031629">
          <w:marLeft w:val="547"/>
          <w:marRight w:val="0"/>
          <w:marTop w:val="0"/>
          <w:marBottom w:val="0"/>
          <w:divBdr>
            <w:top w:val="none" w:sz="0" w:space="0" w:color="auto"/>
            <w:left w:val="none" w:sz="0" w:space="0" w:color="auto"/>
            <w:bottom w:val="none" w:sz="0" w:space="0" w:color="auto"/>
            <w:right w:val="none" w:sz="0" w:space="0" w:color="auto"/>
          </w:divBdr>
        </w:div>
      </w:divsChild>
    </w:div>
    <w:div w:id="958412908">
      <w:bodyDiv w:val="1"/>
      <w:marLeft w:val="0"/>
      <w:marRight w:val="0"/>
      <w:marTop w:val="0"/>
      <w:marBottom w:val="0"/>
      <w:divBdr>
        <w:top w:val="none" w:sz="0" w:space="0" w:color="auto"/>
        <w:left w:val="none" w:sz="0" w:space="0" w:color="auto"/>
        <w:bottom w:val="none" w:sz="0" w:space="0" w:color="auto"/>
        <w:right w:val="none" w:sz="0" w:space="0" w:color="auto"/>
      </w:divBdr>
    </w:div>
    <w:div w:id="995497824">
      <w:bodyDiv w:val="1"/>
      <w:marLeft w:val="0"/>
      <w:marRight w:val="0"/>
      <w:marTop w:val="0"/>
      <w:marBottom w:val="0"/>
      <w:divBdr>
        <w:top w:val="none" w:sz="0" w:space="0" w:color="auto"/>
        <w:left w:val="none" w:sz="0" w:space="0" w:color="auto"/>
        <w:bottom w:val="none" w:sz="0" w:space="0" w:color="auto"/>
        <w:right w:val="none" w:sz="0" w:space="0" w:color="auto"/>
      </w:divBdr>
    </w:div>
    <w:div w:id="1042438505">
      <w:bodyDiv w:val="1"/>
      <w:marLeft w:val="0"/>
      <w:marRight w:val="0"/>
      <w:marTop w:val="0"/>
      <w:marBottom w:val="0"/>
      <w:divBdr>
        <w:top w:val="none" w:sz="0" w:space="0" w:color="auto"/>
        <w:left w:val="none" w:sz="0" w:space="0" w:color="auto"/>
        <w:bottom w:val="none" w:sz="0" w:space="0" w:color="auto"/>
        <w:right w:val="none" w:sz="0" w:space="0" w:color="auto"/>
      </w:divBdr>
      <w:divsChild>
        <w:div w:id="1687634203">
          <w:marLeft w:val="547"/>
          <w:marRight w:val="0"/>
          <w:marTop w:val="0"/>
          <w:marBottom w:val="0"/>
          <w:divBdr>
            <w:top w:val="none" w:sz="0" w:space="0" w:color="auto"/>
            <w:left w:val="none" w:sz="0" w:space="0" w:color="auto"/>
            <w:bottom w:val="none" w:sz="0" w:space="0" w:color="auto"/>
            <w:right w:val="none" w:sz="0" w:space="0" w:color="auto"/>
          </w:divBdr>
        </w:div>
      </w:divsChild>
    </w:div>
    <w:div w:id="1053388303">
      <w:bodyDiv w:val="1"/>
      <w:marLeft w:val="0"/>
      <w:marRight w:val="0"/>
      <w:marTop w:val="0"/>
      <w:marBottom w:val="0"/>
      <w:divBdr>
        <w:top w:val="none" w:sz="0" w:space="0" w:color="auto"/>
        <w:left w:val="none" w:sz="0" w:space="0" w:color="auto"/>
        <w:bottom w:val="none" w:sz="0" w:space="0" w:color="auto"/>
        <w:right w:val="none" w:sz="0" w:space="0" w:color="auto"/>
      </w:divBdr>
    </w:div>
    <w:div w:id="1090388750">
      <w:bodyDiv w:val="1"/>
      <w:marLeft w:val="0"/>
      <w:marRight w:val="0"/>
      <w:marTop w:val="0"/>
      <w:marBottom w:val="0"/>
      <w:divBdr>
        <w:top w:val="none" w:sz="0" w:space="0" w:color="auto"/>
        <w:left w:val="none" w:sz="0" w:space="0" w:color="auto"/>
        <w:bottom w:val="none" w:sz="0" w:space="0" w:color="auto"/>
        <w:right w:val="none" w:sz="0" w:space="0" w:color="auto"/>
      </w:divBdr>
    </w:div>
    <w:div w:id="1176991335">
      <w:bodyDiv w:val="1"/>
      <w:marLeft w:val="0"/>
      <w:marRight w:val="0"/>
      <w:marTop w:val="0"/>
      <w:marBottom w:val="0"/>
      <w:divBdr>
        <w:top w:val="none" w:sz="0" w:space="0" w:color="auto"/>
        <w:left w:val="none" w:sz="0" w:space="0" w:color="auto"/>
        <w:bottom w:val="none" w:sz="0" w:space="0" w:color="auto"/>
        <w:right w:val="none" w:sz="0" w:space="0" w:color="auto"/>
      </w:divBdr>
      <w:divsChild>
        <w:div w:id="1421753367">
          <w:marLeft w:val="547"/>
          <w:marRight w:val="0"/>
          <w:marTop w:val="0"/>
          <w:marBottom w:val="0"/>
          <w:divBdr>
            <w:top w:val="none" w:sz="0" w:space="0" w:color="auto"/>
            <w:left w:val="none" w:sz="0" w:space="0" w:color="auto"/>
            <w:bottom w:val="none" w:sz="0" w:space="0" w:color="auto"/>
            <w:right w:val="none" w:sz="0" w:space="0" w:color="auto"/>
          </w:divBdr>
        </w:div>
      </w:divsChild>
    </w:div>
    <w:div w:id="1182475346">
      <w:bodyDiv w:val="1"/>
      <w:marLeft w:val="0"/>
      <w:marRight w:val="0"/>
      <w:marTop w:val="0"/>
      <w:marBottom w:val="0"/>
      <w:divBdr>
        <w:top w:val="none" w:sz="0" w:space="0" w:color="auto"/>
        <w:left w:val="none" w:sz="0" w:space="0" w:color="auto"/>
        <w:bottom w:val="none" w:sz="0" w:space="0" w:color="auto"/>
        <w:right w:val="none" w:sz="0" w:space="0" w:color="auto"/>
      </w:divBdr>
    </w:div>
    <w:div w:id="1186019974">
      <w:bodyDiv w:val="1"/>
      <w:marLeft w:val="0"/>
      <w:marRight w:val="0"/>
      <w:marTop w:val="0"/>
      <w:marBottom w:val="0"/>
      <w:divBdr>
        <w:top w:val="none" w:sz="0" w:space="0" w:color="auto"/>
        <w:left w:val="none" w:sz="0" w:space="0" w:color="auto"/>
        <w:bottom w:val="none" w:sz="0" w:space="0" w:color="auto"/>
        <w:right w:val="none" w:sz="0" w:space="0" w:color="auto"/>
      </w:divBdr>
    </w:div>
    <w:div w:id="1190683349">
      <w:bodyDiv w:val="1"/>
      <w:marLeft w:val="0"/>
      <w:marRight w:val="0"/>
      <w:marTop w:val="0"/>
      <w:marBottom w:val="0"/>
      <w:divBdr>
        <w:top w:val="none" w:sz="0" w:space="0" w:color="auto"/>
        <w:left w:val="none" w:sz="0" w:space="0" w:color="auto"/>
        <w:bottom w:val="none" w:sz="0" w:space="0" w:color="auto"/>
        <w:right w:val="none" w:sz="0" w:space="0" w:color="auto"/>
      </w:divBdr>
    </w:div>
    <w:div w:id="1203665806">
      <w:bodyDiv w:val="1"/>
      <w:marLeft w:val="0"/>
      <w:marRight w:val="0"/>
      <w:marTop w:val="0"/>
      <w:marBottom w:val="0"/>
      <w:divBdr>
        <w:top w:val="none" w:sz="0" w:space="0" w:color="auto"/>
        <w:left w:val="none" w:sz="0" w:space="0" w:color="auto"/>
        <w:bottom w:val="none" w:sz="0" w:space="0" w:color="auto"/>
        <w:right w:val="none" w:sz="0" w:space="0" w:color="auto"/>
      </w:divBdr>
      <w:divsChild>
        <w:div w:id="31882974">
          <w:marLeft w:val="547"/>
          <w:marRight w:val="0"/>
          <w:marTop w:val="0"/>
          <w:marBottom w:val="0"/>
          <w:divBdr>
            <w:top w:val="none" w:sz="0" w:space="0" w:color="auto"/>
            <w:left w:val="none" w:sz="0" w:space="0" w:color="auto"/>
            <w:bottom w:val="none" w:sz="0" w:space="0" w:color="auto"/>
            <w:right w:val="none" w:sz="0" w:space="0" w:color="auto"/>
          </w:divBdr>
        </w:div>
      </w:divsChild>
    </w:div>
    <w:div w:id="1219628252">
      <w:bodyDiv w:val="1"/>
      <w:marLeft w:val="0"/>
      <w:marRight w:val="0"/>
      <w:marTop w:val="0"/>
      <w:marBottom w:val="0"/>
      <w:divBdr>
        <w:top w:val="none" w:sz="0" w:space="0" w:color="auto"/>
        <w:left w:val="none" w:sz="0" w:space="0" w:color="auto"/>
        <w:bottom w:val="none" w:sz="0" w:space="0" w:color="auto"/>
        <w:right w:val="none" w:sz="0" w:space="0" w:color="auto"/>
      </w:divBdr>
      <w:divsChild>
        <w:div w:id="826439907">
          <w:marLeft w:val="547"/>
          <w:marRight w:val="0"/>
          <w:marTop w:val="0"/>
          <w:marBottom w:val="0"/>
          <w:divBdr>
            <w:top w:val="none" w:sz="0" w:space="0" w:color="auto"/>
            <w:left w:val="none" w:sz="0" w:space="0" w:color="auto"/>
            <w:bottom w:val="none" w:sz="0" w:space="0" w:color="auto"/>
            <w:right w:val="none" w:sz="0" w:space="0" w:color="auto"/>
          </w:divBdr>
        </w:div>
      </w:divsChild>
    </w:div>
    <w:div w:id="1220169653">
      <w:bodyDiv w:val="1"/>
      <w:marLeft w:val="0"/>
      <w:marRight w:val="0"/>
      <w:marTop w:val="0"/>
      <w:marBottom w:val="0"/>
      <w:divBdr>
        <w:top w:val="none" w:sz="0" w:space="0" w:color="auto"/>
        <w:left w:val="none" w:sz="0" w:space="0" w:color="auto"/>
        <w:bottom w:val="none" w:sz="0" w:space="0" w:color="auto"/>
        <w:right w:val="none" w:sz="0" w:space="0" w:color="auto"/>
      </w:divBdr>
    </w:div>
    <w:div w:id="1243024930">
      <w:bodyDiv w:val="1"/>
      <w:marLeft w:val="0"/>
      <w:marRight w:val="0"/>
      <w:marTop w:val="0"/>
      <w:marBottom w:val="0"/>
      <w:divBdr>
        <w:top w:val="none" w:sz="0" w:space="0" w:color="auto"/>
        <w:left w:val="none" w:sz="0" w:space="0" w:color="auto"/>
        <w:bottom w:val="none" w:sz="0" w:space="0" w:color="auto"/>
        <w:right w:val="none" w:sz="0" w:space="0" w:color="auto"/>
      </w:divBdr>
    </w:div>
    <w:div w:id="1258563616">
      <w:bodyDiv w:val="1"/>
      <w:marLeft w:val="0"/>
      <w:marRight w:val="0"/>
      <w:marTop w:val="0"/>
      <w:marBottom w:val="0"/>
      <w:divBdr>
        <w:top w:val="none" w:sz="0" w:space="0" w:color="auto"/>
        <w:left w:val="none" w:sz="0" w:space="0" w:color="auto"/>
        <w:bottom w:val="none" w:sz="0" w:space="0" w:color="auto"/>
        <w:right w:val="none" w:sz="0" w:space="0" w:color="auto"/>
      </w:divBdr>
    </w:div>
    <w:div w:id="1358003412">
      <w:bodyDiv w:val="1"/>
      <w:marLeft w:val="0"/>
      <w:marRight w:val="0"/>
      <w:marTop w:val="0"/>
      <w:marBottom w:val="0"/>
      <w:divBdr>
        <w:top w:val="none" w:sz="0" w:space="0" w:color="auto"/>
        <w:left w:val="none" w:sz="0" w:space="0" w:color="auto"/>
        <w:bottom w:val="none" w:sz="0" w:space="0" w:color="auto"/>
        <w:right w:val="none" w:sz="0" w:space="0" w:color="auto"/>
      </w:divBdr>
      <w:divsChild>
        <w:div w:id="465323182">
          <w:marLeft w:val="547"/>
          <w:marRight w:val="0"/>
          <w:marTop w:val="0"/>
          <w:marBottom w:val="0"/>
          <w:divBdr>
            <w:top w:val="none" w:sz="0" w:space="0" w:color="auto"/>
            <w:left w:val="none" w:sz="0" w:space="0" w:color="auto"/>
            <w:bottom w:val="none" w:sz="0" w:space="0" w:color="auto"/>
            <w:right w:val="none" w:sz="0" w:space="0" w:color="auto"/>
          </w:divBdr>
        </w:div>
      </w:divsChild>
    </w:div>
    <w:div w:id="1358655399">
      <w:bodyDiv w:val="1"/>
      <w:marLeft w:val="0"/>
      <w:marRight w:val="0"/>
      <w:marTop w:val="0"/>
      <w:marBottom w:val="0"/>
      <w:divBdr>
        <w:top w:val="none" w:sz="0" w:space="0" w:color="auto"/>
        <w:left w:val="none" w:sz="0" w:space="0" w:color="auto"/>
        <w:bottom w:val="none" w:sz="0" w:space="0" w:color="auto"/>
        <w:right w:val="none" w:sz="0" w:space="0" w:color="auto"/>
      </w:divBdr>
    </w:div>
    <w:div w:id="1480806566">
      <w:bodyDiv w:val="1"/>
      <w:marLeft w:val="0"/>
      <w:marRight w:val="0"/>
      <w:marTop w:val="0"/>
      <w:marBottom w:val="0"/>
      <w:divBdr>
        <w:top w:val="none" w:sz="0" w:space="0" w:color="auto"/>
        <w:left w:val="none" w:sz="0" w:space="0" w:color="auto"/>
        <w:bottom w:val="none" w:sz="0" w:space="0" w:color="auto"/>
        <w:right w:val="none" w:sz="0" w:space="0" w:color="auto"/>
      </w:divBdr>
    </w:div>
    <w:div w:id="1486243058">
      <w:bodyDiv w:val="1"/>
      <w:marLeft w:val="0"/>
      <w:marRight w:val="0"/>
      <w:marTop w:val="0"/>
      <w:marBottom w:val="0"/>
      <w:divBdr>
        <w:top w:val="none" w:sz="0" w:space="0" w:color="auto"/>
        <w:left w:val="none" w:sz="0" w:space="0" w:color="auto"/>
        <w:bottom w:val="none" w:sz="0" w:space="0" w:color="auto"/>
        <w:right w:val="none" w:sz="0" w:space="0" w:color="auto"/>
      </w:divBdr>
    </w:div>
    <w:div w:id="1543908204">
      <w:bodyDiv w:val="1"/>
      <w:marLeft w:val="0"/>
      <w:marRight w:val="0"/>
      <w:marTop w:val="0"/>
      <w:marBottom w:val="0"/>
      <w:divBdr>
        <w:top w:val="none" w:sz="0" w:space="0" w:color="auto"/>
        <w:left w:val="none" w:sz="0" w:space="0" w:color="auto"/>
        <w:bottom w:val="none" w:sz="0" w:space="0" w:color="auto"/>
        <w:right w:val="none" w:sz="0" w:space="0" w:color="auto"/>
      </w:divBdr>
      <w:divsChild>
        <w:div w:id="170919518">
          <w:marLeft w:val="547"/>
          <w:marRight w:val="0"/>
          <w:marTop w:val="0"/>
          <w:marBottom w:val="0"/>
          <w:divBdr>
            <w:top w:val="none" w:sz="0" w:space="0" w:color="auto"/>
            <w:left w:val="none" w:sz="0" w:space="0" w:color="auto"/>
            <w:bottom w:val="none" w:sz="0" w:space="0" w:color="auto"/>
            <w:right w:val="none" w:sz="0" w:space="0" w:color="auto"/>
          </w:divBdr>
        </w:div>
      </w:divsChild>
    </w:div>
    <w:div w:id="1544945953">
      <w:bodyDiv w:val="1"/>
      <w:marLeft w:val="0"/>
      <w:marRight w:val="0"/>
      <w:marTop w:val="0"/>
      <w:marBottom w:val="0"/>
      <w:divBdr>
        <w:top w:val="none" w:sz="0" w:space="0" w:color="auto"/>
        <w:left w:val="none" w:sz="0" w:space="0" w:color="auto"/>
        <w:bottom w:val="none" w:sz="0" w:space="0" w:color="auto"/>
        <w:right w:val="none" w:sz="0" w:space="0" w:color="auto"/>
      </w:divBdr>
      <w:divsChild>
        <w:div w:id="1378162892">
          <w:marLeft w:val="547"/>
          <w:marRight w:val="0"/>
          <w:marTop w:val="0"/>
          <w:marBottom w:val="0"/>
          <w:divBdr>
            <w:top w:val="none" w:sz="0" w:space="0" w:color="auto"/>
            <w:left w:val="none" w:sz="0" w:space="0" w:color="auto"/>
            <w:bottom w:val="none" w:sz="0" w:space="0" w:color="auto"/>
            <w:right w:val="none" w:sz="0" w:space="0" w:color="auto"/>
          </w:divBdr>
        </w:div>
      </w:divsChild>
    </w:div>
    <w:div w:id="1565488737">
      <w:bodyDiv w:val="1"/>
      <w:marLeft w:val="0"/>
      <w:marRight w:val="0"/>
      <w:marTop w:val="0"/>
      <w:marBottom w:val="0"/>
      <w:divBdr>
        <w:top w:val="none" w:sz="0" w:space="0" w:color="auto"/>
        <w:left w:val="none" w:sz="0" w:space="0" w:color="auto"/>
        <w:bottom w:val="none" w:sz="0" w:space="0" w:color="auto"/>
        <w:right w:val="none" w:sz="0" w:space="0" w:color="auto"/>
      </w:divBdr>
    </w:div>
    <w:div w:id="1567184132">
      <w:bodyDiv w:val="1"/>
      <w:marLeft w:val="0"/>
      <w:marRight w:val="0"/>
      <w:marTop w:val="0"/>
      <w:marBottom w:val="0"/>
      <w:divBdr>
        <w:top w:val="none" w:sz="0" w:space="0" w:color="auto"/>
        <w:left w:val="none" w:sz="0" w:space="0" w:color="auto"/>
        <w:bottom w:val="none" w:sz="0" w:space="0" w:color="auto"/>
        <w:right w:val="none" w:sz="0" w:space="0" w:color="auto"/>
      </w:divBdr>
    </w:div>
    <w:div w:id="1590119326">
      <w:bodyDiv w:val="1"/>
      <w:marLeft w:val="0"/>
      <w:marRight w:val="0"/>
      <w:marTop w:val="0"/>
      <w:marBottom w:val="0"/>
      <w:divBdr>
        <w:top w:val="none" w:sz="0" w:space="0" w:color="auto"/>
        <w:left w:val="none" w:sz="0" w:space="0" w:color="auto"/>
        <w:bottom w:val="none" w:sz="0" w:space="0" w:color="auto"/>
        <w:right w:val="none" w:sz="0" w:space="0" w:color="auto"/>
      </w:divBdr>
    </w:div>
    <w:div w:id="1600328906">
      <w:bodyDiv w:val="1"/>
      <w:marLeft w:val="0"/>
      <w:marRight w:val="0"/>
      <w:marTop w:val="0"/>
      <w:marBottom w:val="0"/>
      <w:divBdr>
        <w:top w:val="none" w:sz="0" w:space="0" w:color="auto"/>
        <w:left w:val="none" w:sz="0" w:space="0" w:color="auto"/>
        <w:bottom w:val="none" w:sz="0" w:space="0" w:color="auto"/>
        <w:right w:val="none" w:sz="0" w:space="0" w:color="auto"/>
      </w:divBdr>
    </w:div>
    <w:div w:id="1694960140">
      <w:bodyDiv w:val="1"/>
      <w:marLeft w:val="0"/>
      <w:marRight w:val="0"/>
      <w:marTop w:val="0"/>
      <w:marBottom w:val="0"/>
      <w:divBdr>
        <w:top w:val="none" w:sz="0" w:space="0" w:color="auto"/>
        <w:left w:val="none" w:sz="0" w:space="0" w:color="auto"/>
        <w:bottom w:val="none" w:sz="0" w:space="0" w:color="auto"/>
        <w:right w:val="none" w:sz="0" w:space="0" w:color="auto"/>
      </w:divBdr>
      <w:divsChild>
        <w:div w:id="1511681428">
          <w:marLeft w:val="547"/>
          <w:marRight w:val="0"/>
          <w:marTop w:val="0"/>
          <w:marBottom w:val="0"/>
          <w:divBdr>
            <w:top w:val="none" w:sz="0" w:space="0" w:color="auto"/>
            <w:left w:val="none" w:sz="0" w:space="0" w:color="auto"/>
            <w:bottom w:val="none" w:sz="0" w:space="0" w:color="auto"/>
            <w:right w:val="none" w:sz="0" w:space="0" w:color="auto"/>
          </w:divBdr>
        </w:div>
      </w:divsChild>
    </w:div>
    <w:div w:id="1710834918">
      <w:bodyDiv w:val="1"/>
      <w:marLeft w:val="0"/>
      <w:marRight w:val="0"/>
      <w:marTop w:val="0"/>
      <w:marBottom w:val="0"/>
      <w:divBdr>
        <w:top w:val="none" w:sz="0" w:space="0" w:color="auto"/>
        <w:left w:val="none" w:sz="0" w:space="0" w:color="auto"/>
        <w:bottom w:val="none" w:sz="0" w:space="0" w:color="auto"/>
        <w:right w:val="none" w:sz="0" w:space="0" w:color="auto"/>
      </w:divBdr>
    </w:div>
    <w:div w:id="1737244650">
      <w:bodyDiv w:val="1"/>
      <w:marLeft w:val="0"/>
      <w:marRight w:val="0"/>
      <w:marTop w:val="0"/>
      <w:marBottom w:val="0"/>
      <w:divBdr>
        <w:top w:val="none" w:sz="0" w:space="0" w:color="auto"/>
        <w:left w:val="none" w:sz="0" w:space="0" w:color="auto"/>
        <w:bottom w:val="none" w:sz="0" w:space="0" w:color="auto"/>
        <w:right w:val="none" w:sz="0" w:space="0" w:color="auto"/>
      </w:divBdr>
    </w:div>
    <w:div w:id="1737362832">
      <w:bodyDiv w:val="1"/>
      <w:marLeft w:val="0"/>
      <w:marRight w:val="0"/>
      <w:marTop w:val="0"/>
      <w:marBottom w:val="0"/>
      <w:divBdr>
        <w:top w:val="none" w:sz="0" w:space="0" w:color="auto"/>
        <w:left w:val="none" w:sz="0" w:space="0" w:color="auto"/>
        <w:bottom w:val="none" w:sz="0" w:space="0" w:color="auto"/>
        <w:right w:val="none" w:sz="0" w:space="0" w:color="auto"/>
      </w:divBdr>
    </w:div>
    <w:div w:id="1750037851">
      <w:bodyDiv w:val="1"/>
      <w:marLeft w:val="0"/>
      <w:marRight w:val="0"/>
      <w:marTop w:val="0"/>
      <w:marBottom w:val="0"/>
      <w:divBdr>
        <w:top w:val="none" w:sz="0" w:space="0" w:color="auto"/>
        <w:left w:val="none" w:sz="0" w:space="0" w:color="auto"/>
        <w:bottom w:val="none" w:sz="0" w:space="0" w:color="auto"/>
        <w:right w:val="none" w:sz="0" w:space="0" w:color="auto"/>
      </w:divBdr>
    </w:div>
    <w:div w:id="1778254581">
      <w:bodyDiv w:val="1"/>
      <w:marLeft w:val="0"/>
      <w:marRight w:val="0"/>
      <w:marTop w:val="0"/>
      <w:marBottom w:val="0"/>
      <w:divBdr>
        <w:top w:val="none" w:sz="0" w:space="0" w:color="auto"/>
        <w:left w:val="none" w:sz="0" w:space="0" w:color="auto"/>
        <w:bottom w:val="none" w:sz="0" w:space="0" w:color="auto"/>
        <w:right w:val="none" w:sz="0" w:space="0" w:color="auto"/>
      </w:divBdr>
    </w:div>
    <w:div w:id="1801604297">
      <w:bodyDiv w:val="1"/>
      <w:marLeft w:val="0"/>
      <w:marRight w:val="0"/>
      <w:marTop w:val="0"/>
      <w:marBottom w:val="0"/>
      <w:divBdr>
        <w:top w:val="none" w:sz="0" w:space="0" w:color="auto"/>
        <w:left w:val="none" w:sz="0" w:space="0" w:color="auto"/>
        <w:bottom w:val="none" w:sz="0" w:space="0" w:color="auto"/>
        <w:right w:val="none" w:sz="0" w:space="0" w:color="auto"/>
      </w:divBdr>
      <w:divsChild>
        <w:div w:id="786196760">
          <w:marLeft w:val="547"/>
          <w:marRight w:val="0"/>
          <w:marTop w:val="0"/>
          <w:marBottom w:val="0"/>
          <w:divBdr>
            <w:top w:val="none" w:sz="0" w:space="0" w:color="auto"/>
            <w:left w:val="none" w:sz="0" w:space="0" w:color="auto"/>
            <w:bottom w:val="none" w:sz="0" w:space="0" w:color="auto"/>
            <w:right w:val="none" w:sz="0" w:space="0" w:color="auto"/>
          </w:divBdr>
        </w:div>
      </w:divsChild>
    </w:div>
    <w:div w:id="1806121142">
      <w:bodyDiv w:val="1"/>
      <w:marLeft w:val="0"/>
      <w:marRight w:val="0"/>
      <w:marTop w:val="0"/>
      <w:marBottom w:val="0"/>
      <w:divBdr>
        <w:top w:val="none" w:sz="0" w:space="0" w:color="auto"/>
        <w:left w:val="none" w:sz="0" w:space="0" w:color="auto"/>
        <w:bottom w:val="none" w:sz="0" w:space="0" w:color="auto"/>
        <w:right w:val="none" w:sz="0" w:space="0" w:color="auto"/>
      </w:divBdr>
    </w:div>
    <w:div w:id="1816990813">
      <w:bodyDiv w:val="1"/>
      <w:marLeft w:val="0"/>
      <w:marRight w:val="0"/>
      <w:marTop w:val="0"/>
      <w:marBottom w:val="0"/>
      <w:divBdr>
        <w:top w:val="none" w:sz="0" w:space="0" w:color="auto"/>
        <w:left w:val="none" w:sz="0" w:space="0" w:color="auto"/>
        <w:bottom w:val="none" w:sz="0" w:space="0" w:color="auto"/>
        <w:right w:val="none" w:sz="0" w:space="0" w:color="auto"/>
      </w:divBdr>
    </w:div>
    <w:div w:id="1820027749">
      <w:bodyDiv w:val="1"/>
      <w:marLeft w:val="0"/>
      <w:marRight w:val="0"/>
      <w:marTop w:val="0"/>
      <w:marBottom w:val="0"/>
      <w:divBdr>
        <w:top w:val="none" w:sz="0" w:space="0" w:color="auto"/>
        <w:left w:val="none" w:sz="0" w:space="0" w:color="auto"/>
        <w:bottom w:val="none" w:sz="0" w:space="0" w:color="auto"/>
        <w:right w:val="none" w:sz="0" w:space="0" w:color="auto"/>
      </w:divBdr>
      <w:divsChild>
        <w:div w:id="609509749">
          <w:marLeft w:val="648"/>
          <w:marRight w:val="43"/>
          <w:marTop w:val="125"/>
          <w:marBottom w:val="60"/>
          <w:divBdr>
            <w:top w:val="none" w:sz="0" w:space="0" w:color="auto"/>
            <w:left w:val="none" w:sz="0" w:space="0" w:color="auto"/>
            <w:bottom w:val="none" w:sz="0" w:space="0" w:color="auto"/>
            <w:right w:val="none" w:sz="0" w:space="0" w:color="auto"/>
          </w:divBdr>
        </w:div>
        <w:div w:id="1207260006">
          <w:marLeft w:val="648"/>
          <w:marRight w:val="43"/>
          <w:marTop w:val="125"/>
          <w:marBottom w:val="60"/>
          <w:divBdr>
            <w:top w:val="none" w:sz="0" w:space="0" w:color="auto"/>
            <w:left w:val="none" w:sz="0" w:space="0" w:color="auto"/>
            <w:bottom w:val="none" w:sz="0" w:space="0" w:color="auto"/>
            <w:right w:val="none" w:sz="0" w:space="0" w:color="auto"/>
          </w:divBdr>
        </w:div>
        <w:div w:id="311493754">
          <w:marLeft w:val="648"/>
          <w:marRight w:val="43"/>
          <w:marTop w:val="125"/>
          <w:marBottom w:val="60"/>
          <w:divBdr>
            <w:top w:val="none" w:sz="0" w:space="0" w:color="auto"/>
            <w:left w:val="none" w:sz="0" w:space="0" w:color="auto"/>
            <w:bottom w:val="none" w:sz="0" w:space="0" w:color="auto"/>
            <w:right w:val="none" w:sz="0" w:space="0" w:color="auto"/>
          </w:divBdr>
        </w:div>
        <w:div w:id="751589387">
          <w:marLeft w:val="648"/>
          <w:marRight w:val="43"/>
          <w:marTop w:val="125"/>
          <w:marBottom w:val="60"/>
          <w:divBdr>
            <w:top w:val="none" w:sz="0" w:space="0" w:color="auto"/>
            <w:left w:val="none" w:sz="0" w:space="0" w:color="auto"/>
            <w:bottom w:val="none" w:sz="0" w:space="0" w:color="auto"/>
            <w:right w:val="none" w:sz="0" w:space="0" w:color="auto"/>
          </w:divBdr>
        </w:div>
        <w:div w:id="1493914479">
          <w:marLeft w:val="648"/>
          <w:marRight w:val="43"/>
          <w:marTop w:val="125"/>
          <w:marBottom w:val="60"/>
          <w:divBdr>
            <w:top w:val="none" w:sz="0" w:space="0" w:color="auto"/>
            <w:left w:val="none" w:sz="0" w:space="0" w:color="auto"/>
            <w:bottom w:val="none" w:sz="0" w:space="0" w:color="auto"/>
            <w:right w:val="none" w:sz="0" w:space="0" w:color="auto"/>
          </w:divBdr>
        </w:div>
      </w:divsChild>
    </w:div>
    <w:div w:id="1843398237">
      <w:bodyDiv w:val="1"/>
      <w:marLeft w:val="0"/>
      <w:marRight w:val="0"/>
      <w:marTop w:val="0"/>
      <w:marBottom w:val="0"/>
      <w:divBdr>
        <w:top w:val="none" w:sz="0" w:space="0" w:color="auto"/>
        <w:left w:val="none" w:sz="0" w:space="0" w:color="auto"/>
        <w:bottom w:val="none" w:sz="0" w:space="0" w:color="auto"/>
        <w:right w:val="none" w:sz="0" w:space="0" w:color="auto"/>
      </w:divBdr>
      <w:divsChild>
        <w:div w:id="1071729172">
          <w:marLeft w:val="547"/>
          <w:marRight w:val="0"/>
          <w:marTop w:val="0"/>
          <w:marBottom w:val="0"/>
          <w:divBdr>
            <w:top w:val="none" w:sz="0" w:space="0" w:color="auto"/>
            <w:left w:val="none" w:sz="0" w:space="0" w:color="auto"/>
            <w:bottom w:val="none" w:sz="0" w:space="0" w:color="auto"/>
            <w:right w:val="none" w:sz="0" w:space="0" w:color="auto"/>
          </w:divBdr>
        </w:div>
      </w:divsChild>
    </w:div>
    <w:div w:id="1864122869">
      <w:bodyDiv w:val="1"/>
      <w:marLeft w:val="0"/>
      <w:marRight w:val="0"/>
      <w:marTop w:val="0"/>
      <w:marBottom w:val="0"/>
      <w:divBdr>
        <w:top w:val="none" w:sz="0" w:space="0" w:color="auto"/>
        <w:left w:val="none" w:sz="0" w:space="0" w:color="auto"/>
        <w:bottom w:val="none" w:sz="0" w:space="0" w:color="auto"/>
        <w:right w:val="none" w:sz="0" w:space="0" w:color="auto"/>
      </w:divBdr>
    </w:div>
    <w:div w:id="1883012826">
      <w:bodyDiv w:val="1"/>
      <w:marLeft w:val="0"/>
      <w:marRight w:val="0"/>
      <w:marTop w:val="0"/>
      <w:marBottom w:val="0"/>
      <w:divBdr>
        <w:top w:val="none" w:sz="0" w:space="0" w:color="auto"/>
        <w:left w:val="none" w:sz="0" w:space="0" w:color="auto"/>
        <w:bottom w:val="none" w:sz="0" w:space="0" w:color="auto"/>
        <w:right w:val="none" w:sz="0" w:space="0" w:color="auto"/>
      </w:divBdr>
    </w:div>
    <w:div w:id="1995451136">
      <w:bodyDiv w:val="1"/>
      <w:marLeft w:val="0"/>
      <w:marRight w:val="0"/>
      <w:marTop w:val="0"/>
      <w:marBottom w:val="0"/>
      <w:divBdr>
        <w:top w:val="none" w:sz="0" w:space="0" w:color="auto"/>
        <w:left w:val="none" w:sz="0" w:space="0" w:color="auto"/>
        <w:bottom w:val="none" w:sz="0" w:space="0" w:color="auto"/>
        <w:right w:val="none" w:sz="0" w:space="0" w:color="auto"/>
      </w:divBdr>
    </w:div>
    <w:div w:id="2009363411">
      <w:bodyDiv w:val="1"/>
      <w:marLeft w:val="0"/>
      <w:marRight w:val="0"/>
      <w:marTop w:val="0"/>
      <w:marBottom w:val="0"/>
      <w:divBdr>
        <w:top w:val="none" w:sz="0" w:space="0" w:color="auto"/>
        <w:left w:val="none" w:sz="0" w:space="0" w:color="auto"/>
        <w:bottom w:val="none" w:sz="0" w:space="0" w:color="auto"/>
        <w:right w:val="none" w:sz="0" w:space="0" w:color="auto"/>
      </w:divBdr>
      <w:divsChild>
        <w:div w:id="2142460901">
          <w:marLeft w:val="547"/>
          <w:marRight w:val="0"/>
          <w:marTop w:val="0"/>
          <w:marBottom w:val="0"/>
          <w:divBdr>
            <w:top w:val="none" w:sz="0" w:space="0" w:color="auto"/>
            <w:left w:val="none" w:sz="0" w:space="0" w:color="auto"/>
            <w:bottom w:val="none" w:sz="0" w:space="0" w:color="auto"/>
            <w:right w:val="none" w:sz="0" w:space="0" w:color="auto"/>
          </w:divBdr>
        </w:div>
        <w:div w:id="728192986">
          <w:marLeft w:val="547"/>
          <w:marRight w:val="0"/>
          <w:marTop w:val="0"/>
          <w:marBottom w:val="0"/>
          <w:divBdr>
            <w:top w:val="none" w:sz="0" w:space="0" w:color="auto"/>
            <w:left w:val="none" w:sz="0" w:space="0" w:color="auto"/>
            <w:bottom w:val="none" w:sz="0" w:space="0" w:color="auto"/>
            <w:right w:val="none" w:sz="0" w:space="0" w:color="auto"/>
          </w:divBdr>
        </w:div>
      </w:divsChild>
    </w:div>
    <w:div w:id="2020111578">
      <w:bodyDiv w:val="1"/>
      <w:marLeft w:val="0"/>
      <w:marRight w:val="0"/>
      <w:marTop w:val="0"/>
      <w:marBottom w:val="0"/>
      <w:divBdr>
        <w:top w:val="none" w:sz="0" w:space="0" w:color="auto"/>
        <w:left w:val="none" w:sz="0" w:space="0" w:color="auto"/>
        <w:bottom w:val="none" w:sz="0" w:space="0" w:color="auto"/>
        <w:right w:val="none" w:sz="0" w:space="0" w:color="auto"/>
      </w:divBdr>
    </w:div>
    <w:div w:id="2020689918">
      <w:bodyDiv w:val="1"/>
      <w:marLeft w:val="0"/>
      <w:marRight w:val="0"/>
      <w:marTop w:val="0"/>
      <w:marBottom w:val="0"/>
      <w:divBdr>
        <w:top w:val="none" w:sz="0" w:space="0" w:color="auto"/>
        <w:left w:val="none" w:sz="0" w:space="0" w:color="auto"/>
        <w:bottom w:val="none" w:sz="0" w:space="0" w:color="auto"/>
        <w:right w:val="none" w:sz="0" w:space="0" w:color="auto"/>
      </w:divBdr>
    </w:div>
    <w:div w:id="2076052035">
      <w:bodyDiv w:val="1"/>
      <w:marLeft w:val="0"/>
      <w:marRight w:val="0"/>
      <w:marTop w:val="0"/>
      <w:marBottom w:val="0"/>
      <w:divBdr>
        <w:top w:val="none" w:sz="0" w:space="0" w:color="auto"/>
        <w:left w:val="none" w:sz="0" w:space="0" w:color="auto"/>
        <w:bottom w:val="none" w:sz="0" w:space="0" w:color="auto"/>
        <w:right w:val="none" w:sz="0" w:space="0" w:color="auto"/>
      </w:divBdr>
    </w:div>
    <w:div w:id="2081362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chart" Target="charts/chart2.xml"/><Relationship Id="rId26" Type="http://schemas.openxmlformats.org/officeDocument/2006/relationships/chart" Target="charts/chart7.xml"/><Relationship Id="rId39" Type="http://schemas.openxmlformats.org/officeDocument/2006/relationships/header" Target="header10.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image" Target="media/image10.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chart" Target="charts/chart6.xml"/><Relationship Id="rId33" Type="http://schemas.openxmlformats.org/officeDocument/2006/relationships/image" Target="media/image9.png"/><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6.png"/><Relationship Id="rId29" Type="http://schemas.openxmlformats.org/officeDocument/2006/relationships/header" Target="header5.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5.xml"/><Relationship Id="rId32" Type="http://schemas.openxmlformats.org/officeDocument/2006/relationships/footer" Target="footer3.xml"/><Relationship Id="rId37" Type="http://schemas.openxmlformats.org/officeDocument/2006/relationships/header" Target="header8.xm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8.emf"/><Relationship Id="rId36"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chart" Target="charts/chart4.xml"/><Relationship Id="rId27" Type="http://schemas.openxmlformats.org/officeDocument/2006/relationships/chart" Target="charts/chart8.xml"/><Relationship Id="rId30" Type="http://schemas.openxmlformats.org/officeDocument/2006/relationships/header" Target="header6.xml"/><Relationship Id="rId35" Type="http://schemas.openxmlformats.org/officeDocument/2006/relationships/image" Target="media/image11.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SB-FILE01\Clients\Partner%20-%20GHC\Database\2019\4%20-%20June%202019\Analysis\Residential%20care\FY19%20Tables%20and%20Charts%20v3.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B-FILE01\Clients\Partner%20-%20GHC\Department%20of%20Health\Home%20Care%20Funding%20(Nov%202019)\Workings\Additional%20analysis%20-%20DOH%20HC%20Funding.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B-FILE01\Clients\Partner%20-%20GHC\Database\2019\4%20-%20June%202019\Analysis\Home%20care\Home%20care%20-%20GEN%20data.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SB-FILE01\Clients\Partner%20-%20GHC\Database\2019\4%20-%20June%202019\Analysis\Home%20care\Home%20care%20-%20GEN%20data.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oleObject" Target="file:///\\SB-FILE01\Clients\Partner%20-%20GHC\Department%20of%20Health\Home%20Care%20Funding%20(Nov%202019)\Workings\Additional%20analysis%20-%20DOH%20HC%20Funding.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SB-FILE01\Clients\Partner%20-%20GHC\Database\2019\4%20-%20June%202019\Analysis\Home%20care\Home%20Care%20Standard%20Graphs%20and%20Tabl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SB-FILE01\Clients\Partner%20-%20GHC\Database\2019\4%20-%20June%202019\Analysis\Home%20care\Analysis%20by%20geographic%20region%20June%2019.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SB-FILE01\Clients\Partner%20-%20GHC\Database\2019\4%20-%20June%202019\Analysis\Home%20care\Analysis%20by%20geographic%20region%20June%2019.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rgbClr val="C00000"/>
                </a:solidFill>
                <a:latin typeface="+mn-lt"/>
                <a:ea typeface="+mn-ea"/>
                <a:cs typeface="+mn-cs"/>
              </a:defRPr>
            </a:pPr>
            <a:r>
              <a:rPr lang="en-AU"/>
              <a:t>Unspent Funds - average by</a:t>
            </a:r>
            <a:r>
              <a:rPr lang="en-AU" baseline="0"/>
              <a:t> care consumer</a:t>
            </a:r>
            <a:r>
              <a:rPr lang="en-AU"/>
              <a:t> ($ per package)</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rgbClr val="C00000"/>
              </a:solidFill>
              <a:latin typeface="+mn-lt"/>
              <a:ea typeface="+mn-ea"/>
              <a:cs typeface="+mn-cs"/>
            </a:defRPr>
          </a:pPr>
          <a:endParaRPr lang="en-US"/>
        </a:p>
      </c:txPr>
    </c:title>
    <c:autoTitleDeleted val="0"/>
    <c:plotArea>
      <c:layout/>
      <c:barChart>
        <c:barDir val="bar"/>
        <c:grouping val="clustered"/>
        <c:varyColors val="0"/>
        <c:ser>
          <c:idx val="0"/>
          <c:order val="0"/>
          <c:tx>
            <c:strRef>
              <c:f>'Custom Home Care'!$S$26</c:f>
              <c:strCache>
                <c:ptCount val="1"/>
                <c:pt idx="0">
                  <c:v>Jun-18</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'Custom Home Care'!$R$27:$R$28</c:f>
              <c:strCache>
                <c:ptCount val="2"/>
                <c:pt idx="0">
                  <c:v>First 25%</c:v>
                </c:pt>
                <c:pt idx="1">
                  <c:v>Average</c:v>
                </c:pt>
              </c:strCache>
            </c:strRef>
          </c:cat>
          <c:val>
            <c:numRef>
              <c:f>'Custom Home Care'!$S$27:$S$28</c:f>
              <c:numCache>
                <c:formatCode>_-"$"* #,##0_-;\-"$"* #,##0_-;_-"$"* "-"??_-;_-@_-</c:formatCode>
                <c:ptCount val="2"/>
                <c:pt idx="0">
                  <c:v>5693.4629779999996</c:v>
                </c:pt>
                <c:pt idx="1">
                  <c:v>6022.3401489999997</c:v>
                </c:pt>
              </c:numCache>
            </c:numRef>
          </c:val>
          <c:extLst xmlns:c15="http://schemas.microsoft.com/office/drawing/2012/chart">
            <c:ext xmlns:c16="http://schemas.microsoft.com/office/drawing/2014/chart" uri="{C3380CC4-5D6E-409C-BE32-E72D297353CC}">
              <c16:uniqueId val="{00000000-FF2E-4659-BF52-A89EAE5A706B}"/>
            </c:ext>
          </c:extLst>
        </c:ser>
        <c:ser>
          <c:idx val="1"/>
          <c:order val="1"/>
          <c:tx>
            <c:strRef>
              <c:f>'Custom Home Care'!$T$26</c:f>
              <c:strCache>
                <c:ptCount val="1"/>
                <c:pt idx="0">
                  <c:v>Jun-19</c:v>
                </c:pt>
              </c:strCache>
            </c:strRef>
          </c:tx>
          <c:spPr>
            <a:solidFill>
              <a:srgbClr val="8FAAD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'Custom Home Care'!$R$27:$R$28</c:f>
              <c:strCache>
                <c:ptCount val="2"/>
                <c:pt idx="0">
                  <c:v>First 25%</c:v>
                </c:pt>
                <c:pt idx="1">
                  <c:v>Average</c:v>
                </c:pt>
              </c:strCache>
            </c:strRef>
          </c:cat>
          <c:val>
            <c:numRef>
              <c:f>'Custom Home Care'!$T$27:$T$28</c:f>
              <c:numCache>
                <c:formatCode>_-"$"* #,##0_-;\-"$"* #,##0_-;_-"$"* "-"??_-;_-@_-</c:formatCode>
                <c:ptCount val="2"/>
                <c:pt idx="0">
                  <c:v>6989.6406230000002</c:v>
                </c:pt>
                <c:pt idx="1">
                  <c:v>6995.3368899999996</c:v>
                </c:pt>
              </c:numCache>
            </c:numRef>
          </c:val>
          <c:extLst xmlns:c15="http://schemas.microsoft.com/office/drawing/2012/chart">
            <c:ext xmlns:c16="http://schemas.microsoft.com/office/drawing/2014/chart" uri="{C3380CC4-5D6E-409C-BE32-E72D297353CC}">
              <c16:uniqueId val="{00000001-FF2E-4659-BF52-A89EAE5A706B}"/>
            </c:ext>
          </c:extLst>
        </c:ser>
        <c:dLbls>
          <c:showLegendKey val="0"/>
          <c:showVal val="0"/>
          <c:showCatName val="0"/>
          <c:showSerName val="0"/>
          <c:showPercent val="0"/>
          <c:showBubbleSize val="0"/>
        </c:dLbls>
        <c:gapWidth val="100"/>
        <c:axId val="836060792"/>
        <c:axId val="836064728"/>
        <c:extLst/>
      </c:barChart>
      <c:catAx>
        <c:axId val="83606079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1200" b="1" i="1" u="none" strike="noStrike" kern="1200" baseline="0">
                <a:solidFill>
                  <a:sysClr val="windowText" lastClr="000000"/>
                </a:solidFill>
                <a:latin typeface="+mn-lt"/>
                <a:ea typeface="+mn-ea"/>
                <a:cs typeface="+mn-cs"/>
              </a:defRPr>
            </a:pPr>
            <a:endParaRPr lang="en-US"/>
          </a:p>
        </c:txPr>
        <c:crossAx val="836064728"/>
        <c:crosses val="autoZero"/>
        <c:auto val="1"/>
        <c:lblAlgn val="ctr"/>
        <c:lblOffset val="100"/>
        <c:noMultiLvlLbl val="0"/>
      </c:catAx>
      <c:valAx>
        <c:axId val="836064728"/>
        <c:scaling>
          <c:orientation val="minMax"/>
        </c:scaling>
        <c:delete val="1"/>
        <c:axPos val="b"/>
        <c:numFmt formatCode="_-&quot;$&quot;* #,##0_-;\-&quot;$&quot;* #,##0_-;_-&quot;$&quot;* &quot;-&quot;??_-;_-@_-" sourceLinked="1"/>
        <c:majorTickMark val="none"/>
        <c:minorTickMark val="none"/>
        <c:tickLblPos val="nextTo"/>
        <c:crossAx val="836060792"/>
        <c:crosses val="autoZero"/>
        <c:crossBetween val="between"/>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nchor="ctr" anchorCtr="1"/>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rgbClr val="C00000"/>
                </a:solidFill>
                <a:latin typeface="+mn-lt"/>
                <a:ea typeface="+mn-ea"/>
                <a:cs typeface="+mn-cs"/>
              </a:defRPr>
            </a:pPr>
            <a:r>
              <a:rPr lang="en-US" b="1">
                <a:solidFill>
                  <a:srgbClr val="C00000"/>
                </a:solidFill>
              </a:rPr>
              <a:t>HCP Total Unspent Funds and Commonwealth</a:t>
            </a:r>
            <a:r>
              <a:rPr lang="en-US" b="1" baseline="0">
                <a:solidFill>
                  <a:srgbClr val="C00000"/>
                </a:solidFill>
              </a:rPr>
              <a:t> Funding</a:t>
            </a:r>
            <a:r>
              <a:rPr lang="en-US" b="1">
                <a:solidFill>
                  <a:srgbClr val="C00000"/>
                </a:solidFill>
              </a:rPr>
              <a:t> </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rgbClr val="C00000"/>
              </a:solidFill>
              <a:latin typeface="+mn-lt"/>
              <a:ea typeface="+mn-ea"/>
              <a:cs typeface="+mn-cs"/>
            </a:defRPr>
          </a:pPr>
          <a:endParaRPr lang="en-US"/>
        </a:p>
      </c:txPr>
    </c:title>
    <c:autoTitleDeleted val="0"/>
    <c:plotArea>
      <c:layout/>
      <c:barChart>
        <c:barDir val="col"/>
        <c:grouping val="clustered"/>
        <c:varyColors val="0"/>
        <c:ser>
          <c:idx val="0"/>
          <c:order val="0"/>
          <c:tx>
            <c:strRef>
              <c:f>Summary!$B$53</c:f>
              <c:strCache>
                <c:ptCount val="1"/>
                <c:pt idx="0">
                  <c:v>Total unspent funds ($'millions)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Summary!$A$54:$A$57</c:f>
              <c:strCache>
                <c:ptCount val="3"/>
                <c:pt idx="0">
                  <c:v>FY17</c:v>
                </c:pt>
                <c:pt idx="1">
                  <c:v>FY18</c:v>
                </c:pt>
                <c:pt idx="2">
                  <c:v>FY19</c:v>
                </c:pt>
              </c:strCache>
            </c:strRef>
          </c:cat>
          <c:val>
            <c:numRef>
              <c:f>Summary!$B$54:$B$57</c:f>
              <c:numCache>
                <c:formatCode>"$"#,##0\ "M";\-"$"#,##0</c:formatCode>
                <c:ptCount val="3"/>
                <c:pt idx="0">
                  <c:v>329</c:v>
                </c:pt>
                <c:pt idx="1">
                  <c:v>539</c:v>
                </c:pt>
                <c:pt idx="2">
                  <c:v>750</c:v>
                </c:pt>
              </c:numCache>
            </c:numRef>
          </c:val>
          <c:extLst>
            <c:ext xmlns:c16="http://schemas.microsoft.com/office/drawing/2014/chart" uri="{C3380CC4-5D6E-409C-BE32-E72D297353CC}">
              <c16:uniqueId val="{00000000-E39D-474D-8E8F-5762D2388264}"/>
            </c:ext>
          </c:extLst>
        </c:ser>
        <c:dLbls>
          <c:showLegendKey val="0"/>
          <c:showVal val="0"/>
          <c:showCatName val="0"/>
          <c:showSerName val="0"/>
          <c:showPercent val="0"/>
          <c:showBubbleSize val="0"/>
        </c:dLbls>
        <c:gapWidth val="219"/>
        <c:axId val="656836672"/>
        <c:axId val="656839952"/>
      </c:barChart>
      <c:lineChart>
        <c:grouping val="standard"/>
        <c:varyColors val="0"/>
        <c:ser>
          <c:idx val="1"/>
          <c:order val="1"/>
          <c:tx>
            <c:strRef>
              <c:f>Summary!$C$53</c:f>
              <c:strCache>
                <c:ptCount val="1"/>
                <c:pt idx="0">
                  <c:v>Aggregate Subsidies</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Summary!$A$54:$A$57</c:f>
              <c:strCache>
                <c:ptCount val="3"/>
                <c:pt idx="0">
                  <c:v>FY17</c:v>
                </c:pt>
                <c:pt idx="1">
                  <c:v>FY18</c:v>
                </c:pt>
                <c:pt idx="2">
                  <c:v>FY19</c:v>
                </c:pt>
              </c:strCache>
            </c:strRef>
          </c:cat>
          <c:val>
            <c:numRef>
              <c:f>Summary!$C$54:$C$57</c:f>
              <c:numCache>
                <c:formatCode>"$"#,##0\ "M";\-"$"#,##0</c:formatCode>
                <c:ptCount val="3"/>
                <c:pt idx="0">
                  <c:v>1600</c:v>
                </c:pt>
                <c:pt idx="1">
                  <c:v>2000</c:v>
                </c:pt>
                <c:pt idx="2">
                  <c:v>2520</c:v>
                </c:pt>
              </c:numCache>
            </c:numRef>
          </c:val>
          <c:smooth val="0"/>
          <c:extLst>
            <c:ext xmlns:c16="http://schemas.microsoft.com/office/drawing/2014/chart" uri="{C3380CC4-5D6E-409C-BE32-E72D297353CC}">
              <c16:uniqueId val="{00000001-E39D-474D-8E8F-5762D2388264}"/>
            </c:ext>
          </c:extLst>
        </c:ser>
        <c:dLbls>
          <c:showLegendKey val="0"/>
          <c:showVal val="0"/>
          <c:showCatName val="0"/>
          <c:showSerName val="0"/>
          <c:showPercent val="0"/>
          <c:showBubbleSize val="0"/>
        </c:dLbls>
        <c:marker val="1"/>
        <c:smooth val="0"/>
        <c:axId val="656836672"/>
        <c:axId val="656839952"/>
      </c:lineChart>
      <c:catAx>
        <c:axId val="65683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rgbClr val="00B050"/>
                </a:solidFill>
                <a:latin typeface="+mn-lt"/>
                <a:ea typeface="+mn-ea"/>
                <a:cs typeface="+mn-cs"/>
              </a:defRPr>
            </a:pPr>
            <a:endParaRPr lang="en-US"/>
          </a:p>
        </c:txPr>
        <c:crossAx val="656839952"/>
        <c:crosses val="autoZero"/>
        <c:auto val="0"/>
        <c:lblAlgn val="ctr"/>
        <c:lblOffset val="100"/>
        <c:noMultiLvlLbl val="0"/>
      </c:catAx>
      <c:valAx>
        <c:axId val="65683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AU" b="1">
                    <a:solidFill>
                      <a:sysClr val="windowText" lastClr="000000"/>
                    </a:solidFill>
                  </a:rPr>
                  <a:t>$'Millions</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quot;$&quot;#,##0\ &quot;M&quot;;\-&quot;$&quot;#,##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65683667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C00000"/>
                </a:solidFill>
                <a:latin typeface="+mn-lt"/>
                <a:ea typeface="+mn-ea"/>
                <a:cs typeface="+mn-cs"/>
              </a:defRPr>
            </a:pPr>
            <a:r>
              <a:rPr lang="en-US" sz="1600">
                <a:solidFill>
                  <a:srgbClr val="C00000"/>
                </a:solidFill>
              </a:rPr>
              <a:t>Number of people in a home care package</a:t>
            </a:r>
          </a:p>
        </c:rich>
      </c:tx>
      <c:layout/>
      <c:overlay val="0"/>
      <c:spPr>
        <a:noFill/>
        <a:ln>
          <a:noFill/>
        </a:ln>
        <a:effectLst/>
      </c:spPr>
      <c:txPr>
        <a:bodyPr rot="0" spcFirstLastPara="1" vertOverflow="ellipsis" vert="horz" wrap="square" anchor="ctr" anchorCtr="1"/>
        <a:lstStyle/>
        <a:p>
          <a:pPr>
            <a:defRPr sz="1600" b="1" i="0" u="none" strike="noStrike" kern="1200" baseline="0">
              <a:solidFill>
                <a:srgbClr val="C00000"/>
              </a:solidFill>
              <a:latin typeface="+mn-lt"/>
              <a:ea typeface="+mn-ea"/>
              <a:cs typeface="+mn-cs"/>
            </a:defRPr>
          </a:pPr>
          <a:endParaRPr lang="en-US"/>
        </a:p>
      </c:txPr>
    </c:title>
    <c:autoTitleDeleted val="0"/>
    <c:plotArea>
      <c:layout>
        <c:manualLayout>
          <c:layoutTarget val="inner"/>
          <c:xMode val="edge"/>
          <c:yMode val="edge"/>
          <c:x val="9.7977165083991374E-2"/>
          <c:y val="0.15958537839713599"/>
          <c:w val="0.9567035770996325"/>
          <c:h val="0.71330634942285209"/>
        </c:manualLayout>
      </c:layout>
      <c:lineChart>
        <c:grouping val="standard"/>
        <c:varyColors val="0"/>
        <c:ser>
          <c:idx val="0"/>
          <c:order val="0"/>
          <c:tx>
            <c:strRef>
              <c:f>'GEN Data'!$A$3</c:f>
              <c:strCache>
                <c:ptCount val="1"/>
                <c:pt idx="0">
                  <c:v>Number of people in a home care package</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'GEN Data'!$B$2:$M$2</c:f>
              <c:numCache>
                <c:formatCode>mmm\-yy</c:formatCode>
                <c:ptCount val="12"/>
                <c:pt idx="0">
                  <c:v>42551</c:v>
                </c:pt>
                <c:pt idx="1">
                  <c:v>42643</c:v>
                </c:pt>
                <c:pt idx="2">
                  <c:v>42735</c:v>
                </c:pt>
                <c:pt idx="3">
                  <c:v>42825</c:v>
                </c:pt>
                <c:pt idx="4">
                  <c:v>42916</c:v>
                </c:pt>
                <c:pt idx="5">
                  <c:v>43008</c:v>
                </c:pt>
                <c:pt idx="6">
                  <c:v>43100</c:v>
                </c:pt>
                <c:pt idx="7">
                  <c:v>43190</c:v>
                </c:pt>
                <c:pt idx="8">
                  <c:v>43281</c:v>
                </c:pt>
                <c:pt idx="9">
                  <c:v>43344</c:v>
                </c:pt>
                <c:pt idx="10">
                  <c:v>43435</c:v>
                </c:pt>
                <c:pt idx="11">
                  <c:v>43525</c:v>
                </c:pt>
              </c:numCache>
            </c:numRef>
          </c:cat>
          <c:val>
            <c:numRef>
              <c:f>'GEN Data'!$B$3:$M$3</c:f>
              <c:numCache>
                <c:formatCode>_-* #,##0_-;\-* #,##0_-;_-* "-"??_-;_-@_-</c:formatCode>
                <c:ptCount val="12"/>
                <c:pt idx="0">
                  <c:v>64069</c:v>
                </c:pt>
                <c:pt idx="1">
                  <c:v>66244</c:v>
                </c:pt>
                <c:pt idx="2">
                  <c:v>68657</c:v>
                </c:pt>
                <c:pt idx="3">
                  <c:v>70579</c:v>
                </c:pt>
                <c:pt idx="4">
                  <c:v>71423</c:v>
                </c:pt>
                <c:pt idx="5">
                  <c:v>74205</c:v>
                </c:pt>
                <c:pt idx="6">
                  <c:v>77918</c:v>
                </c:pt>
                <c:pt idx="7">
                  <c:v>84971</c:v>
                </c:pt>
                <c:pt idx="8">
                  <c:v>91847</c:v>
                </c:pt>
                <c:pt idx="9">
                  <c:v>90646</c:v>
                </c:pt>
                <c:pt idx="10">
                  <c:v>93331</c:v>
                </c:pt>
                <c:pt idx="11">
                  <c:v>99110</c:v>
                </c:pt>
              </c:numCache>
            </c:numRef>
          </c:val>
          <c:smooth val="0"/>
          <c:extLst>
            <c:ext xmlns:c16="http://schemas.microsoft.com/office/drawing/2014/chart" uri="{C3380CC4-5D6E-409C-BE32-E72D297353CC}">
              <c16:uniqueId val="{00000000-AF09-49FD-A345-EECEB4126D7C}"/>
            </c:ext>
          </c:extLst>
        </c:ser>
        <c:dLbls>
          <c:showLegendKey val="0"/>
          <c:showVal val="0"/>
          <c:showCatName val="0"/>
          <c:showSerName val="0"/>
          <c:showPercent val="0"/>
          <c:showBubbleSize val="0"/>
        </c:dLbls>
        <c:marker val="1"/>
        <c:smooth val="0"/>
        <c:axId val="1436962584"/>
        <c:axId val="1436966520"/>
      </c:lineChart>
      <c:catAx>
        <c:axId val="1436962584"/>
        <c:scaling>
          <c:orientation val="minMax"/>
        </c:scaling>
        <c:delete val="0"/>
        <c:axPos val="b"/>
        <c:numFmt formatCode="mmm\-yy"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rgbClr val="7030A0"/>
                </a:solidFill>
                <a:latin typeface="+mn-lt"/>
                <a:ea typeface="+mn-ea"/>
                <a:cs typeface="+mn-cs"/>
              </a:defRPr>
            </a:pPr>
            <a:endParaRPr lang="en-US"/>
          </a:p>
        </c:txPr>
        <c:crossAx val="1436966520"/>
        <c:crosses val="autoZero"/>
        <c:auto val="0"/>
        <c:lblAlgn val="ctr"/>
        <c:lblOffset val="100"/>
        <c:noMultiLvlLbl val="0"/>
      </c:catAx>
      <c:valAx>
        <c:axId val="1436966520"/>
        <c:scaling>
          <c:orientation val="minMax"/>
          <c:min val="60000"/>
        </c:scaling>
        <c:delete val="1"/>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crossAx val="1436962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C00000"/>
                </a:solidFill>
                <a:latin typeface="+mn-lt"/>
                <a:ea typeface="+mn-ea"/>
                <a:cs typeface="+mn-cs"/>
              </a:defRPr>
            </a:pPr>
            <a:r>
              <a:rPr lang="en-AU" sz="1600">
                <a:solidFill>
                  <a:srgbClr val="C00000"/>
                </a:solidFill>
              </a:rPr>
              <a:t>Number of Home Care Providers</a:t>
            </a:r>
          </a:p>
        </c:rich>
      </c:tx>
      <c:layout/>
      <c:overlay val="0"/>
      <c:spPr>
        <a:noFill/>
        <a:ln>
          <a:noFill/>
        </a:ln>
        <a:effectLst/>
      </c:spPr>
      <c:txPr>
        <a:bodyPr rot="0" spcFirstLastPara="1" vertOverflow="ellipsis" vert="horz" wrap="square" anchor="ctr" anchorCtr="1"/>
        <a:lstStyle/>
        <a:p>
          <a:pPr>
            <a:defRPr sz="1600" b="1" i="0" u="none" strike="noStrike" kern="1200" baseline="0">
              <a:solidFill>
                <a:srgbClr val="C00000"/>
              </a:solidFill>
              <a:latin typeface="+mn-lt"/>
              <a:ea typeface="+mn-ea"/>
              <a:cs typeface="+mn-cs"/>
            </a:defRPr>
          </a:pPr>
          <a:endParaRPr lang="en-US"/>
        </a:p>
      </c:txPr>
    </c:title>
    <c:autoTitleDeleted val="0"/>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'GEN Data'!$A$26:$A$37</c:f>
              <c:numCache>
                <c:formatCode>[$-C09]mmm\-yy;@</c:formatCode>
                <c:ptCount val="12"/>
                <c:pt idx="0">
                  <c:v>42551</c:v>
                </c:pt>
                <c:pt idx="1">
                  <c:v>42735</c:v>
                </c:pt>
                <c:pt idx="2">
                  <c:v>42825</c:v>
                </c:pt>
                <c:pt idx="3">
                  <c:v>42916</c:v>
                </c:pt>
                <c:pt idx="4">
                  <c:v>43008</c:v>
                </c:pt>
                <c:pt idx="5">
                  <c:v>43100</c:v>
                </c:pt>
                <c:pt idx="6">
                  <c:v>43160</c:v>
                </c:pt>
                <c:pt idx="7">
                  <c:v>43252</c:v>
                </c:pt>
                <c:pt idx="8">
                  <c:v>43344</c:v>
                </c:pt>
                <c:pt idx="9">
                  <c:v>43435</c:v>
                </c:pt>
                <c:pt idx="10">
                  <c:v>43525</c:v>
                </c:pt>
                <c:pt idx="11">
                  <c:v>43617</c:v>
                </c:pt>
              </c:numCache>
            </c:numRef>
          </c:cat>
          <c:val>
            <c:numRef>
              <c:f>'GEN Data'!$B$26:$B$37</c:f>
              <c:numCache>
                <c:formatCode>General</c:formatCode>
                <c:ptCount val="12"/>
                <c:pt idx="0">
                  <c:v>496</c:v>
                </c:pt>
                <c:pt idx="1">
                  <c:v>527</c:v>
                </c:pt>
                <c:pt idx="2">
                  <c:v>693</c:v>
                </c:pt>
                <c:pt idx="3">
                  <c:v>735</c:v>
                </c:pt>
                <c:pt idx="4">
                  <c:v>766</c:v>
                </c:pt>
                <c:pt idx="5">
                  <c:v>806</c:v>
                </c:pt>
                <c:pt idx="6">
                  <c:v>853</c:v>
                </c:pt>
                <c:pt idx="7">
                  <c:v>869</c:v>
                </c:pt>
                <c:pt idx="8">
                  <c:v>896</c:v>
                </c:pt>
                <c:pt idx="9">
                  <c:v>902</c:v>
                </c:pt>
                <c:pt idx="10">
                  <c:v>917</c:v>
                </c:pt>
                <c:pt idx="11">
                  <c:v>929</c:v>
                </c:pt>
              </c:numCache>
            </c:numRef>
          </c:val>
          <c:smooth val="0"/>
          <c:extLst>
            <c:ext xmlns:c16="http://schemas.microsoft.com/office/drawing/2014/chart" uri="{C3380CC4-5D6E-409C-BE32-E72D297353CC}">
              <c16:uniqueId val="{00000000-A7D7-4FF6-8D73-93B492FA45AC}"/>
            </c:ext>
          </c:extLst>
        </c:ser>
        <c:dLbls>
          <c:showLegendKey val="0"/>
          <c:showVal val="0"/>
          <c:showCatName val="0"/>
          <c:showSerName val="0"/>
          <c:showPercent val="0"/>
          <c:showBubbleSize val="0"/>
        </c:dLbls>
        <c:marker val="1"/>
        <c:smooth val="0"/>
        <c:axId val="688208040"/>
        <c:axId val="688151624"/>
      </c:lineChart>
      <c:catAx>
        <c:axId val="688208040"/>
        <c:scaling>
          <c:orientation val="minMax"/>
        </c:scaling>
        <c:delete val="0"/>
        <c:axPos val="b"/>
        <c:numFmt formatCode="[$-C09]mmm\-yy;@"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rgbClr val="7030A0"/>
                </a:solidFill>
                <a:latin typeface="+mn-lt"/>
                <a:ea typeface="+mn-ea"/>
                <a:cs typeface="+mn-cs"/>
              </a:defRPr>
            </a:pPr>
            <a:endParaRPr lang="en-US"/>
          </a:p>
        </c:txPr>
        <c:crossAx val="688151624"/>
        <c:crosses val="autoZero"/>
        <c:auto val="0"/>
        <c:lblAlgn val="ctr"/>
        <c:lblOffset val="100"/>
        <c:noMultiLvlLbl val="0"/>
      </c:catAx>
      <c:valAx>
        <c:axId val="688151624"/>
        <c:scaling>
          <c:orientation val="minMax"/>
          <c:min val="4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882080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rgbClr val="C00000"/>
                </a:solidFill>
                <a:latin typeface="+mn-lt"/>
                <a:ea typeface="+mn-ea"/>
                <a:cs typeface="+mn-cs"/>
              </a:defRPr>
            </a:pPr>
            <a:r>
              <a:rPr lang="en-AU" b="1">
                <a:solidFill>
                  <a:srgbClr val="C00000"/>
                </a:solidFill>
              </a:rPr>
              <a:t>% of</a:t>
            </a:r>
            <a:r>
              <a:rPr lang="en-AU" b="1" baseline="0">
                <a:solidFill>
                  <a:srgbClr val="C00000"/>
                </a:solidFill>
              </a:rPr>
              <a:t> Home Care Providers with Negative NPBT</a:t>
            </a:r>
            <a:endParaRPr lang="en-AU" b="1">
              <a:solidFill>
                <a:srgbClr val="C00000"/>
              </a:solidFill>
            </a:endParaRP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rgbClr val="C00000"/>
              </a:solidFill>
              <a:latin typeface="+mn-lt"/>
              <a:ea typeface="+mn-ea"/>
              <a:cs typeface="+mn-cs"/>
            </a:defRPr>
          </a:pPr>
          <a:endParaRPr lang="en-US"/>
        </a:p>
      </c:txPr>
    </c:title>
    <c:autoTitleDeleted val="0"/>
    <c:plotArea>
      <c:layout/>
      <c:barChart>
        <c:barDir val="bar"/>
        <c:grouping val="clustered"/>
        <c:varyColors val="0"/>
        <c:ser>
          <c:idx val="0"/>
          <c:order val="0"/>
          <c:tx>
            <c:strRef>
              <c:f>Summary!$I$31</c:f>
              <c:strCache>
                <c:ptCount val="1"/>
                <c:pt idx="0">
                  <c:v>FY18</c:v>
                </c:pt>
              </c:strCache>
            </c:strRef>
          </c:tx>
          <c:spPr>
            <a:solidFill>
              <a:srgbClr val="8FAAD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Summary!$J$30:$K$30</c:f>
              <c:strCache>
                <c:ptCount val="2"/>
                <c:pt idx="0">
                  <c:v>ACFR</c:v>
                </c:pt>
                <c:pt idx="1">
                  <c:v>SB</c:v>
                </c:pt>
              </c:strCache>
            </c:strRef>
          </c:cat>
          <c:val>
            <c:numRef>
              <c:f>Summary!$J$31:$K$31</c:f>
              <c:numCache>
                <c:formatCode>0.0%</c:formatCode>
                <c:ptCount val="2"/>
                <c:pt idx="0">
                  <c:v>0.28764478764478763</c:v>
                </c:pt>
                <c:pt idx="1">
                  <c:v>0.307</c:v>
                </c:pt>
              </c:numCache>
            </c:numRef>
          </c:val>
          <c:extLst>
            <c:ext xmlns:c16="http://schemas.microsoft.com/office/drawing/2014/chart" uri="{C3380CC4-5D6E-409C-BE32-E72D297353CC}">
              <c16:uniqueId val="{00000000-9426-433B-B03B-1EF1C96B635E}"/>
            </c:ext>
          </c:extLst>
        </c:ser>
        <c:ser>
          <c:idx val="1"/>
          <c:order val="1"/>
          <c:tx>
            <c:strRef>
              <c:f>Summary!$I$32</c:f>
              <c:strCache>
                <c:ptCount val="1"/>
                <c:pt idx="0">
                  <c:v>FY19</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Summary!$J$30:$K$30</c:f>
              <c:strCache>
                <c:ptCount val="2"/>
                <c:pt idx="0">
                  <c:v>ACFR</c:v>
                </c:pt>
                <c:pt idx="1">
                  <c:v>SB</c:v>
                </c:pt>
              </c:strCache>
            </c:strRef>
          </c:cat>
          <c:val>
            <c:numRef>
              <c:f>Summary!$J$32:$K$32</c:f>
              <c:numCache>
                <c:formatCode>0.0%</c:formatCode>
                <c:ptCount val="2"/>
                <c:pt idx="0">
                  <c:v>0.27663551401869158</c:v>
                </c:pt>
                <c:pt idx="1">
                  <c:v>0.28899999999999998</c:v>
                </c:pt>
              </c:numCache>
            </c:numRef>
          </c:val>
          <c:extLst>
            <c:ext xmlns:c16="http://schemas.microsoft.com/office/drawing/2014/chart" uri="{C3380CC4-5D6E-409C-BE32-E72D297353CC}">
              <c16:uniqueId val="{00000001-9426-433B-B03B-1EF1C96B635E}"/>
            </c:ext>
          </c:extLst>
        </c:ser>
        <c:dLbls>
          <c:showLegendKey val="0"/>
          <c:showVal val="0"/>
          <c:showCatName val="0"/>
          <c:showSerName val="0"/>
          <c:showPercent val="0"/>
          <c:showBubbleSize val="0"/>
        </c:dLbls>
        <c:gapWidth val="182"/>
        <c:axId val="671592656"/>
        <c:axId val="671593968"/>
      </c:barChart>
      <c:catAx>
        <c:axId val="671592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crossAx val="671593968"/>
        <c:crosses val="autoZero"/>
        <c:auto val="1"/>
        <c:lblAlgn val="ctr"/>
        <c:lblOffset val="100"/>
        <c:noMultiLvlLbl val="0"/>
      </c:catAx>
      <c:valAx>
        <c:axId val="671593968"/>
        <c:scaling>
          <c:orientation val="minMax"/>
        </c:scaling>
        <c:delete val="1"/>
        <c:axPos val="b"/>
        <c:numFmt formatCode="0.0%" sourceLinked="1"/>
        <c:majorTickMark val="none"/>
        <c:minorTickMark val="none"/>
        <c:tickLblPos val="nextTo"/>
        <c:crossAx val="6715926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rgbClr val="C00000"/>
                </a:solidFill>
                <a:latin typeface="+mn-lt"/>
                <a:ea typeface="+mn-ea"/>
                <a:cs typeface="+mn-cs"/>
              </a:defRPr>
            </a:pPr>
            <a:r>
              <a:rPr lang="en-AU" b="1">
                <a:solidFill>
                  <a:srgbClr val="C00000"/>
                </a:solidFill>
              </a:rPr>
              <a:t>Profit (NPBT) Trend ($ per client</a:t>
            </a:r>
            <a:r>
              <a:rPr lang="en-AU" b="1" baseline="0">
                <a:solidFill>
                  <a:srgbClr val="C00000"/>
                </a:solidFill>
              </a:rPr>
              <a:t> per day)</a:t>
            </a:r>
            <a:endParaRPr lang="en-AU" b="1">
              <a:solidFill>
                <a:srgbClr val="C00000"/>
              </a:solidFill>
            </a:endParaRP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rgbClr val="C00000"/>
              </a:solidFill>
              <a:latin typeface="+mn-lt"/>
              <a:ea typeface="+mn-ea"/>
              <a:cs typeface="+mn-cs"/>
            </a:defRPr>
          </a:pPr>
          <a:endParaRPr lang="en-US"/>
        </a:p>
      </c:txPr>
    </c:title>
    <c:autoTitleDeleted val="0"/>
    <c:plotArea>
      <c:layout/>
      <c:lineChart>
        <c:grouping val="standard"/>
        <c:varyColors val="0"/>
        <c:ser>
          <c:idx val="0"/>
          <c:order val="0"/>
          <c:tx>
            <c:strRef>
              <c:f>'Key Home Care Tables &amp; Graphs'!$H$259</c:f>
              <c:strCache>
                <c:ptCount val="1"/>
                <c:pt idx="0">
                  <c:v>AVERAGE</c:v>
                </c:pt>
              </c:strCache>
            </c:strRef>
          </c:tx>
          <c:spPr>
            <a:ln w="28575" cap="rnd">
              <a:solidFill>
                <a:srgbClr val="F03A9D"/>
              </a:solidFill>
              <a:round/>
            </a:ln>
            <a:effectLst/>
          </c:spPr>
          <c:marker>
            <c:symbol val="circle"/>
            <c:size val="5"/>
            <c:spPr>
              <a:solidFill>
                <a:srgbClr val="F03A9D"/>
              </a:solidFill>
              <a:ln w="0">
                <a:solidFill>
                  <a:srgbClr val="F03A9D"/>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'Key Home Care Tables &amp; Graphs'!$I$258:$L$258</c:f>
              <c:numCache>
                <c:formatCode>mmm\-yy</c:formatCode>
                <c:ptCount val="4"/>
                <c:pt idx="0">
                  <c:v>42522</c:v>
                </c:pt>
                <c:pt idx="1">
                  <c:v>42887</c:v>
                </c:pt>
                <c:pt idx="2">
                  <c:v>43252</c:v>
                </c:pt>
                <c:pt idx="3">
                  <c:v>43617</c:v>
                </c:pt>
              </c:numCache>
            </c:numRef>
          </c:cat>
          <c:val>
            <c:numRef>
              <c:f>'Key Home Care Tables &amp; Graphs'!$I$259:$L$259</c:f>
              <c:numCache>
                <c:formatCode>_("$"* #,##0.00_);_("$"* \(#,##0.00\);_("$"* "-"??_);_(@_)</c:formatCode>
                <c:ptCount val="4"/>
                <c:pt idx="0">
                  <c:v>2.9114439999999999</c:v>
                </c:pt>
                <c:pt idx="1">
                  <c:v>5.3713300000000004</c:v>
                </c:pt>
                <c:pt idx="2">
                  <c:v>3.767433</c:v>
                </c:pt>
                <c:pt idx="3">
                  <c:v>3.6487630000000002</c:v>
                </c:pt>
              </c:numCache>
            </c:numRef>
          </c:val>
          <c:smooth val="0"/>
          <c:extLst>
            <c:ext xmlns:c16="http://schemas.microsoft.com/office/drawing/2014/chart" uri="{C3380CC4-5D6E-409C-BE32-E72D297353CC}">
              <c16:uniqueId val="{00000000-A23C-470B-B1AC-C96B9850E51B}"/>
            </c:ext>
          </c:extLst>
        </c:ser>
        <c:ser>
          <c:idx val="1"/>
          <c:order val="1"/>
          <c:tx>
            <c:strRef>
              <c:f>'Key Home Care Tables &amp; Graphs'!$H$260</c:f>
              <c:strCache>
                <c:ptCount val="1"/>
                <c:pt idx="0">
                  <c:v>FIRST 25%</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'Key Home Care Tables &amp; Graphs'!$I$258:$L$258</c:f>
              <c:numCache>
                <c:formatCode>mmm\-yy</c:formatCode>
                <c:ptCount val="4"/>
                <c:pt idx="0">
                  <c:v>42522</c:v>
                </c:pt>
                <c:pt idx="1">
                  <c:v>42887</c:v>
                </c:pt>
                <c:pt idx="2">
                  <c:v>43252</c:v>
                </c:pt>
                <c:pt idx="3">
                  <c:v>43617</c:v>
                </c:pt>
              </c:numCache>
            </c:numRef>
          </c:cat>
          <c:val>
            <c:numRef>
              <c:f>'Key Home Care Tables &amp; Graphs'!$I$260:$L$260</c:f>
              <c:numCache>
                <c:formatCode>_("$"* #,##0.00_);_("$"* \(#,##0.00\);_("$"* "-"??_);_(@_)</c:formatCode>
                <c:ptCount val="4"/>
                <c:pt idx="0">
                  <c:v>20.848085999999999</c:v>
                </c:pt>
                <c:pt idx="1">
                  <c:v>25.009172</c:v>
                </c:pt>
                <c:pt idx="2">
                  <c:v>17.168420999999999</c:v>
                </c:pt>
                <c:pt idx="3">
                  <c:v>18.282287</c:v>
                </c:pt>
              </c:numCache>
            </c:numRef>
          </c:val>
          <c:smooth val="0"/>
          <c:extLst>
            <c:ext xmlns:c16="http://schemas.microsoft.com/office/drawing/2014/chart" uri="{C3380CC4-5D6E-409C-BE32-E72D297353CC}">
              <c16:uniqueId val="{00000001-A23C-470B-B1AC-C96B9850E51B}"/>
            </c:ext>
          </c:extLst>
        </c:ser>
        <c:dLbls>
          <c:showLegendKey val="0"/>
          <c:showVal val="0"/>
          <c:showCatName val="0"/>
          <c:showSerName val="0"/>
          <c:showPercent val="0"/>
          <c:showBubbleSize val="0"/>
        </c:dLbls>
        <c:marker val="1"/>
        <c:smooth val="0"/>
        <c:axId val="1477769215"/>
        <c:axId val="1264256655"/>
      </c:lineChart>
      <c:catAx>
        <c:axId val="1477769215"/>
        <c:scaling>
          <c:orientation val="minMax"/>
        </c:scaling>
        <c:delete val="0"/>
        <c:axPos val="b"/>
        <c:numFmt formatCode="mmm\-yy"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rgbClr val="7030A0"/>
                </a:solidFill>
                <a:latin typeface="+mn-lt"/>
                <a:ea typeface="+mn-ea"/>
                <a:cs typeface="+mn-cs"/>
              </a:defRPr>
            </a:pPr>
            <a:endParaRPr lang="en-US"/>
          </a:p>
        </c:txPr>
        <c:crossAx val="1264256655"/>
        <c:crosses val="autoZero"/>
        <c:auto val="0"/>
        <c:lblAlgn val="ctr"/>
        <c:lblOffset val="100"/>
        <c:noMultiLvlLbl val="0"/>
      </c:catAx>
      <c:valAx>
        <c:axId val="1264256655"/>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rgbClr val="7030A0"/>
                </a:solidFill>
                <a:latin typeface="+mn-lt"/>
                <a:ea typeface="+mn-ea"/>
                <a:cs typeface="+mn-cs"/>
              </a:defRPr>
            </a:pPr>
            <a:endParaRPr lang="en-US"/>
          </a:p>
        </c:txPr>
        <c:crossAx val="147776921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1" i="1"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a:solidFill>
                  <a:srgbClr val="C00000"/>
                </a:solidFill>
              </a:rPr>
              <a:t>No. of Programs by Geographic Region </a:t>
            </a:r>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1"/>
          <c:order val="0"/>
          <c:tx>
            <c:strRef>
              <c:f>Summary!$C$22</c:f>
              <c:strCache>
                <c:ptCount val="1"/>
                <c:pt idx="0">
                  <c:v>FY18 </c:v>
                </c:pt>
              </c:strCache>
            </c:strRef>
          </c:tx>
          <c:spPr>
            <a:solidFill>
              <a:srgbClr val="92D05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Summary!$C$23:$C$27</c:f>
              <c:numCache>
                <c:formatCode>0%</c:formatCode>
                <c:ptCount val="5"/>
                <c:pt idx="0">
                  <c:v>0.49</c:v>
                </c:pt>
                <c:pt idx="1">
                  <c:v>0.25</c:v>
                </c:pt>
                <c:pt idx="2">
                  <c:v>0.13</c:v>
                </c:pt>
                <c:pt idx="3">
                  <c:v>0.05</c:v>
                </c:pt>
                <c:pt idx="4">
                  <c:v>0.08</c:v>
                </c:pt>
              </c:numCache>
            </c:numRef>
          </c:val>
          <c:extLst>
            <c:ext xmlns:c16="http://schemas.microsoft.com/office/drawing/2014/chart" uri="{C3380CC4-5D6E-409C-BE32-E72D297353CC}">
              <c16:uniqueId val="{00000000-5F48-4B00-83B2-4988E224E164}"/>
            </c:ext>
          </c:extLst>
        </c:ser>
        <c:ser>
          <c:idx val="0"/>
          <c:order val="1"/>
          <c:tx>
            <c:strRef>
              <c:f>Summary!$B$22</c:f>
              <c:strCache>
                <c:ptCount val="1"/>
                <c:pt idx="0">
                  <c:v>FY19 </c:v>
                </c:pt>
              </c:strCache>
            </c:strRef>
          </c:tx>
          <c:spPr>
            <a:solidFill>
              <a:srgbClr val="8FAADC"/>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Summary!$A$23:$A$27</c:f>
              <c:strCache>
                <c:ptCount val="5"/>
                <c:pt idx="0">
                  <c:v>Metro </c:v>
                </c:pt>
                <c:pt idx="1">
                  <c:v>Inner regional</c:v>
                </c:pt>
                <c:pt idx="2">
                  <c:v>Mixed - inner regional &amp; outer regional </c:v>
                </c:pt>
                <c:pt idx="3">
                  <c:v>Outer regional, remote, very remote</c:v>
                </c:pt>
                <c:pt idx="4">
                  <c:v>Mixed - metro &amp; inner regional </c:v>
                </c:pt>
              </c:strCache>
            </c:strRef>
          </c:cat>
          <c:val>
            <c:numRef>
              <c:f>Summary!$B$23:$B$27</c:f>
              <c:numCache>
                <c:formatCode>0%</c:formatCode>
                <c:ptCount val="5"/>
                <c:pt idx="0">
                  <c:v>0.48472505091649692</c:v>
                </c:pt>
                <c:pt idx="1">
                  <c:v>0.25865580448065173</c:v>
                </c:pt>
                <c:pt idx="2">
                  <c:v>0.11608961303462322</c:v>
                </c:pt>
                <c:pt idx="3">
                  <c:v>7.5356415478615074E-2</c:v>
                </c:pt>
                <c:pt idx="4">
                  <c:v>6.5173116089613028E-2</c:v>
                </c:pt>
              </c:numCache>
            </c:numRef>
          </c:val>
          <c:extLst>
            <c:ext xmlns:c16="http://schemas.microsoft.com/office/drawing/2014/chart" uri="{C3380CC4-5D6E-409C-BE32-E72D297353CC}">
              <c16:uniqueId val="{00000001-5F48-4B00-83B2-4988E224E164}"/>
            </c:ext>
          </c:extLst>
        </c:ser>
        <c:dLbls>
          <c:showLegendKey val="0"/>
          <c:showVal val="0"/>
          <c:showCatName val="0"/>
          <c:showSerName val="0"/>
          <c:showPercent val="0"/>
          <c:showBubbleSize val="0"/>
        </c:dLbls>
        <c:gapWidth val="100"/>
        <c:axId val="853815520"/>
        <c:axId val="853816832"/>
      </c:barChart>
      <c:valAx>
        <c:axId val="8538168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3815520"/>
        <c:crosses val="autoZero"/>
        <c:crossBetween val="between"/>
      </c:valAx>
      <c:catAx>
        <c:axId val="853815520"/>
        <c:scaling>
          <c:orientation val="minMax"/>
        </c:scaling>
        <c:delete val="0"/>
        <c:axPos val="l"/>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rgbClr val="7030A0"/>
                </a:solidFill>
                <a:latin typeface="+mn-lt"/>
                <a:ea typeface="+mn-ea"/>
                <a:cs typeface="+mn-cs"/>
              </a:defRPr>
            </a:pPr>
            <a:endParaRPr lang="en-US"/>
          </a:p>
        </c:txPr>
        <c:crossAx val="853816832"/>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C00000"/>
                </a:solidFill>
                <a:latin typeface="+mn-lt"/>
                <a:ea typeface="+mn-ea"/>
                <a:cs typeface="+mn-cs"/>
              </a:defRPr>
            </a:pPr>
            <a:r>
              <a:rPr kumimoji="0" lang="en-US" sz="1200" b="1" i="0" u="none" strike="noStrike" kern="1200" cap="none" spc="0" normalizeH="0" baseline="0" noProof="0">
                <a:ln>
                  <a:noFill/>
                </a:ln>
                <a:solidFill>
                  <a:srgbClr val="C00000"/>
                </a:solidFill>
                <a:effectLst/>
                <a:uLnTx/>
                <a:uFillTx/>
                <a:latin typeface="Calibri" panose="020F0502020204030204"/>
              </a:rPr>
              <a:t>Profit margin by Geographic Region</a:t>
            </a:r>
          </a:p>
        </c:rich>
      </c:tx>
      <c:layout/>
      <c:overlay val="0"/>
      <c:spPr>
        <a:noFill/>
        <a:ln>
          <a:noFill/>
        </a:ln>
        <a:effectLst/>
      </c:spPr>
      <c:txPr>
        <a:bodyPr rot="0" spcFirstLastPara="1" vertOverflow="ellipsis" vert="horz" wrap="square" anchor="ctr" anchorCtr="1"/>
        <a:lstStyle/>
        <a:p>
          <a:pPr>
            <a:defRPr sz="1200" b="1" i="0" u="none" strike="noStrike" kern="1200" spc="0" baseline="0">
              <a:solidFill>
                <a:srgbClr val="C00000"/>
              </a:solidFill>
              <a:latin typeface="+mn-lt"/>
              <a:ea typeface="+mn-ea"/>
              <a:cs typeface="+mn-cs"/>
            </a:defRPr>
          </a:pPr>
          <a:endParaRPr lang="en-US"/>
        </a:p>
      </c:txPr>
    </c:title>
    <c:autoTitleDeleted val="0"/>
    <c:plotArea>
      <c:layout>
        <c:manualLayout>
          <c:layoutTarget val="inner"/>
          <c:xMode val="edge"/>
          <c:yMode val="edge"/>
          <c:x val="0.44895948167277544"/>
          <c:y val="0.16537081339712917"/>
          <c:w val="0.52608903510016614"/>
          <c:h val="0.69657348453452872"/>
        </c:manualLayout>
      </c:layout>
      <c:barChart>
        <c:barDir val="bar"/>
        <c:grouping val="clustered"/>
        <c:varyColors val="0"/>
        <c:ser>
          <c:idx val="0"/>
          <c:order val="0"/>
          <c:tx>
            <c:strRef>
              <c:f>Summary!$D$48</c:f>
              <c:strCache>
                <c:ptCount val="1"/>
                <c:pt idx="0">
                  <c:v>FY19 </c:v>
                </c:pt>
              </c:strCache>
            </c:strRef>
          </c:tx>
          <c:spPr>
            <a:solidFill>
              <a:srgbClr val="8FAAD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Summary!$C$49:$C$54</c:f>
              <c:strCache>
                <c:ptCount val="6"/>
                <c:pt idx="0">
                  <c:v>Mixed - metro &amp; inner regional </c:v>
                </c:pt>
                <c:pt idx="1">
                  <c:v>Survey Average</c:v>
                </c:pt>
                <c:pt idx="2">
                  <c:v>Metro </c:v>
                </c:pt>
                <c:pt idx="3">
                  <c:v>Outer regional, remote, very remote</c:v>
                </c:pt>
                <c:pt idx="4">
                  <c:v>Inner regional</c:v>
                </c:pt>
                <c:pt idx="5">
                  <c:v>Mixed - inner regional &amp; outer regional </c:v>
                </c:pt>
              </c:strCache>
            </c:strRef>
          </c:cat>
          <c:val>
            <c:numRef>
              <c:f>Summary!$D$49:$D$54</c:f>
              <c:numCache>
                <c:formatCode>0.0%</c:formatCode>
                <c:ptCount val="6"/>
                <c:pt idx="0">
                  <c:v>0.13064217735944231</c:v>
                </c:pt>
                <c:pt idx="1">
                  <c:v>5.052012976877189E-2</c:v>
                </c:pt>
                <c:pt idx="2">
                  <c:v>4.9583367364191548E-2</c:v>
                </c:pt>
                <c:pt idx="3">
                  <c:v>4.8368993036045513E-2</c:v>
                </c:pt>
                <c:pt idx="4">
                  <c:v>4.7731279682928993E-2</c:v>
                </c:pt>
                <c:pt idx="5" formatCode="0.0%_);[Red]\(0.0%\);;@">
                  <c:v>-1.3095895578603326E-2</c:v>
                </c:pt>
              </c:numCache>
            </c:numRef>
          </c:val>
          <c:extLst>
            <c:ext xmlns:c16="http://schemas.microsoft.com/office/drawing/2014/chart" uri="{C3380CC4-5D6E-409C-BE32-E72D297353CC}">
              <c16:uniqueId val="{00000000-4F81-4945-8C04-22583F64AD59}"/>
            </c:ext>
          </c:extLst>
        </c:ser>
        <c:ser>
          <c:idx val="1"/>
          <c:order val="1"/>
          <c:tx>
            <c:strRef>
              <c:f>Summary!$E$48</c:f>
              <c:strCache>
                <c:ptCount val="1"/>
                <c:pt idx="0">
                  <c:v>FY18 </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Summary!$E$49:$E$54</c:f>
              <c:numCache>
                <c:formatCode>0.0%</c:formatCode>
                <c:ptCount val="6"/>
                <c:pt idx="0">
                  <c:v>0.15</c:v>
                </c:pt>
                <c:pt idx="1">
                  <c:v>5.5E-2</c:v>
                </c:pt>
                <c:pt idx="2">
                  <c:v>3.7999999999999999E-2</c:v>
                </c:pt>
                <c:pt idx="3">
                  <c:v>6.0999999999999999E-2</c:v>
                </c:pt>
                <c:pt idx="4">
                  <c:v>5.1999999999999998E-2</c:v>
                </c:pt>
                <c:pt idx="5">
                  <c:v>1.4E-2</c:v>
                </c:pt>
              </c:numCache>
            </c:numRef>
          </c:val>
          <c:extLst>
            <c:ext xmlns:c16="http://schemas.microsoft.com/office/drawing/2014/chart" uri="{C3380CC4-5D6E-409C-BE32-E72D297353CC}">
              <c16:uniqueId val="{00000001-4F81-4945-8C04-22583F64AD59}"/>
            </c:ext>
          </c:extLst>
        </c:ser>
        <c:dLbls>
          <c:showLegendKey val="0"/>
          <c:showVal val="0"/>
          <c:showCatName val="0"/>
          <c:showSerName val="0"/>
          <c:showPercent val="0"/>
          <c:showBubbleSize val="0"/>
        </c:dLbls>
        <c:gapWidth val="50"/>
        <c:axId val="1007154544"/>
        <c:axId val="1007159136"/>
      </c:barChart>
      <c:catAx>
        <c:axId val="1007154544"/>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rgbClr val="7030A0"/>
                </a:solidFill>
                <a:latin typeface="+mn-lt"/>
                <a:ea typeface="+mn-ea"/>
                <a:cs typeface="+mn-cs"/>
              </a:defRPr>
            </a:pPr>
            <a:endParaRPr lang="en-US"/>
          </a:p>
        </c:txPr>
        <c:crossAx val="1007159136"/>
        <c:crosses val="autoZero"/>
        <c:auto val="1"/>
        <c:lblAlgn val="ctr"/>
        <c:lblOffset val="100"/>
        <c:noMultiLvlLbl val="0"/>
      </c:catAx>
      <c:valAx>
        <c:axId val="1007159136"/>
        <c:scaling>
          <c:orientation val="minMax"/>
        </c:scaling>
        <c:delete val="1"/>
        <c:axPos val="t"/>
        <c:numFmt formatCode="0.0%" sourceLinked="1"/>
        <c:majorTickMark val="none"/>
        <c:minorTickMark val="none"/>
        <c:tickLblPos val="nextTo"/>
        <c:crossAx val="1007154544"/>
        <c:crosses val="autoZero"/>
        <c:crossBetween val="between"/>
      </c:valAx>
      <c:spPr>
        <a:noFill/>
        <a:ln>
          <a:noFill/>
        </a:ln>
        <a:effectLst/>
      </c:spPr>
    </c:plotArea>
    <c:legend>
      <c:legendPos val="b"/>
      <c:layout>
        <c:manualLayout>
          <c:xMode val="edge"/>
          <c:yMode val="edge"/>
          <c:x val="0.39242177830072322"/>
          <c:y val="0.8918486041517536"/>
          <c:w val="0.22070099915082003"/>
          <c:h val="0.1081513958482462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0.03595</cdr:x>
      <cdr:y>0.6688</cdr:y>
    </cdr:from>
    <cdr:to>
      <cdr:x>0.11791</cdr:x>
      <cdr:y>0.97527</cdr:y>
    </cdr:to>
    <cdr:sp macro="" textlink="">
      <cdr:nvSpPr>
        <cdr:cNvPr id="4" name="Rectangle: Rounded Corners 3" descr="Rectangle highlighting June 2016 figure of 64,069 in Figure 4: Number of persons in a Home Care package (Source: www.gen-agedcaredata.gov.au)" title="Rectangle highlight">
          <a:extLst xmlns:a="http://schemas.openxmlformats.org/drawingml/2006/main">
            <a:ext uri="{FF2B5EF4-FFF2-40B4-BE49-F238E27FC236}">
              <a16:creationId xmlns:a16="http://schemas.microsoft.com/office/drawing/2014/main" id="{099C23FF-C62D-45FE-A3FF-58A7DBA08FB6}"/>
            </a:ext>
          </a:extLst>
        </cdr:cNvPr>
        <cdr:cNvSpPr/>
      </cdr:nvSpPr>
      <cdr:spPr>
        <a:xfrm xmlns:a="http://schemas.openxmlformats.org/drawingml/2006/main">
          <a:off x="311329" y="3348663"/>
          <a:ext cx="709715" cy="1534487"/>
        </a:xfrm>
        <a:prstGeom xmlns:a="http://schemas.openxmlformats.org/drawingml/2006/main" prst="roundRect">
          <a:avLst/>
        </a:prstGeom>
        <a:noFill xmlns:a="http://schemas.openxmlformats.org/drawingml/2006/main"/>
        <a:ln xmlns:a="http://schemas.openxmlformats.org/drawingml/2006/main" w="38100">
          <a:solidFill>
            <a:srgbClr val="FFC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AU"/>
        </a:p>
      </cdr:txBody>
    </cdr:sp>
  </cdr:relSizeAnchor>
</c:userShapes>
</file>

<file path=word/drawings/drawing2.xml><?xml version="1.0" encoding="utf-8"?>
<c:userShapes xmlns:c="http://schemas.openxmlformats.org/drawingml/2006/chart">
  <cdr:relSizeAnchor xmlns:cdr="http://schemas.openxmlformats.org/drawingml/2006/chartDrawing">
    <cdr:from>
      <cdr:x>0.0237</cdr:x>
      <cdr:y>0.66975</cdr:y>
    </cdr:from>
    <cdr:to>
      <cdr:x>0.10302</cdr:x>
      <cdr:y>0.97623</cdr:y>
    </cdr:to>
    <cdr:sp macro="" textlink="">
      <cdr:nvSpPr>
        <cdr:cNvPr id="2" name="Rectangle: Rounded Corners 1" descr="Highlights 496 of home care providers in June 2016 in figure 5: Number of Home Care Providers (Source: www.gen-agedcaredata.gov.au)" title="Rectangle Highlight">
          <a:extLst xmlns:a="http://schemas.openxmlformats.org/drawingml/2006/main">
            <a:ext uri="{FF2B5EF4-FFF2-40B4-BE49-F238E27FC236}">
              <a16:creationId xmlns:a16="http://schemas.microsoft.com/office/drawing/2014/main" id="{9BF77D76-2422-432F-ADB5-F66C948E9E4F}"/>
            </a:ext>
          </a:extLst>
        </cdr:cNvPr>
        <cdr:cNvSpPr/>
      </cdr:nvSpPr>
      <cdr:spPr>
        <a:xfrm xmlns:a="http://schemas.openxmlformats.org/drawingml/2006/main">
          <a:off x="145024" y="2009501"/>
          <a:ext cx="485448" cy="919555"/>
        </a:xfrm>
        <a:prstGeom xmlns:a="http://schemas.openxmlformats.org/drawingml/2006/main" prst="roundRect">
          <a:avLst/>
        </a:prstGeom>
        <a:noFill xmlns:a="http://schemas.openxmlformats.org/drawingml/2006/main"/>
        <a:ln xmlns:a="http://schemas.openxmlformats.org/drawingml/2006/main" w="38100">
          <a:solidFill>
            <a:srgbClr val="FFC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AU"/>
        </a:p>
      </cdr:txBody>
    </cdr:sp>
  </cdr:relSizeAnchor>
  <cdr:relSizeAnchor xmlns:cdr="http://schemas.openxmlformats.org/drawingml/2006/chartDrawing">
    <cdr:from>
      <cdr:x>0.89577</cdr:x>
      <cdr:y>0.12522</cdr:y>
    </cdr:from>
    <cdr:to>
      <cdr:x>0.97509</cdr:x>
      <cdr:y>0.98455</cdr:y>
    </cdr:to>
    <cdr:sp macro="" textlink="">
      <cdr:nvSpPr>
        <cdr:cNvPr id="3" name="Rectangle: Rounded Corners 2" descr="Highlights 929 of home care providers in June 2019 in figure 5: Number of Home Care Providers (Source: www.gen-agedcaredata.gov.au)" title="Rectangle highlight"/>
        <cdr:cNvSpPr/>
      </cdr:nvSpPr>
      <cdr:spPr>
        <a:xfrm xmlns:a="http://schemas.openxmlformats.org/drawingml/2006/main">
          <a:off x="5482199" y="478537"/>
          <a:ext cx="485448" cy="3283837"/>
        </a:xfrm>
        <a:prstGeom xmlns:a="http://schemas.openxmlformats.org/drawingml/2006/main" prst="roundRect">
          <a:avLst/>
        </a:prstGeom>
        <a:noFill xmlns:a="http://schemas.openxmlformats.org/drawingml/2006/main"/>
        <a:ln xmlns:a="http://schemas.openxmlformats.org/drawingml/2006/main" w="38100">
          <a:solidFill>
            <a:srgbClr val="FFC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AU"/>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D072FB-2D9B-4358-82B4-486492A4E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46</Pages>
  <Words>13503</Words>
  <Characters>76971</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Corderoy</dc:creator>
  <cp:keywords/>
  <dc:description/>
  <cp:lastModifiedBy>PHILLIPS, Tiffany</cp:lastModifiedBy>
  <cp:revision>7</cp:revision>
  <cp:lastPrinted>2019-11-20T00:06:00Z</cp:lastPrinted>
  <dcterms:created xsi:type="dcterms:W3CDTF">2019-12-16T05:40:00Z</dcterms:created>
  <dcterms:modified xsi:type="dcterms:W3CDTF">2019-12-16T23:43:00Z</dcterms:modified>
</cp:coreProperties>
</file>